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E3062">
      <w:pPr>
        <w:jc w:val="center"/>
        <w:outlineLvl w:val="0"/>
        <w:rPr>
          <w:rFonts w:hint="eastAsia" w:ascii="仿宋" w:hAnsi="仿宋" w:eastAsia="仿宋" w:cs="仿宋"/>
          <w:lang w:eastAsia="zh-Hans"/>
        </w:rPr>
      </w:pPr>
      <w:r>
        <w:rPr>
          <w:rFonts w:hint="eastAsia" w:ascii="宋体" w:hAnsi="宋体" w:eastAsia="宋体" w:cs="宋体"/>
          <w:b/>
          <w:sz w:val="36"/>
          <w:lang w:eastAsia="zh-Hans"/>
        </w:rPr>
        <w:t>第五章 合同文本</w:t>
      </w:r>
    </w:p>
    <w:p w14:paraId="383243BD">
      <w:pPr>
        <w:jc w:val="center"/>
        <w:rPr>
          <w:rFonts w:hint="eastAsia" w:ascii="仿宋" w:hAnsi="仿宋" w:eastAsia="仿宋" w:cs="仿宋"/>
          <w:lang w:eastAsia="zh-Hans"/>
        </w:rPr>
      </w:pPr>
    </w:p>
    <w:p w14:paraId="2004AD37">
      <w:pPr>
        <w:adjustRightInd w:val="0"/>
        <w:snapToGrid w:val="0"/>
        <w:jc w:val="center"/>
        <w:rPr>
          <w:rFonts w:ascii="Calibri" w:hAnsi="Calibri" w:eastAsia="宋体" w:cs="Times New Roman"/>
          <w:b/>
          <w:bCs/>
          <w:sz w:val="32"/>
          <w:szCs w:val="32"/>
        </w:rPr>
      </w:pPr>
      <w:r>
        <w:rPr>
          <w:rFonts w:hint="eastAsia" w:ascii="Calibri" w:hAnsi="Calibri" w:eastAsia="宋体" w:cs="Times New Roman"/>
          <w:b/>
          <w:bCs/>
          <w:sz w:val="32"/>
          <w:szCs w:val="32"/>
        </w:rPr>
        <w:t>广州医科大学附属中医医院2026-2029年</w:t>
      </w:r>
    </w:p>
    <w:p w14:paraId="119EBDD8">
      <w:pPr>
        <w:adjustRightInd w:val="0"/>
        <w:snapToGrid w:val="0"/>
        <w:jc w:val="center"/>
        <w:rPr>
          <w:rFonts w:ascii="Calibri" w:hAnsi="Calibri" w:eastAsia="宋体" w:cs="Times New Roman"/>
          <w:b/>
          <w:bCs/>
          <w:sz w:val="32"/>
          <w:szCs w:val="32"/>
        </w:rPr>
      </w:pPr>
      <w:r>
        <w:rPr>
          <w:rFonts w:hint="eastAsia" w:ascii="Calibri" w:hAnsi="Calibri" w:eastAsia="宋体" w:cs="Times New Roman"/>
          <w:b/>
          <w:bCs/>
          <w:sz w:val="32"/>
          <w:szCs w:val="32"/>
        </w:rPr>
        <w:t>食堂餐饮服务合同</w:t>
      </w:r>
    </w:p>
    <w:p w14:paraId="2E93DFDF">
      <w:pPr>
        <w:adjustRightInd w:val="0"/>
        <w:snapToGrid w:val="0"/>
        <w:jc w:val="center"/>
        <w:rPr>
          <w:rFonts w:ascii="Calibri" w:hAnsi="Calibri" w:eastAsia="宋体" w:cs="Times New Roman"/>
          <w:b/>
          <w:bCs/>
          <w:sz w:val="32"/>
          <w:szCs w:val="32"/>
        </w:rPr>
      </w:pPr>
    </w:p>
    <w:p w14:paraId="32C09843">
      <w:pPr>
        <w:adjustRightInd w:val="0"/>
        <w:snapToGrid w:val="0"/>
        <w:jc w:val="center"/>
        <w:rPr>
          <w:rFonts w:ascii="Calibri" w:hAnsi="Calibri" w:eastAsia="宋体" w:cs="Times New Roman"/>
          <w:b/>
          <w:bCs/>
          <w:sz w:val="32"/>
          <w:szCs w:val="32"/>
        </w:rPr>
      </w:pPr>
    </w:p>
    <w:p w14:paraId="4207F857">
      <w:pPr>
        <w:adjustRightInd w:val="0"/>
        <w:snapToGrid w:val="0"/>
        <w:jc w:val="center"/>
        <w:outlineLvl w:val="0"/>
        <w:rPr>
          <w:rFonts w:ascii="Calibri" w:hAnsi="Calibri" w:eastAsia="仿宋" w:cs="Times New Roman"/>
          <w:b/>
          <w:bCs/>
          <w:sz w:val="32"/>
          <w:szCs w:val="32"/>
        </w:rPr>
      </w:pPr>
      <w:r>
        <w:rPr>
          <w:rFonts w:ascii="仿宋" w:hAnsi="仿宋" w:eastAsia="仿宋" w:cs="仿宋"/>
          <w:b/>
          <w:bCs/>
          <w:sz w:val="24"/>
        </w:rPr>
        <w:t>第</w:t>
      </w:r>
      <w:r>
        <w:rPr>
          <w:rFonts w:hint="eastAsia" w:ascii="仿宋" w:hAnsi="仿宋" w:eastAsia="仿宋" w:cs="仿宋"/>
          <w:b/>
          <w:bCs/>
          <w:sz w:val="24"/>
        </w:rPr>
        <w:t>一</w:t>
      </w:r>
      <w:r>
        <w:rPr>
          <w:rFonts w:ascii="仿宋" w:hAnsi="仿宋" w:eastAsia="仿宋" w:cs="仿宋"/>
          <w:b/>
          <w:bCs/>
          <w:sz w:val="24"/>
        </w:rPr>
        <w:t>章</w:t>
      </w:r>
      <w:r>
        <w:rPr>
          <w:rFonts w:hint="eastAsia" w:ascii="仿宋" w:hAnsi="仿宋" w:eastAsia="仿宋" w:cs="仿宋"/>
          <w:b/>
          <w:bCs/>
          <w:sz w:val="24"/>
        </w:rPr>
        <w:t xml:space="preserve">  总则</w:t>
      </w:r>
    </w:p>
    <w:p w14:paraId="4513B653">
      <w:pPr>
        <w:jc w:val="center"/>
        <w:rPr>
          <w:rFonts w:ascii="Calibri" w:hAnsi="Calibri" w:eastAsia="宋体" w:cs="Times New Roman"/>
          <w:b/>
          <w:bCs/>
          <w:sz w:val="24"/>
        </w:rPr>
      </w:pPr>
    </w:p>
    <w:p w14:paraId="5EFD2B57">
      <w:pPr>
        <w:spacing w:before="91" w:line="222" w:lineRule="auto"/>
        <w:ind w:left="560"/>
        <w:rPr>
          <w:rFonts w:hint="eastAsia" w:ascii="仿宋" w:hAnsi="仿宋" w:eastAsia="仿宋" w:cs="仿宋"/>
          <w:spacing w:val="-2"/>
          <w:sz w:val="24"/>
        </w:rPr>
      </w:pPr>
      <w:r>
        <w:rPr>
          <w:rFonts w:ascii="仿宋" w:hAnsi="仿宋" w:eastAsia="仿宋" w:cs="仿宋"/>
          <w:spacing w:val="-2"/>
          <w:sz w:val="24"/>
        </w:rPr>
        <w:t>甲方：</w:t>
      </w:r>
      <w:r>
        <w:rPr>
          <w:rFonts w:hint="eastAsia" w:ascii="仿宋" w:hAnsi="仿宋" w:eastAsia="仿宋" w:cs="仿宋"/>
          <w:spacing w:val="-2"/>
          <w:sz w:val="24"/>
        </w:rPr>
        <w:t>广州医科大学附属中医医院</w:t>
      </w:r>
    </w:p>
    <w:p w14:paraId="40D5FE1A">
      <w:pPr>
        <w:spacing w:before="91" w:line="222" w:lineRule="auto"/>
        <w:ind w:left="560"/>
        <w:rPr>
          <w:rFonts w:hint="eastAsia" w:ascii="仿宋" w:hAnsi="仿宋" w:eastAsia="仿宋" w:cs="仿宋"/>
          <w:spacing w:val="-2"/>
          <w:sz w:val="24"/>
        </w:rPr>
      </w:pPr>
      <w:r>
        <w:rPr>
          <w:rFonts w:ascii="仿宋" w:hAnsi="仿宋" w:eastAsia="仿宋" w:cs="仿宋"/>
          <w:spacing w:val="-2"/>
          <w:sz w:val="24"/>
        </w:rPr>
        <w:t>地址：广州市天河区天坤三路95号</w:t>
      </w:r>
    </w:p>
    <w:p w14:paraId="336CE2C7">
      <w:pPr>
        <w:spacing w:before="81" w:line="223" w:lineRule="auto"/>
        <w:ind w:left="560"/>
        <w:rPr>
          <w:rFonts w:hint="eastAsia" w:ascii="仿宋" w:hAnsi="仿宋" w:eastAsia="仿宋" w:cs="仿宋"/>
          <w:sz w:val="24"/>
        </w:rPr>
      </w:pPr>
      <w:r>
        <w:rPr>
          <w:rFonts w:ascii="仿宋" w:hAnsi="仿宋" w:eastAsia="仿宋" w:cs="仿宋"/>
          <w:sz w:val="24"/>
          <w:lang w:eastAsia="en-US"/>
        </w:rPr>
        <w:t>法定代表人：</w:t>
      </w:r>
      <w:r>
        <w:rPr>
          <w:rFonts w:hint="eastAsia" w:ascii="仿宋" w:hAnsi="仿宋" w:eastAsia="仿宋" w:cs="仿宋"/>
          <w:sz w:val="24"/>
        </w:rPr>
        <w:t>于林</w:t>
      </w:r>
    </w:p>
    <w:p w14:paraId="5D858595">
      <w:pPr>
        <w:spacing w:after="120"/>
        <w:rPr>
          <w:rFonts w:ascii="Calibri" w:hAnsi="Calibri" w:eastAsia="宋体" w:cs="Times New Roman"/>
        </w:rPr>
      </w:pPr>
    </w:p>
    <w:p w14:paraId="7F87137A">
      <w:pPr>
        <w:spacing w:before="88" w:line="221" w:lineRule="auto"/>
        <w:ind w:left="560"/>
        <w:rPr>
          <w:rFonts w:hint="eastAsia" w:ascii="仿宋" w:hAnsi="仿宋" w:eastAsia="仿宋" w:cs="仿宋"/>
          <w:sz w:val="24"/>
          <w:lang w:eastAsia="en-US"/>
        </w:rPr>
      </w:pPr>
      <w:r>
        <w:rPr>
          <w:rFonts w:ascii="仿宋" w:hAnsi="仿宋" w:eastAsia="仿宋" w:cs="仿宋"/>
          <w:spacing w:val="-1"/>
          <w:sz w:val="24"/>
          <w:lang w:eastAsia="en-US"/>
        </w:rPr>
        <w:t>乙方：</w:t>
      </w:r>
    </w:p>
    <w:p w14:paraId="261EE4E6">
      <w:pPr>
        <w:tabs>
          <w:tab w:val="left" w:pos="7560"/>
        </w:tabs>
        <w:spacing w:before="79" w:line="222" w:lineRule="auto"/>
        <w:ind w:left="560"/>
        <w:rPr>
          <w:rFonts w:hint="eastAsia" w:ascii="仿宋" w:hAnsi="仿宋" w:eastAsia="仿宋" w:cs="仿宋"/>
          <w:sz w:val="24"/>
        </w:rPr>
      </w:pPr>
      <w:r>
        <w:rPr>
          <w:rFonts w:ascii="仿宋" w:hAnsi="仿宋" w:eastAsia="仿宋" w:cs="仿宋"/>
          <w:spacing w:val="-9"/>
          <w:sz w:val="24"/>
        </w:rPr>
        <w:t>地址：</w:t>
      </w:r>
    </w:p>
    <w:p w14:paraId="397879E4">
      <w:pPr>
        <w:spacing w:before="58" w:line="222" w:lineRule="auto"/>
        <w:ind w:left="560"/>
        <w:rPr>
          <w:rFonts w:hint="eastAsia" w:ascii="仿宋" w:hAnsi="仿宋" w:eastAsia="仿宋" w:cs="仿宋"/>
          <w:sz w:val="24"/>
        </w:rPr>
      </w:pPr>
      <w:r>
        <w:rPr>
          <w:rFonts w:ascii="仿宋" w:hAnsi="仿宋" w:eastAsia="仿宋" w:cs="仿宋"/>
          <w:sz w:val="24"/>
        </w:rPr>
        <w:t>法定代表人：</w:t>
      </w:r>
    </w:p>
    <w:p w14:paraId="26227799">
      <w:pPr>
        <w:spacing w:line="405" w:lineRule="auto"/>
        <w:rPr>
          <w:rFonts w:ascii="Arial" w:hAnsi="Calibri" w:eastAsia="宋体" w:cs="Times New Roman"/>
          <w:sz w:val="24"/>
        </w:rPr>
      </w:pPr>
    </w:p>
    <w:p w14:paraId="185FB658">
      <w:pPr>
        <w:tabs>
          <w:tab w:val="left" w:pos="9040"/>
        </w:tabs>
        <w:spacing w:before="92" w:line="276" w:lineRule="auto"/>
        <w:ind w:firstLine="560"/>
        <w:rPr>
          <w:rFonts w:hint="eastAsia" w:ascii="仿宋" w:hAnsi="仿宋" w:eastAsia="仿宋" w:cs="仿宋"/>
          <w:sz w:val="24"/>
        </w:rPr>
      </w:pPr>
      <w:r>
        <w:rPr>
          <w:rFonts w:hint="eastAsia" w:ascii="仿宋" w:hAnsi="仿宋" w:eastAsia="仿宋" w:cs="仿宋"/>
          <w:sz w:val="24"/>
        </w:rPr>
        <w:t>根据《中华人民共和国政府采购法》《中华人民共和国民法典》《中华人民共和国食品安全法》及其它相关法律、法规、规章以及甲方采购管理制度的有关规定，结合广州医科大学附属中医医院2026-2029年度食堂服务采购项目（采购编号：</w:t>
      </w:r>
      <w:r>
        <w:rPr>
          <w:rFonts w:hint="eastAsia" w:ascii="仿宋" w:hAnsi="仿宋" w:eastAsia="仿宋" w:cs="仿宋"/>
          <w:sz w:val="24"/>
          <w:u w:val="single"/>
        </w:rPr>
        <w:t xml:space="preserve">             </w:t>
      </w:r>
      <w:r>
        <w:rPr>
          <w:rFonts w:hint="eastAsia" w:ascii="仿宋" w:hAnsi="仿宋" w:eastAsia="仿宋" w:cs="仿宋"/>
          <w:sz w:val="24"/>
        </w:rPr>
        <w:t>）的采购结果，甲乙双方本着互惠互利，诚信合作的原则，在平等、自愿、协商的基础上，双方一致同意订立本合同，共同遵守及执行。</w:t>
      </w:r>
    </w:p>
    <w:p w14:paraId="535BBEE7">
      <w:pPr>
        <w:tabs>
          <w:tab w:val="left" w:pos="5632"/>
        </w:tabs>
        <w:spacing w:before="92" w:line="276" w:lineRule="auto"/>
        <w:ind w:firstLine="561"/>
        <w:outlineLvl w:val="1"/>
        <w:rPr>
          <w:rFonts w:hint="eastAsia" w:ascii="仿宋" w:hAnsi="仿宋" w:eastAsia="仿宋" w:cs="仿宋"/>
          <w:b/>
          <w:bCs/>
          <w:sz w:val="24"/>
        </w:rPr>
      </w:pPr>
      <w:r>
        <w:rPr>
          <w:rFonts w:hint="eastAsia" w:ascii="仿宋" w:hAnsi="仿宋" w:eastAsia="仿宋" w:cs="仿宋"/>
          <w:b/>
          <w:bCs/>
          <w:sz w:val="24"/>
        </w:rPr>
        <w:t>第一条  服务地址</w:t>
      </w:r>
    </w:p>
    <w:p w14:paraId="5FB60E18">
      <w:pPr>
        <w:tabs>
          <w:tab w:val="left" w:pos="9040"/>
        </w:tabs>
        <w:spacing w:before="92" w:line="276" w:lineRule="auto"/>
        <w:ind w:firstLine="560"/>
        <w:rPr>
          <w:rFonts w:hint="eastAsia" w:ascii="仿宋" w:hAnsi="仿宋" w:eastAsia="仿宋" w:cs="仿宋"/>
          <w:sz w:val="24"/>
        </w:rPr>
      </w:pPr>
      <w:r>
        <w:rPr>
          <w:rFonts w:hint="eastAsia" w:ascii="仿宋" w:hAnsi="仿宋" w:eastAsia="仿宋" w:cs="仿宋"/>
          <w:sz w:val="24"/>
        </w:rPr>
        <w:t>1.天河院区：广州市天河区天坤三路95号</w:t>
      </w:r>
    </w:p>
    <w:p w14:paraId="22081970">
      <w:pPr>
        <w:tabs>
          <w:tab w:val="left" w:pos="9040"/>
        </w:tabs>
        <w:spacing w:before="92" w:line="276" w:lineRule="auto"/>
        <w:ind w:firstLine="560"/>
        <w:rPr>
          <w:rFonts w:hint="eastAsia" w:ascii="仿宋" w:hAnsi="仿宋" w:eastAsia="仿宋" w:cs="仿宋"/>
          <w:sz w:val="24"/>
        </w:rPr>
      </w:pPr>
      <w:r>
        <w:rPr>
          <w:rFonts w:hint="eastAsia" w:ascii="仿宋" w:hAnsi="仿宋" w:eastAsia="仿宋" w:cs="仿宋"/>
          <w:sz w:val="24"/>
        </w:rPr>
        <w:t>2.珠玑院区：广州市荔湾区珠玑路16号</w:t>
      </w:r>
    </w:p>
    <w:p w14:paraId="3E85C1C9">
      <w:pPr>
        <w:tabs>
          <w:tab w:val="left" w:pos="9040"/>
        </w:tabs>
        <w:spacing w:before="92" w:line="276" w:lineRule="auto"/>
        <w:ind w:firstLine="560"/>
        <w:rPr>
          <w:rFonts w:hint="eastAsia" w:ascii="仿宋" w:hAnsi="仿宋" w:eastAsia="仿宋" w:cs="仿宋"/>
          <w:sz w:val="24"/>
        </w:rPr>
      </w:pPr>
      <w:r>
        <w:rPr>
          <w:rFonts w:hint="eastAsia" w:ascii="仿宋" w:hAnsi="仿宋" w:eastAsia="仿宋" w:cs="仿宋"/>
          <w:sz w:val="24"/>
        </w:rPr>
        <w:t>3.同德院区：广州市白云区横滘二路81号</w:t>
      </w:r>
    </w:p>
    <w:p w14:paraId="17F80357">
      <w:pPr>
        <w:tabs>
          <w:tab w:val="left" w:pos="9040"/>
        </w:tabs>
        <w:spacing w:before="92" w:line="276" w:lineRule="auto"/>
        <w:ind w:firstLine="560"/>
        <w:rPr>
          <w:rFonts w:hint="eastAsia" w:ascii="仿宋" w:hAnsi="仿宋" w:eastAsia="仿宋" w:cs="仿宋"/>
          <w:sz w:val="24"/>
        </w:rPr>
      </w:pPr>
      <w:r>
        <w:rPr>
          <w:rFonts w:hint="eastAsia" w:ascii="仿宋" w:hAnsi="仿宋" w:eastAsia="仿宋" w:cs="仿宋"/>
          <w:sz w:val="24"/>
        </w:rPr>
        <w:t>4.同德综合门诊部：广州市白云区横滘二路</w:t>
      </w:r>
      <w:r>
        <w:rPr>
          <w:rFonts w:ascii="仿宋" w:hAnsi="仿宋" w:eastAsia="仿宋" w:cs="仿宋"/>
          <w:sz w:val="24"/>
        </w:rPr>
        <w:t>27</w:t>
      </w:r>
      <w:r>
        <w:rPr>
          <w:rFonts w:hint="eastAsia" w:ascii="仿宋" w:hAnsi="仿宋" w:eastAsia="仿宋" w:cs="仿宋"/>
          <w:sz w:val="24"/>
        </w:rPr>
        <w:t>号</w:t>
      </w:r>
    </w:p>
    <w:p w14:paraId="20AF7766">
      <w:pPr>
        <w:tabs>
          <w:tab w:val="left" w:pos="5632"/>
        </w:tabs>
        <w:spacing w:before="92" w:line="276" w:lineRule="auto"/>
        <w:ind w:firstLine="561"/>
        <w:outlineLvl w:val="1"/>
        <w:rPr>
          <w:rFonts w:hint="eastAsia" w:ascii="仿宋" w:hAnsi="仿宋" w:eastAsia="仿宋" w:cs="仿宋"/>
          <w:b/>
          <w:bCs/>
          <w:sz w:val="24"/>
        </w:rPr>
      </w:pPr>
      <w:r>
        <w:rPr>
          <w:rFonts w:hint="eastAsia" w:ascii="仿宋" w:hAnsi="仿宋" w:eastAsia="仿宋" w:cs="仿宋"/>
          <w:b/>
          <w:bCs/>
          <w:sz w:val="24"/>
        </w:rPr>
        <w:t>第二条  合同期限</w:t>
      </w:r>
    </w:p>
    <w:p w14:paraId="3CF874D9">
      <w:pPr>
        <w:widowControl/>
        <w:spacing w:line="440" w:lineRule="exact"/>
        <w:ind w:firstLine="480" w:firstLineChars="200"/>
        <w:jc w:val="left"/>
        <w:rPr>
          <w:rFonts w:hint="eastAsia" w:ascii="仿宋" w:hAnsi="仿宋" w:eastAsia="仿宋" w:cs="仿宋"/>
          <w:kern w:val="0"/>
          <w:sz w:val="24"/>
          <w:lang w:bidi="ar"/>
        </w:rPr>
      </w:pPr>
      <w:r>
        <w:rPr>
          <w:rFonts w:hint="eastAsia" w:ascii="仿宋" w:hAnsi="仿宋" w:eastAsia="仿宋" w:cs="仿宋"/>
          <w:kern w:val="0"/>
          <w:sz w:val="24"/>
          <w:lang w:bidi="ar"/>
        </w:rPr>
        <w:t>自合同签订之日起：36个月，合同采取一年一签方式（服务期第12个月、第24个月，满足年度续签条件的重新签订合同）。第一年度合同期限：     年    月   日至      年    月   日。年度续签合同不得改变本采购文件及首年度合同的实质性条款，服务标准、定价规则、权责划分、安全要求等核心内容与原合同保持一致，仅可对非实质性服务细节进行优化调整；合同执行期满或累计交易金额达到三年最高采购预算上限4500万元，本项目合同自动终止，以先到者为准。</w:t>
      </w:r>
    </w:p>
    <w:p w14:paraId="1457E2A3">
      <w:pPr>
        <w:spacing w:after="120" w:line="480" w:lineRule="auto"/>
        <w:rPr>
          <w:rFonts w:ascii="Calibri" w:hAnsi="Calibri" w:eastAsia="宋体" w:cs="Times New Roman"/>
        </w:rPr>
      </w:pPr>
    </w:p>
    <w:p w14:paraId="309262DE">
      <w:pPr>
        <w:widowControl/>
        <w:spacing w:line="440" w:lineRule="exact"/>
        <w:jc w:val="center"/>
        <w:outlineLvl w:val="0"/>
        <w:rPr>
          <w:rFonts w:hint="eastAsia" w:ascii="仿宋" w:hAnsi="仿宋" w:eastAsia="仿宋" w:cs="仿宋"/>
          <w:b/>
          <w:bCs/>
          <w:kern w:val="44"/>
          <w:sz w:val="24"/>
        </w:rPr>
      </w:pPr>
      <w:r>
        <w:rPr>
          <w:rFonts w:hint="eastAsia" w:ascii="仿宋" w:hAnsi="仿宋" w:eastAsia="仿宋" w:cs="仿宋"/>
          <w:b/>
          <w:bCs/>
          <w:kern w:val="44"/>
          <w:sz w:val="24"/>
        </w:rPr>
        <w:t>第二章 服务内容与服务范围</w:t>
      </w:r>
    </w:p>
    <w:p w14:paraId="5015FCC3">
      <w:pPr>
        <w:rPr>
          <w:rFonts w:hint="eastAsia" w:ascii="仿宋" w:hAnsi="仿宋" w:eastAsia="仿宋" w:cs="仿宋"/>
          <w:sz w:val="24"/>
        </w:rPr>
      </w:pPr>
    </w:p>
    <w:p w14:paraId="7B7CE577">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第三条  服务内容</w:t>
      </w:r>
    </w:p>
    <w:p w14:paraId="625BDA56">
      <w:pPr>
        <w:tabs>
          <w:tab w:val="left" w:pos="9040"/>
        </w:tabs>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（一）中标折扣率：</w:t>
      </w:r>
      <w:r>
        <w:rPr>
          <w:rFonts w:hint="eastAsia" w:ascii="仿宋" w:hAnsi="仿宋" w:eastAsia="仿宋" w:cs="仿宋"/>
          <w:sz w:val="24"/>
          <w:u w:val="single"/>
        </w:rPr>
        <w:t xml:space="preserve">       %</w:t>
      </w:r>
    </w:p>
    <w:p w14:paraId="5A30FBCC">
      <w:pPr>
        <w:tabs>
          <w:tab w:val="left" w:pos="9040"/>
        </w:tabs>
        <w:spacing w:line="360" w:lineRule="auto"/>
        <w:ind w:firstLine="480" w:firstLineChars="200"/>
        <w:rPr>
          <w:rFonts w:hint="eastAsia" w:ascii="仿宋" w:hAnsi="仿宋" w:eastAsia="仿宋" w:cs="仿宋"/>
          <w:sz w:val="24"/>
        </w:rPr>
      </w:pPr>
      <w:r>
        <w:rPr>
          <w:rFonts w:hint="eastAsia" w:ascii="仿宋" w:hAnsi="仿宋" w:eastAsia="仿宋" w:cs="仿宋"/>
          <w:sz w:val="24"/>
        </w:rPr>
        <w:t>（二）服务模式</w:t>
      </w:r>
    </w:p>
    <w:p w14:paraId="0FCF3DC4">
      <w:pPr>
        <w:spacing w:line="360" w:lineRule="auto"/>
        <w:ind w:firstLine="480" w:firstLineChars="200"/>
        <w:rPr>
          <w:rFonts w:hint="eastAsia" w:ascii="仿宋" w:hAnsi="仿宋" w:eastAsia="仿宋" w:cs="仿宋"/>
          <w:sz w:val="24"/>
        </w:rPr>
      </w:pPr>
      <w:r>
        <w:rPr>
          <w:rFonts w:ascii="仿宋" w:hAnsi="仿宋" w:eastAsia="仿宋" w:cs="仿宋"/>
          <w:sz w:val="24"/>
          <w:lang w:bidi="ar"/>
        </w:rPr>
        <w:t>为甲方提供</w:t>
      </w:r>
      <w:r>
        <w:rPr>
          <w:rFonts w:ascii="仿宋" w:hAnsi="仿宋" w:eastAsia="仿宋" w:cs="仿宋"/>
          <w:sz w:val="24"/>
        </w:rPr>
        <w:t>全流程全成本外包服务模式（即食材采购、运营服务与管理全流程统一外包），</w:t>
      </w:r>
      <w:r>
        <w:rPr>
          <w:rFonts w:hint="eastAsia" w:ascii="仿宋" w:hAnsi="仿宋" w:eastAsia="仿宋" w:cs="仿宋"/>
          <w:sz w:val="24"/>
        </w:rPr>
        <w:t>乙方须自行承担本项目运营全过程中的所有成本、费用、风险及法律责任，具体包括但不限于：食材采购、加工制作、一次性易耗品、人员薪酬福利、社保工伤、水电燃气、设备维护保养及更新、消杀检测、餐厨垃圾处理、系统运维、跨院区配送、日常运营办公所需费用、食品安全赔付、保险费、税费等一切与运营相关的费用；设备维护保养与修缮包括但不限于:厨房设备（含餐梯）、软硬件设施的采购、设计优化、安装、日常维修及维护保养费。</w:t>
      </w:r>
    </w:p>
    <w:p w14:paraId="21909263">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第四条  服务范围</w:t>
      </w:r>
    </w:p>
    <w:p w14:paraId="6C275AEA">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kern w:val="0"/>
          <w:sz w:val="24"/>
          <w:lang w:bidi="ar"/>
        </w:rPr>
        <w:t>乙方须承担医院食堂全品类、全时段、全场景餐饮服务，包括但不限于以下内容：</w:t>
      </w:r>
    </w:p>
    <w:p w14:paraId="2B22BC6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（一）日常供餐服务：职工早餐、午餐、茶歇、晚餐、夜宵、过时餐、手术室餐等；病人及陪护家属的普通餐、医嘱治疗餐等；</w:t>
      </w:r>
    </w:p>
    <w:p w14:paraId="62769AFC">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（二）专项供餐服务：工作接待餐、体检人员餐、会议培训餐、学术活动餐、科室团建餐等；</w:t>
      </w:r>
    </w:p>
    <w:p w14:paraId="6B34FA2B">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（三）全流程管理服务：食材采购与溯源、菜品研发与制作、餐饮配送、食堂环境卫生、设备管护、食品安全管控、投诉处理、智慧食堂运营等全流程管理；</w:t>
      </w:r>
    </w:p>
    <w:p w14:paraId="5E9CBABE">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（四）配套服务：食堂环境美化、节日氛围布置、美食文化活动举办、药食同源餐饮产品研发创制、食品售卖便民服务、特殊膳食配送服务等。</w:t>
      </w:r>
    </w:p>
    <w:p w14:paraId="1A0B7841">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（五）其他配套服务：乙方须为甲方食堂管理的优化升级，配套投入相关智能化软硬件及设施设备。</w:t>
      </w:r>
    </w:p>
    <w:p w14:paraId="53EA70F5">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第五条  跨区域配送服务要求</w:t>
      </w:r>
    </w:p>
    <w:p w14:paraId="62735275">
      <w:pPr>
        <w:widowControl/>
        <w:numPr>
          <w:ilvl w:val="0"/>
          <w:numId w:val="1"/>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各院区食堂在现场条件无法正常供餐的情况下，由其他院区食堂或者乙方在服务期内配备符合要求的中央厨房完成所有餐饮的全流程制作及配送服务，方案须经甲方审核同意后实施。</w:t>
      </w:r>
    </w:p>
    <w:p w14:paraId="06DB1A1B">
      <w:pPr>
        <w:widowControl/>
        <w:numPr>
          <w:ilvl w:val="0"/>
          <w:numId w:val="1"/>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严禁乙方外购成品或半成品餐食进行配送。</w:t>
      </w:r>
    </w:p>
    <w:p w14:paraId="1780B654">
      <w:pPr>
        <w:widowControl/>
        <w:numPr>
          <w:ilvl w:val="0"/>
          <w:numId w:val="1"/>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未经甲方同意，不得跨区域调配各岗位人员。</w:t>
      </w:r>
    </w:p>
    <w:p w14:paraId="48DDDB0E">
      <w:pPr>
        <w:widowControl/>
        <w:numPr>
          <w:ilvl w:val="0"/>
          <w:numId w:val="1"/>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跨区域配送必须使用专用封闭式保温配送车辆，配备全程温度监控设备，餐品中心温度全程不得低于60℃，从制作完成到送达用餐院区时长不得超过60分钟。</w:t>
      </w:r>
    </w:p>
    <w:p w14:paraId="4ACCACD7">
      <w:pPr>
        <w:widowControl/>
        <w:numPr>
          <w:ilvl w:val="0"/>
          <w:numId w:val="1"/>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配送人员须持有效健康证，固定专人专车，配送车辆每日清洗消毒，做好配送工作全流程记录。</w:t>
      </w:r>
    </w:p>
    <w:p w14:paraId="3A234E98">
      <w:pPr>
        <w:widowControl/>
        <w:numPr>
          <w:ilvl w:val="0"/>
          <w:numId w:val="1"/>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餐饮须按规定进行双份留样，分别在供餐院区、用餐院区按要求冷藏保存不少于48小时。</w:t>
      </w:r>
    </w:p>
    <w:p w14:paraId="0FFBCBB0">
      <w:pPr>
        <w:widowControl/>
        <w:numPr>
          <w:ilvl w:val="0"/>
          <w:numId w:val="1"/>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跨区域配送的餐饮出现食品安全问题、配送延误、温度不达标等情况，全部责任由乙方承担，甲方有权按本文件考核条款进行扣罚，造成损失的，由乙方全额赔偿。</w:t>
      </w:r>
    </w:p>
    <w:p w14:paraId="5A776BFC">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第六条  配套其他服务要求</w:t>
      </w:r>
    </w:p>
    <w:p w14:paraId="3EA5F9E0">
      <w:pPr>
        <w:widowControl/>
        <w:numPr>
          <w:ilvl w:val="0"/>
          <w:numId w:val="2"/>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bidi="ar"/>
        </w:rPr>
        <w:t>乙方应主动根据传统节日、主题节日（护士节、医师节等）、节气、健康日主题设计举办美食活动、餐饮文化活动等相关方案提交甲方审核，经批准后方可执行。乙方应具有食堂布局设计服务经验或者案例，协助甲方优化食堂现场布局，并承担活动有关的全部费用。</w:t>
      </w:r>
    </w:p>
    <w:p w14:paraId="5A98D138">
      <w:pPr>
        <w:widowControl/>
        <w:numPr>
          <w:ilvl w:val="0"/>
          <w:numId w:val="2"/>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bidi="ar"/>
        </w:rPr>
        <w:t>乙方配合甲方举办各类饮食文化、商业活动、义诊、茶歇等</w:t>
      </w:r>
      <w:r>
        <w:rPr>
          <w:rFonts w:hint="eastAsia" w:ascii="仿宋" w:hAnsi="仿宋" w:eastAsia="仿宋" w:cs="仿宋"/>
          <w:sz w:val="24"/>
        </w:rPr>
        <w:t>供餐保障工作，</w:t>
      </w:r>
      <w:r>
        <w:rPr>
          <w:rFonts w:hint="eastAsia" w:ascii="仿宋" w:hAnsi="仿宋" w:eastAsia="仿宋" w:cs="仿宋"/>
          <w:sz w:val="24"/>
          <w:lang w:bidi="ar"/>
        </w:rPr>
        <w:t>乙方应具有布置设计服务经验或者案例，协助甲方优化现场布置，</w:t>
      </w:r>
      <w:r>
        <w:rPr>
          <w:rFonts w:hint="eastAsia" w:ascii="仿宋" w:hAnsi="仿宋" w:eastAsia="仿宋" w:cs="仿宋"/>
          <w:sz w:val="24"/>
        </w:rPr>
        <w:t>按甲方要求完成现场环境、节日氛围布置，</w:t>
      </w:r>
      <w:r>
        <w:rPr>
          <w:rFonts w:hint="eastAsia" w:ascii="仿宋" w:hAnsi="仿宋" w:eastAsia="仿宋" w:cs="仿宋"/>
          <w:sz w:val="24"/>
          <w:lang w:bidi="ar"/>
        </w:rPr>
        <w:t>相关方案提交甲方审核，经批准后方可执行，并承担活动的有关费用。</w:t>
      </w:r>
    </w:p>
    <w:p w14:paraId="643362C9">
      <w:pPr>
        <w:widowControl/>
        <w:numPr>
          <w:ilvl w:val="0"/>
          <w:numId w:val="2"/>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乙方须配合甲方开展“药食同源”等有关餐饮产品的研发、制作、宣传及推广工作，并配备专业人员实施，乙方承担人员、食材等相关费用。由乙方依托本项目要求、利用项目资源、为履行本项目合同义务所研发、产出、优化的全部药食同源产品相关知识产权，全部归甲方单独所有。</w:t>
      </w:r>
    </w:p>
    <w:p w14:paraId="4B2A8905">
      <w:pPr>
        <w:widowControl/>
        <w:numPr>
          <w:ilvl w:val="0"/>
          <w:numId w:val="2"/>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bidi="ar"/>
        </w:rPr>
        <w:t>乙方每季度至少更换一次食堂宣传栏、售卖窗口、售卖点位等宣传内容，包括但不限于食堂文化、食品安全科普、营养膳食指南及菜品公示等，定期开展节假日、节气膳食专项更新，宣传有关的硬件投入、更换的资料或者网络宣传资料的设计、印刷及相关费用由乙方承担，相关宣传内容需经甲方审核同意。</w:t>
      </w:r>
    </w:p>
    <w:p w14:paraId="4EC06D9B">
      <w:pPr>
        <w:widowControl/>
        <w:numPr>
          <w:ilvl w:val="0"/>
          <w:numId w:val="2"/>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工作接待餐服务符合相关文件规定和相应服务标准，安排专人全程对接和现场服务。</w:t>
      </w:r>
    </w:p>
    <w:p w14:paraId="0FA3E4F2">
      <w:pPr>
        <w:widowControl/>
        <w:numPr>
          <w:ilvl w:val="0"/>
          <w:numId w:val="2"/>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乙方须提供线上商城便民服务，商品价格不高于甲方周边大型超市或京东商城同类产品，甲方</w:t>
      </w:r>
      <w:r>
        <w:rPr>
          <w:rFonts w:hint="eastAsia" w:ascii="仿宋" w:hAnsi="仿宋" w:eastAsia="仿宋" w:cs="仿宋"/>
          <w:sz w:val="24"/>
          <w:lang w:bidi="ar"/>
        </w:rPr>
        <w:t>职工、进修生、实习生、学生、第三方驻院工作人员等</w:t>
      </w:r>
      <w:r>
        <w:rPr>
          <w:rFonts w:hint="eastAsia" w:ascii="仿宋" w:hAnsi="仿宋" w:eastAsia="仿宋" w:cs="仿宋"/>
          <w:sz w:val="24"/>
        </w:rPr>
        <w:t>享受专属折扣价。</w:t>
      </w:r>
    </w:p>
    <w:p w14:paraId="048A72E7">
      <w:pPr>
        <w:widowControl/>
        <w:numPr>
          <w:ilvl w:val="0"/>
          <w:numId w:val="2"/>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突发公共卫生事件防控期间配送要求：配送人员依规进入防控区域，配送车辆、容器、人员每日消毒，须符合院感防控相关规定。</w:t>
      </w:r>
    </w:p>
    <w:p w14:paraId="15EB92A0">
      <w:pPr>
        <w:widowControl/>
        <w:spacing w:line="440" w:lineRule="exact"/>
        <w:jc w:val="left"/>
        <w:rPr>
          <w:rFonts w:hint="eastAsia" w:ascii="仿宋" w:hAnsi="仿宋" w:eastAsia="仿宋" w:cs="仿宋"/>
          <w:sz w:val="24"/>
        </w:rPr>
      </w:pPr>
    </w:p>
    <w:p w14:paraId="26D8AB52">
      <w:pPr>
        <w:widowControl/>
        <w:spacing w:line="440" w:lineRule="exact"/>
        <w:jc w:val="center"/>
        <w:outlineLvl w:val="0"/>
        <w:rPr>
          <w:rFonts w:hint="eastAsia" w:ascii="仿宋" w:hAnsi="仿宋" w:eastAsia="仿宋" w:cs="仿宋"/>
          <w:b/>
          <w:bCs/>
          <w:kern w:val="44"/>
          <w:sz w:val="24"/>
        </w:rPr>
      </w:pPr>
      <w:r>
        <w:rPr>
          <w:rFonts w:hint="eastAsia" w:ascii="仿宋" w:hAnsi="仿宋" w:eastAsia="仿宋" w:cs="仿宋"/>
          <w:b/>
          <w:bCs/>
          <w:kern w:val="44"/>
          <w:sz w:val="24"/>
        </w:rPr>
        <w:t>第三章 供餐服务标准</w:t>
      </w:r>
    </w:p>
    <w:p w14:paraId="3FED84B2">
      <w:pPr>
        <w:rPr>
          <w:rFonts w:ascii="Calibri" w:hAnsi="Calibri" w:eastAsia="宋体" w:cs="Times New Roman"/>
        </w:rPr>
      </w:pPr>
    </w:p>
    <w:p w14:paraId="7FB9F449">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第七条  供餐品类与菜单管理</w:t>
      </w:r>
    </w:p>
    <w:p w14:paraId="79DE9FDB">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（一）菜单设置</w:t>
      </w:r>
    </w:p>
    <w:p w14:paraId="2D71D73A">
      <w:pPr>
        <w:widowControl/>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rPr>
        <w:t>1.</w:t>
      </w:r>
      <w:r>
        <w:rPr>
          <w:rFonts w:hint="eastAsia" w:ascii="仿宋" w:hAnsi="仿宋" w:eastAsia="仿宋" w:cs="仿宋"/>
          <w:sz w:val="24"/>
          <w:lang w:bidi="ar"/>
        </w:rPr>
        <w:t>精心搭配主、副食菜谱，每周1套菜单，菜式每2周重样不超过10%，菜单由甲方审核同意后方可执行。每月菜单及新菜式需在次月指定日期前交甲方审核，每月新增菜品和点心各不少于6款。</w:t>
      </w:r>
    </w:p>
    <w:p w14:paraId="65A4DF88">
      <w:pPr>
        <w:widowControl/>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rPr>
        <w:t>2.小餐厅围餐</w:t>
      </w:r>
      <w:r>
        <w:rPr>
          <w:rFonts w:hint="eastAsia" w:ascii="仿宋" w:hAnsi="仿宋" w:eastAsia="仿宋" w:cs="仿宋"/>
          <w:sz w:val="24"/>
          <w:lang w:bidi="ar"/>
        </w:rPr>
        <w:t>、托盘餐及药膳汤等菜单需每季度更换，于每季度末月指定日期前提交次季度菜单交甲方审核，药膳汤品菜单可由甲方提供、乙方自行提供，</w:t>
      </w:r>
      <w:r>
        <w:rPr>
          <w:rFonts w:hint="eastAsia" w:ascii="仿宋" w:hAnsi="仿宋" w:eastAsia="仿宋" w:cs="仿宋"/>
          <w:sz w:val="24"/>
          <w:lang w:val="en-US" w:eastAsia="zh-CN" w:bidi="ar"/>
        </w:rPr>
        <w:t>也</w:t>
      </w:r>
      <w:r>
        <w:rPr>
          <w:rFonts w:hint="eastAsia" w:ascii="仿宋" w:hAnsi="仿宋" w:eastAsia="仿宋" w:cs="仿宋"/>
          <w:sz w:val="24"/>
          <w:lang w:bidi="ar"/>
        </w:rPr>
        <w:t>可由双方共同拟定提供。</w:t>
      </w:r>
    </w:p>
    <w:p w14:paraId="1FA45A9F">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（二）供餐品种最低要求</w:t>
      </w:r>
    </w:p>
    <w:tbl>
      <w:tblPr>
        <w:tblStyle w:val="13"/>
        <w:tblW w:w="33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1904"/>
        <w:gridCol w:w="1988"/>
      </w:tblGrid>
      <w:tr w14:paraId="77E4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591" w:type="pct"/>
            <w:shd w:val="clear" w:color="auto" w:fill="BEBEBE"/>
          </w:tcPr>
          <w:p w14:paraId="7179AED9">
            <w:pPr>
              <w:widowControl/>
              <w:spacing w:line="440" w:lineRule="exact"/>
              <w:jc w:val="center"/>
              <w:rPr>
                <w:rFonts w:hint="eastAsia" w:ascii="仿宋" w:hAnsi="仿宋" w:eastAsia="仿宋" w:cs="仿宋"/>
                <w:b/>
                <w:bCs/>
                <w:szCs w:val="21"/>
              </w:rPr>
            </w:pPr>
            <w:r>
              <w:rPr>
                <w:rFonts w:hint="eastAsia" w:ascii="宋体" w:hAnsi="宋体" w:eastAsia="宋体" w:cs="宋体"/>
                <w:b/>
                <w:bCs/>
                <w:szCs w:val="21"/>
              </w:rPr>
              <w:t>时段</w:t>
            </w:r>
          </w:p>
        </w:tc>
        <w:tc>
          <w:tcPr>
            <w:tcW w:w="1667" w:type="pct"/>
            <w:shd w:val="clear" w:color="auto" w:fill="BEBEBE"/>
          </w:tcPr>
          <w:p w14:paraId="58D444F7">
            <w:pPr>
              <w:widowControl/>
              <w:spacing w:line="440" w:lineRule="exact"/>
              <w:jc w:val="center"/>
              <w:rPr>
                <w:rFonts w:hint="eastAsia" w:ascii="仿宋" w:hAnsi="仿宋" w:eastAsia="仿宋" w:cs="仿宋"/>
                <w:b/>
                <w:bCs/>
                <w:szCs w:val="21"/>
              </w:rPr>
            </w:pPr>
            <w:r>
              <w:rPr>
                <w:rFonts w:hint="eastAsia" w:ascii="宋体" w:hAnsi="宋体" w:eastAsia="宋体" w:cs="宋体"/>
                <w:b/>
                <w:bCs/>
                <w:szCs w:val="21"/>
              </w:rPr>
              <w:t>工作日最低品种数</w:t>
            </w:r>
          </w:p>
        </w:tc>
        <w:tc>
          <w:tcPr>
            <w:tcW w:w="1740" w:type="pct"/>
            <w:shd w:val="clear" w:color="auto" w:fill="BEBEBE"/>
          </w:tcPr>
          <w:p w14:paraId="66D6E959">
            <w:pPr>
              <w:widowControl/>
              <w:spacing w:line="440" w:lineRule="exact"/>
              <w:jc w:val="center"/>
              <w:rPr>
                <w:rFonts w:hint="eastAsia" w:ascii="仿宋" w:hAnsi="仿宋" w:eastAsia="仿宋" w:cs="仿宋"/>
                <w:b/>
                <w:bCs/>
                <w:szCs w:val="21"/>
              </w:rPr>
            </w:pPr>
            <w:r>
              <w:rPr>
                <w:rFonts w:hint="eastAsia" w:ascii="宋体" w:hAnsi="宋体" w:eastAsia="宋体" w:cs="宋体"/>
                <w:b/>
                <w:bCs/>
                <w:szCs w:val="21"/>
              </w:rPr>
              <w:t>节假日最低品种数</w:t>
            </w:r>
          </w:p>
        </w:tc>
      </w:tr>
      <w:tr w14:paraId="0DF6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91" w:type="pct"/>
          </w:tcPr>
          <w:p w14:paraId="43791A2F">
            <w:pPr>
              <w:widowControl/>
              <w:spacing w:line="440" w:lineRule="exact"/>
              <w:jc w:val="center"/>
              <w:rPr>
                <w:rFonts w:hint="eastAsia" w:ascii="仿宋" w:hAnsi="仿宋" w:eastAsia="仿宋" w:cs="仿宋"/>
                <w:szCs w:val="21"/>
              </w:rPr>
            </w:pPr>
            <w:r>
              <w:rPr>
                <w:rFonts w:hint="eastAsia" w:ascii="宋体" w:hAnsi="宋体" w:eastAsia="宋体" w:cs="宋体"/>
                <w:szCs w:val="21"/>
              </w:rPr>
              <w:t>早餐</w:t>
            </w:r>
          </w:p>
        </w:tc>
        <w:tc>
          <w:tcPr>
            <w:tcW w:w="1667" w:type="pct"/>
          </w:tcPr>
          <w:p w14:paraId="742C924C">
            <w:pPr>
              <w:widowControl/>
              <w:spacing w:line="440" w:lineRule="exact"/>
              <w:jc w:val="center"/>
              <w:rPr>
                <w:rFonts w:hint="eastAsia" w:ascii="仿宋" w:hAnsi="仿宋" w:eastAsia="仿宋" w:cs="仿宋"/>
                <w:szCs w:val="21"/>
              </w:rPr>
            </w:pPr>
            <w:r>
              <w:rPr>
                <w:rFonts w:hint="eastAsia" w:ascii="宋体" w:hAnsi="宋体" w:eastAsia="宋体" w:cs="宋体"/>
                <w:szCs w:val="21"/>
              </w:rPr>
              <w:t>≥15个</w:t>
            </w:r>
          </w:p>
        </w:tc>
        <w:tc>
          <w:tcPr>
            <w:tcW w:w="1740" w:type="pct"/>
          </w:tcPr>
          <w:p w14:paraId="51CDF47C">
            <w:pPr>
              <w:widowControl/>
              <w:spacing w:line="440" w:lineRule="exact"/>
              <w:jc w:val="center"/>
              <w:rPr>
                <w:rFonts w:hint="eastAsia" w:ascii="仿宋" w:hAnsi="仿宋" w:eastAsia="仿宋" w:cs="仿宋"/>
                <w:szCs w:val="21"/>
              </w:rPr>
            </w:pPr>
            <w:r>
              <w:rPr>
                <w:rFonts w:hint="eastAsia" w:ascii="宋体" w:hAnsi="宋体" w:eastAsia="宋体" w:cs="宋体"/>
                <w:szCs w:val="21"/>
              </w:rPr>
              <w:t>≥12个</w:t>
            </w:r>
          </w:p>
        </w:tc>
      </w:tr>
      <w:tr w14:paraId="058D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91" w:type="pct"/>
          </w:tcPr>
          <w:p w14:paraId="4067960D">
            <w:pPr>
              <w:widowControl/>
              <w:tabs>
                <w:tab w:val="left" w:pos="720"/>
              </w:tabs>
              <w:spacing w:line="440" w:lineRule="exact"/>
              <w:jc w:val="center"/>
              <w:rPr>
                <w:rFonts w:hint="eastAsia" w:ascii="仿宋" w:hAnsi="仿宋" w:eastAsia="仿宋" w:cs="仿宋"/>
                <w:sz w:val="24"/>
              </w:rPr>
            </w:pPr>
            <w:r>
              <w:rPr>
                <w:rFonts w:hint="eastAsia" w:ascii="仿宋" w:hAnsi="仿宋" w:eastAsia="仿宋" w:cs="仿宋"/>
                <w:sz w:val="24"/>
              </w:rPr>
              <w:t>午餐</w:t>
            </w:r>
          </w:p>
        </w:tc>
        <w:tc>
          <w:tcPr>
            <w:tcW w:w="1667" w:type="pct"/>
          </w:tcPr>
          <w:p w14:paraId="0D1594ED">
            <w:pPr>
              <w:widowControl/>
              <w:tabs>
                <w:tab w:val="left" w:pos="720"/>
              </w:tabs>
              <w:spacing w:line="440" w:lineRule="exact"/>
              <w:jc w:val="center"/>
              <w:rPr>
                <w:rFonts w:hint="eastAsia" w:ascii="仿宋" w:hAnsi="仿宋" w:eastAsia="仿宋" w:cs="仿宋"/>
                <w:sz w:val="24"/>
              </w:rPr>
            </w:pPr>
            <w:r>
              <w:rPr>
                <w:rFonts w:hint="eastAsia" w:ascii="宋体" w:hAnsi="宋体" w:eastAsia="宋体" w:cs="宋体"/>
                <w:szCs w:val="21"/>
              </w:rPr>
              <w:t>≥20个</w:t>
            </w:r>
          </w:p>
        </w:tc>
        <w:tc>
          <w:tcPr>
            <w:tcW w:w="1740" w:type="pct"/>
          </w:tcPr>
          <w:p w14:paraId="6667451D">
            <w:pPr>
              <w:widowControl/>
              <w:tabs>
                <w:tab w:val="left" w:pos="720"/>
              </w:tabs>
              <w:spacing w:line="440" w:lineRule="exact"/>
              <w:jc w:val="center"/>
              <w:rPr>
                <w:rFonts w:hint="eastAsia" w:ascii="仿宋" w:hAnsi="仿宋" w:eastAsia="仿宋" w:cs="仿宋"/>
                <w:szCs w:val="21"/>
              </w:rPr>
            </w:pPr>
            <w:r>
              <w:rPr>
                <w:rFonts w:hint="eastAsia" w:ascii="宋体" w:hAnsi="宋体" w:eastAsia="宋体" w:cs="宋体"/>
                <w:szCs w:val="21"/>
              </w:rPr>
              <w:t>≥15个</w:t>
            </w:r>
          </w:p>
        </w:tc>
      </w:tr>
      <w:tr w14:paraId="081B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591" w:type="pct"/>
          </w:tcPr>
          <w:p w14:paraId="4BB30EEC">
            <w:pPr>
              <w:widowControl/>
              <w:tabs>
                <w:tab w:val="left" w:pos="720"/>
              </w:tabs>
              <w:spacing w:line="440" w:lineRule="exact"/>
              <w:jc w:val="center"/>
              <w:rPr>
                <w:rFonts w:hint="eastAsia" w:ascii="仿宋" w:hAnsi="仿宋" w:eastAsia="仿宋" w:cs="仿宋"/>
                <w:sz w:val="24"/>
              </w:rPr>
            </w:pPr>
            <w:r>
              <w:rPr>
                <w:rFonts w:hint="eastAsia" w:ascii="仿宋" w:hAnsi="仿宋" w:eastAsia="仿宋" w:cs="仿宋"/>
                <w:sz w:val="24"/>
              </w:rPr>
              <w:t>晚餐</w:t>
            </w:r>
          </w:p>
        </w:tc>
        <w:tc>
          <w:tcPr>
            <w:tcW w:w="1667" w:type="pct"/>
          </w:tcPr>
          <w:p w14:paraId="5058FC0A">
            <w:pPr>
              <w:widowControl/>
              <w:tabs>
                <w:tab w:val="left" w:pos="720"/>
              </w:tabs>
              <w:spacing w:line="440" w:lineRule="exact"/>
              <w:jc w:val="center"/>
              <w:rPr>
                <w:rFonts w:hint="eastAsia" w:ascii="仿宋" w:hAnsi="仿宋" w:eastAsia="仿宋" w:cs="仿宋"/>
                <w:sz w:val="24"/>
              </w:rPr>
            </w:pPr>
            <w:r>
              <w:rPr>
                <w:rFonts w:hint="eastAsia" w:ascii="宋体" w:hAnsi="宋体" w:eastAsia="宋体" w:cs="宋体"/>
                <w:szCs w:val="21"/>
              </w:rPr>
              <w:t>≥15个</w:t>
            </w:r>
          </w:p>
        </w:tc>
        <w:tc>
          <w:tcPr>
            <w:tcW w:w="1740" w:type="pct"/>
          </w:tcPr>
          <w:p w14:paraId="4C56C384">
            <w:pPr>
              <w:widowControl/>
              <w:tabs>
                <w:tab w:val="left" w:pos="720"/>
              </w:tabs>
              <w:spacing w:line="440" w:lineRule="exact"/>
              <w:jc w:val="center"/>
              <w:rPr>
                <w:rFonts w:hint="eastAsia" w:ascii="仿宋" w:hAnsi="仿宋" w:eastAsia="仿宋" w:cs="仿宋"/>
                <w:szCs w:val="21"/>
              </w:rPr>
            </w:pPr>
            <w:r>
              <w:rPr>
                <w:rFonts w:hint="eastAsia" w:ascii="宋体" w:hAnsi="宋体" w:eastAsia="宋体" w:cs="宋体"/>
                <w:szCs w:val="21"/>
              </w:rPr>
              <w:t>≥10个</w:t>
            </w:r>
          </w:p>
        </w:tc>
      </w:tr>
    </w:tbl>
    <w:p w14:paraId="25FDB970">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（三）午餐、晚餐菜式不得完全相同，饭堂堂食每餐次须免费提供例汤、小菜等，米饭可免费续添。</w:t>
      </w:r>
    </w:p>
    <w:p w14:paraId="18EEB441">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（四）供餐品类包括但不限于各式焖炒蒸炸炖类菜肴、特色风味餐、中西式（药膳）点心、茶饮、汤类（药膳汤）、糖水、面食类、工作餐、接待餐、围餐等。</w:t>
      </w:r>
    </w:p>
    <w:p w14:paraId="6D82F4F7">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第八条  病人餐服务要求</w:t>
      </w:r>
    </w:p>
    <w:p w14:paraId="33B287C8">
      <w:pPr>
        <w:widowControl/>
        <w:spacing w:line="360" w:lineRule="auto"/>
        <w:ind w:firstLine="480" w:firstLineChars="200"/>
        <w:rPr>
          <w:rFonts w:hint="eastAsia" w:ascii="仿宋" w:hAnsi="仿宋" w:eastAsia="仿宋" w:cs="仿宋"/>
          <w:sz w:val="24"/>
        </w:rPr>
      </w:pPr>
      <w:r>
        <w:rPr>
          <w:rFonts w:ascii="仿宋" w:hAnsi="仿宋" w:eastAsia="仿宋" w:cs="仿宋"/>
          <w:sz w:val="24"/>
        </w:rPr>
        <w:t>（一）供餐</w:t>
      </w:r>
      <w:r>
        <w:rPr>
          <w:rFonts w:hint="eastAsia" w:ascii="仿宋" w:hAnsi="仿宋" w:eastAsia="仿宋" w:cs="仿宋"/>
          <w:sz w:val="24"/>
        </w:rPr>
        <w:t>服务对象涵盖</w:t>
      </w:r>
      <w:r>
        <w:rPr>
          <w:rFonts w:ascii="仿宋" w:hAnsi="仿宋" w:eastAsia="仿宋" w:cs="仿宋"/>
          <w:sz w:val="24"/>
        </w:rPr>
        <w:t>门诊</w:t>
      </w:r>
      <w:r>
        <w:rPr>
          <w:rFonts w:hint="eastAsia" w:ascii="仿宋" w:hAnsi="仿宋" w:eastAsia="仿宋" w:cs="仿宋"/>
          <w:sz w:val="24"/>
        </w:rPr>
        <w:t>病人、</w:t>
      </w:r>
      <w:r>
        <w:rPr>
          <w:rFonts w:ascii="仿宋" w:hAnsi="仿宋" w:eastAsia="仿宋" w:cs="仿宋"/>
          <w:sz w:val="24"/>
        </w:rPr>
        <w:t>住院病人及陪护家属</w:t>
      </w:r>
      <w:r>
        <w:rPr>
          <w:rFonts w:hint="eastAsia" w:ascii="仿宋" w:hAnsi="仿宋" w:eastAsia="仿宋" w:cs="仿宋"/>
          <w:sz w:val="24"/>
        </w:rPr>
        <w:t>等，须配送至指定点位；</w:t>
      </w:r>
      <w:r>
        <w:rPr>
          <w:rFonts w:ascii="仿宋" w:hAnsi="仿宋" w:eastAsia="仿宋" w:cs="仿宋"/>
          <w:sz w:val="24"/>
        </w:rPr>
        <w:t>依规设置餐食售卖点位，满足</w:t>
      </w:r>
      <w:r>
        <w:rPr>
          <w:rFonts w:hint="eastAsia" w:ascii="仿宋" w:hAnsi="仿宋" w:eastAsia="仿宋" w:cs="仿宋"/>
          <w:sz w:val="24"/>
        </w:rPr>
        <w:t>病人</w:t>
      </w:r>
      <w:r>
        <w:rPr>
          <w:rFonts w:ascii="仿宋" w:hAnsi="仿宋" w:eastAsia="仿宋" w:cs="仿宋"/>
          <w:sz w:val="24"/>
        </w:rPr>
        <w:t>自主选购就餐需求。</w:t>
      </w:r>
    </w:p>
    <w:p w14:paraId="4D521DE5">
      <w:pPr>
        <w:widowControl/>
        <w:spacing w:line="360" w:lineRule="auto"/>
        <w:ind w:firstLine="480" w:firstLineChars="200"/>
        <w:rPr>
          <w:rFonts w:hint="eastAsia" w:ascii="仿宋" w:hAnsi="仿宋" w:eastAsia="仿宋" w:cs="仿宋"/>
          <w:sz w:val="24"/>
        </w:rPr>
      </w:pPr>
      <w:r>
        <w:rPr>
          <w:rFonts w:ascii="仿宋" w:hAnsi="仿宋" w:eastAsia="仿宋" w:cs="仿宋"/>
          <w:sz w:val="24"/>
        </w:rPr>
        <w:t>（二）供餐范围：为</w:t>
      </w:r>
      <w:r>
        <w:rPr>
          <w:rFonts w:hint="eastAsia" w:ascii="仿宋" w:hAnsi="仿宋" w:eastAsia="仿宋" w:cs="仿宋"/>
          <w:sz w:val="24"/>
        </w:rPr>
        <w:t>甲方</w:t>
      </w:r>
      <w:r>
        <w:rPr>
          <w:rFonts w:ascii="仿宋" w:hAnsi="仿宋" w:eastAsia="仿宋" w:cs="仿宋"/>
          <w:sz w:val="24"/>
        </w:rPr>
        <w:t>病人提供</w:t>
      </w:r>
      <w:r>
        <w:rPr>
          <w:rFonts w:hint="eastAsia" w:ascii="仿宋" w:hAnsi="仿宋" w:eastAsia="仿宋" w:cs="仿宋"/>
          <w:sz w:val="24"/>
        </w:rPr>
        <w:t>餐食制作与配送服务</w:t>
      </w:r>
      <w:r>
        <w:rPr>
          <w:rFonts w:ascii="仿宋" w:hAnsi="仿宋" w:eastAsia="仿宋" w:cs="仿宋"/>
          <w:sz w:val="24"/>
        </w:rPr>
        <w:t>，治疗餐需根据医嘱治疗膳食要求的营养餐单制作、登记与配送。</w:t>
      </w:r>
    </w:p>
    <w:p w14:paraId="414C009B">
      <w:pPr>
        <w:widowControl/>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lang w:bidi="ar"/>
        </w:rPr>
        <w:t>（三）</w:t>
      </w:r>
      <w:r>
        <w:rPr>
          <w:rFonts w:hint="eastAsia" w:ascii="仿宋" w:hAnsi="仿宋" w:eastAsia="仿宋" w:cs="仿宋"/>
          <w:sz w:val="24"/>
        </w:rPr>
        <w:t>日常订餐时间：早餐前一日18:00前，午餐为用餐当日9:40前，晚餐为用餐当日16:00前；配餐送达时间为：早餐7:00-7:30，午餐11:00-11:30，晚餐17:00-17:30，乙方须配合甲方实际需求，适时调整优化订餐时效及配送送达时间。</w:t>
      </w:r>
    </w:p>
    <w:p w14:paraId="5BA34E63">
      <w:pPr>
        <w:widowControl/>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（四）超时餐供餐时间：早餐7:00-8:00，午餐11:30-12:00，晚餐17:30-18:00，乙方</w:t>
      </w:r>
      <w:r>
        <w:rPr>
          <w:rFonts w:hint="eastAsia" w:ascii="仿宋" w:hAnsi="仿宋" w:eastAsia="仿宋" w:cs="仿宋"/>
          <w:sz w:val="24"/>
        </w:rPr>
        <w:t>须配合甲方实际需求优化</w:t>
      </w:r>
      <w:r>
        <w:rPr>
          <w:rFonts w:hint="eastAsia" w:ascii="仿宋" w:hAnsi="仿宋" w:eastAsia="仿宋" w:cs="仿宋"/>
          <w:sz w:val="24"/>
          <w:lang w:val="en-US" w:eastAsia="zh-CN"/>
        </w:rPr>
        <w:t>供餐</w:t>
      </w:r>
      <w:r>
        <w:rPr>
          <w:rFonts w:hint="eastAsia" w:ascii="仿宋" w:hAnsi="仿宋" w:eastAsia="仿宋" w:cs="仿宋"/>
          <w:sz w:val="24"/>
        </w:rPr>
        <w:t>时间。</w:t>
      </w:r>
    </w:p>
    <w:p w14:paraId="2E842810">
      <w:pPr>
        <w:widowControl/>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（五）治疗餐服务要求</w:t>
      </w:r>
    </w:p>
    <w:p w14:paraId="0B40A40E">
      <w:pPr>
        <w:widowControl/>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制作要求须严格按临床膳食规范制作，流质、半流质、软食、普食、糖尿病餐、低盐餐、无碘餐、高蛋白餐等治疗餐膳食，需按医嘱精准配比、单独加工，杜绝交叉污染。质量要求应软烂适口、少油少盐，符合住院患者消化与营养需求，严禁使用变质、过期食材。</w:t>
      </w:r>
    </w:p>
    <w:p w14:paraId="17896983">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第九条  职工餐服务要求</w:t>
      </w:r>
    </w:p>
    <w:p w14:paraId="74A49863">
      <w:pPr>
        <w:widowControl/>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（一）供餐服务对象涵盖职工、进修生、实习生、学生、第三方驻院工作人员、学术交流人员等，提供堂食就餐服务及按需配送至指定点位。</w:t>
      </w:r>
    </w:p>
    <w:p w14:paraId="2C391BF5">
      <w:pPr>
        <w:widowControl/>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（二）供餐服务范围：为甲方工作人员提供早餐、中餐、晚餐和宵夜等供餐服务，包含但不限于堂食、网络订餐、加时餐、手术室餐、工作（接待)餐、茶歇等。</w:t>
      </w:r>
    </w:p>
    <w:p w14:paraId="142F392D">
      <w:pPr>
        <w:widowControl/>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三）职工餐（手术餐）订餐时间：早餐前一日18:00前，午餐为当日9:00前，晚餐为当日14:30前。供餐送达时间为早餐7:30、午餐11:00、下午茶15:00、晚餐17:00，工作（接待)餐和过时餐供餐送达时间按订餐需求时间执行，乙方须配合甲方实际需求，适时调整优化订餐时效及配送送达时间。</w:t>
      </w:r>
    </w:p>
    <w:p w14:paraId="6B180DAA">
      <w:pPr>
        <w:widowControl/>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（四）堂食供餐时间：早餐7:30-8:15，午餐11:30-13:30，晚餐17:00-18:00；乙方须配合甲方实际需求优化</w:t>
      </w:r>
      <w:r>
        <w:rPr>
          <w:rFonts w:hint="eastAsia" w:ascii="仿宋" w:hAnsi="仿宋" w:eastAsia="仿宋" w:cs="仿宋"/>
          <w:sz w:val="24"/>
          <w:lang w:val="en-US" w:eastAsia="zh-CN" w:bidi="ar"/>
        </w:rPr>
        <w:t>供餐</w:t>
      </w:r>
      <w:r>
        <w:rPr>
          <w:rFonts w:hint="eastAsia" w:ascii="仿宋" w:hAnsi="仿宋" w:eastAsia="仿宋" w:cs="仿宋"/>
          <w:sz w:val="24"/>
          <w:lang w:bidi="ar"/>
        </w:rPr>
        <w:t>时间。</w:t>
      </w:r>
    </w:p>
    <w:p w14:paraId="6A5CF9A6">
      <w:pPr>
        <w:widowControl/>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（五）如甲方出现需要延时供餐的情况，乙方须提供延时供餐服务，包括但不限于职工餐厅运营、职工餐配送、职工过时用餐、职工过时餐配送、甲方层面的工作（接待）餐和院内学术活动用餐等。</w:t>
      </w:r>
    </w:p>
    <w:p w14:paraId="606FC59E">
      <w:pPr>
        <w:widowControl/>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（六）乙方须根据手术餐需求，建立专属“过时餐”保障机制。提供营养均衡、口味多样的配餐；构建快速响应配送体系，承诺在接到需求后规定时间内完成出餐和送餐服务。</w:t>
      </w:r>
    </w:p>
    <w:p w14:paraId="3FF58576">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第十条  餐品配比与价格管理</w:t>
      </w:r>
    </w:p>
    <w:p w14:paraId="31976E25">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一）餐品主料含量配比须严格遵循本文件《餐品主料最低重量及配比标准表》执行，不得低于表格中规定的每份最低重量或主料最低占比。新增菜式应由乙方提出方案，参照同类菜式的市场行情及主料配比标准，与甲方协商确定，并经甲方审核同意后方可执行。</w:t>
      </w:r>
    </w:p>
    <w:p w14:paraId="2DD12C3D">
      <w:pPr>
        <w:widowControl/>
        <w:spacing w:line="440" w:lineRule="exact"/>
        <w:jc w:val="center"/>
        <w:rPr>
          <w:rFonts w:hint="eastAsia" w:ascii="仿宋" w:hAnsi="仿宋" w:eastAsia="仿宋" w:cs="仿宋"/>
          <w:sz w:val="24"/>
        </w:rPr>
      </w:pPr>
      <w:r>
        <w:rPr>
          <w:rFonts w:hint="eastAsia" w:ascii="仿宋" w:hAnsi="仿宋" w:eastAsia="仿宋" w:cs="仿宋"/>
          <w:b/>
          <w:bCs/>
          <w:sz w:val="24"/>
        </w:rPr>
        <w:t>餐品主料最低重量及配比标准表</w:t>
      </w:r>
    </w:p>
    <w:tbl>
      <w:tblPr>
        <w:tblStyle w:val="12"/>
        <w:tblW w:w="4998" w:type="pct"/>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108" w:type="dxa"/>
          <w:bottom w:w="0" w:type="dxa"/>
          <w:right w:w="108" w:type="dxa"/>
        </w:tblCellMar>
      </w:tblPr>
      <w:tblGrid>
        <w:gridCol w:w="1300"/>
        <w:gridCol w:w="791"/>
        <w:gridCol w:w="907"/>
        <w:gridCol w:w="972"/>
        <w:gridCol w:w="972"/>
        <w:gridCol w:w="3577"/>
      </w:tblGrid>
      <w:tr w14:paraId="632884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0" w:hRule="atLeast"/>
        </w:trPr>
        <w:tc>
          <w:tcPr>
            <w:tcW w:w="763" w:type="pct"/>
            <w:tcBorders>
              <w:top w:val="single" w:color="000000" w:sz="4" w:space="0"/>
              <w:left w:val="single" w:color="000000" w:sz="4" w:space="0"/>
              <w:bottom w:val="single" w:color="000000" w:sz="4" w:space="0"/>
              <w:right w:val="single" w:color="000000" w:sz="4" w:space="0"/>
            </w:tcBorders>
            <w:vAlign w:val="center"/>
          </w:tcPr>
          <w:p w14:paraId="69A96A73">
            <w:pPr>
              <w:widowControl/>
              <w:jc w:val="center"/>
              <w:textAlignment w:val="center"/>
              <w:rPr>
                <w:rFonts w:hint="eastAsia" w:ascii="仿宋" w:hAnsi="仿宋" w:eastAsia="仿宋" w:cs="仿宋"/>
                <w:b/>
                <w:bCs/>
                <w:sz w:val="24"/>
              </w:rPr>
            </w:pPr>
            <w:r>
              <w:rPr>
                <w:rFonts w:hint="eastAsia" w:ascii="仿宋" w:hAnsi="仿宋" w:eastAsia="仿宋" w:cs="仿宋"/>
                <w:b/>
                <w:bCs/>
                <w:sz w:val="24"/>
              </w:rPr>
              <w:t>类别</w:t>
            </w: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1999F07B">
            <w:pPr>
              <w:widowControl/>
              <w:jc w:val="center"/>
              <w:textAlignment w:val="center"/>
              <w:rPr>
                <w:rFonts w:hint="eastAsia" w:ascii="仿宋" w:hAnsi="仿宋" w:eastAsia="仿宋" w:cs="仿宋"/>
                <w:b/>
                <w:bCs/>
                <w:sz w:val="24"/>
              </w:rPr>
            </w:pPr>
            <w:r>
              <w:rPr>
                <w:rFonts w:hint="eastAsia" w:ascii="仿宋" w:hAnsi="仿宋" w:eastAsia="仿宋" w:cs="仿宋"/>
                <w:b/>
                <w:bCs/>
                <w:sz w:val="24"/>
              </w:rPr>
              <w:t>小类</w:t>
            </w:r>
          </w:p>
        </w:tc>
        <w:tc>
          <w:tcPr>
            <w:tcW w:w="570" w:type="pct"/>
            <w:tcBorders>
              <w:top w:val="single" w:color="000000" w:sz="4" w:space="0"/>
              <w:left w:val="single" w:color="000000" w:sz="4" w:space="0"/>
              <w:bottom w:val="single" w:color="000000" w:sz="4" w:space="0"/>
              <w:right w:val="single" w:color="000000" w:sz="4" w:space="0"/>
            </w:tcBorders>
            <w:vAlign w:val="center"/>
          </w:tcPr>
          <w:p w14:paraId="0AB17814">
            <w:pPr>
              <w:widowControl/>
              <w:jc w:val="center"/>
              <w:textAlignment w:val="center"/>
              <w:rPr>
                <w:rFonts w:hint="eastAsia" w:ascii="仿宋" w:hAnsi="仿宋" w:eastAsia="仿宋" w:cs="仿宋"/>
                <w:b/>
                <w:bCs/>
                <w:sz w:val="24"/>
              </w:rPr>
            </w:pPr>
            <w:r>
              <w:rPr>
                <w:rFonts w:hint="eastAsia" w:ascii="仿宋" w:hAnsi="仿宋" w:eastAsia="仿宋" w:cs="仿宋"/>
                <w:b/>
                <w:bCs/>
                <w:sz w:val="24"/>
              </w:rPr>
              <w:t>每份</w:t>
            </w:r>
          </w:p>
          <w:p w14:paraId="6F2F414F">
            <w:pPr>
              <w:widowControl/>
              <w:jc w:val="center"/>
              <w:textAlignment w:val="center"/>
              <w:rPr>
                <w:rFonts w:hint="eastAsia" w:ascii="仿宋" w:hAnsi="仿宋" w:eastAsia="仿宋" w:cs="仿宋"/>
                <w:b/>
                <w:bCs/>
                <w:sz w:val="24"/>
              </w:rPr>
            </w:pPr>
            <w:r>
              <w:rPr>
                <w:rFonts w:hint="eastAsia" w:ascii="仿宋" w:hAnsi="仿宋" w:eastAsia="仿宋" w:cs="仿宋"/>
                <w:b/>
                <w:bCs/>
                <w:sz w:val="24"/>
              </w:rPr>
              <w:t>重量</w:t>
            </w:r>
          </w:p>
        </w:tc>
        <w:tc>
          <w:tcPr>
            <w:tcW w:w="570" w:type="pct"/>
            <w:tcBorders>
              <w:top w:val="single" w:color="000000" w:sz="4" w:space="0"/>
              <w:left w:val="single" w:color="000000" w:sz="4" w:space="0"/>
              <w:bottom w:val="single" w:color="000000" w:sz="4" w:space="0"/>
              <w:right w:val="single" w:color="000000" w:sz="4" w:space="0"/>
            </w:tcBorders>
            <w:vAlign w:val="center"/>
          </w:tcPr>
          <w:p w14:paraId="37292456">
            <w:pPr>
              <w:widowControl/>
              <w:jc w:val="center"/>
              <w:textAlignment w:val="center"/>
              <w:rPr>
                <w:rFonts w:hint="eastAsia" w:ascii="仿宋" w:hAnsi="仿宋" w:eastAsia="仿宋" w:cs="仿宋"/>
                <w:b/>
                <w:bCs/>
                <w:sz w:val="24"/>
              </w:rPr>
            </w:pPr>
            <w:r>
              <w:rPr>
                <w:rFonts w:hint="eastAsia" w:ascii="仿宋" w:hAnsi="仿宋" w:eastAsia="仿宋" w:cs="仿宋"/>
                <w:b/>
                <w:bCs/>
                <w:sz w:val="24"/>
              </w:rPr>
              <w:t>每份</w:t>
            </w:r>
          </w:p>
          <w:p w14:paraId="7D55709F">
            <w:pPr>
              <w:widowControl/>
              <w:jc w:val="center"/>
              <w:textAlignment w:val="center"/>
              <w:rPr>
                <w:rFonts w:hint="eastAsia" w:ascii="仿宋" w:hAnsi="仿宋" w:eastAsia="仿宋" w:cs="仿宋"/>
                <w:b/>
                <w:bCs/>
                <w:sz w:val="24"/>
              </w:rPr>
            </w:pPr>
            <w:r>
              <w:rPr>
                <w:rFonts w:hint="eastAsia" w:ascii="仿宋" w:hAnsi="仿宋" w:eastAsia="仿宋" w:cs="仿宋"/>
                <w:b/>
                <w:bCs/>
                <w:sz w:val="24"/>
              </w:rPr>
              <w:t>主料</w:t>
            </w:r>
          </w:p>
          <w:p w14:paraId="1861854E">
            <w:pPr>
              <w:widowControl/>
              <w:jc w:val="center"/>
              <w:textAlignment w:val="center"/>
              <w:rPr>
                <w:rFonts w:hint="eastAsia" w:ascii="仿宋" w:hAnsi="仿宋" w:eastAsia="仿宋" w:cs="仿宋"/>
                <w:b/>
                <w:bCs/>
                <w:sz w:val="24"/>
              </w:rPr>
            </w:pPr>
            <w:r>
              <w:rPr>
                <w:rFonts w:hint="eastAsia" w:ascii="仿宋" w:hAnsi="仿宋" w:eastAsia="仿宋" w:cs="仿宋"/>
                <w:b/>
                <w:bCs/>
                <w:sz w:val="24"/>
              </w:rPr>
              <w:t>占比</w:t>
            </w:r>
          </w:p>
        </w:tc>
        <w:tc>
          <w:tcPr>
            <w:tcW w:w="2098" w:type="pct"/>
            <w:tcBorders>
              <w:top w:val="single" w:color="000000" w:sz="4" w:space="0"/>
              <w:left w:val="single" w:color="000000" w:sz="4" w:space="0"/>
              <w:bottom w:val="single" w:color="000000" w:sz="4" w:space="0"/>
              <w:right w:val="single" w:color="000000" w:sz="4" w:space="0"/>
            </w:tcBorders>
            <w:vAlign w:val="center"/>
          </w:tcPr>
          <w:p w14:paraId="6816FB8A">
            <w:pPr>
              <w:widowControl/>
              <w:jc w:val="center"/>
              <w:textAlignment w:val="center"/>
              <w:rPr>
                <w:rFonts w:hint="eastAsia" w:ascii="仿宋" w:hAnsi="仿宋" w:eastAsia="仿宋" w:cs="仿宋"/>
                <w:b/>
                <w:bCs/>
                <w:sz w:val="24"/>
              </w:rPr>
            </w:pPr>
            <w:r>
              <w:rPr>
                <w:rFonts w:hint="eastAsia" w:ascii="仿宋" w:hAnsi="仿宋" w:eastAsia="仿宋" w:cs="仿宋"/>
                <w:b/>
                <w:bCs/>
                <w:sz w:val="24"/>
              </w:rPr>
              <w:t>备注</w:t>
            </w:r>
          </w:p>
        </w:tc>
      </w:tr>
      <w:tr w14:paraId="1EF2AE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trPr>
        <w:tc>
          <w:tcPr>
            <w:tcW w:w="763" w:type="pct"/>
            <w:vMerge w:val="restart"/>
            <w:tcBorders>
              <w:top w:val="single" w:color="000000" w:sz="4" w:space="0"/>
              <w:left w:val="single" w:color="000000" w:sz="4" w:space="0"/>
              <w:bottom w:val="single" w:color="000000" w:sz="4" w:space="0"/>
              <w:right w:val="single" w:color="000000" w:sz="4" w:space="0"/>
            </w:tcBorders>
            <w:vAlign w:val="center"/>
          </w:tcPr>
          <w:p w14:paraId="1E63AEA9">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大荤</w:t>
            </w:r>
            <w:r>
              <w:rPr>
                <w:rFonts w:hint="eastAsia" w:ascii="仿宋" w:hAnsi="仿宋" w:eastAsia="仿宋" w:cs="仿宋"/>
                <w:sz w:val="21"/>
                <w:szCs w:val="21"/>
              </w:rPr>
              <w:br w:type="textWrapping"/>
            </w:r>
          </w:p>
        </w:tc>
        <w:tc>
          <w:tcPr>
            <w:tcW w:w="464" w:type="pct"/>
            <w:vMerge w:val="restart"/>
            <w:tcBorders>
              <w:top w:val="single" w:color="000000" w:sz="4" w:space="0"/>
              <w:left w:val="single" w:color="000000" w:sz="4" w:space="0"/>
              <w:bottom w:val="single" w:color="000000" w:sz="4" w:space="0"/>
              <w:right w:val="single" w:color="000000" w:sz="4" w:space="0"/>
            </w:tcBorders>
            <w:vAlign w:val="center"/>
          </w:tcPr>
          <w:p w14:paraId="7EBC8F6E">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猪肉类</w:t>
            </w:r>
          </w:p>
        </w:tc>
        <w:tc>
          <w:tcPr>
            <w:tcW w:w="532" w:type="pct"/>
            <w:tcBorders>
              <w:top w:val="single" w:color="000000" w:sz="4" w:space="0"/>
              <w:left w:val="single" w:color="000000" w:sz="4" w:space="0"/>
              <w:bottom w:val="single" w:color="000000" w:sz="4" w:space="0"/>
              <w:right w:val="single" w:color="000000" w:sz="4" w:space="0"/>
            </w:tcBorders>
            <w:vAlign w:val="center"/>
          </w:tcPr>
          <w:p w14:paraId="718B3A19">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排骨</w:t>
            </w:r>
          </w:p>
        </w:tc>
        <w:tc>
          <w:tcPr>
            <w:tcW w:w="570" w:type="pct"/>
            <w:vMerge w:val="restart"/>
            <w:tcBorders>
              <w:top w:val="single" w:color="000000" w:sz="4" w:space="0"/>
              <w:left w:val="single" w:color="000000" w:sz="4" w:space="0"/>
              <w:right w:val="single" w:color="000000" w:sz="4" w:space="0"/>
            </w:tcBorders>
            <w:vAlign w:val="center"/>
          </w:tcPr>
          <w:p w14:paraId="60B65FBD">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≥150克</w:t>
            </w:r>
          </w:p>
        </w:tc>
        <w:tc>
          <w:tcPr>
            <w:tcW w:w="570" w:type="pct"/>
            <w:vMerge w:val="restart"/>
            <w:tcBorders>
              <w:top w:val="single" w:color="000000" w:sz="4" w:space="0"/>
              <w:left w:val="single" w:color="000000" w:sz="4" w:space="0"/>
              <w:bottom w:val="single" w:color="000000" w:sz="4" w:space="0"/>
              <w:right w:val="single" w:color="000000" w:sz="4" w:space="0"/>
            </w:tcBorders>
            <w:vAlign w:val="center"/>
          </w:tcPr>
          <w:p w14:paraId="4F4445E2">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≥90%</w:t>
            </w:r>
          </w:p>
        </w:tc>
        <w:tc>
          <w:tcPr>
            <w:tcW w:w="2098" w:type="pct"/>
            <w:vMerge w:val="restart"/>
            <w:tcBorders>
              <w:top w:val="single" w:color="000000" w:sz="4" w:space="0"/>
              <w:left w:val="single" w:color="000000" w:sz="4" w:space="0"/>
              <w:bottom w:val="single" w:color="000000" w:sz="4" w:space="0"/>
              <w:right w:val="single" w:color="000000" w:sz="4" w:space="0"/>
            </w:tcBorders>
            <w:vAlign w:val="center"/>
          </w:tcPr>
          <w:p w14:paraId="4A2EF8E3">
            <w:pPr>
              <w:widowControl/>
              <w:jc w:val="left"/>
              <w:textAlignment w:val="center"/>
              <w:rPr>
                <w:rFonts w:hint="eastAsia" w:ascii="仿宋" w:hAnsi="仿宋" w:eastAsia="仿宋" w:cs="仿宋"/>
                <w:sz w:val="21"/>
                <w:szCs w:val="21"/>
              </w:rPr>
            </w:pPr>
            <w:r>
              <w:rPr>
                <w:rFonts w:hint="eastAsia" w:ascii="仿宋" w:hAnsi="仿宋" w:eastAsia="仿宋" w:cs="仿宋"/>
                <w:sz w:val="21"/>
                <w:szCs w:val="21"/>
              </w:rPr>
              <w:t>含五花肉、排骨等部位</w:t>
            </w:r>
          </w:p>
        </w:tc>
      </w:tr>
      <w:tr w14:paraId="151BA8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2"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74919AED">
            <w:pPr>
              <w:jc w:val="center"/>
              <w:rPr>
                <w:rFonts w:hint="eastAsia" w:ascii="仿宋" w:hAnsi="仿宋" w:eastAsia="仿宋" w:cs="仿宋"/>
                <w:sz w:val="21"/>
                <w:szCs w:val="21"/>
              </w:rPr>
            </w:pPr>
          </w:p>
        </w:tc>
        <w:tc>
          <w:tcPr>
            <w:tcW w:w="464" w:type="pct"/>
            <w:vMerge w:val="continue"/>
            <w:tcBorders>
              <w:top w:val="single" w:color="000000" w:sz="4" w:space="0"/>
              <w:left w:val="single" w:color="000000" w:sz="4" w:space="0"/>
              <w:bottom w:val="single" w:color="000000" w:sz="4" w:space="0"/>
              <w:right w:val="single" w:color="000000" w:sz="4" w:space="0"/>
            </w:tcBorders>
            <w:vAlign w:val="center"/>
          </w:tcPr>
          <w:p w14:paraId="0FCFE0E5">
            <w:pPr>
              <w:jc w:val="center"/>
              <w:rPr>
                <w:rFonts w:hint="eastAsia" w:ascii="仿宋" w:hAnsi="仿宋" w:eastAsia="仿宋" w:cs="仿宋"/>
                <w:sz w:val="21"/>
                <w:szCs w:val="21"/>
              </w:rPr>
            </w:pPr>
          </w:p>
        </w:tc>
        <w:tc>
          <w:tcPr>
            <w:tcW w:w="532" w:type="pct"/>
            <w:tcBorders>
              <w:top w:val="single" w:color="000000" w:sz="4" w:space="0"/>
              <w:left w:val="single" w:color="000000" w:sz="4" w:space="0"/>
              <w:bottom w:val="single" w:color="000000" w:sz="4" w:space="0"/>
              <w:right w:val="single" w:color="000000" w:sz="4" w:space="0"/>
            </w:tcBorders>
            <w:vAlign w:val="center"/>
          </w:tcPr>
          <w:p w14:paraId="7C7B3BA4">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瘦肉</w:t>
            </w:r>
          </w:p>
        </w:tc>
        <w:tc>
          <w:tcPr>
            <w:tcW w:w="570" w:type="pct"/>
            <w:vMerge w:val="continue"/>
            <w:tcBorders>
              <w:left w:val="single" w:color="000000" w:sz="4" w:space="0"/>
              <w:right w:val="single" w:color="000000" w:sz="4" w:space="0"/>
            </w:tcBorders>
            <w:vAlign w:val="center"/>
          </w:tcPr>
          <w:p w14:paraId="6029B11A">
            <w:pPr>
              <w:jc w:val="center"/>
              <w:rPr>
                <w:rFonts w:hint="eastAsia" w:ascii="仿宋" w:hAnsi="仿宋" w:eastAsia="仿宋" w:cs="仿宋"/>
                <w:sz w:val="21"/>
                <w:szCs w:val="21"/>
              </w:rPr>
            </w:pPr>
          </w:p>
        </w:tc>
        <w:tc>
          <w:tcPr>
            <w:tcW w:w="570" w:type="pct"/>
            <w:vMerge w:val="continue"/>
            <w:tcBorders>
              <w:top w:val="single" w:color="000000" w:sz="4" w:space="0"/>
              <w:left w:val="single" w:color="000000" w:sz="4" w:space="0"/>
              <w:bottom w:val="single" w:color="000000" w:sz="4" w:space="0"/>
              <w:right w:val="single" w:color="000000" w:sz="4" w:space="0"/>
            </w:tcBorders>
            <w:vAlign w:val="center"/>
          </w:tcPr>
          <w:p w14:paraId="275F0A75">
            <w:pPr>
              <w:jc w:val="center"/>
              <w:rPr>
                <w:rFonts w:hint="eastAsia" w:ascii="仿宋" w:hAnsi="仿宋" w:eastAsia="仿宋" w:cs="仿宋"/>
                <w:sz w:val="21"/>
                <w:szCs w:val="21"/>
              </w:rPr>
            </w:pPr>
          </w:p>
        </w:tc>
        <w:tc>
          <w:tcPr>
            <w:tcW w:w="2098" w:type="pct"/>
            <w:vMerge w:val="continue"/>
            <w:tcBorders>
              <w:top w:val="single" w:color="000000" w:sz="4" w:space="0"/>
              <w:left w:val="single" w:color="000000" w:sz="4" w:space="0"/>
              <w:bottom w:val="single" w:color="000000" w:sz="4" w:space="0"/>
              <w:right w:val="single" w:color="000000" w:sz="4" w:space="0"/>
            </w:tcBorders>
            <w:vAlign w:val="center"/>
          </w:tcPr>
          <w:p w14:paraId="1662D593">
            <w:pPr>
              <w:jc w:val="left"/>
              <w:rPr>
                <w:rFonts w:hint="eastAsia" w:ascii="仿宋" w:hAnsi="仿宋" w:eastAsia="仿宋" w:cs="仿宋"/>
                <w:sz w:val="21"/>
                <w:szCs w:val="21"/>
              </w:rPr>
            </w:pPr>
          </w:p>
        </w:tc>
      </w:tr>
      <w:tr w14:paraId="2C93A1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6"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04CCC445">
            <w:pPr>
              <w:jc w:val="center"/>
              <w:rPr>
                <w:rFonts w:hint="eastAsia" w:ascii="仿宋" w:hAnsi="仿宋" w:eastAsia="仿宋" w:cs="仿宋"/>
                <w:sz w:val="21"/>
                <w:szCs w:val="21"/>
              </w:rPr>
            </w:pPr>
          </w:p>
        </w:tc>
        <w:tc>
          <w:tcPr>
            <w:tcW w:w="464" w:type="pct"/>
            <w:vMerge w:val="continue"/>
            <w:tcBorders>
              <w:top w:val="single" w:color="000000" w:sz="4" w:space="0"/>
              <w:left w:val="single" w:color="000000" w:sz="4" w:space="0"/>
              <w:bottom w:val="single" w:color="000000" w:sz="4" w:space="0"/>
              <w:right w:val="single" w:color="000000" w:sz="4" w:space="0"/>
            </w:tcBorders>
            <w:vAlign w:val="center"/>
          </w:tcPr>
          <w:p w14:paraId="6460084A">
            <w:pPr>
              <w:jc w:val="center"/>
              <w:rPr>
                <w:rFonts w:hint="eastAsia" w:ascii="仿宋" w:hAnsi="仿宋" w:eastAsia="仿宋" w:cs="仿宋"/>
                <w:sz w:val="21"/>
                <w:szCs w:val="21"/>
              </w:rPr>
            </w:pPr>
          </w:p>
        </w:tc>
        <w:tc>
          <w:tcPr>
            <w:tcW w:w="532" w:type="pct"/>
            <w:tcBorders>
              <w:top w:val="single" w:color="000000" w:sz="4" w:space="0"/>
              <w:left w:val="single" w:color="000000" w:sz="4" w:space="0"/>
              <w:bottom w:val="single" w:color="000000" w:sz="4" w:space="0"/>
              <w:right w:val="single" w:color="000000" w:sz="4" w:space="0"/>
            </w:tcBorders>
            <w:vAlign w:val="center"/>
          </w:tcPr>
          <w:p w14:paraId="30359131">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五花肉</w:t>
            </w:r>
          </w:p>
        </w:tc>
        <w:tc>
          <w:tcPr>
            <w:tcW w:w="570" w:type="pct"/>
            <w:vMerge w:val="continue"/>
            <w:tcBorders>
              <w:left w:val="single" w:color="000000" w:sz="4" w:space="0"/>
              <w:right w:val="single" w:color="000000" w:sz="4" w:space="0"/>
            </w:tcBorders>
            <w:vAlign w:val="center"/>
          </w:tcPr>
          <w:p w14:paraId="602F0EF9">
            <w:pPr>
              <w:jc w:val="center"/>
              <w:rPr>
                <w:rFonts w:hint="eastAsia" w:ascii="仿宋" w:hAnsi="仿宋" w:eastAsia="仿宋" w:cs="仿宋"/>
                <w:sz w:val="21"/>
                <w:szCs w:val="21"/>
              </w:rPr>
            </w:pPr>
          </w:p>
        </w:tc>
        <w:tc>
          <w:tcPr>
            <w:tcW w:w="570" w:type="pct"/>
            <w:vMerge w:val="continue"/>
            <w:tcBorders>
              <w:top w:val="single" w:color="000000" w:sz="4" w:space="0"/>
              <w:left w:val="single" w:color="000000" w:sz="4" w:space="0"/>
              <w:bottom w:val="single" w:color="000000" w:sz="4" w:space="0"/>
              <w:right w:val="single" w:color="000000" w:sz="4" w:space="0"/>
            </w:tcBorders>
            <w:vAlign w:val="center"/>
          </w:tcPr>
          <w:p w14:paraId="1706D6F3">
            <w:pPr>
              <w:jc w:val="center"/>
              <w:rPr>
                <w:rFonts w:hint="eastAsia" w:ascii="仿宋" w:hAnsi="仿宋" w:eastAsia="仿宋" w:cs="仿宋"/>
                <w:sz w:val="21"/>
                <w:szCs w:val="21"/>
              </w:rPr>
            </w:pPr>
          </w:p>
        </w:tc>
        <w:tc>
          <w:tcPr>
            <w:tcW w:w="2098" w:type="pct"/>
            <w:vMerge w:val="continue"/>
            <w:tcBorders>
              <w:top w:val="single" w:color="000000" w:sz="4" w:space="0"/>
              <w:left w:val="single" w:color="000000" w:sz="4" w:space="0"/>
              <w:bottom w:val="single" w:color="000000" w:sz="4" w:space="0"/>
              <w:right w:val="single" w:color="000000" w:sz="4" w:space="0"/>
            </w:tcBorders>
            <w:vAlign w:val="center"/>
          </w:tcPr>
          <w:p w14:paraId="386589BE">
            <w:pPr>
              <w:jc w:val="left"/>
              <w:rPr>
                <w:rFonts w:hint="eastAsia" w:ascii="仿宋" w:hAnsi="仿宋" w:eastAsia="仿宋" w:cs="仿宋"/>
                <w:sz w:val="21"/>
                <w:szCs w:val="21"/>
              </w:rPr>
            </w:pPr>
          </w:p>
        </w:tc>
      </w:tr>
      <w:tr w14:paraId="2B0C04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2"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30CE4C07">
            <w:pPr>
              <w:jc w:val="center"/>
              <w:rPr>
                <w:rFonts w:hint="eastAsia" w:ascii="仿宋" w:hAnsi="仿宋" w:eastAsia="仿宋" w:cs="仿宋"/>
                <w:sz w:val="21"/>
                <w:szCs w:val="21"/>
              </w:rPr>
            </w:pPr>
          </w:p>
        </w:tc>
        <w:tc>
          <w:tcPr>
            <w:tcW w:w="464" w:type="pct"/>
            <w:vMerge w:val="restart"/>
            <w:tcBorders>
              <w:top w:val="single" w:color="000000" w:sz="4" w:space="0"/>
              <w:left w:val="single" w:color="000000" w:sz="4" w:space="0"/>
              <w:bottom w:val="single" w:color="000000" w:sz="4" w:space="0"/>
              <w:right w:val="single" w:color="000000" w:sz="4" w:space="0"/>
            </w:tcBorders>
            <w:vAlign w:val="center"/>
          </w:tcPr>
          <w:p w14:paraId="15AB5616">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鱼类</w:t>
            </w:r>
          </w:p>
        </w:tc>
        <w:tc>
          <w:tcPr>
            <w:tcW w:w="532" w:type="pct"/>
            <w:tcBorders>
              <w:top w:val="single" w:color="000000" w:sz="4" w:space="0"/>
              <w:left w:val="single" w:color="000000" w:sz="4" w:space="0"/>
              <w:bottom w:val="single" w:color="000000" w:sz="4" w:space="0"/>
              <w:right w:val="single" w:color="000000" w:sz="4" w:space="0"/>
            </w:tcBorders>
            <w:vAlign w:val="center"/>
          </w:tcPr>
          <w:p w14:paraId="4247E9E5">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淡水鱼</w:t>
            </w:r>
          </w:p>
        </w:tc>
        <w:tc>
          <w:tcPr>
            <w:tcW w:w="570" w:type="pct"/>
            <w:vMerge w:val="continue"/>
            <w:tcBorders>
              <w:left w:val="single" w:color="000000" w:sz="4" w:space="0"/>
              <w:right w:val="single" w:color="000000" w:sz="4" w:space="0"/>
            </w:tcBorders>
            <w:vAlign w:val="center"/>
          </w:tcPr>
          <w:p w14:paraId="21C467AA">
            <w:pPr>
              <w:widowControl/>
              <w:jc w:val="center"/>
              <w:textAlignment w:val="center"/>
              <w:rPr>
                <w:rFonts w:hint="eastAsia" w:ascii="仿宋" w:hAnsi="仿宋" w:eastAsia="仿宋" w:cs="仿宋"/>
                <w:sz w:val="21"/>
                <w:szCs w:val="21"/>
              </w:rPr>
            </w:pPr>
          </w:p>
        </w:tc>
        <w:tc>
          <w:tcPr>
            <w:tcW w:w="570" w:type="pct"/>
            <w:vMerge w:val="restart"/>
            <w:tcBorders>
              <w:top w:val="single" w:color="000000" w:sz="4" w:space="0"/>
              <w:left w:val="single" w:color="000000" w:sz="4" w:space="0"/>
              <w:bottom w:val="single" w:color="000000" w:sz="4" w:space="0"/>
              <w:right w:val="single" w:color="000000" w:sz="4" w:space="0"/>
            </w:tcBorders>
            <w:vAlign w:val="center"/>
          </w:tcPr>
          <w:p w14:paraId="5C2DB4C4">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≥90%</w:t>
            </w:r>
          </w:p>
        </w:tc>
        <w:tc>
          <w:tcPr>
            <w:tcW w:w="2098" w:type="pct"/>
            <w:vMerge w:val="restart"/>
            <w:tcBorders>
              <w:top w:val="single" w:color="000000" w:sz="4" w:space="0"/>
              <w:left w:val="single" w:color="000000" w:sz="4" w:space="0"/>
              <w:bottom w:val="single" w:color="000000" w:sz="4" w:space="0"/>
              <w:right w:val="single" w:color="000000" w:sz="4" w:space="0"/>
            </w:tcBorders>
            <w:vAlign w:val="center"/>
          </w:tcPr>
          <w:p w14:paraId="7639E5B3">
            <w:pPr>
              <w:widowControl/>
              <w:jc w:val="left"/>
              <w:textAlignment w:val="center"/>
              <w:rPr>
                <w:rFonts w:hint="eastAsia" w:ascii="仿宋" w:hAnsi="仿宋" w:eastAsia="仿宋" w:cs="仿宋"/>
                <w:sz w:val="21"/>
                <w:szCs w:val="21"/>
              </w:rPr>
            </w:pPr>
            <w:r>
              <w:rPr>
                <w:rFonts w:hint="eastAsia" w:ascii="仿宋" w:hAnsi="仿宋" w:eastAsia="仿宋" w:cs="仿宋"/>
                <w:sz w:val="21"/>
                <w:szCs w:val="21"/>
              </w:rPr>
              <w:t>常见鱼类</w:t>
            </w:r>
          </w:p>
        </w:tc>
      </w:tr>
      <w:tr w14:paraId="7E42F6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041F32C8">
            <w:pPr>
              <w:jc w:val="center"/>
              <w:rPr>
                <w:rFonts w:hint="eastAsia" w:ascii="仿宋" w:hAnsi="仿宋" w:eastAsia="仿宋" w:cs="仿宋"/>
                <w:sz w:val="21"/>
                <w:szCs w:val="21"/>
              </w:rPr>
            </w:pPr>
          </w:p>
        </w:tc>
        <w:tc>
          <w:tcPr>
            <w:tcW w:w="464" w:type="pct"/>
            <w:vMerge w:val="continue"/>
            <w:tcBorders>
              <w:top w:val="single" w:color="000000" w:sz="4" w:space="0"/>
              <w:left w:val="single" w:color="000000" w:sz="4" w:space="0"/>
              <w:bottom w:val="single" w:color="000000" w:sz="4" w:space="0"/>
              <w:right w:val="single" w:color="000000" w:sz="4" w:space="0"/>
            </w:tcBorders>
            <w:vAlign w:val="center"/>
          </w:tcPr>
          <w:p w14:paraId="69FF8EDA">
            <w:pPr>
              <w:jc w:val="center"/>
              <w:rPr>
                <w:rFonts w:hint="eastAsia" w:ascii="仿宋" w:hAnsi="仿宋" w:eastAsia="仿宋" w:cs="仿宋"/>
                <w:sz w:val="21"/>
                <w:szCs w:val="21"/>
              </w:rPr>
            </w:pPr>
          </w:p>
        </w:tc>
        <w:tc>
          <w:tcPr>
            <w:tcW w:w="532" w:type="pct"/>
            <w:tcBorders>
              <w:top w:val="single" w:color="000000" w:sz="4" w:space="0"/>
              <w:left w:val="single" w:color="000000" w:sz="4" w:space="0"/>
              <w:bottom w:val="single" w:color="000000" w:sz="4" w:space="0"/>
              <w:right w:val="single" w:color="000000" w:sz="4" w:space="0"/>
            </w:tcBorders>
            <w:vAlign w:val="center"/>
          </w:tcPr>
          <w:p w14:paraId="6AC60CF8">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海鱼</w:t>
            </w:r>
          </w:p>
        </w:tc>
        <w:tc>
          <w:tcPr>
            <w:tcW w:w="570" w:type="pct"/>
            <w:vMerge w:val="continue"/>
            <w:tcBorders>
              <w:left w:val="single" w:color="000000" w:sz="4" w:space="0"/>
              <w:right w:val="single" w:color="000000" w:sz="4" w:space="0"/>
            </w:tcBorders>
            <w:vAlign w:val="center"/>
          </w:tcPr>
          <w:p w14:paraId="54E29310">
            <w:pPr>
              <w:jc w:val="center"/>
              <w:rPr>
                <w:rFonts w:hint="eastAsia" w:ascii="仿宋" w:hAnsi="仿宋" w:eastAsia="仿宋" w:cs="仿宋"/>
                <w:sz w:val="21"/>
                <w:szCs w:val="21"/>
              </w:rPr>
            </w:pPr>
          </w:p>
        </w:tc>
        <w:tc>
          <w:tcPr>
            <w:tcW w:w="570" w:type="pct"/>
            <w:vMerge w:val="continue"/>
            <w:tcBorders>
              <w:top w:val="single" w:color="000000" w:sz="4" w:space="0"/>
              <w:left w:val="single" w:color="000000" w:sz="4" w:space="0"/>
              <w:bottom w:val="single" w:color="000000" w:sz="4" w:space="0"/>
              <w:right w:val="single" w:color="000000" w:sz="4" w:space="0"/>
            </w:tcBorders>
            <w:vAlign w:val="center"/>
          </w:tcPr>
          <w:p w14:paraId="0000C908">
            <w:pPr>
              <w:jc w:val="center"/>
              <w:rPr>
                <w:rFonts w:hint="eastAsia" w:ascii="仿宋" w:hAnsi="仿宋" w:eastAsia="仿宋" w:cs="仿宋"/>
                <w:sz w:val="21"/>
                <w:szCs w:val="21"/>
              </w:rPr>
            </w:pPr>
          </w:p>
        </w:tc>
        <w:tc>
          <w:tcPr>
            <w:tcW w:w="2098" w:type="pct"/>
            <w:vMerge w:val="continue"/>
            <w:tcBorders>
              <w:top w:val="single" w:color="000000" w:sz="4" w:space="0"/>
              <w:left w:val="single" w:color="000000" w:sz="4" w:space="0"/>
              <w:bottom w:val="single" w:color="000000" w:sz="4" w:space="0"/>
              <w:right w:val="single" w:color="000000" w:sz="4" w:space="0"/>
            </w:tcBorders>
            <w:vAlign w:val="center"/>
          </w:tcPr>
          <w:p w14:paraId="58E2AA3B">
            <w:pPr>
              <w:jc w:val="left"/>
              <w:rPr>
                <w:rFonts w:hint="eastAsia" w:ascii="仿宋" w:hAnsi="仿宋" w:eastAsia="仿宋" w:cs="仿宋"/>
                <w:sz w:val="21"/>
                <w:szCs w:val="21"/>
              </w:rPr>
            </w:pPr>
          </w:p>
        </w:tc>
      </w:tr>
      <w:tr w14:paraId="764FAC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4"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63D029AE">
            <w:pPr>
              <w:jc w:val="center"/>
              <w:rPr>
                <w:rFonts w:hint="eastAsia" w:ascii="仿宋" w:hAnsi="仿宋" w:eastAsia="仿宋" w:cs="仿宋"/>
                <w:sz w:val="21"/>
                <w:szCs w:val="21"/>
              </w:rPr>
            </w:pP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356805DB">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禽类</w:t>
            </w:r>
          </w:p>
        </w:tc>
        <w:tc>
          <w:tcPr>
            <w:tcW w:w="570" w:type="pct"/>
            <w:vMerge w:val="continue"/>
            <w:tcBorders>
              <w:left w:val="single" w:color="000000" w:sz="4" w:space="0"/>
              <w:right w:val="single" w:color="000000" w:sz="4" w:space="0"/>
            </w:tcBorders>
            <w:vAlign w:val="center"/>
          </w:tcPr>
          <w:p w14:paraId="3A4C9BD2">
            <w:pPr>
              <w:widowControl/>
              <w:jc w:val="center"/>
              <w:textAlignment w:val="center"/>
              <w:rPr>
                <w:rFonts w:hint="eastAsia" w:ascii="仿宋" w:hAnsi="仿宋" w:eastAsia="仿宋" w:cs="仿宋"/>
                <w:sz w:val="21"/>
                <w:szCs w:val="21"/>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64F2A22A">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≥90%</w:t>
            </w:r>
          </w:p>
        </w:tc>
        <w:tc>
          <w:tcPr>
            <w:tcW w:w="2098" w:type="pct"/>
            <w:tcBorders>
              <w:top w:val="single" w:color="000000" w:sz="4" w:space="0"/>
              <w:left w:val="single" w:color="000000" w:sz="4" w:space="0"/>
              <w:bottom w:val="single" w:color="000000" w:sz="4" w:space="0"/>
              <w:right w:val="single" w:color="000000" w:sz="4" w:space="0"/>
            </w:tcBorders>
            <w:vAlign w:val="center"/>
          </w:tcPr>
          <w:p w14:paraId="011368E5">
            <w:pPr>
              <w:widowControl/>
              <w:jc w:val="left"/>
              <w:textAlignment w:val="center"/>
              <w:rPr>
                <w:rFonts w:hint="eastAsia" w:ascii="仿宋" w:hAnsi="仿宋" w:eastAsia="仿宋" w:cs="仿宋"/>
                <w:sz w:val="21"/>
                <w:szCs w:val="21"/>
              </w:rPr>
            </w:pPr>
            <w:r>
              <w:rPr>
                <w:rFonts w:hint="eastAsia" w:ascii="仿宋" w:hAnsi="仿宋" w:eastAsia="仿宋" w:cs="仿宋"/>
                <w:sz w:val="21"/>
                <w:szCs w:val="21"/>
              </w:rPr>
              <w:t>鸡、鸭及附产品</w:t>
            </w:r>
          </w:p>
        </w:tc>
      </w:tr>
      <w:tr w14:paraId="1BB5D0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6"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6A317BAF">
            <w:pPr>
              <w:jc w:val="center"/>
              <w:rPr>
                <w:rFonts w:hint="eastAsia" w:ascii="仿宋" w:hAnsi="仿宋" w:eastAsia="仿宋" w:cs="仿宋"/>
                <w:sz w:val="21"/>
                <w:szCs w:val="21"/>
              </w:rPr>
            </w:pP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7268CB9A">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牛羊肉</w:t>
            </w:r>
          </w:p>
        </w:tc>
        <w:tc>
          <w:tcPr>
            <w:tcW w:w="570" w:type="pct"/>
            <w:vMerge w:val="continue"/>
            <w:tcBorders>
              <w:left w:val="single" w:color="000000" w:sz="4" w:space="0"/>
              <w:right w:val="single" w:color="000000" w:sz="4" w:space="0"/>
            </w:tcBorders>
            <w:vAlign w:val="center"/>
          </w:tcPr>
          <w:p w14:paraId="7ED11749">
            <w:pPr>
              <w:widowControl/>
              <w:jc w:val="center"/>
              <w:textAlignment w:val="center"/>
              <w:rPr>
                <w:rFonts w:hint="eastAsia" w:ascii="仿宋" w:hAnsi="仿宋" w:eastAsia="仿宋" w:cs="仿宋"/>
                <w:sz w:val="21"/>
                <w:szCs w:val="21"/>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4D2ADA82">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≥90%</w:t>
            </w:r>
          </w:p>
        </w:tc>
        <w:tc>
          <w:tcPr>
            <w:tcW w:w="2098" w:type="pct"/>
            <w:tcBorders>
              <w:top w:val="single" w:color="000000" w:sz="4" w:space="0"/>
              <w:left w:val="single" w:color="000000" w:sz="4" w:space="0"/>
              <w:bottom w:val="single" w:color="000000" w:sz="4" w:space="0"/>
              <w:right w:val="single" w:color="000000" w:sz="4" w:space="0"/>
            </w:tcBorders>
            <w:noWrap/>
            <w:vAlign w:val="center"/>
          </w:tcPr>
          <w:p w14:paraId="71C5901E">
            <w:pPr>
              <w:jc w:val="left"/>
              <w:rPr>
                <w:rFonts w:hint="eastAsia" w:ascii="仿宋" w:hAnsi="仿宋" w:eastAsia="仿宋" w:cs="仿宋"/>
                <w:sz w:val="21"/>
                <w:szCs w:val="21"/>
              </w:rPr>
            </w:pPr>
          </w:p>
        </w:tc>
      </w:tr>
      <w:tr w14:paraId="2DEB06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2" w:hRule="atLeast"/>
        </w:trPr>
        <w:tc>
          <w:tcPr>
            <w:tcW w:w="763" w:type="pct"/>
            <w:vMerge w:val="restart"/>
            <w:tcBorders>
              <w:top w:val="single" w:color="000000" w:sz="4" w:space="0"/>
              <w:left w:val="single" w:color="000000" w:sz="4" w:space="0"/>
              <w:bottom w:val="single" w:color="000000" w:sz="4" w:space="0"/>
              <w:right w:val="single" w:color="000000" w:sz="4" w:space="0"/>
            </w:tcBorders>
            <w:vAlign w:val="center"/>
          </w:tcPr>
          <w:p w14:paraId="58D317FC">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 xml:space="preserve">小荤 </w:t>
            </w:r>
            <w:r>
              <w:rPr>
                <w:rFonts w:hint="eastAsia" w:ascii="仿宋" w:hAnsi="仿宋" w:eastAsia="仿宋" w:cs="仿宋"/>
                <w:sz w:val="21"/>
                <w:szCs w:val="21"/>
              </w:rPr>
              <w:br w:type="textWrapping"/>
            </w: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6F5866F5">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含肉类</w:t>
            </w:r>
          </w:p>
        </w:tc>
        <w:tc>
          <w:tcPr>
            <w:tcW w:w="570" w:type="pct"/>
            <w:vMerge w:val="continue"/>
            <w:tcBorders>
              <w:left w:val="single" w:color="000000" w:sz="4" w:space="0"/>
              <w:right w:val="single" w:color="000000" w:sz="4" w:space="0"/>
            </w:tcBorders>
            <w:vAlign w:val="center"/>
          </w:tcPr>
          <w:p w14:paraId="44C2D23D">
            <w:pPr>
              <w:widowControl/>
              <w:jc w:val="center"/>
              <w:textAlignment w:val="center"/>
              <w:rPr>
                <w:rFonts w:hint="eastAsia" w:ascii="仿宋" w:hAnsi="仿宋" w:eastAsia="仿宋" w:cs="仿宋"/>
                <w:sz w:val="21"/>
                <w:szCs w:val="21"/>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7F14F339">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≥30%</w:t>
            </w:r>
          </w:p>
        </w:tc>
        <w:tc>
          <w:tcPr>
            <w:tcW w:w="2098" w:type="pct"/>
            <w:tcBorders>
              <w:top w:val="single" w:color="000000" w:sz="4" w:space="0"/>
              <w:left w:val="single" w:color="000000" w:sz="4" w:space="0"/>
              <w:bottom w:val="single" w:color="000000" w:sz="4" w:space="0"/>
              <w:right w:val="single" w:color="000000" w:sz="4" w:space="0"/>
            </w:tcBorders>
            <w:vAlign w:val="center"/>
          </w:tcPr>
          <w:p w14:paraId="6BB9C311">
            <w:pPr>
              <w:widowControl/>
              <w:jc w:val="left"/>
              <w:textAlignment w:val="center"/>
              <w:rPr>
                <w:rFonts w:hint="eastAsia" w:ascii="仿宋" w:hAnsi="仿宋" w:eastAsia="仿宋" w:cs="仿宋"/>
                <w:sz w:val="21"/>
                <w:szCs w:val="21"/>
              </w:rPr>
            </w:pPr>
            <w:r>
              <w:rPr>
                <w:rFonts w:hint="eastAsia" w:ascii="仿宋" w:hAnsi="仿宋" w:eastAsia="仿宋" w:cs="仿宋"/>
                <w:sz w:val="21"/>
                <w:szCs w:val="21"/>
              </w:rPr>
              <w:t>包含猪肉为主的肉配料</w:t>
            </w:r>
          </w:p>
        </w:tc>
      </w:tr>
      <w:tr w14:paraId="0FE564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90"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4C3D71D9">
            <w:pPr>
              <w:jc w:val="center"/>
              <w:rPr>
                <w:rFonts w:hint="eastAsia" w:ascii="仿宋" w:hAnsi="仿宋" w:eastAsia="仿宋" w:cs="仿宋"/>
                <w:sz w:val="21"/>
                <w:szCs w:val="21"/>
              </w:rPr>
            </w:pP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732C15F9">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含蛋类</w:t>
            </w:r>
          </w:p>
        </w:tc>
        <w:tc>
          <w:tcPr>
            <w:tcW w:w="570" w:type="pct"/>
            <w:vMerge w:val="continue"/>
            <w:tcBorders>
              <w:left w:val="single" w:color="000000" w:sz="4" w:space="0"/>
              <w:right w:val="single" w:color="000000" w:sz="4" w:space="0"/>
            </w:tcBorders>
            <w:vAlign w:val="center"/>
          </w:tcPr>
          <w:p w14:paraId="61DE1807">
            <w:pPr>
              <w:widowControl/>
              <w:jc w:val="center"/>
              <w:textAlignment w:val="center"/>
              <w:rPr>
                <w:rFonts w:hint="eastAsia" w:ascii="仿宋" w:hAnsi="仿宋" w:eastAsia="仿宋" w:cs="仿宋"/>
                <w:sz w:val="21"/>
                <w:szCs w:val="21"/>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21A6D969">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≥60%</w:t>
            </w:r>
          </w:p>
        </w:tc>
        <w:tc>
          <w:tcPr>
            <w:tcW w:w="2098" w:type="pct"/>
            <w:tcBorders>
              <w:top w:val="single" w:color="000000" w:sz="4" w:space="0"/>
              <w:left w:val="single" w:color="000000" w:sz="4" w:space="0"/>
              <w:bottom w:val="single" w:color="000000" w:sz="4" w:space="0"/>
              <w:right w:val="single" w:color="000000" w:sz="4" w:space="0"/>
            </w:tcBorders>
            <w:vAlign w:val="center"/>
          </w:tcPr>
          <w:p w14:paraId="61B58B53">
            <w:pPr>
              <w:widowControl/>
              <w:jc w:val="left"/>
              <w:textAlignment w:val="center"/>
              <w:rPr>
                <w:rFonts w:hint="eastAsia" w:ascii="仿宋" w:hAnsi="仿宋" w:eastAsia="仿宋" w:cs="仿宋"/>
                <w:sz w:val="21"/>
                <w:szCs w:val="21"/>
              </w:rPr>
            </w:pPr>
            <w:r>
              <w:rPr>
                <w:rFonts w:hint="eastAsia" w:ascii="仿宋" w:hAnsi="仿宋" w:eastAsia="仿宋" w:cs="仿宋"/>
                <w:sz w:val="21"/>
                <w:szCs w:val="21"/>
              </w:rPr>
              <w:t>含各种加工形式蛋类</w:t>
            </w:r>
          </w:p>
        </w:tc>
      </w:tr>
      <w:tr w14:paraId="63897A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0" w:hRule="atLeast"/>
        </w:trPr>
        <w:tc>
          <w:tcPr>
            <w:tcW w:w="763" w:type="pct"/>
            <w:vMerge w:val="restart"/>
            <w:tcBorders>
              <w:top w:val="single" w:color="000000" w:sz="4" w:space="0"/>
              <w:left w:val="single" w:color="000000" w:sz="4" w:space="0"/>
              <w:bottom w:val="single" w:color="000000" w:sz="4" w:space="0"/>
              <w:right w:val="single" w:color="000000" w:sz="4" w:space="0"/>
            </w:tcBorders>
            <w:vAlign w:val="center"/>
          </w:tcPr>
          <w:p w14:paraId="3BE60BEC">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素菜</w:t>
            </w:r>
            <w:r>
              <w:rPr>
                <w:rFonts w:hint="eastAsia" w:ascii="仿宋" w:hAnsi="仿宋" w:eastAsia="仿宋" w:cs="仿宋"/>
                <w:sz w:val="21"/>
                <w:szCs w:val="21"/>
              </w:rPr>
              <w:br w:type="textWrapping"/>
            </w: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4903E779">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根茎类</w:t>
            </w:r>
          </w:p>
        </w:tc>
        <w:tc>
          <w:tcPr>
            <w:tcW w:w="570" w:type="pct"/>
            <w:vMerge w:val="continue"/>
            <w:tcBorders>
              <w:left w:val="single" w:color="000000" w:sz="4" w:space="0"/>
              <w:right w:val="single" w:color="000000" w:sz="4" w:space="0"/>
            </w:tcBorders>
            <w:vAlign w:val="center"/>
          </w:tcPr>
          <w:p w14:paraId="6107E693">
            <w:pPr>
              <w:widowControl/>
              <w:jc w:val="center"/>
              <w:textAlignment w:val="center"/>
              <w:rPr>
                <w:rFonts w:hint="eastAsia" w:ascii="仿宋" w:hAnsi="仿宋" w:eastAsia="仿宋" w:cs="仿宋"/>
                <w:sz w:val="21"/>
                <w:szCs w:val="21"/>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37717E12">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≥90%</w:t>
            </w:r>
          </w:p>
        </w:tc>
        <w:tc>
          <w:tcPr>
            <w:tcW w:w="2098" w:type="pct"/>
            <w:tcBorders>
              <w:top w:val="single" w:color="000000" w:sz="4" w:space="0"/>
              <w:left w:val="single" w:color="000000" w:sz="4" w:space="0"/>
              <w:bottom w:val="single" w:color="000000" w:sz="4" w:space="0"/>
              <w:right w:val="single" w:color="000000" w:sz="4" w:space="0"/>
            </w:tcBorders>
            <w:vAlign w:val="center"/>
          </w:tcPr>
          <w:p w14:paraId="43C008C2">
            <w:pPr>
              <w:widowControl/>
              <w:jc w:val="left"/>
              <w:textAlignment w:val="center"/>
              <w:rPr>
                <w:rFonts w:hint="eastAsia" w:ascii="仿宋" w:hAnsi="仿宋" w:eastAsia="仿宋" w:cs="仿宋"/>
                <w:sz w:val="21"/>
                <w:szCs w:val="21"/>
              </w:rPr>
            </w:pPr>
            <w:r>
              <w:rPr>
                <w:rFonts w:hint="eastAsia" w:ascii="仿宋" w:hAnsi="仿宋" w:eastAsia="仿宋" w:cs="仿宋"/>
                <w:sz w:val="21"/>
                <w:szCs w:val="21"/>
              </w:rPr>
              <w:t>莲藕、萝卜、甘薯、山药、马铃薯等</w:t>
            </w:r>
          </w:p>
        </w:tc>
      </w:tr>
      <w:tr w14:paraId="77E45B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42"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3AB0888D">
            <w:pPr>
              <w:jc w:val="center"/>
              <w:rPr>
                <w:rFonts w:hint="eastAsia" w:ascii="仿宋" w:hAnsi="仿宋" w:eastAsia="仿宋" w:cs="仿宋"/>
                <w:sz w:val="24"/>
              </w:rPr>
            </w:pP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112CEC1D">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叶菜类</w:t>
            </w:r>
          </w:p>
        </w:tc>
        <w:tc>
          <w:tcPr>
            <w:tcW w:w="570" w:type="pct"/>
            <w:vMerge w:val="continue"/>
            <w:tcBorders>
              <w:left w:val="single" w:color="000000" w:sz="4" w:space="0"/>
              <w:bottom w:val="single" w:color="000000" w:sz="4" w:space="0"/>
              <w:right w:val="single" w:color="000000" w:sz="4" w:space="0"/>
            </w:tcBorders>
            <w:vAlign w:val="center"/>
          </w:tcPr>
          <w:p w14:paraId="09335BE3">
            <w:pPr>
              <w:widowControl/>
              <w:jc w:val="center"/>
              <w:textAlignment w:val="center"/>
              <w:rPr>
                <w:rFonts w:hint="eastAsia" w:ascii="仿宋" w:hAnsi="仿宋" w:eastAsia="仿宋" w:cs="仿宋"/>
                <w:sz w:val="21"/>
                <w:szCs w:val="21"/>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67B7BB80">
            <w:pPr>
              <w:widowControl/>
              <w:jc w:val="center"/>
              <w:textAlignment w:val="center"/>
              <w:rPr>
                <w:rFonts w:hint="eastAsia" w:ascii="仿宋" w:hAnsi="仿宋" w:eastAsia="仿宋" w:cs="仿宋"/>
                <w:sz w:val="21"/>
                <w:szCs w:val="21"/>
              </w:rPr>
            </w:pPr>
            <w:r>
              <w:rPr>
                <w:rFonts w:hint="eastAsia" w:ascii="仿宋" w:hAnsi="仿宋" w:eastAsia="仿宋" w:cs="仿宋"/>
                <w:sz w:val="21"/>
                <w:szCs w:val="21"/>
              </w:rPr>
              <w:t>100%</w:t>
            </w:r>
          </w:p>
        </w:tc>
        <w:tc>
          <w:tcPr>
            <w:tcW w:w="2098" w:type="pct"/>
            <w:tcBorders>
              <w:top w:val="single" w:color="000000" w:sz="4" w:space="0"/>
              <w:left w:val="single" w:color="000000" w:sz="4" w:space="0"/>
              <w:bottom w:val="single" w:color="000000" w:sz="4" w:space="0"/>
              <w:right w:val="single" w:color="000000" w:sz="4" w:space="0"/>
            </w:tcBorders>
            <w:noWrap/>
            <w:vAlign w:val="center"/>
          </w:tcPr>
          <w:p w14:paraId="44A56FEF">
            <w:pPr>
              <w:jc w:val="left"/>
              <w:rPr>
                <w:rFonts w:hint="eastAsia" w:ascii="仿宋" w:hAnsi="仿宋" w:eastAsia="仿宋" w:cs="仿宋"/>
                <w:sz w:val="21"/>
                <w:szCs w:val="21"/>
              </w:rPr>
            </w:pPr>
            <w:r>
              <w:rPr>
                <w:rFonts w:hint="eastAsia" w:ascii="仿宋" w:hAnsi="仿宋" w:eastAsia="仿宋" w:cs="仿宋"/>
                <w:sz w:val="21"/>
                <w:szCs w:val="21"/>
              </w:rPr>
              <w:t>菜心、生菜、油麦菜、娃娃菜等</w:t>
            </w:r>
          </w:p>
        </w:tc>
      </w:tr>
    </w:tbl>
    <w:p w14:paraId="77C14A8D">
      <w:pPr>
        <w:widowControl/>
        <w:spacing w:line="440" w:lineRule="exact"/>
        <w:ind w:firstLine="480" w:firstLineChars="200"/>
        <w:jc w:val="left"/>
        <w:rPr>
          <w:rFonts w:hint="eastAsia" w:ascii="仿宋" w:hAnsi="仿宋" w:eastAsia="仿宋" w:cs="仿宋"/>
          <w:bCs/>
          <w:kern w:val="0"/>
          <w:sz w:val="24"/>
          <w:lang w:bidi="ar"/>
        </w:rPr>
      </w:pPr>
    </w:p>
    <w:p w14:paraId="70083C76">
      <w:pPr>
        <w:widowControl/>
        <w:spacing w:line="440" w:lineRule="exact"/>
        <w:jc w:val="center"/>
        <w:rPr>
          <w:rFonts w:hint="eastAsia" w:ascii="仿宋" w:hAnsi="仿宋" w:eastAsia="仿宋" w:cs="仿宋"/>
          <w:b/>
          <w:bCs/>
          <w:sz w:val="24"/>
        </w:rPr>
      </w:pPr>
      <w:r>
        <w:rPr>
          <w:rFonts w:hint="eastAsia" w:ascii="仿宋" w:hAnsi="仿宋" w:eastAsia="仿宋" w:cs="仿宋"/>
          <w:b/>
          <w:bCs/>
          <w:sz w:val="24"/>
        </w:rPr>
        <w:t>餐饮折扣后最高限价明细表</w:t>
      </w:r>
    </w:p>
    <w:tbl>
      <w:tblPr>
        <w:tblStyle w:val="12"/>
        <w:tblW w:w="4998" w:type="pct"/>
        <w:tblInd w:w="0" w:type="dxa"/>
        <w:tblLayout w:type="fixed"/>
        <w:tblCellMar>
          <w:top w:w="0" w:type="dxa"/>
          <w:left w:w="108" w:type="dxa"/>
          <w:bottom w:w="0" w:type="dxa"/>
          <w:right w:w="108" w:type="dxa"/>
        </w:tblCellMar>
      </w:tblPr>
      <w:tblGrid>
        <w:gridCol w:w="721"/>
        <w:gridCol w:w="1145"/>
        <w:gridCol w:w="1162"/>
        <w:gridCol w:w="5491"/>
      </w:tblGrid>
      <w:tr w14:paraId="6A183026">
        <w:tblPrEx>
          <w:tblCellMar>
            <w:top w:w="0" w:type="dxa"/>
            <w:left w:w="108" w:type="dxa"/>
            <w:bottom w:w="0" w:type="dxa"/>
            <w:right w:w="108" w:type="dxa"/>
          </w:tblCellMar>
        </w:tblPrEx>
        <w:trPr>
          <w:trHeight w:val="1076" w:hRule="atLeast"/>
        </w:trPr>
        <w:tc>
          <w:tcPr>
            <w:tcW w:w="423" w:type="pct"/>
            <w:tcBorders>
              <w:top w:val="single" w:color="000000" w:sz="4" w:space="0"/>
              <w:left w:val="single" w:color="000000" w:sz="4" w:space="0"/>
              <w:bottom w:val="single" w:color="000000" w:sz="4" w:space="0"/>
              <w:right w:val="single" w:color="000000" w:sz="4" w:space="0"/>
            </w:tcBorders>
            <w:vAlign w:val="center"/>
          </w:tcPr>
          <w:p w14:paraId="648BB283">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销售方式</w:t>
            </w:r>
          </w:p>
        </w:tc>
        <w:tc>
          <w:tcPr>
            <w:tcW w:w="672" w:type="pct"/>
            <w:tcBorders>
              <w:top w:val="single" w:color="000000" w:sz="4" w:space="0"/>
              <w:left w:val="single" w:color="000000" w:sz="4" w:space="0"/>
              <w:bottom w:val="single" w:color="000000" w:sz="4" w:space="0"/>
              <w:right w:val="single" w:color="000000" w:sz="4" w:space="0"/>
            </w:tcBorders>
            <w:vAlign w:val="center"/>
          </w:tcPr>
          <w:p w14:paraId="61F1D903">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类别</w:t>
            </w:r>
          </w:p>
        </w:tc>
        <w:tc>
          <w:tcPr>
            <w:tcW w:w="682" w:type="pct"/>
            <w:tcBorders>
              <w:top w:val="single" w:color="000000" w:sz="4" w:space="0"/>
              <w:left w:val="single" w:color="000000" w:sz="4" w:space="0"/>
              <w:bottom w:val="single" w:color="000000" w:sz="4" w:space="0"/>
              <w:right w:val="single" w:color="000000" w:sz="4" w:space="0"/>
            </w:tcBorders>
            <w:vAlign w:val="center"/>
          </w:tcPr>
          <w:p w14:paraId="666AE7B1">
            <w:pPr>
              <w:widowControl/>
              <w:jc w:val="center"/>
              <w:textAlignment w:val="center"/>
              <w:rPr>
                <w:rFonts w:hint="eastAsia" w:ascii="仿宋" w:hAnsi="仿宋" w:eastAsia="仿宋" w:cs="仿宋"/>
                <w:b/>
                <w:bCs/>
                <w:szCs w:val="21"/>
              </w:rPr>
            </w:pPr>
            <w:r>
              <w:rPr>
                <w:rFonts w:ascii="仿宋" w:hAnsi="仿宋" w:eastAsia="仿宋" w:cs="仿宋"/>
                <w:b/>
                <w:bCs/>
                <w:szCs w:val="21"/>
                <w:lang w:bidi="ar"/>
              </w:rPr>
              <w:t>折扣后</w:t>
            </w:r>
            <w:r>
              <w:rPr>
                <w:rFonts w:ascii="仿宋" w:hAnsi="仿宋" w:eastAsia="仿宋" w:cs="仿宋"/>
                <w:b/>
                <w:bCs/>
                <w:szCs w:val="21"/>
                <w:lang w:bidi="ar"/>
              </w:rPr>
              <w:br w:type="textWrapping"/>
            </w:r>
            <w:r>
              <w:rPr>
                <w:rFonts w:ascii="仿宋" w:hAnsi="仿宋" w:eastAsia="仿宋" w:cs="仿宋"/>
                <w:b/>
                <w:bCs/>
                <w:szCs w:val="21"/>
                <w:lang w:bidi="ar"/>
              </w:rPr>
              <w:t>最高限价</w:t>
            </w:r>
            <w:r>
              <w:rPr>
                <w:rFonts w:ascii="仿宋" w:hAnsi="仿宋" w:eastAsia="仿宋" w:cs="仿宋"/>
                <w:b/>
                <w:bCs/>
                <w:szCs w:val="21"/>
                <w:lang w:bidi="ar"/>
              </w:rPr>
              <w:br w:type="textWrapping"/>
            </w:r>
            <w:r>
              <w:rPr>
                <w:rFonts w:ascii="仿宋" w:hAnsi="仿宋" w:eastAsia="仿宋" w:cs="仿宋"/>
                <w:b/>
                <w:bCs/>
                <w:sz w:val="15"/>
                <w:szCs w:val="15"/>
                <w:lang w:bidi="ar"/>
              </w:rPr>
              <w:t>（人民币/元）</w:t>
            </w:r>
          </w:p>
        </w:tc>
        <w:tc>
          <w:tcPr>
            <w:tcW w:w="3221" w:type="pct"/>
            <w:tcBorders>
              <w:top w:val="single" w:color="000000" w:sz="4" w:space="0"/>
              <w:left w:val="single" w:color="000000" w:sz="4" w:space="0"/>
              <w:bottom w:val="single" w:color="000000" w:sz="4" w:space="0"/>
              <w:right w:val="single" w:color="000000" w:sz="4" w:space="0"/>
            </w:tcBorders>
            <w:vAlign w:val="center"/>
          </w:tcPr>
          <w:p w14:paraId="70B65D4E">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每周可选种类及数量要求</w:t>
            </w:r>
          </w:p>
        </w:tc>
      </w:tr>
      <w:tr w14:paraId="161ED88E">
        <w:tblPrEx>
          <w:tblCellMar>
            <w:top w:w="0" w:type="dxa"/>
            <w:left w:w="108" w:type="dxa"/>
            <w:bottom w:w="0" w:type="dxa"/>
            <w:right w:w="108" w:type="dxa"/>
          </w:tblCellMar>
        </w:tblPrEx>
        <w:trPr>
          <w:trHeight w:val="501" w:hRule="atLeast"/>
        </w:trPr>
        <w:tc>
          <w:tcPr>
            <w:tcW w:w="423" w:type="pct"/>
            <w:vMerge w:val="restart"/>
            <w:tcBorders>
              <w:top w:val="single" w:color="000000" w:sz="4" w:space="0"/>
              <w:left w:val="single" w:color="000000" w:sz="4" w:space="0"/>
              <w:bottom w:val="nil"/>
              <w:right w:val="single" w:color="000000" w:sz="4" w:space="0"/>
            </w:tcBorders>
            <w:vAlign w:val="center"/>
          </w:tcPr>
          <w:p w14:paraId="218B5BFA">
            <w:pPr>
              <w:widowControl/>
              <w:jc w:val="center"/>
              <w:textAlignment w:val="center"/>
              <w:rPr>
                <w:rFonts w:hint="eastAsia" w:ascii="方正仿宋_GBK" w:hAnsi="方正仿宋_GBK" w:eastAsia="方正仿宋_GBK" w:cs="方正仿宋_GBK"/>
                <w:sz w:val="18"/>
                <w:szCs w:val="18"/>
              </w:rPr>
            </w:pPr>
            <w:r>
              <w:rPr>
                <w:rFonts w:hint="eastAsia" w:ascii="仿宋" w:hAnsi="仿宋" w:eastAsia="仿宋" w:cs="仿宋"/>
                <w:sz w:val="24"/>
                <w:lang w:bidi="ar"/>
              </w:rPr>
              <w:t>零点自选</w:t>
            </w:r>
          </w:p>
        </w:tc>
        <w:tc>
          <w:tcPr>
            <w:tcW w:w="672" w:type="pct"/>
            <w:vMerge w:val="restart"/>
            <w:tcBorders>
              <w:top w:val="single" w:color="000000" w:sz="4" w:space="0"/>
              <w:left w:val="single" w:color="000000" w:sz="4" w:space="0"/>
              <w:bottom w:val="single" w:color="000000" w:sz="4" w:space="0"/>
              <w:right w:val="single" w:color="000000" w:sz="4" w:space="0"/>
            </w:tcBorders>
            <w:vAlign w:val="center"/>
          </w:tcPr>
          <w:p w14:paraId="46D03B34">
            <w:pPr>
              <w:widowControl/>
              <w:jc w:val="center"/>
              <w:textAlignment w:val="center"/>
              <w:rPr>
                <w:rFonts w:hint="eastAsia" w:ascii="仿宋" w:hAnsi="仿宋" w:eastAsia="仿宋" w:cs="仿宋"/>
                <w:sz w:val="24"/>
              </w:rPr>
            </w:pPr>
            <w:r>
              <w:rPr>
                <w:rFonts w:hint="eastAsia" w:ascii="仿宋" w:hAnsi="仿宋" w:eastAsia="仿宋" w:cs="仿宋"/>
                <w:sz w:val="24"/>
                <w:lang w:bidi="ar"/>
              </w:rPr>
              <w:t>早餐</w:t>
            </w:r>
          </w:p>
        </w:tc>
        <w:tc>
          <w:tcPr>
            <w:tcW w:w="682" w:type="pct"/>
            <w:tcBorders>
              <w:top w:val="single" w:color="000000" w:sz="4" w:space="0"/>
              <w:left w:val="single" w:color="000000" w:sz="4" w:space="0"/>
              <w:bottom w:val="single" w:color="000000" w:sz="4" w:space="0"/>
              <w:right w:val="single" w:color="000000" w:sz="4" w:space="0"/>
            </w:tcBorders>
            <w:vAlign w:val="center"/>
          </w:tcPr>
          <w:p w14:paraId="5B7E72A3">
            <w:pPr>
              <w:widowControl/>
              <w:jc w:val="center"/>
              <w:textAlignment w:val="center"/>
              <w:rPr>
                <w:rFonts w:hint="eastAsia" w:ascii="仿宋" w:hAnsi="仿宋" w:eastAsia="仿宋" w:cs="仿宋"/>
                <w:szCs w:val="21"/>
              </w:rPr>
            </w:pPr>
            <w:r>
              <w:rPr>
                <w:rFonts w:hint="eastAsia" w:ascii="仿宋" w:hAnsi="仿宋" w:eastAsia="仿宋" w:cs="仿宋"/>
                <w:szCs w:val="21"/>
                <w:lang w:bidi="ar"/>
              </w:rPr>
              <w:t>1.00</w:t>
            </w:r>
          </w:p>
        </w:tc>
        <w:tc>
          <w:tcPr>
            <w:tcW w:w="3221" w:type="pct"/>
            <w:tcBorders>
              <w:top w:val="single" w:color="000000" w:sz="4" w:space="0"/>
              <w:left w:val="single" w:color="000000" w:sz="4" w:space="0"/>
              <w:bottom w:val="single" w:color="000000" w:sz="4" w:space="0"/>
              <w:right w:val="single" w:color="000000" w:sz="4" w:space="0"/>
            </w:tcBorders>
            <w:vAlign w:val="center"/>
          </w:tcPr>
          <w:p w14:paraId="33E116CE">
            <w:pPr>
              <w:widowControl/>
              <w:jc w:val="left"/>
              <w:textAlignment w:val="center"/>
              <w:rPr>
                <w:rFonts w:hint="eastAsia" w:ascii="仿宋" w:hAnsi="仿宋" w:eastAsia="仿宋" w:cs="仿宋"/>
                <w:szCs w:val="21"/>
              </w:rPr>
            </w:pPr>
            <w:r>
              <w:rPr>
                <w:rFonts w:hint="eastAsia" w:ascii="仿宋" w:hAnsi="仿宋" w:eastAsia="仿宋" w:cs="仿宋"/>
                <w:szCs w:val="21"/>
                <w:lang w:bidi="ar"/>
              </w:rPr>
              <w:t>打包盒、白粥等不少于2款</w:t>
            </w:r>
          </w:p>
        </w:tc>
      </w:tr>
      <w:tr w14:paraId="4BF1ED03">
        <w:tblPrEx>
          <w:tblCellMar>
            <w:top w:w="0" w:type="dxa"/>
            <w:left w:w="108" w:type="dxa"/>
            <w:bottom w:w="0" w:type="dxa"/>
            <w:right w:w="108" w:type="dxa"/>
          </w:tblCellMar>
        </w:tblPrEx>
        <w:trPr>
          <w:trHeight w:val="465" w:hRule="atLeast"/>
        </w:trPr>
        <w:tc>
          <w:tcPr>
            <w:tcW w:w="423" w:type="pct"/>
            <w:vMerge w:val="continue"/>
            <w:tcBorders>
              <w:top w:val="single" w:color="000000" w:sz="4" w:space="0"/>
              <w:left w:val="single" w:color="000000" w:sz="4" w:space="0"/>
              <w:bottom w:val="nil"/>
              <w:right w:val="single" w:color="000000" w:sz="4" w:space="0"/>
            </w:tcBorders>
            <w:vAlign w:val="center"/>
          </w:tcPr>
          <w:p w14:paraId="3B42CFFB">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3AC969CA">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41BB3A40">
            <w:pPr>
              <w:widowControl/>
              <w:jc w:val="center"/>
              <w:textAlignment w:val="center"/>
              <w:rPr>
                <w:rFonts w:hint="eastAsia" w:ascii="仿宋" w:hAnsi="仿宋" w:eastAsia="仿宋" w:cs="仿宋"/>
                <w:szCs w:val="21"/>
              </w:rPr>
            </w:pPr>
            <w:r>
              <w:rPr>
                <w:rFonts w:hint="eastAsia" w:ascii="仿宋" w:hAnsi="仿宋" w:eastAsia="仿宋" w:cs="仿宋"/>
                <w:szCs w:val="21"/>
                <w:lang w:bidi="ar"/>
              </w:rPr>
              <w:t>1.50</w:t>
            </w:r>
          </w:p>
        </w:tc>
        <w:tc>
          <w:tcPr>
            <w:tcW w:w="3221" w:type="pct"/>
            <w:tcBorders>
              <w:top w:val="single" w:color="000000" w:sz="4" w:space="0"/>
              <w:left w:val="single" w:color="000000" w:sz="4" w:space="0"/>
              <w:bottom w:val="single" w:color="000000" w:sz="4" w:space="0"/>
              <w:right w:val="single" w:color="000000" w:sz="4" w:space="0"/>
            </w:tcBorders>
            <w:vAlign w:val="center"/>
          </w:tcPr>
          <w:p w14:paraId="445BE5BB">
            <w:pPr>
              <w:widowControl/>
              <w:jc w:val="left"/>
              <w:textAlignment w:val="center"/>
              <w:rPr>
                <w:rFonts w:hint="eastAsia" w:ascii="仿宋" w:hAnsi="仿宋" w:eastAsia="仿宋" w:cs="仿宋"/>
                <w:szCs w:val="21"/>
              </w:rPr>
            </w:pPr>
            <w:r>
              <w:rPr>
                <w:rFonts w:hint="eastAsia" w:ascii="仿宋" w:hAnsi="仿宋" w:eastAsia="仿宋" w:cs="仿宋"/>
                <w:szCs w:val="21"/>
                <w:lang w:bidi="ar"/>
              </w:rPr>
              <w:t>鸡蛋、粗粮类、白馒头、玉米（1节）等不少于4款</w:t>
            </w:r>
          </w:p>
        </w:tc>
      </w:tr>
      <w:tr w14:paraId="222F704A">
        <w:tblPrEx>
          <w:tblCellMar>
            <w:top w:w="0" w:type="dxa"/>
            <w:left w:w="108" w:type="dxa"/>
            <w:bottom w:w="0" w:type="dxa"/>
            <w:right w:w="108" w:type="dxa"/>
          </w:tblCellMar>
        </w:tblPrEx>
        <w:trPr>
          <w:trHeight w:val="650" w:hRule="atLeast"/>
        </w:trPr>
        <w:tc>
          <w:tcPr>
            <w:tcW w:w="423" w:type="pct"/>
            <w:vMerge w:val="continue"/>
            <w:tcBorders>
              <w:top w:val="single" w:color="000000" w:sz="4" w:space="0"/>
              <w:left w:val="single" w:color="000000" w:sz="4" w:space="0"/>
              <w:bottom w:val="nil"/>
              <w:right w:val="single" w:color="000000" w:sz="4" w:space="0"/>
            </w:tcBorders>
            <w:vAlign w:val="center"/>
          </w:tcPr>
          <w:p w14:paraId="0BDBB911">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2C9C852B">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62DE0570">
            <w:pPr>
              <w:widowControl/>
              <w:jc w:val="center"/>
              <w:textAlignment w:val="center"/>
              <w:rPr>
                <w:rFonts w:hint="eastAsia" w:ascii="仿宋" w:hAnsi="仿宋" w:eastAsia="仿宋" w:cs="仿宋"/>
                <w:szCs w:val="21"/>
              </w:rPr>
            </w:pPr>
            <w:r>
              <w:rPr>
                <w:rFonts w:hint="eastAsia" w:ascii="仿宋" w:hAnsi="仿宋" w:eastAsia="仿宋" w:cs="仿宋"/>
                <w:szCs w:val="21"/>
                <w:lang w:bidi="ar"/>
              </w:rPr>
              <w:t>2.00</w:t>
            </w:r>
          </w:p>
        </w:tc>
        <w:tc>
          <w:tcPr>
            <w:tcW w:w="3221" w:type="pct"/>
            <w:tcBorders>
              <w:top w:val="single" w:color="000000" w:sz="4" w:space="0"/>
              <w:left w:val="single" w:color="000000" w:sz="4" w:space="0"/>
              <w:bottom w:val="single" w:color="000000" w:sz="4" w:space="0"/>
              <w:right w:val="single" w:color="000000" w:sz="4" w:space="0"/>
            </w:tcBorders>
            <w:vAlign w:val="center"/>
          </w:tcPr>
          <w:p w14:paraId="7B51A3BD">
            <w:pPr>
              <w:widowControl/>
              <w:jc w:val="left"/>
              <w:textAlignment w:val="center"/>
              <w:rPr>
                <w:rFonts w:hint="eastAsia" w:ascii="仿宋" w:hAnsi="仿宋" w:eastAsia="仿宋" w:cs="仿宋"/>
                <w:szCs w:val="21"/>
              </w:rPr>
            </w:pPr>
            <w:r>
              <w:rPr>
                <w:rFonts w:hint="eastAsia" w:ascii="仿宋" w:hAnsi="仿宋" w:eastAsia="仿宋" w:cs="仿宋"/>
                <w:szCs w:val="21"/>
                <w:lang w:bidi="ar"/>
              </w:rPr>
              <w:t>豆浆、粗粮馒头、春卷、花卷、小生肉包、烧麦、小米糕、鹌鹑蛋（5只）、肉类蒸饺、地瓜丸等不少于8款</w:t>
            </w:r>
          </w:p>
        </w:tc>
      </w:tr>
      <w:tr w14:paraId="22E02816">
        <w:tblPrEx>
          <w:tblCellMar>
            <w:top w:w="0" w:type="dxa"/>
            <w:left w:w="108" w:type="dxa"/>
            <w:bottom w:w="0" w:type="dxa"/>
            <w:right w:w="108" w:type="dxa"/>
          </w:tblCellMar>
        </w:tblPrEx>
        <w:trPr>
          <w:trHeight w:val="650" w:hRule="atLeast"/>
        </w:trPr>
        <w:tc>
          <w:tcPr>
            <w:tcW w:w="423" w:type="pct"/>
            <w:vMerge w:val="continue"/>
            <w:tcBorders>
              <w:top w:val="single" w:color="000000" w:sz="4" w:space="0"/>
              <w:left w:val="single" w:color="000000" w:sz="4" w:space="0"/>
              <w:bottom w:val="nil"/>
              <w:right w:val="single" w:color="000000" w:sz="4" w:space="0"/>
            </w:tcBorders>
            <w:vAlign w:val="center"/>
          </w:tcPr>
          <w:p w14:paraId="568D35E9">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6A6F0886">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68B1FAAB">
            <w:pPr>
              <w:widowControl/>
              <w:jc w:val="center"/>
              <w:textAlignment w:val="center"/>
              <w:rPr>
                <w:rFonts w:hint="eastAsia" w:ascii="仿宋" w:hAnsi="仿宋" w:eastAsia="仿宋" w:cs="仿宋"/>
                <w:szCs w:val="21"/>
              </w:rPr>
            </w:pPr>
            <w:r>
              <w:rPr>
                <w:rFonts w:hint="eastAsia" w:ascii="仿宋" w:hAnsi="仿宋" w:eastAsia="仿宋" w:cs="仿宋"/>
                <w:szCs w:val="21"/>
                <w:lang w:bidi="ar"/>
              </w:rPr>
              <w:t>2.50</w:t>
            </w:r>
          </w:p>
        </w:tc>
        <w:tc>
          <w:tcPr>
            <w:tcW w:w="3221" w:type="pct"/>
            <w:tcBorders>
              <w:top w:val="single" w:color="000000" w:sz="4" w:space="0"/>
              <w:left w:val="single" w:color="000000" w:sz="4" w:space="0"/>
              <w:bottom w:val="single" w:color="000000" w:sz="4" w:space="0"/>
              <w:right w:val="single" w:color="000000" w:sz="4" w:space="0"/>
            </w:tcBorders>
            <w:vAlign w:val="center"/>
          </w:tcPr>
          <w:p w14:paraId="3F1BF689">
            <w:pPr>
              <w:widowControl/>
              <w:jc w:val="left"/>
              <w:textAlignment w:val="center"/>
              <w:rPr>
                <w:rFonts w:hint="eastAsia" w:ascii="仿宋" w:hAnsi="仿宋" w:eastAsia="仿宋" w:cs="仿宋"/>
                <w:szCs w:val="21"/>
              </w:rPr>
            </w:pPr>
            <w:r>
              <w:rPr>
                <w:rFonts w:hint="eastAsia" w:ascii="仿宋" w:hAnsi="仿宋" w:eastAsia="仿宋" w:cs="仿宋"/>
                <w:szCs w:val="21"/>
                <w:lang w:bidi="ar"/>
              </w:rPr>
              <w:t>黄金糕、马来糕、杂粮糕、流沙包、椰奶包、手工肉包、南瓜粥、小米粥等不少于8款</w:t>
            </w:r>
          </w:p>
        </w:tc>
      </w:tr>
      <w:tr w14:paraId="2F7199CB">
        <w:tblPrEx>
          <w:tblCellMar>
            <w:top w:w="0" w:type="dxa"/>
            <w:left w:w="108" w:type="dxa"/>
            <w:bottom w:w="0" w:type="dxa"/>
            <w:right w:w="108" w:type="dxa"/>
          </w:tblCellMar>
        </w:tblPrEx>
        <w:trPr>
          <w:trHeight w:val="477" w:hRule="atLeast"/>
        </w:trPr>
        <w:tc>
          <w:tcPr>
            <w:tcW w:w="423" w:type="pct"/>
            <w:vMerge w:val="continue"/>
            <w:tcBorders>
              <w:top w:val="single" w:color="000000" w:sz="4" w:space="0"/>
              <w:left w:val="single" w:color="000000" w:sz="4" w:space="0"/>
              <w:bottom w:val="nil"/>
              <w:right w:val="single" w:color="000000" w:sz="4" w:space="0"/>
            </w:tcBorders>
            <w:vAlign w:val="center"/>
          </w:tcPr>
          <w:p w14:paraId="29281A7D">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71630A3A">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404C822C">
            <w:pPr>
              <w:widowControl/>
              <w:jc w:val="center"/>
              <w:textAlignment w:val="center"/>
              <w:rPr>
                <w:rFonts w:hint="eastAsia" w:ascii="仿宋" w:hAnsi="仿宋" w:eastAsia="仿宋" w:cs="仿宋"/>
                <w:szCs w:val="21"/>
              </w:rPr>
            </w:pPr>
            <w:r>
              <w:rPr>
                <w:rFonts w:hint="eastAsia" w:ascii="仿宋" w:hAnsi="仿宋" w:eastAsia="仿宋" w:cs="仿宋"/>
                <w:szCs w:val="21"/>
                <w:lang w:bidi="ar"/>
              </w:rPr>
              <w:t>3.00</w:t>
            </w:r>
          </w:p>
        </w:tc>
        <w:tc>
          <w:tcPr>
            <w:tcW w:w="3221" w:type="pct"/>
            <w:tcBorders>
              <w:top w:val="single" w:color="000000" w:sz="4" w:space="0"/>
              <w:left w:val="single" w:color="000000" w:sz="4" w:space="0"/>
              <w:bottom w:val="single" w:color="000000" w:sz="4" w:space="0"/>
              <w:right w:val="single" w:color="000000" w:sz="4" w:space="0"/>
            </w:tcBorders>
            <w:vAlign w:val="center"/>
          </w:tcPr>
          <w:p w14:paraId="0577AE65">
            <w:pPr>
              <w:widowControl/>
              <w:jc w:val="left"/>
              <w:textAlignment w:val="center"/>
              <w:rPr>
                <w:rFonts w:hint="eastAsia" w:ascii="仿宋" w:hAnsi="仿宋" w:eastAsia="仿宋" w:cs="仿宋"/>
                <w:szCs w:val="21"/>
              </w:rPr>
            </w:pPr>
            <w:r>
              <w:rPr>
                <w:rFonts w:hint="eastAsia" w:ascii="仿宋" w:hAnsi="仿宋" w:eastAsia="仿宋" w:cs="仿宋"/>
                <w:szCs w:val="21"/>
                <w:lang w:bidi="ar"/>
              </w:rPr>
              <w:t>粗粮类、肉粥、蔬菜类等不少于3款</w:t>
            </w:r>
          </w:p>
        </w:tc>
      </w:tr>
      <w:tr w14:paraId="09FF1012">
        <w:tblPrEx>
          <w:tblCellMar>
            <w:top w:w="0" w:type="dxa"/>
            <w:left w:w="108" w:type="dxa"/>
            <w:bottom w:w="0" w:type="dxa"/>
            <w:right w:w="108" w:type="dxa"/>
          </w:tblCellMar>
        </w:tblPrEx>
        <w:trPr>
          <w:trHeight w:val="509" w:hRule="atLeast"/>
        </w:trPr>
        <w:tc>
          <w:tcPr>
            <w:tcW w:w="423" w:type="pct"/>
            <w:vMerge w:val="continue"/>
            <w:tcBorders>
              <w:top w:val="single" w:color="000000" w:sz="4" w:space="0"/>
              <w:left w:val="single" w:color="000000" w:sz="4" w:space="0"/>
              <w:bottom w:val="nil"/>
              <w:right w:val="single" w:color="000000" w:sz="4" w:space="0"/>
            </w:tcBorders>
            <w:vAlign w:val="center"/>
          </w:tcPr>
          <w:p w14:paraId="080344E2">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7C4EDB41">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0C43D199">
            <w:pPr>
              <w:widowControl/>
              <w:jc w:val="center"/>
              <w:textAlignment w:val="center"/>
              <w:rPr>
                <w:rFonts w:hint="eastAsia" w:ascii="仿宋" w:hAnsi="仿宋" w:eastAsia="仿宋" w:cs="仿宋"/>
                <w:szCs w:val="21"/>
              </w:rPr>
            </w:pPr>
            <w:r>
              <w:rPr>
                <w:rFonts w:hint="eastAsia" w:ascii="仿宋" w:hAnsi="仿宋" w:eastAsia="仿宋" w:cs="仿宋"/>
                <w:szCs w:val="21"/>
                <w:lang w:bidi="ar"/>
              </w:rPr>
              <w:t>3.50</w:t>
            </w:r>
          </w:p>
        </w:tc>
        <w:tc>
          <w:tcPr>
            <w:tcW w:w="3221" w:type="pct"/>
            <w:tcBorders>
              <w:top w:val="single" w:color="000000" w:sz="4" w:space="0"/>
              <w:left w:val="single" w:color="000000" w:sz="4" w:space="0"/>
              <w:bottom w:val="single" w:color="000000" w:sz="4" w:space="0"/>
              <w:right w:val="single" w:color="000000" w:sz="4" w:space="0"/>
            </w:tcBorders>
            <w:vAlign w:val="center"/>
          </w:tcPr>
          <w:p w14:paraId="2F3FD373">
            <w:pPr>
              <w:widowControl/>
              <w:jc w:val="left"/>
              <w:textAlignment w:val="center"/>
              <w:rPr>
                <w:rFonts w:hint="eastAsia" w:ascii="仿宋" w:hAnsi="仿宋" w:eastAsia="仿宋" w:cs="仿宋"/>
                <w:szCs w:val="21"/>
              </w:rPr>
            </w:pPr>
            <w:r>
              <w:rPr>
                <w:rFonts w:hint="eastAsia" w:ascii="仿宋" w:hAnsi="仿宋" w:eastAsia="仿宋" w:cs="仿宋"/>
                <w:szCs w:val="21"/>
                <w:lang w:bidi="ar"/>
              </w:rPr>
              <w:t>纯牛奶、酸奶（含无糖）等不少于5款</w:t>
            </w:r>
          </w:p>
        </w:tc>
      </w:tr>
      <w:tr w14:paraId="24F483A4">
        <w:tblPrEx>
          <w:tblCellMar>
            <w:top w:w="0" w:type="dxa"/>
            <w:left w:w="108" w:type="dxa"/>
            <w:bottom w:w="0" w:type="dxa"/>
            <w:right w:w="108" w:type="dxa"/>
          </w:tblCellMar>
        </w:tblPrEx>
        <w:trPr>
          <w:trHeight w:val="665" w:hRule="atLeast"/>
        </w:trPr>
        <w:tc>
          <w:tcPr>
            <w:tcW w:w="423" w:type="pct"/>
            <w:vMerge w:val="continue"/>
            <w:tcBorders>
              <w:top w:val="single" w:color="000000" w:sz="4" w:space="0"/>
              <w:left w:val="single" w:color="000000" w:sz="4" w:space="0"/>
              <w:bottom w:val="nil"/>
              <w:right w:val="single" w:color="000000" w:sz="4" w:space="0"/>
            </w:tcBorders>
            <w:vAlign w:val="center"/>
          </w:tcPr>
          <w:p w14:paraId="41104A60">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0E2031B6">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49F03740">
            <w:pPr>
              <w:widowControl/>
              <w:jc w:val="center"/>
              <w:textAlignment w:val="center"/>
              <w:rPr>
                <w:rFonts w:hint="eastAsia" w:ascii="仿宋" w:hAnsi="仿宋" w:eastAsia="仿宋" w:cs="仿宋"/>
                <w:szCs w:val="21"/>
              </w:rPr>
            </w:pPr>
            <w:r>
              <w:rPr>
                <w:rFonts w:hint="eastAsia" w:ascii="仿宋" w:hAnsi="仿宋" w:eastAsia="仿宋" w:cs="仿宋"/>
                <w:szCs w:val="21"/>
                <w:lang w:bidi="ar"/>
              </w:rPr>
              <w:t>4.00</w:t>
            </w:r>
          </w:p>
        </w:tc>
        <w:tc>
          <w:tcPr>
            <w:tcW w:w="3221" w:type="pct"/>
            <w:tcBorders>
              <w:top w:val="single" w:color="000000" w:sz="4" w:space="0"/>
              <w:left w:val="single" w:color="000000" w:sz="4" w:space="0"/>
              <w:bottom w:val="single" w:color="000000" w:sz="4" w:space="0"/>
              <w:right w:val="single" w:color="000000" w:sz="4" w:space="0"/>
            </w:tcBorders>
            <w:vAlign w:val="center"/>
          </w:tcPr>
          <w:p w14:paraId="388210D5">
            <w:pPr>
              <w:widowControl/>
              <w:jc w:val="left"/>
              <w:textAlignment w:val="center"/>
              <w:rPr>
                <w:rFonts w:hint="eastAsia" w:ascii="仿宋" w:hAnsi="仿宋" w:eastAsia="仿宋" w:cs="仿宋"/>
                <w:szCs w:val="21"/>
              </w:rPr>
            </w:pPr>
            <w:r>
              <w:rPr>
                <w:rFonts w:hint="eastAsia" w:ascii="仿宋" w:hAnsi="仿宋" w:eastAsia="仿宋" w:cs="仿宋"/>
                <w:szCs w:val="21"/>
                <w:lang w:bidi="ar"/>
              </w:rPr>
              <w:t>三丝炒河粉、香葱鸡蛋炒面、鼓油皇炒面、含馅西式面包、抹茶蛋糕卷、三文治包等不少于8款</w:t>
            </w:r>
          </w:p>
        </w:tc>
      </w:tr>
      <w:tr w14:paraId="439E3857">
        <w:tblPrEx>
          <w:tblCellMar>
            <w:top w:w="0" w:type="dxa"/>
            <w:left w:w="108" w:type="dxa"/>
            <w:bottom w:w="0" w:type="dxa"/>
            <w:right w:w="108" w:type="dxa"/>
          </w:tblCellMar>
        </w:tblPrEx>
        <w:trPr>
          <w:trHeight w:val="617" w:hRule="atLeast"/>
        </w:trPr>
        <w:tc>
          <w:tcPr>
            <w:tcW w:w="423" w:type="pct"/>
            <w:vMerge w:val="continue"/>
            <w:tcBorders>
              <w:top w:val="single" w:color="000000" w:sz="4" w:space="0"/>
              <w:left w:val="single" w:color="000000" w:sz="4" w:space="0"/>
              <w:bottom w:val="nil"/>
              <w:right w:val="single" w:color="000000" w:sz="4" w:space="0"/>
            </w:tcBorders>
            <w:vAlign w:val="center"/>
          </w:tcPr>
          <w:p w14:paraId="5884E134">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43F09FDF">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543D4C0D">
            <w:pPr>
              <w:widowControl/>
              <w:jc w:val="center"/>
              <w:textAlignment w:val="center"/>
              <w:rPr>
                <w:rFonts w:hint="eastAsia" w:ascii="仿宋" w:hAnsi="仿宋" w:eastAsia="仿宋" w:cs="仿宋"/>
                <w:szCs w:val="21"/>
              </w:rPr>
            </w:pPr>
            <w:r>
              <w:rPr>
                <w:rFonts w:hint="eastAsia" w:ascii="仿宋" w:hAnsi="仿宋" w:eastAsia="仿宋" w:cs="仿宋"/>
                <w:szCs w:val="21"/>
                <w:lang w:bidi="ar"/>
              </w:rPr>
              <w:t>8.00</w:t>
            </w:r>
          </w:p>
        </w:tc>
        <w:tc>
          <w:tcPr>
            <w:tcW w:w="3221" w:type="pct"/>
            <w:tcBorders>
              <w:top w:val="single" w:color="000000" w:sz="4" w:space="0"/>
              <w:left w:val="single" w:color="000000" w:sz="4" w:space="0"/>
              <w:bottom w:val="single" w:color="000000" w:sz="4" w:space="0"/>
              <w:right w:val="single" w:color="000000" w:sz="4" w:space="0"/>
            </w:tcBorders>
            <w:vAlign w:val="center"/>
          </w:tcPr>
          <w:p w14:paraId="1E6CA498">
            <w:pPr>
              <w:widowControl/>
              <w:jc w:val="left"/>
              <w:textAlignment w:val="center"/>
              <w:rPr>
                <w:rFonts w:hint="eastAsia" w:ascii="仿宋" w:hAnsi="仿宋" w:eastAsia="仿宋" w:cs="仿宋"/>
                <w:szCs w:val="21"/>
              </w:rPr>
            </w:pPr>
            <w:r>
              <w:rPr>
                <w:rFonts w:hint="eastAsia" w:ascii="仿宋" w:hAnsi="仿宋" w:eastAsia="仿宋" w:cs="仿宋"/>
                <w:szCs w:val="21"/>
                <w:lang w:bidi="ar"/>
              </w:rPr>
              <w:t xml:space="preserve">斋肠5元，鸡蛋肠6元，肉肠7元，肉蛋肠8元等不少于4款 </w:t>
            </w:r>
          </w:p>
        </w:tc>
      </w:tr>
      <w:tr w14:paraId="3DAD60B0">
        <w:tblPrEx>
          <w:tblCellMar>
            <w:top w:w="0" w:type="dxa"/>
            <w:left w:w="108" w:type="dxa"/>
            <w:bottom w:w="0" w:type="dxa"/>
            <w:right w:w="108" w:type="dxa"/>
          </w:tblCellMar>
        </w:tblPrEx>
        <w:trPr>
          <w:trHeight w:val="480" w:hRule="atLeast"/>
        </w:trPr>
        <w:tc>
          <w:tcPr>
            <w:tcW w:w="423" w:type="pct"/>
            <w:vMerge w:val="continue"/>
            <w:tcBorders>
              <w:top w:val="single" w:color="000000" w:sz="4" w:space="0"/>
              <w:left w:val="single" w:color="000000" w:sz="4" w:space="0"/>
              <w:bottom w:val="nil"/>
              <w:right w:val="single" w:color="000000" w:sz="4" w:space="0"/>
            </w:tcBorders>
            <w:vAlign w:val="center"/>
          </w:tcPr>
          <w:p w14:paraId="71F436A3">
            <w:pPr>
              <w:jc w:val="center"/>
              <w:rPr>
                <w:rFonts w:hint="eastAsia" w:ascii="方正仿宋_GBK" w:hAnsi="方正仿宋_GBK" w:eastAsia="方正仿宋_GBK" w:cs="方正仿宋_GBK"/>
                <w:sz w:val="18"/>
                <w:szCs w:val="18"/>
              </w:rPr>
            </w:pPr>
          </w:p>
        </w:tc>
        <w:tc>
          <w:tcPr>
            <w:tcW w:w="672" w:type="pct"/>
            <w:vMerge w:val="restart"/>
            <w:tcBorders>
              <w:top w:val="single" w:color="000000" w:sz="4" w:space="0"/>
              <w:left w:val="single" w:color="000000" w:sz="4" w:space="0"/>
              <w:bottom w:val="nil"/>
              <w:right w:val="single" w:color="000000" w:sz="4" w:space="0"/>
            </w:tcBorders>
            <w:noWrap/>
            <w:vAlign w:val="center"/>
          </w:tcPr>
          <w:p w14:paraId="6A749F9F">
            <w:pPr>
              <w:widowControl/>
              <w:jc w:val="center"/>
              <w:textAlignment w:val="center"/>
              <w:rPr>
                <w:rFonts w:hint="eastAsia" w:ascii="仿宋" w:hAnsi="仿宋" w:eastAsia="仿宋" w:cs="仿宋"/>
                <w:sz w:val="24"/>
              </w:rPr>
            </w:pPr>
            <w:r>
              <w:rPr>
                <w:rFonts w:hint="eastAsia" w:ascii="仿宋" w:hAnsi="仿宋" w:eastAsia="仿宋" w:cs="仿宋"/>
                <w:sz w:val="24"/>
                <w:lang w:bidi="ar"/>
              </w:rPr>
              <w:t>午餐/晚餐</w:t>
            </w:r>
          </w:p>
        </w:tc>
        <w:tc>
          <w:tcPr>
            <w:tcW w:w="682" w:type="pct"/>
            <w:tcBorders>
              <w:top w:val="single" w:color="000000" w:sz="4" w:space="0"/>
              <w:left w:val="single" w:color="000000" w:sz="4" w:space="0"/>
              <w:bottom w:val="single" w:color="000000" w:sz="4" w:space="0"/>
              <w:right w:val="single" w:color="000000" w:sz="4" w:space="0"/>
            </w:tcBorders>
            <w:vAlign w:val="center"/>
          </w:tcPr>
          <w:p w14:paraId="5CDEC091">
            <w:pPr>
              <w:widowControl/>
              <w:jc w:val="center"/>
              <w:textAlignment w:val="center"/>
              <w:rPr>
                <w:rFonts w:hint="eastAsia" w:ascii="仿宋" w:hAnsi="仿宋" w:eastAsia="仿宋" w:cs="仿宋"/>
                <w:szCs w:val="21"/>
              </w:rPr>
            </w:pPr>
            <w:r>
              <w:rPr>
                <w:rFonts w:hint="eastAsia" w:ascii="仿宋" w:hAnsi="仿宋" w:eastAsia="仿宋" w:cs="仿宋"/>
                <w:szCs w:val="21"/>
                <w:lang w:bidi="ar"/>
              </w:rPr>
              <w:t>1.00</w:t>
            </w:r>
          </w:p>
        </w:tc>
        <w:tc>
          <w:tcPr>
            <w:tcW w:w="3221" w:type="pct"/>
            <w:tcBorders>
              <w:top w:val="single" w:color="000000" w:sz="4" w:space="0"/>
              <w:left w:val="single" w:color="000000" w:sz="4" w:space="0"/>
              <w:bottom w:val="single" w:color="000000" w:sz="4" w:space="0"/>
              <w:right w:val="single" w:color="000000" w:sz="4" w:space="0"/>
            </w:tcBorders>
            <w:vAlign w:val="center"/>
          </w:tcPr>
          <w:p w14:paraId="2541BDBB">
            <w:pPr>
              <w:widowControl/>
              <w:jc w:val="left"/>
              <w:textAlignment w:val="center"/>
              <w:rPr>
                <w:rFonts w:hint="eastAsia" w:ascii="仿宋" w:hAnsi="仿宋" w:eastAsia="仿宋" w:cs="仿宋"/>
                <w:szCs w:val="21"/>
              </w:rPr>
            </w:pPr>
            <w:r>
              <w:rPr>
                <w:rFonts w:hint="eastAsia" w:ascii="仿宋" w:hAnsi="仿宋" w:eastAsia="仿宋" w:cs="仿宋"/>
                <w:szCs w:val="21"/>
                <w:lang w:bidi="ar"/>
              </w:rPr>
              <w:t>打包盒、米饭半份150克等不少于2款</w:t>
            </w:r>
          </w:p>
        </w:tc>
      </w:tr>
      <w:tr w14:paraId="549729CF">
        <w:tblPrEx>
          <w:tblCellMar>
            <w:top w:w="0" w:type="dxa"/>
            <w:left w:w="108" w:type="dxa"/>
            <w:bottom w:w="0" w:type="dxa"/>
            <w:right w:w="108" w:type="dxa"/>
          </w:tblCellMar>
        </w:tblPrEx>
        <w:trPr>
          <w:trHeight w:val="492" w:hRule="atLeast"/>
        </w:trPr>
        <w:tc>
          <w:tcPr>
            <w:tcW w:w="423" w:type="pct"/>
            <w:vMerge w:val="continue"/>
            <w:tcBorders>
              <w:top w:val="single" w:color="000000" w:sz="4" w:space="0"/>
              <w:left w:val="single" w:color="000000" w:sz="4" w:space="0"/>
              <w:bottom w:val="nil"/>
              <w:right w:val="single" w:color="000000" w:sz="4" w:space="0"/>
            </w:tcBorders>
            <w:vAlign w:val="center"/>
          </w:tcPr>
          <w:p w14:paraId="6FF8C23C">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nil"/>
              <w:right w:val="single" w:color="000000" w:sz="4" w:space="0"/>
            </w:tcBorders>
            <w:noWrap/>
            <w:vAlign w:val="center"/>
          </w:tcPr>
          <w:p w14:paraId="09279F2D">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2008F7D5">
            <w:pPr>
              <w:widowControl/>
              <w:jc w:val="center"/>
              <w:textAlignment w:val="center"/>
              <w:rPr>
                <w:rFonts w:hint="eastAsia" w:ascii="仿宋" w:hAnsi="仿宋" w:eastAsia="仿宋" w:cs="仿宋"/>
                <w:szCs w:val="21"/>
              </w:rPr>
            </w:pPr>
            <w:r>
              <w:rPr>
                <w:rFonts w:hint="eastAsia" w:ascii="仿宋" w:hAnsi="仿宋" w:eastAsia="仿宋" w:cs="仿宋"/>
                <w:szCs w:val="21"/>
                <w:lang w:bidi="ar"/>
              </w:rPr>
              <w:t>1.50</w:t>
            </w:r>
          </w:p>
        </w:tc>
        <w:tc>
          <w:tcPr>
            <w:tcW w:w="3221" w:type="pct"/>
            <w:tcBorders>
              <w:top w:val="single" w:color="000000" w:sz="4" w:space="0"/>
              <w:left w:val="single" w:color="000000" w:sz="4" w:space="0"/>
              <w:bottom w:val="single" w:color="000000" w:sz="4" w:space="0"/>
              <w:right w:val="single" w:color="000000" w:sz="4" w:space="0"/>
            </w:tcBorders>
            <w:vAlign w:val="center"/>
          </w:tcPr>
          <w:p w14:paraId="01424191">
            <w:pPr>
              <w:widowControl/>
              <w:jc w:val="left"/>
              <w:textAlignment w:val="center"/>
              <w:rPr>
                <w:rFonts w:hint="eastAsia" w:ascii="仿宋" w:hAnsi="仿宋" w:eastAsia="仿宋" w:cs="仿宋"/>
                <w:szCs w:val="21"/>
              </w:rPr>
            </w:pPr>
            <w:r>
              <w:rPr>
                <w:rFonts w:hint="eastAsia" w:ascii="仿宋" w:hAnsi="仿宋" w:eastAsia="仿宋" w:cs="仿宋"/>
                <w:szCs w:val="21"/>
                <w:lang w:bidi="ar"/>
              </w:rPr>
              <w:t>粗粮饭半份、卤水蛋等不少于2款</w:t>
            </w:r>
          </w:p>
        </w:tc>
      </w:tr>
      <w:tr w14:paraId="0A4CD674">
        <w:tblPrEx>
          <w:tblCellMar>
            <w:top w:w="0" w:type="dxa"/>
            <w:left w:w="108" w:type="dxa"/>
            <w:bottom w:w="0" w:type="dxa"/>
            <w:right w:w="108" w:type="dxa"/>
          </w:tblCellMar>
        </w:tblPrEx>
        <w:trPr>
          <w:trHeight w:val="444" w:hRule="atLeast"/>
        </w:trPr>
        <w:tc>
          <w:tcPr>
            <w:tcW w:w="423" w:type="pct"/>
            <w:vMerge w:val="continue"/>
            <w:tcBorders>
              <w:top w:val="single" w:color="000000" w:sz="4" w:space="0"/>
              <w:left w:val="single" w:color="000000" w:sz="4" w:space="0"/>
              <w:bottom w:val="nil"/>
              <w:right w:val="single" w:color="000000" w:sz="4" w:space="0"/>
            </w:tcBorders>
            <w:vAlign w:val="center"/>
          </w:tcPr>
          <w:p w14:paraId="22719F64">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nil"/>
              <w:right w:val="single" w:color="000000" w:sz="4" w:space="0"/>
            </w:tcBorders>
            <w:noWrap/>
            <w:vAlign w:val="center"/>
          </w:tcPr>
          <w:p w14:paraId="3E9A133D">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31CEB88C">
            <w:pPr>
              <w:widowControl/>
              <w:jc w:val="center"/>
              <w:textAlignment w:val="center"/>
              <w:rPr>
                <w:rFonts w:hint="eastAsia" w:ascii="仿宋" w:hAnsi="仿宋" w:eastAsia="仿宋" w:cs="仿宋"/>
                <w:szCs w:val="21"/>
              </w:rPr>
            </w:pPr>
            <w:r>
              <w:rPr>
                <w:rFonts w:hint="eastAsia" w:ascii="仿宋" w:hAnsi="仿宋" w:eastAsia="仿宋" w:cs="仿宋"/>
                <w:szCs w:val="21"/>
                <w:lang w:bidi="ar"/>
              </w:rPr>
              <w:t>2.00</w:t>
            </w:r>
          </w:p>
        </w:tc>
        <w:tc>
          <w:tcPr>
            <w:tcW w:w="3221" w:type="pct"/>
            <w:tcBorders>
              <w:top w:val="single" w:color="000000" w:sz="4" w:space="0"/>
              <w:left w:val="single" w:color="000000" w:sz="4" w:space="0"/>
              <w:bottom w:val="single" w:color="000000" w:sz="4" w:space="0"/>
              <w:right w:val="single" w:color="000000" w:sz="4" w:space="0"/>
            </w:tcBorders>
            <w:vAlign w:val="center"/>
          </w:tcPr>
          <w:p w14:paraId="33EF84E6">
            <w:pPr>
              <w:widowControl/>
              <w:jc w:val="left"/>
              <w:textAlignment w:val="center"/>
              <w:rPr>
                <w:rFonts w:hint="eastAsia" w:ascii="仿宋" w:hAnsi="仿宋" w:eastAsia="仿宋" w:cs="仿宋"/>
                <w:szCs w:val="21"/>
              </w:rPr>
            </w:pPr>
            <w:r>
              <w:rPr>
                <w:rFonts w:hint="eastAsia" w:ascii="仿宋" w:hAnsi="仿宋" w:eastAsia="仿宋" w:cs="仿宋"/>
                <w:szCs w:val="21"/>
                <w:lang w:bidi="ar"/>
              </w:rPr>
              <w:t>时蔬(瓜类、豆芽等)不少于6款</w:t>
            </w:r>
          </w:p>
        </w:tc>
      </w:tr>
      <w:tr w14:paraId="66DD6E94">
        <w:tblPrEx>
          <w:tblCellMar>
            <w:top w:w="0" w:type="dxa"/>
            <w:left w:w="108" w:type="dxa"/>
            <w:bottom w:w="0" w:type="dxa"/>
            <w:right w:w="108" w:type="dxa"/>
          </w:tblCellMar>
        </w:tblPrEx>
        <w:trPr>
          <w:trHeight w:val="564" w:hRule="atLeast"/>
        </w:trPr>
        <w:tc>
          <w:tcPr>
            <w:tcW w:w="423" w:type="pct"/>
            <w:vMerge w:val="continue"/>
            <w:tcBorders>
              <w:top w:val="single" w:color="000000" w:sz="4" w:space="0"/>
              <w:left w:val="single" w:color="000000" w:sz="4" w:space="0"/>
              <w:bottom w:val="nil"/>
              <w:right w:val="single" w:color="000000" w:sz="4" w:space="0"/>
            </w:tcBorders>
            <w:vAlign w:val="center"/>
          </w:tcPr>
          <w:p w14:paraId="66E38699">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nil"/>
              <w:right w:val="single" w:color="000000" w:sz="4" w:space="0"/>
            </w:tcBorders>
            <w:noWrap/>
            <w:vAlign w:val="center"/>
          </w:tcPr>
          <w:p w14:paraId="210CC417">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108B8734">
            <w:pPr>
              <w:widowControl/>
              <w:jc w:val="center"/>
              <w:textAlignment w:val="center"/>
              <w:rPr>
                <w:rFonts w:hint="eastAsia" w:ascii="仿宋" w:hAnsi="仿宋" w:eastAsia="仿宋" w:cs="仿宋"/>
                <w:szCs w:val="21"/>
              </w:rPr>
            </w:pPr>
            <w:r>
              <w:rPr>
                <w:rFonts w:hint="eastAsia" w:ascii="仿宋" w:hAnsi="仿宋" w:eastAsia="仿宋" w:cs="仿宋"/>
                <w:szCs w:val="21"/>
                <w:lang w:bidi="ar"/>
              </w:rPr>
              <w:t>3.00</w:t>
            </w:r>
          </w:p>
        </w:tc>
        <w:tc>
          <w:tcPr>
            <w:tcW w:w="3221" w:type="pct"/>
            <w:tcBorders>
              <w:top w:val="single" w:color="000000" w:sz="4" w:space="0"/>
              <w:left w:val="single" w:color="000000" w:sz="4" w:space="0"/>
              <w:bottom w:val="single" w:color="000000" w:sz="4" w:space="0"/>
              <w:right w:val="single" w:color="000000" w:sz="4" w:space="0"/>
            </w:tcBorders>
            <w:vAlign w:val="center"/>
          </w:tcPr>
          <w:p w14:paraId="3E495EAF">
            <w:pPr>
              <w:widowControl/>
              <w:jc w:val="left"/>
              <w:textAlignment w:val="center"/>
              <w:rPr>
                <w:rFonts w:hint="eastAsia" w:ascii="仿宋" w:hAnsi="仿宋" w:eastAsia="仿宋" w:cs="仿宋"/>
                <w:szCs w:val="21"/>
              </w:rPr>
            </w:pPr>
            <w:r>
              <w:rPr>
                <w:rFonts w:hint="eastAsia" w:ascii="仿宋" w:hAnsi="仿宋" w:eastAsia="仿宋" w:cs="仿宋"/>
                <w:szCs w:val="21"/>
                <w:lang w:bidi="ar"/>
              </w:rPr>
              <w:t>粗粮饭1份、凉拌小菜、腊肠半条等不少于8款</w:t>
            </w:r>
          </w:p>
        </w:tc>
      </w:tr>
      <w:tr w14:paraId="3F0D5784">
        <w:tblPrEx>
          <w:tblCellMar>
            <w:top w:w="0" w:type="dxa"/>
            <w:left w:w="108" w:type="dxa"/>
            <w:bottom w:w="0" w:type="dxa"/>
            <w:right w:w="108" w:type="dxa"/>
          </w:tblCellMar>
        </w:tblPrEx>
        <w:trPr>
          <w:trHeight w:val="1077" w:hRule="atLeast"/>
        </w:trPr>
        <w:tc>
          <w:tcPr>
            <w:tcW w:w="423" w:type="pct"/>
            <w:vMerge w:val="continue"/>
            <w:tcBorders>
              <w:top w:val="single" w:color="000000" w:sz="4" w:space="0"/>
              <w:left w:val="single" w:color="000000" w:sz="4" w:space="0"/>
              <w:bottom w:val="nil"/>
              <w:right w:val="single" w:color="000000" w:sz="4" w:space="0"/>
            </w:tcBorders>
            <w:vAlign w:val="center"/>
          </w:tcPr>
          <w:p w14:paraId="74393FB7">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nil"/>
              <w:right w:val="single" w:color="000000" w:sz="4" w:space="0"/>
            </w:tcBorders>
            <w:noWrap/>
            <w:vAlign w:val="center"/>
          </w:tcPr>
          <w:p w14:paraId="6A85AF85">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4B512442">
            <w:pPr>
              <w:widowControl/>
              <w:jc w:val="center"/>
              <w:textAlignment w:val="center"/>
              <w:rPr>
                <w:rFonts w:hint="eastAsia" w:ascii="仿宋" w:hAnsi="仿宋" w:eastAsia="仿宋" w:cs="仿宋"/>
                <w:szCs w:val="21"/>
              </w:rPr>
            </w:pPr>
            <w:r>
              <w:rPr>
                <w:rFonts w:hint="eastAsia" w:ascii="仿宋" w:hAnsi="仿宋" w:eastAsia="仿宋" w:cs="仿宋"/>
                <w:szCs w:val="21"/>
                <w:lang w:bidi="ar"/>
              </w:rPr>
              <w:t>4.00</w:t>
            </w:r>
          </w:p>
        </w:tc>
        <w:tc>
          <w:tcPr>
            <w:tcW w:w="3221" w:type="pct"/>
            <w:tcBorders>
              <w:top w:val="single" w:color="000000" w:sz="4" w:space="0"/>
              <w:left w:val="single" w:color="000000" w:sz="4" w:space="0"/>
              <w:bottom w:val="single" w:color="000000" w:sz="4" w:space="0"/>
              <w:right w:val="single" w:color="000000" w:sz="4" w:space="0"/>
            </w:tcBorders>
            <w:vAlign w:val="center"/>
          </w:tcPr>
          <w:p w14:paraId="6F701B6E">
            <w:pPr>
              <w:widowControl/>
              <w:jc w:val="left"/>
              <w:textAlignment w:val="center"/>
              <w:rPr>
                <w:rFonts w:hint="eastAsia" w:ascii="仿宋" w:hAnsi="仿宋" w:eastAsia="仿宋" w:cs="仿宋"/>
                <w:szCs w:val="21"/>
              </w:rPr>
            </w:pPr>
            <w:r>
              <w:rPr>
                <w:rFonts w:hint="eastAsia" w:ascii="仿宋" w:hAnsi="仿宋" w:eastAsia="仿宋" w:cs="仿宋"/>
                <w:szCs w:val="21"/>
                <w:lang w:bidi="ar"/>
              </w:rPr>
              <w:t>小荤A：白洋葱炒蛋、蚝油肉沫豆腐、西红柿炒蛋、肉沫金针菇、麻辣海带、醋溜土豆丝、肉沫青笋、清爽小瓜、豆角炒蛋、青椒炒蛋、千张红萝卜丝、肉沫蒸南瓜、蚝油冬瓜等不少于16款</w:t>
            </w:r>
          </w:p>
        </w:tc>
      </w:tr>
      <w:tr w14:paraId="6F9726D2">
        <w:tblPrEx>
          <w:tblCellMar>
            <w:top w:w="0" w:type="dxa"/>
            <w:left w:w="108" w:type="dxa"/>
            <w:bottom w:w="0" w:type="dxa"/>
            <w:right w:w="108" w:type="dxa"/>
          </w:tblCellMar>
        </w:tblPrEx>
        <w:trPr>
          <w:trHeight w:val="665" w:hRule="atLeast"/>
        </w:trPr>
        <w:tc>
          <w:tcPr>
            <w:tcW w:w="423" w:type="pct"/>
            <w:vMerge w:val="continue"/>
            <w:tcBorders>
              <w:top w:val="single" w:color="000000" w:sz="4" w:space="0"/>
              <w:left w:val="single" w:color="000000" w:sz="4" w:space="0"/>
              <w:bottom w:val="nil"/>
              <w:right w:val="single" w:color="000000" w:sz="4" w:space="0"/>
            </w:tcBorders>
            <w:vAlign w:val="center"/>
          </w:tcPr>
          <w:p w14:paraId="40CBFB63">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nil"/>
              <w:right w:val="single" w:color="000000" w:sz="4" w:space="0"/>
            </w:tcBorders>
            <w:noWrap/>
            <w:vAlign w:val="center"/>
          </w:tcPr>
          <w:p w14:paraId="5AF2EC72">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5C32ED55">
            <w:pPr>
              <w:widowControl/>
              <w:jc w:val="center"/>
              <w:textAlignment w:val="center"/>
              <w:rPr>
                <w:rFonts w:hint="eastAsia" w:ascii="仿宋" w:hAnsi="仿宋" w:eastAsia="仿宋" w:cs="仿宋"/>
                <w:szCs w:val="21"/>
              </w:rPr>
            </w:pPr>
            <w:r>
              <w:rPr>
                <w:rFonts w:hint="eastAsia" w:ascii="仿宋" w:hAnsi="仿宋" w:eastAsia="仿宋" w:cs="仿宋"/>
                <w:szCs w:val="21"/>
                <w:lang w:bidi="ar"/>
              </w:rPr>
              <w:t>6.00</w:t>
            </w:r>
          </w:p>
        </w:tc>
        <w:tc>
          <w:tcPr>
            <w:tcW w:w="3221" w:type="pct"/>
            <w:tcBorders>
              <w:top w:val="single" w:color="000000" w:sz="4" w:space="0"/>
              <w:left w:val="single" w:color="000000" w:sz="4" w:space="0"/>
              <w:bottom w:val="single" w:color="000000" w:sz="4" w:space="0"/>
              <w:right w:val="single" w:color="000000" w:sz="4" w:space="0"/>
            </w:tcBorders>
            <w:vAlign w:val="center"/>
          </w:tcPr>
          <w:p w14:paraId="0D99F013">
            <w:pPr>
              <w:widowControl/>
              <w:jc w:val="left"/>
              <w:textAlignment w:val="center"/>
              <w:rPr>
                <w:rFonts w:hint="eastAsia" w:ascii="仿宋" w:hAnsi="仿宋" w:eastAsia="仿宋" w:cs="仿宋"/>
                <w:szCs w:val="21"/>
              </w:rPr>
            </w:pPr>
            <w:r>
              <w:rPr>
                <w:rFonts w:hint="eastAsia" w:ascii="仿宋" w:hAnsi="仿宋" w:eastAsia="仿宋" w:cs="仿宋"/>
                <w:szCs w:val="21"/>
                <w:lang w:bidi="ar"/>
              </w:rPr>
              <w:t>小荤B：酸辣藕片炒肉、鱼香茄子、凉瓜肉片、菜花肉片、木须肉、西芹木耳炒肉片、干锅土豆片等不少于12款</w:t>
            </w:r>
          </w:p>
        </w:tc>
      </w:tr>
      <w:tr w14:paraId="61A93F2B">
        <w:tblPrEx>
          <w:tblCellMar>
            <w:top w:w="0" w:type="dxa"/>
            <w:left w:w="108" w:type="dxa"/>
            <w:bottom w:w="0" w:type="dxa"/>
            <w:right w:w="108" w:type="dxa"/>
          </w:tblCellMar>
        </w:tblPrEx>
        <w:trPr>
          <w:trHeight w:val="970" w:hRule="atLeast"/>
        </w:trPr>
        <w:tc>
          <w:tcPr>
            <w:tcW w:w="423" w:type="pct"/>
            <w:vMerge w:val="continue"/>
            <w:tcBorders>
              <w:top w:val="single" w:color="000000" w:sz="4" w:space="0"/>
              <w:left w:val="single" w:color="000000" w:sz="4" w:space="0"/>
              <w:bottom w:val="nil"/>
              <w:right w:val="single" w:color="000000" w:sz="4" w:space="0"/>
            </w:tcBorders>
            <w:vAlign w:val="center"/>
          </w:tcPr>
          <w:p w14:paraId="08D1BBFB">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nil"/>
              <w:right w:val="single" w:color="000000" w:sz="4" w:space="0"/>
            </w:tcBorders>
            <w:noWrap/>
            <w:vAlign w:val="center"/>
          </w:tcPr>
          <w:p w14:paraId="2D54958F">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vAlign w:val="center"/>
          </w:tcPr>
          <w:p w14:paraId="310F528F">
            <w:pPr>
              <w:widowControl/>
              <w:jc w:val="center"/>
              <w:textAlignment w:val="center"/>
              <w:rPr>
                <w:rFonts w:hint="eastAsia" w:ascii="仿宋" w:hAnsi="仿宋" w:eastAsia="仿宋" w:cs="仿宋"/>
                <w:szCs w:val="21"/>
              </w:rPr>
            </w:pPr>
            <w:r>
              <w:rPr>
                <w:rFonts w:hint="eastAsia" w:ascii="仿宋" w:hAnsi="仿宋" w:eastAsia="仿宋" w:cs="仿宋"/>
                <w:szCs w:val="21"/>
                <w:lang w:bidi="ar"/>
              </w:rPr>
              <w:t>8.00</w:t>
            </w:r>
          </w:p>
        </w:tc>
        <w:tc>
          <w:tcPr>
            <w:tcW w:w="3221" w:type="pct"/>
            <w:tcBorders>
              <w:top w:val="single" w:color="000000" w:sz="4" w:space="0"/>
              <w:left w:val="single" w:color="000000" w:sz="4" w:space="0"/>
              <w:bottom w:val="single" w:color="000000" w:sz="4" w:space="0"/>
              <w:right w:val="single" w:color="000000" w:sz="4" w:space="0"/>
            </w:tcBorders>
            <w:vAlign w:val="center"/>
          </w:tcPr>
          <w:p w14:paraId="594D788E">
            <w:pPr>
              <w:widowControl/>
              <w:jc w:val="left"/>
              <w:textAlignment w:val="center"/>
              <w:rPr>
                <w:rFonts w:hint="eastAsia" w:ascii="仿宋" w:hAnsi="仿宋" w:eastAsia="仿宋" w:cs="仿宋"/>
                <w:szCs w:val="21"/>
              </w:rPr>
            </w:pPr>
            <w:r>
              <w:rPr>
                <w:rFonts w:hint="eastAsia" w:ascii="仿宋" w:hAnsi="仿宋" w:eastAsia="仿宋" w:cs="仿宋"/>
                <w:szCs w:val="21"/>
                <w:lang w:bidi="ar"/>
              </w:rPr>
              <w:t>大荤：花生焖凤爪、剁椒蒸鱼块、酸菜红烧肉、回锅肉、菠萝咕噜肉、京葱爆花肉、秘制鸡中翅、干豆角红烧肉、青笋啤酒鸭、紫苏焖大鱼、清蒸太阳鱼、冬菜蒸鲈鱼等不少于12款</w:t>
            </w:r>
          </w:p>
        </w:tc>
      </w:tr>
      <w:tr w14:paraId="27C4A59D">
        <w:tblPrEx>
          <w:tblCellMar>
            <w:top w:w="0" w:type="dxa"/>
            <w:left w:w="108" w:type="dxa"/>
            <w:bottom w:w="0" w:type="dxa"/>
            <w:right w:w="108" w:type="dxa"/>
          </w:tblCellMar>
        </w:tblPrEx>
        <w:trPr>
          <w:trHeight w:val="954" w:hRule="atLeast"/>
        </w:trPr>
        <w:tc>
          <w:tcPr>
            <w:tcW w:w="423" w:type="pct"/>
            <w:tcBorders>
              <w:top w:val="nil"/>
              <w:left w:val="single" w:color="000000" w:sz="4" w:space="0"/>
              <w:bottom w:val="nil"/>
              <w:right w:val="single" w:color="000000" w:sz="4" w:space="0"/>
            </w:tcBorders>
            <w:vAlign w:val="center"/>
          </w:tcPr>
          <w:p w14:paraId="0EE59CBF">
            <w:pPr>
              <w:jc w:val="center"/>
              <w:rPr>
                <w:rFonts w:hint="eastAsia" w:ascii="方正仿宋_GBK" w:hAnsi="方正仿宋_GBK" w:eastAsia="方正仿宋_GBK" w:cs="方正仿宋_GBK"/>
                <w:sz w:val="18"/>
                <w:szCs w:val="18"/>
              </w:rPr>
            </w:pPr>
          </w:p>
        </w:tc>
        <w:tc>
          <w:tcPr>
            <w:tcW w:w="672" w:type="pct"/>
            <w:tcBorders>
              <w:top w:val="single" w:color="000000" w:sz="4" w:space="0"/>
              <w:left w:val="single" w:color="000000" w:sz="4" w:space="0"/>
              <w:bottom w:val="single" w:color="000000" w:sz="4" w:space="0"/>
              <w:right w:val="single" w:color="000000" w:sz="4" w:space="0"/>
            </w:tcBorders>
            <w:vAlign w:val="center"/>
          </w:tcPr>
          <w:p w14:paraId="61917793">
            <w:pPr>
              <w:widowControl/>
              <w:jc w:val="center"/>
              <w:textAlignment w:val="center"/>
              <w:rPr>
                <w:rFonts w:hint="eastAsia" w:ascii="仿宋" w:hAnsi="仿宋" w:eastAsia="仿宋" w:cs="仿宋"/>
                <w:sz w:val="24"/>
              </w:rPr>
            </w:pPr>
            <w:r>
              <w:rPr>
                <w:rFonts w:hint="eastAsia" w:ascii="仿宋" w:hAnsi="仿宋" w:eastAsia="仿宋" w:cs="仿宋"/>
                <w:sz w:val="24"/>
                <w:lang w:bidi="ar"/>
              </w:rPr>
              <w:t>面食</w:t>
            </w:r>
          </w:p>
        </w:tc>
        <w:tc>
          <w:tcPr>
            <w:tcW w:w="682" w:type="pct"/>
            <w:tcBorders>
              <w:top w:val="single" w:color="000000" w:sz="4" w:space="0"/>
              <w:left w:val="single" w:color="000000" w:sz="4" w:space="0"/>
              <w:bottom w:val="single" w:color="000000" w:sz="4" w:space="0"/>
              <w:right w:val="single" w:color="000000" w:sz="4" w:space="0"/>
            </w:tcBorders>
            <w:vAlign w:val="center"/>
          </w:tcPr>
          <w:p w14:paraId="7EA456B6">
            <w:pPr>
              <w:widowControl/>
              <w:jc w:val="center"/>
              <w:textAlignment w:val="center"/>
              <w:rPr>
                <w:rFonts w:hint="eastAsia" w:ascii="仿宋" w:hAnsi="仿宋" w:eastAsia="仿宋" w:cs="仿宋"/>
                <w:szCs w:val="21"/>
              </w:rPr>
            </w:pPr>
            <w:r>
              <w:rPr>
                <w:rFonts w:hint="eastAsia" w:ascii="仿宋" w:hAnsi="仿宋" w:eastAsia="仿宋" w:cs="仿宋"/>
                <w:szCs w:val="21"/>
                <w:lang w:bidi="ar"/>
              </w:rPr>
              <w:t>15.00</w:t>
            </w:r>
          </w:p>
        </w:tc>
        <w:tc>
          <w:tcPr>
            <w:tcW w:w="3221" w:type="pct"/>
            <w:tcBorders>
              <w:top w:val="single" w:color="000000" w:sz="4" w:space="0"/>
              <w:left w:val="single" w:color="000000" w:sz="4" w:space="0"/>
              <w:bottom w:val="single" w:color="000000" w:sz="4" w:space="0"/>
              <w:right w:val="single" w:color="000000" w:sz="4" w:space="0"/>
            </w:tcBorders>
            <w:vAlign w:val="center"/>
          </w:tcPr>
          <w:p w14:paraId="05EB3DAE">
            <w:pPr>
              <w:widowControl/>
              <w:jc w:val="left"/>
              <w:textAlignment w:val="center"/>
              <w:rPr>
                <w:rFonts w:hint="eastAsia" w:ascii="仿宋" w:hAnsi="仿宋" w:eastAsia="仿宋" w:cs="仿宋"/>
                <w:szCs w:val="21"/>
                <w:lang w:bidi="ar"/>
              </w:rPr>
            </w:pPr>
            <w:r>
              <w:rPr>
                <w:rFonts w:hint="eastAsia" w:ascii="仿宋" w:hAnsi="仿宋" w:eastAsia="仿宋" w:cs="仿宋"/>
                <w:szCs w:val="21"/>
                <w:lang w:bidi="ar"/>
              </w:rPr>
              <w:t>红烧猪手汤粉/面、酱香烧肉粉/面、酸菜肥肠粉/面、香菇滑鸡粉/面、牛肉丸粉/面、土豆烧排骨粉/面、手工芹菜鲜肉水饺等不少于12款</w:t>
            </w:r>
          </w:p>
        </w:tc>
      </w:tr>
      <w:tr w14:paraId="109FBE7F">
        <w:tblPrEx>
          <w:tblCellMar>
            <w:top w:w="0" w:type="dxa"/>
            <w:left w:w="108" w:type="dxa"/>
            <w:bottom w:w="0" w:type="dxa"/>
            <w:right w:w="108" w:type="dxa"/>
          </w:tblCellMar>
        </w:tblPrEx>
        <w:trPr>
          <w:trHeight w:val="502" w:hRule="atLeast"/>
        </w:trPr>
        <w:tc>
          <w:tcPr>
            <w:tcW w:w="423" w:type="pct"/>
            <w:vMerge w:val="restart"/>
            <w:tcBorders>
              <w:top w:val="single" w:color="000000" w:sz="4" w:space="0"/>
              <w:left w:val="single" w:color="000000" w:sz="4" w:space="0"/>
              <w:bottom w:val="single" w:color="000000" w:sz="4" w:space="0"/>
              <w:right w:val="single" w:color="000000" w:sz="4" w:space="0"/>
            </w:tcBorders>
            <w:vAlign w:val="center"/>
          </w:tcPr>
          <w:p w14:paraId="2EA084F2">
            <w:pPr>
              <w:widowControl/>
              <w:jc w:val="center"/>
              <w:textAlignment w:val="center"/>
              <w:rPr>
                <w:rFonts w:hint="eastAsia" w:ascii="方正仿宋_GBK" w:hAnsi="方正仿宋_GBK" w:eastAsia="方正仿宋_GBK" w:cs="方正仿宋_GBK"/>
                <w:sz w:val="18"/>
                <w:szCs w:val="18"/>
              </w:rPr>
            </w:pPr>
            <w:r>
              <w:rPr>
                <w:rFonts w:ascii="方正仿宋_GBK" w:hAnsi="方正仿宋_GBK" w:eastAsia="方正仿宋_GBK" w:cs="方正仿宋_GBK"/>
                <w:kern w:val="0"/>
                <w:sz w:val="18"/>
                <w:szCs w:val="18"/>
                <w:lang w:bidi="ar"/>
              </w:rPr>
              <w:t>套餐</w:t>
            </w:r>
          </w:p>
        </w:tc>
        <w:tc>
          <w:tcPr>
            <w:tcW w:w="672" w:type="pct"/>
            <w:vMerge w:val="restart"/>
            <w:tcBorders>
              <w:top w:val="single" w:color="000000" w:sz="4" w:space="0"/>
              <w:left w:val="single" w:color="000000" w:sz="4" w:space="0"/>
              <w:bottom w:val="single" w:color="000000" w:sz="4" w:space="0"/>
              <w:right w:val="single" w:color="000000" w:sz="4" w:space="0"/>
            </w:tcBorders>
            <w:vAlign w:val="center"/>
          </w:tcPr>
          <w:p w14:paraId="4D83996D">
            <w:pPr>
              <w:widowControl/>
              <w:jc w:val="center"/>
              <w:textAlignment w:val="center"/>
              <w:rPr>
                <w:rFonts w:hint="eastAsia" w:ascii="仿宋" w:hAnsi="仿宋" w:eastAsia="仿宋" w:cs="仿宋"/>
                <w:sz w:val="24"/>
              </w:rPr>
            </w:pPr>
            <w:r>
              <w:rPr>
                <w:rFonts w:hint="eastAsia" w:ascii="仿宋" w:hAnsi="仿宋" w:eastAsia="仿宋" w:cs="仿宋"/>
                <w:sz w:val="24"/>
                <w:lang w:bidi="ar"/>
              </w:rPr>
              <w:t>超时餐</w:t>
            </w:r>
          </w:p>
        </w:tc>
        <w:tc>
          <w:tcPr>
            <w:tcW w:w="682" w:type="pct"/>
            <w:tcBorders>
              <w:top w:val="single" w:color="000000" w:sz="4" w:space="0"/>
              <w:left w:val="single" w:color="000000" w:sz="4" w:space="0"/>
              <w:bottom w:val="single" w:color="000000" w:sz="4" w:space="0"/>
              <w:right w:val="single" w:color="000000" w:sz="4" w:space="0"/>
            </w:tcBorders>
            <w:vAlign w:val="center"/>
          </w:tcPr>
          <w:p w14:paraId="13C99F56">
            <w:pPr>
              <w:widowControl/>
              <w:jc w:val="center"/>
              <w:textAlignment w:val="center"/>
              <w:rPr>
                <w:rFonts w:hint="eastAsia" w:ascii="仿宋" w:hAnsi="仿宋" w:eastAsia="仿宋" w:cs="仿宋"/>
                <w:szCs w:val="21"/>
              </w:rPr>
            </w:pPr>
            <w:r>
              <w:rPr>
                <w:rFonts w:hint="eastAsia" w:ascii="仿宋" w:hAnsi="仿宋" w:eastAsia="仿宋" w:cs="仿宋"/>
                <w:szCs w:val="21"/>
                <w:lang w:bidi="ar"/>
              </w:rPr>
              <w:t>18.00</w:t>
            </w:r>
          </w:p>
        </w:tc>
        <w:tc>
          <w:tcPr>
            <w:tcW w:w="3221" w:type="pct"/>
            <w:tcBorders>
              <w:top w:val="single" w:color="000000" w:sz="4" w:space="0"/>
              <w:left w:val="single" w:color="000000" w:sz="4" w:space="0"/>
              <w:bottom w:val="single" w:color="000000" w:sz="4" w:space="0"/>
              <w:right w:val="single" w:color="000000" w:sz="4" w:space="0"/>
            </w:tcBorders>
            <w:vAlign w:val="center"/>
          </w:tcPr>
          <w:p w14:paraId="075D3D91">
            <w:pPr>
              <w:widowControl/>
              <w:jc w:val="left"/>
              <w:textAlignment w:val="center"/>
              <w:rPr>
                <w:rFonts w:hint="eastAsia" w:ascii="仿宋" w:hAnsi="仿宋" w:eastAsia="仿宋" w:cs="仿宋"/>
                <w:szCs w:val="21"/>
                <w:lang w:bidi="ar"/>
              </w:rPr>
            </w:pPr>
            <w:r>
              <w:rPr>
                <w:rFonts w:hint="eastAsia" w:ascii="仿宋" w:hAnsi="仿宋" w:eastAsia="仿宋" w:cs="仿宋"/>
                <w:szCs w:val="21"/>
                <w:lang w:bidi="ar"/>
              </w:rPr>
              <w:t>小荤B+小荤A+小荤A+时蔬+米饭</w:t>
            </w:r>
          </w:p>
        </w:tc>
      </w:tr>
      <w:tr w14:paraId="7FED3B60">
        <w:tblPrEx>
          <w:tblCellMar>
            <w:top w:w="0" w:type="dxa"/>
            <w:left w:w="108" w:type="dxa"/>
            <w:bottom w:w="0" w:type="dxa"/>
            <w:right w:w="108" w:type="dxa"/>
          </w:tblCellMar>
        </w:tblPrEx>
        <w:trPr>
          <w:trHeight w:val="502" w:hRule="atLeast"/>
        </w:trPr>
        <w:tc>
          <w:tcPr>
            <w:tcW w:w="423" w:type="pct"/>
            <w:vMerge w:val="continue"/>
            <w:tcBorders>
              <w:top w:val="single" w:color="000000" w:sz="4" w:space="0"/>
              <w:left w:val="single" w:color="000000" w:sz="4" w:space="0"/>
              <w:bottom w:val="single" w:color="000000" w:sz="4" w:space="0"/>
              <w:right w:val="single" w:color="000000" w:sz="4" w:space="0"/>
            </w:tcBorders>
            <w:vAlign w:val="center"/>
          </w:tcPr>
          <w:p w14:paraId="23D859B4">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4BB408E1">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6C6378A4">
            <w:pPr>
              <w:widowControl/>
              <w:jc w:val="center"/>
              <w:textAlignment w:val="center"/>
              <w:rPr>
                <w:rFonts w:hint="eastAsia" w:ascii="仿宋" w:hAnsi="仿宋" w:eastAsia="仿宋" w:cs="仿宋"/>
                <w:szCs w:val="21"/>
              </w:rPr>
            </w:pPr>
            <w:r>
              <w:rPr>
                <w:rFonts w:hint="eastAsia" w:ascii="仿宋" w:hAnsi="仿宋" w:eastAsia="仿宋" w:cs="仿宋"/>
                <w:szCs w:val="21"/>
                <w:lang w:bidi="ar"/>
              </w:rPr>
              <w:t>26.00</w:t>
            </w:r>
          </w:p>
        </w:tc>
        <w:tc>
          <w:tcPr>
            <w:tcW w:w="3221" w:type="pct"/>
            <w:tcBorders>
              <w:top w:val="single" w:color="000000" w:sz="4" w:space="0"/>
              <w:left w:val="single" w:color="000000" w:sz="4" w:space="0"/>
              <w:bottom w:val="single" w:color="000000" w:sz="4" w:space="0"/>
              <w:right w:val="single" w:color="000000" w:sz="4" w:space="0"/>
            </w:tcBorders>
            <w:noWrap/>
            <w:vAlign w:val="center"/>
          </w:tcPr>
          <w:p w14:paraId="28CB826E">
            <w:pPr>
              <w:widowControl/>
              <w:jc w:val="left"/>
              <w:textAlignment w:val="center"/>
              <w:rPr>
                <w:rFonts w:hint="eastAsia" w:ascii="仿宋" w:hAnsi="仿宋" w:eastAsia="仿宋" w:cs="仿宋"/>
                <w:szCs w:val="21"/>
                <w:lang w:bidi="ar"/>
              </w:rPr>
            </w:pPr>
            <w:r>
              <w:rPr>
                <w:rFonts w:hint="eastAsia" w:ascii="仿宋" w:hAnsi="仿宋" w:eastAsia="仿宋" w:cs="仿宋"/>
                <w:szCs w:val="21"/>
                <w:lang w:bidi="ar"/>
              </w:rPr>
              <w:t>饭盒+例汤（大荤+小荤B+小荤B+青菜+米饭+例汤）</w:t>
            </w:r>
          </w:p>
        </w:tc>
      </w:tr>
      <w:tr w14:paraId="4143ACB4">
        <w:tblPrEx>
          <w:tblCellMar>
            <w:top w:w="0" w:type="dxa"/>
            <w:left w:w="108" w:type="dxa"/>
            <w:bottom w:w="0" w:type="dxa"/>
            <w:right w:w="108" w:type="dxa"/>
          </w:tblCellMar>
        </w:tblPrEx>
        <w:trPr>
          <w:trHeight w:val="502" w:hRule="atLeast"/>
        </w:trPr>
        <w:tc>
          <w:tcPr>
            <w:tcW w:w="423" w:type="pct"/>
            <w:vMerge w:val="continue"/>
            <w:tcBorders>
              <w:top w:val="single" w:color="000000" w:sz="4" w:space="0"/>
              <w:left w:val="single" w:color="000000" w:sz="4" w:space="0"/>
              <w:bottom w:val="single" w:color="000000" w:sz="4" w:space="0"/>
              <w:right w:val="single" w:color="000000" w:sz="4" w:space="0"/>
            </w:tcBorders>
            <w:vAlign w:val="center"/>
          </w:tcPr>
          <w:p w14:paraId="1AF2CF4F">
            <w:pPr>
              <w:jc w:val="center"/>
              <w:rPr>
                <w:rFonts w:hint="eastAsia" w:ascii="方正仿宋_GBK" w:hAnsi="方正仿宋_GBK" w:eastAsia="方正仿宋_GBK" w:cs="方正仿宋_GBK"/>
                <w:sz w:val="18"/>
                <w:szCs w:val="18"/>
              </w:rPr>
            </w:pPr>
          </w:p>
        </w:tc>
        <w:tc>
          <w:tcPr>
            <w:tcW w:w="672" w:type="pct"/>
            <w:vMerge w:val="restart"/>
            <w:tcBorders>
              <w:top w:val="single" w:color="000000" w:sz="4" w:space="0"/>
              <w:left w:val="single" w:color="000000" w:sz="4" w:space="0"/>
              <w:bottom w:val="single" w:color="000000" w:sz="4" w:space="0"/>
              <w:right w:val="single" w:color="000000" w:sz="4" w:space="0"/>
            </w:tcBorders>
            <w:vAlign w:val="center"/>
          </w:tcPr>
          <w:p w14:paraId="113AC7E2">
            <w:pPr>
              <w:widowControl/>
              <w:jc w:val="center"/>
              <w:textAlignment w:val="center"/>
              <w:rPr>
                <w:rFonts w:hint="eastAsia" w:ascii="仿宋" w:hAnsi="仿宋" w:eastAsia="仿宋" w:cs="仿宋"/>
                <w:sz w:val="24"/>
              </w:rPr>
            </w:pPr>
            <w:r>
              <w:rPr>
                <w:rFonts w:hint="eastAsia" w:ascii="仿宋" w:hAnsi="仿宋" w:eastAsia="仿宋" w:cs="仿宋"/>
                <w:sz w:val="24"/>
                <w:lang w:bidi="ar"/>
              </w:rPr>
              <w:t>工作（接待）餐/学术活动餐</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065C2A3C">
            <w:pPr>
              <w:widowControl/>
              <w:jc w:val="center"/>
              <w:textAlignment w:val="center"/>
              <w:rPr>
                <w:rFonts w:hint="eastAsia" w:ascii="仿宋" w:hAnsi="仿宋" w:eastAsia="仿宋" w:cs="仿宋"/>
                <w:szCs w:val="21"/>
              </w:rPr>
            </w:pPr>
            <w:r>
              <w:rPr>
                <w:rFonts w:hint="eastAsia" w:ascii="仿宋" w:hAnsi="仿宋" w:eastAsia="仿宋" w:cs="仿宋"/>
                <w:szCs w:val="21"/>
                <w:lang w:bidi="ar"/>
              </w:rPr>
              <w:t>20.00</w:t>
            </w:r>
          </w:p>
        </w:tc>
        <w:tc>
          <w:tcPr>
            <w:tcW w:w="3221" w:type="pct"/>
            <w:tcBorders>
              <w:top w:val="single" w:color="000000" w:sz="4" w:space="0"/>
              <w:left w:val="single" w:color="000000" w:sz="4" w:space="0"/>
              <w:bottom w:val="single" w:color="000000" w:sz="4" w:space="0"/>
              <w:right w:val="single" w:color="000000" w:sz="4" w:space="0"/>
            </w:tcBorders>
            <w:noWrap/>
            <w:vAlign w:val="center"/>
          </w:tcPr>
          <w:p w14:paraId="1A0219B4">
            <w:pPr>
              <w:widowControl/>
              <w:jc w:val="left"/>
              <w:textAlignment w:val="center"/>
              <w:rPr>
                <w:rFonts w:hint="eastAsia" w:ascii="仿宋" w:hAnsi="仿宋" w:eastAsia="仿宋" w:cs="仿宋"/>
                <w:szCs w:val="21"/>
                <w:lang w:bidi="ar"/>
              </w:rPr>
            </w:pPr>
            <w:r>
              <w:rPr>
                <w:rFonts w:hint="eastAsia" w:ascii="仿宋" w:hAnsi="仿宋" w:eastAsia="仿宋" w:cs="仿宋"/>
                <w:szCs w:val="21"/>
                <w:lang w:bidi="ar"/>
              </w:rPr>
              <w:t>饭盒+例汤（大荤+小荤B+青菜+米饭+例汤）</w:t>
            </w:r>
          </w:p>
        </w:tc>
      </w:tr>
      <w:tr w14:paraId="785C4C65">
        <w:tblPrEx>
          <w:tblCellMar>
            <w:top w:w="0" w:type="dxa"/>
            <w:left w:w="108" w:type="dxa"/>
            <w:bottom w:w="0" w:type="dxa"/>
            <w:right w:w="108" w:type="dxa"/>
          </w:tblCellMar>
        </w:tblPrEx>
        <w:trPr>
          <w:trHeight w:val="502" w:hRule="atLeast"/>
        </w:trPr>
        <w:tc>
          <w:tcPr>
            <w:tcW w:w="423" w:type="pct"/>
            <w:vMerge w:val="continue"/>
            <w:tcBorders>
              <w:top w:val="single" w:color="000000" w:sz="4" w:space="0"/>
              <w:left w:val="single" w:color="000000" w:sz="4" w:space="0"/>
              <w:bottom w:val="single" w:color="000000" w:sz="4" w:space="0"/>
              <w:right w:val="single" w:color="000000" w:sz="4" w:space="0"/>
            </w:tcBorders>
            <w:vAlign w:val="center"/>
          </w:tcPr>
          <w:p w14:paraId="60649DD5">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5B4F3AF7">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1DD4B460">
            <w:pPr>
              <w:widowControl/>
              <w:jc w:val="center"/>
              <w:textAlignment w:val="center"/>
              <w:rPr>
                <w:rFonts w:hint="eastAsia" w:ascii="仿宋" w:hAnsi="仿宋" w:eastAsia="仿宋" w:cs="仿宋"/>
                <w:szCs w:val="21"/>
              </w:rPr>
            </w:pPr>
            <w:r>
              <w:rPr>
                <w:rFonts w:hint="eastAsia" w:ascii="仿宋" w:hAnsi="仿宋" w:eastAsia="仿宋" w:cs="仿宋"/>
                <w:szCs w:val="21"/>
                <w:lang w:bidi="ar"/>
              </w:rPr>
              <w:t>30.00</w:t>
            </w:r>
          </w:p>
        </w:tc>
        <w:tc>
          <w:tcPr>
            <w:tcW w:w="3221" w:type="pct"/>
            <w:tcBorders>
              <w:top w:val="single" w:color="000000" w:sz="4" w:space="0"/>
              <w:left w:val="single" w:color="000000" w:sz="4" w:space="0"/>
              <w:bottom w:val="single" w:color="000000" w:sz="4" w:space="0"/>
              <w:right w:val="single" w:color="000000" w:sz="4" w:space="0"/>
            </w:tcBorders>
            <w:noWrap/>
            <w:vAlign w:val="center"/>
          </w:tcPr>
          <w:p w14:paraId="088CCFED">
            <w:pPr>
              <w:widowControl/>
              <w:jc w:val="left"/>
              <w:textAlignment w:val="center"/>
              <w:rPr>
                <w:rFonts w:hint="eastAsia" w:ascii="仿宋" w:hAnsi="仿宋" w:eastAsia="仿宋" w:cs="仿宋"/>
                <w:szCs w:val="21"/>
                <w:lang w:bidi="ar"/>
              </w:rPr>
            </w:pPr>
            <w:r>
              <w:rPr>
                <w:rFonts w:hint="eastAsia" w:ascii="仿宋" w:hAnsi="仿宋" w:eastAsia="仿宋" w:cs="仿宋"/>
                <w:szCs w:val="21"/>
                <w:lang w:bidi="ar"/>
              </w:rPr>
              <w:t>饭盒+例汤（大荤+小荤B+小荤B+青菜+米饭+例汤）</w:t>
            </w:r>
          </w:p>
        </w:tc>
      </w:tr>
      <w:tr w14:paraId="3C23ABFF">
        <w:tblPrEx>
          <w:tblCellMar>
            <w:top w:w="0" w:type="dxa"/>
            <w:left w:w="108" w:type="dxa"/>
            <w:bottom w:w="0" w:type="dxa"/>
            <w:right w:w="108" w:type="dxa"/>
          </w:tblCellMar>
        </w:tblPrEx>
        <w:trPr>
          <w:trHeight w:val="512" w:hRule="atLeast"/>
        </w:trPr>
        <w:tc>
          <w:tcPr>
            <w:tcW w:w="423" w:type="pct"/>
            <w:vMerge w:val="continue"/>
            <w:tcBorders>
              <w:top w:val="single" w:color="000000" w:sz="4" w:space="0"/>
              <w:left w:val="single" w:color="000000" w:sz="4" w:space="0"/>
              <w:bottom w:val="single" w:color="000000" w:sz="4" w:space="0"/>
              <w:right w:val="single" w:color="000000" w:sz="4" w:space="0"/>
            </w:tcBorders>
            <w:vAlign w:val="center"/>
          </w:tcPr>
          <w:p w14:paraId="70D902D2">
            <w:pPr>
              <w:jc w:val="center"/>
              <w:rPr>
                <w:rFonts w:hint="eastAsia" w:ascii="方正仿宋_GBK" w:hAnsi="方正仿宋_GBK" w:eastAsia="方正仿宋_GBK" w:cs="方正仿宋_GBK"/>
                <w:sz w:val="18"/>
                <w:szCs w:val="18"/>
              </w:rPr>
            </w:pPr>
          </w:p>
        </w:tc>
        <w:tc>
          <w:tcPr>
            <w:tcW w:w="672" w:type="pct"/>
            <w:vMerge w:val="continue"/>
            <w:tcBorders>
              <w:top w:val="single" w:color="000000" w:sz="4" w:space="0"/>
              <w:left w:val="single" w:color="000000" w:sz="4" w:space="0"/>
              <w:bottom w:val="single" w:color="000000" w:sz="4" w:space="0"/>
              <w:right w:val="single" w:color="000000" w:sz="4" w:space="0"/>
            </w:tcBorders>
            <w:vAlign w:val="center"/>
          </w:tcPr>
          <w:p w14:paraId="1B881CE9">
            <w:pPr>
              <w:widowControl/>
              <w:jc w:val="center"/>
              <w:textAlignment w:val="center"/>
              <w:rPr>
                <w:rFonts w:hint="eastAsia" w:ascii="仿宋" w:hAnsi="仿宋" w:eastAsia="仿宋" w:cs="仿宋"/>
                <w:sz w:val="24"/>
              </w:rPr>
            </w:pP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22342B86">
            <w:pPr>
              <w:widowControl/>
              <w:jc w:val="center"/>
              <w:textAlignment w:val="center"/>
              <w:rPr>
                <w:rFonts w:hint="eastAsia" w:ascii="仿宋" w:hAnsi="仿宋" w:eastAsia="仿宋" w:cs="仿宋"/>
                <w:szCs w:val="21"/>
              </w:rPr>
            </w:pPr>
            <w:r>
              <w:rPr>
                <w:rFonts w:hint="eastAsia" w:ascii="仿宋" w:hAnsi="仿宋" w:eastAsia="仿宋" w:cs="仿宋"/>
                <w:szCs w:val="21"/>
                <w:lang w:bidi="ar"/>
              </w:rPr>
              <w:t>40.00</w:t>
            </w:r>
          </w:p>
        </w:tc>
        <w:tc>
          <w:tcPr>
            <w:tcW w:w="3221" w:type="pct"/>
            <w:tcBorders>
              <w:top w:val="single" w:color="000000" w:sz="4" w:space="0"/>
              <w:left w:val="single" w:color="000000" w:sz="4" w:space="0"/>
              <w:bottom w:val="single" w:color="000000" w:sz="4" w:space="0"/>
              <w:right w:val="single" w:color="000000" w:sz="4" w:space="0"/>
            </w:tcBorders>
            <w:noWrap/>
            <w:vAlign w:val="center"/>
          </w:tcPr>
          <w:p w14:paraId="52512CE4">
            <w:pPr>
              <w:widowControl/>
              <w:jc w:val="left"/>
              <w:textAlignment w:val="center"/>
              <w:rPr>
                <w:rFonts w:hint="eastAsia" w:ascii="仿宋" w:hAnsi="仿宋" w:eastAsia="仿宋" w:cs="仿宋"/>
                <w:szCs w:val="21"/>
                <w:lang w:bidi="ar"/>
              </w:rPr>
            </w:pPr>
            <w:r>
              <w:rPr>
                <w:rFonts w:hint="eastAsia" w:ascii="仿宋" w:hAnsi="仿宋" w:eastAsia="仿宋" w:cs="仿宋"/>
                <w:szCs w:val="21"/>
                <w:lang w:bidi="ar"/>
              </w:rPr>
              <w:t>托盘餐+药膳（大荤+小荤B+小荤B+青菜+米饭+药膳A）</w:t>
            </w:r>
          </w:p>
        </w:tc>
      </w:tr>
    </w:tbl>
    <w:p w14:paraId="1934B934">
      <w:pPr>
        <w:widowControl/>
        <w:spacing w:line="440" w:lineRule="exact"/>
        <w:ind w:firstLine="420"/>
        <w:jc w:val="left"/>
        <w:rPr>
          <w:rFonts w:hint="eastAsia" w:ascii="仿宋" w:hAnsi="仿宋" w:eastAsia="仿宋" w:cs="仿宋"/>
          <w:sz w:val="24"/>
        </w:rPr>
      </w:pPr>
      <w:r>
        <w:rPr>
          <w:rFonts w:hint="eastAsia" w:ascii="仿宋" w:hAnsi="仿宋" w:eastAsia="仿宋" w:cs="仿宋"/>
          <w:sz w:val="24"/>
        </w:rPr>
        <w:t>（三）职工</w:t>
      </w:r>
      <w:r>
        <w:rPr>
          <w:rFonts w:hint="eastAsia" w:ascii="仿宋" w:hAnsi="仿宋" w:eastAsia="仿宋" w:cs="方正仿宋_GBK"/>
          <w:kern w:val="0"/>
          <w:sz w:val="24"/>
          <w:lang w:bidi="ar"/>
        </w:rPr>
        <w:t>餐的定价与调价，须提前报送甲方审核同意后方可执行</w:t>
      </w:r>
      <w:r>
        <w:rPr>
          <w:rFonts w:hint="eastAsia" w:ascii="仿宋" w:hAnsi="仿宋" w:eastAsia="仿宋" w:cs="仿宋"/>
          <w:sz w:val="24"/>
        </w:rPr>
        <w:t>，乙方不得擅自定价或调价。</w:t>
      </w:r>
    </w:p>
    <w:p w14:paraId="1233D41A">
      <w:pPr>
        <w:widowControl/>
        <w:spacing w:line="440" w:lineRule="exact"/>
        <w:ind w:firstLine="420"/>
        <w:jc w:val="left"/>
        <w:rPr>
          <w:rFonts w:hint="eastAsia" w:ascii="仿宋" w:hAnsi="仿宋" w:eastAsia="仿宋" w:cs="仿宋"/>
          <w:sz w:val="24"/>
        </w:rPr>
      </w:pPr>
      <w:r>
        <w:rPr>
          <w:rFonts w:hint="eastAsia" w:ascii="仿宋" w:hAnsi="仿宋" w:eastAsia="仿宋" w:cs="仿宋"/>
          <w:sz w:val="24"/>
        </w:rPr>
        <w:t>（四）甲方的职工、实习生、规培生及第三方驻院工作人员等享有同等的餐饮消费折扣权益。该折扣适用于堂食、网络订餐、科室配送餐等所有职工餐饮类型，须统一标准、统一执行，不得设置差异化折扣。</w:t>
      </w:r>
    </w:p>
    <w:p w14:paraId="3D5738CE">
      <w:pPr>
        <w:widowControl/>
        <w:spacing w:line="440" w:lineRule="exact"/>
        <w:ind w:firstLine="420"/>
        <w:jc w:val="left"/>
        <w:rPr>
          <w:rFonts w:ascii="Calibri" w:hAnsi="Calibri" w:eastAsia="宋体" w:cs="Times New Roman"/>
        </w:rPr>
      </w:pPr>
      <w:r>
        <w:rPr>
          <w:rFonts w:hint="eastAsia" w:ascii="仿宋" w:hAnsi="仿宋" w:eastAsia="仿宋" w:cs="仿宋"/>
          <w:sz w:val="24"/>
        </w:rPr>
        <w:t>（五）对于其他餐类（如</w:t>
      </w:r>
      <w:r>
        <w:rPr>
          <w:rFonts w:hint="eastAsia" w:ascii="仿宋" w:hAnsi="仿宋" w:eastAsia="仿宋" w:cs="方正仿宋_GBK"/>
          <w:kern w:val="0"/>
          <w:sz w:val="24"/>
          <w:lang w:bidi="ar"/>
        </w:rPr>
        <w:t>特色餐、药食同源餐品、小餐厅围餐等</w:t>
      </w:r>
      <w:r>
        <w:rPr>
          <w:rFonts w:hint="eastAsia" w:ascii="仿宋" w:hAnsi="仿宋" w:eastAsia="仿宋" w:cs="仿宋"/>
          <w:sz w:val="24"/>
        </w:rPr>
        <w:t>），若属于甲方原有餐品清单内，其售价应保持与原售价平稳；新增菜式的定价，乙方须提交成本测算明细，经双方协商后确定。定价原则上应参考同类菜式的市场行情及中标折扣率，并须经甲方审核同意后方可执行。</w:t>
      </w:r>
    </w:p>
    <w:p w14:paraId="33F9F2DC">
      <w:pPr>
        <w:widowControl/>
        <w:spacing w:line="440" w:lineRule="exact"/>
        <w:jc w:val="center"/>
        <w:rPr>
          <w:rFonts w:hint="eastAsia" w:ascii="宋体" w:hAnsi="宋体" w:eastAsia="宋体" w:cs="仿宋"/>
          <w:b/>
          <w:bCs/>
          <w:sz w:val="24"/>
        </w:rPr>
      </w:pPr>
      <w:r>
        <w:rPr>
          <w:rFonts w:hint="eastAsia" w:ascii="宋体" w:hAnsi="宋体" w:eastAsia="宋体" w:cs="仿宋"/>
          <w:b/>
          <w:bCs/>
          <w:sz w:val="24"/>
        </w:rPr>
        <w:t>具体其他餐类列表</w:t>
      </w:r>
    </w:p>
    <w:tbl>
      <w:tblPr>
        <w:tblStyle w:val="12"/>
        <w:tblW w:w="8379" w:type="dxa"/>
        <w:tblInd w:w="93" w:type="dxa"/>
        <w:tblLayout w:type="autofit"/>
        <w:tblCellMar>
          <w:top w:w="0" w:type="dxa"/>
          <w:left w:w="108" w:type="dxa"/>
          <w:bottom w:w="0" w:type="dxa"/>
          <w:right w:w="108" w:type="dxa"/>
        </w:tblCellMar>
      </w:tblPr>
      <w:tblGrid>
        <w:gridCol w:w="1433"/>
        <w:gridCol w:w="6946"/>
      </w:tblGrid>
      <w:tr w14:paraId="2BCB1408">
        <w:tblPrEx>
          <w:tblCellMar>
            <w:top w:w="0" w:type="dxa"/>
            <w:left w:w="108" w:type="dxa"/>
            <w:bottom w:w="0" w:type="dxa"/>
            <w:right w:w="108" w:type="dxa"/>
          </w:tblCellMar>
        </w:tblPrEx>
        <w:trPr>
          <w:trHeight w:val="467" w:hRule="atLeast"/>
        </w:trPr>
        <w:tc>
          <w:tcPr>
            <w:tcW w:w="1433" w:type="dxa"/>
            <w:tcBorders>
              <w:top w:val="single" w:color="000000" w:sz="4" w:space="0"/>
              <w:left w:val="single" w:color="000000" w:sz="4" w:space="0"/>
              <w:bottom w:val="single" w:color="000000" w:sz="4" w:space="0"/>
              <w:right w:val="single" w:color="000000" w:sz="4" w:space="0"/>
            </w:tcBorders>
            <w:vAlign w:val="center"/>
          </w:tcPr>
          <w:p w14:paraId="502410AF">
            <w:pPr>
              <w:widowControl/>
              <w:jc w:val="center"/>
              <w:textAlignment w:val="center"/>
              <w:rPr>
                <w:rFonts w:hint="eastAsia" w:ascii="仿宋" w:hAnsi="仿宋" w:eastAsia="仿宋" w:cs="方正仿宋_GBK"/>
                <w:b/>
                <w:bCs/>
                <w:szCs w:val="21"/>
              </w:rPr>
            </w:pPr>
            <w:r>
              <w:rPr>
                <w:rFonts w:hint="eastAsia" w:ascii="仿宋" w:hAnsi="仿宋" w:eastAsia="仿宋" w:cs="方正仿宋_GBK"/>
                <w:b/>
                <w:bCs/>
                <w:kern w:val="0"/>
                <w:szCs w:val="21"/>
                <w:lang w:bidi="ar"/>
              </w:rPr>
              <w:t>餐类</w:t>
            </w:r>
          </w:p>
        </w:tc>
        <w:tc>
          <w:tcPr>
            <w:tcW w:w="6946" w:type="dxa"/>
            <w:tcBorders>
              <w:top w:val="single" w:color="000000" w:sz="4" w:space="0"/>
              <w:left w:val="single" w:color="000000" w:sz="4" w:space="0"/>
              <w:bottom w:val="single" w:color="000000" w:sz="4" w:space="0"/>
              <w:right w:val="single" w:color="000000" w:sz="4" w:space="0"/>
            </w:tcBorders>
            <w:vAlign w:val="center"/>
          </w:tcPr>
          <w:p w14:paraId="06CE5745">
            <w:pPr>
              <w:widowControl/>
              <w:jc w:val="center"/>
              <w:textAlignment w:val="center"/>
              <w:rPr>
                <w:rFonts w:hint="eastAsia" w:ascii="仿宋" w:hAnsi="仿宋" w:eastAsia="仿宋" w:cs="方正仿宋_GBK"/>
                <w:b/>
                <w:bCs/>
                <w:szCs w:val="21"/>
              </w:rPr>
            </w:pPr>
            <w:r>
              <w:rPr>
                <w:rFonts w:hint="eastAsia" w:ascii="仿宋" w:hAnsi="仿宋" w:eastAsia="仿宋" w:cs="方正仿宋_GBK"/>
                <w:b/>
                <w:bCs/>
                <w:kern w:val="0"/>
                <w:szCs w:val="21"/>
                <w:lang w:bidi="ar"/>
              </w:rPr>
              <w:t>种类举例</w:t>
            </w:r>
          </w:p>
        </w:tc>
      </w:tr>
      <w:tr w14:paraId="2F58A67C">
        <w:tblPrEx>
          <w:tblCellMar>
            <w:top w:w="0" w:type="dxa"/>
            <w:left w:w="108" w:type="dxa"/>
            <w:bottom w:w="0" w:type="dxa"/>
            <w:right w:w="108" w:type="dxa"/>
          </w:tblCellMar>
        </w:tblPrEx>
        <w:trPr>
          <w:trHeight w:val="513" w:hRule="atLeast"/>
        </w:trPr>
        <w:tc>
          <w:tcPr>
            <w:tcW w:w="1433" w:type="dxa"/>
            <w:tcBorders>
              <w:top w:val="single" w:color="000000" w:sz="4" w:space="0"/>
              <w:left w:val="single" w:color="000000" w:sz="4" w:space="0"/>
              <w:bottom w:val="single" w:color="000000" w:sz="4" w:space="0"/>
              <w:right w:val="single" w:color="000000" w:sz="4" w:space="0"/>
            </w:tcBorders>
            <w:vAlign w:val="center"/>
          </w:tcPr>
          <w:p w14:paraId="19579132">
            <w:pPr>
              <w:widowControl/>
              <w:jc w:val="center"/>
              <w:textAlignment w:val="center"/>
              <w:rPr>
                <w:rFonts w:hint="eastAsia" w:ascii="仿宋" w:hAnsi="仿宋" w:eastAsia="仿宋" w:cs="仿宋"/>
                <w:sz w:val="21"/>
                <w:szCs w:val="21"/>
                <w:lang w:bidi="ar"/>
              </w:rPr>
            </w:pPr>
            <w:r>
              <w:rPr>
                <w:rFonts w:ascii="仿宋" w:hAnsi="仿宋" w:eastAsia="仿宋" w:cs="仿宋"/>
                <w:sz w:val="21"/>
                <w:szCs w:val="21"/>
                <w:lang w:bidi="ar"/>
              </w:rPr>
              <w:t>特色餐</w:t>
            </w:r>
          </w:p>
        </w:tc>
        <w:tc>
          <w:tcPr>
            <w:tcW w:w="6946" w:type="dxa"/>
            <w:tcBorders>
              <w:top w:val="single" w:color="000000" w:sz="4" w:space="0"/>
              <w:left w:val="single" w:color="000000" w:sz="4" w:space="0"/>
              <w:bottom w:val="single" w:color="000000" w:sz="4" w:space="0"/>
              <w:right w:val="single" w:color="000000" w:sz="4" w:space="0"/>
            </w:tcBorders>
            <w:vAlign w:val="center"/>
          </w:tcPr>
          <w:p w14:paraId="1AF43587">
            <w:pPr>
              <w:widowControl/>
              <w:jc w:val="left"/>
              <w:textAlignment w:val="center"/>
              <w:rPr>
                <w:rFonts w:hint="eastAsia" w:ascii="仿宋" w:hAnsi="仿宋" w:eastAsia="仿宋" w:cs="仿宋"/>
                <w:sz w:val="21"/>
                <w:szCs w:val="21"/>
                <w:lang w:bidi="ar"/>
              </w:rPr>
            </w:pPr>
            <w:r>
              <w:rPr>
                <w:rFonts w:ascii="仿宋" w:hAnsi="仿宋" w:eastAsia="仿宋" w:cs="仿宋"/>
                <w:sz w:val="21"/>
                <w:szCs w:val="21"/>
                <w:lang w:bidi="ar"/>
              </w:rPr>
              <w:t>汤饭、煲仔饭、焖饭、轻食餐、减重餐等</w:t>
            </w:r>
          </w:p>
        </w:tc>
      </w:tr>
      <w:tr w14:paraId="248C11DF">
        <w:tblPrEx>
          <w:tblCellMar>
            <w:top w:w="0" w:type="dxa"/>
            <w:left w:w="108" w:type="dxa"/>
            <w:bottom w:w="0" w:type="dxa"/>
            <w:right w:w="108" w:type="dxa"/>
          </w:tblCellMar>
        </w:tblPrEx>
        <w:trPr>
          <w:trHeight w:val="960" w:hRule="atLeast"/>
        </w:trPr>
        <w:tc>
          <w:tcPr>
            <w:tcW w:w="1433" w:type="dxa"/>
            <w:tcBorders>
              <w:top w:val="single" w:color="000000" w:sz="4" w:space="0"/>
              <w:left w:val="single" w:color="000000" w:sz="4" w:space="0"/>
              <w:bottom w:val="single" w:color="000000" w:sz="4" w:space="0"/>
              <w:right w:val="single" w:color="000000" w:sz="4" w:space="0"/>
            </w:tcBorders>
            <w:vAlign w:val="center"/>
          </w:tcPr>
          <w:p w14:paraId="640168C8">
            <w:pPr>
              <w:widowControl/>
              <w:jc w:val="center"/>
              <w:textAlignment w:val="center"/>
              <w:rPr>
                <w:rFonts w:ascii="仿宋" w:hAnsi="仿宋" w:eastAsia="仿宋" w:cs="仿宋"/>
                <w:sz w:val="21"/>
                <w:szCs w:val="21"/>
                <w:lang w:bidi="ar"/>
              </w:rPr>
            </w:pPr>
            <w:r>
              <w:rPr>
                <w:rFonts w:ascii="仿宋" w:hAnsi="仿宋" w:eastAsia="仿宋" w:cs="仿宋"/>
                <w:sz w:val="21"/>
                <w:szCs w:val="21"/>
                <w:lang w:bidi="ar"/>
              </w:rPr>
              <w:t>药食同源</w:t>
            </w:r>
          </w:p>
          <w:p w14:paraId="4BEE357B">
            <w:pPr>
              <w:widowControl/>
              <w:jc w:val="center"/>
              <w:textAlignment w:val="center"/>
              <w:rPr>
                <w:rFonts w:hint="eastAsia" w:ascii="仿宋" w:hAnsi="仿宋" w:eastAsia="仿宋" w:cs="仿宋"/>
                <w:sz w:val="21"/>
                <w:szCs w:val="21"/>
                <w:lang w:bidi="ar"/>
              </w:rPr>
            </w:pPr>
            <w:r>
              <w:rPr>
                <w:rFonts w:ascii="仿宋" w:hAnsi="仿宋" w:eastAsia="仿宋" w:cs="仿宋"/>
                <w:sz w:val="21"/>
                <w:szCs w:val="21"/>
                <w:lang w:bidi="ar"/>
              </w:rPr>
              <w:t>餐品</w:t>
            </w:r>
          </w:p>
        </w:tc>
        <w:tc>
          <w:tcPr>
            <w:tcW w:w="6946" w:type="dxa"/>
            <w:tcBorders>
              <w:top w:val="single" w:color="000000" w:sz="4" w:space="0"/>
              <w:left w:val="single" w:color="000000" w:sz="4" w:space="0"/>
              <w:bottom w:val="single" w:color="000000" w:sz="4" w:space="0"/>
              <w:right w:val="single" w:color="000000" w:sz="4" w:space="0"/>
            </w:tcBorders>
            <w:vAlign w:val="center"/>
          </w:tcPr>
          <w:p w14:paraId="2CF48110">
            <w:pPr>
              <w:widowControl/>
              <w:jc w:val="left"/>
              <w:textAlignment w:val="center"/>
              <w:rPr>
                <w:rFonts w:hint="eastAsia" w:ascii="仿宋" w:hAnsi="仿宋" w:eastAsia="仿宋" w:cs="仿宋"/>
                <w:sz w:val="21"/>
                <w:szCs w:val="21"/>
                <w:lang w:bidi="ar"/>
              </w:rPr>
            </w:pPr>
            <w:r>
              <w:rPr>
                <w:rFonts w:ascii="仿宋" w:hAnsi="仿宋" w:eastAsia="仿宋" w:cs="仿宋"/>
                <w:sz w:val="21"/>
                <w:szCs w:val="21"/>
                <w:lang w:bidi="ar"/>
              </w:rPr>
              <w:t>1.药膳汤：药膳A（350ML）、药膳B（450ML）、药膳C（600ML）；陈皮瘦肉水、白茅根竹蔗炖瘦肉、虫草花淮杞党参炖排骨等</w:t>
            </w:r>
          </w:p>
          <w:p w14:paraId="1F66774E">
            <w:pPr>
              <w:widowControl/>
              <w:jc w:val="left"/>
              <w:textAlignment w:val="center"/>
              <w:rPr>
                <w:rFonts w:hint="eastAsia" w:ascii="仿宋" w:hAnsi="仿宋" w:eastAsia="仿宋" w:cs="仿宋"/>
                <w:sz w:val="21"/>
                <w:szCs w:val="21"/>
                <w:lang w:bidi="ar"/>
              </w:rPr>
            </w:pPr>
            <w:r>
              <w:rPr>
                <w:rFonts w:ascii="仿宋" w:hAnsi="仿宋" w:eastAsia="仿宋" w:cs="仿宋"/>
                <w:sz w:val="21"/>
                <w:szCs w:val="21"/>
                <w:lang w:bidi="ar"/>
              </w:rPr>
              <w:t>2.养生茶饮：清肝明目茶、荷叶清热茶等</w:t>
            </w:r>
          </w:p>
          <w:p w14:paraId="185A0465">
            <w:pPr>
              <w:widowControl/>
              <w:jc w:val="left"/>
              <w:textAlignment w:val="center"/>
              <w:rPr>
                <w:rFonts w:hint="eastAsia" w:ascii="仿宋" w:hAnsi="仿宋" w:eastAsia="仿宋" w:cs="仿宋"/>
                <w:sz w:val="21"/>
                <w:szCs w:val="21"/>
                <w:lang w:bidi="ar"/>
              </w:rPr>
            </w:pPr>
            <w:r>
              <w:rPr>
                <w:rFonts w:ascii="仿宋" w:hAnsi="仿宋" w:eastAsia="仿宋" w:cs="仿宋"/>
                <w:sz w:val="21"/>
                <w:szCs w:val="21"/>
                <w:lang w:bidi="ar"/>
              </w:rPr>
              <w:t>3.药膳点心：枸杞黑芝麻蛋卷、养生红枣核桃面包等</w:t>
            </w:r>
          </w:p>
        </w:tc>
      </w:tr>
      <w:tr w14:paraId="322091AD">
        <w:tblPrEx>
          <w:tblCellMar>
            <w:top w:w="0" w:type="dxa"/>
            <w:left w:w="108" w:type="dxa"/>
            <w:bottom w:w="0" w:type="dxa"/>
            <w:right w:w="108" w:type="dxa"/>
          </w:tblCellMar>
        </w:tblPrEx>
        <w:trPr>
          <w:trHeight w:val="557" w:hRule="atLeast"/>
        </w:trPr>
        <w:tc>
          <w:tcPr>
            <w:tcW w:w="1433" w:type="dxa"/>
            <w:tcBorders>
              <w:top w:val="single" w:color="000000" w:sz="4" w:space="0"/>
              <w:left w:val="single" w:color="000000" w:sz="4" w:space="0"/>
              <w:bottom w:val="single" w:color="000000" w:sz="4" w:space="0"/>
              <w:right w:val="single" w:color="000000" w:sz="4" w:space="0"/>
            </w:tcBorders>
            <w:vAlign w:val="center"/>
          </w:tcPr>
          <w:p w14:paraId="0DFA50FF">
            <w:pPr>
              <w:widowControl/>
              <w:jc w:val="left"/>
              <w:textAlignment w:val="center"/>
              <w:rPr>
                <w:rFonts w:hint="eastAsia" w:ascii="仿宋" w:hAnsi="仿宋" w:eastAsia="仿宋" w:cs="仿宋"/>
                <w:sz w:val="21"/>
                <w:szCs w:val="21"/>
                <w:lang w:bidi="ar"/>
              </w:rPr>
            </w:pPr>
            <w:r>
              <w:rPr>
                <w:rFonts w:ascii="仿宋" w:hAnsi="仿宋" w:eastAsia="仿宋" w:cs="仿宋"/>
                <w:sz w:val="21"/>
                <w:szCs w:val="21"/>
                <w:lang w:bidi="ar"/>
              </w:rPr>
              <w:t>小餐厅围餐</w:t>
            </w:r>
          </w:p>
        </w:tc>
        <w:tc>
          <w:tcPr>
            <w:tcW w:w="6946" w:type="dxa"/>
            <w:tcBorders>
              <w:top w:val="single" w:color="000000" w:sz="4" w:space="0"/>
              <w:left w:val="single" w:color="000000" w:sz="4" w:space="0"/>
              <w:bottom w:val="single" w:color="000000" w:sz="4" w:space="0"/>
              <w:right w:val="single" w:color="000000" w:sz="4" w:space="0"/>
            </w:tcBorders>
            <w:vAlign w:val="center"/>
          </w:tcPr>
          <w:p w14:paraId="3A5B8E4A">
            <w:pPr>
              <w:widowControl/>
              <w:jc w:val="left"/>
              <w:textAlignment w:val="center"/>
              <w:rPr>
                <w:rFonts w:hint="eastAsia" w:ascii="仿宋" w:hAnsi="仿宋" w:eastAsia="仿宋" w:cs="仿宋"/>
                <w:sz w:val="21"/>
                <w:szCs w:val="21"/>
                <w:lang w:bidi="ar"/>
              </w:rPr>
            </w:pPr>
            <w:r>
              <w:rPr>
                <w:rFonts w:ascii="仿宋" w:hAnsi="仿宋" w:eastAsia="仿宋" w:cs="仿宋"/>
                <w:sz w:val="21"/>
                <w:szCs w:val="21"/>
                <w:lang w:bidi="ar"/>
              </w:rPr>
              <w:t>含肉禽类、海鲜类、蔬菜类、汤类、点心类、主食类等</w:t>
            </w:r>
          </w:p>
        </w:tc>
      </w:tr>
    </w:tbl>
    <w:p w14:paraId="7FCC8BA5">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第十一条  出品质量要求</w:t>
      </w:r>
    </w:p>
    <w:p w14:paraId="54D3D954">
      <w:pPr>
        <w:widowControl/>
        <w:numPr>
          <w:ilvl w:val="255"/>
          <w:numId w:val="0"/>
        </w:numPr>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（一）早</w:t>
      </w:r>
      <w:r>
        <w:rPr>
          <w:rFonts w:hint="eastAsia" w:ascii="仿宋" w:hAnsi="仿宋" w:eastAsia="仿宋" w:cs="仿宋"/>
          <w:sz w:val="24"/>
          <w:lang w:val="en-US" w:eastAsia="zh-CN" w:bidi="ar"/>
        </w:rPr>
        <w:t>餐</w:t>
      </w:r>
      <w:r>
        <w:rPr>
          <w:rFonts w:hint="eastAsia" w:ascii="仿宋" w:hAnsi="仿宋" w:eastAsia="仿宋" w:cs="仿宋"/>
          <w:sz w:val="24"/>
          <w:lang w:bidi="ar"/>
        </w:rPr>
        <w:t>、中</w:t>
      </w:r>
      <w:r>
        <w:rPr>
          <w:rFonts w:hint="eastAsia" w:ascii="仿宋" w:hAnsi="仿宋" w:eastAsia="仿宋" w:cs="仿宋"/>
          <w:sz w:val="24"/>
          <w:lang w:val="en-US" w:eastAsia="zh-CN" w:bidi="ar"/>
        </w:rPr>
        <w:t>餐</w:t>
      </w:r>
      <w:r>
        <w:rPr>
          <w:rFonts w:hint="eastAsia" w:ascii="仿宋" w:hAnsi="仿宋" w:eastAsia="仿宋" w:cs="仿宋"/>
          <w:sz w:val="24"/>
          <w:lang w:bidi="ar"/>
        </w:rPr>
        <w:t>、晚餐需营养搭配均衡、品种多样。饭菜兼顾南北方口味，以粤菜为主，搭配川菜、湘菜等，正餐确保新鲜鱼、肉、禽、蛋、蔬菜供应。响应甲方其他膳食要求。</w:t>
      </w:r>
    </w:p>
    <w:p w14:paraId="2E45F66F">
      <w:pPr>
        <w:widowControl/>
        <w:spacing w:line="360" w:lineRule="auto"/>
        <w:ind w:firstLine="480" w:firstLineChars="200"/>
        <w:jc w:val="left"/>
        <w:rPr>
          <w:rFonts w:ascii="Calibri" w:hAnsi="Calibri" w:eastAsia="宋体" w:cs="Times New Roman"/>
        </w:rPr>
      </w:pPr>
      <w:r>
        <w:rPr>
          <w:rFonts w:hint="eastAsia" w:ascii="仿宋" w:hAnsi="仿宋" w:eastAsia="仿宋" w:cs="仿宋"/>
          <w:sz w:val="24"/>
        </w:rPr>
        <w:t>（二）须优先使用新鲜食材，当日供应的菜品应当日制作；严禁使用不合格、来源不可追溯、反复冻融或过期变质的冷冻食品及肉类。</w:t>
      </w:r>
    </w:p>
    <w:p w14:paraId="017A0185">
      <w:pPr>
        <w:widowControl/>
        <w:adjustRightInd w:val="0"/>
        <w:snapToGrid w:val="0"/>
        <w:spacing w:line="360" w:lineRule="auto"/>
        <w:ind w:firstLine="480" w:firstLineChars="200"/>
        <w:rPr>
          <w:rFonts w:ascii="Calibri" w:hAnsi="Calibri" w:eastAsia="宋体" w:cs="Times New Roman"/>
        </w:rPr>
      </w:pPr>
      <w:r>
        <w:rPr>
          <w:rFonts w:hint="eastAsia" w:ascii="仿宋" w:hAnsi="仿宋" w:eastAsia="仿宋" w:cs="仿宋"/>
          <w:sz w:val="24"/>
          <w:lang w:bidi="ar"/>
        </w:rPr>
        <w:t>（三）菜式营养健康，大米选用丝苗米中的新米和晚稻等，食用油采用非转基因产品。</w:t>
      </w:r>
    </w:p>
    <w:p w14:paraId="01A94456">
      <w:pPr>
        <w:widowControl/>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（四）</w:t>
      </w:r>
      <w:r>
        <w:rPr>
          <w:rFonts w:hint="eastAsia" w:ascii="仿宋" w:hAnsi="仿宋" w:eastAsia="仿宋" w:cs="仿宋"/>
          <w:sz w:val="24"/>
        </w:rPr>
        <w:t>熟食类食品均为现场自制，确需使用预制半成品的，仅限米面制品、速冻果蔬、非菜肴类预制基础调料包，严禁使用预制成品餐食、预制菜肴、即食类菜肴调料包；预制半成品使用量不得超过当月食材采购总量5%，须从正规渠道采购，具备完整合格证明、溯源信息，提前报甲方书面审批后方可使用，单独储存、专区加工，杜绝交叉污染。</w:t>
      </w:r>
    </w:p>
    <w:p w14:paraId="03304FBF">
      <w:pPr>
        <w:widowControl/>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（五）原则上当天所有餐次的出品应是当餐次（早餐、中餐及晚餐）制作，保证新鲜，保证口感，因制作工艺所需的个别菜品经甲方审批同意后可放宽至提前12小时内制作。</w:t>
      </w:r>
    </w:p>
    <w:p w14:paraId="55B0BF27">
      <w:pPr>
        <w:widowControl/>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（六）乙方须严格执行国家食品安全法以及食品加工、销售、饮食卫生“五四制”和有关部门对餐饮业的有关规定，合理经营和守法经营。</w:t>
      </w:r>
    </w:p>
    <w:p w14:paraId="2D230B70">
      <w:pPr>
        <w:widowControl/>
        <w:numPr>
          <w:ilvl w:val="255"/>
          <w:numId w:val="0"/>
        </w:numPr>
        <w:spacing w:line="360" w:lineRule="auto"/>
        <w:ind w:firstLine="480" w:firstLineChars="200"/>
        <w:jc w:val="left"/>
        <w:rPr>
          <w:rFonts w:ascii="Calibri" w:hAnsi="Calibri" w:eastAsia="宋体" w:cs="Times New Roman"/>
          <w:b/>
          <w:bCs/>
        </w:rPr>
      </w:pPr>
      <w:r>
        <w:rPr>
          <w:rFonts w:hint="eastAsia" w:ascii="仿宋" w:hAnsi="仿宋" w:eastAsia="仿宋" w:cs="仿宋"/>
          <w:sz w:val="24"/>
          <w:lang w:bidi="ar"/>
        </w:rPr>
        <w:t>（七）若因乙方经营管理不当等原因发生食物中毒、食品安全事故或其他安全事故，导致人员伤亡或财产损失的，</w:t>
      </w:r>
      <w:r>
        <w:rPr>
          <w:rFonts w:ascii="仿宋" w:hAnsi="仿宋" w:eastAsia="仿宋" w:cs="仿宋"/>
          <w:kern w:val="0"/>
          <w:sz w:val="24"/>
          <w:szCs w:val="22"/>
        </w:rPr>
        <w:t>全部经济责任、法律责任由</w:t>
      </w:r>
      <w:r>
        <w:rPr>
          <w:rFonts w:hint="eastAsia" w:ascii="仿宋" w:hAnsi="仿宋" w:eastAsia="仿宋" w:cs="仿宋"/>
          <w:kern w:val="0"/>
          <w:sz w:val="24"/>
          <w:szCs w:val="22"/>
        </w:rPr>
        <w:t>乙方</w:t>
      </w:r>
      <w:r>
        <w:rPr>
          <w:rFonts w:ascii="仿宋" w:hAnsi="仿宋" w:eastAsia="仿宋" w:cs="仿宋"/>
          <w:kern w:val="0"/>
          <w:sz w:val="24"/>
          <w:szCs w:val="22"/>
        </w:rPr>
        <w:t>承担，包括但不限于人员医疗费、误工费、残疾赔偿金、死亡赔偿金、精神损害抚慰金、事故处理费，以及</w:t>
      </w:r>
      <w:r>
        <w:rPr>
          <w:rFonts w:hint="eastAsia" w:ascii="仿宋" w:hAnsi="仿宋" w:eastAsia="仿宋" w:cs="仿宋"/>
          <w:kern w:val="0"/>
          <w:sz w:val="24"/>
          <w:szCs w:val="22"/>
        </w:rPr>
        <w:t>甲方</w:t>
      </w:r>
      <w:r>
        <w:rPr>
          <w:rFonts w:ascii="仿宋" w:hAnsi="仿宋" w:eastAsia="仿宋" w:cs="仿宋"/>
          <w:kern w:val="0"/>
          <w:sz w:val="24"/>
          <w:szCs w:val="22"/>
        </w:rPr>
        <w:t>因此支出的律师费、公证费、鉴定费、舆情处置费、商誉损失赔偿金等；同时</w:t>
      </w:r>
      <w:r>
        <w:rPr>
          <w:rFonts w:hint="eastAsia" w:ascii="仿宋" w:hAnsi="仿宋" w:eastAsia="仿宋" w:cs="仿宋"/>
          <w:kern w:val="0"/>
          <w:sz w:val="24"/>
          <w:szCs w:val="22"/>
        </w:rPr>
        <w:t>乙方</w:t>
      </w:r>
      <w:r>
        <w:rPr>
          <w:rFonts w:ascii="仿宋" w:hAnsi="仿宋" w:eastAsia="仿宋" w:cs="仿宋"/>
          <w:kern w:val="0"/>
          <w:sz w:val="24"/>
          <w:szCs w:val="22"/>
        </w:rPr>
        <w:t>须向</w:t>
      </w:r>
      <w:r>
        <w:rPr>
          <w:rFonts w:hint="eastAsia" w:ascii="仿宋" w:hAnsi="仿宋" w:eastAsia="仿宋" w:cs="仿宋"/>
          <w:kern w:val="0"/>
          <w:sz w:val="24"/>
          <w:szCs w:val="22"/>
        </w:rPr>
        <w:t>甲方</w:t>
      </w:r>
      <w:r>
        <w:rPr>
          <w:rFonts w:ascii="仿宋" w:hAnsi="仿宋" w:eastAsia="仿宋" w:cs="仿宋"/>
          <w:kern w:val="0"/>
          <w:sz w:val="24"/>
          <w:szCs w:val="22"/>
        </w:rPr>
        <w:t>支</w:t>
      </w:r>
      <w:r>
        <w:rPr>
          <w:rFonts w:hint="eastAsia" w:ascii="仿宋" w:hAnsi="仿宋" w:eastAsia="仿宋" w:cs="仿宋"/>
          <w:kern w:val="0"/>
          <w:sz w:val="24"/>
          <w:szCs w:val="22"/>
        </w:rPr>
        <w:t>付75万元</w:t>
      </w:r>
      <w:r>
        <w:rPr>
          <w:rFonts w:ascii="仿宋" w:hAnsi="仿宋" w:eastAsia="仿宋" w:cs="仿宋"/>
          <w:kern w:val="0"/>
          <w:sz w:val="24"/>
          <w:szCs w:val="22"/>
        </w:rPr>
        <w:t>的违约金，违约金不足以弥补</w:t>
      </w:r>
      <w:r>
        <w:rPr>
          <w:rFonts w:hint="eastAsia" w:ascii="仿宋" w:hAnsi="仿宋" w:eastAsia="仿宋" w:cs="仿宋"/>
          <w:kern w:val="0"/>
          <w:sz w:val="24"/>
          <w:szCs w:val="22"/>
        </w:rPr>
        <w:t>甲方</w:t>
      </w:r>
      <w:r>
        <w:rPr>
          <w:rFonts w:ascii="仿宋" w:hAnsi="仿宋" w:eastAsia="仿宋" w:cs="仿宋"/>
          <w:kern w:val="0"/>
          <w:sz w:val="24"/>
          <w:szCs w:val="22"/>
        </w:rPr>
        <w:t>全部损失的，</w:t>
      </w:r>
      <w:r>
        <w:rPr>
          <w:rFonts w:hint="eastAsia" w:ascii="仿宋" w:hAnsi="仿宋" w:eastAsia="仿宋" w:cs="仿宋"/>
          <w:kern w:val="0"/>
          <w:sz w:val="24"/>
          <w:szCs w:val="22"/>
        </w:rPr>
        <w:t>乙方</w:t>
      </w:r>
      <w:r>
        <w:rPr>
          <w:rFonts w:ascii="仿宋" w:hAnsi="仿宋" w:eastAsia="仿宋" w:cs="仿宋"/>
          <w:kern w:val="0"/>
          <w:sz w:val="24"/>
          <w:szCs w:val="22"/>
        </w:rPr>
        <w:t>须补足差额；</w:t>
      </w:r>
      <w:r>
        <w:rPr>
          <w:rFonts w:hint="eastAsia" w:ascii="仿宋" w:hAnsi="仿宋" w:eastAsia="仿宋" w:cs="仿宋"/>
          <w:kern w:val="0"/>
          <w:sz w:val="24"/>
          <w:szCs w:val="22"/>
        </w:rPr>
        <w:t>甲方</w:t>
      </w:r>
      <w:r>
        <w:rPr>
          <w:rFonts w:ascii="仿宋" w:hAnsi="仿宋" w:eastAsia="仿宋" w:cs="仿宋"/>
          <w:kern w:val="0"/>
          <w:sz w:val="24"/>
          <w:szCs w:val="22"/>
        </w:rPr>
        <w:t>有权单方终止合同。</w:t>
      </w:r>
    </w:p>
    <w:p w14:paraId="27F309EA">
      <w:pPr>
        <w:widowControl/>
        <w:spacing w:line="360" w:lineRule="auto"/>
        <w:ind w:firstLine="480" w:firstLineChars="200"/>
        <w:rPr>
          <w:rFonts w:ascii="Calibri" w:hAnsi="Calibri" w:eastAsia="宋体" w:cs="Times New Roman"/>
        </w:rPr>
      </w:pPr>
      <w:r>
        <w:rPr>
          <w:rFonts w:hint="eastAsia" w:ascii="仿宋" w:hAnsi="仿宋" w:eastAsia="仿宋" w:cs="仿宋"/>
          <w:sz w:val="24"/>
          <w:lang w:bidi="ar"/>
        </w:rPr>
        <w:t>（八）乙方须指定专人负责食品留样工作，确保每餐食品严格按照相关规定，在分量、时间及保存条件等方面执行留样程序。留样样品应至少保存48小时，每样分量不少于150克，并存放于5℃以下的专用冷藏柜中。乙方还需按要求做好食品留样管理工作。</w:t>
      </w:r>
    </w:p>
    <w:p w14:paraId="05A61A36">
      <w:pPr>
        <w:widowControl/>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九）乙方须每季度委托具备CMA或CNAS资质的第三方检测机构，对食堂成品菜肴开展微生物抽检。每次抽检的批次不少于5个，且必须涵盖菌落总数、大肠菌群、沙门氏菌、金黄色葡萄球菌等核心指标；若抽检样品中包含水产品或冷食，则须加测副溶血性弧菌或李斯特氏菌。检测报告须于采样后7个工作日内出具，并提交甲方存档备案。</w:t>
      </w:r>
    </w:p>
    <w:p w14:paraId="682F3ED6">
      <w:pPr>
        <w:widowControl/>
        <w:numPr>
          <w:ilvl w:val="255"/>
          <w:numId w:val="0"/>
        </w:numPr>
        <w:spacing w:line="360" w:lineRule="auto"/>
        <w:ind w:firstLine="420" w:firstLineChars="175"/>
        <w:jc w:val="left"/>
        <w:rPr>
          <w:rFonts w:hint="eastAsia" w:ascii="仿宋" w:hAnsi="仿宋" w:eastAsia="仿宋" w:cs="仿宋"/>
          <w:sz w:val="24"/>
        </w:rPr>
      </w:pPr>
      <w:r>
        <w:rPr>
          <w:rFonts w:hint="eastAsia" w:ascii="仿宋" w:hAnsi="仿宋" w:eastAsia="仿宋" w:cs="仿宋"/>
          <w:sz w:val="24"/>
        </w:rPr>
        <w:t>（十）乙方使用加工的食材原料杜绝腐烂、变质、有异物；餐具必须经高温消毒，热菜装盘须预热，确保餐品送达时中心温度不低于60℃；严格卫生检查程序，坚持检查餐前、餐中、餐后卫生的情况。</w:t>
      </w:r>
    </w:p>
    <w:p w14:paraId="5ED7966C">
      <w:pPr>
        <w:widowControl/>
        <w:numPr>
          <w:ilvl w:val="255"/>
          <w:numId w:val="0"/>
        </w:numPr>
        <w:spacing w:line="360" w:lineRule="auto"/>
        <w:ind w:firstLine="420" w:firstLineChars="175"/>
        <w:jc w:val="left"/>
        <w:rPr>
          <w:rFonts w:hint="eastAsia" w:ascii="仿宋" w:hAnsi="仿宋" w:eastAsia="仿宋" w:cs="仿宋"/>
          <w:sz w:val="24"/>
        </w:rPr>
      </w:pPr>
    </w:p>
    <w:p w14:paraId="62FD522A">
      <w:pPr>
        <w:widowControl/>
        <w:spacing w:line="440" w:lineRule="exact"/>
        <w:jc w:val="center"/>
        <w:outlineLvl w:val="0"/>
        <w:rPr>
          <w:rFonts w:hint="eastAsia" w:ascii="仿宋" w:hAnsi="仿宋" w:eastAsia="仿宋" w:cs="仿宋"/>
          <w:b/>
          <w:bCs/>
          <w:kern w:val="44"/>
          <w:sz w:val="24"/>
        </w:rPr>
      </w:pPr>
      <w:r>
        <w:rPr>
          <w:rFonts w:hint="eastAsia" w:ascii="仿宋" w:hAnsi="仿宋" w:eastAsia="仿宋" w:cs="仿宋"/>
          <w:b/>
          <w:bCs/>
          <w:kern w:val="44"/>
          <w:sz w:val="24"/>
        </w:rPr>
        <w:t>第四章  人员配置与服务管理规范</w:t>
      </w:r>
    </w:p>
    <w:p w14:paraId="278353C1">
      <w:pPr>
        <w:rPr>
          <w:rFonts w:ascii="Calibri" w:hAnsi="Calibri" w:eastAsia="宋体" w:cs="Times New Roman"/>
          <w:color w:val="0070C0"/>
        </w:rPr>
      </w:pPr>
    </w:p>
    <w:p w14:paraId="35D22D03">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第十二条 管理团队人员配置及任职要求</w:t>
      </w:r>
    </w:p>
    <w:p w14:paraId="18915A0F">
      <w:pPr>
        <w:widowControl/>
        <w:numPr>
          <w:ilvl w:val="255"/>
          <w:numId w:val="0"/>
        </w:numPr>
        <w:spacing w:line="360" w:lineRule="auto"/>
        <w:ind w:firstLine="420" w:firstLineChars="175"/>
        <w:jc w:val="left"/>
        <w:rPr>
          <w:rFonts w:hint="eastAsia" w:ascii="仿宋" w:hAnsi="仿宋" w:eastAsia="仿宋" w:cs="仿宋"/>
          <w:sz w:val="24"/>
        </w:rPr>
      </w:pPr>
      <w:r>
        <w:rPr>
          <w:rFonts w:hint="eastAsia" w:ascii="仿宋" w:hAnsi="仿宋" w:eastAsia="仿宋" w:cs="仿宋"/>
          <w:sz w:val="24"/>
        </w:rPr>
        <w:t>本项目设驻场管理团队与非驻场管理团队。驻场管理团队包括项目经理、食品安全总监、院区经理、院区助理、厨师长、楼面经理、专职食品安全员、配送主管等岗位，其具体人员配置及任职要求详见《驻场管理团队人员配置及任职要求表》。非驻场管理团队则包括</w:t>
      </w:r>
      <w:r>
        <w:rPr>
          <w:rFonts w:hint="eastAsia" w:ascii="仿宋" w:hAnsi="仿宋" w:eastAsia="仿宋" w:cs="仿宋"/>
          <w:sz w:val="24"/>
          <w:lang w:eastAsia="zh-CN"/>
        </w:rPr>
        <w:t>项目总监</w:t>
      </w:r>
      <w:r>
        <w:rPr>
          <w:rFonts w:hint="eastAsia" w:ascii="仿宋" w:hAnsi="仿宋" w:eastAsia="仿宋" w:cs="仿宋"/>
          <w:sz w:val="24"/>
        </w:rPr>
        <w:t>、</w:t>
      </w:r>
      <w:r>
        <w:rPr>
          <w:rFonts w:hint="eastAsia" w:ascii="仿宋" w:hAnsi="仿宋" w:eastAsia="仿宋" w:cs="仿宋"/>
          <w:sz w:val="24"/>
          <w:highlight w:val="none"/>
          <w:lang w:eastAsia="zh-CN"/>
        </w:rPr>
        <w:t>营养指导员</w:t>
      </w:r>
      <w:r>
        <w:rPr>
          <w:rFonts w:hint="eastAsia" w:ascii="仿宋" w:hAnsi="仿宋" w:eastAsia="仿宋" w:cs="仿宋"/>
          <w:sz w:val="24"/>
        </w:rPr>
        <w:t>、</w:t>
      </w:r>
      <w:r>
        <w:rPr>
          <w:rFonts w:hint="eastAsia" w:ascii="仿宋" w:hAnsi="仿宋" w:eastAsia="仿宋" w:cs="仿宋"/>
          <w:sz w:val="24"/>
          <w:lang w:eastAsia="zh-CN"/>
        </w:rPr>
        <w:t>行政总厨</w:t>
      </w:r>
      <w:r>
        <w:rPr>
          <w:rFonts w:hint="eastAsia" w:ascii="仿宋" w:hAnsi="仿宋" w:eastAsia="仿宋" w:cs="仿宋"/>
          <w:sz w:val="24"/>
        </w:rPr>
        <w:t>，相应的人员配置及任职要求详见《非驻场管理团队人员配置及任职要求表》。</w:t>
      </w:r>
    </w:p>
    <w:p w14:paraId="4EDC9632">
      <w:pPr>
        <w:numPr>
          <w:ilvl w:val="255"/>
          <w:numId w:val="0"/>
        </w:numPr>
        <w:spacing w:line="360" w:lineRule="auto"/>
        <w:jc w:val="center"/>
        <w:rPr>
          <w:rFonts w:hint="eastAsia" w:ascii="仿宋" w:hAnsi="仿宋" w:eastAsia="仿宋" w:cs="仿宋"/>
          <w:b/>
          <w:bCs/>
          <w:sz w:val="24"/>
        </w:rPr>
      </w:pPr>
      <w:r>
        <w:rPr>
          <w:rFonts w:hint="eastAsia" w:ascii="仿宋" w:hAnsi="仿宋" w:eastAsia="仿宋" w:cs="仿宋"/>
          <w:b/>
          <w:bCs/>
          <w:sz w:val="24"/>
        </w:rPr>
        <w:t>驻场管理团队人员配置及任职要求表</w:t>
      </w:r>
    </w:p>
    <w:tbl>
      <w:tblPr>
        <w:tblStyle w:val="12"/>
        <w:tblW w:w="4998"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05"/>
        <w:gridCol w:w="925"/>
        <w:gridCol w:w="353"/>
        <w:gridCol w:w="426"/>
        <w:gridCol w:w="429"/>
        <w:gridCol w:w="2491"/>
        <w:gridCol w:w="3190"/>
      </w:tblGrid>
      <w:tr w14:paraId="3906CD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blHeader/>
        </w:trPr>
        <w:tc>
          <w:tcPr>
            <w:tcW w:w="414" w:type="pct"/>
            <w:tcBorders>
              <w:tl2br w:val="nil"/>
              <w:tr2bl w:val="nil"/>
            </w:tcBorders>
            <w:vAlign w:val="center"/>
          </w:tcPr>
          <w:p w14:paraId="5E4680F2">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序号</w:t>
            </w:r>
          </w:p>
        </w:tc>
        <w:tc>
          <w:tcPr>
            <w:tcW w:w="543" w:type="pct"/>
            <w:tcBorders>
              <w:tl2br w:val="nil"/>
              <w:tr2bl w:val="nil"/>
            </w:tcBorders>
            <w:vAlign w:val="center"/>
          </w:tcPr>
          <w:p w14:paraId="4911F8C0">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岗位</w:t>
            </w:r>
          </w:p>
        </w:tc>
        <w:tc>
          <w:tcPr>
            <w:tcW w:w="207" w:type="pct"/>
            <w:tcBorders>
              <w:tl2br w:val="nil"/>
              <w:tr2bl w:val="nil"/>
            </w:tcBorders>
            <w:vAlign w:val="center"/>
          </w:tcPr>
          <w:p w14:paraId="20BCE6F5">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天河人数</w:t>
            </w:r>
          </w:p>
        </w:tc>
        <w:tc>
          <w:tcPr>
            <w:tcW w:w="250" w:type="pct"/>
            <w:tcBorders>
              <w:tl2br w:val="nil"/>
              <w:tr2bl w:val="nil"/>
            </w:tcBorders>
            <w:vAlign w:val="center"/>
          </w:tcPr>
          <w:p w14:paraId="1AECB62F">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珠玑人数</w:t>
            </w:r>
          </w:p>
        </w:tc>
        <w:tc>
          <w:tcPr>
            <w:tcW w:w="251" w:type="pct"/>
            <w:tcBorders>
              <w:tl2br w:val="nil"/>
              <w:tr2bl w:val="nil"/>
            </w:tcBorders>
            <w:vAlign w:val="center"/>
          </w:tcPr>
          <w:p w14:paraId="020DC1BF">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同德人数</w:t>
            </w:r>
          </w:p>
        </w:tc>
        <w:tc>
          <w:tcPr>
            <w:tcW w:w="1462" w:type="pct"/>
            <w:tcBorders>
              <w:tl2br w:val="nil"/>
              <w:tr2bl w:val="nil"/>
            </w:tcBorders>
            <w:vAlign w:val="center"/>
          </w:tcPr>
          <w:p w14:paraId="24A81BE1">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任职要求</w:t>
            </w:r>
          </w:p>
        </w:tc>
        <w:tc>
          <w:tcPr>
            <w:tcW w:w="1870" w:type="pct"/>
            <w:tcBorders>
              <w:tl2br w:val="nil"/>
              <w:tr2bl w:val="nil"/>
            </w:tcBorders>
            <w:vAlign w:val="center"/>
          </w:tcPr>
          <w:p w14:paraId="53FD3249">
            <w:pPr>
              <w:widowControl/>
              <w:jc w:val="center"/>
              <w:textAlignment w:val="center"/>
              <w:rPr>
                <w:rFonts w:hint="eastAsia" w:ascii="仿宋" w:hAnsi="仿宋" w:eastAsia="仿宋" w:cs="仿宋"/>
                <w:b/>
                <w:bCs/>
                <w:szCs w:val="21"/>
              </w:rPr>
            </w:pPr>
            <w:r>
              <w:rPr>
                <w:rFonts w:hint="eastAsia" w:ascii="仿宋" w:hAnsi="仿宋" w:eastAsia="仿宋" w:cs="仿宋"/>
                <w:b/>
                <w:bCs/>
                <w:kern w:val="0"/>
                <w:szCs w:val="21"/>
                <w:lang w:bidi="ar"/>
              </w:rPr>
              <w:t>岗位职责</w:t>
            </w:r>
          </w:p>
        </w:tc>
      </w:tr>
      <w:tr w14:paraId="65749A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tcBorders>
              <w:tl2br w:val="nil"/>
              <w:tr2bl w:val="nil"/>
            </w:tcBorders>
            <w:vAlign w:val="center"/>
          </w:tcPr>
          <w:p w14:paraId="267A9728">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543" w:type="pct"/>
            <w:tcBorders>
              <w:tl2br w:val="nil"/>
              <w:tr2bl w:val="nil"/>
            </w:tcBorders>
            <w:vAlign w:val="center"/>
          </w:tcPr>
          <w:p w14:paraId="53F8031F">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项目</w:t>
            </w:r>
          </w:p>
          <w:p w14:paraId="3BEB97CC">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经理</w:t>
            </w:r>
          </w:p>
        </w:tc>
        <w:tc>
          <w:tcPr>
            <w:tcW w:w="709" w:type="pct"/>
            <w:gridSpan w:val="3"/>
            <w:tcBorders>
              <w:tl2br w:val="nil"/>
              <w:tr2bl w:val="nil"/>
            </w:tcBorders>
            <w:vAlign w:val="center"/>
          </w:tcPr>
          <w:p w14:paraId="268BF3D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tcBorders>
              <w:tl2br w:val="nil"/>
              <w:tr2bl w:val="nil"/>
            </w:tcBorders>
            <w:vAlign w:val="center"/>
          </w:tcPr>
          <w:p w14:paraId="282F6EB8">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学历：本科或以上</w:t>
            </w:r>
          </w:p>
          <w:p w14:paraId="32FD8854">
            <w:pPr>
              <w:widowControl/>
              <w:jc w:val="left"/>
              <w:textAlignment w:val="center"/>
              <w:rPr>
                <w:rFonts w:hint="eastAsia" w:ascii="仿宋" w:hAnsi="仿宋" w:eastAsia="仿宋" w:cs="仿宋"/>
                <w:szCs w:val="21"/>
              </w:rPr>
            </w:pPr>
            <w:r>
              <w:rPr>
                <w:rFonts w:hint="eastAsia" w:ascii="仿宋" w:hAnsi="仿宋" w:eastAsia="仿宋" w:cs="仿宋"/>
                <w:szCs w:val="21"/>
                <w:lang w:bidi="ar"/>
              </w:rPr>
              <w:t>经验：6年或以上医院/大型食堂餐饮管理经验，无从业禁止。</w:t>
            </w:r>
          </w:p>
          <w:p w14:paraId="7D21557B">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tcBorders>
              <w:tl2br w:val="nil"/>
              <w:tr2bl w:val="nil"/>
            </w:tcBorders>
            <w:vAlign w:val="center"/>
          </w:tcPr>
          <w:p w14:paraId="267D8485">
            <w:pPr>
              <w:widowControl/>
              <w:textAlignment w:val="center"/>
              <w:rPr>
                <w:rFonts w:hint="eastAsia" w:ascii="仿宋" w:hAnsi="仿宋" w:eastAsia="仿宋" w:cs="仿宋"/>
                <w:szCs w:val="21"/>
              </w:rPr>
            </w:pPr>
            <w:r>
              <w:rPr>
                <w:rFonts w:hint="eastAsia" w:ascii="仿宋" w:hAnsi="仿宋" w:eastAsia="仿宋" w:cs="仿宋"/>
                <w:kern w:val="0"/>
                <w:szCs w:val="21"/>
                <w:lang w:bidi="ar"/>
              </w:rPr>
              <w:t>1.结合医院需求（患者膳食、职工用餐）制定饭堂运营目标，如用餐满意度、菜品性价比、运营成本控制等，分解目标并推动落实，定期复盘运营数据，优化运营策略。</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2.对接临床科室、行政部门，收集患者、医护人员的用餐意见（如菜品口味、营养搭配、用餐时段），协调投标人调整菜品结构、优化服务流程，例如针对术后患者推出定制化营养餐，针对医护人员错峰用餐需求调整供餐时间。</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3.统筹应对医院特殊场景的用餐需求，如突发公共卫生事件的应急供餐、大型会议或培训的集体供餐等，确保供餐稳定、有序。定期开展用餐满意度调研，监督投标人的服务态度、菜品质量、环境卫生等，建立服务质量台账，对投诉问题及时协调处理，提升用餐体验。</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4.根据饭堂运营需求，合理配置厨师、服务员、保洁员等岗位人员，确保人员充足、资质合规；组织团队开展服务技能、医院规章制度、应急处理等培训，提升团队专业素养和服务意识。</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5.制定团队日常工作规范和考核标准，监督员工遵守工作纪律、服务流程和操作规范，定期开展绩效考核。</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6.统筹饭堂的食材采购成本、人力成本、能耗成本、设备维护成本等，建立成本核算机制，定期分析成本构成，优化成本控制方案，避免浪费和成本超标，确保项目盈利目标达成。</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7.定期与医院相关负责人沟通运营情况，汇报整改落实情况，听取意见建议；配合医院及市场监管部门的食品安全检查、合规检查等工作，确保运营合规。</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8.配合食品安全总监开展食品安全风险排查和整改工作，同时统筹防控运营中的其他风险，如人员冲突、设备故障、供餐中断等，制定应急预案并组织演练，确保快速应对突发情况。</w:t>
            </w:r>
          </w:p>
        </w:tc>
      </w:tr>
      <w:tr w14:paraId="05B361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tcBorders>
              <w:tl2br w:val="nil"/>
              <w:tr2bl w:val="nil"/>
            </w:tcBorders>
            <w:vAlign w:val="center"/>
          </w:tcPr>
          <w:p w14:paraId="65ABEE96">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2</w:t>
            </w:r>
          </w:p>
        </w:tc>
        <w:tc>
          <w:tcPr>
            <w:tcW w:w="543" w:type="pct"/>
            <w:tcBorders>
              <w:tl2br w:val="nil"/>
              <w:tr2bl w:val="nil"/>
            </w:tcBorders>
            <w:vAlign w:val="center"/>
          </w:tcPr>
          <w:p w14:paraId="2CBBD865">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院区</w:t>
            </w:r>
          </w:p>
          <w:p w14:paraId="31721FA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经理</w:t>
            </w:r>
          </w:p>
        </w:tc>
        <w:tc>
          <w:tcPr>
            <w:tcW w:w="207" w:type="pct"/>
            <w:tcBorders>
              <w:tl2br w:val="nil"/>
              <w:tr2bl w:val="nil"/>
            </w:tcBorders>
            <w:vAlign w:val="center"/>
          </w:tcPr>
          <w:p w14:paraId="5C77B7A0">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0" w:type="pct"/>
            <w:tcBorders>
              <w:tl2br w:val="nil"/>
              <w:tr2bl w:val="nil"/>
            </w:tcBorders>
            <w:vAlign w:val="center"/>
          </w:tcPr>
          <w:p w14:paraId="589422AB">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1" w:type="pct"/>
            <w:tcBorders>
              <w:tl2br w:val="nil"/>
              <w:tr2bl w:val="nil"/>
            </w:tcBorders>
            <w:vAlign w:val="center"/>
          </w:tcPr>
          <w:p w14:paraId="353D5199">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tcBorders>
              <w:tl2br w:val="nil"/>
              <w:tr2bl w:val="nil"/>
            </w:tcBorders>
            <w:vAlign w:val="center"/>
          </w:tcPr>
          <w:p w14:paraId="14187324">
            <w:pPr>
              <w:widowControl/>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学历：大专或以上</w:t>
            </w:r>
          </w:p>
          <w:p w14:paraId="6A635FE9">
            <w:pPr>
              <w:widowControl/>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经验：6年或以上食堂现场管理经验</w:t>
            </w:r>
          </w:p>
          <w:p w14:paraId="13EBA8BD">
            <w:pPr>
              <w:widowControl/>
              <w:textAlignment w:val="center"/>
              <w:rPr>
                <w:rFonts w:hint="eastAsia" w:ascii="仿宋" w:hAnsi="仿宋" w:eastAsia="仿宋" w:cs="仿宋"/>
                <w:szCs w:val="21"/>
              </w:rPr>
            </w:pPr>
            <w:r>
              <w:rPr>
                <w:rFonts w:hint="eastAsia" w:ascii="仿宋" w:hAnsi="仿宋" w:eastAsia="仿宋" w:cs="仿宋"/>
                <w:kern w:val="0"/>
                <w:szCs w:val="21"/>
                <w:lang w:bidi="ar"/>
              </w:rPr>
              <w:t>证书：有效健康证、食品安全管理人员考试合格证明</w:t>
            </w:r>
          </w:p>
        </w:tc>
        <w:tc>
          <w:tcPr>
            <w:tcW w:w="1870" w:type="pct"/>
            <w:tcBorders>
              <w:tl2br w:val="nil"/>
              <w:tr2bl w:val="nil"/>
            </w:tcBorders>
            <w:vAlign w:val="center"/>
          </w:tcPr>
          <w:p w14:paraId="66F98EBA">
            <w:pPr>
              <w:widowControl/>
              <w:textAlignment w:val="center"/>
              <w:rPr>
                <w:rFonts w:hint="eastAsia" w:ascii="仿宋" w:hAnsi="仿宋" w:eastAsia="仿宋" w:cs="仿宋"/>
                <w:szCs w:val="21"/>
              </w:rPr>
            </w:pPr>
            <w:r>
              <w:rPr>
                <w:rFonts w:hint="eastAsia" w:ascii="仿宋" w:hAnsi="仿宋" w:eastAsia="仿宋" w:cs="仿宋"/>
                <w:kern w:val="0"/>
                <w:szCs w:val="21"/>
                <w:lang w:bidi="ar"/>
              </w:rPr>
              <w:t>负责院区食堂项目日常运行管理。全面完成合同内容与采购人要求，负责监控项目点安全和卫生等。跟进用餐者投诉事件，工作内容包括但不限于：①院区月度汇报工作完成情况、工作计划、工作难点汇报等；②负责对接采购人各项服务需求；③其他食堂综合性协调管理工作。</w:t>
            </w:r>
          </w:p>
        </w:tc>
      </w:tr>
      <w:tr w14:paraId="23A6C9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restart"/>
            <w:tcBorders>
              <w:tl2br w:val="nil"/>
              <w:tr2bl w:val="nil"/>
            </w:tcBorders>
            <w:vAlign w:val="center"/>
          </w:tcPr>
          <w:p w14:paraId="03E845A7">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3</w:t>
            </w:r>
          </w:p>
        </w:tc>
        <w:tc>
          <w:tcPr>
            <w:tcW w:w="543" w:type="pct"/>
            <w:vMerge w:val="restart"/>
            <w:tcBorders>
              <w:tl2br w:val="nil"/>
              <w:tr2bl w:val="nil"/>
            </w:tcBorders>
            <w:vAlign w:val="center"/>
          </w:tcPr>
          <w:p w14:paraId="2B5D607F">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院区</w:t>
            </w:r>
          </w:p>
          <w:p w14:paraId="24543793">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助理</w:t>
            </w:r>
          </w:p>
        </w:tc>
        <w:tc>
          <w:tcPr>
            <w:tcW w:w="207" w:type="pct"/>
            <w:vMerge w:val="restart"/>
            <w:tcBorders>
              <w:tl2br w:val="nil"/>
              <w:tr2bl w:val="nil"/>
            </w:tcBorders>
            <w:vAlign w:val="center"/>
          </w:tcPr>
          <w:p w14:paraId="1F2F0C41">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0" w:type="pct"/>
            <w:vMerge w:val="restart"/>
            <w:tcBorders>
              <w:tl2br w:val="nil"/>
              <w:tr2bl w:val="nil"/>
            </w:tcBorders>
            <w:vAlign w:val="center"/>
          </w:tcPr>
          <w:p w14:paraId="3F9CFB5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1" w:type="pct"/>
            <w:vMerge w:val="restart"/>
            <w:tcBorders>
              <w:tl2br w:val="nil"/>
              <w:tr2bl w:val="nil"/>
            </w:tcBorders>
            <w:vAlign w:val="center"/>
          </w:tcPr>
          <w:p w14:paraId="20BBA71B">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vMerge w:val="restart"/>
            <w:tcBorders>
              <w:tl2br w:val="nil"/>
              <w:tr2bl w:val="nil"/>
            </w:tcBorders>
            <w:vAlign w:val="center"/>
          </w:tcPr>
          <w:p w14:paraId="727AA16F">
            <w:pPr>
              <w:widowControl/>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学历：不限</w:t>
            </w:r>
          </w:p>
          <w:p w14:paraId="3FFD0A31">
            <w:pPr>
              <w:widowControl/>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经验：熟悉粤语，3年或以上客服/后勤服务经验</w:t>
            </w:r>
          </w:p>
          <w:p w14:paraId="7C1F4599">
            <w:pPr>
              <w:widowControl/>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525B971F">
            <w:pPr>
              <w:widowControl/>
              <w:textAlignment w:val="center"/>
              <w:rPr>
                <w:rFonts w:hint="eastAsia" w:ascii="仿宋" w:hAnsi="仿宋" w:eastAsia="仿宋" w:cs="仿宋"/>
                <w:szCs w:val="21"/>
              </w:rPr>
            </w:pPr>
            <w:r>
              <w:rPr>
                <w:rFonts w:hint="eastAsia" w:ascii="仿宋" w:hAnsi="仿宋" w:eastAsia="仿宋" w:cs="仿宋"/>
                <w:kern w:val="0"/>
                <w:szCs w:val="21"/>
                <w:lang w:bidi="ar"/>
              </w:rPr>
              <w:t>协助院区经理处理日常文书和院区人员人事手续相关工作，做好人员培训和工作会议相关记录。用餐者投诉事件跟踪与处理等。</w:t>
            </w:r>
          </w:p>
        </w:tc>
      </w:tr>
      <w:tr w14:paraId="7395C5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6DA9E538">
            <w:pPr>
              <w:jc w:val="center"/>
              <w:rPr>
                <w:rFonts w:hint="eastAsia" w:ascii="仿宋" w:hAnsi="仿宋" w:eastAsia="仿宋" w:cs="仿宋"/>
                <w:szCs w:val="21"/>
              </w:rPr>
            </w:pPr>
          </w:p>
        </w:tc>
        <w:tc>
          <w:tcPr>
            <w:tcW w:w="543" w:type="pct"/>
            <w:vMerge w:val="restart"/>
            <w:tcBorders>
              <w:tl2br w:val="nil"/>
              <w:tr2bl w:val="nil"/>
            </w:tcBorders>
            <w:vAlign w:val="center"/>
          </w:tcPr>
          <w:p w14:paraId="2F3B02C7">
            <w:pPr>
              <w:widowControl/>
              <w:textAlignment w:val="center"/>
              <w:rPr>
                <w:rFonts w:hint="eastAsia" w:ascii="仿宋" w:hAnsi="仿宋" w:eastAsia="仿宋" w:cs="仿宋"/>
                <w:szCs w:val="21"/>
              </w:rPr>
            </w:pPr>
            <w:r>
              <w:rPr>
                <w:rFonts w:hint="eastAsia" w:ascii="仿宋" w:hAnsi="仿宋" w:eastAsia="仿宋" w:cs="仿宋"/>
                <w:kern w:val="0"/>
                <w:szCs w:val="21"/>
                <w:lang w:bidi="ar"/>
              </w:rPr>
              <w:t>（客服人员）</w:t>
            </w:r>
          </w:p>
        </w:tc>
        <w:tc>
          <w:tcPr>
            <w:tcW w:w="207" w:type="pct"/>
            <w:vMerge w:val="continue"/>
            <w:tcBorders>
              <w:tl2br w:val="nil"/>
              <w:tr2bl w:val="nil"/>
            </w:tcBorders>
            <w:vAlign w:val="center"/>
          </w:tcPr>
          <w:p w14:paraId="194FE9B7">
            <w:pPr>
              <w:jc w:val="center"/>
              <w:rPr>
                <w:rFonts w:hint="eastAsia" w:ascii="仿宋" w:hAnsi="仿宋" w:eastAsia="仿宋" w:cs="仿宋"/>
                <w:szCs w:val="21"/>
              </w:rPr>
            </w:pPr>
          </w:p>
        </w:tc>
        <w:tc>
          <w:tcPr>
            <w:tcW w:w="250" w:type="pct"/>
            <w:vMerge w:val="continue"/>
            <w:tcBorders>
              <w:tl2br w:val="nil"/>
              <w:tr2bl w:val="nil"/>
            </w:tcBorders>
            <w:vAlign w:val="center"/>
          </w:tcPr>
          <w:p w14:paraId="03CE32A7">
            <w:pPr>
              <w:jc w:val="center"/>
              <w:rPr>
                <w:rFonts w:hint="eastAsia" w:ascii="仿宋" w:hAnsi="仿宋" w:eastAsia="仿宋" w:cs="仿宋"/>
                <w:szCs w:val="21"/>
              </w:rPr>
            </w:pPr>
          </w:p>
        </w:tc>
        <w:tc>
          <w:tcPr>
            <w:tcW w:w="251" w:type="pct"/>
            <w:vMerge w:val="continue"/>
            <w:tcBorders>
              <w:tl2br w:val="nil"/>
              <w:tr2bl w:val="nil"/>
            </w:tcBorders>
            <w:vAlign w:val="center"/>
          </w:tcPr>
          <w:p w14:paraId="7AA70D0E">
            <w:pPr>
              <w:jc w:val="center"/>
              <w:rPr>
                <w:rFonts w:hint="eastAsia" w:ascii="仿宋" w:hAnsi="仿宋" w:eastAsia="仿宋" w:cs="仿宋"/>
                <w:szCs w:val="21"/>
              </w:rPr>
            </w:pPr>
          </w:p>
        </w:tc>
        <w:tc>
          <w:tcPr>
            <w:tcW w:w="1462" w:type="pct"/>
            <w:vMerge w:val="continue"/>
            <w:tcBorders>
              <w:tl2br w:val="nil"/>
              <w:tr2bl w:val="nil"/>
            </w:tcBorders>
            <w:vAlign w:val="center"/>
          </w:tcPr>
          <w:p w14:paraId="0957B0D3">
            <w:pPr>
              <w:widowControl/>
              <w:textAlignment w:val="center"/>
              <w:rPr>
                <w:rFonts w:hint="eastAsia" w:ascii="仿宋" w:hAnsi="仿宋" w:eastAsia="仿宋" w:cs="仿宋"/>
                <w:kern w:val="0"/>
                <w:szCs w:val="21"/>
                <w:lang w:bidi="ar"/>
              </w:rPr>
            </w:pPr>
          </w:p>
        </w:tc>
        <w:tc>
          <w:tcPr>
            <w:tcW w:w="1870" w:type="pct"/>
            <w:vMerge w:val="continue"/>
            <w:tcBorders>
              <w:tl2br w:val="nil"/>
              <w:tr2bl w:val="nil"/>
            </w:tcBorders>
            <w:vAlign w:val="center"/>
          </w:tcPr>
          <w:p w14:paraId="3A44CF84">
            <w:pPr>
              <w:jc w:val="left"/>
              <w:rPr>
                <w:rFonts w:hint="eastAsia" w:ascii="仿宋" w:hAnsi="仿宋" w:eastAsia="仿宋" w:cs="仿宋"/>
                <w:szCs w:val="21"/>
              </w:rPr>
            </w:pPr>
          </w:p>
        </w:tc>
      </w:tr>
      <w:tr w14:paraId="7ECF91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00" w:hRule="atLeast"/>
        </w:trPr>
        <w:tc>
          <w:tcPr>
            <w:tcW w:w="414" w:type="pct"/>
            <w:vMerge w:val="restart"/>
            <w:tcBorders>
              <w:tl2br w:val="nil"/>
              <w:tr2bl w:val="nil"/>
            </w:tcBorders>
            <w:vAlign w:val="center"/>
          </w:tcPr>
          <w:p w14:paraId="3995F857">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4</w:t>
            </w:r>
          </w:p>
        </w:tc>
        <w:tc>
          <w:tcPr>
            <w:tcW w:w="543" w:type="pct"/>
            <w:vMerge w:val="restart"/>
            <w:tcBorders>
              <w:tl2br w:val="nil"/>
              <w:tr2bl w:val="nil"/>
            </w:tcBorders>
            <w:vAlign w:val="center"/>
          </w:tcPr>
          <w:p w14:paraId="14D8C38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楼面</w:t>
            </w:r>
          </w:p>
          <w:p w14:paraId="59C24FFD">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经理</w:t>
            </w:r>
          </w:p>
        </w:tc>
        <w:tc>
          <w:tcPr>
            <w:tcW w:w="207" w:type="pct"/>
            <w:vMerge w:val="restart"/>
            <w:tcBorders>
              <w:tl2br w:val="nil"/>
              <w:tr2bl w:val="nil"/>
            </w:tcBorders>
            <w:vAlign w:val="center"/>
          </w:tcPr>
          <w:p w14:paraId="76C46CD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0" w:type="pct"/>
            <w:vMerge w:val="restart"/>
            <w:tcBorders>
              <w:tl2br w:val="nil"/>
              <w:tr2bl w:val="nil"/>
            </w:tcBorders>
            <w:vAlign w:val="center"/>
          </w:tcPr>
          <w:p w14:paraId="21B0D4E3">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1" w:type="pct"/>
            <w:vMerge w:val="restart"/>
            <w:tcBorders>
              <w:tl2br w:val="nil"/>
              <w:tr2bl w:val="nil"/>
            </w:tcBorders>
            <w:vAlign w:val="center"/>
          </w:tcPr>
          <w:p w14:paraId="6CBD87BC">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tcBorders>
              <w:tl2br w:val="nil"/>
              <w:tr2bl w:val="nil"/>
            </w:tcBorders>
            <w:vAlign w:val="center"/>
          </w:tcPr>
          <w:p w14:paraId="67E1DB8E">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5F4A74F5">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经验：3年或以上食堂楼面管理经验</w:t>
            </w:r>
          </w:p>
          <w:p w14:paraId="4EF23E27">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13A0B2E8">
            <w:pPr>
              <w:widowControl/>
              <w:textAlignment w:val="center"/>
              <w:rPr>
                <w:rFonts w:hint="eastAsia" w:ascii="仿宋" w:hAnsi="仿宋" w:eastAsia="仿宋" w:cs="仿宋"/>
                <w:szCs w:val="21"/>
              </w:rPr>
            </w:pPr>
            <w:r>
              <w:rPr>
                <w:rFonts w:hint="eastAsia" w:ascii="仿宋" w:hAnsi="仿宋" w:eastAsia="仿宋" w:cs="仿宋"/>
                <w:kern w:val="0"/>
                <w:szCs w:val="21"/>
                <w:lang w:bidi="ar"/>
              </w:rPr>
              <w:t>负责楼面（楼面）工作的统筹安排，服务管理及人员用餐沟通工作，包括餐前准备、餐中跟进、餐后协调检查，楼面卫生质控和环境装饰等工作，主动收集和解决用餐人员的意见反馈。</w:t>
            </w:r>
          </w:p>
        </w:tc>
      </w:tr>
      <w:tr w14:paraId="6CD274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68" w:hRule="atLeast"/>
        </w:trPr>
        <w:tc>
          <w:tcPr>
            <w:tcW w:w="414" w:type="pct"/>
            <w:vMerge w:val="restart"/>
            <w:tcBorders>
              <w:tl2br w:val="nil"/>
              <w:tr2bl w:val="nil"/>
            </w:tcBorders>
            <w:vAlign w:val="center"/>
          </w:tcPr>
          <w:p w14:paraId="30EE81D9">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5</w:t>
            </w:r>
          </w:p>
        </w:tc>
        <w:tc>
          <w:tcPr>
            <w:tcW w:w="543" w:type="pct"/>
            <w:vMerge w:val="restart"/>
            <w:tcBorders>
              <w:tl2br w:val="nil"/>
              <w:tr2bl w:val="nil"/>
            </w:tcBorders>
            <w:vAlign w:val="center"/>
          </w:tcPr>
          <w:p w14:paraId="63ECDC11">
            <w:pPr>
              <w:widowControl/>
              <w:jc w:val="center"/>
              <w:textAlignment w:val="center"/>
              <w:rPr>
                <w:rFonts w:hint="eastAsia" w:ascii="仿宋" w:hAnsi="仿宋" w:eastAsia="仿宋" w:cs="仿宋"/>
                <w:szCs w:val="21"/>
              </w:rPr>
            </w:pPr>
            <w:r>
              <w:rPr>
                <w:rFonts w:hint="eastAsia" w:ascii="仿宋" w:hAnsi="仿宋" w:eastAsia="仿宋" w:cs="仿宋"/>
                <w:szCs w:val="21"/>
                <w:lang w:bidi="ar"/>
              </w:rPr>
              <w:t>厨师长</w:t>
            </w:r>
          </w:p>
        </w:tc>
        <w:tc>
          <w:tcPr>
            <w:tcW w:w="207" w:type="pct"/>
            <w:vMerge w:val="restart"/>
            <w:tcBorders>
              <w:tl2br w:val="nil"/>
              <w:tr2bl w:val="nil"/>
            </w:tcBorders>
            <w:vAlign w:val="center"/>
          </w:tcPr>
          <w:p w14:paraId="4A8AB30B">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0" w:type="pct"/>
            <w:vMerge w:val="restart"/>
            <w:tcBorders>
              <w:tl2br w:val="nil"/>
              <w:tr2bl w:val="nil"/>
            </w:tcBorders>
            <w:vAlign w:val="center"/>
          </w:tcPr>
          <w:p w14:paraId="5F28F1D2">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1" w:type="pct"/>
            <w:vMerge w:val="restart"/>
            <w:tcBorders>
              <w:tl2br w:val="nil"/>
              <w:tr2bl w:val="nil"/>
            </w:tcBorders>
            <w:vAlign w:val="center"/>
          </w:tcPr>
          <w:p w14:paraId="47A7067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tcBorders>
              <w:tl2br w:val="nil"/>
              <w:tr2bl w:val="nil"/>
            </w:tcBorders>
            <w:vAlign w:val="center"/>
          </w:tcPr>
          <w:p w14:paraId="4BA9B31C">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7EEE3301">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经验：5年或以上医院/餐饮管理项目经验</w:t>
            </w:r>
          </w:p>
          <w:p w14:paraId="38D47FF5">
            <w:pPr>
              <w:widowControl/>
              <w:jc w:val="left"/>
              <w:textAlignment w:val="center"/>
              <w:rPr>
                <w:rFonts w:hint="eastAsia" w:ascii="仿宋" w:hAnsi="仿宋" w:eastAsia="仿宋" w:cs="仿宋"/>
                <w:szCs w:val="21"/>
              </w:rPr>
            </w:pPr>
            <w:r>
              <w:rPr>
                <w:rFonts w:hint="eastAsia" w:ascii="仿宋" w:hAnsi="仿宋" w:eastAsia="仿宋" w:cs="仿宋"/>
                <w:szCs w:val="21"/>
                <w:lang w:bidi="ar"/>
              </w:rPr>
              <w:t>证书</w:t>
            </w:r>
            <w:r>
              <w:rPr>
                <w:rFonts w:ascii="Calibri" w:hAnsi="Calibri" w:eastAsia="宋体" w:cs="Times New Roman"/>
                <w:kern w:val="0"/>
                <w:lang w:bidi="ar"/>
              </w:rPr>
              <w:t>：</w:t>
            </w:r>
            <w:r>
              <w:rPr>
                <w:rFonts w:hint="eastAsia" w:ascii="仿宋" w:hAnsi="仿宋" w:eastAsia="仿宋" w:cs="仿宋"/>
                <w:kern w:val="0"/>
                <w:szCs w:val="21"/>
                <w:lang w:bidi="ar"/>
              </w:rPr>
              <w:t>中式烹调师职业技能等级证书（三级/高级工或以上）、有</w:t>
            </w:r>
            <w:r>
              <w:rPr>
                <w:rFonts w:hint="eastAsia" w:ascii="仿宋" w:hAnsi="仿宋" w:eastAsia="仿宋" w:cs="仿宋"/>
                <w:szCs w:val="21"/>
                <w:lang w:bidi="ar"/>
              </w:rPr>
              <w:t>效健康证</w:t>
            </w:r>
          </w:p>
        </w:tc>
        <w:tc>
          <w:tcPr>
            <w:tcW w:w="1870" w:type="pct"/>
            <w:vMerge w:val="restart"/>
            <w:tcBorders>
              <w:tl2br w:val="nil"/>
              <w:tr2bl w:val="nil"/>
            </w:tcBorders>
            <w:vAlign w:val="center"/>
          </w:tcPr>
          <w:p w14:paraId="23408A38">
            <w:pPr>
              <w:widowControl/>
              <w:textAlignment w:val="center"/>
              <w:rPr>
                <w:rFonts w:hint="eastAsia" w:ascii="仿宋" w:hAnsi="仿宋" w:eastAsia="仿宋" w:cs="仿宋"/>
                <w:szCs w:val="21"/>
              </w:rPr>
            </w:pPr>
            <w:r>
              <w:rPr>
                <w:rFonts w:hint="eastAsia" w:ascii="仿宋" w:hAnsi="仿宋" w:eastAsia="仿宋" w:cs="仿宋"/>
                <w:kern w:val="0"/>
                <w:szCs w:val="21"/>
                <w:lang w:bidi="ar"/>
              </w:rPr>
              <w:t>负责厨房的各项事务统筹管理，食堂各类菜单的制定与审核、食堂及接待餐膳食的制作、食材及相关配料的验收、食材需求的初步统计、食材成本的控制等工作。负责院区项目的食品安全管控，定期检查项目点的食品安全风险，对现场员工进行食品安全、消防安全、操作安全等培训。</w:t>
            </w:r>
          </w:p>
        </w:tc>
      </w:tr>
      <w:tr w14:paraId="089F71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48" w:hRule="atLeast"/>
        </w:trPr>
        <w:tc>
          <w:tcPr>
            <w:tcW w:w="414" w:type="pct"/>
            <w:vMerge w:val="restart"/>
            <w:tcBorders>
              <w:tl2br w:val="nil"/>
              <w:tr2bl w:val="nil"/>
            </w:tcBorders>
            <w:vAlign w:val="center"/>
          </w:tcPr>
          <w:p w14:paraId="3C22008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6</w:t>
            </w:r>
          </w:p>
        </w:tc>
        <w:tc>
          <w:tcPr>
            <w:tcW w:w="543" w:type="pct"/>
            <w:vMerge w:val="restart"/>
            <w:tcBorders>
              <w:tl2br w:val="nil"/>
              <w:tr2bl w:val="nil"/>
            </w:tcBorders>
            <w:vAlign w:val="center"/>
          </w:tcPr>
          <w:p w14:paraId="64B10B7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配送</w:t>
            </w:r>
          </w:p>
          <w:p w14:paraId="0721F5D3">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主管</w:t>
            </w:r>
          </w:p>
        </w:tc>
        <w:tc>
          <w:tcPr>
            <w:tcW w:w="207" w:type="pct"/>
            <w:tcBorders>
              <w:tl2br w:val="nil"/>
              <w:tr2bl w:val="nil"/>
            </w:tcBorders>
            <w:vAlign w:val="center"/>
          </w:tcPr>
          <w:p w14:paraId="06044871">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0" w:type="pct"/>
            <w:tcBorders>
              <w:tl2br w:val="nil"/>
              <w:tr2bl w:val="nil"/>
            </w:tcBorders>
            <w:vAlign w:val="center"/>
          </w:tcPr>
          <w:p w14:paraId="70807598">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1" w:type="pct"/>
            <w:tcBorders>
              <w:tl2br w:val="nil"/>
              <w:tr2bl w:val="nil"/>
            </w:tcBorders>
            <w:vAlign w:val="center"/>
          </w:tcPr>
          <w:p w14:paraId="0556A98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tcBorders>
              <w:tl2br w:val="nil"/>
              <w:tr2bl w:val="nil"/>
            </w:tcBorders>
            <w:vAlign w:val="center"/>
          </w:tcPr>
          <w:p w14:paraId="06F375C8">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4AFFF54A">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经验：3年或以上配送</w:t>
            </w:r>
            <w:r>
              <w:rPr>
                <w:rFonts w:ascii="仿宋" w:hAnsi="仿宋" w:eastAsia="仿宋" w:cs="仿宋"/>
                <w:kern w:val="0"/>
                <w:szCs w:val="21"/>
                <w:lang w:bidi="ar"/>
              </w:rPr>
              <w:t>/</w:t>
            </w:r>
            <w:r>
              <w:rPr>
                <w:rFonts w:hint="eastAsia" w:ascii="仿宋" w:hAnsi="仿宋" w:eastAsia="仿宋" w:cs="仿宋"/>
                <w:kern w:val="0"/>
                <w:szCs w:val="21"/>
                <w:lang w:bidi="ar"/>
              </w:rPr>
              <w:t>送餐管理经验</w:t>
            </w:r>
          </w:p>
          <w:p w14:paraId="7697CC98">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2D24C821">
            <w:pPr>
              <w:widowControl/>
              <w:textAlignment w:val="center"/>
              <w:rPr>
                <w:rFonts w:hint="eastAsia" w:ascii="仿宋" w:hAnsi="仿宋" w:eastAsia="仿宋" w:cs="仿宋"/>
                <w:szCs w:val="21"/>
              </w:rPr>
            </w:pPr>
            <w:r>
              <w:rPr>
                <w:rFonts w:hint="eastAsia" w:ascii="仿宋" w:hAnsi="仿宋" w:eastAsia="仿宋" w:cs="仿宋"/>
                <w:kern w:val="0"/>
                <w:szCs w:val="21"/>
                <w:lang w:bidi="ar"/>
              </w:rPr>
              <w:t>负责培训现场配送组人员与统筹排班，处理相关投诉问题。配合好院区经理进行服务提升工作。</w:t>
            </w:r>
          </w:p>
        </w:tc>
      </w:tr>
      <w:tr w14:paraId="201635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32" w:hRule="atLeast"/>
        </w:trPr>
        <w:tc>
          <w:tcPr>
            <w:tcW w:w="414" w:type="pct"/>
            <w:vMerge w:val="restart"/>
            <w:tcBorders>
              <w:tl2br w:val="nil"/>
              <w:tr2bl w:val="nil"/>
            </w:tcBorders>
            <w:vAlign w:val="center"/>
          </w:tcPr>
          <w:p w14:paraId="60002F1F">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7</w:t>
            </w:r>
          </w:p>
        </w:tc>
        <w:tc>
          <w:tcPr>
            <w:tcW w:w="543" w:type="pct"/>
            <w:vMerge w:val="restart"/>
            <w:tcBorders>
              <w:tl2br w:val="nil"/>
              <w:tr2bl w:val="nil"/>
            </w:tcBorders>
            <w:vAlign w:val="center"/>
          </w:tcPr>
          <w:p w14:paraId="0B47BE09">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营养师（特色厨师）</w:t>
            </w:r>
          </w:p>
        </w:tc>
        <w:tc>
          <w:tcPr>
            <w:tcW w:w="709" w:type="pct"/>
            <w:gridSpan w:val="3"/>
            <w:vMerge w:val="restart"/>
            <w:tcBorders>
              <w:tl2br w:val="nil"/>
              <w:tr2bl w:val="nil"/>
            </w:tcBorders>
            <w:vAlign w:val="center"/>
          </w:tcPr>
          <w:p w14:paraId="681DE94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tcBorders>
              <w:tl2br w:val="nil"/>
              <w:tr2bl w:val="nil"/>
            </w:tcBorders>
            <w:vAlign w:val="center"/>
          </w:tcPr>
          <w:p w14:paraId="36B143A7">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学历：大专或以上，食品</w:t>
            </w:r>
            <w:r>
              <w:rPr>
                <w:rFonts w:ascii="仿宋" w:hAnsi="仿宋" w:eastAsia="仿宋" w:cs="仿宋"/>
                <w:kern w:val="0"/>
                <w:szCs w:val="21"/>
                <w:lang w:bidi="ar"/>
              </w:rPr>
              <w:t>/</w:t>
            </w:r>
            <w:r>
              <w:rPr>
                <w:rFonts w:hint="eastAsia" w:ascii="仿宋" w:hAnsi="仿宋" w:eastAsia="仿宋" w:cs="仿宋"/>
                <w:kern w:val="0"/>
                <w:szCs w:val="21"/>
                <w:lang w:bidi="ar"/>
              </w:rPr>
              <w:t>营养相关专业</w:t>
            </w:r>
          </w:p>
          <w:p w14:paraId="30D819C9">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经验：3年或以上营养配餐/膳食指导经验</w:t>
            </w:r>
          </w:p>
          <w:p w14:paraId="20FEF5E2">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证书：注册营养技师</w:t>
            </w:r>
            <w:r>
              <w:rPr>
                <w:rFonts w:ascii="仿宋" w:hAnsi="仿宋" w:eastAsia="仿宋" w:cs="仿宋"/>
                <w:kern w:val="0"/>
                <w:szCs w:val="21"/>
                <w:lang w:bidi="ar"/>
              </w:rPr>
              <w:t>/</w:t>
            </w:r>
            <w:r>
              <w:rPr>
                <w:rFonts w:hint="eastAsia" w:ascii="仿宋" w:hAnsi="仿宋" w:eastAsia="仿宋" w:cs="仿宋"/>
                <w:kern w:val="0"/>
                <w:szCs w:val="21"/>
                <w:lang w:bidi="ar"/>
              </w:rPr>
              <w:t>注册营养师，有效健康证</w:t>
            </w:r>
          </w:p>
        </w:tc>
        <w:tc>
          <w:tcPr>
            <w:tcW w:w="1870" w:type="pct"/>
            <w:vMerge w:val="restart"/>
            <w:tcBorders>
              <w:tl2br w:val="nil"/>
              <w:tr2bl w:val="nil"/>
            </w:tcBorders>
            <w:vAlign w:val="center"/>
          </w:tcPr>
          <w:p w14:paraId="7752B25A">
            <w:pPr>
              <w:widowControl/>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负责制定个性化治疗膳食营养食谱；</w:t>
            </w:r>
          </w:p>
          <w:p w14:paraId="60C15031">
            <w:pPr>
              <w:widowControl/>
              <w:textAlignment w:val="center"/>
              <w:rPr>
                <w:rFonts w:hint="eastAsia" w:ascii="仿宋" w:hAnsi="仿宋" w:eastAsia="仿宋" w:cs="仿宋"/>
                <w:szCs w:val="21"/>
              </w:rPr>
            </w:pPr>
            <w:r>
              <w:rPr>
                <w:rFonts w:hint="eastAsia" w:ascii="仿宋" w:hAnsi="仿宋" w:eastAsia="仿宋" w:cs="仿宋"/>
                <w:kern w:val="0"/>
                <w:szCs w:val="21"/>
                <w:lang w:bidi="ar"/>
              </w:rPr>
              <w:t>对食材搭配、营养配比进行专业指导，保障餐食营养均衡、符合医疗膳食规范；负责现场特色菜品营养评估和药膳茶点的规划与制定等。</w:t>
            </w:r>
          </w:p>
        </w:tc>
      </w:tr>
      <w:tr w14:paraId="6D4A35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0" w:hRule="atLeast"/>
        </w:trPr>
        <w:tc>
          <w:tcPr>
            <w:tcW w:w="414" w:type="pct"/>
            <w:vMerge w:val="restart"/>
            <w:tcBorders>
              <w:tl2br w:val="nil"/>
              <w:tr2bl w:val="nil"/>
            </w:tcBorders>
            <w:vAlign w:val="center"/>
          </w:tcPr>
          <w:p w14:paraId="4060BBC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8</w:t>
            </w:r>
          </w:p>
        </w:tc>
        <w:tc>
          <w:tcPr>
            <w:tcW w:w="543" w:type="pct"/>
            <w:vMerge w:val="restart"/>
            <w:tcBorders>
              <w:tl2br w:val="nil"/>
              <w:tr2bl w:val="nil"/>
            </w:tcBorders>
            <w:vAlign w:val="center"/>
          </w:tcPr>
          <w:p w14:paraId="4EFF296C">
            <w:pPr>
              <w:widowControl/>
              <w:jc w:val="left"/>
              <w:textAlignment w:val="center"/>
              <w:rPr>
                <w:rFonts w:hint="eastAsia" w:ascii="宋体" w:hAnsi="宋体" w:eastAsia="宋体" w:cs="宋体"/>
                <w:szCs w:val="21"/>
              </w:rPr>
            </w:pPr>
            <w:r>
              <w:rPr>
                <w:rFonts w:hint="eastAsia" w:ascii="仿宋" w:hAnsi="仿宋" w:eastAsia="仿宋" w:cs="仿宋"/>
                <w:kern w:val="0"/>
                <w:szCs w:val="21"/>
                <w:lang w:bidi="ar"/>
              </w:rPr>
              <w:t>食品安全总监</w:t>
            </w:r>
          </w:p>
        </w:tc>
        <w:tc>
          <w:tcPr>
            <w:tcW w:w="709" w:type="pct"/>
            <w:gridSpan w:val="3"/>
            <w:vMerge w:val="restart"/>
            <w:tcBorders>
              <w:tl2br w:val="nil"/>
              <w:tr2bl w:val="nil"/>
            </w:tcBorders>
            <w:vAlign w:val="center"/>
          </w:tcPr>
          <w:p w14:paraId="2C06BB8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tcBorders>
              <w:tl2br w:val="nil"/>
              <w:tr2bl w:val="nil"/>
            </w:tcBorders>
            <w:vAlign w:val="center"/>
          </w:tcPr>
          <w:p w14:paraId="42401860">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学历：大专或以上，食品相关专业优先</w:t>
            </w:r>
          </w:p>
          <w:p w14:paraId="4284C29F">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经验：6年或以上食品安全管理经验</w:t>
            </w:r>
          </w:p>
          <w:p w14:paraId="3858E243">
            <w:pPr>
              <w:rPr>
                <w:rFonts w:ascii="Calibri" w:hAnsi="Calibri" w:eastAsia="宋体" w:cs="Times New Roman"/>
              </w:rPr>
            </w:pPr>
            <w:r>
              <w:rPr>
                <w:rFonts w:hint="eastAsia" w:ascii="仿宋" w:hAnsi="仿宋" w:eastAsia="仿宋" w:cs="仿宋"/>
                <w:kern w:val="0"/>
                <w:szCs w:val="21"/>
                <w:lang w:bidi="ar"/>
              </w:rPr>
              <w:t>证书：有效健康证</w:t>
            </w:r>
          </w:p>
          <w:p w14:paraId="515AFB51">
            <w:pPr>
              <w:widowControl/>
              <w:textAlignment w:val="center"/>
              <w:rPr>
                <w:rFonts w:hint="eastAsia" w:ascii="仿宋" w:hAnsi="仿宋" w:eastAsia="仿宋" w:cs="仿宋"/>
                <w:szCs w:val="21"/>
              </w:rPr>
            </w:pPr>
            <w:r>
              <w:rPr>
                <w:rFonts w:hint="eastAsia" w:ascii="仿宋" w:hAnsi="仿宋" w:eastAsia="仿宋" w:cs="仿宋"/>
                <w:szCs w:val="21"/>
              </w:rPr>
              <w:t>、食品安全管理人员合格证书或食品安全总监人员能力验证证书</w:t>
            </w:r>
          </w:p>
        </w:tc>
        <w:tc>
          <w:tcPr>
            <w:tcW w:w="1870" w:type="pct"/>
            <w:vMerge w:val="restart"/>
            <w:tcBorders>
              <w:tl2br w:val="nil"/>
              <w:tr2bl w:val="nil"/>
            </w:tcBorders>
            <w:vAlign w:val="center"/>
          </w:tcPr>
          <w:p w14:paraId="6871AB85">
            <w:pPr>
              <w:widowControl/>
              <w:textAlignment w:val="center"/>
              <w:rPr>
                <w:rFonts w:hint="eastAsia" w:ascii="仿宋" w:hAnsi="仿宋" w:eastAsia="仿宋" w:cs="仿宋"/>
                <w:szCs w:val="21"/>
              </w:rPr>
            </w:pPr>
            <w:r>
              <w:rPr>
                <w:rFonts w:hint="eastAsia" w:ascii="仿宋" w:hAnsi="仿宋" w:eastAsia="仿宋" w:cs="仿宋"/>
                <w:kern w:val="0"/>
                <w:szCs w:val="21"/>
                <w:lang w:bidi="ar"/>
              </w:rPr>
              <w:t>统筹管理三个院区食堂食品安全工作，履行总局令第98号规定的食品安全总监全部法定职责，包括但不限于：</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①组织拟定食品安全管理制度，督促落实食品安全责任制，明确从业人员健康管理、供货者管理、进货查验、餐饮服务过程控制、投诉举报处理等责任要求；</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②组织拟定并督促落实食品安全风险防控措施，定期组织食品安全自查，评估食品安全状况，及时向主要负责人报告并提出改进措施，阻止、纠正食品安全违法行为；</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③组织拟定食品安全事故处置方案，组织开展应急演练，落实食品安全事故报告义务，采取措施防止事故扩大；</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④负责管理、督促、指导食品安全员工作，组织开展职工食品安全教育、培训、考核；</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⑤接受和配合监督管理部门开展监督检查，如实提供有关情况，对检查发现的问题组织整改落实；</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⑥行使否决建议权：发现有食品安全事故潜在风险的，应当提出停止相关餐饮服务活动等否决建议，并督促立即分析研判、采取处置措施。</w:t>
            </w:r>
          </w:p>
        </w:tc>
      </w:tr>
      <w:tr w14:paraId="0C4AE6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020E9A16">
            <w:pPr>
              <w:jc w:val="center"/>
              <w:rPr>
                <w:rFonts w:hint="eastAsia" w:ascii="仿宋" w:hAnsi="仿宋" w:eastAsia="仿宋" w:cs="仿宋"/>
                <w:szCs w:val="21"/>
              </w:rPr>
            </w:pPr>
          </w:p>
        </w:tc>
        <w:tc>
          <w:tcPr>
            <w:tcW w:w="543" w:type="pct"/>
            <w:vMerge w:val="continue"/>
            <w:tcBorders>
              <w:tl2br w:val="nil"/>
              <w:tr2bl w:val="nil"/>
            </w:tcBorders>
            <w:vAlign w:val="center"/>
          </w:tcPr>
          <w:p w14:paraId="16A78B1B">
            <w:pPr>
              <w:jc w:val="center"/>
              <w:rPr>
                <w:rFonts w:hint="eastAsia" w:ascii="宋体" w:hAnsi="宋体" w:eastAsia="宋体" w:cs="宋体"/>
                <w:szCs w:val="21"/>
              </w:rPr>
            </w:pPr>
          </w:p>
        </w:tc>
        <w:tc>
          <w:tcPr>
            <w:tcW w:w="709" w:type="pct"/>
            <w:gridSpan w:val="3"/>
            <w:vMerge w:val="continue"/>
            <w:tcBorders>
              <w:tl2br w:val="nil"/>
              <w:tr2bl w:val="nil"/>
            </w:tcBorders>
            <w:vAlign w:val="center"/>
          </w:tcPr>
          <w:p w14:paraId="64AAD6F4">
            <w:pPr>
              <w:jc w:val="center"/>
              <w:rPr>
                <w:rFonts w:hint="eastAsia" w:ascii="仿宋" w:hAnsi="仿宋" w:eastAsia="仿宋" w:cs="仿宋"/>
                <w:szCs w:val="21"/>
              </w:rPr>
            </w:pPr>
          </w:p>
        </w:tc>
        <w:tc>
          <w:tcPr>
            <w:tcW w:w="1462" w:type="pct"/>
            <w:tcBorders>
              <w:tl2br w:val="nil"/>
              <w:tr2bl w:val="nil"/>
            </w:tcBorders>
            <w:vAlign w:val="center"/>
          </w:tcPr>
          <w:p w14:paraId="30ECCE45">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具备统筹管理三个院区食堂食品安全工作的能力，能够履行《集中用餐单位落实食品安全主体责任监督管理规定》（总局令第98号）规定的食品安全总监全部法定职责，包括但不限于组织拟定食品安全管理制度、督促落实风险防控措施、定期组织食品安全自查、指导和管理食品安全员工作、组织食品安全培训考核等；</w:t>
            </w:r>
          </w:p>
        </w:tc>
        <w:tc>
          <w:tcPr>
            <w:tcW w:w="1870" w:type="pct"/>
            <w:vMerge w:val="continue"/>
            <w:tcBorders>
              <w:tl2br w:val="nil"/>
              <w:tr2bl w:val="nil"/>
            </w:tcBorders>
            <w:vAlign w:val="center"/>
          </w:tcPr>
          <w:p w14:paraId="77DA3F95">
            <w:pPr>
              <w:jc w:val="left"/>
              <w:rPr>
                <w:rFonts w:hint="eastAsia" w:ascii="仿宋" w:hAnsi="仿宋" w:eastAsia="仿宋" w:cs="仿宋"/>
                <w:szCs w:val="21"/>
              </w:rPr>
            </w:pPr>
          </w:p>
        </w:tc>
      </w:tr>
      <w:tr w14:paraId="1690F6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1E92A5F0">
            <w:pPr>
              <w:jc w:val="center"/>
              <w:rPr>
                <w:rFonts w:hint="eastAsia" w:ascii="仿宋" w:hAnsi="仿宋" w:eastAsia="仿宋" w:cs="仿宋"/>
                <w:szCs w:val="21"/>
              </w:rPr>
            </w:pPr>
          </w:p>
        </w:tc>
        <w:tc>
          <w:tcPr>
            <w:tcW w:w="543" w:type="pct"/>
            <w:vMerge w:val="continue"/>
            <w:tcBorders>
              <w:tl2br w:val="nil"/>
              <w:tr2bl w:val="nil"/>
            </w:tcBorders>
            <w:vAlign w:val="center"/>
          </w:tcPr>
          <w:p w14:paraId="3FA7C2C7">
            <w:pPr>
              <w:jc w:val="center"/>
              <w:rPr>
                <w:rFonts w:hint="eastAsia" w:ascii="宋体" w:hAnsi="宋体" w:eastAsia="宋体" w:cs="宋体"/>
                <w:szCs w:val="21"/>
              </w:rPr>
            </w:pPr>
          </w:p>
        </w:tc>
        <w:tc>
          <w:tcPr>
            <w:tcW w:w="709" w:type="pct"/>
            <w:gridSpan w:val="3"/>
            <w:vMerge w:val="continue"/>
            <w:tcBorders>
              <w:tl2br w:val="nil"/>
              <w:tr2bl w:val="nil"/>
            </w:tcBorders>
            <w:vAlign w:val="center"/>
          </w:tcPr>
          <w:p w14:paraId="2EE4D0CC">
            <w:pPr>
              <w:jc w:val="center"/>
              <w:rPr>
                <w:rFonts w:hint="eastAsia" w:ascii="仿宋" w:hAnsi="仿宋" w:eastAsia="仿宋" w:cs="仿宋"/>
                <w:szCs w:val="21"/>
              </w:rPr>
            </w:pPr>
          </w:p>
        </w:tc>
        <w:tc>
          <w:tcPr>
            <w:tcW w:w="1462" w:type="pct"/>
            <w:tcBorders>
              <w:tl2br w:val="nil"/>
              <w:tr2bl w:val="nil"/>
            </w:tcBorders>
            <w:vAlign w:val="center"/>
          </w:tcPr>
          <w:p w14:paraId="3079267A">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须为投标人管理层人员（提供任职文件或情况说明），具有决策权限和资源调配能力；</w:t>
            </w:r>
          </w:p>
        </w:tc>
        <w:tc>
          <w:tcPr>
            <w:tcW w:w="1870" w:type="pct"/>
            <w:vMerge w:val="continue"/>
            <w:tcBorders>
              <w:tl2br w:val="nil"/>
              <w:tr2bl w:val="nil"/>
            </w:tcBorders>
            <w:vAlign w:val="center"/>
          </w:tcPr>
          <w:p w14:paraId="3760EAD8">
            <w:pPr>
              <w:jc w:val="left"/>
              <w:rPr>
                <w:rFonts w:hint="eastAsia" w:ascii="仿宋" w:hAnsi="仿宋" w:eastAsia="仿宋" w:cs="仿宋"/>
                <w:szCs w:val="21"/>
              </w:rPr>
            </w:pPr>
          </w:p>
        </w:tc>
      </w:tr>
      <w:tr w14:paraId="41CF4E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53E535B2">
            <w:pPr>
              <w:jc w:val="center"/>
              <w:rPr>
                <w:rFonts w:hint="eastAsia" w:ascii="仿宋" w:hAnsi="仿宋" w:eastAsia="仿宋" w:cs="仿宋"/>
                <w:szCs w:val="21"/>
              </w:rPr>
            </w:pPr>
          </w:p>
        </w:tc>
        <w:tc>
          <w:tcPr>
            <w:tcW w:w="543" w:type="pct"/>
            <w:vMerge w:val="continue"/>
            <w:tcBorders>
              <w:tl2br w:val="nil"/>
              <w:tr2bl w:val="nil"/>
            </w:tcBorders>
            <w:vAlign w:val="center"/>
          </w:tcPr>
          <w:p w14:paraId="4976CA36">
            <w:pPr>
              <w:jc w:val="center"/>
              <w:rPr>
                <w:rFonts w:hint="eastAsia" w:ascii="宋体" w:hAnsi="宋体" w:eastAsia="宋体" w:cs="宋体"/>
                <w:szCs w:val="21"/>
              </w:rPr>
            </w:pPr>
          </w:p>
        </w:tc>
        <w:tc>
          <w:tcPr>
            <w:tcW w:w="709" w:type="pct"/>
            <w:gridSpan w:val="3"/>
            <w:vMerge w:val="continue"/>
            <w:tcBorders>
              <w:tl2br w:val="nil"/>
              <w:tr2bl w:val="nil"/>
            </w:tcBorders>
            <w:vAlign w:val="center"/>
          </w:tcPr>
          <w:p w14:paraId="0075EF79">
            <w:pPr>
              <w:jc w:val="center"/>
              <w:rPr>
                <w:rFonts w:hint="eastAsia" w:ascii="仿宋" w:hAnsi="仿宋" w:eastAsia="仿宋" w:cs="仿宋"/>
                <w:szCs w:val="21"/>
              </w:rPr>
            </w:pPr>
          </w:p>
        </w:tc>
        <w:tc>
          <w:tcPr>
            <w:tcW w:w="1462" w:type="pct"/>
            <w:tcBorders>
              <w:tl2br w:val="nil"/>
              <w:tr2bl w:val="nil"/>
            </w:tcBorders>
            <w:vAlign w:val="center"/>
          </w:tcPr>
          <w:p w14:paraId="313AB0D9">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不存在因食品安全违法被吊销许可证后五年内或因食品安全犯罪被判处有期徒刑以上刑罚终身不得担任食品安全总监的禁业情形；</w:t>
            </w:r>
          </w:p>
        </w:tc>
        <w:tc>
          <w:tcPr>
            <w:tcW w:w="1870" w:type="pct"/>
            <w:vMerge w:val="continue"/>
            <w:tcBorders>
              <w:tl2br w:val="nil"/>
              <w:tr2bl w:val="nil"/>
            </w:tcBorders>
            <w:vAlign w:val="center"/>
          </w:tcPr>
          <w:p w14:paraId="322FB080">
            <w:pPr>
              <w:jc w:val="left"/>
              <w:rPr>
                <w:rFonts w:hint="eastAsia" w:ascii="仿宋" w:hAnsi="仿宋" w:eastAsia="仿宋" w:cs="仿宋"/>
                <w:szCs w:val="21"/>
              </w:rPr>
            </w:pPr>
          </w:p>
        </w:tc>
      </w:tr>
      <w:tr w14:paraId="1AC1A5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3409F98D">
            <w:pPr>
              <w:jc w:val="center"/>
              <w:rPr>
                <w:rFonts w:hint="eastAsia" w:ascii="仿宋" w:hAnsi="仿宋" w:eastAsia="仿宋" w:cs="仿宋"/>
                <w:szCs w:val="21"/>
              </w:rPr>
            </w:pPr>
          </w:p>
        </w:tc>
        <w:tc>
          <w:tcPr>
            <w:tcW w:w="543" w:type="pct"/>
            <w:vMerge w:val="continue"/>
            <w:tcBorders>
              <w:tl2br w:val="nil"/>
              <w:tr2bl w:val="nil"/>
            </w:tcBorders>
            <w:vAlign w:val="center"/>
          </w:tcPr>
          <w:p w14:paraId="2C9D2E25">
            <w:pPr>
              <w:jc w:val="center"/>
              <w:rPr>
                <w:rFonts w:hint="eastAsia" w:ascii="宋体" w:hAnsi="宋体" w:eastAsia="宋体" w:cs="宋体"/>
                <w:szCs w:val="21"/>
              </w:rPr>
            </w:pPr>
          </w:p>
        </w:tc>
        <w:tc>
          <w:tcPr>
            <w:tcW w:w="709" w:type="pct"/>
            <w:gridSpan w:val="3"/>
            <w:vMerge w:val="continue"/>
            <w:tcBorders>
              <w:tl2br w:val="nil"/>
              <w:tr2bl w:val="nil"/>
            </w:tcBorders>
            <w:vAlign w:val="center"/>
          </w:tcPr>
          <w:p w14:paraId="74F4E0AC">
            <w:pPr>
              <w:jc w:val="center"/>
              <w:rPr>
                <w:rFonts w:hint="eastAsia" w:ascii="仿宋" w:hAnsi="仿宋" w:eastAsia="仿宋" w:cs="仿宋"/>
                <w:szCs w:val="21"/>
              </w:rPr>
            </w:pPr>
          </w:p>
        </w:tc>
        <w:tc>
          <w:tcPr>
            <w:tcW w:w="1462" w:type="pct"/>
            <w:tcBorders>
              <w:tl2br w:val="nil"/>
              <w:tr2bl w:val="nil"/>
            </w:tcBorders>
            <w:vAlign w:val="center"/>
          </w:tcPr>
          <w:p w14:paraId="6B9732D0">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须按要求每年完成不少于40小时的食品安全专业培训，并通过监管部门组织的监督抽查考核（抽考）合格。</w:t>
            </w:r>
          </w:p>
        </w:tc>
        <w:tc>
          <w:tcPr>
            <w:tcW w:w="1870" w:type="pct"/>
            <w:vMerge w:val="continue"/>
            <w:tcBorders>
              <w:tl2br w:val="nil"/>
              <w:tr2bl w:val="nil"/>
            </w:tcBorders>
            <w:vAlign w:val="center"/>
          </w:tcPr>
          <w:p w14:paraId="088E06E5">
            <w:pPr>
              <w:jc w:val="left"/>
              <w:rPr>
                <w:rFonts w:hint="eastAsia" w:ascii="仿宋" w:hAnsi="仿宋" w:eastAsia="仿宋" w:cs="仿宋"/>
                <w:szCs w:val="21"/>
              </w:rPr>
            </w:pPr>
          </w:p>
        </w:tc>
      </w:tr>
      <w:tr w14:paraId="1458C4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1AA46EB9">
            <w:pPr>
              <w:jc w:val="center"/>
              <w:rPr>
                <w:rFonts w:hint="eastAsia" w:ascii="仿宋" w:hAnsi="仿宋" w:eastAsia="仿宋" w:cs="仿宋"/>
                <w:szCs w:val="21"/>
              </w:rPr>
            </w:pPr>
          </w:p>
        </w:tc>
        <w:tc>
          <w:tcPr>
            <w:tcW w:w="543" w:type="pct"/>
            <w:vMerge w:val="continue"/>
            <w:tcBorders>
              <w:tl2br w:val="nil"/>
              <w:tr2bl w:val="nil"/>
            </w:tcBorders>
            <w:vAlign w:val="center"/>
          </w:tcPr>
          <w:p w14:paraId="214D9B5C">
            <w:pPr>
              <w:jc w:val="center"/>
              <w:rPr>
                <w:rFonts w:hint="eastAsia" w:ascii="宋体" w:hAnsi="宋体" w:eastAsia="宋体" w:cs="宋体"/>
                <w:szCs w:val="21"/>
              </w:rPr>
            </w:pPr>
          </w:p>
        </w:tc>
        <w:tc>
          <w:tcPr>
            <w:tcW w:w="709" w:type="pct"/>
            <w:gridSpan w:val="3"/>
            <w:vMerge w:val="continue"/>
            <w:tcBorders>
              <w:tl2br w:val="nil"/>
              <w:tr2bl w:val="nil"/>
            </w:tcBorders>
            <w:vAlign w:val="center"/>
          </w:tcPr>
          <w:p w14:paraId="5C7E8653">
            <w:pPr>
              <w:jc w:val="center"/>
              <w:rPr>
                <w:rFonts w:hint="eastAsia" w:ascii="仿宋" w:hAnsi="仿宋" w:eastAsia="仿宋" w:cs="仿宋"/>
                <w:szCs w:val="21"/>
              </w:rPr>
            </w:pPr>
          </w:p>
        </w:tc>
        <w:tc>
          <w:tcPr>
            <w:tcW w:w="1462" w:type="pct"/>
            <w:tcBorders>
              <w:tl2br w:val="nil"/>
              <w:tr2bl w:val="nil"/>
            </w:tcBorders>
            <w:vAlign w:val="center"/>
          </w:tcPr>
          <w:p w14:paraId="29B65032">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须为投标人正式员工，持有投标截止前6个月内任意一个月的社保证明材料；</w:t>
            </w:r>
          </w:p>
        </w:tc>
        <w:tc>
          <w:tcPr>
            <w:tcW w:w="1870" w:type="pct"/>
            <w:vMerge w:val="continue"/>
            <w:tcBorders>
              <w:tl2br w:val="nil"/>
              <w:tr2bl w:val="nil"/>
            </w:tcBorders>
            <w:vAlign w:val="center"/>
          </w:tcPr>
          <w:p w14:paraId="7E22C68E">
            <w:pPr>
              <w:jc w:val="left"/>
              <w:rPr>
                <w:rFonts w:hint="eastAsia" w:ascii="仿宋" w:hAnsi="仿宋" w:eastAsia="仿宋" w:cs="仿宋"/>
                <w:szCs w:val="21"/>
              </w:rPr>
            </w:pPr>
          </w:p>
        </w:tc>
      </w:tr>
      <w:tr w14:paraId="132935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18" w:hRule="atLeast"/>
        </w:trPr>
        <w:tc>
          <w:tcPr>
            <w:tcW w:w="414" w:type="pct"/>
            <w:vMerge w:val="restart"/>
            <w:tcBorders>
              <w:tl2br w:val="nil"/>
              <w:tr2bl w:val="nil"/>
            </w:tcBorders>
            <w:vAlign w:val="center"/>
          </w:tcPr>
          <w:p w14:paraId="77237E0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9</w:t>
            </w:r>
          </w:p>
        </w:tc>
        <w:tc>
          <w:tcPr>
            <w:tcW w:w="543" w:type="pct"/>
            <w:vMerge w:val="restart"/>
            <w:tcBorders>
              <w:tl2br w:val="nil"/>
              <w:tr2bl w:val="nil"/>
            </w:tcBorders>
            <w:vAlign w:val="center"/>
          </w:tcPr>
          <w:p w14:paraId="64229553">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食品安全员（专职）</w:t>
            </w:r>
          </w:p>
        </w:tc>
        <w:tc>
          <w:tcPr>
            <w:tcW w:w="207" w:type="pct"/>
            <w:vMerge w:val="restart"/>
            <w:tcBorders>
              <w:tl2br w:val="nil"/>
              <w:tr2bl w:val="nil"/>
            </w:tcBorders>
            <w:vAlign w:val="center"/>
          </w:tcPr>
          <w:p w14:paraId="5C7022C7">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0" w:type="pct"/>
            <w:vMerge w:val="restart"/>
            <w:tcBorders>
              <w:tl2br w:val="nil"/>
              <w:tr2bl w:val="nil"/>
            </w:tcBorders>
            <w:vAlign w:val="center"/>
          </w:tcPr>
          <w:p w14:paraId="2A3F354D">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251" w:type="pct"/>
            <w:vMerge w:val="restart"/>
            <w:tcBorders>
              <w:tl2br w:val="nil"/>
              <w:tr2bl w:val="nil"/>
            </w:tcBorders>
            <w:vAlign w:val="center"/>
          </w:tcPr>
          <w:p w14:paraId="627C9FB4">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w:t>
            </w:r>
          </w:p>
        </w:tc>
        <w:tc>
          <w:tcPr>
            <w:tcW w:w="1462" w:type="pct"/>
            <w:tcBorders>
              <w:tl2br w:val="nil"/>
              <w:tr2bl w:val="nil"/>
            </w:tcBorders>
            <w:vAlign w:val="center"/>
          </w:tcPr>
          <w:p w14:paraId="2E483303">
            <w:pPr>
              <w:widowControl/>
              <w:jc w:val="left"/>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学历：大专或以上</w:t>
            </w:r>
          </w:p>
          <w:p w14:paraId="157BDB37">
            <w:pPr>
              <w:widowControl/>
              <w:jc w:val="left"/>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经验：3年或以上食品安全管理经验</w:t>
            </w:r>
          </w:p>
          <w:p w14:paraId="703FF29A">
            <w:pPr>
              <w:widowControl/>
              <w:jc w:val="left"/>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证书：食品安全管理人员合格证书</w:t>
            </w:r>
          </w:p>
        </w:tc>
        <w:tc>
          <w:tcPr>
            <w:tcW w:w="1870" w:type="pct"/>
            <w:vMerge w:val="restart"/>
            <w:tcBorders>
              <w:tl2br w:val="nil"/>
              <w:tr2bl w:val="nil"/>
            </w:tcBorders>
            <w:vAlign w:val="center"/>
          </w:tcPr>
          <w:p w14:paraId="10814ED1">
            <w:pPr>
              <w:widowControl/>
              <w:jc w:val="left"/>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食品安全员从事食品安全管理具体工作，在主要负责人或食品安全总监指导下，落实食品生产经营过程控制、制度执行、档案资料整理、日管控制度实施以及风险隐患排查和整改等工作。包括但不限于：</w:t>
            </w:r>
            <w:r>
              <w:rPr>
                <w:rFonts w:hint="eastAsia" w:ascii="仿宋" w:hAnsi="仿宋" w:eastAsia="仿宋" w:cs="仿宋"/>
                <w:kern w:val="0"/>
                <w:szCs w:val="21"/>
                <w:lang w:bidi="ar"/>
              </w:rPr>
              <w:br w:type="textWrapping"/>
            </w:r>
            <w:r>
              <w:rPr>
                <w:rFonts w:hint="eastAsia" w:ascii="仿宋" w:hAnsi="仿宋" w:eastAsia="仿宋" w:cs="仿宋"/>
                <w:kern w:val="0"/>
                <w:szCs w:val="21"/>
                <w:lang w:bidi="ar"/>
              </w:rPr>
              <w:t>①督促落实食品生产经营过程控制要求；②检查食品安全管理制度执行情况，管理维护食品安全生产经营过程记录材料，按照要求保存相关资料；③对不符合食品安全标准的食品或者有证据证明可能危害人体健康的食品以及发现的食品安全风险隐患，及时采取有效措施整改并报告；④记录和管理从业人员健康状况、卫生状况；⑤接受和配合监督管理部门开展食品安全监督检查等工作，如实提供有关情况，并对检查发现的问题组织整改落实。</w:t>
            </w:r>
          </w:p>
        </w:tc>
      </w:tr>
      <w:tr w14:paraId="4A0DEF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20B23CB3">
            <w:pPr>
              <w:jc w:val="center"/>
              <w:rPr>
                <w:rFonts w:hint="eastAsia" w:ascii="仿宋" w:hAnsi="仿宋" w:eastAsia="仿宋" w:cs="仿宋"/>
                <w:szCs w:val="21"/>
              </w:rPr>
            </w:pPr>
          </w:p>
        </w:tc>
        <w:tc>
          <w:tcPr>
            <w:tcW w:w="543" w:type="pct"/>
            <w:vMerge w:val="continue"/>
            <w:tcBorders>
              <w:tl2br w:val="nil"/>
              <w:tr2bl w:val="nil"/>
            </w:tcBorders>
            <w:vAlign w:val="center"/>
          </w:tcPr>
          <w:p w14:paraId="30DB2FE6">
            <w:pPr>
              <w:jc w:val="center"/>
              <w:rPr>
                <w:rFonts w:hint="eastAsia" w:ascii="仿宋" w:hAnsi="仿宋" w:eastAsia="仿宋" w:cs="仿宋"/>
                <w:szCs w:val="21"/>
              </w:rPr>
            </w:pPr>
          </w:p>
        </w:tc>
        <w:tc>
          <w:tcPr>
            <w:tcW w:w="207" w:type="pct"/>
            <w:vMerge w:val="continue"/>
            <w:tcBorders>
              <w:tl2br w:val="nil"/>
              <w:tr2bl w:val="nil"/>
            </w:tcBorders>
            <w:vAlign w:val="center"/>
          </w:tcPr>
          <w:p w14:paraId="15C3B812">
            <w:pPr>
              <w:jc w:val="center"/>
              <w:rPr>
                <w:rFonts w:hint="eastAsia" w:ascii="仿宋" w:hAnsi="仿宋" w:eastAsia="仿宋" w:cs="仿宋"/>
                <w:szCs w:val="21"/>
              </w:rPr>
            </w:pPr>
          </w:p>
        </w:tc>
        <w:tc>
          <w:tcPr>
            <w:tcW w:w="250" w:type="pct"/>
            <w:vMerge w:val="continue"/>
            <w:tcBorders>
              <w:tl2br w:val="nil"/>
              <w:tr2bl w:val="nil"/>
            </w:tcBorders>
            <w:vAlign w:val="center"/>
          </w:tcPr>
          <w:p w14:paraId="7045852F">
            <w:pPr>
              <w:jc w:val="center"/>
              <w:rPr>
                <w:rFonts w:hint="eastAsia" w:ascii="仿宋" w:hAnsi="仿宋" w:eastAsia="仿宋" w:cs="仿宋"/>
                <w:szCs w:val="21"/>
              </w:rPr>
            </w:pPr>
          </w:p>
        </w:tc>
        <w:tc>
          <w:tcPr>
            <w:tcW w:w="251" w:type="pct"/>
            <w:vMerge w:val="continue"/>
            <w:tcBorders>
              <w:tl2br w:val="nil"/>
              <w:tr2bl w:val="nil"/>
            </w:tcBorders>
            <w:vAlign w:val="center"/>
          </w:tcPr>
          <w:p w14:paraId="5C2B0050">
            <w:pPr>
              <w:jc w:val="center"/>
              <w:rPr>
                <w:rFonts w:hint="eastAsia" w:ascii="仿宋" w:hAnsi="仿宋" w:eastAsia="仿宋" w:cs="仿宋"/>
                <w:szCs w:val="21"/>
              </w:rPr>
            </w:pPr>
          </w:p>
        </w:tc>
        <w:tc>
          <w:tcPr>
            <w:tcW w:w="1462" w:type="pct"/>
            <w:tcBorders>
              <w:tl2br w:val="nil"/>
              <w:tr2bl w:val="nil"/>
            </w:tcBorders>
            <w:vAlign w:val="center"/>
          </w:tcPr>
          <w:p w14:paraId="59D7BFCD">
            <w:pPr>
              <w:widowControl/>
              <w:jc w:val="left"/>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须为投标人正式员工，持有投标截止前6个月内任意一个月的社保证明材料，不得同时在两家或以上食品生产经营主体从事食品安全管理工作；</w:t>
            </w:r>
          </w:p>
        </w:tc>
        <w:tc>
          <w:tcPr>
            <w:tcW w:w="1870" w:type="pct"/>
            <w:vMerge w:val="continue"/>
            <w:tcBorders>
              <w:tl2br w:val="nil"/>
              <w:tr2bl w:val="nil"/>
            </w:tcBorders>
            <w:vAlign w:val="center"/>
          </w:tcPr>
          <w:p w14:paraId="5EDAB6A9">
            <w:pPr>
              <w:widowControl/>
              <w:jc w:val="left"/>
              <w:textAlignment w:val="center"/>
              <w:rPr>
                <w:rFonts w:hint="eastAsia" w:ascii="仿宋" w:hAnsi="仿宋" w:eastAsia="仿宋" w:cs="仿宋"/>
                <w:kern w:val="0"/>
                <w:szCs w:val="21"/>
                <w:lang w:bidi="ar"/>
              </w:rPr>
            </w:pPr>
          </w:p>
        </w:tc>
      </w:tr>
      <w:tr w14:paraId="09AB9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00BED348">
            <w:pPr>
              <w:jc w:val="center"/>
              <w:rPr>
                <w:rFonts w:hint="eastAsia" w:ascii="仿宋" w:hAnsi="仿宋" w:eastAsia="仿宋" w:cs="仿宋"/>
                <w:szCs w:val="21"/>
              </w:rPr>
            </w:pPr>
          </w:p>
        </w:tc>
        <w:tc>
          <w:tcPr>
            <w:tcW w:w="543" w:type="pct"/>
            <w:vMerge w:val="continue"/>
            <w:tcBorders>
              <w:tl2br w:val="nil"/>
              <w:tr2bl w:val="nil"/>
            </w:tcBorders>
            <w:vAlign w:val="center"/>
          </w:tcPr>
          <w:p w14:paraId="68735CA8">
            <w:pPr>
              <w:jc w:val="center"/>
              <w:rPr>
                <w:rFonts w:hint="eastAsia" w:ascii="仿宋" w:hAnsi="仿宋" w:eastAsia="仿宋" w:cs="仿宋"/>
                <w:szCs w:val="21"/>
              </w:rPr>
            </w:pPr>
          </w:p>
        </w:tc>
        <w:tc>
          <w:tcPr>
            <w:tcW w:w="207" w:type="pct"/>
            <w:vMerge w:val="continue"/>
            <w:tcBorders>
              <w:tl2br w:val="nil"/>
              <w:tr2bl w:val="nil"/>
            </w:tcBorders>
            <w:vAlign w:val="center"/>
          </w:tcPr>
          <w:p w14:paraId="636A5107">
            <w:pPr>
              <w:jc w:val="center"/>
              <w:rPr>
                <w:rFonts w:hint="eastAsia" w:ascii="仿宋" w:hAnsi="仿宋" w:eastAsia="仿宋" w:cs="仿宋"/>
                <w:szCs w:val="21"/>
              </w:rPr>
            </w:pPr>
          </w:p>
        </w:tc>
        <w:tc>
          <w:tcPr>
            <w:tcW w:w="250" w:type="pct"/>
            <w:vMerge w:val="continue"/>
            <w:tcBorders>
              <w:tl2br w:val="nil"/>
              <w:tr2bl w:val="nil"/>
            </w:tcBorders>
            <w:vAlign w:val="center"/>
          </w:tcPr>
          <w:p w14:paraId="5B3AEDF5">
            <w:pPr>
              <w:jc w:val="center"/>
              <w:rPr>
                <w:rFonts w:hint="eastAsia" w:ascii="仿宋" w:hAnsi="仿宋" w:eastAsia="仿宋" w:cs="仿宋"/>
                <w:szCs w:val="21"/>
              </w:rPr>
            </w:pPr>
          </w:p>
        </w:tc>
        <w:tc>
          <w:tcPr>
            <w:tcW w:w="251" w:type="pct"/>
            <w:vMerge w:val="continue"/>
            <w:tcBorders>
              <w:tl2br w:val="nil"/>
              <w:tr2bl w:val="nil"/>
            </w:tcBorders>
            <w:vAlign w:val="center"/>
          </w:tcPr>
          <w:p w14:paraId="40FE0D1C">
            <w:pPr>
              <w:jc w:val="center"/>
              <w:rPr>
                <w:rFonts w:hint="eastAsia" w:ascii="仿宋" w:hAnsi="仿宋" w:eastAsia="仿宋" w:cs="仿宋"/>
                <w:szCs w:val="21"/>
              </w:rPr>
            </w:pPr>
          </w:p>
        </w:tc>
        <w:tc>
          <w:tcPr>
            <w:tcW w:w="1462" w:type="pct"/>
            <w:tcBorders>
              <w:tl2br w:val="nil"/>
              <w:tr2bl w:val="nil"/>
            </w:tcBorders>
            <w:vAlign w:val="center"/>
          </w:tcPr>
          <w:p w14:paraId="7C189815">
            <w:pPr>
              <w:widowControl/>
              <w:textAlignment w:val="center"/>
              <w:rPr>
                <w:rFonts w:hint="eastAsia" w:ascii="仿宋" w:hAnsi="仿宋" w:eastAsia="仿宋" w:cs="仿宋"/>
                <w:szCs w:val="21"/>
              </w:rPr>
            </w:pPr>
            <w:r>
              <w:rPr>
                <w:rFonts w:hint="eastAsia" w:ascii="仿宋" w:hAnsi="仿宋" w:eastAsia="仿宋" w:cs="仿宋"/>
                <w:kern w:val="0"/>
                <w:szCs w:val="21"/>
                <w:lang w:bidi="ar"/>
              </w:rPr>
              <w:t>须具备食品安全日常管理能力，能够落实"日管控、周排查、月调度"制度要求，承担食品安全员法定职责，包括但不限于每日开展食品安全检查、形成每日食品安全检查记录等；</w:t>
            </w:r>
          </w:p>
        </w:tc>
        <w:tc>
          <w:tcPr>
            <w:tcW w:w="1870" w:type="pct"/>
            <w:vMerge w:val="continue"/>
            <w:tcBorders>
              <w:tl2br w:val="nil"/>
              <w:tr2bl w:val="nil"/>
            </w:tcBorders>
            <w:vAlign w:val="center"/>
          </w:tcPr>
          <w:p w14:paraId="63365D0E">
            <w:pPr>
              <w:jc w:val="left"/>
              <w:rPr>
                <w:rFonts w:hint="eastAsia" w:ascii="仿宋" w:hAnsi="仿宋" w:eastAsia="仿宋" w:cs="仿宋"/>
                <w:szCs w:val="21"/>
              </w:rPr>
            </w:pPr>
          </w:p>
        </w:tc>
      </w:tr>
      <w:tr w14:paraId="6AE4EF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06" w:hRule="atLeast"/>
        </w:trPr>
        <w:tc>
          <w:tcPr>
            <w:tcW w:w="414" w:type="pct"/>
            <w:vMerge w:val="continue"/>
            <w:tcBorders>
              <w:tl2br w:val="nil"/>
              <w:tr2bl w:val="nil"/>
            </w:tcBorders>
            <w:vAlign w:val="center"/>
          </w:tcPr>
          <w:p w14:paraId="3BB34CAD">
            <w:pPr>
              <w:jc w:val="center"/>
              <w:rPr>
                <w:rFonts w:hint="eastAsia" w:ascii="仿宋" w:hAnsi="仿宋" w:eastAsia="仿宋" w:cs="仿宋"/>
                <w:szCs w:val="21"/>
              </w:rPr>
            </w:pPr>
          </w:p>
        </w:tc>
        <w:tc>
          <w:tcPr>
            <w:tcW w:w="543" w:type="pct"/>
            <w:vMerge w:val="continue"/>
            <w:tcBorders>
              <w:tl2br w:val="nil"/>
              <w:tr2bl w:val="nil"/>
            </w:tcBorders>
            <w:vAlign w:val="center"/>
          </w:tcPr>
          <w:p w14:paraId="76E5C96F">
            <w:pPr>
              <w:jc w:val="center"/>
              <w:rPr>
                <w:rFonts w:hint="eastAsia" w:ascii="仿宋" w:hAnsi="仿宋" w:eastAsia="仿宋" w:cs="仿宋"/>
                <w:szCs w:val="21"/>
              </w:rPr>
            </w:pPr>
          </w:p>
        </w:tc>
        <w:tc>
          <w:tcPr>
            <w:tcW w:w="207" w:type="pct"/>
            <w:vMerge w:val="continue"/>
            <w:tcBorders>
              <w:tl2br w:val="nil"/>
              <w:tr2bl w:val="nil"/>
            </w:tcBorders>
            <w:vAlign w:val="center"/>
          </w:tcPr>
          <w:p w14:paraId="3DCABE66">
            <w:pPr>
              <w:jc w:val="center"/>
              <w:rPr>
                <w:rFonts w:hint="eastAsia" w:ascii="仿宋" w:hAnsi="仿宋" w:eastAsia="仿宋" w:cs="仿宋"/>
                <w:szCs w:val="21"/>
              </w:rPr>
            </w:pPr>
          </w:p>
        </w:tc>
        <w:tc>
          <w:tcPr>
            <w:tcW w:w="250" w:type="pct"/>
            <w:vMerge w:val="continue"/>
            <w:tcBorders>
              <w:tl2br w:val="nil"/>
              <w:tr2bl w:val="nil"/>
            </w:tcBorders>
            <w:vAlign w:val="center"/>
          </w:tcPr>
          <w:p w14:paraId="76459557">
            <w:pPr>
              <w:jc w:val="center"/>
              <w:rPr>
                <w:rFonts w:hint="eastAsia" w:ascii="仿宋" w:hAnsi="仿宋" w:eastAsia="仿宋" w:cs="仿宋"/>
                <w:szCs w:val="21"/>
              </w:rPr>
            </w:pPr>
          </w:p>
        </w:tc>
        <w:tc>
          <w:tcPr>
            <w:tcW w:w="251" w:type="pct"/>
            <w:vMerge w:val="continue"/>
            <w:tcBorders>
              <w:tl2br w:val="nil"/>
              <w:tr2bl w:val="nil"/>
            </w:tcBorders>
            <w:vAlign w:val="center"/>
          </w:tcPr>
          <w:p w14:paraId="7C80C7EC">
            <w:pPr>
              <w:jc w:val="center"/>
              <w:rPr>
                <w:rFonts w:hint="eastAsia" w:ascii="仿宋" w:hAnsi="仿宋" w:eastAsia="仿宋" w:cs="仿宋"/>
                <w:szCs w:val="21"/>
              </w:rPr>
            </w:pPr>
          </w:p>
        </w:tc>
        <w:tc>
          <w:tcPr>
            <w:tcW w:w="1462" w:type="pct"/>
            <w:tcBorders>
              <w:tl2br w:val="nil"/>
              <w:tr2bl w:val="nil"/>
            </w:tcBorders>
            <w:vAlign w:val="center"/>
          </w:tcPr>
          <w:p w14:paraId="04371131">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须按要求参加企业组织的食品安全管理人员培训并考核合格；</w:t>
            </w:r>
          </w:p>
        </w:tc>
        <w:tc>
          <w:tcPr>
            <w:tcW w:w="1870" w:type="pct"/>
            <w:vMerge w:val="continue"/>
            <w:tcBorders>
              <w:tl2br w:val="nil"/>
              <w:tr2bl w:val="nil"/>
            </w:tcBorders>
            <w:vAlign w:val="center"/>
          </w:tcPr>
          <w:p w14:paraId="1AA1B394">
            <w:pPr>
              <w:jc w:val="left"/>
              <w:rPr>
                <w:rFonts w:hint="eastAsia" w:ascii="仿宋" w:hAnsi="仿宋" w:eastAsia="仿宋" w:cs="仿宋"/>
                <w:szCs w:val="21"/>
              </w:rPr>
            </w:pPr>
          </w:p>
        </w:tc>
      </w:tr>
      <w:tr w14:paraId="2353F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7F3B6B67">
            <w:pPr>
              <w:jc w:val="center"/>
              <w:rPr>
                <w:rFonts w:hint="eastAsia" w:ascii="仿宋" w:hAnsi="仿宋" w:eastAsia="仿宋" w:cs="仿宋"/>
                <w:szCs w:val="21"/>
              </w:rPr>
            </w:pPr>
          </w:p>
        </w:tc>
        <w:tc>
          <w:tcPr>
            <w:tcW w:w="543" w:type="pct"/>
            <w:vMerge w:val="continue"/>
            <w:tcBorders>
              <w:tl2br w:val="nil"/>
              <w:tr2bl w:val="nil"/>
            </w:tcBorders>
            <w:vAlign w:val="center"/>
          </w:tcPr>
          <w:p w14:paraId="437AA160">
            <w:pPr>
              <w:jc w:val="center"/>
              <w:rPr>
                <w:rFonts w:hint="eastAsia" w:ascii="仿宋" w:hAnsi="仿宋" w:eastAsia="仿宋" w:cs="仿宋"/>
                <w:szCs w:val="21"/>
              </w:rPr>
            </w:pPr>
          </w:p>
        </w:tc>
        <w:tc>
          <w:tcPr>
            <w:tcW w:w="207" w:type="pct"/>
            <w:vMerge w:val="continue"/>
            <w:tcBorders>
              <w:tl2br w:val="nil"/>
              <w:tr2bl w:val="nil"/>
            </w:tcBorders>
            <w:vAlign w:val="center"/>
          </w:tcPr>
          <w:p w14:paraId="66BCA47D">
            <w:pPr>
              <w:jc w:val="center"/>
              <w:rPr>
                <w:rFonts w:hint="eastAsia" w:ascii="仿宋" w:hAnsi="仿宋" w:eastAsia="仿宋" w:cs="仿宋"/>
                <w:szCs w:val="21"/>
              </w:rPr>
            </w:pPr>
          </w:p>
        </w:tc>
        <w:tc>
          <w:tcPr>
            <w:tcW w:w="250" w:type="pct"/>
            <w:vMerge w:val="continue"/>
            <w:tcBorders>
              <w:tl2br w:val="nil"/>
              <w:tr2bl w:val="nil"/>
            </w:tcBorders>
            <w:vAlign w:val="center"/>
          </w:tcPr>
          <w:p w14:paraId="7A7CF803">
            <w:pPr>
              <w:jc w:val="center"/>
              <w:rPr>
                <w:rFonts w:hint="eastAsia" w:ascii="仿宋" w:hAnsi="仿宋" w:eastAsia="仿宋" w:cs="仿宋"/>
                <w:szCs w:val="21"/>
              </w:rPr>
            </w:pPr>
          </w:p>
        </w:tc>
        <w:tc>
          <w:tcPr>
            <w:tcW w:w="251" w:type="pct"/>
            <w:vMerge w:val="continue"/>
            <w:tcBorders>
              <w:tl2br w:val="nil"/>
              <w:tr2bl w:val="nil"/>
            </w:tcBorders>
            <w:vAlign w:val="center"/>
          </w:tcPr>
          <w:p w14:paraId="684E9588">
            <w:pPr>
              <w:jc w:val="center"/>
              <w:rPr>
                <w:rFonts w:hint="eastAsia" w:ascii="仿宋" w:hAnsi="仿宋" w:eastAsia="仿宋" w:cs="仿宋"/>
                <w:szCs w:val="21"/>
              </w:rPr>
            </w:pPr>
          </w:p>
        </w:tc>
        <w:tc>
          <w:tcPr>
            <w:tcW w:w="1462" w:type="pct"/>
            <w:tcBorders>
              <w:tl2br w:val="nil"/>
              <w:tr2bl w:val="nil"/>
            </w:tcBorders>
            <w:vAlign w:val="center"/>
          </w:tcPr>
          <w:p w14:paraId="6493F24C">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不存在因食品安全违法被吊销许可证后五年内或因食品安全犯罪被判处有期徒刑以上刑罚终身不得担任食品安全员的禁业情形。</w:t>
            </w:r>
          </w:p>
        </w:tc>
        <w:tc>
          <w:tcPr>
            <w:tcW w:w="1870" w:type="pct"/>
            <w:vMerge w:val="continue"/>
            <w:tcBorders>
              <w:tl2br w:val="nil"/>
              <w:tr2bl w:val="nil"/>
            </w:tcBorders>
            <w:vAlign w:val="center"/>
          </w:tcPr>
          <w:p w14:paraId="6024890C">
            <w:pPr>
              <w:jc w:val="left"/>
              <w:rPr>
                <w:rFonts w:hint="eastAsia" w:ascii="仿宋" w:hAnsi="仿宋" w:eastAsia="仿宋" w:cs="仿宋"/>
                <w:szCs w:val="21"/>
              </w:rPr>
            </w:pPr>
          </w:p>
        </w:tc>
      </w:tr>
      <w:tr w14:paraId="04CD7C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232E4A80">
            <w:pPr>
              <w:jc w:val="center"/>
              <w:rPr>
                <w:rFonts w:hint="eastAsia" w:ascii="仿宋" w:hAnsi="仿宋" w:eastAsia="仿宋" w:cs="仿宋"/>
                <w:szCs w:val="21"/>
              </w:rPr>
            </w:pPr>
          </w:p>
        </w:tc>
        <w:tc>
          <w:tcPr>
            <w:tcW w:w="543" w:type="pct"/>
            <w:vMerge w:val="continue"/>
            <w:tcBorders>
              <w:tl2br w:val="nil"/>
              <w:tr2bl w:val="nil"/>
            </w:tcBorders>
            <w:vAlign w:val="center"/>
          </w:tcPr>
          <w:p w14:paraId="1E7E8A78">
            <w:pPr>
              <w:jc w:val="center"/>
              <w:rPr>
                <w:rFonts w:hint="eastAsia" w:ascii="仿宋" w:hAnsi="仿宋" w:eastAsia="仿宋" w:cs="仿宋"/>
                <w:szCs w:val="21"/>
              </w:rPr>
            </w:pPr>
          </w:p>
        </w:tc>
        <w:tc>
          <w:tcPr>
            <w:tcW w:w="207" w:type="pct"/>
            <w:vMerge w:val="continue"/>
            <w:tcBorders>
              <w:tl2br w:val="nil"/>
              <w:tr2bl w:val="nil"/>
            </w:tcBorders>
            <w:vAlign w:val="center"/>
          </w:tcPr>
          <w:p w14:paraId="12E9B552">
            <w:pPr>
              <w:jc w:val="center"/>
              <w:rPr>
                <w:rFonts w:hint="eastAsia" w:ascii="仿宋" w:hAnsi="仿宋" w:eastAsia="仿宋" w:cs="仿宋"/>
                <w:szCs w:val="21"/>
              </w:rPr>
            </w:pPr>
          </w:p>
        </w:tc>
        <w:tc>
          <w:tcPr>
            <w:tcW w:w="250" w:type="pct"/>
            <w:vMerge w:val="continue"/>
            <w:tcBorders>
              <w:tl2br w:val="nil"/>
              <w:tr2bl w:val="nil"/>
            </w:tcBorders>
            <w:vAlign w:val="center"/>
          </w:tcPr>
          <w:p w14:paraId="67A0032A">
            <w:pPr>
              <w:jc w:val="center"/>
              <w:rPr>
                <w:rFonts w:hint="eastAsia" w:ascii="仿宋" w:hAnsi="仿宋" w:eastAsia="仿宋" w:cs="仿宋"/>
                <w:szCs w:val="21"/>
              </w:rPr>
            </w:pPr>
          </w:p>
        </w:tc>
        <w:tc>
          <w:tcPr>
            <w:tcW w:w="251" w:type="pct"/>
            <w:vMerge w:val="continue"/>
            <w:tcBorders>
              <w:tl2br w:val="nil"/>
              <w:tr2bl w:val="nil"/>
            </w:tcBorders>
            <w:vAlign w:val="center"/>
          </w:tcPr>
          <w:p w14:paraId="11C07C9F">
            <w:pPr>
              <w:jc w:val="center"/>
              <w:rPr>
                <w:rFonts w:hint="eastAsia" w:ascii="仿宋" w:hAnsi="仿宋" w:eastAsia="仿宋" w:cs="仿宋"/>
                <w:szCs w:val="21"/>
              </w:rPr>
            </w:pPr>
          </w:p>
        </w:tc>
        <w:tc>
          <w:tcPr>
            <w:tcW w:w="1462" w:type="pct"/>
            <w:tcBorders>
              <w:tl2br w:val="nil"/>
              <w:tr2bl w:val="nil"/>
            </w:tcBorders>
            <w:vAlign w:val="center"/>
          </w:tcPr>
          <w:p w14:paraId="27ACE264">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有效健康证、农产品食品检验员（一级/高级技师或以上）</w:t>
            </w:r>
          </w:p>
        </w:tc>
        <w:tc>
          <w:tcPr>
            <w:tcW w:w="1870" w:type="pct"/>
            <w:vMerge w:val="continue"/>
            <w:tcBorders>
              <w:tl2br w:val="nil"/>
              <w:tr2bl w:val="nil"/>
            </w:tcBorders>
            <w:vAlign w:val="center"/>
          </w:tcPr>
          <w:p w14:paraId="4AED6A28">
            <w:pPr>
              <w:jc w:val="left"/>
              <w:rPr>
                <w:rFonts w:hint="eastAsia" w:ascii="仿宋" w:hAnsi="仿宋" w:eastAsia="仿宋" w:cs="仿宋"/>
                <w:szCs w:val="21"/>
              </w:rPr>
            </w:pPr>
          </w:p>
        </w:tc>
      </w:tr>
      <w:tr w14:paraId="5C449D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4" w:hRule="atLeast"/>
        </w:trPr>
        <w:tc>
          <w:tcPr>
            <w:tcW w:w="414" w:type="pct"/>
            <w:vMerge w:val="restart"/>
            <w:tcBorders>
              <w:tl2br w:val="nil"/>
              <w:tr2bl w:val="nil"/>
            </w:tcBorders>
            <w:vAlign w:val="center"/>
          </w:tcPr>
          <w:p w14:paraId="5BC6E64D">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10</w:t>
            </w:r>
          </w:p>
        </w:tc>
        <w:tc>
          <w:tcPr>
            <w:tcW w:w="543" w:type="pct"/>
            <w:vMerge w:val="restart"/>
            <w:tcBorders>
              <w:tl2br w:val="nil"/>
              <w:tr2bl w:val="nil"/>
            </w:tcBorders>
            <w:vAlign w:val="center"/>
          </w:tcPr>
          <w:p w14:paraId="51CBCBB9">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财务</w:t>
            </w:r>
          </w:p>
          <w:p w14:paraId="14F6020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助理</w:t>
            </w:r>
          </w:p>
        </w:tc>
        <w:tc>
          <w:tcPr>
            <w:tcW w:w="709" w:type="pct"/>
            <w:gridSpan w:val="3"/>
            <w:vMerge w:val="restart"/>
            <w:tcBorders>
              <w:tl2br w:val="nil"/>
              <w:tr2bl w:val="nil"/>
            </w:tcBorders>
            <w:vAlign w:val="center"/>
          </w:tcPr>
          <w:p w14:paraId="17017567">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67925C5E">
            <w:pPr>
              <w:widowControl/>
              <w:textAlignment w:val="center"/>
              <w:rPr>
                <w:rFonts w:hint="eastAsia" w:ascii="仿宋" w:hAnsi="仿宋" w:eastAsia="仿宋" w:cs="仿宋"/>
                <w:szCs w:val="21"/>
              </w:rPr>
            </w:pPr>
            <w:r>
              <w:rPr>
                <w:rFonts w:hint="eastAsia" w:ascii="仿宋" w:hAnsi="仿宋" w:eastAsia="仿宋" w:cs="仿宋"/>
                <w:kern w:val="0"/>
                <w:szCs w:val="21"/>
                <w:lang w:bidi="ar"/>
              </w:rPr>
              <w:t>学历：大专或以上，财务/会计专业优先</w:t>
            </w:r>
          </w:p>
          <w:p w14:paraId="5DF15DEE">
            <w:pPr>
              <w:widowControl/>
              <w:textAlignment w:val="center"/>
              <w:rPr>
                <w:rFonts w:hint="eastAsia" w:ascii="仿宋" w:hAnsi="仿宋" w:eastAsia="仿宋" w:cs="仿宋"/>
                <w:szCs w:val="21"/>
              </w:rPr>
            </w:pPr>
            <w:r>
              <w:rPr>
                <w:rFonts w:hint="eastAsia" w:ascii="仿宋" w:hAnsi="仿宋" w:eastAsia="仿宋" w:cs="仿宋"/>
                <w:kern w:val="0"/>
                <w:szCs w:val="21"/>
                <w:lang w:bidi="ar"/>
              </w:rPr>
              <w:t>经验：3年或以上财务、出纳、统计经验</w:t>
            </w:r>
          </w:p>
          <w:p w14:paraId="08869937">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45926CAE">
            <w:pPr>
              <w:widowControl/>
              <w:textAlignment w:val="center"/>
              <w:rPr>
                <w:rFonts w:hint="eastAsia" w:ascii="仿宋" w:hAnsi="仿宋" w:eastAsia="仿宋" w:cs="仿宋"/>
                <w:szCs w:val="21"/>
              </w:rPr>
            </w:pPr>
            <w:r>
              <w:rPr>
                <w:rFonts w:hint="eastAsia" w:ascii="仿宋" w:hAnsi="仿宋" w:eastAsia="仿宋" w:cs="仿宋"/>
                <w:kern w:val="0"/>
                <w:szCs w:val="21"/>
                <w:lang w:bidi="ar"/>
              </w:rPr>
              <w:t>负责食堂的台账、报表、食材、一次性易耗品出入库等数据整理。协助每日食材的验收。订餐系统日常维护工作等。</w:t>
            </w:r>
          </w:p>
        </w:tc>
      </w:tr>
      <w:tr w14:paraId="4AF03A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60" w:hRule="atLeast"/>
        </w:trPr>
        <w:tc>
          <w:tcPr>
            <w:tcW w:w="414" w:type="pct"/>
            <w:vMerge w:val="restart"/>
            <w:tcBorders>
              <w:tl2br w:val="nil"/>
              <w:tr2bl w:val="nil"/>
            </w:tcBorders>
            <w:vAlign w:val="center"/>
          </w:tcPr>
          <w:p w14:paraId="617819F2">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11</w:t>
            </w:r>
          </w:p>
        </w:tc>
        <w:tc>
          <w:tcPr>
            <w:tcW w:w="543" w:type="pct"/>
            <w:vMerge w:val="restart"/>
            <w:tcBorders>
              <w:tl2br w:val="nil"/>
              <w:tr2bl w:val="nil"/>
            </w:tcBorders>
            <w:vAlign w:val="center"/>
          </w:tcPr>
          <w:p w14:paraId="57DB9081">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厨师</w:t>
            </w:r>
          </w:p>
        </w:tc>
        <w:tc>
          <w:tcPr>
            <w:tcW w:w="709" w:type="pct"/>
            <w:gridSpan w:val="3"/>
            <w:vMerge w:val="restart"/>
            <w:tcBorders>
              <w:tl2br w:val="nil"/>
              <w:tr2bl w:val="nil"/>
            </w:tcBorders>
            <w:vAlign w:val="center"/>
          </w:tcPr>
          <w:p w14:paraId="421FB1A7">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5DAEC7C5">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607D7CFD">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经验：3年或以上厨房烹饪经验</w:t>
            </w:r>
          </w:p>
          <w:p w14:paraId="11E9120F">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证书：中式烹调师职业技能等级证书（四级或以上）、有效健康证</w:t>
            </w:r>
          </w:p>
        </w:tc>
        <w:tc>
          <w:tcPr>
            <w:tcW w:w="1870" w:type="pct"/>
            <w:vMerge w:val="restart"/>
            <w:tcBorders>
              <w:tl2br w:val="nil"/>
              <w:tr2bl w:val="nil"/>
            </w:tcBorders>
            <w:vAlign w:val="center"/>
          </w:tcPr>
          <w:p w14:paraId="53A9AD4A">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服从厨师长工作调度安排，负责食堂菜品的烹饪制作等。</w:t>
            </w:r>
          </w:p>
        </w:tc>
      </w:tr>
      <w:tr w14:paraId="2D4DF8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84" w:hRule="atLeast"/>
        </w:trPr>
        <w:tc>
          <w:tcPr>
            <w:tcW w:w="414" w:type="pct"/>
            <w:vMerge w:val="restart"/>
            <w:tcBorders>
              <w:tl2br w:val="nil"/>
              <w:tr2bl w:val="nil"/>
            </w:tcBorders>
            <w:vAlign w:val="center"/>
          </w:tcPr>
          <w:p w14:paraId="5A9860C8">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12</w:t>
            </w:r>
          </w:p>
        </w:tc>
        <w:tc>
          <w:tcPr>
            <w:tcW w:w="543" w:type="pct"/>
            <w:vMerge w:val="restart"/>
            <w:tcBorders>
              <w:tl2br w:val="nil"/>
              <w:tr2bl w:val="nil"/>
            </w:tcBorders>
            <w:vAlign w:val="center"/>
          </w:tcPr>
          <w:p w14:paraId="1DA0FFD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面档</w:t>
            </w:r>
          </w:p>
          <w:p w14:paraId="17163A5B">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厨师</w:t>
            </w:r>
          </w:p>
        </w:tc>
        <w:tc>
          <w:tcPr>
            <w:tcW w:w="709" w:type="pct"/>
            <w:gridSpan w:val="3"/>
            <w:vMerge w:val="restart"/>
            <w:tcBorders>
              <w:tl2br w:val="nil"/>
              <w:tr2bl w:val="nil"/>
            </w:tcBorders>
            <w:vAlign w:val="center"/>
          </w:tcPr>
          <w:p w14:paraId="30957A59">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418F6047">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51E4B182">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经验：3年或以上中式面点制作经验</w:t>
            </w:r>
          </w:p>
          <w:p w14:paraId="216A6826">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证书：中式面点师职业技能等级证书（四级或以上）或中式烹调师职业技能等级证书（四级或以上）、有效健康证</w:t>
            </w:r>
          </w:p>
        </w:tc>
        <w:tc>
          <w:tcPr>
            <w:tcW w:w="1870" w:type="pct"/>
            <w:vMerge w:val="restart"/>
            <w:tcBorders>
              <w:tl2br w:val="nil"/>
              <w:tr2bl w:val="nil"/>
            </w:tcBorders>
            <w:vAlign w:val="center"/>
          </w:tcPr>
          <w:p w14:paraId="56672537">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负责现场面档窗口的菜品规划与制作等。</w:t>
            </w:r>
          </w:p>
        </w:tc>
      </w:tr>
      <w:tr w14:paraId="35A5D5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80" w:hRule="atLeast"/>
        </w:trPr>
        <w:tc>
          <w:tcPr>
            <w:tcW w:w="414" w:type="pct"/>
            <w:vMerge w:val="restart"/>
            <w:tcBorders>
              <w:tl2br w:val="nil"/>
              <w:tr2bl w:val="nil"/>
            </w:tcBorders>
            <w:vAlign w:val="center"/>
          </w:tcPr>
          <w:p w14:paraId="2C1D3693">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13</w:t>
            </w:r>
          </w:p>
        </w:tc>
        <w:tc>
          <w:tcPr>
            <w:tcW w:w="543" w:type="pct"/>
            <w:vMerge w:val="restart"/>
            <w:tcBorders>
              <w:tl2br w:val="nil"/>
              <w:tr2bl w:val="nil"/>
            </w:tcBorders>
            <w:vAlign w:val="center"/>
          </w:tcPr>
          <w:p w14:paraId="22E10516">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点心师</w:t>
            </w:r>
          </w:p>
        </w:tc>
        <w:tc>
          <w:tcPr>
            <w:tcW w:w="709" w:type="pct"/>
            <w:gridSpan w:val="3"/>
            <w:vMerge w:val="restart"/>
            <w:tcBorders>
              <w:tl2br w:val="nil"/>
              <w:tr2bl w:val="nil"/>
            </w:tcBorders>
            <w:vAlign w:val="center"/>
          </w:tcPr>
          <w:p w14:paraId="789737CC">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2EE927CC">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1323E432">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经验：5年或以上广式点心/西式点心经验</w:t>
            </w:r>
          </w:p>
          <w:p w14:paraId="07352AD8">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证书：中式面点师职业技能等级证书（四级或以上）或西式面点师职业技能等级证书（四级或以上）、有效健康证</w:t>
            </w:r>
          </w:p>
        </w:tc>
        <w:tc>
          <w:tcPr>
            <w:tcW w:w="1870" w:type="pct"/>
            <w:vMerge w:val="restart"/>
            <w:tcBorders>
              <w:tl2br w:val="nil"/>
              <w:tr2bl w:val="nil"/>
            </w:tcBorders>
            <w:vAlign w:val="center"/>
          </w:tcPr>
          <w:p w14:paraId="74D7B5EF">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负责现场早餐、下午茶点心、药膳点心出品的规划和烹饪制作等。</w:t>
            </w:r>
          </w:p>
        </w:tc>
      </w:tr>
      <w:tr w14:paraId="6A25BD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0" w:hRule="atLeast"/>
        </w:trPr>
        <w:tc>
          <w:tcPr>
            <w:tcW w:w="414" w:type="pct"/>
            <w:vMerge w:val="restart"/>
            <w:tcBorders>
              <w:tl2br w:val="nil"/>
              <w:tr2bl w:val="nil"/>
            </w:tcBorders>
            <w:vAlign w:val="center"/>
          </w:tcPr>
          <w:p w14:paraId="5E0FC192">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14</w:t>
            </w:r>
          </w:p>
        </w:tc>
        <w:tc>
          <w:tcPr>
            <w:tcW w:w="543" w:type="pct"/>
            <w:vMerge w:val="restart"/>
            <w:tcBorders>
              <w:tl2br w:val="nil"/>
              <w:tr2bl w:val="nil"/>
            </w:tcBorders>
            <w:vAlign w:val="center"/>
          </w:tcPr>
          <w:p w14:paraId="653089E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切配</w:t>
            </w:r>
          </w:p>
          <w:p w14:paraId="22A50100">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主管</w:t>
            </w:r>
          </w:p>
        </w:tc>
        <w:tc>
          <w:tcPr>
            <w:tcW w:w="709" w:type="pct"/>
            <w:gridSpan w:val="3"/>
            <w:vMerge w:val="restart"/>
            <w:tcBorders>
              <w:tl2br w:val="nil"/>
              <w:tr2bl w:val="nil"/>
            </w:tcBorders>
            <w:vAlign w:val="center"/>
          </w:tcPr>
          <w:p w14:paraId="3B17491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6BA19AA4">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0AF26F0B">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经验：3年或以上切配管理经验</w:t>
            </w:r>
          </w:p>
          <w:p w14:paraId="1AFD1151">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78631B82">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负责切配组人员培训与统筹工作排班，并与厨师对接食材切配要求及工作安排等。</w:t>
            </w:r>
          </w:p>
        </w:tc>
      </w:tr>
      <w:tr w14:paraId="50278E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48" w:hRule="atLeast"/>
        </w:trPr>
        <w:tc>
          <w:tcPr>
            <w:tcW w:w="414" w:type="pct"/>
            <w:vMerge w:val="restart"/>
            <w:tcBorders>
              <w:tl2br w:val="nil"/>
              <w:tr2bl w:val="nil"/>
            </w:tcBorders>
            <w:vAlign w:val="center"/>
          </w:tcPr>
          <w:p w14:paraId="25EDBEB0">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15</w:t>
            </w:r>
          </w:p>
        </w:tc>
        <w:tc>
          <w:tcPr>
            <w:tcW w:w="543" w:type="pct"/>
            <w:vMerge w:val="restart"/>
            <w:tcBorders>
              <w:tl2br w:val="nil"/>
              <w:tr2bl w:val="nil"/>
            </w:tcBorders>
            <w:vAlign w:val="center"/>
          </w:tcPr>
          <w:p w14:paraId="4B42C40B">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切配</w:t>
            </w:r>
          </w:p>
        </w:tc>
        <w:tc>
          <w:tcPr>
            <w:tcW w:w="709" w:type="pct"/>
            <w:gridSpan w:val="3"/>
            <w:vMerge w:val="restart"/>
            <w:tcBorders>
              <w:tl2br w:val="nil"/>
              <w:tr2bl w:val="nil"/>
            </w:tcBorders>
            <w:vAlign w:val="center"/>
          </w:tcPr>
          <w:p w14:paraId="47E4E4E8">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5E6186DE">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048F5B38">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经验：1年或以上厨房切配经验</w:t>
            </w:r>
          </w:p>
          <w:p w14:paraId="19F1E43A">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2A23D40C">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负责食品原材料粗加工和细加工的处理工作，餐厨用具的清洗和消毒等工作。</w:t>
            </w:r>
          </w:p>
        </w:tc>
      </w:tr>
      <w:tr w14:paraId="0C4619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4" w:hRule="atLeast"/>
        </w:trPr>
        <w:tc>
          <w:tcPr>
            <w:tcW w:w="414" w:type="pct"/>
            <w:vMerge w:val="restart"/>
            <w:tcBorders>
              <w:tl2br w:val="nil"/>
              <w:tr2bl w:val="nil"/>
            </w:tcBorders>
            <w:vAlign w:val="center"/>
          </w:tcPr>
          <w:p w14:paraId="6089BDB1">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543" w:type="pct"/>
            <w:vMerge w:val="restart"/>
            <w:tcBorders>
              <w:tl2br w:val="nil"/>
              <w:tr2bl w:val="nil"/>
            </w:tcBorders>
            <w:vAlign w:val="center"/>
          </w:tcPr>
          <w:p w14:paraId="644D3113">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打荷</w:t>
            </w:r>
          </w:p>
        </w:tc>
        <w:tc>
          <w:tcPr>
            <w:tcW w:w="709" w:type="pct"/>
            <w:gridSpan w:val="3"/>
            <w:vMerge w:val="restart"/>
            <w:tcBorders>
              <w:tl2br w:val="nil"/>
              <w:tr2bl w:val="nil"/>
            </w:tcBorders>
            <w:vAlign w:val="center"/>
          </w:tcPr>
          <w:p w14:paraId="18EA09B0">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71C42B01">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2DF07BE6">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经验：1年或以上打荷工作经验</w:t>
            </w:r>
          </w:p>
          <w:p w14:paraId="3F15F2E0">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6314366F">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根据各种原料订单计划，掌握各种肉类原料的刀章规格，餐前备足订单所需的各种料头、配料等，协助厨师做好执单工作。</w:t>
            </w:r>
          </w:p>
        </w:tc>
      </w:tr>
      <w:tr w14:paraId="2AC7D0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4" w:hRule="atLeast"/>
        </w:trPr>
        <w:tc>
          <w:tcPr>
            <w:tcW w:w="414" w:type="pct"/>
            <w:vMerge w:val="restart"/>
            <w:tcBorders>
              <w:tl2br w:val="nil"/>
              <w:tr2bl w:val="nil"/>
            </w:tcBorders>
            <w:vAlign w:val="center"/>
          </w:tcPr>
          <w:p w14:paraId="071A5F7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543" w:type="pct"/>
            <w:vMerge w:val="restart"/>
            <w:tcBorders>
              <w:tl2br w:val="nil"/>
              <w:tr2bl w:val="nil"/>
            </w:tcBorders>
            <w:vAlign w:val="center"/>
          </w:tcPr>
          <w:p w14:paraId="2831947B">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上什</w:t>
            </w:r>
          </w:p>
        </w:tc>
        <w:tc>
          <w:tcPr>
            <w:tcW w:w="709" w:type="pct"/>
            <w:gridSpan w:val="3"/>
            <w:vMerge w:val="restart"/>
            <w:tcBorders>
              <w:tl2br w:val="nil"/>
              <w:tr2bl w:val="nil"/>
            </w:tcBorders>
            <w:vAlign w:val="center"/>
          </w:tcPr>
          <w:p w14:paraId="03C78126">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64ADEC35">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31FD4415">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经验：2年或以上上什/蒸灶/炖汤经验</w:t>
            </w:r>
          </w:p>
          <w:p w14:paraId="6942A68C">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3C53F199">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负责米饭、汤品、蒸菜的制作烹饪等。</w:t>
            </w:r>
          </w:p>
        </w:tc>
      </w:tr>
      <w:tr w14:paraId="558EA0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80" w:hRule="atLeast"/>
        </w:trPr>
        <w:tc>
          <w:tcPr>
            <w:tcW w:w="414" w:type="pct"/>
            <w:vMerge w:val="restart"/>
            <w:tcBorders>
              <w:tl2br w:val="nil"/>
              <w:tr2bl w:val="nil"/>
            </w:tcBorders>
            <w:vAlign w:val="center"/>
          </w:tcPr>
          <w:p w14:paraId="6FCF2C87">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18</w:t>
            </w:r>
          </w:p>
        </w:tc>
        <w:tc>
          <w:tcPr>
            <w:tcW w:w="543" w:type="pct"/>
            <w:vMerge w:val="restart"/>
            <w:tcBorders>
              <w:tl2br w:val="nil"/>
              <w:tr2bl w:val="nil"/>
            </w:tcBorders>
            <w:vAlign w:val="center"/>
          </w:tcPr>
          <w:p w14:paraId="5535AD82">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楼面服务员</w:t>
            </w:r>
          </w:p>
        </w:tc>
        <w:tc>
          <w:tcPr>
            <w:tcW w:w="709" w:type="pct"/>
            <w:gridSpan w:val="3"/>
            <w:vMerge w:val="restart"/>
            <w:tcBorders>
              <w:tl2br w:val="nil"/>
              <w:tr2bl w:val="nil"/>
            </w:tcBorders>
            <w:vAlign w:val="center"/>
          </w:tcPr>
          <w:p w14:paraId="3139AF1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318E21BC">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4CB9861E">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经验：具备餐饮服务经验</w:t>
            </w:r>
          </w:p>
          <w:p w14:paraId="0E1EC749">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6A183696">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负责餐线餐前准备、餐中分餐及餐后卫生清洁工作、食堂现场卫生清洁等。</w:t>
            </w:r>
          </w:p>
        </w:tc>
      </w:tr>
      <w:tr w14:paraId="41C8D8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4" w:hRule="atLeast"/>
        </w:trPr>
        <w:tc>
          <w:tcPr>
            <w:tcW w:w="414" w:type="pct"/>
            <w:vMerge w:val="restart"/>
            <w:tcBorders>
              <w:tl2br w:val="nil"/>
              <w:tr2bl w:val="nil"/>
            </w:tcBorders>
            <w:vAlign w:val="center"/>
          </w:tcPr>
          <w:p w14:paraId="53B2F0C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19</w:t>
            </w:r>
          </w:p>
        </w:tc>
        <w:tc>
          <w:tcPr>
            <w:tcW w:w="543" w:type="pct"/>
            <w:vMerge w:val="restart"/>
            <w:tcBorders>
              <w:tl2br w:val="nil"/>
              <w:tr2bl w:val="nil"/>
            </w:tcBorders>
            <w:vAlign w:val="center"/>
          </w:tcPr>
          <w:p w14:paraId="7C076311">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配餐员</w:t>
            </w:r>
          </w:p>
        </w:tc>
        <w:tc>
          <w:tcPr>
            <w:tcW w:w="709" w:type="pct"/>
            <w:gridSpan w:val="3"/>
            <w:vMerge w:val="restart"/>
            <w:tcBorders>
              <w:tl2br w:val="nil"/>
              <w:tr2bl w:val="nil"/>
            </w:tcBorders>
            <w:vAlign w:val="center"/>
          </w:tcPr>
          <w:p w14:paraId="325105B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3FBA9A43">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2144631E">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经验：不限，熟悉粤语、具有配餐经验</w:t>
            </w:r>
          </w:p>
          <w:p w14:paraId="0E2747F6">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40873D7D">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负责职工和病人订餐和配餐服务等。</w:t>
            </w:r>
          </w:p>
        </w:tc>
      </w:tr>
      <w:tr w14:paraId="4071E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80" w:hRule="atLeast"/>
        </w:trPr>
        <w:tc>
          <w:tcPr>
            <w:tcW w:w="414" w:type="pct"/>
            <w:vMerge w:val="restart"/>
            <w:tcBorders>
              <w:tl2br w:val="nil"/>
              <w:tr2bl w:val="nil"/>
            </w:tcBorders>
            <w:vAlign w:val="center"/>
          </w:tcPr>
          <w:p w14:paraId="47DDAAB9">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20</w:t>
            </w:r>
          </w:p>
        </w:tc>
        <w:tc>
          <w:tcPr>
            <w:tcW w:w="543" w:type="pct"/>
            <w:vMerge w:val="restart"/>
            <w:tcBorders>
              <w:tl2br w:val="nil"/>
              <w:tr2bl w:val="nil"/>
            </w:tcBorders>
            <w:vAlign w:val="center"/>
          </w:tcPr>
          <w:p w14:paraId="55546BE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洗碗工</w:t>
            </w:r>
          </w:p>
        </w:tc>
        <w:tc>
          <w:tcPr>
            <w:tcW w:w="709" w:type="pct"/>
            <w:gridSpan w:val="3"/>
            <w:vMerge w:val="restart"/>
            <w:tcBorders>
              <w:tl2br w:val="nil"/>
              <w:tr2bl w:val="nil"/>
            </w:tcBorders>
            <w:vAlign w:val="center"/>
          </w:tcPr>
          <w:p w14:paraId="1CC51AF2">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36D636E1">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4C387111">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经验：不限</w:t>
            </w:r>
          </w:p>
          <w:p w14:paraId="7E8B73F1">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vMerge w:val="restart"/>
            <w:tcBorders>
              <w:tl2br w:val="nil"/>
              <w:tr2bl w:val="nil"/>
            </w:tcBorders>
            <w:vAlign w:val="center"/>
          </w:tcPr>
          <w:p w14:paraId="4D2A071B">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负责食堂所有餐厨用具、餐具的清洗和消毒工作等。</w:t>
            </w:r>
          </w:p>
        </w:tc>
      </w:tr>
      <w:tr w14:paraId="50A574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60" w:hRule="atLeast"/>
        </w:trPr>
        <w:tc>
          <w:tcPr>
            <w:tcW w:w="414" w:type="pct"/>
            <w:tcBorders>
              <w:tl2br w:val="nil"/>
              <w:tr2bl w:val="nil"/>
            </w:tcBorders>
            <w:vAlign w:val="center"/>
          </w:tcPr>
          <w:p w14:paraId="677B6EF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21</w:t>
            </w:r>
          </w:p>
        </w:tc>
        <w:tc>
          <w:tcPr>
            <w:tcW w:w="543" w:type="pct"/>
            <w:tcBorders>
              <w:tl2br w:val="nil"/>
              <w:tr2bl w:val="nil"/>
            </w:tcBorders>
            <w:vAlign w:val="center"/>
          </w:tcPr>
          <w:p w14:paraId="3C412072">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售卖点人员</w:t>
            </w:r>
          </w:p>
        </w:tc>
        <w:tc>
          <w:tcPr>
            <w:tcW w:w="709" w:type="pct"/>
            <w:gridSpan w:val="3"/>
            <w:tcBorders>
              <w:tl2br w:val="nil"/>
              <w:tr2bl w:val="nil"/>
            </w:tcBorders>
            <w:vAlign w:val="center"/>
          </w:tcPr>
          <w:p w14:paraId="76C6633C">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若干</w:t>
            </w:r>
          </w:p>
        </w:tc>
        <w:tc>
          <w:tcPr>
            <w:tcW w:w="1462" w:type="pct"/>
            <w:tcBorders>
              <w:tl2br w:val="nil"/>
              <w:tr2bl w:val="nil"/>
            </w:tcBorders>
            <w:vAlign w:val="center"/>
          </w:tcPr>
          <w:p w14:paraId="25AFF35E">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学历：不限</w:t>
            </w:r>
          </w:p>
          <w:p w14:paraId="0B7880D0">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经验：具有收银/售卖经验，熟悉粤语</w:t>
            </w:r>
          </w:p>
          <w:p w14:paraId="6B1698B4">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证书：有效健康证</w:t>
            </w:r>
          </w:p>
        </w:tc>
        <w:tc>
          <w:tcPr>
            <w:tcW w:w="1870" w:type="pct"/>
            <w:tcBorders>
              <w:tl2br w:val="nil"/>
              <w:tr2bl w:val="nil"/>
            </w:tcBorders>
            <w:vAlign w:val="center"/>
          </w:tcPr>
          <w:p w14:paraId="154484FA">
            <w:pPr>
              <w:widowControl/>
              <w:jc w:val="left"/>
              <w:textAlignment w:val="center"/>
              <w:rPr>
                <w:rFonts w:hint="eastAsia" w:ascii="仿宋" w:hAnsi="仿宋" w:eastAsia="仿宋" w:cs="仿宋"/>
                <w:szCs w:val="21"/>
              </w:rPr>
            </w:pPr>
            <w:r>
              <w:rPr>
                <w:rFonts w:hint="eastAsia" w:ascii="仿宋" w:hAnsi="仿宋" w:eastAsia="仿宋" w:cs="仿宋"/>
                <w:kern w:val="0"/>
                <w:szCs w:val="21"/>
                <w:lang w:bidi="ar"/>
              </w:rPr>
              <w:t>负责售卖点上货、售卖、收银、货品出入记帐等相关工作等。</w:t>
            </w:r>
          </w:p>
        </w:tc>
      </w:tr>
      <w:tr w14:paraId="535DE4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5000" w:type="pct"/>
            <w:gridSpan w:val="7"/>
            <w:tcBorders>
              <w:tl2br w:val="nil"/>
              <w:tr2bl w:val="nil"/>
            </w:tcBorders>
            <w:vAlign w:val="center"/>
          </w:tcPr>
          <w:p w14:paraId="4E4BB8C1">
            <w:pPr>
              <w:widowControl/>
              <w:jc w:val="left"/>
              <w:textAlignment w:val="center"/>
              <w:rPr>
                <w:rFonts w:hint="eastAsia" w:ascii="宋体" w:hAnsi="宋体" w:eastAsia="宋体" w:cs="宋体"/>
                <w:sz w:val="22"/>
                <w:szCs w:val="22"/>
              </w:rPr>
            </w:pPr>
            <w:r>
              <w:rPr>
                <w:rFonts w:hint="eastAsia" w:ascii="仿宋" w:hAnsi="仿宋" w:eastAsia="仿宋" w:cs="仿宋"/>
                <w:kern w:val="0"/>
                <w:szCs w:val="21"/>
                <w:lang w:bidi="ar"/>
              </w:rPr>
              <w:t>注：本表所列人数为各院区各岗位的最低配置要求。标注“若干”的岗位，投标人须在投标文件中明确各院区的最低保障人数。各院区合计总人数不得少于63人，中标后可根据工作量增加人员，相关费用由投标人承担。</w:t>
            </w:r>
          </w:p>
        </w:tc>
      </w:tr>
    </w:tbl>
    <w:p w14:paraId="05355AD2">
      <w:pPr>
        <w:widowControl/>
        <w:spacing w:line="440" w:lineRule="exact"/>
        <w:ind w:firstLine="482" w:firstLineChars="200"/>
        <w:rPr>
          <w:rFonts w:ascii="Calibri" w:hAnsi="Calibri" w:eastAsia="宋体" w:cs="Times New Roman"/>
          <w:b/>
          <w:bCs/>
          <w:color w:val="0070C0"/>
          <w:sz w:val="24"/>
        </w:rPr>
      </w:pPr>
    </w:p>
    <w:p w14:paraId="25DFFAD7">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第十三条 服务人员要求：</w:t>
      </w:r>
    </w:p>
    <w:p w14:paraId="7D4E0BCA">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一）项目经理、食品安全总监、院区经理、院区助理、厨师长、楼面经理、专职食品安全员、配送主管为本项目驻场管理团队核心成员，须全职驻场，不得兼任本项目以外工作。除项目经理可以兼任食品安全总监外，其他核心成员不能相互兼职。若项目经理兼任食品安全总监，乙方须在投标文件中承诺确保食品安全总监能够独立履行总局令第98号《集中用餐单位落实食品安全主体责任监督管理规定》的全部法定职责，并建立相应的工作保障机制，报甲方备案。</w:t>
      </w:r>
    </w:p>
    <w:p w14:paraId="0A9531D8">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二）本项目驻场管理团队核心成员需经甲方面试审核。甲方有权要求乙方调配或更换不合格人员，乙方应在收到书面通知后15个工作日内完成调配或更换工作。乙方如需主动调整或更换管理团队人员，须提前2个月向甲方提交书面申请，经甲方书面同意后方可更换。接替人员的学历、职称、工作经验、资格等所有条件，均不得低于原派驻人员的相应标准</w:t>
      </w:r>
      <w:r>
        <w:rPr>
          <w:rFonts w:hint="eastAsia" w:ascii="仿宋" w:hAnsi="仿宋" w:eastAsia="仿宋" w:cs="仿宋"/>
          <w:sz w:val="24"/>
          <w:lang w:eastAsia="zh-CN"/>
        </w:rPr>
        <w:t>；</w:t>
      </w:r>
      <w:r>
        <w:rPr>
          <w:rFonts w:hint="eastAsia" w:ascii="仿宋" w:hAnsi="仿宋" w:eastAsia="仿宋" w:cs="仿宋"/>
          <w:sz w:val="24"/>
        </w:rPr>
        <w:t>未经甲方同意擅自更换核心成员，每次支付违约金2000元。</w:t>
      </w:r>
    </w:p>
    <w:p w14:paraId="098CDA3F">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（三）项目总监、</w:t>
      </w:r>
      <w:r>
        <w:rPr>
          <w:rFonts w:hint="eastAsia" w:ascii="仿宋" w:hAnsi="仿宋" w:eastAsia="仿宋" w:cs="仿宋"/>
          <w:sz w:val="24"/>
          <w:lang w:eastAsia="zh-CN"/>
        </w:rPr>
        <w:t>营养指导员</w:t>
      </w:r>
      <w:r>
        <w:rPr>
          <w:rFonts w:hint="eastAsia" w:ascii="仿宋" w:hAnsi="仿宋" w:eastAsia="仿宋" w:cs="仿宋"/>
          <w:sz w:val="24"/>
        </w:rPr>
        <w:t>、</w:t>
      </w:r>
      <w:r>
        <w:rPr>
          <w:rFonts w:hint="eastAsia" w:ascii="仿宋" w:hAnsi="仿宋" w:eastAsia="仿宋" w:cs="仿宋"/>
          <w:sz w:val="24"/>
          <w:lang w:eastAsia="zh-CN"/>
        </w:rPr>
        <w:t>行政总厨</w:t>
      </w:r>
      <w:r>
        <w:rPr>
          <w:rFonts w:hint="eastAsia" w:ascii="仿宋" w:hAnsi="仿宋" w:eastAsia="仿宋" w:cs="仿宋"/>
          <w:sz w:val="24"/>
        </w:rPr>
        <w:t>为本项目</w:t>
      </w:r>
      <w:r>
        <w:rPr>
          <w:rFonts w:hint="eastAsia" w:ascii="仿宋" w:hAnsi="仿宋" w:eastAsia="仿宋" w:cs="仿宋"/>
          <w:sz w:val="24"/>
          <w:lang w:val="en-US" w:eastAsia="zh-CN"/>
        </w:rPr>
        <w:t>非驻场</w:t>
      </w:r>
      <w:r>
        <w:rPr>
          <w:rFonts w:hint="eastAsia" w:ascii="仿宋" w:hAnsi="仿宋" w:eastAsia="仿宋" w:cs="仿宋"/>
          <w:sz w:val="24"/>
        </w:rPr>
        <w:t>管理团队成员，根据甲方管理需求不定期到各项目点开展</w:t>
      </w:r>
      <w:r>
        <w:rPr>
          <w:rFonts w:hint="eastAsia" w:ascii="仿宋" w:hAnsi="仿宋" w:eastAsia="仿宋" w:cs="仿宋"/>
          <w:sz w:val="24"/>
          <w:lang w:val="en-US" w:eastAsia="zh-CN"/>
        </w:rPr>
        <w:t>餐饮</w:t>
      </w:r>
      <w:r>
        <w:rPr>
          <w:rFonts w:hint="eastAsia" w:ascii="仿宋" w:hAnsi="仿宋" w:eastAsia="仿宋" w:cs="仿宋"/>
          <w:sz w:val="24"/>
        </w:rPr>
        <w:t>服务质量提升和技术指导工作。</w:t>
      </w:r>
    </w:p>
    <w:p w14:paraId="7EAD19DB">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（四）甲方有权根据食堂的经营情况，动态调整驻场管理人员岗位及数量，乙方需服从调整。</w:t>
      </w:r>
    </w:p>
    <w:p w14:paraId="4FF73D22">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（五）配合甲方做好治疗餐的需求，乙方应聘有营养师免费定期为本项目提供各类治疗餐等，治疗餐和营养餐的方案及菜单，并经甲方审核确认。</w:t>
      </w:r>
    </w:p>
    <w:p w14:paraId="4DA0E22F">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六）本项目投入各院区驻场人员合计总人数不得少于63人，各项目点的驻场人员，需持有在有效期内的健康证，且上岗前必须经培训合格，不得有违法犯罪记录，各岗位驻场人员的学历、经验等具体标准要求，必须符合《驻场管理团队人员配置及任职要求表》。乙方须在进场后7日内提交全部人员花名册及资质证明，甲方核验通过后方可上岗。</w:t>
      </w:r>
    </w:p>
    <w:p w14:paraId="72A64D32">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七）驻场人员应服从甲方的日常监管，并积极配合完成监督（安全）检查工作。严禁驻场人员在院内发生违规用电、食品安全违规、违法违纪、服务态度恶劣等行为，包括但不限于违规使用电梯、吵架斗殴、辱骂恐吓医护人员及病人。对于此类不服从管理的不合格人员，甲方有权要求乙方立即更换，乙方须在24小时内安排符合要求的人员到岗接替。</w:t>
      </w:r>
    </w:p>
    <w:p w14:paraId="486A68C3">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（八）驻场人员须统一着装，按规范佩戴胸卡、清洁帽、口罩、手套，穿防滑水鞋；食品加工人员工作期间不得佩戴首饰，不留长指甲、不涂指甲油。</w:t>
      </w:r>
    </w:p>
    <w:p w14:paraId="0171915D">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（九）做好日常运营人员排班工作，甲方不定期检查人员排班合理化及人数配置。法定节假日（如春节、国庆等）期间确保人力保障，避免影响服务质量。管理团队人员离岗，须取得甲方审批同意方可执行。</w:t>
      </w:r>
    </w:p>
    <w:p w14:paraId="63464277">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（十）乙方所有入场人员必须严格按照相关规定执行防疫政策，因隔离要求造成的人员空缺，应在12小时内调配人手补充。工作人员未严格落实防疫政策的，依法依纪从严追责问责。</w:t>
      </w:r>
    </w:p>
    <w:p w14:paraId="2B771442">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（十一）驻场员工的薪资、保险、加班费、奖惩、住宿费、培训费、健康证、工作服饰购置费、劳保用品及其他福利津贴待遇等费用均由乙方承担。</w:t>
      </w:r>
    </w:p>
    <w:p w14:paraId="54A2B635">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二）乙方须承担驻场人员的全部用工责任，严格遵守劳动保障相关法律法规，并妥善处理相关劳动纠纷与用工争议。若因乙方用工问题引发人员罢工、讨薪、舆情事件或行政处罚等，全部责任由乙方承担；若给甲方造成声誉损失、运营影响或经济损失，甲方有权扣除履约保证金、单方终止合同，并要求乙方全额赔偿。</w:t>
      </w:r>
    </w:p>
    <w:p w14:paraId="1A2D5547">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（十三）培训频次要求：每月开展不少于1次食品安全或安全生产或服务技能培训；每年核心管理团队专项培训不少于4次，留存培训记录、照片、签到表，提交甲方备案。</w:t>
      </w:r>
    </w:p>
    <w:p w14:paraId="17057528">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（十四）针对用餐人的投诉，乙方须在收到投诉后15分钟内联系投诉人并告知处理方案，1小时内反馈初步处理结果；同时应对投诉事件进行书面记录、分析原因并制定整改措施，于3个工作日内提交甲方备案。</w:t>
      </w:r>
    </w:p>
    <w:p w14:paraId="14CCACD5">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五）配送服务须使用专用保温餐车或保温箱，餐品中心温度全程不低于60℃，运输与配送期间应做足有效措施预防食物受污物或者环境的污染。配送人员穿戴专用工服及胸卡，轻拿轻放、文明用语，按要求配送到指定地点。</w:t>
      </w:r>
    </w:p>
    <w:p w14:paraId="2F8C350E">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（十六）服务人员须礼貌待客、微笑服务，主动收集用餐人员的意见建议，对病人的饮食需求做好跟踪服务，严禁与用餐人发生争执。</w:t>
      </w:r>
    </w:p>
    <w:p w14:paraId="0F3159E6">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七）乙方要加强环保节流管理，做到人离关水、关电、关气，杜绝发生长流水、长明灯、漏气等现象。爱护餐具、厨具、设备等减少人为或者自然损耗。乙方每月第一个工作日盘点餐具、厨具并做好记录，由甲方监督管理。</w:t>
      </w:r>
    </w:p>
    <w:p w14:paraId="17FF29C0">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（十八）乙方管理团队需及时解决甲方营运中存在的问题，各岗位工作人员每日下班前自查本岗位区域是否无异常，发现问题立即向甲方汇报。</w:t>
      </w:r>
    </w:p>
    <w:p w14:paraId="04C99EA3">
      <w:pPr>
        <w:widowControl/>
        <w:spacing w:line="440" w:lineRule="exact"/>
        <w:ind w:firstLine="480" w:firstLineChars="200"/>
        <w:rPr>
          <w:rFonts w:hint="eastAsia" w:ascii="仿宋" w:hAnsi="仿宋" w:eastAsia="仿宋" w:cs="仿宋"/>
          <w:sz w:val="24"/>
        </w:rPr>
      </w:pPr>
      <w:r>
        <w:rPr>
          <w:rFonts w:hint="eastAsia" w:ascii="仿宋" w:hAnsi="仿宋" w:eastAsia="仿宋" w:cs="仿宋"/>
          <w:sz w:val="24"/>
        </w:rPr>
        <w:t>（十九）乙方各院区管理团队需定期召开工作例会，提交上月度工作总结、存在的问题及困难、次月工作计划及需要甲方协调的问题等。</w:t>
      </w:r>
    </w:p>
    <w:p w14:paraId="5E287DD6">
      <w:pPr>
        <w:rPr>
          <w:rFonts w:hint="eastAsia" w:ascii="仿宋" w:hAnsi="仿宋" w:eastAsia="仿宋" w:cs="仿宋"/>
          <w:color w:val="0070C0"/>
          <w:sz w:val="24"/>
        </w:rPr>
      </w:pPr>
    </w:p>
    <w:p w14:paraId="1DA4DE7B">
      <w:pPr>
        <w:rPr>
          <w:rFonts w:hint="eastAsia" w:ascii="仿宋" w:hAnsi="仿宋" w:eastAsia="仿宋" w:cs="仿宋"/>
          <w:color w:val="0070C0"/>
          <w:sz w:val="24"/>
        </w:rPr>
      </w:pPr>
    </w:p>
    <w:p w14:paraId="2F8A2766">
      <w:pPr>
        <w:widowControl/>
        <w:spacing w:line="440" w:lineRule="exact"/>
        <w:jc w:val="center"/>
        <w:outlineLvl w:val="0"/>
        <w:rPr>
          <w:rFonts w:hint="eastAsia" w:ascii="仿宋" w:hAnsi="仿宋" w:eastAsia="仿宋" w:cs="仿宋"/>
          <w:b/>
          <w:bCs/>
          <w:kern w:val="44"/>
          <w:sz w:val="24"/>
        </w:rPr>
      </w:pPr>
      <w:r>
        <w:rPr>
          <w:rFonts w:hint="eastAsia" w:ascii="仿宋" w:hAnsi="仿宋" w:eastAsia="仿宋" w:cs="仿宋"/>
          <w:b/>
          <w:bCs/>
          <w:kern w:val="44"/>
          <w:sz w:val="24"/>
        </w:rPr>
        <w:t>第五章 食堂</w:t>
      </w:r>
      <w:r>
        <w:rPr>
          <w:rFonts w:hint="eastAsia" w:ascii="仿宋" w:hAnsi="仿宋" w:eastAsia="仿宋" w:cs="仿宋"/>
          <w:b/>
          <w:bCs/>
          <w:kern w:val="44"/>
          <w:sz w:val="24"/>
          <w:szCs w:val="48"/>
        </w:rPr>
        <w:t>升级优化</w:t>
      </w:r>
      <w:r>
        <w:rPr>
          <w:rFonts w:hint="eastAsia" w:ascii="仿宋" w:hAnsi="仿宋" w:eastAsia="仿宋" w:cs="仿宋"/>
          <w:b/>
          <w:bCs/>
          <w:kern w:val="44"/>
          <w:sz w:val="24"/>
        </w:rPr>
        <w:t>与设备设施管理</w:t>
      </w:r>
    </w:p>
    <w:p w14:paraId="6DE5D6B2">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第十四条 食堂升级优化核心要求</w:t>
      </w:r>
    </w:p>
    <w:p w14:paraId="0C0D2455">
      <w:pPr>
        <w:widowControl/>
        <w:numPr>
          <w:ilvl w:val="0"/>
          <w:numId w:val="3"/>
        </w:numPr>
        <w:spacing w:line="360" w:lineRule="auto"/>
        <w:rPr>
          <w:rFonts w:hint="eastAsia" w:ascii="仿宋" w:hAnsi="仿宋" w:eastAsia="仿宋" w:cs="仿宋"/>
          <w:sz w:val="24"/>
        </w:rPr>
      </w:pPr>
      <w:r>
        <w:rPr>
          <w:rFonts w:hint="eastAsia" w:ascii="仿宋" w:hAnsi="仿宋" w:eastAsia="仿宋" w:cs="仿宋"/>
          <w:sz w:val="24"/>
        </w:rPr>
        <w:t>乙方须全额承担三个院区食堂的升级优化费用及设施设备配置费用，总投入金额不得低于总收入的3.5%，且最低不少于人民币170万元。以上费用已包含在报价折扣率中，甲方在合同履行过程中不再额外支付。</w:t>
      </w:r>
    </w:p>
    <w:p w14:paraId="22804AC4">
      <w:pPr>
        <w:widowControl/>
        <w:numPr>
          <w:ilvl w:val="0"/>
          <w:numId w:val="3"/>
        </w:numPr>
        <w:spacing w:line="360" w:lineRule="auto"/>
        <w:rPr>
          <w:rFonts w:hint="eastAsia" w:ascii="仿宋" w:hAnsi="仿宋" w:eastAsia="仿宋" w:cs="仿宋"/>
          <w:sz w:val="24"/>
        </w:rPr>
      </w:pPr>
      <w:r>
        <w:rPr>
          <w:rFonts w:hint="eastAsia" w:ascii="仿宋" w:hAnsi="仿宋" w:eastAsia="仿宋" w:cs="仿宋"/>
          <w:sz w:val="24"/>
        </w:rPr>
        <w:t>升级优化须严格按照广东省食品安全管理食堂标准执行，设计方案、预算清单、设备清单、升级计划须经甲方审核批准后方可实施；进场时间以甲方发出的书面进场通知为准，乙方须在进场后90天内完成，并通过甲方及第三方机构的联合验收。</w:t>
      </w:r>
    </w:p>
    <w:p w14:paraId="212D2A87">
      <w:pPr>
        <w:widowControl/>
        <w:numPr>
          <w:ilvl w:val="0"/>
          <w:numId w:val="3"/>
        </w:numPr>
        <w:spacing w:line="360" w:lineRule="auto"/>
        <w:rPr>
          <w:rFonts w:hint="eastAsia" w:ascii="仿宋" w:hAnsi="仿宋" w:eastAsia="仿宋" w:cs="仿宋"/>
          <w:sz w:val="24"/>
        </w:rPr>
      </w:pPr>
      <w:r>
        <w:rPr>
          <w:rFonts w:hint="eastAsia" w:ascii="仿宋" w:hAnsi="仿宋" w:eastAsia="仿宋" w:cs="仿宋"/>
          <w:sz w:val="24"/>
        </w:rPr>
        <w:t>升级优化完成后15日内，乙方须提交完整的投入结算资料，由甲方指定的具备资质的第三方机构进行审计核算，审计结果作为投入是否达标的最终依据；若审计确认投入未达约定最低标准，差额部分甲方有权从履约保证金中直接扣除，不足部分有权继续向乙方追偿。</w:t>
      </w:r>
    </w:p>
    <w:p w14:paraId="0497D349">
      <w:pPr>
        <w:widowControl/>
        <w:numPr>
          <w:ilvl w:val="0"/>
          <w:numId w:val="3"/>
        </w:numPr>
        <w:spacing w:line="360" w:lineRule="auto"/>
        <w:rPr>
          <w:rFonts w:hint="eastAsia" w:ascii="仿宋" w:hAnsi="仿宋" w:eastAsia="仿宋" w:cs="仿宋"/>
          <w:sz w:val="24"/>
        </w:rPr>
      </w:pPr>
      <w:r>
        <w:rPr>
          <w:rFonts w:hint="eastAsia" w:ascii="仿宋" w:hAnsi="仿宋" w:eastAsia="仿宋" w:cs="仿宋"/>
          <w:sz w:val="24"/>
        </w:rPr>
        <w:t>经营期内，食堂运作需增加和维护的厨具、设备等，均由乙方自行添置、购买和维护，相关费用由乙方全额承担。</w:t>
      </w:r>
    </w:p>
    <w:p w14:paraId="0929F6BF">
      <w:pPr>
        <w:widowControl/>
        <w:numPr>
          <w:ilvl w:val="0"/>
          <w:numId w:val="3"/>
        </w:numPr>
        <w:spacing w:line="360" w:lineRule="auto"/>
        <w:ind w:firstLine="480" w:firstLineChars="200"/>
        <w:rPr>
          <w:rFonts w:hint="eastAsia" w:ascii="仿宋" w:hAnsi="仿宋" w:eastAsia="仿宋" w:cs="仿宋"/>
          <w:sz w:val="24"/>
        </w:rPr>
      </w:pPr>
      <w:r>
        <w:rPr>
          <w:rFonts w:hint="eastAsia" w:ascii="仿宋" w:hAnsi="仿宋" w:eastAsia="仿宋" w:cs="仿宋"/>
          <w:sz w:val="24"/>
        </w:rPr>
        <w:t>珠玑院区食堂须同步加装燃气报警装置，包括探测器、主机和燃气紧急切断阀。安装调试完成后，须通过竣工验收并确保合格。同时，每年应委托具备CMA或CNAS 检测资质的第三方机构进行检测，并出具年度合规检测检验报告。</w:t>
      </w:r>
    </w:p>
    <w:p w14:paraId="6430FB58">
      <w:pPr>
        <w:widowControl/>
        <w:numPr>
          <w:ilvl w:val="0"/>
          <w:numId w:val="3"/>
        </w:numPr>
        <w:spacing w:line="360" w:lineRule="auto"/>
        <w:ind w:firstLine="480" w:firstLineChars="200"/>
        <w:rPr>
          <w:rFonts w:hint="eastAsia" w:ascii="仿宋" w:hAnsi="仿宋" w:eastAsia="仿宋" w:cs="仿宋"/>
          <w:sz w:val="24"/>
        </w:rPr>
      </w:pPr>
      <w:r>
        <w:rPr>
          <w:rFonts w:hint="eastAsia" w:ascii="仿宋" w:hAnsi="仿宋" w:eastAsia="仿宋" w:cs="仿宋"/>
          <w:sz w:val="24"/>
        </w:rPr>
        <w:t>乙方须对医院食堂后厨全域布设高清监控设备，分辨率不低于1080P、存储时长不少于30天、画面实时可查，全覆盖粗加工间、切配区、烹饪区、面点间、洗消间、留样间、库房储物区、餐具存放区等全部关键作业区域，须符合甲方和属地市场监管部门明厨亮灶监管要求；监控画面可按要求接入甲方监管终端，监控区域张贴醒目提示标识。乙方承担设备采购、安装、调试、培训、质保、运维及故障抢修等一切相关费用，确保监控系统7×24小时稳定运行。</w:t>
      </w:r>
    </w:p>
    <w:p w14:paraId="770FC1C5">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第十五条 设备设施管护规则</w:t>
      </w:r>
    </w:p>
    <w:p w14:paraId="100A13F3">
      <w:pPr>
        <w:widowControl/>
        <w:numPr>
          <w:ilvl w:val="0"/>
          <w:numId w:val="4"/>
        </w:numPr>
        <w:spacing w:line="360" w:lineRule="auto"/>
        <w:rPr>
          <w:rFonts w:hint="eastAsia" w:ascii="仿宋" w:hAnsi="仿宋" w:eastAsia="仿宋" w:cs="仿宋"/>
          <w:sz w:val="24"/>
        </w:rPr>
      </w:pPr>
      <w:r>
        <w:rPr>
          <w:rFonts w:hint="eastAsia" w:ascii="仿宋" w:hAnsi="仿宋" w:eastAsia="仿宋" w:cs="仿宋"/>
          <w:sz w:val="24"/>
        </w:rPr>
        <w:t>存量设备交接：乙方进场前3日内，甲方与乙方共同对食堂现有场地、存量设施设备进行全面盘点、账实核对、验收，形成《存量设备设施交接清单》，双方签字盖章确认，作为合同附件及甲方固定资产管理归档资料；清单明确设备名称、型号、数量、生产厂家、购置时间、原值、完好状态等信息，乙方进场后视为认可存量设备现状。</w:t>
      </w:r>
    </w:p>
    <w:p w14:paraId="5DDACEC2">
      <w:pPr>
        <w:widowControl/>
        <w:numPr>
          <w:ilvl w:val="0"/>
          <w:numId w:val="4"/>
        </w:numPr>
        <w:spacing w:line="360" w:lineRule="auto"/>
        <w:rPr>
          <w:rFonts w:hint="eastAsia" w:ascii="仿宋" w:hAnsi="仿宋" w:eastAsia="仿宋" w:cs="仿宋"/>
          <w:sz w:val="24"/>
        </w:rPr>
      </w:pPr>
      <w:r>
        <w:rPr>
          <w:rFonts w:hint="eastAsia" w:ascii="仿宋" w:hAnsi="仿宋" w:eastAsia="仿宋" w:cs="仿宋"/>
          <w:sz w:val="24"/>
        </w:rPr>
        <w:t>管护责任：乙方须合理使用、妥善保管、日常维护保养甲方提供的设施设备，维修保养、年检、耗材更换等全部费用由乙方承担；因乙方操作不当、保管不善导致的设备损坏、报废，由乙方按设备当前评估价值赔偿。</w:t>
      </w:r>
    </w:p>
    <w:p w14:paraId="13A018A6">
      <w:pPr>
        <w:widowControl/>
        <w:numPr>
          <w:ilvl w:val="0"/>
          <w:numId w:val="4"/>
        </w:numPr>
        <w:spacing w:line="360" w:lineRule="auto"/>
        <w:jc w:val="left"/>
        <w:rPr>
          <w:rFonts w:hint="eastAsia" w:ascii="仿宋" w:hAnsi="仿宋" w:eastAsia="仿宋" w:cs="仿宋"/>
          <w:sz w:val="24"/>
        </w:rPr>
      </w:pPr>
      <w:r>
        <w:rPr>
          <w:rFonts w:hint="eastAsia" w:ascii="仿宋" w:hAnsi="仿宋" w:eastAsia="仿宋" w:cs="仿宋"/>
          <w:sz w:val="24"/>
        </w:rPr>
        <w:t>资产归属与处置</w:t>
      </w:r>
    </w:p>
    <w:p w14:paraId="274B9CC6">
      <w:pPr>
        <w:widowControl/>
        <w:numPr>
          <w:ilvl w:val="-1"/>
          <w:numId w:val="0"/>
        </w:numPr>
        <w:spacing w:line="360" w:lineRule="auto"/>
        <w:ind w:leftChars="0" w:firstLine="482" w:firstLineChars="200"/>
        <w:rPr>
          <w:rFonts w:hint="eastAsia" w:ascii="仿宋" w:hAnsi="仿宋" w:eastAsia="仿宋" w:cs="仿宋"/>
          <w:sz w:val="24"/>
        </w:rPr>
      </w:pPr>
      <w:r>
        <w:rPr>
          <w:rFonts w:hint="eastAsia" w:ascii="仿宋" w:hAnsi="仿宋" w:eastAsia="仿宋" w:cs="仿宋"/>
          <w:b/>
          <w:bCs/>
          <w:sz w:val="24"/>
          <w:lang w:val="en-US" w:eastAsia="zh-CN"/>
        </w:rPr>
        <w:t>1.</w:t>
      </w:r>
      <w:r>
        <w:rPr>
          <w:rFonts w:hint="eastAsia" w:ascii="仿宋" w:hAnsi="仿宋" w:eastAsia="仿宋" w:cs="仿宋"/>
          <w:b/>
          <w:bCs/>
          <w:sz w:val="24"/>
        </w:rPr>
        <w:t>乙方投入的装修、地面墙面改造、不动产附属设施等不可移动资产，合同履行期满后，经甲方审核同意后，乙方投入的不可移动资产可拆除，但须承担拆除及复原等费用；</w:t>
      </w:r>
      <w:r>
        <w:rPr>
          <w:rFonts w:hint="eastAsia" w:ascii="仿宋" w:hAnsi="仿宋" w:eastAsia="仿宋" w:cs="仿宋"/>
          <w:sz w:val="24"/>
        </w:rPr>
        <w:t>合同期内乙方擅自停止或退出经营的，所投入的所有固定资产及不动产全部无偿归甲方所有，同时甲方有权全额没收履约保证金，不足弥补损失的，有权继续向乙方追偿。</w:t>
      </w:r>
    </w:p>
    <w:p w14:paraId="65E338E1">
      <w:pPr>
        <w:widowControl/>
        <w:numPr>
          <w:ilvl w:val="-1"/>
          <w:numId w:val="0"/>
        </w:numPr>
        <w:spacing w:line="360" w:lineRule="auto"/>
        <w:ind w:left="0" w:firstLine="482" w:firstLineChars="200"/>
        <w:rPr>
          <w:rFonts w:hint="eastAsia" w:ascii="仿宋" w:hAnsi="仿宋" w:eastAsia="仿宋" w:cs="仿宋"/>
          <w:sz w:val="24"/>
        </w:rPr>
      </w:pPr>
      <w:r>
        <w:rPr>
          <w:rFonts w:hint="eastAsia" w:ascii="仿宋" w:hAnsi="仿宋" w:eastAsia="仿宋" w:cs="仿宋"/>
          <w:b/>
          <w:bCs/>
          <w:sz w:val="24"/>
          <w:lang w:val="en-US" w:eastAsia="zh-CN"/>
        </w:rPr>
        <w:t>2.</w:t>
      </w:r>
      <w:r>
        <w:rPr>
          <w:rFonts w:hint="eastAsia" w:ascii="仿宋" w:hAnsi="仿宋" w:eastAsia="仿宋" w:cs="仿宋"/>
          <w:b/>
          <w:bCs/>
          <w:sz w:val="24"/>
        </w:rPr>
        <w:t>乙方投入的可移动设备、餐具、桌椅等资产，所有权归乙方所有；</w:t>
      </w:r>
      <w:r>
        <w:rPr>
          <w:rFonts w:hint="eastAsia" w:ascii="仿宋" w:hAnsi="仿宋" w:eastAsia="仿宋" w:cs="仿宋"/>
          <w:sz w:val="24"/>
        </w:rPr>
        <w:t>合同期满或双方协商一致终止合同的，乙方可在15日内自行处置，逾期未处置的，视为乙方抛弃，甲方有权自行处理。</w:t>
      </w:r>
    </w:p>
    <w:p w14:paraId="7E371566">
      <w:pPr>
        <w:widowControl/>
        <w:numPr>
          <w:ilvl w:val="-1"/>
          <w:numId w:val="0"/>
        </w:numPr>
        <w:spacing w:line="360" w:lineRule="auto"/>
        <w:ind w:left="0" w:firstLine="480" w:firstLineChars="200"/>
        <w:rPr>
          <w:rFonts w:hint="eastAsia"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合同期满或终止时，乙方须将《存量设备设施交接清单》内的设备完好交回甲方，若有损坏、丢失，须按价赔偿。</w:t>
      </w:r>
    </w:p>
    <w:p w14:paraId="53C10763">
      <w:pPr>
        <w:widowControl/>
        <w:numPr>
          <w:ilvl w:val="0"/>
          <w:numId w:val="4"/>
        </w:numPr>
        <w:spacing w:line="360" w:lineRule="auto"/>
        <w:rPr>
          <w:rFonts w:hint="eastAsia" w:ascii="仿宋" w:hAnsi="仿宋" w:eastAsia="仿宋" w:cs="仿宋"/>
          <w:sz w:val="24"/>
        </w:rPr>
      </w:pPr>
      <w:r>
        <w:rPr>
          <w:rFonts w:hint="eastAsia" w:ascii="仿宋" w:hAnsi="仿宋" w:eastAsia="仿宋" w:cs="仿宋"/>
          <w:sz w:val="24"/>
        </w:rPr>
        <w:t>乙方不得私自改变厨房布局，不得擅自拆改场地原有结构、设施。</w:t>
      </w:r>
    </w:p>
    <w:p w14:paraId="5003CD62">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第十六条 环境卫生与消杀要求</w:t>
      </w:r>
    </w:p>
    <w:p w14:paraId="20B5B691">
      <w:pPr>
        <w:widowControl/>
        <w:spacing w:line="360" w:lineRule="auto"/>
        <w:ind w:firstLine="420"/>
        <w:jc w:val="left"/>
        <w:rPr>
          <w:rFonts w:hint="eastAsia" w:ascii="仿宋" w:hAnsi="仿宋" w:eastAsia="仿宋" w:cs="仿宋"/>
          <w:sz w:val="24"/>
        </w:rPr>
      </w:pPr>
      <w:r>
        <w:rPr>
          <w:rFonts w:hint="eastAsia" w:ascii="仿宋" w:hAnsi="仿宋" w:eastAsia="仿宋" w:cs="仿宋"/>
          <w:sz w:val="24"/>
        </w:rPr>
        <w:t>（一）日常清洁要求：厨房、餐厅严格做到每餐保洁、每周深度清洁，保持墙壁、天花板、地面整洁干燥，炉灶、容器用具、案板等干净无油迹，操作台面、货架、调料台、设备等整洁无杂物、无污渍，通风、排烟、排水设备运行良好。</w:t>
      </w:r>
    </w:p>
    <w:p w14:paraId="62866066">
      <w:pPr>
        <w:widowControl/>
        <w:spacing w:line="360" w:lineRule="auto"/>
        <w:ind w:firstLine="420"/>
        <w:jc w:val="left"/>
        <w:rPr>
          <w:rFonts w:hint="eastAsia" w:ascii="仿宋" w:hAnsi="仿宋" w:eastAsia="仿宋" w:cs="仿宋"/>
          <w:sz w:val="24"/>
        </w:rPr>
      </w:pPr>
      <w:r>
        <w:rPr>
          <w:rFonts w:hint="eastAsia" w:ascii="仿宋" w:hAnsi="仿宋" w:eastAsia="仿宋" w:cs="仿宋"/>
          <w:sz w:val="24"/>
        </w:rPr>
        <w:t>（二）餐具消毒要求：设专人负责餐具的清洗、消毒、保洁，严格执行「一洗二清三消毒四保洁」流程，做好消毒登记，清洁用具专区专用，定期高温消毒。</w:t>
      </w:r>
    </w:p>
    <w:p w14:paraId="50A6BF44">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（三）虫害消杀要求：定期做好厨房、餐厅区域的蟑螂、老鼠等虫害消杀工作，选用合规消杀药剂，避免食品污染，做好消杀记录。</w:t>
      </w:r>
    </w:p>
    <w:p w14:paraId="4C7522B8">
      <w:pPr>
        <w:widowControl/>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（四）</w:t>
      </w:r>
      <w:r>
        <w:rPr>
          <w:rFonts w:hint="eastAsia" w:ascii="仿宋" w:hAnsi="仿宋" w:eastAsia="仿宋" w:cs="仿宋"/>
          <w:sz w:val="24"/>
        </w:rPr>
        <w:t>天河院区、珠玑院区、同德院区、同德综合门诊部的餐厨垃圾，由乙方严格按照国家及地方环保、市容环卫相关规定全权负责收集、运输与合规处置，做到日产日清；餐厨垃圾处置产生的全部费用均由乙方全额承担。若乙方未按要求合规处置，甲方可委托具备合法资质的第三方机构代为处理，相关全部费用由乙方承担。</w:t>
      </w:r>
    </w:p>
    <w:p w14:paraId="3AA8E76D">
      <w:pPr>
        <w:widowControl/>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（五）</w:t>
      </w:r>
      <w:r>
        <w:rPr>
          <w:rFonts w:ascii="仿宋" w:hAnsi="仿宋" w:eastAsia="仿宋" w:cs="仿宋"/>
          <w:sz w:val="24"/>
          <w:lang w:bidi="ar"/>
        </w:rPr>
        <w:t>油烟管道清洗</w:t>
      </w:r>
      <w:r>
        <w:rPr>
          <w:rFonts w:hint="eastAsia" w:ascii="仿宋" w:hAnsi="仿宋" w:eastAsia="仿宋" w:cs="仿宋"/>
          <w:sz w:val="24"/>
          <w:lang w:bidi="ar"/>
        </w:rPr>
        <w:t>：</w:t>
      </w:r>
      <w:r>
        <w:rPr>
          <w:rFonts w:ascii="仿宋" w:hAnsi="仿宋" w:eastAsia="仿宋" w:cs="仿宋"/>
          <w:sz w:val="24"/>
          <w:lang w:bidi="ar"/>
        </w:rPr>
        <w:t>三个院区每两个月完成</w:t>
      </w:r>
      <w:r>
        <w:rPr>
          <w:rFonts w:hint="eastAsia" w:ascii="仿宋" w:hAnsi="仿宋" w:eastAsia="仿宋" w:cs="仿宋"/>
          <w:sz w:val="24"/>
          <w:lang w:bidi="ar"/>
        </w:rPr>
        <w:t>各</w:t>
      </w:r>
      <w:r>
        <w:rPr>
          <w:rFonts w:ascii="仿宋" w:hAnsi="仿宋" w:eastAsia="仿宋" w:cs="仿宋"/>
          <w:sz w:val="24"/>
          <w:lang w:bidi="ar"/>
        </w:rPr>
        <w:t>不少于一次专业油烟管道清洗</w:t>
      </w:r>
      <w:r>
        <w:rPr>
          <w:rFonts w:hint="eastAsia" w:ascii="仿宋" w:hAnsi="仿宋" w:eastAsia="仿宋" w:cs="仿宋"/>
          <w:sz w:val="24"/>
          <w:lang w:bidi="ar"/>
        </w:rPr>
        <w:t>，</w:t>
      </w:r>
      <w:r>
        <w:rPr>
          <w:rFonts w:ascii="仿宋" w:hAnsi="仿宋" w:eastAsia="仿宋" w:cs="仿宋"/>
          <w:sz w:val="24"/>
          <w:lang w:bidi="ar"/>
        </w:rPr>
        <w:t>并提供检测报告，做好相关工作记录和照片记录并编辑成册</w:t>
      </w:r>
      <w:r>
        <w:rPr>
          <w:rFonts w:hint="eastAsia" w:ascii="仿宋" w:hAnsi="仿宋" w:eastAsia="仿宋" w:cs="仿宋"/>
          <w:sz w:val="24"/>
          <w:lang w:bidi="ar"/>
        </w:rPr>
        <w:t>，清洗和检测的</w:t>
      </w:r>
      <w:r>
        <w:rPr>
          <w:rFonts w:hint="eastAsia" w:ascii="仿宋" w:hAnsi="仿宋" w:eastAsia="仿宋" w:cs="仿宋"/>
          <w:sz w:val="24"/>
        </w:rPr>
        <w:t>全部费用由乙方承担</w:t>
      </w:r>
      <w:r>
        <w:rPr>
          <w:rFonts w:ascii="仿宋" w:hAnsi="仿宋" w:eastAsia="仿宋" w:cs="仿宋"/>
          <w:sz w:val="24"/>
          <w:lang w:bidi="ar"/>
        </w:rPr>
        <w:t>。</w:t>
      </w:r>
      <w:r>
        <w:rPr>
          <w:rFonts w:hint="eastAsia" w:ascii="仿宋" w:hAnsi="仿宋" w:eastAsia="仿宋" w:cs="仿宋"/>
          <w:sz w:val="24"/>
          <w:lang w:bidi="ar"/>
        </w:rPr>
        <w:t>具体清洗标准以招标文件约定为准。</w:t>
      </w:r>
    </w:p>
    <w:p w14:paraId="733227D9">
      <w:pPr>
        <w:widowControl/>
        <w:spacing w:line="360" w:lineRule="auto"/>
        <w:ind w:firstLine="420"/>
        <w:rPr>
          <w:rFonts w:hint="eastAsia" w:ascii="仿宋" w:hAnsi="仿宋" w:eastAsia="仿宋" w:cs="仿宋"/>
          <w:sz w:val="24"/>
          <w:lang w:bidi="ar"/>
        </w:rPr>
      </w:pPr>
      <w:r>
        <w:rPr>
          <w:rFonts w:hint="eastAsia" w:ascii="仿宋" w:hAnsi="仿宋" w:eastAsia="仿宋" w:cs="仿宋"/>
          <w:sz w:val="24"/>
        </w:rPr>
        <w:t>（六）燃气报警装置年检</w:t>
      </w:r>
      <w:r>
        <w:rPr>
          <w:rFonts w:ascii="仿宋" w:hAnsi="仿宋" w:eastAsia="仿宋" w:cs="仿宋"/>
          <w:sz w:val="24"/>
          <w:lang w:bidi="ar"/>
        </w:rPr>
        <w:t>要求：每年对现用燃气报警装置的探测器、主机和燃气紧急切断阀进行年检，委托具备 CMA或CNAS 检测资质的第三方机构进行检测，并出具年度合规检测检验报告；年检时间按甲方要求为准。</w:t>
      </w:r>
    </w:p>
    <w:p w14:paraId="735503C1">
      <w:pPr>
        <w:widowControl/>
        <w:spacing w:line="360" w:lineRule="auto"/>
        <w:ind w:firstLine="420"/>
        <w:rPr>
          <w:rFonts w:hint="eastAsia" w:ascii="仿宋" w:hAnsi="仿宋" w:eastAsia="仿宋" w:cs="仿宋"/>
          <w:sz w:val="24"/>
        </w:rPr>
      </w:pPr>
      <w:r>
        <w:rPr>
          <w:rFonts w:hint="eastAsia" w:ascii="仿宋" w:hAnsi="仿宋" w:eastAsia="仿宋" w:cs="仿宋"/>
          <w:sz w:val="24"/>
        </w:rPr>
        <w:t>（七）乙方须在服务区</w:t>
      </w:r>
      <w:r>
        <w:rPr>
          <w:rFonts w:ascii="仿宋" w:hAnsi="仿宋" w:eastAsia="仿宋" w:cs="仿宋"/>
          <w:sz w:val="24"/>
          <w:lang w:bidi="ar"/>
        </w:rPr>
        <w:t>域内按相关规定配置消防器材，负责消防器材的检查、维护和保养，确保其完好有效，承担消防管理主体责任。</w:t>
      </w:r>
    </w:p>
    <w:p w14:paraId="5C774206">
      <w:pPr>
        <w:widowControl/>
        <w:spacing w:line="360" w:lineRule="auto"/>
        <w:ind w:firstLine="420"/>
        <w:rPr>
          <w:rFonts w:hint="eastAsia" w:ascii="仿宋" w:hAnsi="仿宋" w:eastAsia="仿宋" w:cs="仿宋"/>
          <w:sz w:val="24"/>
        </w:rPr>
      </w:pPr>
      <w:r>
        <w:rPr>
          <w:rFonts w:hint="eastAsia" w:ascii="仿宋" w:hAnsi="仿宋" w:eastAsia="仿宋" w:cs="仿宋"/>
          <w:sz w:val="24"/>
        </w:rPr>
        <w:t>（八）乙方须建立健全项目消防档案，档案包含消防安全基本情况、消防安全管理情况、消防器材维保记录、燃气报警装置年检报告、消防演练记录、应急演练、安全巡查记录、油烟管道清洗记录等，消防档案完整留存，保存期限不少于3年，接受甲方与消防监管部门的检查。</w:t>
      </w:r>
    </w:p>
    <w:p w14:paraId="15D902E1">
      <w:pPr>
        <w:widowControl/>
        <w:spacing w:line="360" w:lineRule="auto"/>
        <w:ind w:firstLine="420"/>
        <w:rPr>
          <w:rFonts w:hint="eastAsia" w:ascii="仿宋" w:hAnsi="仿宋" w:eastAsia="仿宋" w:cs="仿宋"/>
          <w:sz w:val="24"/>
        </w:rPr>
      </w:pPr>
      <w:r>
        <w:rPr>
          <w:rFonts w:hint="eastAsia" w:ascii="仿宋" w:hAnsi="仿宋" w:eastAsia="仿宋" w:cs="仿宋"/>
          <w:sz w:val="24"/>
        </w:rPr>
        <w:t>（九）燃气安全日常巡查制度：建立每日巡检、每周排查、每月全面检查机制，做好记录、隐患闭环整改；发现重大隐患立即停用、及时上报，甲方不定期抽查。</w:t>
      </w:r>
    </w:p>
    <w:p w14:paraId="7BA800F7">
      <w:pPr>
        <w:widowControl/>
        <w:spacing w:line="440" w:lineRule="exact"/>
        <w:jc w:val="center"/>
        <w:rPr>
          <w:rFonts w:hint="eastAsia" w:ascii="仿宋" w:hAnsi="仿宋" w:eastAsia="仿宋" w:cs="仿宋"/>
          <w:sz w:val="24"/>
        </w:rPr>
      </w:pPr>
    </w:p>
    <w:p w14:paraId="71E3D71B">
      <w:pPr>
        <w:widowControl/>
        <w:spacing w:line="360" w:lineRule="auto"/>
        <w:jc w:val="center"/>
        <w:outlineLvl w:val="0"/>
        <w:rPr>
          <w:rFonts w:hint="eastAsia" w:ascii="仿宋" w:hAnsi="仿宋" w:eastAsia="仿宋" w:cs="仿宋"/>
          <w:b/>
          <w:bCs/>
          <w:kern w:val="44"/>
          <w:sz w:val="24"/>
        </w:rPr>
      </w:pPr>
      <w:r>
        <w:rPr>
          <w:rFonts w:hint="eastAsia" w:ascii="仿宋" w:hAnsi="仿宋" w:eastAsia="仿宋" w:cs="仿宋"/>
          <w:b/>
          <w:bCs/>
          <w:kern w:val="44"/>
          <w:sz w:val="24"/>
        </w:rPr>
        <w:t>第六章一次性用品、食材质量、食品及用品安全管理</w:t>
      </w:r>
    </w:p>
    <w:p w14:paraId="24D5239A">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第十七条 食材质量要求</w:t>
      </w:r>
    </w:p>
    <w:p w14:paraId="25A6B832">
      <w:pPr>
        <w:widowControl/>
        <w:numPr>
          <w:ilvl w:val="-1"/>
          <w:numId w:val="0"/>
        </w:numPr>
        <w:tabs>
          <w:tab w:val="left" w:pos="5632"/>
        </w:tabs>
        <w:spacing w:line="360" w:lineRule="auto"/>
        <w:ind w:left="0" w:leftChars="0" w:firstLine="480" w:firstLineChars="200"/>
        <w:outlineLvl w:val="1"/>
        <w:rPr>
          <w:rFonts w:hint="eastAsia" w:ascii="仿宋" w:hAnsi="仿宋" w:eastAsia="仿宋" w:cs="仿宋"/>
          <w:sz w:val="24"/>
        </w:rPr>
      </w:pPr>
      <w:r>
        <w:rPr>
          <w:rFonts w:hint="eastAsia" w:ascii="仿宋" w:hAnsi="仿宋" w:eastAsia="仿宋" w:cs="仿宋"/>
          <w:sz w:val="24"/>
        </w:rPr>
        <w:t>（一）所有食品、副食品及配料等均须从合法合规的渠道采购，确保食材安全，其农药残留等指标需符合国家食品安全标准；乙方应配备相应的食品安全快速检测设备。食品添加剂的使用不得超出规定范围和限量，严禁添加任何非食用物质；所用食品原料须按国家规定使用非转基因产品。乙方采购的粮油、肉蛋、禽类、水产、蔬菜、副食品、调味品、食品添加剂等所有原料及物品，均须符合《中华人民共和国食品安全法》《中华人民共和国动物防疫法》等相关法律法规、卫生标准及营养要求。</w:t>
      </w:r>
    </w:p>
    <w:p w14:paraId="2EAC50F2">
      <w:pPr>
        <w:widowControl/>
        <w:numPr>
          <w:ilvl w:val="-1"/>
          <w:numId w:val="0"/>
        </w:numPr>
        <w:tabs>
          <w:tab w:val="left" w:pos="5632"/>
        </w:tabs>
        <w:adjustRightInd/>
        <w:snapToGrid/>
        <w:spacing w:line="360" w:lineRule="auto"/>
        <w:ind w:left="0" w:leftChars="0" w:firstLine="480" w:firstLineChars="200"/>
        <w:outlineLvl w:val="1"/>
        <w:rPr>
          <w:rFonts w:hint="eastAsia" w:ascii="仿宋" w:hAnsi="仿宋" w:eastAsia="仿宋" w:cs="仿宋"/>
          <w:sz w:val="24"/>
          <w:lang w:bidi="ar"/>
        </w:rPr>
      </w:pPr>
      <w:r>
        <w:rPr>
          <w:rFonts w:hint="eastAsia" w:ascii="仿宋" w:hAnsi="仿宋" w:eastAsia="仿宋" w:cs="仿宋"/>
          <w:sz w:val="24"/>
        </w:rPr>
        <w:t>（二）乙方</w:t>
      </w:r>
      <w:r>
        <w:rPr>
          <w:rFonts w:hint="eastAsia" w:ascii="仿宋" w:hAnsi="仿宋" w:eastAsia="仿宋" w:cs="仿宋"/>
          <w:sz w:val="24"/>
          <w:lang w:bidi="ar"/>
        </w:rPr>
        <w:t>须严格落实进货查验与索证索票制度，规范建立采购台账、索证验收台账、供应商资质证明台账，完整索取并留存供应商有效资质文件及检验检测合格证明材料，包括但不限于：营业执照、食品经营许可证、食品生产许可证（SC）、产品质量检验报告、出厂检验报告、动物检疫合格证明、肉品品质检验合格证、送货清单、购货凭据；罐头及调味品等食品的检验合格证或检验单，蔬菜、鲜活水产等散装农副食品的检验合格证明，一次性餐具检验合格证明，食品用洗涤剂、消毒剂合格证明等。相关台账与证明材料须随时接受甲方及上级监管部门的监督检查。</w:t>
      </w:r>
    </w:p>
    <w:p w14:paraId="0A5A14DA">
      <w:pPr>
        <w:widowControl/>
        <w:numPr>
          <w:ilvl w:val="-1"/>
          <w:numId w:val="0"/>
        </w:numPr>
        <w:tabs>
          <w:tab w:val="left" w:pos="5632"/>
        </w:tabs>
        <w:spacing w:line="360" w:lineRule="auto"/>
        <w:ind w:left="0" w:leftChars="0" w:firstLine="480" w:firstLineChars="200"/>
        <w:outlineLvl w:val="1"/>
        <w:rPr>
          <w:rFonts w:hint="eastAsia" w:ascii="仿宋" w:hAnsi="仿宋" w:eastAsia="仿宋" w:cs="仿宋"/>
          <w:sz w:val="24"/>
        </w:rPr>
      </w:pPr>
      <w:r>
        <w:rPr>
          <w:rFonts w:hint="eastAsia" w:ascii="仿宋" w:hAnsi="仿宋" w:eastAsia="仿宋" w:cs="仿宋"/>
          <w:sz w:val="24"/>
        </w:rPr>
        <w:t>（三）设专门人员负责留样，每餐食品按相关规定的份量、时间、保存条件等做好留样工作。至少保存48小时，留样份量每样至少150克，在5℃以下冷藏专柜专放并按要求做好食品留样管理工作等。</w:t>
      </w:r>
    </w:p>
    <w:p w14:paraId="67982B15">
      <w:pPr>
        <w:widowControl/>
        <w:numPr>
          <w:ilvl w:val="-1"/>
          <w:numId w:val="0"/>
        </w:numPr>
        <w:tabs>
          <w:tab w:val="left" w:pos="5632"/>
        </w:tabs>
        <w:spacing w:line="360" w:lineRule="auto"/>
        <w:ind w:left="0" w:leftChars="0" w:firstLine="480" w:firstLineChars="200"/>
        <w:outlineLvl w:val="1"/>
        <w:rPr>
          <w:rFonts w:hint="eastAsia" w:ascii="仿宋" w:hAnsi="仿宋" w:eastAsia="仿宋" w:cs="仿宋"/>
          <w:sz w:val="24"/>
          <w:lang w:bidi="ar"/>
        </w:rPr>
      </w:pPr>
      <w:r>
        <w:rPr>
          <w:rFonts w:hint="eastAsia" w:ascii="仿宋" w:hAnsi="仿宋" w:eastAsia="仿宋" w:cs="仿宋"/>
          <w:sz w:val="24"/>
          <w:lang w:bidi="ar"/>
        </w:rPr>
        <w:t>（四）从食品原材料入手，建立食品安全追溯体系。所有肉类、蔬菜类、粮油类等由具备供应资格、信誉良好的供应商提供可追溯食，不能采用散装原料，实行集中统一采购或分大类集中采购，采用无公害食材。</w:t>
      </w:r>
    </w:p>
    <w:p w14:paraId="141B7066">
      <w:pPr>
        <w:widowControl/>
        <w:numPr>
          <w:ilvl w:val="-1"/>
          <w:numId w:val="0"/>
        </w:numPr>
        <w:tabs>
          <w:tab w:val="left" w:pos="5632"/>
        </w:tabs>
        <w:spacing w:line="360" w:lineRule="auto"/>
        <w:ind w:left="0" w:leftChars="0" w:firstLine="480" w:firstLineChars="200"/>
        <w:outlineLvl w:val="1"/>
        <w:rPr>
          <w:rFonts w:hint="eastAsia" w:ascii="仿宋" w:hAnsi="仿宋" w:eastAsia="仿宋" w:cs="仿宋"/>
          <w:sz w:val="24"/>
          <w:lang w:bidi="ar"/>
        </w:rPr>
      </w:pPr>
      <w:r>
        <w:rPr>
          <w:rFonts w:hint="eastAsia" w:ascii="仿宋" w:hAnsi="仿宋" w:eastAsia="仿宋" w:cs="仿宋"/>
          <w:sz w:val="24"/>
          <w:lang w:bidi="ar"/>
        </w:rPr>
        <w:t>（五）对服务、供货质量等不能达到甲方要求的供应商，甲方有权提出更换，乙方必须配合执行。</w:t>
      </w:r>
    </w:p>
    <w:p w14:paraId="574FED72">
      <w:pPr>
        <w:widowControl/>
        <w:numPr>
          <w:ilvl w:val="-1"/>
          <w:numId w:val="0"/>
        </w:numPr>
        <w:tabs>
          <w:tab w:val="left" w:pos="5632"/>
        </w:tabs>
        <w:spacing w:line="360" w:lineRule="auto"/>
        <w:ind w:left="0" w:leftChars="0" w:firstLine="480" w:firstLineChars="200"/>
        <w:outlineLvl w:val="1"/>
        <w:rPr>
          <w:rFonts w:hint="eastAsia" w:ascii="仿宋" w:hAnsi="仿宋" w:eastAsia="仿宋" w:cs="仿宋"/>
          <w:sz w:val="24"/>
          <w:lang w:bidi="ar"/>
        </w:rPr>
      </w:pPr>
      <w:r>
        <w:rPr>
          <w:rFonts w:hint="eastAsia" w:ascii="仿宋" w:hAnsi="仿宋" w:eastAsia="仿宋" w:cs="仿宋"/>
          <w:sz w:val="24"/>
          <w:lang w:bidi="ar"/>
        </w:rPr>
        <w:t>（六）设置食品安全信息公示栏，公示食品安全信息，员工健康信息、经营主体责任人、监管部门责任人及电话、微信服务满意度调查或意见箱等，接受员工监督。</w:t>
      </w:r>
    </w:p>
    <w:p w14:paraId="39199161">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第十八条 用品管理要求</w:t>
      </w:r>
    </w:p>
    <w:p w14:paraId="4984DD97">
      <w:pPr>
        <w:widowControl/>
        <w:numPr>
          <w:ilvl w:val="-1"/>
          <w:numId w:val="0"/>
        </w:numPr>
        <w:tabs>
          <w:tab w:val="left" w:pos="5632"/>
        </w:tabs>
        <w:spacing w:line="360" w:lineRule="auto"/>
        <w:ind w:left="0" w:leftChars="0" w:firstLine="480" w:firstLineChars="200"/>
        <w:outlineLvl w:val="1"/>
        <w:rPr>
          <w:rFonts w:hint="eastAsia" w:ascii="仿宋" w:hAnsi="仿宋" w:eastAsia="仿宋" w:cs="仿宋"/>
          <w:sz w:val="24"/>
          <w:lang w:bidi="ar"/>
        </w:rPr>
      </w:pPr>
      <w:r>
        <w:rPr>
          <w:rFonts w:hint="eastAsia" w:ascii="仿宋" w:hAnsi="仿宋" w:eastAsia="仿宋" w:cs="仿宋"/>
          <w:sz w:val="24"/>
          <w:lang w:bidi="ar"/>
        </w:rPr>
        <w:t>（一）乙方所供的食品接触材料及制品（如塑料包装、金属餐具等），应符合现行有效的国家食品安全标准及相关技术规范，包括但不限于《食品安全国家标准 食品接触材料及制品通用安全要求》（GB 4806.1-2016）《食品安全国家标准 食品接触材料及制品用添加剂使用标准》（GB 9685-2016，含第1号修改单GB 9685-2016/XG1-2025），以及对应材质的现行专项标准（如塑料类GB 4806.7-2023、金属类GB 4806.9-2023、橡胶类GB 4806.11-2023）等，均应满足可直接接触食品用途，不得使用国家市场监督管理总局会同国家卫生健康委员会等部门发布的食品接触材料及制品停止使用名单内的产品。</w:t>
      </w:r>
    </w:p>
    <w:p w14:paraId="70C96402">
      <w:pPr>
        <w:widowControl/>
        <w:numPr>
          <w:ilvl w:val="-1"/>
          <w:numId w:val="0"/>
        </w:numPr>
        <w:tabs>
          <w:tab w:val="left" w:pos="5632"/>
        </w:tabs>
        <w:spacing w:line="360" w:lineRule="auto"/>
        <w:ind w:left="0" w:leftChars="0" w:firstLine="480" w:firstLineChars="200"/>
        <w:outlineLvl w:val="1"/>
        <w:rPr>
          <w:rFonts w:hint="eastAsia" w:ascii="仿宋" w:hAnsi="仿宋" w:eastAsia="仿宋" w:cs="仿宋"/>
          <w:sz w:val="24"/>
          <w:lang w:bidi="ar"/>
        </w:rPr>
      </w:pPr>
      <w:r>
        <w:rPr>
          <w:rFonts w:hint="eastAsia" w:ascii="仿宋" w:hAnsi="仿宋" w:eastAsia="仿宋" w:cs="仿宋"/>
          <w:sz w:val="24"/>
          <w:lang w:bidi="ar"/>
        </w:rPr>
        <w:t>（二）各类材质专项成品要求：</w:t>
      </w:r>
    </w:p>
    <w:p w14:paraId="056B1A48">
      <w:pPr>
        <w:widowControl/>
        <w:numPr>
          <w:ilvl w:val="-1"/>
          <w:numId w:val="0"/>
        </w:numPr>
        <w:tabs>
          <w:tab w:val="left" w:pos="5632"/>
        </w:tabs>
        <w:spacing w:line="360" w:lineRule="auto"/>
        <w:ind w:left="0" w:leftChars="0" w:firstLine="480" w:firstLineChars="200"/>
        <w:outlineLvl w:val="1"/>
        <w:rPr>
          <w:rFonts w:hint="eastAsia" w:ascii="仿宋" w:hAnsi="仿宋" w:eastAsia="仿宋" w:cs="仿宋"/>
          <w:sz w:val="24"/>
          <w:lang w:bidi="ar"/>
        </w:rPr>
      </w:pPr>
      <w:r>
        <w:rPr>
          <w:rFonts w:hint="eastAsia" w:ascii="仿宋" w:hAnsi="仿宋" w:eastAsia="仿宋" w:cs="仿宋"/>
          <w:sz w:val="24"/>
          <w:lang w:bidi="ar"/>
        </w:rPr>
        <w:t>可降解材质产品：符合国家标准GB/T 18006.3-2020《一次性可降解餐饮具通用技术要求》。</w:t>
      </w:r>
    </w:p>
    <w:p w14:paraId="1ACFB721">
      <w:pPr>
        <w:widowControl/>
        <w:numPr>
          <w:ilvl w:val="-1"/>
          <w:numId w:val="0"/>
        </w:numPr>
        <w:tabs>
          <w:tab w:val="left" w:pos="5632"/>
        </w:tabs>
        <w:spacing w:line="360" w:lineRule="auto"/>
        <w:ind w:left="0" w:leftChars="0" w:firstLine="480" w:firstLineChars="200"/>
        <w:jc w:val="left"/>
        <w:outlineLvl w:val="1"/>
        <w:rPr>
          <w:rFonts w:hint="eastAsia" w:ascii="仿宋" w:hAnsi="仿宋" w:eastAsia="仿宋" w:cs="仿宋"/>
          <w:sz w:val="24"/>
          <w:lang w:bidi="ar"/>
        </w:rPr>
      </w:pPr>
      <w:r>
        <w:rPr>
          <w:rFonts w:hint="eastAsia" w:ascii="仿宋" w:hAnsi="仿宋" w:eastAsia="仿宋" w:cs="仿宋"/>
          <w:sz w:val="24"/>
          <w:lang w:bidi="ar"/>
        </w:rPr>
        <w:t>竹材质筷子：符合国家标准GB/T 19790.2-2005《一次性筷子第2部分：竹筷》和《一次性竹木筷产品质量国家监督抽查实施细则（2021版）》。</w:t>
      </w:r>
    </w:p>
    <w:p w14:paraId="4C454EB8">
      <w:pPr>
        <w:widowControl/>
        <w:numPr>
          <w:ilvl w:val="-1"/>
          <w:numId w:val="0"/>
        </w:numPr>
        <w:tabs>
          <w:tab w:val="left" w:pos="5632"/>
        </w:tabs>
        <w:spacing w:line="360" w:lineRule="auto"/>
        <w:ind w:left="0" w:leftChars="0" w:firstLine="480" w:firstLineChars="200"/>
        <w:jc w:val="left"/>
        <w:outlineLvl w:val="1"/>
        <w:rPr>
          <w:rFonts w:hint="eastAsia" w:ascii="仿宋" w:hAnsi="仿宋" w:eastAsia="仿宋" w:cs="仿宋"/>
          <w:sz w:val="24"/>
          <w:lang w:bidi="ar"/>
        </w:rPr>
      </w:pPr>
      <w:r>
        <w:rPr>
          <w:rFonts w:hint="eastAsia" w:ascii="仿宋" w:hAnsi="仿宋" w:eastAsia="仿宋" w:cs="仿宋"/>
          <w:sz w:val="24"/>
          <w:lang w:bidi="ar"/>
        </w:rPr>
        <w:t>PP材质产品：符合国家标准GB 4806.7-2023《食品安全国家标准 食品接触用塑料材料及制品》。</w:t>
      </w:r>
    </w:p>
    <w:p w14:paraId="052E5AE0">
      <w:pPr>
        <w:widowControl/>
        <w:numPr>
          <w:ilvl w:val="-1"/>
          <w:numId w:val="0"/>
        </w:numPr>
        <w:tabs>
          <w:tab w:val="left" w:pos="5632"/>
        </w:tabs>
        <w:spacing w:line="360" w:lineRule="auto"/>
        <w:ind w:left="0" w:leftChars="0" w:firstLine="480" w:firstLineChars="200"/>
        <w:jc w:val="left"/>
        <w:outlineLvl w:val="1"/>
        <w:rPr>
          <w:rFonts w:hint="eastAsia" w:ascii="仿宋" w:hAnsi="仿宋" w:eastAsia="仿宋" w:cs="仿宋"/>
          <w:sz w:val="24"/>
          <w:lang w:bidi="ar"/>
        </w:rPr>
      </w:pPr>
      <w:r>
        <w:rPr>
          <w:rFonts w:hint="eastAsia" w:ascii="仿宋" w:hAnsi="仿宋" w:eastAsia="仿宋" w:cs="仿宋"/>
          <w:sz w:val="24"/>
          <w:lang w:bidi="ar"/>
        </w:rPr>
        <w:t>铝箔纸材质产品：符合国家标准GB 4806.9-2023《食品安全国家标准 食品接触用金属材料及制品》。</w:t>
      </w:r>
    </w:p>
    <w:p w14:paraId="6A62924B">
      <w:pPr>
        <w:widowControl/>
        <w:numPr>
          <w:ilvl w:val="-1"/>
          <w:numId w:val="0"/>
        </w:numPr>
        <w:tabs>
          <w:tab w:val="left" w:pos="5632"/>
        </w:tabs>
        <w:spacing w:line="360" w:lineRule="auto"/>
        <w:ind w:left="0" w:leftChars="0" w:firstLine="480" w:firstLineChars="200"/>
        <w:jc w:val="left"/>
        <w:outlineLvl w:val="1"/>
        <w:rPr>
          <w:rFonts w:hint="eastAsia" w:ascii="仿宋" w:hAnsi="仿宋" w:eastAsia="仿宋" w:cs="仿宋"/>
          <w:sz w:val="24"/>
          <w:lang w:bidi="ar"/>
        </w:rPr>
      </w:pPr>
      <w:r>
        <w:rPr>
          <w:rFonts w:hint="eastAsia" w:ascii="仿宋" w:hAnsi="仿宋" w:eastAsia="仿宋" w:cs="仿宋"/>
          <w:sz w:val="24"/>
          <w:lang w:bidi="ar"/>
        </w:rPr>
        <w:t>烘焙油纸材质产品：符合国家标准GB/T 36392-2025《食品包装用淋膜纸和纸板》和GB 30612-2014《食品安全国家标准 食品添加剂 聚二甲基硅氧烷及其乳液（含第1号修改单）》。</w:t>
      </w:r>
    </w:p>
    <w:p w14:paraId="0EC92CFE">
      <w:pPr>
        <w:widowControl/>
        <w:numPr>
          <w:ilvl w:val="-1"/>
          <w:numId w:val="0"/>
        </w:numPr>
        <w:tabs>
          <w:tab w:val="left" w:pos="5632"/>
        </w:tabs>
        <w:spacing w:line="360" w:lineRule="auto"/>
        <w:ind w:left="0" w:leftChars="0" w:firstLine="480" w:firstLineChars="200"/>
        <w:jc w:val="both"/>
        <w:outlineLvl w:val="1"/>
        <w:rPr>
          <w:rFonts w:hint="eastAsia" w:ascii="仿宋" w:hAnsi="仿宋" w:eastAsia="仿宋" w:cs="仿宋"/>
          <w:sz w:val="24"/>
          <w:lang w:bidi="ar"/>
        </w:rPr>
      </w:pPr>
      <w:r>
        <w:rPr>
          <w:rFonts w:hint="eastAsia" w:ascii="仿宋" w:hAnsi="仿宋" w:eastAsia="仿宋" w:cs="仿宋"/>
          <w:sz w:val="24"/>
          <w:lang w:bidi="ar"/>
        </w:rPr>
        <w:t>纸浆及淋膜纸材质产品：符合国家标准GB/T 27590-2022《纸杯》、GB 4806.8-2022《食品安全国家标准 食品接触用纸和纸板材料及制品》以及GB 4806.7-2023《食品安全国家标准 食品接触用塑料材料及制品》。</w:t>
      </w:r>
    </w:p>
    <w:p w14:paraId="267F4D06">
      <w:pPr>
        <w:widowControl/>
        <w:numPr>
          <w:ilvl w:val="-1"/>
          <w:numId w:val="0"/>
        </w:numPr>
        <w:tabs>
          <w:tab w:val="left" w:pos="5632"/>
        </w:tabs>
        <w:spacing w:line="360" w:lineRule="auto"/>
        <w:ind w:left="0" w:leftChars="0" w:firstLine="480" w:firstLineChars="200"/>
        <w:jc w:val="left"/>
        <w:outlineLvl w:val="1"/>
        <w:rPr>
          <w:rFonts w:hint="eastAsia" w:ascii="仿宋" w:hAnsi="仿宋" w:eastAsia="仿宋" w:cs="仿宋"/>
          <w:sz w:val="24"/>
          <w:lang w:bidi="ar"/>
        </w:rPr>
      </w:pPr>
      <w:r>
        <w:rPr>
          <w:rFonts w:hint="eastAsia" w:ascii="仿宋" w:hAnsi="仿宋" w:eastAsia="仿宋" w:cs="仿宋"/>
          <w:sz w:val="24"/>
          <w:lang w:bidi="ar"/>
        </w:rPr>
        <w:t>乙方所供食品包装袋类产品（用于盛装和保护食品的薄膜容器）上应具有符合国家标准GB/T 21661-2020《塑料购物袋》（或GB/T 21660-2008《塑料购物袋的环保、安全和标识通用技术要求》）的信息。包装袋类产品外观应平整，无划伤、烫伤、气泡、破油和折皱，热封平整、无虚封。薄膜不得有裂纹、孔隙和复合层分离，无杂质、异物和油渍等污染。</w:t>
      </w:r>
    </w:p>
    <w:p w14:paraId="6D8CF8C5">
      <w:pPr>
        <w:widowControl/>
        <w:numPr>
          <w:ilvl w:val="-1"/>
          <w:numId w:val="0"/>
        </w:numPr>
        <w:tabs>
          <w:tab w:val="left" w:pos="5632"/>
        </w:tabs>
        <w:spacing w:line="360" w:lineRule="auto"/>
        <w:ind w:left="0" w:leftChars="0" w:firstLine="480" w:firstLineChars="200"/>
        <w:jc w:val="left"/>
        <w:outlineLvl w:val="1"/>
        <w:rPr>
          <w:rFonts w:hint="eastAsia" w:ascii="仿宋" w:hAnsi="仿宋" w:eastAsia="仿宋" w:cs="仿宋"/>
          <w:sz w:val="24"/>
          <w:lang w:bidi="ar"/>
        </w:rPr>
      </w:pPr>
      <w:r>
        <w:rPr>
          <w:rFonts w:hint="eastAsia" w:ascii="仿宋" w:hAnsi="仿宋" w:eastAsia="仿宋" w:cs="仿宋"/>
          <w:sz w:val="24"/>
          <w:lang w:bidi="ar"/>
        </w:rPr>
        <w:t>使用性能标准：一次性餐饮具的容积偏差、负重性能、跌落性能、盖体对折性能等方面应符合国家标准GB/T 18006.3-2020《一次性可降解餐饮具通用技术要求》、GB/T 18006.1-2025《塑料一次性餐饮具通用技术要求》和GB 4806.7-2023《食品安全国家标准 食品接触用塑料材料及制品》的规定，尤其是耐温性能（耐热水、耐热油等）应符合对应标准的具体指标要求。</w:t>
      </w:r>
    </w:p>
    <w:p w14:paraId="748BC3D9">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第十九条 抽检与质量管控</w:t>
      </w:r>
    </w:p>
    <w:p w14:paraId="35796399">
      <w:pPr>
        <w:widowControl/>
        <w:numPr>
          <w:ilvl w:val="-1"/>
          <w:numId w:val="0"/>
        </w:numPr>
        <w:tabs>
          <w:tab w:val="left" w:pos="5632"/>
        </w:tabs>
        <w:spacing w:line="360" w:lineRule="auto"/>
        <w:ind w:firstLine="480" w:firstLineChars="200"/>
        <w:jc w:val="left"/>
        <w:outlineLvl w:val="1"/>
        <w:rPr>
          <w:rFonts w:hint="eastAsia" w:ascii="仿宋" w:hAnsi="仿宋" w:eastAsia="仿宋" w:cs="仿宋"/>
          <w:sz w:val="24"/>
        </w:rPr>
      </w:pPr>
      <w:r>
        <w:rPr>
          <w:rFonts w:hint="eastAsia" w:ascii="仿宋" w:hAnsi="仿宋" w:eastAsia="仿宋" w:cs="仿宋"/>
          <w:sz w:val="24"/>
        </w:rPr>
        <w:t>（一）乙方须实行货到现场逐批验收，不合格品当场拒收、24小时内无条件退换补货；</w:t>
      </w:r>
    </w:p>
    <w:p w14:paraId="6A3C9C38">
      <w:pPr>
        <w:widowControl/>
        <w:numPr>
          <w:ilvl w:val="255"/>
          <w:numId w:val="0"/>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（二）甲方建立不定期抽检、周查、月复盘机制，接受甲方及行政机构监管部门不定期抽检；具体要求参考附件《</w:t>
      </w:r>
      <w:r>
        <w:rPr>
          <w:rFonts w:ascii="仿宋" w:hAnsi="仿宋" w:eastAsia="仿宋" w:cs="仿宋"/>
          <w:sz w:val="24"/>
        </w:rPr>
        <w:t>广州医科大学附属中医医院食堂餐饮服务货物</w:t>
      </w:r>
      <w:r>
        <w:rPr>
          <w:rFonts w:hint="eastAsia" w:ascii="仿宋" w:hAnsi="仿宋" w:eastAsia="仿宋" w:cs="仿宋"/>
          <w:sz w:val="24"/>
        </w:rPr>
        <w:t>抽检标准》；甲方抽检产生的检测费用由乙方承担，若检测合格，费用由甲方承担。</w:t>
      </w:r>
    </w:p>
    <w:p w14:paraId="428C0FFC">
      <w:pPr>
        <w:widowControl/>
        <w:numPr>
          <w:ilvl w:val="255"/>
          <w:numId w:val="0"/>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（三）因货物质量问题引发食品安全事故，由乙方承担全部责任与损失。</w:t>
      </w:r>
    </w:p>
    <w:p w14:paraId="20E11258">
      <w:pPr>
        <w:numPr>
          <w:ilvl w:val="255"/>
          <w:numId w:val="0"/>
        </w:numPr>
        <w:spacing w:line="360" w:lineRule="auto"/>
        <w:ind w:firstLine="480" w:firstLineChars="200"/>
        <w:rPr>
          <w:rFonts w:ascii="Calibri" w:hAnsi="Calibri" w:eastAsia="宋体" w:cs="Times New Roman"/>
        </w:rPr>
      </w:pPr>
      <w:r>
        <w:rPr>
          <w:rFonts w:hint="eastAsia" w:ascii="仿宋" w:hAnsi="仿宋" w:eastAsia="仿宋" w:cs="仿宋"/>
          <w:sz w:val="24"/>
        </w:rPr>
        <w:t>（四）甲方依据合同约定及有关管理规范对乙方提供的货物进行不定期抽查。对于不符合要求的货物，乙方须无条件退货或换货。若乙方未能履行招标文件及合同约定事项，或供应不合格、假冒伪劣、以次充好的货物，每次扣罚乙方5000元。若发生3次或以上（设次数为N，N≥3），则每次扣罚金额为5000元乘以N，并额外加扣当月结算费用的5%。若年度累计次数达到6次及以上，甲方有权终止合同，且乙方须承担由此产生的一切损失和费用。</w:t>
      </w:r>
    </w:p>
    <w:p w14:paraId="1BE9547A">
      <w:pPr>
        <w:widowControl/>
        <w:tabs>
          <w:tab w:val="left" w:pos="5632"/>
        </w:tabs>
        <w:spacing w:line="360" w:lineRule="auto"/>
        <w:ind w:left="0" w:leftChars="0" w:firstLine="480" w:firstLineChars="200"/>
        <w:jc w:val="left"/>
        <w:outlineLvl w:val="1"/>
        <w:rPr>
          <w:rFonts w:hint="eastAsia" w:ascii="仿宋" w:hAnsi="仿宋" w:eastAsia="仿宋" w:cs="仿宋"/>
          <w:sz w:val="24"/>
        </w:rPr>
      </w:pPr>
      <w:r>
        <w:rPr>
          <w:rFonts w:hint="eastAsia" w:ascii="仿宋" w:hAnsi="仿宋" w:eastAsia="仿宋" w:cs="仿宋"/>
          <w:sz w:val="24"/>
        </w:rPr>
        <w:t>（五）出现供应不及时、质量不达标、以次充好、断供、造假等情形，甲方有权扣除履约保证金、暂停结算、终止合同，并追究相应法律责任。</w:t>
      </w:r>
    </w:p>
    <w:p w14:paraId="3FBC7611">
      <w:pPr>
        <w:widowControl/>
        <w:spacing w:line="360" w:lineRule="auto"/>
        <w:ind w:left="17" w:leftChars="8" w:firstLine="547" w:firstLineChars="228"/>
        <w:jc w:val="left"/>
        <w:rPr>
          <w:rFonts w:hint="eastAsia" w:ascii="仿宋" w:hAnsi="仿宋" w:eastAsia="仿宋" w:cs="仿宋"/>
          <w:sz w:val="24"/>
        </w:rPr>
      </w:pPr>
    </w:p>
    <w:p w14:paraId="564D4509">
      <w:pPr>
        <w:widowControl/>
        <w:spacing w:line="360" w:lineRule="auto"/>
        <w:jc w:val="center"/>
        <w:outlineLvl w:val="0"/>
        <w:rPr>
          <w:rFonts w:hint="eastAsia" w:ascii="仿宋" w:hAnsi="仿宋" w:eastAsia="仿宋" w:cs="仿宋"/>
          <w:b/>
          <w:bCs/>
          <w:kern w:val="44"/>
          <w:sz w:val="24"/>
        </w:rPr>
      </w:pPr>
      <w:r>
        <w:rPr>
          <w:rFonts w:hint="eastAsia" w:ascii="仿宋" w:hAnsi="仿宋" w:eastAsia="仿宋" w:cs="仿宋"/>
          <w:b/>
          <w:bCs/>
          <w:kern w:val="44"/>
          <w:sz w:val="24"/>
        </w:rPr>
        <w:t>第七章 智能化餐饮系统服务要求</w:t>
      </w:r>
    </w:p>
    <w:p w14:paraId="5B74AFE8">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第二十条 系统核心功能要求</w:t>
      </w:r>
    </w:p>
    <w:p w14:paraId="31DE3147">
      <w:pPr>
        <w:widowControl/>
        <w:numPr>
          <w:ilvl w:val="0"/>
          <w:numId w:val="5"/>
        </w:num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乙方须免费为甲方提供智能化餐饮管理系统，并承担系统建设、对接、维护及升级的全部费用。该系统的管理后台须向甲方开放，且须在合同签订后即投入使用并确保安全、稳定运行；同时，乙方须提供与餐饮系统匹配的院内消费系统所需软硬件设备，并于中标通知书发出后，在甲方指定时限内完成所有软硬件设备的配置、安装、调试工作。智能化餐饮系统功能需求详见附件3。</w:t>
      </w:r>
    </w:p>
    <w:p w14:paraId="5866204E">
      <w:pPr>
        <w:widowControl/>
        <w:numPr>
          <w:ilvl w:val="0"/>
          <w:numId w:val="5"/>
        </w:numPr>
        <w:spacing w:line="360" w:lineRule="auto"/>
        <w:jc w:val="left"/>
        <w:rPr>
          <w:rFonts w:hint="eastAsia" w:ascii="仿宋" w:hAnsi="仿宋" w:eastAsia="仿宋" w:cs="仿宋"/>
          <w:sz w:val="24"/>
        </w:rPr>
      </w:pPr>
      <w:r>
        <w:rPr>
          <w:rFonts w:hint="eastAsia" w:ascii="仿宋" w:hAnsi="仿宋" w:eastAsia="仿宋" w:cs="仿宋"/>
          <w:sz w:val="24"/>
        </w:rPr>
        <w:t>智慧餐饮系统须具备以下核心功能：</w:t>
      </w:r>
    </w:p>
    <w:p w14:paraId="007B2CEA">
      <w:pPr>
        <w:keepNext w:val="0"/>
        <w:keepLines w:val="0"/>
        <w:widowControl/>
        <w:numPr>
          <w:ilvl w:val="0"/>
          <w:numId w:val="6"/>
        </w:numPr>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订餐管理功能：支持职工、病人等线上订餐，订餐截止时间、配送时间可灵活配置，订单全流程可追溯。</w:t>
      </w:r>
    </w:p>
    <w:p w14:paraId="48BD4E05">
      <w:pPr>
        <w:keepNext w:val="0"/>
        <w:keepLines w:val="0"/>
        <w:widowControl/>
        <w:numPr>
          <w:ilvl w:val="0"/>
          <w:numId w:val="6"/>
        </w:numPr>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充值消费功能：支持餐卡刷卡、扫码支付等多种支付方式，支持智能补贴配置（区分餐补与通用余额），交易明细可查。</w:t>
      </w:r>
    </w:p>
    <w:p w14:paraId="7A692A53">
      <w:pPr>
        <w:keepNext w:val="0"/>
        <w:keepLines w:val="0"/>
        <w:widowControl/>
        <w:numPr>
          <w:ilvl w:val="0"/>
          <w:numId w:val="6"/>
        </w:numPr>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一卡通用功能：支持院内及周边合作商户入驻，商户独立结算后台，T+1自动分账，集成院内消费、门禁管控等多项应用场景，实现一卡通行通用，构建「智慧食堂+便利生活」一体化消费生态。</w:t>
      </w:r>
    </w:p>
    <w:p w14:paraId="0BA00313">
      <w:pPr>
        <w:keepNext w:val="0"/>
        <w:keepLines w:val="0"/>
        <w:widowControl/>
        <w:numPr>
          <w:ilvl w:val="0"/>
          <w:numId w:val="6"/>
        </w:numPr>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就餐统计功能：自动统计每日、每月就餐人数、订餐量、消费金额等核心数据，支持多维度（如时段、餐品类型、消费人群等）数据统计分析，并生成可视化可导出报表。</w:t>
      </w:r>
    </w:p>
    <w:p w14:paraId="28DF78FD">
      <w:pPr>
        <w:keepNext w:val="0"/>
        <w:keepLines w:val="0"/>
        <w:widowControl/>
        <w:numPr>
          <w:ilvl w:val="0"/>
          <w:numId w:val="6"/>
        </w:numPr>
        <w:suppressLineNumbers w:val="0"/>
        <w:spacing w:before="0" w:beforeAutospacing="0" w:after="0" w:afterAutospacing="0" w:line="360" w:lineRule="auto"/>
        <w:ind w:left="0" w:right="0" w:firstLine="480" w:firstLineChars="200"/>
        <w:jc w:val="both"/>
        <w:rPr>
          <w:rFonts w:hint="eastAsia" w:ascii="仿宋" w:hAnsi="仿宋" w:eastAsia="仿宋" w:cs="仿宋"/>
          <w:sz w:val="24"/>
        </w:rPr>
      </w:pPr>
      <w:r>
        <w:rPr>
          <w:rFonts w:hint="eastAsia" w:ascii="仿宋" w:hAnsi="仿宋" w:eastAsia="仿宋" w:cs="仿宋"/>
          <w:kern w:val="2"/>
          <w:sz w:val="24"/>
          <w:szCs w:val="24"/>
          <w:lang w:val="en-US" w:eastAsia="zh-CN" w:bidi="ar"/>
        </w:rPr>
        <w:t>线上商城功能：整合食堂特色餐品、半成品食材、生活用品等商品，支持线上下单、线下自提或配送到指定地点；支持商品分类、搜索、收藏，可设置优惠活动，关联餐卡余额支付，实现订餐与购物一体化，提升消费便捷度。</w:t>
      </w:r>
    </w:p>
    <w:p w14:paraId="24F58543">
      <w:pPr>
        <w:widowControl/>
        <w:numPr>
          <w:ilvl w:val="0"/>
          <w:numId w:val="5"/>
        </w:numPr>
        <w:spacing w:line="360" w:lineRule="auto"/>
        <w:jc w:val="left"/>
        <w:rPr>
          <w:rFonts w:hint="eastAsia" w:ascii="仿宋" w:hAnsi="仿宋" w:eastAsia="仿宋" w:cs="仿宋"/>
          <w:sz w:val="24"/>
        </w:rPr>
      </w:pPr>
      <w:r>
        <w:rPr>
          <w:rFonts w:hint="eastAsia" w:ascii="仿宋" w:hAnsi="仿宋" w:eastAsia="仿宋" w:cs="仿宋"/>
          <w:sz w:val="24"/>
        </w:rPr>
        <w:t>若使用甲方现有订餐系统，乙方须负责系统的维保、升级等工作，承担服务期内全部系统维护费用。</w:t>
      </w:r>
    </w:p>
    <w:p w14:paraId="77D7A139">
      <w:pPr>
        <w:widowControl/>
        <w:numPr>
          <w:ilvl w:val="0"/>
          <w:numId w:val="5"/>
        </w:numPr>
        <w:spacing w:line="360" w:lineRule="auto"/>
        <w:jc w:val="left"/>
        <w:rPr>
          <w:rFonts w:hint="eastAsia" w:ascii="仿宋" w:hAnsi="仿宋" w:eastAsia="仿宋" w:cs="仿宋"/>
          <w:sz w:val="24"/>
        </w:rPr>
      </w:pPr>
      <w:r>
        <w:rPr>
          <w:rFonts w:hint="eastAsia" w:ascii="仿宋" w:hAnsi="仿宋" w:eastAsia="仿宋" w:cs="仿宋"/>
          <w:sz w:val="24"/>
        </w:rPr>
        <w:t>乙方须将订餐系统每日收款与医院对公账户进行免手续费的转账对接，转账产生的所有手续费由乙方全额承担。</w:t>
      </w:r>
    </w:p>
    <w:p w14:paraId="7936E6E2">
      <w:pPr>
        <w:widowControl/>
        <w:numPr>
          <w:ilvl w:val="0"/>
          <w:numId w:val="5"/>
        </w:numPr>
        <w:spacing w:line="360" w:lineRule="auto"/>
        <w:jc w:val="left"/>
        <w:rPr>
          <w:rFonts w:hint="eastAsia" w:ascii="仿宋" w:hAnsi="仿宋" w:eastAsia="仿宋" w:cs="仿宋"/>
          <w:sz w:val="24"/>
        </w:rPr>
      </w:pPr>
      <w:r>
        <w:rPr>
          <w:rFonts w:hint="eastAsia" w:ascii="仿宋" w:hAnsi="仿宋" w:eastAsia="仿宋" w:cs="仿宋"/>
          <w:sz w:val="24"/>
        </w:rPr>
        <w:t>系统须满足本文件附件3《智能化餐饮系统功能需求》的全部要求。</w:t>
      </w:r>
    </w:p>
    <w:p w14:paraId="0F2ADB07">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第二十一条 系统资质与安全要求</w:t>
      </w:r>
    </w:p>
    <w:p w14:paraId="68926F49">
      <w:pPr>
        <w:widowControl/>
        <w:numPr>
          <w:ilvl w:val="0"/>
          <w:numId w:val="7"/>
        </w:numPr>
        <w:spacing w:line="360" w:lineRule="auto"/>
        <w:jc w:val="both"/>
        <w:rPr>
          <w:rFonts w:hint="eastAsia" w:ascii="仿宋" w:hAnsi="仿宋" w:eastAsia="仿宋" w:cs="仿宋"/>
          <w:sz w:val="24"/>
        </w:rPr>
      </w:pPr>
      <w:r>
        <w:rPr>
          <w:rFonts w:hint="eastAsia" w:ascii="仿宋" w:hAnsi="仿宋" w:eastAsia="仿宋" w:cs="仿宋"/>
          <w:sz w:val="24"/>
        </w:rPr>
        <w:t>乙方提供的订餐系统，须具备以下资质：软件著作权登记证书、ISO9001质量管理体系认证、ISO27001信息安全管理体系认证、ICP备案证明，相关资料复印件加盖公章提交甲方备案。</w:t>
      </w:r>
    </w:p>
    <w:p w14:paraId="6EDC734A">
      <w:pPr>
        <w:widowControl/>
        <w:numPr>
          <w:ilvl w:val="0"/>
          <w:numId w:val="7"/>
        </w:numPr>
        <w:spacing w:line="360" w:lineRule="auto"/>
        <w:jc w:val="left"/>
        <w:rPr>
          <w:rFonts w:hint="eastAsia" w:ascii="仿宋" w:hAnsi="仿宋" w:eastAsia="仿宋" w:cs="仿宋"/>
          <w:sz w:val="24"/>
        </w:rPr>
      </w:pPr>
      <w:r>
        <w:rPr>
          <w:rFonts w:hint="eastAsia" w:ascii="仿宋" w:hAnsi="仿宋" w:eastAsia="仿宋" w:cs="仿宋"/>
          <w:sz w:val="24"/>
        </w:rPr>
        <w:t>乙方须向甲方提交以下承诺书（加盖公章）：</w:t>
      </w:r>
    </w:p>
    <w:p w14:paraId="49C640FD">
      <w:pPr>
        <w:widowControl/>
        <w:numPr>
          <w:ilvl w:val="0"/>
          <w:numId w:val="8"/>
        </w:numPr>
        <w:spacing w:line="360" w:lineRule="auto"/>
        <w:jc w:val="left"/>
        <w:rPr>
          <w:rFonts w:hint="eastAsia" w:ascii="仿宋" w:hAnsi="仿宋" w:eastAsia="仿宋" w:cs="仿宋"/>
          <w:sz w:val="24"/>
        </w:rPr>
      </w:pPr>
      <w:r>
        <w:rPr>
          <w:rFonts w:hint="eastAsia" w:ascii="仿宋" w:hAnsi="仿宋" w:eastAsia="仿宋" w:cs="仿宋"/>
          <w:sz w:val="24"/>
        </w:rPr>
        <w:t>数据安全与保密承诺：乙方与甲方签订保密协议，承诺严格保护医院病人信息、医护人员信息、订餐数据、医院知识产权信息等敏感数据，不泄露、不篡改、不滥用；明确数据存储、传输的加密标准，以及数据泄露后的赔偿责任；</w:t>
      </w:r>
    </w:p>
    <w:p w14:paraId="7EDAD997">
      <w:pPr>
        <w:widowControl/>
        <w:numPr>
          <w:ilvl w:val="0"/>
          <w:numId w:val="8"/>
        </w:numPr>
        <w:spacing w:line="360" w:lineRule="auto"/>
        <w:jc w:val="left"/>
        <w:rPr>
          <w:rFonts w:hint="eastAsia" w:ascii="仿宋" w:hAnsi="仿宋" w:eastAsia="仿宋" w:cs="仿宋"/>
          <w:sz w:val="24"/>
        </w:rPr>
      </w:pPr>
      <w:r>
        <w:rPr>
          <w:rFonts w:hint="eastAsia" w:ascii="仿宋" w:hAnsi="仿宋" w:eastAsia="仿宋" w:cs="仿宋"/>
          <w:sz w:val="24"/>
        </w:rPr>
        <w:t>系统稳定性与运维承诺书：承诺系统全年平均无故障运行时间≥99.9%，紧急故障≤0.5小时响应、≤2小时解决，提供7×24小时运维服务，完善系统备份方案，避免数据丢失；</w:t>
      </w:r>
    </w:p>
    <w:p w14:paraId="10C33738">
      <w:pPr>
        <w:widowControl/>
        <w:numPr>
          <w:ilvl w:val="0"/>
          <w:numId w:val="8"/>
        </w:numPr>
        <w:spacing w:line="360" w:lineRule="auto"/>
        <w:jc w:val="left"/>
        <w:rPr>
          <w:rFonts w:hint="eastAsia" w:ascii="仿宋" w:hAnsi="仿宋" w:eastAsia="仿宋" w:cs="仿宋"/>
          <w:sz w:val="24"/>
        </w:rPr>
      </w:pPr>
      <w:r>
        <w:rPr>
          <w:rFonts w:hint="eastAsia" w:ascii="仿宋" w:hAnsi="仿宋" w:eastAsia="仿宋" w:cs="仿宋"/>
          <w:sz w:val="24"/>
        </w:rPr>
        <w:t>系统兼容性与对接承诺书：承诺订餐系统可与医院HIS系统、一卡通系统、财务系统无缝对接，承担对接过程中的全部技术适配工作，免费提供系统接口文档及技术支持；</w:t>
      </w:r>
    </w:p>
    <w:p w14:paraId="0B07C497">
      <w:pPr>
        <w:widowControl/>
        <w:numPr>
          <w:ilvl w:val="0"/>
          <w:numId w:val="8"/>
        </w:numPr>
        <w:spacing w:line="360" w:lineRule="auto"/>
        <w:jc w:val="left"/>
        <w:rPr>
          <w:rFonts w:hint="eastAsia" w:ascii="仿宋" w:hAnsi="仿宋" w:eastAsia="仿宋" w:cs="仿宋"/>
          <w:sz w:val="24"/>
        </w:rPr>
      </w:pPr>
      <w:r>
        <w:rPr>
          <w:rFonts w:hint="eastAsia" w:ascii="仿宋" w:hAnsi="仿宋" w:eastAsia="仿宋" w:cs="仿宋"/>
          <w:sz w:val="24"/>
        </w:rPr>
        <w:t>售后服务承诺书：承诺合同期内免费提供系统升级、维护、培训服务，确保医院工作人员熟练操作系统，全部费用自行承担；</w:t>
      </w:r>
    </w:p>
    <w:p w14:paraId="33F70BFE">
      <w:pPr>
        <w:widowControl/>
        <w:numPr>
          <w:ilvl w:val="0"/>
          <w:numId w:val="8"/>
        </w:numPr>
        <w:spacing w:line="360" w:lineRule="auto"/>
        <w:jc w:val="left"/>
        <w:rPr>
          <w:rFonts w:hint="eastAsia" w:ascii="仿宋" w:hAnsi="仿宋" w:eastAsia="仿宋" w:cs="仿宋"/>
          <w:sz w:val="24"/>
        </w:rPr>
      </w:pPr>
      <w:r>
        <w:rPr>
          <w:rFonts w:hint="eastAsia" w:ascii="仿宋" w:hAnsi="仿宋" w:eastAsia="仿宋" w:cs="仿宋"/>
          <w:sz w:val="24"/>
        </w:rPr>
        <w:t>合规经营承诺书：承诺系统及服务符合《网络安全法》《数据安全法》《个人信息保护法》等法律法规，无商业贿赂等不正当竞争行为。</w:t>
      </w:r>
    </w:p>
    <w:p w14:paraId="1FA7AFA3">
      <w:pPr>
        <w:widowControl/>
        <w:numPr>
          <w:ilvl w:val="0"/>
          <w:numId w:val="7"/>
        </w:numPr>
        <w:spacing w:line="360" w:lineRule="auto"/>
        <w:jc w:val="left"/>
        <w:rPr>
          <w:rFonts w:hint="eastAsia" w:ascii="仿宋" w:hAnsi="仿宋" w:eastAsia="仿宋" w:cs="仿宋"/>
          <w:sz w:val="24"/>
        </w:rPr>
      </w:pPr>
      <w:r>
        <w:rPr>
          <w:rFonts w:hint="eastAsia" w:ascii="仿宋" w:hAnsi="仿宋" w:eastAsia="仿宋" w:cs="仿宋"/>
          <w:sz w:val="24"/>
        </w:rPr>
        <w:t>乙方须保证所提供的系统拥有合法的软件著作权或完整授权，不存在知识产权侵权风险，若产生侵权纠纷，全部责任由乙方承担，赔偿甲方因此遭受的全部损失。</w:t>
      </w:r>
    </w:p>
    <w:p w14:paraId="3CB8B50B">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第二十二条 运维与责任划分</w:t>
      </w:r>
    </w:p>
    <w:p w14:paraId="53FCB4EF">
      <w:pPr>
        <w:widowControl/>
        <w:numPr>
          <w:ilvl w:val="0"/>
          <w:numId w:val="9"/>
        </w:numPr>
        <w:spacing w:line="360" w:lineRule="auto"/>
        <w:jc w:val="left"/>
        <w:rPr>
          <w:rFonts w:hint="eastAsia" w:ascii="仿宋" w:hAnsi="仿宋" w:eastAsia="仿宋" w:cs="仿宋"/>
          <w:sz w:val="24"/>
        </w:rPr>
      </w:pPr>
      <w:r>
        <w:rPr>
          <w:rFonts w:hint="eastAsia" w:ascii="仿宋" w:hAnsi="仿宋" w:eastAsia="仿宋" w:cs="仿宋"/>
          <w:sz w:val="24"/>
        </w:rPr>
        <w:t>合同期内，乙方须负责系统的日常运维、故障处理、版本升级，确保系统稳定运行；因系统故障导致的交易损失、结算差错，全部责任由乙方承担。</w:t>
      </w:r>
    </w:p>
    <w:p w14:paraId="047641E2">
      <w:pPr>
        <w:widowControl/>
        <w:numPr>
          <w:ilvl w:val="0"/>
          <w:numId w:val="9"/>
        </w:numPr>
        <w:spacing w:line="360" w:lineRule="auto"/>
        <w:jc w:val="left"/>
        <w:rPr>
          <w:rFonts w:hint="eastAsia" w:ascii="仿宋" w:hAnsi="仿宋" w:eastAsia="仿宋" w:cs="仿宋"/>
          <w:sz w:val="24"/>
        </w:rPr>
      </w:pPr>
      <w:r>
        <w:rPr>
          <w:rFonts w:hint="eastAsia" w:ascii="仿宋" w:hAnsi="仿宋" w:eastAsia="仿宋" w:cs="仿宋"/>
          <w:sz w:val="24"/>
        </w:rPr>
        <w:t>若发生数据泄露事件，乙方须立即启动应急预案，第一时间通知甲方；因乙方原因导致数据泄露的，乙方承担全部责任，</w:t>
      </w:r>
      <w:r>
        <w:rPr>
          <w:rFonts w:hint="eastAsia" w:ascii="仿宋" w:hAnsi="仿宋" w:eastAsia="仿宋" w:cs="仿宋"/>
          <w:b/>
          <w:bCs/>
          <w:sz w:val="24"/>
        </w:rPr>
        <w:t>单次须向甲方支付的违约金为75万元，</w:t>
      </w:r>
      <w:r>
        <w:rPr>
          <w:rFonts w:hint="eastAsia" w:ascii="仿宋" w:hAnsi="仿宋" w:eastAsia="仿宋" w:cs="仿宋"/>
          <w:sz w:val="24"/>
        </w:rPr>
        <w:t>违约金不足以弥补甲方损失的，乙方须补足差额；造成严重影响的，甲方有权单方终止合同。</w:t>
      </w:r>
    </w:p>
    <w:p w14:paraId="303E8E54">
      <w:pPr>
        <w:widowControl/>
        <w:numPr>
          <w:ilvl w:val="0"/>
          <w:numId w:val="9"/>
        </w:numPr>
        <w:spacing w:line="360" w:lineRule="auto"/>
        <w:jc w:val="left"/>
        <w:rPr>
          <w:rFonts w:hint="eastAsia" w:ascii="仿宋" w:hAnsi="仿宋" w:eastAsia="仿宋" w:cs="仿宋"/>
          <w:sz w:val="24"/>
        </w:rPr>
      </w:pPr>
      <w:r>
        <w:rPr>
          <w:rFonts w:hint="eastAsia" w:ascii="仿宋" w:hAnsi="仿宋" w:eastAsia="仿宋" w:cs="仿宋"/>
          <w:sz w:val="24"/>
        </w:rPr>
        <w:t>合同终止或解除时，乙方须在10个工作日内，将系统内全部用户数据、交易数据、财务数据完整、无损地移交甲方，不得泄露、篡改、删除任何数据；合同终止后，甲方拥有本项目部署的智慧餐饮系统的永久免费使用权，乙方须提供合同终止后不少于3个月的免费运维过渡期，过渡期内免费提供系统故障处理、基础运维服务；过渡期后系统升级、深度运维服务，由双方另行协商确定。</w:t>
      </w:r>
    </w:p>
    <w:p w14:paraId="5BC9938A">
      <w:pPr>
        <w:widowControl/>
        <w:numPr>
          <w:ilvl w:val="0"/>
          <w:numId w:val="9"/>
        </w:numPr>
        <w:spacing w:line="360" w:lineRule="auto"/>
        <w:jc w:val="left"/>
        <w:rPr>
          <w:rFonts w:hint="eastAsia" w:ascii="仿宋" w:hAnsi="仿宋" w:eastAsia="仿宋" w:cs="仿宋"/>
          <w:sz w:val="24"/>
        </w:rPr>
      </w:pPr>
      <w:r>
        <w:rPr>
          <w:rFonts w:hint="eastAsia" w:ascii="仿宋" w:hAnsi="仿宋" w:eastAsia="仿宋" w:cs="仿宋"/>
          <w:sz w:val="24"/>
          <w:lang w:val="en-US" w:eastAsia="zh-CN"/>
        </w:rPr>
        <w:t>院内及</w:t>
      </w:r>
      <w:r>
        <w:rPr>
          <w:rFonts w:hint="eastAsia" w:ascii="仿宋" w:hAnsi="仿宋" w:eastAsia="仿宋" w:cs="仿宋"/>
          <w:sz w:val="24"/>
        </w:rPr>
        <w:t>周边合作商户的准入、管理、结算、纠纷处理全部由乙方负责，乙方须严格审核商户的营业执照、食品经营许可证等法定资质，与商户签订合规经营协议，明确食品安全、消费者权益保护等核心责任；甲方不承担任何相关责任，因商户经营引发的全部损失，由乙方全额赔偿。</w:t>
      </w:r>
    </w:p>
    <w:p w14:paraId="4D0DD422">
      <w:pPr>
        <w:widowControl/>
        <w:spacing w:line="360" w:lineRule="auto"/>
        <w:jc w:val="center"/>
        <w:rPr>
          <w:rFonts w:hint="eastAsia" w:ascii="仿宋" w:hAnsi="仿宋" w:eastAsia="仿宋" w:cs="仿宋"/>
          <w:b/>
          <w:bCs/>
          <w:kern w:val="44"/>
          <w:sz w:val="24"/>
        </w:rPr>
      </w:pPr>
    </w:p>
    <w:p w14:paraId="30897B7F">
      <w:pPr>
        <w:widowControl/>
        <w:spacing w:line="360" w:lineRule="auto"/>
        <w:jc w:val="center"/>
        <w:outlineLvl w:val="0"/>
        <w:rPr>
          <w:rFonts w:hint="eastAsia" w:ascii="仿宋" w:hAnsi="仿宋" w:eastAsia="仿宋" w:cs="仿宋"/>
          <w:b/>
          <w:bCs/>
          <w:kern w:val="44"/>
          <w:sz w:val="24"/>
        </w:rPr>
      </w:pPr>
      <w:r>
        <w:rPr>
          <w:rFonts w:hint="eastAsia" w:ascii="仿宋" w:hAnsi="仿宋" w:eastAsia="仿宋" w:cs="仿宋"/>
          <w:b/>
          <w:bCs/>
          <w:kern w:val="44"/>
          <w:sz w:val="24"/>
        </w:rPr>
        <w:t>第八章 履约监管与服务质量考评</w:t>
      </w:r>
    </w:p>
    <w:p w14:paraId="11C0A2A6">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第二十三条 履约保证金管理</w:t>
      </w:r>
    </w:p>
    <w:p w14:paraId="0AFE6A8E">
      <w:pPr>
        <w:widowControl/>
        <w:numPr>
          <w:ilvl w:val="0"/>
          <w:numId w:val="1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乙方须在收到中标通知书后10个工作日内，向甲方提交履约保证金，履约保证金为三年最高采购预算金额4500万元的1%。</w:t>
      </w:r>
    </w:p>
    <w:p w14:paraId="0B7583D5">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（二）履约保证金可以担保机构出具的保函、支票、电汇等甲方认可的非现金形式提交，其中担保机构出具的保函有效期须完整覆盖36个月的合同总服务期及服务期满后90天的质保期。</w:t>
      </w:r>
    </w:p>
    <w:p w14:paraId="33CF0099">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（三）履约保证金保证范围：乙方履行本合同约定的全部义务，包括但不限于食堂</w:t>
      </w:r>
      <w:r>
        <w:rPr>
          <w:rFonts w:hint="eastAsia" w:ascii="仿宋" w:hAnsi="仿宋" w:eastAsia="仿宋" w:cs="仿宋"/>
          <w:sz w:val="24"/>
          <w:lang w:eastAsia="zh-CN" w:bidi="ar"/>
        </w:rPr>
        <w:t>优化</w:t>
      </w:r>
      <w:r>
        <w:rPr>
          <w:rFonts w:hint="eastAsia" w:ascii="仿宋" w:hAnsi="仿宋" w:eastAsia="仿宋" w:cs="仿宋"/>
          <w:sz w:val="24"/>
          <w:lang w:bidi="ar"/>
        </w:rPr>
        <w:t>投入达标、食品安全履约、服务质量达标、人员配置合规、设备管护、违约责任承担、损失赔偿等。</w:t>
      </w:r>
    </w:p>
    <w:p w14:paraId="71034906">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（四）履约保证金退还规则</w:t>
      </w:r>
    </w:p>
    <w:p w14:paraId="0776994A">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1.合同服务期满，乙方完成全部合同义务、无未结清违约扣罚、无未处理完毕的食品安全/用工/法律纠纷，且完成场地、设备、资料全部交接后，甲方在30个工作日内，将履约保证金全额无息退还；</w:t>
      </w:r>
    </w:p>
    <w:p w14:paraId="1C342245">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2.合同履行期间，因乙方违约产生的扣罚、赔偿款，甲方有权直接从履约保证金中扣除，扣除后履约保证金不足采购预算金额4500万元的1% 的，乙方须在7个工作日内补足，否则甲方有权暂停支付结算款项。</w:t>
      </w:r>
    </w:p>
    <w:p w14:paraId="0F2B8933">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第二十四条 月度服务质量综合考评</w:t>
      </w:r>
    </w:p>
    <w:p w14:paraId="0FF8AA29">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（一）考评频次：每月开展1次，由甲方组织，乙方参与，按照本合同附件1《</w:t>
      </w:r>
      <w:r>
        <w:rPr>
          <w:rFonts w:hint="eastAsia" w:ascii="仿宋" w:hAnsi="仿宋" w:eastAsia="仿宋" w:cs="仿宋"/>
          <w:sz w:val="24"/>
        </w:rPr>
        <w:t>广州医科大学附属中医医院食堂餐饮服务月度质量综合考评表</w:t>
      </w:r>
      <w:r>
        <w:rPr>
          <w:rFonts w:hint="eastAsia" w:ascii="仿宋" w:hAnsi="仿宋" w:eastAsia="仿宋" w:cs="仿宋"/>
          <w:sz w:val="24"/>
          <w:lang w:bidi="ar"/>
        </w:rPr>
        <w:t>》执行。</w:t>
      </w:r>
    </w:p>
    <w:p w14:paraId="33AEC08B">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（二）考评内容：安全管理（25分）、质量管理（25分）、日常运营评价（20分）、膳食服务评价（30分），总分100分。</w:t>
      </w:r>
    </w:p>
    <w:p w14:paraId="6D81BA18">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（三）考评结果与扣罚规则：</w:t>
      </w:r>
    </w:p>
    <w:p w14:paraId="2EB5EB2C">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1．85分及以上（N≥85）：不扣费，全额返还当月考核保证金；</w:t>
      </w:r>
    </w:p>
    <w:p w14:paraId="2EB36AE9">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2．80-85分（80≤N＜85）：（85-考评分值N）×1000元/分，从当月考核保证金中扣除；</w:t>
      </w:r>
    </w:p>
    <w:p w14:paraId="64F71992">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3．70-80分（70≤N＜80）：（85-考评分值N）×2000元/分，从当月考核保证金中扣除；</w:t>
      </w:r>
    </w:p>
    <w:p w14:paraId="0E48DD75">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4．70分及以下（N＜70）；（85-考评分值N）×3000元/分，从当月考核保证金中扣除；</w:t>
      </w:r>
    </w:p>
    <w:p w14:paraId="7EF58FD3">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5．合同期内（12个月）累计三次及以上考评分数低于70分，甲方有权单方终止合同；</w:t>
      </w:r>
    </w:p>
    <w:p w14:paraId="7E913D0A">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6．当月考核保证金不足以缴纳当月扣罚金额的，先从履约保证金中扣除相应差额，同时乙方应于7个工作日内将履约保证金补足至采购预算金额4500万元的1%。</w:t>
      </w:r>
    </w:p>
    <w:p w14:paraId="76E1967D">
      <w:pPr>
        <w:widowControl/>
        <w:numPr>
          <w:ilvl w:val="255"/>
          <w:numId w:val="0"/>
        </w:numPr>
        <w:spacing w:line="360" w:lineRule="auto"/>
        <w:ind w:firstLine="240" w:firstLineChars="100"/>
        <w:jc w:val="left"/>
        <w:rPr>
          <w:rFonts w:hint="eastAsia" w:ascii="仿宋" w:hAnsi="仿宋" w:eastAsia="仿宋" w:cs="仿宋"/>
          <w:sz w:val="24"/>
          <w:lang w:bidi="ar"/>
        </w:rPr>
      </w:pPr>
      <w:r>
        <w:rPr>
          <w:rFonts w:hint="eastAsia" w:ascii="仿宋" w:hAnsi="仿宋" w:eastAsia="仿宋" w:cs="仿宋"/>
          <w:sz w:val="24"/>
          <w:lang w:bidi="ar"/>
        </w:rPr>
        <w:t>（四）异议处理：乙方对考评结果有异议的，可在收到考评报告3个工作日内提交书面申诉及佐证材料，甲方须在5个工作日内复核并出具最终复核结果；复核期间，不影响甲方按原考评结果执行扣罚，复核后调整的，多扣部分于次月结算时无息返还。</w:t>
      </w:r>
    </w:p>
    <w:p w14:paraId="15DB0AA7">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第二十五条 季度膳食服务考评</w:t>
      </w:r>
    </w:p>
    <w:p w14:paraId="632B96E5">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（一）考评频次：每季度开展</w:t>
      </w:r>
    </w:p>
    <w:p w14:paraId="1009A90F">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（二）考评内容：由甲方启用季度标准化问卷。</w:t>
      </w:r>
    </w:p>
    <w:p w14:paraId="6C854727">
      <w:pPr>
        <w:widowControl/>
        <w:numPr>
          <w:ilvl w:val="255"/>
          <w:numId w:val="0"/>
        </w:numPr>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（三）考评结果与扣罚规则：</w:t>
      </w:r>
    </w:p>
    <w:p w14:paraId="1E1FC202">
      <w:pPr>
        <w:widowControl/>
        <w:numPr>
          <w:ilvl w:val="255"/>
          <w:numId w:val="0"/>
        </w:numPr>
        <w:spacing w:line="360" w:lineRule="auto"/>
        <w:ind w:firstLine="480" w:firstLineChars="200"/>
        <w:jc w:val="both"/>
        <w:rPr>
          <w:rFonts w:hint="eastAsia" w:ascii="仿宋" w:hAnsi="仿宋" w:eastAsia="仿宋" w:cs="仿宋"/>
          <w:sz w:val="24"/>
          <w:lang w:bidi="ar"/>
        </w:rPr>
      </w:pPr>
      <w:r>
        <w:rPr>
          <w:rFonts w:hint="eastAsia" w:ascii="仿宋" w:hAnsi="仿宋" w:eastAsia="仿宋" w:cs="仿宋"/>
          <w:sz w:val="24"/>
          <w:lang w:bidi="ar"/>
        </w:rPr>
        <w:t>医院每季度组织专项膳食服务考评，乙方须达到平均标准值（85分及以上）：</w:t>
      </w:r>
    </w:p>
    <w:p w14:paraId="4EDFEF64">
      <w:pPr>
        <w:widowControl/>
        <w:numPr>
          <w:ilvl w:val="255"/>
          <w:numId w:val="0"/>
        </w:numPr>
        <w:spacing w:line="360" w:lineRule="auto"/>
        <w:ind w:firstLine="480" w:firstLineChars="200"/>
        <w:jc w:val="both"/>
        <w:rPr>
          <w:rFonts w:hint="eastAsia" w:ascii="仿宋" w:hAnsi="仿宋" w:eastAsia="仿宋" w:cs="仿宋"/>
          <w:sz w:val="24"/>
          <w:lang w:bidi="ar"/>
        </w:rPr>
      </w:pPr>
      <w:r>
        <w:rPr>
          <w:rFonts w:hint="eastAsia" w:ascii="仿宋" w:hAnsi="仿宋" w:eastAsia="仿宋" w:cs="仿宋"/>
          <w:sz w:val="24"/>
          <w:lang w:bidi="ar"/>
        </w:rPr>
        <w:t>①80-85分（80≤N＜85），出具整改方案提交甲方审核后实施，并落实整改，合同期（12个月）内累计达到3次及以上，自第3次起每次缴纳金额为（85-考评分值N）×1000元/分。</w:t>
      </w:r>
    </w:p>
    <w:p w14:paraId="25DA653E">
      <w:pPr>
        <w:widowControl/>
        <w:numPr>
          <w:ilvl w:val="255"/>
          <w:numId w:val="0"/>
        </w:numPr>
        <w:spacing w:line="360" w:lineRule="auto"/>
        <w:ind w:firstLine="480" w:firstLineChars="200"/>
        <w:jc w:val="both"/>
        <w:rPr>
          <w:rFonts w:hint="eastAsia" w:ascii="仿宋" w:hAnsi="仿宋" w:eastAsia="仿宋" w:cs="仿宋"/>
          <w:sz w:val="24"/>
          <w:lang w:bidi="ar"/>
        </w:rPr>
      </w:pPr>
      <w:r>
        <w:rPr>
          <w:rFonts w:hint="eastAsia" w:ascii="仿宋" w:hAnsi="仿宋" w:eastAsia="仿宋" w:cs="仿宋"/>
          <w:sz w:val="24"/>
          <w:lang w:bidi="ar"/>
        </w:rPr>
        <w:t>②70-80分（70≤N＜80），缴纳金额为（85-考评分值N）×1000元/分；</w:t>
      </w:r>
    </w:p>
    <w:p w14:paraId="2647FF94">
      <w:pPr>
        <w:widowControl/>
        <w:numPr>
          <w:ilvl w:val="255"/>
          <w:numId w:val="0"/>
        </w:numPr>
        <w:spacing w:line="360" w:lineRule="auto"/>
        <w:ind w:firstLine="480" w:firstLineChars="200"/>
        <w:jc w:val="both"/>
        <w:rPr>
          <w:rFonts w:hint="eastAsia" w:ascii="仿宋" w:hAnsi="仿宋" w:eastAsia="仿宋" w:cs="仿宋"/>
          <w:sz w:val="24"/>
          <w:lang w:bidi="ar"/>
        </w:rPr>
      </w:pPr>
      <w:r>
        <w:rPr>
          <w:rFonts w:hint="eastAsia" w:ascii="仿宋" w:hAnsi="仿宋" w:eastAsia="仿宋" w:cs="仿宋"/>
          <w:sz w:val="24"/>
          <w:lang w:bidi="ar"/>
        </w:rPr>
        <w:t>③70分以下（N＜70），缴纳金额为（85-考评分值N）×2000元/分元；合同期（12个月）内累计3次及以上考评分数低于70分，甲方有权单方终止合同。</w:t>
      </w:r>
    </w:p>
    <w:p w14:paraId="115D06A4">
      <w:pPr>
        <w:widowControl/>
        <w:numPr>
          <w:ilvl w:val="255"/>
          <w:numId w:val="0"/>
        </w:numPr>
        <w:spacing w:line="360" w:lineRule="auto"/>
        <w:ind w:firstLine="482" w:firstLineChars="200"/>
        <w:jc w:val="left"/>
        <w:rPr>
          <w:rFonts w:hint="eastAsia" w:ascii="仿宋" w:hAnsi="仿宋" w:eastAsia="仿宋" w:cs="仿宋"/>
          <w:sz w:val="24"/>
          <w:lang w:bidi="ar"/>
        </w:rPr>
      </w:pPr>
      <w:r>
        <w:rPr>
          <w:rFonts w:hint="eastAsia" w:ascii="仿宋" w:hAnsi="仿宋" w:eastAsia="仿宋" w:cs="仿宋"/>
          <w:b/>
          <w:bCs/>
          <w:sz w:val="24"/>
        </w:rPr>
        <w:t>第二十六条</w:t>
      </w:r>
      <w:r>
        <w:rPr>
          <w:rFonts w:hint="eastAsia" w:ascii="仿宋" w:hAnsi="仿宋" w:eastAsia="仿宋" w:cs="仿宋"/>
          <w:b/>
          <w:bCs/>
          <w:sz w:val="24"/>
          <w:lang w:val="en-US" w:eastAsia="zh-CN"/>
        </w:rPr>
        <w:t xml:space="preserve">  </w:t>
      </w:r>
      <w:r>
        <w:rPr>
          <w:rFonts w:hint="eastAsia" w:ascii="仿宋" w:hAnsi="仿宋" w:eastAsia="仿宋" w:cs="仿宋"/>
          <w:sz w:val="24"/>
          <w:lang w:bidi="ar"/>
        </w:rPr>
        <w:t>餐饮服务实行月度服务质量综合考评、季度膳食服务考评双重考核扣分罚则，两类考评扣罚措施同步并行、一并执行。</w:t>
      </w:r>
    </w:p>
    <w:p w14:paraId="7C80B977">
      <w:pPr>
        <w:widowControl/>
        <w:numPr>
          <w:ilvl w:val="255"/>
          <w:numId w:val="0"/>
        </w:numPr>
        <w:spacing w:line="360" w:lineRule="auto"/>
        <w:ind w:left="420"/>
        <w:jc w:val="left"/>
        <w:rPr>
          <w:rFonts w:hint="eastAsia" w:ascii="仿宋" w:hAnsi="仿宋" w:eastAsia="仿宋" w:cs="仿宋"/>
          <w:sz w:val="24"/>
        </w:rPr>
      </w:pPr>
    </w:p>
    <w:p w14:paraId="65BBAECA">
      <w:pPr>
        <w:widowControl/>
        <w:spacing w:line="360" w:lineRule="auto"/>
        <w:jc w:val="center"/>
        <w:outlineLvl w:val="0"/>
        <w:rPr>
          <w:rFonts w:hint="eastAsia" w:ascii="仿宋" w:hAnsi="仿宋" w:eastAsia="仿宋" w:cs="仿宋"/>
          <w:b/>
          <w:bCs/>
          <w:kern w:val="44"/>
          <w:sz w:val="24"/>
        </w:rPr>
      </w:pPr>
      <w:r>
        <w:rPr>
          <w:rFonts w:hint="eastAsia" w:ascii="仿宋" w:hAnsi="仿宋" w:eastAsia="仿宋" w:cs="仿宋"/>
          <w:b/>
          <w:bCs/>
          <w:kern w:val="44"/>
          <w:sz w:val="24"/>
        </w:rPr>
        <w:t>第九章 结算方式与支付规则</w:t>
      </w:r>
    </w:p>
    <w:p w14:paraId="614BC6BA">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w:t>
      </w:r>
      <w:r>
        <w:rPr>
          <w:rFonts w:hint="eastAsia" w:ascii="仿宋" w:hAnsi="仿宋" w:eastAsia="仿宋" w:cs="仿宋"/>
          <w:b/>
          <w:bCs/>
          <w:sz w:val="24"/>
          <w:lang w:val="en-US" w:eastAsia="zh-CN"/>
        </w:rPr>
        <w:t>七</w:t>
      </w:r>
      <w:r>
        <w:rPr>
          <w:rFonts w:hint="eastAsia" w:ascii="仿宋" w:hAnsi="仿宋" w:eastAsia="仿宋" w:cs="仿宋"/>
          <w:b/>
          <w:bCs/>
          <w:sz w:val="24"/>
        </w:rPr>
        <w:t>条 结算核心公式</w:t>
      </w:r>
    </w:p>
    <w:p w14:paraId="48868EC4">
      <w:pPr>
        <w:widowControl/>
        <w:spacing w:line="440" w:lineRule="exact"/>
        <w:ind w:firstLine="480" w:firstLineChars="200"/>
        <w:jc w:val="left"/>
        <w:rPr>
          <w:rFonts w:hint="eastAsia" w:ascii="仿宋" w:hAnsi="仿宋" w:eastAsia="仿宋" w:cs="仿宋"/>
          <w:kern w:val="0"/>
          <w:sz w:val="24"/>
          <w:lang w:bidi="ar"/>
        </w:rPr>
      </w:pPr>
      <w:r>
        <w:rPr>
          <w:rFonts w:hint="eastAsia" w:ascii="仿宋" w:hAnsi="仿宋" w:eastAsia="仿宋" w:cs="仿宋"/>
          <w:kern w:val="0"/>
          <w:sz w:val="24"/>
          <w:lang w:bidi="ar"/>
        </w:rPr>
        <w:t>本项目所有年度合同均不约定固定结算总价，结算金额仅与实际供应的餐品数量、中标折扣率及双方确认的基准价挂钩。甲方不承担任何保底消费义务，亦不承诺最低结算金额。</w:t>
      </w:r>
    </w:p>
    <w:p w14:paraId="21EDCCE2">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kern w:val="0"/>
          <w:sz w:val="24"/>
          <w:lang w:bidi="ar"/>
        </w:rPr>
        <w:t>本项目无任何餐费补贴，所有结算严格按以下公式执行：</w:t>
      </w:r>
    </w:p>
    <w:p w14:paraId="7D2701AB">
      <w:pPr>
        <w:widowControl/>
        <w:numPr>
          <w:ilvl w:val="0"/>
          <w:numId w:val="11"/>
        </w:numPr>
        <w:spacing w:line="440" w:lineRule="exact"/>
        <w:jc w:val="left"/>
        <w:rPr>
          <w:rFonts w:hint="eastAsia" w:ascii="仿宋" w:hAnsi="仿宋" w:eastAsia="仿宋" w:cs="仿宋"/>
          <w:sz w:val="24"/>
        </w:rPr>
      </w:pPr>
      <w:r>
        <w:rPr>
          <w:rFonts w:hint="eastAsia" w:ascii="仿宋" w:hAnsi="仿宋" w:eastAsia="仿宋" w:cs="仿宋"/>
          <w:sz w:val="24"/>
        </w:rPr>
        <w:t>甲方承担费用：学术活动餐、体检餐、会议培训餐等，按双方确认的基准价×中标折扣率×实际供应数量结算；</w:t>
      </w:r>
    </w:p>
    <w:p w14:paraId="080FE88E">
      <w:pPr>
        <w:widowControl/>
        <w:numPr>
          <w:ilvl w:val="0"/>
          <w:numId w:val="11"/>
        </w:numPr>
        <w:spacing w:line="440" w:lineRule="exact"/>
        <w:jc w:val="left"/>
        <w:rPr>
          <w:rFonts w:hint="eastAsia" w:ascii="仿宋" w:hAnsi="仿宋" w:eastAsia="仿宋" w:cs="仿宋"/>
          <w:sz w:val="24"/>
        </w:rPr>
      </w:pPr>
      <w:r>
        <w:rPr>
          <w:rFonts w:hint="eastAsia" w:ascii="仿宋" w:hAnsi="仿宋" w:eastAsia="仿宋" w:cs="仿宋"/>
          <w:sz w:val="24"/>
        </w:rPr>
        <w:t>甲方职工用餐：病人餐基准价×中标折扣率-职工自付部分；本条款所称职工用餐结算，仅指甲方代职工从其个人餐卡核定额度内，与乙方据实结算，甲方不承担任何餐费补贴、差额补足义务，超出额度部分由职工个人全额自行支付。</w:t>
      </w:r>
    </w:p>
    <w:p w14:paraId="2B11716A">
      <w:pPr>
        <w:widowControl/>
        <w:numPr>
          <w:ilvl w:val="0"/>
          <w:numId w:val="11"/>
        </w:numPr>
        <w:spacing w:line="440" w:lineRule="exact"/>
        <w:jc w:val="left"/>
        <w:rPr>
          <w:rFonts w:hint="eastAsia" w:ascii="仿宋" w:hAnsi="仿宋" w:eastAsia="仿宋" w:cs="仿宋"/>
          <w:b/>
          <w:bCs/>
          <w:sz w:val="24"/>
        </w:rPr>
      </w:pPr>
      <w:r>
        <w:rPr>
          <w:rFonts w:hint="eastAsia" w:ascii="仿宋" w:hAnsi="仿宋" w:eastAsia="仿宋" w:cs="仿宋"/>
          <w:sz w:val="24"/>
        </w:rPr>
        <w:t>病人及陪护家属用餐</w:t>
      </w:r>
      <w:r>
        <w:rPr>
          <w:rFonts w:hint="eastAsia" w:ascii="仿宋" w:hAnsi="仿宋" w:eastAsia="仿宋" w:cs="仿宋"/>
          <w:b/>
          <w:bCs/>
          <w:sz w:val="24"/>
        </w:rPr>
        <w:t>：</w:t>
      </w:r>
      <w:r>
        <w:rPr>
          <w:rFonts w:hint="eastAsia" w:ascii="仿宋" w:hAnsi="仿宋" w:eastAsia="仿宋" w:cs="仿宋"/>
          <w:sz w:val="24"/>
        </w:rPr>
        <w:t>乙方直接向用餐人员收取餐费，不与甲方结算。</w:t>
      </w:r>
    </w:p>
    <w:p w14:paraId="76130265">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w:t>
      </w:r>
      <w:r>
        <w:rPr>
          <w:rFonts w:hint="eastAsia" w:ascii="仿宋" w:hAnsi="仿宋" w:eastAsia="仿宋" w:cs="仿宋"/>
          <w:b/>
          <w:bCs/>
          <w:sz w:val="24"/>
          <w:lang w:val="en-US" w:eastAsia="zh-CN"/>
        </w:rPr>
        <w:t>八</w:t>
      </w:r>
      <w:r>
        <w:rPr>
          <w:rFonts w:hint="eastAsia" w:ascii="仿宋" w:hAnsi="仿宋" w:eastAsia="仿宋" w:cs="仿宋"/>
          <w:b/>
          <w:bCs/>
          <w:sz w:val="24"/>
        </w:rPr>
        <w:t>条 对账与支付流程</w:t>
      </w:r>
    </w:p>
    <w:p w14:paraId="76018B9E">
      <w:pPr>
        <w:widowControl/>
        <w:numPr>
          <w:ilvl w:val="0"/>
          <w:numId w:val="12"/>
        </w:numPr>
        <w:spacing w:line="440" w:lineRule="exact"/>
        <w:jc w:val="left"/>
        <w:rPr>
          <w:rFonts w:hint="eastAsia" w:ascii="仿宋" w:hAnsi="仿宋" w:eastAsia="仿宋" w:cs="仿宋"/>
          <w:sz w:val="24"/>
        </w:rPr>
      </w:pPr>
      <w:r>
        <w:rPr>
          <w:rFonts w:hint="eastAsia" w:ascii="仿宋" w:hAnsi="仿宋" w:eastAsia="仿宋" w:cs="仿宋"/>
          <w:sz w:val="24"/>
        </w:rPr>
        <w:t>每月乙方向甲方提交上月完整结算资料，包括结算明细、验收单、送货单、培训签到表、合法合规的增值税发票等；</w:t>
      </w:r>
    </w:p>
    <w:p w14:paraId="67198A41">
      <w:pPr>
        <w:widowControl/>
        <w:numPr>
          <w:ilvl w:val="0"/>
          <w:numId w:val="12"/>
        </w:numPr>
        <w:spacing w:line="440" w:lineRule="exact"/>
        <w:jc w:val="left"/>
        <w:rPr>
          <w:rFonts w:hint="eastAsia" w:ascii="仿宋" w:hAnsi="仿宋" w:eastAsia="仿宋" w:cs="仿宋"/>
          <w:b/>
          <w:bCs/>
          <w:sz w:val="24"/>
        </w:rPr>
      </w:pPr>
      <w:r>
        <w:rPr>
          <w:rFonts w:hint="eastAsia" w:ascii="仿宋" w:hAnsi="仿宋" w:eastAsia="仿宋" w:cs="仿宋"/>
          <w:sz w:val="24"/>
        </w:rPr>
        <w:t>甲方在收到结算资料后10个工作日内完成审核，审核无误的，先行支付上月结算金额的95%，暂扣上月结算金额的5%作为服务质量考核保证金；</w:t>
      </w:r>
    </w:p>
    <w:p w14:paraId="6029EA0F">
      <w:pPr>
        <w:widowControl/>
        <w:numPr>
          <w:ilvl w:val="0"/>
          <w:numId w:val="12"/>
        </w:numPr>
        <w:spacing w:line="440" w:lineRule="exact"/>
        <w:jc w:val="left"/>
        <w:rPr>
          <w:rFonts w:hint="eastAsia" w:ascii="仿宋" w:hAnsi="仿宋" w:eastAsia="仿宋" w:cs="仿宋"/>
          <w:sz w:val="24"/>
        </w:rPr>
      </w:pPr>
      <w:r>
        <w:rPr>
          <w:rFonts w:hint="eastAsia" w:ascii="仿宋" w:hAnsi="仿宋" w:eastAsia="仿宋" w:cs="仿宋"/>
          <w:sz w:val="24"/>
        </w:rPr>
        <w:t>暂扣的服务质量考核保证金，完成</w:t>
      </w:r>
      <w:r>
        <w:rPr>
          <w:rFonts w:ascii="仿宋" w:hAnsi="仿宋" w:eastAsia="仿宋" w:cs="仿宋"/>
          <w:sz w:val="24"/>
        </w:rPr>
        <w:t>《食堂餐饮服务月度质量综合考评表》</w:t>
      </w:r>
      <w:r>
        <w:rPr>
          <w:rFonts w:hint="eastAsia" w:ascii="仿宋" w:hAnsi="仿宋" w:eastAsia="仿宋" w:cs="仿宋"/>
          <w:sz w:val="24"/>
        </w:rPr>
        <w:t>和</w:t>
      </w:r>
      <w:r>
        <w:rPr>
          <w:rFonts w:ascii="仿宋" w:hAnsi="仿宋" w:eastAsia="仿宋" w:cs="仿宋"/>
          <w:sz w:val="24"/>
        </w:rPr>
        <w:t>《食堂餐饮服务月度综合满意度考评》</w:t>
      </w:r>
      <w:r>
        <w:rPr>
          <w:rFonts w:hint="eastAsia" w:ascii="仿宋" w:hAnsi="仿宋" w:eastAsia="仿宋" w:cs="仿宋"/>
          <w:sz w:val="24"/>
        </w:rPr>
        <w:t>后，根据考核结果及扣罚约定，于次月结算时将剩余金额无息返还；</w:t>
      </w:r>
    </w:p>
    <w:p w14:paraId="15C0F094">
      <w:pPr>
        <w:widowControl/>
        <w:numPr>
          <w:ilvl w:val="0"/>
          <w:numId w:val="12"/>
        </w:numPr>
        <w:spacing w:line="440" w:lineRule="exact"/>
        <w:jc w:val="left"/>
        <w:rPr>
          <w:rFonts w:hint="eastAsia" w:ascii="仿宋" w:hAnsi="仿宋" w:eastAsia="仿宋" w:cs="仿宋"/>
          <w:sz w:val="24"/>
        </w:rPr>
      </w:pPr>
      <w:r>
        <w:rPr>
          <w:rFonts w:hint="eastAsia" w:ascii="仿宋" w:hAnsi="仿宋" w:eastAsia="仿宋" w:cs="仿宋"/>
          <w:sz w:val="24"/>
        </w:rPr>
        <w:t>所有款项支付前，乙方须开具合法合规的发票，否则甲方有权顺延支付，不承担任何违约责任。</w:t>
      </w:r>
    </w:p>
    <w:p w14:paraId="05AD7C89">
      <w:pPr>
        <w:widowControl/>
        <w:numPr>
          <w:ilvl w:val="255"/>
          <w:numId w:val="0"/>
        </w:numPr>
        <w:spacing w:line="360" w:lineRule="auto"/>
        <w:ind w:firstLine="480" w:firstLineChars="200"/>
        <w:jc w:val="left"/>
        <w:rPr>
          <w:rFonts w:hint="eastAsia" w:ascii="仿宋" w:hAnsi="仿宋" w:eastAsia="仿宋" w:cs="仿宋"/>
          <w:sz w:val="24"/>
        </w:rPr>
      </w:pPr>
    </w:p>
    <w:p w14:paraId="7FD563CA">
      <w:pPr>
        <w:widowControl/>
        <w:spacing w:line="360" w:lineRule="auto"/>
        <w:jc w:val="center"/>
        <w:outlineLvl w:val="0"/>
        <w:rPr>
          <w:rFonts w:hint="eastAsia" w:ascii="仿宋" w:hAnsi="仿宋" w:eastAsia="仿宋" w:cs="仿宋"/>
          <w:b/>
          <w:bCs/>
          <w:kern w:val="44"/>
          <w:sz w:val="24"/>
        </w:rPr>
      </w:pPr>
      <w:r>
        <w:rPr>
          <w:rFonts w:hint="eastAsia" w:ascii="仿宋" w:hAnsi="仿宋" w:eastAsia="仿宋" w:cs="仿宋"/>
          <w:b/>
          <w:bCs/>
          <w:kern w:val="44"/>
          <w:sz w:val="24"/>
        </w:rPr>
        <w:t>第十章  双方权利和义务</w:t>
      </w:r>
    </w:p>
    <w:p w14:paraId="4A5D237E">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第二十</w:t>
      </w:r>
      <w:r>
        <w:rPr>
          <w:rFonts w:hint="eastAsia" w:ascii="仿宋" w:hAnsi="仿宋" w:eastAsia="仿宋" w:cs="仿宋"/>
          <w:b/>
          <w:bCs/>
          <w:sz w:val="24"/>
          <w:lang w:val="en-US" w:eastAsia="zh-CN"/>
        </w:rPr>
        <w:t>九</w:t>
      </w:r>
      <w:r>
        <w:rPr>
          <w:rFonts w:hint="eastAsia" w:ascii="仿宋" w:hAnsi="仿宋" w:eastAsia="仿宋" w:cs="仿宋"/>
          <w:b/>
          <w:bCs/>
          <w:sz w:val="24"/>
        </w:rPr>
        <w:t>条  甲方权责</w:t>
      </w:r>
    </w:p>
    <w:p w14:paraId="5CB2C404">
      <w:pPr>
        <w:widowControl/>
        <w:spacing w:line="360" w:lineRule="auto"/>
        <w:ind w:firstLine="480" w:firstLineChars="200"/>
        <w:rPr>
          <w:rFonts w:hint="eastAsia" w:ascii="仿宋" w:hAnsi="仿宋" w:eastAsia="仿宋" w:cs="仿宋"/>
          <w:sz w:val="24"/>
        </w:rPr>
      </w:pPr>
      <w:r>
        <w:rPr>
          <w:rFonts w:ascii="仿宋" w:hAnsi="仿宋" w:eastAsia="仿宋" w:cs="仿宋"/>
          <w:sz w:val="24"/>
        </w:rPr>
        <w:t>（一）</w:t>
      </w:r>
      <w:r>
        <w:rPr>
          <w:rFonts w:hint="eastAsia" w:ascii="仿宋" w:hAnsi="仿宋" w:eastAsia="仿宋" w:cs="仿宋"/>
          <w:sz w:val="24"/>
        </w:rPr>
        <w:t>甲方</w:t>
      </w:r>
      <w:r>
        <w:rPr>
          <w:rFonts w:ascii="仿宋" w:hAnsi="仿宋" w:eastAsia="仿宋" w:cs="仿宋"/>
          <w:sz w:val="24"/>
        </w:rPr>
        <w:t>仅提供现有食堂经营场地及存量可正常使用的设备设施，不承担任何运营成本垫付、费用分摊、餐费补贴义务，本项目费用结算按采购文件的结算公式处理。</w:t>
      </w:r>
    </w:p>
    <w:p w14:paraId="3FDB4F66">
      <w:pPr>
        <w:widowControl/>
        <w:spacing w:line="360" w:lineRule="auto"/>
        <w:ind w:firstLine="480" w:firstLineChars="200"/>
        <w:rPr>
          <w:rFonts w:hint="eastAsia" w:ascii="仿宋" w:hAnsi="仿宋" w:eastAsia="仿宋" w:cs="仿宋"/>
          <w:sz w:val="24"/>
        </w:rPr>
      </w:pPr>
      <w:r>
        <w:rPr>
          <w:rFonts w:ascii="仿宋" w:hAnsi="仿宋" w:eastAsia="仿宋" w:cs="仿宋"/>
          <w:sz w:val="24"/>
        </w:rPr>
        <w:t>（二）</w:t>
      </w:r>
      <w:r>
        <w:rPr>
          <w:rFonts w:hint="eastAsia" w:ascii="仿宋" w:hAnsi="仿宋" w:eastAsia="仿宋" w:cs="仿宋"/>
          <w:sz w:val="24"/>
        </w:rPr>
        <w:t>甲方</w:t>
      </w:r>
      <w:r>
        <w:rPr>
          <w:rFonts w:ascii="仿宋" w:hAnsi="仿宋" w:eastAsia="仿宋" w:cs="仿宋"/>
          <w:sz w:val="24"/>
        </w:rPr>
        <w:t>有权对</w:t>
      </w:r>
      <w:r>
        <w:rPr>
          <w:rFonts w:hint="eastAsia" w:ascii="仿宋" w:hAnsi="仿宋" w:eastAsia="仿宋" w:cs="仿宋"/>
          <w:sz w:val="24"/>
        </w:rPr>
        <w:t>乙方</w:t>
      </w:r>
      <w:r>
        <w:rPr>
          <w:rFonts w:ascii="仿宋" w:hAnsi="仿宋" w:eastAsia="仿宋" w:cs="仿宋"/>
          <w:sz w:val="24"/>
        </w:rPr>
        <w:t>的服务质量、食品安全、运营管理、人员履职等进行监督、检查、考核，有权要求</w:t>
      </w:r>
      <w:r>
        <w:rPr>
          <w:rFonts w:hint="eastAsia" w:ascii="仿宋" w:hAnsi="仿宋" w:eastAsia="仿宋" w:cs="仿宋"/>
          <w:sz w:val="24"/>
        </w:rPr>
        <w:t>乙方</w:t>
      </w:r>
      <w:r>
        <w:rPr>
          <w:rFonts w:ascii="仿宋" w:hAnsi="仿宋" w:eastAsia="仿宋" w:cs="仿宋"/>
          <w:sz w:val="24"/>
        </w:rPr>
        <w:t>对不符合要求的事项限期整改。</w:t>
      </w:r>
    </w:p>
    <w:p w14:paraId="6723194A">
      <w:pPr>
        <w:widowControl/>
        <w:spacing w:line="360" w:lineRule="auto"/>
        <w:ind w:firstLine="480" w:firstLineChars="200"/>
        <w:rPr>
          <w:rFonts w:hint="eastAsia" w:ascii="仿宋" w:hAnsi="仿宋" w:eastAsia="仿宋" w:cs="仿宋"/>
          <w:sz w:val="24"/>
        </w:rPr>
      </w:pPr>
      <w:r>
        <w:rPr>
          <w:rFonts w:ascii="仿宋" w:hAnsi="仿宋" w:eastAsia="仿宋" w:cs="仿宋"/>
          <w:sz w:val="24"/>
        </w:rPr>
        <w:t>（三）</w:t>
      </w:r>
      <w:r>
        <w:rPr>
          <w:rFonts w:hint="eastAsia" w:ascii="仿宋" w:hAnsi="仿宋" w:eastAsia="仿宋" w:cs="仿宋"/>
          <w:sz w:val="24"/>
        </w:rPr>
        <w:t>甲方</w:t>
      </w:r>
      <w:r>
        <w:rPr>
          <w:rFonts w:ascii="仿宋" w:hAnsi="仿宋" w:eastAsia="仿宋" w:cs="仿宋"/>
          <w:sz w:val="24"/>
        </w:rPr>
        <w:t>有权按本项目采购文件要求，对</w:t>
      </w:r>
      <w:r>
        <w:rPr>
          <w:rFonts w:hint="eastAsia" w:ascii="仿宋" w:hAnsi="仿宋" w:eastAsia="仿宋" w:cs="仿宋"/>
          <w:sz w:val="24"/>
        </w:rPr>
        <w:t>乙方</w:t>
      </w:r>
      <w:r>
        <w:rPr>
          <w:rFonts w:ascii="仿宋" w:hAnsi="仿宋" w:eastAsia="仿宋" w:cs="仿宋"/>
          <w:sz w:val="24"/>
        </w:rPr>
        <w:t>的违约行为进行扣罚、追究违约责任，直至单方终止合同。</w:t>
      </w:r>
    </w:p>
    <w:p w14:paraId="2B9E89E1">
      <w:pPr>
        <w:widowControl/>
        <w:spacing w:line="360" w:lineRule="auto"/>
        <w:ind w:firstLine="480" w:firstLineChars="200"/>
        <w:rPr>
          <w:rFonts w:hint="eastAsia" w:ascii="仿宋" w:hAnsi="仿宋" w:eastAsia="仿宋" w:cs="仿宋"/>
          <w:sz w:val="24"/>
        </w:rPr>
      </w:pPr>
      <w:r>
        <w:rPr>
          <w:rFonts w:ascii="仿宋" w:hAnsi="仿宋" w:eastAsia="仿宋" w:cs="仿宋"/>
          <w:sz w:val="24"/>
        </w:rPr>
        <w:t>（四）</w:t>
      </w:r>
      <w:r>
        <w:rPr>
          <w:rFonts w:hint="eastAsia" w:ascii="仿宋" w:hAnsi="仿宋" w:eastAsia="仿宋" w:cs="仿宋"/>
          <w:sz w:val="24"/>
        </w:rPr>
        <w:t>甲方</w:t>
      </w:r>
      <w:r>
        <w:rPr>
          <w:rFonts w:ascii="仿宋" w:hAnsi="仿宋" w:eastAsia="仿宋" w:cs="仿宋"/>
          <w:sz w:val="24"/>
        </w:rPr>
        <w:t>应按本项目采购文件要求，及时完成结算审核与款项支付。</w:t>
      </w:r>
    </w:p>
    <w:p w14:paraId="352C2C76">
      <w:pPr>
        <w:widowControl/>
        <w:spacing w:line="360" w:lineRule="auto"/>
        <w:ind w:firstLine="480" w:firstLineChars="200"/>
        <w:rPr>
          <w:rFonts w:hint="eastAsia" w:ascii="仿宋" w:hAnsi="仿宋" w:eastAsia="仿宋" w:cs="仿宋"/>
          <w:sz w:val="24"/>
        </w:rPr>
      </w:pPr>
      <w:r>
        <w:rPr>
          <w:rFonts w:ascii="仿宋" w:hAnsi="仿宋" w:eastAsia="仿宋" w:cs="仿宋"/>
          <w:sz w:val="24"/>
        </w:rPr>
        <w:t>（五）</w:t>
      </w:r>
      <w:r>
        <w:rPr>
          <w:rFonts w:hint="eastAsia" w:ascii="仿宋" w:hAnsi="仿宋" w:eastAsia="仿宋" w:cs="仿宋"/>
          <w:sz w:val="24"/>
        </w:rPr>
        <w:t>甲方</w:t>
      </w:r>
      <w:r>
        <w:rPr>
          <w:rFonts w:ascii="仿宋" w:hAnsi="仿宋" w:eastAsia="仿宋" w:cs="仿宋"/>
          <w:sz w:val="24"/>
        </w:rPr>
        <w:t>协调院内相关科室，为</w:t>
      </w:r>
      <w:r>
        <w:rPr>
          <w:rFonts w:hint="eastAsia" w:ascii="仿宋" w:hAnsi="仿宋" w:eastAsia="仿宋" w:cs="仿宋"/>
          <w:sz w:val="24"/>
        </w:rPr>
        <w:t>乙方</w:t>
      </w:r>
      <w:r>
        <w:rPr>
          <w:rFonts w:ascii="仿宋" w:hAnsi="仿宋" w:eastAsia="仿宋" w:cs="仿宋"/>
          <w:sz w:val="24"/>
        </w:rPr>
        <w:t>正常运营提供必要的场地通行、系统对接等基础支持。</w:t>
      </w:r>
    </w:p>
    <w:p w14:paraId="015F2134">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w:t>
      </w:r>
      <w:r>
        <w:rPr>
          <w:rFonts w:hint="eastAsia" w:ascii="仿宋" w:hAnsi="仿宋" w:eastAsia="仿宋" w:cs="仿宋"/>
          <w:b/>
          <w:bCs/>
          <w:sz w:val="24"/>
          <w:lang w:val="en-US" w:eastAsia="zh-CN"/>
        </w:rPr>
        <w:t>三</w:t>
      </w:r>
      <w:r>
        <w:rPr>
          <w:rFonts w:hint="eastAsia" w:ascii="仿宋" w:hAnsi="仿宋" w:eastAsia="仿宋" w:cs="仿宋"/>
          <w:b/>
          <w:bCs/>
          <w:sz w:val="24"/>
        </w:rPr>
        <w:t>十条  乙方权责</w:t>
      </w:r>
    </w:p>
    <w:p w14:paraId="639082B8">
      <w:pPr>
        <w:widowControl/>
        <w:spacing w:line="360" w:lineRule="auto"/>
        <w:ind w:firstLine="480" w:firstLineChars="200"/>
        <w:rPr>
          <w:rFonts w:hint="eastAsia" w:ascii="仿宋" w:hAnsi="仿宋" w:eastAsia="仿宋" w:cs="仿宋"/>
          <w:sz w:val="24"/>
        </w:rPr>
      </w:pPr>
      <w:r>
        <w:rPr>
          <w:rFonts w:ascii="仿宋" w:hAnsi="仿宋" w:eastAsia="仿宋" w:cs="仿宋"/>
          <w:sz w:val="24"/>
        </w:rPr>
        <w:t>（一）</w:t>
      </w:r>
      <w:r>
        <w:rPr>
          <w:rFonts w:hint="eastAsia" w:ascii="仿宋" w:hAnsi="仿宋" w:eastAsia="仿宋" w:cs="仿宋"/>
          <w:sz w:val="24"/>
        </w:rPr>
        <w:t>乙方须严格遵守《中华人民共和国食品安全法》《中华人民共和国劳动法》《中华人民共和国食品安全法实施条例》《食品生产许可管理办法》《食品添加剂新品种管理办法》《集中用餐单位落实食品安全主体责任监督管理规定》（国家市场监督管理总局令第98号）《市场监管总局关于发布餐饮服务食品安全操作规范的公告》（2018年第12号）《食品安全国家标准 食品添加剂使用标准》（GB 2760-2024）《食品安全国家标准 餐饮服务通用卫生规范》（GB 31654-2021）等国家、省市相关法律法规及医院规章制度，全面履行本项目采购文件要求的全部服务内容，承担全部运营责任与风险。</w:t>
      </w:r>
    </w:p>
    <w:p w14:paraId="1233F3F1">
      <w:pPr>
        <w:widowControl/>
        <w:spacing w:line="360" w:lineRule="auto"/>
        <w:ind w:firstLine="480" w:firstLineChars="200"/>
        <w:rPr>
          <w:rFonts w:hint="eastAsia" w:ascii="仿宋" w:hAnsi="仿宋" w:eastAsia="仿宋" w:cs="仿宋"/>
          <w:kern w:val="44"/>
          <w:sz w:val="24"/>
          <w:szCs w:val="48"/>
        </w:rPr>
      </w:pPr>
      <w:r>
        <w:rPr>
          <w:rFonts w:ascii="仿宋" w:hAnsi="仿宋" w:eastAsia="仿宋" w:cs="仿宋"/>
          <w:sz w:val="24"/>
        </w:rPr>
        <w:t>（二）</w:t>
      </w:r>
      <w:r>
        <w:rPr>
          <w:rFonts w:hint="eastAsia" w:ascii="仿宋" w:hAnsi="仿宋" w:eastAsia="仿宋" w:cs="仿宋"/>
          <w:kern w:val="44"/>
          <w:sz w:val="24"/>
          <w:szCs w:val="48"/>
        </w:rPr>
        <w:t>乙方</w:t>
      </w:r>
      <w:r>
        <w:rPr>
          <w:rFonts w:ascii="仿宋" w:hAnsi="仿宋" w:eastAsia="仿宋" w:cs="仿宋"/>
          <w:kern w:val="44"/>
          <w:sz w:val="24"/>
          <w:szCs w:val="48"/>
        </w:rPr>
        <w:t>须按本项目采购文件要求完成食堂升级优化及设备投入，在服务期内接受并通过属地市场监督管理部门依据广东省食品安全相关法规开展的食品安全监督检查，确保各院区食堂在年度监督检查中无重大食品安全事故记录。</w:t>
      </w:r>
    </w:p>
    <w:p w14:paraId="0A6DBEA5">
      <w:pPr>
        <w:widowControl/>
        <w:spacing w:line="360" w:lineRule="auto"/>
        <w:ind w:firstLine="480" w:firstLineChars="200"/>
        <w:rPr>
          <w:rFonts w:hint="eastAsia" w:ascii="仿宋" w:hAnsi="仿宋" w:eastAsia="仿宋" w:cs="仿宋"/>
          <w:sz w:val="24"/>
        </w:rPr>
      </w:pPr>
      <w:r>
        <w:rPr>
          <w:rFonts w:ascii="仿宋" w:hAnsi="仿宋" w:eastAsia="仿宋" w:cs="仿宋"/>
          <w:sz w:val="24"/>
        </w:rPr>
        <w:t>（三）</w:t>
      </w:r>
      <w:r>
        <w:rPr>
          <w:rFonts w:hint="eastAsia" w:ascii="仿宋" w:hAnsi="仿宋" w:eastAsia="仿宋" w:cs="仿宋"/>
          <w:sz w:val="24"/>
        </w:rPr>
        <w:t>乙方</w:t>
      </w:r>
      <w:r>
        <w:rPr>
          <w:rFonts w:ascii="仿宋" w:hAnsi="仿宋" w:eastAsia="仿宋" w:cs="仿宋"/>
          <w:sz w:val="24"/>
        </w:rPr>
        <w:t>须按本项目采购文件要求，保质保量完成全场景供餐服务，保障职工、病人等各类人员的用餐需求，承担食品安全主体责任。</w:t>
      </w:r>
    </w:p>
    <w:p w14:paraId="076B9BB2">
      <w:pPr>
        <w:widowControl/>
        <w:spacing w:line="360" w:lineRule="auto"/>
        <w:ind w:firstLine="480" w:firstLineChars="200"/>
        <w:rPr>
          <w:rFonts w:hint="eastAsia" w:ascii="仿宋" w:hAnsi="仿宋" w:eastAsia="仿宋" w:cs="仿宋"/>
          <w:sz w:val="24"/>
        </w:rPr>
      </w:pPr>
      <w:r>
        <w:rPr>
          <w:rFonts w:ascii="仿宋" w:hAnsi="仿宋" w:eastAsia="仿宋" w:cs="仿宋"/>
          <w:sz w:val="24"/>
        </w:rPr>
        <w:t>（四）</w:t>
      </w:r>
      <w:r>
        <w:rPr>
          <w:rFonts w:hint="eastAsia" w:ascii="仿宋" w:hAnsi="仿宋" w:eastAsia="仿宋" w:cs="仿宋"/>
          <w:sz w:val="24"/>
        </w:rPr>
        <w:t>乙方</w:t>
      </w:r>
      <w:r>
        <w:rPr>
          <w:rFonts w:ascii="仿宋" w:hAnsi="仿宋" w:eastAsia="仿宋" w:cs="仿宋"/>
          <w:sz w:val="24"/>
        </w:rPr>
        <w:t>须按本项目采购文件要求，接受</w:t>
      </w:r>
      <w:r>
        <w:rPr>
          <w:rFonts w:hint="eastAsia" w:ascii="仿宋" w:hAnsi="仿宋" w:eastAsia="仿宋" w:cs="仿宋"/>
          <w:sz w:val="24"/>
        </w:rPr>
        <w:t>甲方</w:t>
      </w:r>
      <w:r>
        <w:rPr>
          <w:rFonts w:ascii="仿宋" w:hAnsi="仿宋" w:eastAsia="仿宋" w:cs="仿宋"/>
          <w:sz w:val="24"/>
        </w:rPr>
        <w:t>的监督、考核，对整改要求须按时限完成整改。</w:t>
      </w:r>
    </w:p>
    <w:p w14:paraId="43DDD16A">
      <w:pPr>
        <w:widowControl/>
        <w:spacing w:line="360" w:lineRule="auto"/>
        <w:ind w:firstLine="480" w:firstLineChars="200"/>
        <w:rPr>
          <w:rFonts w:hint="eastAsia" w:ascii="仿宋" w:hAnsi="仿宋" w:eastAsia="仿宋" w:cs="仿宋"/>
          <w:sz w:val="24"/>
        </w:rPr>
      </w:pPr>
      <w:r>
        <w:rPr>
          <w:rFonts w:ascii="仿宋" w:hAnsi="仿宋" w:eastAsia="仿宋" w:cs="仿宋"/>
          <w:sz w:val="24"/>
        </w:rPr>
        <w:t>（五）</w:t>
      </w:r>
      <w:r>
        <w:rPr>
          <w:rFonts w:hint="eastAsia" w:ascii="仿宋" w:hAnsi="仿宋" w:eastAsia="仿宋" w:cs="仿宋"/>
          <w:sz w:val="24"/>
        </w:rPr>
        <w:t>乙方</w:t>
      </w:r>
      <w:r>
        <w:rPr>
          <w:rFonts w:ascii="仿宋" w:hAnsi="仿宋" w:eastAsia="仿宋" w:cs="仿宋"/>
          <w:sz w:val="24"/>
        </w:rPr>
        <w:t>须自行处理与员工的劳动用工关系，承担全部用工责任；自行处理服务过程中产生的各类纠纷、投诉，承担相应的经济赔偿与法律责任。所有派驻服务人员均须遵守</w:t>
      </w:r>
      <w:r>
        <w:rPr>
          <w:rFonts w:hint="eastAsia" w:ascii="仿宋" w:hAnsi="仿宋" w:eastAsia="仿宋" w:cs="仿宋"/>
          <w:sz w:val="24"/>
        </w:rPr>
        <w:t>甲方</w:t>
      </w:r>
      <w:r>
        <w:rPr>
          <w:rFonts w:ascii="仿宋" w:hAnsi="仿宋" w:eastAsia="仿宋" w:cs="仿宋"/>
          <w:sz w:val="24"/>
        </w:rPr>
        <w:t>各项规章制度，严格执行</w:t>
      </w:r>
      <w:r>
        <w:rPr>
          <w:rFonts w:hint="eastAsia" w:ascii="仿宋" w:hAnsi="仿宋" w:eastAsia="仿宋" w:cs="仿宋"/>
          <w:sz w:val="24"/>
        </w:rPr>
        <w:t>甲方</w:t>
      </w:r>
      <w:r>
        <w:rPr>
          <w:rFonts w:ascii="仿宋" w:hAnsi="仿宋" w:eastAsia="仿宋" w:cs="仿宋"/>
          <w:sz w:val="24"/>
        </w:rPr>
        <w:t>《第三方驻点服务人员管理办法》，服从现场管理。</w:t>
      </w:r>
    </w:p>
    <w:p w14:paraId="26C5228E">
      <w:pPr>
        <w:widowControl/>
        <w:spacing w:line="360" w:lineRule="auto"/>
        <w:ind w:firstLine="480" w:firstLineChars="200"/>
        <w:rPr>
          <w:rFonts w:hint="eastAsia" w:ascii="仿宋" w:hAnsi="仿宋" w:eastAsia="仿宋" w:cs="仿宋"/>
          <w:sz w:val="24"/>
        </w:rPr>
      </w:pPr>
      <w:r>
        <w:rPr>
          <w:rFonts w:ascii="仿宋" w:hAnsi="仿宋" w:eastAsia="仿宋" w:cs="仿宋"/>
          <w:sz w:val="24"/>
        </w:rPr>
        <w:t>（六）禁止性约定</w:t>
      </w:r>
    </w:p>
    <w:p w14:paraId="06EF67AB">
      <w:pPr>
        <w:widowControl/>
        <w:spacing w:line="360" w:lineRule="auto"/>
        <w:ind w:firstLine="480" w:firstLineChars="200"/>
        <w:rPr>
          <w:rFonts w:hint="eastAsia" w:ascii="仿宋" w:hAnsi="仿宋" w:eastAsia="仿宋" w:cs="仿宋"/>
          <w:sz w:val="24"/>
        </w:rPr>
      </w:pPr>
      <w:r>
        <w:rPr>
          <w:rFonts w:ascii="仿宋" w:hAnsi="仿宋" w:eastAsia="仿宋" w:cs="仿宋"/>
          <w:sz w:val="24"/>
        </w:rPr>
        <w:t>本项目严禁任何转包、违法分包，一经发现，</w:t>
      </w:r>
      <w:r>
        <w:rPr>
          <w:rFonts w:hint="eastAsia" w:ascii="仿宋" w:hAnsi="仿宋" w:eastAsia="仿宋" w:cs="仿宋"/>
          <w:sz w:val="24"/>
        </w:rPr>
        <w:t>甲方</w:t>
      </w:r>
      <w:r>
        <w:rPr>
          <w:rFonts w:ascii="仿宋" w:hAnsi="仿宋" w:eastAsia="仿宋" w:cs="仿宋"/>
          <w:sz w:val="24"/>
        </w:rPr>
        <w:t>有权立即单方终止合同，没收履约保证金，并要求</w:t>
      </w:r>
      <w:r>
        <w:rPr>
          <w:rFonts w:hint="eastAsia" w:ascii="仿宋" w:hAnsi="仿宋" w:eastAsia="仿宋" w:cs="仿宋"/>
          <w:sz w:val="24"/>
        </w:rPr>
        <w:t>乙方</w:t>
      </w:r>
      <w:r>
        <w:rPr>
          <w:rFonts w:ascii="仿宋" w:hAnsi="仿宋" w:eastAsia="仿宋" w:cs="仿宋"/>
          <w:sz w:val="24"/>
        </w:rPr>
        <w:t>承担由此造成的全部损失。</w:t>
      </w:r>
    </w:p>
    <w:p w14:paraId="61591CF0">
      <w:pPr>
        <w:widowControl/>
        <w:spacing w:line="440" w:lineRule="exact"/>
        <w:ind w:left="420"/>
        <w:rPr>
          <w:rFonts w:hint="eastAsia" w:ascii="仿宋" w:hAnsi="仿宋" w:eastAsia="仿宋" w:cs="仿宋"/>
          <w:sz w:val="24"/>
        </w:rPr>
      </w:pPr>
      <w:r>
        <w:rPr>
          <w:rFonts w:ascii="仿宋" w:hAnsi="仿宋" w:eastAsia="仿宋" w:cs="仿宋"/>
          <w:sz w:val="24"/>
        </w:rPr>
        <w:t>（七）投保要求</w:t>
      </w:r>
    </w:p>
    <w:p w14:paraId="4BE44A09">
      <w:pPr>
        <w:widowControl/>
        <w:numPr>
          <w:ilvl w:val="1"/>
          <w:numId w:val="13"/>
        </w:numPr>
        <w:spacing w:line="440" w:lineRule="exact"/>
        <w:jc w:val="left"/>
        <w:rPr>
          <w:rFonts w:hint="eastAsia" w:ascii="仿宋" w:hAnsi="仿宋" w:eastAsia="仿宋" w:cs="仿宋"/>
          <w:sz w:val="24"/>
        </w:rPr>
      </w:pPr>
      <w:r>
        <w:rPr>
          <w:rFonts w:hint="eastAsia" w:ascii="仿宋" w:hAnsi="仿宋" w:eastAsia="仿宋" w:cs="仿宋"/>
          <w:sz w:val="24"/>
        </w:rPr>
        <w:t>乙方须在本项目服务期内，持续投保以下险种，保费由乙方全额承担，保险有效期须完整覆盖项目服务期限，不得脱保、断保：</w:t>
      </w:r>
    </w:p>
    <w:tbl>
      <w:tblPr>
        <w:tblStyle w:val="12"/>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1291"/>
        <w:gridCol w:w="3090"/>
        <w:gridCol w:w="4045"/>
      </w:tblGrid>
      <w:tr w14:paraId="607D0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89" w:hRule="atLeast"/>
          <w:tblHeader/>
        </w:trPr>
        <w:tc>
          <w:tcPr>
            <w:tcW w:w="766" w:type="pct"/>
            <w:tcBorders>
              <w:tl2br w:val="nil"/>
              <w:tr2bl w:val="nil"/>
            </w:tcBorders>
            <w:shd w:val="clear" w:color="auto" w:fill="BEBEBE"/>
            <w:tcMar>
              <w:top w:w="60" w:type="dxa"/>
              <w:left w:w="60" w:type="dxa"/>
              <w:bottom w:w="60" w:type="dxa"/>
              <w:right w:w="60" w:type="dxa"/>
            </w:tcMar>
            <w:vAlign w:val="center"/>
          </w:tcPr>
          <w:p w14:paraId="66162EE4">
            <w:pPr>
              <w:widowControl/>
              <w:jc w:val="center"/>
              <w:rPr>
                <w:rFonts w:hint="eastAsia" w:ascii="仿宋" w:hAnsi="仿宋" w:eastAsia="仿宋" w:cs="仿宋"/>
                <w:b/>
                <w:bCs/>
              </w:rPr>
            </w:pPr>
            <w:r>
              <w:rPr>
                <w:rFonts w:hint="eastAsia" w:ascii="仿宋" w:hAnsi="仿宋" w:eastAsia="仿宋" w:cs="仿宋"/>
                <w:b/>
                <w:bCs/>
                <w:kern w:val="0"/>
                <w:sz w:val="24"/>
                <w:lang w:bidi="ar"/>
              </w:rPr>
              <w:t>投保险种</w:t>
            </w:r>
          </w:p>
        </w:tc>
        <w:tc>
          <w:tcPr>
            <w:tcW w:w="1833" w:type="pct"/>
            <w:tcBorders>
              <w:tl2br w:val="nil"/>
              <w:tr2bl w:val="nil"/>
            </w:tcBorders>
            <w:shd w:val="clear" w:color="auto" w:fill="BEBEBE"/>
            <w:tcMar>
              <w:top w:w="60" w:type="dxa"/>
              <w:left w:w="60" w:type="dxa"/>
              <w:bottom w:w="60" w:type="dxa"/>
              <w:right w:w="60" w:type="dxa"/>
            </w:tcMar>
            <w:vAlign w:val="center"/>
          </w:tcPr>
          <w:p w14:paraId="11C82AEA">
            <w:pPr>
              <w:widowControl/>
              <w:jc w:val="center"/>
              <w:rPr>
                <w:rFonts w:hint="eastAsia" w:ascii="仿宋" w:hAnsi="仿宋" w:eastAsia="仿宋" w:cs="仿宋"/>
                <w:b/>
                <w:bCs/>
              </w:rPr>
            </w:pPr>
            <w:r>
              <w:rPr>
                <w:rFonts w:hint="eastAsia" w:ascii="仿宋" w:hAnsi="仿宋" w:eastAsia="仿宋" w:cs="仿宋"/>
                <w:b/>
                <w:bCs/>
                <w:kern w:val="0"/>
                <w:sz w:val="24"/>
                <w:lang w:bidi="ar"/>
              </w:rPr>
              <w:t>最低保额要求</w:t>
            </w:r>
          </w:p>
        </w:tc>
        <w:tc>
          <w:tcPr>
            <w:tcW w:w="2400" w:type="pct"/>
            <w:tcBorders>
              <w:tl2br w:val="nil"/>
              <w:tr2bl w:val="nil"/>
            </w:tcBorders>
            <w:shd w:val="clear" w:color="auto" w:fill="BEBEBE"/>
            <w:tcMar>
              <w:top w:w="60" w:type="dxa"/>
              <w:left w:w="60" w:type="dxa"/>
              <w:bottom w:w="60" w:type="dxa"/>
              <w:right w:w="60" w:type="dxa"/>
            </w:tcMar>
            <w:vAlign w:val="center"/>
          </w:tcPr>
          <w:p w14:paraId="7C8FD9A5">
            <w:pPr>
              <w:widowControl/>
              <w:jc w:val="center"/>
              <w:rPr>
                <w:rFonts w:hint="eastAsia" w:ascii="仿宋" w:hAnsi="仿宋" w:eastAsia="仿宋" w:cs="仿宋"/>
                <w:b/>
                <w:bCs/>
              </w:rPr>
            </w:pPr>
            <w:r>
              <w:rPr>
                <w:rFonts w:hint="eastAsia" w:ascii="仿宋" w:hAnsi="仿宋" w:eastAsia="仿宋" w:cs="仿宋"/>
                <w:b/>
                <w:bCs/>
                <w:kern w:val="0"/>
                <w:sz w:val="24"/>
                <w:lang w:bidi="ar"/>
              </w:rPr>
              <w:t>核心保障要求</w:t>
            </w:r>
          </w:p>
        </w:tc>
      </w:tr>
      <w:tr w14:paraId="2C937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766" w:type="pct"/>
            <w:tcBorders>
              <w:tl2br w:val="nil"/>
              <w:tr2bl w:val="nil"/>
            </w:tcBorders>
            <w:tcMar>
              <w:top w:w="60" w:type="dxa"/>
              <w:left w:w="60" w:type="dxa"/>
              <w:bottom w:w="60" w:type="dxa"/>
              <w:right w:w="60" w:type="dxa"/>
            </w:tcMar>
            <w:vAlign w:val="center"/>
          </w:tcPr>
          <w:p w14:paraId="52498C84">
            <w:pPr>
              <w:widowControl/>
              <w:jc w:val="center"/>
              <w:rPr>
                <w:rFonts w:hint="eastAsia" w:ascii="仿宋" w:hAnsi="仿宋" w:eastAsia="仿宋" w:cs="仿宋"/>
              </w:rPr>
            </w:pPr>
            <w:r>
              <w:rPr>
                <w:rFonts w:hint="eastAsia" w:ascii="仿宋" w:hAnsi="仿宋" w:eastAsia="仿宋" w:cs="仿宋"/>
                <w:kern w:val="0"/>
                <w:sz w:val="24"/>
                <w:lang w:bidi="ar"/>
              </w:rPr>
              <w:t>食品安全责任险</w:t>
            </w:r>
          </w:p>
        </w:tc>
        <w:tc>
          <w:tcPr>
            <w:tcW w:w="1833" w:type="pct"/>
            <w:tcBorders>
              <w:tl2br w:val="nil"/>
              <w:tr2bl w:val="nil"/>
            </w:tcBorders>
            <w:tcMar>
              <w:top w:w="60" w:type="dxa"/>
              <w:left w:w="60" w:type="dxa"/>
              <w:bottom w:w="60" w:type="dxa"/>
              <w:right w:w="60" w:type="dxa"/>
            </w:tcMar>
            <w:vAlign w:val="center"/>
          </w:tcPr>
          <w:p w14:paraId="2B3EB780">
            <w:pPr>
              <w:widowControl/>
              <w:jc w:val="left"/>
              <w:rPr>
                <w:rFonts w:hint="eastAsia" w:ascii="仿宋" w:hAnsi="仿宋" w:eastAsia="仿宋" w:cs="仿宋"/>
              </w:rPr>
            </w:pPr>
            <w:r>
              <w:rPr>
                <w:rFonts w:hint="eastAsia" w:ascii="仿宋" w:hAnsi="仿宋" w:eastAsia="仿宋" w:cs="仿宋"/>
                <w:kern w:val="0"/>
                <w:sz w:val="24"/>
                <w:lang w:bidi="ar"/>
              </w:rPr>
              <w:t>每次事故赔偿限额≥500万元，累计赔偿限额≥2000万元，每人赔偿限额≥60万元</w:t>
            </w:r>
          </w:p>
        </w:tc>
        <w:tc>
          <w:tcPr>
            <w:tcW w:w="2400" w:type="pct"/>
            <w:tcBorders>
              <w:tl2br w:val="nil"/>
              <w:tr2bl w:val="nil"/>
            </w:tcBorders>
            <w:tcMar>
              <w:top w:w="60" w:type="dxa"/>
              <w:left w:w="60" w:type="dxa"/>
              <w:bottom w:w="60" w:type="dxa"/>
              <w:right w:w="60" w:type="dxa"/>
            </w:tcMar>
            <w:vAlign w:val="center"/>
          </w:tcPr>
          <w:p w14:paraId="4656D5CF">
            <w:pPr>
              <w:widowControl/>
              <w:jc w:val="left"/>
              <w:rPr>
                <w:rFonts w:hint="eastAsia" w:ascii="仿宋" w:hAnsi="仿宋" w:eastAsia="仿宋" w:cs="仿宋"/>
              </w:rPr>
            </w:pPr>
            <w:r>
              <w:rPr>
                <w:rFonts w:hint="eastAsia" w:ascii="仿宋" w:hAnsi="仿宋" w:eastAsia="仿宋" w:cs="仿宋"/>
                <w:kern w:val="0"/>
                <w:sz w:val="24"/>
                <w:lang w:bidi="ar"/>
              </w:rPr>
              <w:t>覆盖食材采购、加工、配送全流程食品安全事故，含医疗费、残疾赔偿金、死亡赔偿金、精神损害抚慰金等；必须包含事故相关的法律费用赔付责任，覆盖诉讼费、律师费、仲裁费、鉴定费等，每次事故法律费用赔偿限额不低于50万元。</w:t>
            </w:r>
          </w:p>
        </w:tc>
      </w:tr>
      <w:tr w14:paraId="4C4AD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766" w:type="pct"/>
            <w:tcBorders>
              <w:tl2br w:val="nil"/>
              <w:tr2bl w:val="nil"/>
            </w:tcBorders>
            <w:tcMar>
              <w:top w:w="60" w:type="dxa"/>
              <w:left w:w="60" w:type="dxa"/>
              <w:bottom w:w="60" w:type="dxa"/>
              <w:right w:w="60" w:type="dxa"/>
            </w:tcMar>
            <w:vAlign w:val="center"/>
          </w:tcPr>
          <w:p w14:paraId="76576A0A">
            <w:pPr>
              <w:widowControl/>
              <w:jc w:val="center"/>
              <w:rPr>
                <w:rFonts w:hint="eastAsia" w:ascii="仿宋" w:hAnsi="仿宋" w:eastAsia="仿宋" w:cs="仿宋"/>
              </w:rPr>
            </w:pPr>
            <w:r>
              <w:rPr>
                <w:rFonts w:hint="eastAsia" w:ascii="仿宋" w:hAnsi="仿宋" w:eastAsia="仿宋" w:cs="仿宋"/>
                <w:kern w:val="0"/>
                <w:sz w:val="24"/>
                <w:lang w:bidi="ar"/>
              </w:rPr>
              <w:t>公众责任险</w:t>
            </w:r>
          </w:p>
        </w:tc>
        <w:tc>
          <w:tcPr>
            <w:tcW w:w="1833" w:type="pct"/>
            <w:tcBorders>
              <w:tl2br w:val="nil"/>
              <w:tr2bl w:val="nil"/>
            </w:tcBorders>
            <w:tcMar>
              <w:top w:w="60" w:type="dxa"/>
              <w:left w:w="60" w:type="dxa"/>
              <w:bottom w:w="60" w:type="dxa"/>
              <w:right w:w="60" w:type="dxa"/>
            </w:tcMar>
            <w:vAlign w:val="center"/>
          </w:tcPr>
          <w:p w14:paraId="16EF83C6">
            <w:pPr>
              <w:widowControl/>
              <w:jc w:val="left"/>
              <w:rPr>
                <w:rFonts w:hint="eastAsia" w:ascii="仿宋" w:hAnsi="仿宋" w:eastAsia="仿宋" w:cs="仿宋"/>
              </w:rPr>
            </w:pPr>
            <w:r>
              <w:rPr>
                <w:rFonts w:hint="eastAsia" w:ascii="仿宋" w:hAnsi="仿宋" w:eastAsia="仿宋" w:cs="仿宋"/>
                <w:kern w:val="0"/>
                <w:sz w:val="24"/>
                <w:lang w:bidi="ar"/>
              </w:rPr>
              <w:t>每次事故赔偿限额≥500万元，累计赔偿限额≥1000万元，每人赔偿限额≥60万元</w:t>
            </w:r>
          </w:p>
        </w:tc>
        <w:tc>
          <w:tcPr>
            <w:tcW w:w="2400" w:type="pct"/>
            <w:tcBorders>
              <w:tl2br w:val="nil"/>
              <w:tr2bl w:val="nil"/>
            </w:tcBorders>
            <w:tcMar>
              <w:top w:w="60" w:type="dxa"/>
              <w:left w:w="60" w:type="dxa"/>
              <w:bottom w:w="60" w:type="dxa"/>
              <w:right w:w="60" w:type="dxa"/>
            </w:tcMar>
            <w:vAlign w:val="center"/>
          </w:tcPr>
          <w:p w14:paraId="37743B23">
            <w:pPr>
              <w:widowControl/>
              <w:jc w:val="left"/>
              <w:rPr>
                <w:rFonts w:hint="eastAsia" w:ascii="仿宋" w:hAnsi="仿宋" w:eastAsia="仿宋" w:cs="仿宋"/>
              </w:rPr>
            </w:pPr>
            <w:r>
              <w:rPr>
                <w:rFonts w:hint="eastAsia" w:ascii="仿宋" w:hAnsi="仿宋" w:eastAsia="仿宋" w:cs="仿宋"/>
                <w:kern w:val="0"/>
                <w:sz w:val="24"/>
                <w:lang w:bidi="ar"/>
              </w:rPr>
              <w:t>覆盖食堂经营场所内用餐人员滑倒、烫伤、设施致伤等公众安全责任；必须包含事故相关的法律费用赔付责任，覆盖诉讼费、律师费、仲裁费、鉴定费等，每次事故法律费用赔偿限额不低于50万元。</w:t>
            </w:r>
          </w:p>
        </w:tc>
      </w:tr>
    </w:tbl>
    <w:p w14:paraId="655B23C1">
      <w:pPr>
        <w:widowControl/>
        <w:numPr>
          <w:ilvl w:val="1"/>
          <w:numId w:val="13"/>
        </w:numPr>
        <w:spacing w:line="440" w:lineRule="exact"/>
        <w:jc w:val="left"/>
        <w:rPr>
          <w:rFonts w:hint="eastAsia" w:ascii="仿宋" w:hAnsi="仿宋" w:eastAsia="仿宋" w:cs="仿宋"/>
          <w:sz w:val="24"/>
        </w:rPr>
      </w:pPr>
      <w:r>
        <w:rPr>
          <w:rFonts w:hint="eastAsia" w:ascii="仿宋" w:hAnsi="仿宋" w:eastAsia="仿宋" w:cs="仿宋"/>
          <w:sz w:val="24"/>
        </w:rPr>
        <w:t>保险单须将广州医科大学附属中医医院列为共同被保险人/附加被保险人，保障范围覆盖甲方、乙方、用餐职工、病人及其他第三方人员。</w:t>
      </w:r>
    </w:p>
    <w:p w14:paraId="4A8C98E6">
      <w:pPr>
        <w:widowControl/>
        <w:numPr>
          <w:ilvl w:val="1"/>
          <w:numId w:val="13"/>
        </w:numPr>
        <w:spacing w:line="440" w:lineRule="exact"/>
        <w:jc w:val="both"/>
        <w:rPr>
          <w:rFonts w:hint="eastAsia" w:ascii="仿宋" w:hAnsi="仿宋" w:eastAsia="仿宋" w:cs="仿宋"/>
          <w:sz w:val="24"/>
        </w:rPr>
      </w:pPr>
      <w:r>
        <w:rPr>
          <w:rFonts w:hint="eastAsia" w:ascii="仿宋" w:hAnsi="仿宋" w:eastAsia="仿宋" w:cs="仿宋"/>
          <w:sz w:val="24"/>
        </w:rPr>
        <w:t>乙方须在进场提供服务前完成全部保险投保手续，保险生效时间不得晚于进场服务起始日，并将保险单原件、保险费缴纳凭证、保险条款复印件提交甲方备案；保险到期前15天，须完成续保并提交新保单备案。自进场之日起，无论保险是否生效，所有食品安全事故、人员伤害、财产损失、法律费用、舆情损失均由乙方全额承担，保险未生效期间发生事故的，乙方赔偿责任不得低于保单保额，甲方有权从履约保证金直接扣除；乙方自收到中标通知书之日起1个月内仍未完成投保备案的，甲方有权单方终止合同并没收全部履约保证金。</w:t>
      </w:r>
    </w:p>
    <w:p w14:paraId="27FFB3DE">
      <w:pPr>
        <w:widowControl/>
        <w:numPr>
          <w:ilvl w:val="1"/>
          <w:numId w:val="13"/>
        </w:numPr>
        <w:spacing w:line="440" w:lineRule="exact"/>
        <w:jc w:val="both"/>
        <w:rPr>
          <w:rFonts w:hint="eastAsia" w:ascii="仿宋" w:hAnsi="仿宋" w:eastAsia="仿宋" w:cs="仿宋"/>
          <w:sz w:val="24"/>
        </w:rPr>
      </w:pPr>
      <w:r>
        <w:rPr>
          <w:rFonts w:hint="eastAsia" w:ascii="仿宋" w:hAnsi="仿宋" w:eastAsia="仿宋" w:cs="仿宋"/>
          <w:sz w:val="24"/>
        </w:rPr>
        <w:t>保险合同中约定的免赔额部分，全部由乙方承担；保险公司赔付后，仍不足以覆盖全部损失的，差额部分由乙方全额承担。</w:t>
      </w:r>
    </w:p>
    <w:p w14:paraId="185EFF27">
      <w:pPr>
        <w:widowControl/>
        <w:numPr>
          <w:ilvl w:val="1"/>
          <w:numId w:val="13"/>
        </w:numPr>
        <w:spacing w:line="440" w:lineRule="exact"/>
        <w:jc w:val="both"/>
        <w:rPr>
          <w:rFonts w:hint="eastAsia" w:ascii="仿宋" w:hAnsi="仿宋" w:eastAsia="仿宋" w:cs="仿宋"/>
          <w:sz w:val="24"/>
        </w:rPr>
      </w:pPr>
      <w:r>
        <w:rPr>
          <w:rFonts w:hint="eastAsia" w:ascii="仿宋" w:hAnsi="仿宋" w:eastAsia="仿宋" w:cs="仿宋"/>
          <w:sz w:val="24"/>
        </w:rPr>
        <w:t>乙方未按要求投保、保额不足、脱保断保或未按时提交保险凭证的，甲方有权暂停支付所有结算款项，责令7日内整改；逾期未整改的，甲方有权单方终止合同，没收全部服务质量考核保证金，由此造成的一切损失由乙方全额承担。</w:t>
      </w:r>
    </w:p>
    <w:p w14:paraId="26B945BC">
      <w:pPr>
        <w:widowControl/>
        <w:spacing w:line="440" w:lineRule="exact"/>
        <w:ind w:left="420"/>
        <w:rPr>
          <w:rFonts w:hint="eastAsia" w:ascii="仿宋" w:hAnsi="仿宋" w:eastAsia="仿宋" w:cs="仿宋"/>
          <w:sz w:val="24"/>
        </w:rPr>
      </w:pPr>
      <w:r>
        <w:rPr>
          <w:rFonts w:ascii="仿宋" w:hAnsi="仿宋" w:eastAsia="仿宋" w:cs="仿宋"/>
          <w:sz w:val="24"/>
        </w:rPr>
        <w:t>（八）应急预案与管理</w:t>
      </w:r>
    </w:p>
    <w:p w14:paraId="692806A5">
      <w:pPr>
        <w:widowControl/>
        <w:numPr>
          <w:ilvl w:val="1"/>
          <w:numId w:val="14"/>
        </w:numPr>
        <w:spacing w:line="440" w:lineRule="exact"/>
        <w:rPr>
          <w:rFonts w:hint="eastAsia" w:ascii="仿宋" w:hAnsi="仿宋" w:eastAsia="仿宋" w:cs="仿宋"/>
          <w:sz w:val="24"/>
        </w:rPr>
      </w:pPr>
      <w:r>
        <w:rPr>
          <w:rFonts w:hint="eastAsia" w:ascii="仿宋" w:hAnsi="仿宋" w:eastAsia="仿宋" w:cs="仿宋"/>
          <w:sz w:val="24"/>
        </w:rPr>
        <w:t>乙方须在服务期内配备符合要求的中央厨房及应急配送保障能力，能够在突发状况下快速启动应急供餐机制。中央厨房须为自有或长期租赁的独立固定场所，如为租赁场地，须产权明晰、租赁合规且租赁期限须覆盖项目服务期限，不得为临时加工点。乙方应结合甲方实际服务规模与用餐需求，建立完善的应急供餐体系，确保在设备故障、食材短缺、交通受阻、公共卫生事件等各类突发情况下，仍可安全、稳定、有序提供餐饮保障服务，确保餐食配送到各院区的车程不超过60分钟。</w:t>
      </w:r>
    </w:p>
    <w:p w14:paraId="2781C8AA">
      <w:pPr>
        <w:widowControl/>
        <w:numPr>
          <w:ilvl w:val="1"/>
          <w:numId w:val="14"/>
        </w:numPr>
        <w:spacing w:line="440" w:lineRule="exact"/>
        <w:jc w:val="left"/>
        <w:rPr>
          <w:rFonts w:hint="eastAsia" w:ascii="仿宋" w:hAnsi="仿宋" w:eastAsia="仿宋" w:cs="仿宋"/>
          <w:sz w:val="24"/>
        </w:rPr>
      </w:pPr>
      <w:r>
        <w:rPr>
          <w:rFonts w:hint="eastAsia" w:ascii="仿宋" w:hAnsi="仿宋" w:eastAsia="仿宋" w:cs="仿宋"/>
          <w:sz w:val="24"/>
        </w:rPr>
        <w:t>乙方须制定专项应急供餐保障方案，方案包括但不限于应急组织架构、应急响应流程、中央厨房资质、应急供餐渠道、应急餐饮系统、食材储备方式、配送路线规划及人员调配机制，确保突发供餐中断时，可在4小时内全面恢复正常供餐，最大限度降低对甲方日常运营与用餐秩序的影响。</w:t>
      </w:r>
    </w:p>
    <w:p w14:paraId="7488EECD">
      <w:pPr>
        <w:widowControl/>
        <w:numPr>
          <w:ilvl w:val="1"/>
          <w:numId w:val="14"/>
        </w:numPr>
        <w:spacing w:line="440" w:lineRule="exact"/>
        <w:jc w:val="left"/>
        <w:rPr>
          <w:rFonts w:hint="eastAsia" w:ascii="仿宋" w:hAnsi="仿宋" w:eastAsia="仿宋" w:cs="仿宋"/>
          <w:sz w:val="24"/>
        </w:rPr>
      </w:pPr>
      <w:r>
        <w:rPr>
          <w:rFonts w:hint="eastAsia" w:ascii="仿宋" w:hAnsi="仿宋" w:eastAsia="仿宋" w:cs="仿宋"/>
          <w:sz w:val="24"/>
        </w:rPr>
        <w:t>乙方须结合医院特性，制定完善的专项应急预案，包括但不限于：食品安全事故应急预案、突发公共卫生事件应急预案、停水停电停气应急预案、设备故障应急预案、极端天气应急预案、供餐中断应急预案、群体性投诉应急预案，报甲方审核批准后执行。</w:t>
      </w:r>
    </w:p>
    <w:p w14:paraId="594DCCA6">
      <w:pPr>
        <w:widowControl/>
        <w:numPr>
          <w:ilvl w:val="1"/>
          <w:numId w:val="14"/>
        </w:numPr>
        <w:spacing w:line="440" w:lineRule="exact"/>
        <w:jc w:val="left"/>
        <w:rPr>
          <w:rFonts w:hint="eastAsia" w:ascii="仿宋" w:hAnsi="仿宋" w:eastAsia="仿宋" w:cs="仿宋"/>
          <w:sz w:val="24"/>
        </w:rPr>
      </w:pPr>
      <w:r>
        <w:rPr>
          <w:rFonts w:hint="eastAsia" w:ascii="仿宋" w:hAnsi="仿宋" w:eastAsia="仿宋" w:cs="仿宋"/>
          <w:sz w:val="24"/>
        </w:rPr>
        <w:t>应急预案须明确应急组织架构、处置流程、责任人员、保障措施，确保突发情况发生时可快速响应、有效处置。</w:t>
      </w:r>
    </w:p>
    <w:p w14:paraId="674E0D4D">
      <w:pPr>
        <w:widowControl/>
        <w:numPr>
          <w:ilvl w:val="1"/>
          <w:numId w:val="14"/>
        </w:numPr>
        <w:spacing w:line="440" w:lineRule="exact"/>
        <w:jc w:val="left"/>
        <w:rPr>
          <w:rFonts w:hint="eastAsia" w:ascii="仿宋" w:hAnsi="仿宋" w:eastAsia="仿宋" w:cs="仿宋"/>
          <w:sz w:val="24"/>
        </w:rPr>
      </w:pPr>
      <w:r>
        <w:rPr>
          <w:rFonts w:hint="eastAsia" w:ascii="仿宋" w:hAnsi="仿宋" w:eastAsia="仿宋" w:cs="仿宋"/>
          <w:sz w:val="24"/>
        </w:rPr>
        <w:t>突发情况发生时，乙方须立即启动应急预案，15分钟内响应，第一时间通知甲方，采取有效措施控制事态，确保供餐稳定、人员安全；因应急处置不当导致事态扩大、损失增加的，全部责任由乙方承担，甲方有权从重扣罚，直至终止合同。</w:t>
      </w:r>
    </w:p>
    <w:p w14:paraId="6D1123B4">
      <w:pPr>
        <w:widowControl/>
        <w:numPr>
          <w:ilvl w:val="1"/>
          <w:numId w:val="14"/>
        </w:numPr>
        <w:spacing w:line="440" w:lineRule="exact"/>
        <w:jc w:val="both"/>
        <w:rPr>
          <w:rFonts w:hint="eastAsia" w:ascii="仿宋" w:hAnsi="仿宋" w:eastAsia="仿宋" w:cs="仿宋"/>
          <w:sz w:val="24"/>
        </w:rPr>
      </w:pPr>
      <w:r>
        <w:rPr>
          <w:rFonts w:hint="eastAsia" w:ascii="仿宋" w:hAnsi="仿宋" w:eastAsia="仿宋" w:cs="仿宋"/>
          <w:sz w:val="24"/>
        </w:rPr>
        <w:t>乙方须制定供餐中断专项兜底保障方案，明确临时供餐合作单位、应急供餐渠道，确保发生突发情况时4小时内恢复正常供餐；因乙方管理不当、准备不足、处置失误或其他可归责于乙方的原因导致供餐中断的，由此产生的全部应急供餐费用、临时采购费用、配送费用及相关成本均由乙方自行承担；若因此给甲方造成经济损失、声誉影响或其他不良后果的，乙方须按照实际损失金额承担全额赔偿责任，并依据合同及考核条款进行相应扣罚处理。</w:t>
      </w:r>
    </w:p>
    <w:p w14:paraId="01DBD58E">
      <w:pPr>
        <w:widowControl/>
        <w:numPr>
          <w:ilvl w:val="1"/>
          <w:numId w:val="14"/>
        </w:numPr>
        <w:spacing w:line="440" w:lineRule="exact"/>
        <w:jc w:val="both"/>
        <w:rPr>
          <w:rFonts w:hint="eastAsia" w:ascii="仿宋" w:hAnsi="仿宋" w:eastAsia="仿宋" w:cs="仿宋"/>
          <w:sz w:val="24"/>
        </w:rPr>
      </w:pPr>
      <w:r>
        <w:rPr>
          <w:rFonts w:hint="eastAsia" w:ascii="仿宋" w:hAnsi="仿宋" w:eastAsia="仿宋" w:cs="仿宋"/>
          <w:sz w:val="24"/>
        </w:rPr>
        <w:t>对甲方应急用餐服务需求，要求在15分钟内响应，并在指定时间内完成供餐服务。如未能及时供餐保障，扣除当月结算费用的1%违约金。</w:t>
      </w:r>
    </w:p>
    <w:p w14:paraId="333BE7E3">
      <w:pPr>
        <w:widowControl/>
        <w:numPr>
          <w:ilvl w:val="1"/>
          <w:numId w:val="14"/>
        </w:numPr>
        <w:spacing w:line="360" w:lineRule="auto"/>
        <w:ind w:left="0" w:leftChars="0" w:firstLine="420" w:firstLineChars="0"/>
        <w:jc w:val="both"/>
        <w:rPr>
          <w:rFonts w:hint="eastAsia" w:ascii="仿宋" w:hAnsi="仿宋" w:eastAsia="仿宋" w:cs="仿宋"/>
          <w:sz w:val="24"/>
        </w:rPr>
      </w:pPr>
      <w:r>
        <w:rPr>
          <w:rFonts w:hint="eastAsia" w:ascii="仿宋" w:hAnsi="仿宋" w:eastAsia="仿宋" w:cs="仿宋"/>
          <w:sz w:val="24"/>
          <w:lang w:val="en-US" w:eastAsia="zh-CN"/>
        </w:rPr>
        <w:t>乙方</w:t>
      </w:r>
      <w:r>
        <w:rPr>
          <w:rFonts w:hint="eastAsia" w:ascii="仿宋" w:hAnsi="仿宋" w:eastAsia="仿宋" w:cs="仿宋"/>
          <w:sz w:val="24"/>
        </w:rPr>
        <w:t>须在收到中标通知书后，立即与</w:t>
      </w:r>
      <w:r>
        <w:rPr>
          <w:rFonts w:hint="eastAsia" w:ascii="仿宋" w:hAnsi="仿宋" w:eastAsia="仿宋" w:cs="仿宋"/>
          <w:sz w:val="24"/>
          <w:lang w:val="en-US" w:eastAsia="zh-CN"/>
        </w:rPr>
        <w:t>甲方</w:t>
      </w:r>
      <w:r>
        <w:rPr>
          <w:rFonts w:hint="eastAsia" w:ascii="仿宋" w:hAnsi="仿宋" w:eastAsia="仿宋" w:cs="仿宋"/>
          <w:sz w:val="24"/>
        </w:rPr>
        <w:t>对接供餐安排，须与原供餐单位配合做好场地、人员、设备及系统等各项交接工作，并承担相应费用，确保</w:t>
      </w:r>
      <w:r>
        <w:rPr>
          <w:rFonts w:hint="eastAsia" w:ascii="仿宋" w:hAnsi="仿宋" w:eastAsia="仿宋" w:cs="仿宋"/>
          <w:sz w:val="24"/>
          <w:lang w:val="en-US" w:eastAsia="zh-CN"/>
        </w:rPr>
        <w:t>甲方</w:t>
      </w:r>
      <w:r>
        <w:rPr>
          <w:rFonts w:hint="eastAsia" w:ascii="仿宋" w:hAnsi="仿宋" w:eastAsia="仿宋" w:cs="仿宋"/>
          <w:sz w:val="24"/>
        </w:rPr>
        <w:t>各院区供餐服务顺利衔接无断档；若</w:t>
      </w:r>
      <w:r>
        <w:rPr>
          <w:rFonts w:hint="eastAsia" w:ascii="仿宋" w:hAnsi="仿宋" w:eastAsia="仿宋" w:cs="仿宋"/>
          <w:sz w:val="24"/>
          <w:lang w:val="en-US" w:eastAsia="zh-CN"/>
        </w:rPr>
        <w:t>乙方</w:t>
      </w:r>
      <w:r>
        <w:rPr>
          <w:rFonts w:hint="eastAsia" w:ascii="仿宋" w:hAnsi="仿宋" w:eastAsia="仿宋" w:cs="仿宋"/>
          <w:sz w:val="24"/>
        </w:rPr>
        <w:t>在衔接期内出现供餐中断、食品质量问题、安全事故等，应启动专项应急供餐保障方案，相关费用由</w:t>
      </w:r>
      <w:r>
        <w:rPr>
          <w:rFonts w:hint="eastAsia" w:ascii="仿宋" w:hAnsi="仿宋" w:eastAsia="仿宋" w:cs="仿宋"/>
          <w:sz w:val="24"/>
          <w:lang w:val="en-US" w:eastAsia="zh-CN"/>
        </w:rPr>
        <w:t>甲方</w:t>
      </w:r>
      <w:r>
        <w:rPr>
          <w:rFonts w:hint="eastAsia" w:ascii="仿宋" w:hAnsi="仿宋" w:eastAsia="仿宋" w:cs="仿宋"/>
          <w:sz w:val="24"/>
        </w:rPr>
        <w:t>承担。</w:t>
      </w:r>
    </w:p>
    <w:p w14:paraId="35255778">
      <w:pPr>
        <w:widowControl/>
        <w:numPr>
          <w:ilvl w:val="1"/>
          <w:numId w:val="14"/>
        </w:numPr>
        <w:spacing w:line="360" w:lineRule="auto"/>
        <w:ind w:left="0" w:leftChars="0" w:firstLine="420" w:firstLineChars="0"/>
        <w:jc w:val="both"/>
        <w:rPr>
          <w:rFonts w:hint="eastAsia" w:ascii="仿宋" w:hAnsi="仿宋" w:eastAsia="仿宋" w:cs="仿宋"/>
          <w:sz w:val="24"/>
        </w:rPr>
      </w:pPr>
      <w:r>
        <w:rPr>
          <w:rFonts w:hint="eastAsia" w:ascii="仿宋" w:hAnsi="仿宋" w:eastAsia="仿宋" w:cs="仿宋"/>
          <w:sz w:val="24"/>
          <w:lang w:val="en-US" w:eastAsia="zh-CN"/>
        </w:rPr>
        <w:t>乙方</w:t>
      </w:r>
      <w:r>
        <w:rPr>
          <w:rFonts w:hint="eastAsia" w:ascii="仿宋" w:hAnsi="仿宋" w:eastAsia="仿宋" w:cs="仿宋"/>
          <w:sz w:val="24"/>
        </w:rPr>
        <w:t>在收到中标通知书后，须在</w:t>
      </w:r>
      <w:r>
        <w:rPr>
          <w:rFonts w:hint="eastAsia" w:ascii="仿宋" w:hAnsi="仿宋" w:eastAsia="仿宋" w:cs="仿宋"/>
          <w:sz w:val="24"/>
          <w:lang w:val="en-US" w:eastAsia="zh-CN"/>
        </w:rPr>
        <w:t>甲方</w:t>
      </w:r>
      <w:r>
        <w:rPr>
          <w:rFonts w:hint="eastAsia" w:ascii="仿宋" w:hAnsi="仿宋" w:eastAsia="仿宋" w:cs="仿宋"/>
          <w:sz w:val="24"/>
        </w:rPr>
        <w:t>指定日期内完成餐饮系统的部署、对接、培训全流程工作，确保供餐服务顺利衔接无断档，由</w:t>
      </w:r>
      <w:r>
        <w:rPr>
          <w:rFonts w:hint="eastAsia" w:ascii="仿宋" w:hAnsi="仿宋" w:eastAsia="仿宋" w:cs="仿宋"/>
          <w:sz w:val="24"/>
          <w:lang w:val="en-US" w:eastAsia="zh-CN"/>
        </w:rPr>
        <w:t>乙方</w:t>
      </w:r>
      <w:r>
        <w:rPr>
          <w:rFonts w:hint="eastAsia" w:ascii="仿宋" w:hAnsi="仿宋" w:eastAsia="仿宋" w:cs="仿宋"/>
          <w:sz w:val="24"/>
        </w:rPr>
        <w:t>承担全部系统建设、维护、升级费用，不得向</w:t>
      </w:r>
      <w:r>
        <w:rPr>
          <w:rFonts w:hint="eastAsia" w:ascii="仿宋" w:hAnsi="仿宋" w:eastAsia="仿宋" w:cs="仿宋"/>
          <w:sz w:val="24"/>
          <w:lang w:val="en-US" w:eastAsia="zh-CN"/>
        </w:rPr>
        <w:t>甲方</w:t>
      </w:r>
      <w:r>
        <w:rPr>
          <w:rFonts w:hint="eastAsia" w:ascii="仿宋" w:hAnsi="仿宋" w:eastAsia="仿宋" w:cs="仿宋"/>
          <w:sz w:val="24"/>
        </w:rPr>
        <w:t>收取任何费用。若</w:t>
      </w:r>
      <w:r>
        <w:rPr>
          <w:rFonts w:hint="eastAsia" w:ascii="仿宋" w:hAnsi="仿宋" w:eastAsia="仿宋" w:cs="仿宋"/>
          <w:sz w:val="24"/>
          <w:lang w:val="en-US" w:eastAsia="zh-CN"/>
        </w:rPr>
        <w:t>乙方</w:t>
      </w:r>
      <w:r>
        <w:rPr>
          <w:rFonts w:hint="eastAsia" w:ascii="仿宋" w:hAnsi="仿宋" w:eastAsia="仿宋" w:cs="仿宋"/>
          <w:sz w:val="24"/>
        </w:rPr>
        <w:t>在衔接期内出现系统中断、流程不畅等情况，应启动专项应急供餐保障方案，相关费用由</w:t>
      </w:r>
      <w:r>
        <w:rPr>
          <w:rFonts w:hint="eastAsia" w:ascii="仿宋" w:hAnsi="仿宋" w:eastAsia="仿宋" w:cs="仿宋"/>
          <w:sz w:val="24"/>
          <w:lang w:val="en-US" w:eastAsia="zh-CN"/>
        </w:rPr>
        <w:t>甲方</w:t>
      </w:r>
      <w:r>
        <w:rPr>
          <w:rFonts w:hint="eastAsia" w:ascii="仿宋" w:hAnsi="仿宋" w:eastAsia="仿宋" w:cs="仿宋"/>
          <w:sz w:val="24"/>
        </w:rPr>
        <w:t>承担。</w:t>
      </w:r>
    </w:p>
    <w:p w14:paraId="3469D237">
      <w:pPr>
        <w:widowControl/>
        <w:numPr>
          <w:ilvl w:val="255"/>
          <w:numId w:val="0"/>
        </w:numPr>
        <w:spacing w:line="440" w:lineRule="exact"/>
        <w:ind w:firstLine="480" w:firstLineChars="200"/>
        <w:jc w:val="both"/>
        <w:rPr>
          <w:rFonts w:hint="eastAsia" w:ascii="仿宋" w:hAnsi="仿宋" w:eastAsia="仿宋" w:cs="仿宋"/>
          <w:sz w:val="24"/>
          <w:highlight w:val="none"/>
        </w:rPr>
      </w:pPr>
      <w:r>
        <w:rPr>
          <w:rFonts w:hint="eastAsia" w:ascii="仿宋" w:hAnsi="仿宋" w:eastAsia="仿宋" w:cs="仿宋"/>
          <w:sz w:val="24"/>
          <w:highlight w:val="none"/>
        </w:rPr>
        <w:t>（九）乙方须持有由市场监督管理部门</w:t>
      </w:r>
      <w:r>
        <w:rPr>
          <w:rFonts w:hint="eastAsia" w:ascii="仿宋" w:hAnsi="仿宋" w:eastAsia="仿宋" w:cs="仿宋"/>
          <w:sz w:val="24"/>
          <w:highlight w:val="none"/>
          <w:lang w:val="en-US" w:eastAsia="zh-CN"/>
        </w:rPr>
        <w:t>颁发</w:t>
      </w:r>
      <w:r>
        <w:rPr>
          <w:rFonts w:hint="eastAsia" w:ascii="仿宋" w:hAnsi="仿宋" w:eastAsia="仿宋" w:cs="仿宋"/>
          <w:sz w:val="24"/>
          <w:highlight w:val="none"/>
        </w:rPr>
        <w:t>且</w:t>
      </w:r>
      <w:r>
        <w:rPr>
          <w:rFonts w:hint="eastAsia" w:ascii="仿宋" w:hAnsi="仿宋" w:eastAsia="仿宋" w:cs="仿宋"/>
          <w:sz w:val="24"/>
          <w:highlight w:val="none"/>
          <w:lang w:val="en-US" w:eastAsia="zh-CN"/>
        </w:rPr>
        <w:t>在</w:t>
      </w:r>
      <w:r>
        <w:rPr>
          <w:rFonts w:hint="eastAsia" w:ascii="仿宋" w:hAnsi="仿宋" w:eastAsia="仿宋" w:cs="仿宋"/>
          <w:sz w:val="24"/>
          <w:highlight w:val="none"/>
        </w:rPr>
        <w:t>有效期内的《食品经营许可证》，其主体业态应为餐饮服务经营者（集体用餐配送单位）。乙方在合同履行期间，《食品经营许可证》始终保持合法有效状态；若该证书失效、发生变更或许可范围与本项目要求不符，甲方有权立即解除合同，乙方应承担由此给甲方造成的全部损失。</w:t>
      </w:r>
    </w:p>
    <w:p w14:paraId="7A478497">
      <w:pPr>
        <w:widowControl/>
        <w:numPr>
          <w:ilvl w:val="255"/>
          <w:numId w:val="0"/>
        </w:numPr>
        <w:spacing w:line="440" w:lineRule="exact"/>
        <w:ind w:firstLine="480" w:firstLineChars="200"/>
        <w:jc w:val="left"/>
        <w:rPr>
          <w:rFonts w:hint="eastAsia" w:ascii="仿宋" w:hAnsi="仿宋" w:eastAsia="仿宋" w:cs="仿宋"/>
          <w:sz w:val="24"/>
          <w:highlight w:val="none"/>
          <w:lang w:bidi="ar"/>
        </w:rPr>
      </w:pPr>
      <w:r>
        <w:rPr>
          <w:rFonts w:hint="eastAsia" w:ascii="仿宋" w:hAnsi="仿宋" w:eastAsia="仿宋" w:cs="仿宋"/>
          <w:sz w:val="24"/>
          <w:highlight w:val="none"/>
        </w:rPr>
        <w:t>（十）</w:t>
      </w:r>
      <w:r>
        <w:rPr>
          <w:rFonts w:hint="eastAsia" w:ascii="仿宋" w:hAnsi="仿宋" w:eastAsia="仿宋" w:cs="仿宋"/>
          <w:sz w:val="24"/>
          <w:highlight w:val="none"/>
          <w:lang w:bidi="ar"/>
        </w:rPr>
        <w:t>乙方必须具备独立、常态化且可追溯的食品安全快速检测能力，配置独立的食品安全快检室及相应检测人员和检测设备，该快检室可设在项目现场或乙方自有的集中加工场所。快检数据应可追溯并可备查。</w:t>
      </w:r>
    </w:p>
    <w:p w14:paraId="68959C4F">
      <w:pPr>
        <w:widowControl/>
        <w:numPr>
          <w:ilvl w:val="255"/>
          <w:numId w:val="0"/>
        </w:numPr>
        <w:spacing w:line="440" w:lineRule="exact"/>
        <w:ind w:firstLine="480" w:firstLineChars="200"/>
        <w:jc w:val="left"/>
        <w:rPr>
          <w:rFonts w:hint="eastAsia" w:ascii="仿宋" w:hAnsi="仿宋" w:eastAsia="仿宋" w:cs="仿宋"/>
          <w:sz w:val="24"/>
          <w:highlight w:val="none"/>
          <w:lang w:bidi="ar"/>
        </w:rPr>
      </w:pPr>
    </w:p>
    <w:p w14:paraId="20E7BB56">
      <w:pPr>
        <w:widowControl/>
        <w:numPr>
          <w:ilvl w:val="255"/>
          <w:numId w:val="0"/>
        </w:numPr>
        <w:spacing w:line="440" w:lineRule="exact"/>
        <w:ind w:firstLine="480" w:firstLineChars="200"/>
        <w:jc w:val="left"/>
        <w:rPr>
          <w:rFonts w:hint="eastAsia" w:ascii="仿宋" w:hAnsi="仿宋" w:eastAsia="仿宋" w:cs="仿宋"/>
          <w:sz w:val="24"/>
          <w:lang w:bidi="ar"/>
        </w:rPr>
      </w:pPr>
    </w:p>
    <w:p w14:paraId="01847F9D">
      <w:pPr>
        <w:widowControl/>
        <w:spacing w:line="360" w:lineRule="auto"/>
        <w:jc w:val="center"/>
        <w:outlineLvl w:val="0"/>
        <w:rPr>
          <w:rFonts w:hint="eastAsia" w:ascii="仿宋" w:hAnsi="仿宋" w:eastAsia="仿宋" w:cs="仿宋"/>
          <w:b/>
          <w:bCs/>
          <w:kern w:val="44"/>
          <w:sz w:val="24"/>
        </w:rPr>
      </w:pPr>
      <w:r>
        <w:rPr>
          <w:rFonts w:hint="eastAsia" w:ascii="仿宋" w:hAnsi="仿宋" w:eastAsia="仿宋" w:cs="仿宋"/>
          <w:b/>
          <w:bCs/>
          <w:kern w:val="44"/>
          <w:sz w:val="24"/>
        </w:rPr>
        <w:t>第十一章 违约责任与合同终止</w:t>
      </w:r>
    </w:p>
    <w:p w14:paraId="490D6068">
      <w:pPr>
        <w:rPr>
          <w:rFonts w:ascii="Calibri" w:hAnsi="Calibri" w:eastAsia="宋体" w:cs="Times New Roman"/>
          <w:color w:val="0070C0"/>
        </w:rPr>
      </w:pPr>
    </w:p>
    <w:p w14:paraId="2100757E">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w:t>
      </w:r>
      <w:r>
        <w:rPr>
          <w:rFonts w:hint="eastAsia" w:ascii="仿宋" w:hAnsi="仿宋" w:eastAsia="仿宋" w:cs="仿宋"/>
          <w:b/>
          <w:bCs/>
          <w:sz w:val="24"/>
          <w:lang w:val="en-US" w:eastAsia="zh-CN"/>
        </w:rPr>
        <w:t>三十一</w:t>
      </w:r>
      <w:r>
        <w:rPr>
          <w:rFonts w:hint="eastAsia" w:ascii="仿宋" w:hAnsi="仿宋" w:eastAsia="仿宋" w:cs="仿宋"/>
          <w:b/>
          <w:bCs/>
          <w:sz w:val="24"/>
        </w:rPr>
        <w:t>条  违约情形与责任承担</w:t>
      </w:r>
    </w:p>
    <w:p w14:paraId="4434D5E1">
      <w:pPr>
        <w:widowControl/>
        <w:numPr>
          <w:ilvl w:val="0"/>
          <w:numId w:val="15"/>
        </w:numPr>
        <w:spacing w:line="440" w:lineRule="exact"/>
        <w:jc w:val="left"/>
        <w:rPr>
          <w:rFonts w:hint="eastAsia" w:ascii="仿宋" w:hAnsi="仿宋" w:eastAsia="仿宋" w:cs="仿宋"/>
          <w:sz w:val="24"/>
        </w:rPr>
      </w:pPr>
      <w:r>
        <w:rPr>
          <w:rFonts w:hint="eastAsia" w:ascii="仿宋" w:hAnsi="仿宋" w:eastAsia="仿宋" w:cs="仿宋"/>
          <w:sz w:val="24"/>
        </w:rPr>
        <w:t>乙方出现以下实质性违约情形的，甲方有权单方立即终止合同，全额没收履约保证金及未返还的服务质量考核保证金，乙方须赔偿甲方因此遭受的全部损失：</w:t>
      </w:r>
    </w:p>
    <w:p w14:paraId="5A60AC1B">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1.</w:t>
      </w:r>
      <w:r>
        <w:rPr>
          <w:rFonts w:hint="eastAsia" w:ascii="仿宋" w:hAnsi="仿宋" w:eastAsia="仿宋" w:cs="仿宋"/>
          <w:sz w:val="24"/>
        </w:rPr>
        <w:t>发生转包、违法分包行为的；</w:t>
      </w:r>
    </w:p>
    <w:p w14:paraId="666D04F0">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发生重大食品安全事故，造成重大经济损失的；</w:t>
      </w:r>
    </w:p>
    <w:p w14:paraId="2D65F984">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年度合同中食材存在2次及以上农药残留、污染物超标等具有食品安全风险，或违规供应转基因食用油、售卖过期变质食材等且情节严重的；</w:t>
      </w:r>
    </w:p>
    <w:p w14:paraId="19FE71C2">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服务考评分数低于相应数值的，</w:t>
      </w:r>
      <w:r>
        <w:rPr>
          <w:rFonts w:hint="eastAsia" w:ascii="宋体" w:hAnsi="宋体" w:eastAsia="宋体" w:cs="宋体"/>
          <w:sz w:val="24"/>
        </w:rPr>
        <w:t>①</w:t>
      </w:r>
      <w:r>
        <w:rPr>
          <w:rFonts w:hint="eastAsia" w:ascii="仿宋" w:hAnsi="仿宋" w:eastAsia="仿宋" w:cs="仿宋"/>
          <w:sz w:val="24"/>
        </w:rPr>
        <w:t>月度质量综合考评：合同期（12个月）内累计3次及以上考评分数低于70分的；</w:t>
      </w:r>
      <w:r>
        <w:rPr>
          <w:rFonts w:hint="eastAsia" w:ascii="微软雅黑" w:hAnsi="微软雅黑" w:eastAsia="微软雅黑" w:cs="微软雅黑"/>
          <w:sz w:val="24"/>
        </w:rPr>
        <w:t>②</w:t>
      </w:r>
      <w:r>
        <w:rPr>
          <w:rFonts w:hint="eastAsia" w:ascii="仿宋" w:hAnsi="仿宋" w:eastAsia="仿宋" w:cs="仿宋"/>
          <w:sz w:val="24"/>
        </w:rPr>
        <w:t>季度膳食服务考评：合同期（12个月）内累计3次及以上考评分数低于70分的；</w:t>
      </w:r>
    </w:p>
    <w:p w14:paraId="5A15F2C3">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未按要求完成食堂升级优化，或投入未达约定最低标准的；</w:t>
      </w:r>
    </w:p>
    <w:p w14:paraId="7E8E4FFD">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rPr>
        <w:t>发生信息数据泄露等安全管理事故，造成严重影响的；</w:t>
      </w:r>
    </w:p>
    <w:p w14:paraId="6A6478A8">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7.</w:t>
      </w:r>
      <w:r>
        <w:rPr>
          <w:rFonts w:hint="eastAsia" w:ascii="仿宋" w:hAnsi="仿宋" w:eastAsia="仿宋" w:cs="仿宋"/>
          <w:sz w:val="24"/>
        </w:rPr>
        <w:t>利用该经营场所进行违法活动、存放危险（或违禁）物品，或进行其它损害公共利益的活动的；</w:t>
      </w:r>
    </w:p>
    <w:p w14:paraId="710E0026">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8.</w:t>
      </w:r>
      <w:r>
        <w:rPr>
          <w:rFonts w:ascii="仿宋" w:hAnsi="仿宋" w:eastAsia="仿宋" w:cs="仿宋"/>
          <w:sz w:val="24"/>
        </w:rPr>
        <w:t>供应不合格的、假冒伪劣、以次充好的货物，年度累计六次及以上的</w:t>
      </w:r>
      <w:r>
        <w:rPr>
          <w:rFonts w:hint="eastAsia" w:ascii="仿宋" w:hAnsi="仿宋" w:eastAsia="仿宋" w:cs="仿宋"/>
          <w:sz w:val="24"/>
        </w:rPr>
        <w:t>；</w:t>
      </w:r>
    </w:p>
    <w:p w14:paraId="1388B91A">
      <w:pPr>
        <w:widowControl/>
        <w:numPr>
          <w:ilvl w:val="-1"/>
          <w:numId w:val="0"/>
        </w:numPr>
        <w:spacing w:line="440" w:lineRule="exact"/>
        <w:ind w:firstLine="480" w:firstLineChars="200"/>
        <w:jc w:val="both"/>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其他严重违反本项目采购文件要求及损害甲方合法权益的行为。</w:t>
      </w:r>
    </w:p>
    <w:p w14:paraId="410D561D">
      <w:pPr>
        <w:widowControl/>
        <w:numPr>
          <w:ilvl w:val="-1"/>
          <w:numId w:val="0"/>
        </w:numPr>
        <w:spacing w:line="440" w:lineRule="exact"/>
        <w:ind w:firstLine="480" w:firstLineChars="200"/>
        <w:jc w:val="both"/>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二</w:t>
      </w:r>
      <w:r>
        <w:rPr>
          <w:rFonts w:hint="eastAsia" w:ascii="仿宋" w:hAnsi="仿宋" w:eastAsia="仿宋" w:cs="仿宋"/>
          <w:sz w:val="24"/>
          <w:lang w:eastAsia="zh-CN"/>
        </w:rPr>
        <w:t>）</w:t>
      </w:r>
      <w:r>
        <w:rPr>
          <w:rFonts w:hint="eastAsia" w:ascii="仿宋" w:hAnsi="仿宋" w:eastAsia="仿宋" w:cs="仿宋"/>
          <w:sz w:val="24"/>
        </w:rPr>
        <w:t>乙方发生数据泄露事件的，甲方有权单方立即终止合同，全额没收履约保证金及未返还的服务质量考核保证金，且乙方须向甲方支付75万元的违约金，违约金不足以弥补甲方全部损失的，乙方须补足差额。</w:t>
      </w:r>
    </w:p>
    <w:p w14:paraId="58A7FB4A">
      <w:pPr>
        <w:widowControl/>
        <w:numPr>
          <w:ilvl w:val="255"/>
          <w:numId w:val="0"/>
        </w:numPr>
        <w:spacing w:line="440" w:lineRule="exact"/>
        <w:ind w:left="400"/>
        <w:jc w:val="left"/>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三</w:t>
      </w:r>
      <w:r>
        <w:rPr>
          <w:rFonts w:hint="eastAsia" w:ascii="仿宋" w:hAnsi="仿宋" w:eastAsia="仿宋" w:cs="仿宋"/>
          <w:sz w:val="24"/>
        </w:rPr>
        <w:t>）违约金与赔偿金抵扣顺序</w:t>
      </w:r>
    </w:p>
    <w:p w14:paraId="71A3A123">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因乙方违约产生的上述违约金、赔偿金及扣罚款项，甲方有权按照以下顺序优先抵扣：</w:t>
      </w:r>
    </w:p>
    <w:p w14:paraId="266A5FAD">
      <w:pPr>
        <w:widowControl/>
        <w:numPr>
          <w:ilvl w:val="255"/>
          <w:numId w:val="0"/>
        </w:numPr>
        <w:spacing w:line="440" w:lineRule="exact"/>
        <w:ind w:left="400"/>
        <w:jc w:val="left"/>
        <w:rPr>
          <w:rFonts w:hint="eastAsia" w:ascii="仿宋" w:hAnsi="仿宋" w:eastAsia="仿宋" w:cs="仿宋"/>
          <w:sz w:val="24"/>
        </w:rPr>
      </w:pPr>
      <w:r>
        <w:rPr>
          <w:rFonts w:hint="eastAsia" w:ascii="仿宋" w:hAnsi="仿宋" w:eastAsia="仿宋" w:cs="仿宋"/>
          <w:sz w:val="24"/>
        </w:rPr>
        <w:t>1.优先从当期服务质量考核保证金中扣除；</w:t>
      </w:r>
    </w:p>
    <w:p w14:paraId="3AF0FC90">
      <w:pPr>
        <w:widowControl/>
        <w:numPr>
          <w:ilvl w:val="255"/>
          <w:numId w:val="0"/>
        </w:numPr>
        <w:spacing w:line="440" w:lineRule="exact"/>
        <w:ind w:left="400"/>
        <w:jc w:val="left"/>
        <w:rPr>
          <w:rFonts w:hint="eastAsia" w:ascii="仿宋" w:hAnsi="仿宋" w:eastAsia="仿宋" w:cs="仿宋"/>
          <w:sz w:val="24"/>
        </w:rPr>
      </w:pPr>
      <w:r>
        <w:rPr>
          <w:rFonts w:hint="eastAsia" w:ascii="仿宋" w:hAnsi="仿宋" w:eastAsia="仿宋" w:cs="仿宋"/>
          <w:sz w:val="24"/>
        </w:rPr>
        <w:t>2.服务质量考核保证金不足的，从履约保证金中扣除；</w:t>
      </w:r>
    </w:p>
    <w:p w14:paraId="32A268C7">
      <w:pPr>
        <w:widowControl/>
        <w:numPr>
          <w:ilvl w:val="255"/>
          <w:numId w:val="0"/>
        </w:numPr>
        <w:spacing w:line="440" w:lineRule="exact"/>
        <w:ind w:left="400"/>
        <w:jc w:val="left"/>
        <w:rPr>
          <w:rFonts w:hint="eastAsia" w:ascii="仿宋" w:hAnsi="仿宋" w:eastAsia="仿宋" w:cs="仿宋"/>
          <w:sz w:val="24"/>
        </w:rPr>
      </w:pPr>
      <w:r>
        <w:rPr>
          <w:rFonts w:hint="eastAsia" w:ascii="仿宋" w:hAnsi="仿宋" w:eastAsia="仿宋" w:cs="仿宋"/>
          <w:sz w:val="24"/>
        </w:rPr>
        <w:t>3.履约保证金仍不足的，有权从任意未结算的应付款项中直接扣除；</w:t>
      </w:r>
    </w:p>
    <w:p w14:paraId="00798E54">
      <w:pPr>
        <w:widowControl/>
        <w:numPr>
          <w:ilvl w:val="255"/>
          <w:numId w:val="0"/>
        </w:numPr>
        <w:spacing w:line="440" w:lineRule="exact"/>
        <w:ind w:left="400"/>
        <w:jc w:val="left"/>
        <w:rPr>
          <w:rFonts w:hint="eastAsia" w:ascii="仿宋" w:hAnsi="仿宋" w:eastAsia="仿宋" w:cs="仿宋"/>
          <w:sz w:val="24"/>
        </w:rPr>
      </w:pPr>
      <w:r>
        <w:rPr>
          <w:rFonts w:hint="eastAsia" w:ascii="仿宋" w:hAnsi="仿宋" w:eastAsia="仿宋" w:cs="仿宋"/>
          <w:sz w:val="24"/>
        </w:rPr>
        <w:t>4.上述款项均不足以覆盖损失的，甲方有权另行向乙方追偿。</w:t>
      </w:r>
    </w:p>
    <w:p w14:paraId="4284966C">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w:t>
      </w:r>
      <w:r>
        <w:rPr>
          <w:rFonts w:hint="eastAsia" w:ascii="仿宋" w:hAnsi="仿宋" w:eastAsia="仿宋" w:cs="仿宋"/>
          <w:b/>
          <w:bCs/>
          <w:sz w:val="24"/>
          <w:lang w:val="en-US" w:eastAsia="zh-CN"/>
        </w:rPr>
        <w:t>三十二</w:t>
      </w:r>
      <w:r>
        <w:rPr>
          <w:rFonts w:hint="eastAsia" w:ascii="仿宋" w:hAnsi="仿宋" w:eastAsia="仿宋" w:cs="仿宋"/>
          <w:b/>
          <w:bCs/>
          <w:sz w:val="24"/>
        </w:rPr>
        <w:t>条 合同终止规则</w:t>
      </w:r>
    </w:p>
    <w:p w14:paraId="4D42029D">
      <w:pPr>
        <w:widowControl/>
        <w:numPr>
          <w:ilvl w:val="0"/>
          <w:numId w:val="16"/>
        </w:numPr>
        <w:spacing w:line="440" w:lineRule="exact"/>
        <w:jc w:val="left"/>
        <w:rPr>
          <w:rFonts w:hint="eastAsia" w:ascii="仿宋" w:hAnsi="仿宋" w:eastAsia="仿宋" w:cs="仿宋"/>
          <w:sz w:val="24"/>
        </w:rPr>
      </w:pPr>
      <w:r>
        <w:rPr>
          <w:rFonts w:hint="eastAsia" w:ascii="仿宋" w:hAnsi="仿宋" w:eastAsia="仿宋" w:cs="仿宋"/>
          <w:sz w:val="24"/>
        </w:rPr>
        <w:t>合同期满续签：本项目总服务期36个月，合同执行期满或累计实际交易金额达到三年最高采购预算上限4500万元，本项目合同自动终止，以先到者为准。合同采取一年一签方式（服务期第12个月、第24个月）年度合同期满，乙方满足续签条件的，双方续签年度合同，不满足的，合同终止。年度合同续签条件：</w:t>
      </w:r>
    </w:p>
    <w:p w14:paraId="6D3400A9">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1. 前一个合同年度内，</w:t>
      </w:r>
      <w:r>
        <w:rPr>
          <w:rFonts w:ascii="仿宋" w:hAnsi="仿宋" w:eastAsia="仿宋" w:cs="仿宋"/>
          <w:sz w:val="24"/>
        </w:rPr>
        <w:t>月度质量综合考评</w:t>
      </w:r>
      <w:r>
        <w:rPr>
          <w:rFonts w:hint="eastAsia" w:ascii="仿宋" w:hAnsi="仿宋" w:eastAsia="仿宋" w:cs="仿宋"/>
          <w:sz w:val="24"/>
        </w:rPr>
        <w:t>平均得分不低于80分，无实质性违约情形。</w:t>
      </w:r>
    </w:p>
    <w:p w14:paraId="0AE5D0EA">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 续签合同严格遵循本采购文件约定的实质性条款，不改变核心服务标准、定价规则、权责划分、安全要求等核心内容。</w:t>
      </w:r>
    </w:p>
    <w:p w14:paraId="5554BF33">
      <w:pPr>
        <w:widowControl/>
        <w:numPr>
          <w:ilvl w:val="0"/>
          <w:numId w:val="16"/>
        </w:numPr>
        <w:spacing w:line="440" w:lineRule="exact"/>
        <w:jc w:val="left"/>
        <w:rPr>
          <w:rFonts w:hint="eastAsia" w:ascii="仿宋" w:hAnsi="仿宋" w:eastAsia="仿宋" w:cs="仿宋"/>
          <w:sz w:val="24"/>
        </w:rPr>
      </w:pPr>
      <w:r>
        <w:rPr>
          <w:rFonts w:hint="eastAsia" w:ascii="仿宋" w:hAnsi="仿宋" w:eastAsia="仿宋" w:cs="仿宋"/>
          <w:sz w:val="24"/>
        </w:rPr>
        <w:t>协商终止：合同履行期间，经双方协商一致，可提前终止合同。</w:t>
      </w:r>
    </w:p>
    <w:p w14:paraId="208185D6">
      <w:pPr>
        <w:widowControl/>
        <w:numPr>
          <w:ilvl w:val="0"/>
          <w:numId w:val="16"/>
        </w:numPr>
        <w:spacing w:line="440" w:lineRule="exact"/>
        <w:jc w:val="left"/>
        <w:rPr>
          <w:rFonts w:hint="eastAsia" w:ascii="仿宋" w:hAnsi="仿宋" w:eastAsia="仿宋" w:cs="仿宋"/>
          <w:sz w:val="24"/>
        </w:rPr>
      </w:pPr>
      <w:r>
        <w:rPr>
          <w:rFonts w:hint="eastAsia" w:ascii="仿宋" w:hAnsi="仿宋" w:eastAsia="仿宋" w:cs="仿宋"/>
          <w:sz w:val="24"/>
        </w:rPr>
        <w:t>甲方单方终止：</w:t>
      </w:r>
    </w:p>
    <w:p w14:paraId="51E63095">
      <w:pPr>
        <w:widowControl/>
        <w:numPr>
          <w:ilvl w:val="0"/>
          <w:numId w:val="17"/>
        </w:numPr>
        <w:spacing w:line="440" w:lineRule="exact"/>
        <w:jc w:val="left"/>
        <w:rPr>
          <w:rFonts w:hint="eastAsia" w:ascii="仿宋" w:hAnsi="仿宋" w:eastAsia="仿宋" w:cs="仿宋"/>
          <w:sz w:val="24"/>
        </w:rPr>
      </w:pPr>
      <w:r>
        <w:rPr>
          <w:rFonts w:hint="eastAsia" w:ascii="仿宋" w:hAnsi="仿宋" w:eastAsia="仿宋" w:cs="仿宋"/>
          <w:sz w:val="24"/>
        </w:rPr>
        <w:t>乙方出现本项目采购文件要求的实质性违约情形的，甲方有权单方立即终止合同；所投入的所有固定资产及不动产无偿归甲方所有，甲方有权全额没收履约保证金，乙方须赔偿甲方因此遭受的全部损失。</w:t>
      </w:r>
    </w:p>
    <w:p w14:paraId="2F8B58B0">
      <w:pPr>
        <w:widowControl/>
        <w:numPr>
          <w:ilvl w:val="0"/>
          <w:numId w:val="17"/>
        </w:numPr>
        <w:spacing w:line="440" w:lineRule="exact"/>
        <w:jc w:val="left"/>
        <w:rPr>
          <w:rFonts w:hint="eastAsia" w:ascii="仿宋" w:hAnsi="仿宋" w:eastAsia="仿宋" w:cs="仿宋"/>
          <w:sz w:val="24"/>
        </w:rPr>
      </w:pPr>
      <w:r>
        <w:rPr>
          <w:rFonts w:hint="eastAsia" w:ascii="仿宋" w:hAnsi="仿宋" w:eastAsia="仿宋" w:cs="仿宋"/>
          <w:sz w:val="24"/>
        </w:rPr>
        <w:t>甲方有权根据医院发展规划调整经营模式，确需提前终止合同的，须提前3个月以书面形式告知乙方，乙方须配合完成交接工作；</w:t>
      </w:r>
    </w:p>
    <w:p w14:paraId="4BB441D6">
      <w:pPr>
        <w:widowControl/>
        <w:numPr>
          <w:ilvl w:val="0"/>
          <w:numId w:val="16"/>
        </w:numPr>
        <w:spacing w:line="440" w:lineRule="exact"/>
        <w:jc w:val="left"/>
        <w:rPr>
          <w:rFonts w:hint="eastAsia" w:ascii="仿宋" w:hAnsi="仿宋" w:eastAsia="仿宋" w:cs="仿宋"/>
          <w:sz w:val="24"/>
        </w:rPr>
      </w:pPr>
      <w:r>
        <w:rPr>
          <w:rFonts w:hint="eastAsia" w:ascii="仿宋" w:hAnsi="仿宋" w:eastAsia="仿宋" w:cs="仿宋"/>
          <w:sz w:val="24"/>
        </w:rPr>
        <w:t>乙方单方终止：乙方不得擅自提前终止合同，擅自停止或退出经营的，所投入的所有固定资产及不动产无偿归甲方所有，甲方有权全额没收履约保证金，乙方须赔偿甲方因此遭受的全部损失。</w:t>
      </w:r>
    </w:p>
    <w:p w14:paraId="4FCFD209">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w:t>
      </w:r>
      <w:r>
        <w:rPr>
          <w:rFonts w:hint="eastAsia" w:ascii="仿宋" w:hAnsi="仿宋" w:eastAsia="仿宋" w:cs="仿宋"/>
          <w:b/>
          <w:bCs/>
          <w:sz w:val="24"/>
          <w:lang w:val="en-US" w:eastAsia="zh-CN"/>
        </w:rPr>
        <w:t>三十三</w:t>
      </w:r>
      <w:r>
        <w:rPr>
          <w:rFonts w:hint="eastAsia" w:ascii="仿宋" w:hAnsi="仿宋" w:eastAsia="仿宋" w:cs="仿宋"/>
          <w:b/>
          <w:bCs/>
          <w:sz w:val="24"/>
        </w:rPr>
        <w:t>条 合同终止交接要求</w:t>
      </w:r>
    </w:p>
    <w:p w14:paraId="493AF258">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（一）合同终止前30日，双方启动交接工作，乙方须配合甲方完成场地、设备、食材、系统数据、台账资料的全面盘点交接。</w:t>
      </w:r>
    </w:p>
    <w:p w14:paraId="13A3F2F5">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（二）合同终止后，乙方须提供不少于15天的过渡期供餐服务，确保医院食堂供餐平稳过渡，过渡期供餐按本项目采购文件要求的标准、价格执行。</w:t>
      </w:r>
    </w:p>
    <w:p w14:paraId="68752735">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（三）乙方须在合同终止后15日内，完成场地清场、人员撤离，不可移动资产无偿归甲方所有，可移动资产按本项目采购文件要求处置；逾期未处置的物品，视为乙方抛弃，甲方有权自行处理。</w:t>
      </w:r>
    </w:p>
    <w:p w14:paraId="61AB357D">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（四）合同终止后，乙方仍须对合同履行期间的食品安全、用工责任等承担全部法律责任。</w:t>
      </w:r>
    </w:p>
    <w:p w14:paraId="542AA6EA">
      <w:pPr>
        <w:widowControl/>
        <w:spacing w:line="440" w:lineRule="exact"/>
        <w:ind w:left="420"/>
        <w:rPr>
          <w:rFonts w:hint="eastAsia" w:ascii="仿宋" w:hAnsi="仿宋" w:eastAsia="仿宋" w:cs="仿宋"/>
          <w:sz w:val="24"/>
          <w:lang w:bidi="ar"/>
        </w:rPr>
      </w:pPr>
    </w:p>
    <w:p w14:paraId="22CB1144">
      <w:pPr>
        <w:widowControl/>
        <w:spacing w:line="360" w:lineRule="auto"/>
        <w:jc w:val="center"/>
        <w:outlineLvl w:val="0"/>
        <w:rPr>
          <w:rFonts w:hint="eastAsia" w:ascii="仿宋" w:hAnsi="仿宋" w:eastAsia="仿宋" w:cs="仿宋"/>
          <w:b/>
          <w:bCs/>
          <w:kern w:val="44"/>
          <w:sz w:val="24"/>
        </w:rPr>
      </w:pPr>
      <w:r>
        <w:rPr>
          <w:rFonts w:hint="eastAsia" w:ascii="仿宋" w:hAnsi="仿宋" w:eastAsia="仿宋" w:cs="仿宋"/>
          <w:b/>
          <w:bCs/>
          <w:kern w:val="44"/>
          <w:sz w:val="24"/>
        </w:rPr>
        <w:t>第十二章  其  他</w:t>
      </w:r>
    </w:p>
    <w:p w14:paraId="7966C694">
      <w:pPr>
        <w:rPr>
          <w:rFonts w:ascii="Calibri" w:hAnsi="Calibri" w:eastAsia="宋体" w:cs="Times New Roman"/>
        </w:rPr>
      </w:pPr>
    </w:p>
    <w:p w14:paraId="47917FDF">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第三十</w:t>
      </w:r>
      <w:r>
        <w:rPr>
          <w:rFonts w:hint="eastAsia" w:ascii="仿宋" w:hAnsi="仿宋" w:eastAsia="仿宋" w:cs="仿宋"/>
          <w:b/>
          <w:bCs/>
          <w:sz w:val="24"/>
          <w:lang w:val="en-US" w:eastAsia="zh-CN"/>
        </w:rPr>
        <w:t>四</w:t>
      </w:r>
      <w:r>
        <w:rPr>
          <w:rFonts w:hint="eastAsia" w:ascii="仿宋" w:hAnsi="仿宋" w:eastAsia="仿宋" w:cs="仿宋"/>
          <w:b/>
          <w:bCs/>
          <w:sz w:val="24"/>
        </w:rPr>
        <w:t>条  争议的解决</w:t>
      </w:r>
    </w:p>
    <w:p w14:paraId="22A7D2D7">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合同执行过程中发生的任何争议，如双方不能通过友好协商解决，甲、乙双方一致同意向甲方所在地人民法院提起诉讼。</w:t>
      </w:r>
    </w:p>
    <w:p w14:paraId="7741FBCF">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第三十</w:t>
      </w:r>
      <w:r>
        <w:rPr>
          <w:rFonts w:hint="eastAsia" w:ascii="仿宋" w:hAnsi="仿宋" w:eastAsia="仿宋" w:cs="仿宋"/>
          <w:b/>
          <w:bCs/>
          <w:sz w:val="24"/>
          <w:lang w:val="en-US" w:eastAsia="zh-CN"/>
        </w:rPr>
        <w:t>五</w:t>
      </w:r>
      <w:r>
        <w:rPr>
          <w:rFonts w:hint="eastAsia" w:ascii="仿宋" w:hAnsi="仿宋" w:eastAsia="仿宋" w:cs="仿宋"/>
          <w:b/>
          <w:bCs/>
          <w:sz w:val="24"/>
        </w:rPr>
        <w:t>条  不可抗力</w:t>
      </w:r>
    </w:p>
    <w:p w14:paraId="55C0D57F">
      <w:pPr>
        <w:widowControl/>
        <w:spacing w:line="440" w:lineRule="exact"/>
        <w:ind w:firstLine="480" w:firstLineChars="200"/>
        <w:jc w:val="both"/>
        <w:rPr>
          <w:rFonts w:hint="eastAsia" w:ascii="仿宋" w:hAnsi="仿宋" w:eastAsia="仿宋" w:cs="仿宋"/>
          <w:sz w:val="24"/>
        </w:rPr>
      </w:pPr>
      <w:r>
        <w:rPr>
          <w:rFonts w:hint="eastAsia" w:ascii="仿宋" w:hAnsi="仿宋" w:eastAsia="仿宋" w:cs="仿宋"/>
          <w:sz w:val="24"/>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如因不可抗力因素导致合同终止的，双方应通过友好协商解决本项目合同实施或与合同有关的一切争议。如双方友好协商开始后30天还不能解决的，可提交甲方所在地人民法院提起诉讼。</w:t>
      </w:r>
    </w:p>
    <w:p w14:paraId="46C8E3A9">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第三十</w:t>
      </w:r>
      <w:r>
        <w:rPr>
          <w:rFonts w:hint="eastAsia" w:ascii="仿宋" w:hAnsi="仿宋" w:eastAsia="仿宋" w:cs="仿宋"/>
          <w:b/>
          <w:bCs/>
          <w:sz w:val="24"/>
          <w:lang w:val="en-US" w:eastAsia="zh-CN"/>
        </w:rPr>
        <w:t>六</w:t>
      </w:r>
      <w:r>
        <w:rPr>
          <w:rFonts w:hint="eastAsia" w:ascii="仿宋" w:hAnsi="仿宋" w:eastAsia="仿宋" w:cs="仿宋"/>
          <w:b/>
          <w:bCs/>
          <w:sz w:val="24"/>
        </w:rPr>
        <w:t>条  税费</w:t>
      </w:r>
    </w:p>
    <w:p w14:paraId="262FE671">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在中国境内、外发生的与本合同执行有关的一切税费均由乙方负担。</w:t>
      </w:r>
    </w:p>
    <w:p w14:paraId="089FA39C">
      <w:pPr>
        <w:tabs>
          <w:tab w:val="left" w:pos="5632"/>
        </w:tabs>
        <w:spacing w:line="360" w:lineRule="auto"/>
        <w:ind w:firstLine="482" w:firstLineChars="200"/>
        <w:outlineLvl w:val="1"/>
        <w:rPr>
          <w:rFonts w:hint="eastAsia" w:ascii="仿宋" w:hAnsi="仿宋" w:eastAsia="仿宋" w:cs="仿宋"/>
          <w:b w:val="0"/>
          <w:bCs w:val="0"/>
          <w:sz w:val="24"/>
        </w:rPr>
      </w:pPr>
      <w:r>
        <w:rPr>
          <w:rFonts w:hint="eastAsia" w:ascii="仿宋" w:hAnsi="仿宋" w:eastAsia="仿宋" w:cs="仿宋"/>
          <w:b/>
          <w:bCs/>
          <w:sz w:val="24"/>
        </w:rPr>
        <w:t>第三十</w:t>
      </w:r>
      <w:r>
        <w:rPr>
          <w:rFonts w:hint="eastAsia" w:ascii="仿宋" w:hAnsi="仿宋" w:eastAsia="仿宋" w:cs="仿宋"/>
          <w:b/>
          <w:bCs/>
          <w:sz w:val="24"/>
          <w:lang w:val="en-US" w:eastAsia="zh-CN"/>
        </w:rPr>
        <w:t>七</w:t>
      </w:r>
      <w:r>
        <w:rPr>
          <w:rFonts w:hint="eastAsia" w:ascii="仿宋" w:hAnsi="仿宋" w:eastAsia="仿宋" w:cs="仿宋"/>
          <w:b/>
          <w:bCs/>
          <w:sz w:val="24"/>
        </w:rPr>
        <w:t xml:space="preserve">条 </w:t>
      </w:r>
      <w:r>
        <w:rPr>
          <w:rFonts w:hint="eastAsia" w:ascii="仿宋" w:hAnsi="仿宋" w:eastAsia="仿宋" w:cs="仿宋"/>
          <w:b w:val="0"/>
          <w:bCs w:val="0"/>
          <w:sz w:val="24"/>
        </w:rPr>
        <w:t>本项目实施、履约及服务全过程中，若涉及的国家法律法规、强制性标准、行业规范及食品安全要求发生更新、修订或废止，均以发布实施的最新有效版本为准；乙方须无条件按照最新标准、规范要求执行本项目各项技术、质量及服务内容，确保项目全程合规达标，无需甲方另行支付额外费用。</w:t>
      </w:r>
    </w:p>
    <w:p w14:paraId="1BAD0B74">
      <w:pPr>
        <w:tabs>
          <w:tab w:val="left" w:pos="5632"/>
        </w:tabs>
        <w:spacing w:line="360" w:lineRule="auto"/>
        <w:ind w:firstLine="482" w:firstLineChars="200"/>
        <w:outlineLvl w:val="1"/>
        <w:rPr>
          <w:rFonts w:hint="eastAsia" w:ascii="仿宋" w:hAnsi="仿宋" w:eastAsia="仿宋" w:cs="仿宋"/>
          <w:b/>
          <w:bCs/>
          <w:sz w:val="24"/>
        </w:rPr>
      </w:pPr>
      <w:r>
        <w:rPr>
          <w:rFonts w:hint="eastAsia" w:ascii="仿宋" w:hAnsi="仿宋" w:eastAsia="仿宋" w:cs="仿宋"/>
          <w:b/>
          <w:bCs/>
          <w:sz w:val="24"/>
        </w:rPr>
        <w:t>第三十</w:t>
      </w:r>
      <w:r>
        <w:rPr>
          <w:rFonts w:hint="eastAsia" w:ascii="仿宋" w:hAnsi="仿宋" w:eastAsia="仿宋" w:cs="仿宋"/>
          <w:b/>
          <w:bCs/>
          <w:sz w:val="24"/>
          <w:lang w:val="en-US" w:eastAsia="zh-CN"/>
        </w:rPr>
        <w:t>八</w:t>
      </w:r>
      <w:r>
        <w:rPr>
          <w:rFonts w:hint="eastAsia" w:ascii="仿宋" w:hAnsi="仿宋" w:eastAsia="仿宋" w:cs="仿宋"/>
          <w:b/>
          <w:bCs/>
          <w:sz w:val="24"/>
        </w:rPr>
        <w:t>条  其它</w:t>
      </w:r>
    </w:p>
    <w:p w14:paraId="569E968E">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（一）本合同所有附件、招标文件、投标文件、中标通知书等均为合同的有效组成部分，与本合同具有同等法律效力。</w:t>
      </w:r>
    </w:p>
    <w:p w14:paraId="508371C8">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（二）在执行本合同的过程中，所有经双方签署确认的文件（包括会议纪要、补充协议、往来信函）即成为本合同的有效组成部分。</w:t>
      </w:r>
    </w:p>
    <w:p w14:paraId="0B935865">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（三）如一方地址、电话、传真号码有变更，应在变更当日内书面通知对方，否则，应承担相应责任。</w:t>
      </w:r>
    </w:p>
    <w:p w14:paraId="1EC8DACE">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（四）除甲方事先书面同意外，乙方不得部分或全部转让其应履行的合同项下的义务。否则，乙方承担由此造成的一切责任。</w:t>
      </w:r>
    </w:p>
    <w:p w14:paraId="5231E6B7">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（五）本合同未尽事宜，经本合同甲乙双方友好协商一致后，可签订补充协议，补充协议与本合同具有同等法律效力。</w:t>
      </w:r>
    </w:p>
    <w:p w14:paraId="4029D408">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（六）合同生效</w:t>
      </w:r>
    </w:p>
    <w:p w14:paraId="3DF8EC52">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1. 本合同在甲乙双方法定代表人或其授权代表签字盖章后生效。</w:t>
      </w:r>
    </w:p>
    <w:p w14:paraId="2A69ACE7">
      <w:pPr>
        <w:widowControl/>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 合同一式四份，均具有等同的法律效应。甲方执三份，乙方执一份。</w:t>
      </w:r>
    </w:p>
    <w:p w14:paraId="1BE9619D">
      <w:pPr>
        <w:spacing w:line="400" w:lineRule="exact"/>
        <w:rPr>
          <w:rFonts w:hint="eastAsia" w:ascii="仿宋" w:hAnsi="仿宋" w:eastAsia="仿宋" w:cs="仿宋"/>
          <w:sz w:val="24"/>
        </w:rPr>
      </w:pPr>
      <w:r>
        <w:rPr>
          <w:rFonts w:hint="eastAsia" w:ascii="仿宋" w:hAnsi="仿宋" w:eastAsia="仿宋" w:cs="仿宋"/>
          <w:sz w:val="24"/>
        </w:rPr>
        <w:t>（以下无合同正文）</w:t>
      </w:r>
    </w:p>
    <w:p w14:paraId="13561D57">
      <w:pPr>
        <w:spacing w:line="400" w:lineRule="exact"/>
        <w:rPr>
          <w:rFonts w:ascii="Calibri" w:hAnsi="Calibri" w:eastAsia="宋体" w:cs="Times New Roman"/>
          <w:color w:val="0070C0"/>
          <w:lang w:eastAsia="zh-Hans"/>
        </w:rPr>
      </w:pPr>
    </w:p>
    <w:p w14:paraId="24B891C6">
      <w:pPr>
        <w:spacing w:line="400" w:lineRule="exact"/>
        <w:ind w:left="1439" w:leftChars="228" w:hanging="960" w:hangingChars="400"/>
        <w:rPr>
          <w:rFonts w:hint="eastAsia" w:ascii="仿宋" w:hAnsi="仿宋" w:eastAsia="仿宋" w:cs="仿宋"/>
          <w:sz w:val="24"/>
          <w:lang w:eastAsia="zh-CN"/>
        </w:rPr>
      </w:pPr>
      <w:r>
        <w:rPr>
          <w:rFonts w:hint="eastAsia" w:ascii="仿宋" w:hAnsi="仿宋" w:eastAsia="仿宋" w:cs="仿宋"/>
          <w:sz w:val="24"/>
        </w:rPr>
        <w:t>附件：1.广州医科大学附属中医医院食堂餐饮服务月度质量综合考评表</w:t>
      </w:r>
      <w:r>
        <w:rPr>
          <w:rFonts w:hint="eastAsia" w:ascii="仿宋" w:hAnsi="仿宋" w:eastAsia="仿宋" w:cs="仿宋"/>
          <w:sz w:val="24"/>
          <w:lang w:eastAsia="zh-CN"/>
        </w:rPr>
        <w:t>（</w:t>
      </w:r>
      <w:r>
        <w:rPr>
          <w:rFonts w:hint="eastAsia" w:ascii="仿宋" w:hAnsi="仿宋" w:eastAsia="仿宋" w:cs="仿宋"/>
          <w:sz w:val="24"/>
          <w:lang w:val="en-US" w:eastAsia="zh-CN"/>
        </w:rPr>
        <w:t>参考</w:t>
      </w:r>
      <w:r>
        <w:rPr>
          <w:rFonts w:hint="eastAsia" w:ascii="仿宋" w:hAnsi="仿宋" w:eastAsia="仿宋" w:cs="仿宋"/>
          <w:sz w:val="24"/>
          <w:lang w:eastAsia="zh-CN"/>
        </w:rPr>
        <w:t>）</w:t>
      </w:r>
    </w:p>
    <w:p w14:paraId="4AA2611A">
      <w:pPr>
        <w:spacing w:line="400" w:lineRule="exact"/>
        <w:ind w:firstLine="1200" w:firstLineChars="500"/>
        <w:rPr>
          <w:rFonts w:hint="eastAsia" w:ascii="仿宋" w:hAnsi="仿宋" w:eastAsia="仿宋" w:cs="仿宋"/>
          <w:sz w:val="24"/>
        </w:rPr>
      </w:pPr>
      <w:r>
        <w:rPr>
          <w:rFonts w:hint="eastAsia" w:ascii="仿宋" w:hAnsi="仿宋" w:eastAsia="仿宋" w:cs="仿宋"/>
          <w:sz w:val="24"/>
        </w:rPr>
        <w:t>2.广州医科大学附属中医医院食堂餐饮服务月度膳食服务评价表</w:t>
      </w:r>
    </w:p>
    <w:p w14:paraId="792B92DE">
      <w:pPr>
        <w:spacing w:line="400" w:lineRule="exact"/>
        <w:ind w:firstLine="1200" w:firstLineChars="500"/>
        <w:rPr>
          <w:rFonts w:hint="eastAsia" w:ascii="仿宋" w:hAnsi="仿宋" w:eastAsia="仿宋" w:cs="仿宋"/>
          <w:sz w:val="24"/>
        </w:rPr>
      </w:pPr>
      <w:r>
        <w:rPr>
          <w:rFonts w:hint="eastAsia" w:ascii="仿宋" w:hAnsi="仿宋" w:eastAsia="仿宋" w:cs="仿宋"/>
          <w:sz w:val="24"/>
        </w:rPr>
        <w:t>3.智能化餐饮系统功能需求</w:t>
      </w:r>
    </w:p>
    <w:p w14:paraId="68D0E930">
      <w:pPr>
        <w:spacing w:line="400" w:lineRule="exact"/>
        <w:ind w:firstLine="1200" w:firstLineChars="500"/>
        <w:rPr>
          <w:rFonts w:hint="eastAsia" w:ascii="仿宋" w:hAnsi="仿宋" w:eastAsia="仿宋" w:cs="仿宋"/>
          <w:sz w:val="24"/>
          <w:lang w:eastAsia="zh-CN"/>
        </w:rPr>
      </w:pPr>
      <w:r>
        <w:rPr>
          <w:rFonts w:hint="eastAsia" w:ascii="仿宋" w:hAnsi="仿宋" w:eastAsia="仿宋" w:cs="仿宋"/>
          <w:sz w:val="24"/>
        </w:rPr>
        <w:t>4.广州医科大学附属中医医院食堂餐饮服务货物抽检标准</w:t>
      </w:r>
      <w:r>
        <w:rPr>
          <w:rFonts w:hint="eastAsia" w:ascii="仿宋" w:hAnsi="仿宋" w:eastAsia="仿宋" w:cs="仿宋"/>
          <w:sz w:val="24"/>
          <w:lang w:eastAsia="zh-CN"/>
        </w:rPr>
        <w:t>（</w:t>
      </w:r>
      <w:r>
        <w:rPr>
          <w:rFonts w:hint="eastAsia" w:ascii="仿宋" w:hAnsi="仿宋" w:eastAsia="仿宋" w:cs="仿宋"/>
          <w:sz w:val="24"/>
          <w:lang w:val="en-US" w:eastAsia="zh-CN"/>
        </w:rPr>
        <w:t>参考</w:t>
      </w:r>
      <w:r>
        <w:rPr>
          <w:rFonts w:hint="eastAsia" w:ascii="仿宋" w:hAnsi="仿宋" w:eastAsia="仿宋" w:cs="仿宋"/>
          <w:sz w:val="24"/>
          <w:lang w:eastAsia="zh-CN"/>
        </w:rPr>
        <w:t>）</w:t>
      </w:r>
    </w:p>
    <w:p w14:paraId="28065BBF">
      <w:pPr>
        <w:spacing w:line="400" w:lineRule="exact"/>
        <w:ind w:firstLine="1200" w:firstLineChars="500"/>
        <w:rPr>
          <w:rFonts w:hint="eastAsia" w:ascii="仿宋" w:hAnsi="仿宋" w:eastAsia="仿宋" w:cs="仿宋"/>
          <w:sz w:val="24"/>
        </w:rPr>
      </w:pPr>
      <w:r>
        <w:rPr>
          <w:rFonts w:hint="eastAsia" w:ascii="仿宋" w:hAnsi="仿宋" w:eastAsia="仿宋" w:cs="仿宋"/>
          <w:sz w:val="24"/>
        </w:rPr>
        <w:t>5.廉洁协议书</w:t>
      </w:r>
    </w:p>
    <w:p w14:paraId="423F2758">
      <w:pPr>
        <w:spacing w:line="400" w:lineRule="exact"/>
        <w:ind w:firstLine="1200" w:firstLineChars="500"/>
        <w:rPr>
          <w:rFonts w:hint="eastAsia" w:ascii="仿宋" w:hAnsi="仿宋" w:eastAsia="仿宋" w:cs="仿宋"/>
          <w:sz w:val="24"/>
        </w:rPr>
      </w:pPr>
      <w:r>
        <w:rPr>
          <w:rFonts w:hint="eastAsia" w:ascii="仿宋" w:hAnsi="仿宋" w:eastAsia="仿宋" w:cs="仿宋"/>
          <w:sz w:val="24"/>
        </w:rPr>
        <w:t>6.广州医科大学附属中医医院医院与第三方单位安全生产责任书</w:t>
      </w:r>
    </w:p>
    <w:p w14:paraId="4F8004BA">
      <w:pPr>
        <w:spacing w:line="400" w:lineRule="exact"/>
        <w:rPr>
          <w:rFonts w:ascii="Calibri" w:hAnsi="Calibri" w:eastAsia="宋体" w:cs="Times New Roman"/>
          <w:color w:val="0070C0"/>
          <w:lang w:eastAsia="zh-Hans"/>
        </w:rPr>
      </w:pPr>
    </w:p>
    <w:tbl>
      <w:tblPr>
        <w:tblStyle w:val="1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473"/>
        <w:gridCol w:w="5043"/>
      </w:tblGrid>
      <w:tr w14:paraId="7E24FB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3696" w:type="dxa"/>
            <w:tcBorders>
              <w:top w:val="nil"/>
              <w:left w:val="nil"/>
              <w:bottom w:val="nil"/>
              <w:right w:val="nil"/>
            </w:tcBorders>
            <w:tcMar>
              <w:top w:w="0" w:type="dxa"/>
              <w:left w:w="105" w:type="dxa"/>
              <w:bottom w:w="0" w:type="dxa"/>
              <w:right w:w="105" w:type="dxa"/>
            </w:tcMar>
          </w:tcPr>
          <w:p w14:paraId="0C1316E7">
            <w:pPr>
              <w:rPr>
                <w:rFonts w:ascii="Calibri" w:hAnsi="Calibri" w:eastAsia="宋体" w:cs="Times New Roman"/>
                <w:color w:val="0070C0"/>
                <w:lang w:eastAsia="zh-Hans"/>
              </w:rPr>
            </w:pPr>
            <w:r>
              <w:rPr>
                <w:rFonts w:hint="eastAsia" w:ascii="Calibri" w:hAnsi="Calibri" w:eastAsia="宋体" w:cs="Times New Roman"/>
                <w:color w:val="0070C0"/>
                <w:lang w:eastAsia="zh-Hans"/>
              </w:rPr>
              <w:t>甲方（盖章）：</w:t>
            </w:r>
          </w:p>
        </w:tc>
        <w:tc>
          <w:tcPr>
            <w:tcW w:w="5400" w:type="dxa"/>
            <w:tcBorders>
              <w:top w:val="nil"/>
              <w:left w:val="nil"/>
              <w:bottom w:val="nil"/>
              <w:right w:val="nil"/>
            </w:tcBorders>
            <w:tcMar>
              <w:top w:w="0" w:type="dxa"/>
              <w:left w:w="105" w:type="dxa"/>
              <w:bottom w:w="0" w:type="dxa"/>
              <w:right w:w="105" w:type="dxa"/>
            </w:tcMar>
          </w:tcPr>
          <w:p w14:paraId="1D1E5BE1">
            <w:pPr>
              <w:rPr>
                <w:rFonts w:ascii="Calibri" w:hAnsi="Calibri" w:eastAsia="宋体" w:cs="Times New Roman"/>
                <w:color w:val="0070C0"/>
                <w:lang w:eastAsia="zh-Hans"/>
              </w:rPr>
            </w:pPr>
            <w:r>
              <w:rPr>
                <w:rFonts w:hint="eastAsia" w:ascii="Calibri" w:hAnsi="Calibri" w:eastAsia="宋体" w:cs="Times New Roman"/>
                <w:color w:val="0070C0"/>
                <w:lang w:eastAsia="zh-Hans"/>
              </w:rPr>
              <w:t>乙方（盖章）：</w:t>
            </w:r>
          </w:p>
        </w:tc>
      </w:tr>
      <w:tr w14:paraId="0AE861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3696" w:type="dxa"/>
            <w:tcBorders>
              <w:top w:val="nil"/>
              <w:left w:val="nil"/>
              <w:bottom w:val="nil"/>
              <w:right w:val="nil"/>
            </w:tcBorders>
            <w:tcMar>
              <w:top w:w="0" w:type="dxa"/>
              <w:left w:w="105" w:type="dxa"/>
              <w:bottom w:w="0" w:type="dxa"/>
              <w:right w:w="105" w:type="dxa"/>
            </w:tcMar>
          </w:tcPr>
          <w:p w14:paraId="18A4750E">
            <w:pPr>
              <w:rPr>
                <w:rFonts w:ascii="Calibri" w:hAnsi="Calibri" w:eastAsia="宋体" w:cs="Times New Roman"/>
                <w:color w:val="0070C0"/>
                <w:lang w:eastAsia="zh-Hans"/>
              </w:rPr>
            </w:pPr>
            <w:r>
              <w:rPr>
                <w:rFonts w:hint="eastAsia" w:ascii="Calibri" w:hAnsi="Calibri" w:eastAsia="宋体" w:cs="Times New Roman"/>
                <w:color w:val="0070C0"/>
              </w:rPr>
              <w:t>法人代表</w:t>
            </w:r>
            <w:r>
              <w:rPr>
                <w:rFonts w:hint="eastAsia" w:ascii="Calibri" w:hAnsi="Calibri" w:eastAsia="宋体" w:cs="Times New Roman"/>
                <w:color w:val="0070C0"/>
                <w:lang w:eastAsia="zh-Hans"/>
              </w:rPr>
              <w:t>：</w:t>
            </w:r>
          </w:p>
        </w:tc>
        <w:tc>
          <w:tcPr>
            <w:tcW w:w="5400" w:type="dxa"/>
            <w:tcBorders>
              <w:top w:val="nil"/>
              <w:left w:val="nil"/>
              <w:bottom w:val="nil"/>
              <w:right w:val="nil"/>
            </w:tcBorders>
            <w:tcMar>
              <w:top w:w="0" w:type="dxa"/>
              <w:left w:w="105" w:type="dxa"/>
              <w:bottom w:w="0" w:type="dxa"/>
              <w:right w:w="105" w:type="dxa"/>
            </w:tcMar>
          </w:tcPr>
          <w:p w14:paraId="050F46E4">
            <w:pPr>
              <w:rPr>
                <w:rFonts w:ascii="Calibri" w:hAnsi="Calibri" w:eastAsia="宋体" w:cs="Times New Roman"/>
                <w:color w:val="0070C0"/>
                <w:lang w:eastAsia="zh-Hans"/>
              </w:rPr>
            </w:pPr>
            <w:r>
              <w:rPr>
                <w:rFonts w:hint="eastAsia" w:ascii="Calibri" w:hAnsi="Calibri" w:eastAsia="宋体" w:cs="Times New Roman"/>
                <w:color w:val="0070C0"/>
              </w:rPr>
              <w:t>法人代表</w:t>
            </w:r>
            <w:r>
              <w:rPr>
                <w:rFonts w:hint="eastAsia" w:ascii="Calibri" w:hAnsi="Calibri" w:eastAsia="宋体" w:cs="Times New Roman"/>
                <w:color w:val="0070C0"/>
                <w:lang w:eastAsia="zh-Hans"/>
              </w:rPr>
              <w:t>：</w:t>
            </w:r>
          </w:p>
        </w:tc>
      </w:tr>
      <w:tr w14:paraId="1F5B3D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3696" w:type="dxa"/>
            <w:tcBorders>
              <w:top w:val="nil"/>
              <w:left w:val="nil"/>
              <w:bottom w:val="nil"/>
              <w:right w:val="nil"/>
            </w:tcBorders>
            <w:tcMar>
              <w:top w:w="0" w:type="dxa"/>
              <w:left w:w="105" w:type="dxa"/>
              <w:bottom w:w="0" w:type="dxa"/>
              <w:right w:w="105" w:type="dxa"/>
            </w:tcMar>
          </w:tcPr>
          <w:p w14:paraId="4AF0805C">
            <w:pPr>
              <w:rPr>
                <w:rFonts w:ascii="Calibri" w:hAnsi="Calibri" w:eastAsia="宋体" w:cs="Times New Roman"/>
                <w:color w:val="0070C0"/>
                <w:lang w:eastAsia="zh-Hans"/>
              </w:rPr>
            </w:pPr>
            <w:r>
              <w:rPr>
                <w:rFonts w:hint="eastAsia" w:ascii="Calibri" w:hAnsi="Calibri" w:eastAsia="宋体" w:cs="Times New Roman"/>
                <w:color w:val="0070C0"/>
                <w:lang w:eastAsia="zh-Hans"/>
              </w:rPr>
              <w:t>签订日期：</w:t>
            </w:r>
            <w:r>
              <w:rPr>
                <w:rFonts w:hint="eastAsia" w:ascii="Calibri" w:hAnsi="Calibri" w:eastAsia="宋体" w:cs="Times New Roman"/>
                <w:color w:val="0070C0"/>
              </w:rPr>
              <w:t xml:space="preserve">   </w:t>
            </w:r>
            <w:r>
              <w:rPr>
                <w:rFonts w:hint="eastAsia" w:ascii="Calibri" w:hAnsi="Calibri" w:eastAsia="宋体" w:cs="Times New Roman"/>
                <w:color w:val="0070C0"/>
                <w:lang w:eastAsia="zh-Hans"/>
              </w:rPr>
              <w:t>年     月     日</w:t>
            </w:r>
          </w:p>
        </w:tc>
        <w:tc>
          <w:tcPr>
            <w:tcW w:w="5400" w:type="dxa"/>
            <w:tcBorders>
              <w:top w:val="nil"/>
              <w:left w:val="nil"/>
              <w:bottom w:val="nil"/>
              <w:right w:val="nil"/>
            </w:tcBorders>
            <w:tcMar>
              <w:top w:w="0" w:type="dxa"/>
              <w:left w:w="105" w:type="dxa"/>
              <w:bottom w:w="0" w:type="dxa"/>
              <w:right w:w="105" w:type="dxa"/>
            </w:tcMar>
          </w:tcPr>
          <w:p w14:paraId="7E0BFACE">
            <w:pPr>
              <w:rPr>
                <w:rFonts w:ascii="Calibri" w:hAnsi="Calibri" w:eastAsia="宋体" w:cs="Times New Roman"/>
                <w:color w:val="0070C0"/>
                <w:lang w:eastAsia="zh-Hans"/>
              </w:rPr>
            </w:pPr>
            <w:r>
              <w:rPr>
                <w:rFonts w:hint="eastAsia" w:ascii="Calibri" w:hAnsi="Calibri" w:eastAsia="宋体" w:cs="Times New Roman"/>
                <w:color w:val="0070C0"/>
                <w:lang w:eastAsia="zh-Hans"/>
              </w:rPr>
              <w:t>签订日期：</w:t>
            </w:r>
            <w:r>
              <w:rPr>
                <w:rFonts w:hint="eastAsia" w:ascii="Calibri" w:hAnsi="Calibri" w:eastAsia="宋体" w:cs="Times New Roman"/>
                <w:color w:val="0070C0"/>
              </w:rPr>
              <w:t xml:space="preserve">    </w:t>
            </w:r>
            <w:r>
              <w:rPr>
                <w:rFonts w:hint="eastAsia" w:ascii="Calibri" w:hAnsi="Calibri" w:eastAsia="宋体" w:cs="Times New Roman"/>
                <w:color w:val="0070C0"/>
                <w:lang w:eastAsia="zh-Hans"/>
              </w:rPr>
              <w:t>年   月     日</w:t>
            </w:r>
          </w:p>
        </w:tc>
      </w:tr>
      <w:tr w14:paraId="1BDCCF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696" w:type="dxa"/>
            <w:tcBorders>
              <w:top w:val="nil"/>
              <w:left w:val="nil"/>
              <w:bottom w:val="nil"/>
              <w:right w:val="nil"/>
            </w:tcBorders>
            <w:tcMar>
              <w:top w:w="0" w:type="dxa"/>
              <w:left w:w="105" w:type="dxa"/>
              <w:bottom w:w="0" w:type="dxa"/>
              <w:right w:w="105" w:type="dxa"/>
            </w:tcMar>
          </w:tcPr>
          <w:p w14:paraId="56A0FDFB">
            <w:pPr>
              <w:rPr>
                <w:rFonts w:ascii="Calibri" w:hAnsi="Calibri" w:eastAsia="宋体" w:cs="Times New Roman"/>
                <w:color w:val="0070C0"/>
                <w:lang w:eastAsia="zh-Hans"/>
              </w:rPr>
            </w:pPr>
          </w:p>
        </w:tc>
        <w:tc>
          <w:tcPr>
            <w:tcW w:w="5400" w:type="dxa"/>
            <w:tcBorders>
              <w:top w:val="nil"/>
              <w:left w:val="nil"/>
              <w:bottom w:val="nil"/>
              <w:right w:val="nil"/>
            </w:tcBorders>
            <w:tcMar>
              <w:top w:w="0" w:type="dxa"/>
              <w:left w:w="105" w:type="dxa"/>
              <w:bottom w:w="0" w:type="dxa"/>
              <w:right w:w="105" w:type="dxa"/>
            </w:tcMar>
          </w:tcPr>
          <w:p w14:paraId="0F8DFAA6">
            <w:pPr>
              <w:rPr>
                <w:rFonts w:ascii="Calibri" w:hAnsi="Calibri" w:eastAsia="宋体" w:cs="Times New Roman"/>
                <w:color w:val="0070C0"/>
                <w:lang w:eastAsia="zh-Hans"/>
              </w:rPr>
            </w:pPr>
            <w:r>
              <w:rPr>
                <w:rFonts w:hint="eastAsia" w:ascii="Calibri" w:hAnsi="Calibri" w:eastAsia="宋体" w:cs="Times New Roman"/>
                <w:color w:val="0070C0"/>
                <w:lang w:eastAsia="zh-Hans"/>
              </w:rPr>
              <w:t>开户名称：</w:t>
            </w:r>
          </w:p>
        </w:tc>
      </w:tr>
      <w:tr w14:paraId="39DF9B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3696" w:type="dxa"/>
            <w:tcBorders>
              <w:top w:val="nil"/>
              <w:left w:val="nil"/>
              <w:bottom w:val="nil"/>
              <w:right w:val="nil"/>
            </w:tcBorders>
            <w:tcMar>
              <w:top w:w="0" w:type="dxa"/>
              <w:left w:w="105" w:type="dxa"/>
              <w:bottom w:w="0" w:type="dxa"/>
              <w:right w:w="105" w:type="dxa"/>
            </w:tcMar>
          </w:tcPr>
          <w:p w14:paraId="57360CE1">
            <w:pPr>
              <w:rPr>
                <w:rFonts w:ascii="Calibri" w:hAnsi="Calibri" w:eastAsia="宋体" w:cs="Times New Roman"/>
                <w:color w:val="0070C0"/>
                <w:lang w:eastAsia="zh-Hans"/>
              </w:rPr>
            </w:pPr>
          </w:p>
        </w:tc>
        <w:tc>
          <w:tcPr>
            <w:tcW w:w="5400" w:type="dxa"/>
            <w:tcBorders>
              <w:top w:val="nil"/>
              <w:left w:val="nil"/>
              <w:bottom w:val="nil"/>
              <w:right w:val="nil"/>
            </w:tcBorders>
            <w:tcMar>
              <w:top w:w="0" w:type="dxa"/>
              <w:left w:w="105" w:type="dxa"/>
              <w:bottom w:w="0" w:type="dxa"/>
              <w:right w:w="105" w:type="dxa"/>
            </w:tcMar>
          </w:tcPr>
          <w:p w14:paraId="124E3CFC">
            <w:pPr>
              <w:rPr>
                <w:rFonts w:ascii="Calibri" w:hAnsi="Calibri" w:eastAsia="宋体" w:cs="Times New Roman"/>
                <w:color w:val="0070C0"/>
                <w:lang w:eastAsia="zh-Hans"/>
              </w:rPr>
            </w:pPr>
            <w:r>
              <w:rPr>
                <w:rFonts w:hint="eastAsia" w:ascii="Calibri" w:hAnsi="Calibri" w:eastAsia="宋体" w:cs="Times New Roman"/>
                <w:color w:val="0070C0"/>
                <w:lang w:eastAsia="zh-Hans"/>
              </w:rPr>
              <w:t>银行帐号：</w:t>
            </w:r>
          </w:p>
        </w:tc>
      </w:tr>
      <w:tr w14:paraId="056BEB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696" w:type="dxa"/>
            <w:tcBorders>
              <w:top w:val="nil"/>
              <w:left w:val="nil"/>
              <w:bottom w:val="nil"/>
              <w:right w:val="nil"/>
            </w:tcBorders>
            <w:tcMar>
              <w:top w:w="0" w:type="dxa"/>
              <w:left w:w="105" w:type="dxa"/>
              <w:bottom w:w="0" w:type="dxa"/>
              <w:right w:w="105" w:type="dxa"/>
            </w:tcMar>
          </w:tcPr>
          <w:p w14:paraId="5877A648">
            <w:pPr>
              <w:rPr>
                <w:rFonts w:ascii="Calibri" w:hAnsi="Calibri" w:eastAsia="宋体" w:cs="Times New Roman"/>
                <w:color w:val="0070C0"/>
                <w:lang w:eastAsia="zh-Hans"/>
              </w:rPr>
            </w:pPr>
          </w:p>
        </w:tc>
        <w:tc>
          <w:tcPr>
            <w:tcW w:w="5400" w:type="dxa"/>
            <w:tcBorders>
              <w:top w:val="nil"/>
              <w:left w:val="nil"/>
              <w:bottom w:val="nil"/>
              <w:right w:val="nil"/>
            </w:tcBorders>
            <w:tcMar>
              <w:top w:w="0" w:type="dxa"/>
              <w:left w:w="105" w:type="dxa"/>
              <w:bottom w:w="0" w:type="dxa"/>
              <w:right w:w="105" w:type="dxa"/>
            </w:tcMar>
          </w:tcPr>
          <w:p w14:paraId="5E0F5ADC">
            <w:pPr>
              <w:rPr>
                <w:rFonts w:ascii="Calibri" w:hAnsi="Calibri" w:eastAsia="宋体" w:cs="Times New Roman"/>
                <w:color w:val="0070C0"/>
                <w:lang w:eastAsia="zh-Hans"/>
              </w:rPr>
            </w:pPr>
            <w:r>
              <w:rPr>
                <w:rFonts w:hint="eastAsia" w:ascii="Calibri" w:hAnsi="Calibri" w:eastAsia="宋体" w:cs="Times New Roman"/>
                <w:color w:val="0070C0"/>
                <w:lang w:eastAsia="zh-Hans"/>
              </w:rPr>
              <w:t>开户行：</w:t>
            </w:r>
          </w:p>
        </w:tc>
      </w:tr>
    </w:tbl>
    <w:p w14:paraId="3149DE3B">
      <w:pPr>
        <w:rPr>
          <w:rFonts w:hint="eastAsia" w:ascii="仿宋" w:hAnsi="仿宋" w:eastAsia="仿宋" w:cs="仿宋"/>
          <w:color w:val="0070C0"/>
          <w:sz w:val="24"/>
        </w:rPr>
      </w:pPr>
      <w:r>
        <w:rPr>
          <w:rFonts w:ascii="仿宋" w:hAnsi="仿宋" w:eastAsia="仿宋" w:cs="仿宋"/>
          <w:color w:val="0070C0"/>
          <w:sz w:val="24"/>
        </w:rPr>
        <w:br w:type="page"/>
      </w:r>
    </w:p>
    <w:p w14:paraId="217189A6">
      <w:pPr>
        <w:widowControl/>
        <w:spacing w:line="440" w:lineRule="exact"/>
        <w:jc w:val="left"/>
        <w:outlineLvl w:val="1"/>
        <w:rPr>
          <w:rFonts w:hint="eastAsia" w:ascii="仿宋" w:hAnsi="仿宋" w:eastAsia="仿宋" w:cs="仿宋"/>
          <w:b/>
          <w:bCs/>
          <w:color w:val="0070C0"/>
          <w:kern w:val="0"/>
          <w:sz w:val="24"/>
        </w:rPr>
      </w:pPr>
      <w:r>
        <w:rPr>
          <w:rFonts w:hint="eastAsia" w:ascii="仿宋" w:hAnsi="仿宋" w:eastAsia="仿宋" w:cs="仿宋"/>
          <w:b/>
          <w:bCs/>
          <w:color w:val="0070C0"/>
          <w:kern w:val="0"/>
          <w:sz w:val="24"/>
        </w:rPr>
        <w:t>附件1</w:t>
      </w:r>
    </w:p>
    <w:tbl>
      <w:tblPr>
        <w:tblStyle w:val="12"/>
        <w:tblW w:w="5600" w:type="pct"/>
        <w:jc w:val="center"/>
        <w:tblLayout w:type="autofit"/>
        <w:tblCellMar>
          <w:top w:w="0" w:type="dxa"/>
          <w:left w:w="108" w:type="dxa"/>
          <w:bottom w:w="0" w:type="dxa"/>
          <w:right w:w="108" w:type="dxa"/>
        </w:tblCellMar>
      </w:tblPr>
      <w:tblGrid>
        <w:gridCol w:w="1208"/>
        <w:gridCol w:w="809"/>
        <w:gridCol w:w="5748"/>
        <w:gridCol w:w="460"/>
        <w:gridCol w:w="540"/>
        <w:gridCol w:w="780"/>
      </w:tblGrid>
      <w:tr w14:paraId="54EED76E">
        <w:tblPrEx>
          <w:tblCellMar>
            <w:top w:w="0" w:type="dxa"/>
            <w:left w:w="108" w:type="dxa"/>
            <w:bottom w:w="0" w:type="dxa"/>
            <w:right w:w="108" w:type="dxa"/>
          </w:tblCellMar>
        </w:tblPrEx>
        <w:trPr>
          <w:wAfter w:w="38" w:type="dxa"/>
          <w:trHeight w:val="340" w:hRule="atLeast"/>
          <w:tblHeader/>
          <w:jc w:val="center"/>
        </w:trPr>
        <w:tc>
          <w:tcPr>
            <w:tcW w:w="5000" w:type="pct"/>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67155A1">
            <w:pPr>
              <w:widowControl/>
              <w:snapToGrid w:val="0"/>
              <w:jc w:val="center"/>
              <w:textAlignment w:val="center"/>
              <w:rPr>
                <w:rFonts w:hint="eastAsia" w:ascii="宋体" w:hAnsi="宋体" w:eastAsia="宋体" w:cs="宋体"/>
                <w:b/>
                <w:bCs/>
                <w:sz w:val="28"/>
                <w:szCs w:val="28"/>
              </w:rPr>
            </w:pPr>
            <w:r>
              <w:rPr>
                <w:rFonts w:hint="eastAsia" w:ascii="宋体" w:hAnsi="宋体" w:eastAsia="宋体" w:cs="宋体"/>
                <w:b/>
                <w:bCs/>
                <w:kern w:val="0"/>
                <w:sz w:val="28"/>
                <w:szCs w:val="28"/>
                <w:lang w:bidi="ar"/>
              </w:rPr>
              <w:t>广州医科大学附属中医医院食堂餐饮服务月度质量综合考评表（参考）</w:t>
            </w:r>
          </w:p>
        </w:tc>
      </w:tr>
      <w:tr w14:paraId="6607F74B">
        <w:tblPrEx>
          <w:tblCellMar>
            <w:top w:w="0" w:type="dxa"/>
            <w:left w:w="108" w:type="dxa"/>
            <w:bottom w:w="0" w:type="dxa"/>
            <w:right w:w="108" w:type="dxa"/>
          </w:tblCellMar>
        </w:tblPrEx>
        <w:trPr>
          <w:wAfter w:w="38" w:type="dxa"/>
          <w:trHeight w:val="340" w:hRule="atLeast"/>
          <w:tblHeader/>
          <w:jc w:val="center"/>
        </w:trPr>
        <w:tc>
          <w:tcPr>
            <w:tcW w:w="633" w:type="pct"/>
            <w:tcBorders>
              <w:top w:val="single" w:color="000000" w:sz="4" w:space="0"/>
              <w:left w:val="single" w:color="000000" w:sz="4" w:space="0"/>
              <w:bottom w:val="nil"/>
              <w:right w:val="nil"/>
            </w:tcBorders>
            <w:tcMar>
              <w:top w:w="-1" w:type="dxa"/>
              <w:left w:w="-1" w:type="dxa"/>
              <w:bottom w:w="-1" w:type="dxa"/>
              <w:right w:w="-1" w:type="dxa"/>
            </w:tcMar>
            <w:vAlign w:val="center"/>
          </w:tcPr>
          <w:p w14:paraId="69CB7DE9">
            <w:pPr>
              <w:widowControl/>
              <w:snapToGrid w:val="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考核模块</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3EAA4383">
            <w:pPr>
              <w:widowControl/>
              <w:snapToGrid w:val="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评价指标</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24ECD9B3">
            <w:pPr>
              <w:widowControl/>
              <w:snapToGrid w:val="0"/>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考核标准</w:t>
            </w:r>
          </w:p>
        </w:tc>
        <w:tc>
          <w:tcPr>
            <w:tcW w:w="241" w:type="pct"/>
            <w:tcBorders>
              <w:top w:val="single" w:color="000000" w:sz="4" w:space="0"/>
              <w:left w:val="single" w:color="000000" w:sz="4" w:space="0"/>
              <w:bottom w:val="nil"/>
              <w:right w:val="nil"/>
            </w:tcBorders>
            <w:tcMar>
              <w:top w:w="-1" w:type="dxa"/>
              <w:left w:w="-1" w:type="dxa"/>
              <w:bottom w:w="-1" w:type="dxa"/>
              <w:right w:w="-1" w:type="dxa"/>
            </w:tcMar>
            <w:vAlign w:val="center"/>
          </w:tcPr>
          <w:p w14:paraId="2D686B17">
            <w:pPr>
              <w:widowControl/>
              <w:snapToGrid w:val="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分值</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19E11AA3">
            <w:pPr>
              <w:widowControl/>
              <w:snapToGrid w:val="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得分</w:t>
            </w: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6BC7AB6A">
            <w:pPr>
              <w:widowControl/>
              <w:snapToGrid w:val="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扣罚条款</w:t>
            </w:r>
          </w:p>
        </w:tc>
      </w:tr>
      <w:tr w14:paraId="754EF5C4">
        <w:tblPrEx>
          <w:tblCellMar>
            <w:top w:w="0" w:type="dxa"/>
            <w:left w:w="108" w:type="dxa"/>
            <w:bottom w:w="0" w:type="dxa"/>
            <w:right w:w="108" w:type="dxa"/>
          </w:tblCellMar>
        </w:tblPrEx>
        <w:trPr>
          <w:wAfter w:w="38" w:type="dxa"/>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5AA6E6C4">
            <w:pPr>
              <w:widowControl/>
              <w:snapToGrid w:val="0"/>
              <w:jc w:val="center"/>
              <w:textAlignment w:val="center"/>
              <w:rPr>
                <w:rFonts w:hint="eastAsia" w:ascii="宋体" w:hAnsi="宋体" w:eastAsia="宋体" w:cs="宋体"/>
                <w:sz w:val="18"/>
                <w:szCs w:val="20"/>
              </w:rPr>
            </w:pPr>
            <w:r>
              <w:rPr>
                <w:rStyle w:val="31"/>
                <w:rFonts w:hint="default"/>
                <w:color w:val="auto"/>
                <w:sz w:val="18"/>
                <w:lang w:bidi="ar"/>
              </w:rPr>
              <w:t>安全管理（25分）</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4FEFC3F8">
            <w:pPr>
              <w:widowControl/>
              <w:snapToGrid w:val="0"/>
              <w:jc w:val="center"/>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生产</w:t>
            </w:r>
          </w:p>
          <w:p w14:paraId="3C3DE7F9">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安全</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2DF8FDFF">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投标人须建立全套食品安全及运营管理台账，所有关键记录必须实时、完整、真实、可追溯，包含但不限于：日常巡查、餐具器具消毒、食品48小时留样、食品添加剂采购及使用、燃气/用电安全、全域卫生检查、外来人员出入登记、冷库/冷藏设备温度监测、消毒药剂配制与使用、食材农残及安全检测、全员每日健康晨检、安全及食品安全培训等台账资料；严禁缺项漏填、事后补录、虚假编造、篡改台账记录，一经发现从严扣分。</w:t>
            </w:r>
          </w:p>
          <w:p w14:paraId="4434DE80">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严格落实食材入库验收全流程管理，安排专人双人验收，严禁验收及使用腐烂变质、异味霉变、包装破损、过期临期、来源不明、资质不全、感官异常的不合格食材；严禁采购、储存、使用任何非食用物质、违禁添加剂、过期原辅材料及三无产品，杜绝不合格食材流入加工环节。</w:t>
            </w:r>
          </w:p>
          <w:p w14:paraId="3B48BD8D">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3.食品添加剂采购、储存、领用、配比、使用全过程严格遵循《食品安全国家标准 食品添加剂使用标准》（GB2760）规范要求，实行专人专管、专柜上锁、限量领用、精准配比；严禁超范围、超限量使用食品添加剂，严禁违规使用非食品类添加剂、工业原料及违禁化学品。</w:t>
            </w:r>
          </w:p>
          <w:p w14:paraId="709C9706">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4.严格查验原料、半成品感官状态，凡存在腐烂、变质、异味、霉变、虫蛀、污染等异常问题，一律禁止清洗、加工、烹制及售卖，严防问题食品流入餐桌。</w:t>
            </w:r>
          </w:p>
          <w:p w14:paraId="425AA1FD">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5.熟制食品需按规范快速冷却、分区密闭冷藏储存，严格管控储存温度与存放时限；待用食材、半成品、成品、厨具器具须全覆盖密闭防护，杜绝裸露存放、交叉污染、蚊虫粉尘污染。</w:t>
            </w:r>
          </w:p>
          <w:p w14:paraId="2A053476">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严格执行食品留样管理制度，每餐每品种必须规范留样，留样量不少于150g，冷藏密闭存放满48小时，留样标签信息完整（品名、日期、餐次、制作人），专人管理、台账清晰，杜绝少留、漏留、不留、混放、超时丢弃等违规行为。</w:t>
            </w:r>
          </w:p>
          <w:p w14:paraId="24BA6CA2">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7.全域开展安全风险常态化排查，库房挂架、储物货架严禁超重堆放、违规置物；物品分类分区规范存放，全面防范高空坠物、地面湿滑摔倒、尖锐器械碰撞、密闭空间锁闭、设备漏电等各类安全隐患。</w:t>
            </w:r>
          </w:p>
          <w:p w14:paraId="1EE64D8F">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厨房设备、烹调器具、砧板刀具、餐具器皿、运输容器等须定期维护检修，确保完好合规、正常运行；严格执行“一洗、二清、三消毒、四保洁”流程，全员规范落实清洗消毒操作，杜绝清洗不彻底、消毒不到位、器具混放混用问题，严防加工、清洗、存放环节交叉污染，保洁后器具定点密闭存放，保持洁净干燥。</w:t>
            </w:r>
          </w:p>
          <w:p w14:paraId="043A1E1A">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未按合同消防安全条款执行，年度燃气报警装置第三方年检CMA/CNAS资质检测报告未完成，消防器材配备不全、维护不善无法正常使用；未建立完整消防档案、资料缺失或留存不足三年；未落实燃气分级巡查制度，巡查记录不实、隐患未闭环整改、重大隐患未及时上报。</w:t>
            </w:r>
            <w:r>
              <w:rPr>
                <w:rFonts w:hint="eastAsia" w:ascii="宋体" w:hAnsi="宋体" w:eastAsia="宋体" w:cs="宋体"/>
                <w:kern w:val="0"/>
                <w:sz w:val="18"/>
                <w:szCs w:val="18"/>
                <w:lang w:bidi="ar"/>
              </w:rPr>
              <w:br w:type="textWrapping"/>
            </w:r>
            <w:r>
              <w:rPr>
                <w:rFonts w:hint="eastAsia" w:ascii="宋体" w:hAnsi="宋体" w:eastAsia="宋体" w:cs="宋体"/>
                <w:b/>
                <w:bCs/>
                <w:kern w:val="0"/>
                <w:sz w:val="18"/>
                <w:szCs w:val="18"/>
                <w:lang w:bidi="ar"/>
              </w:rPr>
              <w:t>（发现违反上述规定，每项每次扣0.5分，扣完该项分值为止）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44A172EF">
            <w:pPr>
              <w:widowControl/>
              <w:snapToGrid w:val="0"/>
              <w:jc w:val="left"/>
              <w:textAlignment w:val="center"/>
              <w:rPr>
                <w:rFonts w:ascii="宋体" w:hAnsi="Calibri" w:eastAsia="宋体" w:cs="Calibri"/>
                <w:sz w:val="18"/>
                <w:szCs w:val="20"/>
              </w:rPr>
            </w:pPr>
            <w:r>
              <w:rPr>
                <w:rFonts w:ascii="宋体" w:hAnsi="Calibri" w:eastAsia="宋体" w:cs="Calibri"/>
                <w:kern w:val="0"/>
                <w:sz w:val="18"/>
                <w:szCs w:val="20"/>
                <w:lang w:bidi="ar"/>
              </w:rPr>
              <w:t>6</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00C30A1A">
            <w:pPr>
              <w:snapToGrid w:val="0"/>
              <w:jc w:val="right"/>
              <w:rPr>
                <w:rFonts w:ascii="宋体" w:hAnsi="Calibri" w:eastAsia="宋体" w:cs="Calibri"/>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556741AA">
            <w:pPr>
              <w:snapToGrid w:val="0"/>
              <w:jc w:val="right"/>
              <w:rPr>
                <w:rFonts w:ascii="宋体" w:hAnsi="Calibri" w:eastAsia="宋体" w:cs="Calibri"/>
                <w:sz w:val="18"/>
                <w:szCs w:val="20"/>
              </w:rPr>
            </w:pPr>
          </w:p>
        </w:tc>
      </w:tr>
      <w:tr w14:paraId="596FCBAF">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713751CB">
            <w:pPr>
              <w:snapToGrid w:val="0"/>
              <w:jc w:val="center"/>
              <w:rPr>
                <w:rFonts w:hint="eastAsia" w:ascii="宋体" w:hAnsi="宋体" w:eastAsia="宋体" w:cs="宋体"/>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7249C0AB">
            <w:pPr>
              <w:widowControl/>
              <w:snapToGrid w:val="0"/>
              <w:jc w:val="center"/>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操作</w:t>
            </w:r>
          </w:p>
          <w:p w14:paraId="12715DEE">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规范</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222D260A">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所有食材须按加工标准深度清洗、精细化处理，彻底清除泥沙、杂物、虫卵、杂质；水产、禽畜、肉类、蔬果等食材严格落实预处理工序，杜绝残留绒毛、鱼鳞、内脏、泥沙、虫体等异物杂质，保障食材洁净安全。</w:t>
            </w:r>
          </w:p>
          <w:p w14:paraId="39191869">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2.根茎类蔬果按要求统一去皮处理（煲汤类特殊食材除外），所有切配食材大小均匀、厚薄一致、规格统一，符合菜式出品标准；严禁粗放加工、随意切配、粗细混杂。</w:t>
            </w:r>
          </w:p>
          <w:p w14:paraId="12CA58A0">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3.食品原料储存、半成品加工、成品制作全流程严格遵循食品安全操作规范，分区作业、温控达标、时效合规，杜绝违规加工、超时存放、温区超标等问题。</w:t>
            </w:r>
          </w:p>
          <w:p w14:paraId="77B6BBDA">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4.食材解冻严格执行低温冷藏、流水解冻等合规方式，严控解冻温度与时长，严禁反复冷冻、二次解冻、常温长时间裸露解冻，防止食材变质滋生细菌。</w:t>
            </w:r>
          </w:p>
          <w:p w14:paraId="38519035">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实行分区加工、分类存放管理，原料区、半成品区、成品区、清洁区、污染区严格分离；所有食材、原辅材料、包装物料必须离地、隔墙、密闭存放，生熟、荤素、干湿、散装食品、蛋类及高危食材分类隔离存放，杜绝混放、串味、交叉污染。</w:t>
            </w:r>
          </w:p>
          <w:p w14:paraId="2C161E64">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6.食品容器、砧板、刀具、抹布实行色标分区、标识管理，生熟专用、分类使用；配送车辆、周转容器定期清洗消毒，全程密闭运输，严防运输途中污染、混装串货。</w:t>
            </w:r>
          </w:p>
          <w:p w14:paraId="6798B3B3">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7.全体在岗人员严禁在营业及作业区域从事与工作无关行为，严禁吸烟、嬉戏打闹、擅自串岗、私自进入医院办公区域；在岗期间未按规范佩戴帽子、口罩、发网、围裙，擅自摘除防护用具，一律按违规处理。</w:t>
            </w:r>
          </w:p>
          <w:p w14:paraId="6832BDE8">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8.清洁工具分类专用、分区使用，严禁混用抹布、钢丝球等硬质磨损工具加工及清洁食品接触面，防止器具破损、杂质残留。</w:t>
            </w:r>
          </w:p>
          <w:p w14:paraId="7DAC4BFD">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完善健全食堂全域管理制度、设备安全操作规程、消防安全管理制度、突发事件（食品安全事故、公共卫生事件、停水停电等）应急处置预案、食品安全管控制度等全套制度，全部上墙公示、全员熟知、常态化执行。</w:t>
            </w:r>
          </w:p>
          <w:p w14:paraId="55EC1987">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10.各类生产设备、电气设施、消防器材、防护装置标识清晰完整，安全警示标识、操作提示标识完好有效；电气线路、接头、开关定期排查，每日收工后切断非必要电源、气源，常态化排查整改各类安全隐患。</w:t>
            </w:r>
          </w:p>
          <w:p w14:paraId="5D9C2A2E">
            <w:pPr>
              <w:widowControl/>
              <w:snapToGrid w:val="0"/>
              <w:jc w:val="left"/>
              <w:textAlignment w:val="center"/>
              <w:rPr>
                <w:rFonts w:hint="eastAsia" w:ascii="宋体" w:hAnsi="宋体" w:eastAsia="宋体" w:cs="宋体"/>
                <w:b/>
                <w:bCs/>
                <w:kern w:val="0"/>
                <w:sz w:val="18"/>
                <w:szCs w:val="18"/>
                <w:lang w:bidi="ar"/>
              </w:rPr>
            </w:pPr>
            <w:r>
              <w:rPr>
                <w:rFonts w:hint="eastAsia" w:ascii="宋体" w:hAnsi="宋体" w:eastAsia="宋体" w:cs="宋体"/>
                <w:b/>
                <w:bCs/>
                <w:kern w:val="0"/>
                <w:sz w:val="18"/>
                <w:szCs w:val="18"/>
                <w:lang w:bidi="ar"/>
              </w:rPr>
              <w:t>（发现违反上述规定，每项每次扣0.5分，扣完该项分值为止）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4B0B1441">
            <w:pPr>
              <w:widowControl/>
              <w:snapToGrid w:val="0"/>
              <w:jc w:val="left"/>
              <w:textAlignment w:val="center"/>
              <w:rPr>
                <w:rFonts w:ascii="宋体" w:hAnsi="Calibri" w:eastAsia="宋体" w:cs="Calibri"/>
                <w:sz w:val="18"/>
                <w:szCs w:val="20"/>
              </w:rPr>
            </w:pPr>
            <w:r>
              <w:rPr>
                <w:rFonts w:ascii="宋体" w:hAnsi="Calibri" w:eastAsia="宋体" w:cs="Calibri"/>
                <w:kern w:val="0"/>
                <w:sz w:val="18"/>
                <w:szCs w:val="20"/>
                <w:lang w:bidi="ar"/>
              </w:rPr>
              <w:t>5</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0314F0E3">
            <w:pPr>
              <w:snapToGrid w:val="0"/>
              <w:jc w:val="right"/>
              <w:rPr>
                <w:rFonts w:ascii="宋体" w:hAnsi="Calibri" w:eastAsia="宋体" w:cs="Calibri"/>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5569DDD3">
            <w:pPr>
              <w:snapToGrid w:val="0"/>
              <w:jc w:val="right"/>
              <w:rPr>
                <w:rFonts w:ascii="宋体" w:hAnsi="Calibri" w:eastAsia="宋体" w:cs="Calibri"/>
                <w:sz w:val="18"/>
                <w:szCs w:val="20"/>
              </w:rPr>
            </w:pPr>
          </w:p>
        </w:tc>
      </w:tr>
      <w:tr w14:paraId="63E6809B">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0E5D5DC">
            <w:pPr>
              <w:snapToGrid w:val="0"/>
              <w:jc w:val="center"/>
              <w:rPr>
                <w:rFonts w:hint="eastAsia" w:ascii="宋体" w:hAnsi="宋体" w:eastAsia="宋体" w:cs="宋体"/>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3E780DA6">
            <w:pPr>
              <w:widowControl/>
              <w:snapToGrid w:val="0"/>
              <w:jc w:val="center"/>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异物</w:t>
            </w:r>
          </w:p>
          <w:p w14:paraId="7C4A383A">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概率</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465C0B12">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1.因清洗不到位、预处理不规范导致菜品出现毛发、沙粒、虫体、杂物、包装碎片、残留杂质等一般性异物</w:t>
            </w:r>
          </w:p>
          <w:p w14:paraId="54219112">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2.因加工操作不规范、人员管理疏漏，混入一次性用品、保鲜膜、标签、指甲、创可贴、铁丝、玻璃、塑料制品等人为及加工类异物</w:t>
            </w:r>
          </w:p>
          <w:p w14:paraId="26C75015">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3.餐品及加工区域发现蟑螂、老鼠、苍蝇、蚂蚁、爬虫等病媒生物及恶性有害异物，属于重大食品安全隐患，同步限期停业整改。</w:t>
            </w:r>
          </w:p>
          <w:p w14:paraId="475808B9">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4.建立异物防控长效机制，从食材验收、清洗加工、出品检查、餐品核验全环节严格管控，杜绝各类异物问题反复发生。</w:t>
            </w:r>
            <w:r>
              <w:rPr>
                <w:rFonts w:hint="eastAsia" w:ascii="宋体" w:hAnsi="宋体" w:eastAsia="宋体" w:cs="宋体"/>
                <w:kern w:val="0"/>
                <w:sz w:val="18"/>
                <w:szCs w:val="18"/>
                <w:lang w:bidi="ar"/>
              </w:rPr>
              <w:br w:type="textWrapping"/>
            </w:r>
            <w:r>
              <w:rPr>
                <w:rFonts w:hint="eastAsia" w:ascii="宋体" w:hAnsi="宋体" w:eastAsia="宋体" w:cs="宋体"/>
                <w:b/>
                <w:bCs/>
                <w:sz w:val="18"/>
                <w:szCs w:val="18"/>
              </w:rPr>
              <w:t>（发现违反上述规定，每项每次扣1分，扣完该项分值为止）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17538BE8">
            <w:pPr>
              <w:widowControl/>
              <w:snapToGrid w:val="0"/>
              <w:jc w:val="left"/>
              <w:textAlignment w:val="center"/>
              <w:rPr>
                <w:rFonts w:ascii="宋体" w:hAnsi="Calibri" w:eastAsia="宋体" w:cs="Calibri"/>
                <w:sz w:val="18"/>
                <w:szCs w:val="20"/>
              </w:rPr>
            </w:pPr>
            <w:r>
              <w:rPr>
                <w:rFonts w:ascii="宋体" w:hAnsi="Calibri" w:eastAsia="宋体" w:cs="Calibri"/>
                <w:kern w:val="0"/>
                <w:sz w:val="18"/>
                <w:szCs w:val="20"/>
                <w:lang w:bidi="ar"/>
              </w:rPr>
              <w:t>4</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7B2B0FEE">
            <w:pPr>
              <w:snapToGrid w:val="0"/>
              <w:jc w:val="right"/>
              <w:rPr>
                <w:rFonts w:ascii="宋体" w:hAnsi="Calibri" w:eastAsia="宋体" w:cs="Calibri"/>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3E0F16B2">
            <w:pPr>
              <w:snapToGrid w:val="0"/>
              <w:jc w:val="right"/>
              <w:rPr>
                <w:rFonts w:ascii="宋体" w:hAnsi="Calibri" w:eastAsia="宋体" w:cs="Calibri"/>
                <w:sz w:val="18"/>
                <w:szCs w:val="20"/>
              </w:rPr>
            </w:pPr>
          </w:p>
        </w:tc>
      </w:tr>
      <w:tr w14:paraId="1184FB90">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1CE0A143">
            <w:pPr>
              <w:snapToGrid w:val="0"/>
              <w:jc w:val="center"/>
              <w:rPr>
                <w:rFonts w:hint="eastAsia" w:ascii="宋体" w:hAnsi="宋体" w:eastAsia="宋体" w:cs="宋体"/>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05889306">
            <w:pPr>
              <w:widowControl/>
              <w:snapToGrid w:val="0"/>
              <w:jc w:val="center"/>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环境</w:t>
            </w:r>
          </w:p>
          <w:p w14:paraId="709750D8">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卫生</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78054F93">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垃圾容器全覆盖密闭加盖，选用脚踏式无接触垃圾桶，餐厨垃圾、生活垃圾、有害垃圾分类存放、及时清运，日产日清，杜绝垃圾堆积、异味滋生。作业区域严禁随意挪动地漏盖板、堆放厨余残渣、杂物垃圾，定期疏通排水管道、清理油污淤积，确保下水道畅通无堵塞、无异味、无积水。</w:t>
            </w:r>
          </w:p>
          <w:p w14:paraId="7ECAA3D3">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2.食堂全域实行无死角保洁，墙面、地面、门窗、天花、照明、操作台、库房、排水沟、设备表面、刀具砧板等区域每日清洁、定期消杀，持续保持干净整洁、通风良好、无油污、无霉斑、无积尘。</w:t>
            </w:r>
          </w:p>
          <w:p w14:paraId="3EFBC55F">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3.废弃物收集设施、清洁工具、消杀用品定期清洗、消毒、保养，破损工具及时更换，避免二次污染。</w:t>
            </w:r>
          </w:p>
          <w:p w14:paraId="5BCFA0C1">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4.建筑设施、给排水系统、排烟排风、餐厨设备、仓储设施定期维保检修，保持完好合规，全面满足食品卫生及院感管理要求。</w:t>
            </w:r>
          </w:p>
          <w:p w14:paraId="475704BF">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5.展售食品、自制餐品、特殊膳食须规范张贴标签，品名、配料、生产日期、保质期、食用提示等信息准确完整，严禁标签缺失、信息错误、过期售卖。</w:t>
            </w:r>
            <w:r>
              <w:rPr>
                <w:rFonts w:hint="eastAsia" w:ascii="宋体" w:hAnsi="宋体" w:eastAsia="宋体" w:cs="宋体"/>
                <w:kern w:val="0"/>
                <w:sz w:val="18"/>
                <w:szCs w:val="18"/>
                <w:lang w:bidi="ar"/>
              </w:rPr>
              <w:br w:type="textWrapping"/>
            </w:r>
            <w:r>
              <w:rPr>
                <w:rFonts w:ascii="宋体" w:hAnsi="宋体" w:eastAsia="宋体" w:cs="宋体"/>
                <w:b/>
                <w:bCs/>
                <w:sz w:val="18"/>
                <w:szCs w:val="18"/>
              </w:rPr>
              <w:t>（发现违反上述规定，每项每次扣</w:t>
            </w:r>
            <w:r>
              <w:rPr>
                <w:rFonts w:hint="eastAsia" w:ascii="宋体" w:hAnsi="宋体" w:eastAsia="宋体" w:cs="宋体"/>
                <w:b/>
                <w:bCs/>
                <w:sz w:val="18"/>
                <w:szCs w:val="18"/>
              </w:rPr>
              <w:t>1</w:t>
            </w:r>
            <w:r>
              <w:rPr>
                <w:rFonts w:ascii="宋体" w:hAnsi="宋体" w:eastAsia="宋体" w:cs="宋体"/>
                <w:b/>
                <w:bCs/>
                <w:sz w:val="18"/>
                <w:szCs w:val="18"/>
              </w:rPr>
              <w:t>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705DFE28">
            <w:pPr>
              <w:widowControl/>
              <w:snapToGrid w:val="0"/>
              <w:jc w:val="left"/>
              <w:textAlignment w:val="center"/>
              <w:rPr>
                <w:rFonts w:ascii="宋体" w:hAnsi="Calibri" w:eastAsia="宋体" w:cs="Calibri"/>
                <w:sz w:val="18"/>
                <w:szCs w:val="20"/>
              </w:rPr>
            </w:pPr>
            <w:r>
              <w:rPr>
                <w:rFonts w:ascii="宋体" w:hAnsi="Calibri" w:eastAsia="宋体" w:cs="Calibri"/>
                <w:kern w:val="0"/>
                <w:sz w:val="18"/>
                <w:szCs w:val="20"/>
                <w:lang w:bidi="ar"/>
              </w:rPr>
              <w:t>5</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60EC3E83">
            <w:pPr>
              <w:snapToGrid w:val="0"/>
              <w:jc w:val="right"/>
              <w:rPr>
                <w:rFonts w:ascii="宋体" w:hAnsi="Calibri" w:eastAsia="宋体" w:cs="Calibri"/>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62271CB3">
            <w:pPr>
              <w:snapToGrid w:val="0"/>
              <w:jc w:val="right"/>
              <w:rPr>
                <w:rFonts w:ascii="宋体" w:hAnsi="Calibri" w:eastAsia="宋体" w:cs="Calibri"/>
                <w:sz w:val="18"/>
                <w:szCs w:val="20"/>
              </w:rPr>
            </w:pPr>
          </w:p>
        </w:tc>
      </w:tr>
      <w:tr w14:paraId="18394C32">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5B37271">
            <w:pPr>
              <w:snapToGrid w:val="0"/>
              <w:jc w:val="center"/>
              <w:rPr>
                <w:rFonts w:hint="eastAsia" w:ascii="宋体" w:hAnsi="宋体" w:eastAsia="宋体" w:cs="宋体"/>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4D2A8C0D">
            <w:pPr>
              <w:widowControl/>
              <w:snapToGrid w:val="0"/>
              <w:jc w:val="center"/>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防范</w:t>
            </w:r>
          </w:p>
          <w:p w14:paraId="403A3C8E">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措施</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1531F5D2">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严格落实每日全员晨检、健康排查制度，凡存在发热、咳嗽、腹泻、皮肤化脓伤口、传染性疾病及其他影响食品安全症状人员，立即调离食品岗位，治愈并体检合格后方可复岗；所有在岗人员必须持有效健康证上岗，证件过期、无证人员一律禁止从业。</w:t>
            </w:r>
          </w:p>
          <w:p w14:paraId="38B031C9">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2.新入职员工须在入职前办理有效健康证明，未取得合规证件前，不得接触食品加工、配餐、售卖等一线岗位。</w:t>
            </w:r>
          </w:p>
          <w:p w14:paraId="5A72C435">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3.全员规范统一着装，工服、工帽、发网、口罩、围裙穿戴齐全规范，食品加工区域严禁佩戴首饰、手表、美甲、饰品等物品，严控人员携带污染风险。</w:t>
            </w:r>
          </w:p>
          <w:p w14:paraId="7FDE1D6F">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4.食品加工专区、洁净区域统一张贴人员操作规范、洗手流程、卫生管理制度，强化全员合规操作意识。</w:t>
            </w:r>
          </w:p>
          <w:p w14:paraId="071C3904">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5.专间实行二次更衣、专人值守管理，进入专间必须更换专用衣帽、口罩，专间器具独立专用；紫外线消杀设备规范使用，每次消杀时长不少于30分钟，做好消杀记录。</w:t>
            </w:r>
          </w:p>
          <w:p w14:paraId="60C41482">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6.严禁在厨房、加工间、备餐间等食品管控区域进食、饮水、嚼食、吸烟；私人物品、药品、水杯、零食等严禁带入作业区域，统一集中存放。</w:t>
            </w:r>
          </w:p>
          <w:p w14:paraId="5D53B90F">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7.非作业人员、外来人员进入食品加工区域，必须严格遵守院感及食堂管理规定，全套穿戴防护用具，登记备案，严禁随意出入。</w:t>
            </w:r>
          </w:p>
          <w:p w14:paraId="6FEF5B9F">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8.全域配齐足量洗手液、消毒用品、干手设施，洗手流程图示上墙，督促员工严格执行洗手消毒流程。</w:t>
            </w:r>
          </w:p>
          <w:p w14:paraId="4C9AE789">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9.明确专职虫害防控管理员，常态化对接消杀外包单位，定期开展鼠害、虫害消杀排查，检查灭鼠、灭蝇、防虫设施运行状态，建立虫害防控台账，及时处置病媒生物隐患。</w:t>
            </w:r>
          </w:p>
          <w:p w14:paraId="6DB14783">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10.消毒药剂、清洁化学品、消杀用品实行专区、专柜、上锁、独立存放，与食品、食材、工器具完全物理隔离，严禁混放、同区存放、交叉接触，杜绝化学品污染食品风险。</w:t>
            </w:r>
          </w:p>
          <w:p w14:paraId="45115723">
            <w:pPr>
              <w:widowControl/>
              <w:snapToGrid w:val="0"/>
              <w:jc w:val="left"/>
              <w:textAlignment w:val="center"/>
              <w:rPr>
                <w:rFonts w:hint="eastAsia" w:ascii="宋体" w:hAnsi="宋体" w:eastAsia="宋体" w:cs="宋体"/>
                <w:sz w:val="18"/>
                <w:szCs w:val="18"/>
              </w:rPr>
            </w:pPr>
            <w:r>
              <w:rPr>
                <w:rFonts w:hint="eastAsia" w:ascii="宋体" w:hAnsi="宋体" w:eastAsia="宋体" w:cs="宋体"/>
                <w:b/>
                <w:bCs/>
                <w:kern w:val="0"/>
                <w:sz w:val="18"/>
                <w:szCs w:val="18"/>
                <w:lang w:bidi="ar"/>
              </w:rPr>
              <w:t>（发现违反上述规定，每项每次扣0.5分，扣完该项分值为止）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4548BEF1">
            <w:pPr>
              <w:widowControl/>
              <w:snapToGrid w:val="0"/>
              <w:jc w:val="left"/>
              <w:textAlignment w:val="center"/>
              <w:rPr>
                <w:rFonts w:ascii="宋体" w:hAnsi="Calibri" w:eastAsia="宋体" w:cs="Calibri"/>
                <w:sz w:val="18"/>
                <w:szCs w:val="20"/>
              </w:rPr>
            </w:pPr>
            <w:r>
              <w:rPr>
                <w:rFonts w:ascii="宋体" w:hAnsi="Calibri" w:eastAsia="宋体" w:cs="Calibri"/>
                <w:kern w:val="0"/>
                <w:sz w:val="18"/>
                <w:szCs w:val="20"/>
                <w:lang w:bidi="ar"/>
              </w:rPr>
              <w:t>5</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12D20C9A">
            <w:pPr>
              <w:snapToGrid w:val="0"/>
              <w:jc w:val="right"/>
              <w:rPr>
                <w:rFonts w:ascii="宋体" w:hAnsi="Calibri" w:eastAsia="宋体" w:cs="Calibri"/>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1F3A3CC0">
            <w:pPr>
              <w:snapToGrid w:val="0"/>
              <w:jc w:val="right"/>
              <w:rPr>
                <w:rFonts w:ascii="宋体" w:hAnsi="Calibri" w:eastAsia="宋体" w:cs="Calibri"/>
                <w:sz w:val="18"/>
                <w:szCs w:val="20"/>
              </w:rPr>
            </w:pPr>
          </w:p>
        </w:tc>
      </w:tr>
      <w:tr w14:paraId="63F7CE48">
        <w:tblPrEx>
          <w:tblCellMar>
            <w:top w:w="0" w:type="dxa"/>
            <w:left w:w="108" w:type="dxa"/>
            <w:bottom w:w="0" w:type="dxa"/>
            <w:right w:w="108" w:type="dxa"/>
          </w:tblCellMar>
        </w:tblPrEx>
        <w:trPr>
          <w:wAfter w:w="38" w:type="dxa"/>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692CE7B6">
            <w:pPr>
              <w:widowControl/>
              <w:snapToGrid w:val="0"/>
              <w:jc w:val="center"/>
              <w:textAlignment w:val="center"/>
              <w:rPr>
                <w:rFonts w:hint="eastAsia" w:ascii="宋体" w:hAnsi="宋体" w:eastAsia="宋体" w:cs="宋体"/>
                <w:sz w:val="18"/>
                <w:szCs w:val="20"/>
              </w:rPr>
            </w:pPr>
            <w:r>
              <w:rPr>
                <w:rStyle w:val="31"/>
                <w:rFonts w:hint="default"/>
                <w:color w:val="auto"/>
                <w:sz w:val="18"/>
                <w:lang w:bidi="ar"/>
              </w:rPr>
              <w:t>质量标准（25分）</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7AC2313E">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出品质量</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06E80898">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1.早</w:t>
            </w:r>
            <w:r>
              <w:rPr>
                <w:rFonts w:hint="eastAsia" w:ascii="宋体" w:hAnsi="宋体" w:eastAsia="宋体" w:cs="宋体"/>
                <w:kern w:val="0"/>
                <w:sz w:val="18"/>
                <w:szCs w:val="18"/>
                <w:lang w:val="en-US" w:eastAsia="zh-CN" w:bidi="ar"/>
              </w:rPr>
              <w:t>餐</w:t>
            </w:r>
            <w:r>
              <w:rPr>
                <w:rFonts w:hint="eastAsia" w:ascii="宋体" w:hAnsi="宋体" w:eastAsia="宋体" w:cs="宋体"/>
                <w:kern w:val="0"/>
                <w:sz w:val="18"/>
                <w:szCs w:val="18"/>
                <w:lang w:bidi="ar"/>
              </w:rPr>
              <w:t>、中</w:t>
            </w:r>
            <w:r>
              <w:rPr>
                <w:rFonts w:hint="eastAsia" w:ascii="宋体" w:hAnsi="宋体" w:eastAsia="宋体" w:cs="宋体"/>
                <w:kern w:val="0"/>
                <w:sz w:val="18"/>
                <w:szCs w:val="18"/>
                <w:lang w:val="en-US" w:eastAsia="zh-CN" w:bidi="ar"/>
              </w:rPr>
              <w:t>餐</w:t>
            </w:r>
            <w:r>
              <w:rPr>
                <w:rFonts w:hint="eastAsia" w:ascii="宋体" w:hAnsi="宋体" w:eastAsia="宋体" w:cs="宋体"/>
                <w:kern w:val="0"/>
                <w:sz w:val="18"/>
                <w:szCs w:val="18"/>
                <w:lang w:bidi="ar"/>
              </w:rPr>
              <w:t>、晚餐及加餐菜式供应充足，严格按菜单标准足额供应，缺少1款品类扣分。</w:t>
            </w:r>
          </w:p>
          <w:p w14:paraId="0E9E6672">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严格执行菜单定期轮换制度，每周更新常规菜单，每月更新病患膳食菜单，不得无故延迟更换、长期菜单固化、无更新优化。保障餐品多元化，每月须完成不少于6款创新菜式研发，点心每月须完成不少于6款新式面点、特色点心研发。</w:t>
            </w:r>
          </w:p>
          <w:p w14:paraId="6DCCD1DE">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3.所有新菜式、新点心须提前一周制作样品，报送采购人审核品鉴，获批后方可常态化售卖；不得未经审批自行上线、违规出品。</w:t>
            </w:r>
          </w:p>
          <w:p w14:paraId="659C232A">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4.菜品烹制火候合规，杜绝夹生、焦糊、过烂、过硬等问题，严控出品口感与品质。</w:t>
            </w:r>
          </w:p>
          <w:p w14:paraId="31FDE34B">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5.肉类、水产、禽畜等食材须完全熟透，严禁半生、未熟、火候不足的餐品出品，严防食源性疾病。</w:t>
            </w:r>
          </w:p>
          <w:p w14:paraId="74057056">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6.所有餐品要求食材新鲜、色泽正常、香气纯正、口味适中，杜绝过重调味掩盖食材变质异味；同一菜品累计5人及以上就餐人员反馈口味异常、异味、腥膻、酸涩等问题。</w:t>
            </w:r>
          </w:p>
          <w:p w14:paraId="0FB38702">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7.严控食品加工助剂使用，规范限量使用食品改良剂，严禁违规使用亚硝酸钠等违禁化工原料及有毒有害添加剂，一经发现追责处罚。</w:t>
            </w:r>
          </w:p>
          <w:p w14:paraId="754F23A0">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8.切配加工标准化，同类食材规格、重量、形态统一，同品类食材重量差异不得超过 30%，切配粗糙、规格混乱扣分</w:t>
            </w:r>
          </w:p>
          <w:p w14:paraId="7816B166">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9.绿叶蔬菜严格执行先洗后切、浸泡净化30分钟的操作规范，违规操作、流程倒置。</w:t>
            </w:r>
          </w:p>
          <w:p w14:paraId="19A09510">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10.严禁采购、加工、使用腐烂、变质、过期、变质原辅材料。</w:t>
            </w:r>
          </w:p>
          <w:p w14:paraId="408335CB">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11.餐品出现变质、异味、霉变等质量问题，立即下架召回。</w:t>
            </w:r>
          </w:p>
          <w:p w14:paraId="04B38251">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12.严禁私自更改餐品品类、调整售卖价格、缩减供应品类。</w:t>
            </w:r>
          </w:p>
          <w:p w14:paraId="759B2188">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13.严格落实病患膳食管理要求，月度病患菜单按时编制、报送采购人审核，未经审核擅自执行。</w:t>
            </w:r>
          </w:p>
          <w:p w14:paraId="5B6262E1">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14.</w:t>
            </w:r>
            <w:r>
              <w:rPr>
                <w:rFonts w:hint="eastAsia" w:ascii="宋体" w:hAnsi="宋体" w:eastAsia="宋体" w:cs="宋体"/>
                <w:kern w:val="0"/>
                <w:sz w:val="18"/>
                <w:szCs w:val="18"/>
                <w:highlight w:val="yellow"/>
                <w:lang w:bidi="ar"/>
              </w:rPr>
              <w:t>病</w:t>
            </w:r>
            <w:r>
              <w:rPr>
                <w:rFonts w:hint="eastAsia" w:ascii="宋体" w:hAnsi="宋体" w:eastAsia="宋体" w:cs="宋体"/>
                <w:kern w:val="0"/>
                <w:sz w:val="18"/>
                <w:szCs w:val="18"/>
                <w:highlight w:val="yellow"/>
                <w:lang w:val="en-US" w:eastAsia="zh-CN" w:bidi="ar"/>
              </w:rPr>
              <w:t>人</w:t>
            </w:r>
            <w:r>
              <w:rPr>
                <w:rFonts w:hint="eastAsia" w:ascii="宋体" w:hAnsi="宋体" w:eastAsia="宋体" w:cs="宋体"/>
                <w:kern w:val="0"/>
                <w:sz w:val="18"/>
                <w:szCs w:val="18"/>
                <w:highlight w:val="yellow"/>
                <w:lang w:bidi="ar"/>
              </w:rPr>
              <w:t>餐</w:t>
            </w:r>
            <w:r>
              <w:rPr>
                <w:rFonts w:hint="eastAsia" w:ascii="宋体" w:hAnsi="宋体" w:eastAsia="宋体" w:cs="宋体"/>
                <w:kern w:val="0"/>
                <w:sz w:val="18"/>
                <w:szCs w:val="18"/>
                <w:lang w:bidi="ar"/>
              </w:rPr>
              <w:t>营养搭配科学健康，全覆盖提供清淡餐、重口餐、蒸制餐、特色餐、低盐餐等多元选择，按要求保障供应。</w:t>
            </w:r>
          </w:p>
          <w:p w14:paraId="687830F8">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15.全面适配临床需求，常态化提供流质餐、半流质餐、糖尿病膳食、无盐膳食、高蛋白膳食等特殊定制膳食，按需动态调整，落实好特殊膳食保障。</w:t>
            </w:r>
          </w:p>
          <w:p w14:paraId="65FB9520">
            <w:pPr>
              <w:widowControl/>
              <w:snapToGrid w:val="0"/>
              <w:jc w:val="left"/>
              <w:textAlignment w:val="center"/>
              <w:rPr>
                <w:rFonts w:hint="eastAsia" w:ascii="宋体" w:hAnsi="宋体" w:eastAsia="宋体" w:cs="宋体"/>
                <w:sz w:val="18"/>
                <w:szCs w:val="18"/>
              </w:rPr>
            </w:pPr>
            <w:r>
              <w:rPr>
                <w:rFonts w:ascii="宋体" w:hAnsi="宋体" w:eastAsia="宋体" w:cs="宋体"/>
                <w:b/>
                <w:bCs/>
                <w:sz w:val="18"/>
                <w:szCs w:val="18"/>
              </w:rPr>
              <w:t>（发现违反上述规定，每项每次扣</w:t>
            </w:r>
            <w:r>
              <w:rPr>
                <w:rFonts w:hint="eastAsia" w:ascii="宋体" w:hAnsi="宋体" w:eastAsia="宋体" w:cs="宋体"/>
                <w:b/>
                <w:bCs/>
                <w:sz w:val="18"/>
                <w:szCs w:val="18"/>
              </w:rPr>
              <w:t>1</w:t>
            </w:r>
            <w:r>
              <w:rPr>
                <w:rFonts w:ascii="宋体" w:hAnsi="宋体" w:eastAsia="宋体" w:cs="宋体"/>
                <w:b/>
                <w:bCs/>
                <w:sz w:val="18"/>
                <w:szCs w:val="18"/>
              </w:rPr>
              <w:t>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7F94D033">
            <w:pPr>
              <w:widowControl/>
              <w:snapToGrid w:val="0"/>
              <w:jc w:val="left"/>
              <w:textAlignment w:val="center"/>
              <w:rPr>
                <w:rFonts w:ascii="宋体" w:hAnsi="Calibri" w:eastAsia="宋体" w:cs="Calibri"/>
                <w:sz w:val="18"/>
                <w:szCs w:val="20"/>
              </w:rPr>
            </w:pPr>
            <w:r>
              <w:rPr>
                <w:rFonts w:ascii="宋体" w:hAnsi="Calibri" w:eastAsia="宋体" w:cs="Calibri"/>
                <w:kern w:val="0"/>
                <w:sz w:val="18"/>
                <w:szCs w:val="20"/>
                <w:lang w:bidi="ar"/>
              </w:rPr>
              <w:t>15</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0B044418">
            <w:pPr>
              <w:snapToGrid w:val="0"/>
              <w:jc w:val="right"/>
              <w:rPr>
                <w:rFonts w:ascii="宋体" w:hAnsi="Calibri" w:eastAsia="宋体" w:cs="Calibri"/>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3DB50118">
            <w:pPr>
              <w:snapToGrid w:val="0"/>
              <w:jc w:val="right"/>
              <w:rPr>
                <w:rFonts w:ascii="宋体" w:hAnsi="Calibri" w:eastAsia="宋体" w:cs="Calibri"/>
                <w:sz w:val="18"/>
                <w:szCs w:val="20"/>
              </w:rPr>
            </w:pPr>
          </w:p>
        </w:tc>
      </w:tr>
      <w:tr w14:paraId="1A29D125">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4B194D2">
            <w:pPr>
              <w:snapToGrid w:val="0"/>
              <w:jc w:val="center"/>
              <w:rPr>
                <w:rFonts w:hint="eastAsia" w:ascii="宋体" w:hAnsi="宋体" w:eastAsia="宋体" w:cs="宋体"/>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1BA70F03">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服务质量</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72F7ADF1">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1.投标人未按本项目采购文件要求的供餐时间、品种、质量完成供餐的，发生配送延误、漏餐、错餐需扣分。因供餐延误、断供影响医院正常运营的，须赔偿采购人因此造成的全部损失。</w:t>
            </w:r>
          </w:p>
          <w:p w14:paraId="22D8FE2C">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2.未经采购人书面同意，严禁私自调整食品加工流程、缩减餐线、更改场地布局、改造设备设施。</w:t>
            </w:r>
          </w:p>
          <w:p w14:paraId="799BAF21">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3.健全食品召回、食物中毒、突发供餐中断等应急管理制度及处置预案，定期演练；明知食品存在安全隐患仍强行出品、拒绝召回、拖延处置，进行经济处罚，承担全部事故责任及损失。</w:t>
            </w:r>
          </w:p>
          <w:p w14:paraId="649A7A53">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r>
              <w:rPr>
                <w:rFonts w:hint="eastAsia" w:ascii="宋体" w:hAnsi="宋体" w:eastAsia="宋体" w:cs="宋体"/>
                <w:kern w:val="0"/>
                <w:sz w:val="18"/>
                <w:szCs w:val="18"/>
                <w:highlight w:val="yellow"/>
                <w:lang w:val="en-US" w:eastAsia="zh-CN" w:bidi="ar"/>
              </w:rPr>
              <w:t>工作</w:t>
            </w:r>
            <w:r>
              <w:rPr>
                <w:rFonts w:hint="eastAsia" w:ascii="宋体" w:hAnsi="宋体" w:eastAsia="宋体" w:cs="宋体"/>
                <w:kern w:val="0"/>
                <w:sz w:val="18"/>
                <w:szCs w:val="18"/>
                <w:highlight w:val="yellow"/>
                <w:lang w:bidi="ar"/>
              </w:rPr>
              <w:t>围餐</w:t>
            </w:r>
            <w:r>
              <w:rPr>
                <w:rFonts w:hint="eastAsia" w:ascii="宋体" w:hAnsi="宋体" w:eastAsia="宋体" w:cs="宋体"/>
                <w:kern w:val="0"/>
                <w:sz w:val="18"/>
                <w:szCs w:val="18"/>
                <w:lang w:bidi="ar"/>
              </w:rPr>
              <w:t>、专项保障餐须对标高品质服务标准，配备专属服务人员、完善服务流程，保障接待服务质量。</w:t>
            </w:r>
          </w:p>
          <w:p w14:paraId="1553AD61">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5.积极配合医院开展美食节、膳食科普、餐饮文化、健康宣教等各类主题活动，无故推诿、消极配合、拒不执行。</w:t>
            </w:r>
          </w:p>
          <w:p w14:paraId="462F12F1">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6.全面负责食堂宣传运营、订餐系统、收费系统、外卖点位系统的日常运维管理，保障系统稳定运行、数据准确，管理缺位、运维得力。</w:t>
            </w:r>
          </w:p>
          <w:p w14:paraId="16F683F1">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7.驻场人员出现违规操作、服务态度差、院内违规行为等将扣分。</w:t>
            </w:r>
          </w:p>
          <w:p w14:paraId="0A30669B">
            <w:pPr>
              <w:widowControl/>
              <w:snapToGrid w:val="0"/>
              <w:jc w:val="left"/>
              <w:textAlignment w:val="center"/>
              <w:rPr>
                <w:rFonts w:hint="eastAsia" w:ascii="宋体" w:hAnsi="宋体" w:eastAsia="宋体" w:cs="宋体"/>
                <w:sz w:val="18"/>
                <w:szCs w:val="18"/>
              </w:rPr>
            </w:pPr>
            <w:r>
              <w:rPr>
                <w:rFonts w:ascii="宋体" w:hAnsi="宋体" w:eastAsia="宋体" w:cs="宋体"/>
                <w:b/>
                <w:bCs/>
                <w:sz w:val="18"/>
                <w:szCs w:val="18"/>
              </w:rPr>
              <w:t>（发现违反上述规定，每项每次扣</w:t>
            </w:r>
            <w:r>
              <w:rPr>
                <w:rFonts w:hint="eastAsia" w:ascii="宋体" w:hAnsi="宋体" w:eastAsia="宋体" w:cs="宋体"/>
                <w:b/>
                <w:bCs/>
                <w:sz w:val="18"/>
                <w:szCs w:val="18"/>
              </w:rPr>
              <w:t>1</w:t>
            </w:r>
            <w:r>
              <w:rPr>
                <w:rFonts w:ascii="宋体" w:hAnsi="宋体" w:eastAsia="宋体" w:cs="宋体"/>
                <w:b/>
                <w:bCs/>
                <w:sz w:val="18"/>
                <w:szCs w:val="18"/>
              </w:rPr>
              <w:t>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7DDD08AB">
            <w:pPr>
              <w:widowControl/>
              <w:snapToGrid w:val="0"/>
              <w:jc w:val="left"/>
              <w:textAlignment w:val="center"/>
              <w:rPr>
                <w:rFonts w:ascii="宋体" w:hAnsi="Calibri" w:eastAsia="宋体" w:cs="Calibri"/>
                <w:sz w:val="18"/>
                <w:szCs w:val="20"/>
              </w:rPr>
            </w:pPr>
            <w:r>
              <w:rPr>
                <w:rFonts w:ascii="宋体" w:hAnsi="Calibri" w:eastAsia="宋体" w:cs="Calibri"/>
                <w:kern w:val="0"/>
                <w:sz w:val="18"/>
                <w:szCs w:val="20"/>
                <w:lang w:bidi="ar"/>
              </w:rPr>
              <w:t>10</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23A28973">
            <w:pPr>
              <w:snapToGrid w:val="0"/>
              <w:jc w:val="right"/>
              <w:rPr>
                <w:rFonts w:ascii="宋体" w:hAnsi="Calibri" w:eastAsia="宋体" w:cs="Calibri"/>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2D7FC809">
            <w:pPr>
              <w:snapToGrid w:val="0"/>
              <w:jc w:val="right"/>
              <w:rPr>
                <w:rFonts w:ascii="宋体" w:hAnsi="Calibri" w:eastAsia="宋体" w:cs="Calibri"/>
                <w:sz w:val="18"/>
                <w:szCs w:val="20"/>
              </w:rPr>
            </w:pPr>
          </w:p>
        </w:tc>
      </w:tr>
      <w:tr w14:paraId="40EB8F90">
        <w:tblPrEx>
          <w:tblCellMar>
            <w:top w:w="0" w:type="dxa"/>
            <w:left w:w="108" w:type="dxa"/>
            <w:bottom w:w="0" w:type="dxa"/>
            <w:right w:w="108" w:type="dxa"/>
          </w:tblCellMar>
        </w:tblPrEx>
        <w:trPr>
          <w:wAfter w:w="38" w:type="dxa"/>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5149440B">
            <w:pPr>
              <w:widowControl/>
              <w:snapToGrid w:val="0"/>
              <w:jc w:val="center"/>
              <w:textAlignment w:val="center"/>
              <w:rPr>
                <w:rFonts w:hint="eastAsia" w:ascii="宋体" w:hAnsi="宋体" w:eastAsia="宋体" w:cs="宋体"/>
                <w:sz w:val="18"/>
                <w:szCs w:val="20"/>
              </w:rPr>
            </w:pPr>
            <w:r>
              <w:rPr>
                <w:rStyle w:val="31"/>
                <w:rFonts w:hint="default"/>
                <w:color w:val="auto"/>
                <w:sz w:val="18"/>
                <w:lang w:bidi="ar"/>
              </w:rPr>
              <w:t>日常运营评价</w:t>
            </w:r>
            <w:r>
              <w:rPr>
                <w:rStyle w:val="31"/>
                <w:rFonts w:hint="default"/>
                <w:color w:val="auto"/>
                <w:sz w:val="18"/>
                <w:lang w:bidi="ar"/>
              </w:rPr>
              <w:br w:type="textWrapping"/>
            </w:r>
            <w:r>
              <w:rPr>
                <w:rStyle w:val="31"/>
                <w:rFonts w:hint="default"/>
                <w:color w:val="auto"/>
                <w:sz w:val="18"/>
                <w:lang w:bidi="ar"/>
              </w:rPr>
              <w:t>（</w:t>
            </w:r>
            <w:r>
              <w:rPr>
                <w:rFonts w:ascii="宋体" w:hAnsi="Calibri" w:eastAsia="宋体" w:cs="Calibri"/>
                <w:kern w:val="0"/>
                <w:sz w:val="18"/>
                <w:szCs w:val="20"/>
                <w:lang w:bidi="ar"/>
              </w:rPr>
              <w:t>20</w:t>
            </w:r>
            <w:r>
              <w:rPr>
                <w:rStyle w:val="31"/>
                <w:rFonts w:hint="default"/>
                <w:color w:val="auto"/>
                <w:sz w:val="18"/>
                <w:lang w:bidi="ar"/>
              </w:rPr>
              <w:t>分）</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7BC0A995">
            <w:pPr>
              <w:widowControl/>
              <w:snapToGrid w:val="0"/>
              <w:jc w:val="center"/>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岗位</w:t>
            </w:r>
          </w:p>
          <w:p w14:paraId="02C43E67">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考核</w:t>
            </w:r>
          </w:p>
        </w:tc>
        <w:tc>
          <w:tcPr>
            <w:tcW w:w="3011" w:type="pct"/>
            <w:tcBorders>
              <w:top w:val="single" w:color="000000" w:sz="4" w:space="0"/>
              <w:left w:val="single" w:color="auto" w:sz="4" w:space="0"/>
              <w:bottom w:val="nil"/>
              <w:right w:val="nil"/>
            </w:tcBorders>
            <w:tcMar>
              <w:top w:w="-1" w:type="dxa"/>
              <w:left w:w="-1" w:type="dxa"/>
              <w:bottom w:w="-1" w:type="dxa"/>
              <w:right w:w="-1" w:type="dxa"/>
            </w:tcMar>
            <w:vAlign w:val="center"/>
          </w:tcPr>
          <w:p w14:paraId="3D9AB82E">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1.对项目经理、院区经理、</w:t>
            </w:r>
            <w:r>
              <w:rPr>
                <w:rFonts w:hint="eastAsia" w:ascii="宋体" w:hAnsi="宋体" w:eastAsia="宋体" w:cs="宋体"/>
                <w:kern w:val="0"/>
                <w:sz w:val="18"/>
                <w:szCs w:val="18"/>
                <w:lang w:eastAsia="zh-CN" w:bidi="ar"/>
              </w:rPr>
              <w:t>厨师长</w:t>
            </w:r>
            <w:r>
              <w:rPr>
                <w:rFonts w:hint="eastAsia" w:ascii="宋体" w:hAnsi="宋体" w:eastAsia="宋体" w:cs="宋体"/>
                <w:kern w:val="0"/>
                <w:sz w:val="18"/>
                <w:szCs w:val="18"/>
                <w:lang w:bidi="ar"/>
              </w:rPr>
              <w:t>、楼面经理、配送主管、食品安全员等关键岗位履职情况进行评价。</w:t>
            </w:r>
          </w:p>
          <w:p w14:paraId="7398907B">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2.驻场人员严格规范员工仪容仪表管理，男性员工发型合规、不留长发；女性员工长发全部盘入工作帽，杜绝碎发外露、仪容不规范问题。</w:t>
            </w:r>
          </w:p>
          <w:p w14:paraId="3EEBB260">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3.全员严禁留长指甲、涂抹指甲油、佩戴假指甲，保持手部清洁卫生，降低交叉感染风险。</w:t>
            </w:r>
          </w:p>
          <w:p w14:paraId="7326D1BB">
            <w:pPr>
              <w:widowControl/>
              <w:snapToGrid w:val="0"/>
              <w:jc w:val="left"/>
              <w:textAlignment w:val="center"/>
              <w:rPr>
                <w:rFonts w:hint="eastAsia" w:ascii="宋体" w:hAnsi="宋体" w:eastAsia="宋体" w:cs="宋体"/>
                <w:sz w:val="18"/>
                <w:szCs w:val="18"/>
              </w:rPr>
            </w:pPr>
            <w:r>
              <w:rPr>
                <w:rFonts w:ascii="宋体" w:hAnsi="宋体" w:eastAsia="宋体" w:cs="宋体"/>
                <w:b/>
                <w:bCs/>
                <w:sz w:val="18"/>
                <w:szCs w:val="18"/>
              </w:rPr>
              <w:t>（发现违反上述规定，每项每次扣</w:t>
            </w:r>
            <w:r>
              <w:rPr>
                <w:rFonts w:hint="eastAsia" w:ascii="宋体" w:hAnsi="宋体" w:eastAsia="宋体" w:cs="宋体"/>
                <w:b/>
                <w:bCs/>
                <w:sz w:val="18"/>
                <w:szCs w:val="18"/>
              </w:rPr>
              <w:t>2</w:t>
            </w:r>
            <w:r>
              <w:rPr>
                <w:rFonts w:ascii="宋体" w:hAnsi="宋体" w:eastAsia="宋体" w:cs="宋体"/>
                <w:b/>
                <w:bCs/>
                <w:sz w:val="18"/>
                <w:szCs w:val="18"/>
              </w:rPr>
              <w:t>分，扣完该项分值为止）</w:t>
            </w:r>
          </w:p>
        </w:tc>
        <w:tc>
          <w:tcPr>
            <w:tcW w:w="241" w:type="pct"/>
            <w:tcBorders>
              <w:top w:val="single" w:color="000000" w:sz="4" w:space="0"/>
              <w:left w:val="single" w:color="000000" w:sz="4" w:space="0"/>
              <w:bottom w:val="nil"/>
              <w:right w:val="nil"/>
            </w:tcBorders>
            <w:tcMar>
              <w:top w:w="-1" w:type="dxa"/>
              <w:left w:w="-1" w:type="dxa"/>
              <w:bottom w:w="-1" w:type="dxa"/>
              <w:right w:w="-1" w:type="dxa"/>
            </w:tcMar>
            <w:vAlign w:val="center"/>
          </w:tcPr>
          <w:p w14:paraId="3348F05D">
            <w:pPr>
              <w:widowControl/>
              <w:snapToGrid w:val="0"/>
              <w:jc w:val="left"/>
              <w:textAlignment w:val="center"/>
              <w:rPr>
                <w:rFonts w:ascii="宋体" w:hAnsi="Calibri" w:eastAsia="宋体" w:cs="Calibri"/>
                <w:sz w:val="18"/>
                <w:szCs w:val="20"/>
              </w:rPr>
            </w:pPr>
            <w:r>
              <w:rPr>
                <w:rFonts w:hint="eastAsia" w:ascii="宋体" w:hAnsi="Calibri" w:eastAsia="宋体" w:cs="Calibri"/>
                <w:kern w:val="0"/>
                <w:sz w:val="18"/>
                <w:szCs w:val="20"/>
                <w:lang w:bidi="ar"/>
              </w:rPr>
              <w:t>6</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1039FC53">
            <w:pPr>
              <w:snapToGrid w:val="0"/>
              <w:jc w:val="right"/>
              <w:rPr>
                <w:rFonts w:ascii="宋体" w:hAnsi="Calibri" w:eastAsia="宋体" w:cs="Calibri"/>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1B91BC25">
            <w:pPr>
              <w:snapToGrid w:val="0"/>
              <w:jc w:val="right"/>
              <w:rPr>
                <w:rFonts w:ascii="宋体" w:hAnsi="Calibri" w:eastAsia="宋体" w:cs="Calibri"/>
                <w:sz w:val="18"/>
                <w:szCs w:val="20"/>
              </w:rPr>
            </w:pPr>
          </w:p>
        </w:tc>
      </w:tr>
      <w:tr w14:paraId="0F6F0A80">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27EF6307">
            <w:pPr>
              <w:snapToGrid w:val="0"/>
              <w:jc w:val="center"/>
              <w:rPr>
                <w:rFonts w:hint="eastAsia" w:ascii="宋体" w:hAnsi="宋体" w:eastAsia="宋体" w:cs="宋体"/>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25B6C39C">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日常履约监管</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6F7AF6C2">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投标人须每季度组织不少于1次综合应急演练，每半年至少开展1次专项消防应急演练，演练内容覆盖火灾处置、人员疏散、燃气泄漏应急处置等，留存完整演练记录、照片、视频，报采购人备案；按要求制定应急预案、开展应急演练的。</w:t>
            </w:r>
          </w:p>
          <w:p w14:paraId="5B596E6E">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2.投标人的人员管理、服务规范、环境卫生未达本文件要求的，采购人有权责令限期整改。</w:t>
            </w:r>
          </w:p>
          <w:p w14:paraId="10EE58D7">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3.投标人未按本项目采购文件要求完成食材配送、抽检不合格的；</w:t>
            </w:r>
            <w:r>
              <w:rPr>
                <w:rFonts w:hint="eastAsia" w:ascii="宋体" w:hAnsi="宋体" w:eastAsia="宋体" w:cs="宋体"/>
                <w:kern w:val="0"/>
                <w:sz w:val="18"/>
                <w:szCs w:val="18"/>
                <w:lang w:val="en-US" w:eastAsia="zh-CN" w:bidi="ar"/>
              </w:rPr>
              <w:t>1</w:t>
            </w:r>
            <w:r>
              <w:rPr>
                <w:rFonts w:hint="eastAsia" w:ascii="宋体" w:hAnsi="宋体" w:eastAsia="宋体" w:cs="宋体"/>
                <w:kern w:val="0"/>
                <w:sz w:val="18"/>
                <w:szCs w:val="18"/>
                <w:lang w:bidi="ar"/>
              </w:rPr>
              <w:t>个月内累计3次及以上的，采购人有权暂停支付结算款项，情节严重的，有权终止合同。</w:t>
            </w:r>
          </w:p>
          <w:p w14:paraId="22D2F2A5">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投标人未按要求配备中央厨房及应急配送保障能力、未制定专项应急供餐保障方案，或突发供餐中断后未在4小时内恢复正常供餐的，采购人有权责令限期整改；情节严重影响医院正常运营的，采购人有权单方终止合同，全额没收履约保证金。</w:t>
            </w:r>
          </w:p>
          <w:p w14:paraId="11B362CF">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5.因投标人违约导致采购人被监管部门处罚、或被第三方索赔的，全部罚款、赔偿、律师费等费用均由投标人承担。</w:t>
            </w:r>
          </w:p>
          <w:p w14:paraId="29E261E3">
            <w:pPr>
              <w:widowControl/>
              <w:snapToGrid w:val="0"/>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6.员工不服从管理、辱骂恐吓殴打管理人员、医护人员、病人及其家属的，立即调离项目，涉及违法的移交公安机关。</w:t>
            </w:r>
          </w:p>
          <w:p w14:paraId="6CD20E44">
            <w:pPr>
              <w:widowControl/>
              <w:snapToGrid w:val="0"/>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违规操作引发安全事件、不良事件，影响医院正常工作与声誉的投诉（被媒体曝光、市级及以上行政部门通报、市场监管局立案调查、10人及以上集体投诉、引发网络舆情等）；情节严重的，承担全部后果并移交公安机关；</w:t>
            </w:r>
          </w:p>
          <w:p w14:paraId="517A2782">
            <w:pPr>
              <w:widowControl/>
              <w:snapToGrid w:val="0"/>
              <w:jc w:val="left"/>
              <w:textAlignment w:val="center"/>
              <w:rPr>
                <w:rFonts w:hint="eastAsia" w:ascii="宋体" w:hAnsi="宋体" w:eastAsia="宋体" w:cs="宋体"/>
                <w:sz w:val="18"/>
                <w:szCs w:val="18"/>
              </w:rPr>
            </w:pPr>
            <w:r>
              <w:rPr>
                <w:rFonts w:ascii="宋体" w:hAnsi="宋体" w:eastAsia="宋体" w:cs="宋体"/>
                <w:b/>
                <w:bCs/>
                <w:sz w:val="18"/>
                <w:szCs w:val="18"/>
              </w:rPr>
              <w:t>（发现违反上述规定，每项每次扣</w:t>
            </w:r>
            <w:r>
              <w:rPr>
                <w:rFonts w:hint="eastAsia" w:ascii="宋体" w:hAnsi="宋体" w:eastAsia="宋体" w:cs="宋体"/>
                <w:b/>
                <w:bCs/>
                <w:sz w:val="18"/>
                <w:szCs w:val="18"/>
              </w:rPr>
              <w:t>2</w:t>
            </w:r>
            <w:r>
              <w:rPr>
                <w:rFonts w:ascii="宋体" w:hAnsi="宋体" w:eastAsia="宋体" w:cs="宋体"/>
                <w:b/>
                <w:bCs/>
                <w:sz w:val="18"/>
                <w:szCs w:val="18"/>
              </w:rPr>
              <w:t>分，扣完该项分值为止）</w:t>
            </w:r>
          </w:p>
        </w:tc>
        <w:tc>
          <w:tcPr>
            <w:tcW w:w="241" w:type="pct"/>
            <w:tcBorders>
              <w:top w:val="single" w:color="auto" w:sz="4" w:space="0"/>
              <w:left w:val="single" w:color="auto" w:sz="4" w:space="0"/>
              <w:bottom w:val="nil"/>
              <w:right w:val="nil"/>
            </w:tcBorders>
            <w:tcMar>
              <w:top w:w="-1" w:type="dxa"/>
              <w:left w:w="-1" w:type="dxa"/>
              <w:bottom w:w="-1" w:type="dxa"/>
              <w:right w:w="-1" w:type="dxa"/>
            </w:tcMar>
            <w:vAlign w:val="center"/>
          </w:tcPr>
          <w:p w14:paraId="564A9A24">
            <w:pPr>
              <w:widowControl/>
              <w:snapToGrid w:val="0"/>
              <w:jc w:val="left"/>
              <w:textAlignment w:val="center"/>
              <w:rPr>
                <w:rFonts w:ascii="宋体" w:hAnsi="Calibri" w:eastAsia="宋体" w:cs="Calibri"/>
                <w:sz w:val="18"/>
                <w:szCs w:val="20"/>
              </w:rPr>
            </w:pPr>
            <w:r>
              <w:rPr>
                <w:rFonts w:ascii="宋体" w:hAnsi="Calibri" w:eastAsia="宋体" w:cs="Calibri"/>
                <w:kern w:val="0"/>
                <w:sz w:val="18"/>
                <w:szCs w:val="20"/>
                <w:lang w:bidi="ar"/>
              </w:rPr>
              <w:t>1</w:t>
            </w:r>
            <w:r>
              <w:rPr>
                <w:rFonts w:hint="eastAsia" w:ascii="宋体" w:hAnsi="Calibri" w:eastAsia="宋体" w:cs="Calibri"/>
                <w:kern w:val="0"/>
                <w:sz w:val="18"/>
                <w:szCs w:val="20"/>
                <w:lang w:bidi="ar"/>
              </w:rPr>
              <w:t>4</w:t>
            </w:r>
          </w:p>
        </w:tc>
        <w:tc>
          <w:tcPr>
            <w:tcW w:w="283" w:type="pct"/>
            <w:tcBorders>
              <w:top w:val="single" w:color="auto" w:sz="4" w:space="0"/>
              <w:left w:val="single" w:color="auto" w:sz="4" w:space="0"/>
              <w:bottom w:val="nil"/>
              <w:right w:val="nil"/>
            </w:tcBorders>
            <w:tcMar>
              <w:top w:w="-1" w:type="dxa"/>
              <w:left w:w="-1" w:type="dxa"/>
              <w:bottom w:w="-1" w:type="dxa"/>
              <w:right w:w="-1" w:type="dxa"/>
            </w:tcMar>
            <w:vAlign w:val="center"/>
          </w:tcPr>
          <w:p w14:paraId="070830D9">
            <w:pPr>
              <w:snapToGrid w:val="0"/>
              <w:jc w:val="right"/>
              <w:rPr>
                <w:rFonts w:ascii="宋体" w:hAnsi="Calibri" w:eastAsia="宋体" w:cs="Calibri"/>
                <w:sz w:val="18"/>
                <w:szCs w:val="20"/>
              </w:rPr>
            </w:pPr>
          </w:p>
        </w:tc>
        <w:tc>
          <w:tcPr>
            <w:tcW w:w="407" w:type="pct"/>
            <w:tcBorders>
              <w:top w:val="single" w:color="auto" w:sz="4" w:space="0"/>
              <w:left w:val="single" w:color="auto" w:sz="4" w:space="0"/>
              <w:bottom w:val="nil"/>
              <w:right w:val="single" w:color="000000" w:sz="4" w:space="0"/>
            </w:tcBorders>
            <w:tcMar>
              <w:top w:w="-1" w:type="dxa"/>
              <w:left w:w="-1" w:type="dxa"/>
              <w:bottom w:w="-1" w:type="dxa"/>
              <w:right w:w="-1" w:type="dxa"/>
            </w:tcMar>
            <w:vAlign w:val="center"/>
          </w:tcPr>
          <w:p w14:paraId="6046992C">
            <w:pPr>
              <w:snapToGrid w:val="0"/>
              <w:jc w:val="right"/>
              <w:rPr>
                <w:rFonts w:ascii="宋体" w:hAnsi="Calibri" w:eastAsia="宋体" w:cs="Calibri"/>
                <w:sz w:val="18"/>
                <w:szCs w:val="20"/>
              </w:rPr>
            </w:pPr>
          </w:p>
        </w:tc>
      </w:tr>
      <w:tr w14:paraId="1EBA1965">
        <w:tblPrEx>
          <w:tblCellMar>
            <w:top w:w="0" w:type="dxa"/>
            <w:left w:w="108" w:type="dxa"/>
            <w:bottom w:w="0" w:type="dxa"/>
            <w:right w:w="108" w:type="dxa"/>
          </w:tblCellMar>
        </w:tblPrEx>
        <w:trPr>
          <w:wAfter w:w="38" w:type="dxa"/>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31F277FD">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膳食服务评价</w:t>
            </w:r>
            <w:r>
              <w:rPr>
                <w:rStyle w:val="31"/>
                <w:rFonts w:hint="default"/>
                <w:color w:val="auto"/>
                <w:sz w:val="18"/>
                <w:lang w:bidi="ar"/>
              </w:rPr>
              <w:t>（3</w:t>
            </w:r>
            <w:r>
              <w:rPr>
                <w:rFonts w:ascii="宋体" w:hAnsi="Calibri" w:eastAsia="宋体" w:cs="Calibri"/>
                <w:kern w:val="0"/>
                <w:sz w:val="18"/>
                <w:szCs w:val="20"/>
                <w:lang w:bidi="ar"/>
              </w:rPr>
              <w:t>0</w:t>
            </w:r>
            <w:r>
              <w:rPr>
                <w:rStyle w:val="31"/>
                <w:rFonts w:hint="default"/>
                <w:color w:val="auto"/>
                <w:sz w:val="18"/>
                <w:lang w:bidi="ar"/>
              </w:rPr>
              <w:t>分）</w:t>
            </w:r>
          </w:p>
        </w:tc>
        <w:tc>
          <w:tcPr>
            <w:tcW w:w="424" w:type="pct"/>
            <w:tcBorders>
              <w:top w:val="single" w:color="auto" w:sz="4" w:space="0"/>
              <w:left w:val="single" w:color="000000" w:sz="4" w:space="0"/>
              <w:bottom w:val="nil"/>
              <w:right w:val="nil"/>
            </w:tcBorders>
            <w:shd w:val="clear" w:color="auto" w:fill="FFFFFF"/>
            <w:tcMar>
              <w:top w:w="-1" w:type="dxa"/>
              <w:left w:w="-1" w:type="dxa"/>
              <w:bottom w:w="-1" w:type="dxa"/>
              <w:right w:w="-1" w:type="dxa"/>
            </w:tcMar>
            <w:vAlign w:val="center"/>
          </w:tcPr>
          <w:p w14:paraId="3DF1F42F">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病人膳食服务评价</w:t>
            </w:r>
          </w:p>
        </w:tc>
        <w:tc>
          <w:tcPr>
            <w:tcW w:w="3011" w:type="pct"/>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06318FA9">
            <w:pPr>
              <w:widowControl/>
              <w:snapToGrid w:val="0"/>
              <w:jc w:val="left"/>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1.入场后第1-3个月为过渡期，根据采购人《食堂餐饮服务月度膳食服务评价表》（参考）考核结果，实现逐月递增，进行病人膳食服务评价考核：</w:t>
            </w:r>
          </w:p>
          <w:p w14:paraId="3660FF0B">
            <w:pPr>
              <w:widowControl/>
              <w:snapToGrid w:val="0"/>
              <w:jc w:val="left"/>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①第1个月不得低于70分，否则扣5分；</w:t>
            </w:r>
          </w:p>
          <w:p w14:paraId="422508C3">
            <w:pPr>
              <w:widowControl/>
              <w:snapToGrid w:val="0"/>
              <w:jc w:val="left"/>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②第2个月不得低于75分，否则扣5分；</w:t>
            </w:r>
          </w:p>
          <w:p w14:paraId="21CDEA6C">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③第3个月不得低于80分，否则扣5分；</w:t>
            </w:r>
          </w:p>
          <w:p w14:paraId="73A6F2F2">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2.第4个月起正式考核，每月根据采购人《食堂餐饮服务月度膳食服务评价表》（参考）考核结果，进行病人膳食服务评价考核：</w:t>
            </w:r>
            <w:r>
              <w:rPr>
                <w:rFonts w:hint="eastAsia" w:ascii="宋体" w:hAnsi="宋体" w:eastAsia="宋体" w:cs="宋体"/>
                <w:kern w:val="0"/>
                <w:sz w:val="18"/>
                <w:szCs w:val="20"/>
                <w:lang w:bidi="ar"/>
              </w:rPr>
              <w:br w:type="textWrapping"/>
            </w:r>
            <w:r>
              <w:rPr>
                <w:rFonts w:hint="eastAsia" w:ascii="宋体" w:hAnsi="宋体" w:eastAsia="宋体" w:cs="宋体"/>
                <w:kern w:val="0"/>
                <w:sz w:val="18"/>
                <w:szCs w:val="20"/>
                <w:lang w:bidi="ar"/>
              </w:rPr>
              <w:t>1.85分及以上，不扣分</w:t>
            </w:r>
            <w:r>
              <w:rPr>
                <w:rFonts w:hint="eastAsia" w:ascii="宋体" w:hAnsi="宋体" w:eastAsia="宋体" w:cs="宋体"/>
                <w:kern w:val="0"/>
                <w:sz w:val="18"/>
                <w:szCs w:val="20"/>
                <w:lang w:bidi="ar"/>
              </w:rPr>
              <w:br w:type="textWrapping"/>
            </w:r>
            <w:r>
              <w:rPr>
                <w:rFonts w:hint="eastAsia" w:ascii="宋体" w:hAnsi="宋体" w:eastAsia="宋体" w:cs="宋体"/>
                <w:kern w:val="0"/>
                <w:sz w:val="18"/>
                <w:szCs w:val="20"/>
                <w:lang w:bidi="ar"/>
              </w:rPr>
              <w:t>2.80-85分（80≤N＜85），扣5分</w:t>
            </w:r>
            <w:r>
              <w:rPr>
                <w:rFonts w:hint="eastAsia" w:ascii="宋体" w:hAnsi="宋体" w:eastAsia="宋体" w:cs="宋体"/>
                <w:kern w:val="0"/>
                <w:sz w:val="18"/>
                <w:szCs w:val="20"/>
                <w:lang w:bidi="ar"/>
              </w:rPr>
              <w:br w:type="textWrapping"/>
            </w:r>
            <w:r>
              <w:rPr>
                <w:rFonts w:hint="eastAsia" w:ascii="宋体" w:hAnsi="宋体" w:eastAsia="宋体" w:cs="宋体"/>
                <w:kern w:val="0"/>
                <w:sz w:val="18"/>
                <w:szCs w:val="20"/>
                <w:lang w:bidi="ar"/>
              </w:rPr>
              <w:t>3.70-80分（70≤N＜80），扣10分</w:t>
            </w:r>
            <w:r>
              <w:rPr>
                <w:rFonts w:hint="eastAsia" w:ascii="宋体" w:hAnsi="宋体" w:eastAsia="宋体" w:cs="宋体"/>
                <w:kern w:val="0"/>
                <w:sz w:val="18"/>
                <w:szCs w:val="20"/>
                <w:lang w:bidi="ar"/>
              </w:rPr>
              <w:br w:type="textWrapping"/>
            </w:r>
            <w:r>
              <w:rPr>
                <w:rFonts w:hint="eastAsia" w:ascii="宋体" w:hAnsi="宋体" w:eastAsia="宋体" w:cs="宋体"/>
                <w:kern w:val="0"/>
                <w:sz w:val="18"/>
                <w:szCs w:val="20"/>
                <w:lang w:bidi="ar"/>
              </w:rPr>
              <w:t>4.70分以下（N＜70），扣20分</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66C31337">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20</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64C514FF">
            <w:pPr>
              <w:snapToGrid w:val="0"/>
              <w:jc w:val="right"/>
              <w:rPr>
                <w:rFonts w:hint="eastAsia" w:ascii="宋体" w:hAnsi="宋体" w:eastAsia="宋体" w:cs="宋体"/>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77C369AD">
            <w:pPr>
              <w:snapToGrid w:val="0"/>
              <w:jc w:val="right"/>
              <w:rPr>
                <w:rFonts w:hint="eastAsia" w:ascii="宋体" w:hAnsi="宋体" w:eastAsia="宋体" w:cs="宋体"/>
                <w:sz w:val="18"/>
                <w:szCs w:val="20"/>
              </w:rPr>
            </w:pPr>
          </w:p>
        </w:tc>
      </w:tr>
      <w:tr w14:paraId="79E771DE">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646D01CB">
            <w:pPr>
              <w:snapToGrid w:val="0"/>
              <w:jc w:val="center"/>
              <w:rPr>
                <w:rFonts w:hint="eastAsia" w:ascii="宋体" w:hAnsi="宋体" w:eastAsia="宋体" w:cs="宋体"/>
                <w:sz w:val="18"/>
                <w:szCs w:val="20"/>
              </w:rPr>
            </w:pPr>
          </w:p>
        </w:tc>
        <w:tc>
          <w:tcPr>
            <w:tcW w:w="424" w:type="pct"/>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44EABB3D">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职工膳食服务评价</w:t>
            </w:r>
          </w:p>
        </w:tc>
        <w:tc>
          <w:tcPr>
            <w:tcW w:w="3011" w:type="pct"/>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7C1DDB9D">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每月根据采购人《食堂餐饮服务月度膳食服务评价表》（参考）考核结果，进行病人膳食服务评价考核：</w:t>
            </w:r>
            <w:r>
              <w:rPr>
                <w:rFonts w:hint="eastAsia" w:ascii="宋体" w:hAnsi="宋体" w:eastAsia="宋体" w:cs="宋体"/>
                <w:kern w:val="0"/>
                <w:sz w:val="18"/>
                <w:szCs w:val="20"/>
                <w:lang w:bidi="ar"/>
              </w:rPr>
              <w:br w:type="textWrapping"/>
            </w:r>
            <w:r>
              <w:rPr>
                <w:rFonts w:hint="eastAsia" w:ascii="宋体" w:hAnsi="宋体" w:eastAsia="宋体" w:cs="宋体"/>
                <w:kern w:val="0"/>
                <w:sz w:val="18"/>
                <w:szCs w:val="20"/>
                <w:lang w:bidi="ar"/>
              </w:rPr>
              <w:t>1.85分及以上，不扣分</w:t>
            </w:r>
            <w:r>
              <w:rPr>
                <w:rFonts w:hint="eastAsia" w:ascii="宋体" w:hAnsi="宋体" w:eastAsia="宋体" w:cs="宋体"/>
                <w:kern w:val="0"/>
                <w:sz w:val="18"/>
                <w:szCs w:val="20"/>
                <w:lang w:bidi="ar"/>
              </w:rPr>
              <w:br w:type="textWrapping"/>
            </w:r>
            <w:r>
              <w:rPr>
                <w:rFonts w:hint="eastAsia" w:ascii="宋体" w:hAnsi="宋体" w:eastAsia="宋体" w:cs="宋体"/>
                <w:kern w:val="0"/>
                <w:sz w:val="18"/>
                <w:szCs w:val="20"/>
                <w:lang w:bidi="ar"/>
              </w:rPr>
              <w:t>2.80-85分（80≤N＜85），扣3分</w:t>
            </w:r>
            <w:r>
              <w:rPr>
                <w:rFonts w:hint="eastAsia" w:ascii="宋体" w:hAnsi="宋体" w:eastAsia="宋体" w:cs="宋体"/>
                <w:kern w:val="0"/>
                <w:sz w:val="18"/>
                <w:szCs w:val="20"/>
                <w:lang w:bidi="ar"/>
              </w:rPr>
              <w:br w:type="textWrapping"/>
            </w:r>
            <w:r>
              <w:rPr>
                <w:rFonts w:hint="eastAsia" w:ascii="宋体" w:hAnsi="宋体" w:eastAsia="宋体" w:cs="宋体"/>
                <w:kern w:val="0"/>
                <w:sz w:val="18"/>
                <w:szCs w:val="20"/>
                <w:lang w:bidi="ar"/>
              </w:rPr>
              <w:t>3.70-80分（70≤N＜80），扣6分</w:t>
            </w:r>
            <w:r>
              <w:rPr>
                <w:rFonts w:hint="eastAsia" w:ascii="宋体" w:hAnsi="宋体" w:eastAsia="宋体" w:cs="宋体"/>
                <w:kern w:val="0"/>
                <w:sz w:val="18"/>
                <w:szCs w:val="20"/>
                <w:lang w:bidi="ar"/>
              </w:rPr>
              <w:br w:type="textWrapping"/>
            </w:r>
            <w:r>
              <w:rPr>
                <w:rFonts w:hint="eastAsia" w:ascii="宋体" w:hAnsi="宋体" w:eastAsia="宋体" w:cs="宋体"/>
                <w:kern w:val="0"/>
                <w:sz w:val="18"/>
                <w:szCs w:val="20"/>
                <w:lang w:bidi="ar"/>
              </w:rPr>
              <w:t>4.70分以下（N＜70），扣10分</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207F08AD">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10</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447CAB64">
            <w:pPr>
              <w:snapToGrid w:val="0"/>
              <w:jc w:val="right"/>
              <w:rPr>
                <w:rFonts w:hint="eastAsia" w:ascii="宋体" w:hAnsi="宋体" w:eastAsia="宋体" w:cs="宋体"/>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7DC7ED4C">
            <w:pPr>
              <w:snapToGrid w:val="0"/>
              <w:jc w:val="right"/>
              <w:rPr>
                <w:rFonts w:hint="eastAsia" w:ascii="宋体" w:hAnsi="宋体" w:eastAsia="宋体" w:cs="宋体"/>
                <w:sz w:val="18"/>
                <w:szCs w:val="20"/>
              </w:rPr>
            </w:pPr>
          </w:p>
        </w:tc>
      </w:tr>
      <w:tr w14:paraId="7601BE7F">
        <w:tblPrEx>
          <w:tblCellMar>
            <w:top w:w="0" w:type="dxa"/>
            <w:left w:w="108" w:type="dxa"/>
            <w:bottom w:w="0" w:type="dxa"/>
            <w:right w:w="108" w:type="dxa"/>
          </w:tblCellMar>
        </w:tblPrEx>
        <w:trPr>
          <w:wAfter w:w="38" w:type="dxa"/>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3F085C31">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附加项</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3EC59818">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运营类</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3D68B7D2">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推进餐饮产品研发与成果转化，助力社会效益和经济效益提升。举例：编撰饮食养生著作、药食同源餐饮研发及市场推广等</w:t>
            </w:r>
          </w:p>
        </w:tc>
        <w:tc>
          <w:tcPr>
            <w:tcW w:w="241" w:type="pct"/>
            <w:tcBorders>
              <w:top w:val="single" w:color="000000" w:sz="4" w:space="0"/>
              <w:left w:val="single" w:color="000000" w:sz="4" w:space="0"/>
              <w:bottom w:val="nil"/>
              <w:right w:val="nil"/>
            </w:tcBorders>
            <w:tcMar>
              <w:top w:w="-1" w:type="dxa"/>
              <w:left w:w="-1" w:type="dxa"/>
              <w:bottom w:w="-1" w:type="dxa"/>
              <w:right w:w="-1" w:type="dxa"/>
            </w:tcMar>
            <w:vAlign w:val="center"/>
          </w:tcPr>
          <w:p w14:paraId="7560CABA">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10</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1D4E40CD">
            <w:pPr>
              <w:snapToGrid w:val="0"/>
              <w:jc w:val="right"/>
              <w:rPr>
                <w:rFonts w:hint="eastAsia" w:ascii="宋体" w:hAnsi="宋体" w:eastAsia="宋体" w:cs="宋体"/>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5E18BC6E">
            <w:pPr>
              <w:snapToGrid w:val="0"/>
              <w:jc w:val="right"/>
              <w:rPr>
                <w:rFonts w:hint="eastAsia" w:ascii="宋体" w:hAnsi="宋体" w:eastAsia="宋体" w:cs="宋体"/>
                <w:sz w:val="18"/>
                <w:szCs w:val="20"/>
              </w:rPr>
            </w:pPr>
          </w:p>
        </w:tc>
      </w:tr>
      <w:tr w14:paraId="595AAEAD">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BF5F59D">
            <w:pPr>
              <w:snapToGrid w:val="0"/>
              <w:jc w:val="center"/>
              <w:rPr>
                <w:rFonts w:hint="eastAsia" w:ascii="宋体" w:hAnsi="宋体" w:eastAsia="宋体" w:cs="宋体"/>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65DC5C07">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创新类</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51C36A22">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充分展现医院标准化、高品质服务建设成果。举例：代表医院参加省市级专项竞赛评选，获得省市级行政部门颁发荣誉等。</w:t>
            </w:r>
          </w:p>
        </w:tc>
        <w:tc>
          <w:tcPr>
            <w:tcW w:w="241" w:type="pct"/>
            <w:tcBorders>
              <w:top w:val="single" w:color="000000" w:sz="4" w:space="0"/>
              <w:left w:val="single" w:color="000000" w:sz="4" w:space="0"/>
              <w:bottom w:val="nil"/>
              <w:right w:val="nil"/>
            </w:tcBorders>
            <w:tcMar>
              <w:top w:w="-1" w:type="dxa"/>
              <w:left w:w="-1" w:type="dxa"/>
              <w:bottom w:w="-1" w:type="dxa"/>
              <w:right w:w="-1" w:type="dxa"/>
            </w:tcMar>
            <w:vAlign w:val="center"/>
          </w:tcPr>
          <w:p w14:paraId="50CB8247">
            <w:pPr>
              <w:widowControl/>
              <w:snapToGrid w:val="0"/>
              <w:jc w:val="left"/>
              <w:textAlignment w:val="center"/>
              <w:rPr>
                <w:rFonts w:hint="eastAsia" w:ascii="宋体" w:hAnsi="宋体" w:eastAsia="宋体" w:cs="宋体"/>
                <w:sz w:val="18"/>
                <w:szCs w:val="20"/>
              </w:rPr>
            </w:pPr>
            <w:r>
              <w:rPr>
                <w:rFonts w:hint="eastAsia" w:ascii="宋体" w:hAnsi="宋体" w:eastAsia="宋体" w:cs="宋体"/>
                <w:kern w:val="0"/>
                <w:sz w:val="18"/>
                <w:szCs w:val="20"/>
                <w:lang w:bidi="ar"/>
              </w:rPr>
              <w:t>10</w:t>
            </w:r>
          </w:p>
        </w:tc>
        <w:tc>
          <w:tcPr>
            <w:tcW w:w="283" w:type="pct"/>
            <w:tcBorders>
              <w:top w:val="single" w:color="000000" w:sz="4" w:space="0"/>
              <w:left w:val="single" w:color="000000" w:sz="4" w:space="0"/>
              <w:bottom w:val="nil"/>
              <w:right w:val="nil"/>
            </w:tcBorders>
            <w:tcMar>
              <w:top w:w="-1" w:type="dxa"/>
              <w:left w:w="-1" w:type="dxa"/>
              <w:bottom w:w="-1" w:type="dxa"/>
              <w:right w:w="-1" w:type="dxa"/>
            </w:tcMar>
            <w:vAlign w:val="center"/>
          </w:tcPr>
          <w:p w14:paraId="2A51B529">
            <w:pPr>
              <w:snapToGrid w:val="0"/>
              <w:jc w:val="right"/>
              <w:rPr>
                <w:rFonts w:hint="eastAsia" w:ascii="宋体" w:hAnsi="宋体" w:eastAsia="宋体" w:cs="宋体"/>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1B9FB7CB">
            <w:pPr>
              <w:snapToGrid w:val="0"/>
              <w:jc w:val="right"/>
              <w:rPr>
                <w:rFonts w:hint="eastAsia" w:ascii="宋体" w:hAnsi="宋体" w:eastAsia="宋体" w:cs="宋体"/>
                <w:sz w:val="18"/>
                <w:szCs w:val="20"/>
              </w:rPr>
            </w:pPr>
          </w:p>
        </w:tc>
      </w:tr>
      <w:tr w14:paraId="2ACB4E12">
        <w:tblPrEx>
          <w:tblCellMar>
            <w:top w:w="0" w:type="dxa"/>
            <w:left w:w="108" w:type="dxa"/>
            <w:bottom w:w="0" w:type="dxa"/>
            <w:right w:w="108" w:type="dxa"/>
          </w:tblCellMar>
        </w:tblPrEx>
        <w:trPr>
          <w:wAfter w:w="38" w:type="dxa"/>
          <w:trHeight w:val="340" w:hRule="atLeast"/>
          <w:jc w:val="center"/>
        </w:trPr>
        <w:tc>
          <w:tcPr>
            <w:tcW w:w="633" w:type="pct"/>
            <w:tcBorders>
              <w:top w:val="single" w:color="000000" w:sz="4" w:space="0"/>
              <w:left w:val="single" w:color="000000" w:sz="4" w:space="0"/>
              <w:bottom w:val="nil"/>
              <w:right w:val="nil"/>
            </w:tcBorders>
            <w:tcMar>
              <w:top w:w="-1" w:type="dxa"/>
              <w:left w:w="-1" w:type="dxa"/>
              <w:bottom w:w="-1" w:type="dxa"/>
              <w:right w:w="-1" w:type="dxa"/>
            </w:tcMar>
            <w:vAlign w:val="center"/>
          </w:tcPr>
          <w:p w14:paraId="06EC0B14">
            <w:pPr>
              <w:widowControl/>
              <w:snapToGrid w:val="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考核得分</w:t>
            </w: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2871A4C8">
            <w:pPr>
              <w:widowControl/>
              <w:snapToGrid w:val="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分</w:t>
            </w:r>
          </w:p>
        </w:tc>
      </w:tr>
      <w:tr w14:paraId="4FB851FA">
        <w:tblPrEx>
          <w:tblCellMar>
            <w:top w:w="0" w:type="dxa"/>
            <w:left w:w="108" w:type="dxa"/>
            <w:bottom w:w="0" w:type="dxa"/>
            <w:right w:w="108" w:type="dxa"/>
          </w:tblCellMar>
        </w:tblPrEx>
        <w:trPr>
          <w:wAfter w:w="38" w:type="dxa"/>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547ED1F8">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扣罚规则</w:t>
            </w:r>
          </w:p>
        </w:tc>
        <w:tc>
          <w:tcPr>
            <w:tcW w:w="4367" w:type="pct"/>
            <w:gridSpan w:val="5"/>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2049F13C">
            <w:pPr>
              <w:widowControl/>
              <w:snapToGrid w:val="0"/>
              <w:jc w:val="left"/>
              <w:textAlignment w:val="center"/>
              <w:rPr>
                <w:rFonts w:hint="eastAsia" w:ascii="宋体" w:hAnsi="仿宋" w:eastAsia="宋体" w:cs="仿宋"/>
                <w:sz w:val="18"/>
              </w:rPr>
            </w:pPr>
            <w:r>
              <w:rPr>
                <w:rFonts w:hint="eastAsia" w:ascii="宋体" w:hAnsi="仿宋" w:eastAsia="宋体" w:cs="仿宋"/>
                <w:kern w:val="0"/>
                <w:sz w:val="18"/>
                <w:lang w:bidi="ar"/>
              </w:rPr>
              <w:t>1．85分及以上（N≥85）：不扣费，全额返还当月考核保证金；</w:t>
            </w:r>
          </w:p>
        </w:tc>
      </w:tr>
      <w:tr w14:paraId="5485884B">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6D2DD316">
            <w:pPr>
              <w:snapToGrid w:val="0"/>
              <w:jc w:val="center"/>
              <w:rPr>
                <w:rFonts w:hint="eastAsia" w:ascii="宋体" w:hAnsi="宋体" w:eastAsia="宋体" w:cs="宋体"/>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1207E915">
            <w:pPr>
              <w:widowControl/>
              <w:snapToGrid w:val="0"/>
              <w:jc w:val="left"/>
              <w:textAlignment w:val="center"/>
              <w:rPr>
                <w:rFonts w:hint="eastAsia" w:ascii="宋体" w:hAnsi="仿宋" w:eastAsia="宋体" w:cs="仿宋"/>
                <w:sz w:val="18"/>
              </w:rPr>
            </w:pPr>
            <w:r>
              <w:rPr>
                <w:rFonts w:hint="eastAsia" w:ascii="宋体" w:hAnsi="仿宋" w:eastAsia="宋体" w:cs="仿宋"/>
                <w:kern w:val="0"/>
                <w:sz w:val="18"/>
                <w:lang w:bidi="ar"/>
              </w:rPr>
              <w:t>2．80-85分（80≤N＜85）：（85-考评分值N）×1000元/分，从当月考核保证金中扣除；</w:t>
            </w:r>
          </w:p>
        </w:tc>
      </w:tr>
      <w:tr w14:paraId="3C1965B4">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21CA91E5">
            <w:pPr>
              <w:snapToGrid w:val="0"/>
              <w:jc w:val="center"/>
              <w:rPr>
                <w:rFonts w:hint="eastAsia" w:ascii="宋体" w:hAnsi="宋体" w:eastAsia="宋体" w:cs="宋体"/>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734BC033">
            <w:pPr>
              <w:widowControl/>
              <w:snapToGrid w:val="0"/>
              <w:jc w:val="left"/>
              <w:textAlignment w:val="center"/>
              <w:rPr>
                <w:rFonts w:hint="eastAsia" w:ascii="宋体" w:hAnsi="仿宋" w:eastAsia="宋体" w:cs="仿宋"/>
                <w:sz w:val="18"/>
              </w:rPr>
            </w:pPr>
            <w:r>
              <w:rPr>
                <w:rFonts w:hint="eastAsia" w:ascii="宋体" w:hAnsi="仿宋" w:eastAsia="宋体" w:cs="仿宋"/>
                <w:kern w:val="0"/>
                <w:sz w:val="18"/>
                <w:lang w:bidi="ar"/>
              </w:rPr>
              <w:t>3．70-80分（70≤N＜80）：（85-考评分值N）×2000元/分，从当月考核保证金中扣除；</w:t>
            </w:r>
          </w:p>
        </w:tc>
      </w:tr>
      <w:tr w14:paraId="4E5F5DE3">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55F89ED">
            <w:pPr>
              <w:snapToGrid w:val="0"/>
              <w:jc w:val="center"/>
              <w:rPr>
                <w:rFonts w:hint="eastAsia" w:ascii="宋体" w:hAnsi="宋体" w:eastAsia="宋体" w:cs="宋体"/>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2D3B1347">
            <w:pPr>
              <w:widowControl/>
              <w:snapToGrid w:val="0"/>
              <w:jc w:val="left"/>
              <w:textAlignment w:val="center"/>
              <w:rPr>
                <w:rFonts w:hint="eastAsia" w:ascii="宋体" w:hAnsi="仿宋" w:eastAsia="宋体" w:cs="仿宋"/>
                <w:sz w:val="18"/>
              </w:rPr>
            </w:pPr>
            <w:r>
              <w:rPr>
                <w:rFonts w:hint="eastAsia" w:ascii="宋体" w:hAnsi="仿宋" w:eastAsia="宋体" w:cs="仿宋"/>
                <w:kern w:val="0"/>
                <w:sz w:val="18"/>
                <w:lang w:bidi="ar"/>
              </w:rPr>
              <w:t>4．70分及以下（N＜70）；（85-考评分值N）×3000元/分，从当月考核保证金中扣除；</w:t>
            </w:r>
          </w:p>
        </w:tc>
      </w:tr>
      <w:tr w14:paraId="455A9084">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BA1B82A">
            <w:pPr>
              <w:snapToGrid w:val="0"/>
              <w:jc w:val="center"/>
              <w:rPr>
                <w:rFonts w:hint="eastAsia" w:ascii="宋体" w:hAnsi="宋体" w:eastAsia="宋体" w:cs="宋体"/>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4622EFE9">
            <w:pPr>
              <w:widowControl/>
              <w:snapToGrid w:val="0"/>
              <w:jc w:val="left"/>
              <w:textAlignment w:val="center"/>
              <w:rPr>
                <w:rFonts w:hint="eastAsia" w:ascii="宋体" w:hAnsi="仿宋" w:eastAsia="宋体" w:cs="仿宋"/>
                <w:sz w:val="18"/>
              </w:rPr>
            </w:pPr>
            <w:r>
              <w:rPr>
                <w:rFonts w:hint="eastAsia" w:ascii="宋体" w:hAnsi="仿宋" w:eastAsia="宋体" w:cs="仿宋"/>
                <w:kern w:val="0"/>
                <w:sz w:val="18"/>
                <w:lang w:bidi="ar"/>
              </w:rPr>
              <w:t>5．合同期内（12个月）累计三次及以上考评分数低于70分，采购人有权单方终止合同；</w:t>
            </w:r>
          </w:p>
        </w:tc>
      </w:tr>
      <w:tr w14:paraId="6FC5EE2A">
        <w:tblPrEx>
          <w:tblCellMar>
            <w:top w:w="0" w:type="dxa"/>
            <w:left w:w="108" w:type="dxa"/>
            <w:bottom w:w="0" w:type="dxa"/>
            <w:right w:w="108" w:type="dxa"/>
          </w:tblCellMar>
        </w:tblPrEx>
        <w:trPr>
          <w:wAfter w:w="38" w:type="dxa"/>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E66EDBF">
            <w:pPr>
              <w:snapToGrid w:val="0"/>
              <w:jc w:val="center"/>
              <w:rPr>
                <w:rFonts w:hint="eastAsia" w:ascii="宋体" w:hAnsi="宋体" w:eastAsia="宋体" w:cs="宋体"/>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0DBB9168">
            <w:pPr>
              <w:widowControl/>
              <w:snapToGrid w:val="0"/>
              <w:jc w:val="left"/>
              <w:textAlignment w:val="center"/>
              <w:rPr>
                <w:rFonts w:hint="eastAsia" w:ascii="宋体" w:hAnsi="仿宋" w:eastAsia="宋体" w:cs="仿宋"/>
                <w:sz w:val="18"/>
              </w:rPr>
            </w:pPr>
            <w:r>
              <w:rPr>
                <w:rFonts w:hint="eastAsia" w:ascii="宋体" w:hAnsi="仿宋" w:eastAsia="宋体" w:cs="仿宋"/>
                <w:kern w:val="0"/>
                <w:sz w:val="18"/>
                <w:lang w:bidi="ar"/>
              </w:rPr>
              <w:t>6．当月考核保证金不足以缴纳当月扣罚金额的，先从履约保证金中扣除相应差额，同时投标人应于7个工作日内将履约保证金补足至项目预算金额的1%。</w:t>
            </w:r>
          </w:p>
        </w:tc>
      </w:tr>
      <w:tr w14:paraId="59A884BB">
        <w:tblPrEx>
          <w:tblCellMar>
            <w:top w:w="0" w:type="dxa"/>
            <w:left w:w="108" w:type="dxa"/>
            <w:bottom w:w="0" w:type="dxa"/>
            <w:right w:w="108" w:type="dxa"/>
          </w:tblCellMar>
        </w:tblPrEx>
        <w:trPr>
          <w:wAfter w:w="38" w:type="dxa"/>
          <w:trHeight w:val="340" w:hRule="atLeast"/>
          <w:jc w:val="center"/>
        </w:trPr>
        <w:tc>
          <w:tcPr>
            <w:tcW w:w="633" w:type="pct"/>
            <w:tcBorders>
              <w:top w:val="single" w:color="000000" w:sz="4" w:space="0"/>
              <w:left w:val="single" w:color="000000" w:sz="4" w:space="0"/>
              <w:bottom w:val="single" w:color="000000" w:sz="4" w:space="0"/>
              <w:right w:val="nil"/>
            </w:tcBorders>
            <w:tcMar>
              <w:top w:w="-1" w:type="dxa"/>
              <w:left w:w="-1" w:type="dxa"/>
              <w:bottom w:w="-1" w:type="dxa"/>
              <w:right w:w="-1" w:type="dxa"/>
            </w:tcMar>
            <w:vAlign w:val="center"/>
          </w:tcPr>
          <w:p w14:paraId="3019FA8B">
            <w:pPr>
              <w:widowControl/>
              <w:snapToGrid w:val="0"/>
              <w:jc w:val="center"/>
              <w:textAlignment w:val="center"/>
              <w:rPr>
                <w:rFonts w:hint="eastAsia" w:ascii="宋体" w:hAnsi="宋体" w:eastAsia="宋体" w:cs="宋体"/>
                <w:kern w:val="0"/>
                <w:sz w:val="18"/>
                <w:szCs w:val="20"/>
                <w:lang w:bidi="ar"/>
              </w:rPr>
            </w:pPr>
            <w:r>
              <w:rPr>
                <w:rFonts w:hint="eastAsia" w:ascii="宋体" w:hAnsi="宋体" w:eastAsia="宋体" w:cs="宋体"/>
                <w:kern w:val="0"/>
                <w:sz w:val="18"/>
                <w:szCs w:val="20"/>
                <w:lang w:bidi="ar"/>
              </w:rPr>
              <w:t>评审专家</w:t>
            </w:r>
          </w:p>
          <w:p w14:paraId="174EA19E">
            <w:pPr>
              <w:widowControl/>
              <w:snapToGrid w:val="0"/>
              <w:jc w:val="center"/>
              <w:textAlignment w:val="center"/>
              <w:rPr>
                <w:rFonts w:hint="eastAsia" w:ascii="宋体" w:hAnsi="宋体" w:eastAsia="宋体" w:cs="宋体"/>
                <w:sz w:val="18"/>
                <w:szCs w:val="20"/>
              </w:rPr>
            </w:pPr>
            <w:r>
              <w:rPr>
                <w:rFonts w:hint="eastAsia" w:ascii="宋体" w:hAnsi="宋体" w:eastAsia="宋体" w:cs="宋体"/>
                <w:kern w:val="0"/>
                <w:sz w:val="18"/>
                <w:szCs w:val="20"/>
                <w:lang w:bidi="ar"/>
              </w:rPr>
              <w:t>签名</w:t>
            </w:r>
          </w:p>
        </w:tc>
        <w:tc>
          <w:tcPr>
            <w:tcW w:w="4367" w:type="pct"/>
            <w:gridSpan w:val="5"/>
            <w:tcBorders>
              <w:top w:val="single" w:color="auto" w:sz="4" w:space="0"/>
              <w:left w:val="single" w:color="000000" w:sz="4" w:space="0"/>
              <w:bottom w:val="single" w:color="000000" w:sz="4" w:space="0"/>
              <w:right w:val="single" w:color="000000" w:sz="4" w:space="0"/>
            </w:tcBorders>
            <w:tcMar>
              <w:top w:w="-1" w:type="dxa"/>
              <w:left w:w="-1" w:type="dxa"/>
              <w:bottom w:w="-1" w:type="dxa"/>
              <w:right w:w="-1" w:type="dxa"/>
            </w:tcMar>
            <w:vAlign w:val="center"/>
          </w:tcPr>
          <w:p w14:paraId="3E9AF4A7">
            <w:pPr>
              <w:snapToGrid w:val="0"/>
              <w:jc w:val="center"/>
              <w:rPr>
                <w:rFonts w:hint="eastAsia" w:ascii="宋体" w:hAnsi="宋体" w:eastAsia="宋体" w:cs="宋体"/>
                <w:sz w:val="18"/>
                <w:szCs w:val="20"/>
              </w:rPr>
            </w:pPr>
          </w:p>
        </w:tc>
      </w:tr>
    </w:tbl>
    <w:p w14:paraId="28B99157">
      <w:pPr>
        <w:widowControl/>
        <w:jc w:val="left"/>
        <w:rPr>
          <w:rFonts w:hint="eastAsia" w:ascii="仿宋" w:hAnsi="仿宋" w:eastAsia="仿宋" w:cs="仿宋"/>
          <w:color w:val="0070C0"/>
          <w:sz w:val="24"/>
        </w:rPr>
      </w:pPr>
      <w:r>
        <w:rPr>
          <w:rFonts w:hint="eastAsia" w:ascii="仿宋" w:hAnsi="仿宋" w:eastAsia="仿宋" w:cs="仿宋"/>
          <w:color w:val="0070C0"/>
          <w:sz w:val="24"/>
        </w:rPr>
        <w:br w:type="page"/>
      </w:r>
    </w:p>
    <w:p w14:paraId="52BC97C3">
      <w:pPr>
        <w:widowControl/>
        <w:spacing w:line="440" w:lineRule="exact"/>
        <w:jc w:val="left"/>
        <w:outlineLvl w:val="1"/>
        <w:rPr>
          <w:rFonts w:hint="eastAsia" w:ascii="仿宋" w:hAnsi="仿宋" w:eastAsia="仿宋" w:cs="仿宋"/>
          <w:b/>
          <w:bCs/>
          <w:color w:val="0070C0"/>
          <w:kern w:val="0"/>
          <w:sz w:val="24"/>
        </w:rPr>
      </w:pPr>
      <w:r>
        <w:rPr>
          <w:rFonts w:hint="eastAsia" w:ascii="仿宋" w:hAnsi="仿宋" w:eastAsia="仿宋" w:cs="仿宋"/>
          <w:b/>
          <w:bCs/>
          <w:color w:val="0070C0"/>
          <w:kern w:val="0"/>
          <w:sz w:val="24"/>
        </w:rPr>
        <w:t>附件2</w:t>
      </w:r>
    </w:p>
    <w:tbl>
      <w:tblPr>
        <w:tblStyle w:val="12"/>
        <w:tblW w:w="5000" w:type="pct"/>
        <w:tblInd w:w="0" w:type="dxa"/>
        <w:tblLayout w:type="autofit"/>
        <w:tblCellMar>
          <w:top w:w="0" w:type="dxa"/>
          <w:left w:w="108" w:type="dxa"/>
          <w:bottom w:w="0" w:type="dxa"/>
          <w:right w:w="108" w:type="dxa"/>
        </w:tblCellMar>
      </w:tblPr>
      <w:tblGrid>
        <w:gridCol w:w="658"/>
        <w:gridCol w:w="3106"/>
        <w:gridCol w:w="473"/>
        <w:gridCol w:w="473"/>
        <w:gridCol w:w="473"/>
        <w:gridCol w:w="473"/>
        <w:gridCol w:w="473"/>
        <w:gridCol w:w="473"/>
        <w:gridCol w:w="473"/>
        <w:gridCol w:w="473"/>
        <w:gridCol w:w="473"/>
        <w:gridCol w:w="501"/>
      </w:tblGrid>
      <w:tr w14:paraId="68D59742">
        <w:tblPrEx>
          <w:tblCellMar>
            <w:top w:w="0" w:type="dxa"/>
            <w:left w:w="108" w:type="dxa"/>
            <w:bottom w:w="0" w:type="dxa"/>
            <w:right w:w="108" w:type="dxa"/>
          </w:tblCellMar>
        </w:tblPrEx>
        <w:trPr>
          <w:trHeight w:val="1247" w:hRule="atLeast"/>
        </w:trPr>
        <w:tc>
          <w:tcPr>
            <w:tcW w:w="5000" w:type="pct"/>
            <w:gridSpan w:val="12"/>
            <w:tcBorders>
              <w:top w:val="nil"/>
              <w:left w:val="nil"/>
              <w:bottom w:val="nil"/>
              <w:right w:val="nil"/>
            </w:tcBorders>
            <w:vAlign w:val="center"/>
          </w:tcPr>
          <w:p w14:paraId="60D5A000">
            <w:pPr>
              <w:widowControl/>
              <w:jc w:val="center"/>
              <w:textAlignment w:val="center"/>
              <w:rPr>
                <w:rFonts w:hint="eastAsia" w:ascii="宋体" w:hAnsi="宋体" w:eastAsia="宋体" w:cs="宋体"/>
                <w:b/>
                <w:bCs/>
                <w:color w:val="0070C0"/>
                <w:sz w:val="28"/>
                <w:szCs w:val="28"/>
              </w:rPr>
            </w:pPr>
            <w:r>
              <w:rPr>
                <w:rFonts w:hint="eastAsia" w:ascii="宋体" w:hAnsi="宋体" w:eastAsia="宋体" w:cs="宋体"/>
                <w:b/>
                <w:bCs/>
                <w:color w:val="0070C0"/>
                <w:kern w:val="0"/>
                <w:sz w:val="28"/>
                <w:szCs w:val="28"/>
                <w:lang w:bidi="ar"/>
              </w:rPr>
              <w:t>广州医科大学附属中医医院食堂餐饮服务</w:t>
            </w:r>
            <w:r>
              <w:rPr>
                <w:rFonts w:hint="eastAsia" w:ascii="宋体" w:hAnsi="宋体" w:eastAsia="宋体" w:cs="宋体"/>
                <w:b/>
                <w:bCs/>
                <w:color w:val="0070C0"/>
                <w:kern w:val="0"/>
                <w:sz w:val="28"/>
                <w:szCs w:val="28"/>
                <w:lang w:bidi="ar"/>
              </w:rPr>
              <w:br w:type="textWrapping"/>
            </w:r>
            <w:r>
              <w:rPr>
                <w:rFonts w:hint="eastAsia" w:ascii="宋体" w:hAnsi="宋体" w:eastAsia="宋体" w:cs="宋体"/>
                <w:b/>
                <w:bCs/>
                <w:color w:val="0070C0"/>
                <w:kern w:val="0"/>
                <w:sz w:val="28"/>
                <w:szCs w:val="28"/>
                <w:lang w:bidi="ar"/>
              </w:rPr>
              <w:t>月度膳食服务评价表</w:t>
            </w:r>
          </w:p>
        </w:tc>
      </w:tr>
      <w:tr w14:paraId="261B80F7">
        <w:tblPrEx>
          <w:tblCellMar>
            <w:top w:w="0" w:type="dxa"/>
            <w:left w:w="108" w:type="dxa"/>
            <w:bottom w:w="0" w:type="dxa"/>
            <w:right w:w="108" w:type="dxa"/>
          </w:tblCellMar>
        </w:tblPrEx>
        <w:trPr>
          <w:trHeight w:val="750" w:hRule="atLeast"/>
        </w:trPr>
        <w:tc>
          <w:tcPr>
            <w:tcW w:w="381" w:type="pct"/>
            <w:vMerge w:val="restart"/>
            <w:tcBorders>
              <w:top w:val="single" w:color="000000" w:sz="4" w:space="0"/>
              <w:left w:val="single" w:color="000000" w:sz="4" w:space="0"/>
              <w:bottom w:val="single" w:color="000000" w:sz="4" w:space="0"/>
              <w:right w:val="single" w:color="000000" w:sz="4" w:space="0"/>
            </w:tcBorders>
            <w:noWrap/>
            <w:vAlign w:val="center"/>
          </w:tcPr>
          <w:p w14:paraId="7709BDBB">
            <w:pPr>
              <w:widowControl/>
              <w:jc w:val="center"/>
              <w:textAlignment w:val="center"/>
              <w:rPr>
                <w:rFonts w:hint="eastAsia" w:ascii="宋体" w:hAnsi="宋体" w:eastAsia="宋体" w:cs="宋体"/>
                <w:b/>
                <w:bCs/>
                <w:color w:val="0070C0"/>
                <w:sz w:val="22"/>
                <w:szCs w:val="22"/>
              </w:rPr>
            </w:pPr>
            <w:r>
              <w:rPr>
                <w:rFonts w:hint="eastAsia" w:ascii="宋体" w:hAnsi="宋体" w:eastAsia="宋体" w:cs="宋体"/>
                <w:b/>
                <w:bCs/>
                <w:color w:val="0070C0"/>
                <w:kern w:val="0"/>
                <w:sz w:val="22"/>
                <w:szCs w:val="22"/>
                <w:lang w:bidi="ar"/>
              </w:rPr>
              <w:t>序号</w:t>
            </w:r>
          </w:p>
        </w:tc>
        <w:tc>
          <w:tcPr>
            <w:tcW w:w="1823" w:type="pct"/>
            <w:vMerge w:val="restart"/>
            <w:tcBorders>
              <w:top w:val="single" w:color="000000" w:sz="4" w:space="0"/>
              <w:left w:val="single" w:color="000000" w:sz="4" w:space="0"/>
              <w:bottom w:val="single" w:color="000000" w:sz="4" w:space="0"/>
              <w:right w:val="single" w:color="000000" w:sz="4" w:space="0"/>
            </w:tcBorders>
            <w:noWrap/>
            <w:vAlign w:val="center"/>
          </w:tcPr>
          <w:p w14:paraId="0FAC9997">
            <w:pPr>
              <w:widowControl/>
              <w:jc w:val="center"/>
              <w:textAlignment w:val="center"/>
              <w:rPr>
                <w:rFonts w:hint="eastAsia" w:ascii="宋体" w:hAnsi="宋体" w:eastAsia="宋体" w:cs="宋体"/>
                <w:b/>
                <w:bCs/>
                <w:color w:val="0070C0"/>
                <w:sz w:val="22"/>
                <w:szCs w:val="22"/>
              </w:rPr>
            </w:pPr>
            <w:r>
              <w:rPr>
                <w:rFonts w:hint="eastAsia" w:ascii="宋体" w:hAnsi="宋体" w:eastAsia="宋体" w:cs="宋体"/>
                <w:b/>
                <w:bCs/>
                <w:color w:val="0070C0"/>
                <w:kern w:val="0"/>
                <w:sz w:val="22"/>
                <w:szCs w:val="22"/>
                <w:lang w:bidi="ar"/>
              </w:rPr>
              <w:t>项       目</w:t>
            </w:r>
          </w:p>
        </w:tc>
        <w:tc>
          <w:tcPr>
            <w:tcW w:w="2794" w:type="pct"/>
            <w:gridSpan w:val="10"/>
            <w:tcBorders>
              <w:top w:val="single" w:color="000000" w:sz="4" w:space="0"/>
              <w:left w:val="single" w:color="000000" w:sz="4" w:space="0"/>
              <w:bottom w:val="single" w:color="000000" w:sz="4" w:space="0"/>
              <w:right w:val="single" w:color="000000" w:sz="4" w:space="0"/>
            </w:tcBorders>
          </w:tcPr>
          <w:p w14:paraId="1F3D22EE">
            <w:pPr>
              <w:widowControl/>
              <w:jc w:val="center"/>
              <w:textAlignment w:val="top"/>
              <w:rPr>
                <w:rFonts w:hint="eastAsia" w:ascii="仿宋" w:hAnsi="仿宋" w:eastAsia="仿宋" w:cs="仿宋"/>
                <w:b/>
                <w:bCs/>
                <w:color w:val="0070C0"/>
                <w:sz w:val="24"/>
              </w:rPr>
            </w:pPr>
            <w:r>
              <w:rPr>
                <w:rFonts w:hint="eastAsia" w:ascii="仿宋" w:hAnsi="仿宋" w:eastAsia="仿宋" w:cs="仿宋"/>
                <w:b/>
                <w:bCs/>
                <w:color w:val="0070C0"/>
                <w:kern w:val="0"/>
                <w:sz w:val="24"/>
                <w:lang w:bidi="ar"/>
              </w:rPr>
              <w:t>评分</w:t>
            </w:r>
            <w:r>
              <w:rPr>
                <w:rFonts w:hint="eastAsia" w:ascii="仿宋" w:hAnsi="仿宋" w:eastAsia="仿宋" w:cs="仿宋"/>
                <w:b/>
                <w:bCs/>
                <w:color w:val="0070C0"/>
                <w:kern w:val="0"/>
                <w:sz w:val="24"/>
                <w:lang w:bidi="ar"/>
              </w:rPr>
              <w:br w:type="textWrapping"/>
            </w:r>
            <w:r>
              <w:rPr>
                <w:rFonts w:hint="eastAsia" w:ascii="仿宋" w:hAnsi="仿宋" w:eastAsia="仿宋" w:cs="仿宋"/>
                <w:b/>
                <w:bCs/>
                <w:color w:val="0070C0"/>
                <w:kern w:val="0"/>
                <w:sz w:val="24"/>
                <w:lang w:bidi="ar"/>
              </w:rPr>
              <w:t>（请在相关分值“√”）</w:t>
            </w:r>
          </w:p>
        </w:tc>
      </w:tr>
      <w:tr w14:paraId="67F45E8F">
        <w:tblPrEx>
          <w:tblCellMar>
            <w:top w:w="0" w:type="dxa"/>
            <w:left w:w="108" w:type="dxa"/>
            <w:bottom w:w="0" w:type="dxa"/>
            <w:right w:w="108" w:type="dxa"/>
          </w:tblCellMar>
        </w:tblPrEx>
        <w:trPr>
          <w:trHeight w:val="550" w:hRule="atLeast"/>
        </w:trPr>
        <w:tc>
          <w:tcPr>
            <w:tcW w:w="381" w:type="pct"/>
            <w:vMerge w:val="continue"/>
            <w:tcBorders>
              <w:top w:val="single" w:color="000000" w:sz="4" w:space="0"/>
              <w:left w:val="single" w:color="000000" w:sz="4" w:space="0"/>
              <w:bottom w:val="single" w:color="000000" w:sz="4" w:space="0"/>
              <w:right w:val="single" w:color="000000" w:sz="4" w:space="0"/>
            </w:tcBorders>
            <w:noWrap/>
            <w:vAlign w:val="center"/>
          </w:tcPr>
          <w:p w14:paraId="025A3509">
            <w:pPr>
              <w:jc w:val="center"/>
              <w:rPr>
                <w:rFonts w:hint="eastAsia" w:ascii="宋体" w:hAnsi="宋体" w:eastAsia="宋体" w:cs="宋体"/>
                <w:b/>
                <w:bCs/>
                <w:color w:val="0070C0"/>
                <w:sz w:val="22"/>
                <w:szCs w:val="22"/>
              </w:rPr>
            </w:pPr>
          </w:p>
        </w:tc>
        <w:tc>
          <w:tcPr>
            <w:tcW w:w="1823" w:type="pct"/>
            <w:vMerge w:val="continue"/>
            <w:tcBorders>
              <w:top w:val="single" w:color="000000" w:sz="4" w:space="0"/>
              <w:left w:val="single" w:color="000000" w:sz="4" w:space="0"/>
              <w:bottom w:val="single" w:color="000000" w:sz="4" w:space="0"/>
              <w:right w:val="single" w:color="000000" w:sz="4" w:space="0"/>
            </w:tcBorders>
            <w:noWrap/>
            <w:vAlign w:val="center"/>
          </w:tcPr>
          <w:p w14:paraId="183AE0CC">
            <w:pPr>
              <w:jc w:val="center"/>
              <w:rPr>
                <w:rFonts w:hint="eastAsia" w:ascii="宋体" w:hAnsi="宋体" w:eastAsia="宋体" w:cs="宋体"/>
                <w:b/>
                <w:bCs/>
                <w:color w:val="0070C0"/>
                <w:sz w:val="22"/>
                <w:szCs w:val="22"/>
              </w:rPr>
            </w:pPr>
          </w:p>
        </w:tc>
        <w:tc>
          <w:tcPr>
            <w:tcW w:w="278" w:type="pct"/>
            <w:tcBorders>
              <w:top w:val="single" w:color="000000" w:sz="4" w:space="0"/>
              <w:left w:val="single" w:color="000000" w:sz="4" w:space="0"/>
              <w:bottom w:val="single" w:color="000000" w:sz="4" w:space="0"/>
              <w:right w:val="single" w:color="000000" w:sz="4" w:space="0"/>
            </w:tcBorders>
            <w:vAlign w:val="center"/>
          </w:tcPr>
          <w:p w14:paraId="586B6620">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10</w:t>
            </w:r>
          </w:p>
        </w:tc>
        <w:tc>
          <w:tcPr>
            <w:tcW w:w="278" w:type="pct"/>
            <w:tcBorders>
              <w:top w:val="single" w:color="000000" w:sz="4" w:space="0"/>
              <w:left w:val="single" w:color="000000" w:sz="4" w:space="0"/>
              <w:bottom w:val="single" w:color="000000" w:sz="4" w:space="0"/>
              <w:right w:val="single" w:color="000000" w:sz="4" w:space="0"/>
            </w:tcBorders>
            <w:vAlign w:val="center"/>
          </w:tcPr>
          <w:p w14:paraId="4617278D">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9</w:t>
            </w:r>
          </w:p>
        </w:tc>
        <w:tc>
          <w:tcPr>
            <w:tcW w:w="278" w:type="pct"/>
            <w:tcBorders>
              <w:top w:val="single" w:color="000000" w:sz="4" w:space="0"/>
              <w:left w:val="single" w:color="000000" w:sz="4" w:space="0"/>
              <w:bottom w:val="single" w:color="000000" w:sz="4" w:space="0"/>
              <w:right w:val="single" w:color="000000" w:sz="4" w:space="0"/>
            </w:tcBorders>
            <w:vAlign w:val="center"/>
          </w:tcPr>
          <w:p w14:paraId="5B4A7E81">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8</w:t>
            </w:r>
          </w:p>
        </w:tc>
        <w:tc>
          <w:tcPr>
            <w:tcW w:w="278" w:type="pct"/>
            <w:tcBorders>
              <w:top w:val="single" w:color="000000" w:sz="4" w:space="0"/>
              <w:left w:val="single" w:color="000000" w:sz="4" w:space="0"/>
              <w:bottom w:val="single" w:color="000000" w:sz="4" w:space="0"/>
              <w:right w:val="single" w:color="000000" w:sz="4" w:space="0"/>
            </w:tcBorders>
            <w:vAlign w:val="center"/>
          </w:tcPr>
          <w:p w14:paraId="36204D1E">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7</w:t>
            </w:r>
          </w:p>
        </w:tc>
        <w:tc>
          <w:tcPr>
            <w:tcW w:w="278" w:type="pct"/>
            <w:tcBorders>
              <w:top w:val="single" w:color="000000" w:sz="4" w:space="0"/>
              <w:left w:val="single" w:color="000000" w:sz="4" w:space="0"/>
              <w:bottom w:val="single" w:color="000000" w:sz="4" w:space="0"/>
              <w:right w:val="single" w:color="000000" w:sz="4" w:space="0"/>
            </w:tcBorders>
            <w:vAlign w:val="center"/>
          </w:tcPr>
          <w:p w14:paraId="02E124D3">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6</w:t>
            </w:r>
          </w:p>
        </w:tc>
        <w:tc>
          <w:tcPr>
            <w:tcW w:w="278" w:type="pct"/>
            <w:tcBorders>
              <w:top w:val="single" w:color="000000" w:sz="4" w:space="0"/>
              <w:left w:val="single" w:color="000000" w:sz="4" w:space="0"/>
              <w:bottom w:val="single" w:color="000000" w:sz="4" w:space="0"/>
              <w:right w:val="single" w:color="000000" w:sz="4" w:space="0"/>
            </w:tcBorders>
            <w:vAlign w:val="center"/>
          </w:tcPr>
          <w:p w14:paraId="6DCB28AD">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5</w:t>
            </w:r>
          </w:p>
        </w:tc>
        <w:tc>
          <w:tcPr>
            <w:tcW w:w="278" w:type="pct"/>
            <w:tcBorders>
              <w:top w:val="single" w:color="000000" w:sz="4" w:space="0"/>
              <w:left w:val="single" w:color="000000" w:sz="4" w:space="0"/>
              <w:bottom w:val="single" w:color="000000" w:sz="4" w:space="0"/>
              <w:right w:val="single" w:color="000000" w:sz="4" w:space="0"/>
            </w:tcBorders>
            <w:vAlign w:val="center"/>
          </w:tcPr>
          <w:p w14:paraId="562DF23F">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4</w:t>
            </w:r>
          </w:p>
        </w:tc>
        <w:tc>
          <w:tcPr>
            <w:tcW w:w="278" w:type="pct"/>
            <w:tcBorders>
              <w:top w:val="single" w:color="000000" w:sz="4" w:space="0"/>
              <w:left w:val="single" w:color="000000" w:sz="4" w:space="0"/>
              <w:bottom w:val="single" w:color="000000" w:sz="4" w:space="0"/>
              <w:right w:val="single" w:color="000000" w:sz="4" w:space="0"/>
            </w:tcBorders>
            <w:vAlign w:val="center"/>
          </w:tcPr>
          <w:p w14:paraId="6D3726B0">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3</w:t>
            </w:r>
          </w:p>
        </w:tc>
        <w:tc>
          <w:tcPr>
            <w:tcW w:w="278" w:type="pct"/>
            <w:tcBorders>
              <w:top w:val="single" w:color="000000" w:sz="4" w:space="0"/>
              <w:left w:val="single" w:color="000000" w:sz="4" w:space="0"/>
              <w:bottom w:val="single" w:color="000000" w:sz="4" w:space="0"/>
              <w:right w:val="single" w:color="000000" w:sz="4" w:space="0"/>
            </w:tcBorders>
            <w:vAlign w:val="center"/>
          </w:tcPr>
          <w:p w14:paraId="1C6E3D05">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2</w:t>
            </w:r>
          </w:p>
        </w:tc>
        <w:tc>
          <w:tcPr>
            <w:tcW w:w="291" w:type="pct"/>
            <w:tcBorders>
              <w:top w:val="single" w:color="000000" w:sz="4" w:space="0"/>
              <w:left w:val="single" w:color="000000" w:sz="4" w:space="0"/>
              <w:bottom w:val="single" w:color="000000" w:sz="4" w:space="0"/>
              <w:right w:val="single" w:color="000000" w:sz="4" w:space="0"/>
            </w:tcBorders>
            <w:vAlign w:val="center"/>
          </w:tcPr>
          <w:p w14:paraId="66E24CDC">
            <w:pPr>
              <w:widowControl/>
              <w:jc w:val="center"/>
              <w:textAlignment w:val="center"/>
              <w:rPr>
                <w:rFonts w:hint="eastAsia" w:ascii="仿宋" w:hAnsi="仿宋" w:eastAsia="仿宋" w:cs="仿宋"/>
                <w:b/>
                <w:bCs/>
                <w:color w:val="0070C0"/>
                <w:sz w:val="24"/>
              </w:rPr>
            </w:pPr>
            <w:r>
              <w:rPr>
                <w:rFonts w:hint="eastAsia" w:ascii="仿宋" w:hAnsi="仿宋" w:eastAsia="仿宋" w:cs="仿宋"/>
                <w:b/>
                <w:bCs/>
                <w:color w:val="0070C0"/>
                <w:kern w:val="0"/>
                <w:sz w:val="24"/>
                <w:lang w:bidi="ar"/>
              </w:rPr>
              <w:t>1</w:t>
            </w:r>
          </w:p>
        </w:tc>
      </w:tr>
      <w:tr w14:paraId="2C8B79D9">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521C0A76">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1</w:t>
            </w:r>
          </w:p>
        </w:tc>
        <w:tc>
          <w:tcPr>
            <w:tcW w:w="1823" w:type="pct"/>
            <w:tcBorders>
              <w:top w:val="single" w:color="000000" w:sz="4" w:space="0"/>
              <w:left w:val="single" w:color="000000" w:sz="4" w:space="0"/>
              <w:bottom w:val="single" w:color="000000" w:sz="4" w:space="0"/>
              <w:right w:val="single" w:color="000000" w:sz="4" w:space="0"/>
            </w:tcBorders>
            <w:vAlign w:val="center"/>
          </w:tcPr>
          <w:p w14:paraId="37F42950">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食堂工作人员服务态度</w:t>
            </w:r>
          </w:p>
        </w:tc>
        <w:tc>
          <w:tcPr>
            <w:tcW w:w="278" w:type="pct"/>
            <w:tcBorders>
              <w:top w:val="single" w:color="000000" w:sz="4" w:space="0"/>
              <w:left w:val="single" w:color="000000" w:sz="4" w:space="0"/>
              <w:bottom w:val="single" w:color="000000" w:sz="4" w:space="0"/>
              <w:right w:val="single" w:color="000000" w:sz="4" w:space="0"/>
            </w:tcBorders>
          </w:tcPr>
          <w:p w14:paraId="0D01E0FD">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41A165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F1E92ED">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B8C3278">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4D304F9">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75781E46">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9BA4760">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B24E539">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9D96A57">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37AE9970">
            <w:pPr>
              <w:jc w:val="center"/>
              <w:rPr>
                <w:rFonts w:hint="eastAsia" w:ascii="仿宋" w:hAnsi="仿宋" w:eastAsia="仿宋" w:cs="仿宋"/>
                <w:color w:val="0070C0"/>
                <w:sz w:val="24"/>
              </w:rPr>
            </w:pPr>
          </w:p>
        </w:tc>
      </w:tr>
      <w:tr w14:paraId="4A994629">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7A6F9AD5">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2</w:t>
            </w:r>
          </w:p>
        </w:tc>
        <w:tc>
          <w:tcPr>
            <w:tcW w:w="1823" w:type="pct"/>
            <w:tcBorders>
              <w:top w:val="single" w:color="000000" w:sz="4" w:space="0"/>
              <w:left w:val="single" w:color="000000" w:sz="4" w:space="0"/>
              <w:bottom w:val="single" w:color="000000" w:sz="4" w:space="0"/>
              <w:right w:val="single" w:color="000000" w:sz="4" w:space="0"/>
            </w:tcBorders>
            <w:vAlign w:val="center"/>
          </w:tcPr>
          <w:p w14:paraId="75425DAE">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餐品温度的评价</w:t>
            </w:r>
          </w:p>
        </w:tc>
        <w:tc>
          <w:tcPr>
            <w:tcW w:w="278" w:type="pct"/>
            <w:tcBorders>
              <w:top w:val="single" w:color="000000" w:sz="4" w:space="0"/>
              <w:left w:val="single" w:color="000000" w:sz="4" w:space="0"/>
              <w:bottom w:val="single" w:color="000000" w:sz="4" w:space="0"/>
              <w:right w:val="single" w:color="000000" w:sz="4" w:space="0"/>
            </w:tcBorders>
          </w:tcPr>
          <w:p w14:paraId="4DC78864">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380D555">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EAF5E5E">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C89055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A9BF642">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739A407E">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148F75B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1954404">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B7EAD7C">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6F55F644">
            <w:pPr>
              <w:jc w:val="center"/>
              <w:rPr>
                <w:rFonts w:hint="eastAsia" w:ascii="仿宋" w:hAnsi="仿宋" w:eastAsia="仿宋" w:cs="仿宋"/>
                <w:color w:val="0070C0"/>
                <w:sz w:val="24"/>
              </w:rPr>
            </w:pPr>
          </w:p>
        </w:tc>
      </w:tr>
      <w:tr w14:paraId="1468F1EB">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01CFB6D8">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3</w:t>
            </w:r>
          </w:p>
        </w:tc>
        <w:tc>
          <w:tcPr>
            <w:tcW w:w="1823" w:type="pct"/>
            <w:tcBorders>
              <w:top w:val="single" w:color="000000" w:sz="4" w:space="0"/>
              <w:left w:val="single" w:color="000000" w:sz="4" w:space="0"/>
              <w:bottom w:val="single" w:color="000000" w:sz="4" w:space="0"/>
              <w:right w:val="single" w:color="000000" w:sz="4" w:space="0"/>
            </w:tcBorders>
            <w:vAlign w:val="center"/>
          </w:tcPr>
          <w:p w14:paraId="36370CA1">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提供餐具卫生状况</w:t>
            </w:r>
          </w:p>
        </w:tc>
        <w:tc>
          <w:tcPr>
            <w:tcW w:w="278" w:type="pct"/>
            <w:tcBorders>
              <w:top w:val="single" w:color="000000" w:sz="4" w:space="0"/>
              <w:left w:val="single" w:color="000000" w:sz="4" w:space="0"/>
              <w:bottom w:val="single" w:color="000000" w:sz="4" w:space="0"/>
              <w:right w:val="single" w:color="000000" w:sz="4" w:space="0"/>
            </w:tcBorders>
          </w:tcPr>
          <w:p w14:paraId="0D60811C">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46D55AC1">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90E0AC5">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5B743D4">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718FC0C2">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14035406">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F451144">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4546D1B">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69CF977">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3C6BD8E6">
            <w:pPr>
              <w:jc w:val="center"/>
              <w:rPr>
                <w:rFonts w:hint="eastAsia" w:ascii="仿宋" w:hAnsi="仿宋" w:eastAsia="仿宋" w:cs="仿宋"/>
                <w:color w:val="0070C0"/>
                <w:sz w:val="24"/>
              </w:rPr>
            </w:pPr>
          </w:p>
        </w:tc>
      </w:tr>
      <w:tr w14:paraId="6956C362">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67A2FD1E">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4</w:t>
            </w:r>
          </w:p>
        </w:tc>
        <w:tc>
          <w:tcPr>
            <w:tcW w:w="1823" w:type="pct"/>
            <w:tcBorders>
              <w:top w:val="single" w:color="000000" w:sz="4" w:space="0"/>
              <w:left w:val="single" w:color="000000" w:sz="4" w:space="0"/>
              <w:bottom w:val="single" w:color="000000" w:sz="4" w:space="0"/>
              <w:right w:val="single" w:color="000000" w:sz="4" w:space="0"/>
            </w:tcBorders>
            <w:vAlign w:val="center"/>
          </w:tcPr>
          <w:p w14:paraId="1708C543">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供应的菜式种类及更新的评价</w:t>
            </w:r>
          </w:p>
        </w:tc>
        <w:tc>
          <w:tcPr>
            <w:tcW w:w="278" w:type="pct"/>
            <w:tcBorders>
              <w:top w:val="single" w:color="000000" w:sz="4" w:space="0"/>
              <w:left w:val="single" w:color="000000" w:sz="4" w:space="0"/>
              <w:bottom w:val="single" w:color="000000" w:sz="4" w:space="0"/>
              <w:right w:val="single" w:color="000000" w:sz="4" w:space="0"/>
            </w:tcBorders>
          </w:tcPr>
          <w:p w14:paraId="0E03DCF1">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5987AAB">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35C0AD9">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1996F34">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DF84BB9">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8D2BE4B">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709A7270">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D1AF4BC">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1FD19852">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3568D476">
            <w:pPr>
              <w:jc w:val="center"/>
              <w:rPr>
                <w:rFonts w:hint="eastAsia" w:ascii="仿宋" w:hAnsi="仿宋" w:eastAsia="仿宋" w:cs="仿宋"/>
                <w:color w:val="0070C0"/>
                <w:sz w:val="24"/>
              </w:rPr>
            </w:pPr>
          </w:p>
        </w:tc>
      </w:tr>
      <w:tr w14:paraId="0D1705B0">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58672B61">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5</w:t>
            </w:r>
          </w:p>
        </w:tc>
        <w:tc>
          <w:tcPr>
            <w:tcW w:w="1823" w:type="pct"/>
            <w:tcBorders>
              <w:top w:val="single" w:color="000000" w:sz="4" w:space="0"/>
              <w:left w:val="single" w:color="000000" w:sz="4" w:space="0"/>
              <w:bottom w:val="single" w:color="000000" w:sz="4" w:space="0"/>
              <w:right w:val="single" w:color="000000" w:sz="4" w:space="0"/>
            </w:tcBorders>
            <w:vAlign w:val="center"/>
          </w:tcPr>
          <w:p w14:paraId="069071BD">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膳食供应的营养搭配评价</w:t>
            </w:r>
          </w:p>
        </w:tc>
        <w:tc>
          <w:tcPr>
            <w:tcW w:w="278" w:type="pct"/>
            <w:tcBorders>
              <w:top w:val="single" w:color="000000" w:sz="4" w:space="0"/>
              <w:left w:val="single" w:color="000000" w:sz="4" w:space="0"/>
              <w:bottom w:val="single" w:color="000000" w:sz="4" w:space="0"/>
              <w:right w:val="single" w:color="000000" w:sz="4" w:space="0"/>
            </w:tcBorders>
          </w:tcPr>
          <w:p w14:paraId="6F95C368">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21CC15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1EE21C0F">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3C123FB">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136E24E2">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564690C">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B66C9D0">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10583D0C">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09D700A">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68DBE903">
            <w:pPr>
              <w:jc w:val="center"/>
              <w:rPr>
                <w:rFonts w:hint="eastAsia" w:ascii="仿宋" w:hAnsi="仿宋" w:eastAsia="仿宋" w:cs="仿宋"/>
                <w:color w:val="0070C0"/>
                <w:sz w:val="24"/>
              </w:rPr>
            </w:pPr>
          </w:p>
        </w:tc>
      </w:tr>
      <w:tr w14:paraId="1D0CC211">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7941D630">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6</w:t>
            </w:r>
          </w:p>
        </w:tc>
        <w:tc>
          <w:tcPr>
            <w:tcW w:w="1823" w:type="pct"/>
            <w:tcBorders>
              <w:top w:val="single" w:color="000000" w:sz="4" w:space="0"/>
              <w:left w:val="single" w:color="000000" w:sz="4" w:space="0"/>
              <w:bottom w:val="single" w:color="000000" w:sz="4" w:space="0"/>
              <w:right w:val="single" w:color="000000" w:sz="4" w:space="0"/>
            </w:tcBorders>
            <w:vAlign w:val="center"/>
          </w:tcPr>
          <w:p w14:paraId="7AAA67D4">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餐品配送准时性的评价</w:t>
            </w:r>
          </w:p>
        </w:tc>
        <w:tc>
          <w:tcPr>
            <w:tcW w:w="278" w:type="pct"/>
            <w:tcBorders>
              <w:top w:val="single" w:color="000000" w:sz="4" w:space="0"/>
              <w:left w:val="single" w:color="000000" w:sz="4" w:space="0"/>
              <w:bottom w:val="single" w:color="000000" w:sz="4" w:space="0"/>
              <w:right w:val="single" w:color="000000" w:sz="4" w:space="0"/>
            </w:tcBorders>
          </w:tcPr>
          <w:p w14:paraId="31905BE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D6D76C7">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ED18F73">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6B4929E">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3A44EC8">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2886014">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7E5E4D16">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BF0C4E1">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B697870">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687D45E0">
            <w:pPr>
              <w:jc w:val="center"/>
              <w:rPr>
                <w:rFonts w:hint="eastAsia" w:ascii="仿宋" w:hAnsi="仿宋" w:eastAsia="仿宋" w:cs="仿宋"/>
                <w:color w:val="0070C0"/>
                <w:sz w:val="24"/>
              </w:rPr>
            </w:pPr>
          </w:p>
        </w:tc>
      </w:tr>
      <w:tr w14:paraId="78FA7A94">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1970A4DE">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7</w:t>
            </w:r>
          </w:p>
        </w:tc>
        <w:tc>
          <w:tcPr>
            <w:tcW w:w="1823" w:type="pct"/>
            <w:tcBorders>
              <w:top w:val="single" w:color="000000" w:sz="4" w:space="0"/>
              <w:left w:val="single" w:color="000000" w:sz="4" w:space="0"/>
              <w:bottom w:val="single" w:color="000000" w:sz="4" w:space="0"/>
              <w:right w:val="single" w:color="000000" w:sz="4" w:space="0"/>
            </w:tcBorders>
            <w:vAlign w:val="center"/>
          </w:tcPr>
          <w:p w14:paraId="42DAFBF5">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餐品味道和品种丰富度</w:t>
            </w:r>
          </w:p>
        </w:tc>
        <w:tc>
          <w:tcPr>
            <w:tcW w:w="278" w:type="pct"/>
            <w:tcBorders>
              <w:top w:val="single" w:color="000000" w:sz="4" w:space="0"/>
              <w:left w:val="single" w:color="000000" w:sz="4" w:space="0"/>
              <w:bottom w:val="single" w:color="000000" w:sz="4" w:space="0"/>
              <w:right w:val="single" w:color="000000" w:sz="4" w:space="0"/>
            </w:tcBorders>
          </w:tcPr>
          <w:p w14:paraId="377171C6">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9E69292">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41B7B86D">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46BA4431">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FB43A97">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06C97BD">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636B540">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B9E390F">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75FB2650">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7D4F0C28">
            <w:pPr>
              <w:jc w:val="center"/>
              <w:rPr>
                <w:rFonts w:hint="eastAsia" w:ascii="仿宋" w:hAnsi="仿宋" w:eastAsia="仿宋" w:cs="仿宋"/>
                <w:color w:val="0070C0"/>
                <w:sz w:val="24"/>
              </w:rPr>
            </w:pPr>
          </w:p>
        </w:tc>
      </w:tr>
      <w:tr w14:paraId="59E8E175">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0600E7EE">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8</w:t>
            </w:r>
          </w:p>
        </w:tc>
        <w:tc>
          <w:tcPr>
            <w:tcW w:w="1823" w:type="pct"/>
            <w:tcBorders>
              <w:top w:val="single" w:color="000000" w:sz="4" w:space="0"/>
              <w:left w:val="single" w:color="000000" w:sz="4" w:space="0"/>
              <w:bottom w:val="single" w:color="000000" w:sz="4" w:space="0"/>
              <w:right w:val="single" w:color="000000" w:sz="4" w:space="0"/>
            </w:tcBorders>
            <w:vAlign w:val="center"/>
          </w:tcPr>
          <w:p w14:paraId="76EDDFD3">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供应餐品份量评价</w:t>
            </w:r>
          </w:p>
        </w:tc>
        <w:tc>
          <w:tcPr>
            <w:tcW w:w="278" w:type="pct"/>
            <w:tcBorders>
              <w:top w:val="single" w:color="000000" w:sz="4" w:space="0"/>
              <w:left w:val="single" w:color="000000" w:sz="4" w:space="0"/>
              <w:bottom w:val="single" w:color="000000" w:sz="4" w:space="0"/>
              <w:right w:val="single" w:color="000000" w:sz="4" w:space="0"/>
            </w:tcBorders>
          </w:tcPr>
          <w:p w14:paraId="6CA4C10C">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0A81EE1">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48361225">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CD6BE5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EBD3FD0">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7C685C5">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5D2A2BB">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170BCE1D">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DDD13C0">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2E430D16">
            <w:pPr>
              <w:jc w:val="center"/>
              <w:rPr>
                <w:rFonts w:hint="eastAsia" w:ascii="仿宋" w:hAnsi="仿宋" w:eastAsia="仿宋" w:cs="仿宋"/>
                <w:color w:val="0070C0"/>
                <w:sz w:val="24"/>
              </w:rPr>
            </w:pPr>
          </w:p>
        </w:tc>
      </w:tr>
      <w:tr w14:paraId="2F16A094">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7DC81DF5">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9</w:t>
            </w:r>
          </w:p>
        </w:tc>
        <w:tc>
          <w:tcPr>
            <w:tcW w:w="1823" w:type="pct"/>
            <w:tcBorders>
              <w:top w:val="single" w:color="000000" w:sz="4" w:space="0"/>
              <w:left w:val="single" w:color="000000" w:sz="4" w:space="0"/>
              <w:bottom w:val="single" w:color="000000" w:sz="4" w:space="0"/>
              <w:right w:val="single" w:color="000000" w:sz="4" w:space="0"/>
            </w:tcBorders>
            <w:vAlign w:val="center"/>
          </w:tcPr>
          <w:p w14:paraId="639CF557">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餐品价格评价</w:t>
            </w:r>
          </w:p>
        </w:tc>
        <w:tc>
          <w:tcPr>
            <w:tcW w:w="278" w:type="pct"/>
            <w:tcBorders>
              <w:top w:val="single" w:color="000000" w:sz="4" w:space="0"/>
              <w:left w:val="single" w:color="000000" w:sz="4" w:space="0"/>
              <w:bottom w:val="single" w:color="000000" w:sz="4" w:space="0"/>
              <w:right w:val="single" w:color="000000" w:sz="4" w:space="0"/>
            </w:tcBorders>
          </w:tcPr>
          <w:p w14:paraId="5405B814">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20F977F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AAEDC66">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64B0EE8">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91283C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0412497">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FF7B47E">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602610E5">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7947491A">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46965DC2">
            <w:pPr>
              <w:jc w:val="center"/>
              <w:rPr>
                <w:rFonts w:hint="eastAsia" w:ascii="仿宋" w:hAnsi="仿宋" w:eastAsia="仿宋" w:cs="仿宋"/>
                <w:color w:val="0070C0"/>
                <w:sz w:val="24"/>
              </w:rPr>
            </w:pPr>
          </w:p>
        </w:tc>
      </w:tr>
      <w:tr w14:paraId="5690B598">
        <w:tblPrEx>
          <w:tblCellMar>
            <w:top w:w="0" w:type="dxa"/>
            <w:left w:w="108" w:type="dxa"/>
            <w:bottom w:w="0" w:type="dxa"/>
            <w:right w:w="108" w:type="dxa"/>
          </w:tblCellMar>
        </w:tblPrEx>
        <w:trPr>
          <w:trHeight w:val="649" w:hRule="atLeast"/>
        </w:trPr>
        <w:tc>
          <w:tcPr>
            <w:tcW w:w="381" w:type="pct"/>
            <w:tcBorders>
              <w:top w:val="single" w:color="000000" w:sz="4" w:space="0"/>
              <w:left w:val="single" w:color="000000" w:sz="4" w:space="0"/>
              <w:bottom w:val="single" w:color="000000" w:sz="4" w:space="0"/>
              <w:right w:val="single" w:color="000000" w:sz="4" w:space="0"/>
            </w:tcBorders>
            <w:noWrap/>
            <w:vAlign w:val="center"/>
          </w:tcPr>
          <w:p w14:paraId="48887ADA">
            <w:pPr>
              <w:widowControl/>
              <w:jc w:val="center"/>
              <w:textAlignment w:val="center"/>
              <w:rPr>
                <w:rFonts w:hint="eastAsia" w:ascii="宋体" w:hAnsi="宋体" w:eastAsia="宋体" w:cs="宋体"/>
                <w:color w:val="0070C0"/>
                <w:sz w:val="22"/>
                <w:szCs w:val="22"/>
              </w:rPr>
            </w:pPr>
            <w:r>
              <w:rPr>
                <w:rFonts w:hint="eastAsia" w:ascii="宋体" w:hAnsi="宋体" w:eastAsia="宋体" w:cs="宋体"/>
                <w:color w:val="0070C0"/>
                <w:kern w:val="0"/>
                <w:sz w:val="22"/>
                <w:szCs w:val="22"/>
                <w:lang w:bidi="ar"/>
              </w:rPr>
              <w:t>10</w:t>
            </w:r>
          </w:p>
        </w:tc>
        <w:tc>
          <w:tcPr>
            <w:tcW w:w="1823" w:type="pct"/>
            <w:tcBorders>
              <w:top w:val="single" w:color="000000" w:sz="4" w:space="0"/>
              <w:left w:val="single" w:color="000000" w:sz="4" w:space="0"/>
              <w:bottom w:val="single" w:color="000000" w:sz="4" w:space="0"/>
              <w:right w:val="single" w:color="000000" w:sz="4" w:space="0"/>
            </w:tcBorders>
            <w:vAlign w:val="center"/>
          </w:tcPr>
          <w:p w14:paraId="293E86C4">
            <w:pPr>
              <w:widowControl/>
              <w:jc w:val="left"/>
              <w:textAlignment w:val="center"/>
              <w:rPr>
                <w:rFonts w:hint="eastAsia" w:ascii="仿宋" w:hAnsi="仿宋" w:eastAsia="仿宋" w:cs="仿宋"/>
                <w:color w:val="0070C0"/>
                <w:sz w:val="24"/>
              </w:rPr>
            </w:pPr>
            <w:r>
              <w:rPr>
                <w:rFonts w:hint="eastAsia" w:ascii="仿宋" w:hAnsi="仿宋" w:eastAsia="仿宋" w:cs="仿宋"/>
                <w:color w:val="0070C0"/>
                <w:kern w:val="0"/>
                <w:sz w:val="24"/>
                <w:lang w:bidi="ar"/>
              </w:rPr>
              <w:t>投诉处理反应及时性的评价</w:t>
            </w:r>
          </w:p>
        </w:tc>
        <w:tc>
          <w:tcPr>
            <w:tcW w:w="278" w:type="pct"/>
            <w:tcBorders>
              <w:top w:val="single" w:color="000000" w:sz="4" w:space="0"/>
              <w:left w:val="single" w:color="000000" w:sz="4" w:space="0"/>
              <w:bottom w:val="single" w:color="000000" w:sz="4" w:space="0"/>
              <w:right w:val="single" w:color="000000" w:sz="4" w:space="0"/>
            </w:tcBorders>
          </w:tcPr>
          <w:p w14:paraId="03186ECC">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1AC181C0">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0832AAB">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3864E747">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D23CA4A">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5DAD26B1">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FF83164">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45DB0ED3">
            <w:pPr>
              <w:jc w:val="center"/>
              <w:rPr>
                <w:rFonts w:hint="eastAsia" w:ascii="仿宋" w:hAnsi="仿宋" w:eastAsia="仿宋" w:cs="仿宋"/>
                <w:color w:val="0070C0"/>
                <w:sz w:val="24"/>
              </w:rPr>
            </w:pPr>
          </w:p>
        </w:tc>
        <w:tc>
          <w:tcPr>
            <w:tcW w:w="278" w:type="pct"/>
            <w:tcBorders>
              <w:top w:val="single" w:color="000000" w:sz="4" w:space="0"/>
              <w:left w:val="single" w:color="000000" w:sz="4" w:space="0"/>
              <w:bottom w:val="single" w:color="000000" w:sz="4" w:space="0"/>
              <w:right w:val="single" w:color="000000" w:sz="4" w:space="0"/>
            </w:tcBorders>
          </w:tcPr>
          <w:p w14:paraId="0B6FDFA4">
            <w:pPr>
              <w:jc w:val="center"/>
              <w:rPr>
                <w:rFonts w:hint="eastAsia" w:ascii="仿宋" w:hAnsi="仿宋" w:eastAsia="仿宋" w:cs="仿宋"/>
                <w:color w:val="0070C0"/>
                <w:sz w:val="24"/>
              </w:rPr>
            </w:pPr>
          </w:p>
        </w:tc>
        <w:tc>
          <w:tcPr>
            <w:tcW w:w="291" w:type="pct"/>
            <w:tcBorders>
              <w:top w:val="single" w:color="000000" w:sz="4" w:space="0"/>
              <w:left w:val="single" w:color="000000" w:sz="4" w:space="0"/>
              <w:bottom w:val="single" w:color="000000" w:sz="4" w:space="0"/>
              <w:right w:val="single" w:color="000000" w:sz="4" w:space="0"/>
            </w:tcBorders>
          </w:tcPr>
          <w:p w14:paraId="69640456">
            <w:pPr>
              <w:jc w:val="center"/>
              <w:rPr>
                <w:rFonts w:hint="eastAsia" w:ascii="仿宋" w:hAnsi="仿宋" w:eastAsia="仿宋" w:cs="仿宋"/>
                <w:color w:val="0070C0"/>
                <w:sz w:val="24"/>
              </w:rPr>
            </w:pPr>
          </w:p>
        </w:tc>
      </w:tr>
      <w:tr w14:paraId="459A44EA">
        <w:tblPrEx>
          <w:tblCellMar>
            <w:top w:w="0" w:type="dxa"/>
            <w:left w:w="108" w:type="dxa"/>
            <w:bottom w:w="0" w:type="dxa"/>
            <w:right w:w="108" w:type="dxa"/>
          </w:tblCellMar>
        </w:tblPrEx>
        <w:trPr>
          <w:trHeight w:val="550" w:hRule="atLeast"/>
        </w:trPr>
        <w:tc>
          <w:tcPr>
            <w:tcW w:w="5000" w:type="pct"/>
            <w:gridSpan w:val="12"/>
            <w:vMerge w:val="restart"/>
            <w:tcBorders>
              <w:top w:val="single" w:color="000000" w:sz="4" w:space="0"/>
              <w:left w:val="single" w:color="000000" w:sz="4" w:space="0"/>
              <w:bottom w:val="single" w:color="000000" w:sz="4" w:space="0"/>
              <w:right w:val="single" w:color="000000" w:sz="4" w:space="0"/>
            </w:tcBorders>
          </w:tcPr>
          <w:p w14:paraId="23EE0484">
            <w:pPr>
              <w:widowControl/>
              <w:jc w:val="left"/>
              <w:textAlignment w:val="top"/>
              <w:rPr>
                <w:rFonts w:hint="eastAsia" w:ascii="仿宋" w:hAnsi="仿宋" w:eastAsia="仿宋" w:cs="仿宋"/>
                <w:color w:val="0070C0"/>
                <w:sz w:val="24"/>
              </w:rPr>
            </w:pPr>
            <w:r>
              <w:rPr>
                <w:rFonts w:hint="eastAsia" w:ascii="仿宋" w:hAnsi="仿宋" w:eastAsia="仿宋" w:cs="仿宋"/>
                <w:color w:val="0070C0"/>
                <w:kern w:val="0"/>
                <w:sz w:val="24"/>
                <w:lang w:bidi="ar"/>
              </w:rPr>
              <w:t>您的建议：</w:t>
            </w:r>
          </w:p>
        </w:tc>
      </w:tr>
      <w:tr w14:paraId="383681B4">
        <w:tblPrEx>
          <w:tblCellMar>
            <w:top w:w="0" w:type="dxa"/>
            <w:left w:w="108" w:type="dxa"/>
            <w:bottom w:w="0" w:type="dxa"/>
            <w:right w:w="108" w:type="dxa"/>
          </w:tblCellMar>
        </w:tblPrEx>
        <w:trPr>
          <w:trHeight w:val="2157" w:hRule="atLeast"/>
        </w:trPr>
        <w:tc>
          <w:tcPr>
            <w:tcW w:w="5000" w:type="pct"/>
            <w:gridSpan w:val="12"/>
            <w:vMerge w:val="continue"/>
            <w:tcBorders>
              <w:top w:val="single" w:color="000000" w:sz="4" w:space="0"/>
              <w:left w:val="single" w:color="000000" w:sz="4" w:space="0"/>
              <w:bottom w:val="single" w:color="000000" w:sz="4" w:space="0"/>
              <w:right w:val="single" w:color="000000" w:sz="4" w:space="0"/>
            </w:tcBorders>
          </w:tcPr>
          <w:p w14:paraId="558979B9">
            <w:pPr>
              <w:jc w:val="left"/>
              <w:rPr>
                <w:rFonts w:hint="eastAsia" w:ascii="仿宋" w:hAnsi="仿宋" w:eastAsia="仿宋" w:cs="仿宋"/>
                <w:color w:val="0070C0"/>
                <w:sz w:val="24"/>
              </w:rPr>
            </w:pPr>
          </w:p>
        </w:tc>
      </w:tr>
    </w:tbl>
    <w:p w14:paraId="2CA2A29A">
      <w:pPr>
        <w:rPr>
          <w:rFonts w:hint="eastAsia" w:ascii="仿宋" w:hAnsi="仿宋" w:eastAsia="仿宋" w:cs="仿宋"/>
          <w:color w:val="0070C0"/>
          <w:sz w:val="24"/>
        </w:rPr>
      </w:pPr>
      <w:r>
        <w:rPr>
          <w:rFonts w:ascii="仿宋" w:hAnsi="仿宋" w:eastAsia="仿宋" w:cs="仿宋"/>
          <w:color w:val="0070C0"/>
          <w:sz w:val="24"/>
        </w:rPr>
        <w:br w:type="page"/>
      </w:r>
    </w:p>
    <w:p w14:paraId="28D9F04C">
      <w:pPr>
        <w:widowControl/>
        <w:spacing w:line="440" w:lineRule="exact"/>
        <w:jc w:val="left"/>
        <w:outlineLvl w:val="1"/>
        <w:rPr>
          <w:rFonts w:hint="eastAsia" w:ascii="仿宋" w:hAnsi="仿宋" w:eastAsia="仿宋" w:cs="仿宋"/>
          <w:b/>
          <w:bCs/>
          <w:color w:val="0070C0"/>
          <w:kern w:val="0"/>
          <w:sz w:val="24"/>
        </w:rPr>
      </w:pPr>
      <w:r>
        <w:rPr>
          <w:rFonts w:hint="eastAsia" w:ascii="仿宋" w:hAnsi="仿宋" w:eastAsia="仿宋" w:cs="仿宋"/>
          <w:b/>
          <w:bCs/>
          <w:color w:val="0070C0"/>
          <w:kern w:val="0"/>
          <w:sz w:val="24"/>
        </w:rPr>
        <w:t>附件3</w:t>
      </w:r>
    </w:p>
    <w:p w14:paraId="5A5D4A44">
      <w:pPr>
        <w:widowControl/>
        <w:spacing w:line="440" w:lineRule="exact"/>
        <w:jc w:val="center"/>
        <w:rPr>
          <w:rFonts w:ascii="Calibri" w:hAnsi="Calibri" w:eastAsia="宋体" w:cs="仿宋"/>
          <w:sz w:val="28"/>
          <w:szCs w:val="28"/>
        </w:rPr>
      </w:pPr>
      <w:r>
        <w:rPr>
          <w:rFonts w:hint="eastAsia" w:ascii="Calibri" w:hAnsi="Calibri" w:eastAsia="宋体" w:cs="仿宋"/>
          <w:sz w:val="28"/>
          <w:szCs w:val="28"/>
        </w:rPr>
        <w:t>智能化餐饮</w:t>
      </w:r>
      <w:r>
        <w:rPr>
          <w:rFonts w:ascii="Calibri" w:hAnsi="Calibri" w:eastAsia="宋体" w:cs="仿宋"/>
          <w:sz w:val="28"/>
          <w:szCs w:val="28"/>
        </w:rPr>
        <w:t>系统功能需求</w:t>
      </w:r>
    </w:p>
    <w:p w14:paraId="6B89A853">
      <w:pPr>
        <w:widowControl/>
        <w:numPr>
          <w:ilvl w:val="255"/>
          <w:numId w:val="0"/>
        </w:numPr>
        <w:spacing w:line="440" w:lineRule="exact"/>
        <w:ind w:left="420"/>
        <w:jc w:val="left"/>
        <w:rPr>
          <w:rFonts w:hint="eastAsia" w:ascii="仿宋" w:hAnsi="仿宋" w:eastAsia="仿宋" w:cs="仿宋"/>
          <w:sz w:val="24"/>
        </w:rPr>
      </w:pPr>
      <w:r>
        <w:rPr>
          <w:rFonts w:hint="eastAsia" w:ascii="仿宋" w:hAnsi="仿宋" w:eastAsia="仿宋" w:cs="仿宋"/>
          <w:sz w:val="24"/>
        </w:rPr>
        <w:t>一、系统信息管理要求</w:t>
      </w:r>
    </w:p>
    <w:p w14:paraId="22B80CD2">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1. 收银员信息管理：支持医院餐饮收银员工号、姓名、登录密码、联系电话等基础信息的新增、编辑、查询、删除操作，权限划分清晰，可追溯操作记录，确保收银岗位管理规范、可管控。</w:t>
      </w:r>
    </w:p>
    <w:p w14:paraId="291CCD17">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 订餐人员信息管理：支持订餐人姓名、联系电话、发卡日期、失效日期等信息的全流程管理，可查询职工余额及消费记录，适配医院职工福利管理需求。</w:t>
      </w:r>
    </w:p>
    <w:p w14:paraId="757C7343">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3. 商品信息管理：支持医院食堂及线上商城内商品条码、名称、单价、会员价、库存等信息的新增、编辑、查询、调整，具备库存预警、补货提醒功能，可设置预警阈值，避免商品缺货或积压，保障医院餐饮及便民服务有序开展。</w:t>
      </w:r>
    </w:p>
    <w:p w14:paraId="02D2D7DA">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 销售信息管理：自动记录医院餐饮及商城内商品销售全部明细，包括商品条码、名称、数量、单价、售出时间、经手人等核心信息，支持按时间、商品类型、经手人等多维度查询、统计，便于医院进行账务核对、成本管控及绩效考核。</w:t>
      </w:r>
    </w:p>
    <w:p w14:paraId="4D46395B">
      <w:pPr>
        <w:widowControl/>
        <w:numPr>
          <w:ilvl w:val="255"/>
          <w:numId w:val="0"/>
        </w:numPr>
        <w:spacing w:line="440" w:lineRule="exact"/>
        <w:ind w:left="420"/>
        <w:jc w:val="left"/>
        <w:rPr>
          <w:rFonts w:hint="eastAsia" w:ascii="仿宋" w:hAnsi="仿宋" w:eastAsia="仿宋" w:cs="仿宋"/>
          <w:sz w:val="24"/>
        </w:rPr>
      </w:pPr>
      <w:r>
        <w:rPr>
          <w:rFonts w:hint="eastAsia" w:ascii="仿宋" w:hAnsi="仿宋" w:eastAsia="仿宋" w:cs="仿宋"/>
          <w:sz w:val="24"/>
        </w:rPr>
        <w:t>二、核心功能模块</w:t>
      </w:r>
    </w:p>
    <w:p w14:paraId="5C514D0A">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1. 订餐管理功能：支持医院职工、就诊病人及陪护人员线上订餐，订餐截止时间、餐品配送时间可由医院根据就诊患者就餐规律、职工作息灵活配置、实时调整；订单从提交、确认、配送到核销的全流程可追溯，留存完整操作记录及数据，便于医院核查管理，保障患者及职工就餐便捷、可追溯。</w:t>
      </w:r>
    </w:p>
    <w:p w14:paraId="3B9256D9">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 充值消费功能：支持餐卡刷卡、手机扫码支付等多种便捷支付方式，适配医院老年患者、职工等不同人群使用需求；支持智能补贴配置功能，可精准区分职工餐补余额与通用消费余额，实现补贴自动发放、精准管控；所有交易明细实时记录、可随时查询，确保消费数据透明、可追溯，便于医院进行账务核对与管理。</w:t>
      </w:r>
    </w:p>
    <w:p w14:paraId="5768BCBE">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 xml:space="preserve">3. </w:t>
      </w:r>
      <w:r>
        <w:rPr>
          <w:rFonts w:hint="eastAsia" w:ascii="仿宋" w:hAnsi="仿宋" w:eastAsia="仿宋" w:cs="仿宋"/>
          <w:sz w:val="24"/>
          <w:lang w:val="en-US" w:eastAsia="zh-CN"/>
        </w:rPr>
        <w:t>一卡通用</w:t>
      </w:r>
      <w:r>
        <w:rPr>
          <w:rFonts w:hint="eastAsia" w:ascii="仿宋" w:hAnsi="仿宋" w:eastAsia="仿宋" w:cs="仿宋"/>
          <w:sz w:val="24"/>
        </w:rPr>
        <w:t>功能：支持院内及周边合作商户入驻，商户独立结算后台，T+1自动分账，集成院内消费、门禁管控等多项应用场景，实现一卡通行通用，构建「智慧食堂+便利生活」一体化消费生态；</w:t>
      </w:r>
    </w:p>
    <w:p w14:paraId="4C66D9A4">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 就餐统计功能：系统可自动统计每日、每月医院职工、患者及陪护人员就餐人数、订餐量、消费金额等核心数据，支持多维度（如时段、餐品类型、消费人群、科室等）数据统计分析，并生成可视化报表，报表支持导出、打印，为医院优化餐饮运营方案、管控餐饮成本、制定服务决策提供精准、可靠的数据支撑。</w:t>
      </w:r>
    </w:p>
    <w:p w14:paraId="40E2D18C">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5. 线上商城功能：整合医院食堂特色餐品、半成品食材、日常生活用品等各类商品，搭建线上商城模块；支持医院职工、患者及陪护人员线上下单，可选择线下自提或配送到医院指定地点（如病房、职工宿舍），适配医院特殊场景需求；具备商品分类、搜索、收藏、评价等功能，可灵活设置满减、折扣等优惠活动，支持关联餐卡余额支付，实现订餐与购物一体化衔接，进一步提升用户消费便捷度与体验感。</w:t>
      </w:r>
    </w:p>
    <w:p w14:paraId="2A70D3A6">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6. 服务管理与权限管控功能：具备完善的医院餐饮服务品质管理及流程岗位配置功能，可根据医院餐饮运营流程，灵活设置各岗位（如收银、配餐、管理）操作权限、工作流程及服务标准，实现服务规范化、管理精细化；医院拥有系统最高管理权限，可随时查询系统内所有数据信息，包括但不限于订单数据、消费数据、补贴数据、商户数据等，确保管理主动权。</w:t>
      </w:r>
    </w:p>
    <w:p w14:paraId="28140800">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7. 营养查询功能：展示</w:t>
      </w:r>
      <w:r>
        <w:rPr>
          <w:rFonts w:hint="eastAsia" w:ascii="仿宋" w:hAnsi="仿宋" w:eastAsia="仿宋" w:cs="仿宋"/>
          <w:sz w:val="24"/>
          <w:lang w:val="en-US" w:eastAsia="zh-CN"/>
        </w:rPr>
        <w:t>餐品</w:t>
      </w:r>
      <w:r>
        <w:rPr>
          <w:rFonts w:hint="eastAsia" w:ascii="仿宋" w:hAnsi="仿宋" w:eastAsia="仿宋" w:cs="仿宋"/>
          <w:sz w:val="24"/>
        </w:rPr>
        <w:t>营养成分信息，包括但不限于热量、蛋白质、碳水化合物、脂肪、维生素、矿物质等核心指标；结合医院患者康复饮食需求、职工健康饮食理念，为不同适用人群（如糖尿病患者、术后患者、老年人、健身职工等）提供个性化营养建议，贴合健康饮食需求，助力医院健康服务延伸。</w:t>
      </w:r>
    </w:p>
    <w:p w14:paraId="230C6E03">
      <w:pPr>
        <w:widowControl/>
        <w:numPr>
          <w:ilvl w:val="255"/>
          <w:numId w:val="0"/>
        </w:numPr>
        <w:spacing w:line="440" w:lineRule="exact"/>
        <w:ind w:left="0" w:firstLine="480" w:firstLineChars="200"/>
        <w:jc w:val="left"/>
        <w:rPr>
          <w:rFonts w:hint="eastAsia" w:ascii="仿宋" w:hAnsi="仿宋" w:eastAsia="仿宋" w:cs="仿宋"/>
          <w:sz w:val="24"/>
        </w:rPr>
      </w:pPr>
      <w:r>
        <w:rPr>
          <w:rFonts w:hint="eastAsia" w:ascii="仿宋" w:hAnsi="仿宋" w:eastAsia="仿宋" w:cs="仿宋"/>
          <w:sz w:val="24"/>
        </w:rPr>
        <w:t>8.其他配套功能</w:t>
      </w:r>
    </w:p>
    <w:p w14:paraId="02A7928E">
      <w:pPr>
        <w:widowControl/>
        <w:numPr>
          <w:ilvl w:val="255"/>
          <w:numId w:val="0"/>
        </w:numPr>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根据医院后续餐饮运营及服务升级需求，灵活新增、优化系统功能模块，无需额外向医院收取任何费用；提供7×24小时技术支持服务，及时响应系统使用过程中的各类问题，确保问题快速解决，保障医院餐饮服务及消费系统正常运行，不影响患者及职工正常就餐、消费。</w:t>
      </w:r>
    </w:p>
    <w:p w14:paraId="2B525378">
      <w:pPr>
        <w:widowControl/>
        <w:numPr>
          <w:ilvl w:val="255"/>
          <w:numId w:val="0"/>
        </w:numPr>
        <w:spacing w:line="440" w:lineRule="exact"/>
        <w:ind w:left="420"/>
        <w:jc w:val="left"/>
        <w:rPr>
          <w:rFonts w:hint="eastAsia" w:ascii="仿宋" w:hAnsi="仿宋" w:eastAsia="仿宋" w:cs="仿宋"/>
          <w:sz w:val="24"/>
        </w:rPr>
      </w:pPr>
      <w:r>
        <w:rPr>
          <w:rFonts w:hint="eastAsia" w:ascii="仿宋" w:hAnsi="仿宋" w:eastAsia="仿宋" w:cs="仿宋"/>
          <w:sz w:val="24"/>
        </w:rPr>
        <w:t>三、安全要求</w:t>
      </w:r>
    </w:p>
    <w:p w14:paraId="1E956AEE">
      <w:pPr>
        <w:spacing w:line="360" w:lineRule="auto"/>
        <w:rPr>
          <w:rFonts w:hint="eastAsia" w:ascii="仿宋" w:hAnsi="仿宋" w:eastAsia="仿宋" w:cs="仿宋"/>
          <w:sz w:val="24"/>
        </w:rPr>
      </w:pPr>
      <w:r>
        <w:rPr>
          <w:rFonts w:hint="eastAsia" w:ascii="仿宋" w:hAnsi="仿宋" w:eastAsia="仿宋" w:cs="仿宋"/>
          <w:sz w:val="24"/>
        </w:rPr>
        <w:t xml:space="preserve">    系统须具备完善的安全防护体系，支持用户身份认证（如账号密码、权限校验），用户密码采用加密存储方式，防止密码泄露；严格设置不同岗位用户的访问权限、数据操作级别，实现权限分级管控，杜绝越权操作；保障系统数据（包括用户信息、消费数据、订单数据、商品数据等）安全，防止数据泄露、篡改、丢失，符合医院信息安全管理相关规定，保障患者及职工个人信息安全。</w:t>
      </w:r>
    </w:p>
    <w:p w14:paraId="1A9202C5">
      <w:pPr>
        <w:widowControl/>
        <w:jc w:val="left"/>
        <w:rPr>
          <w:rFonts w:hint="eastAsia" w:ascii="仿宋" w:hAnsi="仿宋" w:eastAsia="仿宋" w:cs="仿宋"/>
          <w:sz w:val="24"/>
        </w:rPr>
      </w:pPr>
      <w:r>
        <w:rPr>
          <w:rFonts w:hint="eastAsia" w:ascii="仿宋" w:hAnsi="仿宋" w:eastAsia="仿宋" w:cs="仿宋"/>
          <w:sz w:val="24"/>
        </w:rPr>
        <w:br w:type="page"/>
      </w:r>
    </w:p>
    <w:p w14:paraId="4C71F806">
      <w:pPr>
        <w:spacing w:line="360" w:lineRule="auto"/>
        <w:outlineLvl w:val="1"/>
        <w:rPr>
          <w:rFonts w:hint="eastAsia" w:ascii="华文中宋" w:hAnsi="华文中宋" w:eastAsia="华文中宋" w:cs="华文中宋"/>
          <w:b/>
          <w:bCs/>
          <w:sz w:val="32"/>
          <w:szCs w:val="32"/>
        </w:rPr>
      </w:pPr>
      <w:r>
        <w:rPr>
          <w:rFonts w:ascii="仿宋" w:hAnsi="仿宋" w:eastAsia="仿宋" w:cs="仿宋"/>
          <w:b/>
          <w:kern w:val="0"/>
          <w:sz w:val="24"/>
        </w:rPr>
        <w:t>附件</w:t>
      </w:r>
      <w:r>
        <w:rPr>
          <w:rFonts w:hint="eastAsia" w:ascii="仿宋" w:hAnsi="仿宋" w:eastAsia="仿宋" w:cs="仿宋"/>
          <w:b/>
          <w:kern w:val="0"/>
          <w:sz w:val="24"/>
        </w:rPr>
        <w:t>4</w:t>
      </w:r>
    </w:p>
    <w:p w14:paraId="014285AD">
      <w:pPr>
        <w:adjustRightInd w:val="0"/>
        <w:snapToGrid w:val="0"/>
        <w:spacing w:before="100" w:after="100"/>
        <w:jc w:val="center"/>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广州医科大学附属中医医院食堂餐饮服务货物</w:t>
      </w:r>
      <w:r>
        <w:rPr>
          <w:rFonts w:hint="eastAsia" w:ascii="华文中宋" w:hAnsi="华文中宋" w:eastAsia="华文中宋" w:cs="华文中宋"/>
          <w:b/>
          <w:bCs/>
          <w:sz w:val="32"/>
          <w:szCs w:val="32"/>
        </w:rPr>
        <w:br w:type="textWrapping"/>
      </w:r>
      <w:r>
        <w:rPr>
          <w:rFonts w:hint="eastAsia" w:ascii="华文中宋" w:hAnsi="华文中宋" w:eastAsia="华文中宋" w:cs="华文中宋"/>
          <w:b/>
          <w:bCs/>
          <w:sz w:val="32"/>
          <w:szCs w:val="32"/>
        </w:rPr>
        <w:t>抽检标准（参考）</w:t>
      </w:r>
    </w:p>
    <w:p w14:paraId="3CDE16A1">
      <w:pPr>
        <w:adjustRightInd w:val="0"/>
        <w:snapToGrid w:val="0"/>
        <w:jc w:val="center"/>
        <w:rPr>
          <w:rFonts w:hint="eastAsia" w:ascii="华文中宋" w:hAnsi="华文中宋" w:eastAsia="华文中宋" w:cs="华文中宋"/>
          <w:b/>
          <w:bCs/>
          <w:sz w:val="32"/>
          <w:szCs w:val="32"/>
        </w:rPr>
      </w:pPr>
    </w:p>
    <w:p w14:paraId="4C4DCEB8">
      <w:pPr>
        <w:widowControl/>
        <w:spacing w:line="440" w:lineRule="exact"/>
        <w:ind w:firstLine="482" w:firstLineChars="200"/>
        <w:jc w:val="left"/>
        <w:rPr>
          <w:rFonts w:hint="eastAsia" w:ascii="仿宋" w:hAnsi="仿宋" w:eastAsia="仿宋" w:cs="仿宋"/>
          <w:b/>
          <w:bCs/>
          <w:sz w:val="24"/>
          <w:lang w:bidi="ar"/>
        </w:rPr>
      </w:pPr>
      <w:r>
        <w:rPr>
          <w:rFonts w:ascii="仿宋" w:hAnsi="仿宋" w:eastAsia="仿宋" w:cs="仿宋"/>
          <w:b/>
          <w:bCs/>
          <w:sz w:val="24"/>
          <w:lang w:bidi="ar"/>
        </w:rPr>
        <w:t>一、农副食品、动植物油制品质量要求</w:t>
      </w:r>
    </w:p>
    <w:p w14:paraId="692750BC">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（一）瓜果、蔬菜类</w:t>
      </w:r>
    </w:p>
    <w:p w14:paraId="37E8759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1.供应产品质量要求：瓜果、蔬菜应为优质货品，不得含有残留农药或污染物。</w:t>
      </w:r>
      <w:r>
        <w:rPr>
          <w:rFonts w:hint="eastAsia" w:ascii="仿宋" w:hAnsi="仿宋" w:eastAsia="仿宋" w:cs="仿宋"/>
          <w:sz w:val="24"/>
          <w:lang w:bidi="ar"/>
        </w:rPr>
        <w:t>乙方</w:t>
      </w:r>
      <w:r>
        <w:rPr>
          <w:rFonts w:ascii="仿宋" w:hAnsi="仿宋" w:eastAsia="仿宋" w:cs="仿宋"/>
          <w:sz w:val="24"/>
          <w:lang w:bidi="ar"/>
        </w:rPr>
        <w:t>应保证所供应的瓜果蔬菜符合卫生质量标准，并承担因所供产品问题引起的一切事故后果。卫生质量指标应符合我国无公害蔬菜、水果的卫生指标规定。</w:t>
      </w:r>
    </w:p>
    <w:p w14:paraId="4CDAE287">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具体感观要求：瓜果蔬菜应具有本品种原有的颜色，大多数有发亮的光泽，以此显示其成熟度及鲜嫩程度；具有清香、甘辛香、甜酸香等气味，可凭嗅觉识别不同品种的质量，不允许有腐烂变质的亚硝酸盐味和其他异常气味；因品种不同而滋味各异，多数瓜果蔬菜滋味甘淡、甜酸、清爽鲜美，少数具有辛酸、苦涩等特殊风味以刺激食欲，如失去本品种原有的滋味即为异常；尽量避免由于客观因素而造成的各种非正常、不新鲜的瓜果蔬菜，例如萎蔫、枯塌、损伤、病变、虫害侵蚀等引起的形态异常等。</w:t>
      </w:r>
    </w:p>
    <w:p w14:paraId="6C4E3D9B">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3.食品供应链要求：所有食品的来源必须清晰。瓜果蔬菜来源应当受到地方政府部门监管的自有基地、商品菜基地或蔬菜专业流通市场，严禁收购散户农民的瓜果蔬菜供应。当天供应的瓜果蔬菜类产品需提供当批次的农药残留检测报告。</w:t>
      </w:r>
    </w:p>
    <w:p w14:paraId="00216C45">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4.卫生质量指标：卫生质量指标应符合我国无公害蔬菜、水果的卫生指标规定。</w:t>
      </w:r>
    </w:p>
    <w:tbl>
      <w:tblPr>
        <w:tblStyle w:val="12"/>
        <w:tblW w:w="0" w:type="auto"/>
        <w:jc w:val="center"/>
        <w:tblCellSpacing w:w="15" w:type="dxa"/>
        <w:tblLayout w:type="autofit"/>
        <w:tblCellMar>
          <w:top w:w="0" w:type="dxa"/>
          <w:left w:w="108" w:type="dxa"/>
          <w:bottom w:w="0" w:type="dxa"/>
          <w:right w:w="108" w:type="dxa"/>
        </w:tblCellMar>
      </w:tblPr>
      <w:tblGrid>
        <w:gridCol w:w="3747"/>
        <w:gridCol w:w="3782"/>
      </w:tblGrid>
      <w:tr w14:paraId="48EC6A35">
        <w:tblPrEx>
          <w:tblCellMar>
            <w:top w:w="0" w:type="dxa"/>
            <w:left w:w="108" w:type="dxa"/>
            <w:bottom w:w="0" w:type="dxa"/>
            <w:right w:w="108" w:type="dxa"/>
          </w:tblCellMar>
        </w:tblPrEx>
        <w:trPr>
          <w:trHeight w:val="601" w:hRule="atLeast"/>
          <w:tblHeader/>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0D3700BC">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项目</w:t>
            </w:r>
          </w:p>
        </w:tc>
        <w:tc>
          <w:tcPr>
            <w:tcW w:w="2511" w:type="pct"/>
            <w:tcBorders>
              <w:top w:val="single" w:color="000000" w:sz="8" w:space="0"/>
              <w:left w:val="single" w:color="000000" w:sz="8" w:space="0"/>
              <w:bottom w:val="single" w:color="000000" w:sz="8" w:space="0"/>
              <w:right w:val="single" w:color="000000" w:sz="8" w:space="0"/>
            </w:tcBorders>
            <w:vAlign w:val="center"/>
          </w:tcPr>
          <w:p w14:paraId="7A1E494C">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指标（mg/kg）</w:t>
            </w:r>
          </w:p>
        </w:tc>
      </w:tr>
      <w:tr w14:paraId="73E79DF5">
        <w:tblPrEx>
          <w:tblCellMar>
            <w:top w:w="0" w:type="dxa"/>
            <w:left w:w="108" w:type="dxa"/>
            <w:bottom w:w="0" w:type="dxa"/>
            <w:right w:w="108" w:type="dxa"/>
          </w:tblCellMar>
        </w:tblPrEx>
        <w:trPr>
          <w:trHeight w:val="278"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519F70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甲胺磷</w:t>
            </w:r>
          </w:p>
        </w:tc>
        <w:tc>
          <w:tcPr>
            <w:tcW w:w="2511" w:type="pct"/>
            <w:tcBorders>
              <w:top w:val="single" w:color="000000" w:sz="8" w:space="0"/>
              <w:left w:val="single" w:color="000000" w:sz="8" w:space="0"/>
              <w:bottom w:val="single" w:color="000000" w:sz="8" w:space="0"/>
              <w:right w:val="single" w:color="000000" w:sz="8" w:space="0"/>
            </w:tcBorders>
            <w:vAlign w:val="center"/>
          </w:tcPr>
          <w:p w14:paraId="59F57F4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不得检出</w:t>
            </w:r>
          </w:p>
        </w:tc>
      </w:tr>
      <w:tr w14:paraId="69C7AA76">
        <w:tblPrEx>
          <w:tblCellMar>
            <w:top w:w="0" w:type="dxa"/>
            <w:left w:w="108" w:type="dxa"/>
            <w:bottom w:w="0" w:type="dxa"/>
            <w:right w:w="108" w:type="dxa"/>
          </w:tblCellMar>
        </w:tblPrEx>
        <w:trPr>
          <w:trHeight w:val="278"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64CF0F6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甲拌磷</w:t>
            </w:r>
          </w:p>
        </w:tc>
        <w:tc>
          <w:tcPr>
            <w:tcW w:w="2511" w:type="pct"/>
            <w:tcBorders>
              <w:top w:val="single" w:color="000000" w:sz="8" w:space="0"/>
              <w:left w:val="single" w:color="000000" w:sz="8" w:space="0"/>
              <w:bottom w:val="single" w:color="000000" w:sz="8" w:space="0"/>
              <w:right w:val="single" w:color="000000" w:sz="8" w:space="0"/>
            </w:tcBorders>
            <w:vAlign w:val="center"/>
          </w:tcPr>
          <w:p w14:paraId="5F0F2C9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不得检出</w:t>
            </w:r>
          </w:p>
        </w:tc>
      </w:tr>
      <w:tr w14:paraId="5460168F">
        <w:tblPrEx>
          <w:tblCellMar>
            <w:top w:w="0" w:type="dxa"/>
            <w:left w:w="108" w:type="dxa"/>
            <w:bottom w:w="0" w:type="dxa"/>
            <w:right w:w="108" w:type="dxa"/>
          </w:tblCellMar>
        </w:tblPrEx>
        <w:trPr>
          <w:trHeight w:val="278"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5C761F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氧化乐果</w:t>
            </w:r>
          </w:p>
        </w:tc>
        <w:tc>
          <w:tcPr>
            <w:tcW w:w="2511" w:type="pct"/>
            <w:tcBorders>
              <w:top w:val="single" w:color="000000" w:sz="8" w:space="0"/>
              <w:left w:val="single" w:color="000000" w:sz="8" w:space="0"/>
              <w:bottom w:val="single" w:color="000000" w:sz="8" w:space="0"/>
              <w:right w:val="single" w:color="000000" w:sz="8" w:space="0"/>
            </w:tcBorders>
            <w:vAlign w:val="center"/>
          </w:tcPr>
          <w:p w14:paraId="2BB1326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不得检出</w:t>
            </w:r>
          </w:p>
        </w:tc>
      </w:tr>
      <w:tr w14:paraId="354A0F98">
        <w:tblPrEx>
          <w:tblCellMar>
            <w:top w:w="0" w:type="dxa"/>
            <w:left w:w="108" w:type="dxa"/>
            <w:bottom w:w="0" w:type="dxa"/>
            <w:right w:w="108" w:type="dxa"/>
          </w:tblCellMar>
        </w:tblPrEx>
        <w:trPr>
          <w:trHeight w:val="506"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4D1135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甲基对硫磷</w:t>
            </w:r>
          </w:p>
        </w:tc>
        <w:tc>
          <w:tcPr>
            <w:tcW w:w="2511" w:type="pct"/>
            <w:tcBorders>
              <w:top w:val="single" w:color="000000" w:sz="8" w:space="0"/>
              <w:left w:val="single" w:color="000000" w:sz="8" w:space="0"/>
              <w:bottom w:val="single" w:color="000000" w:sz="8" w:space="0"/>
              <w:right w:val="single" w:color="000000" w:sz="8" w:space="0"/>
            </w:tcBorders>
            <w:vAlign w:val="center"/>
          </w:tcPr>
          <w:p w14:paraId="17F88E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不得检出</w:t>
            </w:r>
          </w:p>
        </w:tc>
      </w:tr>
      <w:tr w14:paraId="3F7D96B3">
        <w:tblPrEx>
          <w:tblCellMar>
            <w:top w:w="0" w:type="dxa"/>
            <w:left w:w="108" w:type="dxa"/>
            <w:bottom w:w="0" w:type="dxa"/>
            <w:right w:w="108" w:type="dxa"/>
          </w:tblCellMar>
        </w:tblPrEx>
        <w:trPr>
          <w:trHeight w:val="278"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2024B3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呋喃丹</w:t>
            </w:r>
          </w:p>
        </w:tc>
        <w:tc>
          <w:tcPr>
            <w:tcW w:w="2511" w:type="pct"/>
            <w:tcBorders>
              <w:top w:val="single" w:color="000000" w:sz="8" w:space="0"/>
              <w:left w:val="single" w:color="000000" w:sz="8" w:space="0"/>
              <w:bottom w:val="single" w:color="000000" w:sz="8" w:space="0"/>
              <w:right w:val="single" w:color="000000" w:sz="8" w:space="0"/>
            </w:tcBorders>
            <w:vAlign w:val="center"/>
          </w:tcPr>
          <w:p w14:paraId="53F81F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不得检出</w:t>
            </w:r>
          </w:p>
        </w:tc>
      </w:tr>
      <w:tr w14:paraId="47DA6B69">
        <w:tblPrEx>
          <w:tblCellMar>
            <w:top w:w="0" w:type="dxa"/>
            <w:left w:w="108" w:type="dxa"/>
            <w:bottom w:w="0" w:type="dxa"/>
            <w:right w:w="108" w:type="dxa"/>
          </w:tblCellMar>
        </w:tblPrEx>
        <w:trPr>
          <w:trHeight w:val="360"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4FDCC8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百菌清</w:t>
            </w:r>
          </w:p>
        </w:tc>
        <w:tc>
          <w:tcPr>
            <w:tcW w:w="2511" w:type="pct"/>
            <w:tcBorders>
              <w:top w:val="single" w:color="000000" w:sz="8" w:space="0"/>
              <w:left w:val="single" w:color="000000" w:sz="8" w:space="0"/>
              <w:bottom w:val="single" w:color="000000" w:sz="8" w:space="0"/>
              <w:right w:val="single" w:color="000000" w:sz="8" w:space="0"/>
            </w:tcBorders>
            <w:vAlign w:val="center"/>
          </w:tcPr>
          <w:p w14:paraId="2E5FFB5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w:t>
            </w:r>
          </w:p>
        </w:tc>
      </w:tr>
      <w:tr w14:paraId="66657835">
        <w:tblPrEx>
          <w:tblCellMar>
            <w:top w:w="0" w:type="dxa"/>
            <w:left w:w="108" w:type="dxa"/>
            <w:bottom w:w="0" w:type="dxa"/>
            <w:right w:w="108" w:type="dxa"/>
          </w:tblCellMar>
        </w:tblPrEx>
        <w:trPr>
          <w:trHeight w:val="278"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492B97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多菌灵</w:t>
            </w:r>
          </w:p>
        </w:tc>
        <w:tc>
          <w:tcPr>
            <w:tcW w:w="2511" w:type="pct"/>
            <w:tcBorders>
              <w:top w:val="single" w:color="000000" w:sz="8" w:space="0"/>
              <w:left w:val="single" w:color="000000" w:sz="8" w:space="0"/>
              <w:bottom w:val="single" w:color="000000" w:sz="8" w:space="0"/>
              <w:right w:val="single" w:color="000000" w:sz="8" w:space="0"/>
            </w:tcBorders>
            <w:vAlign w:val="center"/>
          </w:tcPr>
          <w:p w14:paraId="1B42B0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≤0.5</w:t>
            </w:r>
          </w:p>
        </w:tc>
      </w:tr>
      <w:tr w14:paraId="0DAEAB21">
        <w:tblPrEx>
          <w:tblCellMar>
            <w:top w:w="0" w:type="dxa"/>
            <w:left w:w="108" w:type="dxa"/>
            <w:bottom w:w="0" w:type="dxa"/>
            <w:right w:w="108" w:type="dxa"/>
          </w:tblCellMar>
        </w:tblPrEx>
        <w:trPr>
          <w:trHeight w:val="506"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558CFF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汞（以Hg计）</w:t>
            </w:r>
          </w:p>
        </w:tc>
        <w:tc>
          <w:tcPr>
            <w:tcW w:w="2511" w:type="pct"/>
            <w:tcBorders>
              <w:top w:val="single" w:color="000000" w:sz="8" w:space="0"/>
              <w:left w:val="single" w:color="000000" w:sz="8" w:space="0"/>
              <w:bottom w:val="single" w:color="000000" w:sz="8" w:space="0"/>
              <w:right w:val="single" w:color="000000" w:sz="8" w:space="0"/>
            </w:tcBorders>
            <w:vAlign w:val="center"/>
          </w:tcPr>
          <w:p w14:paraId="088FE9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≤0.01</w:t>
            </w:r>
          </w:p>
        </w:tc>
      </w:tr>
      <w:tr w14:paraId="6A30E63E">
        <w:tblPrEx>
          <w:tblCellMar>
            <w:top w:w="0" w:type="dxa"/>
            <w:left w:w="108" w:type="dxa"/>
            <w:bottom w:w="0" w:type="dxa"/>
            <w:right w:w="108" w:type="dxa"/>
          </w:tblCellMar>
        </w:tblPrEx>
        <w:trPr>
          <w:trHeight w:val="506"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1EA4B2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铅（以Pb计）</w:t>
            </w:r>
          </w:p>
        </w:tc>
        <w:tc>
          <w:tcPr>
            <w:tcW w:w="2511" w:type="pct"/>
            <w:tcBorders>
              <w:top w:val="single" w:color="000000" w:sz="8" w:space="0"/>
              <w:left w:val="single" w:color="000000" w:sz="8" w:space="0"/>
              <w:bottom w:val="single" w:color="000000" w:sz="8" w:space="0"/>
              <w:right w:val="single" w:color="000000" w:sz="8" w:space="0"/>
            </w:tcBorders>
            <w:vAlign w:val="center"/>
          </w:tcPr>
          <w:p w14:paraId="35C9FA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≤0.2</w:t>
            </w:r>
          </w:p>
        </w:tc>
      </w:tr>
      <w:tr w14:paraId="63028EEA">
        <w:tblPrEx>
          <w:tblCellMar>
            <w:top w:w="0" w:type="dxa"/>
            <w:left w:w="108" w:type="dxa"/>
            <w:bottom w:w="0" w:type="dxa"/>
            <w:right w:w="108" w:type="dxa"/>
          </w:tblCellMar>
        </w:tblPrEx>
        <w:trPr>
          <w:trHeight w:val="506"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72DB95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砷（以As计）</w:t>
            </w:r>
          </w:p>
        </w:tc>
        <w:tc>
          <w:tcPr>
            <w:tcW w:w="2511" w:type="pct"/>
            <w:tcBorders>
              <w:top w:val="single" w:color="000000" w:sz="8" w:space="0"/>
              <w:left w:val="single" w:color="000000" w:sz="8" w:space="0"/>
              <w:bottom w:val="single" w:color="000000" w:sz="8" w:space="0"/>
              <w:right w:val="single" w:color="000000" w:sz="8" w:space="0"/>
            </w:tcBorders>
            <w:vAlign w:val="center"/>
          </w:tcPr>
          <w:p w14:paraId="42650F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≤0.5</w:t>
            </w:r>
          </w:p>
        </w:tc>
      </w:tr>
      <w:tr w14:paraId="6247EED0">
        <w:tblPrEx>
          <w:tblCellMar>
            <w:top w:w="0" w:type="dxa"/>
            <w:left w:w="108" w:type="dxa"/>
            <w:bottom w:w="0" w:type="dxa"/>
            <w:right w:w="108" w:type="dxa"/>
          </w:tblCellMar>
        </w:tblPrEx>
        <w:trPr>
          <w:trHeight w:val="506"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6E00AC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氟（以F计）</w:t>
            </w:r>
          </w:p>
        </w:tc>
        <w:tc>
          <w:tcPr>
            <w:tcW w:w="2511" w:type="pct"/>
            <w:tcBorders>
              <w:top w:val="single" w:color="000000" w:sz="8" w:space="0"/>
              <w:left w:val="single" w:color="000000" w:sz="8" w:space="0"/>
              <w:bottom w:val="single" w:color="000000" w:sz="8" w:space="0"/>
              <w:right w:val="single" w:color="000000" w:sz="8" w:space="0"/>
            </w:tcBorders>
            <w:vAlign w:val="center"/>
          </w:tcPr>
          <w:p w14:paraId="40B848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≤0.5</w:t>
            </w:r>
          </w:p>
        </w:tc>
      </w:tr>
      <w:tr w14:paraId="548ED032">
        <w:tblPrEx>
          <w:tblCellMar>
            <w:top w:w="0" w:type="dxa"/>
            <w:left w:w="108" w:type="dxa"/>
            <w:bottom w:w="0" w:type="dxa"/>
            <w:right w:w="108" w:type="dxa"/>
          </w:tblCellMar>
        </w:tblPrEx>
        <w:trPr>
          <w:trHeight w:val="983"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665008A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硝酸盐（以NaNO3计）</w:t>
            </w:r>
          </w:p>
        </w:tc>
        <w:tc>
          <w:tcPr>
            <w:tcW w:w="2511" w:type="pct"/>
            <w:tcBorders>
              <w:top w:val="single" w:color="000000" w:sz="8" w:space="0"/>
              <w:left w:val="single" w:color="000000" w:sz="8" w:space="0"/>
              <w:bottom w:val="single" w:color="000000" w:sz="8" w:space="0"/>
              <w:right w:val="single" w:color="000000" w:sz="8" w:space="0"/>
            </w:tcBorders>
            <w:vAlign w:val="center"/>
          </w:tcPr>
          <w:p w14:paraId="6CD26D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瓜果类≤600；叶菜根茎类≤1200</w:t>
            </w:r>
          </w:p>
        </w:tc>
      </w:tr>
      <w:tr w14:paraId="201D22C7">
        <w:tblPrEx>
          <w:tblCellMar>
            <w:top w:w="0" w:type="dxa"/>
            <w:left w:w="108" w:type="dxa"/>
            <w:bottom w:w="0" w:type="dxa"/>
            <w:right w:w="108" w:type="dxa"/>
          </w:tblCellMar>
        </w:tblPrEx>
        <w:trPr>
          <w:trHeight w:val="1000" w:hRule="atLeast"/>
          <w:tblCellSpacing w:w="15" w:type="dxa"/>
          <w:jc w:val="center"/>
        </w:trPr>
        <w:tc>
          <w:tcPr>
            <w:tcW w:w="2488" w:type="pct"/>
            <w:tcBorders>
              <w:top w:val="single" w:color="000000" w:sz="8" w:space="0"/>
              <w:left w:val="single" w:color="000000" w:sz="8" w:space="0"/>
              <w:bottom w:val="single" w:color="000000" w:sz="8" w:space="0"/>
              <w:right w:val="single" w:color="000000" w:sz="8" w:space="0"/>
            </w:tcBorders>
            <w:vAlign w:val="center"/>
          </w:tcPr>
          <w:p w14:paraId="4CD3B2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亚硝酸盐（以NaNO2计）</w:t>
            </w:r>
          </w:p>
        </w:tc>
        <w:tc>
          <w:tcPr>
            <w:tcW w:w="2511" w:type="pct"/>
            <w:tcBorders>
              <w:top w:val="single" w:color="000000" w:sz="8" w:space="0"/>
              <w:left w:val="single" w:color="000000" w:sz="8" w:space="0"/>
              <w:bottom w:val="single" w:color="000000" w:sz="8" w:space="0"/>
              <w:right w:val="single" w:color="000000" w:sz="8" w:space="0"/>
            </w:tcBorders>
            <w:vAlign w:val="center"/>
          </w:tcPr>
          <w:p w14:paraId="0C50E7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w:t>
            </w:r>
          </w:p>
        </w:tc>
      </w:tr>
    </w:tbl>
    <w:p w14:paraId="33957E45">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（二）鲜肉类</w:t>
      </w:r>
    </w:p>
    <w:p w14:paraId="2D90A75D">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1.质量要求：所提供的产品应保持较好的外观和质量等级，符合国家食品安全标准，应是当天活杀、无淤血、无病死、无瘟疫、不含瘦肉精、无注水等的健康肉类产品。</w:t>
      </w:r>
    </w:p>
    <w:p w14:paraId="73D78A2F">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2.具体感观要求：</w:t>
      </w:r>
    </w:p>
    <w:p w14:paraId="79E1877F">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（1）猪肉类：产品应保持较好的外观和质量等级，符合国家食品安全标准，应是当天活杀、无淤血、无病死、无瘟疫、不含瘦肉精、无注水等的健康猪类产品。</w:t>
      </w:r>
    </w:p>
    <w:p w14:paraId="7192367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牛肉类：产品应保持较好的外观和质量等级，符合国家食品安全标准，应是当天活杀、无淤血、无异味、无注水、无病死的健康牛类产品。呈均匀的红色，有光泽，脂肪洁白或乳黄色，有牛肉正常的气味，肉表面不粘手，肉质有弹性，指压后凹陷立即恢复，无多余的脂肪和血管。</w:t>
      </w:r>
    </w:p>
    <w:p w14:paraId="5ADE8D9F">
      <w:pPr>
        <w:widowControl/>
        <w:spacing w:line="440" w:lineRule="exact"/>
        <w:ind w:firstLine="480" w:firstLineChars="200"/>
        <w:rPr>
          <w:rFonts w:hint="eastAsia" w:ascii="仿宋" w:hAnsi="仿宋" w:eastAsia="仿宋" w:cs="仿宋"/>
          <w:sz w:val="24"/>
          <w:lang w:bidi="ar"/>
        </w:rPr>
      </w:pPr>
      <w:r>
        <w:rPr>
          <w:rFonts w:hint="eastAsia" w:ascii="仿宋" w:hAnsi="仿宋" w:eastAsia="仿宋" w:cs="仿宋"/>
          <w:sz w:val="24"/>
          <w:lang w:bidi="ar"/>
        </w:rPr>
        <w:t>（</w:t>
      </w:r>
      <w:r>
        <w:rPr>
          <w:rFonts w:ascii="仿宋" w:hAnsi="仿宋" w:eastAsia="仿宋" w:cs="仿宋"/>
          <w:sz w:val="24"/>
          <w:lang w:bidi="ar"/>
        </w:rPr>
        <w:t>3）禽鸟类：产品应保持较好的外观和质量等级，符合国家食品安全标准，应是当天活杀、无瘀血、无病死、无瘟疫的禽鸟类。眼球饱满，角膜有光泽；皮肤呈淡黄色或淡白色、表面干燥、具有鸡肉正常的气味；脂肪稍带有淡黄色，有光泽；肌肉结实而有弹性。</w:t>
      </w:r>
    </w:p>
    <w:p w14:paraId="29640648">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(4）鱼类：产品应保持较好的外观和质量等级，符合国家食品安全标准，不能检测出有毒有害的、违反《中华人民共和国食品安全法》规定的化学制剂及添加剂，应是当天活杀的去头、无异味的鲜鱼。体表有透明黏液，鳞片完整并紧附在鱼体上、不易脱落；肌肉坚硬肉实，手感富有弹性，挺而不软，弯度小，用手压之有凹陷，抬手后立即复原，肉的横断面紧密。</w:t>
      </w:r>
    </w:p>
    <w:p w14:paraId="573B18F6">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（三）冻品类</w:t>
      </w:r>
    </w:p>
    <w:p w14:paraId="23403902">
      <w:pPr>
        <w:widowControl/>
        <w:numPr>
          <w:ilvl w:val="255"/>
          <w:numId w:val="0"/>
        </w:numPr>
        <w:spacing w:line="440" w:lineRule="exact"/>
        <w:ind w:firstLine="420" w:firstLineChars="175"/>
        <w:jc w:val="left"/>
        <w:rPr>
          <w:rFonts w:hint="eastAsia" w:ascii="仿宋" w:hAnsi="仿宋" w:eastAsia="仿宋" w:cs="仿宋"/>
          <w:sz w:val="24"/>
          <w:lang w:bidi="ar"/>
        </w:rPr>
      </w:pPr>
      <w:r>
        <w:rPr>
          <w:rFonts w:ascii="仿宋" w:hAnsi="仿宋" w:eastAsia="仿宋" w:cs="仿宋"/>
          <w:sz w:val="24"/>
          <w:lang w:bidi="ar"/>
        </w:rPr>
        <w:t>1.食品供应链要求：所有冻品食品来源必须清晰可追溯，</w:t>
      </w:r>
      <w:r>
        <w:rPr>
          <w:rFonts w:hint="eastAsia" w:ascii="仿宋" w:hAnsi="仿宋" w:eastAsia="仿宋" w:cs="仿宋"/>
          <w:sz w:val="24"/>
          <w:lang w:bidi="ar"/>
        </w:rPr>
        <w:t>乙方</w:t>
      </w:r>
      <w:r>
        <w:rPr>
          <w:rFonts w:ascii="仿宋" w:hAnsi="仿宋" w:eastAsia="仿宋" w:cs="仿宋"/>
          <w:sz w:val="24"/>
          <w:lang w:bidi="ar"/>
        </w:rPr>
        <w:t>需具备合法经营资质，供货时须提供当批次有效的《动物检疫合格证》原件或复印件（复印件需加盖公章，原件备查）、产品合格证及第三方检测机构出具的当批次检验报告。严禁采购来源不明、无合法手续的冻品，</w:t>
      </w:r>
      <w:r>
        <w:rPr>
          <w:rFonts w:hint="eastAsia" w:ascii="仿宋" w:hAnsi="仿宋" w:eastAsia="仿宋" w:cs="仿宋"/>
          <w:sz w:val="24"/>
          <w:lang w:bidi="ar"/>
        </w:rPr>
        <w:t>乙方</w:t>
      </w:r>
      <w:r>
        <w:rPr>
          <w:rFonts w:ascii="仿宋" w:hAnsi="仿宋" w:eastAsia="仿宋" w:cs="仿宋"/>
          <w:sz w:val="24"/>
          <w:lang w:bidi="ar"/>
        </w:rPr>
        <w:t>需建立完善的进货查验、索证索票和进货台账制度，确保食材各环节记录完整可查。</w:t>
      </w:r>
    </w:p>
    <w:p w14:paraId="555939B2">
      <w:pPr>
        <w:widowControl/>
        <w:numPr>
          <w:ilvl w:val="255"/>
          <w:numId w:val="0"/>
        </w:numPr>
        <w:spacing w:line="440" w:lineRule="exact"/>
        <w:ind w:firstLine="420" w:firstLineChars="175"/>
        <w:jc w:val="left"/>
        <w:rPr>
          <w:rFonts w:hint="eastAsia" w:ascii="仿宋" w:hAnsi="仿宋" w:eastAsia="仿宋" w:cs="仿宋"/>
          <w:kern w:val="0"/>
          <w:sz w:val="24"/>
        </w:rPr>
      </w:pPr>
      <w:r>
        <w:rPr>
          <w:rFonts w:ascii="仿宋" w:hAnsi="仿宋" w:eastAsia="仿宋" w:cs="仿宋"/>
          <w:kern w:val="0"/>
          <w:sz w:val="24"/>
        </w:rPr>
        <w:t>2. 冻品冻肉使用量</w:t>
      </w:r>
      <w:r>
        <w:rPr>
          <w:rFonts w:ascii="仿宋" w:hAnsi="仿宋" w:eastAsia="仿宋" w:cs="仿宋"/>
          <w:kern w:val="0"/>
          <w:sz w:val="24"/>
          <w:lang w:bidi="ar"/>
        </w:rPr>
        <w:t>每餐次供应冻品冻肉不得超过总食材比例5%</w:t>
      </w:r>
      <w:r>
        <w:rPr>
          <w:rFonts w:ascii="仿宋" w:hAnsi="仿宋" w:eastAsia="仿宋" w:cs="仿宋"/>
          <w:kern w:val="0"/>
          <w:sz w:val="24"/>
        </w:rPr>
        <w:t>，使用前须提前报</w:t>
      </w:r>
      <w:r>
        <w:rPr>
          <w:rFonts w:hint="eastAsia" w:ascii="仿宋" w:hAnsi="仿宋" w:eastAsia="仿宋" w:cs="仿宋"/>
          <w:kern w:val="0"/>
          <w:sz w:val="24"/>
        </w:rPr>
        <w:t>甲方</w:t>
      </w:r>
      <w:r>
        <w:rPr>
          <w:rFonts w:ascii="仿宋" w:hAnsi="仿宋" w:eastAsia="仿宋" w:cs="仿宋"/>
          <w:kern w:val="0"/>
          <w:sz w:val="24"/>
        </w:rPr>
        <w:t>书面审批；</w:t>
      </w:r>
      <w:r>
        <w:rPr>
          <w:rFonts w:hint="eastAsia" w:ascii="仿宋" w:hAnsi="仿宋" w:eastAsia="仿宋" w:cs="仿宋"/>
          <w:kern w:val="0"/>
          <w:sz w:val="24"/>
        </w:rPr>
        <w:t>乙方</w:t>
      </w:r>
      <w:r>
        <w:rPr>
          <w:rFonts w:ascii="仿宋" w:hAnsi="仿宋" w:eastAsia="仿宋" w:cs="仿宋"/>
          <w:kern w:val="0"/>
          <w:sz w:val="24"/>
        </w:rPr>
        <w:t>须每月 5 日前向</w:t>
      </w:r>
      <w:r>
        <w:rPr>
          <w:rFonts w:hint="eastAsia" w:ascii="仿宋" w:hAnsi="仿宋" w:eastAsia="仿宋" w:cs="仿宋"/>
          <w:kern w:val="0"/>
          <w:sz w:val="24"/>
        </w:rPr>
        <w:t>甲方</w:t>
      </w:r>
      <w:r>
        <w:rPr>
          <w:rFonts w:ascii="仿宋" w:hAnsi="仿宋" w:eastAsia="仿宋" w:cs="仿宋"/>
          <w:kern w:val="0"/>
          <w:sz w:val="24"/>
        </w:rPr>
        <w:t>提交上月冻品冻肉采购、使用台账及对应票证，接受</w:t>
      </w:r>
      <w:r>
        <w:rPr>
          <w:rFonts w:hint="eastAsia" w:ascii="仿宋" w:hAnsi="仿宋" w:eastAsia="仿宋" w:cs="仿宋"/>
          <w:kern w:val="0"/>
          <w:sz w:val="24"/>
        </w:rPr>
        <w:t>甲方</w:t>
      </w:r>
      <w:r>
        <w:rPr>
          <w:rFonts w:ascii="仿宋" w:hAnsi="仿宋" w:eastAsia="仿宋" w:cs="仿宋"/>
          <w:kern w:val="0"/>
          <w:sz w:val="24"/>
        </w:rPr>
        <w:t>核验。</w:t>
      </w:r>
    </w:p>
    <w:p w14:paraId="7FC7D929">
      <w:pPr>
        <w:widowControl/>
        <w:spacing w:line="440" w:lineRule="exact"/>
        <w:ind w:firstLine="480" w:firstLineChars="200"/>
        <w:rPr>
          <w:rFonts w:hint="eastAsia" w:ascii="仿宋" w:hAnsi="仿宋" w:eastAsia="仿宋" w:cs="仿宋"/>
          <w:sz w:val="24"/>
          <w:lang w:bidi="ar"/>
        </w:rPr>
      </w:pPr>
      <w:r>
        <w:rPr>
          <w:rFonts w:ascii="仿宋" w:hAnsi="仿宋" w:eastAsia="仿宋" w:cs="仿宋"/>
          <w:kern w:val="0"/>
          <w:sz w:val="24"/>
        </w:rPr>
        <w:t>3.</w:t>
      </w:r>
      <w:r>
        <w:rPr>
          <w:rFonts w:ascii="仿宋" w:hAnsi="仿宋" w:eastAsia="仿宋" w:cs="仿宋"/>
          <w:sz w:val="24"/>
          <w:lang w:bidi="ar"/>
        </w:rPr>
        <w:t xml:space="preserve"> 净重量要求：冷冻禽类食品解冻后净重量不少于92%，冷冻肉类食品解冻后净重量不少于95%，冷冻水产类食品解冻后净重量不少于85%，解冻时间为4小时以内（室温20℃）。</w:t>
      </w:r>
      <w:r>
        <w:rPr>
          <w:rFonts w:hint="eastAsia" w:ascii="仿宋" w:hAnsi="仿宋" w:eastAsia="仿宋" w:cs="仿宋"/>
          <w:sz w:val="24"/>
          <w:lang w:bidi="ar"/>
        </w:rPr>
        <w:t>乙方</w:t>
      </w:r>
      <w:r>
        <w:rPr>
          <w:rFonts w:ascii="仿宋" w:hAnsi="仿宋" w:eastAsia="仿宋" w:cs="仿宋"/>
          <w:sz w:val="24"/>
          <w:lang w:bidi="ar"/>
        </w:rPr>
        <w:t>需确保产品包装完整，标签清晰标注生产厂家、生产日期、保质期、贮存条件等信息，严禁提供过度包冰、缺斤少两的产品。</w:t>
      </w:r>
    </w:p>
    <w:p w14:paraId="0182D36B">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4.感官与质量要求：冻品应色泽正常，具有本品种固有的气味，无异味、无酸败味、无腐臭气味；组织状态紧密有弹性，无冰晶异常增多、无解冻后软烂、无黏液渗出；表面无霉斑、无杂质，包装无破损、无泄漏。冷冻禽类应肉体饱满，皮肤完整无破损；冷冻肉类应肉质紧密，脂肪洁白；冷冻水产类应体表清洁，鳞片完整（如有），眼睛明亮（如有）。</w:t>
      </w:r>
    </w:p>
    <w:p w14:paraId="0F786D2E">
      <w:pPr>
        <w:widowControl/>
        <w:spacing w:line="440" w:lineRule="exact"/>
        <w:ind w:firstLine="480" w:firstLineChars="200"/>
        <w:jc w:val="left"/>
        <w:rPr>
          <w:rFonts w:hint="eastAsia" w:ascii="仿宋" w:hAnsi="仿宋" w:eastAsia="仿宋" w:cs="仿宋"/>
          <w:kern w:val="0"/>
          <w:sz w:val="24"/>
        </w:rPr>
      </w:pPr>
      <w:r>
        <w:rPr>
          <w:rFonts w:ascii="仿宋" w:hAnsi="仿宋" w:eastAsia="仿宋" w:cs="仿宋"/>
          <w:sz w:val="24"/>
          <w:lang w:bidi="ar"/>
        </w:rPr>
        <w:t>5.贮存与运输要求：冻品需全程冷链运输，运输温度需符合产品贮存要求（冷冻产品≤-18℃），运输车辆需配备温度监控设备，到货时需提供运输过程温度记录。</w:t>
      </w:r>
      <w:r>
        <w:rPr>
          <w:rFonts w:hint="eastAsia" w:ascii="仿宋" w:hAnsi="仿宋" w:eastAsia="仿宋" w:cs="仿宋"/>
          <w:sz w:val="24"/>
          <w:lang w:bidi="ar"/>
        </w:rPr>
        <w:t>乙方</w:t>
      </w:r>
      <w:r>
        <w:rPr>
          <w:rFonts w:ascii="仿宋" w:hAnsi="仿宋" w:eastAsia="仿宋" w:cs="仿宋"/>
          <w:sz w:val="24"/>
          <w:lang w:bidi="ar"/>
        </w:rPr>
        <w:t>需具备符合食品安全标准的冷藏冷冻仓储设施，贮存过程中需定期检查产品状态，杜绝反复冻融，</w:t>
      </w:r>
      <w:r>
        <w:rPr>
          <w:rFonts w:ascii="仿宋" w:hAnsi="仿宋" w:eastAsia="仿宋" w:cs="仿宋"/>
          <w:kern w:val="0"/>
          <w:sz w:val="24"/>
        </w:rPr>
        <w:t>包装完整、标签清晰，解冻后净重量符合本文件要求。</w:t>
      </w:r>
    </w:p>
    <w:p w14:paraId="6486C35B">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6.食品安全责任：</w:t>
      </w:r>
      <w:r>
        <w:rPr>
          <w:rFonts w:hint="eastAsia" w:ascii="仿宋" w:hAnsi="仿宋" w:eastAsia="仿宋" w:cs="仿宋"/>
          <w:sz w:val="24"/>
          <w:lang w:bidi="ar"/>
        </w:rPr>
        <w:t>乙方</w:t>
      </w:r>
      <w:r>
        <w:rPr>
          <w:rFonts w:ascii="仿宋" w:hAnsi="仿宋" w:eastAsia="仿宋" w:cs="仿宋"/>
          <w:sz w:val="24"/>
          <w:lang w:bidi="ar"/>
        </w:rPr>
        <w:t>需保证所供冻品符合国家食品安全标准，无兽药残留、重金属超标、微生物污染等问题，承担因所供冻品质量问题引起的一切食品安全事故后果。如产品抽检不合格，需立即启动溯源整改机制，无条件配合医院及监管部门的调查处理。</w:t>
      </w:r>
    </w:p>
    <w:p w14:paraId="50FA3797">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（四）豆制品类</w:t>
      </w:r>
    </w:p>
    <w:p w14:paraId="5968C4D5">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1.供货产品的质量要求：辅料、佐料类必须为优质货品，选用具有正常香气和口味、颗粒鲜艳饱满、富有光泽、无虫害霉变、无杂质的非转基因豆类，所加入食品添加剂、调味品应符合食品安全法的规定。</w:t>
      </w:r>
    </w:p>
    <w:p w14:paraId="6796E92F">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具体感官要求：从色泽看，表面光滑、色泽明亮；从形态看，具有豆制品本身所固有的形态，要求外形整齐、大小均匀一致、不散碎；从气味和滋味闻，具有特有的豆香味，不应有苦味、涩味、酸味及其它异味；经加入调味品的豆制品还应具有咸淡适口的滋味与香气。</w:t>
      </w:r>
    </w:p>
    <w:p w14:paraId="6A4E49C9">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3.食品供应链要求：豆制品来源应清晰，提供生产加工</w:t>
      </w:r>
      <w:r>
        <w:rPr>
          <w:rFonts w:hint="eastAsia" w:ascii="仿宋" w:hAnsi="仿宋" w:eastAsia="仿宋" w:cs="仿宋"/>
          <w:sz w:val="24"/>
          <w:lang w:bidi="ar"/>
        </w:rPr>
        <w:t>/销售</w:t>
      </w:r>
      <w:r>
        <w:rPr>
          <w:rFonts w:ascii="仿宋" w:hAnsi="仿宋" w:eastAsia="仿宋" w:cs="仿宋"/>
          <w:sz w:val="24"/>
          <w:lang w:bidi="ar"/>
        </w:rPr>
        <w:t>单位的营业执照和食品</w:t>
      </w:r>
      <w:r>
        <w:rPr>
          <w:rFonts w:hint="eastAsia" w:ascii="仿宋" w:hAnsi="仿宋" w:eastAsia="仿宋" w:cs="仿宋"/>
          <w:sz w:val="24"/>
          <w:lang w:bidi="ar"/>
        </w:rPr>
        <w:t>生产/</w:t>
      </w:r>
      <w:r>
        <w:rPr>
          <w:rFonts w:ascii="仿宋" w:hAnsi="仿宋" w:eastAsia="仿宋" w:cs="仿宋"/>
          <w:sz w:val="24"/>
          <w:lang w:bidi="ar"/>
        </w:rPr>
        <w:t>经营许可证的复印件并加盖公章以备留存。</w:t>
      </w:r>
    </w:p>
    <w:p w14:paraId="3081B232">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（五）奶制品</w:t>
      </w:r>
    </w:p>
    <w:p w14:paraId="1F539D9D">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医院使用的所有奶制品必须符合国家强制性食品安全标准。</w:t>
      </w:r>
    </w:p>
    <w:p w14:paraId="5C91BEA2">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1.基础产品标准：</w:t>
      </w:r>
    </w:p>
    <w:p w14:paraId="1D7EB1C6">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乳粉与调制乳粉：必须符合 GB 19644-2024《食品安全国家标准 乳粉和调制乳粉》。该标准规定了各类乳粉（牛、羊、牦牛、骆驼等）的蛋白质、脂肪等理化指标，并明确要求产品标签必须标明“乳粉”或“调制乳粉”，以及奶畜品种，以防掺假和误导。</w:t>
      </w:r>
    </w:p>
    <w:p w14:paraId="647ACBC6">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液体乳：巴氏杀菌乳、灭菌乳、调制乳等需分别符合 GB 19645、GB 25190、GB 25191 等相应标准。</w:t>
      </w:r>
    </w:p>
    <w:p w14:paraId="12F7DA4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发酵乳：需符合 GB 19302 标准。</w:t>
      </w:r>
    </w:p>
    <w:p w14:paraId="62233F6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2.通用安全标准：</w:t>
      </w:r>
    </w:p>
    <w:p w14:paraId="502346C1">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污染物与真菌毒素：需符合 GB 2762 和 GB 2761 的规定。</w:t>
      </w:r>
    </w:p>
    <w:p w14:paraId="6F0C5E9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微生物限量：致病菌限量需符合 GB 29921 的规定。</w:t>
      </w:r>
    </w:p>
    <w:p w14:paraId="48F7EC6B">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食品添加剂：使用范围和用量需符合 GB 2760 的规定。</w:t>
      </w:r>
    </w:p>
    <w:p w14:paraId="4E3B5D80">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3.采购与供应链规范</w:t>
      </w:r>
    </w:p>
    <w:p w14:paraId="1DD7AA4B">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医院的奶制品采购应遵循公开、透明、可追溯的原则，确保源头安全。</w:t>
      </w:r>
    </w:p>
    <w:p w14:paraId="63F8E397">
      <w:pPr>
        <w:widowControl/>
        <w:spacing w:line="440" w:lineRule="exact"/>
        <w:ind w:firstLine="480" w:firstLineChars="200"/>
        <w:rPr>
          <w:rFonts w:hint="eastAsia" w:ascii="仿宋" w:hAnsi="仿宋" w:eastAsia="仿宋" w:cs="仿宋"/>
          <w:sz w:val="24"/>
          <w:lang w:bidi="ar"/>
        </w:rPr>
      </w:pPr>
      <w:r>
        <w:rPr>
          <w:rFonts w:hint="eastAsia" w:ascii="仿宋" w:hAnsi="仿宋" w:eastAsia="仿宋" w:cs="仿宋"/>
          <w:sz w:val="24"/>
          <w:lang w:bidi="ar"/>
        </w:rPr>
        <w:t>乙方</w:t>
      </w:r>
      <w:r>
        <w:rPr>
          <w:rFonts w:ascii="仿宋" w:hAnsi="仿宋" w:eastAsia="仿宋" w:cs="仿宋"/>
          <w:sz w:val="24"/>
          <w:lang w:bidi="ar"/>
        </w:rPr>
        <w:t>资质：</w:t>
      </w:r>
      <w:r>
        <w:rPr>
          <w:rFonts w:hint="eastAsia" w:ascii="仿宋" w:hAnsi="仿宋" w:eastAsia="仿宋" w:cs="仿宋"/>
          <w:sz w:val="24"/>
          <w:lang w:bidi="ar"/>
        </w:rPr>
        <w:t>乙方</w:t>
      </w:r>
      <w:r>
        <w:rPr>
          <w:rFonts w:ascii="仿宋" w:hAnsi="仿宋" w:eastAsia="仿宋" w:cs="仿宋"/>
          <w:sz w:val="24"/>
          <w:lang w:bidi="ar"/>
        </w:rPr>
        <w:t>必须具备合法的经营资质，并能提供完整的产品合格证明、生产许可证（SC编码）和每批次产品的检验报告。</w:t>
      </w:r>
    </w:p>
    <w:p w14:paraId="28A813B7">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索证索票：严格执行《餐饮服务食品采购索证索票管理规定》，建立采购台账，确保所有奶制品来源清晰、可追溯。</w:t>
      </w:r>
    </w:p>
    <w:p w14:paraId="12984CA0">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4.临床使用与管理要求</w:t>
      </w:r>
    </w:p>
    <w:p w14:paraId="4CD4EBF3">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医院环境下的奶制品管理，需特别关注临床应用的规范性和安全性。</w:t>
      </w:r>
    </w:p>
    <w:p w14:paraId="6886DDA1">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特殊医学用途配方食品的规范使用：对于确需使用特医食品的患儿，应在医生或临床营养师指导下，根据具体病情选择相应的配方（如乳蛋白深度水解配方、氨基酸配方等）。</w:t>
      </w:r>
    </w:p>
    <w:p w14:paraId="10EA05A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5.专业储存管理</w:t>
      </w:r>
    </w:p>
    <w:p w14:paraId="31F0C5D0">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冷链产品：巴氏杀菌乳、发酵乳等需冷藏的奶制品，必须全程冷链运输和储存，入库后应立即放入冰箱冷藏（通常为2-6℃）。</w:t>
      </w:r>
    </w:p>
    <w:p w14:paraId="66EE3E4D">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常温产品：灭菌乳、乳粉等可常温保存，但应存放于阴凉、干燥、通风良好的库房中，避免阳光直射和高温。</w:t>
      </w:r>
    </w:p>
    <w:p w14:paraId="7C294DE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6.关键安全风险控制</w:t>
      </w:r>
    </w:p>
    <w:p w14:paraId="192EB2C9">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针对奶制品易出现的风险点，</w:t>
      </w:r>
      <w:r>
        <w:rPr>
          <w:rFonts w:hint="eastAsia" w:ascii="仿宋" w:hAnsi="仿宋" w:eastAsia="仿宋" w:cs="仿宋"/>
          <w:sz w:val="24"/>
          <w:lang w:bidi="ar"/>
        </w:rPr>
        <w:t>乙方</w:t>
      </w:r>
      <w:r>
        <w:rPr>
          <w:rFonts w:ascii="仿宋" w:hAnsi="仿宋" w:eastAsia="仿宋" w:cs="仿宋"/>
          <w:sz w:val="24"/>
          <w:lang w:bidi="ar"/>
        </w:rPr>
        <w:t>应建立专项控制措施。</w:t>
      </w:r>
    </w:p>
    <w:tbl>
      <w:tblPr>
        <w:tblStyle w:val="12"/>
        <w:tblW w:w="5023" w:type="pct"/>
        <w:tblInd w:w="0" w:type="dxa"/>
        <w:tblLayout w:type="autofit"/>
        <w:tblCellMar>
          <w:top w:w="0" w:type="dxa"/>
          <w:left w:w="108" w:type="dxa"/>
          <w:bottom w:w="0" w:type="dxa"/>
          <w:right w:w="108" w:type="dxa"/>
        </w:tblCellMar>
      </w:tblPr>
      <w:tblGrid>
        <w:gridCol w:w="1461"/>
        <w:gridCol w:w="2752"/>
        <w:gridCol w:w="4348"/>
      </w:tblGrid>
      <w:tr w14:paraId="3BEB0486">
        <w:tblPrEx>
          <w:tblCellMar>
            <w:top w:w="0" w:type="dxa"/>
            <w:left w:w="108" w:type="dxa"/>
            <w:bottom w:w="0" w:type="dxa"/>
            <w:right w:w="108" w:type="dxa"/>
          </w:tblCellMar>
        </w:tblPrEx>
        <w:trPr>
          <w:trHeight w:val="477" w:hRule="atLeast"/>
        </w:trPr>
        <w:tc>
          <w:tcPr>
            <w:tcW w:w="853" w:type="pct"/>
            <w:tcBorders>
              <w:top w:val="single" w:color="000000" w:sz="8" w:space="0"/>
              <w:left w:val="single" w:color="000000" w:sz="8" w:space="0"/>
              <w:bottom w:val="single" w:color="000000" w:sz="8" w:space="0"/>
              <w:right w:val="single" w:color="000000" w:sz="8" w:space="0"/>
            </w:tcBorders>
            <w:vAlign w:val="center"/>
          </w:tcPr>
          <w:p w14:paraId="58B1D9E8">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风险类别</w:t>
            </w:r>
          </w:p>
        </w:tc>
        <w:tc>
          <w:tcPr>
            <w:tcW w:w="1607" w:type="pct"/>
            <w:tcBorders>
              <w:top w:val="single" w:color="000000" w:sz="8" w:space="0"/>
              <w:left w:val="single" w:color="000000" w:sz="8" w:space="0"/>
              <w:bottom w:val="single" w:color="000000" w:sz="8" w:space="0"/>
              <w:right w:val="single" w:color="000000" w:sz="8" w:space="0"/>
            </w:tcBorders>
            <w:vAlign w:val="center"/>
          </w:tcPr>
          <w:p w14:paraId="5158225A">
            <w:pPr>
              <w:widowControl/>
              <w:ind w:firstLine="482" w:firstLineChars="200"/>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具体表现</w:t>
            </w:r>
          </w:p>
        </w:tc>
        <w:tc>
          <w:tcPr>
            <w:tcW w:w="2538" w:type="pct"/>
            <w:tcBorders>
              <w:top w:val="single" w:color="000000" w:sz="8" w:space="0"/>
              <w:left w:val="single" w:color="000000" w:sz="8" w:space="0"/>
              <w:bottom w:val="single" w:color="000000" w:sz="8" w:space="0"/>
              <w:right w:val="single" w:color="000000" w:sz="8" w:space="0"/>
            </w:tcBorders>
            <w:vAlign w:val="center"/>
          </w:tcPr>
          <w:p w14:paraId="19798737">
            <w:pPr>
              <w:widowControl/>
              <w:ind w:firstLine="482" w:firstLineChars="200"/>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控制措施</w:t>
            </w:r>
          </w:p>
        </w:tc>
      </w:tr>
      <w:tr w14:paraId="5ACAF552">
        <w:tblPrEx>
          <w:tblCellMar>
            <w:top w:w="0" w:type="dxa"/>
            <w:left w:w="108" w:type="dxa"/>
            <w:bottom w:w="0" w:type="dxa"/>
            <w:right w:w="108" w:type="dxa"/>
          </w:tblCellMar>
        </w:tblPrEx>
        <w:trPr>
          <w:trHeight w:val="1341" w:hRule="atLeast"/>
        </w:trPr>
        <w:tc>
          <w:tcPr>
            <w:tcW w:w="853" w:type="pct"/>
            <w:tcBorders>
              <w:top w:val="single" w:color="000000" w:sz="8" w:space="0"/>
              <w:left w:val="single" w:color="000000" w:sz="8" w:space="0"/>
              <w:bottom w:val="single" w:color="000000" w:sz="8" w:space="0"/>
              <w:right w:val="single" w:color="000000" w:sz="8" w:space="0"/>
            </w:tcBorders>
            <w:vAlign w:val="center"/>
          </w:tcPr>
          <w:p w14:paraId="505C0C5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微生物污染</w:t>
            </w:r>
          </w:p>
        </w:tc>
        <w:tc>
          <w:tcPr>
            <w:tcW w:w="1607" w:type="pct"/>
            <w:tcBorders>
              <w:top w:val="single" w:color="000000" w:sz="8" w:space="0"/>
              <w:left w:val="single" w:color="000000" w:sz="8" w:space="0"/>
              <w:bottom w:val="single" w:color="000000" w:sz="8" w:space="0"/>
              <w:right w:val="single" w:color="000000" w:sz="8" w:space="0"/>
            </w:tcBorders>
            <w:vAlign w:val="center"/>
          </w:tcPr>
          <w:p w14:paraId="32857AA4">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菌落总数、大肠菌群超标，可能导致腹泻等食源性疾病。</w:t>
            </w:r>
          </w:p>
        </w:tc>
        <w:tc>
          <w:tcPr>
            <w:tcW w:w="2538" w:type="pct"/>
            <w:tcBorders>
              <w:top w:val="single" w:color="000000" w:sz="8" w:space="0"/>
              <w:left w:val="single" w:color="000000" w:sz="8" w:space="0"/>
              <w:bottom w:val="single" w:color="000000" w:sz="8" w:space="0"/>
              <w:right w:val="single" w:color="000000" w:sz="8" w:space="0"/>
            </w:tcBorders>
            <w:vAlign w:val="center"/>
          </w:tcPr>
          <w:p w14:paraId="0D58A969">
            <w:pPr>
              <w:widowControl/>
              <w:ind w:firstLine="480" w:firstLineChars="200"/>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严格验收冷链产品的温度，检查包装是否完整，杜绝胀袋、破损产品入库。</w:t>
            </w:r>
          </w:p>
        </w:tc>
      </w:tr>
      <w:tr w14:paraId="65EFE478">
        <w:tblPrEx>
          <w:tblCellMar>
            <w:top w:w="0" w:type="dxa"/>
            <w:left w:w="108" w:type="dxa"/>
            <w:bottom w:w="0" w:type="dxa"/>
            <w:right w:w="108" w:type="dxa"/>
          </w:tblCellMar>
        </w:tblPrEx>
        <w:trPr>
          <w:trHeight w:val="1241" w:hRule="atLeast"/>
        </w:trPr>
        <w:tc>
          <w:tcPr>
            <w:tcW w:w="853" w:type="pct"/>
            <w:tcBorders>
              <w:top w:val="single" w:color="000000" w:sz="8" w:space="0"/>
              <w:left w:val="single" w:color="000000" w:sz="8" w:space="0"/>
              <w:bottom w:val="single" w:color="000000" w:sz="8" w:space="0"/>
              <w:right w:val="single" w:color="000000" w:sz="8" w:space="0"/>
            </w:tcBorders>
            <w:vAlign w:val="center"/>
          </w:tcPr>
          <w:p w14:paraId="576815C7">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掺杂掺假</w:t>
            </w:r>
          </w:p>
        </w:tc>
        <w:tc>
          <w:tcPr>
            <w:tcW w:w="1607" w:type="pct"/>
            <w:tcBorders>
              <w:top w:val="single" w:color="000000" w:sz="8" w:space="0"/>
              <w:left w:val="single" w:color="000000" w:sz="8" w:space="0"/>
              <w:bottom w:val="single" w:color="000000" w:sz="8" w:space="0"/>
              <w:right w:val="single" w:color="000000" w:sz="8" w:space="0"/>
            </w:tcBorders>
            <w:vAlign w:val="center"/>
          </w:tcPr>
          <w:p w14:paraId="02B54160">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用廉价动物奶（如部分水牛奶）冒充牛奶，或非法添加物。</w:t>
            </w:r>
          </w:p>
        </w:tc>
        <w:tc>
          <w:tcPr>
            <w:tcW w:w="2538" w:type="pct"/>
            <w:tcBorders>
              <w:top w:val="single" w:color="000000" w:sz="8" w:space="0"/>
              <w:left w:val="single" w:color="000000" w:sz="8" w:space="0"/>
              <w:bottom w:val="single" w:color="000000" w:sz="8" w:space="0"/>
              <w:right w:val="single" w:color="000000" w:sz="8" w:space="0"/>
            </w:tcBorders>
            <w:vAlign w:val="center"/>
          </w:tcPr>
          <w:p w14:paraId="6FFE71DF">
            <w:pPr>
              <w:widowControl/>
              <w:ind w:firstLine="480" w:firstLineChars="200"/>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核对产品标签、配料表和执行标准，优先选择信誉良好的大品牌，必要时可抽样送检。</w:t>
            </w:r>
          </w:p>
        </w:tc>
      </w:tr>
      <w:tr w14:paraId="058A758B">
        <w:tblPrEx>
          <w:tblCellMar>
            <w:top w:w="0" w:type="dxa"/>
            <w:left w:w="108" w:type="dxa"/>
            <w:bottom w:w="0" w:type="dxa"/>
            <w:right w:w="108" w:type="dxa"/>
          </w:tblCellMar>
        </w:tblPrEx>
        <w:trPr>
          <w:trHeight w:val="1383" w:hRule="atLeast"/>
        </w:trPr>
        <w:tc>
          <w:tcPr>
            <w:tcW w:w="853" w:type="pct"/>
            <w:tcBorders>
              <w:top w:val="single" w:color="000000" w:sz="8" w:space="0"/>
              <w:left w:val="single" w:color="000000" w:sz="8" w:space="0"/>
              <w:bottom w:val="single" w:color="000000" w:sz="8" w:space="0"/>
              <w:right w:val="single" w:color="000000" w:sz="8" w:space="0"/>
            </w:tcBorders>
            <w:vAlign w:val="center"/>
          </w:tcPr>
          <w:p w14:paraId="2AA857E0">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品质劣变</w:t>
            </w:r>
          </w:p>
        </w:tc>
        <w:tc>
          <w:tcPr>
            <w:tcW w:w="1607" w:type="pct"/>
            <w:tcBorders>
              <w:top w:val="single" w:color="000000" w:sz="8" w:space="0"/>
              <w:left w:val="single" w:color="000000" w:sz="8" w:space="0"/>
              <w:bottom w:val="single" w:color="000000" w:sz="8" w:space="0"/>
              <w:right w:val="single" w:color="000000" w:sz="8" w:space="0"/>
            </w:tcBorders>
            <w:vAlign w:val="center"/>
          </w:tcPr>
          <w:p w14:paraId="0E339CB6">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脂肪氧化导致酸败、结块、异味，营养价值降低。</w:t>
            </w:r>
          </w:p>
        </w:tc>
        <w:tc>
          <w:tcPr>
            <w:tcW w:w="2538" w:type="pct"/>
            <w:tcBorders>
              <w:top w:val="single" w:color="000000" w:sz="8" w:space="0"/>
              <w:left w:val="single" w:color="000000" w:sz="8" w:space="0"/>
              <w:bottom w:val="single" w:color="000000" w:sz="8" w:space="0"/>
              <w:right w:val="single" w:color="000000" w:sz="8" w:space="0"/>
            </w:tcBorders>
            <w:vAlign w:val="center"/>
          </w:tcPr>
          <w:p w14:paraId="38E72BFC">
            <w:pPr>
              <w:widowControl/>
              <w:ind w:firstLine="480" w:firstLineChars="200"/>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遵循“先进先出”原则，定期检查库存产品，开封后尽快使用完毕。</w:t>
            </w:r>
          </w:p>
        </w:tc>
      </w:tr>
      <w:tr w14:paraId="529BF80D">
        <w:tblPrEx>
          <w:tblCellMar>
            <w:top w:w="0" w:type="dxa"/>
            <w:left w:w="108" w:type="dxa"/>
            <w:bottom w:w="0" w:type="dxa"/>
            <w:right w:w="108" w:type="dxa"/>
          </w:tblCellMar>
        </w:tblPrEx>
        <w:trPr>
          <w:trHeight w:val="1226" w:hRule="atLeast"/>
        </w:trPr>
        <w:tc>
          <w:tcPr>
            <w:tcW w:w="853" w:type="pct"/>
            <w:tcBorders>
              <w:top w:val="single" w:color="000000" w:sz="8" w:space="0"/>
              <w:left w:val="single" w:color="000000" w:sz="8" w:space="0"/>
              <w:bottom w:val="single" w:color="000000" w:sz="8" w:space="0"/>
              <w:right w:val="single" w:color="000000" w:sz="8" w:space="0"/>
            </w:tcBorders>
            <w:vAlign w:val="center"/>
          </w:tcPr>
          <w:p w14:paraId="0B64BC57">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标签误导</w:t>
            </w:r>
          </w:p>
        </w:tc>
        <w:tc>
          <w:tcPr>
            <w:tcW w:w="1607" w:type="pct"/>
            <w:tcBorders>
              <w:top w:val="single" w:color="000000" w:sz="8" w:space="0"/>
              <w:left w:val="single" w:color="000000" w:sz="8" w:space="0"/>
              <w:bottom w:val="single" w:color="000000" w:sz="8" w:space="0"/>
              <w:right w:val="single" w:color="000000" w:sz="8" w:space="0"/>
            </w:tcBorders>
            <w:vAlign w:val="center"/>
          </w:tcPr>
          <w:p w14:paraId="312C396D">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将“含乳饮料”（执行标准GB/T 21732）误认为“液体乳”。</w:t>
            </w:r>
          </w:p>
        </w:tc>
        <w:tc>
          <w:tcPr>
            <w:tcW w:w="2538" w:type="pct"/>
            <w:tcBorders>
              <w:top w:val="single" w:color="000000" w:sz="8" w:space="0"/>
              <w:left w:val="single" w:color="000000" w:sz="8" w:space="0"/>
              <w:bottom w:val="single" w:color="000000" w:sz="8" w:space="0"/>
              <w:right w:val="single" w:color="000000" w:sz="8" w:space="0"/>
            </w:tcBorders>
            <w:vAlign w:val="center"/>
          </w:tcPr>
          <w:p w14:paraId="3DAF22D7">
            <w:pPr>
              <w:widowControl/>
              <w:ind w:firstLine="480" w:firstLineChars="200"/>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培训采购和营养科人员，学会通过产品名称、配料表（生牛乳应排在第一位）和蛋白质含量（液体乳通常≥2.3g/100g）来区分。</w:t>
            </w:r>
          </w:p>
        </w:tc>
      </w:tr>
    </w:tbl>
    <w:p w14:paraId="2FEE8989">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7.感官与标签验收标准</w:t>
      </w:r>
    </w:p>
    <w:p w14:paraId="3DBE881D">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在日常验收中，可通过感官和标签检查进行快速筛查。</w:t>
      </w:r>
    </w:p>
    <w:p w14:paraId="60EF410F">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（1）标签检查：</w:t>
      </w:r>
    </w:p>
    <w:p w14:paraId="6D04F948">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完整性：必须有食品名称、配料表、生产日期、保质期、生产者信息、SC编号等。</w:t>
      </w:r>
    </w:p>
    <w:p w14:paraId="69E0C5F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真实性：产品名称应反映真实属性，如“全脂乳粉”、“调制羊乳粉”。</w:t>
      </w:r>
    </w:p>
    <w:p w14:paraId="63E5B286">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合规性：进口产品必须有中文标签。</w:t>
      </w:r>
    </w:p>
    <w:p w14:paraId="46CC1875">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（2）感官检查：</w:t>
      </w:r>
    </w:p>
    <w:p w14:paraId="5414734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液体乳/发酵乳：包装无破损、无泄漏、无胀气。色泽均匀，呈乳白色或乳黄色。组织状态均匀，无凝块、无絮状沉淀。气味正常，无酸败味、霉味或其他异味。</w:t>
      </w:r>
    </w:p>
    <w:p w14:paraId="56BBC34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乳粉：包装完好。粉质干燥、细腻、色泽均匀。冲调后无结块，气味和滋味正常。</w:t>
      </w:r>
    </w:p>
    <w:p w14:paraId="360DE95C">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（六）熟食类</w:t>
      </w:r>
    </w:p>
    <w:p w14:paraId="12BBFBD6">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供应产品的质量要求：所提供的产品应保持较好的外观和质量等级，符合国家食品安全标准，不能检测出有毒有害的、违反《中华人民共和国食品安全法》规定的化学制剂/添加剂，原料保证来源于正规肉联厂/地方政府相关部门监管的供应场。</w:t>
      </w:r>
    </w:p>
    <w:p w14:paraId="45CC8338">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2.具体感官要求：从肉眼看，符合熟食本身应有的颜色和外观；从嗅觉闻，符合熟食本身特有的肉脂香味和烧腊本身的香料味。</w:t>
      </w:r>
    </w:p>
    <w:p w14:paraId="06569F3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3.食品供应链要求：所有食品的来源应清晰，提供熟食</w:t>
      </w:r>
      <w:r>
        <w:rPr>
          <w:rFonts w:hint="eastAsia" w:ascii="仿宋" w:hAnsi="仿宋" w:eastAsia="仿宋" w:cs="仿宋"/>
          <w:sz w:val="24"/>
          <w:lang w:bidi="ar"/>
        </w:rPr>
        <w:t>乙方</w:t>
      </w:r>
      <w:r>
        <w:rPr>
          <w:rFonts w:ascii="仿宋" w:hAnsi="仿宋" w:eastAsia="仿宋" w:cs="仿宋"/>
          <w:sz w:val="24"/>
          <w:lang w:bidi="ar"/>
        </w:rPr>
        <w:t>的营业执照和《食品经营许可证》复印件并加盖公章。</w:t>
      </w:r>
    </w:p>
    <w:p w14:paraId="62B19E61">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（七）</w:t>
      </w:r>
      <w:r>
        <w:rPr>
          <w:rFonts w:hint="eastAsia" w:ascii="仿宋" w:hAnsi="仿宋" w:eastAsia="仿宋" w:cs="仿宋"/>
          <w:sz w:val="24"/>
          <w:lang w:bidi="ar"/>
        </w:rPr>
        <w:t>乙方</w:t>
      </w:r>
      <w:r>
        <w:rPr>
          <w:rFonts w:ascii="仿宋" w:hAnsi="仿宋" w:eastAsia="仿宋" w:cs="仿宋"/>
          <w:sz w:val="24"/>
          <w:lang w:bidi="ar"/>
        </w:rPr>
        <w:t>提供货物时应符合下列的《生产（供应）企业资质证明》</w:t>
      </w:r>
    </w:p>
    <w:p w14:paraId="6D5AF529">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w:t>
      </w:r>
      <w:r>
        <w:rPr>
          <w:rFonts w:hint="eastAsia" w:ascii="仿宋" w:hAnsi="仿宋" w:eastAsia="仿宋" w:cs="仿宋"/>
          <w:sz w:val="24"/>
          <w:lang w:bidi="ar"/>
        </w:rPr>
        <w:t>乙方</w:t>
      </w:r>
      <w:r>
        <w:rPr>
          <w:rFonts w:ascii="仿宋" w:hAnsi="仿宋" w:eastAsia="仿宋" w:cs="仿宋"/>
          <w:sz w:val="24"/>
          <w:lang w:bidi="ar"/>
        </w:rPr>
        <w:t>准入资质（首次签约/供货时提供）</w:t>
      </w:r>
    </w:p>
    <w:p w14:paraId="0CF52753">
      <w:pPr>
        <w:widowControl/>
        <w:spacing w:line="440" w:lineRule="exact"/>
        <w:ind w:firstLine="480" w:firstLineChars="200"/>
        <w:rPr>
          <w:rFonts w:hint="eastAsia" w:ascii="仿宋" w:hAnsi="仿宋" w:eastAsia="仿宋" w:cs="仿宋"/>
          <w:sz w:val="24"/>
          <w:lang w:bidi="ar"/>
        </w:rPr>
      </w:pPr>
      <w:r>
        <w:rPr>
          <w:rFonts w:hint="eastAsia" w:ascii="仿宋" w:hAnsi="仿宋" w:eastAsia="仿宋" w:cs="仿宋"/>
          <w:sz w:val="24"/>
          <w:lang w:bidi="ar"/>
        </w:rPr>
        <w:t>乙方</w:t>
      </w:r>
      <w:r>
        <w:rPr>
          <w:rFonts w:ascii="仿宋" w:hAnsi="仿宋" w:eastAsia="仿宋" w:cs="仿宋"/>
          <w:sz w:val="24"/>
          <w:lang w:bidi="ar"/>
        </w:rPr>
        <w:t>必须提供以下基础资质，且必须在有效期内：</w:t>
      </w:r>
    </w:p>
    <w:tbl>
      <w:tblPr>
        <w:tblStyle w:val="12"/>
        <w:tblW w:w="0" w:type="auto"/>
        <w:tblCellSpacing w:w="15" w:type="dxa"/>
        <w:tblInd w:w="50" w:type="dxa"/>
        <w:tblLayout w:type="autofit"/>
        <w:tblCellMar>
          <w:top w:w="0" w:type="dxa"/>
          <w:left w:w="108" w:type="dxa"/>
          <w:bottom w:w="0" w:type="dxa"/>
          <w:right w:w="108" w:type="dxa"/>
        </w:tblCellMar>
      </w:tblPr>
      <w:tblGrid>
        <w:gridCol w:w="1409"/>
        <w:gridCol w:w="7163"/>
      </w:tblGrid>
      <w:tr w14:paraId="10FEA0BC">
        <w:tblPrEx>
          <w:tblCellMar>
            <w:top w:w="0" w:type="dxa"/>
            <w:left w:w="108" w:type="dxa"/>
            <w:bottom w:w="0" w:type="dxa"/>
            <w:right w:w="108" w:type="dxa"/>
          </w:tblCellMar>
        </w:tblPrEx>
        <w:trPr>
          <w:trHeight w:val="300" w:hRule="atLeast"/>
          <w:tblCellSpacing w:w="15" w:type="dxa"/>
        </w:trPr>
        <w:tc>
          <w:tcPr>
            <w:tcW w:w="804" w:type="pct"/>
            <w:tcBorders>
              <w:top w:val="single" w:color="000000" w:sz="8" w:space="0"/>
              <w:left w:val="single" w:color="000000" w:sz="8" w:space="0"/>
              <w:bottom w:val="single" w:color="000000" w:sz="8" w:space="0"/>
              <w:right w:val="single" w:color="000000" w:sz="8" w:space="0"/>
            </w:tcBorders>
            <w:vAlign w:val="center"/>
          </w:tcPr>
          <w:p w14:paraId="673503A6">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供应类别</w:t>
            </w:r>
          </w:p>
        </w:tc>
        <w:tc>
          <w:tcPr>
            <w:tcW w:w="4195" w:type="pct"/>
            <w:tcBorders>
              <w:top w:val="single" w:color="000000" w:sz="8" w:space="0"/>
              <w:left w:val="single" w:color="000000" w:sz="8" w:space="0"/>
              <w:bottom w:val="single" w:color="000000" w:sz="8" w:space="0"/>
              <w:right w:val="single" w:color="000000" w:sz="8" w:space="0"/>
            </w:tcBorders>
            <w:vAlign w:val="center"/>
          </w:tcPr>
          <w:p w14:paraId="3AD8307E">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必须具备的资质证明</w:t>
            </w:r>
          </w:p>
        </w:tc>
      </w:tr>
      <w:tr w14:paraId="5C13C7A0">
        <w:tblPrEx>
          <w:tblCellMar>
            <w:top w:w="0" w:type="dxa"/>
            <w:left w:w="108" w:type="dxa"/>
            <w:bottom w:w="0" w:type="dxa"/>
            <w:right w:w="108" w:type="dxa"/>
          </w:tblCellMar>
        </w:tblPrEx>
        <w:trPr>
          <w:trHeight w:val="600" w:hRule="atLeast"/>
          <w:tblCellSpacing w:w="15" w:type="dxa"/>
        </w:trPr>
        <w:tc>
          <w:tcPr>
            <w:tcW w:w="804" w:type="pct"/>
            <w:vMerge w:val="restart"/>
            <w:tcBorders>
              <w:top w:val="single" w:color="000000" w:sz="8" w:space="0"/>
              <w:left w:val="single" w:color="000000" w:sz="8" w:space="0"/>
              <w:bottom w:val="single" w:color="000000" w:sz="8" w:space="0"/>
              <w:right w:val="single" w:color="000000" w:sz="8" w:space="0"/>
            </w:tcBorders>
            <w:vAlign w:val="center"/>
          </w:tcPr>
          <w:p w14:paraId="06C1D2CC">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通用要求</w:t>
            </w:r>
          </w:p>
        </w:tc>
        <w:tc>
          <w:tcPr>
            <w:tcW w:w="4195" w:type="pct"/>
            <w:tcBorders>
              <w:top w:val="single" w:color="000000" w:sz="8" w:space="0"/>
              <w:left w:val="single" w:color="000000" w:sz="8" w:space="0"/>
              <w:bottom w:val="nil"/>
              <w:right w:val="single" w:color="000000" w:sz="8" w:space="0"/>
            </w:tcBorders>
            <w:vAlign w:val="center"/>
          </w:tcPr>
          <w:p w14:paraId="0BFFFDFC">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 《营业执照》（经营范围含相关品类）</w:t>
            </w:r>
          </w:p>
        </w:tc>
      </w:tr>
      <w:tr w14:paraId="62937A6C">
        <w:tblPrEx>
          <w:tblCellMar>
            <w:top w:w="0" w:type="dxa"/>
            <w:left w:w="108" w:type="dxa"/>
            <w:bottom w:w="0" w:type="dxa"/>
            <w:right w:w="108" w:type="dxa"/>
          </w:tblCellMar>
        </w:tblPrEx>
        <w:trPr>
          <w:trHeight w:val="1155" w:hRule="atLeast"/>
          <w:tblCellSpacing w:w="15" w:type="dxa"/>
        </w:trPr>
        <w:tc>
          <w:tcPr>
            <w:tcW w:w="804" w:type="pct"/>
            <w:vMerge w:val="continue"/>
            <w:tcBorders>
              <w:top w:val="single" w:color="000000" w:sz="8" w:space="0"/>
              <w:left w:val="single" w:color="000000" w:sz="8" w:space="0"/>
              <w:bottom w:val="single" w:color="000000" w:sz="8" w:space="0"/>
              <w:right w:val="single" w:color="000000" w:sz="8" w:space="0"/>
            </w:tcBorders>
            <w:vAlign w:val="center"/>
          </w:tcPr>
          <w:p w14:paraId="4A9F9C82">
            <w:pPr>
              <w:jc w:val="center"/>
              <w:rPr>
                <w:rFonts w:hint="eastAsia" w:ascii="仿宋" w:hAnsi="仿宋" w:eastAsia="仿宋" w:cs="仿宋"/>
                <w:b/>
                <w:bCs/>
                <w:color w:val="000000"/>
                <w:sz w:val="24"/>
              </w:rPr>
            </w:pPr>
          </w:p>
        </w:tc>
        <w:tc>
          <w:tcPr>
            <w:tcW w:w="4195" w:type="pct"/>
            <w:tcBorders>
              <w:top w:val="nil"/>
              <w:left w:val="single" w:color="000000" w:sz="8" w:space="0"/>
              <w:bottom w:val="single" w:color="000000" w:sz="8" w:space="0"/>
              <w:right w:val="single" w:color="000000" w:sz="8" w:space="0"/>
            </w:tcBorders>
            <w:vAlign w:val="center"/>
          </w:tcPr>
          <w:p w14:paraId="6898C78C">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 《食品经营许可证》或《食品生产许可证》（或仅销售预包装食品备案证明）</w:t>
            </w:r>
          </w:p>
        </w:tc>
      </w:tr>
      <w:tr w14:paraId="6DD2F38F">
        <w:tblPrEx>
          <w:tblCellMar>
            <w:top w:w="0" w:type="dxa"/>
            <w:left w:w="108" w:type="dxa"/>
            <w:bottom w:w="0" w:type="dxa"/>
            <w:right w:w="108" w:type="dxa"/>
          </w:tblCellMar>
        </w:tblPrEx>
        <w:trPr>
          <w:trHeight w:val="1440" w:hRule="atLeast"/>
          <w:tblCellSpacing w:w="15" w:type="dxa"/>
        </w:trPr>
        <w:tc>
          <w:tcPr>
            <w:tcW w:w="804" w:type="pct"/>
            <w:tcBorders>
              <w:top w:val="single" w:color="000000" w:sz="8" w:space="0"/>
              <w:left w:val="single" w:color="000000" w:sz="8" w:space="0"/>
              <w:bottom w:val="single" w:color="000000" w:sz="8" w:space="0"/>
              <w:right w:val="single" w:color="000000" w:sz="8" w:space="0"/>
            </w:tcBorders>
            <w:vAlign w:val="center"/>
          </w:tcPr>
          <w:p w14:paraId="7A37C5F6">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特殊补充</w:t>
            </w:r>
          </w:p>
        </w:tc>
        <w:tc>
          <w:tcPr>
            <w:tcW w:w="4195" w:type="pct"/>
            <w:tcBorders>
              <w:top w:val="single" w:color="000000" w:sz="8" w:space="0"/>
              <w:left w:val="single" w:color="000000" w:sz="8" w:space="0"/>
              <w:bottom w:val="single" w:color="000000" w:sz="8" w:space="0"/>
              <w:right w:val="single" w:color="000000" w:sz="8" w:space="0"/>
            </w:tcBorders>
            <w:vAlign w:val="center"/>
          </w:tcPr>
          <w:p w14:paraId="3666B9BF">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畜禽/肉类乙方</w:t>
            </w:r>
            <w:r>
              <w:rPr>
                <w:rFonts w:hint="eastAsia" w:ascii="仿宋" w:hAnsi="仿宋" w:eastAsia="仿宋" w:cs="仿宋"/>
                <w:color w:val="000000"/>
                <w:kern w:val="0"/>
                <w:sz w:val="24"/>
                <w:lang w:bidi="ar"/>
              </w:rPr>
              <w:t>：若为屠宰场直供，需提供《动物防疫条件合格证》；若为贸易商，需确保上游来源具备此证。</w:t>
            </w:r>
          </w:p>
        </w:tc>
      </w:tr>
    </w:tbl>
    <w:p w14:paraId="309725B3">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w:t>
      </w:r>
      <w:r>
        <w:rPr>
          <w:rFonts w:hint="eastAsia" w:ascii="仿宋" w:hAnsi="仿宋" w:eastAsia="仿宋" w:cs="仿宋"/>
          <w:sz w:val="24"/>
          <w:lang w:bidi="ar"/>
        </w:rPr>
        <w:t>票证要求</w:t>
      </w:r>
    </w:p>
    <w:tbl>
      <w:tblPr>
        <w:tblStyle w:val="12"/>
        <w:tblW w:w="4996" w:type="pct"/>
        <w:tblInd w:w="0" w:type="dxa"/>
        <w:tblLayout w:type="autofit"/>
        <w:tblCellMar>
          <w:top w:w="0" w:type="dxa"/>
          <w:left w:w="108" w:type="dxa"/>
          <w:bottom w:w="0" w:type="dxa"/>
          <w:right w:w="108" w:type="dxa"/>
        </w:tblCellMar>
      </w:tblPr>
      <w:tblGrid>
        <w:gridCol w:w="2405"/>
        <w:gridCol w:w="3076"/>
        <w:gridCol w:w="3034"/>
      </w:tblGrid>
      <w:tr w14:paraId="7DBBFC7F">
        <w:tblPrEx>
          <w:tblCellMar>
            <w:top w:w="0" w:type="dxa"/>
            <w:left w:w="108" w:type="dxa"/>
            <w:bottom w:w="0" w:type="dxa"/>
            <w:right w:w="108" w:type="dxa"/>
          </w:tblCellMar>
        </w:tblPrEx>
        <w:trPr>
          <w:trHeight w:val="584" w:hRule="atLeast"/>
          <w:tblHeader/>
        </w:trPr>
        <w:tc>
          <w:tcPr>
            <w:tcW w:w="1412" w:type="pct"/>
            <w:tcBorders>
              <w:top w:val="single" w:color="000000" w:sz="8" w:space="0"/>
              <w:left w:val="single" w:color="000000" w:sz="8" w:space="0"/>
              <w:bottom w:val="single" w:color="000000" w:sz="8" w:space="0"/>
              <w:right w:val="single" w:color="000000" w:sz="8" w:space="0"/>
            </w:tcBorders>
            <w:vAlign w:val="center"/>
          </w:tcPr>
          <w:p w14:paraId="246DEDB4">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货物类别</w:t>
            </w:r>
          </w:p>
        </w:tc>
        <w:tc>
          <w:tcPr>
            <w:tcW w:w="1806" w:type="pct"/>
            <w:tcBorders>
              <w:top w:val="single" w:color="000000" w:sz="8" w:space="0"/>
              <w:left w:val="single" w:color="000000" w:sz="8" w:space="0"/>
              <w:bottom w:val="single" w:color="000000" w:sz="8" w:space="0"/>
              <w:right w:val="single" w:color="000000" w:sz="8" w:space="0"/>
            </w:tcBorders>
            <w:vAlign w:val="center"/>
          </w:tcPr>
          <w:p w14:paraId="0F244373">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核心法定票证</w:t>
            </w:r>
          </w:p>
        </w:tc>
        <w:tc>
          <w:tcPr>
            <w:tcW w:w="1781" w:type="pct"/>
            <w:tcBorders>
              <w:top w:val="single" w:color="000000" w:sz="8" w:space="0"/>
              <w:left w:val="single" w:color="000000" w:sz="8" w:space="0"/>
              <w:bottom w:val="single" w:color="000000" w:sz="8" w:space="0"/>
              <w:right w:val="single" w:color="000000" w:sz="8" w:space="0"/>
            </w:tcBorders>
            <w:vAlign w:val="center"/>
          </w:tcPr>
          <w:p w14:paraId="5DCC1F70">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具体要求</w:t>
            </w:r>
          </w:p>
        </w:tc>
      </w:tr>
      <w:tr w14:paraId="0C8EFFC5">
        <w:tblPrEx>
          <w:tblCellMar>
            <w:top w:w="0" w:type="dxa"/>
            <w:left w:w="108" w:type="dxa"/>
            <w:bottom w:w="0" w:type="dxa"/>
            <w:right w:w="108" w:type="dxa"/>
          </w:tblCellMar>
        </w:tblPrEx>
        <w:trPr>
          <w:trHeight w:val="2506" w:hRule="atLeast"/>
        </w:trPr>
        <w:tc>
          <w:tcPr>
            <w:tcW w:w="1412" w:type="pct"/>
            <w:tcBorders>
              <w:top w:val="single" w:color="000000" w:sz="8" w:space="0"/>
              <w:left w:val="single" w:color="000000" w:sz="8" w:space="0"/>
              <w:bottom w:val="single" w:color="000000" w:sz="8" w:space="0"/>
              <w:right w:val="single" w:color="000000" w:sz="8" w:space="0"/>
            </w:tcBorders>
            <w:vAlign w:val="center"/>
          </w:tcPr>
          <w:p w14:paraId="0CB65DFF">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猪肉类</w:t>
            </w:r>
          </w:p>
        </w:tc>
        <w:tc>
          <w:tcPr>
            <w:tcW w:w="1806" w:type="pct"/>
            <w:tcBorders>
              <w:top w:val="single" w:color="000000" w:sz="8" w:space="0"/>
              <w:left w:val="single" w:color="000000" w:sz="8" w:space="0"/>
              <w:right w:val="single" w:color="000000" w:sz="8" w:space="0"/>
            </w:tcBorders>
            <w:vAlign w:val="center"/>
          </w:tcPr>
          <w:p w14:paraId="40B21142">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 《动物检疫合格证明》（产品B证）</w:t>
            </w:r>
          </w:p>
          <w:p w14:paraId="18EADE73">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 《肉品品质检验合格证》</w:t>
            </w:r>
          </w:p>
        </w:tc>
        <w:tc>
          <w:tcPr>
            <w:tcW w:w="1781" w:type="pct"/>
            <w:tcBorders>
              <w:top w:val="single" w:color="000000" w:sz="8" w:space="0"/>
              <w:left w:val="single" w:color="000000" w:sz="8" w:space="0"/>
              <w:bottom w:val="single" w:color="000000" w:sz="8" w:space="0"/>
              <w:right w:val="single" w:color="000000" w:sz="8" w:space="0"/>
            </w:tcBorders>
            <w:vAlign w:val="center"/>
          </w:tcPr>
          <w:p w14:paraId="3977BDC8">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 检疫证需有官方兽医签字、检疫专用章。</w:t>
            </w:r>
          </w:p>
          <w:p w14:paraId="0D2E8D36">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 广州市内流通需提供 《广州市分割肉销售凭证》 （含经销商、品种、数量等信息）。</w:t>
            </w:r>
          </w:p>
        </w:tc>
      </w:tr>
      <w:tr w14:paraId="51D36307">
        <w:tblPrEx>
          <w:tblCellMar>
            <w:top w:w="0" w:type="dxa"/>
            <w:left w:w="108" w:type="dxa"/>
            <w:bottom w:w="0" w:type="dxa"/>
            <w:right w:w="108" w:type="dxa"/>
          </w:tblCellMar>
        </w:tblPrEx>
        <w:trPr>
          <w:trHeight w:val="2025" w:hRule="atLeast"/>
        </w:trPr>
        <w:tc>
          <w:tcPr>
            <w:tcW w:w="1412" w:type="pct"/>
            <w:tcBorders>
              <w:top w:val="single" w:color="000000" w:sz="8" w:space="0"/>
              <w:left w:val="single" w:color="000000" w:sz="8" w:space="0"/>
              <w:right w:val="single" w:color="000000" w:sz="8" w:space="0"/>
            </w:tcBorders>
            <w:vAlign w:val="center"/>
          </w:tcPr>
          <w:p w14:paraId="2C726E3E">
            <w:pPr>
              <w:widowControl/>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牛、羊、禽类</w:t>
            </w:r>
          </w:p>
          <w:p w14:paraId="76B4F381">
            <w:pPr>
              <w:widowControl/>
              <w:jc w:val="center"/>
              <w:textAlignment w:val="center"/>
              <w:rPr>
                <w:rFonts w:hint="eastAsia" w:ascii="仿宋" w:hAnsi="仿宋" w:eastAsia="仿宋" w:cs="仿宋"/>
                <w:i/>
                <w:iCs/>
                <w:color w:val="000000"/>
                <w:sz w:val="24"/>
              </w:rPr>
            </w:pPr>
            <w:r>
              <w:rPr>
                <w:rFonts w:hint="eastAsia" w:ascii="仿宋" w:hAnsi="仿宋" w:eastAsia="仿宋" w:cs="仿宋"/>
                <w:i/>
                <w:iCs/>
                <w:color w:val="000000"/>
                <w:kern w:val="0"/>
                <w:sz w:val="24"/>
                <w:lang w:bidi="ar"/>
              </w:rPr>
              <w:t>(含三鸟)</w:t>
            </w:r>
          </w:p>
        </w:tc>
        <w:tc>
          <w:tcPr>
            <w:tcW w:w="1806" w:type="pct"/>
            <w:tcBorders>
              <w:top w:val="single" w:color="000000" w:sz="8" w:space="0"/>
              <w:left w:val="single" w:color="000000" w:sz="8" w:space="0"/>
              <w:bottom w:val="single" w:color="000000" w:sz="8" w:space="0"/>
              <w:right w:val="single" w:color="000000" w:sz="8" w:space="0"/>
            </w:tcBorders>
            <w:vAlign w:val="center"/>
          </w:tcPr>
          <w:p w14:paraId="29E0E736">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《动物检疫合格证明》</w:t>
            </w:r>
          </w:p>
        </w:tc>
        <w:tc>
          <w:tcPr>
            <w:tcW w:w="1781" w:type="pct"/>
            <w:tcBorders>
              <w:top w:val="single" w:color="000000" w:sz="8" w:space="0"/>
              <w:left w:val="single" w:color="000000" w:sz="8" w:space="0"/>
              <w:bottom w:val="single" w:color="000000" w:sz="8" w:space="0"/>
              <w:right w:val="single" w:color="000000" w:sz="8" w:space="0"/>
            </w:tcBorders>
            <w:vAlign w:val="center"/>
          </w:tcPr>
          <w:p w14:paraId="4928AB4A">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 内容需包含：生产/产地名称、产品名称、数量、目的地。</w:t>
            </w:r>
          </w:p>
          <w:p w14:paraId="08081F69">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 必须有官方兽医签字、加盖检疫专用章。</w:t>
            </w:r>
          </w:p>
          <w:p w14:paraId="3027B9BB">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 跨省调运需提供《出县境动物检疫合格证明》。</w:t>
            </w:r>
          </w:p>
        </w:tc>
      </w:tr>
      <w:tr w14:paraId="704DA68D">
        <w:tblPrEx>
          <w:tblCellMar>
            <w:top w:w="0" w:type="dxa"/>
            <w:left w:w="108" w:type="dxa"/>
            <w:bottom w:w="0" w:type="dxa"/>
            <w:right w:w="108" w:type="dxa"/>
          </w:tblCellMar>
        </w:tblPrEx>
        <w:trPr>
          <w:trHeight w:val="1140" w:hRule="atLeast"/>
        </w:trPr>
        <w:tc>
          <w:tcPr>
            <w:tcW w:w="1412" w:type="pct"/>
            <w:tcBorders>
              <w:top w:val="single" w:color="000000" w:sz="8" w:space="0"/>
              <w:left w:val="single" w:color="000000" w:sz="8" w:space="0"/>
              <w:right w:val="single" w:color="000000" w:sz="8" w:space="0"/>
            </w:tcBorders>
            <w:vAlign w:val="center"/>
          </w:tcPr>
          <w:p w14:paraId="4E6973E4">
            <w:pPr>
              <w:widowControl/>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肉制品</w:t>
            </w:r>
          </w:p>
          <w:p w14:paraId="18FBE184">
            <w:pPr>
              <w:widowControl/>
              <w:jc w:val="center"/>
              <w:textAlignment w:val="center"/>
              <w:rPr>
                <w:rFonts w:hint="eastAsia" w:ascii="仿宋" w:hAnsi="仿宋" w:eastAsia="仿宋" w:cs="仿宋"/>
                <w:i/>
                <w:iCs/>
                <w:color w:val="000000"/>
                <w:sz w:val="24"/>
              </w:rPr>
            </w:pPr>
            <w:r>
              <w:rPr>
                <w:rFonts w:hint="eastAsia" w:ascii="仿宋" w:hAnsi="仿宋" w:eastAsia="仿宋" w:cs="仿宋"/>
                <w:i/>
                <w:iCs/>
                <w:color w:val="000000"/>
                <w:kern w:val="0"/>
                <w:sz w:val="24"/>
                <w:lang w:bidi="ar"/>
              </w:rPr>
              <w:t>(香肠/腊肉等)</w:t>
            </w:r>
          </w:p>
        </w:tc>
        <w:tc>
          <w:tcPr>
            <w:tcW w:w="1806" w:type="pct"/>
            <w:tcBorders>
              <w:top w:val="single" w:color="000000" w:sz="8" w:space="0"/>
              <w:left w:val="single" w:color="000000" w:sz="8" w:space="0"/>
              <w:right w:val="single" w:color="000000" w:sz="8" w:space="0"/>
            </w:tcBorders>
            <w:vAlign w:val="center"/>
          </w:tcPr>
          <w:p w14:paraId="2014F344">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《出厂检验合格证》</w:t>
            </w:r>
          </w:p>
          <w:p w14:paraId="2D5FD092">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（或质检报告）</w:t>
            </w:r>
          </w:p>
        </w:tc>
        <w:tc>
          <w:tcPr>
            <w:tcW w:w="1781" w:type="pct"/>
            <w:tcBorders>
              <w:top w:val="single" w:color="000000" w:sz="8" w:space="0"/>
              <w:left w:val="single" w:color="000000" w:sz="8" w:space="0"/>
              <w:bottom w:val="single" w:color="000000" w:sz="8" w:space="0"/>
              <w:right w:val="single" w:color="000000" w:sz="8" w:space="0"/>
            </w:tcBorders>
            <w:vAlign w:val="center"/>
          </w:tcPr>
          <w:p w14:paraId="495993D5">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 需由厂家出具，随车同行。</w:t>
            </w:r>
          </w:p>
          <w:p w14:paraId="03F9BF03">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 若为预包装食品，包装上应有SC编码。</w:t>
            </w:r>
          </w:p>
        </w:tc>
      </w:tr>
      <w:tr w14:paraId="08EB7C2E">
        <w:tblPrEx>
          <w:tblCellMar>
            <w:top w:w="0" w:type="dxa"/>
            <w:left w:w="108" w:type="dxa"/>
            <w:bottom w:w="0" w:type="dxa"/>
            <w:right w:w="108" w:type="dxa"/>
          </w:tblCellMar>
        </w:tblPrEx>
        <w:trPr>
          <w:trHeight w:val="1879" w:hRule="atLeast"/>
        </w:trPr>
        <w:tc>
          <w:tcPr>
            <w:tcW w:w="1412" w:type="pct"/>
            <w:tcBorders>
              <w:top w:val="single" w:color="000000" w:sz="8" w:space="0"/>
              <w:left w:val="single" w:color="000000" w:sz="8" w:space="0"/>
              <w:bottom w:val="single" w:color="000000" w:sz="8" w:space="0"/>
              <w:right w:val="single" w:color="000000" w:sz="8" w:space="0"/>
            </w:tcBorders>
            <w:vAlign w:val="center"/>
          </w:tcPr>
          <w:p w14:paraId="1C54C9A6">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冷冻/水产品</w:t>
            </w:r>
          </w:p>
        </w:tc>
        <w:tc>
          <w:tcPr>
            <w:tcW w:w="1806" w:type="pct"/>
            <w:tcBorders>
              <w:top w:val="single" w:color="000000" w:sz="8" w:space="0"/>
              <w:left w:val="single" w:color="000000" w:sz="8" w:space="0"/>
              <w:right w:val="single" w:color="000000" w:sz="8" w:space="0"/>
            </w:tcBorders>
            <w:vAlign w:val="center"/>
          </w:tcPr>
          <w:p w14:paraId="63126651">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 《出厂检验合格证》</w:t>
            </w:r>
          </w:p>
          <w:p w14:paraId="6042E246">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 《入库/出库检疫证明》 (针对冻库)</w:t>
            </w:r>
          </w:p>
        </w:tc>
        <w:tc>
          <w:tcPr>
            <w:tcW w:w="1781" w:type="pct"/>
            <w:tcBorders>
              <w:top w:val="single" w:color="000000" w:sz="8" w:space="0"/>
              <w:left w:val="single" w:color="000000" w:sz="8" w:space="0"/>
              <w:bottom w:val="single" w:color="000000" w:sz="8" w:space="0"/>
              <w:right w:val="single" w:color="000000" w:sz="8" w:space="0"/>
            </w:tcBorders>
            <w:vAlign w:val="center"/>
          </w:tcPr>
          <w:p w14:paraId="681F653B">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 冻品需标明解冻后净重标准（禽≥92%，肉≥95%，水产≥85%）。</w:t>
            </w:r>
          </w:p>
          <w:p w14:paraId="23875DE4">
            <w:pPr>
              <w:widowControl/>
              <w:jc w:val="left"/>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 水产品需符合个体单独冷冻成型标准。</w:t>
            </w:r>
          </w:p>
        </w:tc>
      </w:tr>
    </w:tbl>
    <w:p w14:paraId="436E0905">
      <w:pPr>
        <w:widowControl/>
        <w:spacing w:line="440" w:lineRule="exact"/>
        <w:ind w:firstLine="480" w:firstLineChars="200"/>
        <w:rPr>
          <w:rFonts w:hint="eastAsia" w:ascii="仿宋" w:hAnsi="仿宋" w:eastAsia="仿宋" w:cs="仿宋"/>
          <w:sz w:val="24"/>
          <w:lang w:bidi="ar"/>
        </w:rPr>
      </w:pPr>
    </w:p>
    <w:p w14:paraId="7DF7CF6A">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二、副食品要求</w:t>
      </w:r>
    </w:p>
    <w:p w14:paraId="5100D966">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（一）面粉、调味料、咸杂、干货等</w:t>
      </w:r>
    </w:p>
    <w:p w14:paraId="3A1C7977">
      <w:pPr>
        <w:widowControl/>
        <w:spacing w:before="100" w:beforeAutospacing="1" w:after="100" w:afterAutospacing="1"/>
        <w:jc w:val="left"/>
        <w:rPr>
          <w:rFonts w:hint="eastAsia" w:ascii="宋体" w:hAnsi="宋体" w:eastAsia="宋体" w:cs="宋体"/>
          <w:b/>
          <w:bCs/>
          <w:sz w:val="27"/>
          <w:szCs w:val="27"/>
        </w:rPr>
      </w:pPr>
      <w:r>
        <w:rPr>
          <w:rFonts w:ascii="仿宋" w:hAnsi="仿宋" w:eastAsia="仿宋" w:cs="仿宋"/>
          <w:sz w:val="24"/>
          <w:lang w:bidi="ar"/>
        </w:rPr>
        <w:t>1.</w:t>
      </w:r>
      <w:r>
        <w:rPr>
          <w:rFonts w:ascii="宋体" w:hAnsi="宋体" w:eastAsia="宋体" w:cs="宋体"/>
          <w:b/>
          <w:bCs/>
          <w:sz w:val="27"/>
          <w:szCs w:val="27"/>
        </w:rPr>
        <w:t>执行标准</w:t>
      </w:r>
    </w:p>
    <w:tbl>
      <w:tblPr>
        <w:tblStyle w:val="12"/>
        <w:tblW w:w="4998" w:type="pct"/>
        <w:tblCellSpacing w:w="15" w:type="dxa"/>
        <w:tblInd w:w="0" w:type="dxa"/>
        <w:tblLayout w:type="autofit"/>
        <w:tblCellMar>
          <w:top w:w="0" w:type="dxa"/>
          <w:left w:w="108" w:type="dxa"/>
          <w:bottom w:w="0" w:type="dxa"/>
          <w:right w:w="108" w:type="dxa"/>
        </w:tblCellMar>
      </w:tblPr>
      <w:tblGrid>
        <w:gridCol w:w="1038"/>
        <w:gridCol w:w="1839"/>
        <w:gridCol w:w="5742"/>
      </w:tblGrid>
      <w:tr w14:paraId="28EC91EC">
        <w:tblPrEx>
          <w:tblCellMar>
            <w:top w:w="0" w:type="dxa"/>
            <w:left w:w="108" w:type="dxa"/>
            <w:bottom w:w="0" w:type="dxa"/>
            <w:right w:w="108" w:type="dxa"/>
          </w:tblCellMar>
        </w:tblPrEx>
        <w:trPr>
          <w:trHeight w:val="283" w:hRule="atLeast"/>
          <w:tblHeader/>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72AA1009">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类别</w:t>
            </w:r>
          </w:p>
        </w:tc>
        <w:tc>
          <w:tcPr>
            <w:tcW w:w="1049" w:type="pct"/>
            <w:tcBorders>
              <w:top w:val="single" w:color="000000" w:sz="8" w:space="0"/>
              <w:left w:val="single" w:color="000000" w:sz="8" w:space="0"/>
              <w:bottom w:val="single" w:color="000000" w:sz="8" w:space="0"/>
              <w:right w:val="single" w:color="000000" w:sz="8" w:space="0"/>
            </w:tcBorders>
            <w:vAlign w:val="center"/>
          </w:tcPr>
          <w:p w14:paraId="30935EE8">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推荐执行标准号</w:t>
            </w:r>
          </w:p>
        </w:tc>
        <w:tc>
          <w:tcPr>
            <w:tcW w:w="3304" w:type="pct"/>
            <w:tcBorders>
              <w:top w:val="single" w:color="000000" w:sz="8" w:space="0"/>
              <w:left w:val="single" w:color="000000" w:sz="8" w:space="0"/>
              <w:bottom w:val="single" w:color="000000" w:sz="8" w:space="0"/>
              <w:right w:val="single" w:color="000000" w:sz="8" w:space="0"/>
            </w:tcBorders>
            <w:vAlign w:val="center"/>
          </w:tcPr>
          <w:p w14:paraId="4D78E0A5">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关键指标与要求</w:t>
            </w:r>
          </w:p>
        </w:tc>
      </w:tr>
      <w:tr w14:paraId="52946A2A">
        <w:tblPrEx>
          <w:tblCellMar>
            <w:top w:w="0" w:type="dxa"/>
            <w:left w:w="108" w:type="dxa"/>
            <w:bottom w:w="0" w:type="dxa"/>
            <w:right w:w="108" w:type="dxa"/>
          </w:tblCellMar>
        </w:tblPrEx>
        <w:trPr>
          <w:trHeight w:val="2271"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049478D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面粉类</w:t>
            </w:r>
          </w:p>
        </w:tc>
        <w:tc>
          <w:tcPr>
            <w:tcW w:w="1049" w:type="pct"/>
            <w:tcBorders>
              <w:top w:val="single" w:color="000000" w:sz="8" w:space="0"/>
              <w:left w:val="single" w:color="000000" w:sz="8" w:space="0"/>
              <w:bottom w:val="single" w:color="000000" w:sz="8" w:space="0"/>
              <w:right w:val="single" w:color="000000" w:sz="8" w:space="0"/>
            </w:tcBorders>
            <w:vAlign w:val="center"/>
          </w:tcPr>
          <w:p w14:paraId="0A7DEA00">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 1355-2021</w:t>
            </w:r>
          </w:p>
          <w:p w14:paraId="7761228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(小麦粉)</w:t>
            </w:r>
          </w:p>
        </w:tc>
        <w:tc>
          <w:tcPr>
            <w:tcW w:w="3304" w:type="pct"/>
            <w:tcBorders>
              <w:top w:val="single" w:color="000000" w:sz="8" w:space="0"/>
              <w:left w:val="single" w:color="000000" w:sz="8" w:space="0"/>
              <w:bottom w:val="single" w:color="000000" w:sz="8" w:space="0"/>
              <w:right w:val="single" w:color="000000" w:sz="8" w:space="0"/>
            </w:tcBorders>
            <w:vAlign w:val="center"/>
          </w:tcPr>
          <w:p w14:paraId="7107CF2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使用“特制一等”或“精制粉”。水分≤14.0%，面筋质符合等级要求，无霉变、无结块。小麦粉中不得添加过氧化苯甲酰（增白剂）和任何增筋剂。验收时需确认配料表只有“小麦”。真菌毒素GB 2761（真菌毒素限量），特别是黄曲霉毒素B1和呕吐毒素，这对免疫力低下的患者至关重要。</w:t>
            </w:r>
          </w:p>
        </w:tc>
      </w:tr>
      <w:tr w14:paraId="53F38F59">
        <w:tblPrEx>
          <w:tblCellMar>
            <w:top w:w="0" w:type="dxa"/>
            <w:left w:w="108" w:type="dxa"/>
            <w:bottom w:w="0" w:type="dxa"/>
            <w:right w:w="108" w:type="dxa"/>
          </w:tblCellMar>
        </w:tblPrEx>
        <w:trPr>
          <w:trHeight w:val="1062"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7C4D2AF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大米</w:t>
            </w:r>
          </w:p>
        </w:tc>
        <w:tc>
          <w:tcPr>
            <w:tcW w:w="1049" w:type="pct"/>
            <w:tcBorders>
              <w:top w:val="single" w:color="000000" w:sz="8" w:space="0"/>
              <w:left w:val="single" w:color="000000" w:sz="8" w:space="0"/>
              <w:bottom w:val="single" w:color="000000" w:sz="8" w:space="0"/>
              <w:right w:val="single" w:color="000000" w:sz="8" w:space="0"/>
            </w:tcBorders>
            <w:vAlign w:val="center"/>
          </w:tcPr>
          <w:p w14:paraId="77A1329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 1354-2018</w:t>
            </w:r>
          </w:p>
          <w:p w14:paraId="0365F0C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(大米)</w:t>
            </w:r>
          </w:p>
        </w:tc>
        <w:tc>
          <w:tcPr>
            <w:tcW w:w="3304" w:type="pct"/>
            <w:tcBorders>
              <w:top w:val="single" w:color="000000" w:sz="8" w:space="0"/>
              <w:left w:val="single" w:color="000000" w:sz="8" w:space="0"/>
              <w:bottom w:val="single" w:color="000000" w:sz="8" w:space="0"/>
              <w:right w:val="single" w:color="000000" w:sz="8" w:space="0"/>
            </w:tcBorders>
            <w:vAlign w:val="center"/>
          </w:tcPr>
          <w:p w14:paraId="70C0644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使用一级或二级等级。碎米含量、杂质限量符合标准，无黄粒米，无霉变气味。</w:t>
            </w:r>
          </w:p>
        </w:tc>
      </w:tr>
      <w:tr w14:paraId="6560AAF0">
        <w:tblPrEx>
          <w:tblCellMar>
            <w:top w:w="0" w:type="dxa"/>
            <w:left w:w="108" w:type="dxa"/>
            <w:bottom w:w="0" w:type="dxa"/>
            <w:right w:w="108" w:type="dxa"/>
          </w:tblCellMar>
        </w:tblPrEx>
        <w:trPr>
          <w:trHeight w:val="1317"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1272344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食用油</w:t>
            </w:r>
          </w:p>
        </w:tc>
        <w:tc>
          <w:tcPr>
            <w:tcW w:w="1049" w:type="pct"/>
            <w:tcBorders>
              <w:top w:val="single" w:color="000000" w:sz="8" w:space="0"/>
              <w:left w:val="single" w:color="000000" w:sz="8" w:space="0"/>
              <w:bottom w:val="single" w:color="000000" w:sz="8" w:space="0"/>
              <w:right w:val="single" w:color="000000" w:sz="8" w:space="0"/>
            </w:tcBorders>
            <w:vAlign w:val="center"/>
          </w:tcPr>
          <w:p w14:paraId="6421A27D">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 2716-2018</w:t>
            </w:r>
          </w:p>
          <w:p w14:paraId="1B9F03B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(植物油)</w:t>
            </w:r>
          </w:p>
        </w:tc>
        <w:tc>
          <w:tcPr>
            <w:tcW w:w="3304" w:type="pct"/>
            <w:tcBorders>
              <w:top w:val="single" w:color="000000" w:sz="8" w:space="0"/>
              <w:left w:val="single" w:color="000000" w:sz="8" w:space="0"/>
              <w:bottom w:val="single" w:color="000000" w:sz="8" w:space="0"/>
              <w:right w:val="single" w:color="000000" w:sz="8" w:space="0"/>
            </w:tcBorders>
            <w:vAlign w:val="center"/>
          </w:tcPr>
          <w:p w14:paraId="62D395F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酸价、过氧化值必须符合标准（防止哈喇味）。必须是非转基因（如采购大豆油/菜籽油），且标签清晰。</w:t>
            </w:r>
          </w:p>
        </w:tc>
      </w:tr>
      <w:tr w14:paraId="243A6ACD">
        <w:tblPrEx>
          <w:tblCellMar>
            <w:top w:w="0" w:type="dxa"/>
            <w:left w:w="108" w:type="dxa"/>
            <w:bottom w:w="0" w:type="dxa"/>
            <w:right w:w="108" w:type="dxa"/>
          </w:tblCellMar>
        </w:tblPrEx>
        <w:trPr>
          <w:trHeight w:val="1062"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727777D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酱油</w:t>
            </w:r>
          </w:p>
        </w:tc>
        <w:tc>
          <w:tcPr>
            <w:tcW w:w="1049" w:type="pct"/>
            <w:tcBorders>
              <w:top w:val="single" w:color="000000" w:sz="8" w:space="0"/>
              <w:left w:val="single" w:color="000000" w:sz="8" w:space="0"/>
              <w:bottom w:val="single" w:color="000000" w:sz="8" w:space="0"/>
              <w:right w:val="single" w:color="000000" w:sz="8" w:space="0"/>
            </w:tcBorders>
            <w:vAlign w:val="center"/>
          </w:tcPr>
          <w:p w14:paraId="715AD83B">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 18186</w:t>
            </w:r>
          </w:p>
          <w:p w14:paraId="1747321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(酿造酱油)</w:t>
            </w:r>
          </w:p>
        </w:tc>
        <w:tc>
          <w:tcPr>
            <w:tcW w:w="3304" w:type="pct"/>
            <w:tcBorders>
              <w:top w:val="single" w:color="000000" w:sz="8" w:space="0"/>
              <w:left w:val="single" w:color="000000" w:sz="8" w:space="0"/>
              <w:bottom w:val="single" w:color="000000" w:sz="8" w:space="0"/>
              <w:right w:val="single" w:color="000000" w:sz="8" w:space="0"/>
            </w:tcBorders>
            <w:vAlign w:val="center"/>
          </w:tcPr>
          <w:p w14:paraId="46E7179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使用酿造酱油，严禁使用“配制酱油”。氨基酸态氮≥0.80g/100mL（特级），无异味。</w:t>
            </w:r>
          </w:p>
        </w:tc>
      </w:tr>
      <w:tr w14:paraId="073461B9">
        <w:tblPrEx>
          <w:tblCellMar>
            <w:top w:w="0" w:type="dxa"/>
            <w:left w:w="108" w:type="dxa"/>
            <w:bottom w:w="0" w:type="dxa"/>
            <w:right w:w="108" w:type="dxa"/>
          </w:tblCellMar>
        </w:tblPrEx>
        <w:trPr>
          <w:trHeight w:val="807"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1F16869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食醋</w:t>
            </w:r>
          </w:p>
        </w:tc>
        <w:tc>
          <w:tcPr>
            <w:tcW w:w="1049" w:type="pct"/>
            <w:tcBorders>
              <w:top w:val="single" w:color="000000" w:sz="8" w:space="0"/>
              <w:left w:val="single" w:color="000000" w:sz="8" w:space="0"/>
              <w:bottom w:val="single" w:color="000000" w:sz="8" w:space="0"/>
              <w:right w:val="single" w:color="000000" w:sz="8" w:space="0"/>
            </w:tcBorders>
            <w:vAlign w:val="center"/>
          </w:tcPr>
          <w:p w14:paraId="45ED691C">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 18187</w:t>
            </w:r>
          </w:p>
          <w:p w14:paraId="1635E3B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(酿造食醋)</w:t>
            </w:r>
          </w:p>
        </w:tc>
        <w:tc>
          <w:tcPr>
            <w:tcW w:w="3304" w:type="pct"/>
            <w:tcBorders>
              <w:top w:val="single" w:color="000000" w:sz="8" w:space="0"/>
              <w:left w:val="single" w:color="000000" w:sz="8" w:space="0"/>
              <w:bottom w:val="single" w:color="000000" w:sz="8" w:space="0"/>
              <w:right w:val="single" w:color="000000" w:sz="8" w:space="0"/>
            </w:tcBorders>
            <w:vAlign w:val="center"/>
          </w:tcPr>
          <w:p w14:paraId="6DB184E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使用是酿造食醋，严禁使用冰乙酸勾兑。总酸≥3.5g/100mL。</w:t>
            </w:r>
          </w:p>
        </w:tc>
      </w:tr>
      <w:tr w14:paraId="5348EB0C">
        <w:tblPrEx>
          <w:tblCellMar>
            <w:top w:w="0" w:type="dxa"/>
            <w:left w:w="108" w:type="dxa"/>
            <w:bottom w:w="0" w:type="dxa"/>
            <w:right w:w="108" w:type="dxa"/>
          </w:tblCellMar>
        </w:tblPrEx>
        <w:trPr>
          <w:trHeight w:val="90"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0CAA156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酱类</w:t>
            </w:r>
          </w:p>
        </w:tc>
        <w:tc>
          <w:tcPr>
            <w:tcW w:w="1049" w:type="pct"/>
            <w:tcBorders>
              <w:top w:val="single" w:color="000000" w:sz="8" w:space="0"/>
              <w:left w:val="single" w:color="000000" w:sz="8" w:space="0"/>
              <w:bottom w:val="single" w:color="000000" w:sz="8" w:space="0"/>
              <w:right w:val="single" w:color="000000" w:sz="8" w:space="0"/>
            </w:tcBorders>
            <w:vAlign w:val="center"/>
          </w:tcPr>
          <w:p w14:paraId="6579AF71">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 24399</w:t>
            </w:r>
          </w:p>
          <w:p w14:paraId="4C123F4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（豆瓣酱/黄豆酱）</w:t>
            </w:r>
          </w:p>
        </w:tc>
        <w:tc>
          <w:tcPr>
            <w:tcW w:w="3304" w:type="pct"/>
            <w:tcBorders>
              <w:top w:val="single" w:color="000000" w:sz="8" w:space="0"/>
              <w:left w:val="single" w:color="000000" w:sz="8" w:space="0"/>
              <w:bottom w:val="single" w:color="000000" w:sz="8" w:space="0"/>
              <w:right w:val="single" w:color="000000" w:sz="8" w:space="0"/>
            </w:tcBorders>
            <w:vAlign w:val="center"/>
          </w:tcPr>
          <w:p w14:paraId="5DAF6ED5">
            <w:pPr>
              <w:jc w:val="left"/>
              <w:rPr>
                <w:rFonts w:hint="eastAsia" w:ascii="仿宋" w:hAnsi="仿宋" w:eastAsia="仿宋" w:cs="仿宋"/>
                <w:color w:val="000000"/>
                <w:szCs w:val="21"/>
              </w:rPr>
            </w:pPr>
          </w:p>
        </w:tc>
      </w:tr>
      <w:tr w14:paraId="3B1279B7">
        <w:tblPrEx>
          <w:tblCellMar>
            <w:top w:w="0" w:type="dxa"/>
            <w:left w:w="108" w:type="dxa"/>
            <w:bottom w:w="0" w:type="dxa"/>
            <w:right w:w="108" w:type="dxa"/>
          </w:tblCellMar>
        </w:tblPrEx>
        <w:trPr>
          <w:trHeight w:val="1062"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5EC0F39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食用盐</w:t>
            </w:r>
          </w:p>
        </w:tc>
        <w:tc>
          <w:tcPr>
            <w:tcW w:w="1049" w:type="pct"/>
            <w:tcBorders>
              <w:top w:val="single" w:color="000000" w:sz="8" w:space="0"/>
              <w:left w:val="single" w:color="000000" w:sz="8" w:space="0"/>
              <w:bottom w:val="single" w:color="000000" w:sz="8" w:space="0"/>
              <w:right w:val="single" w:color="000000" w:sz="8" w:space="0"/>
            </w:tcBorders>
            <w:vAlign w:val="center"/>
          </w:tcPr>
          <w:p w14:paraId="7E503BAC">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 2721-2015</w:t>
            </w:r>
          </w:p>
          <w:p w14:paraId="551DBFD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(食用盐)</w:t>
            </w:r>
          </w:p>
        </w:tc>
        <w:tc>
          <w:tcPr>
            <w:tcW w:w="3304" w:type="pct"/>
            <w:tcBorders>
              <w:top w:val="single" w:color="000000" w:sz="8" w:space="0"/>
              <w:left w:val="single" w:color="000000" w:sz="8" w:space="0"/>
              <w:bottom w:val="single" w:color="000000" w:sz="8" w:space="0"/>
              <w:right w:val="single" w:color="000000" w:sz="8" w:space="0"/>
            </w:tcBorders>
            <w:vAlign w:val="center"/>
          </w:tcPr>
          <w:p w14:paraId="1B1B44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氯化钠含量、碘含量（建议使用加碘盐，除非特定科室要求）。铅、砷、钡等污染物符合限量。</w:t>
            </w:r>
          </w:p>
        </w:tc>
      </w:tr>
      <w:tr w14:paraId="0A9D60AB">
        <w:tblPrEx>
          <w:tblCellMar>
            <w:top w:w="0" w:type="dxa"/>
            <w:left w:w="108" w:type="dxa"/>
            <w:bottom w:w="0" w:type="dxa"/>
            <w:right w:w="108" w:type="dxa"/>
          </w:tblCellMar>
        </w:tblPrEx>
        <w:trPr>
          <w:trHeight w:val="312"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5A13B3F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味精</w:t>
            </w:r>
          </w:p>
        </w:tc>
        <w:tc>
          <w:tcPr>
            <w:tcW w:w="1049" w:type="pct"/>
            <w:tcBorders>
              <w:top w:val="single" w:color="000000" w:sz="8" w:space="0"/>
              <w:left w:val="single" w:color="000000" w:sz="8" w:space="0"/>
              <w:bottom w:val="single" w:color="000000" w:sz="8" w:space="0"/>
              <w:right w:val="single" w:color="000000" w:sz="8" w:space="0"/>
            </w:tcBorders>
            <w:vAlign w:val="center"/>
          </w:tcPr>
          <w:p w14:paraId="7FF952B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 8967-2007</w:t>
            </w:r>
          </w:p>
          <w:p w14:paraId="70F6A17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(味精)</w:t>
            </w:r>
          </w:p>
        </w:tc>
        <w:tc>
          <w:tcPr>
            <w:tcW w:w="3304" w:type="pct"/>
            <w:tcBorders>
              <w:top w:val="single" w:color="000000" w:sz="8" w:space="0"/>
              <w:left w:val="single" w:color="000000" w:sz="8" w:space="0"/>
              <w:bottom w:val="single" w:color="000000" w:sz="8" w:space="0"/>
              <w:right w:val="single" w:color="000000" w:sz="8" w:space="0"/>
            </w:tcBorders>
            <w:vAlign w:val="center"/>
          </w:tcPr>
          <w:p w14:paraId="4E5B477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谷氨酸钠≥99.0%。</w:t>
            </w:r>
          </w:p>
        </w:tc>
      </w:tr>
      <w:tr w14:paraId="65F39D06">
        <w:tblPrEx>
          <w:tblCellMar>
            <w:top w:w="0" w:type="dxa"/>
            <w:left w:w="108" w:type="dxa"/>
            <w:bottom w:w="0" w:type="dxa"/>
            <w:right w:w="108" w:type="dxa"/>
          </w:tblCellMar>
        </w:tblPrEx>
        <w:trPr>
          <w:trHeight w:val="1468"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66E6AF0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复合调味料</w:t>
            </w:r>
          </w:p>
        </w:tc>
        <w:tc>
          <w:tcPr>
            <w:tcW w:w="1049" w:type="pct"/>
            <w:tcBorders>
              <w:top w:val="single" w:color="000000" w:sz="8" w:space="0"/>
              <w:left w:val="single" w:color="000000" w:sz="8" w:space="0"/>
              <w:bottom w:val="single" w:color="000000" w:sz="8" w:space="0"/>
              <w:right w:val="single" w:color="000000" w:sz="8" w:space="0"/>
            </w:tcBorders>
            <w:vAlign w:val="center"/>
          </w:tcPr>
          <w:p w14:paraId="2CA41E25">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 31644-2018</w:t>
            </w:r>
          </w:p>
          <w:p w14:paraId="190F03F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(复合调味料)</w:t>
            </w:r>
          </w:p>
        </w:tc>
        <w:tc>
          <w:tcPr>
            <w:tcW w:w="3304" w:type="pct"/>
            <w:tcBorders>
              <w:top w:val="single" w:color="000000" w:sz="8" w:space="0"/>
              <w:left w:val="single" w:color="000000" w:sz="8" w:space="0"/>
              <w:bottom w:val="single" w:color="000000" w:sz="8" w:space="0"/>
              <w:right w:val="single" w:color="000000" w:sz="8" w:space="0"/>
            </w:tcBorders>
            <w:vAlign w:val="center"/>
          </w:tcPr>
          <w:p w14:paraId="3E24BFB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鸡精SB/T 10371（谷氨酸钠含量）、蚝油GB/T 21999（蚝汁含量）、火锅底料、腌料等。铅、砷限量，菌落总数符合标准。必须明确标注过敏原信息（如含有麸质、大豆、芝麻等），防止患者过敏。</w:t>
            </w:r>
          </w:p>
        </w:tc>
      </w:tr>
      <w:tr w14:paraId="67AD3047">
        <w:tblPrEx>
          <w:tblCellMar>
            <w:top w:w="0" w:type="dxa"/>
            <w:left w:w="108" w:type="dxa"/>
            <w:bottom w:w="0" w:type="dxa"/>
            <w:right w:w="108" w:type="dxa"/>
          </w:tblCellMar>
        </w:tblPrEx>
        <w:trPr>
          <w:trHeight w:val="1853"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778EEB3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干货(菌藻)</w:t>
            </w:r>
          </w:p>
        </w:tc>
        <w:tc>
          <w:tcPr>
            <w:tcW w:w="1049" w:type="pct"/>
            <w:tcBorders>
              <w:top w:val="single" w:color="000000" w:sz="8" w:space="0"/>
              <w:left w:val="single" w:color="000000" w:sz="8" w:space="0"/>
              <w:bottom w:val="single" w:color="000000" w:sz="8" w:space="0"/>
              <w:right w:val="single" w:color="000000" w:sz="8" w:space="0"/>
            </w:tcBorders>
            <w:vAlign w:val="center"/>
          </w:tcPr>
          <w:p w14:paraId="7195BFC4">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 7096-2014</w:t>
            </w:r>
          </w:p>
          <w:p w14:paraId="5261390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(食用菌)</w:t>
            </w:r>
          </w:p>
        </w:tc>
        <w:tc>
          <w:tcPr>
            <w:tcW w:w="3304" w:type="pct"/>
            <w:tcBorders>
              <w:top w:val="single" w:color="000000" w:sz="8" w:space="0"/>
              <w:left w:val="single" w:color="000000" w:sz="8" w:space="0"/>
              <w:bottom w:val="single" w:color="000000" w:sz="8" w:space="0"/>
              <w:right w:val="single" w:color="000000" w:sz="8" w:space="0"/>
            </w:tcBorders>
            <w:vAlign w:val="center"/>
          </w:tcPr>
          <w:p w14:paraId="1B7991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严禁硫磺熏蒸过度（二氧化硫残留量达标）。感官为无霉变、无虫蛀、无杂质。食用菌（香菇、木耳）GB 7096、干海带(紫菜)：GB 19643、感官指标：木耳（耳瓣舒展，无卷曲，无霉烂，水发后肉质厚实）、香菇（菌盖厚实，色泽黄褐，无虫蛀）、腐竹（淡黄色有光泽，易折断，无霉斑，无酸味）</w:t>
            </w:r>
          </w:p>
        </w:tc>
      </w:tr>
      <w:tr w14:paraId="529DA6AD">
        <w:tblPrEx>
          <w:tblCellMar>
            <w:top w:w="0" w:type="dxa"/>
            <w:left w:w="108" w:type="dxa"/>
            <w:bottom w:w="0" w:type="dxa"/>
            <w:right w:w="108" w:type="dxa"/>
          </w:tblCellMar>
        </w:tblPrEx>
        <w:trPr>
          <w:trHeight w:val="1035" w:hRule="atLeast"/>
          <w:tblCellSpacing w:w="15" w:type="dxa"/>
        </w:trPr>
        <w:tc>
          <w:tcPr>
            <w:tcW w:w="576" w:type="pct"/>
            <w:tcBorders>
              <w:top w:val="single" w:color="000000" w:sz="8" w:space="0"/>
              <w:left w:val="single" w:color="000000" w:sz="8" w:space="0"/>
              <w:bottom w:val="single" w:color="000000" w:sz="8" w:space="0"/>
              <w:right w:val="single" w:color="000000" w:sz="8" w:space="0"/>
            </w:tcBorders>
            <w:vAlign w:val="center"/>
          </w:tcPr>
          <w:p w14:paraId="17D3F74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干菜/黄花菜</w:t>
            </w:r>
          </w:p>
        </w:tc>
        <w:tc>
          <w:tcPr>
            <w:tcW w:w="1049" w:type="pct"/>
            <w:tcBorders>
              <w:top w:val="single" w:color="000000" w:sz="8" w:space="0"/>
              <w:left w:val="single" w:color="000000" w:sz="8" w:space="0"/>
              <w:bottom w:val="single" w:color="000000" w:sz="8" w:space="0"/>
              <w:right w:val="single" w:color="000000" w:sz="8" w:space="0"/>
            </w:tcBorders>
            <w:vAlign w:val="center"/>
          </w:tcPr>
          <w:p w14:paraId="3699821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 2762 / GB 2763</w:t>
            </w:r>
          </w:p>
        </w:tc>
        <w:tc>
          <w:tcPr>
            <w:tcW w:w="3304" w:type="pct"/>
            <w:tcBorders>
              <w:top w:val="single" w:color="000000" w:sz="8" w:space="0"/>
              <w:left w:val="single" w:color="000000" w:sz="8" w:space="0"/>
              <w:bottom w:val="single" w:color="000000" w:sz="8" w:space="0"/>
              <w:right w:val="single" w:color="000000" w:sz="8" w:space="0"/>
            </w:tcBorders>
            <w:vAlign w:val="center"/>
          </w:tcPr>
          <w:p w14:paraId="34C24D6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控制重金属（铅、镉）及农药残留。残留限量（通常≤0.2g/kg，具体视品种而定）。</w:t>
            </w:r>
          </w:p>
        </w:tc>
      </w:tr>
    </w:tbl>
    <w:p w14:paraId="597A906B">
      <w:pPr>
        <w:widowControl/>
        <w:jc w:val="left"/>
        <w:rPr>
          <w:rFonts w:hint="eastAsia" w:ascii="仿宋" w:hAnsi="仿宋" w:eastAsia="仿宋" w:cs="宋体"/>
          <w:b/>
          <w:bCs/>
          <w:sz w:val="24"/>
        </w:rPr>
      </w:pPr>
    </w:p>
    <w:p w14:paraId="4E59242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2.采购与要求</w:t>
      </w:r>
    </w:p>
    <w:p w14:paraId="02C22B98">
      <w:pPr>
        <w:widowControl/>
        <w:spacing w:line="440" w:lineRule="exact"/>
        <w:ind w:firstLine="480" w:firstLineChars="200"/>
        <w:rPr>
          <w:rFonts w:hint="eastAsia" w:ascii="仿宋" w:hAnsi="仿宋" w:eastAsia="仿宋" w:cs="仿宋"/>
          <w:sz w:val="24"/>
          <w:lang w:bidi="ar"/>
        </w:rPr>
      </w:pPr>
      <w:r>
        <w:rPr>
          <w:rFonts w:hint="eastAsia" w:ascii="仿宋" w:hAnsi="仿宋" w:eastAsia="仿宋" w:cs="仿宋"/>
          <w:sz w:val="24"/>
          <w:lang w:bidi="ar"/>
        </w:rPr>
        <w:t>乙方</w:t>
      </w:r>
      <w:r>
        <w:rPr>
          <w:rFonts w:ascii="仿宋" w:hAnsi="仿宋" w:eastAsia="仿宋" w:cs="仿宋"/>
          <w:sz w:val="24"/>
          <w:lang w:bidi="ar"/>
        </w:rPr>
        <w:t>在供货时必须提供《营业执照》、生产厂家的《食品生产许可证》（SC证）、批次票证。</w:t>
      </w:r>
    </w:p>
    <w:p w14:paraId="069EC74A">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出厂检验报告：每批次必须提供，涵盖感官、理化指标（如水分、盐分、氨基酸态氮）。</w:t>
      </w:r>
    </w:p>
    <w:p w14:paraId="345A449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第三方检测报告：建议每季度提供1次第三方全项检测报告（含重金属、真菌毒素、添加剂）。</w:t>
      </w:r>
    </w:p>
    <w:p w14:paraId="74344405">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标签审核：所有预包装食品必须有中文标签（进口产品需有《入境货物检验检疫证明》）。</w:t>
      </w:r>
    </w:p>
    <w:p w14:paraId="0A696DAA">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标签需包含：产品名称、执行标准号、配料表、生产日期、保质期、生产商信息及SC编号。</w:t>
      </w:r>
    </w:p>
    <w:p w14:paraId="37B36CA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若发现</w:t>
      </w:r>
      <w:r>
        <w:rPr>
          <w:rFonts w:hint="eastAsia" w:ascii="仿宋" w:hAnsi="仿宋" w:eastAsia="仿宋" w:cs="仿宋"/>
          <w:sz w:val="24"/>
          <w:lang w:bidi="ar"/>
        </w:rPr>
        <w:t>乙方</w:t>
      </w:r>
      <w:r>
        <w:rPr>
          <w:rFonts w:ascii="仿宋" w:hAnsi="仿宋" w:eastAsia="仿宋" w:cs="仿宋"/>
          <w:sz w:val="24"/>
          <w:lang w:bidi="ar"/>
        </w:rPr>
        <w:t>提供不符合上述GB标准，特别是使用已废止标准如GB/T 1355-1986或含禁用添加剂的产品，医院有权退货并追究违约责任。</w:t>
      </w:r>
    </w:p>
    <w:p w14:paraId="79CA14B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3.质量要求</w:t>
      </w:r>
    </w:p>
    <w:p w14:paraId="131519BE">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干货质量要求：干货制品的质量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能超过国家标准要求，采购方可根据实际情况对需要的干货制品进行品质抽检，对质量未达到国家标准的干货制品医院有权拒绝接受。</w:t>
      </w:r>
    </w:p>
    <w:p w14:paraId="573A935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调味品、配料：产品包装要密封，无破损。标识说明完整详细包括：产品名称、净含量、配料表、制造者或经销者的名称和地址、产品标准号、生产日期、保质期，要注明生产日期和保质期。凡属于国家定义的食品添加剂产品必须在包装中注明“食品添加剂”字样，并标有国家规定使用量范围，每次供货需提供该批次食品添加剂的检测报告。</w:t>
      </w:r>
    </w:p>
    <w:p w14:paraId="69B5BD2D">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3）面粉的质量要求：面类货物必须符合卫生，不得有变质、霉变、生虫、污秽不洁、混有异物或者其他感官性状异常，并可能对人体健康有害的物质。包装要标明生产日期、保质期、厂名、厂址等，面粉不应加入增白剂；面粉颜色呈微黄或乳黄色，没有黑点；面粉闻起来要有麦香味，没有酸、霉等异味。</w:t>
      </w:r>
    </w:p>
    <w:p w14:paraId="504C41F2">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（4）蛋类供货产品的质量要求：所提供的产品应保持较好的外观和质量等级，符合国家食品安全标准，必须是新鲜的蛋。食品供应链要求：必须来源于受地方政府相关部门监管的家禽供应场。</w:t>
      </w:r>
    </w:p>
    <w:p w14:paraId="1D122435">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5）腊味类供货产品的质量要求：所提供的产品应保持较好的外观和质量等级，符合国家食品安全标准，主流品牌，严禁“三无”产品。食品供应链要求：主流品牌，预包装食品有名称、规格、生产日期、保质期、成分表、厂家和SC认证等食品安全标准的标签。</w:t>
      </w:r>
    </w:p>
    <w:p w14:paraId="3B8BC252">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（二）米、油类</w:t>
      </w:r>
    </w:p>
    <w:p w14:paraId="44BC1955">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1.米类</w:t>
      </w:r>
    </w:p>
    <w:p w14:paraId="27233F33">
      <w:pPr>
        <w:widowControl/>
        <w:spacing w:line="440" w:lineRule="exact"/>
        <w:ind w:firstLine="480" w:firstLineChars="200"/>
        <w:rPr>
          <w:rFonts w:hint="eastAsia" w:ascii="仿宋" w:hAnsi="仿宋" w:eastAsia="仿宋" w:cs="仿宋"/>
          <w:sz w:val="24"/>
          <w:lang w:bidi="ar"/>
        </w:rPr>
      </w:pPr>
      <w:r>
        <w:rPr>
          <w:rFonts w:ascii="微软雅黑" w:hAnsi="微软雅黑" w:eastAsia="微软雅黑" w:cs="微软雅黑"/>
          <w:sz w:val="24"/>
          <w:lang w:bidi="ar"/>
        </w:rPr>
        <w:t>（1）</w:t>
      </w:r>
      <w:r>
        <w:rPr>
          <w:rFonts w:hint="eastAsia" w:ascii="仿宋" w:hAnsi="仿宋" w:eastAsia="仿宋" w:cs="仿宋"/>
          <w:sz w:val="24"/>
          <w:lang w:bidi="ar"/>
        </w:rPr>
        <w:t>乙方</w:t>
      </w:r>
      <w:r>
        <w:rPr>
          <w:rFonts w:ascii="仿宋" w:hAnsi="仿宋" w:eastAsia="仿宋" w:cs="仿宋"/>
          <w:sz w:val="24"/>
          <w:lang w:bidi="ar"/>
        </w:rPr>
        <w:t>中标后供应的米类满足标准：《大米》（GB1354-2018）灿米三级标准或以上，不含添加剂。</w:t>
      </w:r>
    </w:p>
    <w:p w14:paraId="2CE916E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（2）除符合标准灿米三级标准米外，同时要求：</w:t>
      </w:r>
    </w:p>
    <w:p w14:paraId="658214DF">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碎米总量≤15％　 （籼米三级国家标准：≤30％）</w:t>
      </w:r>
    </w:p>
    <w:p w14:paraId="02B6EB2D">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小碎米总量≤1％　（籼米三级国家标准：≤2.0％）</w:t>
      </w:r>
    </w:p>
    <w:p w14:paraId="01B3B54F">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不完善粒≤3％　　（籼米三级国家标准：≤6％）</w:t>
      </w:r>
    </w:p>
    <w:p w14:paraId="63C36AC1">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黄米粒按国家标准执行。</w:t>
      </w:r>
    </w:p>
    <w:p w14:paraId="146DA8A7">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（3）有食品生产许可证（“SC”标志），标明加工厂名称、品名、生产日期、保质期或保存期，供货时的剩余保质期不少于三分之二，质量等级、产品标准号、产品合格证，质量符合米类执行标准。</w:t>
      </w:r>
    </w:p>
    <w:p w14:paraId="28E0A840">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（4）米的质量要求：具有固有色泽和香味，无污染、无虫害，色泽、气味、口味正常，无异味或霉味（霉变），无虫蛀结块挂丝或杂质异常，符合国家粮食卫生标准。</w:t>
      </w:r>
    </w:p>
    <w:p w14:paraId="27104A98">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（5）要求的资质证明：《产品质量检验报告》由政府产品质量监督部门出具，每批次一次。</w:t>
      </w:r>
    </w:p>
    <w:p w14:paraId="0879947D">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（6）重量验收：医院对每批次的供货食材进行抽查，按抽查验收数量过磅，根据《定量包装商品计量监督管理办法》规定，大米包装重量和实际差1%属国家允许误差。</w:t>
      </w:r>
    </w:p>
    <w:p w14:paraId="79D81629">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2.油类</w:t>
      </w:r>
    </w:p>
    <w:p w14:paraId="62A19E50">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（1）</w:t>
      </w:r>
      <w:r>
        <w:rPr>
          <w:rFonts w:hint="eastAsia" w:ascii="仿宋" w:hAnsi="仿宋" w:eastAsia="仿宋" w:cs="仿宋"/>
          <w:sz w:val="24"/>
          <w:lang w:bidi="ar"/>
        </w:rPr>
        <w:t>乙方</w:t>
      </w:r>
      <w:r>
        <w:rPr>
          <w:rFonts w:ascii="仿宋" w:hAnsi="仿宋" w:eastAsia="仿宋" w:cs="仿宋"/>
          <w:sz w:val="24"/>
          <w:lang w:bidi="ar"/>
        </w:rPr>
        <w:t>中标后供应的油类满足标准：</w:t>
      </w:r>
    </w:p>
    <w:p w14:paraId="500A48B9">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食用油（不含转基因成分的食用油）</w:t>
      </w:r>
    </w:p>
    <w:p w14:paraId="502561A3">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花生油：GB/T1534-2017、GB/T 1534-2017/XG1-2019</w:t>
      </w:r>
      <w:r>
        <w:rPr>
          <w:rFonts w:hint="eastAsia" w:ascii="仿宋" w:hAnsi="仿宋" w:eastAsia="仿宋" w:cs="仿宋"/>
          <w:sz w:val="24"/>
          <w:lang w:bidi="ar"/>
        </w:rPr>
        <w:t>；</w:t>
      </w:r>
    </w:p>
    <w:p w14:paraId="03E5C82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大豆油：GB/T1535-2017、GB/T 1535-2017/XG1-2019</w:t>
      </w:r>
      <w:r>
        <w:rPr>
          <w:rFonts w:hint="eastAsia" w:ascii="仿宋" w:hAnsi="仿宋" w:eastAsia="仿宋" w:cs="仿宋"/>
          <w:sz w:val="24"/>
          <w:lang w:bidi="ar"/>
        </w:rPr>
        <w:t>；</w:t>
      </w:r>
    </w:p>
    <w:p w14:paraId="0A2A62D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葵花籽油：GB/T10464-2017、GB/T 10464-2017/XG1-2019</w:t>
      </w:r>
      <w:r>
        <w:rPr>
          <w:rFonts w:hint="eastAsia" w:ascii="仿宋" w:hAnsi="仿宋" w:eastAsia="仿宋" w:cs="仿宋"/>
          <w:sz w:val="24"/>
          <w:lang w:bidi="ar"/>
        </w:rPr>
        <w:t>；</w:t>
      </w:r>
    </w:p>
    <w:p w14:paraId="7B02E134">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棉籽油：GB/T 1537-2019</w:t>
      </w:r>
      <w:r>
        <w:rPr>
          <w:rFonts w:hint="eastAsia" w:ascii="仿宋" w:hAnsi="仿宋" w:eastAsia="仿宋" w:cs="仿宋"/>
          <w:sz w:val="24"/>
          <w:lang w:bidi="ar"/>
        </w:rPr>
        <w:t>；</w:t>
      </w:r>
    </w:p>
    <w:p w14:paraId="6D89FCA8">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油茶籽油：GB/T 11765-2018</w:t>
      </w:r>
      <w:r>
        <w:rPr>
          <w:rFonts w:hint="eastAsia" w:ascii="仿宋" w:hAnsi="仿宋" w:eastAsia="仿宋" w:cs="仿宋"/>
          <w:sz w:val="24"/>
          <w:lang w:bidi="ar"/>
        </w:rPr>
        <w:t>；</w:t>
      </w:r>
    </w:p>
    <w:p w14:paraId="0D8D4993">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玉米油：GB/T19111-2017、GB/T 19111-2017/XG1-2019</w:t>
      </w:r>
      <w:r>
        <w:rPr>
          <w:rFonts w:hint="eastAsia" w:ascii="仿宋" w:hAnsi="仿宋" w:eastAsia="仿宋" w:cs="仿宋"/>
          <w:sz w:val="24"/>
          <w:lang w:bidi="ar"/>
        </w:rPr>
        <w:t>；</w:t>
      </w:r>
    </w:p>
    <w:p w14:paraId="23FFD046">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（2）油类质量要求：</w:t>
      </w:r>
    </w:p>
    <w:p w14:paraId="0562F6EC">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每个食用油品种必须色泽好，透明度高，无浑浊，无沉淀和悬浮物，黏度小，无分层现象，气味正常，无酸臭异味。严格执行国家质量标准及卫生安全标准，色泽、气味等严格控制在国家标准范围内，并根据医院需求的食用油等级保质保量完成供货。要求提供的食用油生产厂家信誉良好，有明确的商品标签，有生产日期、保质期、质量等级，并标明初制油的加工工艺（即用浸出法生产，还是用压榨法生产的）和是否用转基因油料生产，不许以次充好、以假充真。一经发现，</w:t>
      </w:r>
      <w:r>
        <w:rPr>
          <w:rFonts w:hint="eastAsia" w:ascii="仿宋" w:hAnsi="仿宋" w:eastAsia="仿宋" w:cs="仿宋"/>
          <w:sz w:val="24"/>
          <w:lang w:bidi="ar"/>
        </w:rPr>
        <w:t>乙方</w:t>
      </w:r>
      <w:r>
        <w:rPr>
          <w:rFonts w:ascii="仿宋" w:hAnsi="仿宋" w:eastAsia="仿宋" w:cs="仿宋"/>
          <w:sz w:val="24"/>
          <w:lang w:bidi="ar"/>
        </w:rPr>
        <w:t>将承担全部责任。</w:t>
      </w:r>
    </w:p>
    <w:p w14:paraId="3BB1DAFA">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（3）提供的米、油要有食品生产许可证（“SC”标志），国家机关发出的产品检验合格证书。不得为转基因物品或转基因制成品，经查实所提供物品中具有转基因物品或转基因制成品立即终止合同，并由</w:t>
      </w:r>
      <w:r>
        <w:rPr>
          <w:rFonts w:hint="eastAsia" w:ascii="仿宋" w:hAnsi="仿宋" w:eastAsia="仿宋" w:cs="仿宋"/>
          <w:sz w:val="24"/>
          <w:lang w:bidi="ar"/>
        </w:rPr>
        <w:t>乙方</w:t>
      </w:r>
      <w:r>
        <w:rPr>
          <w:rFonts w:ascii="仿宋" w:hAnsi="仿宋" w:eastAsia="仿宋" w:cs="仿宋"/>
          <w:sz w:val="24"/>
          <w:lang w:bidi="ar"/>
        </w:rPr>
        <w:t>承担全部责任。</w:t>
      </w:r>
    </w:p>
    <w:p w14:paraId="0F3BCF69">
      <w:pPr>
        <w:widowControl/>
        <w:spacing w:line="440" w:lineRule="exact"/>
        <w:ind w:firstLine="480" w:firstLineChars="200"/>
        <w:rPr>
          <w:rFonts w:hint="eastAsia" w:ascii="仿宋" w:hAnsi="仿宋" w:eastAsia="仿宋" w:cs="仿宋"/>
          <w:sz w:val="24"/>
          <w:lang w:bidi="ar"/>
        </w:rPr>
      </w:pPr>
      <w:r>
        <w:rPr>
          <w:rFonts w:ascii="仿宋" w:hAnsi="仿宋" w:eastAsia="仿宋" w:cs="仿宋"/>
          <w:sz w:val="24"/>
          <w:lang w:bidi="ar"/>
        </w:rPr>
        <w:t>（4）包装箱完整，同时包装箱印有注册商标、生产厂家名称、厂址、出厂日期、产品合格证、保质期限、产品成分、厂家电话号码等信息，并标明初制油的加工工艺（即用浸出法生产，还是用压榨法生产的）和是否用转基因油料生产。不许以次充好、以假充真，牟取暴利，一经核实，</w:t>
      </w:r>
      <w:r>
        <w:rPr>
          <w:rFonts w:hint="eastAsia" w:ascii="仿宋" w:hAnsi="仿宋" w:eastAsia="仿宋" w:cs="仿宋"/>
          <w:sz w:val="24"/>
          <w:lang w:bidi="ar"/>
        </w:rPr>
        <w:t>乙方</w:t>
      </w:r>
      <w:r>
        <w:rPr>
          <w:rFonts w:ascii="仿宋" w:hAnsi="仿宋" w:eastAsia="仿宋" w:cs="仿宋"/>
          <w:sz w:val="24"/>
          <w:lang w:bidi="ar"/>
        </w:rPr>
        <w:t>除须无偿更换该批次同等数量的合格食用物品外，还应承担因此造成的食品安全等责任。</w:t>
      </w:r>
    </w:p>
    <w:p w14:paraId="6826B3BE">
      <w:pPr>
        <w:widowControl/>
        <w:spacing w:line="440" w:lineRule="exact"/>
        <w:ind w:firstLine="482" w:firstLineChars="200"/>
        <w:rPr>
          <w:rFonts w:hint="eastAsia" w:ascii="仿宋" w:hAnsi="仿宋" w:eastAsia="仿宋" w:cs="仿宋"/>
          <w:b/>
          <w:bCs/>
          <w:sz w:val="24"/>
          <w:lang w:bidi="ar"/>
        </w:rPr>
      </w:pPr>
      <w:r>
        <w:rPr>
          <w:rFonts w:ascii="仿宋" w:hAnsi="仿宋" w:eastAsia="仿宋" w:cs="仿宋"/>
          <w:b/>
          <w:bCs/>
          <w:sz w:val="24"/>
          <w:lang w:bidi="ar"/>
        </w:rPr>
        <w:t>三、一次性易耗品</w:t>
      </w:r>
    </w:p>
    <w:p w14:paraId="487CA0F9">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（一）</w:t>
      </w:r>
      <w:r>
        <w:rPr>
          <w:rFonts w:hint="eastAsia" w:ascii="仿宋" w:hAnsi="仿宋" w:eastAsia="仿宋" w:cs="仿宋"/>
          <w:sz w:val="24"/>
          <w:lang w:bidi="ar"/>
        </w:rPr>
        <w:t>乙方</w:t>
      </w:r>
      <w:r>
        <w:rPr>
          <w:rFonts w:ascii="仿宋" w:hAnsi="仿宋" w:eastAsia="仿宋" w:cs="仿宋"/>
          <w:sz w:val="24"/>
          <w:lang w:bidi="ar"/>
        </w:rPr>
        <w:t>所供物品为食品接触材料及制品（或对应具体品类，如塑料包装、金属餐具等），应符合现行有效的国家食品安全标准及相关技术规范，包括但不限于《食品安全国家标准 食品接触材料及制品通用安全要求》（GB 4806.1-2016）、《食品安全国家标准 食品接触材料及制品用添加剂使用标准》（GB 9685-2016，含第 1 号修改单 GB 9685-2016/XG1-2025），以及对应材质的专项标准（如塑料类 GB 4806.7-2016、金属类 GB 4806.9-2016、橡胶类 GB 4806.11-2016 等）。物品需满足以下质量要求：感官上色泽正常、表面平整洁净，无异味、无霉烂变质，无油污、斑点、毛刺、破裂等缺陷；安全指标上，总迁移量、高锰酸钾消耗量、重金属（铅、镉、铬等）迁移量及微生物限量等均符合对应标准规定；添加剂使用严格遵循 GB 9685-2016 及修改单的限量与使用范围要求，不得添加禁用物质。</w:t>
      </w:r>
    </w:p>
    <w:p w14:paraId="1D5CB2B8">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（二）</w:t>
      </w:r>
      <w:r>
        <w:rPr>
          <w:rFonts w:hint="eastAsia" w:ascii="仿宋" w:hAnsi="仿宋" w:eastAsia="仿宋" w:cs="仿宋"/>
          <w:sz w:val="24"/>
          <w:lang w:bidi="ar"/>
        </w:rPr>
        <w:t>乙方</w:t>
      </w:r>
      <w:r>
        <w:rPr>
          <w:rFonts w:ascii="仿宋" w:hAnsi="仿宋" w:eastAsia="仿宋" w:cs="仿宋"/>
          <w:sz w:val="24"/>
          <w:lang w:bidi="ar"/>
        </w:rPr>
        <w:t>所供物品均应满足可直接接触食品用途，不在国家市场监督管理总局（会同国家卫生健康委员会等相关部门）发布的食品接触材料及制品停止使用名单内。</w:t>
      </w:r>
    </w:p>
    <w:p w14:paraId="70DEE1AB">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（三）产品原材料及成品标准：</w:t>
      </w:r>
    </w:p>
    <w:p w14:paraId="29E6565C">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 xml:space="preserve">1.可降解材质产品：符合国家标准GB/T 18006.3-2020《一次性可降解餐饮具通用技术要求》的标准。                                </w:t>
      </w:r>
    </w:p>
    <w:p w14:paraId="7C613EB8">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2.竹材质筷子：符合国家标准GB/T19790.2-2005《一次性筷子 第2部分：竹筷》和《一次性竹木筷产品质量国家监督抽查实施细则（2021版）》的标准。</w:t>
      </w:r>
    </w:p>
    <w:p w14:paraId="7BDB6AF1">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3.PP材质产品：符合国家标准GB 4806.7-2023《食品安全国家标准食品接触用塑料材料及制品》的标准。</w:t>
      </w:r>
    </w:p>
    <w:p w14:paraId="5BC88FAB">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4.铝箔纸材质产品：符合国家标准GB 4806.9-2023《食品安全国家标准食品接触用金属材料及制品》标准。</w:t>
      </w:r>
    </w:p>
    <w:p w14:paraId="0C89C4D6">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5.烘焙油纸材质产品：烘焙油纸材质产品：符合国家标准GB/T 36392-2025《食品包装用淋膜纸和纸板》标准和 GB 30607-2024《食品安全国家标准食品添加剂聚二甲基硅氧烷及其乳液（含第1号修改单）》的标准。</w:t>
      </w:r>
    </w:p>
    <w:p w14:paraId="687AB03A">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6.纸浆及淋膜纸材质产品：符合国家标准GB/T 27590-2022《纸杯》标准和GB 4806.8-2022《食品安全国家标准食品接触用纸和纸板材料及制品》标准以及 GB 4806.7-2023《食品安全国家标准食品接触用塑料及制品》标准。</w:t>
      </w:r>
    </w:p>
    <w:p w14:paraId="2362BD39">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7.</w:t>
      </w:r>
      <w:r>
        <w:rPr>
          <w:rFonts w:hint="eastAsia" w:ascii="仿宋" w:hAnsi="仿宋" w:eastAsia="仿宋" w:cs="仿宋"/>
          <w:sz w:val="24"/>
          <w:lang w:bidi="ar"/>
        </w:rPr>
        <w:t>乙方</w:t>
      </w:r>
      <w:r>
        <w:rPr>
          <w:rFonts w:ascii="仿宋" w:hAnsi="仿宋" w:eastAsia="仿宋" w:cs="仿宋"/>
          <w:sz w:val="24"/>
          <w:lang w:bidi="ar"/>
        </w:rPr>
        <w:t>所供食品包装袋类产品（用于盛装和保护食品的薄膜容器）上应具有符合国家标准GB/T21660-2008《塑料购物袋的环保、安全和标识通用技术要求》的信息。包装袋类产品外观应平整，无划伤、烫伤、气泡、破油和折皱，热封平整、无虚封。薄膜不得有裂纹、孔隙和复合层分离。无杂质、异物和油渍等污染。</w:t>
      </w:r>
    </w:p>
    <w:p w14:paraId="60AD316F">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8.使用性能标准：一次性餐饮具的容积偏差、负重性能、跌落性能、盖体对折性能等方面应符合国家标准GB/T 18006.3-2020《一次性可降解餐饮具通用技术要求》、GB/T 18006.1-2025《塑料一次性餐饮具通用技术要求》和GB 4806.7-2023《食品安全国家标准食品接触用塑料材料及制品》的规定，尤其是耐温性能，如耐热水、耐热油方面应达到具体的要求。</w:t>
      </w:r>
    </w:p>
    <w:p w14:paraId="2DEE3BD2">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9.供应产品的质量要求：</w:t>
      </w:r>
    </w:p>
    <w:p w14:paraId="60A33AC8">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1）外观：在感官上不得有异嗅，色泽正常；成型品不能有裂缝口及填装缺陷；表面无油污、尘土、霉变及其他异物；表面平整洁净、质地均匀，无划痕，无皱褶，无剥离，无破裂，无穿孔等。不能有明显的异物、起泡、模型缺陷、毛刺、膨胀及其他缺陷。</w:t>
      </w:r>
    </w:p>
    <w:p w14:paraId="6B359B53">
      <w:pPr>
        <w:widowControl/>
        <w:tabs>
          <w:tab w:val="left" w:pos="8931"/>
        </w:tabs>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（2）产品结构边缘光滑、规整，对具有容器功能的一次性餐饮具，应能放置稳</w:t>
      </w:r>
      <w:r>
        <w:rPr>
          <w:rFonts w:hint="eastAsia" w:ascii="仿宋" w:hAnsi="仿宋" w:eastAsia="仿宋" w:cs="仿宋"/>
          <w:sz w:val="24"/>
          <w:lang w:bidi="ar"/>
        </w:rPr>
        <w:t>定</w:t>
      </w:r>
      <w:r>
        <w:rPr>
          <w:rFonts w:ascii="仿宋" w:hAnsi="仿宋" w:eastAsia="仿宋" w:cs="仿宋"/>
          <w:sz w:val="24"/>
          <w:lang w:bidi="ar"/>
        </w:rPr>
        <w:t>。</w:t>
      </w:r>
    </w:p>
    <w:p w14:paraId="5638C1C6">
      <w:pPr>
        <w:widowControl/>
        <w:tabs>
          <w:tab w:val="left" w:pos="8789"/>
        </w:tabs>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（3）具有容器功能的一次性餐饮具容积偏差≤5%，餐饮具负重试验高度变化≤5%，产品跌落性能检测不得有任何裂损。</w:t>
      </w:r>
    </w:p>
    <w:p w14:paraId="752CBE27">
      <w:pPr>
        <w:widowControl/>
        <w:spacing w:line="440" w:lineRule="exact"/>
        <w:ind w:firstLine="480" w:firstLineChars="200"/>
        <w:rPr>
          <w:rFonts w:hint="eastAsia" w:ascii="仿宋" w:hAnsi="仿宋" w:eastAsia="仿宋" w:cs="仿宋"/>
          <w:b/>
          <w:bCs/>
          <w:kern w:val="0"/>
          <w:sz w:val="24"/>
          <w:lang w:bidi="ar"/>
        </w:rPr>
      </w:pPr>
      <w:r>
        <w:rPr>
          <w:rFonts w:ascii="仿宋" w:hAnsi="仿宋" w:eastAsia="仿宋" w:cs="仿宋"/>
          <w:sz w:val="24"/>
          <w:lang w:bidi="ar"/>
        </w:rPr>
        <w:t>四、</w:t>
      </w:r>
      <w:r>
        <w:rPr>
          <w:rFonts w:ascii="仿宋" w:hAnsi="仿宋" w:eastAsia="仿宋" w:cs="仿宋"/>
          <w:b/>
          <w:bCs/>
          <w:kern w:val="0"/>
          <w:sz w:val="24"/>
          <w:lang w:bidi="ar"/>
        </w:rPr>
        <w:t>货物来源保障</w:t>
      </w:r>
    </w:p>
    <w:p w14:paraId="2758BC19">
      <w:pPr>
        <w:widowControl/>
        <w:spacing w:line="440" w:lineRule="exact"/>
        <w:ind w:firstLine="482" w:firstLineChars="200"/>
        <w:rPr>
          <w:rFonts w:hint="eastAsia" w:ascii="仿宋" w:hAnsi="仿宋" w:eastAsia="仿宋" w:cs="仿宋"/>
          <w:b/>
          <w:bCs/>
          <w:kern w:val="0"/>
          <w:sz w:val="24"/>
          <w:lang w:bidi="ar"/>
        </w:rPr>
      </w:pPr>
      <w:r>
        <w:rPr>
          <w:rFonts w:ascii="仿宋" w:hAnsi="仿宋" w:eastAsia="仿宋" w:cs="仿宋"/>
          <w:b/>
          <w:bCs/>
          <w:kern w:val="0"/>
          <w:sz w:val="24"/>
          <w:lang w:bidi="ar"/>
        </w:rPr>
        <w:t>（一）包装与标志要求</w:t>
      </w:r>
    </w:p>
    <w:p w14:paraId="7F5BDE8D">
      <w:pPr>
        <w:widowControl/>
        <w:spacing w:line="440" w:lineRule="exact"/>
        <w:ind w:firstLine="480" w:firstLineChars="200"/>
        <w:rPr>
          <w:rFonts w:hint="eastAsia" w:ascii="仿宋" w:hAnsi="仿宋" w:eastAsia="仿宋" w:cs="仿宋"/>
          <w:kern w:val="0"/>
          <w:sz w:val="24"/>
          <w:lang w:bidi="ar"/>
        </w:rPr>
      </w:pPr>
      <w:r>
        <w:rPr>
          <w:rFonts w:ascii="仿宋" w:hAnsi="仿宋" w:eastAsia="仿宋" w:cs="仿宋"/>
          <w:kern w:val="0"/>
          <w:sz w:val="24"/>
          <w:lang w:bidi="ar"/>
        </w:rPr>
        <w:t>包装：容器（框、箱、袋）要求清洁、干燥、牢固、透气，无污染、无异味、无霉变现象。蔬菜瓜果类、肉类、水产品等不同类别按不同颜色分别盛装。</w:t>
      </w:r>
    </w:p>
    <w:p w14:paraId="11C09B23">
      <w:pPr>
        <w:widowControl/>
        <w:spacing w:line="440" w:lineRule="exact"/>
        <w:ind w:firstLine="480" w:firstLineChars="200"/>
        <w:rPr>
          <w:rFonts w:hint="eastAsia" w:ascii="仿宋" w:hAnsi="仿宋" w:eastAsia="仿宋" w:cs="仿宋"/>
          <w:kern w:val="0"/>
          <w:sz w:val="24"/>
          <w:lang w:bidi="ar"/>
        </w:rPr>
      </w:pPr>
      <w:r>
        <w:rPr>
          <w:rFonts w:ascii="仿宋" w:hAnsi="仿宋" w:eastAsia="仿宋" w:cs="仿宋"/>
          <w:kern w:val="0"/>
          <w:sz w:val="24"/>
          <w:lang w:bidi="ar"/>
        </w:rPr>
        <w:t>标志：每件包装应按《农产品包装和标识管理办法》《食品安全国家标准 预包装食品标签通则》（GB7718-2011）要求贴标签，并标明相关产品信息。</w:t>
      </w:r>
    </w:p>
    <w:p w14:paraId="72AAB1B9">
      <w:pPr>
        <w:widowControl/>
        <w:spacing w:line="440" w:lineRule="exact"/>
        <w:ind w:firstLine="480" w:firstLineChars="200"/>
        <w:rPr>
          <w:rFonts w:hint="eastAsia" w:ascii="仿宋" w:hAnsi="仿宋" w:eastAsia="仿宋" w:cs="仿宋"/>
          <w:kern w:val="0"/>
          <w:sz w:val="24"/>
          <w:lang w:bidi="ar"/>
        </w:rPr>
      </w:pPr>
      <w:r>
        <w:rPr>
          <w:rFonts w:ascii="仿宋" w:hAnsi="仿宋" w:eastAsia="仿宋" w:cs="仿宋"/>
          <w:kern w:val="0"/>
          <w:sz w:val="24"/>
          <w:lang w:bidi="ar"/>
        </w:rPr>
        <w:t>（二）运输要求</w:t>
      </w:r>
    </w:p>
    <w:p w14:paraId="13543D96">
      <w:pPr>
        <w:widowControl/>
        <w:spacing w:line="440" w:lineRule="exact"/>
        <w:ind w:firstLine="480" w:firstLineChars="200"/>
        <w:rPr>
          <w:rFonts w:hint="eastAsia" w:ascii="仿宋" w:hAnsi="仿宋" w:eastAsia="仿宋" w:cs="仿宋"/>
          <w:kern w:val="0"/>
          <w:sz w:val="24"/>
          <w:lang w:bidi="ar"/>
        </w:rPr>
      </w:pPr>
      <w:r>
        <w:rPr>
          <w:rFonts w:ascii="仿宋" w:hAnsi="仿宋" w:eastAsia="仿宋" w:cs="仿宋"/>
          <w:kern w:val="0"/>
          <w:sz w:val="24"/>
          <w:lang w:bidi="ar"/>
        </w:rPr>
        <w:t>运输工具应清洁卫生无污染：食品运输应采用符合卫生标准的外包装和运载工具，并且要保持清洁和定期消毒。所有散装食品，包括各类蔬菜瓜果及肉类等应分类包装并做好密封措施，不能直接外露，防止交叉污染及环境污染。盛装工具（如箩筐等）应保持洁净，无泥渍、污渍；盛装原材料的胶袋应使用食品胶袋。运输车厢的内仓，包括地面、墙面和顶，应使用抗腐蚀、防潮，易清洁消毒的材料。车厢内无不良气味、异味；运输途中严防日晒、雨淋，注意通风散热；蔬菜应小心轻卸，严防机械损伤。食品堆放科学合理，避免造成食品的交叉污染；如对温度有要求的食品应确定食品的温度，记录送货车辆温度，并记录随货交给医院食堂存档。</w:t>
      </w:r>
    </w:p>
    <w:p w14:paraId="7D76B1DF">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（三）仓储保障与供货规范</w:t>
      </w:r>
    </w:p>
    <w:p w14:paraId="3E6A70E7">
      <w:pPr>
        <w:widowControl/>
        <w:spacing w:line="440" w:lineRule="exact"/>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乙方</w:t>
      </w:r>
      <w:r>
        <w:rPr>
          <w:rFonts w:ascii="仿宋" w:hAnsi="仿宋" w:eastAsia="仿宋" w:cs="仿宋"/>
          <w:sz w:val="24"/>
          <w:lang w:bidi="ar"/>
        </w:rPr>
        <w:t>须具备与本项目规模相匹配的独立仓储能力，配备完善的防霉、防潮、防尘及防虫鼠设施，确保存储环境符合国家卫生标准，以满足医院日常运营及突发情况下的物资周转需求。在供货过程中，所有产品必须具备清晰、合规的外包装；对于无外包装箱的散装或拆包产品，必须在最小销售单元上清晰标注生产日期、保质期及生产厂家信息，否则医院有权拒绝验收。</w:t>
      </w:r>
      <w:r>
        <w:rPr>
          <w:rFonts w:hint="eastAsia" w:ascii="仿宋" w:hAnsi="仿宋" w:eastAsia="仿宋" w:cs="仿宋"/>
          <w:sz w:val="24"/>
          <w:lang w:bidi="ar"/>
        </w:rPr>
        <w:t>乙方</w:t>
      </w:r>
      <w:r>
        <w:rPr>
          <w:rFonts w:ascii="仿宋" w:hAnsi="仿宋" w:eastAsia="仿宋" w:cs="仿宋"/>
          <w:sz w:val="24"/>
          <w:lang w:bidi="ar"/>
        </w:rPr>
        <w:t>应严格履行采购日常使用需求，不得擅自供应标外货物（包括但不限于变更颜色、品名、材质、规格等）。如遇市场停产、升级等不可抗力因素确需变更品牌或型号时，</w:t>
      </w:r>
      <w:r>
        <w:rPr>
          <w:rFonts w:hint="eastAsia" w:ascii="仿宋" w:hAnsi="仿宋" w:eastAsia="仿宋" w:cs="仿宋"/>
          <w:sz w:val="24"/>
          <w:lang w:bidi="ar"/>
        </w:rPr>
        <w:t>乙方</w:t>
      </w:r>
      <w:r>
        <w:rPr>
          <w:rFonts w:ascii="仿宋" w:hAnsi="仿宋" w:eastAsia="仿宋" w:cs="仿宋"/>
          <w:sz w:val="24"/>
          <w:lang w:bidi="ar"/>
        </w:rPr>
        <w:t>须遵循“品质更优、性价比更高”的原则，提前向医院提交书面申请及实物样板，经医院书面确认同意后方可供货，且不得借机抬高价格。</w:t>
      </w:r>
    </w:p>
    <w:p w14:paraId="334BC7D5">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（四）应急响应与违约责任</w:t>
      </w:r>
    </w:p>
    <w:p w14:paraId="2E9FB81D">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若</w:t>
      </w:r>
      <w:r>
        <w:rPr>
          <w:rFonts w:hint="eastAsia" w:ascii="仿宋" w:hAnsi="仿宋" w:eastAsia="仿宋" w:cs="仿宋"/>
          <w:sz w:val="24"/>
          <w:lang w:bidi="ar"/>
        </w:rPr>
        <w:t>乙方</w:t>
      </w:r>
      <w:r>
        <w:rPr>
          <w:rFonts w:ascii="仿宋" w:hAnsi="仿宋" w:eastAsia="仿宋" w:cs="仿宋"/>
          <w:sz w:val="24"/>
          <w:lang w:bidi="ar"/>
        </w:rPr>
        <w:t>送达的商品存在质量缺陷、假冒伪劣、以次充好或与合同不符等情况，医院将予以拒收并记录在案。</w:t>
      </w:r>
      <w:r>
        <w:rPr>
          <w:rFonts w:hint="eastAsia" w:ascii="仿宋" w:hAnsi="仿宋" w:eastAsia="仿宋" w:cs="仿宋"/>
          <w:sz w:val="24"/>
          <w:lang w:bidi="ar"/>
        </w:rPr>
        <w:t>乙方</w:t>
      </w:r>
      <w:r>
        <w:rPr>
          <w:rFonts w:ascii="仿宋" w:hAnsi="仿宋" w:eastAsia="仿宋" w:cs="仿宋"/>
          <w:sz w:val="24"/>
          <w:lang w:bidi="ar"/>
        </w:rPr>
        <w:t>须在接到通知后立即启动退换货程序，并承担由此产生的一切费用及损失。针对影响医院正常供餐的紧急情况，</w:t>
      </w:r>
      <w:r>
        <w:rPr>
          <w:rFonts w:hint="eastAsia" w:ascii="仿宋" w:hAnsi="仿宋" w:eastAsia="仿宋" w:cs="仿宋"/>
          <w:sz w:val="24"/>
          <w:lang w:bidi="ar"/>
        </w:rPr>
        <w:t>乙方</w:t>
      </w:r>
      <w:r>
        <w:rPr>
          <w:rFonts w:ascii="仿宋" w:hAnsi="仿宋" w:eastAsia="仿宋" w:cs="仿宋"/>
          <w:sz w:val="24"/>
          <w:lang w:bidi="ar"/>
        </w:rPr>
        <w:t>须承诺：对于存在质量问题的货物，或出现少送、错送导致无法使用的情况，必须在24小时内完成退换或补货到位。若</w:t>
      </w:r>
      <w:r>
        <w:rPr>
          <w:rFonts w:hint="eastAsia" w:ascii="仿宋" w:hAnsi="仿宋" w:eastAsia="仿宋" w:cs="仿宋"/>
          <w:sz w:val="24"/>
          <w:lang w:bidi="ar"/>
        </w:rPr>
        <w:t>乙方</w:t>
      </w:r>
      <w:r>
        <w:rPr>
          <w:rFonts w:ascii="仿宋" w:hAnsi="仿宋" w:eastAsia="仿宋" w:cs="仿宋"/>
          <w:sz w:val="24"/>
          <w:lang w:bidi="ar"/>
        </w:rPr>
        <w:t>未能履行上述义务，除承担相应经济处罚外，情节严重的，医院有权单方面解除合同，并将相关情况上报监管部门列入不良行为记录。</w:t>
      </w:r>
    </w:p>
    <w:p w14:paraId="36D648FC">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（五）人员管理与现场服务</w:t>
      </w:r>
    </w:p>
    <w:p w14:paraId="7389CFA0">
      <w:pPr>
        <w:widowControl/>
        <w:spacing w:line="440" w:lineRule="exact"/>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乙方</w:t>
      </w:r>
      <w:r>
        <w:rPr>
          <w:rFonts w:ascii="仿宋" w:hAnsi="仿宋" w:eastAsia="仿宋" w:cs="仿宋"/>
          <w:sz w:val="24"/>
          <w:lang w:bidi="ar"/>
        </w:rPr>
        <w:t>须建立完善的配送人员培训与管理体系，确保所有服务人员了解医院的各项规章制度及感染控制要求。严禁在服务期间做出任何损害医院单位形象和利益的行为。特别是在遇到突发公共卫生事件或医院重大活动保障期间，</w:t>
      </w:r>
      <w:r>
        <w:rPr>
          <w:rFonts w:hint="eastAsia" w:ascii="仿宋" w:hAnsi="仿宋" w:eastAsia="仿宋" w:cs="仿宋"/>
          <w:sz w:val="24"/>
          <w:lang w:bidi="ar"/>
        </w:rPr>
        <w:t>乙方</w:t>
      </w:r>
      <w:r>
        <w:rPr>
          <w:rFonts w:ascii="仿宋" w:hAnsi="仿宋" w:eastAsia="仿宋" w:cs="仿宋"/>
          <w:sz w:val="24"/>
          <w:lang w:bidi="ar"/>
        </w:rPr>
        <w:t>及其工作人员须无条件配合医院的防控部署，严格执行相关防疫及管理措施。</w:t>
      </w:r>
    </w:p>
    <w:p w14:paraId="57A7FCD2">
      <w:pPr>
        <w:widowControl/>
        <w:spacing w:line="440" w:lineRule="exact"/>
        <w:ind w:firstLine="480" w:firstLineChars="200"/>
        <w:jc w:val="left"/>
        <w:rPr>
          <w:rFonts w:hint="eastAsia" w:ascii="仿宋" w:hAnsi="仿宋" w:eastAsia="仿宋" w:cs="仿宋"/>
          <w:sz w:val="24"/>
          <w:lang w:bidi="ar"/>
        </w:rPr>
      </w:pPr>
      <w:r>
        <w:rPr>
          <w:rFonts w:ascii="仿宋" w:hAnsi="仿宋" w:eastAsia="仿宋" w:cs="仿宋"/>
          <w:sz w:val="24"/>
          <w:lang w:bidi="ar"/>
        </w:rPr>
        <w:t>（六）质量标准与质保售后</w:t>
      </w:r>
    </w:p>
    <w:p w14:paraId="744CA4FE">
      <w:pPr>
        <w:widowControl/>
        <w:spacing w:line="440" w:lineRule="exact"/>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乙方</w:t>
      </w:r>
      <w:r>
        <w:rPr>
          <w:rFonts w:ascii="仿宋" w:hAnsi="仿宋" w:eastAsia="仿宋" w:cs="仿宋"/>
          <w:sz w:val="24"/>
          <w:lang w:bidi="ar"/>
        </w:rPr>
        <w:t>所供货物必须为正规制造商生产的全新、合格、无知识产权纠纷的产品。医院会不定期组织抽查验收，各项指标应符合中华人民共和国国家安全质量标准、环保标准及招标文件规定的技术参数。对于有明确有效期的产品（如一次性手套、餐盒等），其剩余有效期不得少于总有效期的2/3。本项目的质量保证期设定为：有明确有效期的货物，质保期至该货物有效期结束；在质保期内，凡因产品质量问题导致的损坏或不合格，</w:t>
      </w:r>
      <w:r>
        <w:rPr>
          <w:rFonts w:hint="eastAsia" w:ascii="仿宋" w:hAnsi="仿宋" w:eastAsia="仿宋" w:cs="仿宋"/>
          <w:sz w:val="24"/>
          <w:lang w:bidi="ar"/>
        </w:rPr>
        <w:t>乙方</w:t>
      </w:r>
      <w:r>
        <w:rPr>
          <w:rFonts w:ascii="仿宋" w:hAnsi="仿宋" w:eastAsia="仿宋" w:cs="仿宋"/>
          <w:sz w:val="24"/>
          <w:lang w:bidi="ar"/>
        </w:rPr>
        <w:t>均须负责免费上门包退、包换，并承担因此产生的所有物流及人工费用。</w:t>
      </w:r>
    </w:p>
    <w:p w14:paraId="6912A3F3">
      <w:pPr>
        <w:keepNext/>
        <w:keepLines/>
        <w:widowControl/>
        <w:adjustRightInd w:val="0"/>
        <w:spacing w:before="240" w:line="440" w:lineRule="exact"/>
        <w:ind w:left="420"/>
        <w:rPr>
          <w:rFonts w:hint="eastAsia" w:ascii="仿宋" w:hAnsi="仿宋" w:eastAsia="仿宋" w:cs="仿宋"/>
          <w:sz w:val="24"/>
        </w:rPr>
      </w:pPr>
      <w:r>
        <w:rPr>
          <w:rFonts w:hint="eastAsia" w:ascii="仿宋" w:hAnsi="仿宋" w:eastAsia="仿宋" w:cs="仿宋"/>
          <w:sz w:val="24"/>
        </w:rPr>
        <w:t>五、票证要求</w:t>
      </w:r>
      <w:r>
        <w:rPr>
          <w:rFonts w:ascii="仿宋" w:hAnsi="仿宋" w:eastAsia="仿宋" w:cs="仿宋"/>
          <w:sz w:val="24"/>
        </w:rPr>
        <w:t>与溯源管理</w:t>
      </w:r>
    </w:p>
    <w:p w14:paraId="1F4AB9BE">
      <w:pPr>
        <w:widowControl/>
        <w:numPr>
          <w:ilvl w:val="0"/>
          <w:numId w:val="18"/>
        </w:numPr>
        <w:spacing w:line="440" w:lineRule="exact"/>
        <w:jc w:val="left"/>
        <w:rPr>
          <w:rFonts w:hint="eastAsia" w:ascii="仿宋" w:hAnsi="仿宋" w:eastAsia="仿宋" w:cs="仿宋"/>
          <w:kern w:val="0"/>
          <w:sz w:val="24"/>
          <w:szCs w:val="22"/>
        </w:rPr>
      </w:pPr>
      <w:r>
        <w:rPr>
          <w:rFonts w:hint="eastAsia" w:ascii="仿宋" w:hAnsi="仿宋" w:eastAsia="仿宋" w:cs="仿宋"/>
          <w:kern w:val="0"/>
          <w:sz w:val="24"/>
          <w:szCs w:val="22"/>
        </w:rPr>
        <w:t>乙方</w:t>
      </w:r>
      <w:r>
        <w:rPr>
          <w:rFonts w:ascii="仿宋" w:hAnsi="仿宋" w:eastAsia="仿宋" w:cs="仿宋"/>
          <w:kern w:val="0"/>
          <w:sz w:val="24"/>
          <w:szCs w:val="22"/>
        </w:rPr>
        <w:t>须提供所有食材供应商的《营业执照》《食品经营许可证》，屠宰场直供的畜禽肉类须额外提供《动物防疫条件合格证》，复印件加盖公章备案，豆制品/熟食：生产厂家营业执照、食品经营许可证（加盖公章）。</w:t>
      </w:r>
    </w:p>
    <w:p w14:paraId="35E134A5">
      <w:pPr>
        <w:widowControl/>
        <w:numPr>
          <w:ilvl w:val="0"/>
          <w:numId w:val="18"/>
        </w:numPr>
        <w:spacing w:line="440" w:lineRule="exact"/>
        <w:jc w:val="left"/>
        <w:rPr>
          <w:rFonts w:hint="eastAsia" w:ascii="仿宋" w:hAnsi="仿宋" w:eastAsia="仿宋" w:cs="仿宋"/>
          <w:kern w:val="0"/>
          <w:sz w:val="24"/>
          <w:szCs w:val="22"/>
        </w:rPr>
      </w:pPr>
      <w:r>
        <w:rPr>
          <w:rFonts w:hint="eastAsia" w:ascii="仿宋" w:hAnsi="仿宋" w:eastAsia="仿宋" w:cs="仿宋"/>
          <w:kern w:val="0"/>
          <w:sz w:val="24"/>
          <w:szCs w:val="22"/>
        </w:rPr>
        <w:t>乙方</w:t>
      </w:r>
      <w:r>
        <w:rPr>
          <w:rFonts w:ascii="仿宋" w:hAnsi="仿宋" w:eastAsia="仿宋" w:cs="仿宋"/>
          <w:kern w:val="0"/>
          <w:sz w:val="24"/>
          <w:szCs w:val="22"/>
        </w:rPr>
        <w:t>须随货提供对应批次的法定票证：猪肉类提供《动物检疫合格证明》《肉品品质检验合格证》《广州市分割肉销售凭证》；牛、羊、禽类提供《动物检疫合格证明》；预包装食品、冻品提供出厂检验合格证以及入库检疫证明；蔬菜提供当批次农药残留检测报告。</w:t>
      </w:r>
    </w:p>
    <w:p w14:paraId="087ADCC5">
      <w:pPr>
        <w:widowControl/>
        <w:numPr>
          <w:ilvl w:val="0"/>
          <w:numId w:val="18"/>
        </w:numPr>
        <w:spacing w:line="440" w:lineRule="exact"/>
        <w:jc w:val="left"/>
        <w:rPr>
          <w:rFonts w:hint="eastAsia" w:ascii="仿宋" w:hAnsi="仿宋" w:eastAsia="仿宋" w:cs="仿宋"/>
          <w:kern w:val="0"/>
          <w:sz w:val="24"/>
          <w:szCs w:val="22"/>
        </w:rPr>
      </w:pPr>
      <w:r>
        <w:rPr>
          <w:rFonts w:ascii="仿宋" w:hAnsi="仿宋" w:eastAsia="仿宋" w:cs="仿宋"/>
          <w:kern w:val="0"/>
          <w:sz w:val="24"/>
          <w:szCs w:val="22"/>
        </w:rPr>
        <w:t>散装与临期食材管理：散装拆包食材：最小销售单元标注生产日期、保质期、生产厂家，否则拒收；临期食材：剩余保质期＜1/3 须提前报备，按规处置，严禁使用过期食材。</w:t>
      </w:r>
    </w:p>
    <w:p w14:paraId="42E79AC0">
      <w:pPr>
        <w:widowControl/>
        <w:numPr>
          <w:ilvl w:val="0"/>
          <w:numId w:val="18"/>
        </w:numPr>
        <w:spacing w:line="440" w:lineRule="exact"/>
        <w:jc w:val="left"/>
        <w:rPr>
          <w:rFonts w:hint="eastAsia" w:ascii="仿宋" w:hAnsi="仿宋" w:eastAsia="仿宋" w:cs="仿宋"/>
          <w:kern w:val="0"/>
          <w:sz w:val="24"/>
          <w:szCs w:val="22"/>
        </w:rPr>
      </w:pPr>
      <w:r>
        <w:rPr>
          <w:rFonts w:hint="eastAsia" w:ascii="仿宋" w:hAnsi="仿宋" w:eastAsia="仿宋" w:cs="仿宋"/>
          <w:kern w:val="0"/>
          <w:sz w:val="24"/>
          <w:szCs w:val="22"/>
        </w:rPr>
        <w:t>乙方</w:t>
      </w:r>
      <w:r>
        <w:rPr>
          <w:rFonts w:ascii="仿宋" w:hAnsi="仿宋" w:eastAsia="仿宋" w:cs="仿宋"/>
          <w:kern w:val="0"/>
          <w:sz w:val="24"/>
          <w:szCs w:val="22"/>
        </w:rPr>
        <w:t>须建立完善的进货查验、索证索票、进货台账制度，确保食材从采购、运输、储存、加工全流程记录完整、可追溯，台账资料保存期限不少于2年。</w:t>
      </w:r>
    </w:p>
    <w:p w14:paraId="57622653">
      <w:pPr>
        <w:widowControl/>
        <w:numPr>
          <w:ilvl w:val="0"/>
          <w:numId w:val="18"/>
        </w:numPr>
        <w:spacing w:line="440" w:lineRule="exact"/>
        <w:jc w:val="left"/>
        <w:rPr>
          <w:rFonts w:hint="eastAsia" w:ascii="仿宋" w:hAnsi="仿宋" w:eastAsia="仿宋" w:cs="仿宋"/>
          <w:kern w:val="0"/>
          <w:sz w:val="24"/>
          <w:szCs w:val="22"/>
        </w:rPr>
      </w:pPr>
      <w:r>
        <w:rPr>
          <w:rFonts w:hint="eastAsia" w:ascii="仿宋" w:hAnsi="仿宋" w:eastAsia="仿宋" w:cs="仿宋"/>
          <w:kern w:val="0"/>
          <w:sz w:val="24"/>
          <w:szCs w:val="22"/>
        </w:rPr>
        <w:t>甲方不定期</w:t>
      </w:r>
      <w:r>
        <w:rPr>
          <w:rFonts w:ascii="仿宋" w:hAnsi="仿宋" w:eastAsia="仿宋" w:cs="仿宋"/>
          <w:kern w:val="0"/>
          <w:sz w:val="24"/>
          <w:szCs w:val="22"/>
        </w:rPr>
        <w:t>对蔬菜瓜果、肉类产品抽检，</w:t>
      </w:r>
      <w:r>
        <w:rPr>
          <w:rFonts w:hint="eastAsia" w:ascii="仿宋" w:hAnsi="仿宋" w:eastAsia="仿宋" w:cs="仿宋"/>
          <w:kern w:val="0"/>
          <w:sz w:val="24"/>
          <w:szCs w:val="22"/>
        </w:rPr>
        <w:t>发现1次</w:t>
      </w:r>
      <w:r>
        <w:rPr>
          <w:rFonts w:ascii="仿宋" w:hAnsi="仿宋" w:eastAsia="仿宋" w:cs="仿宋"/>
          <w:kern w:val="0"/>
          <w:sz w:val="24"/>
          <w:szCs w:val="22"/>
        </w:rPr>
        <w:t>检测农药、污染物超标</w:t>
      </w:r>
      <w:r>
        <w:rPr>
          <w:rFonts w:hint="eastAsia" w:ascii="仿宋" w:hAnsi="仿宋" w:eastAsia="仿宋" w:cs="仿宋"/>
          <w:kern w:val="0"/>
          <w:sz w:val="24"/>
          <w:szCs w:val="22"/>
        </w:rPr>
        <w:t>，给予警告进行整改； 年度累计2</w:t>
      </w:r>
      <w:r>
        <w:rPr>
          <w:rFonts w:ascii="仿宋" w:hAnsi="仿宋" w:eastAsia="仿宋" w:cs="仿宋"/>
          <w:kern w:val="0"/>
          <w:sz w:val="24"/>
          <w:szCs w:val="22"/>
        </w:rPr>
        <w:t>次</w:t>
      </w:r>
      <w:r>
        <w:rPr>
          <w:rFonts w:hint="eastAsia" w:ascii="仿宋" w:hAnsi="仿宋" w:eastAsia="仿宋" w:cs="仿宋"/>
          <w:kern w:val="0"/>
          <w:sz w:val="24"/>
          <w:szCs w:val="22"/>
        </w:rPr>
        <w:t>及以上</w:t>
      </w:r>
      <w:r>
        <w:rPr>
          <w:rFonts w:ascii="仿宋" w:hAnsi="仿宋" w:eastAsia="仿宋" w:cs="仿宋"/>
          <w:kern w:val="0"/>
          <w:sz w:val="24"/>
          <w:szCs w:val="22"/>
        </w:rPr>
        <w:t>检测农药、污染物超标，</w:t>
      </w:r>
      <w:r>
        <w:rPr>
          <w:rFonts w:hint="eastAsia" w:ascii="仿宋" w:hAnsi="仿宋" w:eastAsia="仿宋" w:cs="仿宋"/>
          <w:kern w:val="0"/>
          <w:sz w:val="24"/>
          <w:szCs w:val="22"/>
        </w:rPr>
        <w:t>甲方</w:t>
      </w:r>
      <w:r>
        <w:rPr>
          <w:rFonts w:ascii="仿宋" w:hAnsi="仿宋" w:eastAsia="仿宋" w:cs="仿宋"/>
          <w:kern w:val="0"/>
          <w:sz w:val="24"/>
          <w:szCs w:val="22"/>
        </w:rPr>
        <w:t>有权终止合同，由</w:t>
      </w:r>
      <w:r>
        <w:rPr>
          <w:rFonts w:hint="eastAsia" w:ascii="仿宋" w:hAnsi="仿宋" w:eastAsia="仿宋" w:cs="仿宋"/>
          <w:kern w:val="0"/>
          <w:sz w:val="24"/>
          <w:szCs w:val="22"/>
        </w:rPr>
        <w:t>乙方</w:t>
      </w:r>
      <w:r>
        <w:rPr>
          <w:rFonts w:ascii="仿宋" w:hAnsi="仿宋" w:eastAsia="仿宋" w:cs="仿宋"/>
          <w:kern w:val="0"/>
          <w:sz w:val="24"/>
          <w:szCs w:val="22"/>
        </w:rPr>
        <w:t>承担相应处罚，并赔偿</w:t>
      </w:r>
      <w:r>
        <w:rPr>
          <w:rFonts w:hint="eastAsia" w:ascii="仿宋" w:hAnsi="仿宋" w:eastAsia="仿宋" w:cs="仿宋"/>
          <w:kern w:val="0"/>
          <w:sz w:val="24"/>
          <w:szCs w:val="22"/>
        </w:rPr>
        <w:t>甲方</w:t>
      </w:r>
      <w:r>
        <w:rPr>
          <w:rFonts w:ascii="仿宋" w:hAnsi="仿宋" w:eastAsia="仿宋" w:cs="仿宋"/>
          <w:kern w:val="0"/>
          <w:sz w:val="24"/>
          <w:szCs w:val="22"/>
        </w:rPr>
        <w:t>因此造成的全部损失。</w:t>
      </w:r>
    </w:p>
    <w:p w14:paraId="4BE3280C">
      <w:pPr>
        <w:keepNext/>
        <w:keepLines/>
        <w:widowControl/>
        <w:numPr>
          <w:ilvl w:val="255"/>
          <w:numId w:val="0"/>
        </w:numPr>
        <w:adjustRightInd w:val="0"/>
        <w:spacing w:before="240" w:line="440" w:lineRule="exact"/>
        <w:ind w:left="420"/>
        <w:rPr>
          <w:rFonts w:hint="eastAsia" w:ascii="仿宋" w:hAnsi="仿宋" w:eastAsia="仿宋" w:cs="仿宋"/>
          <w:sz w:val="24"/>
        </w:rPr>
      </w:pPr>
      <w:r>
        <w:rPr>
          <w:rFonts w:hint="eastAsia" w:ascii="仿宋" w:hAnsi="仿宋" w:eastAsia="仿宋" w:cs="仿宋"/>
          <w:sz w:val="24"/>
        </w:rPr>
        <w:t>六、食品安全全流程管控</w:t>
      </w:r>
    </w:p>
    <w:p w14:paraId="678B5FD4">
      <w:pPr>
        <w:widowControl/>
        <w:numPr>
          <w:ilvl w:val="0"/>
          <w:numId w:val="19"/>
        </w:numPr>
        <w:spacing w:line="440" w:lineRule="exact"/>
        <w:jc w:val="left"/>
        <w:rPr>
          <w:rFonts w:hint="eastAsia" w:ascii="仿宋" w:hAnsi="仿宋" w:eastAsia="仿宋" w:cs="仿宋"/>
          <w:kern w:val="0"/>
          <w:sz w:val="24"/>
          <w:szCs w:val="22"/>
        </w:rPr>
      </w:pPr>
      <w:r>
        <w:rPr>
          <w:rFonts w:hint="eastAsia" w:ascii="仿宋" w:hAnsi="仿宋" w:eastAsia="仿宋" w:cs="仿宋"/>
          <w:kern w:val="0"/>
          <w:sz w:val="24"/>
          <w:szCs w:val="22"/>
        </w:rPr>
        <w:t>乙方</w:t>
      </w:r>
      <w:r>
        <w:rPr>
          <w:rFonts w:ascii="仿宋" w:hAnsi="仿宋" w:eastAsia="仿宋" w:cs="仿宋"/>
          <w:kern w:val="0"/>
          <w:sz w:val="24"/>
          <w:szCs w:val="22"/>
        </w:rPr>
        <w:t>须严格执行《餐饮服务食品安全操作规范》，落实食品加工、销售，建立健全食品安全管理制度，明确各岗位食品安全责任。</w:t>
      </w:r>
    </w:p>
    <w:p w14:paraId="5F23648A">
      <w:pPr>
        <w:widowControl/>
        <w:numPr>
          <w:ilvl w:val="0"/>
          <w:numId w:val="19"/>
        </w:numPr>
        <w:spacing w:line="440" w:lineRule="exact"/>
        <w:jc w:val="left"/>
        <w:rPr>
          <w:rFonts w:hint="eastAsia" w:ascii="仿宋" w:hAnsi="仿宋" w:eastAsia="仿宋" w:cs="仿宋"/>
          <w:kern w:val="0"/>
          <w:sz w:val="24"/>
          <w:szCs w:val="22"/>
        </w:rPr>
      </w:pPr>
      <w:r>
        <w:rPr>
          <w:rFonts w:hint="eastAsia" w:ascii="仿宋" w:hAnsi="仿宋" w:eastAsia="仿宋" w:cs="仿宋"/>
          <w:kern w:val="0"/>
          <w:sz w:val="24"/>
          <w:szCs w:val="22"/>
        </w:rPr>
        <w:t>乙方</w:t>
      </w:r>
      <w:r>
        <w:rPr>
          <w:rFonts w:ascii="仿宋" w:hAnsi="仿宋" w:eastAsia="仿宋" w:cs="仿宋"/>
          <w:kern w:val="0"/>
          <w:sz w:val="24"/>
          <w:szCs w:val="22"/>
        </w:rPr>
        <w:t>须配备专职食品安全总监（可由项目总负责人兼任，不得跨项目兼任），每个院区配备至少 1 名专职食品安全员，不得由</w:t>
      </w:r>
      <w:r>
        <w:rPr>
          <w:rFonts w:hint="eastAsia" w:ascii="仿宋" w:hAnsi="仿宋" w:eastAsia="仿宋" w:cs="仿宋"/>
          <w:kern w:val="0"/>
          <w:sz w:val="24"/>
          <w:szCs w:val="22"/>
          <w:lang w:eastAsia="zh-CN"/>
        </w:rPr>
        <w:t>厨师长</w:t>
      </w:r>
      <w:r>
        <w:rPr>
          <w:rFonts w:ascii="仿宋" w:hAnsi="仿宋" w:eastAsia="仿宋" w:cs="仿宋"/>
          <w:kern w:val="0"/>
          <w:sz w:val="24"/>
          <w:szCs w:val="22"/>
        </w:rPr>
        <w:t>、厨师等烹饪操作岗位人员兼任，须专职履行食品安全管控职责；食品安全总监须具备中级及以上食品安全管理人员培训考核合格证书，每年参加不少于40小时食品安全专项培训；食品安全员须具备有效食品安全管理人员培训考核合格证书，无食品安全行业从业禁止记录。</w:t>
      </w:r>
    </w:p>
    <w:p w14:paraId="6D1776CC">
      <w:pPr>
        <w:widowControl/>
        <w:numPr>
          <w:ilvl w:val="0"/>
          <w:numId w:val="19"/>
        </w:numPr>
        <w:spacing w:line="440" w:lineRule="exact"/>
        <w:jc w:val="left"/>
        <w:rPr>
          <w:rFonts w:hint="eastAsia" w:ascii="仿宋" w:hAnsi="仿宋" w:eastAsia="仿宋" w:cs="仿宋"/>
          <w:kern w:val="0"/>
          <w:sz w:val="24"/>
          <w:szCs w:val="22"/>
        </w:rPr>
      </w:pPr>
      <w:r>
        <w:rPr>
          <w:rFonts w:ascii="仿宋" w:hAnsi="仿宋" w:eastAsia="仿宋" w:cs="仿宋"/>
          <w:kern w:val="0"/>
          <w:sz w:val="24"/>
          <w:szCs w:val="22"/>
        </w:rPr>
        <w:t>项目总负责人（食品安全总监）落实「月调度」机制，每月至少召开 1 次食品安全工作调度会议，对当月食品安全日管控、周排查发现的问题进行复盘整改，分析食品安全风险隐患，部署下月管控重点，形成完整的月度调度会议纪要，提交</w:t>
      </w:r>
      <w:r>
        <w:rPr>
          <w:rFonts w:hint="eastAsia" w:ascii="仿宋" w:hAnsi="仿宋" w:eastAsia="仿宋" w:cs="仿宋"/>
          <w:kern w:val="0"/>
          <w:sz w:val="24"/>
          <w:szCs w:val="22"/>
        </w:rPr>
        <w:t>甲方</w:t>
      </w:r>
      <w:r>
        <w:rPr>
          <w:rFonts w:ascii="仿宋" w:hAnsi="仿宋" w:eastAsia="仿宋" w:cs="仿宋"/>
          <w:kern w:val="0"/>
          <w:sz w:val="24"/>
          <w:szCs w:val="22"/>
        </w:rPr>
        <w:t>备案，会议纪要留存期限不少于 2 年。</w:t>
      </w:r>
    </w:p>
    <w:p w14:paraId="1B1B4CD7">
      <w:pPr>
        <w:widowControl/>
        <w:numPr>
          <w:ilvl w:val="0"/>
          <w:numId w:val="19"/>
        </w:numPr>
        <w:spacing w:line="440" w:lineRule="exact"/>
        <w:jc w:val="left"/>
        <w:rPr>
          <w:rFonts w:hint="eastAsia" w:ascii="仿宋" w:hAnsi="仿宋" w:eastAsia="仿宋" w:cs="仿宋"/>
          <w:kern w:val="0"/>
          <w:sz w:val="24"/>
          <w:szCs w:val="22"/>
        </w:rPr>
      </w:pPr>
      <w:r>
        <w:rPr>
          <w:rFonts w:ascii="仿宋" w:hAnsi="仿宋" w:eastAsia="仿宋" w:cs="仿宋"/>
          <w:kern w:val="0"/>
          <w:sz w:val="24"/>
          <w:szCs w:val="22"/>
        </w:rPr>
        <w:t>食品安全总监落实「周排查」机制，每周至少1次全面排查食品安全风险，形成排查报告并跟踪整改；食品安全员落实「日管控」机制，每日至少1次按风险管控清单开展检查，规范做好管控记录。</w:t>
      </w:r>
    </w:p>
    <w:p w14:paraId="2E2727B6">
      <w:pPr>
        <w:widowControl/>
        <w:numPr>
          <w:ilvl w:val="0"/>
          <w:numId w:val="19"/>
        </w:numPr>
        <w:spacing w:line="440" w:lineRule="exact"/>
        <w:jc w:val="left"/>
        <w:rPr>
          <w:rFonts w:hint="eastAsia" w:ascii="仿宋" w:hAnsi="仿宋" w:eastAsia="仿宋" w:cs="仿宋"/>
          <w:kern w:val="0"/>
          <w:sz w:val="24"/>
          <w:szCs w:val="22"/>
        </w:rPr>
      </w:pPr>
      <w:r>
        <w:rPr>
          <w:rFonts w:ascii="仿宋" w:hAnsi="仿宋" w:eastAsia="仿宋" w:cs="仿宋"/>
          <w:kern w:val="0"/>
          <w:sz w:val="24"/>
          <w:szCs w:val="22"/>
        </w:rPr>
        <w:t>如因</w:t>
      </w:r>
      <w:r>
        <w:rPr>
          <w:rFonts w:hint="eastAsia" w:ascii="仿宋" w:hAnsi="仿宋" w:eastAsia="仿宋" w:cs="仿宋"/>
          <w:kern w:val="0"/>
          <w:sz w:val="24"/>
          <w:szCs w:val="22"/>
        </w:rPr>
        <w:t>乙方</w:t>
      </w:r>
      <w:r>
        <w:rPr>
          <w:rFonts w:ascii="仿宋" w:hAnsi="仿宋" w:eastAsia="仿宋" w:cs="仿宋"/>
          <w:kern w:val="0"/>
          <w:sz w:val="24"/>
          <w:szCs w:val="22"/>
        </w:rPr>
        <w:t>食材采购、加工、配送等环节违规操作导致的食品安全事故、食物中毒事件，全部经济责任、法律责任由</w:t>
      </w:r>
      <w:r>
        <w:rPr>
          <w:rFonts w:hint="eastAsia" w:ascii="仿宋" w:hAnsi="仿宋" w:eastAsia="仿宋" w:cs="仿宋"/>
          <w:kern w:val="0"/>
          <w:sz w:val="24"/>
          <w:szCs w:val="22"/>
        </w:rPr>
        <w:t>乙方</w:t>
      </w:r>
      <w:r>
        <w:rPr>
          <w:rFonts w:ascii="仿宋" w:hAnsi="仿宋" w:eastAsia="仿宋" w:cs="仿宋"/>
          <w:kern w:val="0"/>
          <w:sz w:val="24"/>
          <w:szCs w:val="22"/>
        </w:rPr>
        <w:t>承担，包括但不限于人员医疗费、误工费、残疾赔偿金、死亡赔偿金、精神损害抚慰金、事故处理费，以及</w:t>
      </w:r>
      <w:r>
        <w:rPr>
          <w:rFonts w:hint="eastAsia" w:ascii="仿宋" w:hAnsi="仿宋" w:eastAsia="仿宋" w:cs="仿宋"/>
          <w:kern w:val="0"/>
          <w:sz w:val="24"/>
          <w:szCs w:val="22"/>
        </w:rPr>
        <w:t>甲方</w:t>
      </w:r>
      <w:r>
        <w:rPr>
          <w:rFonts w:ascii="仿宋" w:hAnsi="仿宋" w:eastAsia="仿宋" w:cs="仿宋"/>
          <w:kern w:val="0"/>
          <w:sz w:val="24"/>
          <w:szCs w:val="22"/>
        </w:rPr>
        <w:t>因此支出的律师费、公证费、鉴定费、舆情处置费、商誉损失赔偿金等；同时</w:t>
      </w:r>
      <w:r>
        <w:rPr>
          <w:rFonts w:hint="eastAsia" w:ascii="仿宋" w:hAnsi="仿宋" w:eastAsia="仿宋" w:cs="仿宋"/>
          <w:kern w:val="0"/>
          <w:sz w:val="24"/>
          <w:szCs w:val="22"/>
        </w:rPr>
        <w:t>乙方</w:t>
      </w:r>
      <w:r>
        <w:rPr>
          <w:rFonts w:ascii="仿宋" w:hAnsi="仿宋" w:eastAsia="仿宋" w:cs="仿宋"/>
          <w:kern w:val="0"/>
          <w:sz w:val="24"/>
          <w:szCs w:val="22"/>
        </w:rPr>
        <w:t>须向</w:t>
      </w:r>
      <w:r>
        <w:rPr>
          <w:rFonts w:hint="eastAsia" w:ascii="仿宋" w:hAnsi="仿宋" w:eastAsia="仿宋" w:cs="仿宋"/>
          <w:kern w:val="0"/>
          <w:sz w:val="24"/>
          <w:szCs w:val="22"/>
        </w:rPr>
        <w:t>甲方</w:t>
      </w:r>
      <w:r>
        <w:rPr>
          <w:rFonts w:ascii="仿宋" w:hAnsi="仿宋" w:eastAsia="仿宋" w:cs="仿宋"/>
          <w:kern w:val="0"/>
          <w:sz w:val="24"/>
          <w:szCs w:val="22"/>
        </w:rPr>
        <w:t>支付</w:t>
      </w:r>
      <w:r>
        <w:rPr>
          <w:rFonts w:hint="eastAsia" w:ascii="仿宋" w:hAnsi="仿宋" w:eastAsia="仿宋" w:cs="仿宋"/>
          <w:kern w:val="0"/>
          <w:sz w:val="24"/>
          <w:szCs w:val="22"/>
        </w:rPr>
        <w:t>75万元</w:t>
      </w:r>
      <w:r>
        <w:rPr>
          <w:rFonts w:ascii="仿宋" w:hAnsi="仿宋" w:eastAsia="仿宋" w:cs="仿宋"/>
          <w:kern w:val="0"/>
          <w:sz w:val="24"/>
          <w:szCs w:val="22"/>
        </w:rPr>
        <w:t>的违约金，违约金不足以弥补</w:t>
      </w:r>
      <w:r>
        <w:rPr>
          <w:rFonts w:hint="eastAsia" w:ascii="仿宋" w:hAnsi="仿宋" w:eastAsia="仿宋" w:cs="仿宋"/>
          <w:kern w:val="0"/>
          <w:sz w:val="24"/>
          <w:szCs w:val="22"/>
        </w:rPr>
        <w:t>甲方</w:t>
      </w:r>
      <w:r>
        <w:rPr>
          <w:rFonts w:ascii="仿宋" w:hAnsi="仿宋" w:eastAsia="仿宋" w:cs="仿宋"/>
          <w:kern w:val="0"/>
          <w:sz w:val="24"/>
          <w:szCs w:val="22"/>
        </w:rPr>
        <w:t>全部损失的，</w:t>
      </w:r>
      <w:r>
        <w:rPr>
          <w:rFonts w:hint="eastAsia" w:ascii="仿宋" w:hAnsi="仿宋" w:eastAsia="仿宋" w:cs="仿宋"/>
          <w:kern w:val="0"/>
          <w:sz w:val="24"/>
          <w:szCs w:val="22"/>
        </w:rPr>
        <w:t>乙方</w:t>
      </w:r>
      <w:r>
        <w:rPr>
          <w:rFonts w:ascii="仿宋" w:hAnsi="仿宋" w:eastAsia="仿宋" w:cs="仿宋"/>
          <w:kern w:val="0"/>
          <w:sz w:val="24"/>
          <w:szCs w:val="22"/>
        </w:rPr>
        <w:t>须补足差额；</w:t>
      </w:r>
      <w:r>
        <w:rPr>
          <w:rFonts w:hint="eastAsia" w:ascii="仿宋" w:hAnsi="仿宋" w:eastAsia="仿宋" w:cs="仿宋"/>
          <w:kern w:val="0"/>
          <w:sz w:val="24"/>
          <w:szCs w:val="22"/>
        </w:rPr>
        <w:t>甲方</w:t>
      </w:r>
      <w:r>
        <w:rPr>
          <w:rFonts w:ascii="仿宋" w:hAnsi="仿宋" w:eastAsia="仿宋" w:cs="仿宋"/>
          <w:kern w:val="0"/>
          <w:sz w:val="24"/>
          <w:szCs w:val="22"/>
        </w:rPr>
        <w:t>有权单方终止合同。</w:t>
      </w:r>
    </w:p>
    <w:p w14:paraId="49E9455D">
      <w:pPr>
        <w:widowControl/>
        <w:numPr>
          <w:ilvl w:val="0"/>
          <w:numId w:val="19"/>
        </w:numPr>
        <w:spacing w:line="440" w:lineRule="exact"/>
        <w:jc w:val="left"/>
        <w:rPr>
          <w:rFonts w:hint="eastAsia" w:ascii="仿宋" w:hAnsi="仿宋" w:eastAsia="仿宋" w:cs="仿宋"/>
          <w:kern w:val="0"/>
          <w:sz w:val="24"/>
          <w:szCs w:val="22"/>
        </w:rPr>
      </w:pPr>
      <w:r>
        <w:rPr>
          <w:rFonts w:ascii="仿宋" w:hAnsi="仿宋" w:eastAsia="仿宋" w:cs="仿宋"/>
          <w:kern w:val="0"/>
          <w:sz w:val="24"/>
          <w:szCs w:val="22"/>
        </w:rPr>
        <w:t>食品添加剂须严格按照《食品安全国家标准食品添加剂使用标准》（GB2760-2024）执行，落实「专人采购、专人保管、专人领用、专人登记、专柜加锁」的五专管理制度，精准称量、规范记录，严禁超范围、超用量使用，严禁使用非食用物质。</w:t>
      </w:r>
    </w:p>
    <w:p w14:paraId="28512686">
      <w:pPr>
        <w:widowControl/>
        <w:numPr>
          <w:ilvl w:val="0"/>
          <w:numId w:val="19"/>
        </w:numPr>
        <w:spacing w:line="440" w:lineRule="exact"/>
        <w:jc w:val="left"/>
        <w:rPr>
          <w:rFonts w:hint="eastAsia" w:ascii="仿宋" w:hAnsi="仿宋" w:eastAsia="仿宋" w:cs="仿宋"/>
          <w:kern w:val="0"/>
          <w:sz w:val="24"/>
          <w:szCs w:val="22"/>
        </w:rPr>
      </w:pPr>
      <w:r>
        <w:rPr>
          <w:rFonts w:ascii="仿宋" w:hAnsi="仿宋" w:eastAsia="仿宋" w:cs="仿宋"/>
          <w:kern w:val="0"/>
          <w:sz w:val="24"/>
          <w:szCs w:val="22"/>
        </w:rPr>
        <w:t>生熟食品分开储存、分开加工，专用刀具、砧板、容器分区使用，杜绝交叉污染；冷藏冷冻设备定期清洁、维护，温度实时监控并记录。</w:t>
      </w:r>
    </w:p>
    <w:p w14:paraId="08E9B101">
      <w:pPr>
        <w:widowControl/>
        <w:numPr>
          <w:ilvl w:val="0"/>
          <w:numId w:val="19"/>
        </w:numPr>
        <w:spacing w:line="440" w:lineRule="exact"/>
        <w:jc w:val="left"/>
        <w:rPr>
          <w:rFonts w:hint="eastAsia" w:ascii="仿宋" w:hAnsi="仿宋" w:eastAsia="仿宋" w:cs="仿宋"/>
          <w:kern w:val="0"/>
          <w:sz w:val="24"/>
          <w:szCs w:val="22"/>
        </w:rPr>
      </w:pPr>
      <w:r>
        <w:rPr>
          <w:rFonts w:ascii="仿宋" w:hAnsi="仿宋" w:eastAsia="仿宋" w:cs="仿宋"/>
          <w:kern w:val="0"/>
          <w:sz w:val="24"/>
          <w:szCs w:val="22"/>
        </w:rPr>
        <w:t>从业人员每日执行晨检制度，有发热、腹泻、皮肤伤口等有碍食品安全病症的，立即调离岗位，治愈后方可重新上岗，晨检记录规范留存，保存期限不少于 2 年；所有驻场人员须持有效健康证上岗，每年在具备法定资质的医疗机构进行健康体检，健康证留存备查。</w:t>
      </w:r>
    </w:p>
    <w:p w14:paraId="58FC8504">
      <w:pPr>
        <w:spacing w:line="360" w:lineRule="auto"/>
        <w:ind w:firstLine="480" w:firstLineChars="200"/>
        <w:rPr>
          <w:rFonts w:hint="eastAsia" w:ascii="仿宋" w:hAnsi="仿宋" w:eastAsia="仿宋" w:cs="仿宋"/>
          <w:sz w:val="24"/>
        </w:rPr>
      </w:pPr>
      <w:r>
        <w:rPr>
          <w:rFonts w:hint="eastAsia" w:ascii="仿宋" w:hAnsi="仿宋" w:eastAsia="仿宋" w:cs="仿宋"/>
          <w:sz w:val="24"/>
        </w:rPr>
        <w:t>七、</w:t>
      </w:r>
      <w:r>
        <w:rPr>
          <w:rFonts w:ascii="仿宋" w:hAnsi="仿宋" w:eastAsia="仿宋" w:cs="仿宋"/>
          <w:sz w:val="24"/>
        </w:rPr>
        <w:t>食材验收与应急退换货</w:t>
      </w:r>
    </w:p>
    <w:p w14:paraId="53A78E43">
      <w:pPr>
        <w:numPr>
          <w:ilvl w:val="0"/>
          <w:numId w:val="20"/>
        </w:numPr>
        <w:spacing w:line="360" w:lineRule="auto"/>
        <w:rPr>
          <w:rFonts w:hint="eastAsia" w:ascii="仿宋" w:hAnsi="仿宋" w:eastAsia="仿宋" w:cs="仿宋"/>
          <w:sz w:val="24"/>
        </w:rPr>
      </w:pPr>
      <w:r>
        <w:rPr>
          <w:rFonts w:hint="eastAsia" w:ascii="仿宋" w:hAnsi="仿宋" w:eastAsia="仿宋" w:cs="仿宋"/>
          <w:sz w:val="24"/>
        </w:rPr>
        <w:t>甲方</w:t>
      </w:r>
      <w:r>
        <w:rPr>
          <w:rFonts w:ascii="仿宋" w:hAnsi="仿宋" w:eastAsia="仿宋" w:cs="仿宋"/>
          <w:sz w:val="24"/>
        </w:rPr>
        <w:t>有权全程参与食材</w:t>
      </w:r>
      <w:r>
        <w:rPr>
          <w:rFonts w:hint="eastAsia" w:ascii="仿宋" w:hAnsi="仿宋" w:eastAsia="仿宋" w:cs="仿宋"/>
          <w:sz w:val="24"/>
        </w:rPr>
        <w:t>抽查</w:t>
      </w:r>
      <w:r>
        <w:rPr>
          <w:rFonts w:ascii="仿宋" w:hAnsi="仿宋" w:eastAsia="仿宋" w:cs="仿宋"/>
          <w:sz w:val="24"/>
        </w:rPr>
        <w:t>；</w:t>
      </w:r>
      <w:r>
        <w:rPr>
          <w:rFonts w:hint="eastAsia" w:ascii="仿宋" w:hAnsi="仿宋" w:eastAsia="仿宋" w:cs="仿宋"/>
          <w:sz w:val="24"/>
        </w:rPr>
        <w:t>乙方</w:t>
      </w:r>
      <w:r>
        <w:rPr>
          <w:rFonts w:ascii="仿宋" w:hAnsi="仿宋" w:eastAsia="仿宋" w:cs="仿宋"/>
          <w:sz w:val="24"/>
        </w:rPr>
        <w:t>每次随货送上一式二份送货清单验货后签字确认，作为送、收货的凭证。</w:t>
      </w:r>
    </w:p>
    <w:p w14:paraId="1783FFFE">
      <w:pPr>
        <w:numPr>
          <w:ilvl w:val="0"/>
          <w:numId w:val="20"/>
        </w:numPr>
        <w:spacing w:line="360" w:lineRule="auto"/>
        <w:rPr>
          <w:rFonts w:hint="eastAsia" w:ascii="仿宋" w:hAnsi="仿宋" w:eastAsia="仿宋" w:cs="仿宋"/>
          <w:sz w:val="24"/>
        </w:rPr>
      </w:pPr>
      <w:r>
        <w:rPr>
          <w:rFonts w:hint="eastAsia" w:ascii="仿宋" w:hAnsi="仿宋" w:eastAsia="仿宋" w:cs="仿宋"/>
          <w:sz w:val="24"/>
        </w:rPr>
        <w:t>甲方</w:t>
      </w:r>
      <w:r>
        <w:rPr>
          <w:rFonts w:ascii="仿宋" w:hAnsi="仿宋" w:eastAsia="仿宋" w:cs="仿宋"/>
          <w:sz w:val="24"/>
        </w:rPr>
        <w:t>按合同对</w:t>
      </w:r>
      <w:r>
        <w:rPr>
          <w:rFonts w:hint="eastAsia" w:ascii="仿宋" w:hAnsi="仿宋" w:eastAsia="仿宋" w:cs="仿宋"/>
          <w:sz w:val="24"/>
        </w:rPr>
        <w:t>乙方</w:t>
      </w:r>
      <w:r>
        <w:rPr>
          <w:rFonts w:ascii="仿宋" w:hAnsi="仿宋" w:eastAsia="仿宋" w:cs="仿宋"/>
          <w:sz w:val="24"/>
        </w:rPr>
        <w:t>提供的货物进行不定期</w:t>
      </w:r>
      <w:r>
        <w:rPr>
          <w:rFonts w:hint="eastAsia" w:ascii="仿宋" w:hAnsi="仿宋" w:eastAsia="仿宋" w:cs="仿宋"/>
          <w:sz w:val="24"/>
        </w:rPr>
        <w:t>统一</w:t>
      </w:r>
      <w:r>
        <w:rPr>
          <w:rFonts w:ascii="仿宋" w:hAnsi="仿宋" w:eastAsia="仿宋" w:cs="仿宋"/>
          <w:sz w:val="24"/>
        </w:rPr>
        <w:t>抽查，按照附件4《食堂餐饮服务监督标准》执行，对不符合规格要求的货物，</w:t>
      </w:r>
      <w:r>
        <w:rPr>
          <w:rFonts w:hint="eastAsia" w:ascii="仿宋" w:hAnsi="仿宋" w:eastAsia="仿宋" w:cs="仿宋"/>
          <w:sz w:val="24"/>
        </w:rPr>
        <w:t>乙方</w:t>
      </w:r>
      <w:r>
        <w:rPr>
          <w:rFonts w:ascii="仿宋" w:hAnsi="仿宋" w:eastAsia="仿宋" w:cs="仿宋"/>
          <w:sz w:val="24"/>
        </w:rPr>
        <w:t>应无条件退货、换货；</w:t>
      </w:r>
      <w:r>
        <w:rPr>
          <w:rFonts w:hint="eastAsia" w:ascii="仿宋" w:hAnsi="仿宋" w:eastAsia="仿宋" w:cs="仿宋"/>
          <w:sz w:val="24"/>
        </w:rPr>
        <w:t>乙方</w:t>
      </w:r>
      <w:r>
        <w:rPr>
          <w:rFonts w:ascii="仿宋" w:hAnsi="仿宋" w:eastAsia="仿宋" w:cs="仿宋"/>
          <w:sz w:val="24"/>
        </w:rPr>
        <w:t>未能履行招标文件和合同所定事项，或供应不合格的、假冒伪劣、以次充好的货物，每次扣罚</w:t>
      </w:r>
      <w:r>
        <w:rPr>
          <w:rFonts w:hint="eastAsia" w:ascii="仿宋" w:hAnsi="仿宋" w:eastAsia="仿宋" w:cs="仿宋"/>
          <w:sz w:val="24"/>
        </w:rPr>
        <w:t>乙方</w:t>
      </w:r>
      <w:r>
        <w:rPr>
          <w:rFonts w:ascii="仿宋" w:hAnsi="仿宋" w:eastAsia="仿宋" w:cs="仿宋"/>
          <w:sz w:val="24"/>
        </w:rPr>
        <w:t>5000元，发生三次或以上的，每次扣罚（5000×n）元的基础上加扣当月结算费用的5%。年度累计六次及以上的，</w:t>
      </w:r>
      <w:r>
        <w:rPr>
          <w:rFonts w:hint="eastAsia" w:ascii="仿宋" w:hAnsi="仿宋" w:eastAsia="仿宋" w:cs="仿宋"/>
          <w:sz w:val="24"/>
        </w:rPr>
        <w:t>甲方</w:t>
      </w:r>
      <w:r>
        <w:rPr>
          <w:rFonts w:ascii="仿宋" w:hAnsi="仿宋" w:eastAsia="仿宋" w:cs="仿宋"/>
          <w:sz w:val="24"/>
        </w:rPr>
        <w:t>有权终止合同，</w:t>
      </w:r>
      <w:r>
        <w:rPr>
          <w:rFonts w:hint="eastAsia" w:ascii="仿宋" w:hAnsi="仿宋" w:eastAsia="仿宋" w:cs="仿宋"/>
          <w:sz w:val="24"/>
        </w:rPr>
        <w:t>乙方</w:t>
      </w:r>
      <w:r>
        <w:rPr>
          <w:rFonts w:ascii="仿宋" w:hAnsi="仿宋" w:eastAsia="仿宋" w:cs="仿宋"/>
          <w:sz w:val="24"/>
        </w:rPr>
        <w:t>需承担因此产生的一切损失和费用。</w:t>
      </w:r>
    </w:p>
    <w:p w14:paraId="5F1FF896">
      <w:pPr>
        <w:numPr>
          <w:ilvl w:val="0"/>
          <w:numId w:val="20"/>
        </w:numPr>
        <w:spacing w:line="360" w:lineRule="auto"/>
        <w:rPr>
          <w:rFonts w:hint="eastAsia" w:ascii="仿宋" w:hAnsi="仿宋" w:eastAsia="仿宋" w:cs="仿宋"/>
          <w:sz w:val="24"/>
        </w:rPr>
      </w:pPr>
      <w:r>
        <w:rPr>
          <w:rFonts w:ascii="仿宋" w:hAnsi="仿宋" w:eastAsia="仿宋" w:cs="仿宋"/>
          <w:sz w:val="24"/>
        </w:rPr>
        <w:t>对</w:t>
      </w:r>
      <w:r>
        <w:rPr>
          <w:rFonts w:hint="eastAsia" w:ascii="仿宋" w:hAnsi="仿宋" w:eastAsia="仿宋" w:cs="仿宋"/>
          <w:sz w:val="24"/>
        </w:rPr>
        <w:t>甲方应急</w:t>
      </w:r>
      <w:r>
        <w:rPr>
          <w:rFonts w:ascii="仿宋" w:hAnsi="仿宋" w:eastAsia="仿宋" w:cs="仿宋"/>
          <w:sz w:val="24"/>
        </w:rPr>
        <w:t>用餐服务需求，要求在15分钟内响应，并在指定时间内完成供餐服务。如未能及时供餐保障，扣除当月结算费用的1%违约金。</w:t>
      </w:r>
    </w:p>
    <w:p w14:paraId="7020B78D">
      <w:pPr>
        <w:widowControl/>
        <w:numPr>
          <w:ilvl w:val="0"/>
          <w:numId w:val="20"/>
        </w:numPr>
        <w:spacing w:line="360" w:lineRule="auto"/>
        <w:rPr>
          <w:rFonts w:hint="eastAsia" w:ascii="仿宋" w:hAnsi="仿宋" w:eastAsia="仿宋" w:cs="仿宋"/>
          <w:color w:val="0070C0"/>
          <w:sz w:val="24"/>
        </w:rPr>
      </w:pPr>
      <w:r>
        <w:rPr>
          <w:rFonts w:ascii="仿宋" w:hAnsi="仿宋" w:eastAsia="仿宋" w:cs="仿宋"/>
          <w:sz w:val="24"/>
        </w:rPr>
        <w:t>甲方根据送货单订购品种和数量验收过秤记录。对于不符合质量的品种甲方有权退货或换货。如因产品质量而造成甲方服务对象发生卫生安全事故，乙方须承担全部责任。</w:t>
      </w:r>
    </w:p>
    <w:p w14:paraId="78D58D50">
      <w:pPr>
        <w:rPr>
          <w:rFonts w:hint="eastAsia" w:ascii="仿宋" w:hAnsi="仿宋" w:eastAsia="仿宋" w:cs="仿宋"/>
          <w:color w:val="0070C0"/>
          <w:sz w:val="24"/>
        </w:rPr>
      </w:pPr>
      <w:r>
        <w:rPr>
          <w:rFonts w:ascii="仿宋" w:hAnsi="仿宋" w:eastAsia="仿宋" w:cs="仿宋"/>
          <w:color w:val="0070C0"/>
          <w:sz w:val="24"/>
        </w:rPr>
        <w:br w:type="page"/>
      </w:r>
    </w:p>
    <w:p w14:paraId="665E7A02">
      <w:pPr>
        <w:spacing w:line="360" w:lineRule="auto"/>
        <w:outlineLvl w:val="1"/>
        <w:rPr>
          <w:rFonts w:hint="eastAsia" w:ascii="华文中宋" w:hAnsi="华文中宋" w:eastAsia="仿宋" w:cs="华文中宋"/>
          <w:b/>
          <w:bCs/>
          <w:sz w:val="32"/>
          <w:szCs w:val="32"/>
        </w:rPr>
      </w:pPr>
      <w:r>
        <w:rPr>
          <w:rFonts w:ascii="仿宋" w:hAnsi="仿宋" w:eastAsia="仿宋" w:cs="仿宋"/>
          <w:b/>
          <w:kern w:val="0"/>
          <w:sz w:val="24"/>
        </w:rPr>
        <w:t>附件</w:t>
      </w:r>
      <w:r>
        <w:rPr>
          <w:rFonts w:hint="eastAsia" w:ascii="仿宋" w:hAnsi="仿宋" w:eastAsia="仿宋" w:cs="仿宋"/>
          <w:b/>
          <w:kern w:val="0"/>
          <w:sz w:val="24"/>
        </w:rPr>
        <w:t>5</w:t>
      </w:r>
    </w:p>
    <w:p w14:paraId="6A7DD350">
      <w:pPr>
        <w:spacing w:line="560" w:lineRule="exact"/>
        <w:ind w:firstLine="723" w:firstLineChars="200"/>
        <w:jc w:val="center"/>
        <w:rPr>
          <w:rFonts w:hint="eastAsia" w:ascii="仿宋" w:hAnsi="仿宋" w:eastAsia="仿宋" w:cs="仿宋"/>
          <w:bCs/>
          <w:sz w:val="30"/>
          <w:szCs w:val="30"/>
        </w:rPr>
      </w:pPr>
      <w:r>
        <w:rPr>
          <w:rFonts w:hint="eastAsia" w:ascii="宋体" w:hAnsi="宋体" w:eastAsia="宋体" w:cs="宋体"/>
          <w:b/>
          <w:sz w:val="36"/>
          <w:szCs w:val="36"/>
        </w:rPr>
        <w:t>廉洁协议书</w:t>
      </w:r>
    </w:p>
    <w:p w14:paraId="04DAAF1F">
      <w:pPr>
        <w:widowControl/>
        <w:spacing w:line="500" w:lineRule="exact"/>
        <w:ind w:firstLine="600" w:firstLineChars="200"/>
        <w:jc w:val="left"/>
        <w:rPr>
          <w:rFonts w:hint="eastAsia" w:ascii="仿宋" w:hAnsi="仿宋" w:eastAsia="仿宋" w:cs="仿宋"/>
          <w:kern w:val="0"/>
          <w:sz w:val="30"/>
          <w:szCs w:val="30"/>
        </w:rPr>
      </w:pPr>
    </w:p>
    <w:p w14:paraId="38B000C3">
      <w:pPr>
        <w:spacing w:after="120" w:line="560" w:lineRule="exact"/>
        <w:ind w:left="420" w:leftChars="200" w:firstLine="560"/>
        <w:rPr>
          <w:rFonts w:hint="eastAsia" w:ascii="仿宋" w:hAnsi="仿宋" w:eastAsia="仿宋" w:cs="仿宋"/>
          <w:sz w:val="30"/>
          <w:szCs w:val="30"/>
        </w:rPr>
      </w:pPr>
      <w:r>
        <w:rPr>
          <w:rFonts w:hint="eastAsia" w:ascii="仿宋" w:hAnsi="仿宋" w:eastAsia="仿宋" w:cs="仿宋"/>
          <w:sz w:val="30"/>
          <w:szCs w:val="30"/>
        </w:rPr>
        <w:t>为了增强甲乙双方依法经营、廉洁从业意识，完善自我约束、自我监督机制，营造守法诚信、廉洁高效的工作环境，防止发生违法违纪行为，保护国家、集体和当事人的合法权益，根据国家有关法律法规和廉洁自律规定，特订立本廉洁协议书：</w:t>
      </w:r>
    </w:p>
    <w:p w14:paraId="1A09F9EB">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第一条  甲、乙双方的共同责任</w:t>
      </w:r>
    </w:p>
    <w:p w14:paraId="5133DEEA">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（一）严格遵守国家关于市场准入、招标投标、工程建设、物资采购等市场经济活动的法律法规、政策以及廉洁建设规定。</w:t>
      </w:r>
    </w:p>
    <w:p w14:paraId="7AD7B7FA">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（二）严格履行合同约定，自觉承担合同义务。</w:t>
      </w:r>
    </w:p>
    <w:p w14:paraId="1C4CE215">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（三）业务活动必须坚持公平、公正、公开和诚实守信的原则（除法律法规另有规定者外），不得为获取不正当利益，损害国家、集体和对方利益，不违反招标投标、工程建设管理、物资采购等方面的规章制度。</w:t>
      </w:r>
    </w:p>
    <w:p w14:paraId="1243B018">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（四）建立健全自我制约制度，开展廉洁教育，公布举报电话，监督并认真查处违法违纪行为。</w:t>
      </w:r>
    </w:p>
    <w:p w14:paraId="61221967">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（五）发现对方在业务活动中有违规、违纪、违法行为的，应及时提醒对方，情节严重的，应向有关纪检部门举报。</w:t>
      </w:r>
    </w:p>
    <w:p w14:paraId="0FEAFDD2">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第二条  甲方的责任</w:t>
      </w:r>
    </w:p>
    <w:p w14:paraId="21EB691A">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甲方相关工作人员，在业务活动的事前、事中、事后，应遵守以下规定：</w:t>
      </w:r>
    </w:p>
    <w:p w14:paraId="1059FC05">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 xml:space="preserve">（一）贯彻落实广州医科大学附属中医医院有关党风廉政建设责任制及廉洁从业的规定，建立企业诚信档案； </w:t>
      </w:r>
    </w:p>
    <w:p w14:paraId="7DE1E8CE">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 xml:space="preserve">（二）按照公平、公正、公开和诚实守信的原则开展各项业务活动，为乙方提供公平的竞争环境与平台； </w:t>
      </w:r>
    </w:p>
    <w:p w14:paraId="6FDFCE27">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（三）</w:t>
      </w:r>
      <w:r>
        <w:rPr>
          <w:rFonts w:hint="eastAsia" w:ascii="仿宋" w:hAnsi="仿宋" w:eastAsia="仿宋" w:cs="仿宋"/>
          <w:color w:val="000000"/>
          <w:kern w:val="0"/>
          <w:sz w:val="30"/>
          <w:szCs w:val="30"/>
        </w:rPr>
        <w:t>不准向</w:t>
      </w:r>
      <w:r>
        <w:rPr>
          <w:rFonts w:hint="eastAsia" w:ascii="仿宋" w:hAnsi="仿宋" w:eastAsia="仿宋" w:cs="仿宋"/>
          <w:kern w:val="0"/>
          <w:sz w:val="30"/>
          <w:szCs w:val="30"/>
        </w:rPr>
        <w:t>乙方泄露</w:t>
      </w:r>
      <w:r>
        <w:rPr>
          <w:rFonts w:hint="eastAsia" w:ascii="仿宋" w:hAnsi="仿宋" w:eastAsia="仿宋" w:cs="仿宋"/>
          <w:color w:val="000000"/>
          <w:kern w:val="0"/>
          <w:sz w:val="30"/>
          <w:szCs w:val="30"/>
        </w:rPr>
        <w:t>涉及</w:t>
      </w:r>
      <w:r>
        <w:rPr>
          <w:rFonts w:hint="eastAsia" w:ascii="仿宋" w:hAnsi="仿宋" w:eastAsia="仿宋" w:cs="仿宋"/>
          <w:kern w:val="0"/>
          <w:sz w:val="30"/>
          <w:szCs w:val="30"/>
        </w:rPr>
        <w:t>有关业务活动</w:t>
      </w:r>
      <w:r>
        <w:rPr>
          <w:rFonts w:hint="eastAsia" w:ascii="仿宋" w:hAnsi="仿宋" w:eastAsia="仿宋" w:cs="仿宋"/>
          <w:color w:val="000000"/>
          <w:kern w:val="0"/>
          <w:sz w:val="30"/>
          <w:szCs w:val="30"/>
        </w:rPr>
        <w:t>的秘密；</w:t>
      </w:r>
    </w:p>
    <w:p w14:paraId="79BAF561">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 xml:space="preserve">（四）不准向乙方和相关单位索要或接受回扣、红包、礼金、购物卡、有价证券、贵重物品和好处费、感谢费等； </w:t>
      </w:r>
    </w:p>
    <w:p w14:paraId="23D4EC1D">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（五）不准在乙方和相关单位报销任何应由甲方或个人支付的费用；</w:t>
      </w:r>
    </w:p>
    <w:p w14:paraId="2263C041">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（六）不准要求、暗示或接受乙方和相关单位为个人装修住房、婚丧嫁娶、配偶子女的工作安排以及境内外旅游等提供方便；</w:t>
      </w:r>
    </w:p>
    <w:p w14:paraId="2C66E8FA">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（七）不准向乙方介绍配偶、子女、亲属参与与甲方有关的经济活动，不得以任何理由向乙方和相关单位推荐第三方单位；</w:t>
      </w:r>
    </w:p>
    <w:p w14:paraId="7D7883F1">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（八）不准参与影响相关工作正常和公正开展的其他活动；</w:t>
      </w:r>
    </w:p>
    <w:p w14:paraId="7AF012A9">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（九）不准违反《中共中央纪委关于严格禁止利用职务上的便利谋取不正当利益的若干规定》的内容。</w:t>
      </w:r>
    </w:p>
    <w:p w14:paraId="6F68E638">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第三条  乙方的责任</w:t>
      </w:r>
    </w:p>
    <w:p w14:paraId="75250317">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在与甲方业务交往过程中，按照有关法律法规和程序开展工作，严格执行国家的有关方针、政策，并遵守以下规定：</w:t>
      </w:r>
    </w:p>
    <w:p w14:paraId="6091BD4F">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（一）不准以任何理由为甲方和相关单位报销应由对方或个人支付的费用；</w:t>
      </w:r>
    </w:p>
    <w:p w14:paraId="59B94DA7">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（二）不准以任何理由向甲方负责人及其工作人员赠送回扣、红包、礼金、购物卡、有价证券、贵重物品和好处费、感谢费等；</w:t>
      </w:r>
    </w:p>
    <w:p w14:paraId="751682A3">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（三）不准以任何理由为甲方、与甲方相关的单位或个人提供高消费宴请及娱乐活动；</w:t>
      </w:r>
    </w:p>
    <w:p w14:paraId="32E87EE0">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（四）不准以任何理由为甲方、与甲方相关的单位或个人购置或提供通信工具、交通工具和高档办公用品；</w:t>
      </w:r>
    </w:p>
    <w:p w14:paraId="7BF7366C">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（五）不准接受或暗示为甲方、与甲方相关的单位或个人装修住房、婚丧嫁娶、配偶子女的工作安排以及境内外旅游等提供方便；</w:t>
      </w:r>
    </w:p>
    <w:p w14:paraId="3D1A26E0">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（六）不准以谋取非正当利益为目的，擅自与甲方工作人员就业务问题进行私下商谈或者达成利益默契；</w:t>
      </w:r>
    </w:p>
    <w:p w14:paraId="40C948B0">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（七）发现甲方工作人员有违反本廉洁协议书规定的，应向甲方单位举报。</w:t>
      </w:r>
    </w:p>
    <w:p w14:paraId="152D71B0">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第四条  相关责任</w:t>
      </w:r>
    </w:p>
    <w:p w14:paraId="7E566DD1">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一）甲方有违反本廉洁协议书第一、二条规定的，严格按照管理权限，依据有关法律法规和规章制度给予纪律处分或组织处理；涉嫌犯罪的，移送司法机关依法追究刑事责任；给乙方单位造成经济损失的，应依法予以赔偿。</w:t>
      </w:r>
    </w:p>
    <w:p w14:paraId="06449FF6">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二）乙方违反本廉洁协议书第一、三条规定的，根据国家和广州医科大学附属中医医院招投标等有关规定，对乙方进行处理。涉嫌犯罪的，移送司法机关依法追究刑事责任；给甲方单位造成经济损失的，应依法予以赔偿。</w:t>
      </w:r>
    </w:p>
    <w:p w14:paraId="4FB59B46">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三）乙方违反本廉洁协议书第一、三条规定，发生行贿行为，经政府有关执纪执法部门或甲方纪检机构查证属实，甲方根据国家和广州医科大学附属中医医院有关规定，视情节轻重对乙方实施一定期限的市场禁入。</w:t>
      </w:r>
    </w:p>
    <w:p w14:paraId="38A7B68C">
      <w:pPr>
        <w:widowControl/>
        <w:spacing w:line="560" w:lineRule="exact"/>
        <w:ind w:firstLine="600" w:firstLineChars="200"/>
        <w:jc w:val="left"/>
        <w:rPr>
          <w:rFonts w:hint="eastAsia" w:ascii="仿宋" w:hAnsi="仿宋" w:eastAsia="仿宋" w:cs="仿宋"/>
          <w:kern w:val="0"/>
          <w:sz w:val="30"/>
          <w:szCs w:val="30"/>
        </w:rPr>
      </w:pPr>
      <w:r>
        <w:rPr>
          <w:rFonts w:hint="eastAsia" w:ascii="仿宋" w:hAnsi="仿宋" w:eastAsia="仿宋" w:cs="仿宋"/>
          <w:kern w:val="0"/>
          <w:sz w:val="30"/>
          <w:szCs w:val="30"/>
        </w:rPr>
        <w:t>第五条  协议书生效及法律效力</w:t>
      </w:r>
    </w:p>
    <w:p w14:paraId="54CD6D74">
      <w:pPr>
        <w:widowControl/>
        <w:spacing w:line="56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kern w:val="0"/>
          <w:sz w:val="30"/>
          <w:szCs w:val="30"/>
        </w:rPr>
        <w:t>（一）本廉洁协议书作为合同的附件，与合同具有同等法律效力，经</w:t>
      </w:r>
      <w:r>
        <w:rPr>
          <w:rFonts w:hint="eastAsia" w:ascii="仿宋" w:hAnsi="仿宋" w:eastAsia="仿宋" w:cs="仿宋"/>
          <w:color w:val="000000"/>
          <w:kern w:val="0"/>
          <w:sz w:val="30"/>
          <w:szCs w:val="30"/>
        </w:rPr>
        <w:t>双方签字盖章后立即生效。</w:t>
      </w:r>
    </w:p>
    <w:p w14:paraId="00036F9B">
      <w:pPr>
        <w:spacing w:after="120" w:line="560" w:lineRule="exact"/>
        <w:ind w:left="420" w:leftChars="200" w:firstLine="560"/>
        <w:rPr>
          <w:rFonts w:hint="eastAsia" w:ascii="仿宋" w:hAnsi="仿宋" w:eastAsia="仿宋" w:cs="仿宋"/>
          <w:sz w:val="30"/>
          <w:szCs w:val="30"/>
        </w:rPr>
      </w:pPr>
      <w:r>
        <w:rPr>
          <w:rFonts w:hint="eastAsia" w:ascii="仿宋" w:hAnsi="仿宋" w:eastAsia="仿宋" w:cs="仿宋"/>
          <w:sz w:val="30"/>
          <w:szCs w:val="30"/>
        </w:rPr>
        <w:t>（二）除非甲乙双方另行签订新的廉洁协议书，否则本廉洁协议书在甲方与乙方存在业务关系期间均对双方产生约束力。</w:t>
      </w:r>
    </w:p>
    <w:p w14:paraId="1F404876">
      <w:pPr>
        <w:tabs>
          <w:tab w:val="left" w:pos="3465"/>
        </w:tabs>
        <w:spacing w:after="120" w:line="560" w:lineRule="exact"/>
        <w:ind w:left="420" w:leftChars="200"/>
        <w:rPr>
          <w:rFonts w:hint="eastAsia" w:ascii="仿宋" w:hAnsi="仿宋" w:eastAsia="仿宋" w:cs="仿宋"/>
          <w:sz w:val="30"/>
          <w:szCs w:val="30"/>
        </w:rPr>
      </w:pPr>
      <w:r>
        <w:rPr>
          <w:rFonts w:hint="eastAsia" w:ascii="仿宋" w:hAnsi="仿宋" w:eastAsia="仿宋" w:cs="仿宋"/>
          <w:sz w:val="30"/>
          <w:szCs w:val="30"/>
        </w:rPr>
        <w:t xml:space="preserve">    甲乙双方确认在签订本廉洁协议书前已仔细阅读条款内容，甲乙双方对本廉洁协议书所产生的法律责任已清楚知悉并承诺遵守。</w:t>
      </w:r>
    </w:p>
    <w:p w14:paraId="7DDC0EB1">
      <w:pPr>
        <w:tabs>
          <w:tab w:val="left" w:pos="3465"/>
        </w:tabs>
        <w:spacing w:after="120" w:line="560" w:lineRule="exact"/>
        <w:rPr>
          <w:rFonts w:hint="eastAsia" w:ascii="仿宋" w:hAnsi="仿宋" w:eastAsia="仿宋" w:cs="仿宋"/>
          <w:sz w:val="30"/>
          <w:szCs w:val="30"/>
        </w:rPr>
      </w:pPr>
    </w:p>
    <w:p w14:paraId="52FC635C">
      <w:pPr>
        <w:tabs>
          <w:tab w:val="left" w:pos="3465"/>
        </w:tabs>
        <w:spacing w:after="120" w:line="560" w:lineRule="exact"/>
        <w:rPr>
          <w:rFonts w:hint="eastAsia" w:ascii="仿宋" w:hAnsi="仿宋" w:eastAsia="仿宋" w:cs="仿宋"/>
          <w:sz w:val="30"/>
          <w:szCs w:val="30"/>
        </w:rPr>
      </w:pPr>
    </w:p>
    <w:p w14:paraId="79093118">
      <w:pPr>
        <w:tabs>
          <w:tab w:val="left" w:pos="3465"/>
        </w:tabs>
        <w:spacing w:after="120" w:line="360" w:lineRule="auto"/>
        <w:rPr>
          <w:rFonts w:hint="eastAsia" w:ascii="仿宋" w:hAnsi="仿宋" w:eastAsia="仿宋" w:cs="仿宋"/>
          <w:sz w:val="30"/>
          <w:szCs w:val="30"/>
        </w:rPr>
      </w:pPr>
      <w:r>
        <w:rPr>
          <w:rFonts w:hint="eastAsia" w:ascii="仿宋" w:hAnsi="仿宋" w:eastAsia="仿宋" w:cs="仿宋"/>
          <w:sz w:val="30"/>
          <w:szCs w:val="30"/>
        </w:rPr>
        <w:t>甲方：                  乙方：</w:t>
      </w:r>
    </w:p>
    <w:p w14:paraId="4CF88108">
      <w:pPr>
        <w:tabs>
          <w:tab w:val="left" w:pos="3465"/>
        </w:tabs>
        <w:spacing w:after="120" w:line="360" w:lineRule="auto"/>
        <w:rPr>
          <w:rFonts w:hint="eastAsia" w:ascii="仿宋" w:hAnsi="仿宋" w:eastAsia="仿宋" w:cs="仿宋"/>
          <w:sz w:val="30"/>
          <w:szCs w:val="30"/>
        </w:rPr>
      </w:pPr>
      <w:r>
        <w:rPr>
          <w:rFonts w:hint="eastAsia" w:ascii="仿宋" w:hAnsi="仿宋" w:eastAsia="仿宋" w:cs="仿宋"/>
          <w:sz w:val="30"/>
          <w:szCs w:val="30"/>
        </w:rPr>
        <w:t>法定代表人：</w:t>
      </w:r>
      <w:r>
        <w:rPr>
          <w:rFonts w:hint="eastAsia" w:ascii="仿宋" w:hAnsi="仿宋" w:eastAsia="仿宋" w:cs="仿宋"/>
          <w:sz w:val="30"/>
          <w:szCs w:val="30"/>
        </w:rPr>
        <w:tab/>
      </w:r>
      <w:r>
        <w:rPr>
          <w:rFonts w:hint="eastAsia" w:ascii="仿宋" w:hAnsi="仿宋" w:eastAsia="仿宋" w:cs="仿宋"/>
          <w:sz w:val="30"/>
          <w:szCs w:val="30"/>
        </w:rPr>
        <w:t xml:space="preserve">  法定代表人：</w:t>
      </w:r>
    </w:p>
    <w:p w14:paraId="32BB2236">
      <w:pPr>
        <w:tabs>
          <w:tab w:val="left" w:pos="3465"/>
        </w:tabs>
        <w:spacing w:after="120" w:line="360" w:lineRule="auto"/>
        <w:rPr>
          <w:rFonts w:hint="eastAsia" w:ascii="仿宋" w:hAnsi="仿宋" w:eastAsia="仿宋" w:cs="仿宋"/>
          <w:sz w:val="30"/>
          <w:szCs w:val="30"/>
        </w:rPr>
      </w:pPr>
      <w:r>
        <w:rPr>
          <w:rFonts w:hint="eastAsia" w:ascii="仿宋" w:hAnsi="仿宋" w:eastAsia="仿宋" w:cs="仿宋"/>
          <w:sz w:val="30"/>
          <w:szCs w:val="30"/>
        </w:rPr>
        <w:t>年  月  日              年  月  日</w:t>
      </w:r>
    </w:p>
    <w:p w14:paraId="7D9AC3E4">
      <w:pPr>
        <w:rPr>
          <w:rFonts w:hint="eastAsia" w:ascii="仿宋" w:hAnsi="仿宋" w:eastAsia="仿宋" w:cs="仿宋"/>
          <w:color w:val="0070C0"/>
          <w:sz w:val="24"/>
        </w:rPr>
      </w:pPr>
      <w:r>
        <w:rPr>
          <w:rFonts w:ascii="仿宋" w:hAnsi="仿宋" w:eastAsia="仿宋" w:cs="仿宋"/>
          <w:color w:val="0070C0"/>
          <w:sz w:val="24"/>
        </w:rPr>
        <w:br w:type="page"/>
      </w:r>
    </w:p>
    <w:p w14:paraId="3E4B079B">
      <w:pPr>
        <w:spacing w:line="360" w:lineRule="auto"/>
        <w:outlineLvl w:val="1"/>
        <w:rPr>
          <w:rFonts w:hint="eastAsia" w:ascii="华文中宋" w:hAnsi="华文中宋" w:eastAsia="仿宋" w:cs="华文中宋"/>
          <w:b/>
          <w:bCs/>
          <w:sz w:val="32"/>
          <w:szCs w:val="32"/>
        </w:rPr>
      </w:pPr>
      <w:r>
        <w:rPr>
          <w:rFonts w:ascii="仿宋" w:hAnsi="仿宋" w:eastAsia="仿宋" w:cs="仿宋"/>
          <w:b/>
          <w:kern w:val="0"/>
          <w:sz w:val="24"/>
        </w:rPr>
        <w:t>附件</w:t>
      </w:r>
      <w:r>
        <w:rPr>
          <w:rFonts w:hint="eastAsia" w:ascii="仿宋" w:hAnsi="仿宋" w:eastAsia="仿宋" w:cs="仿宋"/>
          <w:b/>
          <w:kern w:val="0"/>
          <w:sz w:val="24"/>
        </w:rPr>
        <w:t>6</w:t>
      </w:r>
    </w:p>
    <w:p w14:paraId="0A7E6F60">
      <w:pPr>
        <w:spacing w:line="560" w:lineRule="exact"/>
        <w:ind w:firstLine="723" w:firstLineChars="200"/>
        <w:jc w:val="center"/>
        <w:rPr>
          <w:rFonts w:hint="eastAsia" w:ascii="宋体" w:hAnsi="宋体" w:eastAsia="宋体" w:cs="宋体"/>
          <w:b/>
          <w:sz w:val="36"/>
          <w:szCs w:val="36"/>
        </w:rPr>
      </w:pPr>
      <w:r>
        <w:rPr>
          <w:rFonts w:hint="eastAsia" w:ascii="宋体" w:hAnsi="宋体" w:eastAsia="宋体" w:cs="宋体"/>
          <w:b/>
          <w:sz w:val="36"/>
          <w:szCs w:val="36"/>
        </w:rPr>
        <w:t>广州医科大学附属中医医院医院与</w:t>
      </w:r>
    </w:p>
    <w:p w14:paraId="5F75B05A">
      <w:pPr>
        <w:spacing w:line="560" w:lineRule="exact"/>
        <w:ind w:firstLine="723" w:firstLineChars="200"/>
        <w:jc w:val="center"/>
        <w:rPr>
          <w:rFonts w:hint="eastAsia" w:ascii="宋体" w:hAnsi="宋体" w:eastAsia="宋体" w:cs="宋体"/>
          <w:b/>
          <w:sz w:val="36"/>
          <w:szCs w:val="36"/>
        </w:rPr>
      </w:pPr>
      <w:r>
        <w:rPr>
          <w:rFonts w:hint="eastAsia" w:ascii="宋体" w:hAnsi="宋体" w:eastAsia="宋体" w:cs="宋体"/>
          <w:b/>
          <w:sz w:val="36"/>
          <w:szCs w:val="36"/>
        </w:rPr>
        <w:t>第三方单位安全生产责任书</w:t>
      </w:r>
    </w:p>
    <w:p w14:paraId="12D5A4F9">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w:t>
      </w:r>
    </w:p>
    <w:p w14:paraId="154A3786">
      <w:pPr>
        <w:spacing w:line="560" w:lineRule="exact"/>
        <w:rPr>
          <w:rFonts w:hint="eastAsia" w:ascii="仿宋" w:hAnsi="仿宋" w:eastAsia="仿宋" w:cs="仿宋"/>
          <w:sz w:val="30"/>
          <w:szCs w:val="30"/>
        </w:rPr>
      </w:pPr>
      <w:r>
        <w:rPr>
          <w:rFonts w:hint="eastAsia" w:ascii="仿宋" w:hAnsi="仿宋" w:eastAsia="仿宋" w:cs="仿宋"/>
          <w:sz w:val="30"/>
          <w:szCs w:val="30"/>
        </w:rPr>
        <w:t>甲方：广州医科大学附属中医医院</w:t>
      </w:r>
    </w:p>
    <w:p w14:paraId="5784F358">
      <w:pPr>
        <w:spacing w:line="560" w:lineRule="exact"/>
        <w:rPr>
          <w:rFonts w:hint="eastAsia" w:ascii="仿宋" w:hAnsi="仿宋" w:eastAsia="仿宋" w:cs="仿宋"/>
          <w:sz w:val="30"/>
          <w:szCs w:val="30"/>
        </w:rPr>
      </w:pPr>
      <w:r>
        <w:rPr>
          <w:rFonts w:hint="eastAsia" w:ascii="仿宋" w:hAnsi="仿宋" w:eastAsia="仿宋" w:cs="仿宋"/>
          <w:sz w:val="30"/>
          <w:szCs w:val="30"/>
        </w:rPr>
        <w:t>地址：广州市天河区天坤三路95号</w:t>
      </w:r>
    </w:p>
    <w:p w14:paraId="5C38F8C1">
      <w:pPr>
        <w:spacing w:line="560" w:lineRule="exact"/>
        <w:rPr>
          <w:rFonts w:hint="eastAsia" w:ascii="仿宋" w:hAnsi="仿宋" w:eastAsia="仿宋" w:cs="仿宋"/>
          <w:sz w:val="30"/>
          <w:szCs w:val="30"/>
        </w:rPr>
      </w:pPr>
      <w:r>
        <w:rPr>
          <w:rFonts w:hint="eastAsia" w:ascii="仿宋" w:hAnsi="仿宋" w:eastAsia="仿宋" w:cs="仿宋"/>
          <w:sz w:val="30"/>
          <w:szCs w:val="30"/>
        </w:rPr>
        <w:t xml:space="preserve">法定代表人：于林 </w:t>
      </w:r>
    </w:p>
    <w:p w14:paraId="13AA2CFE">
      <w:pPr>
        <w:spacing w:line="560" w:lineRule="exact"/>
        <w:rPr>
          <w:rFonts w:hint="eastAsia" w:ascii="仿宋" w:hAnsi="仿宋" w:eastAsia="仿宋" w:cs="仿宋"/>
          <w:sz w:val="30"/>
          <w:szCs w:val="30"/>
        </w:rPr>
      </w:pPr>
      <w:r>
        <w:rPr>
          <w:rFonts w:hint="eastAsia" w:ascii="仿宋" w:hAnsi="仿宋" w:eastAsia="仿宋" w:cs="仿宋"/>
          <w:sz w:val="30"/>
          <w:szCs w:val="30"/>
        </w:rPr>
        <w:t>乙方：</w:t>
      </w:r>
    </w:p>
    <w:p w14:paraId="019F10C5">
      <w:pPr>
        <w:spacing w:line="560" w:lineRule="exact"/>
        <w:rPr>
          <w:rFonts w:hint="eastAsia" w:ascii="仿宋" w:hAnsi="仿宋" w:eastAsia="仿宋" w:cs="仿宋"/>
          <w:sz w:val="30"/>
          <w:szCs w:val="30"/>
        </w:rPr>
      </w:pPr>
      <w:r>
        <w:rPr>
          <w:rFonts w:hint="eastAsia" w:ascii="仿宋" w:hAnsi="仿宋" w:eastAsia="仿宋" w:cs="仿宋"/>
          <w:sz w:val="30"/>
          <w:szCs w:val="30"/>
        </w:rPr>
        <w:t>地址：</w:t>
      </w:r>
    </w:p>
    <w:p w14:paraId="58267EF6">
      <w:pPr>
        <w:spacing w:line="560" w:lineRule="exact"/>
        <w:rPr>
          <w:rFonts w:hint="eastAsia" w:ascii="仿宋" w:hAnsi="仿宋" w:eastAsia="仿宋" w:cs="仿宋"/>
          <w:sz w:val="30"/>
          <w:szCs w:val="30"/>
        </w:rPr>
      </w:pPr>
      <w:r>
        <w:rPr>
          <w:rFonts w:hint="eastAsia" w:ascii="仿宋" w:hAnsi="仿宋" w:eastAsia="仿宋" w:cs="仿宋"/>
          <w:sz w:val="30"/>
          <w:szCs w:val="30"/>
        </w:rPr>
        <w:t xml:space="preserve">法定代表人： </w:t>
      </w:r>
    </w:p>
    <w:p w14:paraId="014A2F57">
      <w:pPr>
        <w:spacing w:line="560" w:lineRule="exact"/>
        <w:rPr>
          <w:rFonts w:hint="eastAsia" w:ascii="仿宋" w:hAnsi="仿宋" w:eastAsia="仿宋" w:cs="仿宋"/>
          <w:sz w:val="30"/>
          <w:szCs w:val="30"/>
        </w:rPr>
      </w:pPr>
    </w:p>
    <w:p w14:paraId="579B72F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为了加强医院的安全生产管理，保障医院的正常运营和患者、员工的生命财产安全，根据国家相关法律法规和医院的安全生产管理制度，经甲乙双方商议，就乙方在甲方内的服务活动中的安全生产责任达成如下协议：</w:t>
      </w:r>
    </w:p>
    <w:p w14:paraId="5CB4BA80">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一、责任目标</w:t>
      </w:r>
    </w:p>
    <w:p w14:paraId="1C8DFA0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 乙方在服务期间内，杜绝发生因自身原因导致的重伤及以上人身伤亡事故、重大设备事故、重大火灾事故、重大环境污染事故和重大公共卫生事件。轻伤及未遂事故小于等于1起。</w:t>
      </w:r>
    </w:p>
    <w:p w14:paraId="38E119FD">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 乙方应确保其服务活动符合国家和地方有关安全生产的法律法规、标准规范以及医院的安全生产管理制度。</w:t>
      </w:r>
    </w:p>
    <w:p w14:paraId="695943AE">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 乙方应建立健全安全生产管理体系，配备足够的安全生产管理人员，制定并落实安全生产责任制和各项安全生产规章制度、操作规程。</w:t>
      </w:r>
    </w:p>
    <w:p w14:paraId="1D58BB01">
      <w:pPr>
        <w:spacing w:line="56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rPr>
        <w:t>4.乙方应确保其服务工作人员和服务活动符合医院综治维稳、消防安全和安全生产管理办法及有关安全生产的各项制度规定，服从相应管理。</w:t>
      </w:r>
    </w:p>
    <w:p w14:paraId="1FCCBD4B">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二、甲方的权利和义务</w:t>
      </w:r>
    </w:p>
    <w:p w14:paraId="08773726">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1. 有权对乙方的安全生产工作进行监督、检查和指导，对乙方存在的安全隐患提出整改要求，并督促乙方及时整改。</w:t>
      </w:r>
    </w:p>
    <w:p w14:paraId="14D77F8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 向乙方提供与安全生产相关的信息和资料，协助乙方了解医院的安全生产环境和要求。</w:t>
      </w:r>
    </w:p>
    <w:p w14:paraId="6206A795">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 对乙方在安全生产工作中表现突出的，给予表彰和奖励；对乙方违反安全生产规定的行为，按照医院的相关制度进行处理。</w:t>
      </w:r>
    </w:p>
    <w:p w14:paraId="1EEEA97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三、乙方的权利和义务</w:t>
      </w:r>
    </w:p>
    <w:p w14:paraId="268978BA">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 有权要求甲方提供必要的安全生产工作条件和支持。</w:t>
      </w:r>
    </w:p>
    <w:p w14:paraId="729EF971">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 严格遵守国家和地方有关安全生产的法律法规、标准规范以及医院的安全生产管理制度，接受甲方的监督、检查和指导。</w:t>
      </w:r>
    </w:p>
    <w:p w14:paraId="5CA57019">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 制定并实施本单位的安全生产工作计划和措施，定期组织安全生产培训和演练，提高员工的安全意识和应急处置能力。</w:t>
      </w:r>
    </w:p>
    <w:p w14:paraId="40377F4B">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 对本单位的安全生产工作进行全面自查，及时发现并消除安全隐患。对甲方提出的整改要求，应按时完成整改，并将整改情况书面报告甲方。</w:t>
      </w:r>
    </w:p>
    <w:p w14:paraId="47CB9ED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 负责本单位员工的劳动保护，为员工提供符合国家标准的劳动防护用品，并督促员工正确使用。</w:t>
      </w:r>
    </w:p>
    <w:p w14:paraId="2CB44101">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 发生安全生产事故时，应立即启动应急预案，采取有效措施组织救援，防止事故扩大，并及时报告甲方。同时，应按照“四不放过”原则，对事故进行调查处理，分析原因，总结教训，落实整改措施。</w:t>
      </w:r>
    </w:p>
    <w:p w14:paraId="40D4B1D7">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四、违约责任</w:t>
      </w:r>
    </w:p>
    <w:p w14:paraId="308B490F">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 若乙方未履行本责任书规定的安全生产责任，导致发生安全生产事故，应承担相应的法律责任和经济赔偿责任。</w:t>
      </w:r>
    </w:p>
    <w:p w14:paraId="4F6060F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 若乙方违反本责任书的约定，甲方有权终止与乙方的合作合同，并要求乙方承担由此给甲方造成的损失。</w:t>
      </w:r>
    </w:p>
    <w:p w14:paraId="7659F767">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 发生一般安全事故，乙方除承担事故的全部损失外，需向甲方支付合同标的的5%作为违约金。</w:t>
      </w:r>
    </w:p>
    <w:p w14:paraId="4F29F3FE">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 发生较大安全事故，乙方除承担事故的全部损失外，需向甲方支付合同标的的10%作为违约金。</w:t>
      </w:r>
    </w:p>
    <w:p w14:paraId="7B890FBB">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 发生重大及以上安全事故，乙方除承担事故的全部损失外，需向甲方支付合同标的的20%作为违约金，同时甲方有权永久终止合作合同。</w:t>
      </w:r>
    </w:p>
    <w:p w14:paraId="6F3309FA">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6.就乙方提供的服务内容，若甲方、政府部门等组织安全检查中发现任一起违规、违法现象，乙方需承担甲方由此遭受的相应损失，且乙方需向甲方支付合同标的的5%作为违约金。</w:t>
      </w:r>
    </w:p>
    <w:p w14:paraId="5B8CA05B">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7.发生轻伤或恶性未遂事故，不按规定处理的或隐瞒不报、事后补报的,乙方除承担事故的全部损失外，需向甲方支付合同标的的5%作为违约金。</w:t>
      </w:r>
    </w:p>
    <w:p w14:paraId="4A77B75E">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8.经甲方核查并提出整改意见后，乙方仍未按要求整改的，乙方应向甲方支付合同标的的5%作为违约金，同时甲方有权永久终止合作合同。</w:t>
      </w:r>
    </w:p>
    <w:p w14:paraId="6088E603">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五、附则</w:t>
      </w:r>
    </w:p>
    <w:p w14:paraId="6AD8FD43">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1. 本责任书自双方签字（盖章）之日起生效，有效期自乙方与本院签订施工、服务合同之日起至乙方履行完毕相关合同、协议约定的所有责任和义务止。</w:t>
      </w:r>
    </w:p>
    <w:p w14:paraId="330DABE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 本责任书一式两份，甲乙双方各执一份。</w:t>
      </w:r>
    </w:p>
    <w:p w14:paraId="16894F9B">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w:t>
      </w:r>
    </w:p>
    <w:p w14:paraId="0F91DC4B">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甲方（盖章）：____________________ </w:t>
      </w:r>
    </w:p>
    <w:p w14:paraId="3BC6BCF6">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法定代表人（签字）：____________________</w:t>
      </w:r>
    </w:p>
    <w:p w14:paraId="69466D0A">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签订日期：______年____月____日</w:t>
      </w:r>
    </w:p>
    <w:p w14:paraId="2B25305B">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w:t>
      </w:r>
    </w:p>
    <w:p w14:paraId="32802679">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乙方（盖章）：____________________  </w:t>
      </w:r>
    </w:p>
    <w:p w14:paraId="27C53D20">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法定代表人（签字）：____________________</w:t>
      </w:r>
    </w:p>
    <w:p w14:paraId="5CACE1C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签订日期：______年____月____日 </w:t>
      </w:r>
    </w:p>
    <w:p w14:paraId="1F00BC9F">
      <w:pPr>
        <w:widowControl/>
        <w:jc w:val="left"/>
        <w:rPr>
          <w:rFonts w:hint="eastAsia" w:ascii="仿宋" w:hAnsi="仿宋" w:eastAsia="仿宋" w:cs="仿宋"/>
          <w:sz w:val="24"/>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7A8C9EE-D9C2-487D-8EFC-221DE749D39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6AF9F57-BE57-4530-87CB-C59131E6233D}"/>
  </w:font>
  <w:font w:name="方正仿宋_GBK">
    <w:panose1 w:val="02000000000000000000"/>
    <w:charset w:val="86"/>
    <w:family w:val="auto"/>
    <w:pitch w:val="default"/>
    <w:sig w:usb0="A00002BF" w:usb1="38CF7CFA" w:usb2="00082016" w:usb3="00000000" w:csb0="00040001" w:csb1="00000000"/>
    <w:embedRegular r:id="rId3" w:fontKey="{C19FF151-2581-45B0-B353-4473282594EF}"/>
  </w:font>
  <w:font w:name="仿宋">
    <w:panose1 w:val="02010609060101010101"/>
    <w:charset w:val="86"/>
    <w:family w:val="modern"/>
    <w:pitch w:val="default"/>
    <w:sig w:usb0="800002BF" w:usb1="38CF7CFA" w:usb2="00000016" w:usb3="00000000" w:csb0="00040001" w:csb1="00000000"/>
    <w:embedRegular r:id="rId4" w:fontKey="{332919A3-3B80-48F0-A687-343DB1AB1A66}"/>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embedRegular r:id="rId5" w:fontKey="{43615516-CA8F-490C-BA25-0424C570DFA8}"/>
  </w:font>
  <w:font w:name="华文中宋">
    <w:panose1 w:val="02010600040101010101"/>
    <w:charset w:val="86"/>
    <w:family w:val="auto"/>
    <w:pitch w:val="default"/>
    <w:sig w:usb0="00000287" w:usb1="080F0000" w:usb2="00000000" w:usb3="00000000" w:csb0="0004009F" w:csb1="DFD70000"/>
    <w:embedRegular r:id="rId6" w:fontKey="{EA86A6C6-650D-4263-AF7D-B96DB365883F}"/>
  </w:font>
  <w:font w:name="Segoe UI">
    <w:panose1 w:val="020B0502040204020203"/>
    <w:charset w:val="00"/>
    <w:family w:val="swiss"/>
    <w:pitch w:val="default"/>
    <w:sig w:usb0="E4002EFF" w:usb1="C000E47F" w:usb2="00000009" w:usb3="00000000" w:csb0="200001FF" w:csb1="00000000"/>
  </w:font>
  <w:font w:name="WPSEMBED1">
    <w:panose1 w:val="02000000000000000000"/>
    <w:charset w:val="86"/>
    <w:family w:val="auto"/>
    <w:pitch w:val="default"/>
    <w:sig w:usb0="A00002BF" w:usb1="38CF7CFA" w:usb2="00082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CA7EB">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1B35B">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211B35B">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20590">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75D86">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825B8">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806B">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64116">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7AC4D"/>
    <w:multiLevelType w:val="singleLevel"/>
    <w:tmpl w:val="81B7AC4D"/>
    <w:lvl w:ilvl="0" w:tentative="0">
      <w:start w:val="1"/>
      <w:numFmt w:val="chineseCounting"/>
      <w:suff w:val="nothing"/>
      <w:lvlText w:val="（%1）"/>
      <w:lvlJc w:val="left"/>
      <w:pPr>
        <w:ind w:left="0" w:firstLine="420"/>
      </w:pPr>
      <w:rPr>
        <w:rFonts w:hint="eastAsia"/>
      </w:rPr>
    </w:lvl>
  </w:abstractNum>
  <w:abstractNum w:abstractNumId="1">
    <w:nsid w:val="863438CA"/>
    <w:multiLevelType w:val="multilevel"/>
    <w:tmpl w:val="863438CA"/>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
    <w:nsid w:val="86A8E2C6"/>
    <w:multiLevelType w:val="singleLevel"/>
    <w:tmpl w:val="86A8E2C6"/>
    <w:lvl w:ilvl="0" w:tentative="0">
      <w:start w:val="1"/>
      <w:numFmt w:val="decimal"/>
      <w:suff w:val="nothing"/>
      <w:lvlText w:val="%1．"/>
      <w:lvlJc w:val="left"/>
      <w:pPr>
        <w:ind w:left="0" w:firstLine="400"/>
      </w:pPr>
      <w:rPr>
        <w:rFonts w:hint="default"/>
      </w:rPr>
    </w:lvl>
  </w:abstractNum>
  <w:abstractNum w:abstractNumId="3">
    <w:nsid w:val="92775958"/>
    <w:multiLevelType w:val="singleLevel"/>
    <w:tmpl w:val="92775958"/>
    <w:lvl w:ilvl="0" w:tentative="0">
      <w:start w:val="1"/>
      <w:numFmt w:val="chineseCounting"/>
      <w:suff w:val="nothing"/>
      <w:lvlText w:val="（%1）"/>
      <w:lvlJc w:val="left"/>
      <w:pPr>
        <w:ind w:left="0" w:firstLine="420"/>
      </w:pPr>
      <w:rPr>
        <w:rFonts w:hint="eastAsia"/>
      </w:rPr>
    </w:lvl>
  </w:abstractNum>
  <w:abstractNum w:abstractNumId="4">
    <w:nsid w:val="AB97D9B7"/>
    <w:multiLevelType w:val="multilevel"/>
    <w:tmpl w:val="AB97D9B7"/>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5">
    <w:nsid w:val="BC93FDB8"/>
    <w:multiLevelType w:val="singleLevel"/>
    <w:tmpl w:val="BC93FDB8"/>
    <w:lvl w:ilvl="0" w:tentative="0">
      <w:start w:val="1"/>
      <w:numFmt w:val="chineseCounting"/>
      <w:suff w:val="nothing"/>
      <w:lvlText w:val="（%1）"/>
      <w:lvlJc w:val="left"/>
      <w:pPr>
        <w:ind w:left="0" w:firstLine="420"/>
      </w:pPr>
      <w:rPr>
        <w:rFonts w:hint="eastAsia"/>
      </w:rPr>
    </w:lvl>
  </w:abstractNum>
  <w:abstractNum w:abstractNumId="6">
    <w:nsid w:val="BF8FB253"/>
    <w:multiLevelType w:val="singleLevel"/>
    <w:tmpl w:val="BF8FB253"/>
    <w:lvl w:ilvl="0" w:tentative="0">
      <w:start w:val="1"/>
      <w:numFmt w:val="chineseCounting"/>
      <w:suff w:val="nothing"/>
      <w:lvlText w:val="（%1）"/>
      <w:lvlJc w:val="left"/>
      <w:pPr>
        <w:ind w:left="0" w:firstLine="420"/>
      </w:pPr>
      <w:rPr>
        <w:rFonts w:hint="eastAsia"/>
      </w:rPr>
    </w:lvl>
  </w:abstractNum>
  <w:abstractNum w:abstractNumId="7">
    <w:nsid w:val="EE2C5541"/>
    <w:multiLevelType w:val="singleLevel"/>
    <w:tmpl w:val="EE2C5541"/>
    <w:lvl w:ilvl="0" w:tentative="0">
      <w:start w:val="1"/>
      <w:numFmt w:val="chineseCounting"/>
      <w:suff w:val="nothing"/>
      <w:lvlText w:val="（%1）"/>
      <w:lvlJc w:val="left"/>
      <w:rPr>
        <w:rFonts w:hint="eastAsia"/>
      </w:rPr>
    </w:lvl>
  </w:abstractNum>
  <w:abstractNum w:abstractNumId="8">
    <w:nsid w:val="F6197CDF"/>
    <w:multiLevelType w:val="multilevel"/>
    <w:tmpl w:val="F6197CDF"/>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9">
    <w:nsid w:val="089EA99F"/>
    <w:multiLevelType w:val="singleLevel"/>
    <w:tmpl w:val="089EA99F"/>
    <w:lvl w:ilvl="0" w:tentative="0">
      <w:start w:val="1"/>
      <w:numFmt w:val="chineseCounting"/>
      <w:suff w:val="nothing"/>
      <w:lvlText w:val="（%1）"/>
      <w:lvlJc w:val="left"/>
      <w:pPr>
        <w:ind w:left="0" w:firstLine="420"/>
      </w:pPr>
      <w:rPr>
        <w:rFonts w:hint="eastAsia"/>
      </w:rPr>
    </w:lvl>
  </w:abstractNum>
  <w:abstractNum w:abstractNumId="10">
    <w:nsid w:val="0A9BFD25"/>
    <w:multiLevelType w:val="singleLevel"/>
    <w:tmpl w:val="0A9BFD25"/>
    <w:lvl w:ilvl="0" w:tentative="0">
      <w:start w:val="1"/>
      <w:numFmt w:val="chineseCounting"/>
      <w:suff w:val="nothing"/>
      <w:lvlText w:val="（%1）"/>
      <w:lvlJc w:val="left"/>
      <w:pPr>
        <w:ind w:left="0" w:firstLine="420"/>
      </w:pPr>
      <w:rPr>
        <w:rFonts w:hint="eastAsia"/>
      </w:rPr>
    </w:lvl>
  </w:abstractNum>
  <w:abstractNum w:abstractNumId="11">
    <w:nsid w:val="1166A0DC"/>
    <w:multiLevelType w:val="singleLevel"/>
    <w:tmpl w:val="1166A0DC"/>
    <w:lvl w:ilvl="0" w:tentative="0">
      <w:start w:val="1"/>
      <w:numFmt w:val="chineseCounting"/>
      <w:suff w:val="nothing"/>
      <w:lvlText w:val="（%1）"/>
      <w:lvlJc w:val="left"/>
      <w:pPr>
        <w:ind w:left="0" w:firstLine="420"/>
      </w:pPr>
      <w:rPr>
        <w:rFonts w:hint="eastAsia"/>
      </w:rPr>
    </w:lvl>
  </w:abstractNum>
  <w:abstractNum w:abstractNumId="12">
    <w:nsid w:val="160D5686"/>
    <w:multiLevelType w:val="singleLevel"/>
    <w:tmpl w:val="160D5686"/>
    <w:lvl w:ilvl="0" w:tentative="0">
      <w:start w:val="1"/>
      <w:numFmt w:val="chineseCounting"/>
      <w:suff w:val="nothing"/>
      <w:lvlText w:val="（%1）"/>
      <w:lvlJc w:val="left"/>
      <w:pPr>
        <w:ind w:left="0" w:firstLine="420"/>
      </w:pPr>
      <w:rPr>
        <w:rFonts w:hint="eastAsia"/>
      </w:rPr>
    </w:lvl>
  </w:abstractNum>
  <w:abstractNum w:abstractNumId="13">
    <w:nsid w:val="171E2B20"/>
    <w:multiLevelType w:val="singleLevel"/>
    <w:tmpl w:val="171E2B20"/>
    <w:lvl w:ilvl="0" w:tentative="0">
      <w:start w:val="1"/>
      <w:numFmt w:val="chineseCounting"/>
      <w:suff w:val="nothing"/>
      <w:lvlText w:val="（%1）"/>
      <w:lvlJc w:val="left"/>
      <w:pPr>
        <w:ind w:left="0" w:firstLine="420"/>
      </w:pPr>
      <w:rPr>
        <w:rFonts w:hint="eastAsia"/>
      </w:rPr>
    </w:lvl>
  </w:abstractNum>
  <w:abstractNum w:abstractNumId="14">
    <w:nsid w:val="24863D7F"/>
    <w:multiLevelType w:val="singleLevel"/>
    <w:tmpl w:val="24863D7F"/>
    <w:lvl w:ilvl="0" w:tentative="0">
      <w:start w:val="1"/>
      <w:numFmt w:val="chineseCounting"/>
      <w:suff w:val="nothing"/>
      <w:lvlText w:val="（%1）"/>
      <w:lvlJc w:val="left"/>
      <w:pPr>
        <w:ind w:left="0" w:firstLine="420"/>
      </w:pPr>
      <w:rPr>
        <w:rFonts w:hint="eastAsia"/>
      </w:rPr>
    </w:lvl>
  </w:abstractNum>
  <w:abstractNum w:abstractNumId="15">
    <w:nsid w:val="36757400"/>
    <w:multiLevelType w:val="singleLevel"/>
    <w:tmpl w:val="36757400"/>
    <w:lvl w:ilvl="0" w:tentative="0">
      <w:start w:val="1"/>
      <w:numFmt w:val="chineseCounting"/>
      <w:suff w:val="nothing"/>
      <w:lvlText w:val="（%1）"/>
      <w:lvlJc w:val="left"/>
      <w:pPr>
        <w:ind w:left="0" w:firstLine="420"/>
      </w:pPr>
      <w:rPr>
        <w:rFonts w:hint="eastAsia"/>
      </w:rPr>
    </w:lvl>
  </w:abstractNum>
  <w:abstractNum w:abstractNumId="16">
    <w:nsid w:val="4331B432"/>
    <w:multiLevelType w:val="singleLevel"/>
    <w:tmpl w:val="4331B432"/>
    <w:lvl w:ilvl="0" w:tentative="0">
      <w:start w:val="1"/>
      <w:numFmt w:val="chineseCounting"/>
      <w:suff w:val="nothing"/>
      <w:lvlText w:val="（%1）"/>
      <w:lvlJc w:val="left"/>
      <w:pPr>
        <w:ind w:left="0" w:firstLine="420"/>
      </w:pPr>
      <w:rPr>
        <w:rFonts w:hint="eastAsia"/>
      </w:rPr>
    </w:lvl>
  </w:abstractNum>
  <w:abstractNum w:abstractNumId="17">
    <w:nsid w:val="4DE73D19"/>
    <w:multiLevelType w:val="singleLevel"/>
    <w:tmpl w:val="4DE73D19"/>
    <w:lvl w:ilvl="0" w:tentative="0">
      <w:start w:val="1"/>
      <w:numFmt w:val="decimal"/>
      <w:suff w:val="nothing"/>
      <w:lvlText w:val="%1．"/>
      <w:lvlJc w:val="left"/>
      <w:pPr>
        <w:ind w:left="0" w:firstLine="400"/>
      </w:pPr>
      <w:rPr>
        <w:rFonts w:hint="default"/>
      </w:rPr>
    </w:lvl>
  </w:abstractNum>
  <w:abstractNum w:abstractNumId="18">
    <w:nsid w:val="69B0FE2A"/>
    <w:multiLevelType w:val="singleLevel"/>
    <w:tmpl w:val="69B0FE2A"/>
    <w:lvl w:ilvl="0" w:tentative="0">
      <w:start w:val="1"/>
      <w:numFmt w:val="chineseCounting"/>
      <w:suff w:val="nothing"/>
      <w:lvlText w:val="（%1）"/>
      <w:lvlJc w:val="left"/>
      <w:pPr>
        <w:ind w:left="0" w:firstLine="420"/>
      </w:pPr>
      <w:rPr>
        <w:rFonts w:hint="eastAsia"/>
      </w:rPr>
    </w:lvl>
  </w:abstractNum>
  <w:abstractNum w:abstractNumId="19">
    <w:nsid w:val="6C67524D"/>
    <w:multiLevelType w:val="singleLevel"/>
    <w:tmpl w:val="6C67524D"/>
    <w:lvl w:ilvl="0" w:tentative="0">
      <w:start w:val="1"/>
      <w:numFmt w:val="chineseCounting"/>
      <w:suff w:val="nothing"/>
      <w:lvlText w:val="（%1）"/>
      <w:lvlJc w:val="left"/>
      <w:pPr>
        <w:ind w:left="0" w:firstLine="420"/>
      </w:pPr>
      <w:rPr>
        <w:rFonts w:hint="eastAsia"/>
      </w:rPr>
    </w:lvl>
  </w:abstractNum>
  <w:num w:numId="1">
    <w:abstractNumId w:val="0"/>
  </w:num>
  <w:num w:numId="2">
    <w:abstractNumId w:val="12"/>
  </w:num>
  <w:num w:numId="3">
    <w:abstractNumId w:val="16"/>
  </w:num>
  <w:num w:numId="4">
    <w:abstractNumId w:val="13"/>
  </w:num>
  <w:num w:numId="5">
    <w:abstractNumId w:val="19"/>
  </w:num>
  <w:num w:numId="6">
    <w:abstractNumId w:val="8"/>
  </w:num>
  <w:num w:numId="7">
    <w:abstractNumId w:val="18"/>
  </w:num>
  <w:num w:numId="8">
    <w:abstractNumId w:val="2"/>
  </w:num>
  <w:num w:numId="9">
    <w:abstractNumId w:val="14"/>
  </w:num>
  <w:num w:numId="10">
    <w:abstractNumId w:val="7"/>
  </w:num>
  <w:num w:numId="11">
    <w:abstractNumId w:val="3"/>
  </w:num>
  <w:num w:numId="12">
    <w:abstractNumId w:val="6"/>
  </w:num>
  <w:num w:numId="13">
    <w:abstractNumId w:val="4"/>
  </w:num>
  <w:num w:numId="14">
    <w:abstractNumId w:val="1"/>
  </w:num>
  <w:num w:numId="15">
    <w:abstractNumId w:val="11"/>
  </w:num>
  <w:num w:numId="16">
    <w:abstractNumId w:val="9"/>
  </w:num>
  <w:num w:numId="17">
    <w:abstractNumId w:val="17"/>
  </w:num>
  <w:num w:numId="18">
    <w:abstractNumId w:val="10"/>
  </w:num>
  <w:num w:numId="19">
    <w:abstractNumId w:val="5"/>
  </w:num>
  <w:num w:numId="20">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00172A27"/>
    <w:rsid w:val="00026014"/>
    <w:rsid w:val="00040663"/>
    <w:rsid w:val="00042D7B"/>
    <w:rsid w:val="000631CC"/>
    <w:rsid w:val="000E3F35"/>
    <w:rsid w:val="000F16F7"/>
    <w:rsid w:val="001034F8"/>
    <w:rsid w:val="00122706"/>
    <w:rsid w:val="001228AB"/>
    <w:rsid w:val="00172A27"/>
    <w:rsid w:val="00183603"/>
    <w:rsid w:val="00193939"/>
    <w:rsid w:val="0019520B"/>
    <w:rsid w:val="001C1DF0"/>
    <w:rsid w:val="001C2F1A"/>
    <w:rsid w:val="001E1CA9"/>
    <w:rsid w:val="001F2CBB"/>
    <w:rsid w:val="00244E80"/>
    <w:rsid w:val="003015FF"/>
    <w:rsid w:val="003C45C8"/>
    <w:rsid w:val="00400AB4"/>
    <w:rsid w:val="004650E7"/>
    <w:rsid w:val="0048489A"/>
    <w:rsid w:val="004B2D89"/>
    <w:rsid w:val="004C55BF"/>
    <w:rsid w:val="005262C8"/>
    <w:rsid w:val="00600ABB"/>
    <w:rsid w:val="00626E14"/>
    <w:rsid w:val="00641DE2"/>
    <w:rsid w:val="006645C7"/>
    <w:rsid w:val="006A25DE"/>
    <w:rsid w:val="00701046"/>
    <w:rsid w:val="008122D8"/>
    <w:rsid w:val="00845047"/>
    <w:rsid w:val="00873AAA"/>
    <w:rsid w:val="008A3A4F"/>
    <w:rsid w:val="008A3AA1"/>
    <w:rsid w:val="008B5CA4"/>
    <w:rsid w:val="008B7B16"/>
    <w:rsid w:val="008C2FA9"/>
    <w:rsid w:val="009F2794"/>
    <w:rsid w:val="009F3A2D"/>
    <w:rsid w:val="00A50988"/>
    <w:rsid w:val="00A6080B"/>
    <w:rsid w:val="00A7338C"/>
    <w:rsid w:val="00A97199"/>
    <w:rsid w:val="00AA3D3C"/>
    <w:rsid w:val="00AF2611"/>
    <w:rsid w:val="00B8469F"/>
    <w:rsid w:val="00B9006D"/>
    <w:rsid w:val="00BE742A"/>
    <w:rsid w:val="00C50A77"/>
    <w:rsid w:val="00C9439D"/>
    <w:rsid w:val="00CB5390"/>
    <w:rsid w:val="00D17D1C"/>
    <w:rsid w:val="00D33BD6"/>
    <w:rsid w:val="00D37AFD"/>
    <w:rsid w:val="00D41AFC"/>
    <w:rsid w:val="00D952D6"/>
    <w:rsid w:val="00DE7740"/>
    <w:rsid w:val="00DF537A"/>
    <w:rsid w:val="00E313B5"/>
    <w:rsid w:val="00E94591"/>
    <w:rsid w:val="00EA6DE8"/>
    <w:rsid w:val="00F055C4"/>
    <w:rsid w:val="00F11968"/>
    <w:rsid w:val="00F34B98"/>
    <w:rsid w:val="00F40E2D"/>
    <w:rsid w:val="00F7118D"/>
    <w:rsid w:val="00FB1C4D"/>
    <w:rsid w:val="00FC18FA"/>
    <w:rsid w:val="00FC702C"/>
    <w:rsid w:val="00FD501C"/>
    <w:rsid w:val="01037591"/>
    <w:rsid w:val="01040833"/>
    <w:rsid w:val="010F1DA1"/>
    <w:rsid w:val="011F0AC5"/>
    <w:rsid w:val="01457570"/>
    <w:rsid w:val="014852B3"/>
    <w:rsid w:val="01704002"/>
    <w:rsid w:val="01712D82"/>
    <w:rsid w:val="018A6FF4"/>
    <w:rsid w:val="01937C28"/>
    <w:rsid w:val="01A00C4B"/>
    <w:rsid w:val="01CE6639"/>
    <w:rsid w:val="01FC420F"/>
    <w:rsid w:val="01FD1632"/>
    <w:rsid w:val="020E7E2D"/>
    <w:rsid w:val="021639B2"/>
    <w:rsid w:val="0220040D"/>
    <w:rsid w:val="022B0E5C"/>
    <w:rsid w:val="022B2A65"/>
    <w:rsid w:val="023243D9"/>
    <w:rsid w:val="024261A6"/>
    <w:rsid w:val="02735D73"/>
    <w:rsid w:val="028D5DB7"/>
    <w:rsid w:val="028E2A24"/>
    <w:rsid w:val="02996E66"/>
    <w:rsid w:val="02BD34B1"/>
    <w:rsid w:val="02BD75DA"/>
    <w:rsid w:val="02CF7A3A"/>
    <w:rsid w:val="02F73DF3"/>
    <w:rsid w:val="0323389B"/>
    <w:rsid w:val="03296E81"/>
    <w:rsid w:val="032F2286"/>
    <w:rsid w:val="033C4C29"/>
    <w:rsid w:val="03577A2F"/>
    <w:rsid w:val="035E700F"/>
    <w:rsid w:val="0376100F"/>
    <w:rsid w:val="037A7E00"/>
    <w:rsid w:val="037C61D6"/>
    <w:rsid w:val="038066A7"/>
    <w:rsid w:val="038C1035"/>
    <w:rsid w:val="03B00E65"/>
    <w:rsid w:val="03D1158F"/>
    <w:rsid w:val="03D472D2"/>
    <w:rsid w:val="03D53D87"/>
    <w:rsid w:val="041651F4"/>
    <w:rsid w:val="04371904"/>
    <w:rsid w:val="043E189A"/>
    <w:rsid w:val="045234DC"/>
    <w:rsid w:val="045A13DE"/>
    <w:rsid w:val="04756378"/>
    <w:rsid w:val="047E7EEC"/>
    <w:rsid w:val="0485425D"/>
    <w:rsid w:val="04870671"/>
    <w:rsid w:val="048719B2"/>
    <w:rsid w:val="04C904B8"/>
    <w:rsid w:val="050B6631"/>
    <w:rsid w:val="054162A1"/>
    <w:rsid w:val="054D10EA"/>
    <w:rsid w:val="055A3CDD"/>
    <w:rsid w:val="05615F60"/>
    <w:rsid w:val="056F72B2"/>
    <w:rsid w:val="0575419C"/>
    <w:rsid w:val="05CC0260"/>
    <w:rsid w:val="05D62E8D"/>
    <w:rsid w:val="05F2378C"/>
    <w:rsid w:val="06281F2C"/>
    <w:rsid w:val="06460EC5"/>
    <w:rsid w:val="06563FCE"/>
    <w:rsid w:val="06587E4E"/>
    <w:rsid w:val="06693D01"/>
    <w:rsid w:val="066C37F1"/>
    <w:rsid w:val="06825903"/>
    <w:rsid w:val="068A0893"/>
    <w:rsid w:val="06B31420"/>
    <w:rsid w:val="06BD73FD"/>
    <w:rsid w:val="06D34861"/>
    <w:rsid w:val="06EA13B7"/>
    <w:rsid w:val="06F01EEF"/>
    <w:rsid w:val="06FC2DC7"/>
    <w:rsid w:val="072325B3"/>
    <w:rsid w:val="073F368F"/>
    <w:rsid w:val="07545496"/>
    <w:rsid w:val="077869E0"/>
    <w:rsid w:val="078302CB"/>
    <w:rsid w:val="08017F69"/>
    <w:rsid w:val="08362206"/>
    <w:rsid w:val="083C410F"/>
    <w:rsid w:val="08444D9F"/>
    <w:rsid w:val="08521F65"/>
    <w:rsid w:val="08654D6A"/>
    <w:rsid w:val="087354EA"/>
    <w:rsid w:val="087E03FC"/>
    <w:rsid w:val="08B1703D"/>
    <w:rsid w:val="08C94F2B"/>
    <w:rsid w:val="08D719D1"/>
    <w:rsid w:val="08F54642"/>
    <w:rsid w:val="08F667EB"/>
    <w:rsid w:val="08FA6E92"/>
    <w:rsid w:val="091031EE"/>
    <w:rsid w:val="0944714A"/>
    <w:rsid w:val="09534CAB"/>
    <w:rsid w:val="095C5C8F"/>
    <w:rsid w:val="09685EAB"/>
    <w:rsid w:val="09BE4364"/>
    <w:rsid w:val="09F27F5D"/>
    <w:rsid w:val="0A1E12A6"/>
    <w:rsid w:val="0A33204C"/>
    <w:rsid w:val="0A4505E1"/>
    <w:rsid w:val="0A481266"/>
    <w:rsid w:val="0A4C318E"/>
    <w:rsid w:val="0A8E01DA"/>
    <w:rsid w:val="0AA43F7D"/>
    <w:rsid w:val="0AB3629C"/>
    <w:rsid w:val="0AC260D6"/>
    <w:rsid w:val="0AC4440B"/>
    <w:rsid w:val="0AD10D8B"/>
    <w:rsid w:val="0AFA1C4E"/>
    <w:rsid w:val="0AFD7516"/>
    <w:rsid w:val="0B2D21CE"/>
    <w:rsid w:val="0B554854"/>
    <w:rsid w:val="0B6E3B68"/>
    <w:rsid w:val="0B701A53"/>
    <w:rsid w:val="0B7958BA"/>
    <w:rsid w:val="0B8B64C8"/>
    <w:rsid w:val="0BA064F9"/>
    <w:rsid w:val="0BBA6888"/>
    <w:rsid w:val="0BC160E5"/>
    <w:rsid w:val="0BD26275"/>
    <w:rsid w:val="0BD45F05"/>
    <w:rsid w:val="0BEC359B"/>
    <w:rsid w:val="0C004FC6"/>
    <w:rsid w:val="0C021908"/>
    <w:rsid w:val="0C236700"/>
    <w:rsid w:val="0C3E515F"/>
    <w:rsid w:val="0C5E0C94"/>
    <w:rsid w:val="0C5E1E2E"/>
    <w:rsid w:val="0C6D2071"/>
    <w:rsid w:val="0C7927C4"/>
    <w:rsid w:val="0C840344"/>
    <w:rsid w:val="0C9153AE"/>
    <w:rsid w:val="0CA6264C"/>
    <w:rsid w:val="0CAA0BCF"/>
    <w:rsid w:val="0CBB2DDD"/>
    <w:rsid w:val="0CD72AD2"/>
    <w:rsid w:val="0CE34898"/>
    <w:rsid w:val="0CEA1BC8"/>
    <w:rsid w:val="0D40644B"/>
    <w:rsid w:val="0D414C4D"/>
    <w:rsid w:val="0D5805BE"/>
    <w:rsid w:val="0D7B0A2D"/>
    <w:rsid w:val="0D9E6986"/>
    <w:rsid w:val="0DA475AD"/>
    <w:rsid w:val="0DE24882"/>
    <w:rsid w:val="0DEA2B82"/>
    <w:rsid w:val="0DED300D"/>
    <w:rsid w:val="0E1C0997"/>
    <w:rsid w:val="0E232E17"/>
    <w:rsid w:val="0E722040"/>
    <w:rsid w:val="0E796AAB"/>
    <w:rsid w:val="0E7E2314"/>
    <w:rsid w:val="0EA31D7A"/>
    <w:rsid w:val="0EBD33B9"/>
    <w:rsid w:val="0EDA0270"/>
    <w:rsid w:val="0EED3891"/>
    <w:rsid w:val="0F3975B3"/>
    <w:rsid w:val="0F3D3F7D"/>
    <w:rsid w:val="0F5A4B2F"/>
    <w:rsid w:val="0F7A2ADB"/>
    <w:rsid w:val="0F81030D"/>
    <w:rsid w:val="0F8A086D"/>
    <w:rsid w:val="0F922CF7"/>
    <w:rsid w:val="0F9301BE"/>
    <w:rsid w:val="0FA52B88"/>
    <w:rsid w:val="0FA61B22"/>
    <w:rsid w:val="0FAE2B7A"/>
    <w:rsid w:val="0FC964EC"/>
    <w:rsid w:val="0FD2032F"/>
    <w:rsid w:val="100F3B6B"/>
    <w:rsid w:val="101F3001"/>
    <w:rsid w:val="102313C5"/>
    <w:rsid w:val="10245B66"/>
    <w:rsid w:val="1062587D"/>
    <w:rsid w:val="106D0892"/>
    <w:rsid w:val="10705587"/>
    <w:rsid w:val="10A80BDB"/>
    <w:rsid w:val="10B7227A"/>
    <w:rsid w:val="10CF0F35"/>
    <w:rsid w:val="10E02E12"/>
    <w:rsid w:val="10E0510F"/>
    <w:rsid w:val="10FC5772"/>
    <w:rsid w:val="113A252E"/>
    <w:rsid w:val="113A4C18"/>
    <w:rsid w:val="117307B1"/>
    <w:rsid w:val="120D5E88"/>
    <w:rsid w:val="12130F69"/>
    <w:rsid w:val="124A05D9"/>
    <w:rsid w:val="125910CE"/>
    <w:rsid w:val="125A2B3F"/>
    <w:rsid w:val="126D4B3D"/>
    <w:rsid w:val="12755F92"/>
    <w:rsid w:val="128B1DF5"/>
    <w:rsid w:val="129D4699"/>
    <w:rsid w:val="12B91B6C"/>
    <w:rsid w:val="12B94EC3"/>
    <w:rsid w:val="12D96280"/>
    <w:rsid w:val="12EB221A"/>
    <w:rsid w:val="132B7658"/>
    <w:rsid w:val="13486FC4"/>
    <w:rsid w:val="13551FDE"/>
    <w:rsid w:val="135A0D50"/>
    <w:rsid w:val="136C3083"/>
    <w:rsid w:val="13702B73"/>
    <w:rsid w:val="137F256B"/>
    <w:rsid w:val="1381656F"/>
    <w:rsid w:val="138D61F8"/>
    <w:rsid w:val="138E2FF9"/>
    <w:rsid w:val="13B860EB"/>
    <w:rsid w:val="13BB7B66"/>
    <w:rsid w:val="13BC126E"/>
    <w:rsid w:val="13D50C28"/>
    <w:rsid w:val="13EA7AE0"/>
    <w:rsid w:val="14741DE5"/>
    <w:rsid w:val="147C212A"/>
    <w:rsid w:val="149612D5"/>
    <w:rsid w:val="14AD3953"/>
    <w:rsid w:val="14BA0BCF"/>
    <w:rsid w:val="14BA7969"/>
    <w:rsid w:val="15035456"/>
    <w:rsid w:val="152C0FBD"/>
    <w:rsid w:val="154E472D"/>
    <w:rsid w:val="1553293F"/>
    <w:rsid w:val="15687C43"/>
    <w:rsid w:val="158A0564"/>
    <w:rsid w:val="159B19FD"/>
    <w:rsid w:val="15DB043C"/>
    <w:rsid w:val="163A3342"/>
    <w:rsid w:val="163E73B6"/>
    <w:rsid w:val="16474A66"/>
    <w:rsid w:val="164F37A5"/>
    <w:rsid w:val="167A5AB7"/>
    <w:rsid w:val="16936818"/>
    <w:rsid w:val="16B807A0"/>
    <w:rsid w:val="16CA259A"/>
    <w:rsid w:val="16D004C4"/>
    <w:rsid w:val="16E3789C"/>
    <w:rsid w:val="16F91A40"/>
    <w:rsid w:val="1766702C"/>
    <w:rsid w:val="1781069F"/>
    <w:rsid w:val="179452BD"/>
    <w:rsid w:val="17A00489"/>
    <w:rsid w:val="17C214C3"/>
    <w:rsid w:val="17CE32DA"/>
    <w:rsid w:val="17D56400"/>
    <w:rsid w:val="17DF51B5"/>
    <w:rsid w:val="17F13A91"/>
    <w:rsid w:val="17FE6DF7"/>
    <w:rsid w:val="17FF2717"/>
    <w:rsid w:val="18001FC4"/>
    <w:rsid w:val="180655CB"/>
    <w:rsid w:val="18511C71"/>
    <w:rsid w:val="186E51A7"/>
    <w:rsid w:val="18700F1F"/>
    <w:rsid w:val="1871445C"/>
    <w:rsid w:val="18C63292"/>
    <w:rsid w:val="18E9147F"/>
    <w:rsid w:val="19093234"/>
    <w:rsid w:val="19103D94"/>
    <w:rsid w:val="192C09C8"/>
    <w:rsid w:val="19466842"/>
    <w:rsid w:val="19472785"/>
    <w:rsid w:val="19AC27AA"/>
    <w:rsid w:val="19B74BE3"/>
    <w:rsid w:val="19BE3F0C"/>
    <w:rsid w:val="19CC0292"/>
    <w:rsid w:val="19E41BC5"/>
    <w:rsid w:val="1A02029D"/>
    <w:rsid w:val="1A1576F4"/>
    <w:rsid w:val="1A1A0363"/>
    <w:rsid w:val="1A32226C"/>
    <w:rsid w:val="1A3C6319"/>
    <w:rsid w:val="1A41507B"/>
    <w:rsid w:val="1A7878EC"/>
    <w:rsid w:val="1A8B3B15"/>
    <w:rsid w:val="1A8F0322"/>
    <w:rsid w:val="1AB704C9"/>
    <w:rsid w:val="1AF000F5"/>
    <w:rsid w:val="1B0D0BF0"/>
    <w:rsid w:val="1B1E690C"/>
    <w:rsid w:val="1B903686"/>
    <w:rsid w:val="1B9C466C"/>
    <w:rsid w:val="1BA21E5F"/>
    <w:rsid w:val="1BD25A4D"/>
    <w:rsid w:val="1BD6553D"/>
    <w:rsid w:val="1BF754B3"/>
    <w:rsid w:val="1C0634AE"/>
    <w:rsid w:val="1C116575"/>
    <w:rsid w:val="1C1C4923"/>
    <w:rsid w:val="1C286784"/>
    <w:rsid w:val="1C2C1601"/>
    <w:rsid w:val="1C3F69E4"/>
    <w:rsid w:val="1C525A04"/>
    <w:rsid w:val="1C6840AB"/>
    <w:rsid w:val="1C7F34C7"/>
    <w:rsid w:val="1C857158"/>
    <w:rsid w:val="1CC93254"/>
    <w:rsid w:val="1CD966A1"/>
    <w:rsid w:val="1D1229BE"/>
    <w:rsid w:val="1D1D719C"/>
    <w:rsid w:val="1D7F1C04"/>
    <w:rsid w:val="1D9B6CA0"/>
    <w:rsid w:val="1DC241B1"/>
    <w:rsid w:val="1DE7265B"/>
    <w:rsid w:val="1E197963"/>
    <w:rsid w:val="1E1B5FC4"/>
    <w:rsid w:val="1E253F44"/>
    <w:rsid w:val="1E692697"/>
    <w:rsid w:val="1E7833D5"/>
    <w:rsid w:val="1E8C402A"/>
    <w:rsid w:val="1EAA105C"/>
    <w:rsid w:val="1ED02718"/>
    <w:rsid w:val="1ED33B30"/>
    <w:rsid w:val="1ED57D2E"/>
    <w:rsid w:val="1EDC635A"/>
    <w:rsid w:val="1EF26B32"/>
    <w:rsid w:val="1EF37E84"/>
    <w:rsid w:val="1F2F7577"/>
    <w:rsid w:val="1F324E20"/>
    <w:rsid w:val="1F403C04"/>
    <w:rsid w:val="1F460C2C"/>
    <w:rsid w:val="1F5A5177"/>
    <w:rsid w:val="1F910F0C"/>
    <w:rsid w:val="1F930A9A"/>
    <w:rsid w:val="1FBC33B3"/>
    <w:rsid w:val="1FC036F5"/>
    <w:rsid w:val="1FCA1455"/>
    <w:rsid w:val="1FF561AE"/>
    <w:rsid w:val="200E22A0"/>
    <w:rsid w:val="20191834"/>
    <w:rsid w:val="203A7297"/>
    <w:rsid w:val="203F2777"/>
    <w:rsid w:val="205B4263"/>
    <w:rsid w:val="205E1154"/>
    <w:rsid w:val="20615296"/>
    <w:rsid w:val="20C462AC"/>
    <w:rsid w:val="20C919E4"/>
    <w:rsid w:val="20D9162C"/>
    <w:rsid w:val="20E701EC"/>
    <w:rsid w:val="20F644A4"/>
    <w:rsid w:val="213752CF"/>
    <w:rsid w:val="218B0B78"/>
    <w:rsid w:val="219A525F"/>
    <w:rsid w:val="21B34857"/>
    <w:rsid w:val="21B60569"/>
    <w:rsid w:val="21C106D4"/>
    <w:rsid w:val="21C44D8F"/>
    <w:rsid w:val="22175855"/>
    <w:rsid w:val="22322BA7"/>
    <w:rsid w:val="224C3E87"/>
    <w:rsid w:val="22543660"/>
    <w:rsid w:val="22673393"/>
    <w:rsid w:val="227669A1"/>
    <w:rsid w:val="227E692E"/>
    <w:rsid w:val="229C0058"/>
    <w:rsid w:val="22B83BEE"/>
    <w:rsid w:val="22BB3B05"/>
    <w:rsid w:val="22F451A2"/>
    <w:rsid w:val="230A30D2"/>
    <w:rsid w:val="232079E6"/>
    <w:rsid w:val="23593283"/>
    <w:rsid w:val="23691642"/>
    <w:rsid w:val="238E0DF3"/>
    <w:rsid w:val="23A33094"/>
    <w:rsid w:val="23A93537"/>
    <w:rsid w:val="23F33055"/>
    <w:rsid w:val="23F8626D"/>
    <w:rsid w:val="24082FAE"/>
    <w:rsid w:val="241075AA"/>
    <w:rsid w:val="24190745"/>
    <w:rsid w:val="242572C0"/>
    <w:rsid w:val="242C74A1"/>
    <w:rsid w:val="246F263F"/>
    <w:rsid w:val="24A02B8C"/>
    <w:rsid w:val="24A0687F"/>
    <w:rsid w:val="24AF1021"/>
    <w:rsid w:val="24C277F1"/>
    <w:rsid w:val="24F033B3"/>
    <w:rsid w:val="24FB684C"/>
    <w:rsid w:val="251A0D7A"/>
    <w:rsid w:val="252C01BD"/>
    <w:rsid w:val="25402AA7"/>
    <w:rsid w:val="254C6EAC"/>
    <w:rsid w:val="256C2A6E"/>
    <w:rsid w:val="25727659"/>
    <w:rsid w:val="25963238"/>
    <w:rsid w:val="25A073CB"/>
    <w:rsid w:val="25BB4175"/>
    <w:rsid w:val="25C428AA"/>
    <w:rsid w:val="25CB2C8D"/>
    <w:rsid w:val="25DA0320"/>
    <w:rsid w:val="25FD1C98"/>
    <w:rsid w:val="2601406E"/>
    <w:rsid w:val="260158AC"/>
    <w:rsid w:val="261E09DD"/>
    <w:rsid w:val="26527EB6"/>
    <w:rsid w:val="266E38D2"/>
    <w:rsid w:val="26897B2F"/>
    <w:rsid w:val="26A8767C"/>
    <w:rsid w:val="26B66697"/>
    <w:rsid w:val="26D134D1"/>
    <w:rsid w:val="26DB7EAB"/>
    <w:rsid w:val="27107FD1"/>
    <w:rsid w:val="271838BD"/>
    <w:rsid w:val="275223C3"/>
    <w:rsid w:val="278A18D2"/>
    <w:rsid w:val="27B24862"/>
    <w:rsid w:val="27B51F34"/>
    <w:rsid w:val="27CB17E2"/>
    <w:rsid w:val="27CB6288"/>
    <w:rsid w:val="27D537E2"/>
    <w:rsid w:val="28125526"/>
    <w:rsid w:val="283359CE"/>
    <w:rsid w:val="2849175C"/>
    <w:rsid w:val="28795503"/>
    <w:rsid w:val="289E0FB2"/>
    <w:rsid w:val="28C93E58"/>
    <w:rsid w:val="29347086"/>
    <w:rsid w:val="29432782"/>
    <w:rsid w:val="294A756A"/>
    <w:rsid w:val="294F692F"/>
    <w:rsid w:val="29674FC6"/>
    <w:rsid w:val="2977041B"/>
    <w:rsid w:val="298A31A9"/>
    <w:rsid w:val="298E56A9"/>
    <w:rsid w:val="299F7B82"/>
    <w:rsid w:val="29A924E3"/>
    <w:rsid w:val="29C94933"/>
    <w:rsid w:val="29CE6FDF"/>
    <w:rsid w:val="29DC142C"/>
    <w:rsid w:val="2A1738F0"/>
    <w:rsid w:val="2A1A6FAA"/>
    <w:rsid w:val="2A7319B4"/>
    <w:rsid w:val="2A8A2E2B"/>
    <w:rsid w:val="2A9642F0"/>
    <w:rsid w:val="2AAD7DB1"/>
    <w:rsid w:val="2AC60D2F"/>
    <w:rsid w:val="2AD60B12"/>
    <w:rsid w:val="2AF802D2"/>
    <w:rsid w:val="2AF862F6"/>
    <w:rsid w:val="2AFF0B5D"/>
    <w:rsid w:val="2B3B187A"/>
    <w:rsid w:val="2B4E586A"/>
    <w:rsid w:val="2B676177"/>
    <w:rsid w:val="2B764612"/>
    <w:rsid w:val="2B782927"/>
    <w:rsid w:val="2B9A2F19"/>
    <w:rsid w:val="2BA1219C"/>
    <w:rsid w:val="2BA91D19"/>
    <w:rsid w:val="2BCE04BB"/>
    <w:rsid w:val="2C6E7C34"/>
    <w:rsid w:val="2C8348CD"/>
    <w:rsid w:val="2C8E338C"/>
    <w:rsid w:val="2C933131"/>
    <w:rsid w:val="2C974630"/>
    <w:rsid w:val="2CB95A14"/>
    <w:rsid w:val="2CC303D8"/>
    <w:rsid w:val="2CCD678E"/>
    <w:rsid w:val="2CD31625"/>
    <w:rsid w:val="2CF20F4C"/>
    <w:rsid w:val="2D03015C"/>
    <w:rsid w:val="2D0568E8"/>
    <w:rsid w:val="2D411324"/>
    <w:rsid w:val="2D6230D5"/>
    <w:rsid w:val="2D6730B5"/>
    <w:rsid w:val="2D683E3B"/>
    <w:rsid w:val="2D6A22D7"/>
    <w:rsid w:val="2D83304B"/>
    <w:rsid w:val="2D9B5722"/>
    <w:rsid w:val="2DB02474"/>
    <w:rsid w:val="2DB87198"/>
    <w:rsid w:val="2DF87595"/>
    <w:rsid w:val="2E2C3225"/>
    <w:rsid w:val="2E7014D8"/>
    <w:rsid w:val="2E894335"/>
    <w:rsid w:val="2EAF7625"/>
    <w:rsid w:val="2EC55F5D"/>
    <w:rsid w:val="2EE6563F"/>
    <w:rsid w:val="2EEE2746"/>
    <w:rsid w:val="2EFD53B0"/>
    <w:rsid w:val="2F043E2F"/>
    <w:rsid w:val="2F155F25"/>
    <w:rsid w:val="2F4552CD"/>
    <w:rsid w:val="2F4963D7"/>
    <w:rsid w:val="2F4A5096"/>
    <w:rsid w:val="2F541F2B"/>
    <w:rsid w:val="2F572D0F"/>
    <w:rsid w:val="2F5F3E8C"/>
    <w:rsid w:val="2F7400FC"/>
    <w:rsid w:val="2F7609EB"/>
    <w:rsid w:val="2F884C6F"/>
    <w:rsid w:val="2F8C6803"/>
    <w:rsid w:val="2F904366"/>
    <w:rsid w:val="2F964A23"/>
    <w:rsid w:val="2FB63D25"/>
    <w:rsid w:val="2FBC2844"/>
    <w:rsid w:val="2FCC6F2B"/>
    <w:rsid w:val="2FDF75FA"/>
    <w:rsid w:val="30034807"/>
    <w:rsid w:val="3015041B"/>
    <w:rsid w:val="303B0596"/>
    <w:rsid w:val="304765B2"/>
    <w:rsid w:val="306F129C"/>
    <w:rsid w:val="30890978"/>
    <w:rsid w:val="308C0433"/>
    <w:rsid w:val="30CB468F"/>
    <w:rsid w:val="30D11D91"/>
    <w:rsid w:val="30D17ADE"/>
    <w:rsid w:val="3102072B"/>
    <w:rsid w:val="312D7FBC"/>
    <w:rsid w:val="3141796D"/>
    <w:rsid w:val="315C24DC"/>
    <w:rsid w:val="315C51E2"/>
    <w:rsid w:val="31632895"/>
    <w:rsid w:val="31982EEE"/>
    <w:rsid w:val="31BF1AA9"/>
    <w:rsid w:val="31C559E0"/>
    <w:rsid w:val="31E47FFF"/>
    <w:rsid w:val="31EE7724"/>
    <w:rsid w:val="32063522"/>
    <w:rsid w:val="325810D5"/>
    <w:rsid w:val="325D1539"/>
    <w:rsid w:val="327E7808"/>
    <w:rsid w:val="329F4483"/>
    <w:rsid w:val="32A72B40"/>
    <w:rsid w:val="32BA39CF"/>
    <w:rsid w:val="32C959A4"/>
    <w:rsid w:val="32DF6F75"/>
    <w:rsid w:val="32E20814"/>
    <w:rsid w:val="32E4633A"/>
    <w:rsid w:val="331E3F7D"/>
    <w:rsid w:val="33291F9F"/>
    <w:rsid w:val="335E5CD2"/>
    <w:rsid w:val="339459F2"/>
    <w:rsid w:val="33CD6DCE"/>
    <w:rsid w:val="33D02E61"/>
    <w:rsid w:val="33EA3E24"/>
    <w:rsid w:val="33EE2C76"/>
    <w:rsid w:val="3409704A"/>
    <w:rsid w:val="344317E2"/>
    <w:rsid w:val="34582316"/>
    <w:rsid w:val="349618B6"/>
    <w:rsid w:val="34BC360E"/>
    <w:rsid w:val="34C75C72"/>
    <w:rsid w:val="34E24AFB"/>
    <w:rsid w:val="34F36D08"/>
    <w:rsid w:val="34F85693"/>
    <w:rsid w:val="35074561"/>
    <w:rsid w:val="352E7BC7"/>
    <w:rsid w:val="354D7E7A"/>
    <w:rsid w:val="35625367"/>
    <w:rsid w:val="35861753"/>
    <w:rsid w:val="358E69C6"/>
    <w:rsid w:val="35B75F88"/>
    <w:rsid w:val="35EA2D3F"/>
    <w:rsid w:val="364F5E53"/>
    <w:rsid w:val="365A7C39"/>
    <w:rsid w:val="367252E0"/>
    <w:rsid w:val="36881635"/>
    <w:rsid w:val="36A824D0"/>
    <w:rsid w:val="36A834FA"/>
    <w:rsid w:val="36C941C4"/>
    <w:rsid w:val="36CA1590"/>
    <w:rsid w:val="36D06DE0"/>
    <w:rsid w:val="36D52B69"/>
    <w:rsid w:val="36DB0B50"/>
    <w:rsid w:val="37066E9B"/>
    <w:rsid w:val="3711447D"/>
    <w:rsid w:val="372B28C9"/>
    <w:rsid w:val="375261B2"/>
    <w:rsid w:val="37737C8C"/>
    <w:rsid w:val="377F4883"/>
    <w:rsid w:val="37902480"/>
    <w:rsid w:val="37B444F6"/>
    <w:rsid w:val="380948D3"/>
    <w:rsid w:val="380D1E8F"/>
    <w:rsid w:val="381E1E61"/>
    <w:rsid w:val="38285990"/>
    <w:rsid w:val="382A4631"/>
    <w:rsid w:val="384B0206"/>
    <w:rsid w:val="386A108F"/>
    <w:rsid w:val="38865D51"/>
    <w:rsid w:val="38A735CF"/>
    <w:rsid w:val="38B72D32"/>
    <w:rsid w:val="38B907F8"/>
    <w:rsid w:val="3910317F"/>
    <w:rsid w:val="395064D7"/>
    <w:rsid w:val="396A4FBD"/>
    <w:rsid w:val="396B3C51"/>
    <w:rsid w:val="39753B47"/>
    <w:rsid w:val="39777F08"/>
    <w:rsid w:val="3987080F"/>
    <w:rsid w:val="398E5251"/>
    <w:rsid w:val="39902D86"/>
    <w:rsid w:val="39B20F40"/>
    <w:rsid w:val="39B36C87"/>
    <w:rsid w:val="3A2630EE"/>
    <w:rsid w:val="3A4C3AD8"/>
    <w:rsid w:val="3A5B1B53"/>
    <w:rsid w:val="3A622FD7"/>
    <w:rsid w:val="3A726088"/>
    <w:rsid w:val="3A744576"/>
    <w:rsid w:val="3A83350C"/>
    <w:rsid w:val="3A846FC3"/>
    <w:rsid w:val="3A8D0D1C"/>
    <w:rsid w:val="3A8D5A5A"/>
    <w:rsid w:val="3ACE7FFB"/>
    <w:rsid w:val="3AFF17A3"/>
    <w:rsid w:val="3B1662FE"/>
    <w:rsid w:val="3B2B6F6E"/>
    <w:rsid w:val="3B450A85"/>
    <w:rsid w:val="3B602C54"/>
    <w:rsid w:val="3B7420B1"/>
    <w:rsid w:val="3B790DE8"/>
    <w:rsid w:val="3B7C1525"/>
    <w:rsid w:val="3B842468"/>
    <w:rsid w:val="3B851508"/>
    <w:rsid w:val="3B9D3163"/>
    <w:rsid w:val="3BA15EE2"/>
    <w:rsid w:val="3BB24C42"/>
    <w:rsid w:val="3BBB6E14"/>
    <w:rsid w:val="3BF515B8"/>
    <w:rsid w:val="3C2D5AC6"/>
    <w:rsid w:val="3C44382F"/>
    <w:rsid w:val="3C97266F"/>
    <w:rsid w:val="3CC24098"/>
    <w:rsid w:val="3CDB671C"/>
    <w:rsid w:val="3CE45006"/>
    <w:rsid w:val="3D0E6439"/>
    <w:rsid w:val="3D167A38"/>
    <w:rsid w:val="3D1E4B3E"/>
    <w:rsid w:val="3D4A51A3"/>
    <w:rsid w:val="3D51281E"/>
    <w:rsid w:val="3D5B3AA6"/>
    <w:rsid w:val="3D7D00C7"/>
    <w:rsid w:val="3DA768E2"/>
    <w:rsid w:val="3DAA164F"/>
    <w:rsid w:val="3DBD2D59"/>
    <w:rsid w:val="3DD07BE6"/>
    <w:rsid w:val="3DE67131"/>
    <w:rsid w:val="3DEB0EC4"/>
    <w:rsid w:val="3DFB226A"/>
    <w:rsid w:val="3E0E50C0"/>
    <w:rsid w:val="3E6577EE"/>
    <w:rsid w:val="3E740EBA"/>
    <w:rsid w:val="3E74207E"/>
    <w:rsid w:val="3E8F782E"/>
    <w:rsid w:val="3EA03A5D"/>
    <w:rsid w:val="3F4975B1"/>
    <w:rsid w:val="3F7160AD"/>
    <w:rsid w:val="3F866BF1"/>
    <w:rsid w:val="3F8A45CE"/>
    <w:rsid w:val="3FBD5074"/>
    <w:rsid w:val="3FBF701F"/>
    <w:rsid w:val="3FE43E1D"/>
    <w:rsid w:val="40015512"/>
    <w:rsid w:val="40066116"/>
    <w:rsid w:val="400B4AA9"/>
    <w:rsid w:val="40167D4F"/>
    <w:rsid w:val="401A1DE7"/>
    <w:rsid w:val="403F72A5"/>
    <w:rsid w:val="404946C2"/>
    <w:rsid w:val="406C74DB"/>
    <w:rsid w:val="407B4804"/>
    <w:rsid w:val="408B6047"/>
    <w:rsid w:val="40E26143"/>
    <w:rsid w:val="40E439A9"/>
    <w:rsid w:val="40F24318"/>
    <w:rsid w:val="412D1D55"/>
    <w:rsid w:val="4140089D"/>
    <w:rsid w:val="418412BA"/>
    <w:rsid w:val="41923405"/>
    <w:rsid w:val="41BD61A2"/>
    <w:rsid w:val="41D03E27"/>
    <w:rsid w:val="41D806D2"/>
    <w:rsid w:val="42166091"/>
    <w:rsid w:val="422B5D33"/>
    <w:rsid w:val="42381D17"/>
    <w:rsid w:val="4258464E"/>
    <w:rsid w:val="42957651"/>
    <w:rsid w:val="429A1E2E"/>
    <w:rsid w:val="42D44187"/>
    <w:rsid w:val="42D504B3"/>
    <w:rsid w:val="43064E88"/>
    <w:rsid w:val="431439A6"/>
    <w:rsid w:val="431F4C7A"/>
    <w:rsid w:val="432B3B11"/>
    <w:rsid w:val="432D387E"/>
    <w:rsid w:val="435117C9"/>
    <w:rsid w:val="435A2177"/>
    <w:rsid w:val="43853221"/>
    <w:rsid w:val="43F97775"/>
    <w:rsid w:val="43FB2B0D"/>
    <w:rsid w:val="442570D8"/>
    <w:rsid w:val="445A1933"/>
    <w:rsid w:val="44775660"/>
    <w:rsid w:val="44EB5650"/>
    <w:rsid w:val="44ED759E"/>
    <w:rsid w:val="44F74ACF"/>
    <w:rsid w:val="44F94935"/>
    <w:rsid w:val="455A248C"/>
    <w:rsid w:val="45800144"/>
    <w:rsid w:val="45AD2F03"/>
    <w:rsid w:val="45D97B03"/>
    <w:rsid w:val="460E39A2"/>
    <w:rsid w:val="46115240"/>
    <w:rsid w:val="46245478"/>
    <w:rsid w:val="464473C4"/>
    <w:rsid w:val="464839B5"/>
    <w:rsid w:val="466729A4"/>
    <w:rsid w:val="467C6B42"/>
    <w:rsid w:val="46A02970"/>
    <w:rsid w:val="46B462E5"/>
    <w:rsid w:val="46B61BA1"/>
    <w:rsid w:val="46CC1565"/>
    <w:rsid w:val="46F25071"/>
    <w:rsid w:val="46FD6E99"/>
    <w:rsid w:val="47241DC7"/>
    <w:rsid w:val="475F50A3"/>
    <w:rsid w:val="47BB5E65"/>
    <w:rsid w:val="47F646ED"/>
    <w:rsid w:val="48000D06"/>
    <w:rsid w:val="48300895"/>
    <w:rsid w:val="48302173"/>
    <w:rsid w:val="484313CC"/>
    <w:rsid w:val="48457423"/>
    <w:rsid w:val="484F0157"/>
    <w:rsid w:val="48566BCE"/>
    <w:rsid w:val="48636ED0"/>
    <w:rsid w:val="48847F4B"/>
    <w:rsid w:val="48A7413B"/>
    <w:rsid w:val="48B00D40"/>
    <w:rsid w:val="48BE0C93"/>
    <w:rsid w:val="48CA464B"/>
    <w:rsid w:val="48D22B98"/>
    <w:rsid w:val="48EC13B2"/>
    <w:rsid w:val="48F6071D"/>
    <w:rsid w:val="490746D8"/>
    <w:rsid w:val="490B241B"/>
    <w:rsid w:val="4950744B"/>
    <w:rsid w:val="49532579"/>
    <w:rsid w:val="495D6746"/>
    <w:rsid w:val="496B1CD2"/>
    <w:rsid w:val="497A1DF2"/>
    <w:rsid w:val="498521CD"/>
    <w:rsid w:val="498937E6"/>
    <w:rsid w:val="49A32653"/>
    <w:rsid w:val="49CE5923"/>
    <w:rsid w:val="4A252ACF"/>
    <w:rsid w:val="4A253068"/>
    <w:rsid w:val="4A35264E"/>
    <w:rsid w:val="4A7144FF"/>
    <w:rsid w:val="4A906047"/>
    <w:rsid w:val="4AD629B0"/>
    <w:rsid w:val="4AEF1A7C"/>
    <w:rsid w:val="4AF56EDE"/>
    <w:rsid w:val="4B076C12"/>
    <w:rsid w:val="4B221C9D"/>
    <w:rsid w:val="4B6170BD"/>
    <w:rsid w:val="4B6B71A0"/>
    <w:rsid w:val="4B9428D8"/>
    <w:rsid w:val="4BD46308"/>
    <w:rsid w:val="4BD46CA0"/>
    <w:rsid w:val="4BDC67D7"/>
    <w:rsid w:val="4BE80E2D"/>
    <w:rsid w:val="4BE8122B"/>
    <w:rsid w:val="4C01447F"/>
    <w:rsid w:val="4C31118F"/>
    <w:rsid w:val="4C34778E"/>
    <w:rsid w:val="4C75114F"/>
    <w:rsid w:val="4C855413"/>
    <w:rsid w:val="4C92047A"/>
    <w:rsid w:val="4CBF247D"/>
    <w:rsid w:val="4CC42496"/>
    <w:rsid w:val="4D007DBC"/>
    <w:rsid w:val="4D0D1254"/>
    <w:rsid w:val="4D251C04"/>
    <w:rsid w:val="4D292E6F"/>
    <w:rsid w:val="4D334235"/>
    <w:rsid w:val="4D3558F3"/>
    <w:rsid w:val="4D36558C"/>
    <w:rsid w:val="4D45306C"/>
    <w:rsid w:val="4D6614CB"/>
    <w:rsid w:val="4DBE5CAD"/>
    <w:rsid w:val="4DD23507"/>
    <w:rsid w:val="4DE84AD8"/>
    <w:rsid w:val="4E252395"/>
    <w:rsid w:val="4E2875CB"/>
    <w:rsid w:val="4E2E5C98"/>
    <w:rsid w:val="4E52163B"/>
    <w:rsid w:val="4E566BD0"/>
    <w:rsid w:val="4E657B80"/>
    <w:rsid w:val="4E7A3601"/>
    <w:rsid w:val="4E8B2268"/>
    <w:rsid w:val="4E993DB0"/>
    <w:rsid w:val="4EC015B1"/>
    <w:rsid w:val="4EED40E4"/>
    <w:rsid w:val="4EFD472D"/>
    <w:rsid w:val="4F171F64"/>
    <w:rsid w:val="4F461D46"/>
    <w:rsid w:val="4F7E4CF7"/>
    <w:rsid w:val="4F9C3BC9"/>
    <w:rsid w:val="4FD25E02"/>
    <w:rsid w:val="4FD277EE"/>
    <w:rsid w:val="4FFC0D0F"/>
    <w:rsid w:val="50010825"/>
    <w:rsid w:val="501D29FE"/>
    <w:rsid w:val="5023004A"/>
    <w:rsid w:val="502C0172"/>
    <w:rsid w:val="503025A4"/>
    <w:rsid w:val="50396AAB"/>
    <w:rsid w:val="50792070"/>
    <w:rsid w:val="507E34D2"/>
    <w:rsid w:val="50AF14D1"/>
    <w:rsid w:val="50AF61DA"/>
    <w:rsid w:val="50C42272"/>
    <w:rsid w:val="50D255DA"/>
    <w:rsid w:val="50E449C6"/>
    <w:rsid w:val="50E64646"/>
    <w:rsid w:val="50EA0CAA"/>
    <w:rsid w:val="50FB2D75"/>
    <w:rsid w:val="510725D4"/>
    <w:rsid w:val="5124051D"/>
    <w:rsid w:val="51385D77"/>
    <w:rsid w:val="514E7027"/>
    <w:rsid w:val="51694182"/>
    <w:rsid w:val="516C38F3"/>
    <w:rsid w:val="51766380"/>
    <w:rsid w:val="51932FAD"/>
    <w:rsid w:val="51DA61D7"/>
    <w:rsid w:val="51EE01FE"/>
    <w:rsid w:val="51F34B83"/>
    <w:rsid w:val="51F92A85"/>
    <w:rsid w:val="520C66EB"/>
    <w:rsid w:val="524D2C93"/>
    <w:rsid w:val="524E3F98"/>
    <w:rsid w:val="52594D21"/>
    <w:rsid w:val="527C6137"/>
    <w:rsid w:val="528F1EA1"/>
    <w:rsid w:val="52A571CC"/>
    <w:rsid w:val="52A83D6D"/>
    <w:rsid w:val="52BE203F"/>
    <w:rsid w:val="52F15C3C"/>
    <w:rsid w:val="52FB705C"/>
    <w:rsid w:val="53035F03"/>
    <w:rsid w:val="530F23E4"/>
    <w:rsid w:val="531A1F99"/>
    <w:rsid w:val="531C6A0B"/>
    <w:rsid w:val="53207405"/>
    <w:rsid w:val="53873BB1"/>
    <w:rsid w:val="53B61BA3"/>
    <w:rsid w:val="53D26312"/>
    <w:rsid w:val="53DD2C05"/>
    <w:rsid w:val="53E3733D"/>
    <w:rsid w:val="540D30CE"/>
    <w:rsid w:val="540D674C"/>
    <w:rsid w:val="544E58B1"/>
    <w:rsid w:val="545A2D73"/>
    <w:rsid w:val="54637DFF"/>
    <w:rsid w:val="54C811C0"/>
    <w:rsid w:val="54DA6B45"/>
    <w:rsid w:val="54DE77D2"/>
    <w:rsid w:val="54E65AEA"/>
    <w:rsid w:val="54EB6A7A"/>
    <w:rsid w:val="54FD62D4"/>
    <w:rsid w:val="550E3D93"/>
    <w:rsid w:val="551D59AF"/>
    <w:rsid w:val="55214D74"/>
    <w:rsid w:val="556164D7"/>
    <w:rsid w:val="55664827"/>
    <w:rsid w:val="55671C2C"/>
    <w:rsid w:val="559A1DFE"/>
    <w:rsid w:val="55F93865"/>
    <w:rsid w:val="562F0F30"/>
    <w:rsid w:val="56412C14"/>
    <w:rsid w:val="5666031A"/>
    <w:rsid w:val="566F58A1"/>
    <w:rsid w:val="568F1005"/>
    <w:rsid w:val="569C67A5"/>
    <w:rsid w:val="56A95ABB"/>
    <w:rsid w:val="56AD44C1"/>
    <w:rsid w:val="56B84570"/>
    <w:rsid w:val="56C05D00"/>
    <w:rsid w:val="56CD45FD"/>
    <w:rsid w:val="56D56CF0"/>
    <w:rsid w:val="5706103C"/>
    <w:rsid w:val="57182099"/>
    <w:rsid w:val="575823DC"/>
    <w:rsid w:val="575907F5"/>
    <w:rsid w:val="57686C8A"/>
    <w:rsid w:val="57717EC0"/>
    <w:rsid w:val="57A05D54"/>
    <w:rsid w:val="57BC1DF5"/>
    <w:rsid w:val="57E80B95"/>
    <w:rsid w:val="58022BAD"/>
    <w:rsid w:val="581D1822"/>
    <w:rsid w:val="585B2F03"/>
    <w:rsid w:val="586C6306"/>
    <w:rsid w:val="58A43CF2"/>
    <w:rsid w:val="58B058B2"/>
    <w:rsid w:val="58B73A25"/>
    <w:rsid w:val="58B77D99"/>
    <w:rsid w:val="58C625B2"/>
    <w:rsid w:val="58ED38EB"/>
    <w:rsid w:val="58F447DB"/>
    <w:rsid w:val="591D17C6"/>
    <w:rsid w:val="59463856"/>
    <w:rsid w:val="59737DC6"/>
    <w:rsid w:val="598629F0"/>
    <w:rsid w:val="59A94B9E"/>
    <w:rsid w:val="59B23DA0"/>
    <w:rsid w:val="59B744A0"/>
    <w:rsid w:val="59CF2FF0"/>
    <w:rsid w:val="59DC145C"/>
    <w:rsid w:val="59F67A65"/>
    <w:rsid w:val="5A072B0A"/>
    <w:rsid w:val="5A1B6236"/>
    <w:rsid w:val="5A2055FA"/>
    <w:rsid w:val="5A3A490E"/>
    <w:rsid w:val="5A533113"/>
    <w:rsid w:val="5A6A06E7"/>
    <w:rsid w:val="5A6C12D3"/>
    <w:rsid w:val="5A6E2809"/>
    <w:rsid w:val="5A714825"/>
    <w:rsid w:val="5A7857FC"/>
    <w:rsid w:val="5AAE70AA"/>
    <w:rsid w:val="5AC722E2"/>
    <w:rsid w:val="5AD07020"/>
    <w:rsid w:val="5AE353A3"/>
    <w:rsid w:val="5B0F614B"/>
    <w:rsid w:val="5B4410F1"/>
    <w:rsid w:val="5B5E63DA"/>
    <w:rsid w:val="5B7025B1"/>
    <w:rsid w:val="5B7377AF"/>
    <w:rsid w:val="5BB406F0"/>
    <w:rsid w:val="5BE91EAC"/>
    <w:rsid w:val="5BEF1517"/>
    <w:rsid w:val="5BFF72D5"/>
    <w:rsid w:val="5C2E62E7"/>
    <w:rsid w:val="5C3B139A"/>
    <w:rsid w:val="5C593EAF"/>
    <w:rsid w:val="5C6173BF"/>
    <w:rsid w:val="5C69210D"/>
    <w:rsid w:val="5CB37C8F"/>
    <w:rsid w:val="5CEE5E83"/>
    <w:rsid w:val="5D165F26"/>
    <w:rsid w:val="5D310A79"/>
    <w:rsid w:val="5D3F223B"/>
    <w:rsid w:val="5D4A34D8"/>
    <w:rsid w:val="5D5A0281"/>
    <w:rsid w:val="5D6903F9"/>
    <w:rsid w:val="5D727FC7"/>
    <w:rsid w:val="5D804D2D"/>
    <w:rsid w:val="5D972FAA"/>
    <w:rsid w:val="5DC2175C"/>
    <w:rsid w:val="5DCE143B"/>
    <w:rsid w:val="5E146C58"/>
    <w:rsid w:val="5E253D03"/>
    <w:rsid w:val="5E7F1E13"/>
    <w:rsid w:val="5E820631"/>
    <w:rsid w:val="5E9033B3"/>
    <w:rsid w:val="5E9601B1"/>
    <w:rsid w:val="5E9B7AF2"/>
    <w:rsid w:val="5EA507C4"/>
    <w:rsid w:val="5EC24ED2"/>
    <w:rsid w:val="5ED73A76"/>
    <w:rsid w:val="5EDA252D"/>
    <w:rsid w:val="5EF06C4F"/>
    <w:rsid w:val="5F141557"/>
    <w:rsid w:val="5F3A53B0"/>
    <w:rsid w:val="5F8068D2"/>
    <w:rsid w:val="5FCD1D80"/>
    <w:rsid w:val="5FD8443A"/>
    <w:rsid w:val="60182704"/>
    <w:rsid w:val="60210AA5"/>
    <w:rsid w:val="6086247B"/>
    <w:rsid w:val="60AC2B94"/>
    <w:rsid w:val="60B13100"/>
    <w:rsid w:val="60D27622"/>
    <w:rsid w:val="60E229FC"/>
    <w:rsid w:val="60FF41BB"/>
    <w:rsid w:val="6108141F"/>
    <w:rsid w:val="610F72CE"/>
    <w:rsid w:val="6119000F"/>
    <w:rsid w:val="61193719"/>
    <w:rsid w:val="61652A89"/>
    <w:rsid w:val="6171346B"/>
    <w:rsid w:val="61736957"/>
    <w:rsid w:val="618446C0"/>
    <w:rsid w:val="61A12AA9"/>
    <w:rsid w:val="61BB1F59"/>
    <w:rsid w:val="61D56B81"/>
    <w:rsid w:val="61E73896"/>
    <w:rsid w:val="61F42DD9"/>
    <w:rsid w:val="61FC4B9F"/>
    <w:rsid w:val="621B5E82"/>
    <w:rsid w:val="624837BF"/>
    <w:rsid w:val="625A1031"/>
    <w:rsid w:val="625D4A96"/>
    <w:rsid w:val="626A5692"/>
    <w:rsid w:val="62755297"/>
    <w:rsid w:val="62B66AFB"/>
    <w:rsid w:val="63030933"/>
    <w:rsid w:val="6312641A"/>
    <w:rsid w:val="63352116"/>
    <w:rsid w:val="63442359"/>
    <w:rsid w:val="634A10FB"/>
    <w:rsid w:val="63500DAD"/>
    <w:rsid w:val="63974D16"/>
    <w:rsid w:val="63A64DC2"/>
    <w:rsid w:val="63AB789A"/>
    <w:rsid w:val="63D15554"/>
    <w:rsid w:val="6401502C"/>
    <w:rsid w:val="640444BC"/>
    <w:rsid w:val="641D078B"/>
    <w:rsid w:val="642B52C7"/>
    <w:rsid w:val="6443678C"/>
    <w:rsid w:val="644972CC"/>
    <w:rsid w:val="646A575D"/>
    <w:rsid w:val="647B68E6"/>
    <w:rsid w:val="648F5856"/>
    <w:rsid w:val="64C01EB3"/>
    <w:rsid w:val="64C115D9"/>
    <w:rsid w:val="653C2F90"/>
    <w:rsid w:val="654F6FCF"/>
    <w:rsid w:val="65510D5D"/>
    <w:rsid w:val="65622F6B"/>
    <w:rsid w:val="65646869"/>
    <w:rsid w:val="658B6C11"/>
    <w:rsid w:val="65901886"/>
    <w:rsid w:val="65922853"/>
    <w:rsid w:val="65D75FAE"/>
    <w:rsid w:val="65F07C88"/>
    <w:rsid w:val="65F93F17"/>
    <w:rsid w:val="661B0870"/>
    <w:rsid w:val="661F70AE"/>
    <w:rsid w:val="6626099C"/>
    <w:rsid w:val="6640216C"/>
    <w:rsid w:val="668533B4"/>
    <w:rsid w:val="669127DF"/>
    <w:rsid w:val="66AD46B9"/>
    <w:rsid w:val="66B21D89"/>
    <w:rsid w:val="66B934EE"/>
    <w:rsid w:val="6700378B"/>
    <w:rsid w:val="670C7632"/>
    <w:rsid w:val="671B5C85"/>
    <w:rsid w:val="671D35ED"/>
    <w:rsid w:val="672F4BD5"/>
    <w:rsid w:val="67655552"/>
    <w:rsid w:val="677243C5"/>
    <w:rsid w:val="67AD426A"/>
    <w:rsid w:val="67C749C6"/>
    <w:rsid w:val="67CA7D88"/>
    <w:rsid w:val="67D04C04"/>
    <w:rsid w:val="67FE3FA9"/>
    <w:rsid w:val="680E2F36"/>
    <w:rsid w:val="681A7259"/>
    <w:rsid w:val="6822727D"/>
    <w:rsid w:val="683F4431"/>
    <w:rsid w:val="6842782D"/>
    <w:rsid w:val="684D7F02"/>
    <w:rsid w:val="685B0A66"/>
    <w:rsid w:val="686B41EF"/>
    <w:rsid w:val="68B72045"/>
    <w:rsid w:val="68CD458D"/>
    <w:rsid w:val="692C6018"/>
    <w:rsid w:val="69A10F1F"/>
    <w:rsid w:val="69CA10DE"/>
    <w:rsid w:val="69E77EB4"/>
    <w:rsid w:val="6A077C02"/>
    <w:rsid w:val="6A0F7FB9"/>
    <w:rsid w:val="6A1707C7"/>
    <w:rsid w:val="6A1A3E14"/>
    <w:rsid w:val="6A394E17"/>
    <w:rsid w:val="6A4B15F0"/>
    <w:rsid w:val="6A773014"/>
    <w:rsid w:val="6A7D1EA0"/>
    <w:rsid w:val="6AB04778"/>
    <w:rsid w:val="6AD12B4E"/>
    <w:rsid w:val="6AE52674"/>
    <w:rsid w:val="6AEA7C9F"/>
    <w:rsid w:val="6AEF34F2"/>
    <w:rsid w:val="6B12133F"/>
    <w:rsid w:val="6B276D3C"/>
    <w:rsid w:val="6B4355EC"/>
    <w:rsid w:val="6B563571"/>
    <w:rsid w:val="6B655563"/>
    <w:rsid w:val="6B9A71C2"/>
    <w:rsid w:val="6BA37F92"/>
    <w:rsid w:val="6BBE14D1"/>
    <w:rsid w:val="6BD21941"/>
    <w:rsid w:val="6BF6265F"/>
    <w:rsid w:val="6BFA7F30"/>
    <w:rsid w:val="6C05633C"/>
    <w:rsid w:val="6C1F0B83"/>
    <w:rsid w:val="6C226FA5"/>
    <w:rsid w:val="6C484923"/>
    <w:rsid w:val="6C493019"/>
    <w:rsid w:val="6C5E4626"/>
    <w:rsid w:val="6CB94BEC"/>
    <w:rsid w:val="6CBD325C"/>
    <w:rsid w:val="6CD209D6"/>
    <w:rsid w:val="6CD300CB"/>
    <w:rsid w:val="6CE777DA"/>
    <w:rsid w:val="6CF230C6"/>
    <w:rsid w:val="6D0B1D5B"/>
    <w:rsid w:val="6D1C78AA"/>
    <w:rsid w:val="6D4D5460"/>
    <w:rsid w:val="6D6550CD"/>
    <w:rsid w:val="6D655CEE"/>
    <w:rsid w:val="6D8C26BC"/>
    <w:rsid w:val="6DBE53FE"/>
    <w:rsid w:val="6DDE33AA"/>
    <w:rsid w:val="6DE141CD"/>
    <w:rsid w:val="6DEB00BB"/>
    <w:rsid w:val="6E060CD4"/>
    <w:rsid w:val="6E3F653F"/>
    <w:rsid w:val="6E4739D8"/>
    <w:rsid w:val="6E4E689C"/>
    <w:rsid w:val="6EA472A9"/>
    <w:rsid w:val="6EB87F35"/>
    <w:rsid w:val="6EBB0835"/>
    <w:rsid w:val="6ECF4607"/>
    <w:rsid w:val="6EDD56A0"/>
    <w:rsid w:val="6EFB5A89"/>
    <w:rsid w:val="6F401B5A"/>
    <w:rsid w:val="6F406F7B"/>
    <w:rsid w:val="6F47335F"/>
    <w:rsid w:val="6F837564"/>
    <w:rsid w:val="6F873B8C"/>
    <w:rsid w:val="6F8D32DA"/>
    <w:rsid w:val="6F947336"/>
    <w:rsid w:val="6F9C4C95"/>
    <w:rsid w:val="6FB42615"/>
    <w:rsid w:val="6FBE3493"/>
    <w:rsid w:val="6FDF0E94"/>
    <w:rsid w:val="6FE100AF"/>
    <w:rsid w:val="70074E3A"/>
    <w:rsid w:val="700853C0"/>
    <w:rsid w:val="702459EC"/>
    <w:rsid w:val="702F4391"/>
    <w:rsid w:val="705D3AD4"/>
    <w:rsid w:val="708351A3"/>
    <w:rsid w:val="708E3E56"/>
    <w:rsid w:val="70D21729"/>
    <w:rsid w:val="70E433CD"/>
    <w:rsid w:val="710F044A"/>
    <w:rsid w:val="7127261B"/>
    <w:rsid w:val="715B2707"/>
    <w:rsid w:val="71902C0D"/>
    <w:rsid w:val="71AD37BF"/>
    <w:rsid w:val="71B763EC"/>
    <w:rsid w:val="71B96608"/>
    <w:rsid w:val="71D032C9"/>
    <w:rsid w:val="71EA64B5"/>
    <w:rsid w:val="71EB1226"/>
    <w:rsid w:val="71EF2F7B"/>
    <w:rsid w:val="71F71B03"/>
    <w:rsid w:val="721D46E4"/>
    <w:rsid w:val="72996137"/>
    <w:rsid w:val="72BC4D27"/>
    <w:rsid w:val="72E476B5"/>
    <w:rsid w:val="72FA7BBE"/>
    <w:rsid w:val="73152BC1"/>
    <w:rsid w:val="73C208F7"/>
    <w:rsid w:val="73C96522"/>
    <w:rsid w:val="73CE56C6"/>
    <w:rsid w:val="73E81FED"/>
    <w:rsid w:val="73F03F5C"/>
    <w:rsid w:val="73FF52EA"/>
    <w:rsid w:val="740C0C71"/>
    <w:rsid w:val="742B3440"/>
    <w:rsid w:val="74501460"/>
    <w:rsid w:val="745B3074"/>
    <w:rsid w:val="74666E87"/>
    <w:rsid w:val="746C7962"/>
    <w:rsid w:val="74772804"/>
    <w:rsid w:val="74A72E85"/>
    <w:rsid w:val="74C755EA"/>
    <w:rsid w:val="74E331C9"/>
    <w:rsid w:val="74E41BEE"/>
    <w:rsid w:val="75090B5A"/>
    <w:rsid w:val="751C3136"/>
    <w:rsid w:val="753507D9"/>
    <w:rsid w:val="754C7BCD"/>
    <w:rsid w:val="7593125A"/>
    <w:rsid w:val="75BF54E7"/>
    <w:rsid w:val="75F714AD"/>
    <w:rsid w:val="760C122F"/>
    <w:rsid w:val="762133D1"/>
    <w:rsid w:val="763664AB"/>
    <w:rsid w:val="76417A12"/>
    <w:rsid w:val="76525D2E"/>
    <w:rsid w:val="766528BB"/>
    <w:rsid w:val="768A4C36"/>
    <w:rsid w:val="768D6ACD"/>
    <w:rsid w:val="76A271F5"/>
    <w:rsid w:val="77326787"/>
    <w:rsid w:val="773317AA"/>
    <w:rsid w:val="775708DD"/>
    <w:rsid w:val="77584D76"/>
    <w:rsid w:val="777F5BFE"/>
    <w:rsid w:val="77B52710"/>
    <w:rsid w:val="77DF4A03"/>
    <w:rsid w:val="77FF289B"/>
    <w:rsid w:val="78047FFF"/>
    <w:rsid w:val="780A1873"/>
    <w:rsid w:val="780A686C"/>
    <w:rsid w:val="78254B3E"/>
    <w:rsid w:val="78677D44"/>
    <w:rsid w:val="78857244"/>
    <w:rsid w:val="78F14A77"/>
    <w:rsid w:val="78F63C9E"/>
    <w:rsid w:val="790A6E39"/>
    <w:rsid w:val="79101DAE"/>
    <w:rsid w:val="79142376"/>
    <w:rsid w:val="793E615C"/>
    <w:rsid w:val="794669D3"/>
    <w:rsid w:val="79721169"/>
    <w:rsid w:val="7993773F"/>
    <w:rsid w:val="79AE1288"/>
    <w:rsid w:val="79C45B4A"/>
    <w:rsid w:val="79CB5F40"/>
    <w:rsid w:val="79D164E7"/>
    <w:rsid w:val="79D81362"/>
    <w:rsid w:val="79E65375"/>
    <w:rsid w:val="79F458A4"/>
    <w:rsid w:val="7A0114DA"/>
    <w:rsid w:val="7A2472DE"/>
    <w:rsid w:val="7A857153"/>
    <w:rsid w:val="7A995229"/>
    <w:rsid w:val="7AA80AB2"/>
    <w:rsid w:val="7AAD2A82"/>
    <w:rsid w:val="7AD6655A"/>
    <w:rsid w:val="7B02692A"/>
    <w:rsid w:val="7B2044E5"/>
    <w:rsid w:val="7B2E6632"/>
    <w:rsid w:val="7B617141"/>
    <w:rsid w:val="7B725D80"/>
    <w:rsid w:val="7B86107C"/>
    <w:rsid w:val="7BE65806"/>
    <w:rsid w:val="7BFC15CB"/>
    <w:rsid w:val="7C182BE5"/>
    <w:rsid w:val="7C232FFC"/>
    <w:rsid w:val="7C395444"/>
    <w:rsid w:val="7C572CA5"/>
    <w:rsid w:val="7C611ED0"/>
    <w:rsid w:val="7C6B4E62"/>
    <w:rsid w:val="7CA53A11"/>
    <w:rsid w:val="7CF81572"/>
    <w:rsid w:val="7CFC55FB"/>
    <w:rsid w:val="7D0A3AD2"/>
    <w:rsid w:val="7D1C7413"/>
    <w:rsid w:val="7D271EE3"/>
    <w:rsid w:val="7D2B75E2"/>
    <w:rsid w:val="7D6F401F"/>
    <w:rsid w:val="7D705B5B"/>
    <w:rsid w:val="7D741635"/>
    <w:rsid w:val="7DAC20BE"/>
    <w:rsid w:val="7DAE58B7"/>
    <w:rsid w:val="7DC266CD"/>
    <w:rsid w:val="7DD22D5B"/>
    <w:rsid w:val="7DD4587F"/>
    <w:rsid w:val="7DDA7B65"/>
    <w:rsid w:val="7DE13BCC"/>
    <w:rsid w:val="7DFB58B2"/>
    <w:rsid w:val="7E06136E"/>
    <w:rsid w:val="7E582D05"/>
    <w:rsid w:val="7E7D7BA8"/>
    <w:rsid w:val="7E9E3FA7"/>
    <w:rsid w:val="7EB76B5F"/>
    <w:rsid w:val="7EBB580E"/>
    <w:rsid w:val="7F1803F8"/>
    <w:rsid w:val="7F18397E"/>
    <w:rsid w:val="7F3C536E"/>
    <w:rsid w:val="7F4E1F44"/>
    <w:rsid w:val="7F6E77D4"/>
    <w:rsid w:val="7F7354F5"/>
    <w:rsid w:val="7F7678E7"/>
    <w:rsid w:val="7F7D3DC3"/>
    <w:rsid w:val="7FB34697"/>
    <w:rsid w:val="7FDD35A0"/>
    <w:rsid w:val="7FF07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autoRedefine/>
    <w:qFormat/>
    <w:uiPriority w:val="0"/>
    <w:pPr>
      <w:jc w:val="left"/>
    </w:pPr>
  </w:style>
  <w:style w:type="paragraph" w:styleId="6">
    <w:name w:val="Body Text"/>
    <w:basedOn w:val="1"/>
    <w:next w:val="7"/>
    <w:autoRedefine/>
    <w:qFormat/>
    <w:uiPriority w:val="0"/>
    <w:pPr>
      <w:adjustRightInd w:val="0"/>
      <w:spacing w:before="100" w:after="100" w:line="300" w:lineRule="auto"/>
      <w:ind w:firstLine="1044" w:firstLineChars="200"/>
    </w:pPr>
    <w:rPr>
      <w:sz w:val="24"/>
    </w:rPr>
  </w:style>
  <w:style w:type="paragraph" w:styleId="7">
    <w:name w:val="Body Text 2"/>
    <w:basedOn w:val="1"/>
    <w:autoRedefine/>
    <w:qFormat/>
    <w:uiPriority w:val="0"/>
    <w:pPr>
      <w:spacing w:after="120" w:line="480" w:lineRule="auto"/>
    </w:pPr>
  </w:style>
  <w:style w:type="paragraph" w:styleId="8">
    <w:name w:val="footer"/>
    <w:basedOn w:val="1"/>
    <w:link w:val="26"/>
    <w:autoRedefine/>
    <w:qFormat/>
    <w:uiPriority w:val="0"/>
    <w:pPr>
      <w:tabs>
        <w:tab w:val="center" w:pos="4153"/>
        <w:tab w:val="right" w:pos="8306"/>
      </w:tabs>
      <w:snapToGrid w:val="0"/>
      <w:jc w:val="left"/>
    </w:pPr>
    <w:rPr>
      <w:sz w:val="18"/>
      <w:szCs w:val="18"/>
    </w:rPr>
  </w:style>
  <w:style w:type="paragraph" w:styleId="9">
    <w:name w:val="header"/>
    <w:basedOn w:val="1"/>
    <w:link w:val="25"/>
    <w:autoRedefine/>
    <w:qFormat/>
    <w:uiPriority w:val="0"/>
    <w:pPr>
      <w:tabs>
        <w:tab w:val="center" w:pos="4153"/>
        <w:tab w:val="right" w:pos="8306"/>
      </w:tabs>
      <w:snapToGrid w:val="0"/>
      <w:jc w:val="center"/>
    </w:pPr>
    <w:rPr>
      <w:sz w:val="18"/>
      <w:szCs w:val="18"/>
    </w:rPr>
  </w:style>
  <w:style w:type="paragraph" w:styleId="10">
    <w:name w:val="Title"/>
    <w:autoRedefine/>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paragraph" w:styleId="11">
    <w:name w:val="annotation subject"/>
    <w:basedOn w:val="5"/>
    <w:next w:val="5"/>
    <w:link w:val="21"/>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annotation reference"/>
    <w:basedOn w:val="14"/>
    <w:autoRedefine/>
    <w:qFormat/>
    <w:uiPriority w:val="0"/>
    <w:rPr>
      <w:sz w:val="21"/>
      <w:szCs w:val="21"/>
    </w:rPr>
  </w:style>
  <w:style w:type="character" w:customStyle="1" w:styleId="17">
    <w:name w:val="font51"/>
    <w:basedOn w:val="14"/>
    <w:autoRedefine/>
    <w:qFormat/>
    <w:uiPriority w:val="0"/>
    <w:rPr>
      <w:rFonts w:hint="eastAsia" w:ascii="方正仿宋_GBK" w:hAnsi="方正仿宋_GBK" w:eastAsia="方正仿宋_GBK" w:cs="方正仿宋_GBK"/>
      <w:b/>
      <w:bCs/>
      <w:color w:val="000000"/>
      <w:sz w:val="16"/>
      <w:szCs w:val="16"/>
      <w:u w:val="none"/>
    </w:rPr>
  </w:style>
  <w:style w:type="paragraph" w:styleId="18">
    <w:name w:val="List Paragraph"/>
    <w:basedOn w:val="1"/>
    <w:autoRedefine/>
    <w:unhideWhenUsed/>
    <w:qFormat/>
    <w:uiPriority w:val="99"/>
    <w:pPr>
      <w:ind w:firstLine="420" w:firstLineChars="200"/>
    </w:pPr>
  </w:style>
  <w:style w:type="paragraph" w:customStyle="1" w:styleId="19">
    <w:name w:val="修订1"/>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0">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11"/>
    <w:autoRedefine/>
    <w:qFormat/>
    <w:uiPriority w:val="0"/>
    <w:rPr>
      <w:rFonts w:asciiTheme="minorHAnsi" w:hAnsiTheme="minorHAnsi" w:eastAsiaTheme="minorEastAsia" w:cstheme="minorBidi"/>
      <w:b/>
      <w:bCs/>
      <w:kern w:val="2"/>
      <w:sz w:val="21"/>
      <w:szCs w:val="24"/>
    </w:rPr>
  </w:style>
  <w:style w:type="character" w:customStyle="1" w:styleId="22">
    <w:name w:val="font41"/>
    <w:basedOn w:val="14"/>
    <w:autoRedefine/>
    <w:qFormat/>
    <w:uiPriority w:val="0"/>
    <w:rPr>
      <w:rFonts w:hint="eastAsia" w:ascii="宋体" w:hAnsi="宋体" w:eastAsia="宋体" w:cs="宋体"/>
      <w:color w:val="000000"/>
      <w:sz w:val="20"/>
      <w:szCs w:val="20"/>
      <w:u w:val="none"/>
    </w:rPr>
  </w:style>
  <w:style w:type="paragraph" w:customStyle="1" w:styleId="23">
    <w:name w:val="修订2"/>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4">
    <w:name w:val="修订3"/>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5">
    <w:name w:val="页眉 字符"/>
    <w:basedOn w:val="14"/>
    <w:link w:val="9"/>
    <w:autoRedefine/>
    <w:qFormat/>
    <w:uiPriority w:val="0"/>
    <w:rPr>
      <w:rFonts w:asciiTheme="minorHAnsi" w:hAnsiTheme="minorHAnsi" w:eastAsiaTheme="minorEastAsia" w:cstheme="minorBidi"/>
      <w:kern w:val="2"/>
      <w:sz w:val="18"/>
      <w:szCs w:val="18"/>
    </w:rPr>
  </w:style>
  <w:style w:type="character" w:customStyle="1" w:styleId="26">
    <w:name w:val="页脚 字符"/>
    <w:basedOn w:val="14"/>
    <w:link w:val="8"/>
    <w:autoRedefine/>
    <w:qFormat/>
    <w:uiPriority w:val="0"/>
    <w:rPr>
      <w:rFonts w:asciiTheme="minorHAnsi" w:hAnsiTheme="minorHAnsi" w:eastAsiaTheme="minorEastAsia" w:cstheme="minorBidi"/>
      <w:kern w:val="2"/>
      <w:sz w:val="18"/>
      <w:szCs w:val="18"/>
    </w:rPr>
  </w:style>
  <w:style w:type="character" w:customStyle="1" w:styleId="27">
    <w:name w:val="font31"/>
    <w:basedOn w:val="14"/>
    <w:autoRedefine/>
    <w:qFormat/>
    <w:uiPriority w:val="0"/>
    <w:rPr>
      <w:rFonts w:hint="eastAsia" w:ascii="仿宋" w:hAnsi="仿宋" w:eastAsia="仿宋" w:cs="仿宋"/>
      <w:b/>
      <w:bCs/>
      <w:color w:val="000000"/>
      <w:sz w:val="20"/>
      <w:szCs w:val="20"/>
      <w:u w:val="none"/>
    </w:rPr>
  </w:style>
  <w:style w:type="character" w:customStyle="1" w:styleId="28">
    <w:name w:val="font81"/>
    <w:basedOn w:val="14"/>
    <w:autoRedefine/>
    <w:qFormat/>
    <w:uiPriority w:val="0"/>
    <w:rPr>
      <w:rFonts w:hint="eastAsia" w:ascii="仿宋" w:hAnsi="仿宋" w:eastAsia="仿宋" w:cs="仿宋"/>
      <w:b/>
      <w:bCs/>
      <w:color w:val="000000"/>
      <w:sz w:val="18"/>
      <w:szCs w:val="18"/>
      <w:u w:val="none"/>
    </w:rPr>
  </w:style>
  <w:style w:type="character" w:customStyle="1" w:styleId="29">
    <w:name w:val="font91"/>
    <w:basedOn w:val="14"/>
    <w:autoRedefine/>
    <w:qFormat/>
    <w:uiPriority w:val="0"/>
    <w:rPr>
      <w:rFonts w:ascii="Microsoft YaHei UI" w:hAnsi="Microsoft YaHei UI" w:eastAsia="Microsoft YaHei UI" w:cs="Microsoft YaHei UI"/>
      <w:color w:val="000000"/>
      <w:sz w:val="18"/>
      <w:szCs w:val="18"/>
      <w:u w:val="none"/>
    </w:rPr>
  </w:style>
  <w:style w:type="character" w:customStyle="1" w:styleId="30">
    <w:name w:val="font11"/>
    <w:basedOn w:val="14"/>
    <w:autoRedefine/>
    <w:qFormat/>
    <w:uiPriority w:val="0"/>
    <w:rPr>
      <w:rFonts w:hint="eastAsia" w:ascii="宋体" w:hAnsi="宋体" w:eastAsia="宋体" w:cs="宋体"/>
      <w:color w:val="000000"/>
      <w:sz w:val="20"/>
      <w:szCs w:val="20"/>
      <w:u w:val="none"/>
    </w:rPr>
  </w:style>
  <w:style w:type="character" w:customStyle="1" w:styleId="31">
    <w:name w:val="font12"/>
    <w:basedOn w:val="14"/>
    <w:autoRedefine/>
    <w:qFormat/>
    <w:uiPriority w:val="0"/>
    <w:rPr>
      <w:rFonts w:hint="eastAsia" w:ascii="宋体" w:hAnsi="宋体" w:eastAsia="宋体" w:cs="宋体"/>
      <w:color w:val="000000"/>
      <w:sz w:val="20"/>
      <w:szCs w:val="20"/>
      <w:u w:val="none"/>
    </w:rPr>
  </w:style>
  <w:style w:type="character" w:customStyle="1" w:styleId="32">
    <w:name w:val="font61"/>
    <w:basedOn w:val="14"/>
    <w:autoRedefine/>
    <w:qFormat/>
    <w:uiPriority w:val="0"/>
    <w:rPr>
      <w:rFonts w:hint="eastAsia" w:ascii="宋体" w:hAnsi="宋体" w:eastAsia="宋体" w:cs="宋体"/>
      <w:color w:val="000000"/>
      <w:sz w:val="16"/>
      <w:szCs w:val="16"/>
      <w:u w:val="none"/>
    </w:rPr>
  </w:style>
  <w:style w:type="character" w:customStyle="1" w:styleId="33">
    <w:name w:val="font21"/>
    <w:basedOn w:val="14"/>
    <w:autoRedefine/>
    <w:qFormat/>
    <w:uiPriority w:val="0"/>
    <w:rPr>
      <w:rFonts w:hint="eastAsia" w:ascii="仿宋" w:hAnsi="仿宋" w:eastAsia="仿宋" w:cs="仿宋"/>
      <w:color w:val="000000"/>
      <w:sz w:val="21"/>
      <w:szCs w:val="21"/>
      <w:u w:val="none"/>
    </w:rPr>
  </w:style>
  <w:style w:type="paragraph" w:customStyle="1" w:styleId="3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C11EA7-E2CD-4C34-8E20-3D9C521DF597}">
  <ds:schemaRefs/>
</ds:datastoreItem>
</file>

<file path=docProps/app.xml><?xml version="1.0" encoding="utf-8"?>
<Properties xmlns="http://schemas.openxmlformats.org/officeDocument/2006/extended-properties" xmlns:vt="http://schemas.openxmlformats.org/officeDocument/2006/docPropsVTypes">
  <Template>Normal</Template>
  <Pages>68</Pages>
  <Words>8652</Words>
  <Characters>9312</Characters>
  <Lines>4617</Lines>
  <Paragraphs>3737</Paragraphs>
  <TotalTime>25</TotalTime>
  <ScaleCrop>false</ScaleCrop>
  <LinksUpToDate>false</LinksUpToDate>
  <CharactersWithSpaces>9329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2026-04-25T16:04:00Z</dcterms:created>
  <dc:creator>陈林昕</dc:creator>
  <cp:lastModifiedBy>xys</cp:lastModifiedBy>
  <cp:lastPrinted>2026-05-18T10:24:00Z</cp:lastPrinted>
  <dcterms:modified xsi:type="dcterms:W3CDTF">2026-05-20T04:26:24Z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955FA3EE37B94486BF617104C2B336E0_13</vt:lpwstr>
  </property>
  <property fmtid="{D5CDD505-2E9C-101B-9397-08002B2CF9AE}" pid="4" name="KSOTemplateDocerSaveRecord">
    <vt:lpwstr>eyJoZGlkIjoiMzg0YTQxMmM1Yzc0ODUyODg1ZDhlZDM0MWNhMDRlMDIiLCJ1c2VySWQiOiI0NTUwMzUzNDcifQ==</vt:lpwstr>
  </property>
</Properties>
</file>