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FE77">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EDB942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2B7E442">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B6628E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C68736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6D040CF9">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4234820">
      <w:pPr>
        <w:tabs>
          <w:tab w:val="left" w:pos="720"/>
        </w:tabs>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第一部分</w:t>
      </w:r>
      <w:r>
        <w:rPr>
          <w:rFonts w:hint="eastAsia" w:ascii="宋体" w:hAnsi="宋体"/>
          <w:b/>
          <w:color w:val="000000" w:themeColor="text1"/>
          <w:sz w:val="48"/>
          <w:szCs w:val="48"/>
          <w:highlight w:val="none"/>
          <w14:textFill>
            <w14:solidFill>
              <w14:schemeClr w14:val="tx1"/>
            </w14:solidFill>
          </w14:textFill>
        </w:rPr>
        <w:t>、用户需求书</w:t>
      </w:r>
    </w:p>
    <w:p w14:paraId="6BDBEBB7">
      <w:pPr>
        <w:tabs>
          <w:tab w:val="left" w:pos="720"/>
        </w:tabs>
        <w:spacing w:line="360" w:lineRule="auto"/>
        <w:rPr>
          <w:rFonts w:ascii="宋体" w:hAnsi="宋体"/>
          <w:b/>
          <w:color w:val="000000" w:themeColor="text1"/>
          <w:sz w:val="48"/>
          <w:szCs w:val="48"/>
          <w:highlight w:val="none"/>
          <w14:textFill>
            <w14:solidFill>
              <w14:schemeClr w14:val="tx1"/>
            </w14:solidFill>
          </w14:textFill>
        </w:rPr>
      </w:pPr>
    </w:p>
    <w:p w14:paraId="69D19EB4">
      <w:pPr>
        <w:spacing w:line="30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14:paraId="3EDC9BCD">
      <w:pPr>
        <w:numPr>
          <w:ilvl w:val="0"/>
          <w:numId w:val="0"/>
        </w:numPr>
        <w:spacing w:line="300" w:lineRule="auto"/>
        <w:jc w:val="center"/>
        <w:rPr>
          <w:rFonts w:hint="eastAsia" w:ascii="宋体" w:hAnsi="宋体"/>
          <w:b/>
          <w:bCs/>
          <w:color w:val="000000" w:themeColor="text1"/>
          <w:spacing w:val="10"/>
          <w:kern w:val="0"/>
          <w:sz w:val="28"/>
          <w:szCs w:val="28"/>
          <w:highlight w:val="none"/>
          <w:lang w:val="en-US" w:eastAsia="zh-CN"/>
          <w14:textFill>
            <w14:solidFill>
              <w14:schemeClr w14:val="tx1"/>
            </w14:solidFill>
          </w14:textFill>
        </w:rPr>
      </w:pPr>
      <w:r>
        <w:rPr>
          <w:rFonts w:hint="eastAsia" w:ascii="宋体" w:hAnsi="宋体"/>
          <w:b/>
          <w:bCs/>
          <w:color w:val="000000" w:themeColor="text1"/>
          <w:spacing w:val="10"/>
          <w:kern w:val="0"/>
          <w:sz w:val="28"/>
          <w:szCs w:val="28"/>
          <w:highlight w:val="none"/>
          <w:lang w:val="en-US" w:eastAsia="zh-CN"/>
          <w14:textFill>
            <w14:solidFill>
              <w14:schemeClr w14:val="tx1"/>
            </w14:solidFill>
          </w14:textFill>
        </w:rPr>
        <w:t>用户需求书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211"/>
        <w:gridCol w:w="638"/>
        <w:gridCol w:w="2114"/>
      </w:tblGrid>
      <w:tr w14:paraId="14EF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198F355">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包号</w:t>
            </w:r>
          </w:p>
        </w:tc>
        <w:tc>
          <w:tcPr>
            <w:tcW w:w="0" w:type="auto"/>
            <w:vAlign w:val="center"/>
          </w:tcPr>
          <w:p w14:paraId="12454DAA">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标的名称</w:t>
            </w:r>
          </w:p>
        </w:tc>
        <w:tc>
          <w:tcPr>
            <w:tcW w:w="0" w:type="auto"/>
            <w:vAlign w:val="center"/>
          </w:tcPr>
          <w:p w14:paraId="245C43AE">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0" w:type="auto"/>
            <w:vAlign w:val="center"/>
          </w:tcPr>
          <w:p w14:paraId="71DB7B92">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采购预算（人民币）</w:t>
            </w:r>
          </w:p>
        </w:tc>
      </w:tr>
      <w:tr w14:paraId="08BE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8C830C4">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vAlign w:val="center"/>
          </w:tcPr>
          <w:p w14:paraId="5673998A">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手术显微镜</w:t>
            </w:r>
          </w:p>
        </w:tc>
        <w:tc>
          <w:tcPr>
            <w:tcW w:w="0" w:type="auto"/>
            <w:vAlign w:val="center"/>
          </w:tcPr>
          <w:p w14:paraId="4309686B">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0" w:type="auto"/>
            <w:vAlign w:val="center"/>
          </w:tcPr>
          <w:p w14:paraId="7996AB09">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¥2,350,000.00</w:t>
            </w:r>
          </w:p>
        </w:tc>
      </w:tr>
      <w:tr w14:paraId="68C0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1BF5F77">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vAlign w:val="center"/>
          </w:tcPr>
          <w:p w14:paraId="4E30DFD3">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脊柱微创手术系统</w:t>
            </w:r>
          </w:p>
        </w:tc>
        <w:tc>
          <w:tcPr>
            <w:tcW w:w="0" w:type="auto"/>
            <w:vAlign w:val="center"/>
          </w:tcPr>
          <w:p w14:paraId="762830E3">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0" w:type="auto"/>
            <w:vAlign w:val="center"/>
          </w:tcPr>
          <w:p w14:paraId="5594B737">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¥1,750,000.00</w:t>
            </w:r>
          </w:p>
        </w:tc>
      </w:tr>
      <w:tr w14:paraId="542E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88AA2F">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0" w:type="auto"/>
            <w:vAlign w:val="center"/>
          </w:tcPr>
          <w:p w14:paraId="40D3A480">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电子支气管镜系统</w:t>
            </w:r>
          </w:p>
        </w:tc>
        <w:tc>
          <w:tcPr>
            <w:tcW w:w="0" w:type="auto"/>
            <w:vAlign w:val="center"/>
          </w:tcPr>
          <w:p w14:paraId="4D06A41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0" w:type="auto"/>
            <w:vAlign w:val="center"/>
          </w:tcPr>
          <w:p w14:paraId="4B27E04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¥1,650,000.00</w:t>
            </w:r>
          </w:p>
        </w:tc>
      </w:tr>
      <w:tr w14:paraId="37FC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1DC820">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0" w:type="auto"/>
            <w:vAlign w:val="center"/>
          </w:tcPr>
          <w:p w14:paraId="0FDFADAA">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数字X线摄影机（DR）</w:t>
            </w:r>
          </w:p>
        </w:tc>
        <w:tc>
          <w:tcPr>
            <w:tcW w:w="0" w:type="auto"/>
            <w:vAlign w:val="center"/>
          </w:tcPr>
          <w:p w14:paraId="7C58AA05">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0" w:type="auto"/>
            <w:vAlign w:val="center"/>
          </w:tcPr>
          <w:p w14:paraId="3AF17E68">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¥1,780,000.00</w:t>
            </w:r>
          </w:p>
        </w:tc>
      </w:tr>
    </w:tbl>
    <w:p w14:paraId="70BE7BF1">
      <w:pPr>
        <w:spacing w:after="0"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包1、包3经政府采购管理部门同意，采购本国产品或不属于国家法律法规政策明确规定限制的进口产品。（注：进口产品是指通过中国海关报关验放进入中国境内且产自关境外的产品，含已进入中国境内并在国内市场有销售的进口产品）；包2、包4采购本国产品。</w:t>
      </w:r>
    </w:p>
    <w:p w14:paraId="30CB45C0">
      <w:pPr>
        <w:pStyle w:val="31"/>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14:paraId="7DF95EE7">
      <w:pPr>
        <w:pStyle w:val="69"/>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说明：打“★”号条款为实质性条款，若有任何一条负偏离或不满足则导致投标（响应）无效。</w:t>
      </w:r>
    </w:p>
    <w:p w14:paraId="0D6C2064">
      <w:pPr>
        <w:pStyle w:val="69"/>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打“▲”号条款为重要技术参数（如有），若有部分“▲”条款未响应或不满足，将根据评审要求影响其得分，但不作为无效投标（响应）条款。</w:t>
      </w:r>
    </w:p>
    <w:p w14:paraId="5325B2FA">
      <w:pPr>
        <w:spacing w:line="240" w:lineRule="auto"/>
        <w:rPr>
          <w:rFonts w:hint="eastAsia" w:ascii="宋体" w:hAnsi="宋体" w:eastAsia="宋体" w:cs="宋体"/>
          <w:color w:val="000000" w:themeColor="text1"/>
          <w:sz w:val="21"/>
          <w:szCs w:val="21"/>
          <w14:textFill>
            <w14:solidFill>
              <w14:schemeClr w14:val="tx1"/>
            </w14:solidFill>
          </w14:textFill>
        </w:rPr>
      </w:pPr>
    </w:p>
    <w:p w14:paraId="4F5786C7">
      <w:pPr>
        <w:spacing w:line="240" w:lineRule="auto"/>
        <w:jc w:val="center"/>
        <w:rPr>
          <w:rFonts w:hint="eastAsia" w:ascii="宋体" w:hAnsi="宋体" w:eastAsia="宋体" w:cs="宋体"/>
          <w:b/>
          <w:bCs/>
          <w:color w:val="000000" w:themeColor="text1"/>
          <w:sz w:val="21"/>
          <w:szCs w:val="21"/>
          <w14:textFill>
            <w14:solidFill>
              <w14:schemeClr w14:val="tx1"/>
            </w14:solidFill>
          </w14:textFill>
        </w:rPr>
      </w:pPr>
    </w:p>
    <w:p w14:paraId="7720BD5E">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包1：手术显微镜用户需求</w:t>
      </w:r>
    </w:p>
    <w:p w14:paraId="2F3CA065">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一、采购需求</w:t>
      </w:r>
    </w:p>
    <w:tbl>
      <w:tblPr>
        <w:tblStyle w:val="2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9DBC0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67FE51">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标的名称</w:t>
            </w:r>
          </w:p>
        </w:tc>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A91720">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单位</w:t>
            </w:r>
          </w:p>
        </w:tc>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7DFF2C">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数量</w:t>
            </w:r>
          </w:p>
        </w:tc>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EEEDA2">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采购预算（万元）</w:t>
            </w:r>
          </w:p>
        </w:tc>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BC310A">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品目</w:t>
            </w:r>
          </w:p>
        </w:tc>
      </w:tr>
      <w:tr w14:paraId="30B4C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CFAD7">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手术显微镜</w:t>
            </w:r>
          </w:p>
        </w:tc>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F9AF5">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15BEA">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01FDD">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235万元</w:t>
            </w:r>
          </w:p>
        </w:tc>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F455A">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A02320400医用光学仪器</w:t>
            </w:r>
          </w:p>
        </w:tc>
      </w:tr>
    </w:tbl>
    <w:p w14:paraId="4ABD8E01">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报价包含各项税费、交通运输费、保险、装卸费、安装等合同实施过程中应预见或不可预见费用等所有费用。</w:t>
      </w:r>
    </w:p>
    <w:p w14:paraId="634CB688">
      <w:pPr>
        <w:pStyle w:val="69"/>
        <w:jc w:val="both"/>
        <w:rPr>
          <w:color w:val="000000" w:themeColor="text1"/>
          <w14:textFill>
            <w14:solidFill>
              <w14:schemeClr w14:val="tx1"/>
            </w14:solidFill>
          </w14:textFill>
        </w:rPr>
      </w:pPr>
      <w:r>
        <w:rPr>
          <w:b/>
          <w:color w:val="000000" w:themeColor="text1"/>
          <w:sz w:val="21"/>
          <w14:textFill>
            <w14:solidFill>
              <w14:schemeClr w14:val="tx1"/>
            </w14:solidFill>
          </w14:textFill>
        </w:rPr>
        <w:t>（一）项目需执行的国家相关标准、行业标准、地方标准或者其他标准、规范：</w:t>
      </w:r>
      <w:r>
        <w:rPr>
          <w:color w:val="000000" w:themeColor="text1"/>
          <w:sz w:val="21"/>
          <w14:textFill>
            <w14:solidFill>
              <w14:schemeClr w14:val="tx1"/>
            </w14:solidFill>
          </w14:textFill>
        </w:rPr>
        <w:t>包含且不限于《医疗器械注册管理办法》、《医疗器械唯一标识系统规则》。</w:t>
      </w:r>
    </w:p>
    <w:p w14:paraId="4F83A8A3">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（二）项目基本概况介绍</w:t>
      </w:r>
    </w:p>
    <w:p w14:paraId="72E2B6A9">
      <w:pPr>
        <w:pStyle w:val="6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本项目设备用于克服很多骨科手术中视</w:t>
      </w:r>
      <w:bookmarkStart w:id="10" w:name="_GoBack"/>
      <w:bookmarkEnd w:id="10"/>
      <w:r>
        <w:rPr>
          <w:color w:val="000000" w:themeColor="text1"/>
          <w:sz w:val="21"/>
          <w14:textFill>
            <w14:solidFill>
              <w14:schemeClr w14:val="tx1"/>
            </w14:solidFill>
          </w14:textFill>
        </w:rPr>
        <w:t>野的局限，帮助科室开展更多以前无法开展的手术，同时也可以在原有手术的精细化上提升更高水平，提高手术的安全性，特别在淋巴水肿的超显微治疗以及阿尔兹海默症超显微治疗。</w:t>
      </w:r>
    </w:p>
    <w:p w14:paraId="74DDD047">
      <w:pPr>
        <w:pStyle w:val="69"/>
        <w:jc w:val="both"/>
        <w:rPr>
          <w:color w:val="000000" w:themeColor="text1"/>
          <w14:textFill>
            <w14:solidFill>
              <w14:schemeClr w14:val="tx1"/>
            </w14:solidFill>
          </w14:textFill>
        </w:rPr>
      </w:pPr>
      <w:r>
        <w:rPr>
          <w:b/>
          <w:color w:val="000000" w:themeColor="text1"/>
          <w:sz w:val="21"/>
          <w14:textFill>
            <w14:solidFill>
              <w14:schemeClr w14:val="tx1"/>
            </w14:solidFill>
          </w14:textFill>
        </w:rPr>
        <w:t>（三）参数要求</w:t>
      </w:r>
    </w:p>
    <w:p w14:paraId="6F57DDCF">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1.双人四目，面对面镜组；</w:t>
      </w:r>
    </w:p>
    <w:p w14:paraId="1458A4ED">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2.一体化触摸屏集控系统：通过≥24英寸触摸屏集控光学、支架、影像及照明设置，触屏新建用户个性化设置和新建患者账户，新建用户和患者数量不限；</w:t>
      </w:r>
    </w:p>
    <w:p w14:paraId="560C4032">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3.采用优质光学品质，全光路复消色差加镀膜技术；</w:t>
      </w:r>
    </w:p>
    <w:p w14:paraId="1B62D47C">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▲4.电动连续无级变倍系统，最大放大倍率≥40X；</w:t>
      </w:r>
    </w:p>
    <w:p w14:paraId="3C02A9CC">
      <w:pPr>
        <w:pStyle w:val="69"/>
        <w:jc w:val="both"/>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▲5.单一连续可调物镜下，电动连续变焦，最小工作距离≤200mm，最大工作距离≥610mm；</w:t>
      </w:r>
    </w:p>
    <w:p w14:paraId="650ABFF2">
      <w:pPr>
        <w:pStyle w:val="69"/>
        <w:jc w:val="both"/>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▲6.</w:t>
      </w:r>
      <w:r>
        <w:rPr>
          <w:rFonts w:hint="eastAsia"/>
          <w:color w:val="000000" w:themeColor="text1"/>
          <w:sz w:val="21"/>
          <w:lang w:val="en-US" w:eastAsia="zh-CN"/>
          <w14:textFill>
            <w14:solidFill>
              <w14:schemeClr w14:val="tx1"/>
            </w14:solidFill>
          </w14:textFill>
        </w:rPr>
        <w:t>主刀镜</w:t>
      </w:r>
      <w:r>
        <w:rPr>
          <w:rFonts w:hint="eastAsia"/>
          <w:color w:val="000000" w:themeColor="text1"/>
          <w:sz w:val="21"/>
          <w:lang w:eastAsia="zh-CN"/>
          <w14:textFill>
            <w14:solidFill>
              <w14:schemeClr w14:val="tx1"/>
            </w14:solidFill>
          </w14:textFill>
        </w:rPr>
        <w:t>广角目镜，屈光补偿范围≥+5D/-8D，眼杯高度可调；</w:t>
      </w:r>
    </w:p>
    <w:p w14:paraId="4023F29D">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7.主镜可绕垂直轴旋转≥540º，左右倾斜：-45º/45º，前倾-30º/后倾130º；</w:t>
      </w:r>
    </w:p>
    <w:p w14:paraId="3E178904">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8.主镜配备12.5X双目镜筒，0-180 º可调；</w:t>
      </w:r>
    </w:p>
    <w:p w14:paraId="7A844AA6">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9.全功能可编程手柄，可自由设定控制参数，如：变倍、调焦、拍照、亮度等等，使操作变得简单，直观；</w:t>
      </w:r>
    </w:p>
    <w:p w14:paraId="61F6B774">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10.机头后备手动旋钮：机头具备手动调焦、变倍和调光圈大小的旋钮；</w:t>
      </w:r>
    </w:p>
    <w:p w14:paraId="447B194A">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11.面对面助手镜与主刀拥有一致的光学性能，放大倍数、景深效果等</w:t>
      </w:r>
    </w:p>
    <w:p w14:paraId="0B21A710">
      <w:pPr>
        <w:pStyle w:val="69"/>
        <w:jc w:val="both"/>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12.</w:t>
      </w:r>
      <w:r>
        <w:rPr>
          <w:rFonts w:hint="eastAsia"/>
          <w:color w:val="000000" w:themeColor="text1"/>
          <w:sz w:val="21"/>
          <w:lang w:val="en-US" w:eastAsia="zh-CN"/>
          <w14:textFill>
            <w14:solidFill>
              <w14:schemeClr w14:val="tx1"/>
            </w14:solidFill>
          </w14:textFill>
        </w:rPr>
        <w:t>助手镜</w:t>
      </w:r>
      <w:r>
        <w:rPr>
          <w:rFonts w:hint="eastAsia"/>
          <w:color w:val="000000" w:themeColor="text1"/>
          <w:sz w:val="21"/>
          <w:lang w:eastAsia="zh-CN"/>
          <w14:textFill>
            <w14:solidFill>
              <w14:schemeClr w14:val="tx1"/>
            </w14:solidFill>
          </w14:textFill>
        </w:rPr>
        <w:t>广角目镜，屈光补偿范围≥+5D/-8D，眼杯高度可调；</w:t>
      </w:r>
    </w:p>
    <w:p w14:paraId="74BFECDE">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13.支架上冷光源照明系统,经光纤传导到显微镜；</w:t>
      </w:r>
    </w:p>
    <w:p w14:paraId="16A159CD">
      <w:pPr>
        <w:pStyle w:val="69"/>
        <w:jc w:val="both"/>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▲14.照明光源：双氙灯照明，保持照明一致性，主光源氙灯≥300W</w:t>
      </w:r>
    </w:p>
    <w:p w14:paraId="3FDFCF54">
      <w:pPr>
        <w:pStyle w:val="69"/>
        <w:jc w:val="both"/>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▲15.备用光源氙灯≥300w；</w:t>
      </w:r>
    </w:p>
    <w:p w14:paraId="5F8E9686">
      <w:pPr>
        <w:pStyle w:val="69"/>
        <w:jc w:val="both"/>
        <w:rPr>
          <w:color w:val="000000" w:themeColor="text1"/>
          <w:sz w:val="21"/>
          <w14:textFill>
            <w14:solidFill>
              <w14:schemeClr w14:val="tx1"/>
            </w14:solidFill>
          </w14:textFill>
        </w:rPr>
      </w:pPr>
      <w:r>
        <w:rPr>
          <w:rFonts w:hint="eastAsia"/>
          <w:color w:val="000000" w:themeColor="text1"/>
          <w:sz w:val="21"/>
          <w:lang w:eastAsia="zh-CN"/>
          <w14:textFill>
            <w14:solidFill>
              <w14:schemeClr w14:val="tx1"/>
            </w14:solidFill>
          </w14:textFill>
        </w:rPr>
        <w:t>▲</w:t>
      </w:r>
      <w:r>
        <w:rPr>
          <w:rFonts w:hint="eastAsia"/>
          <w:color w:val="000000" w:themeColor="text1"/>
          <w:sz w:val="21"/>
          <w14:textFill>
            <w14:solidFill>
              <w14:schemeClr w14:val="tx1"/>
            </w14:solidFill>
          </w14:textFill>
        </w:rPr>
        <w:t>16.具备全内置术中荧光显影功能，分辨率1080p;</w:t>
      </w:r>
    </w:p>
    <w:p w14:paraId="3F65E11E">
      <w:pPr>
        <w:pStyle w:val="69"/>
        <w:jc w:val="both"/>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17</w:t>
      </w:r>
      <w:r>
        <w:rPr>
          <w:color w:val="000000" w:themeColor="text1"/>
          <w:sz w:val="21"/>
          <w14:textFill>
            <w14:solidFill>
              <w14:schemeClr w14:val="tx1"/>
            </w14:solidFill>
          </w14:textFill>
        </w:rPr>
        <w:t>.荧光视频回放设定：可通过触屏界面设置荧光视频记录的重复次数；</w:t>
      </w:r>
    </w:p>
    <w:p w14:paraId="18DE0558">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w:t>
      </w:r>
      <w:r>
        <w:rPr>
          <w:rFonts w:hint="eastAsia"/>
          <w:color w:val="000000" w:themeColor="text1"/>
          <w:sz w:val="21"/>
          <w:lang w:val="en-US" w:eastAsia="zh-CN"/>
          <w14:textFill>
            <w14:solidFill>
              <w14:schemeClr w14:val="tx1"/>
            </w14:solidFill>
          </w14:textFill>
        </w:rPr>
        <w:t>8</w:t>
      </w:r>
      <w:r>
        <w:rPr>
          <w:color w:val="000000" w:themeColor="text1"/>
          <w:sz w:val="21"/>
          <w14:textFill>
            <w14:solidFill>
              <w14:schemeClr w14:val="tx1"/>
            </w14:solidFill>
          </w14:textFill>
        </w:rPr>
        <w:t>.支架具有≥6关节电磁锁开关，支架臂上具有电磁锁；</w:t>
      </w:r>
    </w:p>
    <w:p w14:paraId="0574E366">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w:t>
      </w:r>
      <w:r>
        <w:rPr>
          <w:rFonts w:hint="eastAsia"/>
          <w:color w:val="000000" w:themeColor="text1"/>
          <w:sz w:val="21"/>
          <w:lang w:val="en-US" w:eastAsia="zh-CN"/>
          <w14:textFill>
            <w14:solidFill>
              <w14:schemeClr w14:val="tx1"/>
            </w14:solidFill>
          </w14:textFill>
        </w:rPr>
        <w:t>9</w:t>
      </w:r>
      <w:r>
        <w:rPr>
          <w:color w:val="000000" w:themeColor="text1"/>
          <w:sz w:val="21"/>
          <w14:textFill>
            <w14:solidFill>
              <w14:schemeClr w14:val="tx1"/>
            </w14:solidFill>
          </w14:textFill>
        </w:rPr>
        <w:t>.显微镜支架底盘尺寸≥820mm*820mm，支架稳定性更好；</w:t>
      </w:r>
    </w:p>
    <w:p w14:paraId="31B0E6D6">
      <w:pPr>
        <w:pStyle w:val="69"/>
        <w:jc w:val="both"/>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20</w:t>
      </w:r>
      <w:r>
        <w:rPr>
          <w:color w:val="000000" w:themeColor="text1"/>
          <w:sz w:val="21"/>
          <w14:textFill>
            <w14:solidFill>
              <w14:schemeClr w14:val="tx1"/>
            </w14:solidFill>
          </w14:textFill>
        </w:rPr>
        <w:t>.术中或术前平衡时有远离病人或不在患者上方的图示性保护提示；</w:t>
      </w:r>
    </w:p>
    <w:p w14:paraId="2AC9EB78">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1</w:t>
      </w:r>
      <w:r>
        <w:rPr>
          <w:color w:val="000000" w:themeColor="text1"/>
          <w:sz w:val="21"/>
          <w14:textFill>
            <w14:solidFill>
              <w14:schemeClr w14:val="tx1"/>
            </w14:solidFill>
          </w14:textFill>
        </w:rPr>
        <w:t>.过顶设计，支架最大高度≥2300mm，有效臂展≥1600mm，覆盖全身皮瓣；</w:t>
      </w:r>
    </w:p>
    <w:p w14:paraId="67012CE0">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2</w:t>
      </w:r>
      <w:r>
        <w:rPr>
          <w:color w:val="000000" w:themeColor="text1"/>
          <w:sz w:val="21"/>
          <w14:textFill>
            <w14:solidFill>
              <w14:schemeClr w14:val="tx1"/>
            </w14:solidFill>
          </w14:textFill>
        </w:rPr>
        <w:t>.一键自动平衡系统，非手摇平衡，提升机器稳定性；</w:t>
      </w:r>
    </w:p>
    <w:p w14:paraId="193C5769">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3</w:t>
      </w:r>
      <w:r>
        <w:rPr>
          <w:color w:val="000000" w:themeColor="text1"/>
          <w:sz w:val="21"/>
          <w14:textFill>
            <w14:solidFill>
              <w14:schemeClr w14:val="tx1"/>
            </w14:solidFill>
          </w14:textFill>
        </w:rPr>
        <w:t>.非外接式影像系统，内置摄像头，触控式操作；</w:t>
      </w:r>
    </w:p>
    <w:p w14:paraId="2DA82357">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4</w:t>
      </w:r>
      <w:r>
        <w:rPr>
          <w:color w:val="000000" w:themeColor="text1"/>
          <w:sz w:val="21"/>
          <w14:textFill>
            <w14:solidFill>
              <w14:schemeClr w14:val="tx1"/>
            </w14:solidFill>
          </w14:textFill>
        </w:rPr>
        <w:t>.具备触控一体式操作系统，机器设置、拍照、摄像、储存等功能均内置一体化。</w:t>
      </w:r>
    </w:p>
    <w:p w14:paraId="4693C8CA">
      <w:pPr>
        <w:pStyle w:val="69"/>
        <w:jc w:val="both"/>
        <w:rPr>
          <w:color w:val="000000" w:themeColor="text1"/>
          <w14:textFill>
            <w14:solidFill>
              <w14:schemeClr w14:val="tx1"/>
            </w14:solidFill>
          </w14:textFill>
        </w:rPr>
      </w:pPr>
      <w:r>
        <w:rPr>
          <w:b/>
          <w:color w:val="000000" w:themeColor="text1"/>
          <w:sz w:val="21"/>
          <w:shd w:val="clear" w:fill="FDFDFE"/>
          <w14:textFill>
            <w14:solidFill>
              <w14:schemeClr w14:val="tx1"/>
            </w14:solidFill>
          </w14:textFill>
        </w:rPr>
        <w:t>（四）配置清单</w:t>
      </w:r>
    </w:p>
    <w:tbl>
      <w:tblPr>
        <w:tblStyle w:val="2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0"/>
        <w:gridCol w:w="4781"/>
        <w:gridCol w:w="1237"/>
        <w:gridCol w:w="1237"/>
      </w:tblGrid>
      <w:tr w14:paraId="3D4A48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B38A4D">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序号</w:t>
            </w:r>
          </w:p>
        </w:tc>
        <w:tc>
          <w:tcPr>
            <w:tcW w:w="47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4C70FD">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配置名称</w:t>
            </w:r>
          </w:p>
        </w:tc>
        <w:tc>
          <w:tcPr>
            <w:tcW w:w="12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09BB86">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数量</w:t>
            </w:r>
          </w:p>
        </w:tc>
        <w:tc>
          <w:tcPr>
            <w:tcW w:w="12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A3DAF6">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单位</w:t>
            </w:r>
          </w:p>
        </w:tc>
      </w:tr>
      <w:tr w14:paraId="5816E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38E1A">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CE865">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光学主机</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8BEB46">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7E2AD">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14:paraId="0558BF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2DDA8">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8289C">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主刀镜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97CE5">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A6734">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14:paraId="36D1EE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7BAF3">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A479F">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12.5x目镜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F159F">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EB4ADB">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14:paraId="025AFF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0EFF9">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4</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4FFC7">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助手镜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EF1A8">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81B32">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14:paraId="0697D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D4F00">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3F81A">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12.5x目镜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79F8F">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8BD78">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14:paraId="371632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8CAC5">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6</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B2EB9">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立体桥式分光器</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2B5AB">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A5CC6">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14:paraId="7EF382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91D80">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7</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1956A">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落地式防震支架</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F6436">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5352A">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14:paraId="61864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2BD82">
            <w:pPr>
              <w:pStyle w:val="69"/>
              <w:jc w:val="center"/>
              <w:rPr>
                <w:color w:val="000000" w:themeColor="text1"/>
                <w14:textFill>
                  <w14:solidFill>
                    <w14:schemeClr w14:val="tx1"/>
                  </w14:solidFill>
                </w14:textFill>
              </w:rPr>
            </w:pPr>
            <w:r>
              <w:rPr>
                <w:rFonts w:hint="eastAsia"/>
                <w:color w:val="000000" w:themeColor="text1"/>
                <w:sz w:val="21"/>
                <w14:textFill>
                  <w14:solidFill>
                    <w14:schemeClr w14:val="tx1"/>
                  </w14:solidFill>
                </w14:textFill>
              </w:rPr>
              <w:t>★</w:t>
            </w:r>
            <w:r>
              <w:rPr>
                <w:color w:val="000000" w:themeColor="text1"/>
                <w:sz w:val="21"/>
                <w14:textFill>
                  <w14:solidFill>
                    <w14:schemeClr w14:val="tx1"/>
                  </w14:solidFill>
                </w14:textFill>
              </w:rPr>
              <w:t>8</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9B728">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双氙灯照明系统</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D2D20">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76B02">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r>
      <w:tr w14:paraId="124CB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2A1C7">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9</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A5058">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机身一体式触控屏</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A9E6F">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1E96A">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块</w:t>
            </w:r>
          </w:p>
        </w:tc>
      </w:tr>
      <w:tr w14:paraId="003781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F738D">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10</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02433">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术中荧光显影系统</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06E57">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7364B">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r>
      <w:tr w14:paraId="06AE9F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8B749">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11</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35894F">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无菌罩（含物镜保护镜）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43F58">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80312">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盒</w:t>
            </w:r>
          </w:p>
        </w:tc>
      </w:tr>
      <w:tr w14:paraId="2E1B3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53E88">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12</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61BB6">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防尘罩</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F4D30">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376B2">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14:paraId="7AA6D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A5BEE">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13</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90AD4">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无菌罩抽真空系统</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C906B">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6059B">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r>
      <w:tr w14:paraId="3E2100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31667">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14</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1DB07">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一键式自动平衡系统</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8FE4A">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355D0">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r>
      <w:tr w14:paraId="1B0EF9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50970">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15</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0450B">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专用运输箱（一次性）</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DAB6C">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BC14D">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bl>
    <w:p w14:paraId="73FE31CA">
      <w:pPr>
        <w:pStyle w:val="69"/>
        <w:jc w:val="both"/>
        <w:rPr>
          <w:color w:val="000000" w:themeColor="text1"/>
          <w14:textFill>
            <w14:solidFill>
              <w14:schemeClr w14:val="tx1"/>
            </w14:solidFill>
          </w14:textFill>
        </w:rPr>
      </w:pPr>
      <w:r>
        <w:rPr>
          <w:b/>
          <w:color w:val="000000" w:themeColor="text1"/>
          <w:sz w:val="21"/>
          <w14:textFill>
            <w14:solidFill>
              <w14:schemeClr w14:val="tx1"/>
            </w14:solidFill>
          </w14:textFill>
        </w:rPr>
        <w:t>（五）质保期及售后服务要求</w:t>
      </w:r>
    </w:p>
    <w:p w14:paraId="7A5A6D22">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1.提供至少3年的免费质保服务，包括设备故障维修、软件升级等。</w:t>
      </w:r>
    </w:p>
    <w:p w14:paraId="26233851">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2.中标后设立24小时客服热线，确保在设备使用过程中能够及时解决各类问题。</w:t>
      </w:r>
    </w:p>
    <w:p w14:paraId="02251FCC">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3.提供每季度至少一次的设备巡检和维护服务，确保设备长期稳定运行。</w:t>
      </w:r>
    </w:p>
    <w:p w14:paraId="21ABEBEC">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4.提供完善的培训和技术支持服务，确保医护人员能够熟练掌握设备操作。</w:t>
      </w:r>
    </w:p>
    <w:p w14:paraId="33ED8889">
      <w:pPr>
        <w:pStyle w:val="69"/>
        <w:jc w:val="both"/>
        <w:rPr>
          <w:color w:val="000000" w:themeColor="text1"/>
          <w14:textFill>
            <w14:solidFill>
              <w14:schemeClr w14:val="tx1"/>
            </w14:solidFill>
          </w14:textFill>
        </w:rPr>
      </w:pPr>
      <w:r>
        <w:rPr>
          <w:b/>
          <w:color w:val="000000" w:themeColor="text1"/>
          <w:sz w:val="21"/>
          <w:shd w:val="clear" w:fill="FDFDFE"/>
          <w14:textFill>
            <w14:solidFill>
              <w14:schemeClr w14:val="tx1"/>
            </w14:solidFill>
          </w14:textFill>
        </w:rPr>
        <w:t>（六）基本要求</w:t>
      </w:r>
    </w:p>
    <w:p w14:paraId="11F3993D">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★1.所投设备具有有效的医疗器械注册证明（如国家有相关规定）。</w:t>
      </w:r>
    </w:p>
    <w:p w14:paraId="0D0C4EC6">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▲2.如投标人为代理经销商，应提供制造商对所投产品的合法授权函。</w:t>
      </w:r>
    </w:p>
    <w:p w14:paraId="53EEB80E">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（七）其他要求</w:t>
      </w:r>
    </w:p>
    <w:p w14:paraId="55522F51">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投标文件中应提供项目实施方案、售后服务方案、培训方案等。</w:t>
      </w:r>
    </w:p>
    <w:p w14:paraId="6CD23DA7">
      <w:pPr>
        <w:pStyle w:val="69"/>
        <w:spacing w:after="165"/>
        <w:ind w:firstLine="420"/>
        <w:jc w:val="both"/>
        <w:rPr>
          <w:color w:val="000000" w:themeColor="text1"/>
          <w14:textFill>
            <w14:solidFill>
              <w14:schemeClr w14:val="tx1"/>
            </w14:solidFill>
          </w14:textFill>
        </w:rPr>
      </w:pPr>
      <w:r>
        <w:rPr>
          <w:b/>
          <w:color w:val="000000" w:themeColor="text1"/>
          <w:sz w:val="21"/>
          <w14:textFill>
            <w14:solidFill>
              <w14:schemeClr w14:val="tx1"/>
            </w14:solidFill>
          </w14:textFill>
        </w:rPr>
        <w:t>二、交货要求</w:t>
      </w:r>
    </w:p>
    <w:p w14:paraId="35FFE6CD">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1.交货期：合同签订后收到采购人供货通知后30日历天内交货、安装、调试。</w:t>
      </w:r>
    </w:p>
    <w:p w14:paraId="4545D02D">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2.交货地点：广州市第一人民医院（采购人指定地点）。中标人需按有关标准提供货物的包装，并采用恰当的方式将货物运抵交货地点。</w:t>
      </w:r>
    </w:p>
    <w:p w14:paraId="0EE5CC4F">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三、包装、运输及到货检验</w:t>
      </w:r>
    </w:p>
    <w:p w14:paraId="44090E89">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1.设备需由原厂包装，包装箱内需有下列随箱资料：产品合格证（包括出厂试验数据）、产品使用说明书、随箱清单等。</w:t>
      </w:r>
    </w:p>
    <w:p w14:paraId="6DD068D7">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2.中标人负责所有设备从出厂到安装现场的运输。</w:t>
      </w:r>
    </w:p>
    <w:p w14:paraId="26DA2EC9">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473B4124">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四、安装调试要求</w:t>
      </w:r>
    </w:p>
    <w:p w14:paraId="49B51E52">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1.安装和调试应由具备相应资质和能力的专业技术人员执行，确保设备的正确安装和功能的正常发挥。</w:t>
      </w:r>
    </w:p>
    <w:p w14:paraId="7F738398">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2.安装前应确保产品名称、型号、规格、生产企业信息、医疗器械注册证编号等信息明确无误。</w:t>
      </w:r>
    </w:p>
    <w:p w14:paraId="5E658801">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3.在安装和调试过程中，必须遵守相应的操作规程和标准，以确保过程的准确性和可靠性。</w:t>
      </w:r>
    </w:p>
    <w:p w14:paraId="09756CD2">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4.在验收过程中，应有详细的报告记录测试和调试的结果，确保所有功能都符合规定的要求。</w:t>
      </w:r>
    </w:p>
    <w:p w14:paraId="72218485">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五、验收要求和验收标准</w:t>
      </w:r>
    </w:p>
    <w:p w14:paraId="290C9B3F">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14:paraId="6B7412EF">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六、培训要求</w:t>
      </w:r>
    </w:p>
    <w:p w14:paraId="1DE03DC5">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1.须提供设备使用维护培训，使采购人使用人员能掌握设备的结构原理、检修方法与操作要点。</w:t>
      </w:r>
    </w:p>
    <w:p w14:paraId="295E9BD0">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2.培训应包括医疗设备的安全使用知识，包括设备的使用期限、禁忌、注意事项等。</w:t>
      </w:r>
    </w:p>
    <w:p w14:paraId="425E9CC5">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3.培训内容应涵盖设备的维护和保养方法，以及特殊运输、贮存的条件和方法。</w:t>
      </w:r>
    </w:p>
    <w:p w14:paraId="59816D7D">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4.培训应包括设备故障和问题应急处理，以便在紧急情况下能够迅速有效地采取措施。</w:t>
      </w:r>
    </w:p>
    <w:p w14:paraId="527704C2">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5.培训应包括对医疗器械质量控制的理解和实践，确保设备在使用过程中的质量和性能。</w:t>
      </w:r>
    </w:p>
    <w:p w14:paraId="39555E79">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七、付款方式</w:t>
      </w:r>
    </w:p>
    <w:p w14:paraId="7A6BC687">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1期：支付比例40%,1.合同的款项以人民币转账方式支付。若属国库支付项目的，其支付时间按财政部相关规定执行。 2.签订合同之日起5个工作日内凭合同40%发票由采购人向中标人支付40%合同款；</w:t>
      </w:r>
    </w:p>
    <w:p w14:paraId="499F32EF">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color w:val="000000" w:themeColor="text1"/>
          <w:sz w:val="21"/>
          <w14:textFill>
            <w14:solidFill>
              <w14:schemeClr w14:val="tx1"/>
            </w14:solidFill>
          </w14:textFill>
        </w:rPr>
        <w:t>2期：支付比例60%,3.合同设备全部到指定地点交付并完成安装及验收后，中标人凭（1）送货单；（2）合同剩余60%发票；（3）安装验收报告，由采购人在收到发票后5个工作日内支付60%合同款给中标人。4.付款方式：银行转账。</w:t>
      </w:r>
    </w:p>
    <w:p w14:paraId="1E991A40">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p>
    <w:p w14:paraId="39C5AA02">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包2：脊柱微创手术系统用户需求</w:t>
      </w:r>
    </w:p>
    <w:p w14:paraId="1EB88AA0">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一、采购需求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636"/>
        <w:gridCol w:w="636"/>
        <w:gridCol w:w="1896"/>
        <w:gridCol w:w="2211"/>
      </w:tblGrid>
      <w:tr w14:paraId="60A5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0E207BE">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0" w:type="auto"/>
            <w:vAlign w:val="center"/>
          </w:tcPr>
          <w:p w14:paraId="019730FD">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0" w:type="auto"/>
            <w:vAlign w:val="center"/>
          </w:tcPr>
          <w:p w14:paraId="23CC657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0" w:type="auto"/>
            <w:vAlign w:val="center"/>
          </w:tcPr>
          <w:p w14:paraId="6E54DDD2">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采购预算（万元）</w:t>
            </w:r>
          </w:p>
        </w:tc>
        <w:tc>
          <w:tcPr>
            <w:tcW w:w="0" w:type="auto"/>
            <w:vAlign w:val="center"/>
          </w:tcPr>
          <w:p w14:paraId="1498B771">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w:t>
            </w:r>
          </w:p>
        </w:tc>
      </w:tr>
      <w:tr w14:paraId="39E4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Align w:val="center"/>
          </w:tcPr>
          <w:p w14:paraId="01173CB7">
            <w:pPr>
              <w:pStyle w:val="17"/>
              <w:widowControl/>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脊柱微创手术系统</w:t>
            </w:r>
          </w:p>
        </w:tc>
        <w:tc>
          <w:tcPr>
            <w:tcW w:w="0" w:type="auto"/>
            <w:vAlign w:val="center"/>
          </w:tcPr>
          <w:p w14:paraId="714CF8CE">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0" w:type="auto"/>
            <w:vAlign w:val="center"/>
          </w:tcPr>
          <w:p w14:paraId="17E529B0">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c>
          <w:tcPr>
            <w:tcW w:w="0" w:type="auto"/>
            <w:vAlign w:val="center"/>
          </w:tcPr>
          <w:p w14:paraId="250F8742">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175万元</w:t>
            </w:r>
          </w:p>
        </w:tc>
        <w:tc>
          <w:tcPr>
            <w:tcW w:w="0" w:type="auto"/>
            <w:vAlign w:val="center"/>
          </w:tcPr>
          <w:p w14:paraId="0DF22BAE">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A02320700医用内窥镜</w:t>
            </w:r>
          </w:p>
        </w:tc>
      </w:tr>
    </w:tbl>
    <w:p w14:paraId="4BA29A6B">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报价包含各项税费、交通运输费、保险、装卸费、安装等合同实施过程中应预见或不可预见费用等所有费用。</w:t>
      </w:r>
    </w:p>
    <w:p w14:paraId="0B87CA56">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（一）项目需执行的国家相关标准、行业标准、地方标准或者其他标准、规范：</w:t>
      </w:r>
      <w:r>
        <w:rPr>
          <w:rFonts w:hint="eastAsia" w:ascii="宋体" w:hAnsi="宋体" w:eastAsia="宋体" w:cs="宋体"/>
          <w:color w:val="000000" w:themeColor="text1"/>
          <w:sz w:val="21"/>
          <w:szCs w:val="21"/>
          <w:highlight w:val="none"/>
          <w14:textFill>
            <w14:solidFill>
              <w14:schemeClr w14:val="tx1"/>
            </w14:solidFill>
          </w14:textFill>
        </w:rPr>
        <w:t>包含且不限于《医疗器械注册管理办法》、《医疗器械唯一标识系统规则》。</w:t>
      </w:r>
    </w:p>
    <w:p w14:paraId="02F231FC">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（二）项目基本概况介绍</w:t>
      </w:r>
    </w:p>
    <w:p w14:paraId="6985DD53">
      <w:pPr>
        <w:widowControl/>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本项目设备</w:t>
      </w:r>
      <w:r>
        <w:rPr>
          <w:rFonts w:hint="eastAsia" w:ascii="宋体" w:hAnsi="宋体" w:eastAsia="宋体" w:cs="宋体"/>
          <w:color w:val="000000" w:themeColor="text1"/>
          <w:kern w:val="0"/>
          <w:sz w:val="21"/>
          <w:szCs w:val="21"/>
          <w:highlight w:val="none"/>
          <w14:textFill>
            <w14:solidFill>
              <w14:schemeClr w14:val="tx1"/>
            </w14:solidFill>
          </w14:textFill>
        </w:rPr>
        <w:t>用于</w:t>
      </w:r>
      <w:r>
        <w:rPr>
          <w:rStyle w:val="30"/>
          <w:rFonts w:hint="eastAsia" w:ascii="宋体" w:hAnsi="宋体" w:eastAsia="宋体" w:cs="宋体"/>
          <w:color w:val="000000" w:themeColor="text1"/>
          <w:sz w:val="21"/>
          <w:szCs w:val="21"/>
          <w:highlight w:val="none"/>
          <w14:textFill>
            <w14:solidFill>
              <w14:schemeClr w14:val="tx1"/>
            </w14:solidFill>
          </w14:textFill>
        </w:rPr>
        <w:t>脊柱外科的椎间孔镜手术和UBE双通道内镜微创手术等。</w:t>
      </w:r>
    </w:p>
    <w:p w14:paraId="73477665">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（三）参数要求</w:t>
      </w:r>
    </w:p>
    <w:p w14:paraId="61F41A6F">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一、4K摄像主机</w:t>
      </w:r>
    </w:p>
    <w:p w14:paraId="2AB40163">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bidi="ar"/>
          <w14:textFill>
            <w14:solidFill>
              <w14:schemeClr w14:val="tx1"/>
            </w14:solidFill>
          </w14:textFill>
        </w:rPr>
        <w:t>摄像主机支持分辨率≥3840*2160，支持≥60Hz的动态图像，逐行扫描。</w:t>
      </w:r>
    </w:p>
    <w:p w14:paraId="65EEC2F0">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图像延时≤</w:t>
      </w:r>
      <w:r>
        <w:rPr>
          <w:rFonts w:hint="eastAsia" w:ascii="宋体" w:hAnsi="宋体" w:eastAsia="宋体" w:cs="宋体"/>
          <w:color w:val="000000" w:themeColor="text1"/>
          <w:sz w:val="21"/>
          <w:szCs w:val="21"/>
          <w:highlight w:val="none"/>
          <w14:textFill>
            <w14:solidFill>
              <w14:schemeClr w14:val="tx1"/>
            </w14:solidFill>
          </w14:textFill>
        </w:rPr>
        <w:t>30ms，保证手眼同步。（提供第三方检测报告作为证明材料）</w:t>
      </w:r>
    </w:p>
    <w:p w14:paraId="6D16DCA1">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3.摄像主机具备液晶触控面板，尺寸≥5英寸，可进行系统的全部设置（水印、按键、色彩调节、图像增强、存储质量、网络、系统设置等）。</w:t>
      </w:r>
    </w:p>
    <w:p w14:paraId="77AA1B19">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4.触屏可调节亮度，≥100级可调。</w:t>
      </w:r>
    </w:p>
    <w:p w14:paraId="2D1C785A">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5.摄像主机具备拍照、录像、画面冻结、白平衡、计时器功能。</w:t>
      </w:r>
    </w:p>
    <w:p w14:paraId="569DAA15">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6.预设模式：支持≥6种应用场景输出，对不同应用环境的实际情况进行精细调节和优化达到最佳成像效果，包括关节镜、腹腔镜、宫腔镜、泌尿镜、耳鼻喉镜、用户模式。</w:t>
      </w:r>
    </w:p>
    <w:p w14:paraId="7A1736B6">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7.为提高图像亮度均匀性，提供更优质的画面，具有多种色彩调节功能：亮度（≥255级可调）、对比度（≥100级可调）、饱和度（≥100级可调）；红/绿/蓝通道图像增益（≥100级可调）。</w:t>
      </w:r>
    </w:p>
    <w:p w14:paraId="1EED3D26">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 BT.709和BT.2020的色域输出切换。</w:t>
      </w:r>
    </w:p>
    <w:p w14:paraId="403C6A7B">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9.图像画面可实现水平翻转、垂直翻转、180°翻转。</w:t>
      </w:r>
    </w:p>
    <w:p w14:paraId="0C69FE84">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10.为提供更有效的画面，对图像边缘进行加强，具有多种图像增强功能：锐度（≥100级可调）、降噪（≥100级可调）、电子除烟、消网纹（≥100级可调）、WDR、血管增强及电子染色等图像增强模式等。</w:t>
      </w:r>
    </w:p>
    <w:p w14:paraId="76FC7CB8">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11.支持电子除烟功能，且≥100级可调，利用图像画质算法，降低手术过程中由于镜头起雾或者电刀、超声刀等能量平台使用过程带来的烟雾对于手术的影响。</w:t>
      </w:r>
    </w:p>
    <w:p w14:paraId="0A5513BA">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12.支持WDR宽动态功能，确保在不同场景下能保持一致的画质亮度体验，并可根据临床需要选择开或者关。</w:t>
      </w:r>
    </w:p>
    <w:p w14:paraId="11570E9C">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13.摄像主机内置刻录功能，内置存储空间≥120G，同时具备USB3.0接口≥1个，USB2.0接口≥2个，支持U盘、移动硬盘存储设备通过USB端口即插即用，直接刻录≥3840*2160分辨率的图片和≥3840*2160@60Hz录像。</w:t>
      </w:r>
    </w:p>
    <w:p w14:paraId="71C72C10">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14.数据存储：可以选择存储图片和视频的分辨率，设置视频存储质量，存储图片格式JPG,视频格式MP4。可以选择存储方式并实现存储转换，转存时需要密码确认，保护数据安全。</w:t>
      </w:r>
    </w:p>
    <w:p w14:paraId="59AECE8C">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15.信号输出接口：支持多种输出端口，DisplayPort、12GSDI、3G-SDI、DVI-I。</w:t>
      </w:r>
    </w:p>
    <w:p w14:paraId="65C030F7">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16.信号输入接口：DVI-D*1输入端口，用于PIP功能实现，用于双镜联合。</w:t>
      </w:r>
    </w:p>
    <w:p w14:paraId="2199C751">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17.双镜联合功能：支持其他视频源设备接入，可连接视频或图像输出设备，通过主机视频输入接口，并将画面以画中画的形式同时输出显示，可实现将同品牌产品或其他内镜、超声等影像产品图像导入，实现双镜联合功能。实现刻录的影像也为双镜画面。</w:t>
      </w:r>
    </w:p>
    <w:p w14:paraId="2ED09FE2">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18.具备PIP功能，可选择开启或者关闭，设置PIP画面的分辨率大小，设置PIP显示至少4种位置（左上、左下、右上、右下）。</w:t>
      </w:r>
    </w:p>
    <w:p w14:paraId="184C3251">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19.摄像主机内置直播转播功能：用于视频示教直播、转播。</w:t>
      </w:r>
    </w:p>
    <w:p w14:paraId="5B961EE8">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20.支持经网络端口，将实时画面以流媒体方式传输至接收设备，系统编码方式为 H.264，流媒体传输协议为 RTSP，传输分辨率可设置4K/1080P/720P,传输码率可设置高/中/低。</w:t>
      </w:r>
    </w:p>
    <w:p w14:paraId="321EFD46">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21.网络设置：可进行网络相关功能设置，支持自动获取及手动设置的方式、开关 DHCP、查看本机网络信息、设置 IP/子网掩码/默认网关/DNS。</w:t>
      </w:r>
    </w:p>
    <w:p w14:paraId="5AA24257">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22.系统设置：可以进行调整系统时间、恢复至出厂设置、检测画面效果、格式化内部存储、查看软件版本的等功能。</w:t>
      </w:r>
    </w:p>
    <w:p w14:paraId="46B6D698">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23.设备维护升级：预留端口用于设备升级，配备设备维护和服务用接口，用于设备维护和服务，具有技术过时保护。</w:t>
      </w:r>
    </w:p>
    <w:p w14:paraId="3A297F17">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24.电器安全级别：医用设备电气安全 I类CF型，可应用于心脏设备。</w:t>
      </w:r>
    </w:p>
    <w:p w14:paraId="6D71A757">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25.摄像系统使用寿命≥10年。</w:t>
      </w:r>
    </w:p>
    <w:p w14:paraId="7F701795">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二、4K超高清摄像头</w:t>
      </w:r>
    </w:p>
    <w:p w14:paraId="4776F962">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1.采用高灵敏度、低噪声4K CMOS 传感器。</w:t>
      </w:r>
    </w:p>
    <w:p w14:paraId="5F950012">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2.摄像头按键≥4个。</w:t>
      </w:r>
    </w:p>
    <w:p w14:paraId="1DD8DF21">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3.▲支持按键功能可自定义，包括白平衡、录像、拍照、冻结、放大、WDR、亮度+、亮度-、血管增强等功能的设定。</w:t>
      </w:r>
    </w:p>
    <w:p w14:paraId="5CFFCA6F">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4.▲调焦镜头具备2倍光学齐变焦技术，变焦范围≥14-32mm,3倍电子变焦，最大可实现6倍图像放大。</w:t>
      </w:r>
    </w:p>
    <w:p w14:paraId="2360081B">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bookmarkStart w:id="0" w:name="OLE_LINK3"/>
      <w:r>
        <w:rPr>
          <w:rFonts w:hint="eastAsia" w:ascii="宋体" w:hAnsi="宋体" w:eastAsia="宋体" w:cs="宋体"/>
          <w:color w:val="000000" w:themeColor="text1"/>
          <w:sz w:val="21"/>
          <w:szCs w:val="21"/>
          <w:highlight w:val="none"/>
          <w14:textFill>
            <w14:solidFill>
              <w14:schemeClr w14:val="tx1"/>
            </w14:solidFill>
          </w14:textFill>
        </w:rPr>
        <w:t>5.防水防尘等级≥IP67。</w:t>
      </w:r>
      <w:bookmarkEnd w:id="0"/>
    </w:p>
    <w:p w14:paraId="56899171">
      <w:pPr>
        <w:widowControl/>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医用内窥镜冷光源：</w:t>
      </w:r>
    </w:p>
    <w:p w14:paraId="25CABFE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1.光源类型为LED冷光源，独立光源主机。</w:t>
      </w:r>
    </w:p>
    <w:p w14:paraId="33094579">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2.采用纯白光LED，光谱连续度高，显色指数≥90。</w:t>
      </w:r>
    </w:p>
    <w:p w14:paraId="459A509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3.液晶屏幕显示，屏幕尺寸≥5英寸。</w:t>
      </w:r>
    </w:p>
    <w:p w14:paraId="451D1A3A">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4.▲支持无极旋钮，0-100调节输出亮度，精度更准确，满足不同临床手术的亮度要求</w:t>
      </w:r>
    </w:p>
    <w:p w14:paraId="47D75C4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5.白光冷光源的输出总光通量应≥900lm。</w:t>
      </w:r>
    </w:p>
    <w:p w14:paraId="2DABE0C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6.光源LED寿命≥60000小时。</w:t>
      </w:r>
    </w:p>
    <w:p w14:paraId="6A41145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7.▲具有寿命警示等功能。</w:t>
      </w:r>
    </w:p>
    <w:p w14:paraId="25E6FF61">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8.正常使用下光源无闪烁，避免引起人眼的不适。</w:t>
      </w:r>
    </w:p>
    <w:p w14:paraId="68209894">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w:t>
      </w:r>
      <w:bookmarkStart w:id="1" w:name="OLE_LINK2"/>
      <w:r>
        <w:rPr>
          <w:rFonts w:hint="eastAsia" w:ascii="宋体" w:hAnsi="宋体" w:eastAsia="宋体" w:cs="宋体"/>
          <w:color w:val="000000" w:themeColor="text1"/>
          <w:sz w:val="21"/>
          <w:szCs w:val="21"/>
          <w:highlight w:val="none"/>
          <w14:textFill>
            <w14:solidFill>
              <w14:schemeClr w14:val="tx1"/>
            </w14:solidFill>
          </w14:textFill>
        </w:rPr>
        <w:t>电器安全级别：医用设备电气安</w:t>
      </w:r>
      <w:bookmarkEnd w:id="1"/>
      <w:r>
        <w:rPr>
          <w:rFonts w:hint="eastAsia" w:ascii="宋体" w:hAnsi="宋体" w:eastAsia="宋体" w:cs="宋体"/>
          <w:color w:val="000000" w:themeColor="text1"/>
          <w:sz w:val="21"/>
          <w:szCs w:val="21"/>
          <w:highlight w:val="none"/>
          <w14:textFill>
            <w14:solidFill>
              <w14:schemeClr w14:val="tx1"/>
            </w14:solidFill>
          </w14:textFill>
        </w:rPr>
        <w:t>全Ⅰ类CF型，保证可用于直接接触心脏的手术。</w:t>
      </w:r>
    </w:p>
    <w:p w14:paraId="6FDD4A56">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10.冷光源在正常运行时产生的最大噪音噪音≤55dB（A），能保证在手术室安静运行。</w:t>
      </w:r>
    </w:p>
    <w:p w14:paraId="4C5E6CDD">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32英寸医用监视器</w:t>
      </w:r>
    </w:p>
    <w:p w14:paraId="3F1E90B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1.尺寸≥32英寸，支持4K超高清视频输入,分辨率3840*2160(长宽比16:9)。</w:t>
      </w:r>
    </w:p>
    <w:p w14:paraId="13DC4D2D">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2.支持GAMMA2.0/2.2/2.4/DICOM等多种曲线校准。</w:t>
      </w:r>
    </w:p>
    <w:p w14:paraId="027F5A3B">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3.通过色彩校准，色彩的还原性达到手术要求，色彩误差小于△E&lt;1.5，JNCD&lt;1。（提供市级或以上的第三方检测报告作为证明材料）</w:t>
      </w:r>
    </w:p>
    <w:p w14:paraId="22850568">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4.色温：6500K/9300K。</w:t>
      </w:r>
    </w:p>
    <w:p w14:paraId="73D75B1D">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5.色域提供BT.2020/BT.709/Native至少三种选择。</w:t>
      </w:r>
    </w:p>
    <w:p w14:paraId="101FF3F7">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6.可视角度：178°（H）/178°（V）。</w:t>
      </w:r>
    </w:p>
    <w:p w14:paraId="1FDB9991">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7.支持PIP/POP(画中画/画外画)多画面显示。</w:t>
      </w:r>
    </w:p>
    <w:p w14:paraId="48CAF1C7">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8.多种输入/输出端口：DP1.2*1、HDMI2.0*1、HDMI1.4*1、DVI-D*1、VGA*1、3G/12G-SDI*1、3G-SDI*4。</w:t>
      </w:r>
    </w:p>
    <w:p w14:paraId="32852D3C">
      <w:pPr>
        <w:spacing w:after="0" w:line="240" w:lineRule="auto"/>
        <w:rPr>
          <w:rFonts w:hint="eastAsia" w:ascii="宋体" w:hAnsi="宋体" w:eastAsia="宋体" w:cs="宋体"/>
          <w:b/>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9.</w:t>
      </w:r>
      <w:r>
        <w:rPr>
          <w:rFonts w:hint="eastAsia" w:ascii="宋体" w:hAnsi="宋体" w:eastAsia="宋体" w:cs="宋体"/>
          <w:b/>
          <w:color w:val="000000" w:themeColor="text1"/>
          <w:sz w:val="21"/>
          <w:szCs w:val="21"/>
          <w:highlight w:val="none"/>
          <w:lang w:bidi="ar"/>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4K医用监视器与内窥镜摄像系统为同一生产厂家，以确保系统各项功能稳定。</w:t>
      </w:r>
    </w:p>
    <w:p w14:paraId="4488B5CA">
      <w:pPr>
        <w:spacing w:after="0" w:line="24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bidi="ar"/>
          <w14:textFill>
            <w14:solidFill>
              <w14:schemeClr w14:val="tx1"/>
            </w14:solidFill>
          </w14:textFill>
        </w:rPr>
        <w:t>医用导光束</w:t>
      </w:r>
    </w:p>
    <w:p w14:paraId="2B6C3FDE">
      <w:pPr>
        <w:spacing w:after="0" w:line="240" w:lineRule="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1.直径≤4.5mm。</w:t>
      </w:r>
    </w:p>
    <w:p w14:paraId="0279FBC1">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bidi="ar"/>
          <w14:textFill>
            <w14:solidFill>
              <w14:schemeClr w14:val="tx1"/>
            </w14:solidFill>
          </w14:textFill>
        </w:rPr>
        <w:t>长度≥300cm。</w:t>
      </w:r>
    </w:p>
    <w:p w14:paraId="0A335E84">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六、医用台车</w:t>
      </w:r>
    </w:p>
    <w:p w14:paraId="230F2A16">
      <w:pPr>
        <w:widowControl/>
        <w:spacing w:after="0" w:line="240" w:lineRule="auto"/>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1.满足放置1-6项（摄像主机、摄像头、冷光源、监视器）设备。</w:t>
      </w:r>
    </w:p>
    <w:p w14:paraId="269A8CD9">
      <w:pPr>
        <w:widowControl/>
        <w:spacing w:after="0" w:line="240" w:lineRule="auto"/>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2.滑轮可锁定。</w:t>
      </w:r>
    </w:p>
    <w:p w14:paraId="6A8CC698">
      <w:pPr>
        <w:widowControl/>
        <w:spacing w:after="0" w:line="240" w:lineRule="auto"/>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3.采用高强度防缠绕静音医疗轮，可任意推动。</w:t>
      </w:r>
    </w:p>
    <w:p w14:paraId="7EDA4B44">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七、脊柱椎间孔镜手术系统及器械</w:t>
      </w:r>
    </w:p>
    <w:p w14:paraId="3C7BFD12">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1.内镜及工作套管：</w:t>
      </w:r>
    </w:p>
    <w:p w14:paraId="427F579C">
      <w:pPr>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1.1内镜1支</w:t>
      </w:r>
    </w:p>
    <w:p w14:paraId="40503B8F">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1）视向角≥30°</w:t>
      </w:r>
    </w:p>
    <w:p w14:paraId="6A2CDD20">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▲2）视场角≥85°</w:t>
      </w:r>
    </w:p>
    <w:p w14:paraId="34D01E2B">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3）工作通道直径≥3.7mm</w:t>
      </w:r>
    </w:p>
    <w:p w14:paraId="2730FB67">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4）外径≥6.3mm</w:t>
      </w:r>
    </w:p>
    <w:p w14:paraId="19F36C64">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5）工作长度：</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 xml:space="preserve">177mm </w:t>
      </w:r>
    </w:p>
    <w:p w14:paraId="7D9DAF16">
      <w:pPr>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▲1.2工作套管1支，与内镜配套使用：</w:t>
      </w:r>
    </w:p>
    <w:p w14:paraId="4E06B883">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K/V型；内径≥6.5mm，OD</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9.0mm，L≤202mm</w:t>
      </w:r>
    </w:p>
    <w:p w14:paraId="705060D1">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2.镜下手术器械：</w:t>
      </w:r>
    </w:p>
    <w:p w14:paraId="56D43414">
      <w:pPr>
        <w:widowControl/>
        <w:spacing w:after="0" w:line="240" w:lineRule="auto"/>
        <w:ind w:left="2100" w:hanging="2100" w:hangingChars="10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1）五级扩装器1套：</w:t>
      </w:r>
    </w:p>
    <w:p w14:paraId="1627DD9F">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1、内径≥1.0mm，外径≤2.9mm，长度≥240mm</w:t>
      </w:r>
    </w:p>
    <w:p w14:paraId="3576CAA9">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2、内径≥3.0mm，外径≤3.9mm，长度≥190mm</w:t>
      </w:r>
    </w:p>
    <w:p w14:paraId="21C9DE42">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3、内径≥4.0mm，外径≤4.9mm，长度≥180mm</w:t>
      </w:r>
    </w:p>
    <w:p w14:paraId="2944BA28">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4、内径≥4.0mm，外径≤5.9mm，长度≥170mm</w:t>
      </w:r>
    </w:p>
    <w:p w14:paraId="61E5D095">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5、内径≥4.0mm，外径≤7.9mm，长度≥165mm</w:t>
      </w:r>
    </w:p>
    <w:p w14:paraId="7E55DD5E">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环锯3支：</w:t>
      </w:r>
    </w:p>
    <w:p w14:paraId="35708B0D">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1、内径≥6.5mm，外径≤7.8mm，</w:t>
      </w:r>
      <w:r>
        <w:rPr>
          <w:rFonts w:hint="eastAsia" w:ascii="宋体" w:hAnsi="宋体" w:eastAsia="宋体" w:cs="宋体"/>
          <w:bCs/>
          <w:color w:val="000000" w:themeColor="text1"/>
          <w:sz w:val="21"/>
          <w:szCs w:val="21"/>
          <w:highlight w:val="none"/>
          <w14:textFill>
            <w14:solidFill>
              <w14:schemeClr w14:val="tx1"/>
            </w14:solidFill>
          </w14:textFill>
        </w:rPr>
        <w:t>长度≥170</w:t>
      </w:r>
      <w:r>
        <w:rPr>
          <w:rFonts w:hint="eastAsia" w:ascii="宋体" w:hAnsi="宋体" w:eastAsia="宋体" w:cs="宋体"/>
          <w:bCs/>
          <w:color w:val="000000" w:themeColor="text1"/>
          <w:kern w:val="0"/>
          <w:sz w:val="21"/>
          <w:szCs w:val="21"/>
          <w:highlight w:val="none"/>
          <w14:textFill>
            <w14:solidFill>
              <w14:schemeClr w14:val="tx1"/>
            </w14:solidFill>
          </w14:textFill>
        </w:rPr>
        <w:t>mm（细齿）</w:t>
      </w:r>
    </w:p>
    <w:p w14:paraId="2F1CAF32">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2、内径≥6.5mm，外径≤7.8mm，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170mm（粗齿）</w:t>
      </w:r>
    </w:p>
    <w:p w14:paraId="3FF6A238">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3、内径≥2.5mm，外径≤3.5mm，</w:t>
      </w:r>
      <w:r>
        <w:rPr>
          <w:rFonts w:hint="eastAsia" w:ascii="宋体" w:hAnsi="宋体" w:eastAsia="宋体" w:cs="宋体"/>
          <w:bCs/>
          <w:color w:val="000000" w:themeColor="text1"/>
          <w:sz w:val="21"/>
          <w:szCs w:val="21"/>
          <w:highlight w:val="none"/>
          <w14:textFill>
            <w14:solidFill>
              <w14:schemeClr w14:val="tx1"/>
            </w14:solidFill>
          </w14:textFill>
        </w:rPr>
        <w:t>长度≥370</w:t>
      </w:r>
      <w:r>
        <w:rPr>
          <w:rFonts w:hint="eastAsia" w:ascii="宋体" w:hAnsi="宋体" w:eastAsia="宋体" w:cs="宋体"/>
          <w:bCs/>
          <w:color w:val="000000" w:themeColor="text1"/>
          <w:kern w:val="0"/>
          <w:sz w:val="21"/>
          <w:szCs w:val="21"/>
          <w:highlight w:val="none"/>
          <w14:textFill>
            <w14:solidFill>
              <w14:schemeClr w14:val="tx1"/>
            </w14:solidFill>
          </w14:textFill>
        </w:rPr>
        <w:t>mm</w:t>
      </w:r>
    </w:p>
    <w:p w14:paraId="7500234F">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3）环锯保护套，内径≥8.0mm，外径≤9.3mm，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155mm</w:t>
      </w:r>
    </w:p>
    <w:p w14:paraId="4D491B02">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4）骨锤，带减重手柄，无反震前端</w:t>
      </w:r>
    </w:p>
    <w:p w14:paraId="27F38E74">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5）骨凿，外径≥2.7mm，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320mm</w:t>
      </w:r>
    </w:p>
    <w:p w14:paraId="4C53ED90">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6）抓钳1把，直径≥3.5mm，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330mm,朝上</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35°</w:t>
      </w:r>
    </w:p>
    <w:p w14:paraId="11D62B33">
      <w:pPr>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7）抓钳1把，直径≥2.5mm ，</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小直</w:t>
      </w:r>
    </w:p>
    <w:p w14:paraId="336528C8">
      <w:pPr>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8）抓钳1把，直径≥3.5mm ，</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color w:val="000000" w:themeColor="text1"/>
          <w:sz w:val="21"/>
          <w:szCs w:val="21"/>
          <w:highlight w:val="none"/>
          <w14:textFill>
            <w14:solidFill>
              <w14:schemeClr w14:val="tx1"/>
            </w14:solidFill>
          </w14:textFill>
        </w:rPr>
        <w:t>,大直</w:t>
      </w:r>
    </w:p>
    <w:p w14:paraId="5A366982">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9）抓钳1把，直径≥3.5mm ，</w:t>
      </w:r>
      <w:r>
        <w:rPr>
          <w:rFonts w:hint="eastAsia" w:ascii="宋体" w:hAnsi="宋体" w:eastAsia="宋体" w:cs="宋体"/>
          <w:bCs/>
          <w:color w:val="000000" w:themeColor="text1"/>
          <w:sz w:val="21"/>
          <w:szCs w:val="21"/>
          <w:highlight w:val="none"/>
          <w14:textFill>
            <w14:solidFill>
              <w14:schemeClr w14:val="tx1"/>
            </w14:solidFill>
          </w14:textFill>
        </w:rPr>
        <w:t>长度≥330mm,弹簧钳</w:t>
      </w:r>
    </w:p>
    <w:p w14:paraId="5302544B">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10）黄韧带切钳1把，直径≥3.5mm，上翘15°，</w:t>
      </w:r>
      <w:r>
        <w:rPr>
          <w:rFonts w:hint="eastAsia" w:ascii="宋体" w:hAnsi="宋体" w:eastAsia="宋体" w:cs="宋体"/>
          <w:bCs/>
          <w:color w:val="000000" w:themeColor="text1"/>
          <w:sz w:val="21"/>
          <w:szCs w:val="21"/>
          <w:highlight w:val="none"/>
          <w14:textFill>
            <w14:solidFill>
              <w14:schemeClr w14:val="tx1"/>
            </w14:solidFill>
          </w14:textFill>
        </w:rPr>
        <w:t>长度≥330mm</w:t>
      </w:r>
    </w:p>
    <w:p w14:paraId="14687A25">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11）咬骨钳1把， 直径≥3.5mm，</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40°,</w:t>
      </w:r>
      <w:r>
        <w:rPr>
          <w:rFonts w:hint="eastAsia" w:ascii="宋体" w:hAnsi="宋体" w:eastAsia="宋体" w:cs="宋体"/>
          <w:bCs/>
          <w:color w:val="000000" w:themeColor="text1"/>
          <w:sz w:val="21"/>
          <w:szCs w:val="21"/>
          <w:highlight w:val="none"/>
          <w14:textFill>
            <w14:solidFill>
              <w14:schemeClr w14:val="tx1"/>
            </w14:solidFill>
          </w14:textFill>
        </w:rPr>
        <w:t>可旋转咬切口方向</w:t>
      </w:r>
    </w:p>
    <w:p w14:paraId="78A21E48">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12）咬骨钳1把，直径≥3.5mm，</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40°</w:t>
      </w:r>
      <w:r>
        <w:rPr>
          <w:rFonts w:hint="eastAsia" w:ascii="宋体" w:hAnsi="宋体" w:eastAsia="宋体" w:cs="宋体"/>
          <w:bCs/>
          <w:color w:val="000000" w:themeColor="text1"/>
          <w:sz w:val="21"/>
          <w:szCs w:val="21"/>
          <w:highlight w:val="none"/>
          <w14:textFill>
            <w14:solidFill>
              <w14:schemeClr w14:val="tx1"/>
            </w14:solidFill>
          </w14:textFill>
        </w:rPr>
        <w:t>，可旋转咬切口方向，宽口</w:t>
      </w:r>
    </w:p>
    <w:p w14:paraId="4F6CCFC4">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r>
        <w:rPr>
          <w:rFonts w:hint="eastAsia" w:ascii="宋体" w:hAnsi="宋体" w:eastAsia="宋体" w:cs="宋体"/>
          <w:bCs/>
          <w:color w:val="000000" w:themeColor="text1"/>
          <w:sz w:val="21"/>
          <w:szCs w:val="21"/>
          <w:highlight w:val="none"/>
          <w14:textFill>
            <w14:solidFill>
              <w14:schemeClr w14:val="tx1"/>
            </w14:solidFill>
          </w14:textFill>
        </w:rPr>
        <w:t>手柄1把，配合咬骨钳使用</w:t>
      </w:r>
    </w:p>
    <w:p w14:paraId="4E847740">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14）神经拉钩1把，直径≥2.5mm，长度≥330mm；</w:t>
      </w:r>
    </w:p>
    <w:p w14:paraId="10A301ED">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15）神经剥离子1 把，直径≥2.5mm，长度≥330mm；</w:t>
      </w:r>
    </w:p>
    <w:p w14:paraId="7F87F701">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16）骨取样器1把，直径≤6.0mm，长度≤235mm；</w:t>
      </w:r>
    </w:p>
    <w:p w14:paraId="0C1D6DCA">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17）穿刺针1根，内径≤1.1mm，外径≤1.6mm，长度≤160mm；</w:t>
      </w:r>
    </w:p>
    <w:p w14:paraId="200AEFC9">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18）导丝1枚，直径≤0.8mm，长度≥400mm；</w:t>
      </w:r>
    </w:p>
    <w:p w14:paraId="5DBE7F9E">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19）器械消毒盒、内窥镜消毒盒各1套</w:t>
      </w:r>
    </w:p>
    <w:p w14:paraId="3081BAAC">
      <w:pPr>
        <w:pStyle w:val="10"/>
        <w:spacing w:after="0" w:line="240" w:lineRule="auto"/>
        <w:jc w:val="left"/>
        <w:rPr>
          <w:rFonts w:hint="eastAsia" w:ascii="宋体" w:hAnsi="宋体" w:eastAsia="宋体" w:cs="宋体"/>
          <w:b/>
          <w:bCs/>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sz w:val="21"/>
          <w:szCs w:val="21"/>
          <w:highlight w:val="none"/>
          <w:lang w:val="en-US"/>
          <w14:textFill>
            <w14:solidFill>
              <w14:schemeClr w14:val="tx1"/>
            </w14:solidFill>
          </w14:textFill>
        </w:rPr>
        <w:t>八、脊柱UBE微创手术器械参数</w:t>
      </w:r>
    </w:p>
    <w:p w14:paraId="669EDAD5">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脊柱微创手术通道扩张管：（长度≥220mm，外径≥4mm）；（长度≥200mm，外径≥6mm）；（长度≥180mm，外径≥8mm）；（长度≥160mm，外径≥10mm）；（长度≥160mm,外径≥6mm）；（长度≥50mm，外径≥10mm）；（长度≥90mm，外径≥10mm），用于建立扩张通道、器械操作通道、出水通道。</w:t>
      </w:r>
    </w:p>
    <w:p w14:paraId="03BD28B7">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2.脊柱手术用神经拉钩：</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脊柱手术用神经拉钩长度≥100mm,拉钩宽≥4mm；脊柱手术用神经拉钩长度≥100mm，拉钩宽≥8mm；脊柱手术用神经拉钩(长度≥100mm，拉钩宽≥10mm，右折弯)；脊柱手术用神经拉钩（长度≥100mm，拉钩宽≥10mm，左折弯)</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用于镜下操作时:组织牵拉、神经牵拉、融合通道建立。</w:t>
      </w:r>
    </w:p>
    <w:p w14:paraId="24F02026">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3.神经剥离器：（长度158mm，厚度5mm，T型等），用于剥离或分开附着于骨面上的骨膜及软组织，用于软组织分离 </w:t>
      </w:r>
    </w:p>
    <w:p w14:paraId="510C3729">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4.神经剥离子：（长度300mm，双头），用于剥离或分开附着于骨面上的骨膜及软组织。</w:t>
      </w:r>
    </w:p>
    <w:p w14:paraId="6232B521">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5.骨探针：（长度100mm，前端4mm），用于探测神经根组织。</w:t>
      </w:r>
    </w:p>
    <w:p w14:paraId="2C6BBFE6">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6.椎间盘铰刀：（长度200mm，刃宽≥4mm），用于纤维环切刀，破黄、切纤维环。</w:t>
      </w:r>
    </w:p>
    <w:p w14:paraId="1F9EBD39">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7.椎板咬骨钳：（长度≥220mm，角度≥110度，刃宽≥</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130度，刃宽3mm</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弧形，长度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130度，刃宽3mm）</w:t>
      </w:r>
      <w:r>
        <w:rPr>
          <w:rFonts w:hint="eastAsia" w:ascii="宋体" w:hAnsi="宋体" w:eastAsia="宋体" w:cs="宋体"/>
          <w:color w:val="000000" w:themeColor="text1"/>
          <w:sz w:val="21"/>
          <w:szCs w:val="21"/>
          <w:highlight w:val="none"/>
          <w14:textFill>
            <w14:solidFill>
              <w14:schemeClr w14:val="tx1"/>
            </w14:solidFill>
          </w14:textFill>
        </w:rPr>
        <w:t>,方向正,反,弧型等,咬除骨质，快速手术。</w:t>
      </w:r>
    </w:p>
    <w:p w14:paraId="3FE293E6">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8.髓核钳：（长度≥180mm,刃宽≥3mm,直型；长度≥180mm,刃宽≥3mm,上翘型），咬除人体组织及髓核，快速手术.</w:t>
      </w:r>
    </w:p>
    <w:p w14:paraId="161B291E">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9.骨凿：(刃宽≥5mm,角度≥30度；刃宽≥5mn,直型；刃宽≥5mm,L型)，用于骨科手术时修整骨骼、取骨和凿骨</w:t>
      </w:r>
    </w:p>
    <w:p w14:paraId="775B68E3">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10.刮匙：(长度≥1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0mm，刃宽≥4mm，直型,侧弯型），用于处理组织。</w:t>
      </w:r>
    </w:p>
    <w:p w14:paraId="749553E6">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11.骨锤:(长度245mm),用于处理组织。</w:t>
      </w:r>
    </w:p>
    <w:p w14:paraId="636E5859">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九、电动骨组织手术系统技术参数</w:t>
      </w:r>
    </w:p>
    <w:p w14:paraId="17DB13D6">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bookmarkStart w:id="2" w:name="_Hlk5994831"/>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主机：主机小巧，移动方便，尺寸≤260 mm×260 mm×130 mm，彩色液晶屏显示，屏幕≥5寸,输入220V，50Hz；输入功率100VA，BF型电气安全设计</w:t>
      </w:r>
      <w:r>
        <w:rPr>
          <w:rFonts w:hint="eastAsia" w:ascii="宋体" w:hAnsi="宋体" w:eastAsia="宋体" w:cs="宋体"/>
          <w:color w:val="000000" w:themeColor="text1"/>
          <w:sz w:val="21"/>
          <w:szCs w:val="21"/>
          <w:highlight w:val="none"/>
          <w:lang w:val="en-US" w:bidi="ar-SA"/>
          <w14:textFill>
            <w14:solidFill>
              <w14:schemeClr w14:val="tx1"/>
            </w14:solidFill>
          </w14:textFill>
        </w:rPr>
        <w:t>.</w:t>
      </w:r>
    </w:p>
    <w:p w14:paraId="6FB7306C">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2.脚踏：线缆≥3m，无级调速，IPX8防水等级，金属底座，更稳固，更耐用，防滑、防侧翻。</w:t>
      </w:r>
    </w:p>
    <w:p w14:paraId="388E2374">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3.开放手柄：转速≥50000 r/min，电机最大功率100W，可高温灭菌。外径≤19mm，主体长度≤90mm，重量≤140g（不含线缆），手柄内注水水冷结构，长时间使用，手柄不发热。</w:t>
      </w:r>
    </w:p>
    <w:p w14:paraId="240FA7B0">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4.开放弯曲刀头：刀杆弯曲，刀杆内注水设计，具有金刚砂和不锈钢切削刃两种。杆径≤5.0mm，工作转速≥50000r/min。</w:t>
      </w:r>
    </w:p>
    <w:p w14:paraId="6BEF0276">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5.往复磨头（全刃）：刀头往复运动打磨骨组织，不损伤软组织，转速≥50000r/min，刀杆内注水弯曲设计，刀杆直径≤4mm。</w:t>
      </w:r>
    </w:p>
    <w:p w14:paraId="5DBDF928">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6.动力骨刀：刀杆直径4.5mm，内注水设计，刀头齿部长度9mm，刀头前后往复运动，转速60000r/min  动力骨刀：刀杆直径≤5mm，内注水设计，刀头齿部长度≥8mm，刀头前后往复运动，转速≥50000r/min。</w:t>
      </w:r>
    </w:p>
    <w:p w14:paraId="698C8371">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7.环形动力骨刀：刀杆直径6mm，长度110mm，环形刀刃，前端有齿，刃部直径6mm，刀头往复运动转速60000r/min 。</w:t>
      </w:r>
    </w:p>
    <w:p w14:paraId="32B205FC">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8.摆动形动力骨刀：刀杆直径≤7mm，长度≥100mm，环形刀刃，前端有齿，刃部直径≥5mm，刀头往复运动转速≥50000r/min。</w:t>
      </w:r>
      <w:bookmarkEnd w:id="2"/>
    </w:p>
    <w:p w14:paraId="28A537F2">
      <w:pPr>
        <w:pStyle w:val="10"/>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一体式护鞘磨头：弯曲一体式护鞘刀头，前端刀杆弯曲，刀杆内注水设计，杆径≤5mm，工作转速≥50000 r/min。</w:t>
      </w:r>
    </w:p>
    <w:p w14:paraId="52819D2D">
      <w:pPr>
        <w:pStyle w:val="10"/>
        <w:spacing w:after="0" w:line="240" w:lineRule="auto"/>
        <w:jc w:val="left"/>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10.增速磨头：前端刀杆弯曲，刀杆内注水设计，杆径≤5mm，刀具转速≥100000 r/min（1:2增速传动）。</w:t>
      </w:r>
    </w:p>
    <w:p w14:paraId="28DF2EF1">
      <w:pPr>
        <w:pStyle w:val="10"/>
        <w:spacing w:after="0" w:line="240" w:lineRule="auto"/>
        <w:jc w:val="left"/>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11.一体式磨头：具有金刚砂球形和不锈钢切削刃球形两种，刀头直径3.5mm，刀杆有效长度≥270，刀头工作转速＞50000r/min。</w:t>
      </w:r>
    </w:p>
    <w:p w14:paraId="60069562">
      <w:pPr>
        <w:widowControl/>
        <w:tabs>
          <w:tab w:val="left" w:pos="420"/>
        </w:tabs>
        <w:spacing w:after="0" w:line="240" w:lineRule="auto"/>
        <w:rPr>
          <w:rStyle w:val="26"/>
          <w:rFonts w:hint="eastAsia" w:ascii="宋体" w:hAnsi="宋体" w:eastAsia="宋体" w:cs="宋体"/>
          <w:b w:val="0"/>
          <w:bCs/>
          <w:color w:val="000000" w:themeColor="text1"/>
          <w:sz w:val="21"/>
          <w:szCs w:val="21"/>
          <w:highlight w:val="none"/>
          <w:shd w:val="clear" w:color="auto" w:fill="FDFDFE"/>
          <w14:textFill>
            <w14:solidFill>
              <w14:schemeClr w14:val="tx1"/>
            </w14:solidFill>
          </w14:textFill>
        </w:rPr>
      </w:pPr>
      <w:r>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t>（四）配置清单</w:t>
      </w:r>
    </w:p>
    <w:tbl>
      <w:tblPr>
        <w:tblStyle w:val="23"/>
        <w:tblW w:w="0" w:type="auto"/>
        <w:jc w:val="center"/>
        <w:tblLayout w:type="autofit"/>
        <w:tblCellMar>
          <w:top w:w="0" w:type="dxa"/>
          <w:left w:w="108" w:type="dxa"/>
          <w:bottom w:w="0" w:type="dxa"/>
          <w:right w:w="108" w:type="dxa"/>
        </w:tblCellMar>
      </w:tblPr>
      <w:tblGrid>
        <w:gridCol w:w="638"/>
        <w:gridCol w:w="6726"/>
        <w:gridCol w:w="638"/>
        <w:gridCol w:w="638"/>
      </w:tblGrid>
      <w:tr w14:paraId="479FA6F2">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89470">
            <w:pPr>
              <w:widowControl/>
              <w:spacing w:after="0" w:line="24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93A84">
            <w:pPr>
              <w:widowControl/>
              <w:spacing w:after="0" w:line="24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配置名称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B38F9">
            <w:pPr>
              <w:widowControl/>
              <w:spacing w:after="0" w:line="24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774F9">
            <w:pPr>
              <w:widowControl/>
              <w:spacing w:after="0" w:line="24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w:t>
            </w:r>
          </w:p>
        </w:tc>
      </w:tr>
      <w:tr w14:paraId="42C5D9DA">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289F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2407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内窥镜摄像系统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FC1D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8AFE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r>
      <w:tr w14:paraId="300C0BE3">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84FC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47FD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医用内窥镜冷光源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B305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5286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r>
      <w:tr w14:paraId="4D53634F">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44F7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E5E7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4k摄像头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D550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5CAA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r>
      <w:tr w14:paraId="4BD38246">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53DC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0D23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医用监视器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B10D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D4EE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r>
      <w:tr w14:paraId="6D48FAB8">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21E0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6ABB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导光束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6381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9A48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根</w:t>
            </w:r>
          </w:p>
        </w:tc>
      </w:tr>
      <w:tr w14:paraId="70672DF0">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9C45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223F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医用台车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C2CF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12C2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r>
      <w:tr w14:paraId="237416C2">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3F18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C6BC4E9">
            <w:pPr>
              <w:widowControl/>
              <w:spacing w:after="0" w:line="240" w:lineRule="auto"/>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脊柱内窥镜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2B87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F14F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根</w:t>
            </w:r>
          </w:p>
        </w:tc>
      </w:tr>
      <w:tr w14:paraId="66DC9483">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A1EC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A5034DD">
            <w:pPr>
              <w:widowControl/>
              <w:spacing w:after="0" w:line="240" w:lineRule="auto"/>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穿刺针</w:t>
            </w:r>
            <w:r>
              <w:rPr>
                <w:rFonts w:hint="eastAsia" w:ascii="宋体" w:hAnsi="宋体" w:eastAsia="宋体" w:cs="宋体"/>
                <w:bCs/>
                <w:color w:val="000000" w:themeColor="text1"/>
                <w:sz w:val="21"/>
                <w:szCs w:val="21"/>
                <w:highlight w:val="none"/>
                <w14:textFill>
                  <w14:solidFill>
                    <w14:schemeClr w14:val="tx1"/>
                  </w14:solidFill>
                </w14:textFill>
              </w:rPr>
              <w:t>，内径≤1.1mm，外径≤1.6mm，长度≤160mm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989D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0756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0E86BC60">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335C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5AC1C4DC">
            <w:pPr>
              <w:widowControl/>
              <w:spacing w:after="0" w:line="240" w:lineRule="auto"/>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导丝</w:t>
            </w:r>
            <w:r>
              <w:rPr>
                <w:rFonts w:hint="eastAsia" w:ascii="宋体" w:hAnsi="宋体" w:eastAsia="宋体" w:cs="宋体"/>
                <w:bCs/>
                <w:color w:val="000000" w:themeColor="text1"/>
                <w:sz w:val="21"/>
                <w:szCs w:val="21"/>
                <w:highlight w:val="none"/>
                <w14:textFill>
                  <w14:solidFill>
                    <w14:schemeClr w14:val="tx1"/>
                  </w14:solidFill>
                </w14:textFill>
              </w:rPr>
              <w:t>，直径≤0.8mm，长度≥400mm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B2A9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9EF6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76B87C9E">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7B41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9B81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五级扩装器5个：</w:t>
            </w:r>
          </w:p>
          <w:p w14:paraId="7B47AF0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1、内径≥1.0mm，外径≤2.9mm，长度≥240mm</w:t>
            </w:r>
          </w:p>
          <w:p w14:paraId="046522B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2、内径≥3.0mm，外径≤3.9mm，长度≥190mm</w:t>
            </w:r>
          </w:p>
          <w:p w14:paraId="2819204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3、内径≥4.0mm，外径≤4.9mm，长度≥180mm</w:t>
            </w:r>
          </w:p>
          <w:p w14:paraId="11C88BC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4、内径≥4.0mm，外径≤5.9mm，长度≥170mm</w:t>
            </w:r>
          </w:p>
          <w:p w14:paraId="2C05EBD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5、内径≥4.0mm，外径≤7.9mm，长度≥165mm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0797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E32B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14:paraId="74B990B7">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CF71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F698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环锯3支：</w:t>
            </w:r>
          </w:p>
          <w:p w14:paraId="0E5ADBD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1、内径≥6.5mm，外径≤7.8mm，长度≥170mm（细齿）</w:t>
            </w:r>
          </w:p>
          <w:p w14:paraId="13E3DDC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2、内径≥6.5mm，外径≤7.8mm，长度≥170mm（粗齿）</w:t>
            </w:r>
          </w:p>
          <w:p w14:paraId="7742981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3、内径≥2.5mm，外径≤3.5mm，长度≥370mm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2EFB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03B0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14:paraId="5F5AB39E">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EC27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299C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环锯保护套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DE91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E23E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31ADE43E">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D80C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C807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65A3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6474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63806989">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BABB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8FC5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扩张器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7671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1F79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127CA19A">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6840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608F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0978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3637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735D66FF">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AB49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1C37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骨凿，外径≥2.7mm，长度≤320mm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E625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7BDB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6960D7B5">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16D0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900E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B7B8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F419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214E8739">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ED11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17F7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骨取样器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4D95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49FA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216E9DD2">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EDAF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943B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神经拉钩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F235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FE22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67605CCA">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EA3E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C8D2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神经剥离子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43DE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9462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58BCA92F">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3448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C110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抓钳，直径≥3.5mm，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330mm,朝上</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0BB9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DF9B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63AC9346">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0D8B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D929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抓钳，直径≥2.5mm，</w:t>
            </w:r>
            <w:r>
              <w:rPr>
                <w:rFonts w:hint="eastAsia" w:ascii="宋体" w:hAnsi="宋体" w:eastAsia="宋体" w:cs="宋体"/>
                <w:bCs/>
                <w:color w:val="000000" w:themeColor="text1"/>
                <w:sz w:val="21"/>
                <w:szCs w:val="21"/>
                <w:highlight w:val="none"/>
                <w14:textFill>
                  <w14:solidFill>
                    <w14:schemeClr w14:val="tx1"/>
                  </w14:solidFill>
                </w14:textFill>
              </w:rPr>
              <w:t>长度≥330mm，小直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B2AD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B612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73E9B87E">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9AAC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2A16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抓钳，直径≥3.5mm，</w:t>
            </w:r>
            <w:r>
              <w:rPr>
                <w:rFonts w:hint="eastAsia" w:ascii="宋体" w:hAnsi="宋体" w:eastAsia="宋体" w:cs="宋体"/>
                <w:bCs/>
                <w:color w:val="000000" w:themeColor="text1"/>
                <w:sz w:val="21"/>
                <w:szCs w:val="21"/>
                <w:highlight w:val="none"/>
                <w14:textFill>
                  <w14:solidFill>
                    <w14:schemeClr w14:val="tx1"/>
                  </w14:solidFill>
                </w14:textFill>
              </w:rPr>
              <w:t>长度≥330mm，大直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BA58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706B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494CC768">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7E5D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CC24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抓钳，直径≥3.5mm，</w:t>
            </w:r>
            <w:r>
              <w:rPr>
                <w:rFonts w:hint="eastAsia" w:ascii="宋体" w:hAnsi="宋体" w:eastAsia="宋体" w:cs="宋体"/>
                <w:bCs/>
                <w:color w:val="000000" w:themeColor="text1"/>
                <w:sz w:val="21"/>
                <w:szCs w:val="21"/>
                <w:highlight w:val="none"/>
                <w14:textFill>
                  <w14:solidFill>
                    <w14:schemeClr w14:val="tx1"/>
                  </w14:solidFill>
                </w14:textFill>
              </w:rPr>
              <w:t>长度≥330mm，弹簧钳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C318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78AD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611A6764">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8861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86F9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黄韧带切钳1把，直径≥3.5mm，上翘15°，</w:t>
            </w:r>
            <w:r>
              <w:rPr>
                <w:rFonts w:hint="eastAsia" w:ascii="宋体" w:hAnsi="宋体" w:eastAsia="宋体" w:cs="宋体"/>
                <w:bCs/>
                <w:color w:val="000000" w:themeColor="text1"/>
                <w:sz w:val="21"/>
                <w:szCs w:val="21"/>
                <w:highlight w:val="none"/>
                <w14:textFill>
                  <w14:solidFill>
                    <w14:schemeClr w14:val="tx1"/>
                  </w14:solidFill>
                </w14:textFill>
              </w:rPr>
              <w:t>长度≥330mm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D130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A594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3ACD84EE">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C9BD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3DB9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咬骨钳</w:t>
            </w:r>
            <w:r>
              <w:rPr>
                <w:rFonts w:hint="eastAsia" w:ascii="宋体" w:hAnsi="宋体" w:eastAsia="宋体" w:cs="宋体"/>
                <w:bCs/>
                <w:color w:val="000000" w:themeColor="text1"/>
                <w:kern w:val="0"/>
                <w:sz w:val="21"/>
                <w:szCs w:val="21"/>
                <w:highlight w:val="none"/>
                <w14:textFill>
                  <w14:solidFill>
                    <w14:schemeClr w14:val="tx1"/>
                  </w14:solidFill>
                </w14:textFill>
              </w:rPr>
              <w:t>， 直径≥3.5mm，</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40°,</w:t>
            </w:r>
            <w:r>
              <w:rPr>
                <w:rFonts w:hint="eastAsia" w:ascii="宋体" w:hAnsi="宋体" w:eastAsia="宋体" w:cs="宋体"/>
                <w:bCs/>
                <w:color w:val="000000" w:themeColor="text1"/>
                <w:sz w:val="21"/>
                <w:szCs w:val="21"/>
                <w:highlight w:val="none"/>
                <w14:textFill>
                  <w14:solidFill>
                    <w14:schemeClr w14:val="tx1"/>
                  </w14:solidFill>
                </w14:textFill>
              </w:rPr>
              <w:t>可旋转咬切口方向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BE09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0625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277D8A24">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1F8B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0C0B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咬骨钳</w:t>
            </w:r>
            <w:r>
              <w:rPr>
                <w:rFonts w:hint="eastAsia" w:ascii="宋体" w:hAnsi="宋体" w:eastAsia="宋体" w:cs="宋体"/>
                <w:bCs/>
                <w:color w:val="000000" w:themeColor="text1"/>
                <w:kern w:val="0"/>
                <w:sz w:val="21"/>
                <w:szCs w:val="21"/>
                <w:highlight w:val="none"/>
                <w14:textFill>
                  <w14:solidFill>
                    <w14:schemeClr w14:val="tx1"/>
                  </w14:solidFill>
                </w14:textFill>
              </w:rPr>
              <w:t>，直径≥3.5mm，</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40°</w:t>
            </w:r>
            <w:r>
              <w:rPr>
                <w:rFonts w:hint="eastAsia" w:ascii="宋体" w:hAnsi="宋体" w:eastAsia="宋体" w:cs="宋体"/>
                <w:bCs/>
                <w:color w:val="000000" w:themeColor="text1"/>
                <w:sz w:val="21"/>
                <w:szCs w:val="21"/>
                <w:highlight w:val="none"/>
                <w14:textFill>
                  <w14:solidFill>
                    <w14:schemeClr w14:val="tx1"/>
                  </w14:solidFill>
                </w14:textFill>
              </w:rPr>
              <w:t>，可旋转咬切口方向，宽口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0004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DB41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574C5F24">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0A82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5771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手柄1把，配合咬骨钳使用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C770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4478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487994DD">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6C1E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7AEC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神经拉钩，直径≥2.5mm，长度≥330mm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883F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E6FE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把</w:t>
            </w:r>
          </w:p>
        </w:tc>
      </w:tr>
      <w:tr w14:paraId="55E6F29E">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FF41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26A9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神经剥离子，直径≥2.5mm，长度≥330mm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1738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7785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把</w:t>
            </w:r>
          </w:p>
        </w:tc>
      </w:tr>
      <w:tr w14:paraId="67ABBA87">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D014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FC9D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骨取样器，直径≤6.0mm，长度≤235mm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43C1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5DC0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把</w:t>
            </w:r>
          </w:p>
        </w:tc>
      </w:tr>
      <w:tr w14:paraId="4202D67D">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A850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378E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内窥镜器械盒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8E78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78F8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1AD5A336">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D164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24AF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器械盒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3C9D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C250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2C3E2872">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BC7F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6D3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关节镜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1350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EAC0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根</w:t>
            </w:r>
          </w:p>
        </w:tc>
      </w:tr>
      <w:tr w14:paraId="37A7FEA9">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1449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1702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镜鞘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D02E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E6CE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7A5D1531">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5CB0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0D09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EF76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F62B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1F7C87BE">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8445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709B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200mm，外径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6mm）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D468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D2C4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61CB7F96">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7CD0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F6F9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180mm，外径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8mm）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C37F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1E20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16C09AE0">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D0B5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ECA8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160mm，外径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672F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B648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34AA4576">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5C7F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83FB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160mm,外径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6mm）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799B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4918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48C9E725">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B829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6188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50mm，外径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1C4D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32A5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4A5C92CF">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BA9F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BDB8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90mm，外径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8633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584F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36C5B2FC">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BE3A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4A55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神经剥离器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8916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D073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7D4FFBC5">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867D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1818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脊柱手术用神经拉钩</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100mm,拉钩宽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45B2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F863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5881165E">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61E5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4EFD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脊柱手术用神经拉钩</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100mm，拉钩宽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8mm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201F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FAD3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67DA4F2A">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78C9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031E9">
            <w:pPr>
              <w:widowControl/>
              <w:tabs>
                <w:tab w:val="left" w:pos="0"/>
                <w:tab w:val="center" w:pos="4320"/>
                <w:tab w:val="right" w:pos="8280"/>
              </w:tabs>
              <w:spacing w:after="0" w:line="240" w:lineRule="auto"/>
              <w:ind w:right="26" w:rightChars="12"/>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神经剥离子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D81A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4C59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661A1462">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72CA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A4B3">
            <w:pPr>
              <w:widowControl/>
              <w:tabs>
                <w:tab w:val="left" w:pos="0"/>
                <w:tab w:val="center" w:pos="4320"/>
                <w:tab w:val="right" w:pos="8280"/>
              </w:tabs>
              <w:spacing w:after="0" w:line="240" w:lineRule="auto"/>
              <w:ind w:right="26" w:rightChars="12"/>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骨探针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078C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DD14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17A5CADF">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6EB2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AF83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椎间盘铰刀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A4BA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D801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把</w:t>
            </w:r>
          </w:p>
        </w:tc>
      </w:tr>
      <w:tr w14:paraId="06AD5728">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EC51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1F6E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脊柱手术用神经拉钩(</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100mm，拉钩宽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10mm，右折弯)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F952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399D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4C765BC7">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3B75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E965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脊柱手术用神经拉钩（</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100mm，拉钩宽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10mm，左折弯)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A923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2B87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245F7A95">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84E8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6E08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骨凿</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刃宽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5mm,角度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30度</w:t>
            </w:r>
            <w:r>
              <w:rPr>
                <w:rFonts w:hint="eastAsia" w:ascii="宋体" w:hAnsi="宋体" w:eastAsia="宋体" w:cs="宋体"/>
                <w:color w:val="000000" w:themeColor="text1"/>
                <w:sz w:val="21"/>
                <w:szCs w:val="21"/>
                <w:highlight w:val="none"/>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EB92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6D0B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3D242D8B">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A696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64C3F">
            <w:pPr>
              <w:widowControl/>
              <w:spacing w:after="0" w:line="240" w:lineRule="auto"/>
              <w:ind w:firstLine="1890" w:firstLineChars="90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骨凿（</w:t>
            </w:r>
            <w:r>
              <w:rPr>
                <w:rFonts w:hint="eastAsia" w:ascii="宋体" w:hAnsi="宋体" w:eastAsia="宋体" w:cs="宋体"/>
                <w:color w:val="000000" w:themeColor="text1"/>
                <w:sz w:val="21"/>
                <w:szCs w:val="21"/>
                <w:highlight w:val="none"/>
                <w:u w:color="000000"/>
                <w14:textFill>
                  <w14:solidFill>
                    <w14:schemeClr w14:val="tx1"/>
                  </w14:solidFill>
                </w14:textFill>
              </w:rPr>
              <w:t>刃宽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5mn,直型）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4279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4B89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7D8ADD43">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652B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D77B6">
            <w:pPr>
              <w:widowControl/>
              <w:spacing w:after="0" w:line="240" w:lineRule="auto"/>
              <w:ind w:firstLine="1890" w:firstLineChars="90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骨凿(</w:t>
            </w:r>
            <w:r>
              <w:rPr>
                <w:rFonts w:hint="eastAsia" w:ascii="宋体" w:hAnsi="宋体" w:eastAsia="宋体" w:cs="宋体"/>
                <w:color w:val="000000" w:themeColor="text1"/>
                <w:sz w:val="21"/>
                <w:szCs w:val="21"/>
                <w:highlight w:val="none"/>
                <w:u w:color="000000"/>
                <w14:textFill>
                  <w14:solidFill>
                    <w14:schemeClr w14:val="tx1"/>
                  </w14:solidFill>
                </w14:textFill>
              </w:rPr>
              <w:t>刃宽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5mm,L型）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5B2D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66FD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1F2B833A">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4724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5CD4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刮匙(</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170mm,刃宽4mm,直型)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CFBC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4750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68CA3ABD">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6FBB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A64C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刮匙(</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170mm,刃宽4mm,侧弯型)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22F5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D5E3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3FB87559">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8B40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04D6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骨锤</w:t>
            </w:r>
            <w:r>
              <w:rPr>
                <w:rFonts w:hint="eastAsia" w:ascii="宋体" w:hAnsi="宋体" w:eastAsia="宋体" w:cs="宋体"/>
                <w:bCs/>
                <w:color w:val="000000" w:themeColor="text1"/>
                <w:sz w:val="21"/>
                <w:szCs w:val="21"/>
                <w:highlight w:val="none"/>
                <w14:textFill>
                  <w14:solidFill>
                    <w14:schemeClr w14:val="tx1"/>
                  </w14:solidFill>
                </w14:textFill>
              </w:rPr>
              <w:t>，(长度245mm)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E955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5B38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4424FD51">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F6D7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E8EB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椎板咬骨钳(</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110度，刃宽3mm</w:t>
            </w:r>
            <w:r>
              <w:rPr>
                <w:rFonts w:hint="eastAsia" w:ascii="宋体" w:hAnsi="宋体" w:eastAsia="宋体" w:cs="宋体"/>
                <w:color w:val="000000" w:themeColor="text1"/>
                <w:sz w:val="21"/>
                <w:szCs w:val="21"/>
                <w:highlight w:val="none"/>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66C4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864B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14:paraId="476D7894">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89D7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F3FA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椎板咬骨钳(</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130度，刃宽3mm)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6074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C2E0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14:paraId="3C23B3A7">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9E4F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F74D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椎板咬骨钳(</w:t>
            </w:r>
            <w:r>
              <w:rPr>
                <w:rFonts w:hint="eastAsia" w:ascii="宋体" w:hAnsi="宋体" w:eastAsia="宋体" w:cs="宋体"/>
                <w:color w:val="000000" w:themeColor="text1"/>
                <w:sz w:val="21"/>
                <w:szCs w:val="21"/>
                <w:highlight w:val="none"/>
                <w:u w:color="000000"/>
                <w14:textFill>
                  <w14:solidFill>
                    <w14:schemeClr w14:val="tx1"/>
                  </w14:solidFill>
                </w14:textFill>
              </w:rPr>
              <w:t>弧形，长度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130度，刃宽3mm）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23A4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054B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14:paraId="0CB7DAF0">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3E76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B4DE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椎板咬骨钳手柄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4051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C53A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14:paraId="27795207">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B55B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DA1D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髓核钳（长度≥180mm,刃宽≥3mm,直型）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0B61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34AC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14:paraId="0586827A">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1150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2E8C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髓核钳（长度≥180mm,刃宽≥3mm,上翘型）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CAB8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AE10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14:paraId="18DE6FDB">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6E61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F882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器械盒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08F7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F596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36C5B696">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20BD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E2DF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电动骨组织手术系统主机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3BE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FB4C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r>
      <w:tr w14:paraId="1A665AD5">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511E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D511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F96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BF24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133138B5">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2E9B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2111A">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通用手柄+电机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346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B0C1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7AAF7513">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F7FD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C7B4289">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bookmarkStart w:id="3" w:name="OLE_LINK7"/>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w:t>
            </w:r>
            <w:bookmarkEnd w:id="3"/>
            <w:r>
              <w:rPr>
                <w:rFonts w:hint="eastAsia" w:ascii="宋体" w:hAnsi="宋体" w:eastAsia="宋体" w:cs="宋体"/>
                <w:color w:val="000000" w:themeColor="text1"/>
                <w:kern w:val="0"/>
                <w:sz w:val="21"/>
                <w:szCs w:val="21"/>
                <w:highlight w:val="none"/>
                <w:lang w:bidi="ar"/>
                <w14:textFill>
                  <w14:solidFill>
                    <w14:schemeClr w14:val="tx1"/>
                  </w14:solidFill>
                </w14:textFill>
              </w:rPr>
              <w:t>一体式磨头(切削刃), 杆径2.0mm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929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BEF79">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2DDA5F16">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A90A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0EC02BF">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开放弯曲刀头，一体式磨头(切削刃)，杆径3.0mm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23E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F2C7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593E0C41">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5A70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00DFAED">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开放弯曲刀头，一体式磨头(切削刃)，杆径4.0mm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85E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9282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2C892BD4">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E2F3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063E35B">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开放弯曲刀头，一体式磨头(金刚砂)，杆径2.0mm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DA1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855F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5EED5F2A">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17DC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D3A9B7A">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开放弯曲刀头，一体式磨头(金刚砂)，杆径3.0mm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DA4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2C6A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5F4CA9DA">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6A3C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F1FBA67">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开放弯曲刀头，一体式磨头(金刚砂)，杆径4.0mm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463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B1EDF">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4D5AABB3">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9853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9147993">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往复磨头（全刃），杆径3.5mm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EED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664D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4710F909">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731C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0018211">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一体式护鞘磨头（切削刃），杆径3.5mm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C19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9D7C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763AA4EB">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931F1">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E911A1D">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一体式护鞘磨头（金刚砂），杆径3.5mm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567B">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B189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077180CB">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00E5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4726F00">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一体式增速磨头（金刚砂），杆径2.0mm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C986">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6759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74384E91">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EC47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B4777B1">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一体式增速磨头（金刚砂），杆径3.0mm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C90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FD5D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0BA45E57">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A1A1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FD09B">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动力骨刀（扁形锯片）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D2BD">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AADF2">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3BEA447A">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7C66E">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5B31B">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动力骨刀（全环形锯片）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B58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90938">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253B1860">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318BC">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A1E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动力骨刀（斜型摆动锯片）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E6B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9A5CA">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60980732">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6EE13">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69183">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孔镜磨头（切削刃），刀头直径3.5mm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D78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C3647">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14:paraId="1DA2D6FC">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07D60">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158AE">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孔镜磨头（金刚砂），刀头直径3.5mm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21C4">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12FF5">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bl>
    <w:p w14:paraId="3E54E69B">
      <w:pPr>
        <w:pStyle w:val="2"/>
        <w:spacing w:after="0" w:line="240" w:lineRule="auto"/>
        <w:ind w:firstLine="0"/>
        <w:rPr>
          <w:rFonts w:hint="eastAsia" w:ascii="宋体" w:hAnsi="宋体" w:eastAsia="宋体" w:cs="宋体"/>
          <w:b/>
          <w:bCs/>
          <w:color w:val="000000" w:themeColor="text1"/>
          <w:sz w:val="21"/>
          <w:szCs w:val="21"/>
          <w:highlight w:val="none"/>
          <w14:textFill>
            <w14:solidFill>
              <w14:schemeClr w14:val="tx1"/>
            </w14:solidFill>
          </w14:textFill>
        </w:rPr>
      </w:pPr>
    </w:p>
    <w:p w14:paraId="4CE7D0EA">
      <w:pPr>
        <w:pStyle w:val="2"/>
        <w:spacing w:after="0" w:line="240" w:lineRule="auto"/>
        <w:ind w:firstLine="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（五）质保期及售后服务要求</w:t>
      </w:r>
    </w:p>
    <w:p w14:paraId="4F08CA36">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1.提供主机至少5年的免费质保服务，包括设备故障维修、软件升级等。</w:t>
      </w:r>
    </w:p>
    <w:p w14:paraId="3E32ADB9">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2.中标后设立24小时客服热线，确保在设备使用过程中能够及时解决各类问题。</w:t>
      </w:r>
    </w:p>
    <w:p w14:paraId="6278729F">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3.提供每季度至少一次的设备巡检和维护服务，确保设备长期稳定运行。</w:t>
      </w:r>
    </w:p>
    <w:p w14:paraId="3520A369">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4.提供完善的培训和技术支持服务，确保医护人员能够熟练掌握设备操作。</w:t>
      </w:r>
    </w:p>
    <w:p w14:paraId="52DB6743">
      <w:pPr>
        <w:spacing w:after="0" w:line="240" w:lineRule="auto"/>
        <w:jc w:val="left"/>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（六）基本要求</w:t>
      </w:r>
    </w:p>
    <w:p w14:paraId="4DA08DA9">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★1.所投设备具有有效的医疗器械注册证明（如国家有相关规定）。</w:t>
      </w:r>
    </w:p>
    <w:p w14:paraId="252528F8">
      <w:pPr>
        <w:spacing w:after="0"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▲2.如投标人为代理经销商，应提供制造商对所投产品的合法授权函。</w:t>
      </w:r>
    </w:p>
    <w:p w14:paraId="51F5ED6C">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（七）其他要求</w:t>
      </w:r>
    </w:p>
    <w:p w14:paraId="4BE072A0">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投标文件中应提供项目实施方案、售后服务方案、培训方案等。</w:t>
      </w:r>
    </w:p>
    <w:p w14:paraId="5B5B040A">
      <w:pPr>
        <w:pStyle w:val="2"/>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14:paraId="1BBEE196">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二、交货要求</w:t>
      </w:r>
    </w:p>
    <w:p w14:paraId="4CC7720B">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（一）交货期：合同签订后收到采购人供货通知后30日历天内交货、安装、调试。</w:t>
      </w:r>
    </w:p>
    <w:p w14:paraId="191CB472">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（二）交货地点：广州市第一人民医院（采购人指定地点）。中标人需按有关标准提供货物的包装，并采用恰当的方式将货物运抵交货地点。</w:t>
      </w:r>
    </w:p>
    <w:p w14:paraId="3C528CBB">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56B083C4">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三、包装、运输及到货检验</w:t>
      </w:r>
    </w:p>
    <w:p w14:paraId="087F7537">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1.设备需由原厂包装，包装箱内需有下列随箱资料：产品合格证（包括出厂试验数据）、产品使用说明书、随箱清单等。</w:t>
      </w:r>
    </w:p>
    <w:p w14:paraId="21C5E4D9">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2.中标人负责所有设备从出厂到安装现场的运输。</w:t>
      </w:r>
    </w:p>
    <w:p w14:paraId="5EE686FA">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7C271A62">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248704F4">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四、安装调试要求</w:t>
      </w:r>
    </w:p>
    <w:p w14:paraId="41A1701E">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1.安装和调试应由具备相应资质和能力的专业技术人员执行，确保设备的正确安装和功能的正常发挥。</w:t>
      </w:r>
    </w:p>
    <w:p w14:paraId="3FC4BB8C">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2.安装前应确保产品名称、型号、规格、生产企业信息、医疗器械注册证编号等信息明确无误。</w:t>
      </w:r>
    </w:p>
    <w:p w14:paraId="60EF1183">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3.在安装和调试过程中，必须遵守相应的操作规程和标准，以确保过程的准确性和可靠性。</w:t>
      </w:r>
    </w:p>
    <w:p w14:paraId="24310403">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4.在验收过程中，应有详细的报告记录测试和调试的结果，确保所有功能都符合规定的要求。</w:t>
      </w:r>
    </w:p>
    <w:p w14:paraId="3CD8D5D1">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7F47C459">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五、验收要求和验收标准</w:t>
      </w:r>
    </w:p>
    <w:p w14:paraId="4E969C11">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14:paraId="087B99D7">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53D64C76">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六、培训要求</w:t>
      </w:r>
    </w:p>
    <w:p w14:paraId="53B0CF4F">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1.须提供设备使用维护培训，使采购人使用人员能掌握设备的结构原理、检修方法与操作要点。</w:t>
      </w:r>
    </w:p>
    <w:p w14:paraId="2C7675D5">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2.培训应包括医疗设备的安全使用知识，包括设备的使用期限、禁忌、注意事项等。</w:t>
      </w:r>
    </w:p>
    <w:p w14:paraId="1CDDF79C">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3.培训内容应涵盖设备的维护和保养方法，以及特殊运输、贮存的条件和方法。</w:t>
      </w:r>
    </w:p>
    <w:p w14:paraId="037B824D">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4.培训应包括设备故障和问题应急处理，以便在紧急情况下能够迅速有效地采取措施。</w:t>
      </w:r>
    </w:p>
    <w:p w14:paraId="42DA3A7E">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5.培训应包括对医疗器械质量控制的理解和实践，确保设备在使用过程中的质量和性能。</w:t>
      </w:r>
    </w:p>
    <w:p w14:paraId="5E896EE0">
      <w:pPr>
        <w:spacing w:after="0" w:line="240"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50A13B4E">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14:paraId="438979F5">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1期：支付比例40%,1.合同的款项以人民币转账方式支付。若属国库支付项目的，其支付时间按财政部相关规定执行。 2.签订合同之日起5个工作日内凭合同40%发票由采购人向中标人支付40%合同款；</w:t>
      </w:r>
    </w:p>
    <w:p w14:paraId="553C88F4">
      <w:pPr>
        <w:spacing w:after="0" w:line="240" w:lineRule="auto"/>
        <w:jc w:val="left"/>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期：支付比例60%,3.合同设备全部到指定地点交付并完成安装及验收后，中标人凭（1）送货单；（2）合同剩余60%发票；（3）安装验收报告，由采购人在收到发票后5个工作日内支付60%合同款给中标人。4.付款方式：银行转账。</w:t>
      </w:r>
    </w:p>
    <w:p w14:paraId="4DA635D4">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p>
    <w:p w14:paraId="6B42304D">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包3：电子支气管镜系统用户需求</w:t>
      </w:r>
    </w:p>
    <w:p w14:paraId="6AFF997D">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一、采购需求</w:t>
      </w:r>
    </w:p>
    <w:tbl>
      <w:tblPr>
        <w:tblStyle w:val="23"/>
        <w:tblW w:w="6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09"/>
        <w:gridCol w:w="708"/>
        <w:gridCol w:w="1276"/>
        <w:gridCol w:w="1843"/>
      </w:tblGrid>
      <w:tr w14:paraId="43A8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6DE04E08">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709" w:type="dxa"/>
            <w:vAlign w:val="center"/>
          </w:tcPr>
          <w:p w14:paraId="79BF1FFE">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708" w:type="dxa"/>
            <w:vAlign w:val="center"/>
          </w:tcPr>
          <w:p w14:paraId="5E5E51B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76" w:type="dxa"/>
            <w:vAlign w:val="center"/>
          </w:tcPr>
          <w:p w14:paraId="048A4455">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采购预算（万元）</w:t>
            </w:r>
          </w:p>
        </w:tc>
        <w:tc>
          <w:tcPr>
            <w:tcW w:w="1843" w:type="dxa"/>
            <w:vAlign w:val="center"/>
          </w:tcPr>
          <w:p w14:paraId="33CAB1E1">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w:t>
            </w:r>
          </w:p>
        </w:tc>
      </w:tr>
      <w:tr w14:paraId="05A8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3" w:type="dxa"/>
            <w:vAlign w:val="center"/>
          </w:tcPr>
          <w:p w14:paraId="5C8EA58E">
            <w:pPr>
              <w:pStyle w:val="17"/>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电子支气管镜系统</w:t>
            </w:r>
          </w:p>
        </w:tc>
        <w:tc>
          <w:tcPr>
            <w:tcW w:w="709" w:type="dxa"/>
            <w:vAlign w:val="center"/>
          </w:tcPr>
          <w:p w14:paraId="321D71A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708" w:type="dxa"/>
            <w:vAlign w:val="center"/>
          </w:tcPr>
          <w:p w14:paraId="64A712A4">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76" w:type="dxa"/>
            <w:vAlign w:val="center"/>
          </w:tcPr>
          <w:p w14:paraId="7FA80BC9">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165</w:t>
            </w:r>
          </w:p>
        </w:tc>
        <w:tc>
          <w:tcPr>
            <w:tcW w:w="1843" w:type="dxa"/>
            <w:vAlign w:val="center"/>
          </w:tcPr>
          <w:p w14:paraId="5822B10E">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A02320700医用内窥镜</w:t>
            </w:r>
          </w:p>
        </w:tc>
      </w:tr>
    </w:tbl>
    <w:p w14:paraId="254D7D40">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报价包含各项税费、交通运输费、保险、装卸费、安装等合同实施过程中应预见或不可预见费用等所有费用。</w:t>
      </w:r>
    </w:p>
    <w:p w14:paraId="5575521E">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（一）项目需执行的国家相关标准、行业标准、地方标准或者其他标准、规范：</w:t>
      </w:r>
      <w:r>
        <w:rPr>
          <w:rFonts w:hint="eastAsia" w:ascii="宋体" w:hAnsi="宋体" w:eastAsia="宋体" w:cs="宋体"/>
          <w:color w:val="000000" w:themeColor="text1"/>
          <w:sz w:val="21"/>
          <w:szCs w:val="21"/>
          <w:highlight w:val="none"/>
          <w14:textFill>
            <w14:solidFill>
              <w14:schemeClr w14:val="tx1"/>
            </w14:solidFill>
          </w14:textFill>
        </w:rPr>
        <w:t>包含且不限于《医疗器械注册管理办法》、《医疗器械唯一标识系统规则》。</w:t>
      </w:r>
    </w:p>
    <w:p w14:paraId="72F0ABD4">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（二）项目基本概况介绍</w:t>
      </w:r>
    </w:p>
    <w:p w14:paraId="77174D25">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本项目设备</w:t>
      </w:r>
      <w:bookmarkStart w:id="4" w:name="OLE_LINK1"/>
      <w:r>
        <w:rPr>
          <w:rFonts w:hint="eastAsia" w:ascii="宋体" w:hAnsi="宋体" w:eastAsia="宋体" w:cs="宋体"/>
          <w:color w:val="000000" w:themeColor="text1"/>
          <w:kern w:val="0"/>
          <w:sz w:val="21"/>
          <w:szCs w:val="21"/>
          <w:highlight w:val="none"/>
          <w14:textFill>
            <w14:solidFill>
              <w14:schemeClr w14:val="tx1"/>
            </w14:solidFill>
          </w14:textFill>
        </w:rPr>
        <w:t>用于支气管镜相关疾病诊疗，包括疑诊气管、支气管、肺脏肿瘤或肿瘤性病变；</w:t>
      </w:r>
      <w:bookmarkEnd w:id="4"/>
      <w:r>
        <w:rPr>
          <w:rFonts w:hint="eastAsia" w:ascii="宋体" w:hAnsi="宋体" w:eastAsia="宋体" w:cs="宋体"/>
          <w:color w:val="000000" w:themeColor="text1"/>
          <w:kern w:val="0"/>
          <w:sz w:val="21"/>
          <w:szCs w:val="21"/>
          <w:highlight w:val="none"/>
          <w14:textFill>
            <w14:solidFill>
              <w14:schemeClr w14:val="tx1"/>
            </w14:solidFill>
          </w14:textFill>
        </w:rPr>
        <w:t>不明原因咯血、持续1周以上的患者，尤其是年龄在40岁以上患者；不能明确诊断，进展迅速，抗菌药物效果欠佳，病变特续存在或吸收缓慢，临床诊断为下呼吸道感染或伴有免疫功能受损的患者；临床上难以解释、病情进展或治疗效果欠佳的咳嗽患者；原因不明的突发喘鸣、喘息。任何原因引起的单侧肺、肺叶或肺段不张；临床怀疑气道异物者；原因不明的纵隔淋巴结肿大、纵隔肿物。</w:t>
      </w:r>
      <w:r>
        <w:rPr>
          <w:rFonts w:hint="eastAsia" w:ascii="宋体" w:hAnsi="宋体" w:eastAsia="宋体" w:cs="宋体"/>
          <w:color w:val="000000" w:themeColor="text1"/>
          <w:sz w:val="21"/>
          <w:szCs w:val="21"/>
          <w:highlight w:val="none"/>
          <w14:textFill>
            <w14:solidFill>
              <w14:schemeClr w14:val="tx1"/>
            </w14:solidFill>
          </w14:textFill>
        </w:rPr>
        <w:t>也可用于年轻医生学习及科室老师进行教学活动。</w:t>
      </w:r>
    </w:p>
    <w:p w14:paraId="5FB26C5A">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（三）参数要求</w:t>
      </w:r>
    </w:p>
    <w:p w14:paraId="3BCB6D85">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1.图像处理装置</w:t>
      </w:r>
    </w:p>
    <w:p w14:paraId="6C673F51">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1)▲支持HDTV、SDTV、数字信号输出、图像</w:t>
      </w:r>
      <w:r>
        <w:rPr>
          <w:rFonts w:hint="eastAsia" w:ascii="宋体" w:hAnsi="宋体" w:eastAsia="宋体"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采用1080P线图片信息有效扫描线（可选择RGB、YPbPr、SDI、DVI输出），保证输出高保真图像。</w:t>
      </w:r>
    </w:p>
    <w:p w14:paraId="5013183B">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2)▲具有窄波光成像，利用窄波光照射可凸现粘膜下毛细血管和粘膜表面腺管开口等结构。</w:t>
      </w:r>
    </w:p>
    <w:p w14:paraId="6659A3C3">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3)具有自体荧光成像技术，可将光源输出并经粘膜反射的绿光和自体荧光自动分配到监视器的R、G、B通道形成自体荧光影像；可识别肿瘤性病变和正常组织。</w:t>
      </w:r>
    </w:p>
    <w:p w14:paraId="4D12B4F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4)▲具有血色素指数色彩强调功能，强调粘膜细微色彩改变，从而更易查明细微的病变改变。</w:t>
      </w:r>
    </w:p>
    <w:p w14:paraId="14D4307B">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5)具有自动亮度调节功能，根据视野明暗变化自动调节图像亮度。</w:t>
      </w:r>
    </w:p>
    <w:p w14:paraId="35E91E83">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6)测光模式分为三种，平均、峰值、全自动三种，保证任何时候都可获得良好的观察环境。</w:t>
      </w:r>
    </w:p>
    <w:p w14:paraId="7D67CCB6">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7)具有构造强调功能，能够突出细微结构的构造。</w:t>
      </w:r>
    </w:p>
    <w:p w14:paraId="2946192F">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8)具有轮廓强调功能，能够突出病变部位范围和轮廓。</w:t>
      </w:r>
    </w:p>
    <w:p w14:paraId="4B7BC830">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9)具有电子放大功能，将正常显示的光学图像放大≥1.8倍。</w:t>
      </w:r>
    </w:p>
    <w:p w14:paraId="18D3C1AA">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10)具有快速实时冻结功能，能从按下冻结之前的图像中挑选色差最少的图像显示出来。</w:t>
      </w:r>
    </w:p>
    <w:p w14:paraId="1C888257">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11)具有图像记录和回放功能。</w:t>
      </w:r>
    </w:p>
    <w:p w14:paraId="1F5273EC">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12)具备自动白平衡功能。</w:t>
      </w:r>
    </w:p>
    <w:p w14:paraId="51594300">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13)影像处理中心与冷光源分体具备独立的电源系统及散热系统。</w:t>
      </w:r>
    </w:p>
    <w:p w14:paraId="1DCE0376">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14)具有患者数据录入功能，存贮≥50名患者资料数据。</w:t>
      </w:r>
    </w:p>
    <w:p w14:paraId="3744374F">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15)具有数据存储功能：可通过机器缓存存储或者USB便携存储工具存储图片。    </w:t>
      </w:r>
    </w:p>
    <w:p w14:paraId="51CC7D70">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2.冷光源</w:t>
      </w:r>
    </w:p>
    <w:p w14:paraId="2F6E692B">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1)氙气光源，≥300瓦氙气短弧灯，无臭氧；可持续照明≥500小时。</w:t>
      </w:r>
    </w:p>
    <w:p w14:paraId="4B4D0161">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2)▲可经滤光片过滤后输出两种波长的窄波光用于照射黏膜以获得特殊光成像画面。</w:t>
      </w:r>
    </w:p>
    <w:p w14:paraId="6EEEEB1F">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3)▲输出的特殊光波长：≥两种波长</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00394FB">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4)照明光线颜色转换：通过切换专用滤光片得以实现，通过面板按键进行切换。</w:t>
      </w:r>
    </w:p>
    <w:p w14:paraId="06A2D5ED">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5)散热模式：强制冷空气散热，前方进冷风后方排出热风。</w:t>
      </w:r>
    </w:p>
    <w:p w14:paraId="7EEEF312">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6)自动亮度调节模式：伺服光圈模式。</w:t>
      </w:r>
    </w:p>
    <w:p w14:paraId="4C70F36B">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7)自动曝光：≥17档。</w:t>
      </w:r>
    </w:p>
    <w:p w14:paraId="2067BCC9">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8)气泵具备4级压力开关(关,高,中,低)。</w:t>
      </w:r>
    </w:p>
    <w:p w14:paraId="01C3A094">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9)调光电缆在机器的后端，可通过数字信号输出模式与主机连接，减少信号的衰减。</w:t>
      </w:r>
    </w:p>
    <w:p w14:paraId="2330338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10)可在有效降噪的同时，提高图像由暗到明的转化速度。</w:t>
      </w:r>
    </w:p>
    <w:p w14:paraId="7D14691E">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11)为可拆卸式水瓶加压，实现送水。</w:t>
      </w:r>
    </w:p>
    <w:p w14:paraId="67AA4D29">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3.监视器</w:t>
      </w:r>
    </w:p>
    <w:p w14:paraId="0BEEB1E9">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1）专业内镜监视器，为电子内镜及超声内镜专用监视器，与电子内镜同一品牌；</w:t>
      </w:r>
    </w:p>
    <w:p w14:paraId="3FFDF27C">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2）液晶面板：≥31寸，可与全数字信号兼容，提供稳定、无闪烁的超高清晰图像；</w:t>
      </w:r>
    </w:p>
    <w:p w14:paraId="37DFC3C7">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3）输入/输出信号：</w:t>
      </w:r>
    </w:p>
    <w:p w14:paraId="57CCE578">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a)▲4K端口：输入端口具有12G-SDI输入端口、Display Port、HDMI信号接口；输出端口具有12G-SDI输出端口；</w:t>
      </w:r>
    </w:p>
    <w:p w14:paraId="777C36DA">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b)2K端口：输入端口具有3G-SDI输入端口、DVI-D端口； 输出具备3G-SDI端口；</w:t>
      </w:r>
    </w:p>
    <w:p w14:paraId="15C9E013">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4）视野角度：≥175度（垂直和水平）；</w:t>
      </w:r>
    </w:p>
    <w:p w14:paraId="5DEF0678">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5）多种显示模式：画中画、画外画、克隆输出，能够同时查看不同的实时图像;</w:t>
      </w:r>
    </w:p>
    <w:p w14:paraId="1727E237">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6）FLIP功能：可上下、水平（180度）翻转，为诊疗过程提供合适的图像显示和监视器布局;</w:t>
      </w:r>
    </w:p>
    <w:p w14:paraId="172D40E6">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7）▲分辨率/长宽比：≥3840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2160像素 /16：9;</w:t>
      </w:r>
    </w:p>
    <w:p w14:paraId="6F047642">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8）对比度：1000:1；</w:t>
      </w:r>
    </w:p>
    <w:p w14:paraId="56598E7F">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9）色域：BT.2020/BT.709</w:t>
      </w:r>
    </w:p>
    <w:p w14:paraId="772DD467">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10）色量：≥10.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亿；</w:t>
      </w:r>
    </w:p>
    <w:p w14:paraId="1B267674">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11）背光源：LED</w:t>
      </w:r>
    </w:p>
    <w:p w14:paraId="0F545A60">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4.电子镜专用台车</w:t>
      </w:r>
    </w:p>
    <w:p w14:paraId="30C6B500">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1)上下左右可旋式支架，方便固定液晶显示器，方便操作者不同角度观察图像。</w:t>
      </w:r>
    </w:p>
    <w:p w14:paraId="35E058C2">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2)可升降支架，可同时悬挂两根镜子。</w:t>
      </w:r>
    </w:p>
    <w:p w14:paraId="5127424E">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3)可调节底板，随时调整主机放置高度，以便配合周边设备同时配置。</w:t>
      </w:r>
    </w:p>
    <w:p w14:paraId="63CF50C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4)可拉伸键盘托盘，方便医生不同角度操作。光滑防水设计,键盘面无接缝,符合医院的卫生要求.</w:t>
      </w:r>
    </w:p>
    <w:p w14:paraId="164C6F9E">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5)内置式电源，保证人身安全。</w:t>
      </w:r>
    </w:p>
    <w:p w14:paraId="45EB82B9">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5.电子支气管镜</w:t>
      </w:r>
    </w:p>
    <w:p w14:paraId="7544D657">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1)视野角：≥120度。</w:t>
      </w:r>
    </w:p>
    <w:p w14:paraId="771951AC">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2)视野方向：0度（直视）。</w:t>
      </w:r>
    </w:p>
    <w:p w14:paraId="28C7B2F2">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3)景深：2-100mm。</w:t>
      </w:r>
    </w:p>
    <w:p w14:paraId="42C1547C">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4)▲先端部外径：≤4.8mm。</w:t>
      </w:r>
    </w:p>
    <w:p w14:paraId="4B6F6329">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5)▲插入部外径：≤4.9mm</w:t>
      </w:r>
    </w:p>
    <w:p w14:paraId="61C4AD76">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6)弯曲角度：向上≥210度、向下≥130度。</w:t>
      </w:r>
    </w:p>
    <w:p w14:paraId="56018D47">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7)有效长度：≥600mm。</w:t>
      </w:r>
    </w:p>
    <w:p w14:paraId="3520632E">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8)钳子管道：≥1.95mm。</w:t>
      </w:r>
    </w:p>
    <w:p w14:paraId="2BC1FA8D">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9)最短可视距离：≤3mm。</w:t>
      </w:r>
    </w:p>
    <w:p w14:paraId="2E19CA60">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10)▲具备插入管旋转功能，向左120度，向右120度。</w:t>
      </w:r>
    </w:p>
    <w:p w14:paraId="41C401D2">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11)一触式完全防水接头，无需防水帽。</w:t>
      </w:r>
    </w:p>
    <w:p w14:paraId="5C778E4D">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12)操作性能好，表面非常光滑，刚性和弹性好。</w:t>
      </w:r>
    </w:p>
    <w:p w14:paraId="3B61E17A">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13)操作部有四个遥控按钮，可预设≥20种功能。</w:t>
      </w:r>
    </w:p>
    <w:p w14:paraId="19E3957A">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6.电子支气管镜（治疗）</w:t>
      </w:r>
    </w:p>
    <w:p w14:paraId="65BBDAB1">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1)视野角：≥120度。</w:t>
      </w:r>
    </w:p>
    <w:p w14:paraId="0ECDB758">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2)视野方向：0度（直视）。</w:t>
      </w:r>
    </w:p>
    <w:p w14:paraId="156D27EA">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3)▲景深：2-100mm。</w:t>
      </w:r>
    </w:p>
    <w:p w14:paraId="66B29838">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4)▲先端部外径：≤5.9mm。</w:t>
      </w:r>
    </w:p>
    <w:p w14:paraId="2E4DC786">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5)插入部外径：≤6.0mm。</w:t>
      </w:r>
    </w:p>
    <w:p w14:paraId="6DF77BB8">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6)弯曲角度：向上≥180度、向下≥130度。</w:t>
      </w:r>
    </w:p>
    <w:p w14:paraId="2083B580">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7)有效长度：≥600mm。</w:t>
      </w:r>
    </w:p>
    <w:p w14:paraId="7263016F">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8)钳子管道：≥2.9mm。</w:t>
      </w:r>
    </w:p>
    <w:p w14:paraId="66A88BFF">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9)最短可视距离：≤3mm。</w:t>
      </w:r>
    </w:p>
    <w:p w14:paraId="39283E31">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10)▲具备插入管旋转功能，向左≥120度，向右≥120度。</w:t>
      </w:r>
    </w:p>
    <w:p w14:paraId="3A2487DA">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11)▲一触式完全防水接头，无需防水帽。</w:t>
      </w:r>
    </w:p>
    <w:p w14:paraId="25E75E45">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12)操作性能好，表面非常光滑，刚性和弹性好。</w:t>
      </w:r>
    </w:p>
    <w:p w14:paraId="1C6069D9">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13)操作部有不少于四个遥控按钮，可预设不少于≥20种功能。</w:t>
      </w:r>
    </w:p>
    <w:p w14:paraId="2EFC85BB">
      <w:pPr>
        <w:widowControl/>
        <w:tabs>
          <w:tab w:val="left" w:pos="420"/>
        </w:tabs>
        <w:spacing w:after="0" w:line="240" w:lineRule="auto"/>
        <w:rPr>
          <w:rStyle w:val="26"/>
          <w:rFonts w:hint="eastAsia" w:ascii="宋体" w:hAnsi="宋体" w:eastAsia="宋体" w:cs="宋体"/>
          <w:b w:val="0"/>
          <w:bCs/>
          <w:color w:val="000000" w:themeColor="text1"/>
          <w:sz w:val="21"/>
          <w:szCs w:val="21"/>
          <w:highlight w:val="none"/>
          <w:shd w:val="clear" w:color="auto" w:fill="FDFDFE"/>
          <w14:textFill>
            <w14:solidFill>
              <w14:schemeClr w14:val="tx1"/>
            </w14:solidFill>
          </w14:textFill>
        </w:rPr>
      </w:pPr>
      <w:r>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t>（四）配置清单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526"/>
        <w:gridCol w:w="638"/>
        <w:gridCol w:w="638"/>
      </w:tblGrid>
      <w:tr w14:paraId="46D3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40920B7">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0" w:type="auto"/>
            <w:shd w:val="clear" w:color="auto" w:fill="auto"/>
            <w:vAlign w:val="center"/>
          </w:tcPr>
          <w:p w14:paraId="5226A82B">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配置名称</w:t>
            </w:r>
          </w:p>
        </w:tc>
        <w:tc>
          <w:tcPr>
            <w:tcW w:w="0" w:type="auto"/>
            <w:shd w:val="clear" w:color="auto" w:fill="auto"/>
            <w:vAlign w:val="center"/>
          </w:tcPr>
          <w:p w14:paraId="40115E18">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0" w:type="auto"/>
            <w:shd w:val="clear" w:color="auto" w:fill="auto"/>
            <w:vAlign w:val="center"/>
          </w:tcPr>
          <w:p w14:paraId="22BEA36B">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r>
      <w:tr w14:paraId="3DB0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98DFFA7">
            <w:pPr>
              <w:widowControl/>
              <w:spacing w:after="0"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14:paraId="7B120518">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图像处理装置</w:t>
            </w:r>
          </w:p>
        </w:tc>
        <w:tc>
          <w:tcPr>
            <w:tcW w:w="0" w:type="auto"/>
            <w:shd w:val="clear" w:color="auto" w:fill="auto"/>
            <w:vAlign w:val="center"/>
          </w:tcPr>
          <w:p w14:paraId="13140B5F">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14:paraId="03B5F7B0">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6E6B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CC25E77">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shd w:val="clear" w:color="auto" w:fill="auto"/>
            <w:vAlign w:val="center"/>
          </w:tcPr>
          <w:p w14:paraId="4B492A56">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内窥镜冷光源</w:t>
            </w:r>
          </w:p>
        </w:tc>
        <w:tc>
          <w:tcPr>
            <w:tcW w:w="0" w:type="auto"/>
            <w:shd w:val="clear" w:color="auto" w:fill="auto"/>
            <w:vAlign w:val="center"/>
          </w:tcPr>
          <w:p w14:paraId="147E538F">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14:paraId="0A88A713">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4DA3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F8E0270">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0" w:type="auto"/>
            <w:shd w:val="clear" w:color="auto" w:fill="auto"/>
            <w:vAlign w:val="center"/>
          </w:tcPr>
          <w:p w14:paraId="43A66B3A">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高清晰度液晶内镜监视器</w:t>
            </w:r>
          </w:p>
        </w:tc>
        <w:tc>
          <w:tcPr>
            <w:tcW w:w="0" w:type="auto"/>
            <w:shd w:val="clear" w:color="auto" w:fill="auto"/>
            <w:vAlign w:val="center"/>
          </w:tcPr>
          <w:p w14:paraId="245EA2DB">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14:paraId="34976EE9">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7377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4A9E47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0" w:type="auto"/>
            <w:shd w:val="clear" w:color="auto" w:fill="auto"/>
            <w:vAlign w:val="center"/>
          </w:tcPr>
          <w:p w14:paraId="4D14CB5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专用台车</w:t>
            </w:r>
          </w:p>
        </w:tc>
        <w:tc>
          <w:tcPr>
            <w:tcW w:w="0" w:type="auto"/>
            <w:shd w:val="clear" w:color="auto" w:fill="auto"/>
            <w:vAlign w:val="center"/>
          </w:tcPr>
          <w:p w14:paraId="5F8A0DAC">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14:paraId="3C965A1C">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3B11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8875B8E">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0" w:type="auto"/>
            <w:shd w:val="clear" w:color="auto" w:fill="auto"/>
            <w:vAlign w:val="center"/>
          </w:tcPr>
          <w:p w14:paraId="3EE84EA3">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电子支气管镜</w:t>
            </w:r>
          </w:p>
        </w:tc>
        <w:tc>
          <w:tcPr>
            <w:tcW w:w="0" w:type="auto"/>
            <w:shd w:val="clear" w:color="auto" w:fill="auto"/>
            <w:vAlign w:val="center"/>
          </w:tcPr>
          <w:p w14:paraId="1EF8CCE7">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14:paraId="78276C9A">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w:t>
            </w:r>
          </w:p>
        </w:tc>
      </w:tr>
      <w:tr w14:paraId="4552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A231393">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0" w:type="auto"/>
            <w:shd w:val="clear" w:color="auto" w:fill="auto"/>
            <w:vAlign w:val="center"/>
          </w:tcPr>
          <w:p w14:paraId="045B7CC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电子支气管镜（治疗）</w:t>
            </w:r>
          </w:p>
        </w:tc>
        <w:tc>
          <w:tcPr>
            <w:tcW w:w="0" w:type="auto"/>
            <w:shd w:val="clear" w:color="auto" w:fill="auto"/>
            <w:vAlign w:val="center"/>
          </w:tcPr>
          <w:p w14:paraId="488B1067">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14:paraId="2BF3D57C">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w:t>
            </w:r>
          </w:p>
        </w:tc>
      </w:tr>
    </w:tbl>
    <w:p w14:paraId="717D2433">
      <w:pPr>
        <w:pStyle w:val="2"/>
        <w:spacing w:after="0" w:line="240" w:lineRule="auto"/>
        <w:ind w:firstLine="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textWrapping" w:clear="all"/>
      </w:r>
      <w:r>
        <w:rPr>
          <w:rFonts w:hint="eastAsia" w:ascii="宋体" w:hAnsi="宋体" w:eastAsia="宋体" w:cs="宋体"/>
          <w:b/>
          <w:bCs/>
          <w:color w:val="000000" w:themeColor="text1"/>
          <w:sz w:val="21"/>
          <w:szCs w:val="21"/>
          <w:highlight w:val="none"/>
          <w14:textFill>
            <w14:solidFill>
              <w14:schemeClr w14:val="tx1"/>
            </w14:solidFill>
          </w14:textFill>
        </w:rPr>
        <w:t>（五）质保期及售后服务要求</w:t>
      </w:r>
    </w:p>
    <w:p w14:paraId="128EADB4">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1.提供至少3年的免费质保服务，包括设备故障维修、软件升级等。</w:t>
      </w:r>
    </w:p>
    <w:p w14:paraId="2AE79B52">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2.成交后设立24小时客服热线，确保在设备使用过程中能够及时解决各类问题。</w:t>
      </w:r>
    </w:p>
    <w:p w14:paraId="1044BB29">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3.提供每季度至少一次的设备巡检和维护服务，确保设备长期稳定运行。</w:t>
      </w:r>
    </w:p>
    <w:p w14:paraId="5470300E">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4.提供完善的培训和技术支持服务，确保医护人员能够熟练掌握设备操作。</w:t>
      </w:r>
    </w:p>
    <w:p w14:paraId="4EF9477D">
      <w:pPr>
        <w:pStyle w:val="2"/>
        <w:spacing w:after="0" w:line="240" w:lineRule="auto"/>
        <w:ind w:firstLine="0"/>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（六）基本要求</w:t>
      </w:r>
    </w:p>
    <w:p w14:paraId="2B019E66">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★1.所投设备具有有效的医疗器械注册证明（如国家有相关规定）。</w:t>
      </w:r>
    </w:p>
    <w:p w14:paraId="77542FFE">
      <w:pPr>
        <w:spacing w:after="0"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▲2.如投标人为代理经销商，应提供制造商对所投产品的合法授权函。</w:t>
      </w:r>
    </w:p>
    <w:p w14:paraId="0542A9A3">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（七）其他要求</w:t>
      </w:r>
    </w:p>
    <w:p w14:paraId="39D7F94B">
      <w:pPr>
        <w:spacing w:after="0" w:line="240" w:lineRule="auto"/>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投标文件中应提供项目实施方案、售后服务方案、培训方案等。</w:t>
      </w:r>
    </w:p>
    <w:p w14:paraId="4E0B9A3F">
      <w:pPr>
        <w:pStyle w:val="2"/>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14:paraId="0E3BE017">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二、交货要求</w:t>
      </w:r>
    </w:p>
    <w:p w14:paraId="4E37C2FF">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（一）交货期：合同签订后收到采购人供货通知后30日历天内交货、安装、调试。</w:t>
      </w:r>
    </w:p>
    <w:p w14:paraId="4FA0A1EB">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（二）交货地点：广州市第一人民医院（采购人指定地点）。中标人需按有关标准提供货物的包装，并采用恰当的方式将货物运抵交货地点。</w:t>
      </w:r>
    </w:p>
    <w:p w14:paraId="626B8599">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0BAA27EC">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三、包装、运输及到货检验</w:t>
      </w:r>
    </w:p>
    <w:p w14:paraId="30165A13">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1.设备需由原厂包装，包装箱内需有下列随箱资料：产品合格证（包括出厂试验数据）、产品使用说明书、随箱清单等。</w:t>
      </w:r>
    </w:p>
    <w:p w14:paraId="663664ED">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2.中标人负责所有设备从出厂到安装现场的运输。</w:t>
      </w:r>
    </w:p>
    <w:p w14:paraId="4E934707">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5C24E5FF">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7EB5A1D0">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四、安装调试要求</w:t>
      </w:r>
    </w:p>
    <w:p w14:paraId="229DBC41">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1.安装和调试应由具备相应资质和能力的专业技术人员执行，确保设备的正确安装和功能的正常发挥。</w:t>
      </w:r>
    </w:p>
    <w:p w14:paraId="2F597DC6">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2.安装前应确保产品名称、型号、规格、生产企业信息、医疗器械注册证编号等信息明确无误。</w:t>
      </w:r>
    </w:p>
    <w:p w14:paraId="1B244F82">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3.在安装和调试过程中，必须遵守相应的操作规程和标准，以确保过程的准确性和可靠性。</w:t>
      </w:r>
    </w:p>
    <w:p w14:paraId="2CF36D48">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4.在验收过程中，应有详细的报告记录测试和调试的结果，确保所有功能都符合规定的要求。</w:t>
      </w:r>
    </w:p>
    <w:p w14:paraId="08F6DD74">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73351D77">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五、验收要求和验收标准</w:t>
      </w:r>
    </w:p>
    <w:p w14:paraId="4B5BA941">
      <w:pPr>
        <w:widowControl/>
        <w:tabs>
          <w:tab w:val="left" w:pos="420"/>
        </w:tabs>
        <w:spacing w:after="0"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shd w:val="clear" w:color="auto" w:fill="FDFDFE"/>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14:paraId="708FB6A0">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2B01AAC3">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六、培训要求</w:t>
      </w:r>
    </w:p>
    <w:p w14:paraId="76ED065C">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1.须提供设备使用维护培训，使采购人使用人员能掌握设备的结构原理、检修方法与操作要点。</w:t>
      </w:r>
    </w:p>
    <w:p w14:paraId="49DAB4FC">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2.培训应包括医疗设备的安全使用知识，包括设备的使用期限、禁忌、注意事项等。</w:t>
      </w:r>
    </w:p>
    <w:p w14:paraId="692E5F98">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3.培训内容应涵盖设备的维护和保养方法，以及特殊运输、贮存的条件和方法。</w:t>
      </w:r>
    </w:p>
    <w:p w14:paraId="0939AFD4">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4.培训应包括设备故障和问题应急处理，以便在紧急情况下能够迅速有效地采取措施。</w:t>
      </w:r>
    </w:p>
    <w:p w14:paraId="7A6651EB">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5.培训应包括对医疗器械质量控制的理解和实践，确保设备在使用过程中的质量和性能。</w:t>
      </w:r>
    </w:p>
    <w:p w14:paraId="4F4BEBBA">
      <w:pPr>
        <w:spacing w:after="0" w:line="240"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79DAFCB3">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14:paraId="57B7598E">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1期：支付比例40%,1.合同的款项以人民币转账方式支付。若属国库支付项目的，其支付时间按财政部相关规定执行。 2.签订合同之日起5个工作日内凭合同40%发票由采购人向中标人支付40%合同款；</w:t>
      </w:r>
    </w:p>
    <w:p w14:paraId="43DFC4BF">
      <w:pPr>
        <w:pStyle w:val="2"/>
        <w:spacing w:after="0" w:line="240" w:lineRule="auto"/>
        <w:ind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期：支付比例60%,3.合同设备全部到指定地点交付并完成安装及验收后，中标人凭（1）送货单；（2）合同剩余60%发票；（3）安装验收报告，由采购人在收到发票后5个工作日内支付60%合同款给中标人。4.付款方式：银行转账。</w:t>
      </w:r>
    </w:p>
    <w:p w14:paraId="34A105F8">
      <w:pPr>
        <w:pStyle w:val="2"/>
        <w:spacing w:after="0" w:line="240" w:lineRule="auto"/>
        <w:ind w:firstLine="0"/>
        <w:jc w:val="left"/>
        <w:rPr>
          <w:rFonts w:hint="eastAsia" w:ascii="宋体" w:hAnsi="宋体" w:eastAsia="宋体" w:cs="宋体"/>
          <w:color w:val="000000" w:themeColor="text1"/>
          <w:sz w:val="21"/>
          <w:szCs w:val="21"/>
          <w:highlight w:val="none"/>
          <w14:textFill>
            <w14:solidFill>
              <w14:schemeClr w14:val="tx1"/>
            </w14:solidFill>
          </w14:textFill>
        </w:rPr>
      </w:pPr>
    </w:p>
    <w:p w14:paraId="7B2828A5">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包4：数字X线摄影机（DR）用户需求书</w:t>
      </w:r>
    </w:p>
    <w:p w14:paraId="58FF6196">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一、采购需求</w:t>
      </w:r>
    </w:p>
    <w:tbl>
      <w:tblPr>
        <w:tblStyle w:val="23"/>
        <w:tblW w:w="6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9"/>
        <w:gridCol w:w="708"/>
        <w:gridCol w:w="1276"/>
        <w:gridCol w:w="1777"/>
      </w:tblGrid>
      <w:tr w14:paraId="24AB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09C5A8F5">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709" w:type="dxa"/>
            <w:vAlign w:val="center"/>
          </w:tcPr>
          <w:p w14:paraId="57EC976D">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708" w:type="dxa"/>
            <w:vAlign w:val="center"/>
          </w:tcPr>
          <w:p w14:paraId="272F81F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76" w:type="dxa"/>
            <w:vAlign w:val="center"/>
          </w:tcPr>
          <w:p w14:paraId="6E339F11">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采购预算（万元）</w:t>
            </w:r>
          </w:p>
        </w:tc>
        <w:tc>
          <w:tcPr>
            <w:tcW w:w="1777" w:type="dxa"/>
            <w:vAlign w:val="center"/>
          </w:tcPr>
          <w:p w14:paraId="2C51E476">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w:t>
            </w:r>
          </w:p>
        </w:tc>
      </w:tr>
      <w:tr w14:paraId="66EC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80" w:type="dxa"/>
            <w:vAlign w:val="center"/>
          </w:tcPr>
          <w:p w14:paraId="0DFA0483">
            <w:pPr>
              <w:pStyle w:val="17"/>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bookmarkStart w:id="5" w:name="_Hlk193212357"/>
            <w:bookmarkStart w:id="6" w:name="_Hlk193212843"/>
            <w:r>
              <w:rPr>
                <w:rFonts w:hint="eastAsia" w:ascii="宋体" w:hAnsi="宋体" w:eastAsia="宋体" w:cs="宋体"/>
                <w:color w:val="000000" w:themeColor="text1"/>
                <w:sz w:val="21"/>
                <w:szCs w:val="21"/>
                <w:highlight w:val="none"/>
                <w14:textFill>
                  <w14:solidFill>
                    <w14:schemeClr w14:val="tx1"/>
                  </w14:solidFill>
                </w14:textFill>
              </w:rPr>
              <w:t>数字X线摄影机（DR</w:t>
            </w:r>
            <w:bookmarkEnd w:id="5"/>
            <w:r>
              <w:rPr>
                <w:rFonts w:hint="eastAsia" w:ascii="宋体" w:hAnsi="宋体" w:eastAsia="宋体" w:cs="宋体"/>
                <w:color w:val="000000" w:themeColor="text1"/>
                <w:sz w:val="21"/>
                <w:szCs w:val="21"/>
                <w:highlight w:val="none"/>
                <w14:textFill>
                  <w14:solidFill>
                    <w14:schemeClr w14:val="tx1"/>
                  </w14:solidFill>
                </w14:textFill>
              </w:rPr>
              <w:t>）</w:t>
            </w:r>
            <w:bookmarkEnd w:id="6"/>
          </w:p>
        </w:tc>
        <w:tc>
          <w:tcPr>
            <w:tcW w:w="709" w:type="dxa"/>
            <w:vAlign w:val="center"/>
          </w:tcPr>
          <w:p w14:paraId="5AF7BDE6">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708" w:type="dxa"/>
            <w:vAlign w:val="center"/>
          </w:tcPr>
          <w:p w14:paraId="206B5B67">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76" w:type="dxa"/>
            <w:vAlign w:val="center"/>
          </w:tcPr>
          <w:p w14:paraId="10EBEB34">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178</w:t>
            </w:r>
          </w:p>
        </w:tc>
        <w:tc>
          <w:tcPr>
            <w:tcW w:w="1777" w:type="dxa"/>
            <w:vAlign w:val="center"/>
          </w:tcPr>
          <w:p w14:paraId="01C407D8">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A02321200医用X线诊断设备</w:t>
            </w:r>
          </w:p>
        </w:tc>
      </w:tr>
    </w:tbl>
    <w:p w14:paraId="771BBAD0">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报价包含各项税费、交通运输费、保险、装卸费、安装等合同实施过程中应预见或不可预见费用等所有费用。</w:t>
      </w:r>
    </w:p>
    <w:p w14:paraId="7B85F0F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（一）项目需执行的国家相关标准、行业标准、地方标准或者其他标准、规范：</w:t>
      </w:r>
      <w:r>
        <w:rPr>
          <w:rFonts w:hint="eastAsia" w:ascii="宋体" w:hAnsi="宋体" w:eastAsia="宋体" w:cs="宋体"/>
          <w:color w:val="000000" w:themeColor="text1"/>
          <w:sz w:val="21"/>
          <w:szCs w:val="21"/>
          <w:highlight w:val="none"/>
          <w14:textFill>
            <w14:solidFill>
              <w14:schemeClr w14:val="tx1"/>
            </w14:solidFill>
          </w14:textFill>
        </w:rPr>
        <w:t>包含且不限于《医疗器械注册管理办法》、《医疗器械唯一标识系统规则》。</w:t>
      </w:r>
    </w:p>
    <w:p w14:paraId="75E3B95E">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（二）项目基本概况介绍</w:t>
      </w:r>
      <w:r>
        <w:rPr>
          <w:rFonts w:hint="eastAsia" w:ascii="宋体" w:hAnsi="宋体" w:eastAsia="宋体" w:cs="宋体"/>
          <w:color w:val="000000" w:themeColor="text1"/>
          <w:sz w:val="21"/>
          <w:szCs w:val="21"/>
          <w:highlight w:val="none"/>
          <w14:textFill>
            <w14:solidFill>
              <w14:schemeClr w14:val="tx1"/>
            </w14:solidFill>
          </w14:textFill>
        </w:rPr>
        <w:t>（项目背景、项目需实现的功能或目标等）</w:t>
      </w:r>
    </w:p>
    <w:p w14:paraId="297DAF4E">
      <w:pPr>
        <w:widowControl/>
        <w:spacing w:after="0"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本项目设备</w:t>
      </w:r>
      <w:r>
        <w:rPr>
          <w:rFonts w:hint="eastAsia" w:ascii="宋体" w:hAnsi="宋体" w:eastAsia="宋体" w:cs="宋体"/>
          <w:color w:val="000000" w:themeColor="text1"/>
          <w:kern w:val="0"/>
          <w:sz w:val="21"/>
          <w:szCs w:val="21"/>
          <w:highlight w:val="none"/>
          <w14:textFill>
            <w14:solidFill>
              <w14:schemeClr w14:val="tx1"/>
            </w14:solidFill>
          </w14:textFill>
        </w:rPr>
        <w:t>用于全身各部位的影像检查，包括胸部、腹部、脊柱、四肢及关节等，适用于急诊、重症、骨科、儿科、老年患者及体检人群。其灵活的设计支持多种体位拍摄，如站立位全脊柱成像和负重位关节检查，能够满足不同临床需求。能够快速生成高分辨率图像，缩短患者等待时间，提高医院的整体诊疗效率。</w:t>
      </w:r>
    </w:p>
    <w:p w14:paraId="22E39E8C">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（三）参数要求</w:t>
      </w:r>
    </w:p>
    <w:p w14:paraId="2D743AAF">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1.用于头颅、脊柱、四肢、胸部、腹部等全身站立位和卧位拍摄的天轨悬吊臂结构（三维运动x轴、y轴、z轴），悬吊机架可实现自动运动，可电动切换机架的立位拍摄及卧位拍摄，并可实现一键自动摆位功能。 </w:t>
      </w:r>
    </w:p>
    <w:p w14:paraId="3CDD5D7F">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2.无线平板探测器</w:t>
      </w:r>
    </w:p>
    <w:p w14:paraId="217D1ED1">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▲2.1配备两块无线移动式平板探测器（型号相同），可交替置于胸片架和摄影床的平板托盘内，并可相互替换使用</w:t>
      </w:r>
    </w:p>
    <w:p w14:paraId="0C58D2F2">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2.2探测器尺寸≥17×17英寸</w:t>
      </w:r>
    </w:p>
    <w:p w14:paraId="3C6E4E9B">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2.3闪烁体类型：碘化铯（CsI）</w:t>
      </w:r>
    </w:p>
    <w:p w14:paraId="5B4D4734">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2.4半导体材料：非晶体硅（a-Si）</w:t>
      </w:r>
    </w:p>
    <w:p w14:paraId="20C69EA0">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2.5像素尺寸≤140um</w:t>
      </w:r>
    </w:p>
    <w:p w14:paraId="69801425">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2.6采集灰阶度≥15bits</w:t>
      </w:r>
    </w:p>
    <w:p w14:paraId="398D2C5C">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2.7空间分辨率≥3.5lp/mm</w:t>
      </w:r>
    </w:p>
    <w:p w14:paraId="5841424D">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2.8采集距阵≥3000×3000</w:t>
      </w:r>
    </w:p>
    <w:p w14:paraId="1AFC9315">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▲2.9平板探测器重量（含电池）≤4.0kg</w:t>
      </w:r>
    </w:p>
    <w:p w14:paraId="44B83BF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3.球管悬吊支架</w:t>
      </w:r>
    </w:p>
    <w:p w14:paraId="28D0D43B">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3.1吊架运动模式:电动+手动（双模式）</w:t>
      </w:r>
    </w:p>
    <w:p w14:paraId="3238E99E">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▲3.2球管组件垂直运动范围≥180cm</w:t>
      </w:r>
    </w:p>
    <w:p w14:paraId="3CB94CB7">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3.3球管架沿纵轴运动距离≥190cm</w:t>
      </w:r>
    </w:p>
    <w:p w14:paraId="544C3BE9">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3.4球管架沿横轴运动距离≥300cm</w:t>
      </w:r>
    </w:p>
    <w:p w14:paraId="24216AD0">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3.5球管套可沿垂直轴旋转≥-150°/+180°</w:t>
      </w:r>
    </w:p>
    <w:p w14:paraId="01F81482">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▲3.6球管套可沿水平轴旋转≥±135°</w:t>
      </w:r>
    </w:p>
    <w:p w14:paraId="603C87EF">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3.7具备立位及卧位拍摄时，球管与平板之间均可实现平行及斜位有角度的自动对中和跟随运动</w:t>
      </w:r>
    </w:p>
    <w:p w14:paraId="274EE5B1">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3.8具备悬吊支架可根据预设位置实现自动摆位功能</w:t>
      </w:r>
    </w:p>
    <w:p w14:paraId="1637EB34">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4.X线球管</w:t>
      </w:r>
    </w:p>
    <w:p w14:paraId="0B6240A2">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4.1球管最大功率≥80kW</w:t>
      </w:r>
    </w:p>
    <w:p w14:paraId="52CA3DF0">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4.2球管焦点≤0.6/1.2mm</w:t>
      </w:r>
    </w:p>
    <w:p w14:paraId="25D91C59">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▲4.3阳极热容量≥400kHU</w:t>
      </w:r>
    </w:p>
    <w:p w14:paraId="38198910">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4.4可通过LCD 显示缩光野的尺寸和源像距</w:t>
      </w:r>
    </w:p>
    <w:p w14:paraId="7D22BAE5">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4.5射线野控制模式:电动+手动（双模式）</w:t>
      </w:r>
    </w:p>
    <w:p w14:paraId="27E00745">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5.高压发生器</w:t>
      </w:r>
    </w:p>
    <w:p w14:paraId="5EBA8D7B">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5.1最大输出波纹频率≥500kHz</w:t>
      </w:r>
    </w:p>
    <w:p w14:paraId="4AD4860D">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▲5.2高压发生器功率≥80kW</w:t>
      </w:r>
    </w:p>
    <w:p w14:paraId="1BC70C24">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5.3管电压可调范围40～150kV</w:t>
      </w:r>
    </w:p>
    <w:p w14:paraId="519549D6">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5.4加载时间范围最小加载时间≤1ms，最大加载时间≥10s</w:t>
      </w:r>
    </w:p>
    <w:p w14:paraId="4AD58AD4">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5.5最大输出电流≥1000mA</w:t>
      </w:r>
    </w:p>
    <w:p w14:paraId="51E08969">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5.6最大电流时间积≥1000mAs</w:t>
      </w:r>
    </w:p>
    <w:p w14:paraId="1CD8B582">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5.7具备AEC自动曝光控制</w:t>
      </w:r>
    </w:p>
    <w:p w14:paraId="236E91B0">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5.8发生器的操作与控制系统完全与主机集成，在主机工作站上控制曝光</w:t>
      </w:r>
    </w:p>
    <w:p w14:paraId="3F153B11">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6.全自动摆位</w:t>
      </w:r>
    </w:p>
    <w:p w14:paraId="7693D77D">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具备全自动一键摆位功能包含200种以上的临床摆位应用，并可通过无线遥控器一键操作，各部件自动移动到所选摆位对应的拍摄位置(包括SID调整，球管高度和角度调整，探测器高度，光野大小调整)（投标文件中提供彩页证明此功能）</w:t>
      </w:r>
    </w:p>
    <w:p w14:paraId="37A838A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6.2具备支持一键实现球管打角度的斜投照摆位功能（如一键颈椎前后位、一键跟骨轴位）（投标文件中提供操作界面照片作为证明文件）</w:t>
      </w:r>
    </w:p>
    <w:p w14:paraId="258834C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7.胸片架</w:t>
      </w:r>
    </w:p>
    <w:p w14:paraId="1FF85E56">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▲7.1胸片架垂直运动行程≥150cm</w:t>
      </w:r>
    </w:p>
    <w:p w14:paraId="1D78DE6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7.2最大SID≥320cm</w:t>
      </w:r>
    </w:p>
    <w:p w14:paraId="68FE1607">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7.3胸片架运动模式：电动+手动（双模式）</w:t>
      </w:r>
    </w:p>
    <w:p w14:paraId="77D21513">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7.4片盒翻转角度范围：-20°-+90°</w:t>
      </w:r>
    </w:p>
    <w:p w14:paraId="3DFACAB5">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7.5平板支持在胸片架上的片盒内在线充电，直接接触式，无需插拔电缆，充电接触点在平板探测器侧面设计，非背面设计（投标文件中提供实物照片作为证明文件）。</w:t>
      </w:r>
    </w:p>
    <w:p w14:paraId="32BF0152">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7.6可隔室遥控胸片架垂直升降</w:t>
      </w:r>
    </w:p>
    <w:p w14:paraId="549065E1">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7.7自动曝光控制电离室，非软件式，非第三方加装物理AEC电离室</w:t>
      </w:r>
    </w:p>
    <w:p w14:paraId="4FCE950C">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7.8平板在线充电指示灯</w:t>
      </w:r>
    </w:p>
    <w:p w14:paraId="68E6D9DB">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7.9为保证胸片架稳定性，要求胸片盒与立柱连接支点位于胸片盒后方，非侧方的设计</w:t>
      </w:r>
    </w:p>
    <w:p w14:paraId="5C658246">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7.10可拆卸滤线栅，无需工具即可轻松取出</w:t>
      </w:r>
    </w:p>
    <w:p w14:paraId="0495F56D">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▲7.11胸片架平板盒中心离地最小距离≤33cm</w:t>
      </w:r>
    </w:p>
    <w:p w14:paraId="57875E1F">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8.球管侧近台操控系统</w:t>
      </w:r>
    </w:p>
    <w:p w14:paraId="343F0E57">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8.1具备近台操控彩色电容式触摸屏</w:t>
      </w:r>
    </w:p>
    <w:p w14:paraId="1CC04529">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8.2屏幕尺寸≥9英寸</w:t>
      </w:r>
    </w:p>
    <w:p w14:paraId="6D5B776D">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8.3屏幕显示可依据重力方向自动调整显示的方向</w:t>
      </w:r>
    </w:p>
    <w:p w14:paraId="6E35683B">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8.4可显示患者的详细登记信息、球管组件绕水平轴旋转角度、摆位引导图、SID数值</w:t>
      </w:r>
    </w:p>
    <w:p w14:paraId="036FFA2D">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8.5可调整曝光参数（kV，mA，mAs等）、部位选择、体型选择、束光器滤过组合、大小焦点快速切换</w:t>
      </w:r>
    </w:p>
    <w:p w14:paraId="635AE3C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8.6滤线栅状态提示（滤线栅有无，以及与当前APR是否匹配）</w:t>
      </w:r>
    </w:p>
    <w:p w14:paraId="6074ADB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8.7智能故障预判平台（可提供中文解决方案，非代码）</w:t>
      </w:r>
    </w:p>
    <w:p w14:paraId="54301CE3">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9.电动升降摄影床</w:t>
      </w:r>
    </w:p>
    <w:p w14:paraId="1CFAA1D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▲9.1最低床面高度≤50cm</w:t>
      </w:r>
    </w:p>
    <w:p w14:paraId="1F16048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9.2床面板外形尺寸≥830mm*2200mm</w:t>
      </w:r>
    </w:p>
    <w:p w14:paraId="7AECDC97">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9.3床面纵向移动范围≥±12cm</w:t>
      </w:r>
    </w:p>
    <w:p w14:paraId="01BE714D">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9.4床面最大承重≥250kg</w:t>
      </w:r>
    </w:p>
    <w:p w14:paraId="0DC3A0E2">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9.5平板托盘运动模式电动+手动（双模式）</w:t>
      </w:r>
    </w:p>
    <w:p w14:paraId="5B214D3E">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▲9.6平板托盘移动范围≥650mm（提供第三方检测机构出具的检测报告或医疗器械注册证中附件有显示此功能）</w:t>
      </w:r>
    </w:p>
    <w:p w14:paraId="5220C15E">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9.7平板支持在摄影床下的托盘内在线充电，直接接触式，无需插拔电缆，充电接触点在平板探测器侧面设计，非背面设计（投标文件中提供实物照片作为证明文件）。</w:t>
      </w:r>
    </w:p>
    <w:p w14:paraId="60C49BA1">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9.8可拆卸滤线栅，无需工具即可轻松取出</w:t>
      </w:r>
    </w:p>
    <w:p w14:paraId="37DCC779">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无线远程遥控器</w:t>
      </w:r>
    </w:p>
    <w:p w14:paraId="34F5AD38">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10.1可遥控胸片架电动升降</w:t>
      </w:r>
    </w:p>
    <w:p w14:paraId="6821A494">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10.2可遥控限束器光野控制</w:t>
      </w:r>
    </w:p>
    <w:p w14:paraId="45888243">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10.3供电电池类型：锂电池</w:t>
      </w:r>
    </w:p>
    <w:p w14:paraId="158004A8">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10.4待机时间≥8小时</w:t>
      </w:r>
    </w:p>
    <w:p w14:paraId="07068E62">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10.5充电形式：无线电磁感应式</w:t>
      </w:r>
    </w:p>
    <w:p w14:paraId="54DF46E1">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10.6控制类型：无线射频遥控，非红外式</w:t>
      </w:r>
    </w:p>
    <w:p w14:paraId="450E9B9B">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11.系统操作台</w:t>
      </w:r>
    </w:p>
    <w:p w14:paraId="590AC46B">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11.1主机工作站操作台内存≥16GB</w:t>
      </w:r>
    </w:p>
    <w:p w14:paraId="7ABE5F7C">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11.2主机工作站操作台硬盘≥1TB</w:t>
      </w:r>
    </w:p>
    <w:p w14:paraId="18D0D827">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11.3图像文件存储容量≥20000幅</w:t>
      </w:r>
    </w:p>
    <w:p w14:paraId="393DD513">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11.4采集工作站图文影像输出设备尺寸≥22英寸</w:t>
      </w:r>
    </w:p>
    <w:p w14:paraId="243DA4F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11.5采集工作站图文影像输出设备分辨率≥1920×1200</w:t>
      </w:r>
    </w:p>
    <w:p w14:paraId="5473780C">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11.6对比度≥1000：1</w:t>
      </w:r>
    </w:p>
    <w:p w14:paraId="223628DC">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11.7支持实时显示患者摆位的视频画面</w:t>
      </w:r>
    </w:p>
    <w:p w14:paraId="529520DD">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11.8采集工作站操作台界面支持隔室光野范围调整</w:t>
      </w:r>
    </w:p>
    <w:p w14:paraId="29B90BF9">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11.9操作界面支持实时AEC区域及激活状态显示</w:t>
      </w:r>
    </w:p>
    <w:p w14:paraId="50074C2E">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11.10支持实时显示与检索患者信息；支持患者拍摄摆位指示图；支持自定义患者列表显示；支持检查不同状态显示与排序；支持显示球管热容量状态百分比、平板探测器电量百分比</w:t>
      </w:r>
    </w:p>
    <w:p w14:paraId="03A346A7">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11.11支持患者、检查、序列、图像四级数据库信息管理；支持按照器官进行摄影检查；支持预定义拍摄参数与后期调整</w:t>
      </w:r>
    </w:p>
    <w:p w14:paraId="03998C2F">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11.12根据年龄自动匹配成人或儿童拍摄协议（投标文件中提供操作界面照片作为证明文件）</w:t>
      </w:r>
    </w:p>
    <w:p w14:paraId="067F8703">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11.13支持灰度处理与LUT调整；支持显示并调整灰阶直方图和输入输出曲线的相应关系；支持显示并调整组织均衡和噪声抑制等频率；支持按照限束器边界自动裁剪图像感兴趣区</w:t>
      </w:r>
    </w:p>
    <w:p w14:paraId="5F24FB66">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11.14图像基本后处理功能，如图像预览、缩放、窗宽/窗位调整、标注、反色、翻转、旋转、输入文本、长度测量及校正、裁剪功能、感兴趣区域及角度测量</w:t>
      </w:r>
    </w:p>
    <w:p w14:paraId="78B6D190">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11.15支持原厂语音对讲功能以及多语音提示录播功能</w:t>
      </w:r>
    </w:p>
    <w:p w14:paraId="3F050B6F">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11.16支持DICOM3.0，包括：DICOM Send, DICOM Print, DICOM Storage commitment, DICOM Query/Retrieve</w:t>
      </w:r>
    </w:p>
    <w:p w14:paraId="7B18DEE1">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DICOM Worklist/MPPS</w:t>
      </w:r>
    </w:p>
    <w:p w14:paraId="2FC32362">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11.17投标产品所属整机制造商必须取得《计算机软件著作权登记证书》,并提供相关证书证明材料</w:t>
      </w:r>
    </w:p>
    <w:p w14:paraId="782871EF">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12.全长骨拼接功能</w:t>
      </w:r>
    </w:p>
    <w:p w14:paraId="06B3941E">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▲12.1具备设备整机原厂全自动长骨拼接功能（自动拍摄，自动拼接，非手动拼接，无需多次进入检查室）</w:t>
      </w:r>
    </w:p>
    <w:p w14:paraId="5A878A76">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12.2立位拼接最大拍摄范围≥140cm</w:t>
      </w:r>
    </w:p>
    <w:p w14:paraId="07A0E9C7">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12.3卧位拼接最大拍摄范围≥100cm</w:t>
      </w:r>
    </w:p>
    <w:p w14:paraId="75436519">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13.智能质控软件包</w:t>
      </w:r>
    </w:p>
    <w:p w14:paraId="144DD9DA">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13.1智能质控模块会自动根据图像特征来判读，对图像进行质控分析，并及时提示操作人员及时干预处理，以提高拍摄图像质量（提供厂家出具的盖章版证明文件）</w:t>
      </w:r>
    </w:p>
    <w:p w14:paraId="7EEA5C56">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13.2智能质控项检测点数目≥4，如：中线偏移识别和提示、肩胛骨未打开识别和提示、非医源性异物进行智能识别和提示、肺野不全识别和提示（提供厂家出具的盖章版证明文件）</w:t>
      </w:r>
    </w:p>
    <w:p w14:paraId="109E977C">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13.3可对整体拍片质量进行系统分析质控问题，提供回顾式质控管理工具，自动输出质控报告，便于科室管理人员更全面了解拍片质量（提供厂家出具的盖章版证明文件）</w:t>
      </w:r>
    </w:p>
    <w:p w14:paraId="1CDC5267">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14.智能辅助摄像头</w:t>
      </w:r>
    </w:p>
    <w:p w14:paraId="7D97B738">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14.1球管侧具备摄像头装置，支持在采集工作站上实时显示患者摆位的实时视频画面</w:t>
      </w:r>
    </w:p>
    <w:p w14:paraId="29BEE158">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14.2支持在采集工作站上基于摄像头采集的实时视频影像隔室调整拍片的光野范围（即在实时视频画面里直接调整光野大小，投标文件中提供彩页证明此功能）</w:t>
      </w:r>
    </w:p>
    <w:p w14:paraId="2CA22CA3">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14.3支持在采集工作站上实时查看AEC激活状态及拍摄部位对电离室的覆盖情况</w:t>
      </w:r>
    </w:p>
    <w:p w14:paraId="4B370D2E">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▲14.4支持基于摄像头在采集工作站上画面上FOV实时进行无极调节（投标文件中提供彩页证明此功能）</w:t>
      </w:r>
    </w:p>
    <w:p w14:paraId="49E662E6">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152AD244">
      <w:pPr>
        <w:widowControl/>
        <w:tabs>
          <w:tab w:val="left" w:pos="420"/>
        </w:tabs>
        <w:spacing w:after="0" w:line="240" w:lineRule="auto"/>
        <w:rPr>
          <w:rStyle w:val="26"/>
          <w:rFonts w:hint="eastAsia" w:ascii="宋体" w:hAnsi="宋体" w:eastAsia="宋体" w:cs="宋体"/>
          <w:b w:val="0"/>
          <w:bCs/>
          <w:color w:val="000000" w:themeColor="text1"/>
          <w:sz w:val="21"/>
          <w:szCs w:val="21"/>
          <w:highlight w:val="none"/>
          <w:shd w:val="clear" w:color="auto" w:fill="FDFDFE"/>
          <w14:textFill>
            <w14:solidFill>
              <w14:schemeClr w14:val="tx1"/>
            </w14:solidFill>
          </w14:textFill>
        </w:rPr>
      </w:pPr>
      <w:r>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t>（四）配置清单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992"/>
        <w:gridCol w:w="993"/>
      </w:tblGrid>
      <w:tr w14:paraId="56CC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3E02477">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3827" w:type="dxa"/>
            <w:vAlign w:val="center"/>
          </w:tcPr>
          <w:p w14:paraId="7C1FBBC9">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配置名称</w:t>
            </w:r>
          </w:p>
        </w:tc>
        <w:tc>
          <w:tcPr>
            <w:tcW w:w="992" w:type="dxa"/>
            <w:vAlign w:val="center"/>
          </w:tcPr>
          <w:p w14:paraId="6040192C">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993" w:type="dxa"/>
            <w:vAlign w:val="center"/>
          </w:tcPr>
          <w:p w14:paraId="660AB092">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r>
      <w:tr w14:paraId="744D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C60BC9">
            <w:pPr>
              <w:widowControl/>
              <w:spacing w:after="0"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827" w:type="dxa"/>
            <w:vAlign w:val="center"/>
          </w:tcPr>
          <w:p w14:paraId="548A24DB">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无线平板探测器</w:t>
            </w:r>
          </w:p>
        </w:tc>
        <w:tc>
          <w:tcPr>
            <w:tcW w:w="992" w:type="dxa"/>
            <w:vAlign w:val="center"/>
          </w:tcPr>
          <w:p w14:paraId="26EBE934">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993" w:type="dxa"/>
            <w:vAlign w:val="center"/>
          </w:tcPr>
          <w:p w14:paraId="081A6A8D">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块</w:t>
            </w:r>
          </w:p>
        </w:tc>
      </w:tr>
      <w:tr w14:paraId="4CFE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F1A78ED">
            <w:pPr>
              <w:widowControl/>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827" w:type="dxa"/>
            <w:vAlign w:val="center"/>
          </w:tcPr>
          <w:p w14:paraId="182BD2B3">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球管悬吊支架</w:t>
            </w:r>
          </w:p>
        </w:tc>
        <w:tc>
          <w:tcPr>
            <w:tcW w:w="992" w:type="dxa"/>
            <w:vAlign w:val="center"/>
          </w:tcPr>
          <w:p w14:paraId="38199EB1">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79DA0AFA">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49DB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3F7EC6A">
            <w:pPr>
              <w:widowControl/>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827" w:type="dxa"/>
            <w:vAlign w:val="center"/>
          </w:tcPr>
          <w:p w14:paraId="0F62DAC2">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X线球管</w:t>
            </w:r>
          </w:p>
        </w:tc>
        <w:tc>
          <w:tcPr>
            <w:tcW w:w="992" w:type="dxa"/>
            <w:vAlign w:val="center"/>
          </w:tcPr>
          <w:p w14:paraId="6E8DDB44">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4863F058">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7FE1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CE5EBD">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3827" w:type="dxa"/>
            <w:vAlign w:val="center"/>
          </w:tcPr>
          <w:p w14:paraId="10EE58AB">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高压发生器</w:t>
            </w:r>
          </w:p>
        </w:tc>
        <w:tc>
          <w:tcPr>
            <w:tcW w:w="992" w:type="dxa"/>
            <w:vAlign w:val="center"/>
          </w:tcPr>
          <w:p w14:paraId="3BB53EA3">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51F23E81">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45A0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6D7CE5D">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3827" w:type="dxa"/>
            <w:vAlign w:val="center"/>
          </w:tcPr>
          <w:p w14:paraId="2E5A469C">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胸片架</w:t>
            </w:r>
          </w:p>
        </w:tc>
        <w:tc>
          <w:tcPr>
            <w:tcW w:w="992" w:type="dxa"/>
            <w:vAlign w:val="center"/>
          </w:tcPr>
          <w:p w14:paraId="0B5A6B72">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7722F404">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5886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E0ED886">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3827" w:type="dxa"/>
            <w:vAlign w:val="center"/>
          </w:tcPr>
          <w:p w14:paraId="2372A7D1">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自动束光器</w:t>
            </w:r>
          </w:p>
        </w:tc>
        <w:tc>
          <w:tcPr>
            <w:tcW w:w="992" w:type="dxa"/>
            <w:vAlign w:val="center"/>
          </w:tcPr>
          <w:p w14:paraId="20E15824">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25430BA7">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0E0B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B28A62A">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3827" w:type="dxa"/>
            <w:vAlign w:val="center"/>
          </w:tcPr>
          <w:p w14:paraId="14CF25FE">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系统控制及影像采集工作站</w:t>
            </w:r>
          </w:p>
        </w:tc>
        <w:tc>
          <w:tcPr>
            <w:tcW w:w="992" w:type="dxa"/>
            <w:vAlign w:val="center"/>
          </w:tcPr>
          <w:p w14:paraId="6278A9E6">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325BD1F8">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3752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CA01DEF">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3827" w:type="dxa"/>
            <w:vAlign w:val="center"/>
          </w:tcPr>
          <w:p w14:paraId="46F117B6">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电动升降摄影床</w:t>
            </w:r>
          </w:p>
        </w:tc>
        <w:tc>
          <w:tcPr>
            <w:tcW w:w="992" w:type="dxa"/>
            <w:vAlign w:val="center"/>
          </w:tcPr>
          <w:p w14:paraId="1EF93509">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708FAB73">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r>
      <w:tr w14:paraId="18C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3A29B7C">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3827" w:type="dxa"/>
            <w:vAlign w:val="center"/>
          </w:tcPr>
          <w:p w14:paraId="09913CEF">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近台触控屏</w:t>
            </w:r>
          </w:p>
        </w:tc>
        <w:tc>
          <w:tcPr>
            <w:tcW w:w="992" w:type="dxa"/>
            <w:vAlign w:val="center"/>
          </w:tcPr>
          <w:p w14:paraId="059D5AF6">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38A0B7DD">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2A6A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3163634">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827" w:type="dxa"/>
            <w:vAlign w:val="center"/>
          </w:tcPr>
          <w:p w14:paraId="273FE4F2">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无线遥控器</w:t>
            </w:r>
          </w:p>
        </w:tc>
        <w:tc>
          <w:tcPr>
            <w:tcW w:w="992" w:type="dxa"/>
            <w:vAlign w:val="center"/>
          </w:tcPr>
          <w:p w14:paraId="22F9B0C5">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6684FF79">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1008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456837A">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3827" w:type="dxa"/>
            <w:vAlign w:val="center"/>
          </w:tcPr>
          <w:p w14:paraId="62BB6685">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标准DICOM软件包</w:t>
            </w:r>
          </w:p>
        </w:tc>
        <w:tc>
          <w:tcPr>
            <w:tcW w:w="992" w:type="dxa"/>
            <w:vAlign w:val="center"/>
          </w:tcPr>
          <w:p w14:paraId="4094CBEC">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1D429E18">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7C55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7E475B4">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3827" w:type="dxa"/>
            <w:vAlign w:val="center"/>
          </w:tcPr>
          <w:p w14:paraId="2EB20668">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全自动摆位功能</w:t>
            </w:r>
          </w:p>
        </w:tc>
        <w:tc>
          <w:tcPr>
            <w:tcW w:w="992" w:type="dxa"/>
            <w:vAlign w:val="center"/>
          </w:tcPr>
          <w:p w14:paraId="031FEAAA">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16ADF989">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14:paraId="1AA7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E735528">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3827" w:type="dxa"/>
            <w:vAlign w:val="center"/>
          </w:tcPr>
          <w:p w14:paraId="22735876">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全长骨拼接功能</w:t>
            </w:r>
          </w:p>
        </w:tc>
        <w:tc>
          <w:tcPr>
            <w:tcW w:w="992" w:type="dxa"/>
            <w:vAlign w:val="center"/>
          </w:tcPr>
          <w:p w14:paraId="72713D8B">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1F020B6F">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14:paraId="7A3B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69EADC6">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3827" w:type="dxa"/>
            <w:vAlign w:val="center"/>
          </w:tcPr>
          <w:p w14:paraId="3397BD86">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智能质控软件包</w:t>
            </w:r>
          </w:p>
        </w:tc>
        <w:tc>
          <w:tcPr>
            <w:tcW w:w="992" w:type="dxa"/>
            <w:vAlign w:val="center"/>
          </w:tcPr>
          <w:p w14:paraId="6DD943D3">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293A66A6">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14:paraId="378F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A111633">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3827" w:type="dxa"/>
            <w:vAlign w:val="center"/>
          </w:tcPr>
          <w:p w14:paraId="6CEE4DBA">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智能辅助摄像头</w:t>
            </w:r>
          </w:p>
        </w:tc>
        <w:tc>
          <w:tcPr>
            <w:tcW w:w="992" w:type="dxa"/>
            <w:vAlign w:val="center"/>
          </w:tcPr>
          <w:p w14:paraId="4A43633B">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1C61CB7A">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24EA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21922FD">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3827" w:type="dxa"/>
            <w:vAlign w:val="center"/>
          </w:tcPr>
          <w:p w14:paraId="302B412E">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防护用品成人、儿童各一套</w:t>
            </w:r>
          </w:p>
        </w:tc>
        <w:tc>
          <w:tcPr>
            <w:tcW w:w="992" w:type="dxa"/>
            <w:vAlign w:val="center"/>
          </w:tcPr>
          <w:p w14:paraId="017110FE">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14:paraId="22824C89">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bl>
    <w:p w14:paraId="3A8803F3">
      <w:pPr>
        <w:pStyle w:val="2"/>
        <w:spacing w:after="0" w:line="240" w:lineRule="auto"/>
        <w:ind w:firstLine="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（五）质保期及售后服务要求</w:t>
      </w:r>
    </w:p>
    <w:p w14:paraId="297DB52F">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1.提供至少6年的免费质保服务，包括设备故障维修、软件升级等。</w:t>
      </w:r>
    </w:p>
    <w:p w14:paraId="17BE6616">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2.成交后设立24小时客服热线，确保在设备使用过程中能够及时解决各类问题。</w:t>
      </w:r>
    </w:p>
    <w:p w14:paraId="48100EE3">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3.提供每季度至少一次的设备巡检和维护服务，确保设备长期稳定运行。</w:t>
      </w:r>
    </w:p>
    <w:p w14:paraId="5FE7B3E6">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4.提供完善的培训和技术支持服务，确保医护人员能够熟练掌握设备操作。</w:t>
      </w:r>
    </w:p>
    <w:p w14:paraId="462552D7">
      <w:pPr>
        <w:pStyle w:val="2"/>
        <w:spacing w:after="0" w:line="240" w:lineRule="auto"/>
        <w:ind w:firstLine="0"/>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（六）基本要求</w:t>
      </w:r>
    </w:p>
    <w:p w14:paraId="1D7C8EEC">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★1.所投设备具有有效的医疗器械注册证明（如国家有相关规定）。</w:t>
      </w:r>
    </w:p>
    <w:p w14:paraId="0341636B">
      <w:pPr>
        <w:spacing w:after="0"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▲2.如投标人为代理经销商，应提供制造商对所投产品的合法授权函。</w:t>
      </w:r>
    </w:p>
    <w:p w14:paraId="2CD0B6E4">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（七）其他要求</w:t>
      </w:r>
    </w:p>
    <w:p w14:paraId="7C83FB94">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投标文件中应提供项目实施方案、售后服务方案、培训方案等。</w:t>
      </w:r>
    </w:p>
    <w:p w14:paraId="21A47F99">
      <w:pPr>
        <w:pStyle w:val="2"/>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14:paraId="1BFF459D">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二、交货要求</w:t>
      </w:r>
    </w:p>
    <w:p w14:paraId="3521C4CF">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（一）交货期：合同签订后收到采购人供货通知后30日历天内交货、安装、调试。</w:t>
      </w:r>
    </w:p>
    <w:p w14:paraId="4CFC2D5E">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（二）交货地点：广州市第一人民医院（采购人指定地点）。中标人需按有关标准提供货物的包装，并采用恰当的方式将货物运抵交货地点。</w:t>
      </w:r>
    </w:p>
    <w:p w14:paraId="63FF1031">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247A7C06">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三、包装、运输及到货检验</w:t>
      </w:r>
    </w:p>
    <w:p w14:paraId="3D37F794">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1.设备需由原厂包装，包装箱内需有下列随箱资料：产品合格证（包括出厂试验数据）、产品使用说明书、随箱清单等。</w:t>
      </w:r>
    </w:p>
    <w:p w14:paraId="0DAE7BF0">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2.中标人负责所有设备从出厂到安装现场的运输。</w:t>
      </w:r>
    </w:p>
    <w:p w14:paraId="18C28E74">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4EFDF361">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43ABAB3F">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四、安装调试要求</w:t>
      </w:r>
    </w:p>
    <w:p w14:paraId="7E83D42F">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1.安装和调试应由具备相应资质和能力的专业技术人员执行，确保设备的正确安装和功能的正常发挥。</w:t>
      </w:r>
    </w:p>
    <w:p w14:paraId="2F364794">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2.安装前应确保产品名称、型号、规格、生产企业信息、医疗器械注册证编号等信息明确无误。</w:t>
      </w:r>
    </w:p>
    <w:p w14:paraId="37DB97CF">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3.在安装和调试过程中，必须遵守相应的操作规程和标准，以确保过程的准确性和可靠性。</w:t>
      </w:r>
    </w:p>
    <w:p w14:paraId="3D7A4CDA">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4.在验收过程中，应有详细的报告记录测试和调试的结果，确保所有功能都符合规定的要求。</w:t>
      </w:r>
    </w:p>
    <w:p w14:paraId="5D18F29C">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6953CC46">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五、验收要求和验收标准</w:t>
      </w:r>
    </w:p>
    <w:p w14:paraId="1905A3E2">
      <w:pPr>
        <w:spacing w:after="0" w:line="240" w:lineRule="auto"/>
        <w:jc w:val="left"/>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14:paraId="3323318E">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3CAE6E19">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六、培训要求</w:t>
      </w:r>
    </w:p>
    <w:p w14:paraId="4F75581D">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1.须提供设备使用维护培训，使采购人使用人员能掌握设备的结构原理、检修方法与操作要点。</w:t>
      </w:r>
    </w:p>
    <w:p w14:paraId="559DE2F1">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2.培训应包括医疗设备的安全使用知识，包括设备的使用期限、禁忌、注意事项等。</w:t>
      </w:r>
    </w:p>
    <w:p w14:paraId="099E70B3">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3.培训内容应涵盖设备的维护和保养方法，以及特殊运输、贮存的条件和方法。</w:t>
      </w:r>
    </w:p>
    <w:p w14:paraId="117773E1">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4.培训应包括设备故障和问题应急处理，以便在紧急情况下能够迅速有效地采取措施。</w:t>
      </w:r>
    </w:p>
    <w:p w14:paraId="5EEEE631">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5.培训应包括对医疗器械质量控制的理解和实践，确保设备在使用过程中的质量和性能。</w:t>
      </w:r>
    </w:p>
    <w:p w14:paraId="1C71B4F9">
      <w:pPr>
        <w:spacing w:after="0" w:line="240"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0B4CC0D7">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14:paraId="4EA62E2E">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1期：支付比例40%,1.合同的款项以人民币转账方式支付。若属国库支付项目的，其支付时间按财政部相关规定执行。 2.签订合同之日起5个工作日内凭合同40%发票由采购人向中标人支付40%合同款；</w:t>
      </w:r>
    </w:p>
    <w:p w14:paraId="32979121">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期：支付比例60%,3.合同设备全部到指定地点交付并完成安装及验收后，中标人凭（1）送货单；（2）合同剩余60%发票；（3）安装验收报告，由采购人在收到发票后5个工作日内支付60%合同款给中标人。4.付款方式：银行转账。</w:t>
      </w:r>
    </w:p>
    <w:p w14:paraId="0561A7BB">
      <w:pPr>
        <w:rPr>
          <w:rFonts w:hint="eastAsia" w:ascii="宋体" w:hAnsi="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br w:type="page"/>
      </w:r>
    </w:p>
    <w:p w14:paraId="748CAB63">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8A8907A">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CE51905">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BEAF521">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F418CC7">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109A3FF0">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7C6B5C4">
      <w:pPr>
        <w:spacing w:line="30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第二部分</w:t>
      </w:r>
      <w:r>
        <w:rPr>
          <w:rFonts w:hint="eastAsia" w:ascii="宋体" w:hAnsi="宋体"/>
          <w:b/>
          <w:color w:val="000000" w:themeColor="text1"/>
          <w:sz w:val="48"/>
          <w:szCs w:val="48"/>
          <w:highlight w:val="none"/>
          <w14:textFill>
            <w14:solidFill>
              <w14:schemeClr w14:val="tx1"/>
            </w14:solidFill>
          </w14:textFill>
        </w:rPr>
        <w:t>、补充附件</w:t>
      </w:r>
    </w:p>
    <w:p w14:paraId="5E2D6E37">
      <w:pPr>
        <w:spacing w:line="30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注：以下部分的附件应后附在投标文件中，作为投标文件的一部分。</w:t>
      </w:r>
    </w:p>
    <w:p w14:paraId="5F47F7EC">
      <w:pPr>
        <w:spacing w:line="300" w:lineRule="auto"/>
        <w:rPr>
          <w:rFonts w:ascii="宋体" w:hAnsi="宋体"/>
          <w:b/>
          <w:color w:val="000000" w:themeColor="text1"/>
          <w:sz w:val="24"/>
          <w:szCs w:val="24"/>
          <w:highlight w:val="none"/>
          <w14:textFill>
            <w14:solidFill>
              <w14:schemeClr w14:val="tx1"/>
            </w14:solidFill>
          </w14:textFill>
        </w:rPr>
      </w:pPr>
    </w:p>
    <w:p w14:paraId="6F1FBDC8">
      <w:pPr>
        <w:outlineLvl w:val="1"/>
        <w:rPr>
          <w:rFonts w:hint="eastAsia" w:ascii="宋体" w:hAnsi="宋体" w:eastAsia="宋体" w:cs="宋体"/>
          <w:b/>
          <w:color w:val="000000" w:themeColor="text1"/>
          <w:sz w:val="28"/>
          <w:szCs w:val="28"/>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附件一、</w:t>
      </w:r>
      <w:bookmarkStart w:id="7" w:name="_Toc435514855"/>
      <w:bookmarkStart w:id="8" w:name="_Toc275865606"/>
      <w:bookmarkStart w:id="9" w:name="_Toc435515295"/>
      <w:r>
        <w:rPr>
          <w:rFonts w:hint="eastAsia" w:ascii="宋体" w:hAnsi="宋体" w:eastAsia="宋体" w:cs="宋体"/>
          <w:b/>
          <w:color w:val="000000" w:themeColor="text1"/>
          <w:sz w:val="28"/>
          <w:szCs w:val="28"/>
          <w14:textFill>
            <w14:solidFill>
              <w14:schemeClr w14:val="tx1"/>
            </w14:solidFill>
          </w14:textFill>
        </w:rPr>
        <w:t>资格文件</w:t>
      </w:r>
    </w:p>
    <w:p w14:paraId="4D3E7121">
      <w:pPr>
        <w:outlineLvl w:val="1"/>
        <w:rPr>
          <w:rFonts w:hint="eastAsia" w:ascii="宋体" w:hAnsi="宋体" w:eastAsia="宋体" w:cs="宋体"/>
          <w:b/>
          <w:color w:val="000000" w:themeColor="text1"/>
          <w:szCs w:val="21"/>
          <w:lang w:val="en-US" w:eastAsia="zh-CN"/>
          <w14:textFill>
            <w14:solidFill>
              <w14:schemeClr w14:val="tx1"/>
            </w14:solidFill>
          </w14:textFill>
        </w:rPr>
      </w:pPr>
    </w:p>
    <w:p w14:paraId="0FB7443F">
      <w:pP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1.1</w:t>
      </w:r>
      <w:r>
        <w:rPr>
          <w:rFonts w:hint="eastAsia" w:ascii="宋体" w:hAnsi="宋体" w:eastAsia="宋体" w:cs="宋体"/>
          <w:b/>
          <w:color w:val="000000" w:themeColor="text1"/>
          <w:szCs w:val="21"/>
          <w14:textFill>
            <w14:solidFill>
              <w14:schemeClr w14:val="tx1"/>
            </w14:solidFill>
          </w14:textFill>
        </w:rPr>
        <w:t>投标人资格声明函</w:t>
      </w:r>
      <w:bookmarkEnd w:id="7"/>
      <w:bookmarkEnd w:id="8"/>
      <w:bookmarkEnd w:id="9"/>
    </w:p>
    <w:p w14:paraId="09404081">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p>
    <w:p w14:paraId="15F5002E">
      <w:pPr>
        <w:adjustRightInd w:val="0"/>
        <w:snapToGrid w:val="0"/>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国义招标股份有限公司</w:t>
      </w:r>
      <w:r>
        <w:rPr>
          <w:rFonts w:hint="eastAsia" w:ascii="宋体" w:hAnsi="宋体" w:eastAsia="宋体" w:cs="宋体"/>
          <w:b/>
          <w:color w:val="000000" w:themeColor="text1"/>
          <w:szCs w:val="21"/>
          <w:lang w:eastAsia="zh-CN"/>
          <w14:textFill>
            <w14:solidFill>
              <w14:schemeClr w14:val="tx1"/>
            </w14:solidFill>
          </w14:textFill>
        </w:rPr>
        <w:t>：</w:t>
      </w:r>
    </w:p>
    <w:p w14:paraId="168DF35B">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关于贵公司</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日发布</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项目（项目编号：0724-XXXXXXXX）的采购公告，本公司（企业）愿意参加投标，并声明：</w:t>
      </w:r>
    </w:p>
    <w:p w14:paraId="5B9AD564">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(1)本公司（企业）具备《中华人民共和国政府采购法》第二十二条资格条件，并已清楚招标文件的要求及有关文件规定。</w:t>
      </w:r>
    </w:p>
    <w:p w14:paraId="4410A821">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(2)本公司（企业）具有良好的商业信誉和健全的财务会计制度</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有依法缴纳税收和社会保障资金的良好记录</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具有履行合同所必需的设备和专业技术能力，且本公司（企业）参加政府采购活动前3年内在经营活动中没有重大违法记录。否则，由此所造成的损失、不良后果及法律责任，一律由我公司（企业）承担。</w:t>
      </w:r>
    </w:p>
    <w:p w14:paraId="53910E11">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4FC11F84">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(4)经核实，本公司不存在以下情况：单位负责人为同一人或者存在直接控股、管理关系的不同供应商，参加同一合同项下的政府采购活动。</w:t>
      </w:r>
    </w:p>
    <w:p w14:paraId="3B928D5C">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 经核实，本公司不存在以下情况：为采购项目提供整体设计、规范编制或者项目管理、监理、检测等服务的供应商，再参加该采购项目的其他采购活动。</w:t>
      </w:r>
    </w:p>
    <w:p w14:paraId="4DB34063">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（6）本公司不属于联合体投标，承诺如果中标不分包转包。</w:t>
      </w:r>
    </w:p>
    <w:p w14:paraId="691ABAB6">
      <w:pPr>
        <w:adjustRightInd w:val="0"/>
        <w:snapToGrid w:val="0"/>
        <w:spacing w:line="360" w:lineRule="auto"/>
        <w:ind w:firstLine="444" w:firstLineChars="202"/>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本公司</w:t>
      </w:r>
      <w:r>
        <w:rPr>
          <w:rFonts w:hint="eastAsia" w:ascii="宋体" w:hAnsi="宋体" w:eastAsia="宋体" w:cs="宋体"/>
          <w:color w:val="000000" w:themeColor="text1"/>
          <w:highlight w:val="none"/>
          <w:lang w:eastAsia="zh-CN"/>
          <w14:textFill>
            <w14:solidFill>
              <w14:schemeClr w14:val="tx1"/>
            </w14:solidFill>
          </w14:textFill>
        </w:rPr>
        <w:t>符合法律、行政法规规定的其他条件。</w:t>
      </w:r>
    </w:p>
    <w:p w14:paraId="4D69099A">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本次招标采购活动中，本单位保证全部投标文件和问题的回答是真实和有效的，并对所提供资料的真实性和正确性承担法律责任。</w:t>
      </w:r>
    </w:p>
    <w:p w14:paraId="02EC4135">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如有违法、违规、弄虚作假行为，所造成的损失、不良后果及法律责任，一律由我公司（企业）承担。</w:t>
      </w:r>
    </w:p>
    <w:p w14:paraId="2DA31208">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特此声明！</w:t>
      </w:r>
    </w:p>
    <w:p w14:paraId="4683043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附件：</w:t>
      </w:r>
    </w:p>
    <w:p w14:paraId="4C99F5C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企业股东构成情况表</w:t>
      </w:r>
    </w:p>
    <w:p w14:paraId="461E50D0">
      <w:pPr>
        <w:adjustRightInd w:val="0"/>
        <w:snapToGrid w:val="0"/>
        <w:rPr>
          <w:rFonts w:hint="eastAsia" w:ascii="宋体" w:hAnsi="宋体" w:eastAsia="宋体" w:cs="宋体"/>
          <w:color w:val="000000" w:themeColor="text1"/>
          <w:szCs w:val="21"/>
          <w14:textFill>
            <w14:solidFill>
              <w14:schemeClr w14:val="tx1"/>
            </w14:solidFill>
          </w14:textFill>
        </w:rPr>
      </w:pPr>
    </w:p>
    <w:p w14:paraId="1BEAF9A4">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投标人法定代表人（或法定代表人授权代表）签字：</w:t>
      </w:r>
      <w:r>
        <w:rPr>
          <w:rFonts w:hint="eastAsia" w:ascii="宋体" w:hAnsi="宋体" w:eastAsia="宋体" w:cs="宋体"/>
          <w:color w:val="000000" w:themeColor="text1"/>
          <w:szCs w:val="21"/>
          <w:u w:val="single"/>
          <w14:textFill>
            <w14:solidFill>
              <w14:schemeClr w14:val="tx1"/>
            </w14:solidFill>
          </w14:textFill>
        </w:rPr>
        <w:t xml:space="preserve">                   </w:t>
      </w:r>
    </w:p>
    <w:p w14:paraId="6F17EF8B">
      <w:pPr>
        <w:adjustRightInd w:val="0"/>
        <w:snapToGrid w:val="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投标人名称（加盖公章）：</w:t>
      </w:r>
      <w:r>
        <w:rPr>
          <w:rFonts w:hint="eastAsia" w:ascii="宋体" w:hAnsi="宋体" w:eastAsia="宋体" w:cs="宋体"/>
          <w:color w:val="000000" w:themeColor="text1"/>
          <w:szCs w:val="21"/>
          <w:u w:val="single"/>
          <w14:textFill>
            <w14:solidFill>
              <w14:schemeClr w14:val="tx1"/>
            </w14:solidFill>
          </w14:textFill>
        </w:rPr>
        <w:t xml:space="preserve">                        </w:t>
      </w:r>
    </w:p>
    <w:p w14:paraId="62EC4CEE">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日</w:t>
      </w:r>
    </w:p>
    <w:p w14:paraId="17AECCA8">
      <w:pPr>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企业股东构成情况表</w:t>
      </w:r>
    </w:p>
    <w:p w14:paraId="0305EF9C">
      <w:pPr>
        <w:jc w:val="left"/>
        <w:rPr>
          <w:rFonts w:hint="eastAsia" w:ascii="宋体" w:hAnsi="宋体" w:eastAsia="宋体" w:cs="宋体"/>
          <w:b/>
          <w:color w:val="000000" w:themeColor="text1"/>
          <w:sz w:val="24"/>
          <w:highlight w:val="none"/>
          <w14:textFill>
            <w14:solidFill>
              <w14:schemeClr w14:val="tx1"/>
            </w14:solidFill>
          </w14:textFill>
        </w:rPr>
      </w:pP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DC6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48F7740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07AF1FB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0EE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F8A314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C561A4E">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79375F8">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0BDDBBD">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98D4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2D72133">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AC5AC91">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4DC784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EC3D27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A123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5AC90BA0">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股东及出资信息</w:t>
            </w:r>
          </w:p>
        </w:tc>
      </w:tr>
      <w:tr w14:paraId="1A05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1885A0">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D2C55E9">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9A1B33">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股东类型</w:t>
            </w:r>
          </w:p>
          <w:p w14:paraId="6A14B5F6">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B49FE5A">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身份证号</w:t>
            </w:r>
          </w:p>
          <w:p w14:paraId="5E91CB9C">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CBCDADC">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FE8559">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79F865">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占全部股份比例</w:t>
            </w:r>
          </w:p>
        </w:tc>
      </w:tr>
      <w:tr w14:paraId="3C004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A189CD">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E7E26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B49203">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A479D02">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A6268CF">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58F0A2">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2A54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22B8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03F877">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88A4F5">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710B9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4A07767">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269614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8EB5E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8018D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3EC1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B8629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66116D">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B941600">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DBF829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721F8B8">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18C821">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3FE4EF">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46410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1BC684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728F69F">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93414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449DE7">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85417B0">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3FCF91">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CF7ECE">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6A6F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64D82F3">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648A86">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6B4F60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7470D11">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1D2DDC3">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4732E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E18E7F">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5AF0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3EDAB2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B1568A">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386F12">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370699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FC9A60C">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A0E16B">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96DB29">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79C6E042">
      <w:pPr>
        <w:jc w:val="left"/>
        <w:rPr>
          <w:rFonts w:hint="eastAsia" w:ascii="宋体" w:hAnsi="宋体" w:eastAsia="宋体" w:cs="宋体"/>
          <w:color w:val="000000" w:themeColor="text1"/>
          <w:szCs w:val="21"/>
          <w:highlight w:val="none"/>
          <w14:textFill>
            <w14:solidFill>
              <w14:schemeClr w14:val="tx1"/>
            </w14:solidFill>
          </w14:textFill>
        </w:rPr>
      </w:pPr>
    </w:p>
    <w:p w14:paraId="180E564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2172435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1.股东或出资人为自然人的，填写自然人姓名及身份证号；股东或出资人为法人的，填写法人企业全称及统一社会信用代码。出资方式填写：货物、实物、工艺产权和非专利技术、土地使用权等。</w:t>
      </w:r>
    </w:p>
    <w:p w14:paraId="197632A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0"/>
          <w:szCs w:val="18"/>
          <w:highlight w:val="none"/>
          <w14:textFill>
            <w14:solidFill>
              <w14:schemeClr w14:val="tx1"/>
            </w14:solidFill>
          </w14:textFill>
        </w:rPr>
        <w:t>投标人必须如实填写股东构成情况</w:t>
      </w:r>
      <w:r>
        <w:rPr>
          <w:rFonts w:hint="eastAsia" w:ascii="宋体" w:hAnsi="宋体" w:eastAsia="宋体" w:cs="宋体"/>
          <w:color w:val="000000" w:themeColor="text1"/>
          <w:szCs w:val="21"/>
          <w:highlight w:val="none"/>
          <w14:textFill>
            <w14:solidFill>
              <w14:schemeClr w14:val="tx1"/>
            </w14:solidFill>
          </w14:textFill>
        </w:rPr>
        <w:t>，具体信息情况应与“国家企业信用信息公示系统” (网站：</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"http://www.gsxt.gov.cn)查询的信息一致。"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Style w:val="29"/>
          <w:rFonts w:hint="eastAsia" w:ascii="宋体" w:hAnsi="宋体" w:eastAsia="宋体" w:cs="宋体"/>
          <w:color w:val="000000" w:themeColor="text1"/>
          <w:szCs w:val="21"/>
          <w:highlight w:val="none"/>
          <w14:textFill>
            <w14:solidFill>
              <w14:schemeClr w14:val="tx1"/>
            </w14:solidFill>
          </w14:textFill>
        </w:rPr>
        <w:t>http://www.gsxt.gov.cn)查询的信息一致。</w:t>
      </w:r>
      <w:r>
        <w:rPr>
          <w:rFonts w:hint="eastAsia" w:ascii="宋体" w:hAnsi="宋体" w:eastAsia="宋体" w:cs="宋体"/>
          <w:color w:val="000000" w:themeColor="text1"/>
          <w:szCs w:val="21"/>
          <w:highlight w:val="none"/>
          <w14:textFill>
            <w14:solidFill>
              <w14:schemeClr w14:val="tx1"/>
            </w14:solidFill>
          </w14:textFill>
        </w:rPr>
        <w:fldChar w:fldCharType="end"/>
      </w:r>
    </w:p>
    <w:p w14:paraId="01A9997E">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lang w:val="en-US" w:eastAsia="zh-CN"/>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.2政府采购活动信用记录自查承诺函</w:t>
      </w:r>
    </w:p>
    <w:p w14:paraId="30E594B5">
      <w:pPr>
        <w:ind w:left="405"/>
        <w:rPr>
          <w:rFonts w:hint="eastAsia" w:ascii="宋体" w:hAnsi="宋体" w:eastAsia="宋体" w:cs="宋体"/>
          <w:color w:val="000000" w:themeColor="text1"/>
          <w:sz w:val="24"/>
          <w:highlight w:val="none"/>
          <w14:textFill>
            <w14:solidFill>
              <w14:schemeClr w14:val="tx1"/>
            </w14:solidFill>
          </w14:textFill>
        </w:rPr>
      </w:pPr>
    </w:p>
    <w:p w14:paraId="43F93EC2">
      <w:pPr>
        <w:adjustRightInd w:val="0"/>
        <w:snapToGrid w:val="0"/>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p>
    <w:p w14:paraId="53ECB1A4">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国义招标股份有限公司：</w:t>
      </w:r>
    </w:p>
    <w:p w14:paraId="1B7530EB">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69333F88">
      <w:pPr>
        <w:ind w:left="405"/>
        <w:rPr>
          <w:rFonts w:hint="eastAsia" w:ascii="宋体" w:hAnsi="宋体" w:eastAsia="宋体" w:cs="宋体"/>
          <w:b/>
          <w:color w:val="000000" w:themeColor="text1"/>
          <w:szCs w:val="21"/>
          <w:highlight w:val="none"/>
          <w14:textFill>
            <w14:solidFill>
              <w14:schemeClr w14:val="tx1"/>
            </w14:solidFill>
          </w14:textFill>
        </w:rPr>
      </w:pPr>
    </w:p>
    <w:p w14:paraId="53282AF6">
      <w:pPr>
        <w:ind w:left="405"/>
        <w:rPr>
          <w:rFonts w:hint="eastAsia" w:ascii="宋体" w:hAnsi="宋体" w:eastAsia="宋体" w:cs="宋体"/>
          <w:b/>
          <w:color w:val="000000" w:themeColor="text1"/>
          <w:szCs w:val="21"/>
          <w:highlight w:val="none"/>
          <w14:textFill>
            <w14:solidFill>
              <w14:schemeClr w14:val="tx1"/>
            </w14:solidFill>
          </w14:textFill>
        </w:rPr>
      </w:pPr>
    </w:p>
    <w:p w14:paraId="6507C5FD">
      <w:pPr>
        <w:ind w:left="405"/>
        <w:rPr>
          <w:rFonts w:hint="eastAsia" w:ascii="宋体" w:hAnsi="宋体" w:eastAsia="宋体" w:cs="宋体"/>
          <w:b/>
          <w:color w:val="000000" w:themeColor="text1"/>
          <w:szCs w:val="21"/>
          <w:highlight w:val="none"/>
          <w14:textFill>
            <w14:solidFill>
              <w14:schemeClr w14:val="tx1"/>
            </w14:solidFill>
          </w14:textFill>
        </w:rPr>
      </w:pPr>
    </w:p>
    <w:p w14:paraId="148505E7">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投标人法定代表人（或法定代表人授权代表）签字：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D34FB8B">
      <w:pPr>
        <w:adjustRightInd w:val="0"/>
        <w:snapToGrid w:val="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投标人名称（加盖公章）：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D0588B5">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日</w:t>
      </w:r>
    </w:p>
    <w:p w14:paraId="0DC6EB3E">
      <w:pPr>
        <w:ind w:left="405"/>
        <w:rPr>
          <w:rFonts w:hint="eastAsia" w:ascii="宋体" w:hAnsi="宋体" w:eastAsia="宋体" w:cs="宋体"/>
          <w:b/>
          <w:color w:val="000000" w:themeColor="text1"/>
          <w:szCs w:val="21"/>
          <w:highlight w:val="none"/>
          <w14:textFill>
            <w14:solidFill>
              <w14:schemeClr w14:val="tx1"/>
            </w14:solidFill>
          </w14:textFill>
        </w:rPr>
      </w:pPr>
    </w:p>
    <w:p w14:paraId="3FF79C82">
      <w:pPr>
        <w:ind w:left="405"/>
        <w:rPr>
          <w:rFonts w:hint="eastAsia" w:ascii="宋体" w:hAnsi="宋体" w:eastAsia="宋体" w:cs="宋体"/>
          <w:b/>
          <w:color w:val="000000" w:themeColor="text1"/>
          <w:szCs w:val="21"/>
          <w:highlight w:val="none"/>
          <w14:textFill>
            <w14:solidFill>
              <w14:schemeClr w14:val="tx1"/>
            </w14:solidFill>
          </w14:textFill>
        </w:rPr>
      </w:pPr>
    </w:p>
    <w:p w14:paraId="00B4FA4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备注：采购方将对函件内容的真实性和有效性进行审查、验证，如有造假或情况不一致，将导致投标无效！</w:t>
      </w:r>
    </w:p>
    <w:p w14:paraId="0EDE5759">
      <w:pPr>
        <w:rPr>
          <w:rFonts w:hint="eastAsia" w:ascii="宋体" w:hAnsi="宋体" w:eastAsia="宋体" w:cs="宋体"/>
          <w:b/>
          <w:color w:val="000000" w:themeColor="text1"/>
          <w:szCs w:val="21"/>
          <w:highlight w:val="none"/>
          <w14:textFill>
            <w14:solidFill>
              <w14:schemeClr w14:val="tx1"/>
            </w14:solidFill>
          </w14:textFill>
        </w:rPr>
      </w:pPr>
    </w:p>
    <w:p w14:paraId="37D279A1">
      <w:pPr>
        <w:rPr>
          <w:rFonts w:hint="eastAsia" w:ascii="宋体" w:hAnsi="宋体" w:eastAsia="宋体" w:cs="宋体"/>
          <w:b/>
          <w:color w:val="000000" w:themeColor="text1"/>
          <w:sz w:val="24"/>
          <w:highlight w:val="none"/>
          <w14:textFill>
            <w14:solidFill>
              <w14:schemeClr w14:val="tx1"/>
            </w14:solidFill>
          </w14:textFill>
        </w:rPr>
      </w:pPr>
    </w:p>
    <w:p w14:paraId="156F02A9">
      <w:pPr>
        <w:rPr>
          <w:rFonts w:hint="eastAsia" w:ascii="宋体" w:hAnsi="宋体" w:eastAsia="宋体" w:cs="宋体"/>
          <w:b/>
          <w:color w:val="000000" w:themeColor="text1"/>
          <w:sz w:val="24"/>
          <w:highlight w:val="none"/>
          <w14:textFill>
            <w14:solidFill>
              <w14:schemeClr w14:val="tx1"/>
            </w14:solidFill>
          </w14:textFill>
        </w:rPr>
      </w:pPr>
    </w:p>
    <w:p w14:paraId="15934E39">
      <w:pPr>
        <w:rPr>
          <w:rFonts w:hint="eastAsia" w:ascii="宋体" w:hAnsi="宋体" w:eastAsia="宋体" w:cs="宋体"/>
          <w:b/>
          <w:color w:val="000000" w:themeColor="text1"/>
          <w:sz w:val="24"/>
          <w:highlight w:val="none"/>
          <w14:textFill>
            <w14:solidFill>
              <w14:schemeClr w14:val="tx1"/>
            </w14:solidFill>
          </w14:textFill>
        </w:rPr>
      </w:pPr>
    </w:p>
    <w:p w14:paraId="0D150DC6">
      <w:pP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br w:type="page"/>
      </w:r>
    </w:p>
    <w:p w14:paraId="7B0B8ACD">
      <w:pPr>
        <w:rPr>
          <w:rFonts w:hint="eastAsia" w:hAnsi="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1.3法定代表人授权代表声明函</w:t>
      </w:r>
    </w:p>
    <w:p w14:paraId="470C4B71">
      <w:pPr>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法定代表人授权代表声明函</w:t>
      </w:r>
    </w:p>
    <w:p w14:paraId="11B4697B">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p>
    <w:p w14:paraId="58AC48DF">
      <w:pPr>
        <w:adjustRightInd w:val="0"/>
        <w:snapToGrid w:val="0"/>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hAnsi="宋体" w:cs="宋体"/>
          <w:b/>
          <w:color w:val="000000" w:themeColor="text1"/>
          <w:szCs w:val="21"/>
          <w:lang w:val="en-US" w:eastAsia="zh-CN"/>
          <w14:textFill>
            <w14:solidFill>
              <w14:schemeClr w14:val="tx1"/>
            </w14:solidFill>
          </w14:textFill>
        </w:rPr>
        <w:t>国义招标股份有限公司</w:t>
      </w:r>
      <w:r>
        <w:rPr>
          <w:rFonts w:hint="eastAsia" w:ascii="宋体" w:hAnsi="宋体" w:eastAsia="宋体" w:cs="宋体"/>
          <w:b/>
          <w:color w:val="000000" w:themeColor="text1"/>
          <w:szCs w:val="21"/>
          <w:lang w:eastAsia="zh-CN"/>
          <w14:textFill>
            <w14:solidFill>
              <w14:schemeClr w14:val="tx1"/>
            </w14:solidFill>
          </w14:textFill>
        </w:rPr>
        <w:t>：</w:t>
      </w:r>
    </w:p>
    <w:p w14:paraId="5705645A">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关于贵公司</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日发布</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项目（项目编号：0724-XXXXXXXX）的采购</w:t>
      </w:r>
      <w:r>
        <w:rPr>
          <w:rFonts w:hint="eastAsia" w:hAnsi="宋体"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14:textFill>
            <w14:solidFill>
              <w14:schemeClr w14:val="tx1"/>
            </w14:solidFill>
          </w14:textFill>
        </w:rPr>
        <w:t>，本公司（企业）愿意参加投标，并声明：</w:t>
      </w:r>
    </w:p>
    <w:p w14:paraId="447A19FE">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代表</w:t>
      </w:r>
      <w:r>
        <w:rPr>
          <w:rFonts w:hint="eastAsia" w:ascii="宋体" w:hAnsi="宋体" w:eastAsia="宋体" w:cs="宋体"/>
          <w:color w:val="000000" w:themeColor="text1"/>
          <w:highlight w:val="none"/>
          <w14:textFill>
            <w14:solidFill>
              <w14:schemeClr w14:val="tx1"/>
            </w14:solidFill>
          </w14:textFill>
        </w:rPr>
        <w:t>本公司（企业）</w:t>
      </w:r>
      <w:r>
        <w:rPr>
          <w:rFonts w:hint="eastAsia" w:hAnsi="宋体" w:cs="宋体"/>
          <w:color w:val="000000" w:themeColor="text1"/>
          <w:highlight w:val="none"/>
          <w:lang w:val="en-US" w:eastAsia="zh-CN"/>
          <w14:textFill>
            <w14:solidFill>
              <w14:schemeClr w14:val="tx1"/>
            </w14:solidFill>
          </w14:textFill>
        </w:rPr>
        <w:t>参加本项目的</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（姓名、职务）</w:t>
      </w:r>
      <w:r>
        <w:rPr>
          <w:color w:val="000000" w:themeColor="text1"/>
          <w:highlight w:val="none"/>
          <w14:textFill>
            <w14:solidFill>
              <w14:schemeClr w14:val="tx1"/>
            </w14:solidFill>
          </w14:textFill>
        </w:rPr>
        <w:t xml:space="preserve"> 作为我公司的</w:t>
      </w:r>
      <w:r>
        <w:rPr>
          <w:rFonts w:hint="eastAsia" w:ascii="宋体" w:hAnsi="宋体" w:eastAsia="宋体" w:cs="宋体"/>
          <w:color w:val="000000" w:themeColor="text1"/>
          <w:szCs w:val="21"/>
          <w14:textFill>
            <w14:solidFill>
              <w14:schemeClr w14:val="tx1"/>
            </w14:solidFill>
          </w14:textFill>
        </w:rPr>
        <w:t>法定代表人授权代表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系</w:t>
      </w:r>
      <w:r>
        <w:rPr>
          <w:rFonts w:hint="eastAsia" w:ascii="宋体" w:hAnsi="宋体" w:eastAsia="宋体" w:cs="宋体"/>
          <w:color w:val="000000" w:themeColor="text1"/>
          <w:highlight w:val="none"/>
          <w14:textFill>
            <w14:solidFill>
              <w14:schemeClr w14:val="tx1"/>
            </w14:solidFill>
          </w14:textFill>
        </w:rPr>
        <w:t>本公司（企业）</w:t>
      </w:r>
      <w:r>
        <w:rPr>
          <w:rFonts w:hint="eastAsia"/>
          <w:color w:val="000000" w:themeColor="text1"/>
          <w:highlight w:val="none"/>
          <w:lang w:val="en-US" w:eastAsia="zh-CN"/>
          <w14:textFill>
            <w14:solidFill>
              <w14:schemeClr w14:val="tx1"/>
            </w14:solidFill>
          </w14:textFill>
        </w:rPr>
        <w:t>员工</w:t>
      </w:r>
      <w:r>
        <w:rPr>
          <w:rFonts w:hint="eastAsia" w:ascii="宋体" w:hAnsi="宋体" w:eastAsia="宋体" w:cs="宋体"/>
          <w:color w:val="000000" w:themeColor="text1"/>
          <w:highlight w:val="none"/>
          <w14:textFill>
            <w14:solidFill>
              <w14:schemeClr w14:val="tx1"/>
            </w14:solidFill>
          </w14:textFill>
        </w:rPr>
        <w:t>。</w:t>
      </w:r>
    </w:p>
    <w:p w14:paraId="621441FB">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p>
    <w:p w14:paraId="1C54069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特此声明！</w:t>
      </w:r>
    </w:p>
    <w:p w14:paraId="4FBF184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附件：</w:t>
      </w:r>
    </w:p>
    <w:p w14:paraId="6A25C78B">
      <w:pP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hAnsi="宋体" w:cs="宋体"/>
          <w:b/>
          <w:bCs/>
          <w:color w:val="000000" w:themeColor="text1"/>
          <w:highlight w:val="none"/>
          <w:lang w:val="en-US" w:eastAsia="zh-CN"/>
          <w14:textFill>
            <w14:solidFill>
              <w14:schemeClr w14:val="tx1"/>
            </w14:solidFill>
          </w14:textFill>
        </w:rPr>
        <w:t>法定代表人授权代表近六个月内任意一个月在投标人单位购买社保的证明材料。</w:t>
      </w:r>
    </w:p>
    <w:p w14:paraId="4DDE07D6">
      <w:pPr>
        <w:adjustRightInd w:val="0"/>
        <w:snapToGrid w:val="0"/>
        <w:rPr>
          <w:rFonts w:hint="eastAsia" w:ascii="宋体" w:hAnsi="宋体" w:eastAsia="宋体" w:cs="宋体"/>
          <w:color w:val="000000" w:themeColor="text1"/>
          <w:szCs w:val="21"/>
          <w14:textFill>
            <w14:solidFill>
              <w14:schemeClr w14:val="tx1"/>
            </w14:solidFill>
          </w14:textFill>
        </w:rPr>
      </w:pPr>
    </w:p>
    <w:p w14:paraId="3F80031D">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投标人法定代表人（或法定代表人授权代表）签字：</w:t>
      </w:r>
      <w:r>
        <w:rPr>
          <w:rFonts w:hint="eastAsia" w:ascii="宋体" w:hAnsi="宋体" w:eastAsia="宋体" w:cs="宋体"/>
          <w:color w:val="000000" w:themeColor="text1"/>
          <w:szCs w:val="21"/>
          <w:u w:val="single"/>
          <w14:textFill>
            <w14:solidFill>
              <w14:schemeClr w14:val="tx1"/>
            </w14:solidFill>
          </w14:textFill>
        </w:rPr>
        <w:t xml:space="preserve">                   </w:t>
      </w:r>
    </w:p>
    <w:p w14:paraId="550D5C36">
      <w:pPr>
        <w:adjustRightInd w:val="0"/>
        <w:snapToGrid w:val="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投标人名称（加盖公章）：</w:t>
      </w:r>
      <w:r>
        <w:rPr>
          <w:rFonts w:hint="eastAsia" w:ascii="宋体" w:hAnsi="宋体" w:eastAsia="宋体" w:cs="宋体"/>
          <w:color w:val="000000" w:themeColor="text1"/>
          <w:szCs w:val="21"/>
          <w:u w:val="single"/>
          <w14:textFill>
            <w14:solidFill>
              <w14:schemeClr w14:val="tx1"/>
            </w14:solidFill>
          </w14:textFill>
        </w:rPr>
        <w:t xml:space="preserve">                        </w:t>
      </w:r>
    </w:p>
    <w:p w14:paraId="4208DEB6">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日</w:t>
      </w:r>
    </w:p>
    <w:p w14:paraId="2EE0272D">
      <w:pPr>
        <w:rPr>
          <w:rFonts w:hint="default" w:hAnsi="宋体" w:cs="宋体"/>
          <w:b/>
          <w:color w:val="000000" w:themeColor="text1"/>
          <w:sz w:val="24"/>
          <w:highlight w:val="none"/>
          <w:lang w:val="en-US" w:eastAsia="zh-CN"/>
          <w14:textFill>
            <w14:solidFill>
              <w14:schemeClr w14:val="tx1"/>
            </w14:solidFill>
          </w14:textFill>
        </w:rPr>
      </w:pPr>
    </w:p>
    <w:p w14:paraId="77A302D2">
      <w:pPr>
        <w:rPr>
          <w:rFonts w:hint="eastAsia" w:ascii="宋体" w:hAnsi="宋体" w:eastAsia="宋体" w:cs="宋体"/>
          <w:b/>
          <w:color w:val="000000" w:themeColor="text1"/>
          <w:sz w:val="24"/>
          <w:highlight w:val="none"/>
          <w14:textFill>
            <w14:solidFill>
              <w14:schemeClr w14:val="tx1"/>
            </w14:solidFill>
          </w14:textFill>
        </w:rPr>
      </w:pPr>
    </w:p>
    <w:p w14:paraId="6F1615D1">
      <w:pPr>
        <w:rPr>
          <w:rFonts w:hint="eastAsia" w:ascii="宋体" w:hAnsi="宋体" w:eastAsia="宋体" w:cs="宋体"/>
          <w:b/>
          <w:color w:val="000000" w:themeColor="text1"/>
          <w:sz w:val="24"/>
          <w:highlight w:val="none"/>
          <w14:textFill>
            <w14:solidFill>
              <w14:schemeClr w14:val="tx1"/>
            </w14:solidFill>
          </w14:textFill>
        </w:rPr>
      </w:pPr>
    </w:p>
    <w:p w14:paraId="16ABF60D">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5BD2781C">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6CC83F1D">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34F1644C">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4E917B82">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7E192005">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293B11CF">
      <w:pP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w:t>
      </w:r>
      <w:r>
        <w:rPr>
          <w:rFonts w:hint="eastAsia" w:hAnsi="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其他资格证明文件</w:t>
      </w:r>
    </w:p>
    <w:p w14:paraId="519EE6B7">
      <w:pPr>
        <w:rPr>
          <w:rFonts w:hint="eastAsia" w:ascii="宋体" w:hAnsi="宋体" w:eastAsia="宋体" w:cs="宋体"/>
          <w:b/>
          <w:color w:val="000000" w:themeColor="text1"/>
          <w:sz w:val="24"/>
          <w:highlight w:val="none"/>
          <w14:textFill>
            <w14:solidFill>
              <w14:schemeClr w14:val="tx1"/>
            </w14:solidFill>
          </w14:textFill>
        </w:rPr>
      </w:pPr>
    </w:p>
    <w:p w14:paraId="6FA2F720">
      <w:pPr>
        <w:autoSpaceDE w:val="0"/>
        <w:autoSpaceDN w:val="0"/>
        <w:ind w:right="1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一、有效的营业执照副本复印件（如非“三证合一”证照，同时提供税务登记证及组织机构代码证副本复印件）（加盖公章）</w:t>
      </w:r>
    </w:p>
    <w:p w14:paraId="21F6F4AB">
      <w:pPr>
        <w:autoSpaceDE w:val="0"/>
        <w:autoSpaceDN w:val="0"/>
        <w:ind w:right="1400"/>
        <w:rPr>
          <w:rFonts w:hint="eastAsia" w:ascii="宋体" w:hAnsi="宋体" w:eastAsia="宋体" w:cs="宋体"/>
          <w:color w:val="000000" w:themeColor="text1"/>
          <w:sz w:val="24"/>
          <w:highlight w:val="none"/>
          <w14:textFill>
            <w14:solidFill>
              <w14:schemeClr w14:val="tx1"/>
            </w14:solidFill>
          </w14:textFill>
        </w:rPr>
      </w:pPr>
    </w:p>
    <w:p w14:paraId="7D16B67D">
      <w:pPr>
        <w:rPr>
          <w:rFonts w:hint="eastAsia" w:ascii="宋体" w:hAnsi="宋体" w:eastAsia="宋体" w:cs="宋体"/>
          <w:b/>
          <w:color w:val="000000" w:themeColor="text1"/>
          <w:sz w:val="36"/>
          <w:szCs w:val="36"/>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、详见招标文件第一</w:t>
      </w:r>
      <w:r>
        <w:rPr>
          <w:rFonts w:hint="eastAsia" w:ascii="宋体" w:hAnsi="宋体" w:eastAsia="宋体" w:cs="宋体"/>
          <w:color w:val="000000" w:themeColor="text1"/>
          <w:sz w:val="24"/>
          <w:highlight w:val="none"/>
          <w:lang w:val="en-US" w:eastAsia="zh-CN"/>
          <w14:textFill>
            <w14:solidFill>
              <w14:schemeClr w14:val="tx1"/>
            </w14:solidFill>
          </w14:textFill>
        </w:rPr>
        <w:t>章</w:t>
      </w:r>
      <w:r>
        <w:rPr>
          <w:rFonts w:hint="eastAsia" w:ascii="宋体" w:hAnsi="宋体" w:eastAsia="宋体" w:cs="宋体"/>
          <w:color w:val="000000" w:themeColor="text1"/>
          <w:sz w:val="24"/>
          <w:highlight w:val="none"/>
          <w14:textFill>
            <w14:solidFill>
              <w14:schemeClr w14:val="tx1"/>
            </w14:solidFill>
          </w14:textFill>
        </w:rPr>
        <w:t>“投标邀请”中的“投标人资格</w:t>
      </w:r>
      <w:r>
        <w:rPr>
          <w:rFonts w:hint="eastAsia" w:ascii="宋体" w:hAnsi="宋体" w:eastAsia="宋体" w:cs="宋体"/>
          <w:color w:val="000000" w:themeColor="text1"/>
          <w:sz w:val="24"/>
          <w:highlight w:val="none"/>
          <w:lang w:val="en-US" w:eastAsia="zh-CN"/>
          <w14:textFill>
            <w14:solidFill>
              <w14:schemeClr w14:val="tx1"/>
            </w14:solidFill>
          </w14:textFill>
        </w:rPr>
        <w:t>要求</w:t>
      </w:r>
      <w:r>
        <w:rPr>
          <w:rFonts w:hint="eastAsia" w:ascii="宋体" w:hAnsi="宋体" w:eastAsia="宋体" w:cs="宋体"/>
          <w:color w:val="000000" w:themeColor="text1"/>
          <w:sz w:val="24"/>
          <w:highlight w:val="none"/>
          <w14:textFill>
            <w14:solidFill>
              <w14:schemeClr w14:val="tx1"/>
            </w14:solidFill>
          </w14:textFill>
        </w:rPr>
        <w:t>”</w:t>
      </w:r>
    </w:p>
    <w:p w14:paraId="630607DE">
      <w:pPr>
        <w:rPr>
          <w:rFonts w:hint="eastAsia" w:ascii="宋体" w:hAnsi="宋体" w:eastAsia="宋体" w:cs="宋体"/>
          <w:b/>
          <w:color w:val="000000" w:themeColor="text1"/>
          <w:szCs w:val="21"/>
          <w:highlight w:val="none"/>
          <w14:textFill>
            <w14:solidFill>
              <w14:schemeClr w14:val="tx1"/>
            </w14:solidFill>
          </w14:textFill>
        </w:rPr>
      </w:pPr>
    </w:p>
    <w:p w14:paraId="69E33784">
      <w:pPr>
        <w:spacing w:before="25" w:after="25"/>
        <w:jc w:val="left"/>
        <w:outlineLvl w:val="0"/>
        <w:rPr>
          <w:rFonts w:hint="eastAsia" w:ascii="宋体" w:hAnsi="宋体" w:eastAsia="宋体" w:cs="宋体"/>
          <w:b/>
          <w:bCs/>
          <w:color w:val="000000" w:themeColor="text1"/>
          <w:spacing w:val="10"/>
          <w:kern w:val="0"/>
          <w:sz w:val="28"/>
          <w:szCs w:val="28"/>
          <w14:textFill>
            <w14:solidFill>
              <w14:schemeClr w14:val="tx1"/>
            </w14:solidFill>
          </w14:textFill>
        </w:rPr>
      </w:pPr>
      <w:r>
        <w:rPr>
          <w:rFonts w:hint="eastAsia" w:ascii="宋体" w:hAnsi="宋体" w:eastAsia="宋体" w:cs="宋体"/>
          <w:b/>
          <w:bCs/>
          <w:color w:val="000000" w:themeColor="text1"/>
          <w:spacing w:val="10"/>
          <w:kern w:val="0"/>
          <w:sz w:val="24"/>
          <w:szCs w:val="24"/>
          <w:highlight w:val="none"/>
          <w14:textFill>
            <w14:solidFill>
              <w14:schemeClr w14:val="tx1"/>
            </w14:solidFill>
          </w14:textFill>
        </w:rPr>
        <w:br w:type="page"/>
      </w:r>
      <w:r>
        <w:rPr>
          <w:rFonts w:hint="eastAsia" w:ascii="宋体" w:hAnsi="宋体" w:eastAsia="宋体" w:cs="宋体"/>
          <w:b/>
          <w:bCs/>
          <w:color w:val="000000" w:themeColor="text1"/>
          <w:spacing w:val="10"/>
          <w:kern w:val="0"/>
          <w:sz w:val="28"/>
          <w:szCs w:val="28"/>
          <w14:textFill>
            <w14:solidFill>
              <w14:schemeClr w14:val="tx1"/>
            </w14:solidFill>
          </w14:textFill>
        </w:rPr>
        <w:t>附件二、中标服务费承诺书（格式）</w:t>
      </w:r>
    </w:p>
    <w:p w14:paraId="5E67FE0C">
      <w:pPr>
        <w:adjustRightInd w:val="0"/>
        <w:snapToGrid w:val="0"/>
        <w:spacing w:line="360" w:lineRule="auto"/>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本招标文件第六章</w:t>
      </w:r>
      <w:r>
        <w:rPr>
          <w:rFonts w:hint="eastAsia" w:ascii="宋体" w:hAnsi="宋体" w:eastAsia="宋体" w:cs="宋体"/>
          <w:b w:val="0"/>
          <w:bCs/>
          <w:color w:val="000000" w:themeColor="text1"/>
          <w:highlight w:val="none"/>
          <w14:textFill>
            <w14:solidFill>
              <w14:schemeClr w14:val="tx1"/>
            </w14:solidFill>
          </w14:textFill>
        </w:rPr>
        <w:t>投标文件格式</w:t>
      </w:r>
      <w:r>
        <w:rPr>
          <w:rFonts w:hint="eastAsia" w:ascii="宋体" w:hAnsi="宋体" w:eastAsia="宋体" w:cs="宋体"/>
          <w:b w:val="0"/>
          <w:bCs/>
          <w:color w:val="000000" w:themeColor="text1"/>
          <w:highlight w:val="none"/>
          <w:lang w:val="en-US" w:eastAsia="zh-CN"/>
          <w14:textFill>
            <w14:solidFill>
              <w14:schemeClr w14:val="tx1"/>
            </w14:solidFill>
          </w14:textFill>
        </w:rPr>
        <w:t>的</w:t>
      </w:r>
      <w:r>
        <w:rPr>
          <w:rFonts w:hint="eastAsia" w:ascii="宋体" w:hAnsi="宋体" w:eastAsia="宋体" w:cs="宋体"/>
          <w:b w:val="0"/>
          <w:bCs/>
          <w:color w:val="000000" w:themeColor="text1"/>
          <w:highlight w:val="none"/>
          <w14:textFill>
            <w14:solidFill>
              <w14:schemeClr w14:val="tx1"/>
            </w14:solidFill>
          </w14:textFill>
        </w:rPr>
        <w:t>要求</w:t>
      </w:r>
      <w:r>
        <w:rPr>
          <w:rFonts w:hint="eastAsia" w:ascii="宋体" w:hAnsi="宋体" w:eastAsia="宋体" w:cs="宋体"/>
          <w:b w:val="0"/>
          <w:bCs/>
          <w:color w:val="000000" w:themeColor="text1"/>
          <w:highlight w:val="none"/>
          <w:lang w:val="en-US" w:eastAsia="zh-CN"/>
          <w14:textFill>
            <w14:solidFill>
              <w14:schemeClr w14:val="tx1"/>
            </w14:solidFill>
          </w14:textFill>
        </w:rPr>
        <w:t>中“</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格式十八：采购代理服务费支付承诺书</w:t>
      </w:r>
      <w:r>
        <w:rPr>
          <w:rFonts w:hint="eastAsia" w:ascii="宋体" w:hAnsi="宋体" w:eastAsia="宋体" w:cs="宋体"/>
          <w:b w:val="0"/>
          <w:bCs/>
          <w:color w:val="000000" w:themeColor="text1"/>
          <w:highlight w:val="none"/>
          <w:lang w:val="en-US" w:eastAsia="zh-CN"/>
          <w14:textFill>
            <w14:solidFill>
              <w14:schemeClr w14:val="tx1"/>
            </w14:solidFill>
          </w14:textFill>
        </w:rPr>
        <w:t>”不适用，请根据以下格式填写</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401CAB2D">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p>
    <w:p w14:paraId="5F2D7D5C">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国义招标股份有限公司：</w:t>
      </w:r>
    </w:p>
    <w:p w14:paraId="311F8914">
      <w:pPr>
        <w:adjustRightInd w:val="0"/>
        <w:snapToGrid w:val="0"/>
        <w:ind w:firstLine="44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w:t>
      </w:r>
      <w:r>
        <w:rPr>
          <w:rFonts w:hint="eastAsia" w:ascii="宋体" w:hAnsi="宋体" w:eastAsia="宋体" w:cs="宋体"/>
          <w:color w:val="000000" w:themeColor="text1"/>
          <w:szCs w:val="21"/>
          <w:u w:val="single"/>
          <w14:textFill>
            <w14:solidFill>
              <w14:schemeClr w14:val="tx1"/>
            </w14:solidFill>
          </w14:textFill>
        </w:rPr>
        <w:t xml:space="preserve">   （投标人名称）   </w:t>
      </w:r>
      <w:r>
        <w:rPr>
          <w:rFonts w:hint="eastAsia" w:ascii="宋体" w:hAnsi="宋体" w:eastAsia="宋体" w:cs="宋体"/>
          <w:color w:val="000000" w:themeColor="text1"/>
          <w:szCs w:val="21"/>
          <w14:textFill>
            <w14:solidFill>
              <w14:schemeClr w14:val="tx1"/>
            </w14:solidFill>
          </w14:textFill>
        </w:rPr>
        <w:t>公司在参加在贵司进行的</w:t>
      </w:r>
      <w:r>
        <w:rPr>
          <w:rFonts w:hint="eastAsia" w:ascii="宋体" w:hAnsi="宋体" w:eastAsia="宋体" w:cs="宋体"/>
          <w:color w:val="000000" w:themeColor="text1"/>
          <w:szCs w:val="21"/>
          <w:u w:val="single"/>
          <w14:textFill>
            <w14:solidFill>
              <w14:schemeClr w14:val="tx1"/>
            </w14:solidFill>
          </w14:textFill>
        </w:rPr>
        <w:t xml:space="preserve">   （项目名称）  </w:t>
      </w:r>
      <w:r>
        <w:rPr>
          <w:rFonts w:hint="eastAsia" w:ascii="宋体" w:hAnsi="宋体" w:eastAsia="宋体" w:cs="宋体"/>
          <w:color w:val="000000" w:themeColor="text1"/>
          <w:szCs w:val="21"/>
          <w14:textFill>
            <w14:solidFill>
              <w14:schemeClr w14:val="tx1"/>
            </w14:solidFill>
          </w14:textFill>
        </w:rPr>
        <w:t>(项目编号：)招标中如获中标，我司保证在领取“中标通知书”前，按本项目投标人须知相关规定向贵司缴纳 “中标服务费”。</w:t>
      </w:r>
    </w:p>
    <w:p w14:paraId="6C3C45C7">
      <w:pPr>
        <w:adjustRightInd w:val="0"/>
        <w:snapToGrid w:val="0"/>
        <w:ind w:firstLine="44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如我方违约，愿凭贵方开出的违约通知，按上述承付金额的200%由采购人在支付我司的合同款中代为扣付。</w:t>
      </w:r>
    </w:p>
    <w:p w14:paraId="2129CE6B">
      <w:pPr>
        <w:adjustRightInd w:val="0"/>
        <w:snapToGrid w:val="0"/>
        <w:spacing w:line="360" w:lineRule="auto"/>
        <w:ind w:firstLine="44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特此承诺。</w:t>
      </w:r>
    </w:p>
    <w:p w14:paraId="315C507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另关于我司缴纳中标服务费后开具中标服务费发票的事宜，我司声明如下：</w:t>
      </w:r>
    </w:p>
    <w:p w14:paraId="15883A6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A：</w:t>
      </w:r>
      <w:r>
        <w:rPr>
          <w:rFonts w:hint="eastAsia" w:ascii="宋体" w:hAnsi="宋体" w:eastAsia="宋体" w:cs="宋体"/>
          <w:color w:val="000000" w:themeColor="text1"/>
          <w:szCs w:val="21"/>
          <w14:textFill>
            <w14:solidFill>
              <w14:schemeClr w14:val="tx1"/>
            </w14:solidFill>
          </w14:textFill>
        </w:rPr>
        <w:t>如需开具</w:t>
      </w:r>
      <w:r>
        <w:rPr>
          <w:rFonts w:hint="eastAsia" w:ascii="宋体" w:hAnsi="宋体" w:eastAsia="宋体" w:cs="宋体"/>
          <w:b/>
          <w:color w:val="000000" w:themeColor="text1"/>
          <w:szCs w:val="21"/>
          <w:u w:val="single"/>
          <w14:textFill>
            <w14:solidFill>
              <w14:schemeClr w14:val="tx1"/>
            </w14:solidFill>
          </w14:textFill>
        </w:rPr>
        <w:t>增值税普通发票</w:t>
      </w:r>
      <w:r>
        <w:rPr>
          <w:rFonts w:hint="eastAsia" w:ascii="宋体" w:hAnsi="宋体" w:eastAsia="宋体" w:cs="宋体"/>
          <w:color w:val="000000" w:themeColor="text1"/>
          <w:szCs w:val="21"/>
          <w14:textFill>
            <w14:solidFill>
              <w14:schemeClr w14:val="tx1"/>
            </w14:solidFill>
          </w14:textFill>
        </w:rPr>
        <w:t>，请于下方（ ）打“√”</w:t>
      </w:r>
    </w:p>
    <w:p w14:paraId="1CDB4050">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）请向我司开具中标费的“</w:t>
      </w:r>
      <w:r>
        <w:rPr>
          <w:rFonts w:hint="eastAsia" w:ascii="宋体" w:hAnsi="宋体" w:eastAsia="宋体" w:cs="宋体"/>
          <w:b/>
          <w:color w:val="000000" w:themeColor="text1"/>
          <w:szCs w:val="21"/>
          <w:u w:val="single"/>
          <w14:textFill>
            <w14:solidFill>
              <w14:schemeClr w14:val="tx1"/>
            </w14:solidFill>
          </w14:textFill>
        </w:rPr>
        <w:t>增值税普通发票</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，开票信息如下：</w:t>
      </w:r>
    </w:p>
    <w:p w14:paraId="191F642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我司工商注册名称为：；</w:t>
      </w:r>
    </w:p>
    <w:p w14:paraId="0D61106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2、纳税人识别号（国税）/或统一社会信用代码：</w:t>
      </w:r>
      <w:r>
        <w:rPr>
          <w:rFonts w:hint="eastAsia" w:ascii="宋体" w:hAnsi="宋体" w:eastAsia="宋体" w:cs="宋体"/>
          <w:color w:val="000000" w:themeColor="text1"/>
          <w:szCs w:val="21"/>
          <w:u w:val="single"/>
          <w14:textFill>
            <w14:solidFill>
              <w14:schemeClr w14:val="tx1"/>
            </w14:solidFill>
          </w14:textFill>
        </w:rPr>
        <w:t xml:space="preserve">    （请填写）              </w:t>
      </w:r>
    </w:p>
    <w:p w14:paraId="7B15F21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B：</w:t>
      </w:r>
      <w:r>
        <w:rPr>
          <w:rFonts w:hint="eastAsia" w:ascii="宋体" w:hAnsi="宋体" w:eastAsia="宋体" w:cs="宋体"/>
          <w:color w:val="000000" w:themeColor="text1"/>
          <w:szCs w:val="21"/>
          <w14:textFill>
            <w14:solidFill>
              <w14:schemeClr w14:val="tx1"/>
            </w14:solidFill>
          </w14:textFill>
        </w:rPr>
        <w:t>如需开具增值税专用发票，请于下方（ ）打“√”,并提供相关资料</w:t>
      </w:r>
    </w:p>
    <w:p w14:paraId="09E774A1">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）请向我司开具中标费的“</w:t>
      </w:r>
      <w:r>
        <w:rPr>
          <w:rFonts w:hint="eastAsia" w:ascii="宋体" w:hAnsi="宋体" w:eastAsia="宋体" w:cs="宋体"/>
          <w:b/>
          <w:color w:val="000000" w:themeColor="text1"/>
          <w:szCs w:val="21"/>
          <w:u w:val="single"/>
          <w14:textFill>
            <w14:solidFill>
              <w14:schemeClr w14:val="tx1"/>
            </w14:solidFill>
          </w14:textFill>
        </w:rPr>
        <w:t>增值税专用发票</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，开票信息为：</w:t>
      </w:r>
    </w:p>
    <w:p w14:paraId="33D28513">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1、我司工商注册名称：</w:t>
      </w:r>
      <w:r>
        <w:rPr>
          <w:rFonts w:hint="eastAsia" w:ascii="宋体" w:hAnsi="宋体" w:eastAsia="宋体" w:cs="宋体"/>
          <w:color w:val="000000" w:themeColor="text1"/>
          <w:szCs w:val="21"/>
          <w:u w:val="single"/>
          <w14:textFill>
            <w14:solidFill>
              <w14:schemeClr w14:val="tx1"/>
            </w14:solidFill>
          </w14:textFill>
        </w:rPr>
        <w:t xml:space="preserve">    （请填写）              </w:t>
      </w:r>
    </w:p>
    <w:p w14:paraId="1B5C1D3D">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2、纳税人识别号（国税）/或统一社会信用代码：</w:t>
      </w:r>
      <w:r>
        <w:rPr>
          <w:rFonts w:hint="eastAsia" w:ascii="宋体" w:hAnsi="宋体" w:eastAsia="宋体" w:cs="宋体"/>
          <w:color w:val="000000" w:themeColor="text1"/>
          <w:szCs w:val="21"/>
          <w:u w:val="single"/>
          <w14:textFill>
            <w14:solidFill>
              <w14:schemeClr w14:val="tx1"/>
            </w14:solidFill>
          </w14:textFill>
        </w:rPr>
        <w:t xml:space="preserve">    （请填写）              </w:t>
      </w:r>
    </w:p>
    <w:p w14:paraId="48BE9834">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3、注册地址：</w:t>
      </w:r>
      <w:r>
        <w:rPr>
          <w:rFonts w:hint="eastAsia" w:ascii="宋体" w:hAnsi="宋体" w:eastAsia="宋体" w:cs="宋体"/>
          <w:color w:val="000000" w:themeColor="text1"/>
          <w:szCs w:val="21"/>
          <w:u w:val="single"/>
          <w14:textFill>
            <w14:solidFill>
              <w14:schemeClr w14:val="tx1"/>
            </w14:solidFill>
          </w14:textFill>
        </w:rPr>
        <w:t xml:space="preserve">    （请填写）              </w:t>
      </w:r>
    </w:p>
    <w:p w14:paraId="55CC1B7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4、办公电话（固话）：</w:t>
      </w:r>
      <w:r>
        <w:rPr>
          <w:rFonts w:hint="eastAsia" w:ascii="宋体" w:hAnsi="宋体" w:eastAsia="宋体" w:cs="宋体"/>
          <w:color w:val="000000" w:themeColor="text1"/>
          <w:szCs w:val="21"/>
          <w:u w:val="single"/>
          <w14:textFill>
            <w14:solidFill>
              <w14:schemeClr w14:val="tx1"/>
            </w14:solidFill>
          </w14:textFill>
        </w:rPr>
        <w:t xml:space="preserve">    （请填写）              </w:t>
      </w:r>
    </w:p>
    <w:p w14:paraId="4E22BC1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5、开户银行及账号：</w:t>
      </w:r>
      <w:r>
        <w:rPr>
          <w:rFonts w:hint="eastAsia" w:ascii="宋体" w:hAnsi="宋体" w:eastAsia="宋体" w:cs="宋体"/>
          <w:color w:val="000000" w:themeColor="text1"/>
          <w:szCs w:val="21"/>
          <w:u w:val="single"/>
          <w14:textFill>
            <w14:solidFill>
              <w14:schemeClr w14:val="tx1"/>
            </w14:solidFill>
          </w14:textFill>
        </w:rPr>
        <w:t xml:space="preserve">    （请填写）              </w:t>
      </w:r>
    </w:p>
    <w:p w14:paraId="4848F4F3">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6、一般纳税人资格证书/或加盖了税务局“增值税一般纳税人”条章的国税登记证扫描件/或在所属国税局网站的查询结果截图</w:t>
      </w:r>
      <w:r>
        <w:rPr>
          <w:rFonts w:hint="eastAsia" w:ascii="宋体" w:hAnsi="宋体" w:eastAsia="宋体" w:cs="宋体"/>
          <w:color w:val="000000" w:themeColor="text1"/>
          <w:szCs w:val="21"/>
          <w:u w:val="single"/>
          <w14:textFill>
            <w14:solidFill>
              <w14:schemeClr w14:val="tx1"/>
            </w14:solidFill>
          </w14:textFill>
        </w:rPr>
        <w:t>（截图后附）</w:t>
      </w:r>
    </w:p>
    <w:p w14:paraId="184E69E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中标单位联系人：， 手机</w:t>
      </w:r>
      <w:r>
        <w:rPr>
          <w:rFonts w:hint="eastAsia" w:ascii="宋体" w:hAnsi="宋体" w:eastAsia="宋体" w:cs="宋体"/>
          <w:color w:val="000000" w:themeColor="text1"/>
          <w:szCs w:val="21"/>
          <w:u w:val="single"/>
          <w14:textFill>
            <w14:solidFill>
              <w14:schemeClr w14:val="tx1"/>
            </w14:solidFill>
          </w14:textFill>
        </w:rPr>
        <w:t>号：            ;</w:t>
      </w:r>
    </w:p>
    <w:p w14:paraId="754C8666">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单位地址：电话：传真：</w:t>
      </w:r>
      <w:r>
        <w:rPr>
          <w:rFonts w:hint="eastAsia" w:ascii="宋体" w:hAnsi="宋体" w:eastAsia="宋体" w:cs="宋体"/>
          <w:color w:val="000000" w:themeColor="text1"/>
          <w:szCs w:val="21"/>
          <w:u w:val="single"/>
          <w14:textFill>
            <w14:solidFill>
              <w14:schemeClr w14:val="tx1"/>
            </w14:solidFill>
          </w14:textFill>
        </w:rPr>
        <w:t xml:space="preserve">        。</w:t>
      </w:r>
    </w:p>
    <w:p w14:paraId="355FC86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特此声明。</w:t>
      </w:r>
    </w:p>
    <w:p w14:paraId="3D654967">
      <w:pPr>
        <w:rPr>
          <w:rFonts w:hint="eastAsia" w:ascii="宋体" w:hAnsi="宋体" w:eastAsia="宋体" w:cs="宋体"/>
          <w:color w:val="000000" w:themeColor="text1"/>
          <w:szCs w:val="21"/>
          <w14:textFill>
            <w14:solidFill>
              <w14:schemeClr w14:val="tx1"/>
            </w14:solidFill>
          </w14:textFill>
        </w:rPr>
      </w:pPr>
    </w:p>
    <w:p w14:paraId="587029A1">
      <w:pPr>
        <w:rPr>
          <w:rFonts w:hint="eastAsia" w:ascii="宋体" w:hAnsi="宋体" w:eastAsia="宋体" w:cs="宋体"/>
          <w:color w:val="000000" w:themeColor="text1"/>
          <w:szCs w:val="21"/>
          <w14:textFill>
            <w14:solidFill>
              <w14:schemeClr w14:val="tx1"/>
            </w14:solidFill>
          </w14:textFill>
        </w:rPr>
      </w:pPr>
    </w:p>
    <w:p w14:paraId="40EC6F49">
      <w:pPr>
        <w:rPr>
          <w:rFonts w:hint="eastAsia" w:ascii="宋体" w:hAnsi="宋体" w:eastAsia="宋体" w:cs="宋体"/>
          <w:color w:val="000000" w:themeColor="text1"/>
          <w:szCs w:val="21"/>
          <w14:textFill>
            <w14:solidFill>
              <w14:schemeClr w14:val="tx1"/>
            </w14:solidFill>
          </w14:textFill>
        </w:rPr>
      </w:pPr>
    </w:p>
    <w:p w14:paraId="4EAF5E82">
      <w:pPr>
        <w:rPr>
          <w:rFonts w:hint="eastAsia" w:ascii="宋体" w:hAnsi="宋体" w:eastAsia="宋体" w:cs="宋体"/>
          <w:color w:val="000000" w:themeColor="text1"/>
          <w:szCs w:val="21"/>
          <w14:textFill>
            <w14:solidFill>
              <w14:schemeClr w14:val="tx1"/>
            </w14:solidFill>
          </w14:textFill>
        </w:rPr>
      </w:pPr>
    </w:p>
    <w:p w14:paraId="4EE2D9C4">
      <w:pPr>
        <w:rPr>
          <w:rFonts w:hint="eastAsia" w:ascii="宋体" w:hAnsi="宋体" w:eastAsia="宋体" w:cs="宋体"/>
          <w:color w:val="000000" w:themeColor="text1"/>
          <w:szCs w:val="21"/>
          <w14:textFill>
            <w14:solidFill>
              <w14:schemeClr w14:val="tx1"/>
            </w14:solidFill>
          </w14:textFill>
        </w:rPr>
      </w:pPr>
    </w:p>
    <w:p w14:paraId="2876354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投标人法定代表人（或法定代表人授权代表）签字：                   </w:t>
      </w:r>
    </w:p>
    <w:p w14:paraId="4BAC4045">
      <w:pP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投标人名称（加盖公章）：                </w:t>
      </w:r>
    </w:p>
    <w:p w14:paraId="0F8ADEA5">
      <w:pP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日期：年</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月</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日</w:t>
      </w:r>
    </w:p>
    <w:p w14:paraId="76FA48AE">
      <w:pPr>
        <w:pStyle w:val="31"/>
        <w:rPr>
          <w:rFonts w:hint="eastAsia" w:ascii="宋体" w:hAnsi="宋体" w:eastAsia="宋体" w:cs="宋体"/>
          <w:color w:val="000000" w:themeColor="text1"/>
          <w14:textFill>
            <w14:solidFill>
              <w14:schemeClr w14:val="tx1"/>
            </w14:solidFill>
          </w14:textFill>
        </w:rPr>
      </w:pPr>
    </w:p>
    <w:p w14:paraId="77B2DD34">
      <w:pPr>
        <w:pStyle w:val="31"/>
        <w:rPr>
          <w:rFonts w:hint="eastAsia" w:ascii="宋体" w:hAnsi="宋体" w:eastAsia="宋体" w:cs="宋体"/>
          <w:color w:val="000000" w:themeColor="text1"/>
          <w:szCs w:val="24"/>
          <w:lang w:val="en-US" w:eastAsia="zh-CN"/>
          <w14:textFill>
            <w14:solidFill>
              <w14:schemeClr w14:val="tx1"/>
            </w14:solidFill>
          </w14:textFill>
        </w:rPr>
      </w:pPr>
    </w:p>
    <w:p w14:paraId="557B6E71">
      <w:pPr>
        <w:rPr>
          <w:rFonts w:hint="eastAsia" w:eastAsia="宋体" w:cs="Times New Roman"/>
          <w:color w:val="000000" w:themeColor="text1"/>
          <w:lang w:val="en-US" w:eastAsia="zh-CN"/>
          <w14:textFill>
            <w14:solidFill>
              <w14:schemeClr w14:val="tx1"/>
            </w14:solidFill>
          </w14:textFill>
        </w:rPr>
      </w:pPr>
    </w:p>
    <w:p w14:paraId="4F6F36D0">
      <w:pPr>
        <w:pStyle w:val="10"/>
        <w:tabs>
          <w:tab w:val="left" w:pos="2030"/>
          <w:tab w:val="left" w:pos="3323"/>
          <w:tab w:val="left" w:pos="3515"/>
        </w:tabs>
        <w:kinsoku w:val="0"/>
        <w:overflowPunct w:val="0"/>
        <w:ind w:right="104"/>
        <w:jc w:val="right"/>
        <w:rPr>
          <w:rFonts w:hint="eastAsia" w:hAnsi="宋体"/>
          <w:color w:val="000000" w:themeColor="text1"/>
          <w:highlight w:val="none"/>
          <w14:textFill>
            <w14:solidFill>
              <w14:schemeClr w14:val="tx1"/>
            </w14:solidFill>
          </w14:textFill>
        </w:rPr>
      </w:pPr>
    </w:p>
    <w:sectPr>
      <w:headerReference r:id="rId3" w:type="default"/>
      <w:footerReference r:id="rId4" w:type="default"/>
      <w:pgSz w:w="11900" w:h="16840"/>
      <w:pgMar w:top="1440" w:right="1080" w:bottom="1440" w:left="1080" w:header="567"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3AF9">
    <w:pPr>
      <w:pStyle w:val="10"/>
      <w:kinsoku w:val="0"/>
      <w:overflowPunct w:val="0"/>
      <w:spacing w:line="14" w:lineRule="auto"/>
      <w:ind w:left="0"/>
      <w:rPr>
        <w:rFonts w:ascii="Times New Roman" w:eastAsia="等线"/>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9DB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2A9DB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11FC">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E6BE5"/>
    <w:multiLevelType w:val="multilevel"/>
    <w:tmpl w:val="19AE6BE5"/>
    <w:lvl w:ilvl="0" w:tentative="0">
      <w:start w:val="1"/>
      <w:numFmt w:val="decimal"/>
      <w:lvlText w:val="%1."/>
      <w:lvlJc w:val="left"/>
      <w:pPr>
        <w:tabs>
          <w:tab w:val="left" w:pos="200"/>
        </w:tabs>
        <w:ind w:left="100" w:hanging="100"/>
      </w:pPr>
      <w:rPr>
        <w:rFonts w:hint="eastAsia" w:ascii="宋体" w:eastAsia="宋体"/>
        <w:b/>
        <w:i w:val="0"/>
        <w:caps w:val="0"/>
        <w:strike w:val="0"/>
        <w:dstrike w:val="0"/>
        <w:vanish w:val="0"/>
        <w:color w:val="auto"/>
        <w:sz w:val="24"/>
        <w:vertAlign w:val="baseline"/>
      </w:rPr>
    </w:lvl>
    <w:lvl w:ilvl="1" w:tentative="0">
      <w:start w:val="1"/>
      <w:numFmt w:val="decimal"/>
      <w:suff w:val="space"/>
      <w:lvlText w:val="%1.%2"/>
      <w:lvlJc w:val="left"/>
      <w:pPr>
        <w:ind w:left="4352" w:hanging="100"/>
      </w:pPr>
      <w:rPr>
        <w:rFonts w:hint="eastAsia" w:ascii="宋体" w:eastAsia="宋体"/>
        <w:b w:val="0"/>
        <w:i w:val="0"/>
        <w:caps w:val="0"/>
        <w:strike w:val="0"/>
        <w:dstrike w:val="0"/>
        <w:vanish w:val="0"/>
        <w:color w:val="auto"/>
        <w:sz w:val="24"/>
        <w:vertAlign w:val="baseline"/>
      </w:rPr>
    </w:lvl>
    <w:lvl w:ilvl="2" w:tentative="0">
      <w:start w:val="1"/>
      <w:numFmt w:val="decimal"/>
      <w:pStyle w:val="76"/>
      <w:suff w:val="space"/>
      <w:lvlText w:val="%1.%2.%3"/>
      <w:lvlJc w:val="left"/>
      <w:pPr>
        <w:ind w:left="5770" w:hanging="100"/>
      </w:pPr>
      <w:rPr>
        <w:rFonts w:hint="eastAsia" w:ascii="宋体" w:eastAsia="宋体"/>
        <w:b w:val="0"/>
        <w:i w:val="0"/>
        <w:caps w:val="0"/>
        <w:strike w:val="0"/>
        <w:dstrike w:val="0"/>
        <w:vanish w:val="0"/>
        <w:color w:val="auto"/>
        <w:sz w:val="24"/>
        <w:vertAlign w:val="baseline"/>
      </w:rPr>
    </w:lvl>
    <w:lvl w:ilvl="3" w:tentative="0">
      <w:start w:val="1"/>
      <w:numFmt w:val="decimal"/>
      <w:lvlText w:val="%1.%2.%3.%4"/>
      <w:lvlJc w:val="left"/>
      <w:pPr>
        <w:ind w:left="100" w:hanging="100"/>
      </w:pPr>
      <w:rPr>
        <w:rFonts w:hint="eastAsia"/>
      </w:rPr>
    </w:lvl>
    <w:lvl w:ilvl="4" w:tentative="0">
      <w:start w:val="1"/>
      <w:numFmt w:val="decimal"/>
      <w:lvlText w:val="%1.%2.%3.%4.%5"/>
      <w:lvlJc w:val="left"/>
      <w:pPr>
        <w:ind w:left="100" w:hanging="100"/>
      </w:pPr>
      <w:rPr>
        <w:rFonts w:hint="eastAsia"/>
      </w:rPr>
    </w:lvl>
    <w:lvl w:ilvl="5" w:tentative="0">
      <w:start w:val="1"/>
      <w:numFmt w:val="decimal"/>
      <w:lvlText w:val="%1.%2.%3.%4.%5.%6"/>
      <w:lvlJc w:val="left"/>
      <w:pPr>
        <w:ind w:left="100" w:hanging="100"/>
      </w:pPr>
      <w:rPr>
        <w:rFonts w:hint="eastAsia"/>
      </w:rPr>
    </w:lvl>
    <w:lvl w:ilvl="6" w:tentative="0">
      <w:start w:val="1"/>
      <w:numFmt w:val="decimal"/>
      <w:lvlText w:val="%1.%2.%3.%4.%5.%6.%7"/>
      <w:lvlJc w:val="left"/>
      <w:pPr>
        <w:ind w:left="100" w:hanging="100"/>
      </w:pPr>
      <w:rPr>
        <w:rFonts w:hint="eastAsia"/>
      </w:rPr>
    </w:lvl>
    <w:lvl w:ilvl="7" w:tentative="0">
      <w:start w:val="1"/>
      <w:numFmt w:val="decimal"/>
      <w:lvlText w:val="%1.%2.%3.%4.%5.%6.%7.%8"/>
      <w:lvlJc w:val="left"/>
      <w:pPr>
        <w:ind w:left="100" w:hanging="100"/>
      </w:pPr>
      <w:rPr>
        <w:rFonts w:hint="eastAsia"/>
      </w:rPr>
    </w:lvl>
    <w:lvl w:ilvl="8" w:tentative="0">
      <w:start w:val="1"/>
      <w:numFmt w:val="decimal"/>
      <w:lvlText w:val="%1.%2.%3.%4.%5.%6.%7.%8.%9"/>
      <w:lvlJc w:val="left"/>
      <w:pPr>
        <w:ind w:left="100" w:hanging="1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mJiY2RlMzMxNDdlZTIzMzVmNDYzYmNlNTYwODk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65C22"/>
    <w:rsid w:val="01DC19EE"/>
    <w:rsid w:val="024610D3"/>
    <w:rsid w:val="0311468D"/>
    <w:rsid w:val="032632FE"/>
    <w:rsid w:val="037606C3"/>
    <w:rsid w:val="038913C4"/>
    <w:rsid w:val="04A309AD"/>
    <w:rsid w:val="04E3586E"/>
    <w:rsid w:val="05297156"/>
    <w:rsid w:val="062760CA"/>
    <w:rsid w:val="06367F91"/>
    <w:rsid w:val="063E7CAE"/>
    <w:rsid w:val="064061DE"/>
    <w:rsid w:val="07897C0E"/>
    <w:rsid w:val="082A1395"/>
    <w:rsid w:val="08B4403A"/>
    <w:rsid w:val="08B60D54"/>
    <w:rsid w:val="094628A0"/>
    <w:rsid w:val="09D91328"/>
    <w:rsid w:val="0ABC2331"/>
    <w:rsid w:val="0B3111FA"/>
    <w:rsid w:val="0B45387B"/>
    <w:rsid w:val="0BB57BA4"/>
    <w:rsid w:val="0C0076B8"/>
    <w:rsid w:val="0C6C37E1"/>
    <w:rsid w:val="0C9615C8"/>
    <w:rsid w:val="0D9C5751"/>
    <w:rsid w:val="0DC3421D"/>
    <w:rsid w:val="0DF76B00"/>
    <w:rsid w:val="0E604D20"/>
    <w:rsid w:val="0EDA155C"/>
    <w:rsid w:val="0F4F6CEE"/>
    <w:rsid w:val="0F9746D1"/>
    <w:rsid w:val="0FBD189C"/>
    <w:rsid w:val="0FDE4BDA"/>
    <w:rsid w:val="0FF07241"/>
    <w:rsid w:val="11655791"/>
    <w:rsid w:val="11B1466E"/>
    <w:rsid w:val="121D4674"/>
    <w:rsid w:val="12331A20"/>
    <w:rsid w:val="12437B24"/>
    <w:rsid w:val="12954B43"/>
    <w:rsid w:val="12DC670B"/>
    <w:rsid w:val="12F42BA4"/>
    <w:rsid w:val="131D1399"/>
    <w:rsid w:val="1396419C"/>
    <w:rsid w:val="15932B49"/>
    <w:rsid w:val="15A5072F"/>
    <w:rsid w:val="15E05662"/>
    <w:rsid w:val="1787048B"/>
    <w:rsid w:val="179C05CE"/>
    <w:rsid w:val="192C7506"/>
    <w:rsid w:val="193548E0"/>
    <w:rsid w:val="19440BD0"/>
    <w:rsid w:val="1A102318"/>
    <w:rsid w:val="1A206039"/>
    <w:rsid w:val="1B6553C6"/>
    <w:rsid w:val="1BBC4C34"/>
    <w:rsid w:val="1C3C11C6"/>
    <w:rsid w:val="1C7520F8"/>
    <w:rsid w:val="1D0B3468"/>
    <w:rsid w:val="1D1E53EE"/>
    <w:rsid w:val="1D506AA7"/>
    <w:rsid w:val="1E470BDB"/>
    <w:rsid w:val="1E7B7EAF"/>
    <w:rsid w:val="1FE401B3"/>
    <w:rsid w:val="20C462AC"/>
    <w:rsid w:val="21B73E88"/>
    <w:rsid w:val="222B693C"/>
    <w:rsid w:val="22A64485"/>
    <w:rsid w:val="24667DE3"/>
    <w:rsid w:val="247C0C4C"/>
    <w:rsid w:val="25DC0A00"/>
    <w:rsid w:val="262E3841"/>
    <w:rsid w:val="26AF2198"/>
    <w:rsid w:val="26B75F6B"/>
    <w:rsid w:val="27EC2A9F"/>
    <w:rsid w:val="28203CD5"/>
    <w:rsid w:val="287A337D"/>
    <w:rsid w:val="28800981"/>
    <w:rsid w:val="28A14A68"/>
    <w:rsid w:val="28F00B0D"/>
    <w:rsid w:val="298316DB"/>
    <w:rsid w:val="298F4F7D"/>
    <w:rsid w:val="29B80978"/>
    <w:rsid w:val="2AAD6736"/>
    <w:rsid w:val="2AD00E3A"/>
    <w:rsid w:val="2AE05796"/>
    <w:rsid w:val="2B3F6C91"/>
    <w:rsid w:val="2B9F71B1"/>
    <w:rsid w:val="2CAC0E49"/>
    <w:rsid w:val="2CC101CD"/>
    <w:rsid w:val="2D047A30"/>
    <w:rsid w:val="2D9F4E31"/>
    <w:rsid w:val="2F09761D"/>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5061741"/>
    <w:rsid w:val="354C01C6"/>
    <w:rsid w:val="355D635D"/>
    <w:rsid w:val="358E4C71"/>
    <w:rsid w:val="360F2EB9"/>
    <w:rsid w:val="36887E00"/>
    <w:rsid w:val="368F1C37"/>
    <w:rsid w:val="36963DEF"/>
    <w:rsid w:val="36D66C33"/>
    <w:rsid w:val="37021294"/>
    <w:rsid w:val="370B211A"/>
    <w:rsid w:val="379D6803"/>
    <w:rsid w:val="38194CD8"/>
    <w:rsid w:val="398C14D9"/>
    <w:rsid w:val="39C15F76"/>
    <w:rsid w:val="3AA01842"/>
    <w:rsid w:val="3ACF286E"/>
    <w:rsid w:val="3C3C48C9"/>
    <w:rsid w:val="3C505CA8"/>
    <w:rsid w:val="3C9E7E8F"/>
    <w:rsid w:val="3CE81B00"/>
    <w:rsid w:val="3D5740DE"/>
    <w:rsid w:val="3E5A5EE4"/>
    <w:rsid w:val="3E5F5AA5"/>
    <w:rsid w:val="3E846C23"/>
    <w:rsid w:val="3EBC7BE3"/>
    <w:rsid w:val="401E2B51"/>
    <w:rsid w:val="40F26F47"/>
    <w:rsid w:val="41117688"/>
    <w:rsid w:val="412C237F"/>
    <w:rsid w:val="4155091F"/>
    <w:rsid w:val="41695A0F"/>
    <w:rsid w:val="41BA10CB"/>
    <w:rsid w:val="42303B8B"/>
    <w:rsid w:val="42423FD9"/>
    <w:rsid w:val="43A14604"/>
    <w:rsid w:val="43A33BF5"/>
    <w:rsid w:val="43A538BC"/>
    <w:rsid w:val="44E17F63"/>
    <w:rsid w:val="44F7014F"/>
    <w:rsid w:val="453B488F"/>
    <w:rsid w:val="45F15E70"/>
    <w:rsid w:val="46A64344"/>
    <w:rsid w:val="46D80127"/>
    <w:rsid w:val="477A5515"/>
    <w:rsid w:val="489706FC"/>
    <w:rsid w:val="48B733AA"/>
    <w:rsid w:val="48E20A96"/>
    <w:rsid w:val="4B117A90"/>
    <w:rsid w:val="4BB34F51"/>
    <w:rsid w:val="4D4D3AFB"/>
    <w:rsid w:val="4D683864"/>
    <w:rsid w:val="4DC46C4F"/>
    <w:rsid w:val="4DE173FF"/>
    <w:rsid w:val="4E58201F"/>
    <w:rsid w:val="50AE13D1"/>
    <w:rsid w:val="50D1098B"/>
    <w:rsid w:val="52D561B8"/>
    <w:rsid w:val="52DC0984"/>
    <w:rsid w:val="548B08B3"/>
    <w:rsid w:val="55242153"/>
    <w:rsid w:val="555F4A28"/>
    <w:rsid w:val="558F57DA"/>
    <w:rsid w:val="55A0038E"/>
    <w:rsid w:val="55DD4A42"/>
    <w:rsid w:val="567F1BCC"/>
    <w:rsid w:val="56D218E5"/>
    <w:rsid w:val="573F39B5"/>
    <w:rsid w:val="57482A8C"/>
    <w:rsid w:val="57B4119F"/>
    <w:rsid w:val="588A28B9"/>
    <w:rsid w:val="5A9164F8"/>
    <w:rsid w:val="5AFE1DDF"/>
    <w:rsid w:val="5B1C1D31"/>
    <w:rsid w:val="5D2D4B78"/>
    <w:rsid w:val="5D3A54D2"/>
    <w:rsid w:val="5DD46E27"/>
    <w:rsid w:val="5E997C33"/>
    <w:rsid w:val="5EB007B5"/>
    <w:rsid w:val="5EBC779A"/>
    <w:rsid w:val="5F416538"/>
    <w:rsid w:val="60712622"/>
    <w:rsid w:val="61903065"/>
    <w:rsid w:val="61C030C6"/>
    <w:rsid w:val="6232236E"/>
    <w:rsid w:val="624C4474"/>
    <w:rsid w:val="62AC3A78"/>
    <w:rsid w:val="63B57AC3"/>
    <w:rsid w:val="64011757"/>
    <w:rsid w:val="6473529E"/>
    <w:rsid w:val="649E1F3D"/>
    <w:rsid w:val="64FD4B95"/>
    <w:rsid w:val="65E0162B"/>
    <w:rsid w:val="65E53E98"/>
    <w:rsid w:val="661A72F4"/>
    <w:rsid w:val="66424626"/>
    <w:rsid w:val="665971AE"/>
    <w:rsid w:val="667B1BFB"/>
    <w:rsid w:val="67A55BDE"/>
    <w:rsid w:val="6835600A"/>
    <w:rsid w:val="68A8667A"/>
    <w:rsid w:val="692E169F"/>
    <w:rsid w:val="69A37C09"/>
    <w:rsid w:val="6A2B3024"/>
    <w:rsid w:val="6A303659"/>
    <w:rsid w:val="6A4B2016"/>
    <w:rsid w:val="6AC344AB"/>
    <w:rsid w:val="6BA008BF"/>
    <w:rsid w:val="6BA1796A"/>
    <w:rsid w:val="6BA472B9"/>
    <w:rsid w:val="6BD77B3D"/>
    <w:rsid w:val="6C240F7A"/>
    <w:rsid w:val="6D00349A"/>
    <w:rsid w:val="6D600186"/>
    <w:rsid w:val="6E945E6C"/>
    <w:rsid w:val="6F835472"/>
    <w:rsid w:val="6F913D15"/>
    <w:rsid w:val="70A45725"/>
    <w:rsid w:val="710812D5"/>
    <w:rsid w:val="71227648"/>
    <w:rsid w:val="71411F9D"/>
    <w:rsid w:val="73BE4E40"/>
    <w:rsid w:val="762A69E2"/>
    <w:rsid w:val="76524E83"/>
    <w:rsid w:val="76AC04E9"/>
    <w:rsid w:val="7A6C1EDF"/>
    <w:rsid w:val="7A711B4A"/>
    <w:rsid w:val="7B16294B"/>
    <w:rsid w:val="7BC24922"/>
    <w:rsid w:val="7C19011C"/>
    <w:rsid w:val="7C331E4E"/>
    <w:rsid w:val="7C934E7B"/>
    <w:rsid w:val="7CCF5DDE"/>
    <w:rsid w:val="7D5738F9"/>
    <w:rsid w:val="7D5F62B6"/>
    <w:rsid w:val="7D707D52"/>
    <w:rsid w:val="7E3B10CB"/>
    <w:rsid w:val="7E8766DE"/>
    <w:rsid w:val="7F443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3">
    <w:name w:val="heading 1"/>
    <w:basedOn w:val="1"/>
    <w:next w:val="1"/>
    <w:link w:val="52"/>
    <w:qFormat/>
    <w:uiPriority w:val="9"/>
    <w:pPr>
      <w:ind w:left="3144" w:right="3120"/>
      <w:jc w:val="center"/>
      <w:outlineLvl w:val="0"/>
    </w:pPr>
    <w:rPr>
      <w:rFonts w:cs="Times New Roman"/>
      <w:b/>
      <w:bCs/>
      <w:kern w:val="44"/>
      <w:sz w:val="44"/>
      <w:szCs w:val="44"/>
    </w:rPr>
  </w:style>
  <w:style w:type="paragraph" w:styleId="4">
    <w:name w:val="heading 2"/>
    <w:basedOn w:val="1"/>
    <w:next w:val="1"/>
    <w:link w:val="61"/>
    <w:qFormat/>
    <w:uiPriority w:val="9"/>
    <w:pPr>
      <w:ind w:left="3150" w:right="3120"/>
      <w:jc w:val="center"/>
      <w:outlineLvl w:val="1"/>
    </w:pPr>
    <w:rPr>
      <w:rFonts w:ascii="等线 Light" w:hAnsi="等线 Light" w:eastAsia="等线 Light" w:cs="Times New Roman"/>
      <w:b/>
      <w:bCs/>
      <w:sz w:val="32"/>
      <w:szCs w:val="32"/>
    </w:rPr>
  </w:style>
  <w:style w:type="paragraph" w:styleId="5">
    <w:name w:val="heading 3"/>
    <w:basedOn w:val="1"/>
    <w:next w:val="1"/>
    <w:link w:val="57"/>
    <w:qFormat/>
    <w:uiPriority w:val="9"/>
    <w:pPr>
      <w:spacing w:before="48"/>
      <w:ind w:left="3150" w:right="3120"/>
      <w:jc w:val="center"/>
      <w:outlineLvl w:val="2"/>
    </w:pPr>
    <w:rPr>
      <w:rFonts w:cs="Times New Roman"/>
      <w:b/>
      <w:bCs/>
      <w:sz w:val="32"/>
      <w:szCs w:val="32"/>
    </w:rPr>
  </w:style>
  <w:style w:type="paragraph" w:styleId="6">
    <w:name w:val="heading 4"/>
    <w:basedOn w:val="1"/>
    <w:next w:val="1"/>
    <w:link w:val="55"/>
    <w:qFormat/>
    <w:uiPriority w:val="9"/>
    <w:pPr>
      <w:spacing w:before="62"/>
      <w:ind w:left="200"/>
      <w:outlineLvl w:val="3"/>
    </w:pPr>
    <w:rPr>
      <w:rFonts w:ascii="等线 Light" w:hAnsi="等线 Light" w:eastAsia="等线 Light" w:cs="Times New Roman"/>
      <w:b/>
      <w:bCs/>
      <w:sz w:val="28"/>
      <w:szCs w:val="28"/>
    </w:rPr>
  </w:style>
  <w:style w:type="paragraph" w:styleId="7">
    <w:name w:val="heading 5"/>
    <w:basedOn w:val="1"/>
    <w:next w:val="1"/>
    <w:link w:val="63"/>
    <w:qFormat/>
    <w:uiPriority w:val="9"/>
    <w:pPr>
      <w:ind w:left="412" w:hanging="207"/>
      <w:outlineLvl w:val="4"/>
    </w:pPr>
    <w:rPr>
      <w:rFonts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1"/>
    </w:rPr>
  </w:style>
  <w:style w:type="paragraph" w:styleId="8">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9">
    <w:name w:val="annotation text"/>
    <w:basedOn w:val="1"/>
    <w:link w:val="54"/>
    <w:unhideWhenUsed/>
    <w:qFormat/>
    <w:uiPriority w:val="99"/>
    <w:rPr>
      <w:rFonts w:cs="Times New Roman"/>
    </w:rPr>
  </w:style>
  <w:style w:type="paragraph" w:styleId="10">
    <w:name w:val="Body Text"/>
    <w:basedOn w:val="1"/>
    <w:link w:val="49"/>
    <w:qFormat/>
    <w:uiPriority w:val="99"/>
    <w:pPr>
      <w:ind w:left="590"/>
    </w:pPr>
    <w:rPr>
      <w:rFonts w:cs="Times New Roman"/>
      <w:szCs w:val="20"/>
    </w:r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qFormat/>
    <w:uiPriority w:val="99"/>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59"/>
    <w:unhideWhenUsed/>
    <w:qFormat/>
    <w:uiPriority w:val="99"/>
    <w:rPr>
      <w:rFonts w:cs="Times New Roman"/>
      <w:sz w:val="18"/>
      <w:szCs w:val="18"/>
    </w:rPr>
  </w:style>
  <w:style w:type="paragraph" w:styleId="16">
    <w:name w:val="footer"/>
    <w:basedOn w:val="1"/>
    <w:link w:val="65"/>
    <w:unhideWhenUsed/>
    <w:qFormat/>
    <w:uiPriority w:val="0"/>
    <w:pPr>
      <w:tabs>
        <w:tab w:val="center" w:pos="4153"/>
        <w:tab w:val="right" w:pos="8306"/>
      </w:tabs>
      <w:snapToGrid w:val="0"/>
    </w:pPr>
    <w:rPr>
      <w:rFonts w:cs="Times New Roman"/>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8">
    <w:name w:val="Body Text Indent 3"/>
    <w:basedOn w:val="1"/>
    <w:link w:val="60"/>
    <w:unhideWhenUsed/>
    <w:qFormat/>
    <w:uiPriority w:val="99"/>
    <w:pPr>
      <w:spacing w:after="120"/>
      <w:ind w:left="420" w:leftChars="200"/>
    </w:pPr>
    <w:rPr>
      <w:rFonts w:cs="Times New Roman"/>
      <w:sz w:val="16"/>
      <w:szCs w:val="16"/>
    </w:rPr>
  </w:style>
  <w:style w:type="paragraph" w:styleId="1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0">
    <w:name w:val="annotation subject"/>
    <w:basedOn w:val="9"/>
    <w:next w:val="9"/>
    <w:link w:val="56"/>
    <w:unhideWhenUsed/>
    <w:qFormat/>
    <w:uiPriority w:val="99"/>
    <w:rPr>
      <w:b/>
      <w:bCs/>
    </w:rPr>
  </w:style>
  <w:style w:type="paragraph" w:styleId="21">
    <w:name w:val="Body Text First Indent"/>
    <w:basedOn w:val="10"/>
    <w:link w:val="53"/>
    <w:unhideWhenUsed/>
    <w:qFormat/>
    <w:uiPriority w:val="99"/>
    <w:pPr>
      <w:spacing w:after="120"/>
      <w:ind w:left="0" w:firstLine="420" w:firstLineChars="100"/>
    </w:pPr>
    <w:rPr>
      <w:szCs w:val="22"/>
    </w:rPr>
  </w:style>
  <w:style w:type="paragraph" w:styleId="22">
    <w:name w:val="Body Text First Indent 2"/>
    <w:basedOn w:val="11"/>
    <w:qFormat/>
    <w:uiPriority w:val="0"/>
    <w:pPr>
      <w:spacing w:after="120"/>
      <w:ind w:left="420" w:leftChars="200"/>
    </w:pPr>
    <w:rPr>
      <w:rFonts w:ascii="Calibri" w:hAnsi="Calibri"/>
      <w:sz w:val="21"/>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rPr>
      <w:rFonts w:cs="Times New Roman"/>
    </w:rPr>
  </w:style>
  <w:style w:type="character" w:styleId="28">
    <w:name w:val="FollowedHyperlink"/>
    <w:basedOn w:val="25"/>
    <w:unhideWhenUsed/>
    <w:qFormat/>
    <w:uiPriority w:val="99"/>
    <w:rPr>
      <w:color w:val="003B70"/>
      <w:u w:val="none"/>
    </w:rPr>
  </w:style>
  <w:style w:type="character" w:styleId="29">
    <w:name w:val="Hyperlink"/>
    <w:basedOn w:val="25"/>
    <w:unhideWhenUsed/>
    <w:qFormat/>
    <w:uiPriority w:val="99"/>
    <w:rPr>
      <w:color w:val="003B70"/>
      <w:u w:val="none"/>
    </w:rPr>
  </w:style>
  <w:style w:type="character" w:styleId="30">
    <w:name w:val="annotation reference"/>
    <w:basedOn w:val="25"/>
    <w:unhideWhenUsed/>
    <w:qFormat/>
    <w:uiPriority w:val="99"/>
    <w:rPr>
      <w:sz w:val="21"/>
      <w:szCs w:val="21"/>
    </w:rPr>
  </w:style>
  <w:style w:type="paragraph" w:customStyle="1" w:styleId="31">
    <w:name w:val="表格文字"/>
    <w:basedOn w:val="32"/>
    <w:next w:val="1"/>
    <w:qFormat/>
    <w:uiPriority w:val="0"/>
    <w:pPr>
      <w:spacing w:before="25" w:after="25"/>
      <w:jc w:val="left"/>
    </w:pPr>
    <w:rPr>
      <w:bCs/>
      <w:spacing w:val="10"/>
      <w:kern w:val="0"/>
      <w:sz w:val="24"/>
      <w:szCs w:val="20"/>
    </w:rPr>
  </w:style>
  <w:style w:type="paragraph" w:customStyle="1" w:styleId="32">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Heading4"/>
    <w:basedOn w:val="1"/>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5">
    <w:name w:val="图_0"/>
    <w:basedOn w:val="36"/>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Table Paragraph"/>
    <w:basedOn w:val="1"/>
    <w:qFormat/>
    <w:uiPriority w:val="1"/>
    <w:rPr>
      <w:sz w:val="24"/>
      <w:szCs w:val="24"/>
    </w:rPr>
  </w:style>
  <w:style w:type="paragraph" w:customStyle="1" w:styleId="38">
    <w:name w:val="_Style 3"/>
    <w:basedOn w:val="1"/>
    <w:next w:val="18"/>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39">
    <w:name w:val="Char Char Char"/>
    <w:basedOn w:val="1"/>
    <w:qFormat/>
    <w:uiPriority w:val="0"/>
    <w:rPr>
      <w:rFonts w:ascii="宋体" w:hAnsi="宋体"/>
      <w:b/>
      <w:sz w:val="28"/>
      <w:szCs w:val="28"/>
    </w:rPr>
  </w:style>
  <w:style w:type="paragraph" w:customStyle="1" w:styleId="40">
    <w:name w:val="正文1"/>
    <w:basedOn w:val="1"/>
    <w:next w:val="41"/>
    <w:qFormat/>
    <w:uiPriority w:val="0"/>
    <w:pPr>
      <w:spacing w:line="360" w:lineRule="auto"/>
    </w:pPr>
    <w:rPr>
      <w:rFonts w:ascii="宋体" w:hAnsi="华文宋体"/>
      <w:kern w:val="20"/>
      <w:sz w:val="24"/>
      <w:szCs w:val="20"/>
    </w:rPr>
  </w:style>
  <w:style w:type="paragraph" w:customStyle="1" w:styleId="41">
    <w:name w:val="普通正文"/>
    <w:basedOn w:val="40"/>
    <w:qFormat/>
    <w:uiPriority w:val="0"/>
    <w:pPr>
      <w:widowControl/>
      <w:spacing w:line="360" w:lineRule="atLeast"/>
      <w:ind w:firstLine="425"/>
    </w:pPr>
    <w:rPr>
      <w:kern w:val="21"/>
    </w:rPr>
  </w:style>
  <w:style w:type="paragraph" w:customStyle="1" w:styleId="42">
    <w:name w:val="TOC2"/>
    <w:basedOn w:val="1"/>
    <w:next w:val="1"/>
    <w:qFormat/>
    <w:uiPriority w:val="0"/>
    <w:pPr>
      <w:ind w:left="420" w:leftChars="200"/>
    </w:pPr>
    <w:rPr>
      <w:rFonts w:ascii="Calibri" w:hAnsi="Calibri" w:eastAsia="仿宋"/>
      <w:sz w:val="24"/>
    </w:rPr>
  </w:style>
  <w:style w:type="paragraph" w:styleId="43">
    <w:name w:val="List Paragraph"/>
    <w:basedOn w:val="1"/>
    <w:qFormat/>
    <w:uiPriority w:val="1"/>
    <w:pPr>
      <w:ind w:left="206" w:firstLine="384"/>
    </w:pPr>
    <w:rPr>
      <w:sz w:val="24"/>
      <w:szCs w:val="24"/>
    </w:rPr>
  </w:style>
  <w:style w:type="paragraph" w:customStyle="1" w:styleId="44">
    <w:name w:val="_Style 40"/>
    <w:unhideWhenUsed/>
    <w:qFormat/>
    <w:uiPriority w:val="99"/>
    <w:rPr>
      <w:rFonts w:ascii="宋体" w:hAnsi="Times New Roman" w:eastAsia="宋体" w:cs="宋体"/>
      <w:sz w:val="22"/>
      <w:szCs w:val="22"/>
      <w:lang w:val="en-US" w:eastAsia="zh-CN" w:bidi="ar-SA"/>
    </w:rPr>
  </w:style>
  <w:style w:type="paragraph" w:customStyle="1" w:styleId="45">
    <w:name w:val="纯文本_0"/>
    <w:basedOn w:val="36"/>
    <w:qFormat/>
    <w:uiPriority w:val="0"/>
    <w:rPr>
      <w:rFonts w:ascii="宋体" w:hAnsi="Courier New"/>
      <w:kern w:val="0"/>
      <w:sz w:val="20"/>
      <w:szCs w:val="21"/>
    </w:rPr>
  </w:style>
  <w:style w:type="paragraph" w:customStyle="1" w:styleId="46">
    <w:name w:val="RZ表格"/>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7">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font41"/>
    <w:qFormat/>
    <w:uiPriority w:val="0"/>
    <w:rPr>
      <w:rFonts w:ascii="Calibri" w:hAnsi="Calibri" w:cs="Calibri"/>
      <w:color w:val="000000"/>
      <w:sz w:val="21"/>
      <w:szCs w:val="21"/>
      <w:u w:val="none"/>
    </w:rPr>
  </w:style>
  <w:style w:type="character" w:customStyle="1" w:styleId="49">
    <w:name w:val="正文文本 Char"/>
    <w:link w:val="10"/>
    <w:semiHidden/>
    <w:qFormat/>
    <w:uiPriority w:val="99"/>
    <w:rPr>
      <w:rFonts w:ascii="宋体" w:hAnsi="Times New Roman" w:eastAsia="宋体" w:cs="宋体"/>
      <w:kern w:val="0"/>
      <w:sz w:val="22"/>
    </w:rPr>
  </w:style>
  <w:style w:type="character" w:customStyle="1" w:styleId="50">
    <w:name w:val="_Style 0"/>
    <w:qFormat/>
    <w:uiPriority w:val="0"/>
    <w:rPr>
      <w:i/>
      <w:iCs/>
      <w:color w:val="808080"/>
    </w:rPr>
  </w:style>
  <w:style w:type="character" w:customStyle="1" w:styleId="51">
    <w:name w:val="页眉 Char"/>
    <w:link w:val="17"/>
    <w:qFormat/>
    <w:uiPriority w:val="99"/>
    <w:rPr>
      <w:rFonts w:ascii="宋体" w:hAnsi="Times New Roman" w:eastAsia="宋体" w:cs="宋体"/>
      <w:kern w:val="0"/>
      <w:sz w:val="18"/>
      <w:szCs w:val="18"/>
    </w:rPr>
  </w:style>
  <w:style w:type="character" w:customStyle="1" w:styleId="52">
    <w:name w:val="标题 1 Char"/>
    <w:link w:val="3"/>
    <w:qFormat/>
    <w:uiPriority w:val="9"/>
    <w:rPr>
      <w:rFonts w:ascii="宋体" w:hAnsi="Times New Roman" w:eastAsia="宋体" w:cs="宋体"/>
      <w:b/>
      <w:bCs/>
      <w:kern w:val="44"/>
      <w:sz w:val="44"/>
      <w:szCs w:val="44"/>
    </w:rPr>
  </w:style>
  <w:style w:type="character" w:customStyle="1" w:styleId="53">
    <w:name w:val="正文首行缩进 Char"/>
    <w:link w:val="21"/>
    <w:semiHidden/>
    <w:qFormat/>
    <w:uiPriority w:val="99"/>
    <w:rPr>
      <w:rFonts w:ascii="宋体" w:hAnsi="Times New Roman" w:eastAsia="宋体" w:cs="宋体"/>
      <w:kern w:val="0"/>
      <w:sz w:val="22"/>
      <w:szCs w:val="22"/>
    </w:rPr>
  </w:style>
  <w:style w:type="character" w:customStyle="1" w:styleId="54">
    <w:name w:val="批注文字 Char"/>
    <w:link w:val="9"/>
    <w:qFormat/>
    <w:uiPriority w:val="99"/>
    <w:rPr>
      <w:rFonts w:ascii="宋体" w:hAnsi="Times New Roman" w:eastAsia="宋体" w:cs="宋体"/>
      <w:sz w:val="22"/>
      <w:szCs w:val="22"/>
    </w:rPr>
  </w:style>
  <w:style w:type="character" w:customStyle="1" w:styleId="55">
    <w:name w:val="标题 4 Char"/>
    <w:link w:val="6"/>
    <w:semiHidden/>
    <w:qFormat/>
    <w:uiPriority w:val="9"/>
    <w:rPr>
      <w:rFonts w:ascii="等线 Light" w:hAnsi="等线 Light" w:eastAsia="等线 Light" w:cs="Times New Roman"/>
      <w:b/>
      <w:bCs/>
      <w:kern w:val="0"/>
      <w:sz w:val="28"/>
      <w:szCs w:val="28"/>
    </w:rPr>
  </w:style>
  <w:style w:type="character" w:customStyle="1" w:styleId="56">
    <w:name w:val="批注主题 Char"/>
    <w:link w:val="20"/>
    <w:semiHidden/>
    <w:qFormat/>
    <w:uiPriority w:val="99"/>
    <w:rPr>
      <w:rFonts w:ascii="宋体" w:hAnsi="Times New Roman" w:eastAsia="宋体" w:cs="宋体"/>
      <w:b/>
      <w:bCs/>
      <w:sz w:val="22"/>
      <w:szCs w:val="22"/>
    </w:rPr>
  </w:style>
  <w:style w:type="character" w:customStyle="1" w:styleId="57">
    <w:name w:val="标题 3 Char"/>
    <w:link w:val="5"/>
    <w:semiHidden/>
    <w:qFormat/>
    <w:uiPriority w:val="9"/>
    <w:rPr>
      <w:rFonts w:ascii="宋体" w:hAnsi="Times New Roman" w:eastAsia="宋体" w:cs="宋体"/>
      <w:b/>
      <w:bCs/>
      <w:kern w:val="0"/>
      <w:sz w:val="32"/>
      <w:szCs w:val="32"/>
    </w:rPr>
  </w:style>
  <w:style w:type="character" w:customStyle="1" w:styleId="58">
    <w:name w:val="p141_0"/>
    <w:qFormat/>
    <w:uiPriority w:val="0"/>
    <w:rPr>
      <w:rFonts w:ascii="Calibri" w:hAnsi="Calibri"/>
      <w:sz w:val="21"/>
      <w:szCs w:val="21"/>
    </w:rPr>
  </w:style>
  <w:style w:type="character" w:customStyle="1" w:styleId="59">
    <w:name w:val="批注框文本 Char"/>
    <w:link w:val="15"/>
    <w:semiHidden/>
    <w:qFormat/>
    <w:uiPriority w:val="99"/>
    <w:rPr>
      <w:rFonts w:ascii="宋体" w:hAnsi="Times New Roman" w:eastAsia="宋体" w:cs="宋体"/>
      <w:sz w:val="18"/>
      <w:szCs w:val="18"/>
    </w:rPr>
  </w:style>
  <w:style w:type="character" w:customStyle="1" w:styleId="60">
    <w:name w:val="正文文本缩进 3 Char"/>
    <w:link w:val="18"/>
    <w:semiHidden/>
    <w:qFormat/>
    <w:uiPriority w:val="99"/>
    <w:rPr>
      <w:rFonts w:ascii="宋体" w:hAnsi="Times New Roman" w:eastAsia="宋体" w:cs="宋体"/>
      <w:sz w:val="16"/>
      <w:szCs w:val="16"/>
    </w:rPr>
  </w:style>
  <w:style w:type="character" w:customStyle="1" w:styleId="61">
    <w:name w:val="标题 2 Char"/>
    <w:link w:val="4"/>
    <w:semiHidden/>
    <w:qFormat/>
    <w:uiPriority w:val="9"/>
    <w:rPr>
      <w:rFonts w:ascii="等线 Light" w:hAnsi="等线 Light" w:eastAsia="等线 Light" w:cs="Times New Roman"/>
      <w:b/>
      <w:bCs/>
      <w:kern w:val="0"/>
      <w:sz w:val="32"/>
      <w:szCs w:val="32"/>
    </w:rPr>
  </w:style>
  <w:style w:type="character" w:customStyle="1" w:styleId="62">
    <w:name w:val="正文文本 字符1"/>
    <w:semiHidden/>
    <w:qFormat/>
    <w:uiPriority w:val="99"/>
    <w:rPr>
      <w:rFonts w:ascii="宋体" w:hAnsi="Times New Roman" w:eastAsia="宋体" w:cs="宋体"/>
      <w:kern w:val="0"/>
      <w:sz w:val="22"/>
    </w:rPr>
  </w:style>
  <w:style w:type="character" w:customStyle="1" w:styleId="63">
    <w:name w:val="标题 5 Char"/>
    <w:link w:val="7"/>
    <w:semiHidden/>
    <w:qFormat/>
    <w:uiPriority w:val="9"/>
    <w:rPr>
      <w:rFonts w:ascii="宋体" w:hAnsi="Times New Roman" w:eastAsia="宋体" w:cs="宋体"/>
      <w:b/>
      <w:bCs/>
      <w:kern w:val="0"/>
      <w:sz w:val="28"/>
      <w:szCs w:val="28"/>
    </w:rPr>
  </w:style>
  <w:style w:type="character" w:customStyle="1" w:styleId="64">
    <w:name w:val="不明显强调1"/>
    <w:qFormat/>
    <w:uiPriority w:val="0"/>
    <w:rPr>
      <w:i/>
      <w:iCs/>
      <w:color w:val="808080"/>
    </w:rPr>
  </w:style>
  <w:style w:type="character" w:customStyle="1" w:styleId="65">
    <w:name w:val="页脚 Char"/>
    <w:link w:val="16"/>
    <w:qFormat/>
    <w:uiPriority w:val="0"/>
    <w:rPr>
      <w:rFonts w:ascii="宋体" w:hAnsi="Times New Roman" w:eastAsia="宋体" w:cs="宋体"/>
      <w:kern w:val="0"/>
      <w:sz w:val="18"/>
      <w:szCs w:val="18"/>
    </w:rPr>
  </w:style>
  <w:style w:type="paragraph" w:customStyle="1" w:styleId="66">
    <w:name w:val="首行缩进"/>
    <w:basedOn w:val="1"/>
    <w:qFormat/>
    <w:uiPriority w:val="0"/>
    <w:pPr>
      <w:spacing w:line="360" w:lineRule="auto"/>
      <w:ind w:firstLine="420"/>
    </w:pPr>
    <w:rPr>
      <w:rFonts w:ascii="宋体" w:hAnsi="宋体" w:eastAsia="宋体"/>
    </w:rPr>
  </w:style>
  <w:style w:type="character" w:customStyle="1" w:styleId="67">
    <w:name w:val="font21"/>
    <w:basedOn w:val="25"/>
    <w:qFormat/>
    <w:uiPriority w:val="0"/>
    <w:rPr>
      <w:rFonts w:hint="eastAsia" w:ascii="宋体" w:hAnsi="宋体" w:eastAsia="宋体" w:cs="宋体"/>
      <w:color w:val="333333"/>
      <w:sz w:val="20"/>
      <w:szCs w:val="20"/>
      <w:u w:val="none"/>
    </w:rPr>
  </w:style>
  <w:style w:type="paragraph" w:customStyle="1" w:styleId="68">
    <w:name w:val="Char Char1 Char Char Char Char Char Char Char Char Char Char"/>
    <w:basedOn w:val="1"/>
    <w:qFormat/>
    <w:uiPriority w:val="0"/>
    <w:rPr>
      <w:rFonts w:ascii="Tahoma" w:hAnsi="Tahoma"/>
      <w:sz w:val="24"/>
      <w:szCs w:val="20"/>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 w:type="character" w:customStyle="1" w:styleId="70">
    <w:name w:val="font51"/>
    <w:basedOn w:val="25"/>
    <w:qFormat/>
    <w:uiPriority w:val="0"/>
    <w:rPr>
      <w:rFonts w:hint="eastAsia" w:ascii="宋体" w:hAnsi="宋体" w:eastAsia="宋体" w:cs="宋体"/>
      <w:b/>
      <w:bCs/>
      <w:color w:val="000000"/>
      <w:sz w:val="22"/>
      <w:szCs w:val="22"/>
      <w:u w:val="none"/>
    </w:rPr>
  </w:style>
  <w:style w:type="character" w:customStyle="1" w:styleId="71">
    <w:name w:val="font01"/>
    <w:basedOn w:val="25"/>
    <w:qFormat/>
    <w:uiPriority w:val="0"/>
    <w:rPr>
      <w:rFonts w:hint="eastAsia" w:ascii="等线" w:hAnsi="等线" w:eastAsia="等线" w:cs="等线"/>
      <w:color w:val="000000"/>
      <w:sz w:val="22"/>
      <w:szCs w:val="22"/>
      <w:u w:val="none"/>
    </w:rPr>
  </w:style>
  <w:style w:type="paragraph" w:customStyle="1" w:styleId="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3">
    <w:name w:val="正文-标准"/>
    <w:basedOn w:val="1"/>
    <w:qFormat/>
    <w:uiPriority w:val="0"/>
    <w:pPr>
      <w:autoSpaceDE w:val="0"/>
      <w:autoSpaceDN w:val="0"/>
      <w:adjustRightInd w:val="0"/>
      <w:spacing w:line="360" w:lineRule="exact"/>
      <w:jc w:val="left"/>
    </w:pPr>
    <w:rPr>
      <w:rFonts w:eastAsia="宋体" w:cs="宋体"/>
      <w:kern w:val="21"/>
      <w:szCs w:val="20"/>
    </w:rPr>
  </w:style>
  <w:style w:type="paragraph" w:customStyle="1" w:styleId="74">
    <w:name w:val="正文缩进1"/>
    <w:basedOn w:val="1"/>
    <w:qFormat/>
    <w:uiPriority w:val="0"/>
    <w:pPr>
      <w:ind w:firstLine="420"/>
    </w:pPr>
    <w:rPr>
      <w:szCs w:val="20"/>
    </w:rPr>
  </w:style>
  <w:style w:type="paragraph" w:customStyle="1" w:styleId="75">
    <w:name w:val="正文-manu"/>
    <w:basedOn w:val="1"/>
    <w:qFormat/>
    <w:uiPriority w:val="0"/>
    <w:pPr>
      <w:spacing w:line="300" w:lineRule="auto"/>
    </w:pPr>
    <w:rPr>
      <w:b/>
      <w:kern w:val="0"/>
      <w:sz w:val="24"/>
      <w:szCs w:val="20"/>
    </w:rPr>
  </w:style>
  <w:style w:type="paragraph" w:customStyle="1" w:styleId="76">
    <w:name w:val="技_三级"/>
    <w:basedOn w:val="1"/>
    <w:qFormat/>
    <w:uiPriority w:val="0"/>
    <w:pPr>
      <w:numPr>
        <w:ilvl w:val="2"/>
        <w:numId w:val="1"/>
      </w:numPr>
      <w:tabs>
        <w:tab w:val="left" w:pos="720"/>
      </w:tabs>
      <w:ind w:left="100"/>
      <w:outlineLvl w:val="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18918</Words>
  <Characters>21767</Characters>
  <Lines>634</Lines>
  <Paragraphs>178</Paragraphs>
  <TotalTime>3</TotalTime>
  <ScaleCrop>false</ScaleCrop>
  <LinksUpToDate>false</LinksUpToDate>
  <CharactersWithSpaces>22266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梁云亭</cp:lastModifiedBy>
  <cp:lastPrinted>2023-10-26T07:49:00Z</cp:lastPrinted>
  <dcterms:modified xsi:type="dcterms:W3CDTF">2025-07-17T03:39:48Z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2052-12.1.0.21915</vt:lpwstr>
  </property>
  <property fmtid="{D5CDD505-2E9C-101B-9397-08002B2CF9AE}" pid="4" name="ICV">
    <vt:lpwstr>7D6BBFB7BA5843C6B065ECFBEE5B2104_13</vt:lpwstr>
  </property>
  <property fmtid="{D5CDD505-2E9C-101B-9397-08002B2CF9AE}" pid="5" name="KSOTemplateDocerSaveRecord">
    <vt:lpwstr>eyJoZGlkIjoiY2UxZmJiY2RlMzMxNDdlZTIzMzVmNDYzYmNlNTYwODkiLCJ1c2VySWQiOiI2NDYzNTY4ODUifQ==</vt:lpwstr>
  </property>
</Properties>
</file>