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B7D7C">
      <w:pPr>
        <w:pStyle w:val="11"/>
        <w:jc w:val="center"/>
        <w:outlineLvl w:val="1"/>
        <w:rPr>
          <w:rFonts w:hint="eastAsia" w:ascii="宋体" w:hAnsi="宋体" w:eastAsia="宋体" w:cs="宋体"/>
          <w:color w:val="auto"/>
          <w:highlight w:val="none"/>
        </w:rPr>
      </w:pPr>
      <w:bookmarkStart w:id="31" w:name="_GoBack"/>
      <w:r>
        <w:rPr>
          <w:rFonts w:hint="eastAsia" w:ascii="宋体" w:hAnsi="宋体" w:eastAsia="宋体" w:cs="宋体"/>
          <w:b/>
          <w:color w:val="auto"/>
          <w:sz w:val="36"/>
          <w:highlight w:val="none"/>
        </w:rPr>
        <w:t>第五章 合同文本</w:t>
      </w:r>
    </w:p>
    <w:bookmarkEnd w:id="31"/>
    <w:p w14:paraId="2E946A35">
      <w:pPr>
        <w:jc w:val="center"/>
        <w:rPr>
          <w:rFonts w:hint="eastAsia" w:ascii="宋体" w:hAnsi="宋体" w:eastAsia="宋体" w:cs="宋体"/>
          <w:b/>
          <w:bCs/>
          <w:color w:val="auto"/>
          <w:sz w:val="36"/>
          <w:szCs w:val="36"/>
          <w:highlight w:val="none"/>
        </w:rPr>
      </w:pPr>
    </w:p>
    <w:p w14:paraId="738EE5D4">
      <w:pPr>
        <w:jc w:val="center"/>
        <w:rPr>
          <w:rFonts w:hint="eastAsia" w:ascii="宋体" w:hAnsi="宋体" w:eastAsia="宋体" w:cs="宋体"/>
          <w:b/>
          <w:bCs/>
          <w:color w:val="auto"/>
          <w:sz w:val="36"/>
          <w:szCs w:val="36"/>
          <w:highlight w:val="none"/>
          <w:shd w:val="clear" w:color="auto" w:fill="auto"/>
        </w:rPr>
      </w:pPr>
    </w:p>
    <w:p w14:paraId="20D1B66A">
      <w:pPr>
        <w:spacing w:line="300" w:lineRule="auto"/>
        <w:ind w:left="419" w:hanging="419" w:hangingChars="116"/>
        <w:jc w:val="center"/>
        <w:rPr>
          <w:rFonts w:hint="eastAsia" w:ascii="宋体" w:hAnsi="宋体" w:eastAsia="宋体" w:cs="宋体"/>
          <w:b/>
          <w:bCs/>
          <w:color w:val="auto"/>
          <w:sz w:val="36"/>
          <w:szCs w:val="36"/>
          <w:highlight w:val="none"/>
          <w:shd w:val="clear" w:color="auto" w:fill="auto"/>
          <w:lang w:eastAsia="zh-CN"/>
        </w:rPr>
      </w:pPr>
      <w:r>
        <w:rPr>
          <w:rFonts w:hint="eastAsia" w:ascii="宋体" w:hAnsi="宋体" w:eastAsia="宋体" w:cs="宋体"/>
          <w:b/>
          <w:bCs/>
          <w:color w:val="auto"/>
          <w:sz w:val="36"/>
          <w:szCs w:val="36"/>
          <w:highlight w:val="none"/>
          <w:shd w:val="clear" w:color="auto" w:fill="auto"/>
          <w:lang w:eastAsia="zh-CN"/>
        </w:rPr>
        <w:t>广东省中医院大德路总院污水处理系统更新改造项目</w:t>
      </w:r>
    </w:p>
    <w:p w14:paraId="36C3AF02">
      <w:pPr>
        <w:spacing w:line="300" w:lineRule="auto"/>
        <w:ind w:left="419" w:hanging="419" w:hangingChars="116"/>
        <w:jc w:val="center"/>
        <w:rPr>
          <w:rFonts w:hint="eastAsia" w:ascii="宋体" w:hAnsi="宋体" w:eastAsia="宋体" w:cs="宋体"/>
          <w:b/>
          <w:color w:val="auto"/>
          <w:sz w:val="36"/>
          <w:szCs w:val="36"/>
          <w:highlight w:val="none"/>
          <w:shd w:val="clear" w:color="auto" w:fill="auto"/>
        </w:rPr>
      </w:pPr>
      <w:r>
        <w:rPr>
          <w:rFonts w:hint="eastAsia" w:ascii="宋体" w:hAnsi="宋体" w:eastAsia="宋体" w:cs="宋体"/>
          <w:b/>
          <w:bCs/>
          <w:color w:val="auto"/>
          <w:sz w:val="36"/>
          <w:szCs w:val="36"/>
          <w:highlight w:val="none"/>
          <w:shd w:val="clear" w:color="auto" w:fill="auto"/>
        </w:rPr>
        <w:t>施工专业承包合同</w:t>
      </w:r>
    </w:p>
    <w:p w14:paraId="77B3123E">
      <w:pPr>
        <w:jc w:val="center"/>
        <w:rPr>
          <w:rFonts w:hint="eastAsia" w:ascii="宋体" w:hAnsi="宋体" w:eastAsia="宋体" w:cs="宋体"/>
          <w:b/>
          <w:bCs/>
          <w:color w:val="auto"/>
          <w:sz w:val="36"/>
          <w:szCs w:val="36"/>
          <w:highlight w:val="none"/>
          <w:shd w:val="clear" w:color="auto" w:fill="auto"/>
        </w:rPr>
      </w:pPr>
    </w:p>
    <w:p w14:paraId="7AA06298">
      <w:pPr>
        <w:rPr>
          <w:rFonts w:hint="eastAsia" w:ascii="宋体" w:hAnsi="宋体" w:eastAsia="宋体" w:cs="宋体"/>
          <w:b/>
          <w:bCs/>
          <w:color w:val="auto"/>
          <w:sz w:val="36"/>
          <w:szCs w:val="36"/>
          <w:highlight w:val="none"/>
          <w:shd w:val="clear" w:color="auto" w:fill="auto"/>
        </w:rPr>
      </w:pPr>
    </w:p>
    <w:p w14:paraId="033784CD">
      <w:pPr>
        <w:rPr>
          <w:rFonts w:hint="eastAsia" w:ascii="宋体" w:hAnsi="宋体" w:eastAsia="宋体" w:cs="宋体"/>
          <w:bCs/>
          <w:color w:val="auto"/>
          <w:sz w:val="30"/>
          <w:szCs w:val="30"/>
          <w:highlight w:val="none"/>
          <w:shd w:val="clear" w:color="auto" w:fill="auto"/>
        </w:rPr>
      </w:pPr>
      <w:r>
        <w:rPr>
          <w:rFonts w:hint="eastAsia" w:ascii="宋体" w:hAnsi="宋体" w:eastAsia="宋体" w:cs="宋体"/>
          <w:b/>
          <w:bCs/>
          <w:color w:val="auto"/>
          <w:sz w:val="36"/>
          <w:highlight w:val="none"/>
          <w:shd w:val="clear" w:color="auto" w:fill="auto"/>
        </w:rPr>
        <w:t xml:space="preserve">                </w:t>
      </w:r>
      <w:r>
        <w:rPr>
          <w:rFonts w:hint="eastAsia" w:ascii="宋体" w:hAnsi="宋体" w:eastAsia="宋体" w:cs="宋体"/>
          <w:b/>
          <w:bCs/>
          <w:color w:val="auto"/>
          <w:sz w:val="36"/>
          <w:highlight w:val="none"/>
          <w:shd w:val="clear" w:color="auto" w:fill="auto"/>
          <w:lang w:val="en-US" w:eastAsia="zh-CN"/>
        </w:rPr>
        <w:t xml:space="preserve">                    </w:t>
      </w:r>
      <w:r>
        <w:rPr>
          <w:rFonts w:hint="eastAsia" w:ascii="宋体" w:hAnsi="宋体" w:eastAsia="宋体" w:cs="宋体"/>
          <w:bCs/>
          <w:color w:val="auto"/>
          <w:sz w:val="30"/>
          <w:szCs w:val="30"/>
          <w:highlight w:val="none"/>
          <w:shd w:val="clear" w:color="auto" w:fill="auto"/>
        </w:rPr>
        <w:t>合同编号：</w:t>
      </w:r>
    </w:p>
    <w:p w14:paraId="0B2D5429">
      <w:pPr>
        <w:rPr>
          <w:rFonts w:hint="eastAsia" w:ascii="宋体" w:hAnsi="宋体" w:eastAsia="宋体" w:cs="宋体"/>
          <w:bCs/>
          <w:color w:val="auto"/>
          <w:sz w:val="30"/>
          <w:szCs w:val="30"/>
          <w:highlight w:val="none"/>
          <w:shd w:val="clear" w:color="auto" w:fill="auto"/>
        </w:rPr>
      </w:pPr>
    </w:p>
    <w:p w14:paraId="1DDA426D">
      <w:pPr>
        <w:rPr>
          <w:rFonts w:hint="eastAsia" w:ascii="宋体" w:hAnsi="宋体" w:eastAsia="宋体" w:cs="宋体"/>
          <w:bCs/>
          <w:color w:val="auto"/>
          <w:sz w:val="30"/>
          <w:szCs w:val="30"/>
          <w:highlight w:val="none"/>
          <w:shd w:val="clear" w:color="auto" w:fill="auto"/>
        </w:rPr>
      </w:pPr>
    </w:p>
    <w:p w14:paraId="6AB4067E">
      <w:pPr>
        <w:rPr>
          <w:rFonts w:hint="eastAsia" w:ascii="宋体" w:hAnsi="宋体" w:eastAsia="宋体" w:cs="宋体"/>
          <w:bCs/>
          <w:color w:val="auto"/>
          <w:sz w:val="30"/>
          <w:szCs w:val="30"/>
          <w:highlight w:val="none"/>
          <w:shd w:val="clear" w:color="auto" w:fill="auto"/>
        </w:rPr>
      </w:pPr>
    </w:p>
    <w:p w14:paraId="5C45D199">
      <w:pPr>
        <w:spacing w:line="360" w:lineRule="auto"/>
        <w:ind w:leftChars="300" w:firstLine="0" w:firstLineChars="0"/>
        <w:rPr>
          <w:rFonts w:hint="eastAsia" w:ascii="宋体" w:hAnsi="宋体" w:eastAsia="宋体" w:cs="宋体"/>
          <w:bCs/>
          <w:color w:val="auto"/>
          <w:sz w:val="32"/>
          <w:szCs w:val="32"/>
          <w:highlight w:val="none"/>
          <w:shd w:val="clear" w:color="auto" w:fill="auto"/>
        </w:rPr>
      </w:pPr>
      <w:r>
        <w:rPr>
          <w:rFonts w:hint="eastAsia" w:ascii="宋体" w:hAnsi="宋体" w:eastAsia="宋体" w:cs="宋体"/>
          <w:bCs/>
          <w:color w:val="auto"/>
          <w:sz w:val="32"/>
          <w:szCs w:val="32"/>
          <w:highlight w:val="none"/>
          <w:shd w:val="clear" w:color="auto" w:fill="auto"/>
        </w:rPr>
        <w:t>发包方（甲方）： 广东省中医院</w:t>
      </w:r>
    </w:p>
    <w:p w14:paraId="29C9C8A4">
      <w:pPr>
        <w:spacing w:line="360" w:lineRule="auto"/>
        <w:ind w:leftChars="300" w:firstLine="0" w:firstLineChars="0"/>
        <w:rPr>
          <w:rFonts w:hint="eastAsia" w:ascii="宋体" w:hAnsi="宋体" w:eastAsia="宋体" w:cs="宋体"/>
          <w:color w:val="auto"/>
          <w:sz w:val="32"/>
          <w:szCs w:val="32"/>
          <w:highlight w:val="none"/>
          <w:shd w:val="clear" w:color="auto" w:fill="auto"/>
        </w:rPr>
      </w:pPr>
      <w:r>
        <w:rPr>
          <w:rFonts w:hint="eastAsia" w:ascii="宋体" w:hAnsi="宋体" w:eastAsia="宋体" w:cs="宋体"/>
          <w:bCs/>
          <w:color w:val="auto"/>
          <w:sz w:val="32"/>
          <w:szCs w:val="32"/>
          <w:highlight w:val="none"/>
          <w:shd w:val="clear" w:color="auto" w:fill="auto"/>
        </w:rPr>
        <w:t>承包方（</w:t>
      </w:r>
      <w:r>
        <w:rPr>
          <w:rFonts w:hint="eastAsia" w:ascii="宋体" w:hAnsi="宋体" w:eastAsia="宋体" w:cs="宋体"/>
          <w:color w:val="auto"/>
          <w:sz w:val="32"/>
          <w:szCs w:val="32"/>
          <w:highlight w:val="none"/>
          <w:shd w:val="clear" w:color="auto" w:fill="auto"/>
        </w:rPr>
        <w:t>乙方）：</w:t>
      </w:r>
    </w:p>
    <w:p w14:paraId="3222032C">
      <w:pPr>
        <w:spacing w:line="300" w:lineRule="auto"/>
        <w:ind w:firstLine="640" w:firstLineChars="200"/>
        <w:jc w:val="both"/>
        <w:rPr>
          <w:rFonts w:hint="eastAsia" w:ascii="宋体" w:hAnsi="宋体" w:eastAsia="宋体" w:cs="宋体"/>
          <w:b/>
          <w:bCs/>
          <w:color w:val="auto"/>
          <w:sz w:val="36"/>
          <w:szCs w:val="36"/>
          <w:highlight w:val="none"/>
          <w:shd w:val="clear" w:color="auto" w:fill="auto"/>
        </w:rPr>
      </w:pPr>
      <w:r>
        <w:rPr>
          <w:rFonts w:hint="eastAsia" w:ascii="宋体" w:hAnsi="宋体" w:eastAsia="宋体" w:cs="宋体"/>
          <w:color w:val="auto"/>
          <w:sz w:val="32"/>
          <w:szCs w:val="32"/>
          <w:highlight w:val="none"/>
          <w:shd w:val="clear" w:color="auto" w:fill="auto"/>
        </w:rPr>
        <w:t>项目名称：</w:t>
      </w:r>
      <w:r>
        <w:rPr>
          <w:rFonts w:hint="eastAsia" w:ascii="宋体" w:hAnsi="宋体" w:eastAsia="宋体" w:cs="宋体"/>
          <w:color w:val="auto"/>
          <w:sz w:val="32"/>
          <w:szCs w:val="32"/>
          <w:highlight w:val="none"/>
          <w:shd w:val="clear" w:color="auto" w:fill="auto"/>
          <w:lang w:eastAsia="zh-CN"/>
        </w:rPr>
        <w:t>广东省中医院大德路总院污水处理系统更新改造项目</w:t>
      </w:r>
    </w:p>
    <w:p w14:paraId="09686CC8">
      <w:pPr>
        <w:spacing w:line="300" w:lineRule="auto"/>
        <w:ind w:left="419" w:hanging="419" w:hangingChars="116"/>
        <w:jc w:val="center"/>
        <w:rPr>
          <w:rFonts w:hint="eastAsia" w:ascii="宋体" w:hAnsi="宋体" w:eastAsia="宋体" w:cs="宋体"/>
          <w:b/>
          <w:bCs/>
          <w:color w:val="auto"/>
          <w:sz w:val="36"/>
          <w:szCs w:val="36"/>
          <w:highlight w:val="none"/>
          <w:shd w:val="clear" w:color="auto" w:fill="auto"/>
        </w:rPr>
      </w:pPr>
    </w:p>
    <w:p w14:paraId="28310F7E">
      <w:pPr>
        <w:spacing w:line="360" w:lineRule="auto"/>
        <w:ind w:leftChars="300" w:firstLine="1600" w:firstLineChars="500"/>
        <w:rPr>
          <w:rFonts w:hint="eastAsia" w:ascii="宋体" w:hAnsi="宋体" w:eastAsia="宋体" w:cs="宋体"/>
          <w:color w:val="auto"/>
          <w:sz w:val="32"/>
          <w:szCs w:val="32"/>
          <w:highlight w:val="none"/>
          <w:shd w:val="clear" w:color="auto" w:fill="auto"/>
          <w:lang w:val="zh-CN"/>
        </w:rPr>
      </w:pPr>
    </w:p>
    <w:p w14:paraId="3931A4B2">
      <w:pPr>
        <w:spacing w:line="360" w:lineRule="auto"/>
        <w:ind w:leftChars="300" w:firstLine="0" w:firstLineChars="0"/>
        <w:rPr>
          <w:rFonts w:hint="eastAsia" w:ascii="宋体" w:hAnsi="宋体" w:eastAsia="宋体" w:cs="宋体"/>
          <w:color w:val="auto"/>
          <w:sz w:val="32"/>
          <w:szCs w:val="32"/>
          <w:highlight w:val="none"/>
          <w:shd w:val="clear" w:color="auto" w:fill="auto"/>
          <w:lang w:val="zh-CN"/>
        </w:rPr>
      </w:pPr>
      <w:r>
        <w:rPr>
          <w:rFonts w:hint="eastAsia" w:ascii="宋体" w:hAnsi="宋体" w:eastAsia="宋体" w:cs="宋体"/>
          <w:bCs/>
          <w:color w:val="auto"/>
          <w:sz w:val="32"/>
          <w:szCs w:val="32"/>
          <w:highlight w:val="none"/>
          <w:shd w:val="clear" w:color="auto" w:fill="auto"/>
        </w:rPr>
        <w:t>工程地点：</w:t>
      </w:r>
      <w:r>
        <w:rPr>
          <w:rFonts w:hint="eastAsia" w:ascii="宋体" w:hAnsi="宋体" w:eastAsia="宋体" w:cs="宋体"/>
          <w:color w:val="auto"/>
          <w:sz w:val="32"/>
          <w:szCs w:val="32"/>
          <w:highlight w:val="none"/>
          <w:shd w:val="clear" w:color="auto" w:fill="auto"/>
          <w:lang w:val="zh-CN"/>
        </w:rPr>
        <w:t>广州市越秀区大德路广东省中医院</w:t>
      </w:r>
    </w:p>
    <w:p w14:paraId="048687F6">
      <w:pPr>
        <w:spacing w:line="360" w:lineRule="auto"/>
        <w:ind w:leftChars="300" w:firstLine="0" w:firstLineChars="0"/>
        <w:rPr>
          <w:rFonts w:hint="eastAsia" w:ascii="宋体" w:hAnsi="宋体" w:eastAsia="宋体" w:cs="宋体"/>
          <w:bCs/>
          <w:color w:val="auto"/>
          <w:sz w:val="32"/>
          <w:szCs w:val="32"/>
          <w:highlight w:val="none"/>
          <w:shd w:val="clear" w:color="auto" w:fill="auto"/>
          <w:lang w:val="en-US" w:eastAsia="zh-CN"/>
        </w:rPr>
      </w:pPr>
      <w:r>
        <w:rPr>
          <w:rFonts w:hint="eastAsia" w:ascii="宋体" w:hAnsi="宋体" w:eastAsia="宋体" w:cs="宋体"/>
          <w:bCs/>
          <w:color w:val="auto"/>
          <w:sz w:val="32"/>
          <w:szCs w:val="32"/>
          <w:highlight w:val="none"/>
          <w:shd w:val="clear" w:color="auto" w:fill="auto"/>
        </w:rPr>
        <w:t>签约地点：广州市大德路111号</w:t>
      </w:r>
      <w:r>
        <w:rPr>
          <w:rFonts w:hint="eastAsia" w:ascii="宋体" w:hAnsi="宋体" w:eastAsia="宋体" w:cs="宋体"/>
          <w:bCs/>
          <w:color w:val="auto"/>
          <w:sz w:val="32"/>
          <w:szCs w:val="32"/>
          <w:highlight w:val="none"/>
          <w:shd w:val="clear" w:color="auto" w:fill="auto"/>
          <w:lang w:eastAsia="zh-CN"/>
        </w:rPr>
        <w:t>广东省中医院</w:t>
      </w:r>
    </w:p>
    <w:p w14:paraId="51E9A055">
      <w:pPr>
        <w:spacing w:line="360" w:lineRule="auto"/>
        <w:ind w:leftChars="300" w:firstLine="0" w:firstLineChars="0"/>
        <w:rPr>
          <w:rFonts w:hint="eastAsia" w:ascii="宋体" w:hAnsi="宋体" w:eastAsia="宋体" w:cs="宋体"/>
          <w:bCs/>
          <w:color w:val="auto"/>
          <w:sz w:val="30"/>
          <w:szCs w:val="30"/>
          <w:highlight w:val="none"/>
          <w:shd w:val="clear" w:color="auto" w:fill="auto"/>
        </w:rPr>
      </w:pPr>
      <w:r>
        <w:rPr>
          <w:rFonts w:hint="eastAsia" w:ascii="宋体" w:hAnsi="宋体" w:eastAsia="宋体" w:cs="宋体"/>
          <w:bCs/>
          <w:color w:val="auto"/>
          <w:sz w:val="30"/>
          <w:szCs w:val="30"/>
          <w:highlight w:val="none"/>
          <w:shd w:val="clear" w:color="auto" w:fill="auto"/>
        </w:rPr>
        <w:t>签订日期：20</w:t>
      </w:r>
      <w:r>
        <w:rPr>
          <w:rFonts w:hint="eastAsia" w:ascii="宋体" w:hAnsi="宋体" w:eastAsia="宋体" w:cs="宋体"/>
          <w:bCs/>
          <w:color w:val="auto"/>
          <w:sz w:val="30"/>
          <w:szCs w:val="30"/>
          <w:highlight w:val="none"/>
          <w:shd w:val="clear" w:color="auto" w:fill="auto"/>
          <w:lang w:val="en-US" w:eastAsia="zh-CN"/>
        </w:rPr>
        <w:t>26</w:t>
      </w:r>
      <w:r>
        <w:rPr>
          <w:rFonts w:hint="eastAsia" w:ascii="宋体" w:hAnsi="宋体" w:eastAsia="宋体" w:cs="宋体"/>
          <w:bCs/>
          <w:color w:val="auto"/>
          <w:sz w:val="30"/>
          <w:szCs w:val="30"/>
          <w:highlight w:val="none"/>
          <w:shd w:val="clear" w:color="auto" w:fill="auto"/>
        </w:rPr>
        <w:t>年  月   日</w:t>
      </w:r>
    </w:p>
    <w:p w14:paraId="6D46759F">
      <w:pPr>
        <w:rPr>
          <w:rFonts w:hint="eastAsia" w:ascii="宋体" w:hAnsi="宋体" w:eastAsia="宋体" w:cs="宋体"/>
          <w:color w:val="auto"/>
          <w:highlight w:val="none"/>
          <w:shd w:val="clear" w:color="auto" w:fill="auto"/>
          <w:lang w:val="en-US" w:eastAsia="zh-CN"/>
        </w:rPr>
      </w:pPr>
    </w:p>
    <w:p w14:paraId="7C7CD16F">
      <w:pPr>
        <w:rPr>
          <w:rFonts w:hint="eastAsia" w:ascii="宋体" w:hAnsi="宋体" w:eastAsia="宋体" w:cs="宋体"/>
          <w:color w:val="auto"/>
          <w:highlight w:val="none"/>
          <w:shd w:val="clear" w:color="auto" w:fill="auto"/>
        </w:rPr>
      </w:pPr>
    </w:p>
    <w:p w14:paraId="582D598E">
      <w:pPr>
        <w:rPr>
          <w:rFonts w:hint="eastAsia" w:ascii="宋体" w:hAnsi="宋体" w:eastAsia="宋体" w:cs="宋体"/>
          <w:color w:val="auto"/>
          <w:highlight w:val="none"/>
          <w:shd w:val="clear" w:color="auto" w:fill="auto"/>
        </w:rPr>
      </w:pPr>
    </w:p>
    <w:p w14:paraId="0FA9DF82">
      <w:pPr>
        <w:rPr>
          <w:rFonts w:hint="eastAsia" w:ascii="宋体" w:hAnsi="宋体" w:eastAsia="宋体" w:cs="宋体"/>
          <w:color w:val="auto"/>
          <w:highlight w:val="none"/>
          <w:shd w:val="clear" w:color="auto" w:fill="auto"/>
        </w:rPr>
      </w:pPr>
    </w:p>
    <w:p w14:paraId="76DD75F6">
      <w:pPr>
        <w:rPr>
          <w:rFonts w:hint="eastAsia" w:ascii="宋体" w:hAnsi="宋体" w:eastAsia="宋体" w:cs="宋体"/>
          <w:color w:val="auto"/>
          <w:highlight w:val="none"/>
          <w:shd w:val="clear" w:color="auto" w:fill="auto"/>
        </w:rPr>
      </w:pPr>
    </w:p>
    <w:p w14:paraId="3F886DC5">
      <w:pPr>
        <w:rPr>
          <w:rFonts w:hint="eastAsia" w:ascii="宋体" w:hAnsi="宋体" w:eastAsia="宋体" w:cs="宋体"/>
          <w:color w:val="auto"/>
          <w:highlight w:val="none"/>
          <w:shd w:val="clear" w:color="auto" w:fill="auto"/>
        </w:rPr>
      </w:pPr>
    </w:p>
    <w:p w14:paraId="0018B90E">
      <w:pPr>
        <w:rPr>
          <w:rFonts w:hint="eastAsia" w:ascii="宋体" w:hAnsi="宋体" w:eastAsia="宋体" w:cs="宋体"/>
          <w:color w:val="auto"/>
          <w:highlight w:val="none"/>
          <w:shd w:val="clear" w:color="auto" w:fill="auto"/>
        </w:rPr>
      </w:pPr>
    </w:p>
    <w:p w14:paraId="731F74BE">
      <w:pPr>
        <w:rPr>
          <w:rFonts w:hint="eastAsia" w:ascii="宋体" w:hAnsi="宋体" w:eastAsia="宋体" w:cs="宋体"/>
          <w:color w:val="auto"/>
          <w:highlight w:val="none"/>
          <w:shd w:val="clear" w:color="auto" w:fill="auto"/>
        </w:rPr>
      </w:pPr>
    </w:p>
    <w:p w14:paraId="27A6B088">
      <w:pPr>
        <w:rPr>
          <w:rFonts w:hint="eastAsia" w:ascii="宋体" w:hAnsi="宋体" w:eastAsia="宋体" w:cs="宋体"/>
          <w:color w:val="auto"/>
          <w:highlight w:val="none"/>
          <w:shd w:val="clear" w:color="auto" w:fill="auto"/>
        </w:rPr>
      </w:pPr>
    </w:p>
    <w:p w14:paraId="6B50FE31">
      <w:pPr>
        <w:widowControl/>
        <w:jc w:val="left"/>
        <w:rPr>
          <w:rFonts w:hint="eastAsia" w:ascii="宋体" w:hAnsi="宋体" w:eastAsia="宋体" w:cs="宋体"/>
          <w:b/>
          <w:bCs/>
          <w:color w:val="auto"/>
          <w:kern w:val="0"/>
          <w:sz w:val="24"/>
          <w:highlight w:val="none"/>
          <w:shd w:val="clear" w:color="auto" w:fill="auto"/>
          <w:lang w:val="zh-CN"/>
        </w:rPr>
      </w:pPr>
      <w:bookmarkStart w:id="0" w:name="_Toc200419201"/>
      <w:bookmarkStart w:id="1" w:name="_Toc182031811"/>
      <w:r>
        <w:rPr>
          <w:rFonts w:hint="eastAsia" w:ascii="宋体" w:hAnsi="宋体" w:eastAsia="宋体" w:cs="宋体"/>
          <w:b/>
          <w:bCs/>
          <w:color w:val="auto"/>
          <w:kern w:val="0"/>
          <w:sz w:val="24"/>
          <w:highlight w:val="none"/>
          <w:shd w:val="clear" w:color="auto" w:fill="auto"/>
          <w:lang w:val="zh-CN"/>
        </w:rPr>
        <w:br w:type="page"/>
      </w:r>
    </w:p>
    <w:p w14:paraId="53985FA7">
      <w:pPr>
        <w:keepLines/>
        <w:autoSpaceDE w:val="0"/>
        <w:autoSpaceDN w:val="0"/>
        <w:adjustRightInd w:val="0"/>
        <w:spacing w:before="312" w:after="156" w:line="360" w:lineRule="auto"/>
        <w:jc w:val="center"/>
        <w:outlineLvl w:val="1"/>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第一篇  合同协议书</w:t>
      </w:r>
      <w:bookmarkEnd w:id="0"/>
      <w:bookmarkEnd w:id="1"/>
    </w:p>
    <w:p w14:paraId="28B2C7B8">
      <w:pPr>
        <w:spacing w:line="300" w:lineRule="auto"/>
        <w:ind w:firstLine="480" w:firstLineChars="200"/>
        <w:jc w:val="both"/>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项目名称：广东省中医院大德路总院污水处理系统更新改造项目</w:t>
      </w:r>
    </w:p>
    <w:p w14:paraId="3CDF3631">
      <w:pPr>
        <w:autoSpaceDE w:val="0"/>
        <w:autoSpaceDN w:val="0"/>
        <w:adjustRightInd w:val="0"/>
        <w:spacing w:before="20" w:after="100" w:line="360" w:lineRule="auto"/>
        <w:ind w:right="11"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发包人：广东省中医院</w:t>
      </w:r>
    </w:p>
    <w:p w14:paraId="5AC306C6">
      <w:pPr>
        <w:autoSpaceDE w:val="0"/>
        <w:autoSpaceDN w:val="0"/>
        <w:adjustRightInd w:val="0"/>
        <w:spacing w:before="20" w:after="10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承包人： </w:t>
      </w:r>
    </w:p>
    <w:p w14:paraId="4E7B03C4">
      <w:pPr>
        <w:autoSpaceDE w:val="0"/>
        <w:autoSpaceDN w:val="0"/>
        <w:adjustRightInd w:val="0"/>
        <w:spacing w:before="20" w:after="10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与承包人依照《中华人民共和国民法典》、《中华人民共和国建筑法》及其他有关法律、行政法规、部门规章、地方性法规和规章，以及广东省、广州市人民政府及有关主管部门关于广东省中医院大德路总院污水处理系统更新改造项目的有关文件，遵循平等、自愿、公平和诚实信用的原则，双方就广东省中医院大德路总院污水处理系统更新改造项目</w:t>
      </w:r>
      <w:r>
        <w:rPr>
          <w:rFonts w:hint="eastAsia" w:ascii="宋体" w:hAnsi="宋体" w:eastAsia="宋体" w:cs="宋体"/>
          <w:color w:val="auto"/>
          <w:sz w:val="24"/>
          <w:highlight w:val="none"/>
        </w:rPr>
        <w:t>事</w:t>
      </w:r>
      <w:r>
        <w:rPr>
          <w:rFonts w:hint="eastAsia" w:ascii="宋体" w:hAnsi="宋体" w:eastAsia="宋体" w:cs="宋体"/>
          <w:color w:val="auto"/>
          <w:sz w:val="24"/>
          <w:highlight w:val="none"/>
          <w:lang w:val="zh-CN"/>
        </w:rPr>
        <w:t>项协商一致，订立本合同。</w:t>
      </w:r>
    </w:p>
    <w:p w14:paraId="1A5D2E5F">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一、工程概况</w:t>
      </w:r>
    </w:p>
    <w:p w14:paraId="640C3627">
      <w:pPr>
        <w:autoSpaceDE w:val="0"/>
        <w:autoSpaceDN w:val="0"/>
        <w:adjustRightInd w:val="0"/>
        <w:spacing w:before="2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 工程名称：广东省中医院大德路总院污水处理系统更新改造项目</w:t>
      </w:r>
    </w:p>
    <w:p w14:paraId="127DD64C">
      <w:pPr>
        <w:tabs>
          <w:tab w:val="left" w:pos="420"/>
        </w:tabs>
        <w:autoSpaceDE w:val="0"/>
        <w:autoSpaceDN w:val="0"/>
        <w:adjustRightInd w:val="0"/>
        <w:spacing w:after="100" w:line="360" w:lineRule="auto"/>
        <w:ind w:right="11"/>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2、工程地点：</w:t>
      </w:r>
      <w:r>
        <w:rPr>
          <w:rFonts w:hint="eastAsia" w:ascii="宋体" w:hAnsi="宋体" w:eastAsia="宋体" w:cs="宋体"/>
          <w:color w:val="auto"/>
          <w:sz w:val="24"/>
          <w:highlight w:val="none"/>
          <w:lang w:val="en-US" w:eastAsia="zh-CN"/>
        </w:rPr>
        <w:t>广州市越秀区大德路广东省中医院</w:t>
      </w:r>
    </w:p>
    <w:p w14:paraId="581C1BB5">
      <w:pPr>
        <w:tabs>
          <w:tab w:val="left" w:pos="420"/>
        </w:tabs>
        <w:autoSpaceDE w:val="0"/>
        <w:autoSpaceDN w:val="0"/>
        <w:adjustRightInd w:val="0"/>
        <w:spacing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 工程立项批准文号：/ </w:t>
      </w:r>
    </w:p>
    <w:p w14:paraId="34BCDEF1">
      <w:pPr>
        <w:tabs>
          <w:tab w:val="left" w:pos="420"/>
        </w:tabs>
        <w:autoSpaceDE w:val="0"/>
        <w:autoSpaceDN w:val="0"/>
        <w:adjustRightInd w:val="0"/>
        <w:spacing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 资金来源：</w:t>
      </w:r>
      <w:r>
        <w:rPr>
          <w:rFonts w:hint="eastAsia" w:ascii="宋体" w:hAnsi="宋体" w:eastAsia="宋体" w:cs="宋体"/>
          <w:color w:val="auto"/>
          <w:sz w:val="24"/>
          <w:highlight w:val="none"/>
          <w:lang w:val="en-US" w:eastAsia="zh-CN"/>
        </w:rPr>
        <w:t>自筹</w:t>
      </w:r>
      <w:r>
        <w:rPr>
          <w:rFonts w:hint="eastAsia" w:ascii="宋体" w:hAnsi="宋体" w:eastAsia="宋体" w:cs="宋体"/>
          <w:color w:val="auto"/>
          <w:sz w:val="24"/>
          <w:highlight w:val="none"/>
          <w:lang w:val="zh-CN"/>
        </w:rPr>
        <w:t>资金。</w:t>
      </w:r>
    </w:p>
    <w:p w14:paraId="050BAFE6">
      <w:pPr>
        <w:autoSpaceDE w:val="0"/>
        <w:autoSpaceDN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 工程内容：</w:t>
      </w:r>
    </w:p>
    <w:p w14:paraId="088DF0CD">
      <w:pPr>
        <w:numPr>
          <w:ilvl w:val="0"/>
          <w:numId w:val="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本工程内容包括范围内</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施工内容包括不限于广东省中医院大德路总院污水处理系统更新改造项目。</w:t>
      </w:r>
      <w:r>
        <w:rPr>
          <w:rFonts w:hint="eastAsia" w:ascii="宋体" w:hAnsi="宋体" w:eastAsia="宋体" w:cs="宋体"/>
          <w:color w:val="auto"/>
          <w:szCs w:val="21"/>
          <w:highlight w:val="none"/>
        </w:rPr>
        <w:t>按照工程量清单（深化完善后）、平面图及施工设计和效果设计图纸内容，采取包工、包料、包服务、包行政施工许可、</w:t>
      </w:r>
      <w:r>
        <w:rPr>
          <w:rFonts w:hint="eastAsia" w:ascii="宋体" w:hAnsi="宋体" w:eastAsia="宋体" w:cs="宋体"/>
          <w:sz w:val="21"/>
          <w:szCs w:val="21"/>
          <w:highlight w:val="none"/>
          <w:lang w:eastAsia="zh-CN"/>
        </w:rPr>
        <w:t>包</w:t>
      </w:r>
      <w:r>
        <w:rPr>
          <w:rFonts w:hint="eastAsia" w:ascii="宋体" w:hAnsi="宋体" w:eastAsia="宋体" w:cs="宋体"/>
          <w:color w:val="auto"/>
          <w:szCs w:val="21"/>
          <w:highlight w:val="none"/>
          <w:lang w:val="zh-CN"/>
        </w:rPr>
        <w:t>相关部门报建、报停，</w:t>
      </w:r>
      <w:r>
        <w:rPr>
          <w:rFonts w:hint="eastAsia" w:ascii="宋体" w:hAnsi="宋体" w:eastAsia="宋体" w:cs="宋体"/>
          <w:sz w:val="21"/>
          <w:szCs w:val="21"/>
          <w:highlight w:val="none"/>
        </w:rPr>
        <w:t>包材料检测、包机械、包工期、包质量、包安全生产、包文明施工、</w:t>
      </w:r>
      <w:r>
        <w:rPr>
          <w:rFonts w:hint="eastAsia" w:ascii="宋体" w:hAnsi="宋体" w:eastAsia="宋体" w:cs="宋体"/>
          <w:sz w:val="21"/>
          <w:szCs w:val="21"/>
          <w:highlight w:val="none"/>
          <w:lang w:eastAsia="zh-CN"/>
        </w:rPr>
        <w:t>包</w:t>
      </w:r>
      <w:r>
        <w:rPr>
          <w:rFonts w:hint="eastAsia" w:ascii="宋体" w:hAnsi="宋体" w:eastAsia="宋体" w:cs="宋体"/>
          <w:color w:val="auto"/>
          <w:szCs w:val="21"/>
          <w:highlight w:val="none"/>
          <w:lang w:val="zh-CN"/>
        </w:rPr>
        <w:t>改造时必须考虑相应原污水站清淤及旧设施拆除的费用，</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lang w:val="zh-CN"/>
        </w:rPr>
        <w:t>项目图深化设计（须</w:t>
      </w:r>
      <w:r>
        <w:rPr>
          <w:rFonts w:hint="eastAsia" w:ascii="宋体" w:hAnsi="宋体" w:eastAsia="宋体" w:cs="宋体"/>
          <w:color w:val="0000FF"/>
          <w:kern w:val="0"/>
          <w:sz w:val="21"/>
          <w:szCs w:val="21"/>
          <w:highlight w:val="none"/>
          <w:lang w:val="en-US" w:eastAsia="zh-CN" w:bidi="ar"/>
        </w:rPr>
        <w:t>委托具有设计资质的单位并报医院审批同意）</w:t>
      </w:r>
      <w:r>
        <w:rPr>
          <w:rFonts w:hint="eastAsia" w:ascii="宋体" w:hAnsi="宋体" w:eastAsia="宋体" w:cs="宋体"/>
          <w:sz w:val="21"/>
          <w:szCs w:val="21"/>
          <w:highlight w:val="none"/>
          <w:lang w:val="zh-CN"/>
        </w:rPr>
        <w:t>、</w:t>
      </w:r>
      <w:r>
        <w:rPr>
          <w:rFonts w:hint="eastAsia" w:ascii="宋体" w:hAnsi="宋体" w:eastAsia="宋体" w:cs="宋体"/>
          <w:color w:val="auto"/>
          <w:szCs w:val="21"/>
          <w:highlight w:val="none"/>
        </w:rPr>
        <w:t>包税、包劳保、包验收、包保修、包组织项目整体竣工验收（含资料汇总、整理）等的承包方式。验收技术资料要求一式四套交使用单位存档。完工期为合同签订后</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天内（交钥匙项目）</w:t>
      </w:r>
    </w:p>
    <w:p w14:paraId="706CE1D1">
      <w:pPr>
        <w:numPr>
          <w:ilvl w:val="0"/>
          <w:numId w:val="1"/>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中标人应根据招标人提供的用户需求书等文件，完成本工程深化设计和施工。</w:t>
      </w:r>
    </w:p>
    <w:p w14:paraId="6B17AFBB">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二、工程承包范围及承包方式</w:t>
      </w:r>
    </w:p>
    <w:p w14:paraId="45AFD556">
      <w:pPr>
        <w:autoSpaceDE w:val="0"/>
        <w:autoSpaceDN w:val="0"/>
        <w:adjustRightInd w:val="0"/>
        <w:spacing w:before="20" w:after="100" w:line="360" w:lineRule="auto"/>
        <w:ind w:right="11" w:firstLine="461"/>
        <w:rPr>
          <w:rFonts w:hint="eastAsia" w:ascii="宋体" w:hAnsi="宋体" w:eastAsia="宋体" w:cs="宋体"/>
          <w:color w:val="auto"/>
          <w:szCs w:val="21"/>
          <w:highlight w:val="none"/>
        </w:rPr>
      </w:pPr>
      <w:r>
        <w:rPr>
          <w:rFonts w:hint="eastAsia" w:ascii="宋体" w:hAnsi="宋体" w:eastAsia="宋体" w:cs="宋体"/>
          <w:color w:val="auto"/>
          <w:sz w:val="24"/>
          <w:highlight w:val="none"/>
          <w:lang w:val="zh-CN"/>
        </w:rPr>
        <w:t>1.承包范围：</w:t>
      </w:r>
      <w:r>
        <w:rPr>
          <w:rFonts w:hint="eastAsia" w:ascii="宋体" w:hAnsi="宋体" w:eastAsia="宋体" w:cs="宋体"/>
          <w:sz w:val="24"/>
          <w:highlight w:val="none"/>
          <w:u w:val="none"/>
        </w:rPr>
        <w:t>本项目为</w:t>
      </w:r>
      <w:r>
        <w:rPr>
          <w:rFonts w:hint="eastAsia" w:ascii="宋体" w:hAnsi="宋体" w:eastAsia="宋体" w:cs="宋体"/>
          <w:sz w:val="24"/>
          <w:highlight w:val="none"/>
          <w:u w:val="none"/>
          <w:lang w:eastAsia="zh-CN"/>
        </w:rPr>
        <w:t>广东省中医院大德路总院污水处理系统更新改造项目</w:t>
      </w:r>
      <w:r>
        <w:rPr>
          <w:rFonts w:hint="eastAsia" w:ascii="宋体" w:hAnsi="宋体" w:eastAsia="宋体" w:cs="宋体"/>
          <w:sz w:val="24"/>
          <w:highlight w:val="none"/>
          <w:u w:val="none"/>
        </w:rPr>
        <w:t>。</w:t>
      </w:r>
      <w:r>
        <w:rPr>
          <w:rFonts w:hint="eastAsia" w:ascii="宋体" w:hAnsi="宋体" w:eastAsia="宋体" w:cs="宋体"/>
          <w:color w:val="auto"/>
          <w:szCs w:val="21"/>
          <w:highlight w:val="none"/>
        </w:rPr>
        <w:t>按照工程量清单（深化完善后）、平面图及施工设计和效果设计图纸内容，采取包工、包料、包服务、包行政施工许可、</w:t>
      </w:r>
      <w:r>
        <w:rPr>
          <w:rFonts w:hint="eastAsia" w:ascii="宋体" w:hAnsi="宋体" w:eastAsia="宋体" w:cs="宋体"/>
          <w:sz w:val="21"/>
          <w:szCs w:val="21"/>
          <w:highlight w:val="none"/>
          <w:lang w:eastAsia="zh-CN"/>
        </w:rPr>
        <w:t>包</w:t>
      </w:r>
      <w:r>
        <w:rPr>
          <w:rFonts w:hint="eastAsia" w:ascii="宋体" w:hAnsi="宋体" w:eastAsia="宋体" w:cs="宋体"/>
          <w:color w:val="auto"/>
          <w:szCs w:val="21"/>
          <w:highlight w:val="none"/>
          <w:lang w:val="zh-CN"/>
        </w:rPr>
        <w:t>相关部门报建、报停，</w:t>
      </w:r>
      <w:r>
        <w:rPr>
          <w:rFonts w:hint="eastAsia" w:ascii="宋体" w:hAnsi="宋体" w:eastAsia="宋体" w:cs="宋体"/>
          <w:sz w:val="21"/>
          <w:szCs w:val="21"/>
          <w:highlight w:val="none"/>
        </w:rPr>
        <w:t>包材料检测、包机械、包工期、包质量、包安全生产、包文明施工、</w:t>
      </w:r>
      <w:r>
        <w:rPr>
          <w:rFonts w:hint="eastAsia" w:ascii="宋体" w:hAnsi="宋体" w:eastAsia="宋体" w:cs="宋体"/>
          <w:sz w:val="21"/>
          <w:szCs w:val="21"/>
          <w:highlight w:val="none"/>
          <w:lang w:eastAsia="zh-CN"/>
        </w:rPr>
        <w:t>包</w:t>
      </w:r>
      <w:r>
        <w:rPr>
          <w:rFonts w:hint="eastAsia" w:ascii="宋体" w:hAnsi="宋体" w:eastAsia="宋体" w:cs="宋体"/>
          <w:color w:val="auto"/>
          <w:szCs w:val="21"/>
          <w:highlight w:val="none"/>
          <w:lang w:val="zh-CN"/>
        </w:rPr>
        <w:t>改造时必须考虑相应原污水站清淤及旧设施拆除的费用，</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lang w:val="zh-CN"/>
        </w:rPr>
        <w:t>项目图深化设计（须</w:t>
      </w:r>
      <w:r>
        <w:rPr>
          <w:rFonts w:hint="eastAsia" w:ascii="宋体" w:hAnsi="宋体" w:eastAsia="宋体" w:cs="宋体"/>
          <w:color w:val="0000FF"/>
          <w:kern w:val="0"/>
          <w:sz w:val="21"/>
          <w:szCs w:val="21"/>
          <w:highlight w:val="none"/>
          <w:lang w:val="en-US" w:eastAsia="zh-CN" w:bidi="ar"/>
        </w:rPr>
        <w:t>委托具有设计资质的单位并报医院审批同意）</w:t>
      </w:r>
      <w:r>
        <w:rPr>
          <w:rFonts w:hint="eastAsia" w:ascii="宋体" w:hAnsi="宋体" w:eastAsia="宋体" w:cs="宋体"/>
          <w:sz w:val="21"/>
          <w:szCs w:val="21"/>
          <w:highlight w:val="none"/>
          <w:lang w:val="zh-CN"/>
        </w:rPr>
        <w:t>、</w:t>
      </w:r>
      <w:r>
        <w:rPr>
          <w:rFonts w:hint="eastAsia" w:ascii="宋体" w:hAnsi="宋体" w:eastAsia="宋体" w:cs="宋体"/>
          <w:color w:val="auto"/>
          <w:szCs w:val="21"/>
          <w:highlight w:val="none"/>
        </w:rPr>
        <w:t>包税、包劳保、包验收、包保修、包组织项目整体竣工验收（含资料汇总、整理）等的承包方式。验收技术资料要求一式四套交使用单位存档。完工期为合同签订后</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天内（交钥匙项目）</w:t>
      </w:r>
    </w:p>
    <w:p w14:paraId="01F3C263">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方式：综合单价包干，措施项目费用及其他项目费用部分总价包干。包括施工图深化设计、施工、设备材料采购、质量控制、工期保障、安全文明施工、养护、培训、验收及售后服务等。本合同的合同单价不因施工期间人工、机械及材料价格变动、施工条件变化以及政府造价管理部门调整各项收费标准而进行调整，合同中另有约定的除外。</w:t>
      </w:r>
    </w:p>
    <w:p w14:paraId="3BB40324">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3．如不能通过相关部门的评审验收，则承包人应承担相应违约责任并赔偿发包人造成的经济损失，按《合同专用条款》37.2.1条款执行。    </w:t>
      </w:r>
    </w:p>
    <w:p w14:paraId="12020950">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4．本工程所发生的全部第三方检测费用由承包人负责,包括但不限于室内空气检测等。</w:t>
      </w:r>
    </w:p>
    <w:p w14:paraId="6F6A4B8A">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三、合同工期</w:t>
      </w:r>
    </w:p>
    <w:p w14:paraId="6EB028F2">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工期由发包人发出开工令之日计算，至验收合格之日止。本项目计划总工期</w:t>
      </w:r>
      <w:r>
        <w:rPr>
          <w:rFonts w:hint="eastAsia" w:ascii="宋体" w:hAnsi="宋体" w:eastAsia="宋体" w:cs="宋体"/>
          <w:color w:val="auto"/>
          <w:sz w:val="24"/>
          <w:highlight w:val="none"/>
          <w:lang w:val="en-US" w:eastAsia="zh-CN"/>
        </w:rPr>
        <w:t>120</w:t>
      </w:r>
      <w:r>
        <w:rPr>
          <w:rFonts w:hint="eastAsia" w:ascii="宋体" w:hAnsi="宋体" w:eastAsia="宋体" w:cs="宋体"/>
          <w:color w:val="auto"/>
          <w:sz w:val="24"/>
          <w:highlight w:val="none"/>
          <w:lang w:val="zh-CN"/>
        </w:rPr>
        <w:t>日历日，详见</w:t>
      </w:r>
      <w:r>
        <w:rPr>
          <w:rFonts w:hint="eastAsia" w:ascii="宋体" w:hAnsi="宋体" w:eastAsia="宋体" w:cs="宋体"/>
          <w:color w:val="auto"/>
          <w:sz w:val="24"/>
          <w:highlight w:val="none"/>
          <w:lang w:val="en-US" w:eastAsia="zh-CN"/>
        </w:rPr>
        <w:t>招标文件、技术需求书、</w:t>
      </w:r>
      <w:r>
        <w:rPr>
          <w:rFonts w:hint="eastAsia" w:ascii="宋体" w:hAnsi="宋体" w:eastAsia="宋体" w:cs="宋体"/>
          <w:color w:val="auto"/>
          <w:sz w:val="24"/>
          <w:highlight w:val="none"/>
          <w:lang w:val="zh-CN"/>
        </w:rPr>
        <w:t>招标图纸</w:t>
      </w:r>
      <w:r>
        <w:rPr>
          <w:rFonts w:hint="eastAsia" w:ascii="宋体" w:hAnsi="宋体" w:eastAsia="宋体" w:cs="宋体"/>
          <w:color w:val="auto"/>
          <w:sz w:val="24"/>
          <w:highlight w:val="none"/>
          <w:lang w:val="en-US" w:eastAsia="zh-CN"/>
        </w:rPr>
        <w:t>等相关资料</w:t>
      </w:r>
      <w:r>
        <w:rPr>
          <w:rFonts w:hint="eastAsia" w:ascii="宋体" w:hAnsi="宋体" w:eastAsia="宋体" w:cs="宋体"/>
          <w:color w:val="auto"/>
          <w:sz w:val="24"/>
          <w:highlight w:val="none"/>
          <w:lang w:val="zh-CN"/>
        </w:rPr>
        <w:t>。</w:t>
      </w:r>
    </w:p>
    <w:p w14:paraId="33462C30">
      <w:pPr>
        <w:autoSpaceDE w:val="0"/>
        <w:autoSpaceDN w:val="0"/>
        <w:adjustRightInd w:val="0"/>
        <w:spacing w:before="20" w:after="100" w:line="360" w:lineRule="auto"/>
        <w:ind w:right="11"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四、质量标准</w:t>
      </w:r>
    </w:p>
    <w:p w14:paraId="5CAA6001">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工程质量标准：合格。</w:t>
      </w:r>
    </w:p>
    <w:p w14:paraId="431B23C3">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五、合同价款</w:t>
      </w:r>
    </w:p>
    <w:p w14:paraId="267EBEAD">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（一）本合同以人民币为报价和结算货币，除非发包人承包人双方另有约定。</w:t>
      </w:r>
    </w:p>
    <w:p w14:paraId="4F01BF8C">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（二）本工程的合同价款为：（大写）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拾</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角分整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en-US" w:eastAsia="zh-CN"/>
        </w:rPr>
        <w:t>0.00</w:t>
      </w:r>
      <w:r>
        <w:rPr>
          <w:rFonts w:hint="eastAsia" w:ascii="宋体" w:hAnsi="宋体" w:eastAsia="宋体" w:cs="宋体"/>
          <w:color w:val="auto"/>
          <w:sz w:val="24"/>
          <w:highlight w:val="none"/>
          <w:lang w:val="zh-CN"/>
        </w:rPr>
        <w:t>元。</w:t>
      </w:r>
    </w:p>
    <w:p w14:paraId="615279AB">
      <w:pPr>
        <w:autoSpaceDE w:val="0"/>
        <w:autoSpaceDN w:val="0"/>
        <w:adjustRightInd w:val="0"/>
        <w:spacing w:before="2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其中暂列金额为：（大写）:</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拾</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拾</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角</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分整</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en-US" w:eastAsia="zh-CN"/>
        </w:rPr>
        <w:t>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zh-CN"/>
        </w:rPr>
        <w:t>。</w:t>
      </w:r>
    </w:p>
    <w:p w14:paraId="69F5BA2C">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六、组成合同的文件</w:t>
      </w:r>
    </w:p>
    <w:p w14:paraId="6E24551E">
      <w:pPr>
        <w:autoSpaceDE w:val="0"/>
        <w:autoSpaceDN w:val="0"/>
        <w:adjustRightInd w:val="0"/>
        <w:spacing w:before="120" w:after="120" w:line="360" w:lineRule="auto"/>
        <w:ind w:left="420"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下列文件应被认为是组成本合同的一部分，并互为补充和解释，如各文件存在冲突之处，以如下排列次序在前者优先适用：</w:t>
      </w:r>
    </w:p>
    <w:p w14:paraId="2A091FBA">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（1）本合同履行期间发包人与承包人双方签订的补充合同（协议）或修正文件；</w:t>
      </w:r>
    </w:p>
    <w:p w14:paraId="5F49EAE7">
      <w:pPr>
        <w:autoSpaceDE w:val="0"/>
        <w:autoSpaceDN w:val="0"/>
        <w:adjustRightInd w:val="0"/>
        <w:spacing w:before="20" w:line="360" w:lineRule="auto"/>
        <w:ind w:right="11" w:firstLine="461"/>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（2）本合同协议书；</w:t>
      </w:r>
    </w:p>
    <w:p w14:paraId="06D43D4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（3）发包人针对本工程建设管理的各项制度、规定；</w:t>
      </w:r>
    </w:p>
    <w:p w14:paraId="36F800F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（4）中标通知书；</w:t>
      </w:r>
    </w:p>
    <w:p w14:paraId="67DC0A5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（5）本合同专用条款；</w:t>
      </w:r>
    </w:p>
    <w:p w14:paraId="3A9B531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（6）本合同通用条款；</w:t>
      </w:r>
    </w:p>
    <w:p w14:paraId="7098742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（7）招标文件（含补遗书、招标文件澄清、答疑会纪要等）；</w:t>
      </w:r>
    </w:p>
    <w:p w14:paraId="453D37A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（8）承包人投标文件及其附件（含投标文件澄清等）；</w:t>
      </w:r>
    </w:p>
    <w:p w14:paraId="7C080827">
      <w:pPr>
        <w:autoSpaceDE w:val="0"/>
        <w:autoSpaceDN w:val="0"/>
        <w:adjustRightInd w:val="0"/>
        <w:spacing w:before="20" w:line="360" w:lineRule="auto"/>
        <w:ind w:right="11" w:firstLine="461"/>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（9）标准、规范及有关技术文件；</w:t>
      </w:r>
    </w:p>
    <w:p w14:paraId="612AEBC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（10）图纸；</w:t>
      </w:r>
    </w:p>
    <w:p w14:paraId="4870B77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（11）工程量清单；</w:t>
      </w:r>
    </w:p>
    <w:p w14:paraId="6C68252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（12）组成合同的其他文件。</w:t>
      </w:r>
    </w:p>
    <w:p w14:paraId="08E3EC6B">
      <w:pPr>
        <w:autoSpaceDE w:val="0"/>
        <w:autoSpaceDN w:val="0"/>
        <w:adjustRightInd w:val="0"/>
        <w:spacing w:before="20" w:after="100" w:line="360" w:lineRule="auto"/>
        <w:ind w:right="11" w:firstLine="48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zh-CN"/>
        </w:rPr>
        <w:t>七、</w:t>
      </w:r>
      <w:r>
        <w:rPr>
          <w:rFonts w:hint="eastAsia" w:ascii="宋体" w:hAnsi="宋体" w:eastAsia="宋体" w:cs="宋体"/>
          <w:b/>
          <w:bCs/>
          <w:color w:val="auto"/>
          <w:sz w:val="24"/>
          <w:highlight w:val="none"/>
          <w:lang w:val="en-US" w:eastAsia="zh-CN"/>
        </w:rPr>
        <w:t>结算方式</w:t>
      </w:r>
    </w:p>
    <w:p w14:paraId="27C2B5CC">
      <w:pPr>
        <w:pStyle w:val="2"/>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1.综合单价包干，工程量按实结算。</w:t>
      </w:r>
    </w:p>
    <w:p w14:paraId="19A387B3">
      <w:pP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color w:val="auto"/>
          <w:sz w:val="24"/>
          <w:highlight w:val="none"/>
          <w:lang w:val="zh-CN"/>
        </w:rPr>
        <w:t>措施项目费用及其他项目费用部分总价包干，</w:t>
      </w:r>
      <w:r>
        <w:rPr>
          <w:rFonts w:hint="eastAsia" w:ascii="宋体" w:hAnsi="宋体" w:eastAsia="宋体" w:cs="宋体"/>
          <w:color w:val="auto"/>
          <w:sz w:val="24"/>
          <w:highlight w:val="none"/>
          <w:lang w:val="en-US" w:eastAsia="zh-CN"/>
        </w:rPr>
        <w:t>结算不作调整。</w:t>
      </w:r>
    </w:p>
    <w:p w14:paraId="21E3C82C">
      <w:pPr>
        <w:pStyle w:val="2"/>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3.合同结算价不能超合同价的110%。</w:t>
      </w:r>
    </w:p>
    <w:p w14:paraId="7F5A4428">
      <w:pPr>
        <w:autoSpaceDE w:val="0"/>
        <w:autoSpaceDN w:val="0"/>
        <w:adjustRightInd w:val="0"/>
        <w:spacing w:before="20" w:after="100" w:line="360" w:lineRule="auto"/>
        <w:ind w:right="11"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八、</w:t>
      </w:r>
      <w:r>
        <w:rPr>
          <w:rFonts w:hint="eastAsia" w:ascii="宋体" w:hAnsi="宋体" w:eastAsia="宋体" w:cs="宋体"/>
          <w:color w:val="auto"/>
          <w:sz w:val="24"/>
          <w:highlight w:val="none"/>
          <w:lang w:val="zh-CN"/>
        </w:rPr>
        <w:t>本合同《合同通用条款》约定的内容与《合同专用条款》约定的内容相冲突时，以《合同专用条款》所约定的内容为准。本合同《合同通用条款》和《合同专用条款》约定的内容与双方共同签署的本合同补充或修正文件所约定的内容相冲突时，以双方共同签署的本合同补充或修正文件所约定的内容为准。</w:t>
      </w:r>
    </w:p>
    <w:p w14:paraId="06344318">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lang w:val="zh-CN"/>
        </w:rPr>
        <w:t>、</w:t>
      </w:r>
      <w:r>
        <w:rPr>
          <w:rFonts w:hint="eastAsia" w:ascii="宋体" w:hAnsi="宋体" w:eastAsia="宋体" w:cs="宋体"/>
          <w:color w:val="auto"/>
          <w:sz w:val="24"/>
          <w:highlight w:val="none"/>
          <w:lang w:val="zh-CN"/>
        </w:rPr>
        <w:t>本协议书中有关词语含义与本合同《合同通用条款》、《合同专用条款》中分别赋予它们的定义相同。</w:t>
      </w:r>
    </w:p>
    <w:p w14:paraId="4321F79A">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lang w:val="zh-CN"/>
        </w:rPr>
        <w:t xml:space="preserve"> 、</w:t>
      </w:r>
      <w:r>
        <w:rPr>
          <w:rFonts w:hint="eastAsia" w:ascii="宋体" w:hAnsi="宋体" w:eastAsia="宋体" w:cs="宋体"/>
          <w:color w:val="auto"/>
          <w:sz w:val="24"/>
          <w:highlight w:val="none"/>
          <w:lang w:val="zh-CN"/>
        </w:rPr>
        <w:t>承包人向发包人承诺按照合同约定进行的深化设计、采购、施工、管理、竣工、移交并在质量保修期内承担工程质量保修责任。</w:t>
      </w:r>
    </w:p>
    <w:p w14:paraId="5A063A1F">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val="zh-CN"/>
        </w:rPr>
        <w:t>、</w:t>
      </w:r>
      <w:r>
        <w:rPr>
          <w:rFonts w:hint="eastAsia" w:ascii="宋体" w:hAnsi="宋体" w:eastAsia="宋体" w:cs="宋体"/>
          <w:color w:val="auto"/>
          <w:sz w:val="24"/>
          <w:highlight w:val="none"/>
          <w:lang w:val="zh-CN"/>
        </w:rPr>
        <w:t>发包人向承包人承诺按照合同约定的期限和方式支付合同价款及按合同规定支付的其他款项。</w:t>
      </w:r>
    </w:p>
    <w:p w14:paraId="73EC51B9">
      <w:pPr>
        <w:autoSpaceDE w:val="0"/>
        <w:autoSpaceDN w:val="0"/>
        <w:adjustRightInd w:val="0"/>
        <w:spacing w:before="20" w:after="10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十</w:t>
      </w: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lang w:val="zh-CN"/>
        </w:rPr>
        <w:t>、合同生效</w:t>
      </w:r>
    </w:p>
    <w:p w14:paraId="36CC4EE8">
      <w:pPr>
        <w:autoSpaceDE w:val="0"/>
        <w:autoSpaceDN w:val="0"/>
        <w:adjustRightInd w:val="0"/>
        <w:spacing w:before="2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合同订立时间：</w:t>
      </w:r>
      <w:r>
        <w:rPr>
          <w:rFonts w:hint="eastAsia" w:ascii="宋体" w:hAnsi="宋体" w:eastAsia="宋体" w:cs="宋体"/>
          <w:bCs w:val="0"/>
          <w:color w:val="auto"/>
          <w:sz w:val="24"/>
          <w:szCs w:val="24"/>
          <w:highlight w:val="none"/>
          <w:u w:val="single"/>
          <w:lang w:val="zh-CN"/>
        </w:rPr>
        <w:t>20</w:t>
      </w:r>
      <w:r>
        <w:rPr>
          <w:rFonts w:hint="eastAsia" w:ascii="宋体" w:hAnsi="宋体" w:eastAsia="宋体" w:cs="宋体"/>
          <w:bCs w:val="0"/>
          <w:color w:val="auto"/>
          <w:sz w:val="24"/>
          <w:szCs w:val="24"/>
          <w:highlight w:val="none"/>
          <w:u w:val="single"/>
          <w:lang w:val="en-US" w:eastAsia="zh-CN"/>
        </w:rPr>
        <w:t>26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45FA7BAC">
      <w:pPr>
        <w:autoSpaceDE w:val="0"/>
        <w:autoSpaceDN w:val="0"/>
        <w:adjustRightInd w:val="0"/>
        <w:spacing w:before="20" w:after="100" w:line="360" w:lineRule="auto"/>
        <w:ind w:right="11" w:firstLine="461"/>
        <w:rPr>
          <w:rFonts w:hint="eastAsia" w:ascii="宋体" w:hAnsi="宋体" w:eastAsia="宋体" w:cs="宋体"/>
          <w:color w:val="auto"/>
          <w:sz w:val="24"/>
          <w:highlight w:val="none"/>
          <w:u w:val="single"/>
          <w:lang w:val="zh-CN" w:eastAsia="zh-CN"/>
        </w:rPr>
      </w:pPr>
      <w:r>
        <w:rPr>
          <w:rFonts w:hint="eastAsia" w:ascii="宋体" w:hAnsi="宋体" w:eastAsia="宋体" w:cs="宋体"/>
          <w:color w:val="auto"/>
          <w:sz w:val="24"/>
          <w:highlight w:val="none"/>
          <w:lang w:val="zh-CN"/>
        </w:rPr>
        <w:t>合同订立地点：</w:t>
      </w:r>
      <w:r>
        <w:rPr>
          <w:rFonts w:hint="eastAsia" w:ascii="宋体" w:hAnsi="宋体" w:eastAsia="宋体" w:cs="宋体"/>
          <w:color w:val="auto"/>
          <w:sz w:val="24"/>
          <w:highlight w:val="none"/>
          <w:u w:val="single"/>
          <w:lang w:val="zh-CN"/>
        </w:rPr>
        <w:t xml:space="preserve"> 广州市越秀区大德路111号广东省中医院</w:t>
      </w:r>
    </w:p>
    <w:p w14:paraId="5C6842D7">
      <w:pPr>
        <w:autoSpaceDE w:val="0"/>
        <w:autoSpaceDN w:val="0"/>
        <w:adjustRightInd w:val="0"/>
        <w:spacing w:before="20" w:after="100" w:line="360" w:lineRule="auto"/>
        <w:ind w:right="11" w:firstLine="461"/>
        <w:rPr>
          <w:rFonts w:hint="eastAsia" w:ascii="宋体" w:hAnsi="宋体" w:eastAsia="宋体" w:cs="宋体"/>
          <w:color w:val="auto"/>
          <w:position w:val="2"/>
          <w:sz w:val="24"/>
          <w:highlight w:val="none"/>
          <w:lang w:val="zh-CN"/>
        </w:rPr>
      </w:pPr>
      <w:r>
        <w:rPr>
          <w:rFonts w:hint="eastAsia" w:ascii="宋体" w:hAnsi="宋体" w:eastAsia="宋体" w:cs="宋体"/>
          <w:color w:val="auto"/>
          <w:sz w:val="24"/>
          <w:highlight w:val="none"/>
          <w:lang w:val="zh-CN"/>
        </w:rPr>
        <w:t>本合同自双方签字盖章之日起生效，</w:t>
      </w:r>
      <w:r>
        <w:rPr>
          <w:rFonts w:hint="eastAsia" w:ascii="宋体" w:hAnsi="宋体" w:eastAsia="宋体" w:cs="宋体"/>
          <w:color w:val="auto"/>
          <w:position w:val="2"/>
          <w:sz w:val="24"/>
          <w:highlight w:val="none"/>
          <w:lang w:val="zh-CN"/>
        </w:rPr>
        <w:t>至本工程保修期间届满且质保金付清时终止。</w:t>
      </w:r>
    </w:p>
    <w:p w14:paraId="75DFADE0">
      <w:pPr>
        <w:autoSpaceDE w:val="0"/>
        <w:autoSpaceDN w:val="0"/>
        <w:adjustRightInd w:val="0"/>
        <w:spacing w:before="20" w:after="100"/>
        <w:ind w:right="11"/>
        <w:rPr>
          <w:rFonts w:hint="eastAsia" w:ascii="宋体" w:hAnsi="宋体" w:eastAsia="宋体" w:cs="宋体"/>
          <w:color w:val="auto"/>
          <w:szCs w:val="21"/>
          <w:highlight w:val="none"/>
          <w:lang w:val="zh-CN"/>
        </w:rPr>
      </w:pPr>
    </w:p>
    <w:p w14:paraId="2E3693AB">
      <w:pPr>
        <w:autoSpaceDE w:val="0"/>
        <w:autoSpaceDN w:val="0"/>
        <w:adjustRightInd w:val="0"/>
        <w:spacing w:before="20" w:after="100"/>
        <w:ind w:right="11"/>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发包人：广东省中医院                         承包人：</w:t>
      </w:r>
    </w:p>
    <w:p w14:paraId="0C21D3B7">
      <w:pPr>
        <w:pStyle w:val="2"/>
        <w:ind w:left="0" w:leftChars="0" w:firstLine="0" w:firstLineChars="0"/>
        <w:rPr>
          <w:rFonts w:hint="eastAsia" w:ascii="宋体" w:hAnsi="宋体" w:eastAsia="宋体" w:cs="宋体"/>
          <w:highlight w:val="none"/>
          <w:lang w:val="zh-CN"/>
        </w:rPr>
      </w:pPr>
      <w:r>
        <w:rPr>
          <w:rFonts w:hint="eastAsia" w:ascii="宋体" w:hAnsi="宋体" w:eastAsia="宋体" w:cs="宋体"/>
          <w:color w:val="auto"/>
          <w:sz w:val="24"/>
          <w:szCs w:val="21"/>
          <w:highlight w:val="none"/>
          <w:lang w:val="zh-CN"/>
        </w:rPr>
        <w:t xml:space="preserve">住所：广州市大德路111号                      住所： </w:t>
      </w:r>
    </w:p>
    <w:p w14:paraId="4C62E4D7">
      <w:pPr>
        <w:autoSpaceDE w:val="0"/>
        <w:autoSpaceDN w:val="0"/>
        <w:adjustRightInd w:val="0"/>
        <w:spacing w:before="20" w:after="100"/>
        <w:ind w:left="6120" w:right="11" w:hanging="612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法定代表人：                                 法定代表人：</w:t>
      </w:r>
    </w:p>
    <w:p w14:paraId="4ABBE4C9">
      <w:pPr>
        <w:autoSpaceDE w:val="0"/>
        <w:autoSpaceDN w:val="0"/>
        <w:adjustRightInd w:val="0"/>
        <w:spacing w:before="20" w:after="100"/>
        <w:ind w:left="6120" w:right="11" w:hanging="612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委托代理人：                                 委托代理人： </w:t>
      </w:r>
    </w:p>
    <w:p w14:paraId="08A680B0">
      <w:pPr>
        <w:tabs>
          <w:tab w:val="left" w:pos="4868"/>
        </w:tabs>
        <w:autoSpaceDE w:val="0"/>
        <w:autoSpaceDN w:val="0"/>
        <w:adjustRightInd w:val="0"/>
        <w:spacing w:before="20" w:after="100"/>
        <w:ind w:left="6120" w:right="11" w:hanging="6120" w:hangingChars="255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 xml:space="preserve">开户银行：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zh-CN"/>
        </w:rPr>
        <w:t xml:space="preserve">开户银行: </w:t>
      </w:r>
    </w:p>
    <w:p w14:paraId="4B830204">
      <w:pPr>
        <w:autoSpaceDE w:val="0"/>
        <w:autoSpaceDN w:val="0"/>
        <w:adjustRightInd w:val="0"/>
        <w:spacing w:before="20" w:after="100"/>
        <w:ind w:left="6120" w:right="11" w:hanging="6120" w:hangingChars="255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帐   号：                                    帐   号:</w:t>
      </w:r>
    </w:p>
    <w:p w14:paraId="655ED5D5">
      <w:pPr>
        <w:autoSpaceDE w:val="0"/>
        <w:autoSpaceDN w:val="0"/>
        <w:adjustRightInd w:val="0"/>
        <w:spacing w:before="20" w:after="100"/>
        <w:ind w:left="6120" w:right="11" w:hanging="6120" w:hangingChars="255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电   话：</w:t>
      </w:r>
      <w:r>
        <w:rPr>
          <w:rFonts w:hint="eastAsia" w:ascii="宋体" w:hAnsi="宋体" w:eastAsia="宋体" w:cs="宋体"/>
          <w:color w:val="auto"/>
          <w:sz w:val="24"/>
          <w:szCs w:val="21"/>
          <w:highlight w:val="none"/>
          <w:lang w:val="en-US" w:eastAsia="zh-CN"/>
        </w:rPr>
        <w:t>020-</w:t>
      </w:r>
      <w:r>
        <w:rPr>
          <w:rFonts w:hint="eastAsia" w:ascii="宋体" w:hAnsi="宋体" w:eastAsia="宋体" w:cs="宋体"/>
          <w:color w:val="auto"/>
          <w:sz w:val="24"/>
          <w:szCs w:val="21"/>
          <w:highlight w:val="none"/>
          <w:lang w:val="zh-CN"/>
        </w:rPr>
        <w:t xml:space="preserve">81883756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zh-CN"/>
        </w:rPr>
        <w:t xml:space="preserve"> </w:t>
      </w:r>
      <w:r>
        <w:rPr>
          <w:rFonts w:hint="eastAsia" w:ascii="宋体" w:hAnsi="宋体" w:eastAsia="宋体" w:cs="宋体"/>
          <w:color w:val="auto"/>
          <w:sz w:val="24"/>
          <w:szCs w:val="21"/>
          <w:highlight w:val="none"/>
        </w:rPr>
        <w:t xml:space="preserve">     </w:t>
      </w:r>
      <w:r>
        <w:rPr>
          <w:rFonts w:hint="eastAsia" w:ascii="宋体" w:hAnsi="宋体" w:eastAsia="宋体" w:cs="宋体"/>
          <w:color w:val="auto"/>
          <w:sz w:val="24"/>
          <w:szCs w:val="21"/>
          <w:highlight w:val="none"/>
          <w:lang w:val="zh-CN"/>
        </w:rPr>
        <w:t>电   话：</w:t>
      </w:r>
    </w:p>
    <w:p w14:paraId="1564606E">
      <w:pPr>
        <w:autoSpaceDE w:val="0"/>
        <w:autoSpaceDN w:val="0"/>
        <w:adjustRightInd w:val="0"/>
        <w:spacing w:before="20" w:after="100"/>
        <w:ind w:right="11"/>
        <w:jc w:val="both"/>
        <w:rPr>
          <w:rFonts w:hint="eastAsia" w:ascii="宋体" w:hAnsi="宋体" w:eastAsia="宋体" w:cs="宋体"/>
          <w:b/>
          <w:bCs/>
          <w:color w:val="auto"/>
          <w:kern w:val="0"/>
          <w:sz w:val="24"/>
          <w:szCs w:val="21"/>
          <w:highlight w:val="none"/>
          <w:lang w:val="zh-CN"/>
        </w:rPr>
      </w:pPr>
      <w:r>
        <w:rPr>
          <w:rFonts w:hint="eastAsia" w:ascii="宋体" w:hAnsi="宋体" w:eastAsia="宋体" w:cs="宋体"/>
          <w:color w:val="auto"/>
          <w:kern w:val="18"/>
          <w:sz w:val="24"/>
          <w:szCs w:val="21"/>
          <w:highlight w:val="none"/>
          <w:lang w:val="zh-CN"/>
        </w:rPr>
        <w:t>传   真：</w:t>
      </w:r>
      <w:r>
        <w:rPr>
          <w:rFonts w:hint="eastAsia" w:ascii="宋体" w:hAnsi="宋体" w:eastAsia="宋体" w:cs="宋体"/>
          <w:color w:val="auto"/>
          <w:kern w:val="18"/>
          <w:sz w:val="24"/>
          <w:szCs w:val="21"/>
          <w:highlight w:val="none"/>
          <w:lang w:val="en-US" w:eastAsia="zh-CN"/>
        </w:rPr>
        <w:t>020-</w:t>
      </w:r>
      <w:r>
        <w:rPr>
          <w:rFonts w:hint="eastAsia" w:ascii="宋体" w:hAnsi="宋体" w:eastAsia="宋体" w:cs="宋体"/>
          <w:color w:val="auto"/>
          <w:kern w:val="18"/>
          <w:sz w:val="24"/>
          <w:szCs w:val="21"/>
          <w:highlight w:val="none"/>
          <w:lang w:val="zh-CN"/>
        </w:rPr>
        <w:t>81883756</w:t>
      </w:r>
      <w:r>
        <w:rPr>
          <w:rFonts w:hint="eastAsia" w:ascii="宋体" w:hAnsi="宋体" w:eastAsia="宋体" w:cs="宋体"/>
          <w:color w:val="auto"/>
          <w:sz w:val="24"/>
          <w:szCs w:val="21"/>
          <w:highlight w:val="none"/>
          <w:lang w:val="zh-CN"/>
        </w:rPr>
        <w:t xml:space="preserve">                            </w:t>
      </w:r>
      <w:r>
        <w:rPr>
          <w:rFonts w:hint="eastAsia" w:ascii="宋体" w:hAnsi="宋体" w:eastAsia="宋体" w:cs="宋体"/>
          <w:color w:val="auto"/>
          <w:kern w:val="18"/>
          <w:sz w:val="24"/>
          <w:szCs w:val="21"/>
          <w:highlight w:val="none"/>
          <w:lang w:val="zh-CN"/>
        </w:rPr>
        <w:t>传   真：</w:t>
      </w:r>
      <w:bookmarkStart w:id="2" w:name="_Toc156887506"/>
      <w:bookmarkStart w:id="3" w:name="_Toc182031812"/>
      <w:bookmarkStart w:id="4" w:name="_Toc156215937"/>
      <w:bookmarkStart w:id="5" w:name="_Toc200419202"/>
    </w:p>
    <w:p w14:paraId="2BFCED14">
      <w:pPr>
        <w:autoSpaceDE w:val="0"/>
        <w:autoSpaceDN w:val="0"/>
        <w:adjustRightInd w:val="0"/>
        <w:spacing w:before="20" w:after="100"/>
        <w:ind w:right="11"/>
        <w:jc w:val="both"/>
        <w:rPr>
          <w:rFonts w:hint="eastAsia" w:ascii="宋体" w:hAnsi="宋体" w:eastAsia="宋体" w:cs="宋体"/>
          <w:b/>
          <w:bCs/>
          <w:color w:val="auto"/>
          <w:kern w:val="0"/>
          <w:sz w:val="24"/>
          <w:szCs w:val="21"/>
          <w:highlight w:val="none"/>
          <w:lang w:val="zh-CN"/>
        </w:rPr>
      </w:pPr>
    </w:p>
    <w:p w14:paraId="080A4DC1">
      <w:pPr>
        <w:autoSpaceDE w:val="0"/>
        <w:autoSpaceDN w:val="0"/>
        <w:adjustRightInd w:val="0"/>
        <w:spacing w:before="20" w:after="100"/>
        <w:ind w:right="11"/>
        <w:jc w:val="both"/>
        <w:rPr>
          <w:rFonts w:hint="eastAsia" w:ascii="宋体" w:hAnsi="宋体" w:eastAsia="宋体" w:cs="宋体"/>
          <w:b/>
          <w:bCs/>
          <w:color w:val="auto"/>
          <w:kern w:val="0"/>
          <w:sz w:val="24"/>
          <w:szCs w:val="21"/>
          <w:highlight w:val="none"/>
          <w:lang w:val="zh-CN"/>
        </w:rPr>
      </w:pPr>
    </w:p>
    <w:p w14:paraId="696C409F">
      <w:pPr>
        <w:autoSpaceDE w:val="0"/>
        <w:autoSpaceDN w:val="0"/>
        <w:adjustRightInd w:val="0"/>
        <w:spacing w:before="20" w:after="100"/>
        <w:ind w:right="11"/>
        <w:jc w:val="both"/>
        <w:rPr>
          <w:rFonts w:hint="eastAsia" w:ascii="宋体" w:hAnsi="宋体" w:eastAsia="宋体" w:cs="宋体"/>
          <w:b/>
          <w:bCs/>
          <w:color w:val="auto"/>
          <w:kern w:val="0"/>
          <w:sz w:val="24"/>
          <w:szCs w:val="21"/>
          <w:highlight w:val="none"/>
          <w:lang w:val="zh-CN"/>
        </w:rPr>
        <w:sectPr>
          <w:footerReference r:id="rId3" w:type="default"/>
          <w:pgSz w:w="11906" w:h="16838"/>
          <w:pgMar w:top="720" w:right="720" w:bottom="720" w:left="720" w:header="851" w:footer="992" w:gutter="0"/>
          <w:cols w:space="720" w:num="1"/>
          <w:docGrid w:type="lines" w:linePitch="312" w:charSpace="0"/>
        </w:sectPr>
      </w:pPr>
    </w:p>
    <w:p w14:paraId="7CF05711">
      <w:pPr>
        <w:keepLines/>
        <w:numPr>
          <w:ilvl w:val="0"/>
          <w:numId w:val="2"/>
        </w:numPr>
        <w:autoSpaceDE w:val="0"/>
        <w:autoSpaceDN w:val="0"/>
        <w:adjustRightInd w:val="0"/>
        <w:spacing w:before="312" w:after="156" w:line="360" w:lineRule="auto"/>
        <w:ind w:right="0"/>
        <w:jc w:val="center"/>
        <w:outlineLvl w:val="1"/>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合同通用条款</w:t>
      </w:r>
      <w:bookmarkEnd w:id="2"/>
      <w:bookmarkEnd w:id="3"/>
      <w:bookmarkEnd w:id="4"/>
      <w:bookmarkEnd w:id="5"/>
    </w:p>
    <w:p w14:paraId="0156FE18">
      <w:pPr>
        <w:autoSpaceDE/>
        <w:autoSpaceDN/>
        <w:adjustRightInd/>
        <w:spacing w:before="0" w:line="240" w:lineRule="auto"/>
        <w:rPr>
          <w:rFonts w:hint="eastAsia" w:ascii="宋体" w:hAnsi="宋体" w:eastAsia="宋体" w:cs="宋体"/>
          <w:color w:val="auto"/>
          <w:sz w:val="21"/>
          <w:highlight w:val="none"/>
          <w:lang w:val="zh-CN"/>
        </w:rPr>
      </w:pPr>
    </w:p>
    <w:p w14:paraId="62117AA0">
      <w:pPr>
        <w:pStyle w:val="3"/>
        <w:numPr>
          <w:ilvl w:val="0"/>
          <w:numId w:val="3"/>
        </w:numPr>
        <w:spacing w:line="360" w:lineRule="auto"/>
        <w:jc w:val="center"/>
        <w:rPr>
          <w:rFonts w:hint="eastAsia" w:ascii="宋体" w:hAnsi="宋体" w:eastAsia="宋体" w:cs="宋体"/>
          <w:color w:val="auto"/>
          <w:kern w:val="0"/>
          <w:sz w:val="24"/>
          <w:szCs w:val="24"/>
          <w:highlight w:val="none"/>
        </w:rPr>
      </w:pPr>
      <w:bookmarkStart w:id="6" w:name="_Toc156215938"/>
      <w:bookmarkStart w:id="7" w:name="_Toc156887507"/>
      <w:r>
        <w:rPr>
          <w:rFonts w:hint="eastAsia" w:ascii="宋体" w:hAnsi="宋体" w:eastAsia="宋体" w:cs="宋体"/>
          <w:color w:val="auto"/>
          <w:kern w:val="0"/>
          <w:sz w:val="24"/>
          <w:szCs w:val="24"/>
          <w:highlight w:val="none"/>
        </w:rPr>
        <w:t>词语定义及合同文件</w:t>
      </w:r>
      <w:bookmarkEnd w:id="6"/>
      <w:bookmarkEnd w:id="7"/>
    </w:p>
    <w:p w14:paraId="593B07C7">
      <w:pPr>
        <w:spacing w:line="360" w:lineRule="auto"/>
        <w:rPr>
          <w:rFonts w:hint="eastAsia" w:ascii="宋体" w:hAnsi="宋体" w:eastAsia="宋体" w:cs="宋体"/>
          <w:color w:val="auto"/>
          <w:kern w:val="2"/>
          <w:sz w:val="24"/>
          <w:szCs w:val="32"/>
          <w:highlight w:val="none"/>
        </w:rPr>
      </w:pPr>
    </w:p>
    <w:p w14:paraId="2440136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1、词语定义</w:t>
      </w:r>
    </w:p>
    <w:p w14:paraId="766FCE6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下列词语除《合同专用条款》另有约定外，应具有本条所赋予的定义：</w:t>
      </w:r>
    </w:p>
    <w:p w14:paraId="282B121D">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bCs/>
          <w:color w:val="auto"/>
          <w:sz w:val="24"/>
          <w:highlight w:val="none"/>
        </w:rPr>
        <w:t xml:space="preserve">    1.1</w:t>
      </w:r>
      <w:r>
        <w:rPr>
          <w:rFonts w:hint="eastAsia" w:ascii="宋体" w:hAnsi="宋体" w:eastAsia="宋体" w:cs="宋体"/>
          <w:color w:val="auto"/>
          <w:sz w:val="24"/>
          <w:highlight w:val="none"/>
          <w:lang w:val="zh-CN"/>
        </w:rPr>
        <w:t>合同通用条款：是根据法律、行政法规规定及建设工程施工的需要订立，通用于建设工程施工的条款。</w:t>
      </w:r>
    </w:p>
    <w:p w14:paraId="0F3385A2">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1.2 合同专用条款：是发包人与承包人根据法律、行政法规规定，结合具体工程实际，经协商达成一致意见的条款，是对《合同通用条款》的具体化、补充或修改。</w:t>
      </w:r>
    </w:p>
    <w:p w14:paraId="27968FA9">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1.3发包人：指在协议书中约定，具有工程发包主体资格和支付工程价款能力的当事人以及取得该当事人资格的合法继承人。</w:t>
      </w:r>
    </w:p>
    <w:p w14:paraId="6345794A">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1.4 承包人：指在协议书中约定，被发包人接受的具有工程施工承包主体资格的当事人以及取得该当事人资格的合法继承人。</w:t>
      </w:r>
    </w:p>
    <w:p w14:paraId="713D001C">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1.5 项目经理：指承包人在《合同专用条款》中指定的负责施工管理和合同履行的代表。</w:t>
      </w:r>
    </w:p>
    <w:p w14:paraId="74BFDBD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1.6设计单位：指发包人委托的负责本工程设计并取得相应工程设计资质等级证书的单位。</w:t>
      </w:r>
    </w:p>
    <w:p w14:paraId="2F9E904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1.7监理单位：指发包人委托的负责本工程监理并取得相应工程监理资质等级证书的单位。</w:t>
      </w:r>
    </w:p>
    <w:p w14:paraId="3D682820">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1.8工程师：指本工程监理单位委派的总监理工程师或发包人指定的履行本合同的代表，其具体身份和职权由发包人承包人在《合同专用条款》中约定。</w:t>
      </w:r>
    </w:p>
    <w:p w14:paraId="121883B6">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1.9工程造价管理部门：指国务院有关部门、县级以上人民政府建设行政主管部门或其委托的工程造价管理机构。</w:t>
      </w:r>
    </w:p>
    <w:p w14:paraId="6A874CD3">
      <w:pPr>
        <w:autoSpaceDE w:val="0"/>
        <w:autoSpaceDN w:val="0"/>
        <w:adjustRightInd w:val="0"/>
        <w:spacing w:before="20" w:line="360" w:lineRule="auto"/>
        <w:ind w:left="-359" w:firstLine="7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1.10工程：指发包人承包人在协议书中约定的承包范围内的工程。</w:t>
      </w:r>
    </w:p>
    <w:p w14:paraId="47ADD19F">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1.11合同价款：指发包人承包人在协议书中约定，发包人用以支付承包人按照合同约定完成承包范围内全部工程并承担质量保修责任的款项。</w:t>
      </w:r>
    </w:p>
    <w:p w14:paraId="6BD6AEC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1.12追加合同价款：指在合同履行中发生需要增加合同价款的情况，经发包人确认后按计算合同价款的方法增加的合同价款。</w:t>
      </w:r>
    </w:p>
    <w:p w14:paraId="419FC03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1.13费用：指不包含在合同价款之内的应当由发包人或承包人承担的经济支出。</w:t>
      </w:r>
    </w:p>
    <w:p w14:paraId="6145FB57">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1.14工期：指发包人承包人在协议书中约定，按总日历天数（包括法定节假日）计算的承包天数。</w:t>
      </w:r>
    </w:p>
    <w:p w14:paraId="437F9037">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1.15开工日期：指发包人承包人在协议书中约定，承包人开始施工的绝对或相对的日期。</w:t>
      </w:r>
    </w:p>
    <w:p w14:paraId="75CD4E76">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1.16竣工日期：指发包人承包人在协议书中约定，承包人完成承包范围内工程的绝对或相对的日期。</w:t>
      </w:r>
    </w:p>
    <w:p w14:paraId="389DC08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1.17图纸：指由发包人提供或由承包人提供并经发包人批准，满足承包人施工需要的所有图纸（包括配套说明和有关资料）。</w:t>
      </w:r>
    </w:p>
    <w:p w14:paraId="59EED70E">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1.18施工场地：指由发包人提供的用于工程施工的场所以及发包人在图纸中具体指定的供施工使用的任何其他场所。</w:t>
      </w:r>
    </w:p>
    <w:p w14:paraId="5F1D1B34">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1.19书面形式：指合同书、信件和数据电文（包括电报、电传、传真、电子数据交换和电子邮件）等可以有形地表现所载内容的形式。</w:t>
      </w:r>
    </w:p>
    <w:p w14:paraId="1F8739C4">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1.20违约责任：指合同一方不履行合同义务或履行合同义务不符合约定所应承担的责任。</w:t>
      </w:r>
    </w:p>
    <w:p w14:paraId="4B079C6D">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1.21索赔：指在合同履行过程中，对于并非自己的过错，而是应由对方承担责任的情况造成的实际损失，向对方提出经济补偿和（或）工期顺延的要求。</w:t>
      </w:r>
    </w:p>
    <w:p w14:paraId="297C5E8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1.22不可抗力：指不能预见、不能避免并不能克服的客观情况。</w:t>
      </w:r>
    </w:p>
    <w:p w14:paraId="2604C47D">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22AC3893">
      <w:pPr>
        <w:autoSpaceDE w:val="0"/>
        <w:autoSpaceDN w:val="0"/>
        <w:adjustRightInd w:val="0"/>
        <w:spacing w:before="20" w:line="360" w:lineRule="auto"/>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2、合同文件及解释顺序</w:t>
      </w:r>
    </w:p>
    <w:p w14:paraId="34D1BE8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2.1合同文件应能相互解释，互为说明。除《合同专用条款》另有约定外，组成本合同的文件及优先解释顺序如下：</w:t>
      </w:r>
    </w:p>
    <w:p w14:paraId="6FE51BB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(1)本合同协议书</w:t>
      </w:r>
    </w:p>
    <w:p w14:paraId="77B64DD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(2)中标通知书</w:t>
      </w:r>
    </w:p>
    <w:p w14:paraId="6534D70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(3)本合同《合同专用条款》</w:t>
      </w:r>
    </w:p>
    <w:p w14:paraId="3E5570B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(4)本合同《合同通用条款》</w:t>
      </w:r>
    </w:p>
    <w:p w14:paraId="16CBD8E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 投标书及其附件</w:t>
      </w:r>
    </w:p>
    <w:p w14:paraId="210F7A5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(6)标准、规范及有关技术文件</w:t>
      </w:r>
    </w:p>
    <w:p w14:paraId="7800515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(7)图纸</w:t>
      </w:r>
    </w:p>
    <w:p w14:paraId="1E80C11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(8)工程量清单</w:t>
      </w:r>
    </w:p>
    <w:p w14:paraId="758D5D6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(9)工程报价单或预算书</w:t>
      </w:r>
    </w:p>
    <w:p w14:paraId="2C362AD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合同履行中，发包人承包人有关工程的洽商、变更等书面协议或文件视为本合同的组成部分。</w:t>
      </w:r>
    </w:p>
    <w:p w14:paraId="76EF4E70">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合同通用条款》37条关于争议的约定处理。</w:t>
      </w:r>
    </w:p>
    <w:p w14:paraId="0D16A4F3">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3、语言文字和适用法律、标准及规范</w:t>
      </w:r>
    </w:p>
    <w:p w14:paraId="53E3AF2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3.1语言文字</w:t>
      </w:r>
    </w:p>
    <w:p w14:paraId="548059E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本合同文件使用汉语语言文字书写、解释和说明。如《合同专用条款》约定使用两种以上（含两种）语言文字时，汉语应为解释和说明本合同的标准语言文字。</w:t>
      </w:r>
    </w:p>
    <w:p w14:paraId="30CFB29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在少数民族地区，双方可以约定使用少数民族语言文字书写和解释、说明本合同。</w:t>
      </w:r>
    </w:p>
    <w:p w14:paraId="5A0D8B7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3.2适用法律和法规</w:t>
      </w:r>
    </w:p>
    <w:p w14:paraId="40282D3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本合同文件适用国家的法律和行政法规。需要明示的法律、行政法规，由双方在《合同专用条款》中约定。</w:t>
      </w:r>
    </w:p>
    <w:p w14:paraId="3906011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3.3适用标准、规范</w:t>
      </w:r>
    </w:p>
    <w:p w14:paraId="73F59946">
      <w:pPr>
        <w:autoSpaceDE w:val="0"/>
        <w:autoSpaceDN w:val="0"/>
        <w:adjustRightInd w:val="0"/>
        <w:spacing w:before="20" w:line="360" w:lineRule="auto"/>
        <w:ind w:firstLine="54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14:paraId="68B61ED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14:paraId="50851BE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本条所发生的购买、翻译标准、规范或制定施工工艺的费用，由发包人承担。</w:t>
      </w:r>
    </w:p>
    <w:p w14:paraId="5960A45F">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4、图纸</w:t>
      </w:r>
    </w:p>
    <w:p w14:paraId="4AD436B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14:paraId="07A09AE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4.2承包人未经发包人同意，不得将本工程图纸转给第三人。工程质量保修期满后，除承包人存档需要的图纸外，应将全部图纸退还给发包人。</w:t>
      </w:r>
    </w:p>
    <w:p w14:paraId="7E3C024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4.3承包人应在施工现场保留一套完整图纸，供工程师及有关人员进行工程检查时使用。</w:t>
      </w:r>
    </w:p>
    <w:p w14:paraId="1BFDDAF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4A17A2A0">
      <w:pPr>
        <w:pStyle w:val="3"/>
        <w:spacing w:line="360" w:lineRule="auto"/>
        <w:jc w:val="center"/>
        <w:rPr>
          <w:rFonts w:hint="eastAsia" w:ascii="宋体" w:hAnsi="宋体" w:eastAsia="宋体" w:cs="宋体"/>
          <w:color w:val="auto"/>
          <w:kern w:val="0"/>
          <w:sz w:val="24"/>
          <w:szCs w:val="24"/>
          <w:highlight w:val="none"/>
        </w:rPr>
      </w:pPr>
      <w:bookmarkStart w:id="8" w:name="_Toc156887508"/>
      <w:bookmarkStart w:id="9" w:name="_Toc156215939"/>
      <w:r>
        <w:rPr>
          <w:rFonts w:hint="eastAsia" w:ascii="宋体" w:hAnsi="宋体" w:eastAsia="宋体" w:cs="宋体"/>
          <w:color w:val="auto"/>
          <w:kern w:val="0"/>
          <w:sz w:val="24"/>
          <w:szCs w:val="24"/>
          <w:highlight w:val="none"/>
        </w:rPr>
        <w:t>二、双方一般权利和义务</w:t>
      </w:r>
      <w:bookmarkEnd w:id="8"/>
      <w:bookmarkEnd w:id="9"/>
    </w:p>
    <w:p w14:paraId="71C920C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4F6C329B">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5、工程师</w:t>
      </w:r>
    </w:p>
    <w:p w14:paraId="2690812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5.1实行工程监理的，发包人应在实施监理前将委托的监理单位名称、监理内容及监理权限以书面形式通知承包人。</w:t>
      </w:r>
    </w:p>
    <w:p w14:paraId="5960CA7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14:paraId="33023E6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14:paraId="27DA552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5.4合同履行中，发生影响发包人承包人双方权利或义务和事件时，负责监理的工程师应依据合同在其职权范围内客观公正地进行处理。一方对工程师的处理有异议时，按本《合同通用条款》37条关于争议的约定处理。</w:t>
      </w:r>
    </w:p>
    <w:p w14:paraId="4E4A4B8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5.5除合同内有明确约定或经发包人同意外，负责监理的工程师无权解释本合同约定的承包人任何权利与义务。</w:t>
      </w:r>
    </w:p>
    <w:p w14:paraId="302754E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5.6不实行工程监理的，本合同中工程师专指发包人派驻施工场地履行合同的代表，其具体职权由发包人在《合同专用条款》内写明。</w:t>
      </w:r>
    </w:p>
    <w:p w14:paraId="775817E0">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6、工程师的委派和指令</w:t>
      </w:r>
    </w:p>
    <w:p w14:paraId="2201900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14:paraId="766E5C3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14:paraId="3484F85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除工程师或工程师代表外，发包人派驻工地的其他人员均无权向承包人发出任何指令。</w:t>
      </w:r>
    </w:p>
    <w:p w14:paraId="6DBDFCE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6E6377D9">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68AFA3A4">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本款规定同样适用于由工程师代表发出的指令、通知。</w:t>
      </w:r>
    </w:p>
    <w:p w14:paraId="662A0C9F">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74FFD5A0">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6.4如需更换工程师，发包人应至少提前7天以书面形式通知承包人，后任继续行使合同文件约定的前任的职权，履行前任的义务。</w:t>
      </w:r>
    </w:p>
    <w:p w14:paraId="22A714F8">
      <w:pPr>
        <w:autoSpaceDE w:val="0"/>
        <w:autoSpaceDN w:val="0"/>
        <w:adjustRightInd w:val="0"/>
        <w:spacing w:before="20"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7、项目经理</w:t>
      </w:r>
    </w:p>
    <w:p w14:paraId="04FCF21D">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7.1项目经理的姓名、职务在《合同专用条款》内写明。</w:t>
      </w:r>
    </w:p>
    <w:p w14:paraId="67D26F0E">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7.2承包人依据合同发出的通知，以书面形式由项目经理签字后送交工程师，工程师在回执上签署姓名和收到时间后生效。</w:t>
      </w:r>
    </w:p>
    <w:p w14:paraId="6393327E">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11601E8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7.4承包人如需更换项目经理，应至少提前7天以书面形式通知发包人，并征得发包人同意。后任继续行使合同文件约定的前任的职权，履行前任的义务。</w:t>
      </w:r>
    </w:p>
    <w:p w14:paraId="70A3F1B7">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7.5发包人可以与承包人协商，建议更换其认为不称职的项目经理。</w:t>
      </w:r>
    </w:p>
    <w:p w14:paraId="02D0E429">
      <w:pPr>
        <w:autoSpaceDE w:val="0"/>
        <w:autoSpaceDN w:val="0"/>
        <w:adjustRightInd w:val="0"/>
        <w:spacing w:before="20"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8、发包人工作</w:t>
      </w:r>
    </w:p>
    <w:p w14:paraId="5E3DADF9">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8.1发包人按《合同专用条款》约定的内容和时间完成以下工作：</w:t>
      </w:r>
    </w:p>
    <w:p w14:paraId="1CB6A0CE">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（1）负责施工场地具备施工条件，在开工后继续负责解决以上事项遗留问题；</w:t>
      </w:r>
    </w:p>
    <w:p w14:paraId="0AC7A0F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（2）提供用水、用电接驳点，保证施工期间的需要；</w:t>
      </w:r>
    </w:p>
    <w:p w14:paraId="1005859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（3）开通施工场地与城乡公共道路的通道，以及《合同专用条款》约定的施工场地内的主要道路，满足施工运输的需要，保证施工期间的畅通；</w:t>
      </w:r>
    </w:p>
    <w:p w14:paraId="27E853F2">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（4）向承包人提供施工场地的工程地质和地下管线资料，对资料的真实准确性负责；</w:t>
      </w:r>
    </w:p>
    <w:p w14:paraId="2F418D03">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（5）办理施工许可证及其他施工所需证件、批件和临时用地、停水、停电、中断道路交通、爆破作业等的申请批准手续（证明承包人自身资质的证件除外）；</w:t>
      </w:r>
    </w:p>
    <w:p w14:paraId="7FBD8C83">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（6）确定水准点与坐标控制点，以书面形式交给承包人，进行现场交验；</w:t>
      </w:r>
    </w:p>
    <w:p w14:paraId="59CE830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（7）组织承包人和设计单位进行图纸会审和设计交底；</w:t>
      </w:r>
    </w:p>
    <w:p w14:paraId="224C2289">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（8）协调处理施工场地周围地下管线和邻近建筑物、构筑物（包括文物保护建筑）、古树名木的保护工作，承担有关费用；</w:t>
      </w:r>
    </w:p>
    <w:p w14:paraId="571205FF">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（9）发包人应做的其他工作，双方在《合同专用条款》内约定。</w:t>
      </w:r>
    </w:p>
    <w:p w14:paraId="3BCD9FA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8.2发包人可以将8.1款部分工作委托承包人办理，双方在《合同专用条款》内约定，其费用由发包人承担。</w:t>
      </w:r>
    </w:p>
    <w:p w14:paraId="486BAA3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8.3发包人未能履行8.1款各项义务，导致工期延误或给承包人造成损失的，发包人赔偿承包人有关损失，顺延延误的工期。</w:t>
      </w:r>
    </w:p>
    <w:p w14:paraId="06EF5CE6">
      <w:pPr>
        <w:autoSpaceDE w:val="0"/>
        <w:autoSpaceDN w:val="0"/>
        <w:adjustRightInd w:val="0"/>
        <w:spacing w:before="20"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9、承包人工作</w:t>
      </w:r>
    </w:p>
    <w:p w14:paraId="4BC9BD8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9.1承包人按《合同专用条款》约定的内容和时间完成以下工作：</w:t>
      </w:r>
    </w:p>
    <w:p w14:paraId="4700533B">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（1）根据发包人委托，在其设计资质等级和业务允许的范围内，完成施工图设计或工程配套的设计，经工程师确认后使用，发包人承担由此发生的费用；</w:t>
      </w:r>
    </w:p>
    <w:p w14:paraId="3B7D66B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（2）向工程师提供年、季、月度工程进度计划及相应进度统计报表；</w:t>
      </w:r>
    </w:p>
    <w:p w14:paraId="00BD55FA">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（3）根据工程需要，提供和维修非夜间施工使用的照明、围栏设施，并负责安全保卫；</w:t>
      </w:r>
    </w:p>
    <w:p w14:paraId="47129F60">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（4）按《合同专用条款》约定的数量和要求，向发包人提供施工场地办公和生活的房屋及设施，发包人承担由此发生的费用；</w:t>
      </w:r>
    </w:p>
    <w:p w14:paraId="1429E05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（5）遵守政府有关主管部门对施工场地交通、施工噪音以及环境保护和安全生产等的管理规定，按规定办理有关手续，并以书面形式通知发包人，承担因自身原因造成的罚款；</w:t>
      </w:r>
    </w:p>
    <w:p w14:paraId="39674067">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14:paraId="50B348D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（7）按《合同专用条款》约定做好施工场地地下管线和邻近建筑物、构筑物（包括文物保护建筑）、古树名木的保护工作；</w:t>
      </w:r>
    </w:p>
    <w:p w14:paraId="127AC523">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（8）保证施工场地清洁符合环境卫生管理的有关规定，交工前清理现场达到《合同专用条款》约定的要求，承担因自身原因违反有关规定造成的损失和罚款；</w:t>
      </w:r>
    </w:p>
    <w:p w14:paraId="3CEEA32C">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（9）承包人应做的其他工作，双方在《合同专用条款》内约定。</w:t>
      </w:r>
    </w:p>
    <w:p w14:paraId="121FA0C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9.2承包人未能履行9.1款各项义务，造成发包人损失的，承包人赔偿发包人有关损失。</w:t>
      </w:r>
    </w:p>
    <w:p w14:paraId="6FFB109E">
      <w:pPr>
        <w:autoSpaceDE w:val="0"/>
        <w:autoSpaceDN w:val="0"/>
        <w:adjustRightInd w:val="0"/>
        <w:spacing w:before="20" w:line="360" w:lineRule="auto"/>
        <w:rPr>
          <w:rFonts w:hint="eastAsia" w:ascii="宋体" w:hAnsi="宋体" w:eastAsia="宋体" w:cs="宋体"/>
          <w:color w:val="auto"/>
          <w:sz w:val="24"/>
          <w:highlight w:val="none"/>
          <w:lang w:val="zh-CN"/>
        </w:rPr>
      </w:pPr>
    </w:p>
    <w:p w14:paraId="3DB9CEEE">
      <w:pPr>
        <w:pStyle w:val="3"/>
        <w:spacing w:line="360" w:lineRule="auto"/>
        <w:jc w:val="center"/>
        <w:rPr>
          <w:rFonts w:hint="eastAsia" w:ascii="宋体" w:hAnsi="宋体" w:eastAsia="宋体" w:cs="宋体"/>
          <w:color w:val="auto"/>
          <w:kern w:val="0"/>
          <w:sz w:val="24"/>
          <w:szCs w:val="24"/>
          <w:highlight w:val="none"/>
        </w:rPr>
      </w:pPr>
      <w:bookmarkStart w:id="10" w:name="_Toc156215940"/>
      <w:bookmarkStart w:id="11" w:name="_Toc156887509"/>
      <w:r>
        <w:rPr>
          <w:rFonts w:hint="eastAsia" w:ascii="宋体" w:hAnsi="宋体" w:eastAsia="宋体" w:cs="宋体"/>
          <w:color w:val="auto"/>
          <w:kern w:val="0"/>
          <w:sz w:val="24"/>
          <w:szCs w:val="24"/>
          <w:highlight w:val="none"/>
        </w:rPr>
        <w:t>三、施工组织设计和工期</w:t>
      </w:r>
      <w:bookmarkEnd w:id="10"/>
      <w:bookmarkEnd w:id="11"/>
    </w:p>
    <w:p w14:paraId="75197FCC">
      <w:pPr>
        <w:autoSpaceDE w:val="0"/>
        <w:autoSpaceDN w:val="0"/>
        <w:adjustRightInd w:val="0"/>
        <w:spacing w:line="360" w:lineRule="auto"/>
        <w:rPr>
          <w:rFonts w:hint="eastAsia" w:ascii="宋体" w:hAnsi="宋体" w:eastAsia="宋体" w:cs="宋体"/>
          <w:color w:val="auto"/>
          <w:sz w:val="24"/>
          <w:highlight w:val="none"/>
          <w:lang w:val="zh-CN"/>
        </w:rPr>
      </w:pPr>
    </w:p>
    <w:p w14:paraId="4BBBFA5A">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10、进度计划</w:t>
      </w:r>
    </w:p>
    <w:p w14:paraId="33A0E73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10.1承包人应按《合同专用条款》约定的日期，将施工组织设计和工程进度计划提交工程师，工程师按《合同专用条款》约定的时间予以确认或提出修改意见，逾期不确认也不提出书面意见的，视为同意。</w:t>
      </w:r>
    </w:p>
    <w:p w14:paraId="63C1F55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10.2群体工程中单位工程分期进行施工的，承包人应按照发包人提供图纸及有关资料的时间，按单位工程编制进度计划，其具体内容双方在《合同专用条款》中约定。</w:t>
      </w:r>
    </w:p>
    <w:p w14:paraId="0E53289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539102FF">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11、开工及延期开工</w:t>
      </w:r>
    </w:p>
    <w:p w14:paraId="1338BDC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11.1承包人应当按照协议书约定的开工日期开工。承包人不能按时开工，应当不迟于协议书约定的开工日期前7天，工程师应以书面形式通知承包人，推迟开工日期。发包人赔偿承包人因延期开工造成的损失，并相应顺延工期。</w:t>
      </w:r>
    </w:p>
    <w:p w14:paraId="0DC902A1">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12、暂停施工</w:t>
      </w:r>
    </w:p>
    <w:p w14:paraId="41DDCC4E">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60AA10A6">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13、工期延误</w:t>
      </w:r>
    </w:p>
    <w:p w14:paraId="5934A5ED">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13.1因以下原因造成工期延误，经工程师确认，工期相应顺延；</w:t>
      </w:r>
    </w:p>
    <w:p w14:paraId="1ED3A72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（1）发包人未能按《合同专用条款》的约定提供图纸及开工条件；</w:t>
      </w:r>
    </w:p>
    <w:p w14:paraId="13DC41B0">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（2）发包人未能按约定日期支付工程预付款、进度款，致使施工不能正常进行；</w:t>
      </w:r>
    </w:p>
    <w:p w14:paraId="63BF69D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（3）工程师未按合同约定提供所需指令、批准等，致使施工不能正常进行；</w:t>
      </w:r>
    </w:p>
    <w:p w14:paraId="3B5F7D5A">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（4）设计变更和工程量增加；</w:t>
      </w:r>
    </w:p>
    <w:p w14:paraId="77216C1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（5）一周内非承包人原因停水、停电、停气造成停工累计超过8小时；</w:t>
      </w:r>
    </w:p>
    <w:p w14:paraId="194CFC1A">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（6）不可抗力；</w:t>
      </w:r>
    </w:p>
    <w:p w14:paraId="37B5F99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（7）《合同专用条款》中约定或工程师同意工期顺延的其他情况。</w:t>
      </w:r>
    </w:p>
    <w:p w14:paraId="14C3A0A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13.2承包人在13.1款情况发生后14天内，就延误的工期以书面形式向工程师提出报告。工程师在收到报告后14天内予以确认，逾期不予确认也不提出修改意见，视为同意顺延工期。</w:t>
      </w:r>
    </w:p>
    <w:p w14:paraId="252163AC">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14、工程竣工</w:t>
      </w:r>
    </w:p>
    <w:p w14:paraId="3D8865C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14.1承包人必须按照协议书约定的竣工日期或工程师同意顺延的工期竣工。</w:t>
      </w:r>
    </w:p>
    <w:p w14:paraId="64C6A79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14.2因承包人原因不能按照协议书约定的竣工日期或工程师同意顺延的工期竣工的，承包人承担违约责任。</w:t>
      </w:r>
    </w:p>
    <w:p w14:paraId="0AE9E06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063ACB15">
      <w:pPr>
        <w:autoSpaceDE w:val="0"/>
        <w:autoSpaceDN w:val="0"/>
        <w:adjustRightInd w:val="0"/>
        <w:spacing w:before="20" w:line="360" w:lineRule="auto"/>
        <w:rPr>
          <w:rFonts w:hint="eastAsia" w:ascii="宋体" w:hAnsi="宋体" w:eastAsia="宋体" w:cs="宋体"/>
          <w:color w:val="auto"/>
          <w:sz w:val="24"/>
          <w:highlight w:val="none"/>
          <w:lang w:val="zh-CN"/>
        </w:rPr>
      </w:pPr>
    </w:p>
    <w:p w14:paraId="40E59724">
      <w:pPr>
        <w:pStyle w:val="3"/>
        <w:spacing w:line="360" w:lineRule="auto"/>
        <w:jc w:val="center"/>
        <w:rPr>
          <w:rFonts w:hint="eastAsia" w:ascii="宋体" w:hAnsi="宋体" w:eastAsia="宋体" w:cs="宋体"/>
          <w:color w:val="auto"/>
          <w:kern w:val="0"/>
          <w:sz w:val="24"/>
          <w:szCs w:val="24"/>
          <w:highlight w:val="none"/>
        </w:rPr>
      </w:pPr>
      <w:bookmarkStart w:id="12" w:name="_Toc156215941"/>
      <w:bookmarkStart w:id="13" w:name="_Toc156887510"/>
      <w:r>
        <w:rPr>
          <w:rFonts w:hint="eastAsia" w:ascii="宋体" w:hAnsi="宋体" w:eastAsia="宋体" w:cs="宋体"/>
          <w:color w:val="auto"/>
          <w:kern w:val="0"/>
          <w:sz w:val="24"/>
          <w:szCs w:val="24"/>
          <w:highlight w:val="none"/>
        </w:rPr>
        <w:t>四、质量与检验</w:t>
      </w:r>
      <w:bookmarkEnd w:id="12"/>
      <w:bookmarkEnd w:id="13"/>
    </w:p>
    <w:p w14:paraId="0239E528">
      <w:pPr>
        <w:autoSpaceDE w:val="0"/>
        <w:autoSpaceDN w:val="0"/>
        <w:adjustRightInd w:val="0"/>
        <w:spacing w:before="20" w:line="360" w:lineRule="auto"/>
        <w:rPr>
          <w:rFonts w:hint="eastAsia" w:ascii="宋体" w:hAnsi="宋体" w:eastAsia="宋体" w:cs="宋体"/>
          <w:color w:val="auto"/>
          <w:sz w:val="24"/>
          <w:highlight w:val="none"/>
          <w:lang w:val="zh-CN"/>
        </w:rPr>
      </w:pPr>
    </w:p>
    <w:p w14:paraId="5672F167">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15、工程质量</w:t>
      </w:r>
    </w:p>
    <w:p w14:paraId="368E06A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15.1工程质量应当达到协议书约定的质量标准，质量标准的评定以国家或行业的质量检验评定标准为依据。因承包人原因工程质量达不到约定的质量标准，承包人承担违约责任。</w:t>
      </w:r>
    </w:p>
    <w:p w14:paraId="3C559C6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15.2双方对工程质量有争议，由双方同意的工程质量检测机构鉴定，所需费用及因此造成的损失，由责任方承担。双方均有责任，由双方根据其责任分别承担。</w:t>
      </w:r>
    </w:p>
    <w:p w14:paraId="70A4B9A4">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 xml:space="preserve"> 16、检查和返工</w:t>
      </w:r>
    </w:p>
    <w:p w14:paraId="7E0A04CA">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16.1承包人应认真按照标准、规范和设计图纸要求以及工程师依据合同发出的指令施工，随时接受工程师的检查检验，为检查检验提供便利条件。</w:t>
      </w:r>
    </w:p>
    <w:p w14:paraId="326AADE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24F1C0D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16.3工程师的检查检验不应影响施工正常进行。如影响施工正常进行，检查检验不合格时，影响正常施工的费用由承包人承担。除此之外影响正常施工的追加合同价款由发包人承担，相应顺延工期。</w:t>
      </w:r>
    </w:p>
    <w:p w14:paraId="2F534C2D">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16.4因工程师指令失误或其他非承包人原因发生的追加合同价款，由发包人承担。</w:t>
      </w:r>
    </w:p>
    <w:p w14:paraId="309891C6">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17、隐蔽工程和中间验收</w:t>
      </w:r>
    </w:p>
    <w:p w14:paraId="5E92A91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7FD644E0">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17.2工程师不能按时进行验收，应在验收前24小时以书面形式向承包人提出延期要求，延期不能超过48小时。工程师未能按以上时间提出延期要求，不进行验收，承包人可自行组织验收，工程师应承认验收记录。</w:t>
      </w:r>
    </w:p>
    <w:p w14:paraId="1A35236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17.3经工程师验收，工程质量符合标准、规范和设计图纸等要求，验收24小时后，工程师不在验收记录上签字，视为工程师已经认可验收记录，承包人可进行隐蔽或继续施工。</w:t>
      </w:r>
    </w:p>
    <w:p w14:paraId="4683E768">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18、重新检验</w:t>
      </w:r>
    </w:p>
    <w:p w14:paraId="584CCA2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14:paraId="141C43CA">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19、工程试运行</w:t>
      </w:r>
    </w:p>
    <w:p w14:paraId="7787603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19.1  双方约定需要试运行的，试运行内容应与承包人承包的安装范围相一致。</w:t>
      </w:r>
    </w:p>
    <w:p w14:paraId="31B1404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19.2  设备安装工程具备单机无负荷试运行条件，承包人组织试运行，并在试车前48小时以书面形式通知工程师。通知包括试运行内容、时间、地点。承包人准备试运行记录，发包人根据承包人要求为试运行提供必要条件。试运行合格，工程师在试运行记录上签字。</w:t>
      </w:r>
    </w:p>
    <w:p w14:paraId="08F87EC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19.3  工程师不能按时参加试运行，须在开始试运行前24小时以书面形式向承包人提出延期要求，延期不能超过48小时。工程师未能按以上时间提出延期要求，不参加试运行，应承认试运行记录。</w:t>
      </w:r>
    </w:p>
    <w:p w14:paraId="3C5353E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19.4  设备安装工程具备无负荷联动试运行条件，发包人组织试运行，并在试运行前48小时以书面形式通知承包人。通知包括试运行内容、时间、地点和对承包人的要求，承包人按要求做好准备工作。试运行合格，双方在试运行记录上签字。</w:t>
      </w:r>
    </w:p>
    <w:p w14:paraId="3628665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19.5  双方责任</w:t>
      </w:r>
    </w:p>
    <w:p w14:paraId="014D9B2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(1)由于设计原因试运行达不到验收要求，发包人应要求设计单位修改设计，承包人按修改后的设计重新安装。发包人承担修改设计、拆除及重新安装的全部费用和追加合同价款，工期相应顺延。</w:t>
      </w:r>
    </w:p>
    <w:p w14:paraId="7FDA0AF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由于设备制造原因试运行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294103A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(3)由于承包人施工原因试运行达不到验收要求，承包人按工程师要求重新安装和试运行，并承担重新安装和试运行的费用，工期不予顺延。</w:t>
      </w:r>
    </w:p>
    <w:p w14:paraId="3570F5C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(4)试运行费用除已包括在合同价款之内或《合同专用条款》另有约定外，均由发包人承担。</w:t>
      </w:r>
    </w:p>
    <w:p w14:paraId="41C9E2E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(5)工程师在试运行合格后不在试车记录上签字，试运行结束24小时后，视为工程师已经认可试运行记录，承包人可继续施工或办理竣工手续。</w:t>
      </w:r>
    </w:p>
    <w:p w14:paraId="39781DF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19.6  投料试运行应在工程竣工验收后由发包人负责，如发包人要求在工程竣工验收前进行或需要承包人配合时，应征得承包人同意，另行签订补充协议。</w:t>
      </w:r>
    </w:p>
    <w:p w14:paraId="04B2CDDF">
      <w:pPr>
        <w:autoSpaceDE w:val="0"/>
        <w:autoSpaceDN w:val="0"/>
        <w:adjustRightInd w:val="0"/>
        <w:spacing w:before="20" w:line="360" w:lineRule="auto"/>
        <w:rPr>
          <w:rFonts w:hint="eastAsia" w:ascii="宋体" w:hAnsi="宋体" w:eastAsia="宋体" w:cs="宋体"/>
          <w:color w:val="auto"/>
          <w:sz w:val="24"/>
          <w:highlight w:val="none"/>
          <w:lang w:val="zh-CN"/>
        </w:rPr>
      </w:pPr>
    </w:p>
    <w:p w14:paraId="4BAECF0B">
      <w:pPr>
        <w:pStyle w:val="3"/>
        <w:spacing w:line="360" w:lineRule="auto"/>
        <w:jc w:val="center"/>
        <w:rPr>
          <w:rFonts w:hint="eastAsia" w:ascii="宋体" w:hAnsi="宋体" w:eastAsia="宋体" w:cs="宋体"/>
          <w:color w:val="auto"/>
          <w:kern w:val="0"/>
          <w:sz w:val="24"/>
          <w:szCs w:val="24"/>
          <w:highlight w:val="none"/>
        </w:rPr>
      </w:pPr>
      <w:bookmarkStart w:id="14" w:name="_Toc156215942"/>
      <w:bookmarkStart w:id="15" w:name="_Toc156887511"/>
      <w:r>
        <w:rPr>
          <w:rFonts w:hint="eastAsia" w:ascii="宋体" w:hAnsi="宋体" w:eastAsia="宋体" w:cs="宋体"/>
          <w:color w:val="auto"/>
          <w:kern w:val="0"/>
          <w:sz w:val="24"/>
          <w:szCs w:val="24"/>
          <w:highlight w:val="none"/>
        </w:rPr>
        <w:t>五、安全文明施工</w:t>
      </w:r>
      <w:bookmarkEnd w:id="14"/>
      <w:bookmarkEnd w:id="15"/>
    </w:p>
    <w:p w14:paraId="0AD4225A">
      <w:pPr>
        <w:autoSpaceDE w:val="0"/>
        <w:autoSpaceDN w:val="0"/>
        <w:adjustRightInd w:val="0"/>
        <w:spacing w:before="20" w:line="360" w:lineRule="auto"/>
        <w:rPr>
          <w:rFonts w:hint="eastAsia" w:ascii="宋体" w:hAnsi="宋体" w:eastAsia="宋体" w:cs="宋体"/>
          <w:color w:val="auto"/>
          <w:sz w:val="24"/>
          <w:highlight w:val="none"/>
          <w:lang w:val="zh-CN"/>
        </w:rPr>
      </w:pPr>
    </w:p>
    <w:p w14:paraId="6F16DA42">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20、施工场地的占用和管理</w:t>
      </w:r>
    </w:p>
    <w:p w14:paraId="0F73B24E">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20.1  发包人应当依照《合同专用条款》约定的时间，按照其与</w:t>
      </w:r>
      <w:r>
        <w:rPr>
          <w:rFonts w:hint="eastAsia" w:ascii="宋体" w:hAnsi="宋体" w:eastAsia="宋体" w:cs="宋体"/>
          <w:color w:val="auto"/>
          <w:sz w:val="24"/>
          <w:highlight w:val="none"/>
          <w:lang w:val="en-US" w:eastAsia="zh-CN"/>
        </w:rPr>
        <w:t>建设单位</w:t>
      </w:r>
      <w:r>
        <w:rPr>
          <w:rFonts w:hint="eastAsia" w:ascii="宋体" w:hAnsi="宋体" w:eastAsia="宋体" w:cs="宋体"/>
          <w:color w:val="auto"/>
          <w:sz w:val="24"/>
          <w:highlight w:val="none"/>
          <w:lang w:val="zh-CN"/>
        </w:rPr>
        <w:t>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1CCE8997">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20.2  承包人应当严格遵守国家有关建设项目施工现场管理的有关规定，做好施工场地方方面面的管理工作，并应对管理不善引发的纠纷和损失承担全部责任。</w:t>
      </w:r>
    </w:p>
    <w:p w14:paraId="32D98CF8">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20.3  工程竣工验收且办理了移交与接收手续后，承包人应当按照《合同专用条款》约定的时间，从施工场地搬走或清楚其设备、临时设施以及多余的材料、余泥、垃圾，并保持现场和工程清洁整齐，达到发包人和监理工程师满意的程度。</w:t>
      </w:r>
    </w:p>
    <w:p w14:paraId="6FFE9D17">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20.4  承包人应当随时接受政府主管部门的监督和执法检查，并对管理不善之处及时予以全面整改。</w:t>
      </w:r>
    </w:p>
    <w:p w14:paraId="746FB961">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21、安全施工与检查</w:t>
      </w:r>
    </w:p>
    <w:p w14:paraId="30CA4C1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21.1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6EAA217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21.2  发包人应对其在施工场地的工作人员进行安全教育，并对他们的安全负责。发包人不得要求承包人违反安全管理的规定进行施工。因发包人原因导致的安全事故，由发包人承担相应责任及发生的费用。</w:t>
      </w:r>
    </w:p>
    <w:p w14:paraId="258148F3">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22、安全防护</w:t>
      </w:r>
    </w:p>
    <w:p w14:paraId="3D14A07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22.1  承包人在动力设备、输电线路、地下管道、密封防震车间、易燃易爆地段以及临街交通要道附近施工时，施工开始前应向工程师提出安全防护措施，经工程师认可后实施，防护措施费用由发包人承担。</w:t>
      </w:r>
    </w:p>
    <w:p w14:paraId="1542721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22.2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14:paraId="22A2D7BA">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23、事故处理</w:t>
      </w:r>
    </w:p>
    <w:p w14:paraId="79B48B51">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23.1  发生重大伤亡及其他安全事故，承包人应按有关规定立即上报有关部门并通知</w:t>
      </w:r>
      <w:r>
        <w:rPr>
          <w:rFonts w:hint="eastAsia" w:ascii="宋体" w:hAnsi="宋体" w:eastAsia="宋体" w:cs="宋体"/>
          <w:color w:val="auto"/>
          <w:sz w:val="24"/>
          <w:highlight w:val="none"/>
          <w:lang w:val="en-US" w:eastAsia="zh-CN"/>
        </w:rPr>
        <w:t>建设单位</w:t>
      </w:r>
      <w:r>
        <w:rPr>
          <w:rFonts w:hint="eastAsia" w:ascii="宋体" w:hAnsi="宋体" w:eastAsia="宋体" w:cs="宋体"/>
          <w:color w:val="auto"/>
          <w:sz w:val="24"/>
          <w:highlight w:val="none"/>
          <w:lang w:val="zh-CN"/>
        </w:rPr>
        <w:t>，同时按政府有关部门要求处理，由事故责任方承担发生的费用。</w:t>
      </w:r>
    </w:p>
    <w:p w14:paraId="2EF27206">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23.2  发包人承包人对事故责任有争议时，应按政府有关部门的认定处理。</w:t>
      </w:r>
    </w:p>
    <w:p w14:paraId="574CEB0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24、文明施工与环境保护</w:t>
      </w:r>
    </w:p>
    <w:p w14:paraId="179ABB34">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24.1  承包人应遵守工程建设文明施工有关管理规定，建立健全文明施工制度，切实采取有效措施，创建文明施工现场。</w:t>
      </w:r>
    </w:p>
    <w:p w14:paraId="18E84984">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24.2  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14:paraId="5779014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65EB4E5B">
      <w:pPr>
        <w:pStyle w:val="3"/>
        <w:spacing w:line="360" w:lineRule="auto"/>
        <w:jc w:val="center"/>
        <w:rPr>
          <w:rFonts w:hint="eastAsia" w:ascii="宋体" w:hAnsi="宋体" w:eastAsia="宋体" w:cs="宋体"/>
          <w:color w:val="auto"/>
          <w:sz w:val="24"/>
          <w:szCs w:val="24"/>
          <w:highlight w:val="none"/>
          <w:lang w:val="zh-CN"/>
        </w:rPr>
      </w:pPr>
      <w:bookmarkStart w:id="16" w:name="_Toc156215943"/>
      <w:bookmarkStart w:id="17" w:name="_Toc156887512"/>
      <w:r>
        <w:rPr>
          <w:rFonts w:hint="eastAsia" w:ascii="宋体" w:hAnsi="宋体" w:eastAsia="宋体" w:cs="宋体"/>
          <w:color w:val="auto"/>
          <w:kern w:val="0"/>
          <w:sz w:val="24"/>
          <w:szCs w:val="24"/>
          <w:highlight w:val="none"/>
        </w:rPr>
        <w:t>六、合同价款与支付</w:t>
      </w:r>
      <w:bookmarkEnd w:id="16"/>
      <w:bookmarkEnd w:id="17"/>
    </w:p>
    <w:p w14:paraId="753943A3">
      <w:pPr>
        <w:autoSpaceDE w:val="0"/>
        <w:autoSpaceDN w:val="0"/>
        <w:adjustRightInd w:val="0"/>
        <w:spacing w:before="20" w:line="360" w:lineRule="auto"/>
        <w:rPr>
          <w:rFonts w:hint="eastAsia" w:ascii="宋体" w:hAnsi="宋体" w:eastAsia="宋体" w:cs="宋体"/>
          <w:color w:val="auto"/>
          <w:sz w:val="24"/>
          <w:highlight w:val="none"/>
          <w:lang w:val="zh-CN"/>
        </w:rPr>
      </w:pPr>
    </w:p>
    <w:p w14:paraId="15015B80">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25、合同价款及调整</w:t>
      </w:r>
    </w:p>
    <w:p w14:paraId="08DA35C4">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25.1  招标工程的合同价款由发包人承包人依据中标通知书中的中标价格在协议书内约定。非招标工程的合同价款由发包人承包人依据工程预算书在协议书内约定。</w:t>
      </w:r>
    </w:p>
    <w:p w14:paraId="4A821BD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25.2  合同价款在协议书内约定后，任何一方不得擅自改变。下列三种确定合同价款的方式，双方可在《合同专用条款》内约定采用其中一种：</w:t>
      </w:r>
    </w:p>
    <w:p w14:paraId="01ADEFC8">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(1)固定价格合同。双方在《合同专用条款》内约定合同价款包含的风险范围和风险费用的计算方法，在约定的风险范围内合同价款不再调整。风险范围以外的合同价款调整方法，应当在《合同专用条款》内约定。</w:t>
      </w:r>
    </w:p>
    <w:p w14:paraId="050F5D2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(2)可调价格合同。合同价款可根据双方的约定而调整，双方在《合同专用条款》内约定合同价款调整方法。</w:t>
      </w:r>
    </w:p>
    <w:p w14:paraId="1EC7232D">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(3)成本加酬金合同。合同价款包括成本和酬金两部分，双方在《合同专用条款》内约定成本构成和酬金的计算方法。</w:t>
      </w:r>
    </w:p>
    <w:p w14:paraId="3DC8928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25.3  可调价格合同中合同价款的调整因素包括：</w:t>
      </w:r>
    </w:p>
    <w:p w14:paraId="46A647B9">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(1)法律、行政法规和国家有关政策变化影响合同价款；</w:t>
      </w:r>
    </w:p>
    <w:p w14:paraId="5E5DD42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(2)工程造价管理部门分布的价格调整；</w:t>
      </w:r>
    </w:p>
    <w:p w14:paraId="37C983B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(3)一周内非承包人原因停水、停电、停气造成停工累计超过8小时；</w:t>
      </w:r>
    </w:p>
    <w:p w14:paraId="41CB5C1E">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(4)双方约定的其他因素。</w:t>
      </w:r>
    </w:p>
    <w:p w14:paraId="28120A5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25.4  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6897139E">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26、工程预付款</w:t>
      </w:r>
    </w:p>
    <w:p w14:paraId="60CA0DBD">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14:paraId="78CF650C">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27、工程量的确认</w:t>
      </w:r>
    </w:p>
    <w:p w14:paraId="2F432FF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27.1  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14:paraId="62A2C98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27.2  工程师收到承包人报告后7天内未进行计量，从第8天起，承包人报告中开列的工程量即视为被确认，作为工程价款支付的依据。工程师不按约定时间通知承包人，致使承包人未能参加计量，计量结果无效。</w:t>
      </w:r>
    </w:p>
    <w:p w14:paraId="4FEA370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27.3  对承包人超出设计图纸范围和因承包人原因造成返工的工程量，工程师不予计量。</w:t>
      </w:r>
    </w:p>
    <w:p w14:paraId="44A5983D">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28、工程款(进度款)支付</w:t>
      </w:r>
    </w:p>
    <w:p w14:paraId="19919530">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28.1  在确认计量结果后14天内，发包人应向承包人支付工程款(进度款)。按约定时间发包人应扣回的预付款，与工程款(进度款)同期结算。</w:t>
      </w:r>
    </w:p>
    <w:p w14:paraId="36F5D47D">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28.2  本《合同通用条款》第25条确定调整的合同价款，第33条工程变更调整的合同价款及其他条款中约定的追加合同价款，应与工程款(进度款)同期调整支付。</w:t>
      </w:r>
    </w:p>
    <w:p w14:paraId="08E51FB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28.3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1C38F883">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28.4  发包人不按合同约定支付工程款(进度款)，双方又未达成延期付款协议，导致施工无法进行，承包人可停止施工，由发包人承担违约责任。</w:t>
      </w:r>
    </w:p>
    <w:p w14:paraId="2FF9810F">
      <w:pPr>
        <w:autoSpaceDE w:val="0"/>
        <w:autoSpaceDN w:val="0"/>
        <w:adjustRightInd w:val="0"/>
        <w:spacing w:before="20" w:line="360" w:lineRule="auto"/>
        <w:rPr>
          <w:rFonts w:hint="eastAsia" w:ascii="宋体" w:hAnsi="宋体" w:eastAsia="宋体" w:cs="宋体"/>
          <w:color w:val="auto"/>
          <w:sz w:val="24"/>
          <w:highlight w:val="none"/>
          <w:lang w:val="zh-CN"/>
        </w:rPr>
      </w:pPr>
    </w:p>
    <w:p w14:paraId="56F3127B">
      <w:pPr>
        <w:pStyle w:val="3"/>
        <w:spacing w:line="360" w:lineRule="auto"/>
        <w:jc w:val="center"/>
        <w:rPr>
          <w:rFonts w:hint="eastAsia" w:ascii="宋体" w:hAnsi="宋体" w:eastAsia="宋体" w:cs="宋体"/>
          <w:color w:val="auto"/>
          <w:sz w:val="24"/>
          <w:szCs w:val="24"/>
          <w:highlight w:val="none"/>
          <w:lang w:val="zh-CN"/>
        </w:rPr>
      </w:pPr>
      <w:bookmarkStart w:id="18" w:name="_Toc156887513"/>
      <w:bookmarkStart w:id="19" w:name="_Toc156215944"/>
      <w:r>
        <w:rPr>
          <w:rFonts w:hint="eastAsia" w:ascii="宋体" w:hAnsi="宋体" w:eastAsia="宋体" w:cs="宋体"/>
          <w:color w:val="auto"/>
          <w:kern w:val="0"/>
          <w:sz w:val="24"/>
          <w:szCs w:val="24"/>
          <w:highlight w:val="none"/>
        </w:rPr>
        <w:t>七、材料设备供应</w:t>
      </w:r>
      <w:bookmarkEnd w:id="18"/>
      <w:bookmarkEnd w:id="19"/>
    </w:p>
    <w:p w14:paraId="4F8A9F52">
      <w:pPr>
        <w:autoSpaceDE w:val="0"/>
        <w:autoSpaceDN w:val="0"/>
        <w:adjustRightInd w:val="0"/>
        <w:spacing w:before="20" w:line="360" w:lineRule="auto"/>
        <w:rPr>
          <w:rFonts w:hint="eastAsia" w:ascii="宋体" w:hAnsi="宋体" w:eastAsia="宋体" w:cs="宋体"/>
          <w:color w:val="auto"/>
          <w:sz w:val="24"/>
          <w:highlight w:val="none"/>
          <w:lang w:val="zh-CN"/>
        </w:rPr>
      </w:pPr>
    </w:p>
    <w:p w14:paraId="3A94C3D0">
      <w:pPr>
        <w:autoSpaceDE w:val="0"/>
        <w:autoSpaceDN w:val="0"/>
        <w:adjustRightInd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29、发包人供应材料设备</w:t>
      </w:r>
    </w:p>
    <w:p w14:paraId="599C121E">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29.1  实行发包人供应材料设备的，双方应当约定发包人供应材料设备的一览表，作为本合同附件。一览表包括发包人供应材料设备的品种、规格、型号、数量、单价、质量等级、提供时间和地点。</w:t>
      </w:r>
    </w:p>
    <w:p w14:paraId="74D6839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29.2  发包人按一览表约定的内容提供材料设备，并向承包人提供产品合格证明，对其质量负责。发包人在所供材料设备到货前24小时，以书面形式通知承包人，由承包人派人与发包人共同清点。</w:t>
      </w:r>
    </w:p>
    <w:p w14:paraId="11C12535">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29.3  发包人供应的材料设备，承包人派人参加清点后由承包人妥善保管，发包人支付相应保管费用。因承包人原因发生丢失损坏，由承包人负责赔偿。</w:t>
      </w:r>
    </w:p>
    <w:p w14:paraId="2377DEB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发包人未通知承包人清点，承包人不负责材料设备的保管，丢失损坏由发包人负责。</w:t>
      </w:r>
    </w:p>
    <w:p w14:paraId="56165F0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29.4  发包人供应的材料设备与一览表不符时，发包人承担有关责任。发包人应承担责任的具体内容，双方根据下列情况在《合同专用条款》内约定：</w:t>
      </w:r>
    </w:p>
    <w:p w14:paraId="3A501CB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(1)材料设备单价与一览表不符，由发包人承担所有价差；</w:t>
      </w:r>
    </w:p>
    <w:p w14:paraId="0BD97C5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(2)材料设备的品种、规格、型号、质量等级与一览表不符，承包人可拒绝接收保管，由发包人运出施工场地并重新采购；</w:t>
      </w:r>
    </w:p>
    <w:p w14:paraId="0959A2EF">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(3)发包人供应的材料规格、型号与一览表不符，经发包人同意，承包人可代为调剂串换，由发包人承担相应费用；</w:t>
      </w:r>
    </w:p>
    <w:p w14:paraId="71B8188B">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(4)到货地点与一览表不符，由发包人负责运至一览表指定地点；</w:t>
      </w:r>
    </w:p>
    <w:p w14:paraId="538CFE80">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(5)供应数量少于一览表约定的数量时，由发包人补齐，多于一览表约定数量时，发包人负责将多出部分运出施工场地；</w:t>
      </w:r>
    </w:p>
    <w:p w14:paraId="49AC3FA2">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(6)到货时间早于一览表约定时间，由发包人承担因此发生的保管费用；到货时间迟于一览表约定的供应时间，发包人赔偿由此造成承包人损失，造成工期延误的，相应顺延工期；</w:t>
      </w:r>
    </w:p>
    <w:p w14:paraId="46CB0B8C">
      <w:p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29.5发包人供应的材料设备使用前，由承包人负责检验或试验，不合格的不得使用，检验或试验费用由发包人承担。</w:t>
      </w:r>
    </w:p>
    <w:p w14:paraId="082F35ED">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29.6发包人供应材料设备的结算方法，双方《合同专用条款》内约定。</w:t>
      </w:r>
    </w:p>
    <w:p w14:paraId="5E0C8346">
      <w:pPr>
        <w:autoSpaceDE w:val="0"/>
        <w:autoSpaceDN w:val="0"/>
        <w:adjustRightInd w:val="0"/>
        <w:spacing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30、承包人采购材料设备</w:t>
      </w:r>
    </w:p>
    <w:p w14:paraId="576C9BDE">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30.1承包人负责采购材料设备的，应按照《合同专用条款》约定及设计和有关标准要求采购，并提供产品合格证明，对材料设备质量负责。承包人在材料设备到货前24小时通知工程师清点。</w:t>
      </w:r>
    </w:p>
    <w:p w14:paraId="7F8CAC48">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30.2承包人采购的材料设备与设计或标准要求不符时，承包人应按工程师要求的时间运出施工场地，重新采购符合要求的产品，承担由此发生的费用，由此延误的工期不予顺延。</w:t>
      </w:r>
    </w:p>
    <w:p w14:paraId="5D773DB8">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30.3承包人采购的材料设备在使用前，承包人应按工程师的要求进行检验或试验，不合格的不得使用，检验或试验费用由承包人承担。</w:t>
      </w:r>
    </w:p>
    <w:p w14:paraId="252B0487">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30.4工程师发现承包人采购并使用不符合设计或标准要求的材料或设备时，应要求由承包人负责修复、拆除或重新采购，并承担发生的费用，由此延误的工期不予顺延。</w:t>
      </w:r>
    </w:p>
    <w:p w14:paraId="417085C3">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30.5承包人需要使用代用材料时，应经工程师认可后才能使用，由此增减的合同价款双方以书面形式议定。</w:t>
      </w:r>
    </w:p>
    <w:p w14:paraId="7BDB0E1B">
      <w:pPr>
        <w:autoSpaceDE w:val="0"/>
        <w:autoSpaceDN w:val="0"/>
        <w:adjustRightIn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30.6由承包人采购的材料设备，发包人不得指定生产厂或供应商。</w:t>
      </w:r>
    </w:p>
    <w:p w14:paraId="7BD4AE3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3A9535B5">
      <w:pPr>
        <w:pStyle w:val="3"/>
        <w:spacing w:line="360" w:lineRule="auto"/>
        <w:jc w:val="center"/>
        <w:rPr>
          <w:rFonts w:hint="eastAsia" w:ascii="宋体" w:hAnsi="宋体" w:eastAsia="宋体" w:cs="宋体"/>
          <w:color w:val="auto"/>
          <w:kern w:val="0"/>
          <w:sz w:val="24"/>
          <w:szCs w:val="24"/>
          <w:highlight w:val="none"/>
        </w:rPr>
      </w:pPr>
      <w:bookmarkStart w:id="20" w:name="_Toc156215945"/>
      <w:bookmarkStart w:id="21" w:name="_Toc156887514"/>
      <w:r>
        <w:rPr>
          <w:rFonts w:hint="eastAsia" w:ascii="宋体" w:hAnsi="宋体" w:eastAsia="宋体" w:cs="宋体"/>
          <w:color w:val="auto"/>
          <w:kern w:val="0"/>
          <w:sz w:val="24"/>
          <w:szCs w:val="24"/>
          <w:highlight w:val="none"/>
        </w:rPr>
        <w:t>八、工程变更</w:t>
      </w:r>
      <w:bookmarkEnd w:id="20"/>
      <w:bookmarkEnd w:id="21"/>
    </w:p>
    <w:p w14:paraId="3438338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035246F5">
      <w:pPr>
        <w:autoSpaceDE w:val="0"/>
        <w:autoSpaceDN w:val="0"/>
        <w:adjustRightIn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31、工程设计变更</w:t>
      </w:r>
    </w:p>
    <w:p w14:paraId="0A0AF151">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30A66C1C">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（1）更改工程有关部分的标高、基线、位置和尺寸；</w:t>
      </w:r>
    </w:p>
    <w:p w14:paraId="23B0117F">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（2）增减合同中约定的工程量；</w:t>
      </w:r>
    </w:p>
    <w:p w14:paraId="5B94FDCE">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（3）改变有关工程的施工时间和顺序；</w:t>
      </w:r>
    </w:p>
    <w:p w14:paraId="53217D46">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（4）其他有关工程变更需要的附加工作。</w:t>
      </w:r>
    </w:p>
    <w:p w14:paraId="56C9265E">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因变更导致合同价款的增减及造成的承包人损失，由发包人承担，延误的工期相应顺延。</w:t>
      </w:r>
    </w:p>
    <w:p w14:paraId="1542A3CD">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31.2施工中承包人不得对原工程设计进行变更。因承包人擅自变更设计发生的费用和由此导致发包人的直接损失，由承包人承担，延误的工期不予顺延。</w:t>
      </w:r>
    </w:p>
    <w:p w14:paraId="642E59A5">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7F8B9FAC">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工程师同意采用承包人合理化建议，所发生的费用和获得的收益，发包人承包人另行约定分担或分享。</w:t>
      </w:r>
    </w:p>
    <w:p w14:paraId="08BA7711">
      <w:pPr>
        <w:autoSpaceDE w:val="0"/>
        <w:autoSpaceDN w:val="0"/>
        <w:adjustRightIn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32、其他变更</w:t>
      </w:r>
    </w:p>
    <w:p w14:paraId="51FBBA8B">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合同履行中发包人要求变更工程质量标准及发生其他实质性变更，由双方协商解决。</w:t>
      </w:r>
    </w:p>
    <w:p w14:paraId="3FAB9C70">
      <w:pPr>
        <w:autoSpaceDE w:val="0"/>
        <w:autoSpaceDN w:val="0"/>
        <w:adjustRightIn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33、确定变更价款</w:t>
      </w:r>
    </w:p>
    <w:p w14:paraId="62350CF8">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33.1承包人在工程变更确定后14天内，提出变更工程价款的报告，经工程师确认后调整合同价款。变更合同价款按下列方法进行；</w:t>
      </w:r>
    </w:p>
    <w:p w14:paraId="20BD730E">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（1）合同中已有适用于变更工程的价格，按合同已有的价格变更合同价款；</w:t>
      </w:r>
    </w:p>
    <w:p w14:paraId="49471789">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（2）合同中只有类似于变更工程的价格，可以参照类似价格变更合同价款；</w:t>
      </w:r>
    </w:p>
    <w:p w14:paraId="65AE5F74">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（3）合同中没有适用或类似于变更工程的价格，由承包人提出适当的变更价款，经工程师确认后执行。</w:t>
      </w:r>
    </w:p>
    <w:p w14:paraId="365C2AD3">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33.2承包人在双方确定变更后14天内不向工程师提出变更工程价款报告时，视为该项变更不涉及合同价款的变更。</w:t>
      </w:r>
    </w:p>
    <w:p w14:paraId="3C389DD0">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33.3工程师应在收到变更工程价款报告之日起14天内予以确认，工程师无正当理由不确认时，自变更工程价款报告送达之日起14天后视为变更工程价款报告已被确认。</w:t>
      </w:r>
    </w:p>
    <w:p w14:paraId="1977DE4A">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33.4工程师不同意承包人提出的变更价款，按本《合同通用条款》第37条关于争议的约定处理。</w:t>
      </w:r>
    </w:p>
    <w:p w14:paraId="642D2FEF">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33.5工程师确认增加的工程变更价款作为追加合同价款，与工程款同期支付。</w:t>
      </w:r>
    </w:p>
    <w:p w14:paraId="7D767D50">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33.6因承包人自身原因导致的工程变更，承包人无权要求追加合同价款。</w:t>
      </w:r>
    </w:p>
    <w:p w14:paraId="2473064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1A2DFF5A">
      <w:pPr>
        <w:pStyle w:val="3"/>
        <w:spacing w:line="360" w:lineRule="auto"/>
        <w:jc w:val="center"/>
        <w:rPr>
          <w:rFonts w:hint="eastAsia" w:ascii="宋体" w:hAnsi="宋体" w:eastAsia="宋体" w:cs="宋体"/>
          <w:color w:val="auto"/>
          <w:kern w:val="0"/>
          <w:sz w:val="24"/>
          <w:szCs w:val="24"/>
          <w:highlight w:val="none"/>
        </w:rPr>
      </w:pPr>
      <w:bookmarkStart w:id="22" w:name="_Toc156887515"/>
      <w:bookmarkStart w:id="23" w:name="_Toc156215946"/>
      <w:r>
        <w:rPr>
          <w:rFonts w:hint="eastAsia" w:ascii="宋体" w:hAnsi="宋体" w:eastAsia="宋体" w:cs="宋体"/>
          <w:color w:val="auto"/>
          <w:kern w:val="0"/>
          <w:sz w:val="24"/>
          <w:szCs w:val="24"/>
          <w:highlight w:val="none"/>
        </w:rPr>
        <w:t>九、竣工验收与结算</w:t>
      </w:r>
      <w:bookmarkEnd w:id="22"/>
      <w:bookmarkEnd w:id="23"/>
    </w:p>
    <w:p w14:paraId="7B8799CD">
      <w:pPr>
        <w:autoSpaceDE w:val="0"/>
        <w:autoSpaceDN w:val="0"/>
        <w:adjustRightIn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34、竣工验收</w:t>
      </w:r>
    </w:p>
    <w:p w14:paraId="4B113518">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34.1工程具备竣工验收条件，承包人按国家工程竣工验收有关规定，向发包人提供完整竣工资料及竣工验收报告。双方约定由承包人提供竣工图的，应当在《合同专用条款》约定提供的日期和份数。</w:t>
      </w:r>
    </w:p>
    <w:p w14:paraId="26E9E23D">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34.2发包人收到竣工验收报告后28天内组织有关单位验收，并在验收后14天内给予认可或提出修改意见。承包人按要求修改，并承担由自身原因造成修改的费用。</w:t>
      </w:r>
    </w:p>
    <w:p w14:paraId="23D69635">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34.3发包人收到承包人送交的竣工验收报告后28天内不组织验收，或验收后14天内不提出修改意见，视为竣工验收报告已被认可。</w:t>
      </w:r>
    </w:p>
    <w:p w14:paraId="53EEB982">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34.4工程竣工验收通过，承包人送交竣工验收报告的日期为实际竣工日期。工程按发包人要求修改后通过竣工验收的，实际竣工日期为承包人修改后提请发包人验收的日期。</w:t>
      </w:r>
    </w:p>
    <w:p w14:paraId="1C7E3374">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34.5发包人收到承包人竣工验收报告后28天内不组织验收，从第29天起承担工程保管及一切意外责任。</w:t>
      </w:r>
    </w:p>
    <w:p w14:paraId="28B5DA31">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34.6中间交工工程的范围和竣工时间，双方在《合同专用条款》内约定，其验收程序按本《合同通用条款》34.1款至34.4款办理。</w:t>
      </w:r>
    </w:p>
    <w:p w14:paraId="67BB9372">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34.7因特殊原因，发包人要求部分单位工程或工程部位甩项竣工的，双方另行签订甩项竣工协议，明确双方责任和工程价款的支付方法。</w:t>
      </w:r>
    </w:p>
    <w:p w14:paraId="10CC0B0F">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34.8工程未经竣工验收或竣工验收未通过的，发包人不得使用。发包人强行使用时，由此发生的质量问题及其他问题，由发包人承担责任。</w:t>
      </w:r>
    </w:p>
    <w:p w14:paraId="247A3177">
      <w:pPr>
        <w:autoSpaceDE w:val="0"/>
        <w:autoSpaceDN w:val="0"/>
        <w:adjustRightIn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35、竣工结算</w:t>
      </w:r>
    </w:p>
    <w:p w14:paraId="1F3D7804">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35.1工程竣工验收报告经发包人认可后28天内，承包人向发包人递交竣工结算报告及完整的结算资料，双方按照协议书约定的合同价款及《合同专用条款》约定的合同价款调整内容，进行工程竣工结算。</w:t>
      </w:r>
    </w:p>
    <w:p w14:paraId="26372E9B">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35.2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14:paraId="3DBDB7C0">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35.3发包人收到竣工结算报告及结算资料后28天内无正当理由不支付工程竣工结算价款，从第29天起按承包人同期向银行贷款利率支付拖欠工程价款的利息，并承担违约责任。</w:t>
      </w:r>
    </w:p>
    <w:p w14:paraId="51631158">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35.4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21D02C99">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35.5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14:paraId="57166382">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35.6发包人承包人对工程竣工结算价款发生争议时，按本《合同通用条款》37条关于争议的约定处理。</w:t>
      </w:r>
    </w:p>
    <w:p w14:paraId="4CF293F0">
      <w:pPr>
        <w:autoSpaceDE w:val="0"/>
        <w:autoSpaceDN w:val="0"/>
        <w:adjustRightInd w:val="0"/>
        <w:spacing w:line="360" w:lineRule="auto"/>
        <w:ind w:firstLine="482"/>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36、质量保修</w:t>
      </w:r>
    </w:p>
    <w:p w14:paraId="2DE7ED0B">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36.1承包人应按法律、行政法规或国家关于工程质量保修的有关规定，对交付发包人使用的工程在质量保修期内承担质量保修责任。</w:t>
      </w:r>
    </w:p>
    <w:p w14:paraId="700FD9F8">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36.2质量保修工作的实施。承包人应在工程竣工验收之前，与发包人签订质量保修书，作为本合同（附件三）。</w:t>
      </w:r>
    </w:p>
    <w:p w14:paraId="33485147">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36.3质量保修书的主要内容包括：</w:t>
      </w:r>
    </w:p>
    <w:p w14:paraId="0243C515">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（1）质量保修项目内容及范围；</w:t>
      </w:r>
    </w:p>
    <w:p w14:paraId="2E147499">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（2）质量保修期；</w:t>
      </w:r>
    </w:p>
    <w:p w14:paraId="33DA37C5">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（3）质量保修责任；</w:t>
      </w:r>
    </w:p>
    <w:p w14:paraId="4E56AE10">
      <w:pPr>
        <w:autoSpaceDE w:val="0"/>
        <w:autoSpaceDN w:val="0"/>
        <w:adjustRightInd w:val="0"/>
        <w:spacing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（4）质量保修金的支付方法。</w:t>
      </w:r>
    </w:p>
    <w:p w14:paraId="066B509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3591A216">
      <w:pPr>
        <w:pStyle w:val="3"/>
        <w:spacing w:line="360" w:lineRule="auto"/>
        <w:jc w:val="center"/>
        <w:rPr>
          <w:rFonts w:hint="eastAsia" w:ascii="宋体" w:hAnsi="宋体" w:eastAsia="宋体" w:cs="宋体"/>
          <w:color w:val="auto"/>
          <w:kern w:val="0"/>
          <w:sz w:val="24"/>
          <w:szCs w:val="24"/>
          <w:highlight w:val="none"/>
        </w:rPr>
      </w:pPr>
      <w:bookmarkStart w:id="24" w:name="_Toc156215947"/>
      <w:bookmarkStart w:id="25" w:name="_Toc156887516"/>
      <w:r>
        <w:rPr>
          <w:rFonts w:hint="eastAsia" w:ascii="宋体" w:hAnsi="宋体" w:eastAsia="宋体" w:cs="宋体"/>
          <w:color w:val="auto"/>
          <w:kern w:val="0"/>
          <w:sz w:val="24"/>
          <w:szCs w:val="24"/>
          <w:highlight w:val="none"/>
        </w:rPr>
        <w:t>十、违约、索赔和争议</w:t>
      </w:r>
      <w:bookmarkEnd w:id="24"/>
      <w:bookmarkEnd w:id="25"/>
    </w:p>
    <w:p w14:paraId="2584E411">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37、违约</w:t>
      </w:r>
    </w:p>
    <w:p w14:paraId="58A9314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37.1发包人违约的情形及承担违约责任的方式</w:t>
      </w:r>
    </w:p>
    <w:p w14:paraId="5804975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发包人违约的情形仅限于违反《合同专用条款》第26.2款及《合同通用条款》第28.4款、第35.3款之约定三种，承担违约责任的方式如下：</w:t>
      </w:r>
    </w:p>
    <w:p w14:paraId="26A6A42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违反《合同专用条款》第26.2款约定而应承担的违约责任：工程开工后，发包人不按时支付工程预付款的，除支付本合同约定的工程预付款外，还应按同期银行活期存款利率给承包人计付利息；造成承包人停工的，工期顺延。</w:t>
      </w:r>
    </w:p>
    <w:p w14:paraId="78F7830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2）违反《合同通用条款》第28.4款约定而应承担的违约责任：发包人不按合同约定支付工程进度款的，除应支付本合同约定的工程进度款外，还应按同期银行活期存款利率给承包人计付利息；造成承包人不能按合同约定进行施工的，工期应按发包人延迟支付工程进度款的时间予以顺延。 </w:t>
      </w:r>
    </w:p>
    <w:p w14:paraId="7418C9D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违反《合同通用条款》第35.3款约定而应承担的违约责任：发包人无正当理由不支付承包人工程竣工结算款的，除应支付承包人工程竣工结算款外，还应按同期银行活期存款利率给承包人计付拖欠工程价款期间的利息。</w:t>
      </w:r>
    </w:p>
    <w:p w14:paraId="3E4F40F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37.2承包人违约的情形及承担违约责任的方式</w:t>
      </w:r>
    </w:p>
    <w:p w14:paraId="417119E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37.2.1承包人承担违约责任的方式包括但不限于：</w:t>
      </w:r>
    </w:p>
    <w:p w14:paraId="5AB3779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书面警告。承包人未履行或未按时履行或未按质履行义务及不执行监理工程师或发包人（含主管人员）的指令时，监理工程师或发包人有权向承包人发出书面警告，每次书面警告，承包人应当支付违约金人民币2000元给发包人。</w:t>
      </w:r>
    </w:p>
    <w:p w14:paraId="4965C5CF">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限期改正。承包人受到书面警告后仍不改正，监理工程师或发包人有权向承包人发出《违约责任通知书》，同时监理工程师或发包人视承包人不良行为的严重程度有权直接向承包人发出《违约责任通知书》，要求承包人必须在监理工程师或发包人限定的时间内履行义务。同时，承包人应当向发包人支付违约金人民币5000元。</w:t>
      </w:r>
    </w:p>
    <w:p w14:paraId="647E6927">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一般违约责任。承包人违反本合同的约定须承担一般违约责任时，必须主动向发包人交纳违约金人民币1万元/次；若承包人再在同一事项或不同事项中犯性质相同的违约行为，第2次须主动向发包人交纳违约金人民币1.5万元，3次以上（含3次）须主动向发包人交纳违约金人民币14,042.00元/次。</w:t>
      </w:r>
    </w:p>
    <w:p w14:paraId="79EBFEA3">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（4）严重违约责任。承包人违反本合同的约定须承担严重违约责任时，必须向发包人交纳违约金人民币5万元/次。</w:t>
      </w:r>
    </w:p>
    <w:p w14:paraId="0BCC246E">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部分解除合同。当承包人违反本合同的约定符合解除部分合同的条件时，发包人有权向承包人发出书面解除部分合同的通知，该通知在送达承包人时部分解除合同即生效。部分解除合同的法律后果依照第46条的相关约定执行。</w:t>
      </w:r>
    </w:p>
    <w:p w14:paraId="2472B0C1">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解除合同。当承包人违反本合同的约定符合解除全部合同的条件时，发包人有权向承包人发出书面解除全部合同的通知，该通知在送达承包人时解除合同即生效。解除合同的法律后果依照第46条的相关约定执行。</w:t>
      </w:r>
    </w:p>
    <w:p w14:paraId="57609B25">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（7）赔偿损失。因承包人原因造成发包人经济损失的，承包人应向发包人赔偿因其造成的经济损失。</w:t>
      </w:r>
    </w:p>
    <w:p w14:paraId="1EAC303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37.2.2在本合同有效期内，累计三次限期改正责任追加1次一般违约责任；累计三次一般违约责任追加1次严重违约责任；累计三次严重违约责任，发包人有权单方部分或全部解除合同。</w:t>
      </w:r>
    </w:p>
    <w:p w14:paraId="0EF6895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37.2.3 根据本条37.2款各项的规定，承包人违约须向发包人支付违约金或赔偿金时，发包人有权从应支付给承包人的工程款中直接抵扣；抵扣款项计入工程累计进度款，结算时不予退还，承包人不得有异议。</w:t>
      </w:r>
    </w:p>
    <w:p w14:paraId="408F41E8">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37.2.4工期延误方面的违约责任</w:t>
      </w:r>
    </w:p>
    <w:p w14:paraId="7FE27D2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承包人违反协议书及《合同专用条款》第11.1款约定延期开工的，每迟延开工1天，应给发包人支付本工程暂定合同价款3‰的违约金；迟延开工超过10天的，发包人有权解除合同，将本工程另行发包，并不免除承包人的违约赔偿责任。</w:t>
      </w:r>
    </w:p>
    <w:p w14:paraId="7EA477D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（2）承包人违反《合同专用条款》第12.1款约定单方停工的，比照第37.2.4款（1）项承担违约责任。</w:t>
      </w:r>
    </w:p>
    <w:p w14:paraId="52CED033">
      <w:pPr>
        <w:tabs>
          <w:tab w:val="left" w:pos="184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 承包人违反《合同专用条款》第13.2.2款的约定造成工程关键节点工期延误时，每延误1天的，应给发包人支付本工程暂定合同价款3‰的违约金；延误超过5天的，发包人有权停止支付当月的工程进度款；延误10天以上的，承包人应在2天内制定出具体可行的自行赶工措施，报发包人和总监理工程师批准。如发包人认为承包人的赶工计划不可行，则发包人有权解除合同，并要求承包人赔偿发包人的实际损失。</w:t>
      </w:r>
    </w:p>
    <w:p w14:paraId="7793BE2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 承包人违反《合同通用条款》第14.2款约定造成工程不能按照合同协议书及《合同专用条款》约定的竣工日期竣工的，每逾期1日，承包人必须按暂定合同价款的1%向发包人支付违约金（违约金的总额不超过暂定合同价款的30％），并赔偿发包人因此遭受的实际损失；逾期超过30天的，承包人除必须支付违约金和赔偿损失外，发包人还有权单方解除未完成部分工程合同。</w:t>
      </w:r>
    </w:p>
    <w:p w14:paraId="2DC010D8">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37.2.5  工程质量方面的违约责任</w:t>
      </w:r>
    </w:p>
    <w:p w14:paraId="428ACE43">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发包人和总监理工程师（或机电设备材料管理单位）抽查承包人的工程材料时，发现所检查的材料与合同约定的标准的任何一项不符合时，承包人除必须全部退货、返工，并赔偿发包人由此遭受的实际损失外，承包人应当按照该批次材料的价值，按照如下方式承担违约责任：</w:t>
      </w:r>
    </w:p>
    <w:p w14:paraId="54C49BA3">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A、单宗或批次材料价值在10万元（含10万元）以下的，承包人承担1次一般违约责任。</w:t>
      </w:r>
    </w:p>
    <w:p w14:paraId="7A080949">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B、单宗或批次材料价值10-50万元（含50万元）的，承包人承担1次严重违约责任。</w:t>
      </w:r>
    </w:p>
    <w:p w14:paraId="440871E3">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C、单宗或批次材料价值在50万元（不含50万元）以上的，发包人有权部分解除合同或解除合同。</w:t>
      </w:r>
    </w:p>
    <w:p w14:paraId="36E39982">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D、对于单宗或批次材料价值不高于5万元（含5万元）、累计抽检不合格达3次的，每发生一例，承包人承担1次一般违约责任。 </w:t>
      </w:r>
    </w:p>
    <w:p w14:paraId="6AA4421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必须对各工序报验核查质量控制点。承包人申请报验后，经总监理工程师或发包人检查发现存在较大质量问题（如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并不免除承包人应承担的违约赔偿责任。</w:t>
      </w:r>
    </w:p>
    <w:p w14:paraId="3312BAB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工程保修期内发现重大质量不合格问题（该重大质量问题应界定为达不到要求的质量标准，属质量保修的问题除外），承包人必须在规定的期限返工达到合同约定的质量等级并赔偿由此造成发包人的损失，同时按该不合格项目所处分项工程造价的5%向发包人支付违约金。工程保修期从所处分项工程返工验收合格之日起重新计算。</w:t>
      </w:r>
    </w:p>
    <w:p w14:paraId="56FA621F">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37.2.6  安全生产方面的违约责任</w:t>
      </w:r>
    </w:p>
    <w:p w14:paraId="49C4207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 承包人在政府行政主管部门组织的质量安全检查中，被发现存在严重的安全隐患，被通报批评，或被新闻媒体曝光造成不良影响的，被通报或被曝光1次，承包人必须承担1次严重违约责任；造成严重社会影响或累计被通报或被曝光3次以上（含本数）的，发包人有权解除合同，将本工程另行发包，并不免除承包人应承担的违约赔偿责任。</w:t>
      </w:r>
    </w:p>
    <w:p w14:paraId="61C3253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 承包人在发包人、总监理工程师进行的日常质量安全检查中，被发现存在安全隐患的，承包人应限期改正。若同样问题被发现2次的或累计类似问题被发现3次，承包人必须承担1次一般违约责任；此类问题的认定，以发包人、总监理工程师书面通知、指令、通报和会议纪要为准。</w:t>
      </w:r>
    </w:p>
    <w:p w14:paraId="1CC85C8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（3）承包人因自身原因造成的重大质量安全事故的，除按国家规定由行业主管部门处罚外，承包人必须依照下列约定承担违约责任：（质量安全事故定义及等级见合同专用条款第1.25条）</w:t>
      </w:r>
    </w:p>
    <w:p w14:paraId="579DDA6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w:t>
      </w:r>
      <w:r>
        <w:rPr>
          <w:rFonts w:hint="eastAsia" w:ascii="宋体" w:hAnsi="宋体" w:eastAsia="宋体" w:cs="宋体"/>
          <w:color w:val="auto"/>
          <w:sz w:val="24"/>
          <w:highlight w:val="none"/>
        </w:rPr>
        <w:t>特别重大事故</w:t>
      </w:r>
      <w:r>
        <w:rPr>
          <w:rFonts w:hint="eastAsia" w:ascii="宋体" w:hAnsi="宋体" w:eastAsia="宋体" w:cs="宋体"/>
          <w:color w:val="auto"/>
          <w:sz w:val="24"/>
          <w:highlight w:val="none"/>
          <w:lang w:val="zh-CN"/>
        </w:rPr>
        <w:t>，承包人按事故所处分项工程总价的15%向发包人支付违约金，违约金的数额不得低于5万元；</w:t>
      </w:r>
    </w:p>
    <w:p w14:paraId="592D812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B、重大事故，承包人按事故所处分项工程总价的12%向发包人支付违约金，违约金的数额不得低于3万元；</w:t>
      </w:r>
    </w:p>
    <w:p w14:paraId="1D12606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C、较大事故，承包人按事故所处分项工程总价的10%向发包人支付违约金，违约金数额不得低于14,042.00元；</w:t>
      </w:r>
    </w:p>
    <w:p w14:paraId="138EE33A">
      <w:pPr>
        <w:autoSpaceDE w:val="0"/>
        <w:autoSpaceDN w:val="0"/>
        <w:adjustRightInd w:val="0"/>
        <w:spacing w:before="20"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D、一般事故，承包人按事故所处分项工程总价的8%向发包人支付违约金，违约金数额不得低于1万元。</w:t>
      </w:r>
    </w:p>
    <w:p w14:paraId="471627A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发生上述重大事故，发包人视情况的严重性，有权部分或全部解除合同。</w:t>
      </w:r>
    </w:p>
    <w:p w14:paraId="2486DD6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承包人依照上述约定支付违约金后，所支付的违约金不足于弥补由此给发包人造成的损失的，承包人必须据实赔偿。</w:t>
      </w:r>
    </w:p>
    <w:p w14:paraId="65B8543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37.2.7  文明施工、环境保护方面的违约责任</w:t>
      </w:r>
    </w:p>
    <w:p w14:paraId="1B75331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发包人、总监理工程师按照本《合同专用条款》第24.1款的约定，对承包人文明施工措施进行对照检查。经检查发现承包人因自身原因未能落实的，承包人必须承担1次一般违约责任，并限期改正；如不限期改正，承包人须承担1次严重违约责任。</w:t>
      </w:r>
    </w:p>
    <w:p w14:paraId="39E04DC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在政府行政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并要求承包人赔偿由此造成的损失。</w:t>
      </w:r>
    </w:p>
    <w:p w14:paraId="18E9A74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 承包人在施工过程中因其自身原因造成周围环境卫生状况较差，被其他施工单位或周围居民投诉的，承包人必须在当天内整改。若故意拖延或同样问题累计被投诉2次，或累计被投诉3次，经查实，承包人必须承担1次一般违约责任。</w:t>
      </w:r>
    </w:p>
    <w:p w14:paraId="360BA74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37.2.8  工程转包、分包方面的违约责任</w:t>
      </w:r>
    </w:p>
    <w:p w14:paraId="2B5E1FF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承包人转包或者擅自分包工程的，发包人有权单方部分解除合同或解除合同，由此而造成的经济损失由承包人负责赔偿。</w:t>
      </w:r>
    </w:p>
    <w:p w14:paraId="1DCD36C0">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  专业工程管理和配合服务方面的违约责任</w:t>
      </w:r>
    </w:p>
    <w:p w14:paraId="2D38932D">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37.2.9.1承包人不服从总承包单位管理，经施工总监理工程师发出限期改正通知后3天内，承包人仍未能整改至令施工总监理工程师满意的，每发生一例，承包人应承担1次一般违约责任。因此给发包人造成损失的，承包人应予赔偿。</w:t>
      </w:r>
    </w:p>
    <w:p w14:paraId="644308D4">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37.2.9.2承包人不按合同约定进行</w:t>
      </w:r>
      <w:r>
        <w:rPr>
          <w:rFonts w:hint="eastAsia" w:ascii="宋体" w:hAnsi="宋体" w:eastAsia="宋体" w:cs="宋体"/>
          <w:color w:val="auto"/>
          <w:sz w:val="24"/>
          <w:highlight w:val="none"/>
          <w:lang w:val="zh-CN"/>
        </w:rPr>
        <w:t>其他相关专业单位的交叉施工与协调管理工作，</w:t>
      </w:r>
      <w:r>
        <w:rPr>
          <w:rFonts w:hint="eastAsia" w:ascii="宋体" w:hAnsi="宋体" w:eastAsia="宋体" w:cs="宋体"/>
          <w:color w:val="auto"/>
          <w:kern w:val="0"/>
          <w:sz w:val="24"/>
          <w:highlight w:val="none"/>
          <w:lang w:val="zh-CN"/>
        </w:rPr>
        <w:t>经施工总监理工程师发出限期改正通知后3天内，承包人仍未能整改至令施工总监理工程师满意的，每发生一例，承包人应承担1次一般违约责任。因此给发包人造成损失的，承包人应予赔偿。</w:t>
      </w:r>
    </w:p>
    <w:p w14:paraId="79978B75">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37.2.9.3承包人不按合同约定</w:t>
      </w:r>
      <w:r>
        <w:rPr>
          <w:rFonts w:hint="eastAsia" w:ascii="宋体" w:hAnsi="宋体" w:eastAsia="宋体" w:cs="宋体"/>
          <w:color w:val="auto"/>
          <w:sz w:val="24"/>
          <w:highlight w:val="none"/>
          <w:lang w:val="zh-CN"/>
        </w:rPr>
        <w:t>对其他相关专业工程实施专业工程管理配合服务，</w:t>
      </w:r>
      <w:r>
        <w:rPr>
          <w:rFonts w:hint="eastAsia" w:ascii="宋体" w:hAnsi="宋体" w:eastAsia="宋体" w:cs="宋体"/>
          <w:color w:val="auto"/>
          <w:kern w:val="0"/>
          <w:sz w:val="24"/>
          <w:highlight w:val="none"/>
          <w:lang w:val="zh-CN"/>
        </w:rPr>
        <w:t>经施工总监理工程师发出限期改正通知后3天内，承包人仍未能整改至令施工总监理工程师满意的，每发生一例，承包人应承担1次一般违约责任。因此给发包人造成损失的，承包人应予赔偿。</w:t>
      </w:r>
    </w:p>
    <w:p w14:paraId="1F8C4947">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37.2.9.4承包人不按合同约定</w:t>
      </w:r>
      <w:r>
        <w:rPr>
          <w:rFonts w:hint="eastAsia" w:ascii="宋体" w:hAnsi="宋体" w:eastAsia="宋体" w:cs="宋体"/>
          <w:color w:val="auto"/>
          <w:sz w:val="24"/>
          <w:highlight w:val="none"/>
          <w:lang w:val="zh-CN"/>
        </w:rPr>
        <w:t>对包括工程交接及竣工验收实施管理，</w:t>
      </w:r>
      <w:r>
        <w:rPr>
          <w:rFonts w:hint="eastAsia" w:ascii="宋体" w:hAnsi="宋体" w:eastAsia="宋体" w:cs="宋体"/>
          <w:color w:val="auto"/>
          <w:kern w:val="0"/>
          <w:sz w:val="24"/>
          <w:highlight w:val="none"/>
          <w:lang w:val="zh-CN"/>
        </w:rPr>
        <w:t>经施工总监理工程师发出限期改正通知后3天内，承包人仍未能整改至令施工总监理工程师满意的，每发生一例，承包人应承担1次一般违约责任。因此给发包人造成损失的，承包人应予赔偿。</w:t>
      </w:r>
    </w:p>
    <w:p w14:paraId="78DB22B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37.2.10  人员投入不到位方面的违约责任</w:t>
      </w:r>
    </w:p>
    <w:p w14:paraId="4F9CDAD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承包人违反《合同专用条款》第7.1款、第7.6款约定的，每发现一例，承包人必须按照总监理工程师或者发包人的指令限期改正，并承担1次一般违约责任；承包人拒不限期改正的，必须承担1次严重违约责任，直至部分或全部解除合同。</w:t>
      </w:r>
    </w:p>
    <w:p w14:paraId="3F8318B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必须服从发包人、监理单位管理，主动支持发包人、监理单位的工作，对发包人、监理单位的指令，若无正当理由而公开或变相拒不执行的，发包人、监理单位视情节严重程度有权给予一般违约及以上的处罚，并承担由此造成的一切经济损失。</w:t>
      </w:r>
    </w:p>
    <w:p w14:paraId="72C1F76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（3）承包人的项目经理或技术负责人必须参加监理单位或发包人主持的工程例会和其他要求的专题会议。除获得监理单位或发包人批准外，每缺席1次，承包人须承担1次一般违约责任。</w:t>
      </w:r>
    </w:p>
    <w:p w14:paraId="541A248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对每次检查不合格的，承包人必须按照总监理工程师或者发包人的指令限期改正，并承担1次一般违约责任。承包人拒不限期改正的，或整改效果不明显的，承包人必须承担1次严重违约责任。若连续2次或累计3次考评不合格，承包人必须承担1次严重违约责任，并必须按照总监理工程师或者发包人的指令限期改正。承包人拒不限期改正的，或整改效果不明显的，发包人有权单方部分解除合同或解除合同。若连续3次或累计4次考评不合格，发包人有权全部解除合同，承包人必须无条件服从，由此所造成的损失（含另行发包的合同价差）全部由承包人承担，同时，并不免除承包人的违约赔偿责任。有关部分或全部解除合同按第46条执行。</w:t>
      </w:r>
    </w:p>
    <w:p w14:paraId="557A87D3">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37.2.11民工工资支付方面的违约责任</w:t>
      </w:r>
    </w:p>
    <w:p w14:paraId="113D5DF1">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（1）承包人违反</w:t>
      </w:r>
      <w:r>
        <w:rPr>
          <w:rFonts w:hint="eastAsia" w:ascii="宋体" w:hAnsi="宋体" w:eastAsia="宋体" w:cs="宋体"/>
          <w:color w:val="auto"/>
          <w:sz w:val="24"/>
          <w:highlight w:val="none"/>
          <w:lang w:val="zh-CN"/>
        </w:rPr>
        <w:t>《合同专用条款》</w:t>
      </w:r>
      <w:r>
        <w:rPr>
          <w:rFonts w:hint="eastAsia" w:ascii="宋体" w:hAnsi="宋体" w:eastAsia="宋体" w:cs="宋体"/>
          <w:color w:val="auto"/>
          <w:kern w:val="0"/>
          <w:sz w:val="24"/>
          <w:highlight w:val="none"/>
          <w:lang w:val="zh-CN"/>
        </w:rPr>
        <w:t>9.7款的规定，被民工投诉属实的，承包人必须在3天内予以发放拖欠的款项。若继续拖延被投诉2次及以上，经查实，承包人必须承担1次一般违约责任。</w:t>
      </w:r>
    </w:p>
    <w:p w14:paraId="62D69A3E">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若仍然不予整改并发放拖欠的款项，使民工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14:paraId="1ABC1B55">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由于承包人或其管理的分包单位、劳务合作单位拖欠民工工资致使发包人被投诉或起诉并被判令先行垫付民工工资的，承包人除承担1次严重违约责任外，还应向发包人支付先行垫付民工工资金额的两倍作为补偿。</w:t>
      </w:r>
    </w:p>
    <w:p w14:paraId="44AE3399">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37.2.12除上述约定之外，承包人有违反合同其他义务的，均构成违约，应当承担1次一般违约责任。</w:t>
      </w:r>
    </w:p>
    <w:p w14:paraId="51DE88E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37.2.13部分解除合同或全部合同解除后，被解除工作内容由发包人另行发包或划拨给其他有能力的承包人。</w:t>
      </w:r>
    </w:p>
    <w:p w14:paraId="3BD4A1B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37.3承包人违约责任的认定程序：</w:t>
      </w:r>
    </w:p>
    <w:p w14:paraId="09177B9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37.3.1由监理人或</w:t>
      </w:r>
      <w:r>
        <w:rPr>
          <w:rFonts w:hint="eastAsia" w:ascii="宋体" w:hAnsi="宋体" w:eastAsia="宋体" w:cs="宋体"/>
          <w:color w:val="auto"/>
          <w:kern w:val="0"/>
          <w:sz w:val="24"/>
          <w:highlight w:val="none"/>
          <w:lang w:val="zh-CN"/>
        </w:rPr>
        <w:t>机电设备材料管理单位</w:t>
      </w:r>
      <w:r>
        <w:rPr>
          <w:rFonts w:hint="eastAsia" w:ascii="宋体" w:hAnsi="宋体" w:eastAsia="宋体" w:cs="宋体"/>
          <w:color w:val="auto"/>
          <w:sz w:val="24"/>
          <w:highlight w:val="none"/>
          <w:lang w:val="zh-CN"/>
        </w:rPr>
        <w:t>提出书面意见报发包人，发包人审核后，出具书面警告给承包人；</w:t>
      </w:r>
    </w:p>
    <w:p w14:paraId="232F509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37.3.2承包人收到书面警告两天内，可向发包人提出书面意见，否则，发包人将出具《违约责任通知书》给承包人；</w:t>
      </w:r>
    </w:p>
    <w:p w14:paraId="32D4333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37.3.3书面警告和《违约责任通知书》于送达承包人时即生效；</w:t>
      </w:r>
    </w:p>
    <w:p w14:paraId="4AAF35C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37.3.4书面警告和《违约责任通知书》送达承包人的方式为下列任一种：</w:t>
      </w:r>
    </w:p>
    <w:p w14:paraId="6D97873D">
      <w:pPr>
        <w:numPr>
          <w:ilvl w:val="0"/>
          <w:numId w:val="4"/>
        </w:numPr>
        <w:tabs>
          <w:tab w:val="left" w:pos="1080"/>
        </w:tabs>
        <w:autoSpaceDE w:val="0"/>
        <w:autoSpaceDN w:val="0"/>
        <w:adjustRightInd w:val="0"/>
        <w:spacing w:line="360" w:lineRule="auto"/>
        <w:ind w:left="869" w:hanging="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承包人或其本项目的项目经理签收；</w:t>
      </w:r>
    </w:p>
    <w:p w14:paraId="0217A199">
      <w:pPr>
        <w:numPr>
          <w:ilvl w:val="0"/>
          <w:numId w:val="4"/>
        </w:numPr>
        <w:tabs>
          <w:tab w:val="left" w:pos="1080"/>
        </w:tabs>
        <w:autoSpaceDE w:val="0"/>
        <w:autoSpaceDN w:val="0"/>
        <w:adjustRightInd w:val="0"/>
        <w:spacing w:line="360" w:lineRule="auto"/>
        <w:ind w:left="869" w:hanging="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发包人以挂号邮寄送达。</w:t>
      </w:r>
    </w:p>
    <w:p w14:paraId="62E66767">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38、索赔</w:t>
      </w:r>
    </w:p>
    <w:p w14:paraId="1E861BA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38.1当一方向另一方提出索赔时，要有正当索赔理由，且有索赔事件发生时的有效证据。</w:t>
      </w:r>
    </w:p>
    <w:p w14:paraId="334FF13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110B3F1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（1）索赔事件发生后28天内，向工程师发出索赔意向通知；</w:t>
      </w:r>
    </w:p>
    <w:p w14:paraId="42F3C4E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（2）发出索赔意向通知后28天内，向工程师提出延长工期和（或）补偿经济损失的索赔报告及有关资料；</w:t>
      </w:r>
    </w:p>
    <w:p w14:paraId="3975218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（3）工程师在收到承包人送交的索赔报告和有关资料后，于28天内给予答复，或要求承包人进一步补充索赔理由和证据；</w:t>
      </w:r>
    </w:p>
    <w:p w14:paraId="56F3019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（4）工程师在收到承包人送交的索赔报告和有关资料后28天内未予答复或未对承包人作出进一步要求，视为该项索赔已经认可；</w:t>
      </w:r>
    </w:p>
    <w:p w14:paraId="1F507A6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（5）当该索赔事件持续进行时，承包人应当阶段性向工程师发出索赔意向，在索赔事件终了后28天内，向工程师送交索赔的有关资料和最终索赔报告。索赔答复程序与（3）、（4）规定相同。</w:t>
      </w:r>
    </w:p>
    <w:p w14:paraId="12FDA99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38.3承包人未能按合同约定履行自己的各项义务或发生错误，给发包人造成经济损失，发包人可按38.2款确定的时限向承包人提出索赔。</w:t>
      </w:r>
    </w:p>
    <w:p w14:paraId="56A2EC7F">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39、争议</w:t>
      </w:r>
    </w:p>
    <w:p w14:paraId="16ECB5C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39.1发包人承包人在履行合同时发生争议，可以和解或者要求有关主管部门调解。当事人不愿和解、调解或者和解、调解不成的，双方可以在《合同专用条款》内约定以下一种方式解决争议：</w:t>
      </w:r>
    </w:p>
    <w:p w14:paraId="62BB72D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第一种解决方式：双方达成仲裁协议，向约定的仲裁委员会申请仲裁；</w:t>
      </w:r>
    </w:p>
    <w:p w14:paraId="0E9DDE8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第二种解决方式：向有管辖权的人民法院起诉。</w:t>
      </w:r>
    </w:p>
    <w:p w14:paraId="528F275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39.2发生争议后，除非出现下列情况的，双方都应继续履行合同，保持施工连续，保护好已完工程：</w:t>
      </w:r>
    </w:p>
    <w:p w14:paraId="2F613FE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（1）单方违约导致合同确已无法履行，双方协议停止施工；</w:t>
      </w:r>
    </w:p>
    <w:p w14:paraId="3142992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（2）调解要求停止施工，且为双方接受；</w:t>
      </w:r>
    </w:p>
    <w:p w14:paraId="3B68202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（3）仲裁机构要求停止施工；</w:t>
      </w:r>
    </w:p>
    <w:p w14:paraId="4024DEF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（4）法院要求停止施工。</w:t>
      </w:r>
    </w:p>
    <w:p w14:paraId="7762F01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5507177F">
      <w:pPr>
        <w:pStyle w:val="3"/>
        <w:spacing w:line="360" w:lineRule="auto"/>
        <w:jc w:val="center"/>
        <w:rPr>
          <w:rFonts w:hint="eastAsia" w:ascii="宋体" w:hAnsi="宋体" w:eastAsia="宋体" w:cs="宋体"/>
          <w:color w:val="auto"/>
          <w:kern w:val="0"/>
          <w:sz w:val="24"/>
          <w:szCs w:val="24"/>
          <w:highlight w:val="none"/>
        </w:rPr>
      </w:pPr>
      <w:bookmarkStart w:id="26" w:name="_Toc156887517"/>
      <w:bookmarkStart w:id="27" w:name="_Toc156215948"/>
      <w:r>
        <w:rPr>
          <w:rFonts w:hint="eastAsia" w:ascii="宋体" w:hAnsi="宋体" w:eastAsia="宋体" w:cs="宋体"/>
          <w:color w:val="auto"/>
          <w:kern w:val="0"/>
          <w:sz w:val="24"/>
          <w:szCs w:val="24"/>
          <w:highlight w:val="none"/>
        </w:rPr>
        <w:t>十一、其他</w:t>
      </w:r>
      <w:bookmarkEnd w:id="26"/>
      <w:bookmarkEnd w:id="27"/>
    </w:p>
    <w:p w14:paraId="28E5136E">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40、工程分包</w:t>
      </w:r>
    </w:p>
    <w:p w14:paraId="463B767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40.1承包人按《合同专用条款》的约定分包所承包的部分工程，并与分包单位签订分包合同。非经发包人同意，承包人不得将承包工程的任务部分分包。</w:t>
      </w:r>
    </w:p>
    <w:p w14:paraId="5767F04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40.2承包人不得将其承包的全部工程转包给他人，也不得将其承包的全部工程肢解以后以分包的名义分别转包给他人。</w:t>
      </w:r>
    </w:p>
    <w:p w14:paraId="0CFE439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40.3工程分包不能解除承包人任何责任与义务。承包人应在分包场地派驻相应管理人员，保证本合同的履行。分包单位的任何违约行为或疏忽导致工程损害或给发包人造成其他损失，承包人承担连带责任。</w:t>
      </w:r>
    </w:p>
    <w:p w14:paraId="465196C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40.4分包工程价款由承包人与发包单位结算。发包人未经承包人同意不得以任何形式向分包单位支付各种工程款项。</w:t>
      </w:r>
    </w:p>
    <w:p w14:paraId="333E6DA9">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41、不可抗力</w:t>
      </w:r>
    </w:p>
    <w:p w14:paraId="2EB1AD5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41.1不可抗力包括因战争、动乱、空中飞行物体坠落或其他非发包人承包人责任造成的爆炸、火灾，以及《合同专用条款》约定的风、雨、雪、洪、震等自然灾害。</w:t>
      </w:r>
    </w:p>
    <w:p w14:paraId="24FBE18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41.2不可抗力事件发生后，承包人应立即通知工程师，并在力所有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5E77AA8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41.3因不可抗力事件导致的费用及延误的工期由双方按以下方法分别承担：</w:t>
      </w:r>
    </w:p>
    <w:p w14:paraId="0DC468B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（1）工程本身的损害、因工程损害导致第三人人员伤亡和财产损失以及运至施工场地用于施工的材料和待安装的设备的损害，由发包人承担；</w:t>
      </w:r>
    </w:p>
    <w:p w14:paraId="2E08FAE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（2）发包人承包人人员伤亡由其所在单位负责，并承担相应费用；</w:t>
      </w:r>
    </w:p>
    <w:p w14:paraId="2DE78E1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（3）承包人机械设备损坏及停工损失，由承包人承担；</w:t>
      </w:r>
    </w:p>
    <w:p w14:paraId="132A6F9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（4）停工期间，承包人应工程师要求留在施工场地的必要的管理人员及保卫人员的费用由发包人承担；</w:t>
      </w:r>
    </w:p>
    <w:p w14:paraId="6088968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（5）工程所需清理、修复费用，由发包人承担；</w:t>
      </w:r>
    </w:p>
    <w:p w14:paraId="5B8CA3F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（6）延误的工期相应顺延。</w:t>
      </w:r>
    </w:p>
    <w:p w14:paraId="7E2C2F6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41.4因合同一方迟延履行合同后发生不可抗力的，不能免除迟延履行方的相应责任。</w:t>
      </w:r>
    </w:p>
    <w:p w14:paraId="37721884">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42、保险</w:t>
      </w:r>
    </w:p>
    <w:p w14:paraId="501C937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42.1工程开工前，发包人为建设工程和施工场地内的自有人员及第三人人员生命财产办理保险，支付保险费用。</w:t>
      </w:r>
    </w:p>
    <w:p w14:paraId="2FD7B0A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42.2运至施工场地内用于工程的材料和待安装设备，由发包人办理保险，并支付保险费用。</w:t>
      </w:r>
    </w:p>
    <w:p w14:paraId="484BDAE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42.3发包人可以将有关保险事项委托承包人办理，费用由发包人承担。</w:t>
      </w:r>
    </w:p>
    <w:p w14:paraId="0A3D5B7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42.4承包人必须为从事危险作业的职工办理意外伤害保险，并为施工场地内自有人员生命财产和施工机械设备办理保险，支付保险费用。</w:t>
      </w:r>
    </w:p>
    <w:p w14:paraId="213F6CE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42.5保险事故发生时，发包人承包人有责任尽力采取必要的措施，防止或者减少损失。</w:t>
      </w:r>
    </w:p>
    <w:p w14:paraId="66DDD13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42.6具体投保内容和相关责任，发包人承包人在《合同专用条款》中约定。</w:t>
      </w:r>
    </w:p>
    <w:p w14:paraId="766B3F50">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43、担保</w:t>
      </w:r>
    </w:p>
    <w:p w14:paraId="13AAD34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本合同无履约担保。</w:t>
      </w:r>
    </w:p>
    <w:p w14:paraId="7F0991DE">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44、专利技术及特殊工艺</w:t>
      </w:r>
    </w:p>
    <w:p w14:paraId="4405DCF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44.1发包人要求使用专利技术或特殊工艺，应负责办理相应的申报手续，承担申报、试验、使用等费用；承包人提出使用专利技术或特殊工艺，应取得工程师认可，承包人负责办理申报手续并承担有关费用。</w:t>
      </w:r>
    </w:p>
    <w:p w14:paraId="1BB1B25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44.2擅自使用专利技术侵犯他人专利权的，责任者依法承担相应责任。</w:t>
      </w:r>
    </w:p>
    <w:p w14:paraId="4F409288">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45、文物和地下障碍物</w:t>
      </w:r>
    </w:p>
    <w:p w14:paraId="2BFA8E6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45.1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管理部门的要求采取妥善保护措施。发包人承担由此发生的费用，顺延延误的工期。</w:t>
      </w:r>
    </w:p>
    <w:p w14:paraId="3666BC9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如发现隐瞒不报，致使文物遭受破坏，责任者依法承担相应责任。</w:t>
      </w:r>
    </w:p>
    <w:p w14:paraId="0A04B42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45.2施工中发现影响施工的地下障碍物时，承包人应于8小时内以书面形式通知工程师，同时提出处置方案，工程师收到处置方案后24小时内予以人可或提出修正方案。发包人承担由此发生的费用，顺延延误的工期。</w:t>
      </w:r>
    </w:p>
    <w:p w14:paraId="315BA90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所发现的地下障碍物有归属单位时，发包人应报请有关部门协同处置。</w:t>
      </w:r>
    </w:p>
    <w:p w14:paraId="4312AA00">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46、合同解除</w:t>
      </w:r>
    </w:p>
    <w:p w14:paraId="125585C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46.1发包人承包人协商一致，可以解除合同。</w:t>
      </w:r>
    </w:p>
    <w:p w14:paraId="55BB123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46.2发生本《合同通用条款》第28.4款情况，停止施工超过56天，发包人仍不支付工程款（进度款），承包人有权解除合同。</w:t>
      </w:r>
    </w:p>
    <w:p w14:paraId="2C3694A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46.3发生本《合同通用条款》第40.2款禁止的情况，承包人将其承包的全部工程转包给他人或者肢解以后以分包的名义分别转包给他人，发包人有权解除合同。</w:t>
      </w:r>
    </w:p>
    <w:p w14:paraId="4FACFE6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46.4有下列情形之一的，发包人承包人可以解除合同；</w:t>
      </w:r>
    </w:p>
    <w:p w14:paraId="2674661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（1）因不可抗力致使合同无法履行；</w:t>
      </w:r>
    </w:p>
    <w:p w14:paraId="714B4E2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（2）因一方违约（包括因发包人原因造成工程停建或缓建）致使合同无法履行。</w:t>
      </w:r>
    </w:p>
    <w:p w14:paraId="30D254D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46.5一方依据46.2、46.3、46.4款约定要求解除合同的，应以书面形式向对方发出解除合同的通知，并在发出通知前7天告知对方，通知到达对方时合同解除。对解除合同有争议的，按本《合同通用条款》第37条关于争议的约定处理。</w:t>
      </w:r>
    </w:p>
    <w:p w14:paraId="4444D7E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1F864C8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46.7合同解除后，不影响双方在合同约定的结算和清理条款的效力。</w:t>
      </w:r>
    </w:p>
    <w:p w14:paraId="2DA2D475">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47、合同生效与终止</w:t>
      </w:r>
    </w:p>
    <w:p w14:paraId="680AD76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47.1双方在协议书中约定合同生效方式。</w:t>
      </w:r>
    </w:p>
    <w:p w14:paraId="3D4800A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47.2除本《合同通用条款》第36条外，发包人承包人履行合同全部义务，竣工结算价款支付完毕，承包人向发包人交付竣工工程后，本合同即告终止。</w:t>
      </w:r>
    </w:p>
    <w:p w14:paraId="4752BDF4">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47.3合同的权利义务终止事，发包人承包人应当遵循诚实信用原则，履行通知，协助、保密等义务。</w:t>
      </w:r>
    </w:p>
    <w:p w14:paraId="47FED496">
      <w:pPr>
        <w:autoSpaceDE w:val="0"/>
        <w:autoSpaceDN w:val="0"/>
        <w:adjustRightInd w:val="0"/>
        <w:spacing w:before="20"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 xml:space="preserve"> 48、合同份数</w:t>
      </w:r>
    </w:p>
    <w:p w14:paraId="3D3A69C9">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48.1本合同正本两份，具有同等效力，由发包人承包人分别保存一份。</w:t>
      </w:r>
    </w:p>
    <w:p w14:paraId="6DA37884">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48.2本合同副本份数，由双方根据需要在《合同专用条款》内约定。</w:t>
      </w:r>
    </w:p>
    <w:p w14:paraId="1E54149D">
      <w:pPr>
        <w:autoSpaceDE w:val="0"/>
        <w:autoSpaceDN w:val="0"/>
        <w:adjustRightInd w:val="0"/>
        <w:spacing w:before="20" w:line="360" w:lineRule="auto"/>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b/>
          <w:bCs/>
          <w:color w:val="auto"/>
          <w:sz w:val="24"/>
          <w:highlight w:val="none"/>
          <w:lang w:val="zh-CN"/>
        </w:rPr>
        <w:t>49、补充条款</w:t>
      </w:r>
    </w:p>
    <w:p w14:paraId="0205D014">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双方根据有关法律、行政法规规定，结合工程实际，经协商一致后，可对本《合同通用条款》内容具体化、补充或修改，在《合同专用条款》内约定。</w:t>
      </w:r>
    </w:p>
    <w:p w14:paraId="6ED8D956">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5568CE1">
      <w:pPr>
        <w:keepLines/>
        <w:autoSpaceDE w:val="0"/>
        <w:autoSpaceDN w:val="0"/>
        <w:adjustRightInd w:val="0"/>
        <w:spacing w:before="312" w:after="156" w:line="360" w:lineRule="auto"/>
        <w:jc w:val="center"/>
        <w:outlineLvl w:val="1"/>
        <w:rPr>
          <w:rFonts w:hint="eastAsia" w:ascii="宋体" w:hAnsi="宋体" w:eastAsia="宋体" w:cs="宋体"/>
          <w:b/>
          <w:bCs/>
          <w:color w:val="auto"/>
          <w:kern w:val="0"/>
          <w:sz w:val="24"/>
          <w:highlight w:val="none"/>
          <w:lang w:val="zh-CN"/>
        </w:rPr>
      </w:pPr>
      <w:bookmarkStart w:id="28" w:name="_Toc200419203"/>
      <w:bookmarkStart w:id="29" w:name="_Toc182031813"/>
      <w:r>
        <w:rPr>
          <w:rFonts w:hint="eastAsia" w:ascii="宋体" w:hAnsi="宋体" w:eastAsia="宋体" w:cs="宋体"/>
          <w:b/>
          <w:bCs/>
          <w:color w:val="auto"/>
          <w:kern w:val="0"/>
          <w:sz w:val="24"/>
          <w:highlight w:val="none"/>
          <w:lang w:val="zh-CN"/>
        </w:rPr>
        <w:t>第三篇  合同专用条款</w:t>
      </w:r>
      <w:bookmarkEnd w:id="28"/>
      <w:bookmarkEnd w:id="29"/>
    </w:p>
    <w:p w14:paraId="02F51648">
      <w:pPr>
        <w:autoSpaceDE w:val="0"/>
        <w:autoSpaceDN w:val="0"/>
        <w:adjustRightInd w:val="0"/>
        <w:spacing w:before="20" w:line="360" w:lineRule="auto"/>
        <w:jc w:val="center"/>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总  则</w:t>
      </w:r>
    </w:p>
    <w:p w14:paraId="241BA265">
      <w:pPr>
        <w:autoSpaceDE w:val="0"/>
        <w:autoSpaceDN w:val="0"/>
        <w:adjustRightInd w:val="0"/>
        <w:spacing w:before="20" w:line="360" w:lineRule="auto"/>
        <w:ind w:firstLine="488"/>
        <w:rPr>
          <w:rFonts w:hint="eastAsia" w:ascii="宋体" w:hAnsi="宋体" w:eastAsia="宋体" w:cs="宋体"/>
          <w:color w:val="auto"/>
          <w:sz w:val="24"/>
          <w:highlight w:val="none"/>
          <w:lang w:val="zh-CN"/>
        </w:rPr>
      </w:pPr>
      <w:r>
        <w:rPr>
          <w:rFonts w:hint="eastAsia" w:ascii="宋体" w:hAnsi="宋体" w:eastAsia="宋体" w:cs="宋体"/>
          <w:color w:val="auto"/>
          <w:position w:val="2"/>
          <w:sz w:val="24"/>
          <w:highlight w:val="none"/>
          <w:lang w:val="zh-CN"/>
        </w:rPr>
        <w:t>1、</w:t>
      </w:r>
      <w:r>
        <w:rPr>
          <w:rFonts w:hint="eastAsia" w:ascii="宋体" w:hAnsi="宋体" w:eastAsia="宋体" w:cs="宋体"/>
          <w:color w:val="auto"/>
          <w:sz w:val="24"/>
          <w:highlight w:val="none"/>
          <w:lang w:val="zh-CN"/>
        </w:rPr>
        <w:t>根据建设项目管理规范和管理实际，本项目将实行社会化、专业化的管理模式。发包人充分行使其严格控制工程进度、质量和投资，严格工程合同、工程信息管理和协调处理现场有关工程问题的权力。</w:t>
      </w:r>
    </w:p>
    <w:p w14:paraId="58CAFF7E">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position w:val="2"/>
          <w:sz w:val="24"/>
          <w:highlight w:val="none"/>
          <w:lang w:val="zh-CN"/>
        </w:rPr>
        <w:t>2、</w:t>
      </w:r>
      <w:r>
        <w:rPr>
          <w:rFonts w:hint="eastAsia" w:ascii="宋体" w:hAnsi="宋体" w:eastAsia="宋体" w:cs="宋体"/>
          <w:color w:val="auto"/>
          <w:sz w:val="24"/>
          <w:highlight w:val="none"/>
          <w:lang w:val="zh-CN"/>
        </w:rPr>
        <w:t>发包人下达指令，监督承包人履约行为，承包人所有请求事项由发包人协调并一般均通过发包人接受或提出处理意见（发包人有特别要求和规定的除外）。</w:t>
      </w:r>
    </w:p>
    <w:p w14:paraId="5917FDF4">
      <w:pPr>
        <w:autoSpaceDE w:val="0"/>
        <w:autoSpaceDN w:val="0"/>
        <w:adjustRightInd w:val="0"/>
        <w:spacing w:before="20" w:line="360" w:lineRule="auto"/>
        <w:ind w:firstLine="420"/>
        <w:rPr>
          <w:rFonts w:hint="eastAsia" w:ascii="宋体" w:hAnsi="宋体" w:eastAsia="宋体" w:cs="宋体"/>
          <w:color w:val="auto"/>
          <w:position w:val="2"/>
          <w:sz w:val="24"/>
          <w:highlight w:val="none"/>
          <w:lang w:val="zh-CN"/>
        </w:rPr>
      </w:pPr>
      <w:r>
        <w:rPr>
          <w:rFonts w:hint="eastAsia" w:ascii="宋体" w:hAnsi="宋体" w:eastAsia="宋体" w:cs="宋体"/>
          <w:color w:val="auto"/>
          <w:position w:val="2"/>
          <w:sz w:val="24"/>
          <w:highlight w:val="none"/>
          <w:lang w:val="zh-CN"/>
        </w:rPr>
        <w:t>3、</w:t>
      </w:r>
      <w:r>
        <w:rPr>
          <w:rFonts w:hint="eastAsia" w:ascii="宋体" w:hAnsi="宋体" w:eastAsia="宋体" w:cs="宋体"/>
          <w:color w:val="auto"/>
          <w:sz w:val="24"/>
          <w:highlight w:val="none"/>
          <w:lang w:val="zh-CN"/>
        </w:rPr>
        <w:t>考虑到本项目时间很紧</w:t>
      </w:r>
      <w:r>
        <w:rPr>
          <w:rFonts w:hint="eastAsia" w:ascii="宋体" w:hAnsi="宋体" w:eastAsia="宋体" w:cs="宋体"/>
          <w:color w:val="auto"/>
          <w:position w:val="2"/>
          <w:sz w:val="24"/>
          <w:highlight w:val="none"/>
          <w:lang w:val="zh-CN"/>
        </w:rPr>
        <w:t>，发包人将采取较为严密的组织管理形式，承包人需投入有别于其他项目的人力、物力，以满足本项目施工需要。</w:t>
      </w:r>
    </w:p>
    <w:p w14:paraId="023C7914">
      <w:pPr>
        <w:autoSpaceDE w:val="0"/>
        <w:autoSpaceDN w:val="0"/>
        <w:adjustRightInd w:val="0"/>
        <w:spacing w:before="20" w:line="360" w:lineRule="auto"/>
        <w:ind w:firstLine="420"/>
        <w:rPr>
          <w:rFonts w:hint="eastAsia" w:ascii="宋体" w:hAnsi="宋体" w:eastAsia="宋体" w:cs="宋体"/>
          <w:color w:val="auto"/>
          <w:position w:val="2"/>
          <w:sz w:val="24"/>
          <w:highlight w:val="none"/>
          <w:lang w:val="zh-CN"/>
        </w:rPr>
      </w:pPr>
      <w:r>
        <w:rPr>
          <w:rFonts w:hint="eastAsia" w:ascii="宋体" w:hAnsi="宋体" w:eastAsia="宋体" w:cs="宋体"/>
          <w:color w:val="auto"/>
          <w:position w:val="2"/>
          <w:sz w:val="24"/>
          <w:highlight w:val="none"/>
          <w:lang w:val="zh-CN"/>
        </w:rPr>
        <w:t>4、</w:t>
      </w:r>
      <w:r>
        <w:rPr>
          <w:rFonts w:hint="eastAsia" w:ascii="宋体" w:hAnsi="宋体" w:eastAsia="宋体" w:cs="宋体"/>
          <w:color w:val="auto"/>
          <w:sz w:val="24"/>
          <w:highlight w:val="none"/>
          <w:lang w:val="zh-CN"/>
        </w:rPr>
        <w:t>发包人有权对施工范围</w:t>
      </w:r>
      <w:r>
        <w:rPr>
          <w:rFonts w:hint="eastAsia" w:ascii="宋体" w:hAnsi="宋体" w:eastAsia="宋体" w:cs="宋体"/>
          <w:color w:val="auto"/>
          <w:position w:val="2"/>
          <w:sz w:val="24"/>
          <w:highlight w:val="none"/>
          <w:lang w:val="zh-CN"/>
        </w:rPr>
        <w:t>、施工内容作适当的调整。</w:t>
      </w:r>
    </w:p>
    <w:p w14:paraId="1D477CB8">
      <w:pPr>
        <w:autoSpaceDE w:val="0"/>
        <w:autoSpaceDN w:val="0"/>
        <w:adjustRightInd w:val="0"/>
        <w:spacing w:before="20" w:line="360" w:lineRule="auto"/>
        <w:ind w:firstLine="420"/>
        <w:rPr>
          <w:rFonts w:hint="eastAsia" w:ascii="宋体" w:hAnsi="宋体" w:eastAsia="宋体" w:cs="宋体"/>
          <w:color w:val="auto"/>
          <w:position w:val="2"/>
          <w:sz w:val="24"/>
          <w:highlight w:val="none"/>
          <w:lang w:val="zh-CN"/>
        </w:rPr>
      </w:pPr>
      <w:r>
        <w:rPr>
          <w:rFonts w:hint="eastAsia" w:ascii="宋体" w:hAnsi="宋体" w:eastAsia="宋体" w:cs="宋体"/>
          <w:color w:val="auto"/>
          <w:position w:val="2"/>
          <w:sz w:val="24"/>
          <w:highlight w:val="none"/>
          <w:lang w:val="zh-CN"/>
        </w:rPr>
        <w:t>5、</w:t>
      </w:r>
      <w:r>
        <w:rPr>
          <w:rFonts w:hint="eastAsia" w:ascii="宋体" w:hAnsi="宋体" w:eastAsia="宋体" w:cs="宋体"/>
          <w:color w:val="auto"/>
          <w:sz w:val="24"/>
          <w:highlight w:val="none"/>
          <w:lang w:val="zh-CN"/>
        </w:rPr>
        <w:t>发包人根据工程推进实际情况</w:t>
      </w:r>
      <w:r>
        <w:rPr>
          <w:rFonts w:hint="eastAsia" w:ascii="宋体" w:hAnsi="宋体" w:eastAsia="宋体" w:cs="宋体"/>
          <w:color w:val="auto"/>
          <w:position w:val="2"/>
          <w:sz w:val="24"/>
          <w:highlight w:val="none"/>
          <w:lang w:val="zh-CN"/>
        </w:rPr>
        <w:t>，有权要求承包人的法人代表或总经理人必须常驻施工现场,协调各种事项。</w:t>
      </w:r>
    </w:p>
    <w:p w14:paraId="53D67380">
      <w:pPr>
        <w:autoSpaceDE w:val="0"/>
        <w:autoSpaceDN w:val="0"/>
        <w:adjustRightInd w:val="0"/>
        <w:spacing w:before="20" w:after="100" w:line="360" w:lineRule="auto"/>
        <w:ind w:right="11" w:firstLine="480"/>
        <w:rPr>
          <w:rFonts w:hint="eastAsia" w:ascii="宋体" w:hAnsi="宋体" w:eastAsia="宋体" w:cs="宋体"/>
          <w:color w:val="auto"/>
          <w:position w:val="2"/>
          <w:sz w:val="24"/>
          <w:highlight w:val="none"/>
          <w:lang w:val="zh-CN"/>
        </w:rPr>
      </w:pPr>
      <w:r>
        <w:rPr>
          <w:rFonts w:hint="eastAsia" w:ascii="宋体" w:hAnsi="宋体" w:eastAsia="宋体" w:cs="宋体"/>
          <w:color w:val="auto"/>
          <w:position w:val="2"/>
          <w:sz w:val="24"/>
          <w:highlight w:val="none"/>
          <w:lang w:val="zh-CN"/>
        </w:rPr>
        <w:t>6、</w:t>
      </w:r>
      <w:r>
        <w:rPr>
          <w:rFonts w:hint="eastAsia" w:ascii="宋体" w:hAnsi="宋体" w:eastAsia="宋体" w:cs="宋体"/>
          <w:color w:val="auto"/>
          <w:sz w:val="24"/>
          <w:highlight w:val="none"/>
          <w:lang w:val="zh-CN"/>
        </w:rPr>
        <w:t>为保证广东省中医院大德路总院污水处理系统更新改造项目有序</w:t>
      </w:r>
      <w:r>
        <w:rPr>
          <w:rFonts w:hint="eastAsia" w:ascii="宋体" w:hAnsi="宋体" w:eastAsia="宋体" w:cs="宋体"/>
          <w:color w:val="auto"/>
          <w:position w:val="2"/>
          <w:sz w:val="24"/>
          <w:highlight w:val="none"/>
          <w:lang w:val="zh-CN"/>
        </w:rPr>
        <w:t>、规范和顺利进行，承包人必须主动支持发包人工作，对发包人的指令和书面通知，若无正当理由又未提前报告、得到认可，而公开或变相拒不执行，按承包人严重违约处理，同时，承包人还要承担发包人由此造成的一切经济损失。</w:t>
      </w:r>
    </w:p>
    <w:p w14:paraId="753B6BA3">
      <w:pPr>
        <w:autoSpaceDE w:val="0"/>
        <w:autoSpaceDN w:val="0"/>
        <w:adjustRightInd w:val="0"/>
        <w:spacing w:before="20" w:line="360" w:lineRule="auto"/>
        <w:ind w:firstLine="413"/>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 承包人承诺遵守发包人所制订的针对本工程建设管理的各项制度、规定，这些管理制度、规定必须符合下列原则：</w:t>
      </w:r>
    </w:p>
    <w:p w14:paraId="3C010C01">
      <w:pPr>
        <w:autoSpaceDE w:val="0"/>
        <w:autoSpaceDN w:val="0"/>
        <w:adjustRightInd w:val="0"/>
        <w:spacing w:before="20" w:line="360" w:lineRule="auto"/>
        <w:ind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（1）符合国家、广东省、广州市的有关政策、法规、规范和标准；</w:t>
      </w:r>
    </w:p>
    <w:p w14:paraId="5C706693">
      <w:pPr>
        <w:autoSpaceDE w:val="0"/>
        <w:autoSpaceDN w:val="0"/>
        <w:adjustRightInd w:val="0"/>
        <w:spacing w:before="20" w:line="360" w:lineRule="auto"/>
        <w:ind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（2）符合招标文件和本合同对项目管理的基本精神和要求；</w:t>
      </w:r>
    </w:p>
    <w:p w14:paraId="445F69E8">
      <w:pPr>
        <w:autoSpaceDE w:val="0"/>
        <w:autoSpaceDN w:val="0"/>
        <w:adjustRightInd w:val="0"/>
        <w:spacing w:before="20" w:line="360" w:lineRule="auto"/>
        <w:ind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（3）为确保工程质量、进度、安全文明施工管理所必须；</w:t>
      </w:r>
    </w:p>
    <w:p w14:paraId="333C7BE3">
      <w:pPr>
        <w:autoSpaceDE w:val="0"/>
        <w:autoSpaceDN w:val="0"/>
        <w:adjustRightInd w:val="0"/>
        <w:spacing w:before="20" w:line="360" w:lineRule="auto"/>
        <w:ind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（4）不是针对某一特定的承包人。</w:t>
      </w:r>
    </w:p>
    <w:p w14:paraId="0F435A67">
      <w:pPr>
        <w:autoSpaceDE w:val="0"/>
        <w:autoSpaceDN w:val="0"/>
        <w:adjustRightInd w:val="0"/>
        <w:spacing w:before="100" w:after="100" w:line="360" w:lineRule="auto"/>
        <w:ind w:right="11" w:firstLine="461"/>
        <w:jc w:val="center"/>
        <w:rPr>
          <w:rFonts w:hint="eastAsia" w:ascii="宋体" w:hAnsi="宋体" w:eastAsia="宋体" w:cs="宋体"/>
          <w:color w:val="auto"/>
          <w:sz w:val="24"/>
          <w:highlight w:val="none"/>
          <w:lang w:val="zh-CN"/>
        </w:rPr>
      </w:pPr>
    </w:p>
    <w:p w14:paraId="0BFF0F14">
      <w:pPr>
        <w:autoSpaceDE w:val="0"/>
        <w:autoSpaceDN w:val="0"/>
        <w:adjustRightInd w:val="0"/>
        <w:spacing w:before="100" w:after="100" w:line="360" w:lineRule="auto"/>
        <w:ind w:right="11" w:firstLine="461"/>
        <w:jc w:val="center"/>
        <w:rPr>
          <w:rFonts w:hint="eastAsia" w:ascii="宋体" w:hAnsi="宋体" w:eastAsia="宋体" w:cs="宋体"/>
          <w:color w:val="auto"/>
          <w:sz w:val="24"/>
          <w:highlight w:val="none"/>
          <w:lang w:val="zh-CN"/>
        </w:rPr>
      </w:pPr>
    </w:p>
    <w:p w14:paraId="75775C40">
      <w:pPr>
        <w:autoSpaceDE w:val="0"/>
        <w:autoSpaceDN w:val="0"/>
        <w:adjustRightInd w:val="0"/>
        <w:spacing w:before="100" w:after="100" w:line="360" w:lineRule="auto"/>
        <w:ind w:right="11"/>
        <w:rPr>
          <w:rFonts w:hint="eastAsia" w:ascii="宋体" w:hAnsi="宋体" w:eastAsia="宋体" w:cs="宋体"/>
          <w:color w:val="auto"/>
          <w:sz w:val="24"/>
          <w:highlight w:val="none"/>
          <w:lang w:val="zh-CN"/>
        </w:rPr>
      </w:pPr>
    </w:p>
    <w:p w14:paraId="2503C7CC">
      <w:pPr>
        <w:widowControl/>
        <w:jc w:val="left"/>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br w:type="page"/>
      </w:r>
    </w:p>
    <w:p w14:paraId="11F535DA">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一、词语定义及合同文件</w:t>
      </w:r>
    </w:p>
    <w:p w14:paraId="3A083225">
      <w:pPr>
        <w:numPr>
          <w:ilvl w:val="0"/>
          <w:numId w:val="5"/>
        </w:numPr>
        <w:tabs>
          <w:tab w:val="left" w:pos="1050"/>
        </w:tabs>
        <w:autoSpaceDE w:val="0"/>
        <w:autoSpaceDN w:val="0"/>
        <w:adjustRightInd w:val="0"/>
        <w:spacing w:line="360" w:lineRule="auto"/>
        <w:ind w:left="735" w:right="11" w:hanging="36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词语定义</w:t>
      </w:r>
    </w:p>
    <w:p w14:paraId="53FE05C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 发包人</w:t>
      </w:r>
    </w:p>
    <w:p w14:paraId="72C3C20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1.3.1 发包人：在本合同中特指广东省中医院。</w:t>
      </w:r>
    </w:p>
    <w:p w14:paraId="40BEB5F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1.3.2合法继承人：指包括但不限于工程竣工验收合格后，发包人依据广东省政府的规定，将工程移交给相关的承接单位使用的所有权人。在继承生效后，合法继承人享有发包人在本建设工程施工合同的一切权利及承担相应的义务。</w:t>
      </w:r>
    </w:p>
    <w:p w14:paraId="40DAEDD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 设计单位</w:t>
      </w:r>
    </w:p>
    <w:p w14:paraId="316E739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1.6.1 设计单位代表：指本工程设计单位派驻施工场地履行工程设计职责的代表，其具体身份和职权在《合同专用条款》中写明。</w:t>
      </w:r>
    </w:p>
    <w:p w14:paraId="75CE943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本工程的现场设计代表：</w:t>
      </w:r>
      <w:r>
        <w:rPr>
          <w:rFonts w:hint="eastAsia" w:ascii="宋体" w:hAnsi="宋体" w:eastAsia="宋体" w:cs="宋体"/>
          <w:color w:val="auto"/>
          <w:sz w:val="24"/>
          <w:highlight w:val="none"/>
          <w:u w:val="single"/>
          <w:lang w:val="zh-CN"/>
        </w:rPr>
        <w:t>另行通知</w:t>
      </w:r>
      <w:r>
        <w:rPr>
          <w:rFonts w:hint="eastAsia" w:ascii="宋体" w:hAnsi="宋体" w:eastAsia="宋体" w:cs="宋体"/>
          <w:color w:val="auto"/>
          <w:sz w:val="24"/>
          <w:highlight w:val="none"/>
          <w:lang w:val="zh-CN"/>
        </w:rPr>
        <w:t>；职权：</w:t>
      </w:r>
      <w:r>
        <w:rPr>
          <w:rFonts w:hint="eastAsia" w:ascii="宋体" w:hAnsi="宋体" w:eastAsia="宋体" w:cs="宋体"/>
          <w:color w:val="auto"/>
          <w:sz w:val="24"/>
          <w:highlight w:val="none"/>
          <w:u w:val="single"/>
          <w:lang w:val="zh-CN"/>
        </w:rPr>
        <w:t xml:space="preserve">另行通知      </w:t>
      </w:r>
      <w:r>
        <w:rPr>
          <w:rFonts w:hint="eastAsia" w:ascii="宋体" w:hAnsi="宋体" w:eastAsia="宋体" w:cs="宋体"/>
          <w:color w:val="auto"/>
          <w:sz w:val="24"/>
          <w:highlight w:val="none"/>
          <w:lang w:val="zh-CN"/>
        </w:rPr>
        <w:t>。</w:t>
      </w:r>
    </w:p>
    <w:p w14:paraId="7118DF7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1.8  工程师</w:t>
      </w:r>
    </w:p>
    <w:p w14:paraId="1F2CD8EA">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《合同通用条款》中的工程师，如无特别注明，均是指本工程监理单位委派的总监理工程师。</w:t>
      </w:r>
    </w:p>
    <w:p w14:paraId="400C9400">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1.14  工期</w:t>
      </w:r>
    </w:p>
    <w:p w14:paraId="2D9E93E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1.14.1  节点工期：指在经发包人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709C5FB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1.23  小时或天</w:t>
      </w:r>
    </w:p>
    <w:p w14:paraId="0B1819C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1.23.1  天：指事件发生当日的0时至当日的24时的时间段。</w:t>
      </w:r>
    </w:p>
    <w:p w14:paraId="40064A26">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1.24  通知：指合同中所提及的各方之间的传达意思表示的方式，包括但不限于申请、报告、同意、答复、批准、指令、证书、决定等等。除《合同专用条款》有特别约定外，只有采用书面形式的通知有效。</w:t>
      </w:r>
    </w:p>
    <w:p w14:paraId="714DD62F">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1.25  质量安全事故:指在工程建设过程中由于责任过失造成工程倒塌或报废、机械设备毁坏和安全设施失当造成人身伤亡或者重大经济损失的事故。包括安全事故和质量事故。</w:t>
      </w:r>
    </w:p>
    <w:p w14:paraId="72A29244">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1.25.1  </w:t>
      </w:r>
      <w:r>
        <w:rPr>
          <w:rFonts w:hint="eastAsia" w:ascii="宋体" w:hAnsi="宋体" w:eastAsia="宋体" w:cs="宋体"/>
          <w:color w:val="auto"/>
          <w:sz w:val="24"/>
          <w:highlight w:val="none"/>
        </w:rPr>
        <w:t>特别重大事故：是指造成</w:t>
      </w:r>
      <w:r>
        <w:rPr>
          <w:rFonts w:hint="eastAsia" w:ascii="宋体" w:hAnsi="宋体" w:eastAsia="宋体" w:cs="宋体"/>
          <w:bCs/>
          <w:color w:val="auto"/>
          <w:sz w:val="24"/>
          <w:highlight w:val="none"/>
        </w:rPr>
        <w:t>30人以上死亡，或者100人以上重伤，或者1亿元以上直接经济损失的事故</w:t>
      </w:r>
      <w:r>
        <w:rPr>
          <w:rFonts w:hint="eastAsia" w:ascii="宋体" w:hAnsi="宋体" w:eastAsia="宋体" w:cs="宋体"/>
          <w:color w:val="auto"/>
          <w:sz w:val="24"/>
          <w:highlight w:val="none"/>
        </w:rPr>
        <w:t>。</w:t>
      </w:r>
    </w:p>
    <w:p w14:paraId="22A2EB1D">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1.25.2  </w:t>
      </w:r>
      <w:r>
        <w:rPr>
          <w:rFonts w:hint="eastAsia" w:ascii="宋体" w:hAnsi="宋体" w:eastAsia="宋体" w:cs="宋体"/>
          <w:bCs/>
          <w:color w:val="auto"/>
          <w:sz w:val="24"/>
          <w:highlight w:val="none"/>
        </w:rPr>
        <w:t>重大事故：是指造成10人以上30人以下死亡，或者50人以上100人以下重伤，或者5000万元以上1亿元以下直接经济损失的事故。</w:t>
      </w:r>
    </w:p>
    <w:p w14:paraId="6BB7B5D2">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1.25.3  </w:t>
      </w:r>
      <w:r>
        <w:rPr>
          <w:rFonts w:hint="eastAsia" w:ascii="宋体" w:hAnsi="宋体" w:eastAsia="宋体" w:cs="宋体"/>
          <w:bCs/>
          <w:color w:val="auto"/>
          <w:sz w:val="24"/>
          <w:highlight w:val="none"/>
        </w:rPr>
        <w:t>较大事故：是指造成3人以上10人以下死亡，或者10人以上50人以下重伤，或者1000万元以上5000万元以下直接经济损失的事故</w:t>
      </w:r>
    </w:p>
    <w:p w14:paraId="4E4634CF">
      <w:pPr>
        <w:autoSpaceDE w:val="0"/>
        <w:autoSpaceDN w:val="0"/>
        <w:adjustRightInd w:val="0"/>
        <w:spacing w:before="20" w:line="360" w:lineRule="auto"/>
        <w:ind w:right="11" w:firstLine="48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1.25.4  一般事故：是指造成3人以下死亡，或者10人以下重伤，或者1000万元以下直接经济损失的事故。</w:t>
      </w:r>
    </w:p>
    <w:p w14:paraId="333C5AFC">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p>
    <w:p w14:paraId="2D1471D7">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 合同文件及解释顺序</w:t>
      </w:r>
    </w:p>
    <w:p w14:paraId="69F1E2B1">
      <w:pPr>
        <w:autoSpaceDE w:val="0"/>
        <w:autoSpaceDN w:val="0"/>
        <w:adjustRightInd w:val="0"/>
        <w:spacing w:before="20" w:line="360" w:lineRule="auto"/>
        <w:ind w:firstLine="899"/>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rPr>
        <w:t>按《合同协议书》第六条执行。</w:t>
      </w:r>
    </w:p>
    <w:p w14:paraId="31FE93ED">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3、语言文字和适用法律、标准及规范</w:t>
      </w:r>
    </w:p>
    <w:p w14:paraId="047D3AF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  本合同所有文件均使用汉字书写、解释和说明。</w:t>
      </w:r>
    </w:p>
    <w:p w14:paraId="07A5F6D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3.2  适用法律和法规</w:t>
      </w:r>
    </w:p>
    <w:p w14:paraId="753640A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合同适用中华人民共和国法律、行政法规、部门规章、地方性法规和规章、广东省人民政府和广州市人民政府颁布适用于广东省中医院大德路总院污水处理系统更新改造项目的有关文件，以及建设项目主管部门批准的文件；其中广东省人民政府和广州市人民政府颁布适用于广东省中医院大德路总院污水处理系统更新改造项目的有关文件，以及建设项目主管部门批准的文件优先适用。需要明示的法律、行政法规：中华人民共和国合同法、中华人民共和国建筑法、建设工程质量管理条例等。</w:t>
      </w:r>
    </w:p>
    <w:p w14:paraId="7A647B0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  适用标准、规范</w:t>
      </w:r>
    </w:p>
    <w:p w14:paraId="6211369C">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适用标准、规范的名称：国家现行有效的有关建设项目管理、施工及验收规范和验收标准。</w:t>
      </w:r>
    </w:p>
    <w:p w14:paraId="0C6EA34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  承包人必须接受政府有关部门对本工程的监督，并无条件配合政府指定的审计机构的审计。</w:t>
      </w:r>
    </w:p>
    <w:p w14:paraId="6D460D49">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4、图纸</w:t>
      </w:r>
    </w:p>
    <w:p w14:paraId="7BF11C7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  发包人向承包人提供图纸日期和套数：发包人在开工前向承包人提供</w:t>
      </w:r>
      <w:r>
        <w:rPr>
          <w:rFonts w:hint="eastAsia" w:ascii="宋体" w:hAnsi="宋体" w:eastAsia="宋体" w:cs="宋体"/>
          <w:iCs/>
          <w:color w:val="auto"/>
          <w:sz w:val="24"/>
          <w:highlight w:val="none"/>
          <w:lang w:val="zh-CN"/>
        </w:rPr>
        <w:t>8</w:t>
      </w:r>
      <w:r>
        <w:rPr>
          <w:rFonts w:hint="eastAsia" w:ascii="宋体" w:hAnsi="宋体" w:eastAsia="宋体" w:cs="宋体"/>
          <w:color w:val="auto"/>
          <w:sz w:val="24"/>
          <w:highlight w:val="none"/>
          <w:lang w:val="zh-CN"/>
        </w:rPr>
        <w:t>套图纸</w:t>
      </w:r>
      <w:r>
        <w:rPr>
          <w:rFonts w:hint="eastAsia" w:ascii="宋体" w:hAnsi="宋体" w:eastAsia="宋体" w:cs="宋体"/>
          <w:color w:val="auto"/>
          <w:sz w:val="24"/>
          <w:highlight w:val="none"/>
        </w:rPr>
        <w:t>（含编制竣工图所需）</w:t>
      </w:r>
      <w:r>
        <w:rPr>
          <w:rFonts w:hint="eastAsia" w:ascii="宋体" w:hAnsi="宋体" w:eastAsia="宋体" w:cs="宋体"/>
          <w:color w:val="auto"/>
          <w:sz w:val="24"/>
          <w:highlight w:val="none"/>
          <w:lang w:val="zh-CN"/>
        </w:rPr>
        <w:t xml:space="preserve">。承包人确需增加图纸套数的，发包人应当予以同意，所需费用由承包人自行承担。 </w:t>
      </w:r>
    </w:p>
    <w:p w14:paraId="4C1D320D">
      <w:pPr>
        <w:autoSpaceDE w:val="0"/>
        <w:autoSpaceDN w:val="0"/>
        <w:adjustRightInd w:val="0"/>
        <w:spacing w:before="20" w:line="360" w:lineRule="auto"/>
        <w:ind w:right="11" w:firstLine="461"/>
        <w:rPr>
          <w:rFonts w:hint="eastAsia" w:ascii="宋体" w:hAnsi="宋体" w:eastAsia="宋体" w:cs="宋体"/>
          <w:i/>
          <w:iCs/>
          <w:color w:val="auto"/>
          <w:sz w:val="24"/>
          <w:highlight w:val="none"/>
          <w:u w:val="single"/>
          <w:lang w:val="zh-CN"/>
        </w:rPr>
      </w:pPr>
      <w:r>
        <w:rPr>
          <w:rFonts w:hint="eastAsia" w:ascii="宋体" w:hAnsi="宋体" w:eastAsia="宋体" w:cs="宋体"/>
          <w:color w:val="auto"/>
          <w:sz w:val="24"/>
          <w:highlight w:val="none"/>
          <w:lang w:val="zh-CN"/>
        </w:rPr>
        <w:t>发包人对图纸的保密要求：由发包人提供的图纸、文件等，未经发包人许可，承包人不得用于或转借、出让、泄露给第三方。保密措施费用由承包人自行承担。</w:t>
      </w:r>
    </w:p>
    <w:p w14:paraId="121F754B">
      <w:pPr>
        <w:autoSpaceDE w:val="0"/>
        <w:autoSpaceDN w:val="0"/>
        <w:adjustRightInd w:val="0"/>
        <w:spacing w:before="20" w:line="360" w:lineRule="auto"/>
        <w:ind w:right="11" w:firstLine="461"/>
        <w:rPr>
          <w:rFonts w:hint="eastAsia" w:ascii="宋体" w:hAnsi="宋体" w:eastAsia="宋体" w:cs="宋体"/>
          <w:color w:val="auto"/>
          <w:sz w:val="24"/>
          <w:highlight w:val="none"/>
          <w:u w:val="single"/>
          <w:lang w:val="zh-CN"/>
        </w:rPr>
      </w:pPr>
    </w:p>
    <w:p w14:paraId="4FDFDDD8">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二、双方一般权利和义务</w:t>
      </w:r>
    </w:p>
    <w:p w14:paraId="2ECE25EB">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5、工程师</w:t>
      </w:r>
    </w:p>
    <w:p w14:paraId="21C349D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5.1  施工监理单位</w:t>
      </w:r>
    </w:p>
    <w:p w14:paraId="032E4BA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发包人委托</w:t>
      </w:r>
      <w:r>
        <w:rPr>
          <w:rFonts w:hint="eastAsia" w:ascii="宋体" w:hAnsi="宋体" w:eastAsia="宋体" w:cs="宋体"/>
          <w:color w:val="auto"/>
          <w:sz w:val="24"/>
          <w:highlight w:val="none"/>
          <w:u w:val="single"/>
          <w:lang w:val="zh-CN"/>
        </w:rPr>
        <w:t xml:space="preserve">   无    </w:t>
      </w:r>
      <w:r>
        <w:rPr>
          <w:rFonts w:hint="eastAsia" w:ascii="宋体" w:hAnsi="宋体" w:eastAsia="宋体" w:cs="宋体"/>
          <w:color w:val="auto"/>
          <w:sz w:val="24"/>
          <w:highlight w:val="none"/>
          <w:lang w:val="zh-CN"/>
        </w:rPr>
        <w:t>对本工程实施全过程施工监理。监理单位依据国家对工程监理的有关规定及与发包人所签订的《施工监理合同》之约定，向本工程施工场地派驻监理机构，履行自己的职责。</w:t>
      </w:r>
    </w:p>
    <w:p w14:paraId="4DA3D88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发包人应将本项目的《施工监理合同》约定的监理内容、监理权限以书面形式通知承包人。</w:t>
      </w:r>
    </w:p>
    <w:p w14:paraId="196B44B1">
      <w:pPr>
        <w:pStyle w:val="2"/>
        <w:rPr>
          <w:rFonts w:hint="eastAsia" w:ascii="宋体" w:hAnsi="宋体" w:eastAsia="宋体" w:cs="宋体"/>
          <w:highlight w:val="none"/>
          <w:lang w:val="en-US" w:eastAsia="zh-CN"/>
        </w:rPr>
      </w:pPr>
      <w:r>
        <w:rPr>
          <w:rFonts w:hint="eastAsia" w:ascii="宋体" w:hAnsi="宋体" w:eastAsia="宋体" w:cs="宋体"/>
          <w:color w:val="auto"/>
          <w:sz w:val="24"/>
          <w:highlight w:val="none"/>
          <w:lang w:val="en-US" w:eastAsia="zh-CN"/>
        </w:rPr>
        <w:t>本条不执行。</w:t>
      </w:r>
    </w:p>
    <w:p w14:paraId="2422E84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5.2  总监理工程师</w:t>
      </w:r>
    </w:p>
    <w:p w14:paraId="46C9915B">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5.2.1  施工总监理工程师是施工监理单位派驻本工程施工场地的监理机构的负责人。其姓名、职务（职称）如下：</w:t>
      </w:r>
    </w:p>
    <w:p w14:paraId="35C57F5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姓名：</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 </w:t>
      </w:r>
    </w:p>
    <w:p w14:paraId="65B9C46C">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职务（职称）：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rPr>
        <w:t xml:space="preserve">  无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 。</w:t>
      </w:r>
    </w:p>
    <w:p w14:paraId="79A32BA3">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5.2.2  总监理工程师依据《施工监理合同》约定的监理权限对承包人在施工质量、建设工期和建设资金使用、总承包管理等方面实施监管。总监理工程师行使《施工监理合同》约定的监理职权不必事前征得发包人的批准，但下列情况须经监理单位盖章，并必须取得发包人的批准：</w:t>
      </w:r>
    </w:p>
    <w:p w14:paraId="511E7074">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 同意本工程任何部分的分包合同；</w:t>
      </w:r>
    </w:p>
    <w:p w14:paraId="75B4CCFA">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 工程款、设备材料款以及其他费用的支付；</w:t>
      </w:r>
    </w:p>
    <w:p w14:paraId="6049F342">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 施工进度更改或对工程延期的决定；</w:t>
      </w:r>
    </w:p>
    <w:p w14:paraId="5580D7FE">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 发布工程变更、设计变更指令及签发现场签证；</w:t>
      </w:r>
    </w:p>
    <w:p w14:paraId="5E013E7E">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 确定新增工程、设计变更工程的单价、费率、价格，设备材料的价格；</w:t>
      </w:r>
    </w:p>
    <w:p w14:paraId="5CA3D5C5">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 承包人提出合理化建议，采用新工艺、新材料、新技术，批准重大设计变更，这些变更将改变原设计的基本功能或工期或投资等。</w:t>
      </w:r>
    </w:p>
    <w:p w14:paraId="12F97D17">
      <w:pPr>
        <w:autoSpaceDE w:val="0"/>
        <w:autoSpaceDN w:val="0"/>
        <w:adjustRightInd w:val="0"/>
        <w:spacing w:before="20" w:line="360" w:lineRule="auto"/>
        <w:ind w:right="11" w:firstLine="480"/>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5.3  发包人代表</w:t>
      </w:r>
    </w:p>
    <w:p w14:paraId="7BB40D3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发包人派驻施工场地履行合同的代表在本合同中称作发包人代表。其姓名、职务、职权如下：</w:t>
      </w:r>
    </w:p>
    <w:p w14:paraId="6ECD24F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姓名：</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 职务：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 。 </w:t>
      </w:r>
    </w:p>
    <w:p w14:paraId="51FA7EE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职权：⑴组织落实发包人应完成的工作。⑵审批承包人报送给发包人，经发包人加具意见后需发包人审批的文件。⑶ 组织主持工程竣工验收和移交。 </w:t>
      </w:r>
    </w:p>
    <w:p w14:paraId="3456F1E3">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6、工程师的委派和指令</w:t>
      </w:r>
    </w:p>
    <w:p w14:paraId="68003B8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6.1  工程师代表</w:t>
      </w:r>
    </w:p>
    <w:p w14:paraId="1D29DB6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总监理工程师可依照《合同通用条款》第6.1款的约定可委派或者撤回委派副总监理工程师，但这种委派和撤回必须事先得到发包人的同意。受委派的副总监理工程师必须是本工程监理机构的监理人员，且具有适当的监理资质。（如无监理单位此项省略）</w:t>
      </w:r>
    </w:p>
    <w:p w14:paraId="77419E43">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6.2  工程师的指令</w:t>
      </w:r>
    </w:p>
    <w:p w14:paraId="4E823A0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因总监理工程师或者副总监理工程师的指令错误而延误工期的，工期顺延情形只适用于一般节点工期。（如无监理单位此项省略）</w:t>
      </w:r>
    </w:p>
    <w:p w14:paraId="0D34367D">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7、项目经理</w:t>
      </w:r>
    </w:p>
    <w:p w14:paraId="2F2AC9E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7.1  </w:t>
      </w:r>
    </w:p>
    <w:p w14:paraId="5C3CF4E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7.1.1  承包人必须按照投标文件中所作出的承诺建立以项目经理为首的现场管理机构，并执行《建设工程项目管理规范》（</w:t>
      </w:r>
      <w:r>
        <w:rPr>
          <w:rFonts w:hint="eastAsia" w:ascii="宋体" w:hAnsi="宋体" w:eastAsia="宋体" w:cs="宋体"/>
          <w:i w:val="0"/>
          <w:iCs w:val="0"/>
          <w:caps w:val="0"/>
          <w:color w:val="000000"/>
          <w:spacing w:val="0"/>
          <w:sz w:val="24"/>
          <w:szCs w:val="24"/>
          <w:highlight w:val="none"/>
          <w:shd w:val="clear" w:color="auto" w:fill="FFFFFF"/>
        </w:rPr>
        <w:t>GB/T50326-2017</w:t>
      </w:r>
      <w:r>
        <w:rPr>
          <w:rFonts w:hint="eastAsia" w:ascii="宋体" w:hAnsi="宋体" w:eastAsia="宋体" w:cs="宋体"/>
          <w:color w:val="auto"/>
          <w:sz w:val="24"/>
          <w:highlight w:val="none"/>
          <w:lang w:val="zh-CN"/>
        </w:rPr>
        <w:t>）。</w:t>
      </w:r>
      <w:r>
        <w:rPr>
          <w:rFonts w:hint="eastAsia" w:ascii="宋体" w:hAnsi="宋体" w:eastAsia="宋体" w:cs="宋体"/>
          <w:b/>
          <w:color w:val="auto"/>
          <w:sz w:val="24"/>
          <w:highlight w:val="none"/>
          <w:u w:val="single"/>
          <w:lang w:val="zh-CN"/>
        </w:rPr>
        <w:t>现场管理机构人员名单见合同附件一。</w:t>
      </w:r>
    </w:p>
    <w:p w14:paraId="70E4736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7.1.2 承包人委派的主要负责人不得有兼职情况（包括本项目）存在，并需接受发包人单位的监督。</w:t>
      </w:r>
    </w:p>
    <w:p w14:paraId="4A492C1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发包人要求承包人撤换不合格人员，承包人必须立即执行。如果发包人的撤换通知下达７天后，承包人仍拒不执行，则视为该部门负责人空缺，承包人需按本合同的约定承担违约责任。</w:t>
      </w:r>
    </w:p>
    <w:p w14:paraId="548691C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7.3  《合同通用条款》第7.3款所提及的工期顺延情形只适用于一般节点工期。</w:t>
      </w:r>
    </w:p>
    <w:p w14:paraId="4658FA1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7.4  承包人所投入的工程管理人员和工程技术人员应与合同附件一现场管理机构主要人员名单保持一致，发包人不要求更换时不得更换。因特殊情况需要更换的，承包人应以书面形式向发包人单位提出意向（附前任和后任人员的详细履历资料），经发包人工程师签署意见后向发包人提出申请，并征得发包人同意。承包人必须保证后任人员的资质、资历、业绩、实际工作能力不低于前任人员的素质，即使征得发包人同意更换，承包人应承担违反投标承诺的违约责任。</w:t>
      </w:r>
    </w:p>
    <w:p w14:paraId="2776B1B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前任人员更换后，后任继续行使合同文件约定的前任的职权，履行前任的义务。</w:t>
      </w:r>
    </w:p>
    <w:p w14:paraId="353DBB2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承包人擅自更换项目经理及现场管理机构主要部门负责人的，除按第49.3条规定接受违反投标承诺的处罚外，还应按照第37.2.10款（1）项的约定承担违约责任。</w:t>
      </w:r>
    </w:p>
    <w:p w14:paraId="2E3AC73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7.5  项目部主要负责人员的实际工作能力和工作表现达不到招标文件明确要求或投标文件的承诺、或工作态度存在严重不足，不适应现场工作需要，发包人有权向承包人提出撤换。承包人可以提出整改措施；如发包人不予接受，或认为整改效果不明显的，则承包人必须在7天内无条件撤换，并按照第37.2.10款（1）项的约定承担违约责任。所调换来人员的资质、资历、学历、职称、业绩、实际工作能力不低于原投标书中所承诺人员的素质，否则，按第49.3条规定承担违约责任。</w:t>
      </w:r>
    </w:p>
    <w:p w14:paraId="74728EA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7.6  项目部主要负责人员必须全职在现场办公，不得兼职或者擅自离岗。因特殊情况需短暂离岗的，应当事先报发包人批准，必须妥善安排工地现场的工作交接，并按以下规定执行：</w:t>
      </w:r>
    </w:p>
    <w:p w14:paraId="77368CC0">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（1）离场1天内，须将工作交接情况知会现场发包人工程师；</w:t>
      </w:r>
    </w:p>
    <w:p w14:paraId="68036B13">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（2）离场2~3天，须将工作交接情况知会现场发包人工程师，并经总发包人工程师批准；</w:t>
      </w:r>
    </w:p>
    <w:p w14:paraId="29EF118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（3）离场3天以上，须将工作交接情况知会总发包人工程师，并经发包人批准；</w:t>
      </w:r>
    </w:p>
    <w:p w14:paraId="7AE2D06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（4）但一个月内累计离场时间不得超过5天（含节假日）。</w:t>
      </w:r>
    </w:p>
    <w:p w14:paraId="1A316DA2">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若违反上述规定，发包人工程师可发出停工令，待人员回到岗位后才批准复工。承包人必须就此作出书面解释和保证，自行承担由此产生的工期延误等损失，并按照第37.2.10款(1) 项的约定承担违约责任。</w:t>
      </w:r>
    </w:p>
    <w:p w14:paraId="22F3DE0B">
      <w:pPr>
        <w:autoSpaceDE w:val="0"/>
        <w:autoSpaceDN w:val="0"/>
        <w:adjustRightInd w:val="0"/>
        <w:spacing w:before="20"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本合同所称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现场办公</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 xml:space="preserve">，指在工程实施过程中，现场指挥部、项目经理部主要负责人员必须在施工现场全职上班，履行各自的职责。 </w:t>
      </w:r>
    </w:p>
    <w:p w14:paraId="315AD3FF">
      <w:pPr>
        <w:autoSpaceDE w:val="0"/>
        <w:autoSpaceDN w:val="0"/>
        <w:adjustRightInd w:val="0"/>
        <w:spacing w:before="20" w:line="360" w:lineRule="auto"/>
        <w:ind w:firstLine="482"/>
        <w:rPr>
          <w:rFonts w:hint="eastAsia" w:ascii="宋体" w:hAnsi="宋体" w:eastAsia="宋体" w:cs="宋体"/>
          <w:color w:val="auto"/>
          <w:sz w:val="24"/>
          <w:highlight w:val="none"/>
          <w:lang w:val="zh-CN"/>
        </w:rPr>
      </w:pPr>
    </w:p>
    <w:p w14:paraId="3B44FB3A">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8、发包人工作</w:t>
      </w:r>
    </w:p>
    <w:p w14:paraId="1E9332B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8.1 发包人应按约定的时间和要求完成以下工作：</w:t>
      </w:r>
    </w:p>
    <w:p w14:paraId="6AECAE2E">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（1）施工场地具备施工条件的要求及完成的时间：发包人负责在开工前完成施工场地的征地拆迁工作，具备按设计要求进行场地平整施工的条件。 </w:t>
      </w:r>
    </w:p>
    <w:p w14:paraId="06DBF23A">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 xml:space="preserve">（2）将施工所需的水、电线路接至施工场地的时间、地点和供应要求：发包人负责开工前将施工所需的水、电接至施工现场边缘，并提供水、电驳接点。 </w:t>
      </w:r>
    </w:p>
    <w:p w14:paraId="71D08081">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（3）施工场地与公共道路的通道开通时间和要求：已开通。</w:t>
      </w:r>
    </w:p>
    <w:p w14:paraId="2559CEDD">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（4）工程地质和地下管线资料的提供时间：开工前提供。</w:t>
      </w:r>
    </w:p>
    <w:p w14:paraId="0CE44535">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（5）由发包人办理的施工所需证件、批件的名称和完成时间：发包人负责办理本工程投资许可证、建设用地规划许可证、建设工程规划许可证、报建审核书、建设用地通知书</w:t>
      </w:r>
      <w:r>
        <w:rPr>
          <w:rFonts w:hint="eastAsia" w:ascii="宋体" w:hAnsi="宋体" w:eastAsia="宋体" w:cs="宋体"/>
          <w:i/>
          <w:iCs/>
          <w:color w:val="auto"/>
          <w:sz w:val="24"/>
          <w:highlight w:val="none"/>
          <w:lang w:val="zh-CN"/>
        </w:rPr>
        <w:t>。</w:t>
      </w:r>
    </w:p>
    <w:p w14:paraId="192EEDBE">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（6）水准点与坐标控制点交验要求：发包人负责将已施测的水准点高程与平面控制点坐标以书面形式提供给承包人，由承包人做好交验记录，承包人有责任复核确认。</w:t>
      </w:r>
    </w:p>
    <w:p w14:paraId="4324C539">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（7）图纸会审和设计交底时间：承包人接到施工图纸3天内进行。</w:t>
      </w:r>
    </w:p>
    <w:p w14:paraId="6BA55EA4">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（8）协调施工场地周围地下管线和邻近建筑物、构筑物（含文物保护建筑）、古树名木的保护工作：按《合同通用条款》执行。</w:t>
      </w:r>
    </w:p>
    <w:p w14:paraId="6A8D432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8.2发包人委托承包人应办理的工作：办理</w:t>
      </w:r>
      <w:r>
        <w:rPr>
          <w:rFonts w:hint="eastAsia" w:ascii="宋体" w:hAnsi="宋体" w:eastAsia="宋体" w:cs="宋体"/>
          <w:color w:val="auto"/>
          <w:sz w:val="24"/>
          <w:highlight w:val="none"/>
        </w:rPr>
        <w:t>建委及质量、技术、安全监督部门、消防部门等政府主管部门的要求办理的其它相关手续</w:t>
      </w:r>
      <w:r>
        <w:rPr>
          <w:rFonts w:hint="eastAsia" w:ascii="宋体" w:hAnsi="宋体" w:eastAsia="宋体" w:cs="宋体"/>
          <w:color w:val="auto"/>
          <w:sz w:val="24"/>
          <w:highlight w:val="none"/>
          <w:lang w:val="zh-CN"/>
        </w:rPr>
        <w:t>。</w:t>
      </w:r>
    </w:p>
    <w:p w14:paraId="60B784A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8.3根据招标文件及承包人的承诺，发包人保留下列的权利：</w:t>
      </w:r>
    </w:p>
    <w:p w14:paraId="17D1FA6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8.3.1对本工程使用之材料品质及工程质量确认审查的权利。</w:t>
      </w:r>
    </w:p>
    <w:p w14:paraId="6EC9604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8.3.2有权要求承包人无条件更换不符合发包人技术规格所要求的产品及劣质产品，直至满足技术规格要求为止。</w:t>
      </w:r>
    </w:p>
    <w:p w14:paraId="0270EE84">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8.3.3有权按设计要求根据工程实际需要增加或减少部分工程，承包人不得拒绝或要求调整任何单价。</w:t>
      </w:r>
    </w:p>
    <w:p w14:paraId="4C1B664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8.4发包人明确土建总承包人、承包人、专业工程在总包工作方面的管理范围、义务和责任，以及分包单位相应承担的义务和责任。</w:t>
      </w:r>
    </w:p>
    <w:p w14:paraId="7F8FAE3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5520E0BD">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9、承包人工作</w:t>
      </w:r>
    </w:p>
    <w:p w14:paraId="2A2F37CC">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9.1承包人在中标后必须完成如下工作:</w:t>
      </w:r>
    </w:p>
    <w:p w14:paraId="40D27EF7">
      <w:pPr>
        <w:autoSpaceDE w:val="0"/>
        <w:autoSpaceDN w:val="0"/>
        <w:adjustRightInd w:val="0"/>
        <w:spacing w:before="20" w:line="360" w:lineRule="auto"/>
        <w:ind w:right="11" w:firstLine="5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)在中标后10天提交设备材料采购确认表，开始设备材料采购。</w:t>
      </w:r>
    </w:p>
    <w:p w14:paraId="0EC7E55D">
      <w:pPr>
        <w:autoSpaceDE w:val="0"/>
        <w:autoSpaceDN w:val="0"/>
        <w:adjustRightInd w:val="0"/>
        <w:spacing w:before="20" w:line="360" w:lineRule="auto"/>
        <w:ind w:right="11" w:firstLine="5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配合土建施工，负责派人员前往安装现场进行土建勘测，确认工地安装条件，向甲方提供咨询服务和提出整改要求，与甲方约定具体开工日期。如有预埋项，乙方应配合土建施工方进行处理。</w:t>
      </w:r>
    </w:p>
    <w:p w14:paraId="27DADD9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9.2  承包人应按约定时间和要求，完成以下工作：</w:t>
      </w:r>
    </w:p>
    <w:p w14:paraId="26D1298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（1）承包人须于每月25日前向总发包人工程师提供如下计划、报表，经发包人单位审核后，报发包人批准后实施：</w:t>
      </w:r>
    </w:p>
    <w:p w14:paraId="2013723A">
      <w:pPr>
        <w:autoSpaceDE w:val="0"/>
        <w:autoSpaceDN w:val="0"/>
        <w:adjustRightInd w:val="0"/>
        <w:spacing w:before="20" w:line="360" w:lineRule="auto"/>
        <w:ind w:right="11" w:firstLine="4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2）承包人进场前应向医院后勤主管部门缴纳10000元安全文明施工管理保证金，如施工过程中发生不服从医院有关安全文明施工管理规定的，将扣罚保证金。安全文明施工管理保证金在施工竣工验收后退回给承包人。</w:t>
      </w:r>
    </w:p>
    <w:p w14:paraId="087C8B5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A、当月应完成的工程进度和实际完成进度统计报表一式四份（说明提前或拖延原因）（时间从上月26日至当月25日）；</w:t>
      </w:r>
    </w:p>
    <w:p w14:paraId="3143C1C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B、当月完成的工程量申报,要求分细项申报,并有完成金额一式四份；</w:t>
      </w:r>
    </w:p>
    <w:p w14:paraId="45FF480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C、下月资金使用计划一式四份；</w:t>
      </w:r>
    </w:p>
    <w:p w14:paraId="046CF6D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D、下月施工进度计划一式四份；</w:t>
      </w:r>
    </w:p>
    <w:p w14:paraId="47EDA38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E、当月工程质量、安全生产、文明施工情况报告一式四份；</w:t>
      </w:r>
    </w:p>
    <w:p w14:paraId="4B4DF32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F、承包人负责向发包人提供工程事故报告一式四份（如果发生时）。</w:t>
      </w:r>
    </w:p>
    <w:p w14:paraId="5B36F22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G、承包人应在每月25日前递交上月工程进度款《资金使用反馈表》，由发包人工程师核实确认资金落实情况，保证承包人应将工程进度款专用于实施本合同工程所需的材料及人工费用、施工机械、工程设备。</w:t>
      </w:r>
    </w:p>
    <w:p w14:paraId="2503593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H、承包人应在每月25日前向发包人提交对各专业间的组织管理、协调、配合等方面情况及所出现问题的专项报告。</w:t>
      </w:r>
    </w:p>
    <w:p w14:paraId="54AC90C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（2）所述的计划、报表的具体格式，先由承包人提出格式建议，经发包人单位和发包人调整后按统一格式执行。</w:t>
      </w:r>
    </w:p>
    <w:p w14:paraId="45B7963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（3）根据工程需要，承包人提供和维修白天或夜间施工使用的照明、围栏设施，并负责安全保卫。若承包人未履行上述义务造成工程、财产、人身损害等，由承包人承担责任及因此所发生的一切费用。</w:t>
      </w:r>
    </w:p>
    <w:p w14:paraId="17491CB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承包人负责的施工场地管理，承担应负责的一切安全保卫义务，要求符合广州市建设主管部门最新的管理规定。</w:t>
      </w:r>
    </w:p>
    <w:p w14:paraId="31252BA5">
      <w:pPr>
        <w:autoSpaceDE w:val="0"/>
        <w:autoSpaceDN w:val="0"/>
        <w:adjustRightInd w:val="0"/>
        <w:spacing w:before="20" w:line="360" w:lineRule="auto"/>
        <w:ind w:right="11" w:firstLine="480"/>
        <w:rPr>
          <w:rFonts w:hint="eastAsia" w:ascii="宋体" w:hAnsi="宋体" w:eastAsia="宋体" w:cs="宋体"/>
          <w:i/>
          <w:iCs/>
          <w:color w:val="auto"/>
          <w:sz w:val="24"/>
          <w:highlight w:val="none"/>
          <w:lang w:val="zh-CN"/>
        </w:rPr>
      </w:pPr>
      <w:r>
        <w:rPr>
          <w:rFonts w:hint="eastAsia" w:ascii="宋体" w:hAnsi="宋体" w:eastAsia="宋体" w:cs="宋体"/>
          <w:color w:val="auto"/>
          <w:sz w:val="24"/>
          <w:highlight w:val="none"/>
          <w:lang w:val="zh-CN"/>
        </w:rPr>
        <w:t>（4）需承包人办理的有关场地交通、环卫和施工噪音管理等手续：按工程所在地政府的规定办理并承担由此发生的费用，并在开工后2个月内以书面形式知会发包人。</w:t>
      </w:r>
    </w:p>
    <w:p w14:paraId="5FAA3631">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（5）已完工程成品保护的特殊要求及费用承担：未交付发包人使用前，对自行施工的已完工工程的保护工作及费用均由承包人负责，发生损坏由承包人自费修复；交付发包人使用后</w:t>
      </w:r>
      <w:r>
        <w:rPr>
          <w:rFonts w:hint="eastAsia" w:ascii="宋体" w:hAnsi="宋体" w:eastAsia="宋体" w:cs="宋体"/>
          <w:color w:val="auto"/>
          <w:sz w:val="24"/>
          <w:highlight w:val="none"/>
        </w:rPr>
        <w:t>，提供2年质保服务，具体</w:t>
      </w:r>
      <w:r>
        <w:rPr>
          <w:rFonts w:hint="eastAsia" w:ascii="宋体" w:hAnsi="宋体" w:eastAsia="宋体" w:cs="宋体"/>
          <w:color w:val="auto"/>
          <w:sz w:val="24"/>
          <w:highlight w:val="none"/>
          <w:lang w:val="zh-CN"/>
        </w:rPr>
        <w:t>按《质量保修书》（附件二）有关规定执行。</w:t>
      </w:r>
    </w:p>
    <w:p w14:paraId="059D8DE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施工场地清洁卫生的要求：承包人须按发包人批准的施工组织设计进行施工现场布置、放置材料机械及其他设施，及时将施工垃圾、余泥运出场外，达到省、市文明施工样板工地标准，保证施工场地清洁符合环境卫生管理的有关规定。</w:t>
      </w:r>
    </w:p>
    <w:p w14:paraId="5EFE0A5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交工前清理现场要求：工程竣工验收后10天内，承包人应对自身施工范围内场所进行清洁、清理。</w:t>
      </w:r>
    </w:p>
    <w:p w14:paraId="7A055934">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承包人应按本合同的相关规定，在计划、工期、质量、安全、现场文明施工等方面服从土建总承包单位的管理，对各专业单位进行协调及配合，为各专业工程及甲供设备实施专业管理及配合服务。在实施过程中，必须服从发包人的统一协调管理。</w:t>
      </w:r>
    </w:p>
    <w:p w14:paraId="65E31C0E">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（8）承包人应做的其他工作：</w:t>
      </w:r>
    </w:p>
    <w:p w14:paraId="1792443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8.1）保证执行投标文件所承诺的施工组织设计中的资源投入计划，将工程施工所需的机械设备、人员、材料等资源，根据工程进度计划按时、按标准、足额投入。否则，按《合同专用条款》第49.3条规定接受违反投标承诺的处罚。</w:t>
      </w:r>
    </w:p>
    <w:p w14:paraId="5E66118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含分部、分项工程）开工前，承包人必须在施工组织设计中编制资源投入计划，报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14:paraId="326B0801">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施工过程中，承包人因特殊原因需变更资源投入计划或者对已投入的资源进行调整的，应当提前7天提出申请，报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14:paraId="7110EC5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因设计变更、施工现场情况变化造成工程内容、工程量变化，须调整机械、设备的规格、数量的，承包人须在变更或变化确定后3天内，提出完整的更新施工方案和资源投入计划，报发包人批准后实施。</w:t>
      </w:r>
    </w:p>
    <w:p w14:paraId="3A63366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承包人擅自变更资源投入计划或者对已投入的资源进行调整的，参照《合同专用条款》第7.4款的规定承担违约责任，并按《合同专用条款》第49.3条规定承担违约责任。</w:t>
      </w:r>
    </w:p>
    <w:p w14:paraId="642314B4">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（8.2）严格遵守国家、省、市有关防火、爆破和施工安全以及文明施工、夜间施工、环卫和城管等规定，建立规章制度和防护措施，并承担由于自身措施不力造成事故的责任和发生的费用。</w:t>
      </w:r>
    </w:p>
    <w:p w14:paraId="7CC4155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（8.3）对施工图、技术资料认真地复核和检查，有预见性的发现和指正设计缺陷和错误，应提出能实质性地节约资金和缩短工期的建议和措施。</w:t>
      </w:r>
    </w:p>
    <w:p w14:paraId="45E1015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8.4）承包人在施工过程中必须投入专门的人力、物力，与土建总承包管理单位进行总体进度计划的配合和协调管理，对各系统的施工深化图纸内容进行督促、管理和会签，不得因设计问题而影响总体进度计划的完成。由于承包人管理及协调不力或未能及时处理可能出现的问题，而导致自身造成损失，发生的所有相关费用由承包人自行承担。</w:t>
      </w:r>
    </w:p>
    <w:p w14:paraId="5F374F32">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8.5）工人的意外事故或伤害。对于承包人或其分包人所雇用的工人出现的伤亡事故或损失，应由承包人自行负责（但由于发包人的行为失误所造成的除外）。对于这类伤亡或损失，发包人不负责任，不负担涉及这类伤亡或损失的索赔、诉讼、损害赔偿及其它费用。对分包单位出现的工人意外事故或伤害，由于分包单位原因造成的，承包人同样需承担连带责任。</w:t>
      </w:r>
    </w:p>
    <w:p w14:paraId="4BC6A355">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（8.6）干扰与协调</w:t>
      </w:r>
    </w:p>
    <w:p w14:paraId="315D2CCC">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（8.6.1）承包人应当清楚地预计到施工期间对外界可能产生的必需的不可能避免的干扰，并为此保证主动努力减少这些干扰对外界的影响，且应当积极主动与外界进行协调。</w:t>
      </w:r>
    </w:p>
    <w:p w14:paraId="51922C53">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（8.6.2）除必须发包人出面的情况外，承包人应负责协调施工期间外界的各种干扰。</w:t>
      </w:r>
    </w:p>
    <w:p w14:paraId="70C0E440">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（8.6.3）发包人将在承包人的配合下，充分运用自己对各方面的影响力，尽可能地将外界对工程的干扰减少到最少程度。这种协调并不解除承包人的各项责任与义务。</w:t>
      </w:r>
    </w:p>
    <w:p w14:paraId="3CB2DA2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9.3 根据工程需要，承包人应采用计算机信息管理技术建立相应的信息技术网络，以便与各有关单位及各专业分包单位进行数据交换，提高工作效率。承包人应负责将网络终端接至发包人及各专业分包单位。上述所发生的费用，由承包人承担，另外施工总承包单位已在现场办公区建立OA办公系统，承包人必须按施工总承包单位要求在此OA办公系统中进行信息交流。</w:t>
      </w:r>
    </w:p>
    <w:p w14:paraId="59E39F59">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9.4 承包人应在合同签订的同时，与发包人签订《反商业贿赂合同》（附件四）。</w:t>
      </w:r>
    </w:p>
    <w:p w14:paraId="74C0A750">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9.5承包人项目管理机构中各级管理人员和所使用的机械设备的标准与数量不得低于其投标文件的标准与数量，否则，视为违约，并按《合同专用条款》第37条违约的相应条款处罚，并按《合同专用条款》第49.3条规定承担违约责任。</w:t>
      </w:r>
    </w:p>
    <w:p w14:paraId="621E66DA">
      <w:pPr>
        <w:adjustRightInd w:val="0"/>
        <w:snapToGrid w:val="0"/>
        <w:spacing w:line="360" w:lineRule="auto"/>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9.6</w:t>
      </w:r>
      <w:r>
        <w:rPr>
          <w:rFonts w:hint="eastAsia" w:ascii="宋体" w:hAnsi="宋体" w:eastAsia="宋体" w:cs="宋体"/>
          <w:snapToGrid w:val="0"/>
          <w:color w:val="auto"/>
          <w:kern w:val="0"/>
          <w:sz w:val="24"/>
          <w:highlight w:val="none"/>
        </w:rPr>
        <w:t>实行平安卡管理制度</w:t>
      </w:r>
    </w:p>
    <w:p w14:paraId="1EDA8EEC">
      <w:pPr>
        <w:adjustRightInd w:val="0"/>
        <w:snapToGrid w:val="0"/>
        <w:spacing w:line="360" w:lineRule="auto"/>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1）承包人应按广州市的有关规定，对其参与本合同工程建设的所有管理人员和作业人员（包括农民工）实行平安卡管理制度，上岗时一律佩带平安卡。</w:t>
      </w:r>
      <w:r>
        <w:rPr>
          <w:rFonts w:hint="eastAsia" w:ascii="宋体" w:hAnsi="宋体" w:eastAsia="宋体" w:cs="宋体"/>
          <w:color w:val="auto"/>
          <w:sz w:val="24"/>
          <w:highlight w:val="none"/>
          <w:lang w:val="zh-CN"/>
        </w:rPr>
        <w:t>发生的所有相关费用由承包人自行承担。</w:t>
      </w:r>
    </w:p>
    <w:p w14:paraId="6E9A41B7">
      <w:pPr>
        <w:adjustRightInd w:val="0"/>
        <w:snapToGrid w:val="0"/>
        <w:spacing w:line="360" w:lineRule="auto"/>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2）承包人应按广州市的有关规定牵头负责其总承包管理范围内所有专业单位和分包单位实行平安卡管理制度的工作并予以落实。</w:t>
      </w:r>
    </w:p>
    <w:p w14:paraId="73F440A7">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snapToGrid w:val="0"/>
          <w:color w:val="auto"/>
          <w:kern w:val="0"/>
          <w:sz w:val="24"/>
          <w:highlight w:val="none"/>
        </w:rPr>
        <w:t>3）发包人将不定期抽查承包人及其所管辖的专业单位和分包单位实行平安卡管理制度的情况，如发现违反本合同有关约定的，由承包人按本</w:t>
      </w:r>
      <w:r>
        <w:rPr>
          <w:rFonts w:hint="eastAsia" w:ascii="宋体" w:hAnsi="宋体" w:eastAsia="宋体" w:cs="宋体"/>
          <w:bCs/>
          <w:snapToGrid w:val="0"/>
          <w:color w:val="auto"/>
          <w:kern w:val="0"/>
          <w:sz w:val="24"/>
          <w:highlight w:val="none"/>
        </w:rPr>
        <w:t>合同专用条款第37.2条款</w:t>
      </w:r>
      <w:r>
        <w:rPr>
          <w:rFonts w:hint="eastAsia" w:ascii="宋体" w:hAnsi="宋体" w:eastAsia="宋体" w:cs="宋体"/>
          <w:snapToGrid w:val="0"/>
          <w:color w:val="auto"/>
          <w:kern w:val="0"/>
          <w:sz w:val="24"/>
          <w:highlight w:val="none"/>
        </w:rPr>
        <w:t>的约定承担违约责任。如发现有冒名顶替或人不到场而代为刷卡等弄虚作假现象的，由承包人按本</w:t>
      </w:r>
      <w:r>
        <w:rPr>
          <w:rFonts w:hint="eastAsia" w:ascii="宋体" w:hAnsi="宋体" w:eastAsia="宋体" w:cs="宋体"/>
          <w:bCs/>
          <w:snapToGrid w:val="0"/>
          <w:color w:val="auto"/>
          <w:kern w:val="0"/>
          <w:sz w:val="24"/>
          <w:highlight w:val="none"/>
        </w:rPr>
        <w:t>合同专用条款第37.2条款</w:t>
      </w:r>
      <w:r>
        <w:rPr>
          <w:rFonts w:hint="eastAsia" w:ascii="宋体" w:hAnsi="宋体" w:eastAsia="宋体" w:cs="宋体"/>
          <w:snapToGrid w:val="0"/>
          <w:color w:val="auto"/>
          <w:kern w:val="0"/>
          <w:sz w:val="24"/>
          <w:highlight w:val="none"/>
        </w:rPr>
        <w:t>的约定承担违约责任。</w:t>
      </w:r>
    </w:p>
    <w:p w14:paraId="50247CDB">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9.7民工工资的支付</w:t>
      </w:r>
    </w:p>
    <w:p w14:paraId="123207AF">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（1）承包人应当根据劳动合同约定的民工工资标准等内容，按照依法签订的集体合同或劳动合同约定的日期按月支付工资，并不得低于当地最低工资标准。</w:t>
      </w:r>
    </w:p>
    <w:p w14:paraId="62CC8F15">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（2）承包人支付民工工资应编制工资支付表，如实记录支付表，支付时间、支付对象、支付数额等工资支付情况，并保存备查。</w:t>
      </w:r>
    </w:p>
    <w:p w14:paraId="0EFB808A">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（3）承包人应对其专业分包或劳务分包单位工资支付进行监督，督促其依法支付民工工资。</w:t>
      </w:r>
    </w:p>
    <w:p w14:paraId="1B565194">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（4）承包人应按上述要求及国家、地方有关规定按时支付民工工资，否则，视为违约，并按《合同专用条款》第37.2.11款的约定承担违约责任。</w:t>
      </w:r>
    </w:p>
    <w:p w14:paraId="2CB2802C">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9.8医用洁净系统设备使用及维护的免费培训工作。</w:t>
      </w:r>
    </w:p>
    <w:p w14:paraId="1310C4B9">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乙方无偿培训甲方使用及维修人员，主要内容为设备的基本结构、性能、主要部件的构造、使用及修理，日常使用保养与管理，常见故障的排除，紧急情况的处理等，培训地点主要在设备安装现场或按甲方安排。</w:t>
      </w:r>
    </w:p>
    <w:p w14:paraId="420F7A30">
      <w:pPr>
        <w:autoSpaceDE w:val="0"/>
        <w:autoSpaceDN w:val="0"/>
        <w:adjustRightInd w:val="0"/>
        <w:spacing w:before="20" w:line="360" w:lineRule="auto"/>
        <w:ind w:right="11" w:firstLine="420"/>
        <w:rPr>
          <w:rFonts w:hint="eastAsia" w:ascii="宋体" w:hAnsi="宋体" w:eastAsia="宋体" w:cs="宋体"/>
          <w:color w:val="auto"/>
          <w:kern w:val="0"/>
          <w:sz w:val="24"/>
          <w:highlight w:val="none"/>
          <w:lang w:val="zh-CN"/>
        </w:rPr>
      </w:pPr>
    </w:p>
    <w:p w14:paraId="3EA83208">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三、施工组织设计和工期</w:t>
      </w:r>
    </w:p>
    <w:p w14:paraId="0F77844D">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10、进度计划</w:t>
      </w:r>
    </w:p>
    <w:p w14:paraId="21560CE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10.1  计划的提交和确认</w:t>
      </w:r>
    </w:p>
    <w:p w14:paraId="06EE8D0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10.1.1  承包人应于接到中标通知书后4天内向发包人提交总体及各分项工程进度计划（网络计划）和材料的使用计划，于接到中标通知书10天内提交总体及各分项施工组织设计（施工方案）给发包人。</w:t>
      </w:r>
    </w:p>
    <w:p w14:paraId="37D508F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承包人提交的施工组织设计应当载明如下内容（包括但不限于）：</w:t>
      </w:r>
    </w:p>
    <w:p w14:paraId="24236B74">
      <w:pPr>
        <w:autoSpaceDE w:val="0"/>
        <w:autoSpaceDN w:val="0"/>
        <w:adjustRightInd w:val="0"/>
        <w:spacing w:before="20" w:line="360" w:lineRule="auto"/>
        <w:ind w:firstLine="1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（1）各分部分项工程的完整的施工方案和施工组织设计，包括：</w:t>
      </w:r>
    </w:p>
    <w:p w14:paraId="696D51F3">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①主要分项工程的施工方案、施工方法和工艺；</w:t>
      </w:r>
    </w:p>
    <w:p w14:paraId="1EFB1FBC">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②质量、安全生产目标及保证体系和保证措施；</w:t>
      </w:r>
    </w:p>
    <w:p w14:paraId="024686B2">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③文明施工管理方案；</w:t>
      </w:r>
    </w:p>
    <w:p w14:paraId="06FD1C25">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④工程施工管理方案。</w:t>
      </w:r>
    </w:p>
    <w:p w14:paraId="3B225667">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⑤纳入土建施工单位的总承包管理及专业工程配合服务方案。</w:t>
      </w:r>
    </w:p>
    <w:p w14:paraId="4A564C6C">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⑥与对应的土建、机电安装、精装修等专业单位的交叉施工与协调管理工作措施。</w:t>
      </w:r>
    </w:p>
    <w:p w14:paraId="63FE18A9">
      <w:pPr>
        <w:tabs>
          <w:tab w:val="left" w:pos="0"/>
        </w:tabs>
        <w:autoSpaceDE w:val="0"/>
        <w:autoSpaceDN w:val="0"/>
        <w:adjustRightInd w:val="0"/>
        <w:spacing w:before="20" w:line="360" w:lineRule="auto"/>
        <w:ind w:left="787" w:right="-100" w:hanging="240"/>
        <w:rPr>
          <w:rFonts w:hint="eastAsia" w:ascii="宋体" w:hAnsi="宋体" w:eastAsia="宋体" w:cs="宋体"/>
          <w:color w:val="auto"/>
          <w:sz w:val="24"/>
          <w:highlight w:val="none"/>
          <w:lang w:val="zh-CN"/>
        </w:rPr>
      </w:pPr>
    </w:p>
    <w:p w14:paraId="0753A0E9">
      <w:pPr>
        <w:autoSpaceDE w:val="0"/>
        <w:autoSpaceDN w:val="0"/>
        <w:adjustRightInd w:val="0"/>
        <w:spacing w:before="20" w:line="360" w:lineRule="auto"/>
        <w:ind w:firstLine="1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（2）施工资源投入计划，包括：机械设备进场计划、设备材料和物料进场计划、施工人员进场计划等；</w:t>
      </w:r>
    </w:p>
    <w:p w14:paraId="143460AB">
      <w:pPr>
        <w:autoSpaceDE w:val="0"/>
        <w:autoSpaceDN w:val="0"/>
        <w:adjustRightInd w:val="0"/>
        <w:spacing w:before="20" w:line="360" w:lineRule="auto"/>
        <w:ind w:firstLine="1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（3）保证工期、质量的措施；</w:t>
      </w:r>
    </w:p>
    <w:p w14:paraId="5796127C">
      <w:pPr>
        <w:autoSpaceDE w:val="0"/>
        <w:autoSpaceDN w:val="0"/>
        <w:adjustRightInd w:val="0"/>
        <w:spacing w:before="20" w:line="360" w:lineRule="auto"/>
        <w:ind w:firstLine="180"/>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 xml:space="preserve">（4）保证安全生产，文明施工，减少扰民降低环境污染和噪音的措施； </w:t>
      </w:r>
    </w:p>
    <w:p w14:paraId="0777E546">
      <w:pPr>
        <w:autoSpaceDE w:val="0"/>
        <w:autoSpaceDN w:val="0"/>
        <w:adjustRightInd w:val="0"/>
        <w:spacing w:before="20" w:line="360" w:lineRule="auto"/>
        <w:ind w:firstLine="1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（5）妥善处理与相邻施工地作业现场关系的措施；</w:t>
      </w:r>
    </w:p>
    <w:p w14:paraId="0B75BA80">
      <w:pPr>
        <w:autoSpaceDE w:val="0"/>
        <w:autoSpaceDN w:val="0"/>
        <w:adjustRightInd w:val="0"/>
        <w:spacing w:before="20" w:line="360" w:lineRule="auto"/>
        <w:ind w:firstLine="1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（6）其他与工程施工有关的管理方案、措施。</w:t>
      </w:r>
    </w:p>
    <w:p w14:paraId="68A7CF1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承包人编制的工程进度计划内容应全面详实，且应针对工程的全部或分项施工作业和特点提出施工方法、施工穿插顺序及时间安排，并在各节点位置标注相应的工程量、资金使用计划、人机组织及材料消耗量。</w:t>
      </w:r>
    </w:p>
    <w:p w14:paraId="04102F9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10.1.2  发包人在接到承包人提交的施工组织设计和工程进度计划后7天内予以确认或提出修改意见。</w:t>
      </w:r>
    </w:p>
    <w:p w14:paraId="7CF51A13">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10.2承包人须督促分包人进场后7天内提交其专业工程施工方案及施工计划，并根据自身施工组织设计及各相关专业分包单位协调配合问题等提出审核意见，由分包人在14天内加以优化再报承包人整合后上报发包人批准执行。</w:t>
      </w:r>
    </w:p>
    <w:p w14:paraId="54B8434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10.3  计划的执行</w:t>
      </w:r>
    </w:p>
    <w:p w14:paraId="27C4F9C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10.3.1  承包人应当加强计划管理，严格按照总发包人确认的工程进度计划组织施工，并接受发包人对工程进度的检查、监督。</w:t>
      </w:r>
    </w:p>
    <w:p w14:paraId="65D97C1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10.3.2  为便于发包人掌握和控制工期，承包人应于每月底向发包人填报各单体工程（含各分部、分项工程及专业分包工程）的当月进度计划完成情况（没完成计划的必须说明原因），并在此基础上更新工程进度计划资金计划和其它工作计划。总发包人在接到报告后应当予以确认或提出书面意见，承包人必须按照发包人的确认或者书面意见执行。</w:t>
      </w:r>
    </w:p>
    <w:p w14:paraId="52E2053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10.3.3  工程实际进度与经发包人确认的进度计划或者更新进度计划不符时，发包人认为本工程或其中任何部分工程进度滞后而不能按预定工期完工，则应将此情况通知承包人，承包人应据此编制修改工程进度计划，采取发包人同意的必要措施加快工程进度，属承包人原因，则承包人无权要求发包人支付任何附加费用。如承包人未能在发包人发布指令后10天内采取有效措施，工程进度仍然无明显改进，按37.2.4款（3）项执行，发包人有权部分或全部解除合同，将未完工程另行发包或者划拨给其他有能力的承包人，承包人必须无条件服从，由此所造成的损失全部由承包人承担，并不免除承包人的违约赔偿责任。有关部分或全部解除合同的实施办法按第46条的约定执行。</w:t>
      </w:r>
    </w:p>
    <w:p w14:paraId="1F445EAC">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11、开工及延期开工</w:t>
      </w:r>
    </w:p>
    <w:p w14:paraId="5D33A00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  开工日期和竣工日期</w:t>
      </w:r>
    </w:p>
    <w:p w14:paraId="1A1FC20C">
      <w:pPr>
        <w:autoSpaceDE w:val="0"/>
        <w:autoSpaceDN w:val="0"/>
        <w:adjustRightInd w:val="0"/>
        <w:spacing w:before="20" w:line="360" w:lineRule="auto"/>
        <w:ind w:left="240" w:right="11" w:firstLine="22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11.1.1  暂定开工日期20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日，具体以开工报告为准，总工期为</w:t>
      </w:r>
      <w:r>
        <w:rPr>
          <w:rFonts w:hint="eastAsia" w:ascii="宋体" w:hAnsi="宋体" w:eastAsia="宋体" w:cs="宋体"/>
          <w:color w:val="auto"/>
          <w:sz w:val="24"/>
          <w:highlight w:val="none"/>
          <w:lang w:val="en-US" w:eastAsia="zh-CN"/>
        </w:rPr>
        <w:t>120</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zh-CN"/>
        </w:rPr>
        <w:t>历日。</w:t>
      </w:r>
    </w:p>
    <w:p w14:paraId="0D8A6C1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11.1.2  承包人必须采取一切有效措施保证竣工日期，不得延误。除非发生了以下情形：</w:t>
      </w:r>
    </w:p>
    <w:p w14:paraId="6333ED09">
      <w:pPr>
        <w:numPr>
          <w:ilvl w:val="0"/>
          <w:numId w:val="6"/>
        </w:numPr>
        <w:autoSpaceDE w:val="0"/>
        <w:autoSpaceDN w:val="0"/>
        <w:adjustRightInd w:val="0"/>
        <w:spacing w:line="360" w:lineRule="auto"/>
        <w:ind w:left="425" w:right="11" w:hanging="42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政府对本工程建设项目作出停建、缓建的决定；</w:t>
      </w:r>
    </w:p>
    <w:p w14:paraId="16B21CB0">
      <w:pPr>
        <w:numPr>
          <w:ilvl w:val="0"/>
          <w:numId w:val="6"/>
        </w:numPr>
        <w:autoSpaceDE w:val="0"/>
        <w:autoSpaceDN w:val="0"/>
        <w:adjustRightInd w:val="0"/>
        <w:spacing w:line="360" w:lineRule="auto"/>
        <w:ind w:left="425" w:right="11" w:hanging="42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重大设计变更导致本工程在规划、使用、功能方面有重大调整；</w:t>
      </w:r>
    </w:p>
    <w:p w14:paraId="3CF9771A">
      <w:pPr>
        <w:numPr>
          <w:ilvl w:val="0"/>
          <w:numId w:val="6"/>
        </w:numPr>
        <w:autoSpaceDE w:val="0"/>
        <w:autoSpaceDN w:val="0"/>
        <w:adjustRightInd w:val="0"/>
        <w:spacing w:line="360" w:lineRule="auto"/>
        <w:ind w:left="425" w:right="11" w:hanging="42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不可抗力持续影响而延误工期超过30天以上。</w:t>
      </w:r>
    </w:p>
    <w:p w14:paraId="7A1D455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  延期开工</w:t>
      </w:r>
    </w:p>
    <w:p w14:paraId="18C6755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11.2.1  承包人必须提前进入施工场地，做好施工准备工作，按照约定的开工日期开工。在工程已具备开工条件，但因承包人自身的原因（包括但不限于项目经理及现场管理机构尚未到位）而无法实际开工的，经发包人书面同意，发包人可以签发开工令，工期开始正式计算，但现场不允许开工；再由发包人发出停工令，待承包人准备妥当后才批准复工。由此产生的工期延误等损失由承包人承担，并按照第37.2.4款（3）项的约定承担违约责任。</w:t>
      </w:r>
    </w:p>
    <w:p w14:paraId="32D3810C">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12、暂停施工</w:t>
      </w:r>
    </w:p>
    <w:p w14:paraId="230EAB8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12.1因下列原因，总发包人报经发包人同意，可通知承包人暂停施工：</w:t>
      </w:r>
    </w:p>
    <w:p w14:paraId="2C4DBC43">
      <w:pPr>
        <w:numPr>
          <w:ilvl w:val="1"/>
          <w:numId w:val="7"/>
        </w:num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工程设计发生重大变更；</w:t>
      </w:r>
    </w:p>
    <w:p w14:paraId="769A2672">
      <w:pPr>
        <w:numPr>
          <w:ilvl w:val="1"/>
          <w:numId w:val="7"/>
        </w:num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不可抗力；</w:t>
      </w:r>
    </w:p>
    <w:p w14:paraId="5B30DC3F">
      <w:pPr>
        <w:numPr>
          <w:ilvl w:val="1"/>
          <w:numId w:val="7"/>
        </w:num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质量事故；</w:t>
      </w:r>
    </w:p>
    <w:p w14:paraId="7FA72CA4">
      <w:pPr>
        <w:numPr>
          <w:ilvl w:val="1"/>
          <w:numId w:val="7"/>
        </w:num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安全生产事故；</w:t>
      </w:r>
    </w:p>
    <w:p w14:paraId="7B5DD9AF">
      <w:pPr>
        <w:numPr>
          <w:ilvl w:val="1"/>
          <w:numId w:val="7"/>
        </w:num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严重影响医院正常医疗工作。</w:t>
      </w:r>
    </w:p>
    <w:p w14:paraId="1975D13E">
      <w:pPr>
        <w:numPr>
          <w:ilvl w:val="1"/>
          <w:numId w:val="7"/>
        </w:numPr>
        <w:autoSpaceDE w:val="0"/>
        <w:autoSpaceDN w:val="0"/>
        <w:adjustRightIn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承包人材料供应发生重大变故。</w:t>
      </w:r>
    </w:p>
    <w:p w14:paraId="2DD307C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承包人不得以与发包人有争议或争议未解决为由而单方面停工。否则，按照第37.2.4款（2）项约定承担违约责任。</w:t>
      </w:r>
    </w:p>
    <w:p w14:paraId="611221A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因发生上述第1）、2）项原因而暂停施工，工期调整适用第11.1.2款、第13.1款、第13.2款的约定，因发生上述第3）、4）、5）项原因而暂停施工，工期不予顺延,承包人必须承担由此发生的费用并分别按第37.2.5款、</w:t>
      </w:r>
      <w:bookmarkStart w:id="30" w:name="OLE_LINK1"/>
      <w:r>
        <w:rPr>
          <w:rFonts w:hint="eastAsia" w:ascii="宋体" w:hAnsi="宋体" w:eastAsia="宋体" w:cs="宋体"/>
          <w:color w:val="auto"/>
          <w:sz w:val="24"/>
          <w:highlight w:val="none"/>
          <w:lang w:val="zh-CN"/>
        </w:rPr>
        <w:t>第37.2.6款</w:t>
      </w:r>
      <w:bookmarkEnd w:id="30"/>
      <w:r>
        <w:rPr>
          <w:rFonts w:hint="eastAsia" w:ascii="宋体" w:hAnsi="宋体" w:eastAsia="宋体" w:cs="宋体"/>
          <w:color w:val="auto"/>
          <w:sz w:val="24"/>
          <w:highlight w:val="none"/>
          <w:lang w:val="zh-CN"/>
        </w:rPr>
        <w:t>、第37.2.</w:t>
      </w: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款、第37.2.5款（1）项向发包人承担违约责任。</w:t>
      </w:r>
    </w:p>
    <w:p w14:paraId="72455B6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12.2为了保证工程质量安全，凡出现下列情况之一（不限于此）的，总发包人有权下达停工令，责令承包人停工整改，由此造成的损失由承包人自行负责，造成工期延误的承包人按第37.2.4款的约定承担违约责任。</w:t>
      </w:r>
    </w:p>
    <w:p w14:paraId="610F134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(1)拒绝发包人管理；</w:t>
      </w:r>
    </w:p>
    <w:p w14:paraId="19C020E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(2)施工组织设计（方案）未获发包人批准而进行施工；</w:t>
      </w:r>
    </w:p>
    <w:p w14:paraId="14D00FD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(3)未经发包人检验而进行下一道工序作业者；</w:t>
      </w:r>
    </w:p>
    <w:p w14:paraId="6615F3B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(4)擅自采用未经发包人认可或批准的材料的，或者使用的原材料、构配件不合格或未经检查确认的，或者擅自采用未经认可的代用材料的；</w:t>
      </w:r>
    </w:p>
    <w:p w14:paraId="6762ABB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(5)擅自变更设计图纸的要求；</w:t>
      </w:r>
    </w:p>
    <w:p w14:paraId="552C056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(6)转包工程；</w:t>
      </w:r>
    </w:p>
    <w:p w14:paraId="16B63B7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(7)擅自让未经发包人批准的分包单位进场作业；</w:t>
      </w:r>
    </w:p>
    <w:p w14:paraId="7DE9ADC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(8)存在安全隐患，未按发包人要求及时进行整改；</w:t>
      </w:r>
    </w:p>
    <w:p w14:paraId="69B25EB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(9)未按双方约定的资料上报要求上报所需资料的。</w:t>
      </w:r>
    </w:p>
    <w:p w14:paraId="57D829B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12.3因不可抗力引起工程停工，工期按第11.1.2款（3）项执行，费用承担按以下原则：</w:t>
      </w:r>
    </w:p>
    <w:p w14:paraId="3477BDB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(1)工程本身的损害及因工程损害导致第三方人员伤亡和财产损失，由发包人承担；</w:t>
      </w:r>
    </w:p>
    <w:p w14:paraId="3FA3E9B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(2)发包人、承包人人员伤亡由其所在单位负责，并承担相应费用；</w:t>
      </w:r>
    </w:p>
    <w:p w14:paraId="1DC1E69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(3)承包人机械设备损坏及停工损失，由承包人承担；</w:t>
      </w:r>
    </w:p>
    <w:p w14:paraId="2AD19C7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(4)停工期间，承包人应发包人的要求留在施工场地的必要管理人员及保卫人员的费用由承包人承担；</w:t>
      </w:r>
    </w:p>
    <w:p w14:paraId="5024C40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(5)工程所需清理、修复费用由承包人承担。</w:t>
      </w:r>
    </w:p>
    <w:p w14:paraId="77CAD52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12.4由于政府部门举行特殊活动引起的停工的，因停工产生的费用由承包人承担；</w:t>
      </w:r>
    </w:p>
    <w:p w14:paraId="6B88A60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12.5由于承包人自身原因或施工专业管理服务及协调不力，而导致专业工程停工，产生的费用由承包人承担。</w:t>
      </w:r>
    </w:p>
    <w:p w14:paraId="0821AFD8">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13、工期延误</w:t>
      </w:r>
    </w:p>
    <w:p w14:paraId="5937FB5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13.1  工期控制与调整</w:t>
      </w:r>
    </w:p>
    <w:p w14:paraId="736BFFA0">
      <w:pPr>
        <w:autoSpaceDE w:val="0"/>
        <w:autoSpaceDN w:val="0"/>
        <w:adjustRightInd w:val="0"/>
        <w:spacing w:before="2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13.1.1  本工程工期划分为关键节点工期和一般节点工期二类控制。根据广东省中医院大德路总院污水处理系统更新改造项目工期网络计划安排，承包人必须在施工组织设计文件中分专业详细区分和列明本工程总体及各单项工程的关键节点工期和一般节点工期，并报经发包人批准后实施。</w:t>
      </w:r>
    </w:p>
    <w:p w14:paraId="1FA145B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13.1.2  工期调整的原则是：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w:t>
      </w:r>
    </w:p>
    <w:p w14:paraId="44A4386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在特殊情况下，关键节点工期确需调整的，承包人必须重新编制总工期控制计划和关键节点工期调整计划并报请发包人审核。经发包人审核，确认承包人编制的关键节点工期调整计划已十分完备，且已采取了合理的赶工措施足以确保工程按期竣工的，应当同意工期调整。承包人必须在发包人批准其调整计划后3天内，将调整后的总工期控制计划和关键节点工期调整计划按合同份数送各方作为合同附件存档。</w:t>
      </w:r>
    </w:p>
    <w:p w14:paraId="04500AD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13.2  工期延误的原因及其处理</w:t>
      </w:r>
    </w:p>
    <w:p w14:paraId="598FFF5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13.2.1  非承包人原因造成的工期延误，是指有确凿证据证实因下列原因而直接造成承包人的原定工期计划延误：</w:t>
      </w:r>
    </w:p>
    <w:p w14:paraId="7BEF8C0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（1）不可抗力；</w:t>
      </w:r>
    </w:p>
    <w:p w14:paraId="334668F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（2）工程设计有重大变更或重大失误；</w:t>
      </w:r>
    </w:p>
    <w:p w14:paraId="0B5354C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（3）发包人延期交付施工场地； </w:t>
      </w:r>
    </w:p>
    <w:p w14:paraId="533ED1B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（4）施工图纸供应时间影响工期进度，并经发包人确认的； </w:t>
      </w:r>
    </w:p>
    <w:p w14:paraId="332EB13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（5）发包人不按合同约定延迟支付工程款而影响工期进度，并经发包人确认的。</w:t>
      </w:r>
    </w:p>
    <w:p w14:paraId="6854259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（6）发包人其他违约行为造成工期延误。</w:t>
      </w:r>
    </w:p>
    <w:p w14:paraId="7A55A52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除上述原因之外，其他所有工期延误均为承包人原因造成的延误。</w:t>
      </w:r>
    </w:p>
    <w:p w14:paraId="6618A7C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13.2.2  因承包人原因造成的工期延误，工期一概不得顺延。承包人还应当按照第37.2.4款（3）项的约定承担违约责任。</w:t>
      </w:r>
    </w:p>
    <w:p w14:paraId="086B975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13.3非因承包人原因造成关键节点工期延误的，一次性延误10天以内（不含本数）的，工期不予顺延，由承包人采取措施自行消化；一次性延误10－20天（不含本数）的，工期可顺延5天，承包人应采取措施在下一个节点工期内消化；一次性延误20天（不含本数）的，工期可顺延10天，但承包人必须在总工期内采取措施消化被延误工期（此延误发生在最后一个节点工期内除外）。一次性延误工期超过30天，工期可以顺延。</w:t>
      </w:r>
    </w:p>
    <w:p w14:paraId="411BFD5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13.4对于非因承包人原因发生的工期延误，承包人应当在工期延误发生后7天内就延误的内容和因此发生的经济支出向发包人提出书面报告，逾期不报告，发包人不予确认；发包人代表在收到报告后10天内予以确认、签复。</w:t>
      </w:r>
    </w:p>
    <w:p w14:paraId="62EDFE5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7FF22FF2">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14、工程竣工</w:t>
      </w:r>
    </w:p>
    <w:p w14:paraId="58993FC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14.1  承包人必须按照合同协议书约定的竣工日期竣工。</w:t>
      </w:r>
    </w:p>
    <w:p w14:paraId="40B08014">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4E5E11B1">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四、质量与检验</w:t>
      </w:r>
    </w:p>
    <w:p w14:paraId="53EF54DF">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15、工程质量</w:t>
      </w:r>
    </w:p>
    <w:p w14:paraId="56B1CC61">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15.1.  工程质量标准</w:t>
      </w:r>
    </w:p>
    <w:p w14:paraId="1F1BFFF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15.1.1  本工程质量标准为：合格。</w:t>
      </w:r>
    </w:p>
    <w:p w14:paraId="43AEA38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15.1.2  工程质量未达到前款约定标准，且是因承包人原因造成的，承包人按照第37.2.5款（3）项约定向发包人承担违约责任。</w:t>
      </w:r>
    </w:p>
    <w:p w14:paraId="53627EB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15.1.3  承包人必须确保工程一次验收合格。因承包人原因致工程未一次验收合格并导致工程不能按计划工期办理竣工验收的，承包人按第37.2.4款（4）项承担违约责任。</w:t>
      </w:r>
    </w:p>
    <w:p w14:paraId="153812B0">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15.2  工程质量争议与鉴定</w:t>
      </w:r>
    </w:p>
    <w:p w14:paraId="02347241">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因质量问题而发生争议，由相关质检部门进行质量鉴定。符合质量标准的，鉴定费用由甲方承担；不符合质量标准的，鉴定费用由乙方承担</w:t>
      </w:r>
      <w:r>
        <w:rPr>
          <w:rFonts w:hint="eastAsia" w:ascii="宋体" w:hAnsi="宋体" w:eastAsia="宋体" w:cs="宋体"/>
          <w:color w:val="auto"/>
          <w:sz w:val="24"/>
          <w:highlight w:val="none"/>
          <w:lang w:val="zh-CN"/>
        </w:rPr>
        <w:t>。</w:t>
      </w:r>
    </w:p>
    <w:p w14:paraId="7F280DA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15.3  工程质量保证体系</w:t>
      </w:r>
    </w:p>
    <w:p w14:paraId="08B1B76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承包人应当完善质量管理制度，建立质量控制流程，进行全面质量管理（TQC），以2000版的GB/T19000《质量管理与质量保证》为标准，建立并保持一个健全的工程质量保证体系。为此，承包人必须做到但不限于：</w:t>
      </w:r>
    </w:p>
    <w:p w14:paraId="7B64A73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（1）建立完整的质量保证体系，委派专人负责工程质量管理，项目经理部、工区（段）设有专职质检人员，班组设质检员，于本合同签订后5天内将上述人员报发包人备查。</w:t>
      </w:r>
    </w:p>
    <w:p w14:paraId="6A89281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提交发包人批准的施工组织设计或者施工方案必须附有完备的工程质量保证措施，包括：工程质量预控措施，工序质量控制点，工程的标准工艺流程图和技术、组织措施，重点分部（项）工程的施工方法，材料、制品试件取样及试验的方法或方案，成品保护的措施和方法，质量报表和质量事故的报告制度等。</w:t>
      </w:r>
    </w:p>
    <w:p w14:paraId="6F9B671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（3）单项工程开工前，承包人必须对职工进行技术交底，组织学习有关规程、规范和工艺要求，在施工中必须按规程和工艺进行操作。</w:t>
      </w:r>
    </w:p>
    <w:p w14:paraId="1BF1A2B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单项工程和重要部位都必须遵循先试验后铺开施工的程序，开工前承包人应完成施工组织设计和必要的施工准备，送发包人审查批准后方可进行试验性施工，完工后由发包人检验，符合要求后才能铺开施工或者批量生产。</w:t>
      </w:r>
    </w:p>
    <w:p w14:paraId="37AD377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（5）执行材料试验制度和设备检验制度。必须设立工地实验室，配备足够的试验及检测仪器、仪表，并及时校正，保证其应有的精度。要加强质量自检，检测频率要高于规范要求。</w:t>
      </w:r>
    </w:p>
    <w:p w14:paraId="2F05512A">
      <w:pPr>
        <w:tabs>
          <w:tab w:val="left" w:pos="2160"/>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15.4在整个工程项目范围内，承包人自行分包出现工程质量问题，承包人按照第37.2.5款约定向发包人承担违约责任。另外承包人须对自身施工成品的质量负责，不能以任何原因（包括专业分包单位影响）为由拒绝按照第37.2.5款约定向发包人承担违约责任。</w:t>
      </w:r>
    </w:p>
    <w:p w14:paraId="35533592">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16、检查和返工</w:t>
      </w:r>
    </w:p>
    <w:p w14:paraId="01F83224">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16.5  对承包人采购的工程材料、设备及采用的工艺的查验。</w:t>
      </w:r>
    </w:p>
    <w:p w14:paraId="155B5FD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16.5.1  实施工程的一切材料、设备及工艺，都必须符合工程设计及技术标准、规范的要求，并应当在用于工程之前经过检验或试验，不合格的不得使用。承包人要建立检验、试验制度，随时按发包人的要求，在材料、设备的制造、加工，或制配地点，或施工场地进行检验或试验，并应提供一切正常需要的手段，在材料、设备及工艺用于工程之前提供样品、样件，按照发包人的选择和要求进行检验或试验。</w:t>
      </w:r>
    </w:p>
    <w:p w14:paraId="11D90CD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16.5.2  发包人有权在施工场地、库房以及为工程生产、加工、制配材料、设备的地点（无论这些地点是否属于承包人管辖）检查和检验按合同提供的材料、设备。承包人应为发包人的检查和检验提供一切便利，包括提供人员和设备、材料等。发包人的检查结果证明该材料、设备不符合合同要求的，必须拒绝这些材料、设备的使用，立即通知承包人并说明拒绝的理由。承包人在接到发包人通知后必须立即更换被拒绝的材料、设备。承包人拒不执行上述指令，则发包人有权雇佣他人实施，其费用及由此产生的其他费用由承包人承担，发包人可以从将要付给承包人的款项中收回，由发包人通知承包人并抄送发包人。期间所发生的费用由承包人承担。</w:t>
      </w:r>
    </w:p>
    <w:p w14:paraId="25DBD0E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发包人认为有必要的，有权对已检查、检验过的材料、设备进行重复检查、检验，承包人应遵照执行。重复检查、检验的程序和内容适用前款约定。</w:t>
      </w:r>
    </w:p>
    <w:p w14:paraId="7767E98B">
      <w:pPr>
        <w:autoSpaceDE w:val="0"/>
        <w:autoSpaceDN w:val="0"/>
        <w:adjustRightInd w:val="0"/>
        <w:spacing w:before="20" w:line="360" w:lineRule="auto"/>
        <w:ind w:firstLine="420"/>
        <w:rPr>
          <w:rFonts w:hint="eastAsia" w:ascii="宋体" w:hAnsi="宋体" w:eastAsia="宋体" w:cs="宋体"/>
          <w:i/>
          <w:iCs/>
          <w:color w:val="auto"/>
          <w:sz w:val="24"/>
          <w:highlight w:val="none"/>
          <w:lang w:val="zh-CN"/>
        </w:rPr>
      </w:pPr>
      <w:r>
        <w:rPr>
          <w:rFonts w:hint="eastAsia" w:ascii="宋体" w:hAnsi="宋体" w:eastAsia="宋体" w:cs="宋体"/>
          <w:color w:val="auto"/>
          <w:sz w:val="24"/>
          <w:highlight w:val="none"/>
          <w:lang w:val="zh-CN"/>
        </w:rPr>
        <w:t>16.5.3  在施工过程中，发包人有权随时对工程材料、设备的使用进行抽查，包括成品、半成品、器具、设备、附件、小五金等。抽查范围、比例、数量、批次及检查深度可比照国家现行施工质量验收规范和相关规定有所提高。</w:t>
      </w:r>
    </w:p>
    <w:p w14:paraId="1308E1E4">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工程材料、设备的质量依据下列顺序之标准认定：</w:t>
      </w:r>
    </w:p>
    <w:p w14:paraId="7E145B0A">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（1）本工程设计图纸规定的设计标准；</w:t>
      </w:r>
    </w:p>
    <w:p w14:paraId="389A6096">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（2）招投标时确定的规格、技术指标、质量标准、品牌等；</w:t>
      </w:r>
    </w:p>
    <w:p w14:paraId="05038E7B">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（3）经设计单位、承包人、发包人共同认定的产品封样、样板（包括样板房等）；</w:t>
      </w:r>
    </w:p>
    <w:p w14:paraId="0AA7C62F">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（4）国家或行业强制执行的技术标准、技术规范。</w:t>
      </w:r>
    </w:p>
    <w:p w14:paraId="14E06FB1">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材料、设备的抽查、检验结果与前款约定不符的，发包人必须扩大对该批材料的抽查范围、增加数量抽检。承包人必须在发包人书面通知的限期内全部无条件拆除、更换，并运出施工现场；由此所造成的工期延误、费用增加等一切损失均由承包人承担。同时，承包人还应当按照第37.2.5款（1）项承担违约责任。</w:t>
      </w:r>
    </w:p>
    <w:p w14:paraId="1C06CB1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16.5.4  承包人对材料、设备的试验、检验的费用自行承担。发包人对材料、设备或工程进行检查、检验的费用由承包人负担。发包人进行重复检查、检验的，检查、检验的结果证明材料、设备或工程不符合合同、技术规范要求的，按16.5.3款执行，费用由承包人负担；符合合同、招标文件、技术规范要求的，费用由发包人负担。</w:t>
      </w:r>
    </w:p>
    <w:p w14:paraId="7081D6A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16.5.5  发包人可以委托国家质量检查机构或其他法定检验机构对工程材料、设备的生产、制造、安装、储运全过程进行第三方检查、检验，承包人必须接受并提供便利条件。对检查出不符合16.5.3款标准要求，按该条款执行，检测费用由承包人负责。若符合16.1.3款标准要求，检测费用由发包人承担。</w:t>
      </w:r>
    </w:p>
    <w:p w14:paraId="053DF519">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16.6  承包人应当按照发包人有关规范要求，对施工各工序报验检查的质量控制点，先自检后报请发包人复检。发包人在接到承包人的自检结果后，应当及时复检。经复检发现存在质量问题的，则该工序质量为不合格，承包人必须全部返工，由此所产生的工期延误和费用增加等全部损失，由承包人承担，并由承包人按照第37.2.5款（2）承担违约责任。</w:t>
      </w:r>
    </w:p>
    <w:p w14:paraId="08F0C1E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16.7  发包人发现工程存在重大质量问题时，必须立即下达停工整改令。承包人必须在5天内书面提出整改措施，经发包人批准后实施整改，由此所产生的工期延误和费用增加等全部损失，由承包人承担。承包人拒绝整改的，发包人有权暂停拨付工程款，并将未完工程另行发包。</w:t>
      </w:r>
    </w:p>
    <w:p w14:paraId="6D911F1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16.8  承包人承诺：无论发包人对工程是否进行并通过了各项检验，均不解除承包人对其承包的工程的质量所负的责任，除非质量问题是由于非承包人责任原因引起，而此类质量问题承包人须及时通知发包人。在采用承包人设计的施工图施工和由承包人自行采购的材料、设备时，设计和制造所引起的质量责任由承包人承担。</w:t>
      </w:r>
    </w:p>
    <w:p w14:paraId="0535C22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16.9  承包人承诺：无论工程材料是由承包人自行供应或是由发包人指定的供应商供应，均不解除承包人所负的工程全面质量的责任。承包人应该对各种材料按规范进行检查验收，拒绝不符合要求的材料用于工程。无论何种原因，出现不合格材料用于工程的情况，均由承包人承担应有的责任。</w:t>
      </w:r>
    </w:p>
    <w:p w14:paraId="769B07B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16.10 承包人应保证按照国家、地方、行业的有关规定，准确、及时做好日常工程技术资料的记录、整理和归档工作，保证记录中原始数据的真实性和及时性，发包人有权抽查承包人日常工程技术资料的整理工作，若发现未按照规定及时做好资料整理工作，每发现三次，则按照第37.2.12款项承担违约责任。</w:t>
      </w:r>
    </w:p>
    <w:p w14:paraId="43625A7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若发现原始记录数据不存在、不真实，经发包人确认，有权拒绝相应部分工程的工程量计量与支付，并视情节轻重，按照第37.2.12款项承担违约责任，直至解除部分或全部合同。</w:t>
      </w:r>
    </w:p>
    <w:p w14:paraId="28762CC7">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17、隐蔽工程和中间验收</w:t>
      </w:r>
    </w:p>
    <w:p w14:paraId="3D8FD4CD">
      <w:pPr>
        <w:autoSpaceDE w:val="0"/>
        <w:autoSpaceDN w:val="0"/>
        <w:adjustRightInd w:val="0"/>
        <w:spacing w:before="20" w:line="360" w:lineRule="auto"/>
        <w:ind w:right="0"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17.1双方约定中间验收部位：</w:t>
      </w:r>
      <w:r>
        <w:rPr>
          <w:rFonts w:hint="eastAsia" w:ascii="宋体" w:hAnsi="宋体" w:eastAsia="宋体" w:cs="宋体"/>
          <w:color w:val="auto"/>
          <w:sz w:val="24"/>
          <w:highlight w:val="none"/>
          <w:lang w:val="en-US" w:eastAsia="zh-CN"/>
        </w:rPr>
        <w:t>广州</w:t>
      </w:r>
      <w:r>
        <w:rPr>
          <w:rFonts w:hint="eastAsia" w:ascii="宋体" w:hAnsi="宋体" w:eastAsia="宋体" w:cs="宋体"/>
          <w:i w:val="0"/>
          <w:iCs w:val="0"/>
          <w:caps w:val="0"/>
          <w:color w:val="auto"/>
          <w:spacing w:val="0"/>
          <w:sz w:val="24"/>
          <w:szCs w:val="24"/>
          <w:highlight w:val="none"/>
          <w:u w:val="none"/>
          <w:shd w:val="clear" w:color="auto" w:fill="auto"/>
          <w:vertAlign w:val="baseline"/>
          <w:lang w:val="zh-CN"/>
        </w:rPr>
        <w:t>市住房和城乡建设局关于加强房屋建筑重要分部（子分部）工程质量验收工作的通知</w:t>
      </w:r>
      <w:r>
        <w:rPr>
          <w:rFonts w:hint="eastAsia" w:ascii="宋体" w:hAnsi="宋体" w:eastAsia="宋体" w:cs="宋体"/>
          <w:color w:val="auto"/>
          <w:sz w:val="24"/>
          <w:highlight w:val="none"/>
          <w:lang w:val="zh-CN"/>
        </w:rPr>
        <w:t>（</w:t>
      </w:r>
      <w:r>
        <w:rPr>
          <w:rFonts w:hint="eastAsia" w:ascii="宋体" w:hAnsi="宋体" w:eastAsia="宋体" w:cs="宋体"/>
          <w:i w:val="0"/>
          <w:iCs w:val="0"/>
          <w:caps w:val="0"/>
          <w:color w:val="auto"/>
          <w:spacing w:val="0"/>
          <w:sz w:val="24"/>
          <w:szCs w:val="24"/>
          <w:highlight w:val="none"/>
          <w:shd w:val="clear" w:color="auto" w:fill="auto"/>
          <w:lang w:val="zh-CN"/>
        </w:rPr>
        <w:t>穗建规字〔2024〕17号</w:t>
      </w:r>
      <w:r>
        <w:rPr>
          <w:rFonts w:hint="eastAsia" w:ascii="宋体" w:hAnsi="宋体" w:eastAsia="宋体" w:cs="宋体"/>
          <w:color w:val="auto"/>
          <w:sz w:val="24"/>
          <w:highlight w:val="none"/>
          <w:lang w:val="zh-CN"/>
        </w:rPr>
        <w:t>）文件执行。验收程序按《合同通用条款》第17条执行。验收人员组成：发包人、机电设备材料管理负责人、承包人及后续关联工程承建等有关单位。</w:t>
      </w:r>
    </w:p>
    <w:p w14:paraId="6C1369C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17.4  隐蔽工程或中间验收部位未经发包人验收合格，不得隐蔽或继续施工。否则，该部分工程被视为不合格，由此所产生的返工及相关费用由承包人承担。</w:t>
      </w:r>
    </w:p>
    <w:p w14:paraId="77863B7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54765B4B">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五、安全文明施工</w:t>
      </w:r>
    </w:p>
    <w:p w14:paraId="7BE6B45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承包人应执行国家法规和广州市建设主管部门最新颁布的管理规定。</w:t>
      </w:r>
    </w:p>
    <w:p w14:paraId="153208BE">
      <w:pPr>
        <w:autoSpaceDE w:val="0"/>
        <w:autoSpaceDN w:val="0"/>
        <w:adjustRightInd w:val="0"/>
        <w:spacing w:before="20" w:line="360" w:lineRule="auto"/>
        <w:ind w:right="1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20、施工场地的占用与管理</w:t>
      </w:r>
    </w:p>
    <w:p w14:paraId="61267B0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20.2  承包人必须依照相关规范关于施工现场的管理有关规定，规范对施工现场的管理。</w:t>
      </w:r>
    </w:p>
    <w:p w14:paraId="3636104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在工程实施期间，承包人施工范围中的施工场地一经移交给承包人，承包人即对施工场地负有全过程、全面的管理责任，必须对施工场地范围内的治安秩序、安全保卫、环境卫生以及周围房屋、市政设施等负全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6EE047B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20.3  承包人必须在工程竣工初验后30天内或发包人规定的时间内（发包人将提前通知承包人），无条件清退所有施工场地。拒不清退的，发包人除向承包人收取租金（租金为每天1.0元/m</w:t>
      </w:r>
      <w:r>
        <w:rPr>
          <w:rFonts w:hint="eastAsia" w:ascii="宋体" w:hAnsi="宋体" w:eastAsia="宋体" w:cs="宋体"/>
          <w:color w:val="auto"/>
          <w:sz w:val="24"/>
          <w:highlight w:val="none"/>
          <w:vertAlign w:val="superscript"/>
          <w:lang w:val="zh-CN"/>
        </w:rPr>
        <w:t>2</w:t>
      </w:r>
      <w:r>
        <w:rPr>
          <w:rFonts w:hint="eastAsia" w:ascii="宋体" w:hAnsi="宋体" w:eastAsia="宋体" w:cs="宋体"/>
          <w:color w:val="auto"/>
          <w:sz w:val="24"/>
          <w:highlight w:val="none"/>
          <w:lang w:val="zh-CN"/>
        </w:rPr>
        <w:t>）外，还有权暂停计价支付、工程结算、工程验收等工作，并由承包人承担由此而产生的一切后果（包括发包人因此而被第三方索赔所产生的损失）。</w:t>
      </w:r>
    </w:p>
    <w:p w14:paraId="4CC6DF4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20.4承包人有义务采取有效措施督促分包单位在分包工程完工后按第20.3款的规定完成退场工作。因分包单位原因导致不能及时退场的，承包人承担连带责任。</w:t>
      </w:r>
    </w:p>
    <w:p w14:paraId="4D79C494">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20.5承包人必须服从发包人执法检查和处罚，并按照检查结果进行整改。</w:t>
      </w:r>
    </w:p>
    <w:p w14:paraId="215F307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4B5F9A8A">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21、安全施工与检查</w:t>
      </w:r>
    </w:p>
    <w:p w14:paraId="74FC730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21.1  安全施工措施</w:t>
      </w:r>
    </w:p>
    <w:p w14:paraId="40F28C3C">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21.1.1  承包人应建立健全建筑施工安全生产组织机构和安全保证体系，落实安全生产责任制，按照工程建设安全生产的有关管理规定，采取相应措施，负责现场全部作业的安全，并对此承担全部责任。</w:t>
      </w:r>
    </w:p>
    <w:p w14:paraId="32FEF62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21.1.2  承包人必须将投标时承诺的安全生产施工措施落实到位。</w:t>
      </w:r>
    </w:p>
    <w:p w14:paraId="2D85AD2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21.1.3  承包人在施工中必须加强对自身及各分包单位在安全施工方面的检查、监督管理；若被发现存在严重安全隐患的，按照本《合同专用条款》第37.2.6款（1）、（2）项约定承担违约责任。</w:t>
      </w:r>
    </w:p>
    <w:p w14:paraId="1863AD30">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22、安全防护</w:t>
      </w:r>
    </w:p>
    <w:p w14:paraId="1D422B6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22.1  安全防护措施费用</w:t>
      </w:r>
    </w:p>
    <w:p w14:paraId="5CF8734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本工程的安全防护措施费用包括但不限于《合同通用条款》第22.1条、第22.2条所列明的安全防护措施费用，所有安全防护措施费用已包含在合同价款之中。</w:t>
      </w:r>
    </w:p>
    <w:p w14:paraId="220D124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22.2  安全防护措施</w:t>
      </w:r>
    </w:p>
    <w:p w14:paraId="130F72D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承包人采取严格的安全防护措施，在工程的施工、完工及修补缺陷的整个过程中，都应当做到：</w:t>
      </w:r>
    </w:p>
    <w:p w14:paraId="664AD3E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（1）全面关照所有留在现场上的人员的安全，保护其管辖范围内的现场以及尚未完工的和发包人尚未占用的工程处于有条不紊和良好的状态。</w:t>
      </w:r>
    </w:p>
    <w:p w14:paraId="6904DC3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（2）在需要的时间和地点，根据发包人或者当地政府的要求，自费提供和维持所有的照明灯光、护板、围墙、栅栏、警告信号标志和值班人员，对工程进行保护和为公众提供安全和方便。</w:t>
      </w:r>
    </w:p>
    <w:p w14:paraId="57068260">
      <w:pPr>
        <w:autoSpaceDE w:val="0"/>
        <w:autoSpaceDN w:val="0"/>
        <w:adjustRightInd w:val="0"/>
        <w:spacing w:before="20" w:line="360" w:lineRule="auto"/>
        <w:ind w:right="11" w:firstLine="461"/>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3）承包人应自费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疾病应急小组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制订应急措施。若出现任何重大或恶性传染性的疾病（如：非典型性肺炎）时，承包人必须遵守并执行省市卫生部门为处理和控制上述传染病而制定的规章、命令和要求，迅速向发包人和广州市疾病控制中心报告。</w:t>
      </w:r>
    </w:p>
    <w:p w14:paraId="3EC31A49">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23、事故处理</w:t>
      </w:r>
    </w:p>
    <w:p w14:paraId="49D952E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23.3  因承包人责任过失造成工程质量安全事故的，除按照国家规定由行业主管部门给予承包人处罚外，承包人还应负责赔偿发包人损失，并按照第37.2.6款（3）项承担违约责任。</w:t>
      </w:r>
    </w:p>
    <w:p w14:paraId="674EE8E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23.4 承包人应保证发包人免于受到或承担应由承包人负责的因承包人现场施工所引起的或与之有关的索赔、诉讼以及其他开支；若有证据证实发包人因此发生了索赔、诉讼以及其他开支，承包人必须在接到发包人通知后二天内据实补偿发包人因此所受到的损失。</w:t>
      </w:r>
    </w:p>
    <w:p w14:paraId="167AEA80">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24、文明施工与环境保护</w:t>
      </w:r>
    </w:p>
    <w:p w14:paraId="4DEE1CB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24.1  承包人必须严格按照广州市建设主管部门颁布的最新管理规定及对专业工程管理配合服务的承诺，在施工组织设计中专章编制文明施工措施，将投标时承诺的文明施工措施落实到位。承包人不落实文明施工措施的，按照第37.2.7款（1）、（2）、（3）项的约定承担违约责任.</w:t>
      </w:r>
    </w:p>
    <w:p w14:paraId="4BC5514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24.2  承包人应在进入现场前提交一式四份施工期间的环境保护方案，经发包人批准后实施。环境保护方案必须包括：施工现场所必须的照明灯光、护板、围护、栅栏、警告标志和值班人员名单，以及建筑垃圾、施工和生活污水、噪音、粉尘的处理排放。方案在实施过程中所采用的材料、设备等应使发包人满意。</w:t>
      </w:r>
    </w:p>
    <w:p w14:paraId="3432458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对于承包人施工过程中造成的环境污染问题，经发包人指出后，承包人未能在24小时之内采取整治措施，或者所采取的整治措施未有效消除污染的，发包人可以自行或者委托他人代为整治，由此所产生的一切损失、费用均由承包人承担。</w:t>
      </w:r>
    </w:p>
    <w:p w14:paraId="1C97351A">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六、合同价款与支付</w:t>
      </w:r>
    </w:p>
    <w:p w14:paraId="1C4300D1">
      <w:pPr>
        <w:tabs>
          <w:tab w:val="left" w:pos="851"/>
        </w:tabs>
        <w:autoSpaceDE w:val="0"/>
        <w:autoSpaceDN w:val="0"/>
        <w:adjustRightInd w:val="0"/>
        <w:spacing w:line="360" w:lineRule="auto"/>
        <w:ind w:left="210" w:leftChars="100" w:firstLine="120" w:firstLineChars="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本工程的</w:t>
      </w:r>
      <w:r>
        <w:rPr>
          <w:rFonts w:hint="eastAsia" w:ascii="宋体" w:hAnsi="宋体" w:eastAsia="宋体" w:cs="宋体"/>
          <w:color w:val="auto"/>
          <w:sz w:val="24"/>
          <w:highlight w:val="none"/>
        </w:rPr>
        <w:t>合同价款为（大写）：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拾</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角分整元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，其中暂列金额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万仟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拾</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元</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角</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分整元</w:t>
      </w:r>
      <w:r>
        <w:rPr>
          <w:rFonts w:hint="eastAsia" w:ascii="宋体" w:hAnsi="宋体" w:eastAsia="宋体" w:cs="宋体"/>
          <w:color w:val="auto"/>
          <w:sz w:val="24"/>
          <w:highlight w:val="none"/>
        </w:rPr>
        <w:t xml:space="preserve">。                        </w:t>
      </w:r>
    </w:p>
    <w:p w14:paraId="531DDFDA">
      <w:pPr>
        <w:tabs>
          <w:tab w:val="left" w:pos="851"/>
        </w:tabs>
        <w:autoSpaceDE w:val="0"/>
        <w:autoSpaceDN w:val="0"/>
        <w:adjustRightInd w:val="0"/>
        <w:spacing w:line="360" w:lineRule="auto"/>
        <w:ind w:left="210" w:leftChars="100"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lang w:val="en-US" w:eastAsia="zh-CN"/>
        </w:rPr>
        <w:t>0.000</w:t>
      </w:r>
      <w:r>
        <w:rPr>
          <w:rFonts w:hint="eastAsia" w:ascii="宋体" w:hAnsi="宋体" w:eastAsia="宋体" w:cs="宋体"/>
          <w:color w:val="auto"/>
          <w:sz w:val="24"/>
          <w:highlight w:val="none"/>
          <w:u w:val="single"/>
        </w:rPr>
        <w:t>元，</w:t>
      </w:r>
      <w:r>
        <w:rPr>
          <w:rFonts w:hint="eastAsia" w:ascii="宋体" w:hAnsi="宋体" w:eastAsia="宋体" w:cs="宋体"/>
          <w:color w:val="auto"/>
          <w:sz w:val="24"/>
          <w:highlight w:val="none"/>
        </w:rPr>
        <w:t>其中暂列金额为 ￥</w:t>
      </w:r>
      <w:r>
        <w:rPr>
          <w:rFonts w:hint="eastAsia" w:ascii="宋体" w:hAnsi="宋体" w:eastAsia="宋体" w:cs="宋体"/>
          <w:color w:val="auto"/>
          <w:sz w:val="24"/>
          <w:highlight w:val="none"/>
          <w:u w:val="single"/>
          <w:lang w:val="en-US" w:eastAsia="zh-CN"/>
        </w:rPr>
        <w:t>0.00</w:t>
      </w:r>
      <w:r>
        <w:rPr>
          <w:rFonts w:hint="eastAsia" w:ascii="宋体" w:hAnsi="宋体" w:eastAsia="宋体" w:cs="宋体"/>
          <w:color w:val="auto"/>
          <w:sz w:val="24"/>
          <w:highlight w:val="none"/>
        </w:rPr>
        <w:t>元。</w:t>
      </w:r>
    </w:p>
    <w:p w14:paraId="279C691A">
      <w:pPr>
        <w:autoSpaceDE w:val="0"/>
        <w:autoSpaceDN w:val="0"/>
        <w:adjustRightInd w:val="0"/>
        <w:spacing w:before="20" w:line="360" w:lineRule="auto"/>
        <w:ind w:left="420" w:right="11"/>
        <w:rPr>
          <w:rFonts w:hint="eastAsia" w:ascii="宋体" w:hAnsi="宋体" w:eastAsia="宋体" w:cs="宋体"/>
          <w:color w:val="auto"/>
          <w:sz w:val="24"/>
          <w:highlight w:val="none"/>
        </w:rPr>
      </w:pPr>
    </w:p>
    <w:p w14:paraId="3FA2CD6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25、合同价款调整</w:t>
      </w:r>
    </w:p>
    <w:p w14:paraId="7595EC77">
      <w:pPr>
        <w:numPr>
          <w:ilvl w:val="1"/>
          <w:numId w:val="8"/>
        </w:numPr>
        <w:autoSpaceDE w:val="0"/>
        <w:autoSpaceDN w:val="0"/>
        <w:adjustRightInd w:val="0"/>
        <w:spacing w:before="2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合同价款按照协议书约定的价款执行。</w:t>
      </w:r>
    </w:p>
    <w:p w14:paraId="61F0319F">
      <w:pPr>
        <w:autoSpaceDE w:val="0"/>
        <w:autoSpaceDN w:val="0"/>
        <w:adjustRightInd w:val="0"/>
        <w:spacing w:before="20" w:line="360" w:lineRule="auto"/>
        <w:ind w:left="461"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25.1.1 承包人在施工过程中实际发生的工程量及工程清单与招投标文件中的工程量及清单没有发生变更，则合同价即为工程结算价。</w:t>
      </w:r>
    </w:p>
    <w:p w14:paraId="4CDD6F04">
      <w:pPr>
        <w:autoSpaceDE w:val="0"/>
        <w:autoSpaceDN w:val="0"/>
        <w:adjustRightInd w:val="0"/>
        <w:spacing w:before="20" w:line="360" w:lineRule="auto"/>
        <w:ind w:left="461"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25.1.2 进行深化设计时，如产生设计变更，其费用处理原则如下：</w:t>
      </w:r>
    </w:p>
    <w:p w14:paraId="771657DB">
      <w:pPr>
        <w:autoSpaceDE w:val="0"/>
        <w:autoSpaceDN w:val="0"/>
        <w:adjustRightInd w:val="0"/>
        <w:spacing w:before="20" w:line="360" w:lineRule="auto"/>
        <w:ind w:left="461"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经甲方和认可后的深化设计，若工程量和清单子目超出（减少）原招投标文件中的工程量及清单外（内）的项目。可按超出（减少）部分工程量增减工程造价。</w:t>
      </w:r>
    </w:p>
    <w:p w14:paraId="6F7347F1">
      <w:pPr>
        <w:pStyle w:val="2"/>
        <w:rPr>
          <w:rStyle w:val="10"/>
          <w:rFonts w:hint="eastAsia" w:ascii="宋体" w:hAnsi="宋体" w:eastAsia="宋体" w:cs="宋体"/>
          <w:b/>
          <w:bCs/>
          <w:i w:val="0"/>
          <w:iCs w:val="0"/>
          <w:caps w:val="0"/>
          <w:color w:val="0F1115"/>
          <w:spacing w:val="0"/>
          <w:sz w:val="24"/>
          <w:szCs w:val="24"/>
          <w:highlight w:val="none"/>
          <w:shd w:val="clear" w:color="auto" w:fill="FFFFFF"/>
        </w:rPr>
      </w:pPr>
      <w:r>
        <w:rPr>
          <w:rFonts w:hint="eastAsia" w:ascii="宋体" w:hAnsi="宋体" w:eastAsia="宋体" w:cs="宋体"/>
          <w:b/>
          <w:bCs/>
          <w:highlight w:val="none"/>
          <w:lang w:val="en-US" w:eastAsia="zh-CN"/>
        </w:rPr>
        <w:t xml:space="preserve">25.1.3 </w:t>
      </w:r>
      <w:r>
        <w:rPr>
          <w:rFonts w:hint="eastAsia" w:ascii="宋体" w:hAnsi="宋体" w:eastAsia="宋体" w:cs="宋体"/>
          <w:i w:val="0"/>
          <w:iCs w:val="0"/>
          <w:caps w:val="0"/>
          <w:color w:val="0F1115"/>
          <w:spacing w:val="0"/>
          <w:sz w:val="24"/>
          <w:szCs w:val="24"/>
          <w:highlight w:val="none"/>
          <w:shd w:val="clear" w:color="auto" w:fill="FFFFFF"/>
        </w:rPr>
        <w:t>若承包人中标单价显著低于投标期基准日发布的市场价格信息或行业公认的合理水平，承包人有义务在发包人提出合理疑问后</w:t>
      </w:r>
      <w:r>
        <w:rPr>
          <w:rStyle w:val="10"/>
          <w:rFonts w:hint="eastAsia" w:ascii="宋体" w:hAnsi="宋体" w:eastAsia="宋体" w:cs="宋体"/>
          <w:b/>
          <w:bCs/>
          <w:i w:val="0"/>
          <w:iCs w:val="0"/>
          <w:caps w:val="0"/>
          <w:color w:val="0F1115"/>
          <w:spacing w:val="0"/>
          <w:sz w:val="24"/>
          <w:szCs w:val="24"/>
          <w:highlight w:val="none"/>
          <w:shd w:val="clear" w:color="auto" w:fill="FFFFFF"/>
        </w:rPr>
        <w:t>7个日历日内</w:t>
      </w:r>
      <w:r>
        <w:rPr>
          <w:rFonts w:hint="eastAsia" w:ascii="宋体" w:hAnsi="宋体" w:eastAsia="宋体" w:cs="宋体"/>
          <w:i w:val="0"/>
          <w:iCs w:val="0"/>
          <w:caps w:val="0"/>
          <w:color w:val="0F1115"/>
          <w:spacing w:val="0"/>
          <w:sz w:val="24"/>
          <w:szCs w:val="24"/>
          <w:highlight w:val="none"/>
          <w:shd w:val="clear" w:color="auto" w:fill="FFFFFF"/>
        </w:rPr>
        <w:t>，提供书面说明及支撑材料（如采用特殊工艺、特定品牌材料、专利技术、规模化采购或其它成本优化措施等），以证明其单价具备履约可行性。承包人应就此单价向发包人提交书面承诺函，保证严格按照合同文件、技术标准及经批准的施工图纸完成对应工作，且所使用材料、设备、工艺及品牌不低于其承诺的标准</w:t>
      </w:r>
      <w:r>
        <w:rPr>
          <w:rFonts w:hint="eastAsia" w:ascii="宋体" w:hAnsi="宋体" w:eastAsia="宋体" w:cs="宋体"/>
          <w:i w:val="0"/>
          <w:iCs w:val="0"/>
          <w:caps w:val="0"/>
          <w:color w:val="0F1115"/>
          <w:spacing w:val="0"/>
          <w:sz w:val="24"/>
          <w:szCs w:val="24"/>
          <w:highlight w:val="none"/>
          <w:shd w:val="clear" w:color="auto" w:fill="FFFFFF"/>
          <w:lang w:eastAsia="zh-CN"/>
        </w:rPr>
        <w:t>，</w:t>
      </w:r>
      <w:r>
        <w:rPr>
          <w:rStyle w:val="10"/>
          <w:rFonts w:hint="eastAsia" w:ascii="宋体" w:hAnsi="宋体" w:eastAsia="宋体" w:cs="宋体"/>
          <w:b/>
          <w:bCs/>
          <w:i w:val="0"/>
          <w:iCs w:val="0"/>
          <w:caps w:val="0"/>
          <w:color w:val="0F1115"/>
          <w:spacing w:val="0"/>
          <w:sz w:val="24"/>
          <w:szCs w:val="24"/>
          <w:highlight w:val="none"/>
          <w:shd w:val="clear" w:color="auto" w:fill="FFFFFF"/>
        </w:rPr>
        <w:t>承包人不得以任何理由要求调整此综合单价。</w:t>
      </w:r>
    </w:p>
    <w:p w14:paraId="4F8DB14A">
      <w:pPr>
        <w:keepNext w:val="0"/>
        <w:keepLines w:val="0"/>
        <w:widowControl/>
        <w:numPr>
          <w:ilvl w:val="0"/>
          <w:numId w:val="0"/>
        </w:numPr>
        <w:suppressLineNumbers w:val="0"/>
        <w:spacing w:before="0" w:beforeAutospacing="0" w:after="0" w:afterAutospacing="0"/>
        <w:ind w:left="0" w:firstLine="0"/>
        <w:rPr>
          <w:rFonts w:hint="eastAsia" w:ascii="宋体" w:hAnsi="宋体" w:eastAsia="宋体" w:cs="宋体"/>
          <w:highlight w:val="none"/>
        </w:rPr>
      </w:pPr>
      <w:r>
        <w:rPr>
          <w:rStyle w:val="10"/>
          <w:rFonts w:hint="eastAsia" w:ascii="宋体" w:hAnsi="宋体" w:eastAsia="宋体" w:cs="宋体"/>
          <w:b/>
          <w:bCs/>
          <w:i w:val="0"/>
          <w:iCs w:val="0"/>
          <w:caps w:val="0"/>
          <w:color w:val="0F1115"/>
          <w:spacing w:val="0"/>
          <w:sz w:val="24"/>
          <w:szCs w:val="24"/>
          <w:highlight w:val="none"/>
          <w:shd w:val="clear" w:color="auto" w:fill="FFFFFF"/>
          <w:lang w:val="en-US" w:eastAsia="zh-CN"/>
        </w:rPr>
        <w:t xml:space="preserve">     25.1.4 </w:t>
      </w:r>
      <w:r>
        <w:rPr>
          <w:rStyle w:val="10"/>
          <w:rFonts w:hint="eastAsia" w:ascii="宋体" w:hAnsi="宋体" w:eastAsia="宋体" w:cs="宋体"/>
          <w:b/>
          <w:bCs/>
          <w:i w:val="0"/>
          <w:iCs w:val="0"/>
          <w:caps w:val="0"/>
          <w:color w:val="0F1115"/>
          <w:spacing w:val="0"/>
          <w:sz w:val="24"/>
          <w:szCs w:val="24"/>
          <w:highlight w:val="none"/>
          <w:shd w:val="clear" w:color="auto" w:fill="FFFFFF"/>
        </w:rPr>
        <w:t>招标文件的一致性审查与风险承担</w:t>
      </w:r>
    </w:p>
    <w:p w14:paraId="207DB7D4">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承包人已充分知悉，其投标报价所依据的招标工程量清单、招标图纸、用户需求书及其他招标文件共同构成其报价基础。承包人有义务在投标前对上述文件进行细致、全面的核对与一致性审查。</w:t>
      </w:r>
    </w:p>
    <w:p w14:paraId="2B8E2E39">
      <w:pPr>
        <w:autoSpaceDE w:val="0"/>
        <w:autoSpaceDN w:val="0"/>
        <w:adjustRightInd w:val="0"/>
        <w:spacing w:before="20" w:line="360" w:lineRule="auto"/>
        <w:ind w:right="11" w:firstLine="461"/>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eastAsia="zh-CN"/>
        </w:rPr>
        <w:t>若招标工程量清单中任何项目的“项目特征描述”与招标图纸、用户需求书或其它招标文件存在任何差异、歧义或矛盾，承包人必须在招标文件规定的答疑期限内以书面形式向招标人（发包人）提出澄清要求。未在规定期限内提出的，视为承包人已完全理解并接受该等差异，且已在其投标报价中综合考虑了由此可能产生的所有风险、费用及技术方案。</w:t>
      </w:r>
    </w:p>
    <w:p w14:paraId="63C69D28">
      <w:pPr>
        <w:autoSpaceDE w:val="0"/>
        <w:autoSpaceDN w:val="0"/>
        <w:adjustRightInd w:val="0"/>
        <w:spacing w:before="20" w:line="360" w:lineRule="auto"/>
        <w:ind w:right="11" w:firstLine="461"/>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eastAsia="zh-CN"/>
        </w:rPr>
        <w:t>中标后及合同履行过程中，承包人不得以招标工程量清单的“项目特征描述”与图纸或其他文件存在差异为由，要求调整相应的综合单价、提出费用索赔或主张工期顺延。该等差异应被视为承包人投标时应预见并已承担的风险，相关费用已包含在合同价款中。</w:t>
      </w:r>
    </w:p>
    <w:p w14:paraId="1C036476">
      <w:pPr>
        <w:autoSpaceDE w:val="0"/>
        <w:autoSpaceDN w:val="0"/>
        <w:adjustRightInd w:val="0"/>
        <w:spacing w:before="20" w:line="360" w:lineRule="auto"/>
        <w:ind w:right="11" w:firstLine="461"/>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25.2  承包人与发包人一致同意不适用《合同通用条款》第25.2款的约定。本合同的合同单价不因施工期间人工、机械及材料价格变化、施工条件的变化和政府造价管理部门等调整各项收费而调整，合同中另有约定除外。</w:t>
      </w:r>
    </w:p>
    <w:p w14:paraId="5598D342">
      <w:pPr>
        <w:autoSpaceDE w:val="0"/>
        <w:autoSpaceDN w:val="0"/>
        <w:adjustRightInd w:val="0"/>
        <w:spacing w:before="20" w:line="360" w:lineRule="auto"/>
        <w:ind w:right="11" w:firstLine="461"/>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25.3承包人必须认真配合其他工程施工，包括配合已施工的工程和后续工程及其他与本工程有衔接的工程和各总承包、分包工程，涉及的费用已包在合同总价内。若由于承包人不积极配合或协调不力，造成相关工程工期延误，其发生所有费用及相关责任由承包人自行承担。</w:t>
      </w:r>
    </w:p>
    <w:p w14:paraId="446147A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25.4  综合单价（完全单价）包干的合同价款的调整。承包人与发包人一致同意不适用《合同通用条款》第25.4款的约定，合同价款的调整按照下述约定执行：</w:t>
      </w:r>
    </w:p>
    <w:p w14:paraId="7E7E9F65">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25.4.1 发包人原则上按每个月统计并计算一次工程变更或签证。</w:t>
      </w:r>
    </w:p>
    <w:p w14:paraId="7D60B85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所有新增工程、设计变更工程的单价或价格，均按照《合同专用条款》第33.8款执行。</w:t>
      </w:r>
    </w:p>
    <w:p w14:paraId="381A0CF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25.5  承包人与发包人一致同意不适用《合同通用条款》第25.4款的约定。承包人应在第25.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款情况发生后3天内，将调整原因、金额以书面形式报发包人单位审核，经发包人批准后作为调整合同价款及拨付工程进度款的依据。发包人收到后3天内审核并签署意见，发包人在7天内审定并批准执行。</w:t>
      </w:r>
    </w:p>
    <w:p w14:paraId="4A76519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25.6 现场签证的计价</w:t>
      </w:r>
    </w:p>
    <w:p w14:paraId="17EEAAB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由于施工场地、条件和设计变化必须进行现场签证时，所有现场签证必须在发生后2天内经发包人现场核实计量后签字盖章确认，承包人根据现场签证确认的工程量5天内编制预算报发包人审核，发包人必须3天内提出造价审核意见报发包人，由发包人签字盖章确认凡是没有经过发包人签字确认的现场签证，其增加的费用不予确认执行。</w:t>
      </w:r>
    </w:p>
    <w:p w14:paraId="6761E36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25.7承包人承诺：所有变更引起的计价、计量调整审批过程，均不得影响变更的执行，不得以此为理由公开或变相拖延或延误工程，否则，承包人将承担由此造成的经济损失及工期延误的责任。</w:t>
      </w:r>
    </w:p>
    <w:p w14:paraId="5A4D7887">
      <w:pPr>
        <w:tabs>
          <w:tab w:val="center" w:pos="4153"/>
        </w:tabs>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lang w:val="zh-CN"/>
        </w:rPr>
        <w:t>26.1 工程预付款支付：</w:t>
      </w:r>
      <w:r>
        <w:rPr>
          <w:rFonts w:hint="eastAsia" w:ascii="宋体" w:hAnsi="宋体" w:eastAsia="宋体" w:cs="宋体"/>
          <w:color w:val="auto"/>
          <w:sz w:val="28"/>
          <w:szCs w:val="28"/>
          <w:highlight w:val="none"/>
        </w:rPr>
        <w:t xml:space="preserve">  </w:t>
      </w:r>
    </w:p>
    <w:p w14:paraId="2F29E2E2">
      <w:pPr>
        <w:tabs>
          <w:tab w:val="center" w:pos="4153"/>
        </w:tabs>
        <w:spacing w:line="5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kern w:val="0"/>
          <w:highlight w:val="none"/>
          <w:bdr w:val="single" w:color="auto" w:sz="4" w:space="0"/>
        </w:rPr>
        <w:t>√</w:t>
      </w:r>
      <w:r>
        <w:rPr>
          <w:rFonts w:hint="eastAsia" w:ascii="宋体" w:hAnsi="宋体" w:eastAsia="宋体" w:cs="宋体"/>
          <w:color w:val="auto"/>
          <w:kern w:val="0"/>
          <w:sz w:val="24"/>
          <w:highlight w:val="none"/>
          <w:u w:val="single"/>
        </w:rPr>
        <w:t>约定预付款的，预付款的金额为合同价（扣除暂列金额）的20% 。</w:t>
      </w:r>
    </w:p>
    <w:p w14:paraId="2C66B1D6">
      <w:pPr>
        <w:tabs>
          <w:tab w:val="center" w:pos="4153"/>
        </w:tabs>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同签订且乙方向甲方提交履约保函后10天内，甲方向乙方支付合同造价（扣除暂列金额）的20％作为预付款，同时乙方向甲方递交等额的预付款银行保函。乙方经申报甲方确认完成至项目的30％，甲方将在20天内退回该银行保函给乙方。</w:t>
      </w:r>
    </w:p>
    <w:p w14:paraId="24258AF9">
      <w:pPr>
        <w:autoSpaceDE w:val="0"/>
        <w:autoSpaceDN w:val="0"/>
        <w:adjustRightInd w:val="0"/>
        <w:spacing w:before="20" w:line="360" w:lineRule="auto"/>
        <w:ind w:right="1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val="zh-CN"/>
        </w:rPr>
        <w:t>27、工程量确认</w:t>
      </w:r>
    </w:p>
    <w:p w14:paraId="5530CD1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27.1  承包人应于每月25日向发包人提交一式八份已完工程进度款申请报告（表）。</w:t>
      </w:r>
    </w:p>
    <w:p w14:paraId="74F8264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27.2  除另有特别说明外，发包人应根据合同的规定和批准的施工图纸、设计变更图纸通过计量来核实并确认已完工程的价值。当发包人要求对工程的任一部分或几部分进行计量时，发包人应当书面通知承包人，承包人应按通知要求立即前往协助发包人从事上述计量工作，并提供此计量所需的一切详实资料。承包人未能按要求时间前往参加计量并提供详实资料，则由发包人进行的或由他批准的计量应直接被认为是对这一部分工程的正确计量。</w:t>
      </w:r>
    </w:p>
    <w:p w14:paraId="7A3F081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27.4  工程的计量应以净值为准，除非合同中另有规定。</w:t>
      </w:r>
    </w:p>
    <w:p w14:paraId="1A4FA974">
      <w:pPr>
        <w:autoSpaceDE w:val="0"/>
        <w:autoSpaceDN w:val="0"/>
        <w:adjustRightInd w:val="0"/>
        <w:spacing w:before="20" w:line="360" w:lineRule="auto"/>
        <w:ind w:right="11" w:firstLine="46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28、工程款（进度款）支付</w:t>
      </w:r>
    </w:p>
    <w:p w14:paraId="19E799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28.1工程款的支付规定：本项目支付工程预付款20%。其工程进度款支付按业主委托现场监理工程师或业主代表签署工程项目，经申报确认工程量清单进场验收后办理工程进度款的支付。</w:t>
      </w:r>
    </w:p>
    <w:p w14:paraId="28AF38B8">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以形象进度为准，具体为：</w:t>
      </w:r>
      <w:r>
        <w:rPr>
          <w:rFonts w:hint="eastAsia" w:ascii="宋体" w:hAnsi="宋体" w:eastAsia="宋体" w:cs="宋体"/>
          <w:color w:val="auto"/>
          <w:kern w:val="0"/>
          <w:sz w:val="24"/>
          <w:highlight w:val="none"/>
          <w:u w:val="single"/>
        </w:rPr>
        <w:t>工程进度款的支付方式、支付条件和支付时间：其工程进度款支付按业主委托现场业主代表签署工程项目，经申报确认工程量清单进场验收后办理工程进度款的支付。</w:t>
      </w:r>
    </w:p>
    <w:p w14:paraId="51DF7E41">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合同签订且乙方向甲方提交履约保函后10天内，甲方向乙方支付合同造价（扣除暂列金额）的20％作为预付款，同时乙方向甲方递交等额的预付款银行保函。乙方经申报甲方确认完成至项目的30％，甲方将在20天内退回该银行保函给乙方。</w:t>
      </w:r>
    </w:p>
    <w:p w14:paraId="7925B6F4">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rPr>
        <w:t>）工程进度完成50%，付至合同造价（扣除暂列金额）的40%；</w:t>
      </w:r>
    </w:p>
    <w:p w14:paraId="41222A44">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3</w:t>
      </w:r>
      <w:r>
        <w:rPr>
          <w:rFonts w:hint="eastAsia" w:ascii="宋体" w:hAnsi="宋体" w:eastAsia="宋体" w:cs="宋体"/>
          <w:color w:val="auto"/>
          <w:kern w:val="0"/>
          <w:sz w:val="24"/>
          <w:highlight w:val="none"/>
          <w:u w:val="single"/>
        </w:rPr>
        <w:t>）工程进度完成80%，付至合同造价（扣除暂列金额）的70%；</w:t>
      </w:r>
    </w:p>
    <w:p w14:paraId="2C8B7307">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）完工并办理完成竣工验收后，提交竣工验收报告表2份，按合同造价（扣除暂列金额）累计付至85%。</w:t>
      </w:r>
    </w:p>
    <w:p w14:paraId="2A1E4115">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u w:val="single"/>
        </w:rPr>
        <w:t>）工程验收合格后送交完整竣工图纸及相关竣工验收资料，按工程结算审核付至结算总造价的97%。</w:t>
      </w:r>
    </w:p>
    <w:p w14:paraId="05BC4245">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lang w:val="en-US" w:eastAsia="zh-CN"/>
        </w:rPr>
        <w:t>6</w:t>
      </w:r>
      <w:r>
        <w:rPr>
          <w:rFonts w:hint="eastAsia" w:ascii="宋体" w:hAnsi="宋体" w:eastAsia="宋体" w:cs="宋体"/>
          <w:color w:val="auto"/>
          <w:kern w:val="0"/>
          <w:sz w:val="24"/>
          <w:highlight w:val="none"/>
          <w:u w:val="single"/>
        </w:rPr>
        <w:t>）剩余的3%质保金在保修期满及完成保修项目后十五天内无息返还 。</w:t>
      </w:r>
    </w:p>
    <w:p w14:paraId="73BD37FF">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乙方申请支付工程进度款时需呈送等额发票和请款申请报告（一式四份），说明工程进度和申请支付金额。</w:t>
      </w:r>
      <w:r>
        <w:rPr>
          <w:rFonts w:hint="eastAsia" w:ascii="宋体" w:hAnsi="宋体" w:eastAsia="宋体" w:cs="宋体"/>
          <w:color w:val="auto"/>
          <w:kern w:val="0"/>
          <w:sz w:val="24"/>
          <w:highlight w:val="none"/>
          <w:u w:val="single"/>
          <w:lang w:val="en-US" w:eastAsia="zh-CN"/>
        </w:rPr>
        <w:t>合同付款页复印件加盖公章</w:t>
      </w:r>
      <w:r>
        <w:rPr>
          <w:rFonts w:hint="eastAsia" w:ascii="宋体" w:hAnsi="宋体" w:eastAsia="宋体" w:cs="宋体"/>
          <w:color w:val="auto"/>
          <w:kern w:val="0"/>
          <w:sz w:val="24"/>
          <w:highlight w:val="none"/>
          <w:u w:val="single"/>
        </w:rPr>
        <w:t>（一式</w:t>
      </w:r>
      <w:r>
        <w:rPr>
          <w:rFonts w:hint="eastAsia" w:ascii="宋体" w:hAnsi="宋体" w:eastAsia="宋体" w:cs="宋体"/>
          <w:color w:val="auto"/>
          <w:kern w:val="0"/>
          <w:sz w:val="24"/>
          <w:highlight w:val="none"/>
          <w:u w:val="single"/>
          <w:lang w:val="en-US" w:eastAsia="zh-CN"/>
        </w:rPr>
        <w:t>二</w:t>
      </w:r>
      <w:r>
        <w:rPr>
          <w:rFonts w:hint="eastAsia" w:ascii="宋体" w:hAnsi="宋体" w:eastAsia="宋体" w:cs="宋体"/>
          <w:color w:val="auto"/>
          <w:kern w:val="0"/>
          <w:sz w:val="24"/>
          <w:highlight w:val="none"/>
          <w:u w:val="single"/>
        </w:rPr>
        <w:t>份）。施工单位送审的工程结算书，经基建处初审后交由政府要求的审核机构进行终审。工程结算尾款待乙方根据终审金额开具等额发票后支付。</w:t>
      </w:r>
    </w:p>
    <w:p w14:paraId="3A6C2228">
      <w:pPr>
        <w:pStyle w:val="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 本期间支付或扣留（扣回）的其他款项：</w:t>
      </w:r>
    </w:p>
    <w:p w14:paraId="549212B0">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28.2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变更增加的工程的支付方式：经发包人审核后纳入进度款一并支付，累计支付至合同价（含暂列金额）的85%停止支付。</w:t>
      </w:r>
    </w:p>
    <w:p w14:paraId="62C629A2">
      <w:pPr>
        <w:autoSpaceDE w:val="0"/>
        <w:autoSpaceDN w:val="0"/>
        <w:adjustRightInd w:val="0"/>
        <w:spacing w:before="20" w:line="360" w:lineRule="auto"/>
        <w:ind w:right="11" w:firstLine="45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29、质保金支付</w:t>
      </w:r>
    </w:p>
    <w:p w14:paraId="64712F45">
      <w:pPr>
        <w:autoSpaceDE w:val="0"/>
        <w:autoSpaceDN w:val="0"/>
        <w:adjustRightInd w:val="0"/>
        <w:spacing w:before="20" w:line="360" w:lineRule="auto"/>
        <w:ind w:right="11" w:firstLine="45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29.1质保期满完成质保责任后申请质保金，乙方负责提供：</w:t>
      </w:r>
    </w:p>
    <w:p w14:paraId="50FE64CD">
      <w:pPr>
        <w:autoSpaceDE w:val="0"/>
        <w:autoSpaceDN w:val="0"/>
        <w:adjustRightInd w:val="0"/>
        <w:spacing w:before="20" w:line="360" w:lineRule="auto"/>
        <w:ind w:right="11" w:firstLine="45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1、质保金请款报告一式四份;</w:t>
      </w:r>
    </w:p>
    <w:p w14:paraId="6CF27588">
      <w:pPr>
        <w:autoSpaceDE w:val="0"/>
        <w:autoSpaceDN w:val="0"/>
        <w:adjustRightInd w:val="0"/>
        <w:spacing w:before="20" w:line="360" w:lineRule="auto"/>
        <w:ind w:right="11" w:firstLine="45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2、单位工程质保期质量证明书一式四份。</w:t>
      </w:r>
    </w:p>
    <w:p w14:paraId="7566071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7013E8CC">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七、设备材料供应</w:t>
      </w:r>
    </w:p>
    <w:p w14:paraId="6614553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30、承包人采购设备材料：</w:t>
      </w:r>
    </w:p>
    <w:p w14:paraId="0B0FC883">
      <w:pPr>
        <w:autoSpaceDE w:val="0"/>
        <w:autoSpaceDN w:val="0"/>
        <w:adjustRightInd w:val="0"/>
        <w:spacing w:before="20" w:line="360" w:lineRule="auto"/>
        <w:ind w:right="11" w:firstLine="45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30.6 本工程使用的工程设备材料，必须按国家质量监督部门和国家有关施工规范执行（提供生产厂家的合格证及质检部门的产品检验合格证）；</w:t>
      </w:r>
      <w:r>
        <w:rPr>
          <w:rFonts w:hint="eastAsia" w:ascii="宋体" w:hAnsi="宋体" w:eastAsia="宋体" w:cs="宋体"/>
          <w:color w:val="auto"/>
          <w:sz w:val="24"/>
          <w:highlight w:val="none"/>
        </w:rPr>
        <w:t>若乙方使用进口</w:t>
      </w:r>
      <w:r>
        <w:rPr>
          <w:rFonts w:hint="eastAsia" w:ascii="宋体" w:hAnsi="宋体" w:eastAsia="宋体" w:cs="宋体"/>
          <w:color w:val="auto"/>
          <w:sz w:val="24"/>
          <w:highlight w:val="none"/>
          <w:lang w:val="zh-CN"/>
        </w:rPr>
        <w:t>设备材料</w:t>
      </w:r>
      <w:r>
        <w:rPr>
          <w:rFonts w:hint="eastAsia" w:ascii="宋体" w:hAnsi="宋体" w:eastAsia="宋体" w:cs="宋体"/>
          <w:color w:val="auto"/>
          <w:sz w:val="24"/>
          <w:highlight w:val="none"/>
        </w:rPr>
        <w:t>，则还须提供合法的进口手续和商检证明。</w:t>
      </w:r>
    </w:p>
    <w:p w14:paraId="377994D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30.7 本工程的各种材料必须满足发包人技术规格要求。</w:t>
      </w:r>
    </w:p>
    <w:p w14:paraId="751E00A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30.8 本工程采用的各种材料、设备，在订货前，乙方必须提供生产厂家合格证书和实验报告，主要材料、设备还必须提供样板并经发包人确认同意后方可采购。否则如发生货不对板的情况，该货物不得在本工程使用，且由乙方独自承担所有损失。</w:t>
      </w:r>
    </w:p>
    <w:p w14:paraId="4EB87BE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30.9 对于承包人采购的材料设备，无论发包人有无条件到生产、制造现场监造或验收，该类材料设备到达施工现场后经验收发现质量问题的，均应由承包人承担责任。承包人应负责修复或拆除或重新采购，并承担由此发生的费用，赔偿发包人的损失，由此延误的工期不予顺延。</w:t>
      </w:r>
    </w:p>
    <w:p w14:paraId="52C9E52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0EB97955">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八、工程变更</w:t>
      </w:r>
    </w:p>
    <w:p w14:paraId="1A49A81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31、工程设计变更</w:t>
      </w:r>
    </w:p>
    <w:p w14:paraId="68EAD51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31.4  如实施过程中发现设计上有错误或严重不合理，承包人应以书面形式通知发包人，经发包人审查并报发包人同意后，由发包人与设计单位商定修改或变更设计方案进行实施。</w:t>
      </w:r>
    </w:p>
    <w:p w14:paraId="3CAD928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31.5  变更应由发包人发出变更指令，没有发包人发出的指令，承包人不得进行上述变更。</w:t>
      </w:r>
    </w:p>
    <w:p w14:paraId="55B10A3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31.6  所有涉及工期的变更均应获得发包人正式批准才能生效。</w:t>
      </w:r>
    </w:p>
    <w:p w14:paraId="54F7257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33、确定变更价款</w:t>
      </w:r>
    </w:p>
    <w:p w14:paraId="5FFA447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33.7  在发生第31款所述规定的变更后，承包人在收到发包人变更通知的7天内按合同规定的计价方式内容编出变更工程预算送交发包人，发包人在7天内审核并签署意见后报发包人，发包人收到后10天内答复。</w:t>
      </w:r>
    </w:p>
    <w:p w14:paraId="1482142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33.8  在工程变更价款计算时，承包人按如下方法提出变更价格，报发包人批准。</w:t>
      </w:r>
    </w:p>
    <w:p w14:paraId="21838A93">
      <w:pPr>
        <w:autoSpaceDE w:val="0"/>
        <w:autoSpaceDN w:val="0"/>
        <w:adjustRightInd w:val="0"/>
        <w:spacing w:line="360" w:lineRule="auto"/>
        <w:ind w:left="885" w:leftChars="250" w:hanging="360" w:hangingChars="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(1)项目工程量改变时，按实计算工程量，并沿用相应项目的综合单价。工程量改变是指经发包人批准的深化设计施工图内容与实际施工内容对比发生变化，引起工程量的变化(增加或减少)。</w:t>
      </w:r>
    </w:p>
    <w:p w14:paraId="305EB7D6">
      <w:pPr>
        <w:autoSpaceDE w:val="0"/>
        <w:autoSpaceDN w:val="0"/>
        <w:adjustRightInd w:val="0"/>
        <w:spacing w:line="360" w:lineRule="auto"/>
        <w:ind w:left="885" w:leftChars="250" w:hanging="360" w:hangingChars="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(2)仅主材、设备变更，只调整综合单价（完全单价）分析表中主材、设备价格，其余一切有关费用不得调整。</w:t>
      </w:r>
    </w:p>
    <w:p w14:paraId="42CA971E">
      <w:pPr>
        <w:autoSpaceDE w:val="0"/>
        <w:autoSpaceDN w:val="0"/>
        <w:adjustRightInd w:val="0"/>
        <w:spacing w:before="20" w:line="360" w:lineRule="auto"/>
        <w:ind w:left="820" w:leftChars="219" w:right="11" w:hanging="360" w:hangingChars="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(3)工程量清单中未有的项目，按照执行</w:t>
      </w:r>
      <w:r>
        <w:rPr>
          <w:rFonts w:hint="eastAsia" w:ascii="宋体" w:hAnsi="宋体" w:eastAsia="宋体" w:cs="宋体"/>
          <w:color w:val="auto"/>
          <w:sz w:val="24"/>
          <w:highlight w:val="none"/>
          <w:lang w:val="en-US" w:eastAsia="zh-CN"/>
        </w:rPr>
        <w:t>2018年</w:t>
      </w:r>
      <w:r>
        <w:rPr>
          <w:rFonts w:hint="eastAsia" w:ascii="宋体" w:hAnsi="宋体" w:eastAsia="宋体" w:cs="宋体"/>
          <w:color w:val="auto"/>
          <w:sz w:val="24"/>
          <w:highlight w:val="none"/>
          <w:lang w:val="zh-CN"/>
        </w:rPr>
        <w:t>《广东省建设工程计价依据》、</w:t>
      </w:r>
      <w:r>
        <w:rPr>
          <w:rFonts w:hint="eastAsia" w:ascii="宋体" w:hAnsi="宋体" w:eastAsia="宋体" w:cs="宋体"/>
          <w:color w:val="auto"/>
          <w:sz w:val="24"/>
          <w:highlight w:val="none"/>
          <w:lang w:val="en-US" w:eastAsia="zh-CN"/>
        </w:rPr>
        <w:t>2018年</w:t>
      </w:r>
      <w:r>
        <w:rPr>
          <w:rFonts w:hint="eastAsia" w:ascii="宋体" w:hAnsi="宋体" w:eastAsia="宋体" w:cs="宋体"/>
          <w:color w:val="auto"/>
          <w:sz w:val="24"/>
          <w:highlight w:val="none"/>
          <w:lang w:val="zh-CN"/>
        </w:rPr>
        <w:t>《广东省建设工程计价通则》、</w:t>
      </w:r>
      <w:r>
        <w:rPr>
          <w:rFonts w:hint="eastAsia" w:ascii="宋体" w:hAnsi="宋体" w:eastAsia="宋体" w:cs="宋体"/>
          <w:color w:val="auto"/>
          <w:sz w:val="24"/>
          <w:highlight w:val="none"/>
          <w:lang w:val="en-US" w:eastAsia="zh-CN"/>
        </w:rPr>
        <w:t>2018年</w:t>
      </w:r>
      <w:r>
        <w:rPr>
          <w:rFonts w:hint="eastAsia" w:ascii="宋体" w:hAnsi="宋体" w:eastAsia="宋体" w:cs="宋体"/>
          <w:color w:val="auto"/>
          <w:sz w:val="24"/>
          <w:highlight w:val="none"/>
          <w:lang w:val="zh-CN"/>
        </w:rPr>
        <w:t>《广东省建筑与装饰工程综合定额》、</w:t>
      </w:r>
      <w:r>
        <w:rPr>
          <w:rFonts w:hint="eastAsia" w:ascii="宋体" w:hAnsi="宋体" w:eastAsia="宋体" w:cs="宋体"/>
          <w:color w:val="auto"/>
          <w:sz w:val="24"/>
          <w:highlight w:val="none"/>
          <w:lang w:val="en-US" w:eastAsia="zh-CN"/>
        </w:rPr>
        <w:t>2018年</w:t>
      </w:r>
      <w:r>
        <w:rPr>
          <w:rFonts w:hint="eastAsia" w:ascii="宋体" w:hAnsi="宋体" w:eastAsia="宋体" w:cs="宋体"/>
          <w:color w:val="auto"/>
          <w:sz w:val="24"/>
          <w:highlight w:val="none"/>
          <w:lang w:val="zh-CN"/>
        </w:rPr>
        <w:t>《广东省安装工程综合定额》、</w:t>
      </w:r>
      <w:r>
        <w:rPr>
          <w:rFonts w:hint="eastAsia" w:ascii="宋体" w:hAnsi="宋体" w:eastAsia="宋体" w:cs="宋体"/>
          <w:color w:val="auto"/>
          <w:sz w:val="24"/>
          <w:highlight w:val="none"/>
          <w:lang w:val="en-US" w:eastAsia="zh-CN"/>
        </w:rPr>
        <w:t>2018年</w:t>
      </w:r>
      <w:r>
        <w:rPr>
          <w:rFonts w:hint="eastAsia" w:ascii="宋体" w:hAnsi="宋体" w:eastAsia="宋体" w:cs="宋体"/>
          <w:color w:val="auto"/>
          <w:sz w:val="24"/>
          <w:highlight w:val="none"/>
          <w:lang w:val="zh-CN"/>
        </w:rPr>
        <w:t>《广东省市政工程综合定额》和</w:t>
      </w:r>
      <w:r>
        <w:rPr>
          <w:rFonts w:hint="eastAsia" w:ascii="宋体" w:hAnsi="宋体" w:eastAsia="宋体" w:cs="宋体"/>
          <w:color w:val="auto"/>
          <w:sz w:val="24"/>
          <w:highlight w:val="none"/>
          <w:lang w:val="en-US" w:eastAsia="zh-CN"/>
        </w:rPr>
        <w:t>2018年</w:t>
      </w:r>
      <w:r>
        <w:rPr>
          <w:rFonts w:hint="eastAsia" w:ascii="宋体" w:hAnsi="宋体" w:eastAsia="宋体" w:cs="宋体"/>
          <w:color w:val="auto"/>
          <w:sz w:val="24"/>
          <w:highlight w:val="none"/>
          <w:lang w:val="zh-CN"/>
        </w:rPr>
        <w:t>《广东省园林绿化工程综合定额》确定人工、机械和材料的消耗量，执行相应计价程序。</w:t>
      </w:r>
    </w:p>
    <w:p w14:paraId="77C45F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a. 土建工程计价按照《广东省建筑与装饰工程综合定额（201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年）》</w:t>
      </w:r>
    </w:p>
    <w:p w14:paraId="2458CE47">
      <w:pPr>
        <w:spacing w:line="360" w:lineRule="auto"/>
        <w:ind w:left="765" w:leftChars="25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b. 安装工程计价按照《广东省安装工程综合定额（201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年）》</w:t>
      </w:r>
    </w:p>
    <w:p w14:paraId="493AA3B0">
      <w:pPr>
        <w:spacing w:line="360" w:lineRule="auto"/>
        <w:ind w:left="765" w:leftChars="25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c.</w:t>
      </w:r>
      <w:r>
        <w:rPr>
          <w:rFonts w:hint="eastAsia" w:ascii="宋体" w:hAnsi="宋体" w:eastAsia="宋体" w:cs="宋体"/>
          <w:b w:val="0"/>
          <w:bCs w:val="0"/>
          <w:color w:val="auto"/>
          <w:sz w:val="24"/>
          <w:highlight w:val="none"/>
          <w:lang w:val="zh-CN"/>
        </w:rPr>
        <w:t>设备、材料价格执行广州市</w:t>
      </w:r>
      <w:r>
        <w:rPr>
          <w:rFonts w:hint="eastAsia" w:ascii="宋体" w:hAnsi="宋体" w:eastAsia="宋体" w:cs="宋体"/>
          <w:b w:val="0"/>
          <w:bCs w:val="0"/>
          <w:color w:val="auto"/>
          <w:sz w:val="24"/>
          <w:highlight w:val="none"/>
          <w:lang w:val="en-US" w:eastAsia="zh-CN"/>
        </w:rPr>
        <w:t>2026</w:t>
      </w:r>
      <w:r>
        <w:rPr>
          <w:rFonts w:hint="eastAsia" w:ascii="宋体" w:hAnsi="宋体" w:eastAsia="宋体" w:cs="宋体"/>
          <w:b w:val="0"/>
          <w:bCs w:val="0"/>
          <w:color w:val="auto"/>
          <w:sz w:val="24"/>
          <w:highlight w:val="none"/>
          <w:lang w:val="zh-CN"/>
        </w:rPr>
        <w:t>年</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zh-CN"/>
        </w:rPr>
        <w:t>月份《广州地区建设工程常用材料税前综合价格》和《广州地区建设工程材料（设备）厂商价格信息》下浮10%进行结算，若广州市</w:t>
      </w:r>
      <w:r>
        <w:rPr>
          <w:rFonts w:hint="eastAsia" w:ascii="宋体" w:hAnsi="宋体" w:eastAsia="宋体" w:cs="宋体"/>
          <w:b w:val="0"/>
          <w:bCs w:val="0"/>
          <w:color w:val="auto"/>
          <w:sz w:val="24"/>
          <w:highlight w:val="none"/>
          <w:lang w:val="en-US" w:eastAsia="zh-CN"/>
        </w:rPr>
        <w:t>2026</w:t>
      </w:r>
      <w:r>
        <w:rPr>
          <w:rFonts w:hint="eastAsia" w:ascii="宋体" w:hAnsi="宋体" w:eastAsia="宋体" w:cs="宋体"/>
          <w:b w:val="0"/>
          <w:bCs w:val="0"/>
          <w:color w:val="auto"/>
          <w:sz w:val="24"/>
          <w:highlight w:val="none"/>
          <w:lang w:val="zh-CN"/>
        </w:rPr>
        <w:t>年</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zh-CN"/>
        </w:rPr>
        <w:t>月份《广州地区建设工程常用材料税前综合价格》和《广州地区建设工程材料（设备）厂商价格信息》中没有此设备、材料价格则按市场询价并经采购人审定后进行结算。该部分子目造价按上述计</w:t>
      </w:r>
      <w:r>
        <w:rPr>
          <w:rFonts w:hint="eastAsia" w:ascii="宋体" w:hAnsi="宋体" w:eastAsia="宋体" w:cs="宋体"/>
          <w:color w:val="auto"/>
          <w:sz w:val="24"/>
          <w:highlight w:val="none"/>
          <w:lang w:val="zh-CN"/>
        </w:rPr>
        <w:t>价税前下浮（1-中标价/招标最高限价）办理结算；</w:t>
      </w:r>
    </w:p>
    <w:p w14:paraId="65C5ADB5">
      <w:pPr>
        <w:autoSpaceDE w:val="0"/>
        <w:autoSpaceDN w:val="0"/>
        <w:adjustRightInd w:val="0"/>
        <w:spacing w:line="360" w:lineRule="auto"/>
        <w:ind w:left="885" w:leftChars="250" w:hanging="360" w:hangingChars="1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(4)有变更、签证工程只能计算投标时的清单项目费用，不能计算措施项目费和其他项目费。</w:t>
      </w:r>
    </w:p>
    <w:p w14:paraId="720EC08C">
      <w:pPr>
        <w:spacing w:line="360" w:lineRule="auto"/>
        <w:ind w:left="1047" w:leftChars="270" w:hanging="480" w:hanging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（5）其他条款约定：</w:t>
      </w:r>
      <w:r>
        <w:rPr>
          <w:rFonts w:hint="eastAsia" w:ascii="宋体" w:hAnsi="宋体" w:eastAsia="宋体" w:cs="宋体"/>
          <w:color w:val="auto"/>
          <w:sz w:val="24"/>
          <w:highlight w:val="none"/>
        </w:rPr>
        <w:t>甲方只承担最终审核结算造价10％的审核费用，超出最终审核结算造价10%以上部分审核费用由乙方负责。具体计算方法：</w:t>
      </w:r>
    </w:p>
    <w:p w14:paraId="4780B2F5">
      <w:pPr>
        <w:numPr>
          <w:ilvl w:val="0"/>
          <w:numId w:val="9"/>
        </w:numPr>
        <w:tabs>
          <w:tab w:val="left" w:pos="1050"/>
          <w:tab w:val="clear" w:pos="1290"/>
        </w:tabs>
        <w:spacing w:line="360" w:lineRule="auto"/>
        <w:ind w:left="1050" w:hanging="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院方负责费用=最终审核结算造价×10%×审核单位审核标准；</w:t>
      </w:r>
    </w:p>
    <w:p w14:paraId="6E8DBE98">
      <w:pPr>
        <w:numPr>
          <w:ilvl w:val="0"/>
          <w:numId w:val="9"/>
        </w:numPr>
        <w:tabs>
          <w:tab w:val="left" w:pos="945"/>
          <w:tab w:val="clear" w:pos="1290"/>
        </w:tabs>
        <w:spacing w:line="360" w:lineRule="auto"/>
        <w:ind w:left="1050" w:hanging="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施工单位负责费用=±（最终审核结算价-施工单位送审结算价）×审核单位审核标准-院方负责费用。</w:t>
      </w:r>
    </w:p>
    <w:p w14:paraId="257F2D66">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33.8.3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w:t>
      </w:r>
    </w:p>
    <w:p w14:paraId="336A78B0">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33.8.4由于发包人指令而引起的施工方案的变更，若承包人认为产生了增加费用，承包人应在发包人发出指令后3-7天(时间视变更大小而定)内向发包人提交增加费用报告，报告内应说明变更原因、增加费用金额、增加费用计算书，经发包人同意后方可实施。若承包人不按规定提供增加费用报告经发包人批准，该类指令所涉及的增加费用视为包括在合同价款中。</w:t>
      </w:r>
    </w:p>
    <w:p w14:paraId="781FCE6F">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33.8.5整个合同执行期间,由承包人提出的施工方案变更，所增加的费用结算时不作调整. </w:t>
      </w:r>
    </w:p>
    <w:p w14:paraId="2EA1370F">
      <w:pPr>
        <w:autoSpaceDE w:val="0"/>
        <w:autoSpaceDN w:val="0"/>
        <w:adjustRightInd w:val="0"/>
        <w:spacing w:before="20"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33.8.6在变更实施过程中，承包人应在发生变更的必要工序提请发包人确认实际发生的情况，以此作为将来费用计量的依据，否则发包人可以拒绝计量，发包人无须支付相关费用，费用由承包人自负。</w:t>
      </w:r>
    </w:p>
    <w:p w14:paraId="608E3429">
      <w:pPr>
        <w:autoSpaceDE w:val="0"/>
        <w:autoSpaceDN w:val="0"/>
        <w:adjustRightInd w:val="0"/>
        <w:spacing w:before="20" w:line="360" w:lineRule="auto"/>
        <w:rPr>
          <w:rFonts w:hint="eastAsia" w:ascii="宋体" w:hAnsi="宋体" w:eastAsia="宋体" w:cs="宋体"/>
          <w:color w:val="auto"/>
          <w:sz w:val="24"/>
          <w:highlight w:val="none"/>
          <w:lang w:val="zh-CN"/>
        </w:rPr>
      </w:pPr>
    </w:p>
    <w:p w14:paraId="18F2B728">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 xml:space="preserve">九、竣工验收、移交与结算  </w:t>
      </w:r>
    </w:p>
    <w:p w14:paraId="6F589C94">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34、竣工验收</w:t>
      </w:r>
    </w:p>
    <w:p w14:paraId="77D35A03">
      <w:pPr>
        <w:autoSpaceDE w:val="0"/>
        <w:autoSpaceDN w:val="0"/>
        <w:adjustRightInd w:val="0"/>
        <w:spacing w:before="20" w:line="360" w:lineRule="auto"/>
        <w:ind w:firstLine="48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34.1工程具备竣工验收条件，承包人按国家工程竣工验收有关规定，向发包人提供完整竣工资料四份，竣工图六份及竣工验收报告。</w:t>
      </w:r>
    </w:p>
    <w:p w14:paraId="5DD8A1FA">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52B8C6D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34.3 发包人应在验收后14天内给予认可或提出修改意见。承包人按要求修改，并承担由自身原因造成修改的费用。</w:t>
      </w:r>
    </w:p>
    <w:p w14:paraId="25962C3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34.4发包人收到承包人送交的竣工验收报告后28天内无故不组织验收，或验收后14天内不提出修改意见，视为竣工验收报告已被认可。</w:t>
      </w:r>
    </w:p>
    <w:p w14:paraId="2E43CC3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34.5工程竣工验收通过，承包人送交竣工验收报告的日期为实际竣工日期。工程按发包人要求修改后通过竣工验收的，实际竣工日期为承包人修改后提请发包人验收的日期。</w:t>
      </w:r>
    </w:p>
    <w:p w14:paraId="6BFA471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34.6发包人收到承包人竣工验收报告后28天内不组织验收，从第29天起承担工程保管及一切意外责任。</w:t>
      </w:r>
    </w:p>
    <w:p w14:paraId="4240E28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34.7中间交工工程的范围和竣工时间，双方在《合同专用条款》内约定，其验收程序按本《合同通用条款》17条款办理。</w:t>
      </w:r>
    </w:p>
    <w:p w14:paraId="44F5AB0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34.8因特殊原因，发包人要求部分单位工程或工程部位甩项竣工的，双方另行签订甩项竣工协议，明确双方责任和工程价款的支付方法。</w:t>
      </w:r>
    </w:p>
    <w:p w14:paraId="7CAC45A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rPr>
        <w:t>34.9 经验收评定，工程质量及工程内容符合合同要求的，发包人、承包人、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5795EDE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34.10工程未经竣工验收或竣工验收未通过的，发包人不得使用。发包人强行使用时，由此发生的质量问题及其他问题，由发包人承担责任。</w:t>
      </w:r>
    </w:p>
    <w:p w14:paraId="116AF3F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34.11 承包人应按如下程序进行竣工资料准备：</w:t>
      </w:r>
    </w:p>
    <w:p w14:paraId="27CBE0D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34.11.1承包人有责任根据竣工图验收要求对分包单位所绘制的竣工图进行符合性审查。</w:t>
      </w:r>
    </w:p>
    <w:p w14:paraId="72A102C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34.11.2承包人有义务对专业管理、分包单位的工程资料按照国家《城市建设档案管理规定》、《广州市城市建设档案管理办法》和发包人的具体要求进行收集、整理、编制、汇总和管理。承包人有义务对专业管理、分包单位资料的完备性、有效性进行检查，对不符合要求的资料，要求分包单位限期进行整改，整改后再上报承包人。</w:t>
      </w:r>
    </w:p>
    <w:p w14:paraId="6FC4870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34.11.3 验收依据和标准：施工图纸，图纸说明，设计变更资料和图纸，技术交底及会议纪要，国家颁布的施工验收规范、规定。</w:t>
      </w:r>
    </w:p>
    <w:p w14:paraId="40B44CD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34.11.4专业分包工程需单独验收的，经承包人预验合格后，属专业分包项目的再报发包人专业负责工程师进行预验；不属专业分包项目的由房建施工单位进行预验，合格后由该分包单位与专业工程验收管理部门、发包人协商确定验收时间，并及时通知承包人参与验收。</w:t>
      </w:r>
    </w:p>
    <w:p w14:paraId="5CAD57D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34.11.5专业分包工程不需要办理单独验收的，经承包人预验合格后，属专业分包项目的再报发包人专业负责工程师进行预验；不属专业分包项目的由房建施工单位进行预验，合格后由分包单位、承包人、发包人协商验收。</w:t>
      </w:r>
    </w:p>
    <w:p w14:paraId="56619045">
      <w:pPr>
        <w:autoSpaceDE w:val="0"/>
        <w:autoSpaceDN w:val="0"/>
        <w:adjustRightInd w:val="0"/>
        <w:spacing w:before="20" w:line="360" w:lineRule="auto"/>
        <w:ind w:right="11" w:firstLine="48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35、工程移交</w:t>
      </w:r>
    </w:p>
    <w:p w14:paraId="655EA3B7">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35.1工程移交</w:t>
      </w:r>
    </w:p>
    <w:p w14:paraId="2B1855DC">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35.1.1承包人应在工程项目移交前将场地清理干净，将无关机械设备及材料撤离现场，保证移交的工程项目环境洁净、安全卫生。</w:t>
      </w:r>
    </w:p>
    <w:p w14:paraId="75F487BA">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35.1.2承包人应于工程竣工验收合格后15天内按要求提供相关资料，整理汇编成工程移交手册，协助项目经营管理单位尽快熟悉工程项目各部分、各系统的情况，为项目经营管理单位的接收、使用、维护、管理做准备。移交手册包括但不限于以下内容：</w:t>
      </w:r>
    </w:p>
    <w:p w14:paraId="5FB2B88C">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（1）工程项目各部分、各系统的工程概况；</w:t>
      </w:r>
    </w:p>
    <w:p w14:paraId="728F22C8">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（2）工程项目全部的图纸清单；</w:t>
      </w:r>
    </w:p>
    <w:p w14:paraId="2991F66A">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（3）工程项目的承包人、主要材料设备供货商清单、联系人及电话；</w:t>
      </w:r>
    </w:p>
    <w:p w14:paraId="08FC2699">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（4）各系统的设计功能、使用功能或使用说明；</w:t>
      </w:r>
    </w:p>
    <w:p w14:paraId="3657C75A">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（5）主要材料设备的数量；</w:t>
      </w:r>
    </w:p>
    <w:p w14:paraId="43B28C68">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（6）工程、材料、设备的保修书（包括保修内容、期限、联系人、电话等）；</w:t>
      </w:r>
    </w:p>
    <w:p w14:paraId="76876606">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35.1.3承包人应在进行35.1.2款工作的同时编写工程项目移交计划，并于35.1.2款工作完成后3天内组织发包人、承包人、项目经营管理单位进行工程项目移交：</w:t>
      </w:r>
    </w:p>
    <w:p w14:paraId="79D229A0">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（1）按移交手册的资料清单移交图纸、资料；</w:t>
      </w:r>
    </w:p>
    <w:p w14:paraId="7D5C7DFA">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（2）按移交手册的数量清单清点主要材料设备的数量；</w:t>
      </w:r>
    </w:p>
    <w:p w14:paraId="0A9870B1">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（3）按移交手册的设计、使用功能说明进行必要的功能性试验（或组织各方参加政府制定机构、第三方检测机构进行的功能性试验）；</w:t>
      </w:r>
    </w:p>
    <w:p w14:paraId="7AE65EE0">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（4）按移交手册的说明进行系统的试运行（或组织各方参加政府制定机构、第三方检测机构进行的功能性试验），测试主要设备的运行参数；</w:t>
      </w:r>
    </w:p>
    <w:p w14:paraId="2D184782">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（5）组织发包人、承包人、项目经营管理单位各方对上述移交过程进行签认；</w:t>
      </w:r>
    </w:p>
    <w:p w14:paraId="12119B3D">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（6）对移交过程中发现的质量问题进行记录并及时组织责任方进行维修，验收合格后重新组织移交；</w:t>
      </w:r>
    </w:p>
    <w:p w14:paraId="07C9A47B">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（7）对于某些在操作上有专门要求的系统督促承包方按承包合同要求对项目经营管理单位人员进行培训。</w:t>
      </w:r>
    </w:p>
    <w:p w14:paraId="7B23E67F">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35.2竣工档案的整理和移交</w:t>
      </w:r>
    </w:p>
    <w:p w14:paraId="1AD57037">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35.2.1承包人应按照国家《城市建设档案管理规定》、《广州市城市建设档案管理办法》和发包人有关整理工程档案的要求，在工程施工期间及时收集、汇总、整理、编制竣工档案，并于工程竣工验收前按广州市建设工程档案整理与移交办法向发包人完整移交如下竣工档案：</w:t>
      </w:r>
    </w:p>
    <w:p w14:paraId="275E8A19">
      <w:pPr>
        <w:numPr>
          <w:ilvl w:val="0"/>
          <w:numId w:val="10"/>
        </w:numPr>
        <w:autoSpaceDE w:val="0"/>
        <w:autoSpaceDN w:val="0"/>
        <w:adjustRightInd w:val="0"/>
        <w:spacing w:line="360" w:lineRule="auto"/>
        <w:ind w:left="720" w:hanging="7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竣工文件资料、竣工图档案（原件）各一式六份；</w:t>
      </w:r>
    </w:p>
    <w:p w14:paraId="6B34C515">
      <w:pPr>
        <w:numPr>
          <w:ilvl w:val="0"/>
          <w:numId w:val="10"/>
        </w:numPr>
        <w:autoSpaceDE w:val="0"/>
        <w:autoSpaceDN w:val="0"/>
        <w:adjustRightInd w:val="0"/>
        <w:spacing w:line="360" w:lineRule="auto"/>
        <w:ind w:left="720" w:hanging="7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与本款1）项内容相同的电子版档案一式二份；</w:t>
      </w:r>
    </w:p>
    <w:p w14:paraId="0A0ABA7E">
      <w:pPr>
        <w:numPr>
          <w:ilvl w:val="0"/>
          <w:numId w:val="10"/>
        </w:numPr>
        <w:autoSpaceDE w:val="0"/>
        <w:autoSpaceDN w:val="0"/>
        <w:adjustRightInd w:val="0"/>
        <w:spacing w:line="360" w:lineRule="auto"/>
        <w:ind w:left="720" w:hanging="72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声像档案一式二份。</w:t>
      </w:r>
    </w:p>
    <w:p w14:paraId="7D2E21B6">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承包人移交竣工档案的时限：承包人应于工程竣工验收后15天内将竣工档案提交工程</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审查。经</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审查合格后，承包人应及时将竣工档案移交给发包人归档并同时移交有关归档的证明文件。发包人经审查合格的，应在收到竣工档案后10天内签署档案验收意见；不合格的，要求承包人限期补正，直至合格为止。</w:t>
      </w:r>
    </w:p>
    <w:p w14:paraId="418602F8">
      <w:pPr>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35.2.2电子版竣工图的编制，以发包人提供的电子版施工图为基础。承包人在移交竣工档案时，应一并移交发包人提供的电子版施工图。</w:t>
      </w:r>
    </w:p>
    <w:p w14:paraId="4907F92F">
      <w:pPr>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电子版施工图和电子版竣工图的知识产权归属发包人所有，非经发包人许可，承包人不得以任何方式复制、备份、转让和利用。否则，由此引起的任何纠纷和责任由承包人承担。</w:t>
      </w:r>
    </w:p>
    <w:p w14:paraId="5ABE0F73">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35.2.3承包人应督促其工程分包单位及时做好竣工资料整理工作，于分包工程竣工验收后25天内将全部档案资料移交给承包人，由承包人汇总、归档，并在承包人移交竣工档案时一并移交。</w:t>
      </w:r>
    </w:p>
    <w:p w14:paraId="0676F914">
      <w:pPr>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35.2.5因承包人的原因致使发包人未能按照国家规定向政府有关部门移交工程竣工档案而受到经济处罚的，由承包人承担全额赔偿责任。</w:t>
      </w:r>
    </w:p>
    <w:p w14:paraId="1CD189CC">
      <w:pPr>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35.3由承包人先移交给发包人、然后再发包人移交给项目经营管理单位的工程项目，承包人仍应按发包人的要求及上述约定予以协助。</w:t>
      </w:r>
    </w:p>
    <w:p w14:paraId="528C7A63">
      <w:pPr>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35.4工程项目移交给项目经营管理单位后，由项目经营管理单位替代发包人在本合同中的地位，承继发包人的权利义务。</w:t>
      </w:r>
    </w:p>
    <w:p w14:paraId="562B5A41">
      <w:pPr>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35.5承包人参与移交或协助移交的所有费用均已包含在合同总价之内。</w:t>
      </w:r>
    </w:p>
    <w:p w14:paraId="4BB3271C">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36、竣工结算</w:t>
      </w:r>
    </w:p>
    <w:p w14:paraId="210500F1">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36.1承包人与发包人一致同意，《通用条款》第35.3款中发包人拖欠工程价款的利息改按同期银行活期存款利率计算。但是结算时间应以上级有关审核部门审定结算后开始计算，若28天内无正当理由不支付工程竣工结算价款，从第29天起按同期银行活期存款利率计算支付拖欠工程价款的利息，并承担违约责任。</w:t>
      </w:r>
    </w:p>
    <w:p w14:paraId="712A7CF4">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36.2结算方式：按本工程招标文件合同规定办理，按单体项目编制结算书，单体项目的结算结果可作为本工程进度款拨付依据。</w:t>
      </w:r>
    </w:p>
    <w:p w14:paraId="23E72B6A">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36.3承包人提交结算报告的时间：竣工验收合格后30天内。</w:t>
      </w:r>
    </w:p>
    <w:p w14:paraId="3B264122">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36.4发包人批准结算报告的时间：发包人收到承包人提交的完整竣工结算资料及结算报告后60天内（其中含</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审核时间30天）审定，并及时报上级部门批准。</w:t>
      </w:r>
    </w:p>
    <w:p w14:paraId="38FBDE55">
      <w:pPr>
        <w:suppressAutoHyphens/>
        <w:autoSpaceDE w:val="0"/>
        <w:autoSpaceDN w:val="0"/>
        <w:adjustRightInd w:val="0"/>
        <w:spacing w:before="20" w:line="360" w:lineRule="auto"/>
        <w:ind w:firstLine="36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36.5承包人应当向发包人提供如下竣工结算资料</w:t>
      </w:r>
      <w:r>
        <w:rPr>
          <w:rFonts w:hint="eastAsia" w:ascii="宋体" w:hAnsi="宋体" w:eastAsia="宋体" w:cs="宋体"/>
          <w:color w:val="auto"/>
          <w:sz w:val="24"/>
          <w:highlight w:val="none"/>
          <w:u w:val="single"/>
        </w:rPr>
        <w:t>（一式四份）</w:t>
      </w:r>
    </w:p>
    <w:p w14:paraId="36C9B791">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（1）结算书；（附结算资料目录表、结算编制对数授权委托书）</w:t>
      </w:r>
    </w:p>
    <w:p w14:paraId="52778D57">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（2）工程量计算书（即计算底稿）；</w:t>
      </w:r>
    </w:p>
    <w:p w14:paraId="4688AE93">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（3）合同书；</w:t>
      </w:r>
    </w:p>
    <w:p w14:paraId="644EFB81">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（4）工程竣工图（含电子版）；</w:t>
      </w:r>
    </w:p>
    <w:p w14:paraId="7022DAFA">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（5）工程竣工资料（含电子版）；</w:t>
      </w:r>
    </w:p>
    <w:p w14:paraId="01BE584F">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（6）图纸会审记录；</w:t>
      </w:r>
    </w:p>
    <w:p w14:paraId="0B8F8B70">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（7）设计变更单；</w:t>
      </w:r>
    </w:p>
    <w:p w14:paraId="4DB87609">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（8）工程洽商记录；</w:t>
      </w:r>
    </w:p>
    <w:p w14:paraId="44ED6CF4">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（9）监理工程师通知或发包人施工指令；</w:t>
      </w:r>
    </w:p>
    <w:p w14:paraId="0859AFAC">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（10）会议纪要；</w:t>
      </w:r>
    </w:p>
    <w:p w14:paraId="53A8377C">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（11）现场签证单；</w:t>
      </w:r>
    </w:p>
    <w:p w14:paraId="386C5415">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（12）材料设备单价呈批审核单；</w:t>
      </w:r>
    </w:p>
    <w:p w14:paraId="13D5F81D">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（13）综合单价呈批审核单；</w:t>
      </w:r>
    </w:p>
    <w:p w14:paraId="103E94C4">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（14）其他结算资料；</w:t>
      </w:r>
    </w:p>
    <w:p w14:paraId="387C2CB2">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（15）移交资料签收表。</w:t>
      </w:r>
    </w:p>
    <w:p w14:paraId="40D37ED8">
      <w:pPr>
        <w:suppressAutoHyphens/>
        <w:autoSpaceDE w:val="0"/>
        <w:autoSpaceDN w:val="0"/>
        <w:adjustRightInd w:val="0"/>
        <w:spacing w:before="20" w:line="360" w:lineRule="auto"/>
        <w:ind w:firstLine="360"/>
        <w:rPr>
          <w:rFonts w:hint="eastAsia" w:ascii="宋体" w:hAnsi="宋体" w:eastAsia="宋体" w:cs="宋体"/>
          <w:color w:val="auto"/>
          <w:kern w:val="0"/>
          <w:sz w:val="24"/>
          <w:highlight w:val="none"/>
          <w:lang w:val="zh-CN"/>
        </w:rPr>
      </w:pPr>
    </w:p>
    <w:p w14:paraId="623CDDDA">
      <w:pPr>
        <w:suppressAutoHyphens/>
        <w:autoSpaceDE w:val="0"/>
        <w:autoSpaceDN w:val="0"/>
        <w:adjustRightInd w:val="0"/>
        <w:spacing w:before="20" w:line="360" w:lineRule="auto"/>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36.6发包人对送审结算资料的具体要求</w:t>
      </w:r>
    </w:p>
    <w:p w14:paraId="6099C69D">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结算书：每项工程的结算书要求分两部分编制：第一部分是以竣工图为依据编制部分，要求以竣工图纸、投标中标价构成的内容为主要部分，包括竣工图、图纸会审记录、设计变更、发包人施工指令等；第二部分以现场签证、工程洽商记录以及其它有关费用为依据编制部分。上述两部分不应有重复列项的内容，用电脑编制的结算书要求提供相应的拷贝磁盘。</w:t>
      </w:r>
    </w:p>
    <w:p w14:paraId="0441C91C">
      <w:pPr>
        <w:tabs>
          <w:tab w:val="left" w:pos="1080"/>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工程量计算书（即计算底稿）：工程量计算书应由工程量汇总表和详细的工程量计算式组成，工程量应有详细的计算表达式，施工图、图纸会审记录、设计变更、工程洽商记录、现场签证单、发包人施工指令等部分的内容应在工程量计算式中一次计算。用电脑编制的工程量计算书应提供相应的拷贝磁盘。</w:t>
      </w:r>
    </w:p>
    <w:p w14:paraId="1AEC5096">
      <w:pPr>
        <w:tabs>
          <w:tab w:val="left" w:pos="1080"/>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（3）合同书：包括发包人与承包人签订的合同书、经发包人确认的承包人与第三方签订的分包合同、各类补充合同、合同附件等，要求将上述合同文件列出总目录按顺序整理装订成册。</w:t>
      </w:r>
    </w:p>
    <w:p w14:paraId="044BDB97">
      <w:pPr>
        <w:tabs>
          <w:tab w:val="left" w:pos="1080"/>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竣工图：用于结算的竣工图必须有承包人竣工图专用章及其相关人员签字，有发包人的审核人签字和单位盖章确认。经发包人、设计确认的图纸会审记录、设计变更、工程洽商记录、发包人施工指令等内容均应反映在相应的竣工图上。对未在竣工图上反映的图纸会审记录、设计变更和工程洽商记录等，其费用的增减，在结算评审中不予考虑。</w:t>
      </w:r>
    </w:p>
    <w:p w14:paraId="2227B7D1">
      <w:pPr>
        <w:tabs>
          <w:tab w:val="left" w:pos="1080"/>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w:t>
      </w:r>
      <w:r>
        <w:rPr>
          <w:rFonts w:hint="eastAsia" w:ascii="宋体" w:hAnsi="宋体" w:eastAsia="宋体" w:cs="宋体"/>
          <w:color w:val="auto"/>
          <w:kern w:val="0"/>
          <w:sz w:val="24"/>
          <w:highlight w:val="none"/>
          <w:lang w:val="zh-CN"/>
        </w:rPr>
        <w:tab/>
      </w:r>
      <w:r>
        <w:rPr>
          <w:rFonts w:hint="eastAsia" w:ascii="宋体" w:hAnsi="宋体" w:eastAsia="宋体" w:cs="宋体"/>
          <w:color w:val="auto"/>
          <w:kern w:val="0"/>
          <w:sz w:val="24"/>
          <w:highlight w:val="none"/>
          <w:lang w:val="zh-CN"/>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竣工资料要求发包人在确认表上盖章确认，以证明竣工资料上的相关内容与该项目送审资料的实际内容相一致。整理装订成册的竣工资料需编制总目录，并在每一页的下方统一编号，以便于查找。负责整个工程竣工资料统一归档工作。</w:t>
      </w:r>
    </w:p>
    <w:p w14:paraId="5B7B0BE0">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（6）图纸会审记录：要求按图纸会审的时间先后整理装订成册，图纸会审记录须有各单位参加会审人员签字及会审单位盖章确认。</w:t>
      </w:r>
    </w:p>
    <w:p w14:paraId="0BF69A3C">
      <w:pPr>
        <w:tabs>
          <w:tab w:val="left" w:pos="1140"/>
          <w:tab w:val="left" w:pos="126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7）设计变更单：要求按设计变更的时间先后整理（安装工程要分专业）装订成册。设计变更单要求有设计人员的签名及设计单位的盖章，同时要求有发包人同意按相关的设计变更进行施工的签认意见和盖章确认。</w:t>
      </w:r>
    </w:p>
    <w:p w14:paraId="4B7D741C">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（8）工程洽商记录：要求根据工程洽商记录的时间先后整理装订成册，然后在每一页的下方统一编号，以便于查找。工程洽商记录要求有监理单位和发包人相关人员的签字和单位盖章确认。</w:t>
      </w:r>
    </w:p>
    <w:p w14:paraId="0C90DBE4">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w:t>
      </w:r>
      <w:r>
        <w:rPr>
          <w:rFonts w:hint="eastAsia" w:ascii="宋体" w:hAnsi="宋体" w:eastAsia="宋体" w:cs="宋体"/>
          <w:color w:val="auto"/>
          <w:kern w:val="0"/>
          <w:sz w:val="24"/>
          <w:highlight w:val="none"/>
          <w:lang w:val="zh-CN"/>
        </w:rPr>
        <w:tab/>
      </w:r>
      <w:r>
        <w:rPr>
          <w:rFonts w:hint="eastAsia" w:ascii="宋体" w:hAnsi="宋体" w:eastAsia="宋体" w:cs="宋体"/>
          <w:color w:val="auto"/>
          <w:kern w:val="0"/>
          <w:sz w:val="24"/>
          <w:highlight w:val="none"/>
          <w:lang w:val="zh-CN"/>
        </w:rPr>
        <w:t>发包人施工指令：要求根据发包人施工指令的时间先后整理装订成册，然后在每一页的下方统一编号。发包人相关人员的签字和单位盖章确认，发包人施工指令要求有发包人相关人员的签字和单位盖章确认。</w:t>
      </w:r>
    </w:p>
    <w:p w14:paraId="7B26887F">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10）会议纪要：指工程质量、安全、技术、经济等现场协调会会议纪要等。要求根据会议纪要的时间先后整理装订成册，然后在每一页的下方统一编号。会议纪要要求有参与会议的各方代表签字，并有发包人盖章确认。</w:t>
      </w:r>
    </w:p>
    <w:p w14:paraId="22E58D2E">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（11）</w:t>
      </w:r>
      <w:r>
        <w:rPr>
          <w:rFonts w:hint="eastAsia" w:ascii="宋体" w:hAnsi="宋体" w:eastAsia="宋体" w:cs="宋体"/>
          <w:color w:val="auto"/>
          <w:kern w:val="0"/>
          <w:sz w:val="24"/>
          <w:highlight w:val="none"/>
          <w:lang w:val="zh-CN"/>
        </w:rPr>
        <w:tab/>
      </w:r>
      <w:r>
        <w:rPr>
          <w:rFonts w:hint="eastAsia" w:ascii="宋体" w:hAnsi="宋体" w:eastAsia="宋体" w:cs="宋体"/>
          <w:color w:val="auto"/>
          <w:kern w:val="0"/>
          <w:sz w:val="24"/>
          <w:highlight w:val="none"/>
          <w:lang w:val="zh-CN"/>
        </w:rPr>
        <w:t>现场签证单：要求根据现场签证单的时间先后整理装订成册，然后在每一页的下方统一编号，现场签证单上应有工程数量的计算过程和施工简图，由承包人盖章确认，并有发包人相关人员签字和单位盖章确认，并且有上述单位的造价工程师对工程造价进行审核的签字和盖章。</w:t>
      </w:r>
    </w:p>
    <w:p w14:paraId="7AEAD49C">
      <w:pPr>
        <w:tabs>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有效材料设备价格凭证等。每份审核单手续必需完备，要求有发包人相关人员的签字和单位盖章确认。</w:t>
      </w:r>
    </w:p>
    <w:p w14:paraId="265351B5">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（13）</w:t>
      </w:r>
      <w:r>
        <w:rPr>
          <w:rFonts w:hint="eastAsia" w:ascii="宋体" w:hAnsi="宋体" w:eastAsia="宋体" w:cs="宋体"/>
          <w:color w:val="auto"/>
          <w:kern w:val="0"/>
          <w:sz w:val="24"/>
          <w:highlight w:val="none"/>
          <w:lang w:val="zh-CN"/>
        </w:rPr>
        <w:tab/>
      </w:r>
      <w:r>
        <w:rPr>
          <w:rFonts w:hint="eastAsia" w:ascii="宋体" w:hAnsi="宋体" w:eastAsia="宋体" w:cs="宋体"/>
          <w:color w:val="auto"/>
          <w:kern w:val="0"/>
          <w:sz w:val="24"/>
          <w:highlight w:val="none"/>
          <w:lang w:val="zh-CN"/>
        </w:rPr>
        <w:t>综合单价（完全单价）呈批审核单：在作为合同附件之一的工程量清单中未列但在施工过程中发生的项目，应由承包人编制单价分析表，盖章确认后报发包人审核综合单价（完全单价）。在结算资料送审时，要求按综合单价（完全单价）呈批审核单的编号顺序整理装订成册。每项审核单应附有相关的资料或注明相关资料在送审结算资料的哪一部分和哪一页位置上，如材料设备专题会议纪录、设计变更、工程洽商记录、通知等。每份综合单价（完全单价）呈批审核单手续必需完备，要求有发包人相关人员的签字和单位盖章确认，并且有上述单位的造价工程师对综合单价（完全单价）进行审核的签字和盖章。</w:t>
      </w:r>
    </w:p>
    <w:p w14:paraId="4DF4B9B0">
      <w:pPr>
        <w:tabs>
          <w:tab w:val="left" w:pos="114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14）其他结算资料：凡上述未提及而在结算评审中需要的资料均需提供，例如：施工日记、地质勘察报告、非常用的标准图集、应由承包人承担而由建设单位支付的费用证明如发包人代缴施工水电费票据、余泥排放费证明等。</w:t>
      </w:r>
    </w:p>
    <w:p w14:paraId="51CC049D">
      <w:pPr>
        <w:tabs>
          <w:tab w:val="left" w:pos="1140"/>
          <w:tab w:val="left" w:pos="1260"/>
          <w:tab w:val="left" w:pos="1875"/>
        </w:tabs>
        <w:suppressAutoHyphens/>
        <w:autoSpaceDE w:val="0"/>
        <w:autoSpaceDN w:val="0"/>
        <w:adjustRightInd w:val="0"/>
        <w:spacing w:before="20" w:line="360" w:lineRule="auto"/>
        <w:ind w:left="896" w:hanging="53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（15）</w:t>
      </w:r>
      <w:r>
        <w:rPr>
          <w:rFonts w:hint="eastAsia" w:ascii="宋体" w:hAnsi="宋体" w:eastAsia="宋体" w:cs="宋体"/>
          <w:color w:val="auto"/>
          <w:kern w:val="0"/>
          <w:sz w:val="24"/>
          <w:highlight w:val="none"/>
          <w:lang w:val="zh-CN"/>
        </w:rPr>
        <w:tab/>
      </w:r>
      <w:r>
        <w:rPr>
          <w:rFonts w:hint="eastAsia" w:ascii="宋体" w:hAnsi="宋体" w:eastAsia="宋体" w:cs="宋体"/>
          <w:color w:val="auto"/>
          <w:kern w:val="0"/>
          <w:sz w:val="24"/>
          <w:highlight w:val="none"/>
          <w:lang w:val="zh-CN"/>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三方单位的印章。</w:t>
      </w:r>
    </w:p>
    <w:p w14:paraId="6D3DD5AA">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36.7承包人迟延提交结算报告的，发包人批准结算报告的时间相应顺延。由于结算报告存在错误或不完整而退回承包人修改或补充的，发包人批准结算报告的时间从收到修改或补充的结算报告后重新计算。</w:t>
      </w:r>
    </w:p>
    <w:p w14:paraId="484454DF">
      <w:pPr>
        <w:autoSpaceDE w:val="0"/>
        <w:autoSpaceDN w:val="0"/>
        <w:adjustRightInd w:val="0"/>
        <w:spacing w:before="20" w:line="360" w:lineRule="auto"/>
        <w:ind w:right="11"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36.8承包人提交的结算报告虽有错误或不完整，但其中有部分手续齐全并可以单独结算的，发包人可就该部分进行审批。</w:t>
      </w:r>
    </w:p>
    <w:p w14:paraId="572178E0">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4E798AF4">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十、违约、索赔和争议</w:t>
      </w:r>
    </w:p>
    <w:p w14:paraId="132D361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0D195634">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37、违约</w:t>
      </w:r>
    </w:p>
    <w:p w14:paraId="22CA600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37.1发包人违约的情形及承担违约责任的方式</w:t>
      </w:r>
    </w:p>
    <w:p w14:paraId="369E677F">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发包人违约的情形仅限于违反《合同专用条款》第26.1款及《合同专用条款》第28款、第36.1款之约定三种，承担违约责任的方式如下：</w:t>
      </w:r>
    </w:p>
    <w:p w14:paraId="7229FD2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 xml:space="preserve">）违反《合同专用条款》第28款约定而应承担的违约责任：发包人不按合同约定支付工程进度款的，除应支付本合同约定的工程进度款外，还应按同期银行活期存款利率给承包人计付利息；造成承包人不能按合同约定进行施工的，工期应按发包人延迟支付工程进度款的时间予以顺延。 </w:t>
      </w:r>
    </w:p>
    <w:p w14:paraId="11486345">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违反《合同专用条款》第36.1款约定而应承担的违约责任：发包人无正当理由不支付承包人工程竣工结算款的，除应支付承包人工程竣工结算款外，还应按同期银行活期存款利率给承包人计付拖欠工程价款期间的利息。</w:t>
      </w:r>
    </w:p>
    <w:p w14:paraId="611F3429">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37.2承包人违约的情形及承担违约责任的方式</w:t>
      </w:r>
    </w:p>
    <w:p w14:paraId="65301D1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37.2.1承包人承担违约责任的方式包括但不限于：</w:t>
      </w:r>
    </w:p>
    <w:p w14:paraId="27064A73">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(1)书面警告。承包人未履行或未按时履行或未按质履行义务及不执行发包人（含主管人员）的指令时，发包人有权向承包人发出书面警告，每次书面警告，承包人应当支付违约金人民币1000元给发包人。</w:t>
      </w:r>
    </w:p>
    <w:p w14:paraId="7F4BDE7F">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限期改正。承包人受到书面警告后仍不改正，发包人有权向承包人发出《违约责任通知书》，同时发包人视承包人不良行为的严重程度有权直接向承包人发出《违约责任通知书》，要求承包人必须在发包人限定的时间内履行义务。同时，承包人应当向发包人支付违约金人民币3000元。</w:t>
      </w:r>
    </w:p>
    <w:p w14:paraId="6E6BAB99">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一般违约责任。承包人违反本合同的约定须承担一般违约责任时，必须主动向发包人交纳违约金人民币0.5万元/次；若承包人再在同一事项或不同事项中犯性质相同的违约行为，第2次须主动向发包人交纳违约金人民币1万元，3次以上（含3次）须主动向发包人交纳违约金人民币1.5万元/次。</w:t>
      </w:r>
    </w:p>
    <w:p w14:paraId="757EA7E6">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（4）严重违约责任。承包人违反本合同的约定须承担严重违约责任时，必须向发包人交纳违约金人民币3万元/次。</w:t>
      </w:r>
    </w:p>
    <w:p w14:paraId="68E80C2E">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部分解除合同。当承包人违反本合同的约定符合解除部分合同的条件时，发包人有权向承包人发出书面解除部分合同的通知，该通知在送达承包人时部分解除合同即生效。部分解除合同的法律后果依照第46条的相关约定执行。</w:t>
      </w:r>
    </w:p>
    <w:p w14:paraId="2D77662E">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解除合同。当承包人违反本合同的约定符合解除全部合同的条件时，发包人有权向承包人发出书面解除全部合同的通知，该通知在送达承包人时解除合同即生效。解除合同的法律后果依照第46条的相关约定执行。</w:t>
      </w:r>
    </w:p>
    <w:p w14:paraId="29A63496">
      <w:pPr>
        <w:tabs>
          <w:tab w:val="left" w:pos="1125"/>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（7）赔偿损失。因承包人原因造成发包人经济损失的，承包人应向发包人赔偿因其造成的经济损失。</w:t>
      </w:r>
    </w:p>
    <w:p w14:paraId="69DE8DD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37.2.2在本合同有效期内，累计三次限期改正责任追加1次一般违约责任；累计三次一般违约责任追加1次严重违约责任；累计三次严重违约责任，发包人有权单方部分或全部解除合同。</w:t>
      </w:r>
    </w:p>
    <w:p w14:paraId="49DF850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37.2.3 根据本条37.2款各项的规定，承包人违约须向发包人支付违约金或赔偿金时，发包人有权从应支付给承包人的工程款中直接抵扣；抵扣款项计入工程累计进度款，结算时不予退还，承包人不得有异议。</w:t>
      </w:r>
    </w:p>
    <w:p w14:paraId="1C396B0F">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37.2.4工期延误方面的违约责任</w:t>
      </w:r>
    </w:p>
    <w:p w14:paraId="5D47F5D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承包人违反协议书及《合同专用条款》第11.1款约定延期开工的，每迟延开工1天，应给发包人支付本工程暂定合同价款3‰的违约金；迟延开工超过10天的，发包人有权解除合同，将本工程另行发包，并不免除承包人的违约赔偿责任。</w:t>
      </w:r>
    </w:p>
    <w:p w14:paraId="5577724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（2）承包人违反《合同专用条款》第12.1款约定单方停工的，比照第37.2.4款（1）项承担违约责任。</w:t>
      </w:r>
    </w:p>
    <w:p w14:paraId="3E9444B9">
      <w:pPr>
        <w:tabs>
          <w:tab w:val="left" w:pos="184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 承包人违反第13.2.2款的约定造成工程关键节点工期延误时，每延误1天的，应给发包人支付本工程暂定合同价款3‰的违约金；延误超过5天的，发包人有权停止支付当月的工程进度款；延误10天以上的，承包人应在2天内制定出具体可行的自行赶工措施，报发包人批准。如发包人认为承包人的赶工计划不可行，则发包人有权解除合同，并要求承包人赔偿发包人的实际损失。</w:t>
      </w:r>
    </w:p>
    <w:p w14:paraId="2F0A87D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 承包人违反《合同通用条款》第14.2款约定造成工程不能按照合同协议书及《合同专用条款》约定的竣工日期竣工的，每逾期1日，承包人必须按暂定合同价款的</w:t>
      </w:r>
      <w:r>
        <w:rPr>
          <w:rFonts w:hint="eastAsia" w:ascii="宋体" w:hAnsi="宋体" w:eastAsia="宋体" w:cs="宋体"/>
          <w:color w:val="auto"/>
          <w:highlight w:val="none"/>
          <w:lang w:val="en-US" w:eastAsia="zh-CN"/>
        </w:rPr>
        <w:t>1‰</w:t>
      </w:r>
      <w:r>
        <w:rPr>
          <w:rFonts w:hint="eastAsia" w:ascii="宋体" w:hAnsi="宋体" w:eastAsia="宋体" w:cs="宋体"/>
          <w:color w:val="auto"/>
          <w:sz w:val="24"/>
          <w:highlight w:val="none"/>
          <w:lang w:val="zh-CN"/>
        </w:rPr>
        <w:t>向发包人支付违约金（违约金的总额不超过暂定合同价款的</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％），并赔偿发包人因此遭受的实际损失；逾期超过30天的，承包人除必须支付违约金和赔偿损失外，发包人还有权单方解除未完成部分工程合同。</w:t>
      </w:r>
    </w:p>
    <w:p w14:paraId="134CFFEC">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37.2.5  工程质量方面的违约责任</w:t>
      </w:r>
    </w:p>
    <w:p w14:paraId="7F9AD7E3">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发包人（或机电设备材料管理单位）抽查承包人的工程材料时，发现所检查的材料与合同约定的标准的任何一项不符合时，承包人除必须全部退货、返工，并赔偿发包人由此遭受的实际损失外，承包人应当按照该批次材料的价值，按照如下方式承担违约责任：</w:t>
      </w:r>
    </w:p>
    <w:p w14:paraId="02F89587">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A、单宗或批次材料价值在10万元（含10万元）以下的，承包人承担1次一般违约责任。</w:t>
      </w:r>
    </w:p>
    <w:p w14:paraId="77E043F5">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B、单宗或批次材料价值10-50万元（含50万元）的，承包人承担1次严重违约责任。</w:t>
      </w:r>
    </w:p>
    <w:p w14:paraId="52715EF3">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C、单宗或批次材料价值在50万元（不含50万元）以上的，发包人有权部分解除合同或解除合同。</w:t>
      </w:r>
    </w:p>
    <w:p w14:paraId="53178ED0">
      <w:pPr>
        <w:tabs>
          <w:tab w:val="left" w:pos="1276"/>
        </w:tabs>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D、对于单宗或批次材料价值不高于5万元（含5万元）、累计抽检不合格达3次的，每发生一例，承包人承担1次一般违约责任。 </w:t>
      </w:r>
    </w:p>
    <w:p w14:paraId="729C57C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必须对各工序报验核查质量控制点。承包人申请报验后，经发包人检查发现存在较大质量问题（如存在质量问题的部分超过检查部分工程的10%的），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并不免除承包人应承担的违约赔偿责任。</w:t>
      </w:r>
    </w:p>
    <w:p w14:paraId="18487B8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工程保修期内发现重大质量不合格问题（该重大质量问题应界定为达不到要求的质量标准，属质量保修的问题除外），承包人必须在规定的期限返工达到合同约定的质量等级并赔偿由此造成发包人的损失，同时按该不合格项目所处分项工程造价的5%向发包人支付违约金。工程保修期从所处分项工程返工验收合格之日起重新计算。</w:t>
      </w:r>
    </w:p>
    <w:p w14:paraId="3ED1B737">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37.2.6  安全生产方面的违约责任</w:t>
      </w:r>
    </w:p>
    <w:p w14:paraId="5DB04BD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 承包人在政府行政主管部门组织的质量安全检查中，被发现存在严重的安全隐患，被通报批评，或被新闻媒体曝光造成不良影响的，被通报或被曝光1次，承包人必须承担1次严重违约责任；造成严重社会影响或累计被通报或被曝光3次以上（含本数）的，发包人有权解除合同，将本工程另行发包，并不免除承包人应承担的违约赔偿责任。</w:t>
      </w:r>
    </w:p>
    <w:p w14:paraId="118A9879">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 承包人在发包人、进行的日常质量安全检查中，被发现存在安全隐患的，承包人应限期改正。若同样问题被发现2次的或累计类似问题被发现3次，承包人必须承担1次一般违约责任；此类问题的认定，以发包人书面通知、指令、通报和会议纪要为准。</w:t>
      </w:r>
    </w:p>
    <w:p w14:paraId="4812CD2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（3）承包人因自身原因造成的重大质量安全事故的，除按国家规定由行业主管部门处罚外，承包人必须依照下列约定承担违约责任：</w:t>
      </w:r>
    </w:p>
    <w:p w14:paraId="659BB6F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A、发生特别重大事故，承包人按事故所处分项工程总价的15%向发包人支付违约金，违约金的数额不得低于5万元；</w:t>
      </w:r>
    </w:p>
    <w:p w14:paraId="25C7B3F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B、发生重大事故，承包人按事故所处分项工程总价的12%向发包人支付违约金，违约金的数额不得低于3万元；</w:t>
      </w:r>
    </w:p>
    <w:p w14:paraId="3FC6C79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C、发生较大事故，承包人按事故所处分项工程总价的10%向发包人支付违约金，违约金数额不得低于14,042.00元；</w:t>
      </w:r>
    </w:p>
    <w:p w14:paraId="04BF2B1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D、发生一般事故，承包人按事故所处分项工程总价的8%向发包人支付违约金，违约金数额不得低于1万元。</w:t>
      </w:r>
    </w:p>
    <w:p w14:paraId="325EF00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发生上述重大事故，发包人视情况的严重性，有权部分或全部解除合同。</w:t>
      </w:r>
    </w:p>
    <w:p w14:paraId="009F55F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承包人依照上述约定支付违约金后，所支付的违约金不足于弥补由此给发包人造成的损失的，承包人必须据实赔偿。</w:t>
      </w:r>
    </w:p>
    <w:p w14:paraId="2C335AD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37.2.7  文明施工、环境保护方面的违约责任</w:t>
      </w:r>
    </w:p>
    <w:p w14:paraId="29456A0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发包人按照本《合同专用条款》第24.1款的约定，对承包人文明施工措施进行对照检查。经检查发现承包人因自身原因未能落实的，承包人必须承担1次一般违约责任，并限期改正；如不限期改正，承包人须承担1次严重违约责任。</w:t>
      </w:r>
    </w:p>
    <w:p w14:paraId="101AAE8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在政府行政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并要求承包人赔偿由此造成的损失。</w:t>
      </w:r>
    </w:p>
    <w:p w14:paraId="1A2CDAF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 承包人在施工过程中因其自身原因造成周围环境卫生状况较差，被其他施工单位或周围居民投诉的，承包人必须在当天内整改。若故意拖延或同样问题累计被投诉2次，或累计被投诉3次，经查实，承包人必须承担1次一般违约责任。</w:t>
      </w:r>
    </w:p>
    <w:p w14:paraId="2D3A6FE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37.2.8  工程转包、分包方面的违约责任</w:t>
      </w:r>
    </w:p>
    <w:p w14:paraId="2E90F66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承包人转包或者擅自分包工程的，发包人有权单方部分解除合同或解除合同，由此而造成的经济损失由承包人负责赔偿。</w:t>
      </w:r>
    </w:p>
    <w:p w14:paraId="0FB0B7C8">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  专业工程管理和配合服务方面的违约责任</w:t>
      </w:r>
    </w:p>
    <w:p w14:paraId="1B28D681">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37.2.9.1承包人不服从土建总承包单位管理，经</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发出限期改正通知后3天内，承包人仍未能整改至令</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满意的，每发生一例，承包人应承担1次一般违约责任。因此给发包人造成损失的，承包人应予赔偿。</w:t>
      </w:r>
    </w:p>
    <w:p w14:paraId="5706770B">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37.2.9.2承包</w:t>
      </w:r>
      <w:r>
        <w:rPr>
          <w:rFonts w:hint="eastAsia" w:ascii="宋体" w:hAnsi="宋体" w:eastAsia="宋体" w:cs="宋体"/>
          <w:color w:val="auto"/>
          <w:kern w:val="0"/>
          <w:sz w:val="24"/>
          <w:highlight w:val="none"/>
          <w:lang w:val="zh-CN"/>
        </w:rPr>
        <w:t>人不按合同约定</w:t>
      </w:r>
      <w:r>
        <w:rPr>
          <w:rFonts w:hint="eastAsia" w:ascii="宋体" w:hAnsi="宋体" w:eastAsia="宋体" w:cs="宋体"/>
          <w:color w:val="auto"/>
          <w:sz w:val="24"/>
          <w:highlight w:val="none"/>
          <w:lang w:val="zh-CN"/>
        </w:rPr>
        <w:t>对工程交接、整个园林景观工程设备的联合调试及竣工验收实施管理，</w:t>
      </w:r>
      <w:r>
        <w:rPr>
          <w:rFonts w:hint="eastAsia" w:ascii="宋体" w:hAnsi="宋体" w:eastAsia="宋体" w:cs="宋体"/>
          <w:color w:val="auto"/>
          <w:kern w:val="0"/>
          <w:sz w:val="24"/>
          <w:highlight w:val="none"/>
          <w:lang w:val="zh-CN"/>
        </w:rPr>
        <w:t>经</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发出限期改正通知后3天内，承包人仍未能整改至令</w:t>
      </w:r>
      <w:r>
        <w:rPr>
          <w:rFonts w:hint="eastAsia" w:ascii="宋体" w:hAnsi="宋体" w:eastAsia="宋体" w:cs="宋体"/>
          <w:color w:val="auto"/>
          <w:sz w:val="24"/>
          <w:highlight w:val="none"/>
          <w:lang w:val="zh-CN"/>
        </w:rPr>
        <w:t>发包人</w:t>
      </w:r>
      <w:r>
        <w:rPr>
          <w:rFonts w:hint="eastAsia" w:ascii="宋体" w:hAnsi="宋体" w:eastAsia="宋体" w:cs="宋体"/>
          <w:color w:val="auto"/>
          <w:kern w:val="0"/>
          <w:sz w:val="24"/>
          <w:highlight w:val="none"/>
          <w:lang w:val="zh-CN"/>
        </w:rPr>
        <w:t>满意的，每发生一例，承包人应承担1次一般违约责任。因此给发包人造成损失的，承包人应予赔偿。</w:t>
      </w:r>
    </w:p>
    <w:p w14:paraId="1E6CCE6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37.2.10  人员投入不到位方面的违约责任</w:t>
      </w:r>
    </w:p>
    <w:p w14:paraId="66E1BB44">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（1）承包人违反第7.1款、第7.6款约定的，每发现一例，承包人必须按照发包人的指令限期改正，并承担1次一般违约责任；承包人拒不限期改正的，必须承担1次严重违约责任，直至部分或全部解除合同。</w:t>
      </w:r>
    </w:p>
    <w:p w14:paraId="0EDAC7E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承包人必须服从发包人管理，主动支持发包人的工作，对发包人的指令，若无正当理由而公开或变相拒不执行的，发包人视情节严重程度有权要求承包人承担一般违约及以上的违约责任，承包人并应承担由此造成的一切经济损失。</w:t>
      </w:r>
    </w:p>
    <w:p w14:paraId="19D8993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（3）承包人的项目经理或技术负责人必须参加发包人主持的工程例会和其他要求的专题会议。除获得发包人批准外，每缺席1次，承包人须承担1次一般违约责任。</w:t>
      </w:r>
    </w:p>
    <w:p w14:paraId="4D6F35D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对每次考评不合格的，承包人必须按照发包人的指令限期改正，并承担1次一般违约责任。承包人拒不限期改正的，或整改效果不明显的，承包人必须承担1次严重违约责任。若连续2次或累计3次考评不合格，承包人必须承担1次严重违约责任，并必须按照发包人的指令限期改正。承包人拒不限期改正的，或整改效果不明显的，发包人有权单方部分解除合同或解除合同。若连续3次或累计4次考评不合格，发包人有权全部解除合同，承包人必须无条件服从，由此所造成的损失（含另行发包的合同价差）全部由承包人承担，同时，并不免除承包人的违约赔偿责任。有关部分或全部解除合同按第46条执行。</w:t>
      </w:r>
    </w:p>
    <w:p w14:paraId="754A4E9F">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37.2.11 民工工资支付方面的违约责任</w:t>
      </w:r>
    </w:p>
    <w:p w14:paraId="11BF1088">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（1）承包人违反9.7款的规定，被民工投诉属实的，承包人必须在3天内予以发放拖欠的款项。若继续拖延被投诉2次及以上，经查实，承包人必须承担1次一般违约责任。</w:t>
      </w:r>
    </w:p>
    <w:p w14:paraId="76AB56B1">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若仍然不予整改并发放拖欠的款项，使民工采取停工、集聚围阻发包人办公地点甚至政府办公部门等过激行动的，承包人必须承担严重违约责任，并立即采取切实有效措施予以整改；拒不采取切实有效的措施整改的，或整改效果不明显的，发包人有权部分或全部解除合同，并要求承包人赔偿由此造成的损失。</w:t>
      </w:r>
    </w:p>
    <w:p w14:paraId="4C850A69">
      <w:pPr>
        <w:autoSpaceDE w:val="0"/>
        <w:autoSpaceDN w:val="0"/>
        <w:adjustRightInd w:val="0"/>
        <w:spacing w:before="20" w:line="360" w:lineRule="auto"/>
        <w:ind w:right="11" w:firstLine="461"/>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由于承包人或其管理的分包单位、劳务合作单位拖欠民工工资致使发包人被投诉或起诉并被判令先行垫付民工工资的，承包人除承担1次严重违约责任外，还应向发包人支付先行垫付民工工资金额的两倍作为补偿。</w:t>
      </w:r>
    </w:p>
    <w:p w14:paraId="0AD70271">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37.2.12 深化设计方面的违约责任</w:t>
      </w:r>
    </w:p>
    <w:p w14:paraId="79BB436A">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没有按规定时间提交深化设计图纸和资料的，延迟2天以内的(包括2天)，承担限期改正责任1次；延迟3-5天，承担一般违约责任一次；延迟6天以上，承担严重违约责任1次，延期10天以上，甲方有权单方部分或全部解除合同；同时，承包人应按合同总价的5%向甲方支付违约金。</w:t>
      </w:r>
    </w:p>
    <w:p w14:paraId="1EA5F8F6">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37.2.13 除上述约定之外，承包人有违反合同其他义务的，均构成违约，应当承担1次一般违约责任。</w:t>
      </w:r>
    </w:p>
    <w:p w14:paraId="38E2F0D1">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37.2.14 本合同部分或全部解除后，被解除工作内容由发包人另行发包或划拨给其他有能力的施工单位。</w:t>
      </w:r>
    </w:p>
    <w:p w14:paraId="2695870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 承包人违约责任的认定程序：</w:t>
      </w:r>
    </w:p>
    <w:p w14:paraId="685A689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37.3.1由</w:t>
      </w:r>
      <w:r>
        <w:rPr>
          <w:rFonts w:hint="eastAsia" w:ascii="宋体" w:hAnsi="宋体" w:eastAsia="宋体" w:cs="宋体"/>
          <w:color w:val="auto"/>
          <w:kern w:val="0"/>
          <w:sz w:val="24"/>
          <w:highlight w:val="none"/>
          <w:lang w:val="zh-CN"/>
        </w:rPr>
        <w:t>机电设备材料管理单位</w:t>
      </w:r>
      <w:r>
        <w:rPr>
          <w:rFonts w:hint="eastAsia" w:ascii="宋体" w:hAnsi="宋体" w:eastAsia="宋体" w:cs="宋体"/>
          <w:color w:val="auto"/>
          <w:sz w:val="24"/>
          <w:highlight w:val="none"/>
          <w:lang w:val="zh-CN"/>
        </w:rPr>
        <w:t>提出书面意见报发包人，发包人审核后，出具书面警告给承包人；</w:t>
      </w:r>
    </w:p>
    <w:p w14:paraId="2D14274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37.3.2承包人收到书面警告两天内，可向发包人提出书面意见，否则，发包人将出具《违约责任通知书》给承包人；</w:t>
      </w:r>
    </w:p>
    <w:p w14:paraId="1EA4A08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37.3.3书面警告和《违约责任通知书》于送达承包人时即生效；</w:t>
      </w:r>
    </w:p>
    <w:p w14:paraId="3B3BD7BF">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37.3.4书面警告和《违约责任通知书》送达承包人的方式为下列任一种：</w:t>
      </w:r>
    </w:p>
    <w:p w14:paraId="3CA21773">
      <w:pPr>
        <w:tabs>
          <w:tab w:val="left" w:pos="1200"/>
        </w:tabs>
        <w:autoSpaceDE w:val="0"/>
        <w:autoSpaceDN w:val="0"/>
        <w:adjustRightInd w:val="0"/>
        <w:spacing w:before="20" w:line="360" w:lineRule="auto"/>
        <w:ind w:left="8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承包人或其本项目的项目经理签收；</w:t>
      </w:r>
    </w:p>
    <w:p w14:paraId="5D59B3DB">
      <w:pPr>
        <w:tabs>
          <w:tab w:val="left" w:pos="1200"/>
        </w:tabs>
        <w:autoSpaceDE w:val="0"/>
        <w:autoSpaceDN w:val="0"/>
        <w:adjustRightInd w:val="0"/>
        <w:spacing w:before="20" w:line="360" w:lineRule="auto"/>
        <w:ind w:left="8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发包人以挂号邮寄送达。</w:t>
      </w:r>
    </w:p>
    <w:p w14:paraId="065A665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p>
    <w:p w14:paraId="77097AAE">
      <w:pPr>
        <w:autoSpaceDE w:val="0"/>
        <w:autoSpaceDN w:val="0"/>
        <w:adjustRightInd w:val="0"/>
        <w:spacing w:before="20" w:line="360" w:lineRule="auto"/>
        <w:ind w:firstLine="48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38、索赔</w:t>
      </w:r>
    </w:p>
    <w:p w14:paraId="7A85FACC">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38.1  发包人、承包人均具有向对方索赔的权力。</w:t>
      </w:r>
    </w:p>
    <w:p w14:paraId="23CB4266">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38.2  承包人向发包人索赔的程序：</w:t>
      </w:r>
    </w:p>
    <w:p w14:paraId="6B38F9AD">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38.2.1  当索赔事件首次发生后的14天内，承包人将自己的索赔意向书面通知发包人，并呈交给发包人一份副本。若索赔事件首次发生后的14天时间内，承包人未提出索赔意向书，则从第15天起，发包人有权拒绝承包人的索赔要求。</w:t>
      </w:r>
    </w:p>
    <w:p w14:paraId="431A0BC8">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38.2.2  承包人应保持索赔事件同期记录，以便合理地证明承包人后来要申请的索赔。发包人在收到承包人的索赔意向通知时，应先检查这些同期记录，并可能指定承包人进一步做好同期记录，承包人应容许发包人检查全部记录，并在发包人发出指令时提供记录的副本。</w:t>
      </w:r>
    </w:p>
    <w:p w14:paraId="296C2D6C">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38.2.3  承包人在发出索赔意向通知后的14天时间内，向发包人报送一份说明索赔所依据的理由和索赔款额的具体细节帐目的索赔报告。如果索赔事件尚未结束，承包人在索赔事件结束后的14天内，再报一份最终索赔报告给发包人。</w:t>
      </w:r>
    </w:p>
    <w:p w14:paraId="7F7AF93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38.2.4  发包人在收到承包人索赔报告或最终索赔报告后的14天时间内，将处理意见书面通知发包人、承包人双方。若双方接受，此索赔事件结束；若任何一方不接受，经再次协商仍达不成一致时，则按《合同专用条款》第39条办法处理。</w:t>
      </w:r>
    </w:p>
    <w:p w14:paraId="02612A8E">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38.3  承包人未能按合同约定履行自己的各项义务或发生错误，并给发包人造成经济损失的，发包人向承包人提出的索赔参照38.2款约定的程序执行。</w:t>
      </w:r>
    </w:p>
    <w:p w14:paraId="32336CE1">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38.4  在任何索赔和争议期间，不论索赔是否有据，均不能免除承包人按合同规定履行合同义务。承包人不得以此为借口，拒不履行或拖延合同的履行。否则发包人有权终止合同，并要求承包人赔偿由此导致的发包人的损失。</w:t>
      </w:r>
    </w:p>
    <w:p w14:paraId="33FC60C7">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39、争议</w:t>
      </w:r>
    </w:p>
    <w:p w14:paraId="4B5A5A97">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39.1  因本合同或者履行本合同所产生的争议,发包人与承包人双方协商解决；协商不成的，由广州市建设行政主管部门调解；调解不成的，任何一方均可向广州市人民法院申请诉讼。</w:t>
      </w:r>
    </w:p>
    <w:p w14:paraId="265C592B">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39.2  承包人无条件承诺：争议发生后，承包人必须在做好现场证据保全后继续按照合同要求施工，不得以解决争议为由单方面停工，或者以争议解决需要时日为由拖延竣工。否则，发包人有权先行解除与承包人的合同，承包人必须在7天内撤场。但承包人的撤场不影响其另行解决争议和索赔的权利。</w:t>
      </w:r>
    </w:p>
    <w:p w14:paraId="0FC5AC92">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p>
    <w:p w14:paraId="729641D8">
      <w:pPr>
        <w:autoSpaceDE w:val="0"/>
        <w:autoSpaceDN w:val="0"/>
        <w:adjustRightInd w:val="0"/>
        <w:spacing w:before="100" w:after="100" w:line="360" w:lineRule="auto"/>
        <w:ind w:right="11" w:firstLine="105"/>
        <w:outlineLvl w:val="2"/>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十一、其他</w:t>
      </w:r>
    </w:p>
    <w:p w14:paraId="66679F6B">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40、工程分包</w:t>
      </w:r>
    </w:p>
    <w:p w14:paraId="36FA560E">
      <w:pPr>
        <w:autoSpaceDE w:val="0"/>
        <w:autoSpaceDN w:val="0"/>
        <w:adjustRightInd w:val="0"/>
        <w:spacing w:before="2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40.1承包人的分包须符合国家、广东省、广州市有关规定，并必须取得发包人的书面同意。未经发包人书面同意,承包人不得对工程的任何部分进行转包或分包。否则，由承包人按照第37.2款约定承担违约赔偿责任。工程分包必须签订工程分包合同，明确分包合同当事人的权利义务和分包内容、分包工程量。承包人须向发包人提交分包合同副本1份和分包单位相关资质、业绩、主要管理人员和设备等备案资料。</w:t>
      </w:r>
    </w:p>
    <w:p w14:paraId="6EC5E8AB">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40.2  任何形式的分包（包括承包人自行提出的分包和发包人要求的专业分包）均不影响承包人对发包人所负的责任和义务。承包人对分包人的违约行为应承担连带责任。分包人的任何疏忽及责任，均适用《合同通用条款》和《合同专用条款》有关承包人违约责任承担的约定，并由承包人承担相应责任。</w:t>
      </w:r>
    </w:p>
    <w:p w14:paraId="197C4D39">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40.5承包人自行提出的分包必须严格按照分包工程的范围和内容履行作为分包单位的义务及承担相应的责任。必须严格遵守房建总承包单位的有关规定、管理办法、制度或细则。</w:t>
      </w:r>
    </w:p>
    <w:p w14:paraId="50781287">
      <w:pPr>
        <w:autoSpaceDE w:val="0"/>
        <w:autoSpaceDN w:val="0"/>
        <w:adjustRightInd w:val="0"/>
        <w:spacing w:before="20" w:line="360" w:lineRule="auto"/>
        <w:ind w:right="11" w:firstLine="394"/>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41、不可抗力</w:t>
      </w:r>
    </w:p>
    <w:p w14:paraId="047F4F1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41.1  不可抗力，是指不能预见、不能避免并不能克服、对本工程的施工造成重大实质性影响的自然灾害和战争、动乱（不包括承包人内部的任何纠纷和纷争）等事件。政府对本项目的政策变化、计划的调整，导致本项目不能如期进行，也属不可抗力的范围。</w:t>
      </w:r>
    </w:p>
    <w:p w14:paraId="5015A1BA">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自然灾害的范围及其认定方式，按如下约定执行：</w:t>
      </w:r>
    </w:p>
    <w:p w14:paraId="62BB109E">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异常天气：仅指50年一遇以上（含50年）的洪水、10级（含本数）以上台风，直接淹没或袭击工地为确保安全而停工。承包人应于台风、洪水天气结束之日起七日内，向本地气象部门索取广州地区台风、暴雨天气资料或报告（含气象实况及对此分析的内容），连同施工日志、施工现场照片办理证据保全公证，方可认定为是不可抗力。</w:t>
      </w:r>
    </w:p>
    <w:p w14:paraId="412D9ED8">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（2）里氏5级（含本数）以上地震。</w:t>
      </w:r>
    </w:p>
    <w:p w14:paraId="6E2FBDE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41.3  因不可抗力事件导致的费用损失，由发包人承包人各自承担自已的损失；对不可抗力事件导致的工期延误，除非一次影响工期延误大于30天，否则竣工日期不变，分段工期或者节点工期可以顺延，但承包人应当在下一个节点或分段竣工日前赶回。</w:t>
      </w:r>
    </w:p>
    <w:p w14:paraId="4470CD88">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42、保险</w:t>
      </w:r>
    </w:p>
    <w:p w14:paraId="6C419CFC">
      <w:pPr>
        <w:pStyle w:val="7"/>
        <w:keepNext w:val="0"/>
        <w:keepLines w:val="0"/>
        <w:widowControl/>
        <w:suppressLineNumbers w:val="0"/>
        <w:shd w:val="clear" w:color="auto" w:fill="FFFFFF"/>
        <w:spacing w:before="240" w:beforeAutospacing="0" w:after="240" w:afterAutospacing="0"/>
        <w:ind w:left="0" w:right="0" w:firstLine="482" w:firstLineChars="200"/>
        <w:rPr>
          <w:rFonts w:hint="eastAsia" w:ascii="宋体" w:hAnsi="宋体" w:eastAsia="宋体" w:cs="宋体"/>
          <w:i w:val="0"/>
          <w:iCs w:val="0"/>
          <w:caps w:val="0"/>
          <w:color w:val="0F1115"/>
          <w:spacing w:val="0"/>
          <w:sz w:val="24"/>
          <w:szCs w:val="24"/>
          <w:highlight w:val="none"/>
        </w:rPr>
      </w:pPr>
      <w:r>
        <w:rPr>
          <w:rStyle w:val="10"/>
          <w:rFonts w:hint="eastAsia" w:ascii="宋体" w:hAnsi="宋体" w:eastAsia="宋体" w:cs="宋体"/>
          <w:b/>
          <w:bCs/>
          <w:i w:val="0"/>
          <w:iCs w:val="0"/>
          <w:caps w:val="0"/>
          <w:color w:val="0F1115"/>
          <w:spacing w:val="0"/>
          <w:sz w:val="24"/>
          <w:szCs w:val="24"/>
          <w:highlight w:val="none"/>
          <w:shd w:val="clear" w:color="auto" w:fill="FFFFFF"/>
        </w:rPr>
        <w:t>42.1 投保义务与险种</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F1115"/>
          <w:spacing w:val="0"/>
          <w:sz w:val="24"/>
          <w:szCs w:val="24"/>
          <w:highlight w:val="none"/>
          <w:shd w:val="clear" w:color="auto" w:fill="FFFFFF"/>
        </w:rPr>
        <w:t>承包人应以发包人（广东省中医院）和承包人双方为共同被保险人，并自费购买、维持并支付以下保险，且使其在本合同约定的工程竣工移交前持续有效：</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F1115"/>
          <w:spacing w:val="0"/>
          <w:sz w:val="24"/>
          <w:szCs w:val="24"/>
          <w:highlight w:val="none"/>
          <w:shd w:val="clear" w:color="auto" w:fill="FFFFFF"/>
        </w:rPr>
        <w:t>（1）</w:t>
      </w:r>
      <w:r>
        <w:rPr>
          <w:rStyle w:val="10"/>
          <w:rFonts w:hint="eastAsia" w:ascii="宋体" w:hAnsi="宋体" w:eastAsia="宋体" w:cs="宋体"/>
          <w:b/>
          <w:bCs/>
          <w:i w:val="0"/>
          <w:iCs w:val="0"/>
          <w:caps w:val="0"/>
          <w:color w:val="0F1115"/>
          <w:spacing w:val="0"/>
          <w:sz w:val="24"/>
          <w:szCs w:val="24"/>
          <w:highlight w:val="none"/>
          <w:shd w:val="clear" w:color="auto" w:fill="FFFFFF"/>
        </w:rPr>
        <w:t>建筑工程一切险及第三者责任险</w:t>
      </w:r>
      <w:r>
        <w:rPr>
          <w:rFonts w:hint="eastAsia" w:ascii="宋体" w:hAnsi="宋体" w:eastAsia="宋体" w:cs="宋体"/>
          <w:i w:val="0"/>
          <w:iCs w:val="0"/>
          <w:caps w:val="0"/>
          <w:color w:val="0F1115"/>
          <w:spacing w:val="0"/>
          <w:sz w:val="24"/>
          <w:szCs w:val="24"/>
          <w:highlight w:val="none"/>
          <w:shd w:val="clear" w:color="auto" w:fill="FFFFFF"/>
        </w:rPr>
        <w:t>，保险范围应覆盖合同协议书约定的全部工程内容，以及施工场地内的既有建筑、设施和财产；</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F1115"/>
          <w:spacing w:val="0"/>
          <w:sz w:val="24"/>
          <w:szCs w:val="24"/>
          <w:highlight w:val="none"/>
          <w:shd w:val="clear" w:color="auto" w:fill="FFFFFF"/>
        </w:rPr>
        <w:t>（2）</w:t>
      </w:r>
      <w:r>
        <w:rPr>
          <w:rStyle w:val="10"/>
          <w:rFonts w:hint="eastAsia" w:ascii="宋体" w:hAnsi="宋体" w:eastAsia="宋体" w:cs="宋体"/>
          <w:b/>
          <w:bCs/>
          <w:i w:val="0"/>
          <w:iCs w:val="0"/>
          <w:caps w:val="0"/>
          <w:color w:val="0F1115"/>
          <w:spacing w:val="0"/>
          <w:sz w:val="24"/>
          <w:szCs w:val="24"/>
          <w:highlight w:val="none"/>
          <w:shd w:val="clear" w:color="auto" w:fill="FFFFFF"/>
        </w:rPr>
        <w:t>施工机械设备险</w:t>
      </w:r>
      <w:r>
        <w:rPr>
          <w:rFonts w:hint="eastAsia" w:ascii="宋体" w:hAnsi="宋体" w:eastAsia="宋体" w:cs="宋体"/>
          <w:i w:val="0"/>
          <w:iCs w:val="0"/>
          <w:caps w:val="0"/>
          <w:color w:val="0F1115"/>
          <w:spacing w:val="0"/>
          <w:sz w:val="24"/>
          <w:szCs w:val="24"/>
          <w:highlight w:val="none"/>
          <w:shd w:val="clear" w:color="auto" w:fill="FFFFFF"/>
        </w:rPr>
        <w:t>（或涵盖在（1）险种的扩展条款中）；</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F1115"/>
          <w:spacing w:val="0"/>
          <w:sz w:val="24"/>
          <w:szCs w:val="24"/>
          <w:highlight w:val="none"/>
          <w:shd w:val="clear" w:color="auto" w:fill="FFFFFF"/>
        </w:rPr>
        <w:t>（3）</w:t>
      </w:r>
      <w:r>
        <w:rPr>
          <w:rStyle w:val="10"/>
          <w:rFonts w:hint="eastAsia" w:ascii="宋体" w:hAnsi="宋体" w:eastAsia="宋体" w:cs="宋体"/>
          <w:b/>
          <w:bCs/>
          <w:i w:val="0"/>
          <w:iCs w:val="0"/>
          <w:caps w:val="0"/>
          <w:color w:val="0F1115"/>
          <w:spacing w:val="0"/>
          <w:sz w:val="24"/>
          <w:szCs w:val="24"/>
          <w:highlight w:val="none"/>
          <w:shd w:val="clear" w:color="auto" w:fill="FFFFFF"/>
        </w:rPr>
        <w:t>雇主责任险</w:t>
      </w:r>
      <w:r>
        <w:rPr>
          <w:rFonts w:hint="eastAsia" w:ascii="宋体" w:hAnsi="宋体" w:eastAsia="宋体" w:cs="宋体"/>
          <w:i w:val="0"/>
          <w:iCs w:val="0"/>
          <w:caps w:val="0"/>
          <w:color w:val="0F1115"/>
          <w:spacing w:val="0"/>
          <w:sz w:val="24"/>
          <w:szCs w:val="24"/>
          <w:highlight w:val="none"/>
          <w:shd w:val="clear" w:color="auto" w:fill="FFFFFF"/>
        </w:rPr>
        <w:t>及为其全体施工人员购买的</w:t>
      </w:r>
      <w:r>
        <w:rPr>
          <w:rStyle w:val="10"/>
          <w:rFonts w:hint="eastAsia" w:ascii="宋体" w:hAnsi="宋体" w:eastAsia="宋体" w:cs="宋体"/>
          <w:b/>
          <w:bCs/>
          <w:i w:val="0"/>
          <w:iCs w:val="0"/>
          <w:caps w:val="0"/>
          <w:color w:val="0F1115"/>
          <w:spacing w:val="0"/>
          <w:sz w:val="24"/>
          <w:szCs w:val="24"/>
          <w:highlight w:val="none"/>
          <w:shd w:val="clear" w:color="auto" w:fill="FFFFFF"/>
        </w:rPr>
        <w:t>人身意外伤害险</w:t>
      </w:r>
      <w:r>
        <w:rPr>
          <w:rFonts w:hint="eastAsia" w:ascii="宋体" w:hAnsi="宋体" w:eastAsia="宋体" w:cs="宋体"/>
          <w:i w:val="0"/>
          <w:iCs w:val="0"/>
          <w:caps w:val="0"/>
          <w:color w:val="0F1115"/>
          <w:spacing w:val="0"/>
          <w:sz w:val="24"/>
          <w:szCs w:val="24"/>
          <w:highlight w:val="none"/>
          <w:shd w:val="clear" w:color="auto" w:fill="FFFFFF"/>
        </w:rPr>
        <w:t>。</w:t>
      </w:r>
    </w:p>
    <w:p w14:paraId="1B6DE639">
      <w:pPr>
        <w:pStyle w:val="7"/>
        <w:keepNext w:val="0"/>
        <w:keepLines w:val="0"/>
        <w:widowControl/>
        <w:suppressLineNumbers w:val="0"/>
        <w:shd w:val="clear" w:color="auto" w:fill="FFFFFF"/>
        <w:spacing w:before="240" w:beforeAutospacing="0" w:after="240" w:afterAutospacing="0"/>
        <w:ind w:left="479" w:leftChars="228" w:right="0" w:firstLine="0" w:firstLineChars="0"/>
        <w:rPr>
          <w:rFonts w:hint="eastAsia" w:ascii="宋体" w:hAnsi="宋体" w:eastAsia="宋体" w:cs="宋体"/>
          <w:i w:val="0"/>
          <w:iCs w:val="0"/>
          <w:caps w:val="0"/>
          <w:color w:val="0F1115"/>
          <w:spacing w:val="0"/>
          <w:sz w:val="24"/>
          <w:szCs w:val="24"/>
          <w:highlight w:val="none"/>
        </w:rPr>
      </w:pPr>
      <w:r>
        <w:rPr>
          <w:rStyle w:val="10"/>
          <w:rFonts w:hint="eastAsia" w:ascii="宋体" w:hAnsi="宋体" w:eastAsia="宋体" w:cs="宋体"/>
          <w:b/>
          <w:bCs/>
          <w:i w:val="0"/>
          <w:iCs w:val="0"/>
          <w:caps w:val="0"/>
          <w:color w:val="0F1115"/>
          <w:spacing w:val="0"/>
          <w:sz w:val="24"/>
          <w:szCs w:val="24"/>
          <w:highlight w:val="none"/>
          <w:shd w:val="clear" w:color="auto" w:fill="FFFFFF"/>
        </w:rPr>
        <w:t>42.2 保险条件与要求</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（1）</w:t>
      </w:r>
      <w:r>
        <w:rPr>
          <w:rStyle w:val="10"/>
          <w:rFonts w:hint="eastAsia" w:ascii="宋体" w:hAnsi="宋体" w:eastAsia="宋体" w:cs="宋体"/>
          <w:b/>
          <w:bCs/>
          <w:i w:val="0"/>
          <w:iCs w:val="0"/>
          <w:caps w:val="0"/>
          <w:color w:val="0F1115"/>
          <w:spacing w:val="0"/>
          <w:sz w:val="24"/>
          <w:szCs w:val="24"/>
          <w:highlight w:val="none"/>
          <w:shd w:val="clear" w:color="auto" w:fill="FFFFFF"/>
        </w:rPr>
        <w:t>审批权：</w:t>
      </w:r>
      <w:r>
        <w:rPr>
          <w:rFonts w:hint="eastAsia" w:ascii="宋体" w:hAnsi="宋体" w:eastAsia="宋体" w:cs="宋体"/>
          <w:i w:val="0"/>
          <w:iCs w:val="0"/>
          <w:caps w:val="0"/>
          <w:color w:val="0F1115"/>
          <w:spacing w:val="0"/>
          <w:sz w:val="24"/>
          <w:szCs w:val="24"/>
          <w:highlight w:val="none"/>
          <w:shd w:val="clear" w:color="auto" w:fill="FFFFFF"/>
        </w:rPr>
        <w:t> 承包人在签订本合同后【</w:t>
      </w:r>
      <w:r>
        <w:rPr>
          <w:rStyle w:val="10"/>
          <w:rFonts w:hint="eastAsia" w:ascii="宋体" w:hAnsi="宋体" w:eastAsia="宋体" w:cs="宋体"/>
          <w:b/>
          <w:bCs/>
          <w:i w:val="0"/>
          <w:iCs w:val="0"/>
          <w:caps w:val="0"/>
          <w:color w:val="0F1115"/>
          <w:spacing w:val="0"/>
          <w:sz w:val="24"/>
          <w:szCs w:val="24"/>
          <w:highlight w:val="none"/>
          <w:shd w:val="clear" w:color="auto" w:fill="FFFFFF"/>
        </w:rPr>
        <w:t>7</w:t>
      </w:r>
      <w:r>
        <w:rPr>
          <w:rFonts w:hint="eastAsia" w:ascii="宋体" w:hAnsi="宋体" w:eastAsia="宋体" w:cs="宋体"/>
          <w:i w:val="0"/>
          <w:iCs w:val="0"/>
          <w:caps w:val="0"/>
          <w:color w:val="0F1115"/>
          <w:spacing w:val="0"/>
          <w:sz w:val="24"/>
          <w:szCs w:val="24"/>
          <w:highlight w:val="none"/>
          <w:shd w:val="clear" w:color="auto" w:fill="FFFFFF"/>
        </w:rPr>
        <w:t>】日内，必须将上述保险（特别是建筑工程一切险）的</w:t>
      </w:r>
      <w:r>
        <w:rPr>
          <w:rStyle w:val="10"/>
          <w:rFonts w:hint="eastAsia" w:ascii="宋体" w:hAnsi="宋体" w:eastAsia="宋体" w:cs="宋体"/>
          <w:b/>
          <w:bCs/>
          <w:i w:val="0"/>
          <w:iCs w:val="0"/>
          <w:caps w:val="0"/>
          <w:color w:val="0F1115"/>
          <w:spacing w:val="0"/>
          <w:sz w:val="24"/>
          <w:szCs w:val="24"/>
          <w:highlight w:val="none"/>
          <w:shd w:val="clear" w:color="auto" w:fill="FFFFFF"/>
        </w:rPr>
        <w:t>详细投保方案</w:t>
      </w:r>
      <w:r>
        <w:rPr>
          <w:rFonts w:hint="eastAsia" w:ascii="宋体" w:hAnsi="宋体" w:eastAsia="宋体" w:cs="宋体"/>
          <w:i w:val="0"/>
          <w:iCs w:val="0"/>
          <w:caps w:val="0"/>
          <w:color w:val="0F1115"/>
          <w:spacing w:val="0"/>
          <w:sz w:val="24"/>
          <w:szCs w:val="24"/>
          <w:highlight w:val="none"/>
          <w:shd w:val="clear" w:color="auto" w:fill="FFFFFF"/>
        </w:rPr>
        <w:t>（包括但不限于：拟选择的保险公司资质、保险单草案、保险金额、赔偿限额、免赔额、保险期限及所有特别条款）提交发包人</w:t>
      </w:r>
      <w:r>
        <w:rPr>
          <w:rStyle w:val="10"/>
          <w:rFonts w:hint="eastAsia" w:ascii="宋体" w:hAnsi="宋体" w:eastAsia="宋体" w:cs="宋体"/>
          <w:b/>
          <w:bCs/>
          <w:i w:val="0"/>
          <w:iCs w:val="0"/>
          <w:caps w:val="0"/>
          <w:color w:val="0F1115"/>
          <w:spacing w:val="0"/>
          <w:sz w:val="24"/>
          <w:szCs w:val="24"/>
          <w:highlight w:val="none"/>
          <w:shd w:val="clear" w:color="auto" w:fill="FFFFFF"/>
        </w:rPr>
        <w:t>书面审核批准</w:t>
      </w:r>
      <w:r>
        <w:rPr>
          <w:rFonts w:hint="eastAsia" w:ascii="宋体" w:hAnsi="宋体" w:eastAsia="宋体" w:cs="宋体"/>
          <w:i w:val="0"/>
          <w:iCs w:val="0"/>
          <w:caps w:val="0"/>
          <w:color w:val="0F1115"/>
          <w:spacing w:val="0"/>
          <w:sz w:val="24"/>
          <w:szCs w:val="24"/>
          <w:highlight w:val="none"/>
          <w:shd w:val="clear" w:color="auto" w:fill="FFFFFF"/>
        </w:rPr>
        <w:t>。未经发包人书面同意，承包人不得签署任何保险文件。</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（2）</w:t>
      </w:r>
      <w:r>
        <w:rPr>
          <w:rStyle w:val="10"/>
          <w:rFonts w:hint="eastAsia" w:ascii="宋体" w:hAnsi="宋体" w:eastAsia="宋体" w:cs="宋体"/>
          <w:b/>
          <w:bCs/>
          <w:i w:val="0"/>
          <w:iCs w:val="0"/>
          <w:caps w:val="0"/>
          <w:color w:val="0F1115"/>
          <w:spacing w:val="0"/>
          <w:sz w:val="24"/>
          <w:szCs w:val="24"/>
          <w:highlight w:val="none"/>
          <w:shd w:val="clear" w:color="auto" w:fill="FFFFFF"/>
        </w:rPr>
        <w:t>最低保险要求：</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 </w:t>
      </w:r>
      <w:r>
        <w:rPr>
          <w:rStyle w:val="10"/>
          <w:rFonts w:hint="eastAsia" w:ascii="宋体" w:hAnsi="宋体" w:eastAsia="宋体" w:cs="宋体"/>
          <w:b/>
          <w:bCs/>
          <w:i w:val="0"/>
          <w:iCs w:val="0"/>
          <w:caps w:val="0"/>
          <w:color w:val="0F1115"/>
          <w:spacing w:val="0"/>
          <w:sz w:val="24"/>
          <w:szCs w:val="24"/>
          <w:highlight w:val="none"/>
          <w:shd w:val="clear" w:color="auto" w:fill="FFFFFF"/>
        </w:rPr>
        <w:t>建筑工程一切险物质损失部分</w:t>
      </w:r>
      <w:r>
        <w:rPr>
          <w:rFonts w:hint="eastAsia" w:ascii="宋体" w:hAnsi="宋体" w:eastAsia="宋体" w:cs="宋体"/>
          <w:i w:val="0"/>
          <w:iCs w:val="0"/>
          <w:caps w:val="0"/>
          <w:color w:val="0F1115"/>
          <w:spacing w:val="0"/>
          <w:sz w:val="24"/>
          <w:szCs w:val="24"/>
          <w:highlight w:val="none"/>
          <w:shd w:val="clear" w:color="auto" w:fill="FFFFFF"/>
        </w:rPr>
        <w:t>：保险金额不得低于本合同暂定总价款的【</w:t>
      </w:r>
      <w:r>
        <w:rPr>
          <w:rStyle w:val="10"/>
          <w:rFonts w:hint="eastAsia" w:ascii="宋体" w:hAnsi="宋体" w:eastAsia="宋体" w:cs="宋体"/>
          <w:b/>
          <w:bCs/>
          <w:i w:val="0"/>
          <w:iCs w:val="0"/>
          <w:caps w:val="0"/>
          <w:color w:val="0F1115"/>
          <w:spacing w:val="0"/>
          <w:sz w:val="24"/>
          <w:szCs w:val="24"/>
          <w:highlight w:val="none"/>
          <w:shd w:val="clear" w:color="auto" w:fill="FFFFFF"/>
        </w:rPr>
        <w:t>110%</w:t>
      </w:r>
      <w:r>
        <w:rPr>
          <w:rFonts w:hint="eastAsia" w:ascii="宋体" w:hAnsi="宋体" w:eastAsia="宋体" w:cs="宋体"/>
          <w:i w:val="0"/>
          <w:iCs w:val="0"/>
          <w:caps w:val="0"/>
          <w:color w:val="0F1115"/>
          <w:spacing w:val="0"/>
          <w:sz w:val="24"/>
          <w:szCs w:val="24"/>
          <w:highlight w:val="none"/>
          <w:shd w:val="clear" w:color="auto" w:fill="FFFFFF"/>
        </w:rPr>
        <w:t>】。</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 </w:t>
      </w:r>
      <w:r>
        <w:rPr>
          <w:rStyle w:val="10"/>
          <w:rFonts w:hint="eastAsia" w:ascii="宋体" w:hAnsi="宋体" w:eastAsia="宋体" w:cs="宋体"/>
          <w:b/>
          <w:bCs/>
          <w:i w:val="0"/>
          <w:iCs w:val="0"/>
          <w:caps w:val="0"/>
          <w:color w:val="0F1115"/>
          <w:spacing w:val="0"/>
          <w:sz w:val="24"/>
          <w:szCs w:val="24"/>
          <w:highlight w:val="none"/>
          <w:shd w:val="clear" w:color="auto" w:fill="FFFFFF"/>
        </w:rPr>
        <w:t>第三者责任险部分</w:t>
      </w:r>
      <w:r>
        <w:rPr>
          <w:rFonts w:hint="eastAsia" w:ascii="宋体" w:hAnsi="宋体" w:eastAsia="宋体" w:cs="宋体"/>
          <w:i w:val="0"/>
          <w:iCs w:val="0"/>
          <w:caps w:val="0"/>
          <w:color w:val="0F1115"/>
          <w:spacing w:val="0"/>
          <w:sz w:val="24"/>
          <w:szCs w:val="24"/>
          <w:highlight w:val="none"/>
          <w:shd w:val="clear" w:color="auto" w:fill="FFFFFF"/>
        </w:rPr>
        <w:t>：每次事故赔偿限额不得低于人民币【</w:t>
      </w:r>
      <w:r>
        <w:rPr>
          <w:rStyle w:val="10"/>
          <w:rFonts w:hint="eastAsia" w:ascii="宋体" w:hAnsi="宋体" w:eastAsia="宋体" w:cs="宋体"/>
          <w:b/>
          <w:bCs/>
          <w:i w:val="0"/>
          <w:iCs w:val="0"/>
          <w:caps w:val="0"/>
          <w:color w:val="0F1115"/>
          <w:spacing w:val="0"/>
          <w:sz w:val="24"/>
          <w:szCs w:val="24"/>
          <w:highlight w:val="none"/>
          <w:shd w:val="clear" w:color="auto" w:fill="FFFFFF"/>
        </w:rPr>
        <w:t>1000万</w:t>
      </w:r>
      <w:r>
        <w:rPr>
          <w:rFonts w:hint="eastAsia" w:ascii="宋体" w:hAnsi="宋体" w:eastAsia="宋体" w:cs="宋体"/>
          <w:i w:val="0"/>
          <w:iCs w:val="0"/>
          <w:caps w:val="0"/>
          <w:color w:val="0F1115"/>
          <w:spacing w:val="0"/>
          <w:sz w:val="24"/>
          <w:szCs w:val="24"/>
          <w:highlight w:val="none"/>
          <w:shd w:val="clear" w:color="auto" w:fill="FFFFFF"/>
        </w:rPr>
        <w:t>】元，保险期限内累计赔偿限额不得低于人民币【</w:t>
      </w:r>
      <w:r>
        <w:rPr>
          <w:rStyle w:val="10"/>
          <w:rFonts w:hint="eastAsia" w:ascii="宋体" w:hAnsi="宋体" w:eastAsia="宋体" w:cs="宋体"/>
          <w:b/>
          <w:bCs/>
          <w:i w:val="0"/>
          <w:iCs w:val="0"/>
          <w:caps w:val="0"/>
          <w:color w:val="0F1115"/>
          <w:spacing w:val="0"/>
          <w:sz w:val="24"/>
          <w:szCs w:val="24"/>
          <w:highlight w:val="none"/>
          <w:shd w:val="clear" w:color="auto" w:fill="FFFFFF"/>
        </w:rPr>
        <w:t>2000万</w:t>
      </w:r>
      <w:r>
        <w:rPr>
          <w:rFonts w:hint="eastAsia" w:ascii="宋体" w:hAnsi="宋体" w:eastAsia="宋体" w:cs="宋体"/>
          <w:i w:val="0"/>
          <w:iCs w:val="0"/>
          <w:caps w:val="0"/>
          <w:color w:val="0F1115"/>
          <w:spacing w:val="0"/>
          <w:sz w:val="24"/>
          <w:szCs w:val="24"/>
          <w:highlight w:val="none"/>
          <w:shd w:val="clear" w:color="auto" w:fill="FFFFFF"/>
        </w:rPr>
        <w:t>】元。</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 </w:t>
      </w:r>
      <w:r>
        <w:rPr>
          <w:rStyle w:val="10"/>
          <w:rFonts w:hint="eastAsia" w:ascii="宋体" w:hAnsi="宋体" w:eastAsia="宋体" w:cs="宋体"/>
          <w:b/>
          <w:bCs/>
          <w:i w:val="0"/>
          <w:iCs w:val="0"/>
          <w:caps w:val="0"/>
          <w:color w:val="0F1115"/>
          <w:spacing w:val="0"/>
          <w:sz w:val="24"/>
          <w:szCs w:val="24"/>
          <w:highlight w:val="none"/>
          <w:shd w:val="clear" w:color="auto" w:fill="FFFFFF"/>
        </w:rPr>
        <w:t>保险期限</w:t>
      </w:r>
      <w:r>
        <w:rPr>
          <w:rFonts w:hint="eastAsia" w:ascii="宋体" w:hAnsi="宋体" w:eastAsia="宋体" w:cs="宋体"/>
          <w:i w:val="0"/>
          <w:iCs w:val="0"/>
          <w:caps w:val="0"/>
          <w:color w:val="0F1115"/>
          <w:spacing w:val="0"/>
          <w:sz w:val="24"/>
          <w:szCs w:val="24"/>
          <w:highlight w:val="none"/>
          <w:shd w:val="clear" w:color="auto" w:fill="FFFFFF"/>
        </w:rPr>
        <w:t>：应自开工令载明的开工日期起，至工程全部竣工</w:t>
      </w:r>
      <w:r>
        <w:rPr>
          <w:rStyle w:val="10"/>
          <w:rFonts w:hint="eastAsia" w:ascii="宋体" w:hAnsi="宋体" w:eastAsia="宋体" w:cs="宋体"/>
          <w:b/>
          <w:bCs/>
          <w:i w:val="0"/>
          <w:iCs w:val="0"/>
          <w:caps w:val="0"/>
          <w:color w:val="0F1115"/>
          <w:spacing w:val="0"/>
          <w:sz w:val="24"/>
          <w:szCs w:val="24"/>
          <w:highlight w:val="none"/>
          <w:shd w:val="clear" w:color="auto" w:fill="FFFFFF"/>
        </w:rPr>
        <w:t>并经发包人签发竣工验收合格证书之日止</w:t>
      </w:r>
      <w:r>
        <w:rPr>
          <w:rFonts w:hint="eastAsia" w:ascii="宋体" w:hAnsi="宋体" w:eastAsia="宋体" w:cs="宋体"/>
          <w:i w:val="0"/>
          <w:iCs w:val="0"/>
          <w:caps w:val="0"/>
          <w:color w:val="0F1115"/>
          <w:spacing w:val="0"/>
          <w:sz w:val="24"/>
          <w:szCs w:val="24"/>
          <w:highlight w:val="none"/>
          <w:shd w:val="clear" w:color="auto" w:fill="FFFFFF"/>
        </w:rPr>
        <w:t>，且必须包含不少于【</w:t>
      </w:r>
      <w:r>
        <w:rPr>
          <w:rStyle w:val="10"/>
          <w:rFonts w:hint="eastAsia" w:ascii="宋体" w:hAnsi="宋体" w:eastAsia="宋体" w:cs="宋体"/>
          <w:b/>
          <w:bCs/>
          <w:i w:val="0"/>
          <w:iCs w:val="0"/>
          <w:caps w:val="0"/>
          <w:color w:val="0F1115"/>
          <w:spacing w:val="0"/>
          <w:sz w:val="24"/>
          <w:szCs w:val="24"/>
          <w:highlight w:val="none"/>
          <w:shd w:val="clear" w:color="auto" w:fill="FFFFFF"/>
        </w:rPr>
        <w:t>30</w:t>
      </w:r>
      <w:r>
        <w:rPr>
          <w:rFonts w:hint="eastAsia" w:ascii="宋体" w:hAnsi="宋体" w:eastAsia="宋体" w:cs="宋体"/>
          <w:i w:val="0"/>
          <w:iCs w:val="0"/>
          <w:caps w:val="0"/>
          <w:color w:val="0F1115"/>
          <w:spacing w:val="0"/>
          <w:sz w:val="24"/>
          <w:szCs w:val="24"/>
          <w:highlight w:val="none"/>
          <w:shd w:val="clear" w:color="auto" w:fill="FFFFFF"/>
        </w:rPr>
        <w:t>】日的试运行或移交期。</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（3）</w:t>
      </w:r>
      <w:r>
        <w:rPr>
          <w:rStyle w:val="10"/>
          <w:rFonts w:hint="eastAsia" w:ascii="宋体" w:hAnsi="宋体" w:eastAsia="宋体" w:cs="宋体"/>
          <w:b/>
          <w:bCs/>
          <w:i w:val="0"/>
          <w:iCs w:val="0"/>
          <w:caps w:val="0"/>
          <w:color w:val="0F1115"/>
          <w:spacing w:val="0"/>
          <w:sz w:val="24"/>
          <w:szCs w:val="24"/>
          <w:highlight w:val="none"/>
          <w:shd w:val="clear" w:color="auto" w:fill="FFFFFF"/>
        </w:rPr>
        <w:t>保单管理：</w:t>
      </w:r>
      <w:r>
        <w:rPr>
          <w:rFonts w:hint="eastAsia" w:ascii="宋体" w:hAnsi="宋体" w:eastAsia="宋体" w:cs="宋体"/>
          <w:i w:val="0"/>
          <w:iCs w:val="0"/>
          <w:caps w:val="0"/>
          <w:color w:val="0F1115"/>
          <w:spacing w:val="0"/>
          <w:sz w:val="24"/>
          <w:szCs w:val="24"/>
          <w:highlight w:val="none"/>
          <w:shd w:val="clear" w:color="auto" w:fill="FFFFFF"/>
        </w:rPr>
        <w:t> 承包人必须在保险生效后【</w:t>
      </w:r>
      <w:r>
        <w:rPr>
          <w:rStyle w:val="10"/>
          <w:rFonts w:hint="eastAsia" w:ascii="宋体" w:hAnsi="宋体" w:eastAsia="宋体" w:cs="宋体"/>
          <w:b/>
          <w:bCs/>
          <w:i w:val="0"/>
          <w:iCs w:val="0"/>
          <w:caps w:val="0"/>
          <w:color w:val="0F1115"/>
          <w:spacing w:val="0"/>
          <w:sz w:val="24"/>
          <w:szCs w:val="24"/>
          <w:highlight w:val="none"/>
          <w:shd w:val="clear" w:color="auto" w:fill="FFFFFF"/>
        </w:rPr>
        <w:t>3</w:t>
      </w:r>
      <w:r>
        <w:rPr>
          <w:rFonts w:hint="eastAsia" w:ascii="宋体" w:hAnsi="宋体" w:eastAsia="宋体" w:cs="宋体"/>
          <w:i w:val="0"/>
          <w:iCs w:val="0"/>
          <w:caps w:val="0"/>
          <w:color w:val="0F1115"/>
          <w:spacing w:val="0"/>
          <w:sz w:val="24"/>
          <w:szCs w:val="24"/>
          <w:highlight w:val="none"/>
          <w:shd w:val="clear" w:color="auto" w:fill="FFFFFF"/>
        </w:rPr>
        <w:t>】日内，将</w:t>
      </w:r>
      <w:r>
        <w:rPr>
          <w:rStyle w:val="10"/>
          <w:rFonts w:hint="eastAsia" w:ascii="宋体" w:hAnsi="宋体" w:eastAsia="宋体" w:cs="宋体"/>
          <w:b/>
          <w:bCs/>
          <w:i w:val="0"/>
          <w:iCs w:val="0"/>
          <w:caps w:val="0"/>
          <w:color w:val="0F1115"/>
          <w:spacing w:val="0"/>
          <w:sz w:val="24"/>
          <w:szCs w:val="24"/>
          <w:highlight w:val="none"/>
          <w:shd w:val="clear" w:color="auto" w:fill="FFFFFF"/>
        </w:rPr>
        <w:t>保险单正本及保险费支付凭证复印件</w:t>
      </w:r>
      <w:r>
        <w:rPr>
          <w:rFonts w:hint="eastAsia" w:ascii="宋体" w:hAnsi="宋体" w:eastAsia="宋体" w:cs="宋体"/>
          <w:i w:val="0"/>
          <w:iCs w:val="0"/>
          <w:caps w:val="0"/>
          <w:color w:val="0F1115"/>
          <w:spacing w:val="0"/>
          <w:sz w:val="24"/>
          <w:szCs w:val="24"/>
          <w:highlight w:val="none"/>
          <w:shd w:val="clear" w:color="auto" w:fill="FFFFFF"/>
        </w:rPr>
        <w:t>交由发包人存档。发包人有权保留保险单正本。</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（4）</w:t>
      </w:r>
      <w:r>
        <w:rPr>
          <w:rStyle w:val="10"/>
          <w:rFonts w:hint="eastAsia" w:ascii="宋体" w:hAnsi="宋体" w:eastAsia="宋体" w:cs="宋体"/>
          <w:b/>
          <w:bCs/>
          <w:i w:val="0"/>
          <w:iCs w:val="0"/>
          <w:caps w:val="0"/>
          <w:color w:val="0F1115"/>
          <w:spacing w:val="0"/>
          <w:sz w:val="24"/>
          <w:szCs w:val="24"/>
          <w:highlight w:val="none"/>
          <w:shd w:val="clear" w:color="auto" w:fill="FFFFFF"/>
        </w:rPr>
        <w:t>持续义务：</w:t>
      </w:r>
      <w:r>
        <w:rPr>
          <w:rFonts w:hint="eastAsia" w:ascii="宋体" w:hAnsi="宋体" w:eastAsia="宋体" w:cs="宋体"/>
          <w:i w:val="0"/>
          <w:iCs w:val="0"/>
          <w:caps w:val="0"/>
          <w:color w:val="0F1115"/>
          <w:spacing w:val="0"/>
          <w:sz w:val="24"/>
          <w:szCs w:val="24"/>
          <w:highlight w:val="none"/>
          <w:shd w:val="clear" w:color="auto" w:fill="FFFFFF"/>
        </w:rPr>
        <w:t> 若保险期限短于工程实际工期，承包人必须在不迟于保险到期前【</w:t>
      </w:r>
      <w:r>
        <w:rPr>
          <w:rStyle w:val="10"/>
          <w:rFonts w:hint="eastAsia" w:ascii="宋体" w:hAnsi="宋体" w:eastAsia="宋体" w:cs="宋体"/>
          <w:b/>
          <w:bCs/>
          <w:i w:val="0"/>
          <w:iCs w:val="0"/>
          <w:caps w:val="0"/>
          <w:color w:val="0F1115"/>
          <w:spacing w:val="0"/>
          <w:sz w:val="24"/>
          <w:szCs w:val="24"/>
          <w:highlight w:val="none"/>
          <w:shd w:val="clear" w:color="auto" w:fill="FFFFFF"/>
        </w:rPr>
        <w:t>15</w:t>
      </w:r>
      <w:r>
        <w:rPr>
          <w:rFonts w:hint="eastAsia" w:ascii="宋体" w:hAnsi="宋体" w:eastAsia="宋体" w:cs="宋体"/>
          <w:i w:val="0"/>
          <w:iCs w:val="0"/>
          <w:caps w:val="0"/>
          <w:color w:val="0F1115"/>
          <w:spacing w:val="0"/>
          <w:sz w:val="24"/>
          <w:szCs w:val="24"/>
          <w:highlight w:val="none"/>
          <w:shd w:val="clear" w:color="auto" w:fill="FFFFFF"/>
        </w:rPr>
        <w:t>】日办理完续保手续，并将新保单提交发包人。否则，发包人有权代为续保，费用由承包人承担，并从任何应付款项中扣除。</w:t>
      </w:r>
    </w:p>
    <w:p w14:paraId="7952AD2C">
      <w:pPr>
        <w:pStyle w:val="7"/>
        <w:keepNext w:val="0"/>
        <w:keepLines w:val="0"/>
        <w:widowControl/>
        <w:suppressLineNumbers w:val="0"/>
        <w:shd w:val="clear" w:color="auto" w:fill="FFFFFF"/>
        <w:spacing w:before="240" w:beforeAutospacing="0" w:after="240" w:afterAutospacing="0"/>
        <w:ind w:left="479" w:leftChars="228" w:right="0" w:firstLine="0" w:firstLineChars="0"/>
        <w:rPr>
          <w:rFonts w:hint="eastAsia" w:ascii="宋体" w:hAnsi="宋体" w:eastAsia="宋体" w:cs="宋体"/>
          <w:i w:val="0"/>
          <w:iCs w:val="0"/>
          <w:caps w:val="0"/>
          <w:color w:val="0F1115"/>
          <w:spacing w:val="0"/>
          <w:sz w:val="24"/>
          <w:szCs w:val="24"/>
          <w:highlight w:val="none"/>
        </w:rPr>
      </w:pPr>
      <w:r>
        <w:rPr>
          <w:rStyle w:val="10"/>
          <w:rFonts w:hint="eastAsia" w:ascii="宋体" w:hAnsi="宋体" w:eastAsia="宋体" w:cs="宋体"/>
          <w:b/>
          <w:bCs/>
          <w:i w:val="0"/>
          <w:iCs w:val="0"/>
          <w:caps w:val="0"/>
          <w:color w:val="0F1115"/>
          <w:spacing w:val="0"/>
          <w:sz w:val="24"/>
          <w:szCs w:val="24"/>
          <w:highlight w:val="none"/>
          <w:shd w:val="clear" w:color="auto" w:fill="FFFFFF"/>
        </w:rPr>
        <w:t>42.3 风险与责任</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1）因承包人原因（包括但不限于：未投保、不足额投保、保险失效、未及时续保或违反保单约定导致保险公司拒赔）造成工程、既有财产损失或第三方损失无法获得保险赔偿的，所有由此产生的损失、费用、索赔和赔偿</w:t>
      </w:r>
      <w:r>
        <w:rPr>
          <w:rStyle w:val="10"/>
          <w:rFonts w:hint="eastAsia" w:ascii="宋体" w:hAnsi="宋体" w:eastAsia="宋体" w:cs="宋体"/>
          <w:b/>
          <w:bCs/>
          <w:i w:val="0"/>
          <w:iCs w:val="0"/>
          <w:caps w:val="0"/>
          <w:color w:val="0F1115"/>
          <w:spacing w:val="0"/>
          <w:sz w:val="24"/>
          <w:szCs w:val="24"/>
          <w:highlight w:val="none"/>
          <w:shd w:val="clear" w:color="auto" w:fill="FFFFFF"/>
        </w:rPr>
        <w:t>均由承包人独自承担</w:t>
      </w:r>
      <w:r>
        <w:rPr>
          <w:rFonts w:hint="eastAsia" w:ascii="宋体" w:hAnsi="宋体" w:eastAsia="宋体" w:cs="宋体"/>
          <w:i w:val="0"/>
          <w:iCs w:val="0"/>
          <w:caps w:val="0"/>
          <w:color w:val="0F1115"/>
          <w:spacing w:val="0"/>
          <w:sz w:val="24"/>
          <w:szCs w:val="24"/>
          <w:highlight w:val="none"/>
          <w:shd w:val="clear" w:color="auto" w:fill="FFFFFF"/>
        </w:rPr>
        <w:t>。</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（2）发生保险事故后，承包人必须立即通知保险公司和发包人，并采取一切必要措施防止损失扩大。承包人应负责办理一切索赔手续，发包人应予以必要协助。</w:t>
      </w:r>
      <w:r>
        <w:rPr>
          <w:rStyle w:val="10"/>
          <w:rFonts w:hint="eastAsia" w:ascii="宋体" w:hAnsi="宋体" w:eastAsia="宋体" w:cs="宋体"/>
          <w:b/>
          <w:bCs/>
          <w:i w:val="0"/>
          <w:iCs w:val="0"/>
          <w:caps w:val="0"/>
          <w:color w:val="0F1115"/>
          <w:spacing w:val="0"/>
          <w:sz w:val="24"/>
          <w:szCs w:val="24"/>
          <w:highlight w:val="none"/>
          <w:shd w:val="clear" w:color="auto" w:fill="FFFFFF"/>
        </w:rPr>
        <w:t>保险赔款应优先用于受损工程的修复</w:t>
      </w:r>
      <w:r>
        <w:rPr>
          <w:rFonts w:hint="eastAsia" w:ascii="宋体" w:hAnsi="宋体" w:eastAsia="宋体" w:cs="宋体"/>
          <w:i w:val="0"/>
          <w:iCs w:val="0"/>
          <w:caps w:val="0"/>
          <w:color w:val="0F1115"/>
          <w:spacing w:val="0"/>
          <w:sz w:val="24"/>
          <w:szCs w:val="24"/>
          <w:highlight w:val="none"/>
          <w:shd w:val="clear" w:color="auto" w:fill="FFFFFF"/>
        </w:rPr>
        <w:t>。</w:t>
      </w:r>
    </w:p>
    <w:p w14:paraId="06CD2321">
      <w:pPr>
        <w:pStyle w:val="7"/>
        <w:keepNext w:val="0"/>
        <w:keepLines w:val="0"/>
        <w:widowControl/>
        <w:suppressLineNumbers w:val="0"/>
        <w:shd w:val="clear" w:color="auto" w:fill="FFFFFF"/>
        <w:spacing w:before="240" w:beforeAutospacing="0" w:after="240" w:afterAutospacing="0"/>
        <w:ind w:left="479" w:leftChars="228" w:right="0" w:firstLine="0" w:firstLineChars="0"/>
        <w:rPr>
          <w:rFonts w:hint="eastAsia" w:ascii="宋体" w:hAnsi="宋体" w:eastAsia="宋体" w:cs="宋体"/>
          <w:i w:val="0"/>
          <w:iCs w:val="0"/>
          <w:caps w:val="0"/>
          <w:color w:val="0F1115"/>
          <w:spacing w:val="0"/>
          <w:sz w:val="24"/>
          <w:szCs w:val="24"/>
          <w:highlight w:val="none"/>
        </w:rPr>
      </w:pPr>
      <w:r>
        <w:rPr>
          <w:rStyle w:val="10"/>
          <w:rFonts w:hint="eastAsia" w:ascii="宋体" w:hAnsi="宋体" w:eastAsia="宋体" w:cs="宋体"/>
          <w:b/>
          <w:bCs/>
          <w:i w:val="0"/>
          <w:iCs w:val="0"/>
          <w:caps w:val="0"/>
          <w:color w:val="0F1115"/>
          <w:spacing w:val="0"/>
          <w:sz w:val="24"/>
          <w:szCs w:val="24"/>
          <w:highlight w:val="none"/>
          <w:shd w:val="clear" w:color="auto" w:fill="FFFFFF"/>
        </w:rPr>
        <w:t>42.4 违约责任（与第37条联动）</w:t>
      </w:r>
      <w:r>
        <w:rPr>
          <w:rFonts w:hint="eastAsia" w:ascii="宋体" w:hAnsi="宋体" w:eastAsia="宋体" w:cs="宋体"/>
          <w:i w:val="0"/>
          <w:iCs w:val="0"/>
          <w:caps w:val="0"/>
          <w:color w:val="0F1115"/>
          <w:spacing w:val="0"/>
          <w:sz w:val="24"/>
          <w:szCs w:val="24"/>
          <w:highlight w:val="none"/>
          <w:shd w:val="clear" w:color="auto" w:fill="FFFFFF"/>
        </w:rPr>
        <w:br w:type="textWrapping"/>
      </w:r>
      <w:r>
        <w:rPr>
          <w:rFonts w:hint="eastAsia" w:ascii="宋体" w:hAnsi="宋体" w:eastAsia="宋体" w:cs="宋体"/>
          <w:i w:val="0"/>
          <w:iCs w:val="0"/>
          <w:caps w:val="0"/>
          <w:color w:val="0F1115"/>
          <w:spacing w:val="0"/>
          <w:sz w:val="24"/>
          <w:szCs w:val="24"/>
          <w:highlight w:val="none"/>
          <w:shd w:val="clear" w:color="auto" w:fill="FFFFFF"/>
        </w:rPr>
        <w:t>承包人违反本条任何一款约定，包括但不限于未按时提交方案、未获批准即投保、未足额投保、未提交保单等，每发生一次，发包人有权要求承包人承担【</w:t>
      </w:r>
      <w:r>
        <w:rPr>
          <w:rStyle w:val="10"/>
          <w:rFonts w:hint="eastAsia" w:ascii="宋体" w:hAnsi="宋体" w:eastAsia="宋体" w:cs="宋体"/>
          <w:b/>
          <w:bCs/>
          <w:i w:val="0"/>
          <w:iCs w:val="0"/>
          <w:caps w:val="0"/>
          <w:color w:val="0F1115"/>
          <w:spacing w:val="0"/>
          <w:sz w:val="24"/>
          <w:szCs w:val="24"/>
          <w:highlight w:val="none"/>
          <w:shd w:val="clear" w:color="auto" w:fill="FFFFFF"/>
        </w:rPr>
        <w:t>一次一般违约责任</w:t>
      </w:r>
      <w:r>
        <w:rPr>
          <w:rFonts w:hint="eastAsia" w:ascii="宋体" w:hAnsi="宋体" w:eastAsia="宋体" w:cs="宋体"/>
          <w:i w:val="0"/>
          <w:iCs w:val="0"/>
          <w:caps w:val="0"/>
          <w:color w:val="0F1115"/>
          <w:spacing w:val="0"/>
          <w:sz w:val="24"/>
          <w:szCs w:val="24"/>
          <w:highlight w:val="none"/>
          <w:shd w:val="clear" w:color="auto" w:fill="FFFFFF"/>
        </w:rPr>
        <w:t>】（参照第37.2.1款）。导致风险处于无保险状态的，发包人有权暂停支付工程款，直至承包人纠正完毕。</w:t>
      </w:r>
    </w:p>
    <w:p w14:paraId="4DF441AE">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43、担保</w:t>
      </w:r>
    </w:p>
    <w:p w14:paraId="57D0C7A6">
      <w:pPr>
        <w:tabs>
          <w:tab w:val="center" w:pos="4153"/>
        </w:tabs>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43.1 承包人提供履约担保的约定</w:t>
      </w:r>
    </w:p>
    <w:p w14:paraId="73F8A5BB">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履约担保的金额：人民币（大写）</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拾</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万</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仟</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拾</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角</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分整 （小写):</w:t>
      </w:r>
      <w:r>
        <w:rPr>
          <w:rFonts w:hint="eastAsia" w:ascii="宋体" w:hAnsi="宋体" w:eastAsia="宋体" w:cs="宋体"/>
          <w:color w:val="auto"/>
          <w:sz w:val="24"/>
          <w:highlight w:val="none"/>
          <w:u w:val="single"/>
        </w:rPr>
        <w:t xml:space="preserve">                  0.</w:t>
      </w:r>
      <w:r>
        <w:rPr>
          <w:rFonts w:hint="eastAsia" w:ascii="宋体" w:hAnsi="宋体" w:eastAsia="宋体" w:cs="宋体"/>
          <w:color w:val="auto"/>
          <w:sz w:val="24"/>
          <w:highlight w:val="none"/>
          <w:u w:val="single"/>
          <w:lang w:val="en-US" w:eastAsia="zh-CN"/>
        </w:rPr>
        <w:t>00</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88FAA29">
      <w:pPr>
        <w:tabs>
          <w:tab w:val="center" w:pos="4153"/>
        </w:tabs>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提供履约担保的时间：</w:t>
      </w:r>
    </w:p>
    <w:p w14:paraId="0C839524">
      <w:pPr>
        <w:tabs>
          <w:tab w:val="center" w:pos="4153"/>
        </w:tabs>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□签订本合同时。</w:t>
      </w:r>
    </w:p>
    <w:p w14:paraId="68C937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bdr w:val="single" w:color="auto" w:sz="4" w:space="0"/>
        </w:rPr>
        <w:t>√</w:t>
      </w:r>
      <w:r>
        <w:rPr>
          <w:rFonts w:hint="eastAsia" w:ascii="宋体" w:hAnsi="宋体" w:eastAsia="宋体" w:cs="宋体"/>
          <w:color w:val="auto"/>
          <w:sz w:val="24"/>
          <w:highlight w:val="none"/>
        </w:rPr>
        <w:t>其他时间：</w:t>
      </w:r>
      <w:r>
        <w:rPr>
          <w:rFonts w:hint="eastAsia" w:ascii="宋体" w:hAnsi="宋体" w:eastAsia="宋体" w:cs="宋体"/>
          <w:color w:val="auto"/>
          <w:sz w:val="24"/>
          <w:highlight w:val="none"/>
          <w:u w:val="single"/>
        </w:rPr>
        <w:t>承包人签订合同后</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个工作日内向发包</w:t>
      </w:r>
      <w:r>
        <w:rPr>
          <w:rFonts w:hint="eastAsia" w:ascii="宋体" w:hAnsi="宋体" w:eastAsia="宋体" w:cs="宋体"/>
          <w:color w:val="auto"/>
          <w:sz w:val="24"/>
          <w:szCs w:val="21"/>
          <w:highlight w:val="none"/>
          <w:u w:val="single"/>
        </w:rPr>
        <w:t>人出具担保金额为中标价10%的履约保函(履约银行保函的有效期至本工程竣工验收后30天，</w:t>
      </w:r>
      <w:r>
        <w:rPr>
          <w:rFonts w:hint="eastAsia" w:ascii="宋体" w:hAnsi="宋体" w:eastAsia="宋体" w:cs="宋体"/>
          <w:color w:val="auto"/>
          <w:sz w:val="24"/>
          <w:highlight w:val="none"/>
          <w:u w:val="single"/>
        </w:rPr>
        <w:t>出具履约银行保函的银行必须是国有或股份制商业银行(农村信用社及村镇银行除外)支行或其以上银行，担保合同作为本合同附件。</w:t>
      </w:r>
      <w:r>
        <w:rPr>
          <w:rFonts w:hint="eastAsia" w:ascii="宋体" w:hAnsi="宋体" w:eastAsia="宋体" w:cs="宋体"/>
          <w:color w:val="auto"/>
          <w:sz w:val="24"/>
          <w:szCs w:val="21"/>
          <w:highlight w:val="none"/>
          <w:u w:val="single"/>
        </w:rPr>
        <w:t>如保函过期工程尚未竣工初验，承包人应自觉及时办理保函延期手续，确保保函担保期间不出现空缺，否则不予办理请款手续。</w:t>
      </w:r>
    </w:p>
    <w:p w14:paraId="6361CC2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承包人若未能应发包人的要求在规定时间内与发包人签订施工合同并交纳</w:t>
      </w:r>
      <w:r>
        <w:rPr>
          <w:rFonts w:hint="eastAsia" w:ascii="宋体" w:hAnsi="宋体" w:eastAsia="宋体" w:cs="宋体"/>
          <w:color w:val="auto"/>
          <w:sz w:val="24"/>
          <w:szCs w:val="21"/>
          <w:highlight w:val="none"/>
          <w:u w:val="single"/>
        </w:rPr>
        <w:t>履约银行保函</w:t>
      </w:r>
      <w:r>
        <w:rPr>
          <w:rFonts w:hint="eastAsia" w:ascii="宋体" w:hAnsi="宋体" w:eastAsia="宋体" w:cs="宋体"/>
          <w:color w:val="auto"/>
          <w:sz w:val="24"/>
          <w:highlight w:val="none"/>
          <w:u w:val="single"/>
        </w:rPr>
        <w:t>，或未能按招标文件要求及时报送开工资料，或所报送的资料不全、有缺漏等，或有其他影响本工程正常开工的情形的，发包人有权全额扣除磋商保证金，并取消其中标资格。</w:t>
      </w:r>
    </w:p>
    <w:p w14:paraId="27A6BFA8">
      <w:pPr>
        <w:tabs>
          <w:tab w:val="center" w:pos="415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43.2 履约担保退还时间的约定：</w:t>
      </w:r>
      <w:r>
        <w:rPr>
          <w:rFonts w:hint="eastAsia" w:ascii="宋体" w:hAnsi="宋体" w:eastAsia="宋体" w:cs="宋体"/>
          <w:color w:val="auto"/>
          <w:kern w:val="0"/>
          <w:sz w:val="24"/>
          <w:highlight w:val="none"/>
          <w:u w:val="single"/>
        </w:rPr>
        <w:t>在无承包人不履行或不适当履行合同义务的情况下，工程竣工验收合格并提交验收报告后，工程移交发包人，施工单位退场交出场地后20天内一次性无息返还给承包人。</w:t>
      </w:r>
    </w:p>
    <w:p w14:paraId="51675A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43.4 发包人提供支付担保的约定</w:t>
      </w:r>
    </w:p>
    <w:p w14:paraId="685062F0">
      <w:pPr>
        <w:spacing w:line="360" w:lineRule="auto"/>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支付担保的金额：人民币（大写）</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sz w:val="24"/>
          <w:highlight w:val="none"/>
        </w:rPr>
        <w:t xml:space="preserve">小写 </w:t>
      </w:r>
      <w:r>
        <w:rPr>
          <w:rFonts w:hint="eastAsia" w:ascii="宋体" w:hAnsi="宋体" w:eastAsia="宋体" w:cs="宋体"/>
          <w:color w:val="auto"/>
          <w:kern w:val="0"/>
          <w:sz w:val="24"/>
          <w:highlight w:val="none"/>
          <w:u w:val="single"/>
        </w:rPr>
        <w:t xml:space="preserve">   /   </w:t>
      </w:r>
      <w:r>
        <w:rPr>
          <w:rFonts w:hint="eastAsia" w:ascii="宋体" w:hAnsi="宋体" w:eastAsia="宋体" w:cs="宋体"/>
          <w:color w:val="auto"/>
          <w:sz w:val="24"/>
          <w:highlight w:val="none"/>
        </w:rPr>
        <w:t>）</w:t>
      </w:r>
    </w:p>
    <w:p w14:paraId="15CA22C8">
      <w:pPr>
        <w:spacing w:line="360" w:lineRule="auto"/>
        <w:ind w:firstLine="120" w:firstLineChar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（2） 提供支付担保的时间：</w:t>
      </w:r>
      <w:r>
        <w:rPr>
          <w:rFonts w:hint="eastAsia" w:ascii="宋体" w:hAnsi="宋体" w:eastAsia="宋体" w:cs="宋体"/>
          <w:color w:val="auto"/>
          <w:sz w:val="24"/>
          <w:highlight w:val="none"/>
          <w:u w:val="single"/>
        </w:rPr>
        <w:t>发包人不向承包人提供支付担保。</w:t>
      </w:r>
    </w:p>
    <w:p w14:paraId="5EFBE1B7">
      <w:pPr>
        <w:spacing w:line="360" w:lineRule="auto"/>
        <w:ind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 签订本合同时。</w:t>
      </w:r>
    </w:p>
    <w:p w14:paraId="70C8FD38">
      <w:pPr>
        <w:spacing w:line="360" w:lineRule="auto"/>
        <w:ind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另作约定：</w:t>
      </w:r>
      <w:r>
        <w:rPr>
          <w:rFonts w:hint="eastAsia" w:ascii="宋体" w:hAnsi="宋体" w:eastAsia="宋体" w:cs="宋体"/>
          <w:color w:val="auto"/>
          <w:kern w:val="0"/>
          <w:sz w:val="24"/>
          <w:highlight w:val="none"/>
          <w:u w:val="single"/>
        </w:rPr>
        <w:t xml:space="preserve">   /   。</w:t>
      </w:r>
    </w:p>
    <w:p w14:paraId="55755111">
      <w:pPr>
        <w:spacing w:line="360" w:lineRule="auto"/>
        <w:ind w:firstLine="120" w:firstLineChars="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 出具支付保函的担保人：</w:t>
      </w:r>
      <w:r>
        <w:rPr>
          <w:rFonts w:hint="eastAsia" w:ascii="宋体" w:hAnsi="宋体" w:eastAsia="宋体" w:cs="宋体"/>
          <w:color w:val="auto"/>
          <w:kern w:val="0"/>
          <w:sz w:val="24"/>
          <w:highlight w:val="none"/>
          <w:u w:val="single"/>
        </w:rPr>
        <w:t xml:space="preserve">   /    。</w:t>
      </w:r>
    </w:p>
    <w:p w14:paraId="220E1995">
      <w:pPr>
        <w:tabs>
          <w:tab w:val="center" w:pos="4153"/>
        </w:tabs>
        <w:spacing w:line="360" w:lineRule="auto"/>
        <w:rPr>
          <w:rFonts w:hint="eastAsia" w:ascii="宋体" w:hAnsi="宋体" w:eastAsia="宋体" w:cs="宋体"/>
          <w:strike/>
          <w:color w:val="auto"/>
          <w:kern w:val="0"/>
          <w:sz w:val="24"/>
          <w:highlight w:val="none"/>
          <w:u w:val="single"/>
        </w:rPr>
      </w:pPr>
      <w:r>
        <w:rPr>
          <w:rFonts w:hint="eastAsia" w:ascii="宋体" w:hAnsi="宋体" w:eastAsia="宋体" w:cs="宋体"/>
          <w:color w:val="auto"/>
          <w:kern w:val="0"/>
          <w:sz w:val="24"/>
          <w:highlight w:val="none"/>
        </w:rPr>
        <w:t xml:space="preserve">  43.5 担保内容、方式和责任等事项的约定：</w:t>
      </w:r>
    </w:p>
    <w:p w14:paraId="4CC3FC7B">
      <w:pPr>
        <w:tabs>
          <w:tab w:val="left" w:pos="945"/>
        </w:tabs>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（1）质量保证：按国家颁发的《建筑工程施工质量验收统一标准》（GB50300—2013）执行，</w:t>
      </w:r>
      <w:r>
        <w:rPr>
          <w:rFonts w:hint="eastAsia" w:ascii="宋体" w:hAnsi="宋体" w:eastAsia="宋体" w:cs="宋体"/>
          <w:color w:val="auto"/>
          <w:sz w:val="24"/>
          <w:highlight w:val="none"/>
        </w:rPr>
        <w:t>满足设计要求，参照国家有关建设规范行业标准要求，符合现行验收标准验收合格。</w:t>
      </w:r>
      <w:r>
        <w:rPr>
          <w:rFonts w:hint="eastAsia" w:ascii="宋体" w:hAnsi="宋体" w:eastAsia="宋体" w:cs="宋体"/>
          <w:color w:val="auto"/>
          <w:kern w:val="0"/>
          <w:sz w:val="24"/>
          <w:highlight w:val="none"/>
          <w:u w:val="single"/>
        </w:rPr>
        <w:t>必须达到新竣工备案制的合格标准</w:t>
      </w:r>
      <w:r>
        <w:rPr>
          <w:rFonts w:hint="eastAsia" w:ascii="宋体" w:hAnsi="宋体" w:eastAsia="宋体" w:cs="宋体"/>
          <w:color w:val="auto"/>
          <w:sz w:val="24"/>
          <w:highlight w:val="none"/>
          <w:u w:val="single"/>
        </w:rPr>
        <w:t>。</w:t>
      </w:r>
    </w:p>
    <w:p w14:paraId="6D36A78F">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（2）工期保证：因承包人原因造成工期延误，承包人应负违约责任，按本合同专用条款第66.2 条款的规定支付违约金；若因发包人原因造成工期延误，则工期顺延，但因工期顺延发生的所有费用发包人不予补偿。</w:t>
      </w:r>
    </w:p>
    <w:p w14:paraId="47F5D1C8">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3）项目经理及技术负责人驻场保证：承包人须按响应文件中承诺的项目经理和施工技术管理人员派驻现场，项目负责人和技术负责人须常驻现场，并不得随意更换，如确需更换，所更换的人员的资格不低于招标文件要求，并需提前一个月向发包人提出申请，经发包人核实书面同意后按相关规定办理方可替换，如果未经得发包人书面同意私自进行更换的，向发包人支付10万元/人违约金，项目经理每月在现场时间未达到 21天的，每少一天应向发包人支付违约 5000元。 </w:t>
      </w:r>
    </w:p>
    <w:p w14:paraId="3653071F">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 xml:space="preserve">项目经理、技术负责人、专职安全员、主办施工员、质检员、资料员等人员以投标书组织架构人员或经监理和发包人共同审批同意的项目架构表人员为准。 </w:t>
      </w:r>
    </w:p>
    <w:p w14:paraId="3ED6D4F8">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以上违约金可由监理单位在审核进度款申请单上列明，发包人在拨款时扣除。由上述原因造成工期延误等甲方损失，乙方另行赔偿。并按政府相关管理规定处理；</w:t>
      </w:r>
    </w:p>
    <w:p w14:paraId="0E5363EF">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（4）开工保证：承包人要保证在签订施工合同后 10天内，做好施工组织设计、安全生产文明施工方案等办理施工许可证所需的资料，报监理审批，确保工程如期开工，否则每延期一日历天向发包人支付违约金5000元。”</w:t>
      </w:r>
    </w:p>
    <w:p w14:paraId="7D6E84AF">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（5）按时退场违约金：承包人应在办理工程场地移交手续后 15个日历天内退场，并对现场进行相应的清理工作，费用由承包人承担，否则每延期一日历天承包人向发包人支付违约金5000元。</w:t>
      </w:r>
    </w:p>
    <w:p w14:paraId="1C0E428D">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6）承包人应确保各施工班组有序和协调地工作，防止现场施工人员斗殴和闹事，同时还应确保材料供应商及时供应符合要求的材料和向材料商支付材料款，防止材料供应商和施工班组人员因各种原因到发包人单位要求支付货款、工资或进行闹事，凡出现上述任一情况，承包人应按1万元/次向发包人支付违约金。情况严重，发包人有权单方解除合同。影响项目正常进行的，每次罚款1万元，直至终止合同。</w:t>
      </w:r>
    </w:p>
    <w:p w14:paraId="6B477700">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7）发包人依据合同约定或法律规定单方面解除合同的，发包人有权要求承包人在15历天内退场并移交场地，并且按未施工工程造价的5％计取违约金。同时发包人有权重新选择施工队伍进场后续施工。后续施工所发生的工程费用经监理公司、跟踪审计单位审定后由发包人从付给承包人的工程款中直接支付给后续施工队伍，承包人对此不得有任何异议。</w:t>
      </w:r>
    </w:p>
    <w:p w14:paraId="5A8D7C6F">
      <w:pPr>
        <w:spacing w:line="360" w:lineRule="auto"/>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u w:val="single"/>
        </w:rPr>
        <w:t>（8）以上违约金由发包人向担保银行提出偿还要求，不够部分在工程进度款或结算款中扣除。</w:t>
      </w:r>
    </w:p>
    <w:p w14:paraId="2D4F8F9D">
      <w:pPr>
        <w:autoSpaceDE w:val="0"/>
        <w:autoSpaceDN w:val="0"/>
        <w:adjustRightInd w:val="0"/>
        <w:spacing w:before="20" w:line="360" w:lineRule="auto"/>
        <w:ind w:right="11" w:firstLine="46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46</w:t>
      </w:r>
      <w:r>
        <w:rPr>
          <w:rFonts w:hint="eastAsia" w:ascii="宋体" w:hAnsi="宋体" w:eastAsia="宋体" w:cs="宋体"/>
          <w:b/>
          <w:bCs/>
          <w:color w:val="auto"/>
          <w:sz w:val="24"/>
          <w:highlight w:val="none"/>
          <w:lang w:val="zh-CN"/>
        </w:rPr>
        <w:t>、合同解除</w:t>
      </w:r>
    </w:p>
    <w:p w14:paraId="31D0DB06">
      <w:pPr>
        <w:autoSpaceDE w:val="0"/>
        <w:autoSpaceDN w:val="0"/>
        <w:adjustRightInd w:val="0"/>
        <w:spacing w:before="20"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46.6.1  </w:t>
      </w:r>
      <w:r>
        <w:rPr>
          <w:rFonts w:hint="eastAsia" w:ascii="宋体" w:hAnsi="宋体" w:eastAsia="宋体" w:cs="宋体"/>
          <w:color w:val="auto"/>
          <w:sz w:val="24"/>
          <w:highlight w:val="none"/>
          <w:lang w:val="zh-CN"/>
        </w:rPr>
        <w:t>部分解除合同</w:t>
      </w:r>
    </w:p>
    <w:p w14:paraId="386233A8">
      <w:pPr>
        <w:autoSpaceDE w:val="0"/>
        <w:autoSpaceDN w:val="0"/>
        <w:adjustRightInd w:val="0"/>
        <w:spacing w:before="20" w:line="360" w:lineRule="auto"/>
        <w:ind w:firstLine="24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承包人违约致部分解除合同的条件成就时，承包人在此承诺：</w:t>
      </w:r>
    </w:p>
    <w:p w14:paraId="6D33ABF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① 因承包人违约致部分解除合同的条件成就时，发包人有权向承包人发出部分解除合同的《违约责任通知书》，该通知送达承包人时部分解除合同即生效。</w:t>
      </w:r>
    </w:p>
    <w:p w14:paraId="1FEDA455">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② 承包人在接到《违约责任通知书》后，在2天内停止该部分工程的施工，并将机械、材料、物件、人员从该部分工程的施工场地撤离。</w:t>
      </w:r>
    </w:p>
    <w:p w14:paraId="5AC8820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③ 停工3天内，发包人会同承包人对已完成工程量进行清点：发包人只承认已发生并投入且符合质量验收标准的部分工程，对于已订货而未到现场或在现场未使用的材料、设备等均不予承认，由承包人自行处理；对于承包人已开工但经检验不合格的工程，承包人在发包人发出通知的限期内拆除，并清运出工地，由此带来的损失由承包人自行承担。</w:t>
      </w:r>
    </w:p>
    <w:p w14:paraId="28BE6B1C">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④ 承包人在收到《违约责任通知书》后，若不按上述约定执行，发包人有权自行处理承包人滞留在施工现场的物品，处理费用由承包人承担。</w:t>
      </w:r>
    </w:p>
    <w:p w14:paraId="13544638">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⑤ 承包人在收到《违约责任通知书》后，发包人就该部分解除合同的工程即可另行与其他单位签订施工合同，承包人不得阻碍新的承包人进场施工。</w:t>
      </w:r>
    </w:p>
    <w:p w14:paraId="512150D4">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⑥ 当部分解除合同的工程额达到施工合同总金额的50%时，发包人有权全部解除合同。</w:t>
      </w:r>
    </w:p>
    <w:p w14:paraId="36C13E2C">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46.6.2  解除合同.</w:t>
      </w:r>
    </w:p>
    <w:p w14:paraId="14D07427">
      <w:pPr>
        <w:autoSpaceDE w:val="0"/>
        <w:autoSpaceDN w:val="0"/>
        <w:adjustRightInd w:val="0"/>
        <w:spacing w:before="20" w:line="360" w:lineRule="auto"/>
        <w:ind w:firstLine="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承包人违约致部分解除合同的条件成就时，承包人在此承诺：</w:t>
      </w:r>
    </w:p>
    <w:p w14:paraId="61D7A55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① 因承包人违约致解除合同的条件成就时，发包人有权向承包人发出全部解除合同的《违约责任通知书》，该通知送达承包人时全部解除合同即生效。</w:t>
      </w:r>
    </w:p>
    <w:p w14:paraId="6A80476D">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② 承包人接到《违约责任通知书》后，必须在2天内停止工程施工，并在10天内将机械、材料、物件、人员从施工现场撤离。停工3天内，发包人将会同承包人对已完成工程量进行清点，清点规则比照部分解除合同的情形处理。</w:t>
      </w:r>
    </w:p>
    <w:p w14:paraId="7300E023">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③ 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w:t>
      </w:r>
    </w:p>
    <w:p w14:paraId="0533081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④承包人在收到《违约责任通知书》后，发包人就解除合同的工程即可另行与其他单位签订施工合同，承包人不得阻碍新的承包人进场施工。</w:t>
      </w:r>
    </w:p>
    <w:p w14:paraId="78951660">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⑤ 由于合同解除引致发包人工期延误及其它方面的损失，由承包人负责赔偿。</w:t>
      </w:r>
    </w:p>
    <w:p w14:paraId="0CABFCA6">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46.6.3  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543E1FAE">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46.7.1  合同解除后，不影响双方在合同中约定的结算和清理尾款的效力，亦不能免除承包人对已完工项目的保修责任。</w:t>
      </w:r>
    </w:p>
    <w:p w14:paraId="38251D2E">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48、合同份数</w:t>
      </w:r>
    </w:p>
    <w:p w14:paraId="0A09B6FC">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48.1双方约定合同份数：</w:t>
      </w:r>
    </w:p>
    <w:p w14:paraId="6DA6C908">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正本</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份，发包人、承包人各执</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份；副本</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val="zh-CN"/>
        </w:rPr>
        <w:t>份，发包人执</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 xml:space="preserve">份，承包人执4份。正本与副本不一致时，以正本为准。 </w:t>
      </w:r>
    </w:p>
    <w:p w14:paraId="3418E5AF">
      <w:pPr>
        <w:autoSpaceDE w:val="0"/>
        <w:autoSpaceDN w:val="0"/>
        <w:adjustRightInd w:val="0"/>
        <w:spacing w:before="20" w:line="360" w:lineRule="auto"/>
        <w:ind w:right="11" w:firstLine="461"/>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49、补充条款</w:t>
      </w:r>
    </w:p>
    <w:p w14:paraId="09FB356A">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49.2 承包人在收到的施工图纸后30天内将重新编制的施工图预算报送发包人审核。</w:t>
      </w:r>
    </w:p>
    <w:p w14:paraId="0EB3B28B">
      <w:pPr>
        <w:autoSpaceDE w:val="0"/>
        <w:autoSpaceDN w:val="0"/>
        <w:adjustRightInd w:val="0"/>
        <w:spacing w:before="2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49.3承包人在履行合同过程中应严格执行其投标文件中的任何承诺，发包人不接受承包人低于发包人要求的承诺。</w:t>
      </w:r>
    </w:p>
    <w:p w14:paraId="0B832357">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承包人投标时承诺的以下项目，除合同规定的不可抗力之外，若出现违约说明的情况，承包人将无条件接受以下处罚。</w:t>
      </w:r>
    </w:p>
    <w:tbl>
      <w:tblPr>
        <w:tblStyle w:val="8"/>
        <w:tblW w:w="9108" w:type="dxa"/>
        <w:tblInd w:w="0" w:type="dxa"/>
        <w:tblLayout w:type="fixed"/>
        <w:tblCellMar>
          <w:top w:w="0" w:type="dxa"/>
          <w:left w:w="108" w:type="dxa"/>
          <w:bottom w:w="0" w:type="dxa"/>
          <w:right w:w="108" w:type="dxa"/>
        </w:tblCellMar>
      </w:tblPr>
      <w:tblGrid>
        <w:gridCol w:w="648"/>
        <w:gridCol w:w="2520"/>
        <w:gridCol w:w="3420"/>
        <w:gridCol w:w="2520"/>
      </w:tblGrid>
      <w:tr w14:paraId="5D9A9BFE">
        <w:tblPrEx>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noWrap w:val="0"/>
            <w:vAlign w:val="center"/>
          </w:tcPr>
          <w:p w14:paraId="01C14BA0">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0B54D17B">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承诺项目</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21C9A03E">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违约说明</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75605E73">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投标人承诺的罚款额（人民币元）</w:t>
            </w:r>
          </w:p>
        </w:tc>
      </w:tr>
      <w:tr w14:paraId="46B5FB1A">
        <w:tblPrEx>
          <w:tblCellMar>
            <w:top w:w="0" w:type="dxa"/>
            <w:left w:w="108" w:type="dxa"/>
            <w:bottom w:w="0" w:type="dxa"/>
            <w:right w:w="108" w:type="dxa"/>
          </w:tblCellMar>
        </w:tblPrEx>
        <w:trPr>
          <w:cantSplit/>
        </w:trPr>
        <w:tc>
          <w:tcPr>
            <w:tcW w:w="648" w:type="dxa"/>
            <w:vMerge w:val="restart"/>
            <w:tcBorders>
              <w:top w:val="single" w:color="auto" w:sz="6" w:space="0"/>
              <w:left w:val="single" w:color="auto" w:sz="6" w:space="0"/>
              <w:bottom w:val="single" w:color="auto" w:sz="6" w:space="0"/>
              <w:right w:val="single" w:color="auto" w:sz="6" w:space="0"/>
            </w:tcBorders>
            <w:noWrap w:val="0"/>
            <w:vAlign w:val="center"/>
          </w:tcPr>
          <w:p w14:paraId="5C85A644">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2520" w:type="dxa"/>
            <w:vMerge w:val="restart"/>
            <w:tcBorders>
              <w:top w:val="single" w:color="auto" w:sz="6" w:space="0"/>
              <w:left w:val="single" w:color="auto" w:sz="6" w:space="0"/>
              <w:bottom w:val="single" w:color="auto" w:sz="6" w:space="0"/>
              <w:right w:val="single" w:color="auto" w:sz="6" w:space="0"/>
            </w:tcBorders>
            <w:noWrap w:val="0"/>
            <w:vAlign w:val="center"/>
          </w:tcPr>
          <w:p w14:paraId="4FB4ABC9">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项目经理部</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11E036AA">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更换项目经理</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1767B2D6">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50000</w:t>
            </w:r>
          </w:p>
        </w:tc>
      </w:tr>
      <w:tr w14:paraId="7B735790">
        <w:tblPrEx>
          <w:tblCellMar>
            <w:top w:w="0" w:type="dxa"/>
            <w:left w:w="108" w:type="dxa"/>
            <w:bottom w:w="0" w:type="dxa"/>
            <w:right w:w="108" w:type="dxa"/>
          </w:tblCellMar>
        </w:tblPrEx>
        <w:trPr>
          <w:cantSplit/>
        </w:trPr>
        <w:tc>
          <w:tcPr>
            <w:tcW w:w="648" w:type="dxa"/>
            <w:vMerge w:val="continue"/>
            <w:tcBorders>
              <w:top w:val="single" w:color="auto" w:sz="6" w:space="0"/>
              <w:left w:val="single" w:color="auto" w:sz="6" w:space="0"/>
              <w:bottom w:val="single" w:color="auto" w:sz="6" w:space="0"/>
              <w:right w:val="single" w:color="auto" w:sz="6" w:space="0"/>
            </w:tcBorders>
            <w:noWrap w:val="0"/>
            <w:vAlign w:val="center"/>
          </w:tcPr>
          <w:p w14:paraId="469BACFC">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2520" w:type="dxa"/>
            <w:vMerge w:val="continue"/>
            <w:tcBorders>
              <w:top w:val="single" w:color="auto" w:sz="6" w:space="0"/>
              <w:left w:val="single" w:color="auto" w:sz="6" w:space="0"/>
              <w:bottom w:val="single" w:color="auto" w:sz="6" w:space="0"/>
              <w:right w:val="single" w:color="auto" w:sz="6" w:space="0"/>
            </w:tcBorders>
            <w:noWrap w:val="0"/>
            <w:vAlign w:val="center"/>
          </w:tcPr>
          <w:p w14:paraId="24D6FBB2">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FEFFD26">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更换项目副经理、技术负责人</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574228F9">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30000</w:t>
            </w:r>
          </w:p>
        </w:tc>
      </w:tr>
      <w:tr w14:paraId="463BE501">
        <w:tblPrEx>
          <w:tblCellMar>
            <w:top w:w="0" w:type="dxa"/>
            <w:left w:w="108" w:type="dxa"/>
            <w:bottom w:w="0" w:type="dxa"/>
            <w:right w:w="108" w:type="dxa"/>
          </w:tblCellMar>
        </w:tblPrEx>
        <w:trPr>
          <w:cantSplit/>
        </w:trPr>
        <w:tc>
          <w:tcPr>
            <w:tcW w:w="648" w:type="dxa"/>
            <w:vMerge w:val="continue"/>
            <w:tcBorders>
              <w:top w:val="single" w:color="auto" w:sz="6" w:space="0"/>
              <w:left w:val="single" w:color="auto" w:sz="6" w:space="0"/>
              <w:bottom w:val="single" w:color="auto" w:sz="6" w:space="0"/>
              <w:right w:val="single" w:color="auto" w:sz="6" w:space="0"/>
            </w:tcBorders>
            <w:noWrap w:val="0"/>
            <w:vAlign w:val="center"/>
          </w:tcPr>
          <w:p w14:paraId="22DBEB89">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2520" w:type="dxa"/>
            <w:vMerge w:val="continue"/>
            <w:tcBorders>
              <w:top w:val="single" w:color="auto" w:sz="6" w:space="0"/>
              <w:left w:val="single" w:color="auto" w:sz="6" w:space="0"/>
              <w:bottom w:val="single" w:color="auto" w:sz="6" w:space="0"/>
              <w:right w:val="single" w:color="auto" w:sz="6" w:space="0"/>
            </w:tcBorders>
            <w:noWrap w:val="0"/>
            <w:vAlign w:val="center"/>
          </w:tcPr>
          <w:p w14:paraId="69F78258">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C3157F2">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更换部门负责人</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25D3A65E">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8000</w:t>
            </w:r>
          </w:p>
        </w:tc>
      </w:tr>
      <w:tr w14:paraId="72C82C66">
        <w:tblPrEx>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noWrap w:val="0"/>
            <w:vAlign w:val="center"/>
          </w:tcPr>
          <w:p w14:paraId="06040891">
            <w:pPr>
              <w:autoSpaceDE w:val="0"/>
              <w:autoSpaceDN w:val="0"/>
              <w:adjustRightInd w:val="0"/>
              <w:spacing w:before="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48ABC71C">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各阶段投入劳动力</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6373ACFC">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每少1人</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6DF7DA56">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80</w:t>
            </w:r>
          </w:p>
        </w:tc>
      </w:tr>
      <w:tr w14:paraId="3AFDF3FA">
        <w:tblPrEx>
          <w:tblCellMar>
            <w:top w:w="0" w:type="dxa"/>
            <w:left w:w="108" w:type="dxa"/>
            <w:bottom w:w="0" w:type="dxa"/>
            <w:right w:w="108" w:type="dxa"/>
          </w:tblCellMar>
        </w:tblPrEx>
        <w:trPr>
          <w:cantSplit/>
        </w:trPr>
        <w:tc>
          <w:tcPr>
            <w:tcW w:w="648" w:type="dxa"/>
            <w:vMerge w:val="restart"/>
            <w:tcBorders>
              <w:top w:val="single" w:color="auto" w:sz="6" w:space="0"/>
              <w:left w:val="single" w:color="auto" w:sz="6" w:space="0"/>
              <w:bottom w:val="single" w:color="auto" w:sz="6" w:space="0"/>
              <w:right w:val="single" w:color="auto" w:sz="6" w:space="0"/>
            </w:tcBorders>
            <w:noWrap w:val="0"/>
            <w:vAlign w:val="center"/>
          </w:tcPr>
          <w:p w14:paraId="16FAEEAF">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2520" w:type="dxa"/>
            <w:vMerge w:val="restart"/>
            <w:tcBorders>
              <w:top w:val="single" w:color="auto" w:sz="6" w:space="0"/>
              <w:left w:val="single" w:color="auto" w:sz="6" w:space="0"/>
              <w:bottom w:val="single" w:color="auto" w:sz="6" w:space="0"/>
              <w:right w:val="single" w:color="auto" w:sz="6" w:space="0"/>
            </w:tcBorders>
            <w:noWrap w:val="0"/>
            <w:vAlign w:val="center"/>
          </w:tcPr>
          <w:p w14:paraId="0448E2E6">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各阶段投入设备</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969A602">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没有按总控或阶段计划投入，主要设备每少1台</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07E5A38C">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1000</w:t>
            </w:r>
          </w:p>
        </w:tc>
      </w:tr>
      <w:tr w14:paraId="5AD1C38D">
        <w:tblPrEx>
          <w:tblCellMar>
            <w:top w:w="0" w:type="dxa"/>
            <w:left w:w="108" w:type="dxa"/>
            <w:bottom w:w="0" w:type="dxa"/>
            <w:right w:w="108" w:type="dxa"/>
          </w:tblCellMar>
        </w:tblPrEx>
        <w:trPr>
          <w:cantSplit/>
        </w:trPr>
        <w:tc>
          <w:tcPr>
            <w:tcW w:w="648" w:type="dxa"/>
            <w:vMerge w:val="continue"/>
            <w:tcBorders>
              <w:top w:val="single" w:color="auto" w:sz="6" w:space="0"/>
              <w:left w:val="single" w:color="auto" w:sz="6" w:space="0"/>
              <w:bottom w:val="single" w:color="auto" w:sz="6" w:space="0"/>
              <w:right w:val="single" w:color="auto" w:sz="6" w:space="0"/>
            </w:tcBorders>
            <w:noWrap w:val="0"/>
            <w:vAlign w:val="center"/>
          </w:tcPr>
          <w:p w14:paraId="6328E3DF">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2520" w:type="dxa"/>
            <w:vMerge w:val="continue"/>
            <w:tcBorders>
              <w:top w:val="single" w:color="auto" w:sz="6" w:space="0"/>
              <w:left w:val="single" w:color="auto" w:sz="6" w:space="0"/>
              <w:bottom w:val="single" w:color="auto" w:sz="6" w:space="0"/>
              <w:right w:val="single" w:color="auto" w:sz="6" w:space="0"/>
            </w:tcBorders>
            <w:noWrap w:val="0"/>
            <w:vAlign w:val="center"/>
          </w:tcPr>
          <w:p w14:paraId="2B9EE5D0">
            <w:pPr>
              <w:autoSpaceDE w:val="0"/>
              <w:autoSpaceDN w:val="0"/>
              <w:adjustRightInd w:val="0"/>
              <w:spacing w:before="20" w:line="360" w:lineRule="auto"/>
              <w:jc w:val="center"/>
              <w:rPr>
                <w:rFonts w:hint="eastAsia" w:ascii="宋体" w:hAnsi="宋体" w:eastAsia="宋体" w:cs="宋体"/>
                <w:color w:val="auto"/>
                <w:sz w:val="24"/>
                <w:highlight w:val="none"/>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14:paraId="709AEFD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没有按总控或阶段计划投入，一般设备每少1台</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0EF7F8EE">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800</w:t>
            </w:r>
          </w:p>
        </w:tc>
      </w:tr>
      <w:tr w14:paraId="4A73A2F1">
        <w:tblPrEx>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noWrap w:val="0"/>
            <w:vAlign w:val="center"/>
          </w:tcPr>
          <w:p w14:paraId="26AACDB7">
            <w:pPr>
              <w:autoSpaceDE w:val="0"/>
              <w:autoSpaceDN w:val="0"/>
              <w:adjustRightInd w:val="0"/>
              <w:spacing w:before="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22B6167E">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各阶段投入材料</w:t>
            </w:r>
          </w:p>
        </w:tc>
        <w:tc>
          <w:tcPr>
            <w:tcW w:w="3420" w:type="dxa"/>
            <w:tcBorders>
              <w:top w:val="single" w:color="auto" w:sz="6" w:space="0"/>
              <w:left w:val="single" w:color="auto" w:sz="6" w:space="0"/>
              <w:bottom w:val="single" w:color="auto" w:sz="6" w:space="0"/>
              <w:right w:val="single" w:color="auto" w:sz="6" w:space="0"/>
            </w:tcBorders>
            <w:noWrap w:val="0"/>
            <w:vAlign w:val="center"/>
          </w:tcPr>
          <w:p w14:paraId="5CD2AE9B">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没有按总控或阶段计划投入，每少10%</w:t>
            </w:r>
          </w:p>
        </w:tc>
        <w:tc>
          <w:tcPr>
            <w:tcW w:w="2520" w:type="dxa"/>
            <w:tcBorders>
              <w:top w:val="single" w:color="auto" w:sz="6" w:space="0"/>
              <w:left w:val="single" w:color="auto" w:sz="6" w:space="0"/>
              <w:bottom w:val="single" w:color="auto" w:sz="6" w:space="0"/>
              <w:right w:val="single" w:color="auto" w:sz="6" w:space="0"/>
            </w:tcBorders>
            <w:noWrap w:val="0"/>
            <w:vAlign w:val="center"/>
          </w:tcPr>
          <w:p w14:paraId="3A53CAE3">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50000</w:t>
            </w:r>
          </w:p>
        </w:tc>
      </w:tr>
      <w:tr w14:paraId="4222FDF5">
        <w:tblPrEx>
          <w:tblCellMar>
            <w:top w:w="0" w:type="dxa"/>
            <w:left w:w="108" w:type="dxa"/>
            <w:bottom w:w="0" w:type="dxa"/>
            <w:right w:w="108" w:type="dxa"/>
          </w:tblCellMar>
        </w:tblPrEx>
        <w:tc>
          <w:tcPr>
            <w:tcW w:w="648" w:type="dxa"/>
            <w:tcBorders>
              <w:top w:val="single" w:color="auto" w:sz="6" w:space="0"/>
              <w:left w:val="single" w:color="auto" w:sz="6" w:space="0"/>
              <w:bottom w:val="single" w:color="auto" w:sz="6" w:space="0"/>
              <w:right w:val="single" w:color="auto" w:sz="6" w:space="0"/>
            </w:tcBorders>
            <w:noWrap w:val="0"/>
            <w:vAlign w:val="center"/>
          </w:tcPr>
          <w:p w14:paraId="46EA9389">
            <w:pPr>
              <w:autoSpaceDE w:val="0"/>
              <w:autoSpaceDN w:val="0"/>
              <w:adjustRightInd w:val="0"/>
              <w:spacing w:before="2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520" w:type="dxa"/>
            <w:tcBorders>
              <w:top w:val="single" w:color="auto" w:sz="6" w:space="0"/>
              <w:left w:val="single" w:color="auto" w:sz="6" w:space="0"/>
              <w:bottom w:val="single" w:color="auto" w:sz="6" w:space="0"/>
              <w:right w:val="single" w:color="auto" w:sz="6" w:space="0"/>
            </w:tcBorders>
            <w:noWrap w:val="0"/>
            <w:vAlign w:val="top"/>
          </w:tcPr>
          <w:p w14:paraId="4F9B50F2">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乙供设备材料</w:t>
            </w:r>
          </w:p>
        </w:tc>
        <w:tc>
          <w:tcPr>
            <w:tcW w:w="3420" w:type="dxa"/>
            <w:tcBorders>
              <w:top w:val="single" w:color="auto" w:sz="6" w:space="0"/>
              <w:left w:val="single" w:color="auto" w:sz="6" w:space="0"/>
              <w:bottom w:val="single" w:color="auto" w:sz="6" w:space="0"/>
              <w:right w:val="single" w:color="auto" w:sz="6" w:space="0"/>
            </w:tcBorders>
            <w:noWrap w:val="0"/>
            <w:vAlign w:val="top"/>
          </w:tcPr>
          <w:p w14:paraId="1086A0A1">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每更换一个品牌</w:t>
            </w:r>
          </w:p>
        </w:tc>
        <w:tc>
          <w:tcPr>
            <w:tcW w:w="2520" w:type="dxa"/>
            <w:tcBorders>
              <w:top w:val="single" w:color="auto" w:sz="6" w:space="0"/>
              <w:left w:val="single" w:color="auto" w:sz="6" w:space="0"/>
              <w:bottom w:val="single" w:color="auto" w:sz="6" w:space="0"/>
              <w:right w:val="single" w:color="auto" w:sz="6" w:space="0"/>
            </w:tcBorders>
            <w:noWrap w:val="0"/>
            <w:vAlign w:val="top"/>
          </w:tcPr>
          <w:p w14:paraId="45DC84B2">
            <w:pPr>
              <w:autoSpaceDE w:val="0"/>
              <w:autoSpaceDN w:val="0"/>
              <w:adjustRightInd w:val="0"/>
              <w:spacing w:before="20" w:line="360" w:lineRule="auto"/>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2000</w:t>
            </w:r>
          </w:p>
        </w:tc>
      </w:tr>
    </w:tbl>
    <w:p w14:paraId="193B485D">
      <w:pPr>
        <w:autoSpaceDE w:val="0"/>
        <w:autoSpaceDN w:val="0"/>
        <w:adjustRightInd w:val="0"/>
        <w:spacing w:before="2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49.4 </w:t>
      </w:r>
      <w:r>
        <w:rPr>
          <w:rFonts w:hint="eastAsia" w:ascii="宋体" w:hAnsi="宋体" w:eastAsia="宋体" w:cs="宋体"/>
          <w:snapToGrid w:val="0"/>
          <w:color w:val="auto"/>
          <w:kern w:val="0"/>
          <w:sz w:val="24"/>
          <w:highlight w:val="none"/>
        </w:rPr>
        <w:t>经发包人抽查发现承包人违反合同专用条款第9.6（1）款的约定，其技术管理人员或施工作业人员没有佩带平安卡的，由承包人按每人次300元的标准向发包人支付违约金并立即改正。</w:t>
      </w:r>
    </w:p>
    <w:p w14:paraId="5B6B1CF5">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49.5 本合同未尽事宜，另行签订补充协议。</w:t>
      </w:r>
    </w:p>
    <w:p w14:paraId="1AF16BA6">
      <w:pPr>
        <w:pStyle w:val="2"/>
        <w:rPr>
          <w:rFonts w:hint="eastAsia" w:ascii="宋体" w:hAnsi="宋体" w:eastAsia="宋体" w:cs="宋体"/>
          <w:color w:val="auto"/>
          <w:sz w:val="24"/>
          <w:highlight w:val="none"/>
          <w:lang w:val="zh-CN"/>
        </w:rPr>
      </w:pPr>
    </w:p>
    <w:p w14:paraId="43D9FE9C">
      <w:pPr>
        <w:rPr>
          <w:rFonts w:hint="eastAsia" w:ascii="宋体" w:hAnsi="宋体" w:eastAsia="宋体" w:cs="宋体"/>
          <w:color w:val="auto"/>
          <w:sz w:val="24"/>
          <w:highlight w:val="none"/>
          <w:lang w:val="zh-CN"/>
        </w:rPr>
      </w:pPr>
    </w:p>
    <w:p w14:paraId="4C403E14">
      <w:pPr>
        <w:pStyle w:val="2"/>
        <w:rPr>
          <w:rFonts w:hint="eastAsia" w:ascii="宋体" w:hAnsi="宋体" w:eastAsia="宋体" w:cs="宋体"/>
          <w:color w:val="auto"/>
          <w:sz w:val="24"/>
          <w:highlight w:val="none"/>
          <w:lang w:val="zh-CN"/>
        </w:rPr>
      </w:pPr>
    </w:p>
    <w:p w14:paraId="524EA16D">
      <w:pPr>
        <w:rPr>
          <w:rFonts w:hint="eastAsia" w:ascii="宋体" w:hAnsi="宋体" w:eastAsia="宋体" w:cs="宋体"/>
          <w:color w:val="auto"/>
          <w:sz w:val="24"/>
          <w:highlight w:val="none"/>
          <w:lang w:val="zh-CN"/>
        </w:rPr>
      </w:pPr>
    </w:p>
    <w:p w14:paraId="70DF7F46">
      <w:pPr>
        <w:pStyle w:val="2"/>
        <w:rPr>
          <w:rFonts w:hint="eastAsia" w:ascii="宋体" w:hAnsi="宋体" w:eastAsia="宋体" w:cs="宋体"/>
          <w:color w:val="auto"/>
          <w:sz w:val="24"/>
          <w:highlight w:val="none"/>
          <w:lang w:val="zh-CN"/>
        </w:rPr>
      </w:pPr>
    </w:p>
    <w:p w14:paraId="0D0487DD">
      <w:pPr>
        <w:rPr>
          <w:rFonts w:hint="eastAsia" w:ascii="宋体" w:hAnsi="宋体" w:eastAsia="宋体" w:cs="宋体"/>
          <w:color w:val="auto"/>
          <w:sz w:val="24"/>
          <w:highlight w:val="none"/>
          <w:lang w:val="zh-CN"/>
        </w:rPr>
      </w:pPr>
    </w:p>
    <w:p w14:paraId="028794B5">
      <w:pPr>
        <w:rPr>
          <w:rFonts w:hint="eastAsia" w:ascii="宋体" w:hAnsi="宋体" w:eastAsia="宋体" w:cs="宋体"/>
          <w:highlight w:val="none"/>
          <w:lang w:val="zh-CN"/>
        </w:rPr>
      </w:pPr>
    </w:p>
    <w:p w14:paraId="0F128EA5">
      <w:pPr>
        <w:pStyle w:val="2"/>
        <w:rPr>
          <w:rFonts w:hint="eastAsia" w:ascii="宋体" w:hAnsi="宋体" w:eastAsia="宋体" w:cs="宋体"/>
          <w:highlight w:val="none"/>
          <w:lang w:val="zh-CN"/>
        </w:rPr>
      </w:pPr>
    </w:p>
    <w:p w14:paraId="06058E00">
      <w:pPr>
        <w:autoSpaceDE w:val="0"/>
        <w:autoSpaceDN w:val="0"/>
        <w:adjustRightInd w:val="0"/>
        <w:spacing w:before="20"/>
        <w:outlineLvl w:val="3"/>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lang w:val="zh-CN"/>
        </w:rPr>
        <w:t>附件一  现场管理机构人员名单</w:t>
      </w:r>
    </w:p>
    <w:tbl>
      <w:tblPr>
        <w:tblStyle w:val="8"/>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65"/>
        <w:gridCol w:w="1362"/>
        <w:gridCol w:w="1785"/>
        <w:gridCol w:w="2730"/>
        <w:gridCol w:w="840"/>
      </w:tblGrid>
      <w:tr w14:paraId="4876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8079C45">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117B62D">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姓名</w:t>
            </w: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61DD7F8">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职务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A6F3BE5">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专业资格职称</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56FB16F2">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承担的主要项目名称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55D94EA">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备注</w:t>
            </w:r>
          </w:p>
        </w:tc>
      </w:tr>
      <w:tr w14:paraId="1B39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82E884F">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1</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96C807C">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68AADC99">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D7CCD14">
            <w:pPr>
              <w:autoSpaceDE w:val="0"/>
              <w:autoSpaceDN w:val="0"/>
              <w:adjustRightInd w:val="0"/>
              <w:spacing w:before="20"/>
              <w:rPr>
                <w:rFonts w:hint="eastAsia" w:ascii="宋体" w:hAnsi="宋体" w:eastAsia="宋体" w:cs="宋体"/>
                <w:b w:val="0"/>
                <w:bCs/>
                <w:color w:val="auto"/>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784D2CE">
            <w:pPr>
              <w:autoSpaceDE w:val="0"/>
              <w:autoSpaceDN w:val="0"/>
              <w:adjustRightInd w:val="0"/>
              <w:spacing w:before="20"/>
              <w:rPr>
                <w:rFonts w:hint="eastAsia" w:ascii="宋体" w:hAnsi="宋体" w:eastAsia="宋体" w:cs="宋体"/>
                <w:b w:val="0"/>
                <w:bCs/>
                <w:color w:val="auto"/>
                <w:szCs w:val="21"/>
                <w:highlight w:val="none"/>
                <w:lang w:val="en-US" w:eastAsia="zh-CN"/>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2D04826">
            <w:pPr>
              <w:autoSpaceDE w:val="0"/>
              <w:autoSpaceDN w:val="0"/>
              <w:adjustRightInd w:val="0"/>
              <w:spacing w:before="20"/>
              <w:rPr>
                <w:rFonts w:hint="eastAsia" w:ascii="宋体" w:hAnsi="宋体" w:eastAsia="宋体" w:cs="宋体"/>
                <w:b w:val="0"/>
                <w:bCs/>
                <w:color w:val="auto"/>
                <w:szCs w:val="21"/>
                <w:highlight w:val="none"/>
              </w:rPr>
            </w:pPr>
          </w:p>
        </w:tc>
      </w:tr>
      <w:tr w14:paraId="1B9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1CC9A0BB">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7566D22">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0B4BDF68">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5A9B6C1">
            <w:pPr>
              <w:autoSpaceDE w:val="0"/>
              <w:autoSpaceDN w:val="0"/>
              <w:adjustRightInd w:val="0"/>
              <w:spacing w:before="20"/>
              <w:rPr>
                <w:rFonts w:hint="eastAsia" w:ascii="宋体" w:hAnsi="宋体" w:eastAsia="宋体" w:cs="宋体"/>
                <w:b w:val="0"/>
                <w:bCs/>
                <w:color w:val="auto"/>
                <w:szCs w:val="21"/>
                <w:highlight w:val="none"/>
                <w:lang w:eastAsia="zh-CN"/>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0003F4C0">
            <w:pPr>
              <w:autoSpaceDE w:val="0"/>
              <w:autoSpaceDN w:val="0"/>
              <w:adjustRightInd w:val="0"/>
              <w:spacing w:before="20"/>
              <w:rPr>
                <w:rFonts w:hint="eastAsia" w:ascii="宋体" w:hAnsi="宋体" w:eastAsia="宋体" w:cs="宋体"/>
                <w:b w:val="0"/>
                <w:bCs/>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26571BE">
            <w:pPr>
              <w:autoSpaceDE w:val="0"/>
              <w:autoSpaceDN w:val="0"/>
              <w:adjustRightInd w:val="0"/>
              <w:spacing w:before="20"/>
              <w:rPr>
                <w:rFonts w:hint="eastAsia" w:ascii="宋体" w:hAnsi="宋体" w:eastAsia="宋体" w:cs="宋体"/>
                <w:b w:val="0"/>
                <w:bCs/>
                <w:color w:val="auto"/>
                <w:szCs w:val="21"/>
                <w:highlight w:val="none"/>
              </w:rPr>
            </w:pPr>
          </w:p>
        </w:tc>
      </w:tr>
      <w:tr w14:paraId="16F1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F8D0478">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5746609">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3885AED8">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D28DC75">
            <w:pPr>
              <w:autoSpaceDE w:val="0"/>
              <w:autoSpaceDN w:val="0"/>
              <w:adjustRightInd w:val="0"/>
              <w:spacing w:before="20"/>
              <w:rPr>
                <w:rFonts w:hint="eastAsia" w:ascii="宋体" w:hAnsi="宋体" w:eastAsia="宋体" w:cs="宋体"/>
                <w:b w:val="0"/>
                <w:bCs/>
                <w:color w:val="auto"/>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4BB79D27">
            <w:pPr>
              <w:autoSpaceDE w:val="0"/>
              <w:autoSpaceDN w:val="0"/>
              <w:adjustRightInd w:val="0"/>
              <w:spacing w:before="20"/>
              <w:rPr>
                <w:rFonts w:hint="eastAsia" w:ascii="宋体" w:hAnsi="宋体" w:eastAsia="宋体" w:cs="宋体"/>
                <w:b w:val="0"/>
                <w:bCs/>
                <w:color w:val="auto"/>
                <w:szCs w:val="21"/>
                <w:highlight w:val="none"/>
                <w:lang w:eastAsia="zh-CN"/>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DF474FB">
            <w:pPr>
              <w:autoSpaceDE w:val="0"/>
              <w:autoSpaceDN w:val="0"/>
              <w:adjustRightInd w:val="0"/>
              <w:spacing w:before="20"/>
              <w:rPr>
                <w:rFonts w:hint="eastAsia" w:ascii="宋体" w:hAnsi="宋体" w:eastAsia="宋体" w:cs="宋体"/>
                <w:b w:val="0"/>
                <w:bCs/>
                <w:color w:val="auto"/>
                <w:szCs w:val="21"/>
                <w:highlight w:val="none"/>
              </w:rPr>
            </w:pPr>
          </w:p>
        </w:tc>
      </w:tr>
      <w:tr w14:paraId="24F3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F1B4FCD">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4</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8C9200C">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054A74E4">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78ACC5F">
            <w:pPr>
              <w:autoSpaceDE w:val="0"/>
              <w:autoSpaceDN w:val="0"/>
              <w:adjustRightInd w:val="0"/>
              <w:spacing w:before="20"/>
              <w:rPr>
                <w:rFonts w:hint="eastAsia" w:ascii="宋体" w:hAnsi="宋体" w:eastAsia="宋体" w:cs="宋体"/>
                <w:b w:val="0"/>
                <w:bCs/>
                <w:color w:val="auto"/>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6917347">
            <w:pPr>
              <w:autoSpaceDE w:val="0"/>
              <w:autoSpaceDN w:val="0"/>
              <w:adjustRightInd w:val="0"/>
              <w:spacing w:before="20"/>
              <w:rPr>
                <w:rFonts w:hint="eastAsia" w:ascii="宋体" w:hAnsi="宋体" w:eastAsia="宋体" w:cs="宋体"/>
                <w:b w:val="0"/>
                <w:bCs/>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7D90FA3">
            <w:pPr>
              <w:autoSpaceDE w:val="0"/>
              <w:autoSpaceDN w:val="0"/>
              <w:adjustRightInd w:val="0"/>
              <w:spacing w:before="20"/>
              <w:rPr>
                <w:rFonts w:hint="eastAsia" w:ascii="宋体" w:hAnsi="宋体" w:eastAsia="宋体" w:cs="宋体"/>
                <w:b w:val="0"/>
                <w:bCs/>
                <w:color w:val="auto"/>
                <w:szCs w:val="21"/>
                <w:highlight w:val="none"/>
              </w:rPr>
            </w:pPr>
          </w:p>
        </w:tc>
      </w:tr>
      <w:tr w14:paraId="0B48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61CA4110">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5</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49F5199">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4AA69BD">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C94A352">
            <w:pPr>
              <w:autoSpaceDE w:val="0"/>
              <w:autoSpaceDN w:val="0"/>
              <w:adjustRightInd w:val="0"/>
              <w:spacing w:before="20"/>
              <w:rPr>
                <w:rFonts w:hint="eastAsia" w:ascii="宋体" w:hAnsi="宋体" w:eastAsia="宋体" w:cs="宋体"/>
                <w:b w:val="0"/>
                <w:bCs/>
                <w:color w:val="auto"/>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497D07CC">
            <w:pPr>
              <w:autoSpaceDE w:val="0"/>
              <w:autoSpaceDN w:val="0"/>
              <w:adjustRightInd w:val="0"/>
              <w:spacing w:before="20"/>
              <w:rPr>
                <w:rFonts w:hint="eastAsia" w:ascii="宋体" w:hAnsi="宋体" w:eastAsia="宋体" w:cs="宋体"/>
                <w:b w:val="0"/>
                <w:bCs/>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4ED28AE">
            <w:pPr>
              <w:autoSpaceDE w:val="0"/>
              <w:autoSpaceDN w:val="0"/>
              <w:adjustRightInd w:val="0"/>
              <w:spacing w:before="20"/>
              <w:rPr>
                <w:rFonts w:hint="eastAsia" w:ascii="宋体" w:hAnsi="宋体" w:eastAsia="宋体" w:cs="宋体"/>
                <w:b w:val="0"/>
                <w:bCs/>
                <w:color w:val="auto"/>
                <w:szCs w:val="21"/>
                <w:highlight w:val="none"/>
              </w:rPr>
            </w:pPr>
          </w:p>
        </w:tc>
      </w:tr>
      <w:tr w14:paraId="638B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6239755B">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6</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A0F9BF6">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129A90B9">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9D2155A">
            <w:pPr>
              <w:autoSpaceDE w:val="0"/>
              <w:autoSpaceDN w:val="0"/>
              <w:adjustRightInd w:val="0"/>
              <w:spacing w:before="20"/>
              <w:rPr>
                <w:rFonts w:hint="eastAsia" w:ascii="宋体" w:hAnsi="宋体" w:eastAsia="宋体" w:cs="宋体"/>
                <w:b w:val="0"/>
                <w:bCs/>
                <w:color w:val="auto"/>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0BF9315">
            <w:pPr>
              <w:autoSpaceDE w:val="0"/>
              <w:autoSpaceDN w:val="0"/>
              <w:adjustRightInd w:val="0"/>
              <w:spacing w:before="20"/>
              <w:rPr>
                <w:rFonts w:hint="eastAsia" w:ascii="宋体" w:hAnsi="宋体" w:eastAsia="宋体" w:cs="宋体"/>
                <w:b w:val="0"/>
                <w:bCs/>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4E1B99F">
            <w:pPr>
              <w:autoSpaceDE w:val="0"/>
              <w:autoSpaceDN w:val="0"/>
              <w:adjustRightInd w:val="0"/>
              <w:spacing w:before="20"/>
              <w:rPr>
                <w:rFonts w:hint="eastAsia" w:ascii="宋体" w:hAnsi="宋体" w:eastAsia="宋体" w:cs="宋体"/>
                <w:b w:val="0"/>
                <w:bCs/>
                <w:color w:val="auto"/>
                <w:szCs w:val="21"/>
                <w:highlight w:val="none"/>
              </w:rPr>
            </w:pPr>
          </w:p>
        </w:tc>
      </w:tr>
      <w:tr w14:paraId="65BE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47094DB">
            <w:pPr>
              <w:autoSpaceDE w:val="0"/>
              <w:autoSpaceDN w:val="0"/>
              <w:adjustRightInd w:val="0"/>
              <w:spacing w:before="2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7</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AFC3D26">
            <w:pPr>
              <w:autoSpaceDE w:val="0"/>
              <w:autoSpaceDN w:val="0"/>
              <w:adjustRightInd w:val="0"/>
              <w:spacing w:before="20"/>
              <w:rPr>
                <w:rFonts w:hint="eastAsia" w:ascii="宋体" w:hAnsi="宋体" w:eastAsia="宋体" w:cs="宋体"/>
                <w:b w:val="0"/>
                <w:bCs/>
                <w:color w:val="auto"/>
                <w:szCs w:val="21"/>
                <w:highlight w:val="none"/>
              </w:rPr>
            </w:pPr>
          </w:p>
        </w:tc>
        <w:tc>
          <w:tcPr>
            <w:tcW w:w="1362" w:type="dxa"/>
            <w:tcBorders>
              <w:top w:val="single" w:color="auto" w:sz="4" w:space="0"/>
              <w:left w:val="single" w:color="auto" w:sz="4" w:space="0"/>
              <w:bottom w:val="single" w:color="auto" w:sz="4" w:space="0"/>
              <w:right w:val="single" w:color="auto" w:sz="4" w:space="0"/>
            </w:tcBorders>
            <w:noWrap w:val="0"/>
            <w:vAlign w:val="center"/>
          </w:tcPr>
          <w:p w14:paraId="57A25324">
            <w:pPr>
              <w:autoSpaceDE w:val="0"/>
              <w:autoSpaceDN w:val="0"/>
              <w:adjustRightInd w:val="0"/>
              <w:spacing w:before="20"/>
              <w:rPr>
                <w:rFonts w:hint="eastAsia" w:ascii="宋体" w:hAnsi="宋体" w:eastAsia="宋体" w:cs="宋体"/>
                <w:b w:val="0"/>
                <w:bCs/>
                <w:color w:val="auto"/>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BACBC00">
            <w:pPr>
              <w:autoSpaceDE w:val="0"/>
              <w:autoSpaceDN w:val="0"/>
              <w:adjustRightInd w:val="0"/>
              <w:spacing w:before="20"/>
              <w:rPr>
                <w:rFonts w:hint="eastAsia" w:ascii="宋体" w:hAnsi="宋体" w:eastAsia="宋体" w:cs="宋体"/>
                <w:b w:val="0"/>
                <w:bCs/>
                <w:color w:val="auto"/>
                <w:szCs w:val="21"/>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14:paraId="101BB05F">
            <w:pPr>
              <w:autoSpaceDE w:val="0"/>
              <w:autoSpaceDN w:val="0"/>
              <w:adjustRightInd w:val="0"/>
              <w:spacing w:before="20"/>
              <w:rPr>
                <w:rFonts w:hint="eastAsia" w:ascii="宋体" w:hAnsi="宋体" w:eastAsia="宋体" w:cs="宋体"/>
                <w:b w:val="0"/>
                <w:bCs/>
                <w:color w:val="auto"/>
                <w:szCs w:val="21"/>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2876E3D">
            <w:pPr>
              <w:autoSpaceDE w:val="0"/>
              <w:autoSpaceDN w:val="0"/>
              <w:adjustRightInd w:val="0"/>
              <w:spacing w:before="20"/>
              <w:rPr>
                <w:rFonts w:hint="eastAsia" w:ascii="宋体" w:hAnsi="宋体" w:eastAsia="宋体" w:cs="宋体"/>
                <w:b w:val="0"/>
                <w:bCs/>
                <w:color w:val="auto"/>
                <w:szCs w:val="21"/>
                <w:highlight w:val="none"/>
              </w:rPr>
            </w:pPr>
          </w:p>
        </w:tc>
      </w:tr>
      <w:tr w14:paraId="0479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8765" w:type="dxa"/>
            <w:gridSpan w:val="6"/>
            <w:tcBorders>
              <w:top w:val="single" w:color="auto" w:sz="4" w:space="0"/>
              <w:left w:val="single" w:color="auto" w:sz="4" w:space="0"/>
              <w:bottom w:val="single" w:color="auto" w:sz="4" w:space="0"/>
              <w:right w:val="single" w:color="auto" w:sz="4" w:space="0"/>
            </w:tcBorders>
            <w:noWrap w:val="0"/>
            <w:vAlign w:val="center"/>
          </w:tcPr>
          <w:p w14:paraId="17FA878E">
            <w:pPr>
              <w:autoSpaceDE w:val="0"/>
              <w:autoSpaceDN w:val="0"/>
              <w:adjustRightInd w:val="0"/>
              <w:spacing w:before="2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详见投标文件。</w:t>
            </w:r>
          </w:p>
        </w:tc>
      </w:tr>
    </w:tbl>
    <w:p w14:paraId="69149C8A">
      <w:pPr>
        <w:autoSpaceDE w:val="0"/>
        <w:autoSpaceDN w:val="0"/>
        <w:adjustRightInd w:val="0"/>
        <w:spacing w:before="20" w:line="360" w:lineRule="auto"/>
        <w:rPr>
          <w:rFonts w:hint="eastAsia" w:ascii="宋体" w:hAnsi="宋体" w:eastAsia="宋体" w:cs="宋体"/>
          <w:color w:val="auto"/>
          <w:sz w:val="24"/>
          <w:szCs w:val="24"/>
          <w:highlight w:val="none"/>
          <w:lang w:val="zh-CN"/>
        </w:rPr>
      </w:pPr>
      <w:r>
        <w:rPr>
          <w:rFonts w:hint="eastAsia" w:ascii="宋体" w:hAnsi="宋体" w:eastAsia="宋体" w:cs="宋体"/>
          <w:b/>
          <w:bCs/>
          <w:color w:val="auto"/>
          <w:szCs w:val="21"/>
          <w:highlight w:val="none"/>
        </w:rPr>
        <w:br w:type="page"/>
      </w:r>
      <w:r>
        <w:rPr>
          <w:rFonts w:hint="eastAsia" w:ascii="宋体" w:hAnsi="宋体" w:eastAsia="宋体" w:cs="宋体"/>
          <w:b/>
          <w:bCs/>
          <w:color w:val="auto"/>
          <w:kern w:val="0"/>
          <w:sz w:val="24"/>
          <w:szCs w:val="24"/>
          <w:highlight w:val="none"/>
          <w:lang w:val="zh-CN"/>
        </w:rPr>
        <w:t>附件二  工程质量保修书</w:t>
      </w:r>
    </w:p>
    <w:p w14:paraId="2A989D3F">
      <w:pPr>
        <w:autoSpaceDE w:val="0"/>
        <w:autoSpaceDN w:val="0"/>
        <w:adjustRightInd w:val="0"/>
        <w:spacing w:before="100" w:after="100" w:line="360" w:lineRule="auto"/>
        <w:ind w:right="11"/>
        <w:rPr>
          <w:rFonts w:hint="eastAsia" w:ascii="宋体" w:hAnsi="宋体" w:eastAsia="宋体" w:cs="宋体"/>
          <w:color w:val="auto"/>
          <w:sz w:val="24"/>
          <w:highlight w:val="none"/>
          <w:u w:val="single"/>
          <w:lang w:val="zh-CN"/>
        </w:rPr>
      </w:pPr>
      <w:r>
        <w:rPr>
          <w:rFonts w:hint="eastAsia" w:ascii="宋体" w:hAnsi="宋体" w:eastAsia="宋体" w:cs="宋体"/>
          <w:color w:val="auto"/>
          <w:sz w:val="24"/>
          <w:highlight w:val="none"/>
          <w:lang w:val="zh-CN"/>
        </w:rPr>
        <w:t>发包人：（全称）：广东省中医院</w:t>
      </w:r>
    </w:p>
    <w:p w14:paraId="17B8AE0A">
      <w:pPr>
        <w:autoSpaceDE w:val="0"/>
        <w:autoSpaceDN w:val="0"/>
        <w:adjustRightInd w:val="0"/>
        <w:spacing w:before="100" w:after="100" w:line="360" w:lineRule="auto"/>
        <w:ind w:right="11"/>
        <w:rPr>
          <w:rFonts w:hint="eastAsia" w:ascii="宋体" w:hAnsi="宋体" w:eastAsia="宋体" w:cs="宋体"/>
          <w:color w:val="auto"/>
          <w:sz w:val="24"/>
          <w:szCs w:val="21"/>
          <w:highlight w:val="none"/>
          <w:u w:val="single"/>
          <w:lang w:val="zh-CN"/>
        </w:rPr>
      </w:pPr>
      <w:r>
        <w:rPr>
          <w:rFonts w:hint="eastAsia" w:ascii="宋体" w:hAnsi="宋体" w:eastAsia="宋体" w:cs="宋体"/>
          <w:color w:val="auto"/>
          <w:sz w:val="24"/>
          <w:highlight w:val="none"/>
          <w:lang w:val="zh-CN"/>
        </w:rPr>
        <w:t>承包人：（全称）：</w:t>
      </w:r>
    </w:p>
    <w:p w14:paraId="0446EB60">
      <w:pPr>
        <w:autoSpaceDE w:val="0"/>
        <w:autoSpaceDN w:val="0"/>
        <w:adjustRightInd w:val="0"/>
        <w:spacing w:before="2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发包人、承包人根据《中华人民共和国建筑法》、《建设工程质量管理条例》，经协商一致，对广东省中医院大德路总院污水处理系统更新改造项目签定质量保修书。</w:t>
      </w:r>
    </w:p>
    <w:p w14:paraId="0AAAB39A">
      <w:pPr>
        <w:tabs>
          <w:tab w:val="left" w:pos="941"/>
        </w:tabs>
        <w:autoSpaceDE w:val="0"/>
        <w:autoSpaceDN w:val="0"/>
        <w:adjustRightInd w:val="0"/>
        <w:spacing w:before="100" w:after="100" w:line="360" w:lineRule="auto"/>
        <w:ind w:left="461"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一、工程质量保修范围和内容</w:t>
      </w:r>
    </w:p>
    <w:p w14:paraId="43CD609F">
      <w:pPr>
        <w:autoSpaceDE w:val="0"/>
        <w:autoSpaceDN w:val="0"/>
        <w:adjustRightInd w:val="0"/>
        <w:spacing w:before="100" w:after="100" w:line="360" w:lineRule="auto"/>
        <w:ind w:right="11" w:firstLine="7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承包人在质量保修期内，按照有关法律、法规、规章的管理规定和双方约定，承担本工程质量保修责任。</w:t>
      </w:r>
    </w:p>
    <w:p w14:paraId="4FBDB884">
      <w:pPr>
        <w:autoSpaceDE w:val="0"/>
        <w:autoSpaceDN w:val="0"/>
        <w:adjustRightInd w:val="0"/>
        <w:spacing w:before="100" w:after="100" w:line="360" w:lineRule="auto"/>
        <w:ind w:right="11" w:firstLine="480"/>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lang w:val="zh-CN"/>
        </w:rPr>
        <w:t>质量保修范围包括：设备材料，管线以及双方约定的其他项目。</w:t>
      </w:r>
      <w:r>
        <w:rPr>
          <w:rFonts w:hint="eastAsia" w:ascii="宋体" w:hAnsi="宋体" w:eastAsia="宋体" w:cs="宋体"/>
          <w:b/>
          <w:bCs/>
          <w:color w:val="auto"/>
          <w:sz w:val="24"/>
          <w:highlight w:val="none"/>
          <w:lang w:val="zh-CN"/>
        </w:rPr>
        <w:t xml:space="preserve"> </w:t>
      </w:r>
    </w:p>
    <w:p w14:paraId="29C532AB">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二、质量保修期</w:t>
      </w:r>
    </w:p>
    <w:p w14:paraId="0D1B48D3">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双方根据《建设工程质量管理条例》及有关规定，约定本工程的质量保修期如下：</w:t>
      </w:r>
    </w:p>
    <w:p w14:paraId="0364E7F5">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1．地基基础工程和主体结构工程，为设计文件规定的该工程的合理使用年限；</w:t>
      </w:r>
    </w:p>
    <w:p w14:paraId="6F3FCCBA">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2．屋面防水工程、有防水要求的卫生间、房间和外墙面的防渗漏，为5年；</w:t>
      </w:r>
    </w:p>
    <w:p w14:paraId="6C12D722">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3．供热与供冷系统，为2个采暖期、供冷期；</w:t>
      </w:r>
    </w:p>
    <w:p w14:paraId="054687CE">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4．电气管线、给排水管道、设备安装为2年；</w:t>
      </w:r>
    </w:p>
    <w:p w14:paraId="1B156771">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5．装修工程为2年；</w:t>
      </w:r>
    </w:p>
    <w:p w14:paraId="327108C0">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6．其他项目的保修期限为2年。</w:t>
      </w:r>
    </w:p>
    <w:p w14:paraId="69EF6DEB">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质量保修期自工程竣工验收合格之日起计算。</w:t>
      </w:r>
    </w:p>
    <w:p w14:paraId="58E7C50F">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三、质量保修责任</w:t>
      </w:r>
    </w:p>
    <w:p w14:paraId="7722AB23">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1．属于保修范围、内容的项目，承包人应当在接到保修通知之日起7天内派人保修。承包人不在约定期限内派人保修的，发包人可以委托他人修理。</w:t>
      </w:r>
    </w:p>
    <w:p w14:paraId="336310D2">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2．发生紧急抢修事故的，承包人在接到事故通知后，应当立即到达事故现场抢修。</w:t>
      </w:r>
    </w:p>
    <w:p w14:paraId="48FB70E4">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09C8836">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4．质量保修完成后，由发包人组织验收。</w:t>
      </w:r>
    </w:p>
    <w:p w14:paraId="3CF935D1">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四、保修费用</w:t>
      </w:r>
    </w:p>
    <w:p w14:paraId="5CB827E8">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保修费用由造成质量缺陷的责任方承担。</w:t>
      </w:r>
    </w:p>
    <w:p w14:paraId="1A0DFDB0">
      <w:pPr>
        <w:autoSpaceDE w:val="0"/>
        <w:autoSpaceDN w:val="0"/>
        <w:adjustRightInd w:val="0"/>
        <w:spacing w:before="100" w:after="100" w:line="360" w:lineRule="auto"/>
        <w:ind w:right="11" w:firstLine="46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五、其他</w:t>
      </w:r>
    </w:p>
    <w:p w14:paraId="36CEF833">
      <w:pPr>
        <w:tabs>
          <w:tab w:val="left" w:pos="0"/>
        </w:tabs>
        <w:autoSpaceDE w:val="0"/>
        <w:autoSpaceDN w:val="0"/>
        <w:adjustRightInd w:val="0"/>
        <w:spacing w:before="20" w:line="360" w:lineRule="auto"/>
        <w:ind w:right="-100"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本工程质量保修书，由施工合同发包人、承包人双方在竣工验收前共同签署，作为施工合同附件；其有效期限至保修期满。</w:t>
      </w:r>
    </w:p>
    <w:p w14:paraId="2FF4EA04">
      <w:pPr>
        <w:autoSpaceDE w:val="0"/>
        <w:autoSpaceDN w:val="0"/>
        <w:adjustRightInd w:val="0"/>
        <w:spacing w:before="100" w:after="100" w:line="360" w:lineRule="auto"/>
        <w:ind w:right="11"/>
        <w:rPr>
          <w:rFonts w:hint="eastAsia" w:ascii="宋体" w:hAnsi="宋体" w:eastAsia="宋体" w:cs="宋体"/>
          <w:color w:val="auto"/>
          <w:kern w:val="0"/>
          <w:sz w:val="24"/>
          <w:highlight w:val="none"/>
          <w:lang w:val="zh-CN"/>
        </w:rPr>
      </w:pPr>
    </w:p>
    <w:p w14:paraId="292EA572">
      <w:pPr>
        <w:autoSpaceDE w:val="0"/>
        <w:autoSpaceDN w:val="0"/>
        <w:adjustRightIn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  包  人（公章）：广东省中医院</w:t>
      </w:r>
    </w:p>
    <w:p w14:paraId="69370FDF">
      <w:pPr>
        <w:autoSpaceDE w:val="0"/>
        <w:autoSpaceDN w:val="0"/>
        <w:adjustRightIn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法定代表或授权代表（签字）：</w:t>
      </w:r>
    </w:p>
    <w:p w14:paraId="5BC81173">
      <w:pPr>
        <w:autoSpaceDE w:val="0"/>
        <w:autoSpaceDN w:val="0"/>
        <w:adjustRightIn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u w:val="single"/>
          <w:lang w:val="zh-CN"/>
        </w:rPr>
        <w:t xml:space="preserve"> 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年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 xml:space="preserve">日  </w:t>
      </w:r>
    </w:p>
    <w:p w14:paraId="47BC0348">
      <w:pPr>
        <w:autoSpaceDE w:val="0"/>
        <w:autoSpaceDN w:val="0"/>
        <w:adjustRightIn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  包  人（公章）：</w:t>
      </w:r>
    </w:p>
    <w:p w14:paraId="5B4E3040">
      <w:pPr>
        <w:autoSpaceDE w:val="0"/>
        <w:autoSpaceDN w:val="0"/>
        <w:adjustRightInd w:val="0"/>
        <w:spacing w:before="100" w:after="100" w:line="360" w:lineRule="auto"/>
        <w:ind w:right="11"/>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法定代表或授权代表（签字）：</w:t>
      </w:r>
    </w:p>
    <w:p w14:paraId="78F6843E">
      <w:pPr>
        <w:autoSpaceDE w:val="0"/>
        <w:autoSpaceDN w:val="0"/>
        <w:adjustRightInd w:val="0"/>
        <w:spacing w:before="100" w:after="100" w:line="360" w:lineRule="auto"/>
        <w:ind w:right="11" w:firstLine="5503" w:firstLineChars="2293"/>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u w:val="single"/>
          <w:lang w:val="zh-CN"/>
        </w:rPr>
        <w:t>20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年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2B66F9F7">
      <w:pPr>
        <w:autoSpaceDE w:val="0"/>
        <w:autoSpaceDN w:val="0"/>
        <w:adjustRightInd w:val="0"/>
        <w:spacing w:before="20" w:line="360" w:lineRule="auto"/>
        <w:outlineLvl w:val="3"/>
        <w:rPr>
          <w:rFonts w:hint="eastAsia" w:ascii="宋体" w:hAnsi="宋体" w:eastAsia="宋体" w:cs="宋体"/>
          <w:b/>
          <w:bCs/>
          <w:color w:val="auto"/>
          <w:kern w:val="0"/>
          <w:sz w:val="24"/>
          <w:highlight w:val="none"/>
        </w:rPr>
      </w:pPr>
      <w:r>
        <w:rPr>
          <w:rFonts w:hint="eastAsia" w:ascii="宋体" w:hAnsi="宋体" w:eastAsia="宋体" w:cs="宋体"/>
          <w:color w:val="auto"/>
          <w:sz w:val="24"/>
          <w:highlight w:val="none"/>
          <w:lang w:val="zh-CN"/>
        </w:rPr>
        <w:br w:type="page"/>
      </w:r>
      <w:r>
        <w:rPr>
          <w:rFonts w:hint="eastAsia" w:ascii="宋体" w:hAnsi="宋体" w:eastAsia="宋体" w:cs="宋体"/>
          <w:b/>
          <w:bCs/>
          <w:color w:val="auto"/>
          <w:kern w:val="0"/>
          <w:sz w:val="24"/>
          <w:highlight w:val="none"/>
          <w:lang w:val="zh-CN"/>
        </w:rPr>
        <w:t xml:space="preserve">附件三  </w:t>
      </w:r>
      <w:r>
        <w:rPr>
          <w:rFonts w:hint="eastAsia" w:ascii="宋体" w:hAnsi="宋体" w:eastAsia="宋体" w:cs="宋体"/>
          <w:b/>
          <w:color w:val="auto"/>
          <w:sz w:val="24"/>
          <w:highlight w:val="none"/>
        </w:rPr>
        <w:t>反</w:t>
      </w:r>
      <w:r>
        <w:rPr>
          <w:rFonts w:hint="eastAsia" w:ascii="宋体" w:hAnsi="宋体" w:eastAsia="宋体" w:cs="宋体"/>
          <w:b/>
          <w:bCs/>
          <w:color w:val="auto"/>
          <w:kern w:val="0"/>
          <w:sz w:val="24"/>
          <w:highlight w:val="none"/>
          <w:lang w:val="zh-CN"/>
        </w:rPr>
        <w:t>商业</w:t>
      </w:r>
      <w:r>
        <w:rPr>
          <w:rFonts w:hint="eastAsia" w:ascii="宋体" w:hAnsi="宋体" w:eastAsia="宋体" w:cs="宋体"/>
          <w:b/>
          <w:color w:val="auto"/>
          <w:sz w:val="24"/>
          <w:highlight w:val="none"/>
        </w:rPr>
        <w:t>贿赂合同</w:t>
      </w:r>
    </w:p>
    <w:p w14:paraId="13288F6D">
      <w:pPr>
        <w:autoSpaceDE w:val="0"/>
        <w:autoSpaceDN w:val="0"/>
        <w:adjustRightInd w:val="0"/>
        <w:spacing w:before="2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工程项目名称：广东省中医院大德路总院污水处理系统更新改造项目</w:t>
      </w:r>
    </w:p>
    <w:p w14:paraId="522D0344">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工程项目地址：</w:t>
      </w:r>
    </w:p>
    <w:p w14:paraId="7403E272">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发包人（甲方）：广东省中医院</w:t>
      </w:r>
    </w:p>
    <w:p w14:paraId="79C5A0D7">
      <w:pPr>
        <w:autoSpaceDE w:val="0"/>
        <w:autoSpaceDN w:val="0"/>
        <w:adjustRightInd w:val="0"/>
        <w:spacing w:before="20"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lang w:val="zh-CN"/>
        </w:rPr>
        <w:t>承包人（乙方）：</w:t>
      </w:r>
    </w:p>
    <w:p w14:paraId="32DD85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根据《关于开展治理商业贿赂专项工作的意见》(中办发[2006]9号)以及有关工程建设、廉政建设的规定，为做好工程建设中的反商业贿赂工作，建立起责任机制、督查机制和保障机制，保证工程建设高效优质，保证建设资金的安全和有效使用以及投资效益，甲方与乙方特订立如下合同。</w:t>
      </w:r>
    </w:p>
    <w:p w14:paraId="7ADE9F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一、甲乙双方的权利和义务</w:t>
      </w:r>
    </w:p>
    <w:p w14:paraId="7789F6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1、严格遵守党的政策规定和国家有关法律法规及广东省委、省政府关于反商业贿赂和加强党风廉政建设的有关规定。</w:t>
      </w:r>
    </w:p>
    <w:p w14:paraId="711B8D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2、严格执行本代建项目的合同文件，自觉按合同办事。</w:t>
      </w:r>
    </w:p>
    <w:p w14:paraId="776DD8A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3、双方的业务活动坚持公开、公正、诚信、透明的原则(法律认定的商业秘密和合同文件另有规定除外)，不得损害国家和集体利益，违反工程建设管理规章制度。</w:t>
      </w:r>
    </w:p>
    <w:p w14:paraId="0176F4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4、建立健全反商业贿赂和廉政制度，开展相关教育，设立反商业贿赂和廉政告示牌，公布举报电话，监督并认真查处违法违纪行为。</w:t>
      </w:r>
    </w:p>
    <w:p w14:paraId="6D24BD5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5、发现对方在业务活动中有违反商业贿赂和廉政规定的行为，有及时提醒对方纠正的权利和义务。</w:t>
      </w:r>
    </w:p>
    <w:p w14:paraId="4F5828D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6、发现对方严重违反合同义务条款的行为，有向其上级有关部门举报、建议给予处理并要求告知处理结果的权利。</w:t>
      </w:r>
    </w:p>
    <w:p w14:paraId="4DD4A1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7、双方或双方与勘察、设计、施工、设备材料供应单位不得串通、弄虚作假谋取不正当利益或降低工程质量等损害国家利益。</w:t>
      </w:r>
    </w:p>
    <w:p w14:paraId="059851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8、乙方遵守《反商业贿赂合同》情况纳入甲方对乙方的绩效考评范围。</w:t>
      </w:r>
    </w:p>
    <w:p w14:paraId="14DAD3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二、甲方的义务</w:t>
      </w:r>
    </w:p>
    <w:p w14:paraId="30E6293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1、甲方及其工作人员不索要或接受乙方的礼金、有价证券和贵重物品，不得在乙方报销任何应由甲方或甲方工作人员个人支付的费用等。</w:t>
      </w:r>
    </w:p>
    <w:p w14:paraId="40D89A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2、甲方及其工作人员不得参加乙方安排的超标准宴请和娱乐活动；不得接受乙方提供的通迅工具、交通工具和高档办公用品等。</w:t>
      </w:r>
    </w:p>
    <w:p w14:paraId="2E67DA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3、甲方及其工作人员不得要求或者接受乙方为其住房装修、婚丧嫁娶活动、配偶子女的工作安排以及出国出境、旅游等提供方便等。</w:t>
      </w:r>
    </w:p>
    <w:p w14:paraId="17C20E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4、甲方工作人员及其配偶、子女不得从事与项目有关的材料设备供应、工程承包、劳务活动等。</w:t>
      </w:r>
    </w:p>
    <w:p w14:paraId="08C2372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5、甲方及其工作人员不得利用职权插手谋求不正当利益，不得以任何理由向乙方推荐项目建设相关单位或推销材料，不得要求乙方购买合同规定外的材料和设备。</w:t>
      </w:r>
    </w:p>
    <w:p w14:paraId="727D40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6、甲方工作人员要秉公办事，不准营私舞弊，不准利用职权从事各种个人有偿中介活动和安排介绍施工队伍。</w:t>
      </w:r>
    </w:p>
    <w:p w14:paraId="7AB75C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三、乙方义务</w:t>
      </w:r>
    </w:p>
    <w:p w14:paraId="0015DC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1、乙方不得以任何理由向甲方及其工作人员行贿或馈赠礼金、有价证券、贵重礼品。</w:t>
      </w:r>
    </w:p>
    <w:p w14:paraId="4C4E3BB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2、乙方不得以任何名义为甲方及其工作人员报销应由甲方单位或个人支付的任何费用。</w:t>
      </w:r>
    </w:p>
    <w:p w14:paraId="45118C0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3、乙方不得以任何理由安排甲方工作人员参加超标准宴请及娱乐活动。</w:t>
      </w:r>
    </w:p>
    <w:p w14:paraId="43264E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4、乙方不得为甲方单位和个人购置或提供通讯工具、交通工具和高档办公用品等。</w:t>
      </w:r>
    </w:p>
    <w:p w14:paraId="676C99C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5、乙方与所施工项目有关的勘察、设计、施工、设备材料供应单位签订反商业贿赂合同，并严格按照相关规定做好反商业贿赂工作。</w:t>
      </w:r>
    </w:p>
    <w:p w14:paraId="5B9189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四、违约责任</w:t>
      </w:r>
    </w:p>
    <w:p w14:paraId="2DFE573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1、甲方及其工作人员违反本合同第一、二条，按管理权限，依据有关规定给予党纪、政纪或组织处理；涉嫌犯罪的，移交司法机关追究刑事责任；给乙方单位造成经济损失的，应予以赔偿。</w:t>
      </w:r>
    </w:p>
    <w:p w14:paraId="2E927D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及其工作人员违反本合同第一、三条，按管理权限，依据有关规定给予党纪、政纪组织处理：给甲方单位造成经济损失的，应予以经济赔偿；情节严重的，甲方提请工程建设行政主管部门对乙方进行处理。</w:t>
      </w:r>
    </w:p>
    <w:p w14:paraId="719EA0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五、双方约定：双方有义务对合同执行情况开展自查自纠，并自觉接受有关部门监督。本合同由双方或双方上级单位的行政监察机关负责监督执行。</w:t>
      </w:r>
    </w:p>
    <w:p w14:paraId="70E344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六、本合同有效期为甲乙双方签署之日起至该项目保修期满止。</w:t>
      </w:r>
    </w:p>
    <w:p w14:paraId="79EE676C">
      <w:pPr>
        <w:autoSpaceDE w:val="0"/>
        <w:autoSpaceDN w:val="0"/>
        <w:adjustRightInd w:val="0"/>
        <w:spacing w:before="20" w:after="100" w:line="360" w:lineRule="auto"/>
        <w:ind w:right="11"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七、本合同作为</w:t>
      </w:r>
      <w:r>
        <w:rPr>
          <w:rFonts w:hint="eastAsia" w:ascii="宋体" w:hAnsi="宋体" w:eastAsia="宋体" w:cs="宋体"/>
          <w:color w:val="auto"/>
          <w:sz w:val="24"/>
          <w:highlight w:val="none"/>
          <w:lang w:val="zh-CN"/>
        </w:rPr>
        <w:t>广东省中医院大德路总院污水处理系统更新改造项目合同的附件，与广东省中医院大德路总院污水处理系统更新改造项目合同具有同等的法律效力，经合同双方签署后生效。</w:t>
      </w:r>
    </w:p>
    <w:p w14:paraId="4181BCCF">
      <w:pPr>
        <w:autoSpaceDE w:val="0"/>
        <w:autoSpaceDN w:val="0"/>
        <w:adjustRightInd w:val="0"/>
        <w:spacing w:before="20" w:line="360" w:lineRule="auto"/>
        <w:ind w:left="420"/>
        <w:rPr>
          <w:rFonts w:hint="eastAsia" w:ascii="宋体" w:hAnsi="宋体" w:eastAsia="宋体" w:cs="宋体"/>
          <w:color w:val="auto"/>
          <w:sz w:val="24"/>
          <w:highlight w:val="none"/>
          <w:lang w:val="zh-CN"/>
        </w:rPr>
      </w:pPr>
    </w:p>
    <w:p w14:paraId="524E9DA1">
      <w:pPr>
        <w:autoSpaceDE w:val="0"/>
        <w:autoSpaceDN w:val="0"/>
        <w:adjustRightInd w:val="0"/>
        <w:spacing w:before="20" w:line="360" w:lineRule="auto"/>
        <w:ind w:left="5520" w:hanging="5520" w:hangingChars="23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甲方单位：广东省中医院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乙方单位：</w:t>
      </w:r>
    </w:p>
    <w:p w14:paraId="0B4B34C3">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（盖章）</w:t>
      </w:r>
    </w:p>
    <w:p w14:paraId="5200E72C">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法定代表或授权代表：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法定代表或授权代表：</w:t>
      </w:r>
    </w:p>
    <w:p w14:paraId="1F73AC07">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地址：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地址：</w:t>
      </w:r>
    </w:p>
    <w:p w14:paraId="4C5A6B12">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电话：020-81883756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电话：</w:t>
      </w:r>
    </w:p>
    <w:p w14:paraId="27235531">
      <w:pPr>
        <w:autoSpaceDE w:val="0"/>
        <w:autoSpaceDN w:val="0"/>
        <w:adjustRightInd w:val="0"/>
        <w:spacing w:before="20"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20 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zh-CN"/>
        </w:rPr>
        <w:t xml:space="preserve"> 20 年  月  日</w:t>
      </w:r>
    </w:p>
    <w:p w14:paraId="67220CF9">
      <w:pPr>
        <w:autoSpaceDE w:val="0"/>
        <w:autoSpaceDN w:val="0"/>
        <w:adjustRightInd w:val="0"/>
        <w:spacing w:before="20" w:line="360" w:lineRule="auto"/>
        <w:outlineLvl w:val="3"/>
        <w:rPr>
          <w:rFonts w:hint="eastAsia" w:ascii="宋体" w:hAnsi="宋体" w:eastAsia="宋体" w:cs="宋体"/>
          <w:b/>
          <w:bCs/>
          <w:color w:val="auto"/>
          <w:kern w:val="0"/>
          <w:sz w:val="24"/>
          <w:highlight w:val="none"/>
        </w:rPr>
      </w:pPr>
      <w:r>
        <w:rPr>
          <w:rFonts w:hint="eastAsia" w:ascii="宋体" w:hAnsi="宋体" w:eastAsia="宋体" w:cs="宋体"/>
          <w:color w:val="auto"/>
          <w:sz w:val="24"/>
          <w:highlight w:val="none"/>
          <w:lang w:val="zh-CN"/>
        </w:rPr>
        <w:br w:type="page"/>
      </w:r>
      <w:r>
        <w:rPr>
          <w:rFonts w:hint="eastAsia" w:ascii="宋体" w:hAnsi="宋体" w:eastAsia="宋体" w:cs="宋体"/>
          <w:b/>
          <w:bCs/>
          <w:color w:val="auto"/>
          <w:kern w:val="0"/>
          <w:sz w:val="24"/>
          <w:highlight w:val="none"/>
          <w:lang w:val="zh-CN"/>
        </w:rPr>
        <w:t>附件四  安全生产合同</w:t>
      </w:r>
    </w:p>
    <w:p w14:paraId="06095844">
      <w:pPr>
        <w:autoSpaceDE w:val="0"/>
        <w:autoSpaceDN w:val="0"/>
        <w:adjustRightIn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发包人：（全称）：</w:t>
      </w:r>
      <w:r>
        <w:rPr>
          <w:rFonts w:hint="eastAsia" w:ascii="宋体" w:hAnsi="宋体" w:eastAsia="宋体" w:cs="宋体"/>
          <w:bCs/>
          <w:color w:val="auto"/>
          <w:sz w:val="24"/>
          <w:highlight w:val="none"/>
          <w:lang w:val="zh-CN"/>
        </w:rPr>
        <w:t>广东省中医院</w:t>
      </w:r>
    </w:p>
    <w:p w14:paraId="7AD37823">
      <w:pPr>
        <w:autoSpaceDE w:val="0"/>
        <w:autoSpaceDN w:val="0"/>
        <w:adjustRightInd w:val="0"/>
        <w:spacing w:before="100" w:after="100" w:line="360" w:lineRule="auto"/>
        <w:ind w:left="1920" w:right="11" w:hanging="1920"/>
        <w:rPr>
          <w:rFonts w:hint="eastAsia" w:ascii="宋体" w:hAnsi="宋体" w:eastAsia="宋体" w:cs="宋体"/>
          <w:b w:val="0"/>
          <w:bCs/>
          <w:color w:val="auto"/>
          <w:sz w:val="24"/>
          <w:highlight w:val="none"/>
          <w:lang w:val="zh-CN"/>
        </w:rPr>
      </w:pPr>
      <w:r>
        <w:rPr>
          <w:rFonts w:hint="eastAsia" w:ascii="宋体" w:hAnsi="宋体" w:eastAsia="宋体" w:cs="宋体"/>
          <w:color w:val="auto"/>
          <w:sz w:val="24"/>
          <w:highlight w:val="none"/>
          <w:lang w:val="zh-CN"/>
        </w:rPr>
        <w:t>承包人：（全称）：</w:t>
      </w:r>
    </w:p>
    <w:p w14:paraId="7EB5E722">
      <w:pPr>
        <w:autoSpaceDE w:val="0"/>
        <w:autoSpaceDN w:val="0"/>
        <w:adjustRightInd w:val="0"/>
        <w:spacing w:before="20"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为在广东省中医院大德路总院污水处理系统更新改造项目的实施过程中创造安全、高效的施工环境，切实搞好本项目的安全管理工作，本项目业主</w:t>
      </w:r>
      <w:r>
        <w:rPr>
          <w:rFonts w:hint="eastAsia" w:ascii="宋体" w:hAnsi="宋体" w:eastAsia="宋体" w:cs="宋体"/>
          <w:color w:val="auto"/>
          <w:sz w:val="24"/>
          <w:highlight w:val="none"/>
          <w:u w:val="single"/>
          <w:lang w:val="zh-CN"/>
        </w:rPr>
        <w:t>广东省中医院</w:t>
      </w:r>
      <w:r>
        <w:rPr>
          <w:rFonts w:hint="eastAsia" w:ascii="宋体" w:hAnsi="宋体" w:eastAsia="宋体" w:cs="宋体"/>
          <w:color w:val="auto"/>
          <w:sz w:val="24"/>
          <w:highlight w:val="none"/>
          <w:lang w:val="zh-CN"/>
        </w:rPr>
        <w:t>（以下简称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发包人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）与承包人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（以下简称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承包人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），特此签订安全生产合同：</w:t>
      </w:r>
    </w:p>
    <w:p w14:paraId="5544FE83">
      <w:pPr>
        <w:numPr>
          <w:ilvl w:val="0"/>
          <w:numId w:val="11"/>
        </w:numPr>
        <w:tabs>
          <w:tab w:val="left" w:pos="480"/>
        </w:tabs>
        <w:autoSpaceDE w:val="0"/>
        <w:autoSpaceDN w:val="0"/>
        <w:adjustRightInd w:val="0"/>
        <w:spacing w:line="360" w:lineRule="auto"/>
        <w:ind w:left="420" w:hanging="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发包人职责</w:t>
      </w:r>
    </w:p>
    <w:p w14:paraId="0D4804B2">
      <w:pPr>
        <w:numPr>
          <w:ilvl w:val="0"/>
          <w:numId w:val="12"/>
        </w:numPr>
        <w:tabs>
          <w:tab w:val="left" w:pos="525"/>
          <w:tab w:val="clear" w:pos="2880"/>
        </w:tabs>
        <w:autoSpaceDE w:val="0"/>
        <w:autoSpaceDN w:val="0"/>
        <w:adjustRightInd w:val="0"/>
        <w:spacing w:line="360" w:lineRule="auto"/>
        <w:ind w:left="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严格遵守国家有关安全生产的法律法规，认真执行工程承包合同中的有关安全要求。</w:t>
      </w:r>
    </w:p>
    <w:p w14:paraId="4ABDBDB3">
      <w:pPr>
        <w:numPr>
          <w:ilvl w:val="0"/>
          <w:numId w:val="12"/>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按照</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安全第一、预防为主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和坚持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管生产必须管安全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的原则进行安全生产管理，做到生产和安全工作同时计划、布置、检查、总结和评比。</w:t>
      </w:r>
    </w:p>
    <w:p w14:paraId="30E57389">
      <w:pPr>
        <w:numPr>
          <w:ilvl w:val="0"/>
          <w:numId w:val="12"/>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重要的安全设施必须坚持与主体工程“三同时”的原则，即：同时设计、审批；同时施工；同时验收，投入使用。</w:t>
      </w:r>
    </w:p>
    <w:p w14:paraId="4292B73D">
      <w:pPr>
        <w:numPr>
          <w:ilvl w:val="0"/>
          <w:numId w:val="12"/>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定期召开安全生产调度会，及时转达中央及地方有关安全生产的精神。</w:t>
      </w:r>
    </w:p>
    <w:p w14:paraId="508562E5">
      <w:pPr>
        <w:numPr>
          <w:ilvl w:val="0"/>
          <w:numId w:val="12"/>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组织对承包人施工现场安全生产检查，监督承包人及时处理发现的各种安全隐患。</w:t>
      </w:r>
    </w:p>
    <w:p w14:paraId="38A66545">
      <w:pPr>
        <w:numPr>
          <w:ilvl w:val="0"/>
          <w:numId w:val="13"/>
        </w:numPr>
        <w:tabs>
          <w:tab w:val="left" w:pos="480"/>
        </w:tabs>
        <w:autoSpaceDE w:val="0"/>
        <w:autoSpaceDN w:val="0"/>
        <w:adjustRightInd w:val="0"/>
        <w:spacing w:line="360" w:lineRule="auto"/>
        <w:ind w:left="420" w:hanging="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承包人职责</w:t>
      </w:r>
    </w:p>
    <w:p w14:paraId="2EA68F6D">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严格遵守国家有关安全生产的法律法规，认真执行工程承包合同中的有关安全要求。</w:t>
      </w:r>
    </w:p>
    <w:p w14:paraId="2590B4B9">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坚持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安全第一、预防为主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 xml:space="preserve">和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管生产必须管安全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的原则，加强安全生产宣传教育，增强全员安全生产意识，建立健全各项安全生产的管理规则和安全生产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7230B2B9">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有权按有关规定发布指令，并采取保护性措施防止事故发生。</w:t>
      </w:r>
    </w:p>
    <w:p w14:paraId="6737CB6C">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承包人在任何时候都应采取各种合理的预防措施，防止其员工发生各种违法、违禁、暴力或妨碍治安的行为。</w:t>
      </w:r>
    </w:p>
    <w:p w14:paraId="2C8A709F">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14:paraId="626131DB">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14:paraId="2C09CB67">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操作人员上岗，必须按规定穿戴防护用品。施工负责人和安全检查员应随时检查劳动防护用品的穿戴情况，不按规定穿戴防护用品的人员不得上岗。</w:t>
      </w:r>
    </w:p>
    <w:p w14:paraId="419AFC1B">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所有施工机具设备和高空作业的设备均应定期检查，并有安全员的签名记录，保证其经常处于完好状态，不合格的机具、设备和劳动保护用品严禁使用。</w:t>
      </w:r>
    </w:p>
    <w:p w14:paraId="69F05521">
      <w:pPr>
        <w:numPr>
          <w:ilvl w:val="0"/>
          <w:numId w:val="14"/>
        </w:numPr>
        <w:tabs>
          <w:tab w:val="left" w:pos="525"/>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施工中采用新技术、新工艺、新设备、新材料，必须制定相应的安全技术措施，施工现场必须具有相关的安全标志牌。</w:t>
      </w:r>
    </w:p>
    <w:p w14:paraId="69A7DD14">
      <w:pPr>
        <w:numPr>
          <w:ilvl w:val="0"/>
          <w:numId w:val="14"/>
        </w:numPr>
        <w:tabs>
          <w:tab w:val="left" w:pos="630"/>
          <w:tab w:val="clear" w:pos="2880"/>
        </w:tabs>
        <w:autoSpaceDE w:val="0"/>
        <w:autoSpaceDN w:val="0"/>
        <w:adjustRightInd w:val="0"/>
        <w:spacing w:line="360" w:lineRule="auto"/>
        <w:ind w:left="600" w:hanging="600" w:hanging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包人必须按照本工程项目特点，组织制定本工程实施中的生产安全事故应急求援预案；如果发生安全事故，即按照《国务院关于特大安全事故行政责任追究的规定》以及其它有关规定，及上报有关部门，并坚持“三不放过”的原则，严格处理相关责任人。</w:t>
      </w:r>
    </w:p>
    <w:p w14:paraId="608E62CA">
      <w:pPr>
        <w:numPr>
          <w:ilvl w:val="0"/>
          <w:numId w:val="13"/>
        </w:numPr>
        <w:tabs>
          <w:tab w:val="left" w:pos="480"/>
        </w:tabs>
        <w:autoSpaceDE w:val="0"/>
        <w:autoSpaceDN w:val="0"/>
        <w:adjustRightInd w:val="0"/>
        <w:spacing w:line="360" w:lineRule="auto"/>
        <w:ind w:left="420" w:hanging="42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违约责任</w:t>
      </w:r>
    </w:p>
    <w:p w14:paraId="26514D74">
      <w:pPr>
        <w:autoSpaceDE w:val="0"/>
        <w:autoSpaceDN w:val="0"/>
        <w:adjustRightInd w:val="0"/>
        <w:spacing w:before="20" w:line="360" w:lineRule="auto"/>
        <w:ind w:left="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如因发包人或承包人违约造成安全事故，将依法追究责任。</w:t>
      </w:r>
    </w:p>
    <w:p w14:paraId="3CCB8A64">
      <w:pPr>
        <w:autoSpaceDE w:val="0"/>
        <w:autoSpaceDN w:val="0"/>
        <w:adjustRightInd w:val="0"/>
        <w:spacing w:before="20" w:line="360" w:lineRule="auto"/>
        <w:ind w:left="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本合同自双方法定代表人或其代理人签署加盖公章后生效，全部工程竣工验收后失效。</w:t>
      </w:r>
    </w:p>
    <w:p w14:paraId="21AA4A82">
      <w:pPr>
        <w:autoSpaceDE w:val="0"/>
        <w:autoSpaceDN w:val="0"/>
        <w:adjustRightInd w:val="0"/>
        <w:snapToGri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发  包  人（公章）：</w:t>
      </w:r>
      <w:r>
        <w:rPr>
          <w:rFonts w:hint="eastAsia" w:ascii="宋体" w:hAnsi="宋体" w:eastAsia="宋体" w:cs="宋体"/>
          <w:bCs/>
          <w:color w:val="auto"/>
          <w:sz w:val="24"/>
          <w:highlight w:val="none"/>
          <w:lang w:val="zh-CN"/>
        </w:rPr>
        <w:t>广东省中医院</w:t>
      </w:r>
    </w:p>
    <w:p w14:paraId="51329903">
      <w:pPr>
        <w:autoSpaceDE w:val="0"/>
        <w:autoSpaceDN w:val="0"/>
        <w:adjustRightInd w:val="0"/>
        <w:snapToGri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法定代表或授权代表（签字）：</w:t>
      </w:r>
    </w:p>
    <w:p w14:paraId="5ADD18DD">
      <w:pPr>
        <w:autoSpaceDE w:val="0"/>
        <w:autoSpaceDN w:val="0"/>
        <w:adjustRightInd w:val="0"/>
        <w:snapToGri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20 年  月  日 </w:t>
      </w:r>
    </w:p>
    <w:p w14:paraId="3AEAF945">
      <w:pPr>
        <w:autoSpaceDE w:val="0"/>
        <w:autoSpaceDN w:val="0"/>
        <w:adjustRightInd w:val="0"/>
        <w:snapToGri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承  包  人（公章）：</w:t>
      </w:r>
    </w:p>
    <w:p w14:paraId="00C97F68">
      <w:pPr>
        <w:autoSpaceDE w:val="0"/>
        <w:autoSpaceDN w:val="0"/>
        <w:adjustRightInd w:val="0"/>
        <w:snapToGrid w:val="0"/>
        <w:spacing w:before="100" w:after="100" w:line="360" w:lineRule="auto"/>
        <w:ind w:right="11"/>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法定代表或授权代表（签字）：</w:t>
      </w:r>
    </w:p>
    <w:p w14:paraId="3BC50D6F">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20</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lang w:val="zh-CN"/>
        </w:rPr>
        <w:t>年  月  日</w:t>
      </w:r>
    </w:p>
    <w:p w14:paraId="6FF69141">
      <w:pPr>
        <w:widowControl/>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5A35A8F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附件五</w:t>
      </w:r>
    </w:p>
    <w:p w14:paraId="346D989D">
      <w:pPr>
        <w:jc w:val="center"/>
        <w:rPr>
          <w:rFonts w:hint="eastAsia" w:ascii="宋体" w:hAnsi="宋体" w:eastAsia="宋体" w:cs="宋体"/>
          <w:b/>
          <w:bCs/>
          <w:color w:val="auto"/>
          <w:sz w:val="24"/>
          <w:highlight w:val="none"/>
        </w:rPr>
      </w:pPr>
    </w:p>
    <w:p w14:paraId="50BE6D19">
      <w:pPr>
        <w:tabs>
          <w:tab w:val="center" w:pos="4153"/>
        </w:tabs>
        <w:spacing w:line="500" w:lineRule="exact"/>
        <w:jc w:val="center"/>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履约银行保函</w:t>
      </w:r>
    </w:p>
    <w:p w14:paraId="2DE1C6D0">
      <w:pPr>
        <w:tabs>
          <w:tab w:val="center" w:pos="4153"/>
        </w:tabs>
        <w:spacing w:line="500" w:lineRule="exact"/>
        <w:rPr>
          <w:rFonts w:hint="eastAsia" w:ascii="宋体" w:hAnsi="宋体" w:eastAsia="宋体" w:cs="宋体"/>
          <w:color w:val="auto"/>
          <w:sz w:val="28"/>
          <w:szCs w:val="28"/>
          <w:highlight w:val="none"/>
        </w:rPr>
      </w:pPr>
    </w:p>
    <w:p w14:paraId="4CFA99C3">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（发包人全称）</w:t>
      </w:r>
    </w:p>
    <w:p w14:paraId="2AD868B2">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（承包人全称）（下称“承包人”）与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（发包人全称）（下称“发包人”）签订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（工程名称）施工合同（编号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署），并保证承包人按合同约定履行实施、完成并保修合同工程的义务和责任；发包人在合同中要求承包人应通过经认可的银行提交合同指定的承包人履行本合同全部义务和责任的担保金等事实，我行愿意为承包人出具保函，以担保金额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元）向发包人提供不可撤销的担保。</w:t>
      </w:r>
    </w:p>
    <w:p w14:paraId="2076CA5B">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如果承包人在履行合同过程中发生违约或违背合同约定的义务和责任时，我行保证在担保金额额度内偿还或偿清发包人因该项违约或违背所造成的经济损失，并在接到发包人要求的第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天内予以支付,发包人应提供承包人有上述违约或违背合同事实的证据或相关的证明材料。</w:t>
      </w:r>
    </w:p>
    <w:p w14:paraId="7781FFF8">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在向我行提出要求前，我行将不坚持要求发包人首先向承包人提出上述款项的索赔。</w:t>
      </w:r>
    </w:p>
    <w:p w14:paraId="6ABA3034">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我行承诺：不论是否经我行知晓或同意，我行的义务和责任不应发包人与承包人对合同条款所作的任何修改或补充而解除。</w:t>
      </w:r>
    </w:p>
    <w:p w14:paraId="66CEA670">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本保函在担保金额支付完毕，或工程竣工验收合格，发包人向承包人颁发竣工验收证书后第15天起失效。</w:t>
      </w:r>
    </w:p>
    <w:p w14:paraId="31DFF090">
      <w:pPr>
        <w:tabs>
          <w:tab w:val="center" w:pos="4153"/>
        </w:tabs>
        <w:spacing w:line="500" w:lineRule="exact"/>
        <w:rPr>
          <w:rFonts w:hint="eastAsia" w:ascii="宋体" w:hAnsi="宋体" w:eastAsia="宋体" w:cs="宋体"/>
          <w:color w:val="auto"/>
          <w:sz w:val="24"/>
          <w:highlight w:val="none"/>
        </w:rPr>
      </w:pPr>
    </w:p>
    <w:p w14:paraId="09F2EBB6">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法定代表人或其授权的代理人：（签字签章）</w:t>
      </w:r>
    </w:p>
    <w:p w14:paraId="0A481589">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05E93B8">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担保银行盖章：</w:t>
      </w:r>
    </w:p>
    <w:p w14:paraId="0416DC17">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地址：</w:t>
      </w:r>
    </w:p>
    <w:p w14:paraId="43DBB759">
      <w:pPr>
        <w:tabs>
          <w:tab w:val="center" w:pos="4153"/>
        </w:tabs>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1EA65C24">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A49C501">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附件五</w:t>
      </w:r>
    </w:p>
    <w:p w14:paraId="1FE1D05E">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广东省中医院施工管理规定</w:t>
      </w:r>
    </w:p>
    <w:p w14:paraId="271618C1">
      <w:pPr>
        <w:spacing w:line="360" w:lineRule="auto"/>
        <w:jc w:val="center"/>
        <w:rPr>
          <w:rFonts w:hint="eastAsia" w:ascii="宋体" w:hAnsi="宋体" w:eastAsia="宋体" w:cs="宋体"/>
          <w:b/>
          <w:bCs/>
          <w:color w:val="auto"/>
          <w:sz w:val="24"/>
          <w:highlight w:val="none"/>
        </w:rPr>
      </w:pPr>
    </w:p>
    <w:p w14:paraId="34ED7570">
      <w:pPr>
        <w:pStyle w:val="5"/>
        <w:rPr>
          <w:rFonts w:hint="eastAsia" w:ascii="宋体" w:hAnsi="宋体" w:eastAsia="宋体" w:cs="宋体"/>
          <w:color w:val="auto"/>
          <w:highlight w:val="none"/>
        </w:rPr>
      </w:pPr>
      <w:r>
        <w:rPr>
          <w:rFonts w:hint="eastAsia" w:ascii="宋体" w:hAnsi="宋体" w:eastAsia="宋体" w:cs="宋体"/>
          <w:color w:val="auto"/>
          <w:highlight w:val="none"/>
        </w:rPr>
        <w:t>为了进一步加强和规范广东省中医院临时施工管理，杜绝违章违规施工行为，为病人及医护人员提供安全、舒适的医疗环境，特制定此规定。</w:t>
      </w:r>
    </w:p>
    <w:p w14:paraId="27D830C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一、总则</w:t>
      </w:r>
    </w:p>
    <w:p w14:paraId="0CC657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1、凡在院区进行临时施工的单位和个人均应遵守此《管理规定》。</w:t>
      </w:r>
    </w:p>
    <w:p w14:paraId="3ABC71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2、凡在院区进行临时施工的单位和个人应遵守医院和物业管理处相关规章制度。</w:t>
      </w:r>
    </w:p>
    <w:p w14:paraId="0D6760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3、凡在院区进行临时施工的单位和个人均应服从物业管理处的管理。</w:t>
      </w:r>
    </w:p>
    <w:p w14:paraId="0429566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二、《临时出入证》办理及管理</w:t>
      </w:r>
    </w:p>
    <w:p w14:paraId="799443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1、所有进入院区内的施工人员必须办理《临时出入证》。 </w:t>
      </w:r>
    </w:p>
    <w:p w14:paraId="33FA0F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2、施工人员出入医院及施工时必须佩带《临时出入证》。</w:t>
      </w:r>
    </w:p>
    <w:p w14:paraId="02F6BC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3、施工完毕后，凭《临时出入证》及收费收据到管理处办理押金退还手续。</w:t>
      </w:r>
    </w:p>
    <w:p w14:paraId="11673B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4、施工人员违规违章施工，将没收《临时出入证》。</w:t>
      </w:r>
    </w:p>
    <w:p w14:paraId="1B0F6F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5、办理《临时出入证》，每张押金20元，工本费每张2元，如在有效期之内没有退还《临时出入证》，押金不予退还，如再需要施工，必须重新补办《临时出入证》。</w:t>
      </w:r>
    </w:p>
    <w:p w14:paraId="0418F5B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三、施工现场注意事项</w:t>
      </w:r>
    </w:p>
    <w:p w14:paraId="133AEBF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1、施工人员必须在规定的区域施工，不得流窜其他区域（楼层）。</w:t>
      </w:r>
    </w:p>
    <w:p w14:paraId="0A1A34B3">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2、施工人员出入、施工材料、工具、设备及施工垃圾须经货梯运载。</w:t>
      </w:r>
    </w:p>
    <w:p w14:paraId="1E7BD5B1">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3、施工期间施工人员不得在现场吸烟和随意动火，如需要动火施工，必须到医院基建办办理相关手续，并做好相关的防护措施。</w:t>
      </w:r>
    </w:p>
    <w:p w14:paraId="07854519">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4、施工现场必须按每100平方米配备2瓶二氧花碳或干粉灭火器的标准配置灭火器材；任何易燃易爆材料（如天那水、油漆）不得在医院内过夜存放。</w:t>
      </w:r>
    </w:p>
    <w:p w14:paraId="4D24DF0C">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5、装修施工材料出入摆放指定区域，不得随意乱堆乱放。</w:t>
      </w:r>
    </w:p>
    <w:p w14:paraId="015A39EE">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6、楼道、走廊、中筒和安全出口等部位不得擅自封闭或堆放施工材料、杂物，保证公共区域和消防通道的整洁、畅通。公共部位施工其物料和装修垃圾应堆放在指定区域。</w:t>
      </w:r>
    </w:p>
    <w:p w14:paraId="368F4B0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三、装修物料的搬运和垃圾清运的管理</w:t>
      </w:r>
    </w:p>
    <w:p w14:paraId="09ED8C77">
      <w:pPr>
        <w:spacing w:line="360" w:lineRule="auto"/>
        <w:ind w:left="570"/>
        <w:rPr>
          <w:rFonts w:hint="eastAsia" w:ascii="宋体" w:hAnsi="宋体" w:eastAsia="宋体" w:cs="宋体"/>
          <w:color w:val="auto"/>
          <w:sz w:val="24"/>
          <w:highlight w:val="none"/>
        </w:rPr>
      </w:pPr>
      <w:r>
        <w:rPr>
          <w:rFonts w:hint="eastAsia" w:ascii="宋体" w:hAnsi="宋体" w:eastAsia="宋体" w:cs="宋体"/>
          <w:color w:val="auto"/>
          <w:sz w:val="24"/>
          <w:highlight w:val="none"/>
        </w:rPr>
        <w:t>1、易燃易爆物品做好安全防范工作。装修垃圾做到日产日清。</w:t>
      </w:r>
    </w:p>
    <w:p w14:paraId="5B300363">
      <w:pPr>
        <w:spacing w:line="360" w:lineRule="auto"/>
        <w:ind w:firstLine="487" w:firstLineChars="203"/>
        <w:rPr>
          <w:rFonts w:hint="eastAsia" w:ascii="宋体" w:hAnsi="宋体" w:eastAsia="宋体" w:cs="宋体"/>
          <w:color w:val="auto"/>
          <w:sz w:val="24"/>
          <w:highlight w:val="none"/>
        </w:rPr>
      </w:pPr>
      <w:r>
        <w:rPr>
          <w:rFonts w:hint="eastAsia" w:ascii="宋体" w:hAnsi="宋体" w:eastAsia="宋体" w:cs="宋体"/>
          <w:color w:val="auto"/>
          <w:sz w:val="24"/>
          <w:highlight w:val="none"/>
        </w:rPr>
        <w:t>2、装修物料和装修垃圾搬运或清运完毕后，应对相关区域进行清理、打扫、保持环境清洁卫生。因客观原因需延长堆放时间应及时报告后勤管理公司批准。</w:t>
      </w:r>
    </w:p>
    <w:p w14:paraId="0F7396B0">
      <w:pPr>
        <w:spacing w:line="360" w:lineRule="auto"/>
        <w:ind w:firstLine="487" w:firstLineChars="203"/>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3、施工单位装修工程完毕后，须将指定垃圾堆放点清理干净，并经管理处验收合格。</w:t>
      </w:r>
    </w:p>
    <w:p w14:paraId="31C9A8D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四、货梯使用</w:t>
      </w:r>
    </w:p>
    <w:p w14:paraId="5DE9ECA4">
      <w:pPr>
        <w:spacing w:line="360" w:lineRule="auto"/>
        <w:ind w:firstLine="487" w:firstLineChars="203"/>
        <w:rPr>
          <w:rFonts w:hint="eastAsia" w:ascii="宋体" w:hAnsi="宋体" w:eastAsia="宋体" w:cs="宋体"/>
          <w:color w:val="auto"/>
          <w:sz w:val="24"/>
          <w:highlight w:val="none"/>
        </w:rPr>
      </w:pPr>
      <w:r>
        <w:rPr>
          <w:rFonts w:hint="eastAsia" w:ascii="宋体" w:hAnsi="宋体" w:eastAsia="宋体" w:cs="宋体"/>
          <w:color w:val="auto"/>
          <w:sz w:val="24"/>
          <w:highlight w:val="none"/>
        </w:rPr>
        <w:t>1、零散装修物料、装修垃圾必须先打包，后清运。清运时须在电梯口加盖垫板，电梯内铺垫布，防止散料漏进梯井，保持轿厢卫生整洁。</w:t>
      </w:r>
    </w:p>
    <w:p w14:paraId="11C95394">
      <w:pPr>
        <w:spacing w:line="360" w:lineRule="auto"/>
        <w:ind w:firstLine="487" w:firstLineChars="203"/>
        <w:rPr>
          <w:rFonts w:hint="eastAsia" w:ascii="宋体" w:hAnsi="宋体" w:eastAsia="宋体" w:cs="宋体"/>
          <w:color w:val="auto"/>
          <w:sz w:val="24"/>
          <w:highlight w:val="none"/>
        </w:rPr>
      </w:pPr>
      <w:r>
        <w:rPr>
          <w:rFonts w:hint="eastAsia" w:ascii="宋体" w:hAnsi="宋体" w:eastAsia="宋体" w:cs="宋体"/>
          <w:color w:val="auto"/>
          <w:sz w:val="24"/>
          <w:highlight w:val="none"/>
        </w:rPr>
        <w:t>2、搬运重物，不得碰坏、刮坏电梯和地面。否则，损失由施工单位负责。</w:t>
      </w:r>
    </w:p>
    <w:p w14:paraId="2FACF8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3、电梯出现故障时应停止运行，不得强行使用。</w:t>
      </w:r>
    </w:p>
    <w:p w14:paraId="1ED3B2B6">
      <w:pPr>
        <w:spacing w:line="360" w:lineRule="auto"/>
        <w:ind w:left="570"/>
        <w:rPr>
          <w:rFonts w:hint="eastAsia" w:ascii="宋体" w:hAnsi="宋体" w:eastAsia="宋体" w:cs="宋体"/>
          <w:color w:val="auto"/>
          <w:sz w:val="24"/>
          <w:highlight w:val="none"/>
        </w:rPr>
      </w:pPr>
      <w:r>
        <w:rPr>
          <w:rFonts w:hint="eastAsia" w:ascii="宋体" w:hAnsi="宋体" w:eastAsia="宋体" w:cs="宋体"/>
          <w:color w:val="auto"/>
          <w:sz w:val="24"/>
          <w:highlight w:val="none"/>
        </w:rPr>
        <w:t>本施工单位同意遵守上述规定。</w:t>
      </w:r>
    </w:p>
    <w:p w14:paraId="1505DB18">
      <w:pPr>
        <w:spacing w:line="360" w:lineRule="auto"/>
        <w:rPr>
          <w:rFonts w:hint="eastAsia" w:ascii="宋体" w:hAnsi="宋体" w:eastAsia="宋体" w:cs="宋体"/>
          <w:color w:val="auto"/>
          <w:sz w:val="24"/>
          <w:highlight w:val="none"/>
        </w:rPr>
      </w:pPr>
    </w:p>
    <w:p w14:paraId="0CE28E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施工单位负责人签名：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43B6782">
      <w:pPr>
        <w:spacing w:line="360" w:lineRule="auto"/>
        <w:ind w:left="570"/>
        <w:rPr>
          <w:rFonts w:hint="eastAsia" w:ascii="宋体" w:hAnsi="宋体" w:eastAsia="宋体" w:cs="宋体"/>
          <w:color w:val="auto"/>
          <w:sz w:val="24"/>
          <w:highlight w:val="none"/>
        </w:rPr>
      </w:pPr>
    </w:p>
    <w:p w14:paraId="64665CED">
      <w:pPr>
        <w:spacing w:line="360" w:lineRule="auto"/>
        <w:ind w:left="570"/>
        <w:jc w:val="right"/>
        <w:rPr>
          <w:rFonts w:hint="eastAsia" w:ascii="宋体" w:hAnsi="宋体" w:eastAsia="宋体" w:cs="宋体"/>
          <w:color w:val="auto"/>
          <w:sz w:val="24"/>
          <w:highlight w:val="none"/>
        </w:rPr>
      </w:pPr>
    </w:p>
    <w:p w14:paraId="52683965">
      <w:pPr>
        <w:spacing w:line="360" w:lineRule="auto"/>
        <w:ind w:left="570" w:right="36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广东省中医院                                                                                  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FFC208E">
      <w:pPr>
        <w:spacing w:line="360" w:lineRule="auto"/>
        <w:ind w:firstLine="570"/>
        <w:rPr>
          <w:rFonts w:hint="eastAsia" w:ascii="宋体" w:hAnsi="宋体" w:eastAsia="宋体" w:cs="宋体"/>
          <w:color w:val="auto"/>
          <w:sz w:val="24"/>
          <w:highlight w:val="none"/>
        </w:rPr>
      </w:pPr>
    </w:p>
    <w:p w14:paraId="5F40E4C8">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2AFBAA1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w:t>
      </w:r>
    </w:p>
    <w:p w14:paraId="4BF30E1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安全文明施工违规项目及处罚金额一览表</w:t>
      </w:r>
    </w:p>
    <w:tbl>
      <w:tblPr>
        <w:tblStyle w:val="8"/>
        <w:tblW w:w="10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8"/>
        <w:gridCol w:w="7037"/>
        <w:gridCol w:w="1557"/>
        <w:gridCol w:w="726"/>
      </w:tblGrid>
      <w:tr w14:paraId="62CBE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9C86A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C8DF9C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违规项目内容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5AE3F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处罚金额</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927A5C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扣分</w:t>
            </w:r>
          </w:p>
        </w:tc>
      </w:tr>
      <w:tr w14:paraId="72858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1CED8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F9B6D4C">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施工单位在24小时内不能响应主管科室布置的施工任务，视情节处罚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2FEF226">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200-500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6FB4D7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6FEAF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B9360B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6882CA4">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遇到甲方突发紧急抢修事件时，施工单位接到通知2小时内未响应，视情节处罚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578B26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200-500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CEB4B33">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38D3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117755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CEBF0C3">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施工单位因自身原因在约定时间后3日内仍未完成布置的施工任务，视情节处罚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C6C721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200-500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3D3E8B1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17B31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8E8CB8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31E0E2D">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施工单位不服从管理，造成甲方经济损失或导致返工情况的，视情节处罚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1620A5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200-500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BBBE52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2991B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3141F9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FE3E48B">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为了便于衔接，甲方实行周例会制度，施工单位未派人准时参加，无故迟到或缺席</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E1D31A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6781842">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621F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0A0021B">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9E790B9">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工程施工涉及安全、环保、设备安全的事项时，未制定相应施工方案，未经甲方管理人员审批同意进行施工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D5FCDD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D62CD3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577E9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923DEB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52A17CE">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施工现场管理人员和作业人员在工作期间未按规定穿工作服、戴安全帽，佩戴身份标识卡</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34A129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FCD19DF">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342A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012F90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11A2618">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酒后作业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E3585C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02AF932">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2A4D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FBA6A4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7380071">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施工现场吸烟、打赤膊、随地大小便等不文明行为</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BD9366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9D2D31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6BA78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5FE4350">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68DCB80">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特种作业人员未持证上岗，操作证未在有效期内</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95BF9DF">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35DF5A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949D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0EF1FC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BFEF422">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电工在进行施工时，未佩戴绝缘防护用具，在带电作业时没有工人看护</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A68F6B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7D6497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217C4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E17CC1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A128214">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在登高或其他危险作业时，未做防护、保护措施</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A782D6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74B3302">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0640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6A8D60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ABCB8AE">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有较大噪音的施工项目，未在规定时间内施工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678617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5BABF5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5B760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E634DA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56F609EE">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工期3天以上未悬挂施工告示牌，未尽通知义务</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CBB7FB3">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100ABC6">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5B065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EF67B60">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F870977">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在施工现场发现事故隐患，事故苗头未及时上报停工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60D845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CB7820">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0CE1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91EC36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C848276">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在梁、柱、承重墙上钻孔、打凿等，影响结构安全</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CF3AF6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992D5C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5226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C11BFD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4D2EBD4">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水电线路的敷设不符合施工现场安全管理规范</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3A6BB1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73184F">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3797D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FCFD9C7">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6E62ADA">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材料的堆放，没有分种类、分区域，未按规范做保护防护措施</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E53291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F320BB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1F8D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333931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573D72B">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临时用电的防漏设施，配电系统不完善，未按照操作规范进行配置；使用电气、电动、电源等未按规范接地，设备没有做保护、防护设施，未安排专人监管</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D2E6B42">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F2CF020">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EE3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B94699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73FCCF6">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水暖工在进行施工时，没有先切断主水源，未按操作规范进行施工者</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1D0789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595618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3E4C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831926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77D3C0F">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在进行施工时，特别在使用电动带刃工具时，未按操作规范进行施工者</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E5E62B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BBFA1D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37CB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7F5DA0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BAD0F80">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油工在进行喷涂施工时，没有做到通风、换气、没有佩戴防护用具和进行防护措施</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A245FC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543A7A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5883B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065234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FBF3E6A">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施工现场使用碘钨灯</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CA407D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B3E966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0884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0A9731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5E336196">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在进行隐蔽工程、防水工程施工时需要开槽、切割，未佩戴保护、防护用具，未按规范进行使用和施工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8842DB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7607BBB">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6B41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E26CA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47A6BEA">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施工现场有气割、焊接工程，未严格按规范进行操作</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DD138B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E48DD9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1854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5978C3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87EA66B">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施工现场有拆除工程，拆除时没有专人进行现场指挥和疏通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073ABCF">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8C2226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2302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71D0AD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659AE25">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施工现场未配备有效数量的灭火器，摆放位置不对；未经许可乱挪动消防设施；施工中损坏消防设施、设备器材者，照价赔偿，视情节处罚；施工期间未经允许拆除消防、安防设备</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4DCE432F">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A25772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30DEA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0C3BA1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24A9485">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危险区域未设专人看护或未做警告标志，未按规定做好现场围闭</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ED7B63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FA9846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69DC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995F20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09FCFDC">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作业停止时间过长，未切断电源处理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D435AC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9AF89F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869E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2D30FE7">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30</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6D993BC9">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电气、电动机械进行修理，未做保护、防护措施</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09216376">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1301F01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B902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7DE754B">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9D580E8">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外露线头、灯口四周未做绝缘、防火处理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E5F424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955FE64">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EBE6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1D5CA08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2B519F74">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施工完毕后，乱扔杂物、施工垃圾未清理或未运至指定地点</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E35685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71BC015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13DB9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8432C3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8607494">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施工完毕后，施工单位未积极配合甲方对维修改造事项的验收，未按时递交结算资料</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60E6083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23CD9F9">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2A466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055E6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19F7E19F">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违章作业，当生产与安全发生冲突，不服从安全要求，野蛮施工者</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726AE86">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DD66560">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E04F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D0FE64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596F5597">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故意浪费材料，破坏甲方物品，损坏成品者，除照价赔偿外，视情节处罚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B2BEBB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776F00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65B3F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985573A">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C248619">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施工单位未经允许或未办理开工手续的情况下擅自动工、擅自扩大工程量</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5AC846A5">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24E729FC">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5C4C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210471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37</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018F2BB">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施工单位为谋求自身利益，通过各种手段贿赂甲方相关管理人员的，视情节处罚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7D00D01D">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B5D6562">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2CE81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0CC30EE">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38</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4B6252B1">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施工单位工作人员施工态度应良好，无故顶撞、恐吓、殴打甲方人员的，视情节处罚，情节严重者移交司法机关处理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1FC0CF48">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500-5000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4C04113">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5-40</w:t>
            </w:r>
          </w:p>
        </w:tc>
      </w:tr>
      <w:tr w14:paraId="0A5AF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06BDDC30">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39</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0B6651E7">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施工项目中经查实发现有材料造假、工程质量有重大缺陷、虚报工程量、验收签证资料伪造甲方人员签名等行为的，视情节处罚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656B066">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5000－10000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441F01D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5-40</w:t>
            </w:r>
          </w:p>
        </w:tc>
      </w:tr>
      <w:tr w14:paraId="2405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5B28CBC1">
            <w:pPr>
              <w:tabs>
                <w:tab w:val="center" w:pos="4153"/>
                <w:tab w:val="right" w:pos="8306"/>
              </w:tabs>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40</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B9A6DB4">
            <w:pPr>
              <w:tabs>
                <w:tab w:val="center" w:pos="4153"/>
                <w:tab w:val="right" w:pos="8306"/>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盗窃医院财物者处以5倍罚款，情节严重者送交公安机关处理</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8CB36BD">
            <w:pPr>
              <w:jc w:val="center"/>
              <w:rPr>
                <w:rFonts w:hint="eastAsia" w:ascii="宋体" w:hAnsi="宋体" w:eastAsia="宋体" w:cs="宋体"/>
                <w:color w:val="auto"/>
                <w:sz w:val="24"/>
                <w:highlight w:val="none"/>
              </w:rPr>
            </w:pP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12EC3F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r>
      <w:tr w14:paraId="7477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61464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77BFE81A">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施工期间占用消防通道堆放器材和物品，阻碍消防道畅通</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EEA49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8C80FD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4358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3D27EFE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B00442C">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施工期间未经允许使用消防水（未造成严重后果）；如造成严后果责任一切由施工方承担</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36CE57D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777A6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2540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153D2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43</w:t>
            </w:r>
          </w:p>
        </w:tc>
        <w:tc>
          <w:tcPr>
            <w:tcW w:w="7037" w:type="dxa"/>
            <w:tcBorders>
              <w:top w:val="single" w:color="000000" w:sz="4" w:space="0"/>
              <w:left w:val="single" w:color="000000" w:sz="4" w:space="0"/>
              <w:bottom w:val="single" w:color="000000" w:sz="4" w:space="0"/>
              <w:right w:val="single" w:color="000000" w:sz="4" w:space="0"/>
            </w:tcBorders>
            <w:noWrap w:val="0"/>
            <w:vAlign w:val="center"/>
          </w:tcPr>
          <w:p w14:paraId="30B1102D">
            <w:pP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施工项目未签定“医院建设、装修工程安全协议”施工协议未挂在施工现场备查</w:t>
            </w:r>
          </w:p>
        </w:tc>
        <w:tc>
          <w:tcPr>
            <w:tcW w:w="1557" w:type="dxa"/>
            <w:tcBorders>
              <w:top w:val="single" w:color="000000" w:sz="4" w:space="0"/>
              <w:left w:val="single" w:color="000000" w:sz="4" w:space="0"/>
              <w:bottom w:val="single" w:color="000000" w:sz="4" w:space="0"/>
              <w:right w:val="single" w:color="000000" w:sz="4" w:space="0"/>
            </w:tcBorders>
            <w:noWrap w:val="0"/>
            <w:vAlign w:val="center"/>
          </w:tcPr>
          <w:p w14:paraId="24BE736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200</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2D7B7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bl>
    <w:p w14:paraId="550F9401">
      <w:pPr>
        <w:tabs>
          <w:tab w:val="left" w:pos="1260"/>
          <w:tab w:val="left" w:pos="1440"/>
        </w:tabs>
        <w:rPr>
          <w:rFonts w:hint="eastAsia" w:ascii="宋体" w:hAnsi="宋体" w:eastAsia="宋体" w:cs="宋体"/>
          <w:color w:val="auto"/>
          <w:sz w:val="24"/>
          <w:highlight w:val="none"/>
        </w:rPr>
      </w:pPr>
    </w:p>
    <w:p w14:paraId="1039169D">
      <w:pPr>
        <w:tabs>
          <w:tab w:val="left" w:pos="1260"/>
          <w:tab w:val="left" w:pos="1440"/>
        </w:tabs>
        <w:rPr>
          <w:rFonts w:hint="eastAsia" w:ascii="宋体" w:hAnsi="宋体" w:eastAsia="宋体" w:cs="宋体"/>
          <w:color w:val="auto"/>
          <w:sz w:val="24"/>
          <w:highlight w:val="none"/>
        </w:rPr>
      </w:pPr>
    </w:p>
    <w:p w14:paraId="19879AF3">
      <w:pPr>
        <w:rPr>
          <w:rFonts w:hint="eastAsia" w:ascii="宋体" w:hAnsi="宋体" w:eastAsia="宋体" w:cs="宋体"/>
          <w:b/>
          <w:color w:val="auto"/>
          <w:sz w:val="24"/>
          <w:highlight w:val="none"/>
        </w:rPr>
      </w:pPr>
    </w:p>
    <w:p w14:paraId="267085EF">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A2BA84C">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附件2                        xx工程处罚通知单</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612"/>
        <w:gridCol w:w="1188"/>
        <w:gridCol w:w="3814"/>
      </w:tblGrid>
      <w:tr w14:paraId="17A2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40" w:type="dxa"/>
            <w:noWrap w:val="0"/>
            <w:vAlign w:val="top"/>
          </w:tcPr>
          <w:p w14:paraId="779C6884">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施工单位</w:t>
            </w:r>
          </w:p>
        </w:tc>
        <w:tc>
          <w:tcPr>
            <w:tcW w:w="3612" w:type="dxa"/>
            <w:noWrap w:val="0"/>
            <w:vAlign w:val="top"/>
          </w:tcPr>
          <w:p w14:paraId="63CDA768">
            <w:pPr>
              <w:rPr>
                <w:rFonts w:hint="eastAsia" w:ascii="宋体" w:hAnsi="宋体" w:eastAsia="宋体" w:cs="宋体"/>
                <w:bCs/>
                <w:color w:val="auto"/>
                <w:sz w:val="24"/>
                <w:highlight w:val="none"/>
              </w:rPr>
            </w:pPr>
          </w:p>
        </w:tc>
        <w:tc>
          <w:tcPr>
            <w:tcW w:w="1188" w:type="dxa"/>
            <w:noWrap w:val="0"/>
            <w:vAlign w:val="top"/>
          </w:tcPr>
          <w:p w14:paraId="03A6C4A3">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主管科室</w:t>
            </w:r>
          </w:p>
        </w:tc>
        <w:tc>
          <w:tcPr>
            <w:tcW w:w="3814" w:type="dxa"/>
            <w:noWrap w:val="0"/>
            <w:vAlign w:val="top"/>
          </w:tcPr>
          <w:p w14:paraId="0BF2162B">
            <w:pPr>
              <w:rPr>
                <w:rFonts w:hint="eastAsia" w:ascii="宋体" w:hAnsi="宋体" w:eastAsia="宋体" w:cs="宋体"/>
                <w:bCs/>
                <w:color w:val="auto"/>
                <w:sz w:val="24"/>
                <w:highlight w:val="none"/>
              </w:rPr>
            </w:pPr>
          </w:p>
        </w:tc>
      </w:tr>
      <w:tr w14:paraId="74D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40" w:type="dxa"/>
            <w:noWrap w:val="0"/>
            <w:vAlign w:val="top"/>
          </w:tcPr>
          <w:p w14:paraId="6928505F">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时    间</w:t>
            </w:r>
          </w:p>
        </w:tc>
        <w:tc>
          <w:tcPr>
            <w:tcW w:w="3612" w:type="dxa"/>
            <w:noWrap w:val="0"/>
            <w:vAlign w:val="top"/>
          </w:tcPr>
          <w:p w14:paraId="3F423D8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___年___月___日___时</w:t>
            </w:r>
          </w:p>
        </w:tc>
        <w:tc>
          <w:tcPr>
            <w:tcW w:w="1188" w:type="dxa"/>
            <w:noWrap w:val="0"/>
            <w:vAlign w:val="top"/>
          </w:tcPr>
          <w:p w14:paraId="6A8792A8">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地    点</w:t>
            </w:r>
          </w:p>
        </w:tc>
        <w:tc>
          <w:tcPr>
            <w:tcW w:w="3814" w:type="dxa"/>
            <w:noWrap w:val="0"/>
            <w:vAlign w:val="top"/>
          </w:tcPr>
          <w:p w14:paraId="6923981C">
            <w:pPr>
              <w:rPr>
                <w:rFonts w:hint="eastAsia" w:ascii="宋体" w:hAnsi="宋体" w:eastAsia="宋体" w:cs="宋体"/>
                <w:bCs/>
                <w:color w:val="auto"/>
                <w:sz w:val="24"/>
                <w:highlight w:val="none"/>
              </w:rPr>
            </w:pPr>
          </w:p>
        </w:tc>
      </w:tr>
      <w:tr w14:paraId="738A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40" w:type="dxa"/>
            <w:noWrap w:val="0"/>
            <w:vAlign w:val="top"/>
          </w:tcPr>
          <w:p w14:paraId="5F77822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处罚依据</w:t>
            </w:r>
          </w:p>
        </w:tc>
        <w:tc>
          <w:tcPr>
            <w:tcW w:w="8614" w:type="dxa"/>
            <w:gridSpan w:val="3"/>
            <w:noWrap w:val="0"/>
            <w:vAlign w:val="top"/>
          </w:tcPr>
          <w:p w14:paraId="3623BCE7">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违反安全文明施工管理规定第_____条。</w:t>
            </w:r>
          </w:p>
        </w:tc>
      </w:tr>
      <w:tr w14:paraId="1265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40" w:type="dxa"/>
            <w:noWrap w:val="0"/>
            <w:vAlign w:val="top"/>
          </w:tcPr>
          <w:p w14:paraId="1AAF852C">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处罚结论</w:t>
            </w:r>
          </w:p>
        </w:tc>
        <w:tc>
          <w:tcPr>
            <w:tcW w:w="8614" w:type="dxa"/>
            <w:gridSpan w:val="3"/>
            <w:noWrap w:val="0"/>
            <w:vAlign w:val="top"/>
          </w:tcPr>
          <w:p w14:paraId="0DA93F9D">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罚款______元，扣______分。</w:t>
            </w:r>
          </w:p>
        </w:tc>
      </w:tr>
      <w:tr w14:paraId="00AE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854" w:type="dxa"/>
            <w:gridSpan w:val="4"/>
            <w:noWrap w:val="0"/>
            <w:vAlign w:val="top"/>
          </w:tcPr>
          <w:p w14:paraId="6DC37F6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事由：</w:t>
            </w:r>
          </w:p>
          <w:p w14:paraId="37BFE78B">
            <w:pPr>
              <w:rPr>
                <w:rFonts w:hint="eastAsia" w:ascii="宋体" w:hAnsi="宋体" w:eastAsia="宋体" w:cs="宋体"/>
                <w:bCs/>
                <w:color w:val="auto"/>
                <w:sz w:val="24"/>
                <w:highlight w:val="none"/>
              </w:rPr>
            </w:pPr>
          </w:p>
          <w:p w14:paraId="56ECAEFD">
            <w:pPr>
              <w:rPr>
                <w:rFonts w:hint="eastAsia" w:ascii="宋体" w:hAnsi="宋体" w:eastAsia="宋体" w:cs="宋体"/>
                <w:bCs/>
                <w:color w:val="auto"/>
                <w:sz w:val="24"/>
                <w:highlight w:val="none"/>
              </w:rPr>
            </w:pPr>
          </w:p>
          <w:p w14:paraId="3E852323">
            <w:pPr>
              <w:rPr>
                <w:rFonts w:hint="eastAsia" w:ascii="宋体" w:hAnsi="宋体" w:eastAsia="宋体" w:cs="宋体"/>
                <w:bCs/>
                <w:color w:val="auto"/>
                <w:sz w:val="24"/>
                <w:highlight w:val="none"/>
              </w:rPr>
            </w:pPr>
          </w:p>
          <w:p w14:paraId="63635512">
            <w:pPr>
              <w:rPr>
                <w:rFonts w:hint="eastAsia" w:ascii="宋体" w:hAnsi="宋体" w:eastAsia="宋体" w:cs="宋体"/>
                <w:bCs/>
                <w:color w:val="auto"/>
                <w:sz w:val="24"/>
                <w:highlight w:val="none"/>
              </w:rPr>
            </w:pPr>
          </w:p>
          <w:p w14:paraId="76A249AB">
            <w:pPr>
              <w:rPr>
                <w:rFonts w:hint="eastAsia" w:ascii="宋体" w:hAnsi="宋体" w:eastAsia="宋体" w:cs="宋体"/>
                <w:bCs/>
                <w:color w:val="auto"/>
                <w:sz w:val="24"/>
                <w:highlight w:val="none"/>
              </w:rPr>
            </w:pPr>
          </w:p>
          <w:p w14:paraId="52A36877">
            <w:pPr>
              <w:rPr>
                <w:rFonts w:hint="eastAsia" w:ascii="宋体" w:hAnsi="宋体" w:eastAsia="宋体" w:cs="宋体"/>
                <w:bCs/>
                <w:color w:val="auto"/>
                <w:sz w:val="24"/>
                <w:highlight w:val="none"/>
              </w:rPr>
            </w:pPr>
          </w:p>
          <w:p w14:paraId="573F007E">
            <w:pPr>
              <w:rPr>
                <w:rFonts w:hint="eastAsia" w:ascii="宋体" w:hAnsi="宋体" w:eastAsia="宋体" w:cs="宋体"/>
                <w:bCs/>
                <w:color w:val="auto"/>
                <w:sz w:val="24"/>
                <w:highlight w:val="none"/>
              </w:rPr>
            </w:pPr>
          </w:p>
          <w:p w14:paraId="06E80F61">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项目负责人：                科室负责人：               施工方负责人：    </w:t>
            </w:r>
          </w:p>
        </w:tc>
      </w:tr>
    </w:tbl>
    <w:p w14:paraId="471AE8B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注：此单一式两份，施工单位及主管科室各一份，解释权归属主管科室。</w:t>
      </w:r>
    </w:p>
    <w:p w14:paraId="7BD9A723">
      <w:pPr>
        <w:jc w:val="center"/>
        <w:rPr>
          <w:rFonts w:hint="eastAsia" w:ascii="宋体" w:hAnsi="宋体" w:eastAsia="宋体" w:cs="宋体"/>
          <w:b/>
          <w:color w:val="auto"/>
          <w:sz w:val="24"/>
          <w:highlight w:val="none"/>
        </w:rPr>
      </w:pPr>
    </w:p>
    <w:p w14:paraId="28094717">
      <w:pPr>
        <w:rPr>
          <w:rFonts w:hint="eastAsia" w:ascii="宋体" w:hAnsi="宋体" w:eastAsia="宋体" w:cs="宋体"/>
          <w:b/>
          <w:color w:val="auto"/>
          <w:sz w:val="24"/>
          <w:highlight w:val="none"/>
        </w:rPr>
      </w:pPr>
    </w:p>
    <w:p w14:paraId="5875936A">
      <w:pPr>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-716280</wp:posOffset>
                </wp:positionH>
                <wp:positionV relativeFrom="paragraph">
                  <wp:posOffset>5080</wp:posOffset>
                </wp:positionV>
                <wp:extent cx="7572375" cy="9525"/>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7572375" cy="9525"/>
                        </a:xfrm>
                        <a:prstGeom prst="line">
                          <a:avLst/>
                        </a:prstGeom>
                        <a:noFill/>
                        <a:ln w="3175" cap="rnd">
                          <a:solidFill>
                            <a:srgbClr val="000000"/>
                          </a:solidFill>
                          <a:prstDash val="sysDot"/>
                          <a:round/>
                        </a:ln>
                        <a:effectLst/>
                      </wps:spPr>
                      <wps:bodyPr/>
                    </wps:wsp>
                  </a:graphicData>
                </a:graphic>
              </wp:anchor>
            </w:drawing>
          </mc:Choice>
          <mc:Fallback>
            <w:pict>
              <v:line id="_x0000_s1026" o:spid="_x0000_s1026" o:spt="20" style="position:absolute;left:0pt;margin-left:-56.4pt;margin-top:0.4pt;height:0.75pt;width:596.25pt;z-index:251660288;mso-width-relative:page;mso-height-relative:page;" filled="f" stroked="t" coordsize="21600,21600" o:gfxdata="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mRa6dkAAAAIAQAADwAAAAAAAAABACAAAAAiAAAAZHJzL2Rv&#10;d25yZXYueG1sUEsBAhQAFAAAAAgAh07iQLeH7WgAAgAA4QMAAA4AAAAAAAAAAQAgAAAAKAEAAGRy&#10;cy9lMm9Eb2MueG1sUEsFBgAAAAAGAAYAWQEAAJoFAAAAAA==&#10;">
                <v:fill on="f" focussize="0,0"/>
                <v:stroke weight="0.25pt" color="#000000" joinstyle="round" dashstyle="1 1" endcap="round"/>
                <v:imagedata o:title=""/>
                <o:lock v:ext="edit" aspectratio="f"/>
              </v:line>
            </w:pict>
          </mc:Fallback>
        </mc:AlternateContent>
      </w:r>
    </w:p>
    <w:p w14:paraId="5DE07DA0">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171A409">
      <w:pP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附件3</w:t>
      </w:r>
    </w:p>
    <w:p w14:paraId="7F66CD0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工程围蔽施工要求</w:t>
      </w:r>
    </w:p>
    <w:p w14:paraId="64505E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施工现场作业区域必须设置全封闭围栏围蔽，防止无关人员误入作业区域发生伤害事故。室内装修围蔽要求参照下图执行（根据工程实际情况选用）：</w:t>
      </w:r>
    </w:p>
    <w:p w14:paraId="4600B03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图一：围蔽材料—优质pvc</w:t>
      </w:r>
    </w:p>
    <w:p w14:paraId="4739CB48">
      <w:pP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4184015" cy="2889885"/>
            <wp:effectExtent l="0" t="0" r="6985" b="5715"/>
            <wp:docPr id="33" name="图片 1" descr="160414-20121008032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160414-20121008032209-2"/>
                    <pic:cNvPicPr>
                      <a:picLocks noChangeAspect="1"/>
                    </pic:cNvPicPr>
                  </pic:nvPicPr>
                  <pic:blipFill>
                    <a:blip r:embed="rId5"/>
                    <a:stretch>
                      <a:fillRect/>
                    </a:stretch>
                  </pic:blipFill>
                  <pic:spPr>
                    <a:xfrm>
                      <a:off x="0" y="0"/>
                      <a:ext cx="4184015" cy="2889885"/>
                    </a:xfrm>
                    <a:prstGeom prst="rect">
                      <a:avLst/>
                    </a:prstGeom>
                    <a:noFill/>
                    <a:ln>
                      <a:noFill/>
                    </a:ln>
                  </pic:spPr>
                </pic:pic>
              </a:graphicData>
            </a:graphic>
          </wp:inline>
        </w:drawing>
      </w:r>
    </w:p>
    <w:p w14:paraId="6AE117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图二：围蔽材料—木夹板、各类彩钢板</w:t>
      </w:r>
    </w:p>
    <w:p w14:paraId="045D097E">
      <w:pP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5184775" cy="2096770"/>
            <wp:effectExtent l="0" t="0" r="15875" b="17780"/>
            <wp:docPr id="39" name="图片 2" descr="u=389224894,3364633705&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 descr="u=389224894,3364633705&amp;fm=21&amp;gp=0"/>
                    <pic:cNvPicPr>
                      <a:picLocks noChangeAspect="1"/>
                    </pic:cNvPicPr>
                  </pic:nvPicPr>
                  <pic:blipFill>
                    <a:blip r:embed="rId6"/>
                    <a:stretch>
                      <a:fillRect/>
                    </a:stretch>
                  </pic:blipFill>
                  <pic:spPr>
                    <a:xfrm>
                      <a:off x="0" y="0"/>
                      <a:ext cx="5184775" cy="2096770"/>
                    </a:xfrm>
                    <a:prstGeom prst="rect">
                      <a:avLst/>
                    </a:prstGeom>
                    <a:noFill/>
                    <a:ln>
                      <a:noFill/>
                    </a:ln>
                  </pic:spPr>
                </pic:pic>
              </a:graphicData>
            </a:graphic>
          </wp:inline>
        </w:drawing>
      </w:r>
    </w:p>
    <w:p w14:paraId="0A521805">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室外装修工程围蔽要求参照下图执行（根据工程实际情况选用）：</w:t>
      </w:r>
    </w:p>
    <w:p w14:paraId="30F258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图一：彩条布</w:t>
      </w:r>
    </w:p>
    <w:p w14:paraId="42FC2472">
      <w:pP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3761740" cy="2088515"/>
            <wp:effectExtent l="0" t="0" r="10160" b="6985"/>
            <wp:docPr id="34" name="图片 3" descr="u=1250734287,1485983960&amp;fm=23&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u=1250734287,1485983960&amp;fm=23&amp;gp=0"/>
                    <pic:cNvPicPr>
                      <a:picLocks noChangeAspect="1"/>
                    </pic:cNvPicPr>
                  </pic:nvPicPr>
                  <pic:blipFill>
                    <a:blip r:embed="rId7"/>
                    <a:stretch>
                      <a:fillRect/>
                    </a:stretch>
                  </pic:blipFill>
                  <pic:spPr>
                    <a:xfrm>
                      <a:off x="0" y="0"/>
                      <a:ext cx="3761740" cy="2088515"/>
                    </a:xfrm>
                    <a:prstGeom prst="rect">
                      <a:avLst/>
                    </a:prstGeom>
                    <a:noFill/>
                    <a:ln>
                      <a:noFill/>
                    </a:ln>
                  </pic:spPr>
                </pic:pic>
              </a:graphicData>
            </a:graphic>
          </wp:inline>
        </w:drawing>
      </w:r>
    </w:p>
    <w:p w14:paraId="5BCBF8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图二：各类彩钢板、彩钢瓦</w:t>
      </w:r>
    </w:p>
    <w:p w14:paraId="7B76A8CD">
      <w:pPr>
        <w:rPr>
          <w:rFonts w:hint="eastAsia" w:ascii="宋体" w:hAnsi="宋体" w:eastAsia="宋体" w:cs="宋体"/>
          <w:color w:val="auto"/>
          <w:sz w:val="24"/>
          <w:highlight w:val="none"/>
        </w:rPr>
      </w:pPr>
      <w:r>
        <w:rPr>
          <w:rFonts w:hint="eastAsia" w:ascii="宋体" w:hAnsi="宋体" w:eastAsia="宋体" w:cs="宋体"/>
          <w:color w:val="auto"/>
          <w:sz w:val="24"/>
          <w:highlight w:val="none"/>
        </w:rPr>
        <w:drawing>
          <wp:inline distT="0" distB="0" distL="114300" distR="114300">
            <wp:extent cx="2795905" cy="2096770"/>
            <wp:effectExtent l="0" t="0" r="4445" b="17780"/>
            <wp:docPr id="36" name="图片 4" descr="u=3068759860,3158479403&amp;fm=15&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 descr="u=3068759860,3158479403&amp;fm=15&amp;gp=0"/>
                    <pic:cNvPicPr>
                      <a:picLocks noChangeAspect="1"/>
                    </pic:cNvPicPr>
                  </pic:nvPicPr>
                  <pic:blipFill>
                    <a:blip r:embed="rId8"/>
                    <a:stretch>
                      <a:fillRect/>
                    </a:stretch>
                  </pic:blipFill>
                  <pic:spPr>
                    <a:xfrm>
                      <a:off x="0" y="0"/>
                      <a:ext cx="2795905" cy="2096770"/>
                    </a:xfrm>
                    <a:prstGeom prst="rect">
                      <a:avLst/>
                    </a:prstGeom>
                    <a:noFill/>
                    <a:ln>
                      <a:noFill/>
                    </a:ln>
                  </pic:spPr>
                </pic:pic>
              </a:graphicData>
            </a:graphic>
          </wp:inline>
        </w:drawing>
      </w:r>
      <w:r>
        <w:rPr>
          <w:rFonts w:hint="eastAsia" w:ascii="宋体" w:hAnsi="宋体" w:eastAsia="宋体" w:cs="宋体"/>
          <w:color w:val="auto"/>
          <w:sz w:val="24"/>
          <w:highlight w:val="none"/>
        </w:rPr>
        <w:drawing>
          <wp:inline distT="0" distB="0" distL="114300" distR="114300">
            <wp:extent cx="2398395" cy="2096770"/>
            <wp:effectExtent l="0" t="0" r="1905" b="17780"/>
            <wp:docPr id="1" name="图片 5" descr="t01697739787989c5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t01697739787989c5d8"/>
                    <pic:cNvPicPr>
                      <a:picLocks noChangeAspect="1"/>
                    </pic:cNvPicPr>
                  </pic:nvPicPr>
                  <pic:blipFill>
                    <a:blip r:embed="rId9"/>
                    <a:stretch>
                      <a:fillRect/>
                    </a:stretch>
                  </pic:blipFill>
                  <pic:spPr>
                    <a:xfrm>
                      <a:off x="0" y="0"/>
                      <a:ext cx="2398395" cy="2096770"/>
                    </a:xfrm>
                    <a:prstGeom prst="rect">
                      <a:avLst/>
                    </a:prstGeom>
                    <a:noFill/>
                    <a:ln>
                      <a:noFill/>
                    </a:ln>
                  </pic:spPr>
                </pic:pic>
              </a:graphicData>
            </a:graphic>
          </wp:inline>
        </w:drawing>
      </w:r>
    </w:p>
    <w:p w14:paraId="52567516">
      <w:pPr>
        <w:rPr>
          <w:rFonts w:hint="eastAsia" w:ascii="宋体" w:hAnsi="宋体" w:eastAsia="宋体" w:cs="宋体"/>
          <w:color w:val="auto"/>
          <w:sz w:val="24"/>
          <w:highlight w:val="none"/>
        </w:rPr>
      </w:pPr>
    </w:p>
    <w:p w14:paraId="020FD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2.根据高处作业坠落半径的相关要求，15米以下作业的坠落半径为3米，因此高处作业区域3米外应设置围栏或拉设警戒线，防止地面作业人员进人坠落半径内发生高处坠物伤人。</w:t>
      </w:r>
    </w:p>
    <w:p w14:paraId="00A027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存在高处作业的施工现场，必须在作业区域内设置全封闭围栏，并在高处作业区域3米外设置围栏或拉设警戒线，因此存在高处作业的施工区域应设置两道围栏，一道在高处作业区域3米外，防止地面作业人员进入坠落半径内发生高处坠物伤人，一道对整个作业区域进行全封闭围蔽，防止无关人员误入作业区域发生伤害事故。</w:t>
      </w:r>
    </w:p>
    <w:p w14:paraId="02EB53A6">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F1C36E8">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施工告知书</w:t>
      </w:r>
    </w:p>
    <w:p w14:paraId="1E20794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9789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科：</w:t>
      </w:r>
    </w:p>
    <w:p w14:paraId="1922F3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根据贵科申请，经医院批准，           （项目）即将在贵科          进行施工改造，历时      天。为确保该项目高效、安全、顺利的完成，在这期间我科将严格要求施工单位按其与我院签订《文明施工承诺书》进行施工，采取防护措施以减少施工产生粉尘及噪音等，并做好施工现场围蔽工作。施工时间定在每天上午  时至  时、下午  时至晚上  时。但工程施工不可避免的会给贵科带来一些干扰及不便，如：</w:t>
      </w:r>
    </w:p>
    <w:p w14:paraId="7DE74450">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1、在拆旧及水电改造时震动、噪声及灰尘会比较大；</w:t>
      </w:r>
    </w:p>
    <w:p w14:paraId="018D6145">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2、粉刷、油漆、做防水的时候，异味会比较浓；</w:t>
      </w:r>
    </w:p>
    <w:p w14:paraId="6557300D">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3、电焊、切割的时候，会有火花及烟雾及噪音； </w:t>
      </w:r>
    </w:p>
    <w:p w14:paraId="728DA481">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4、因运送施工材料及工程垃圾占用货用电梯；</w:t>
      </w:r>
    </w:p>
    <w:p w14:paraId="6622CC4D">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以上因施工原因给贵科带来的不便，敬请谅解，如贵科对施工的时间或其它的一些注意事项有好的建议和要求，请以书面的形式及时告知，我科会根据实际情况予以调整。</w:t>
      </w:r>
    </w:p>
    <w:p w14:paraId="469C19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施工单位现场负责人：            电话：               </w:t>
      </w:r>
    </w:p>
    <w:p w14:paraId="0BB9C2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（职能科室）现场负责人：        电话：               </w:t>
      </w:r>
    </w:p>
    <w:p w14:paraId="4567CB5D">
      <w:pPr>
        <w:spacing w:line="360" w:lineRule="auto"/>
        <w:rPr>
          <w:rFonts w:hint="eastAsia" w:ascii="宋体" w:hAnsi="宋体" w:eastAsia="宋体" w:cs="宋体"/>
          <w:color w:val="auto"/>
          <w:sz w:val="24"/>
          <w:highlight w:val="none"/>
        </w:rPr>
      </w:pPr>
    </w:p>
    <w:p w14:paraId="22638951">
      <w:pPr>
        <w:spacing w:line="360" w:lineRule="auto"/>
        <w:ind w:firstLine="4680" w:firstLineChars="1950"/>
        <w:rPr>
          <w:rFonts w:hint="eastAsia" w:ascii="宋体" w:hAnsi="宋体" w:eastAsia="宋体" w:cs="宋体"/>
          <w:color w:val="auto"/>
          <w:sz w:val="24"/>
          <w:highlight w:val="none"/>
        </w:rPr>
      </w:pPr>
      <w:r>
        <w:rPr>
          <w:rFonts w:hint="eastAsia" w:ascii="宋体" w:hAnsi="宋体" w:eastAsia="宋体" w:cs="宋体"/>
          <w:color w:val="auto"/>
          <w:sz w:val="24"/>
          <w:highlight w:val="none"/>
        </w:rPr>
        <w:t>职能科室：</w:t>
      </w:r>
    </w:p>
    <w:p w14:paraId="58182E11">
      <w:pPr>
        <w:spacing w:line="360" w:lineRule="auto"/>
        <w:ind w:firstLine="4680" w:firstLineChars="195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23E0053">
      <w:pPr>
        <w:spacing w:line="360" w:lineRule="auto"/>
        <w:rPr>
          <w:rFonts w:hint="eastAsia" w:ascii="宋体" w:hAnsi="宋体" w:eastAsia="宋体" w:cs="宋体"/>
          <w:color w:val="auto"/>
          <w:sz w:val="24"/>
          <w:highlight w:val="none"/>
        </w:rPr>
      </w:pPr>
    </w:p>
    <w:p w14:paraId="5F33785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科（使用科室）负责人签收：</w:t>
      </w:r>
    </w:p>
    <w:p w14:paraId="2165BB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本施工告知书一式两份，双方各持一份。（供甲方使用）</w:t>
      </w:r>
    </w:p>
    <w:p w14:paraId="120A4604">
      <w:pPr>
        <w:pStyle w:val="7"/>
        <w:rPr>
          <w:rFonts w:hint="eastAsia" w:ascii="宋体" w:hAnsi="宋体" w:eastAsia="宋体" w:cs="宋体"/>
          <w:color w:val="auto"/>
          <w:highlight w:val="none"/>
        </w:rPr>
      </w:pPr>
    </w:p>
    <w:p w14:paraId="12A41992">
      <w:pPr>
        <w:spacing w:line="360" w:lineRule="auto"/>
        <w:rPr>
          <w:rFonts w:hint="eastAsia" w:ascii="宋体" w:hAnsi="宋体" w:eastAsia="宋体" w:cs="宋体"/>
          <w:b/>
          <w:color w:val="auto"/>
          <w:sz w:val="24"/>
          <w:highlight w:val="none"/>
        </w:rPr>
      </w:pPr>
    </w:p>
    <w:p w14:paraId="1CFA76D7">
      <w:pPr>
        <w:spacing w:line="360" w:lineRule="auto"/>
        <w:rPr>
          <w:rFonts w:hint="eastAsia" w:ascii="宋体" w:hAnsi="宋体" w:eastAsia="宋体" w:cs="宋体"/>
          <w:b/>
          <w:color w:val="auto"/>
          <w:sz w:val="24"/>
          <w:highlight w:val="none"/>
        </w:rPr>
      </w:pPr>
    </w:p>
    <w:p w14:paraId="189C70E3">
      <w:pPr>
        <w:spacing w:line="360" w:lineRule="auto"/>
        <w:rPr>
          <w:rFonts w:hint="eastAsia" w:ascii="宋体" w:hAnsi="宋体" w:eastAsia="宋体" w:cs="宋体"/>
          <w:b/>
          <w:color w:val="auto"/>
          <w:sz w:val="24"/>
          <w:highlight w:val="none"/>
        </w:rPr>
      </w:pPr>
    </w:p>
    <w:p w14:paraId="081FD790">
      <w:pPr>
        <w:spacing w:line="360" w:lineRule="auto"/>
        <w:rPr>
          <w:rFonts w:hint="eastAsia" w:ascii="宋体" w:hAnsi="宋体" w:eastAsia="宋体" w:cs="宋体"/>
          <w:b/>
          <w:color w:val="auto"/>
          <w:sz w:val="24"/>
          <w:highlight w:val="none"/>
        </w:rPr>
      </w:pPr>
    </w:p>
    <w:p w14:paraId="3EF4BC79">
      <w:pPr>
        <w:spacing w:line="360" w:lineRule="auto"/>
        <w:rPr>
          <w:rFonts w:hint="eastAsia" w:ascii="宋体" w:hAnsi="宋体" w:eastAsia="宋体" w:cs="宋体"/>
          <w:b/>
          <w:color w:val="auto"/>
          <w:sz w:val="24"/>
          <w:highlight w:val="none"/>
        </w:rPr>
      </w:pPr>
    </w:p>
    <w:p w14:paraId="0AFF4669">
      <w:pPr>
        <w:spacing w:line="360" w:lineRule="auto"/>
        <w:rPr>
          <w:rFonts w:hint="eastAsia" w:ascii="宋体" w:hAnsi="宋体" w:eastAsia="宋体" w:cs="宋体"/>
          <w:b/>
          <w:color w:val="auto"/>
          <w:sz w:val="24"/>
          <w:highlight w:val="none"/>
        </w:rPr>
      </w:pPr>
    </w:p>
    <w:p w14:paraId="3DE90F9D">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BA425F2">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附件4                           施工单位进场须知</w:t>
      </w:r>
    </w:p>
    <w:p w14:paraId="60EB3C5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一、项目基本情况（请施工单位及项目主管科室填写）</w:t>
      </w:r>
    </w:p>
    <w:tbl>
      <w:tblPr>
        <w:tblStyle w:val="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3119"/>
        <w:gridCol w:w="2126"/>
        <w:gridCol w:w="2919"/>
      </w:tblGrid>
      <w:tr w14:paraId="1863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14:paraId="180C8D1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施工项目名称</w:t>
            </w:r>
          </w:p>
        </w:tc>
        <w:tc>
          <w:tcPr>
            <w:tcW w:w="3119" w:type="dxa"/>
            <w:noWrap w:val="0"/>
            <w:vAlign w:val="top"/>
          </w:tcPr>
          <w:p w14:paraId="66595F75">
            <w:pPr>
              <w:spacing w:line="360" w:lineRule="auto"/>
              <w:jc w:val="center"/>
              <w:rPr>
                <w:rFonts w:hint="eastAsia" w:ascii="宋体" w:hAnsi="宋体" w:eastAsia="宋体" w:cs="宋体"/>
                <w:b/>
                <w:color w:val="auto"/>
                <w:sz w:val="24"/>
                <w:highlight w:val="none"/>
              </w:rPr>
            </w:pPr>
          </w:p>
        </w:tc>
        <w:tc>
          <w:tcPr>
            <w:tcW w:w="2126" w:type="dxa"/>
            <w:noWrap w:val="0"/>
            <w:vAlign w:val="top"/>
          </w:tcPr>
          <w:p w14:paraId="17E8835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施工单位名称</w:t>
            </w:r>
          </w:p>
        </w:tc>
        <w:tc>
          <w:tcPr>
            <w:tcW w:w="2919" w:type="dxa"/>
            <w:noWrap w:val="0"/>
            <w:vAlign w:val="top"/>
          </w:tcPr>
          <w:p w14:paraId="6A4B5DB3">
            <w:pPr>
              <w:spacing w:line="360" w:lineRule="auto"/>
              <w:rPr>
                <w:rFonts w:hint="eastAsia" w:ascii="宋体" w:hAnsi="宋体" w:eastAsia="宋体" w:cs="宋体"/>
                <w:b/>
                <w:color w:val="auto"/>
                <w:sz w:val="24"/>
                <w:highlight w:val="none"/>
              </w:rPr>
            </w:pPr>
          </w:p>
        </w:tc>
      </w:tr>
      <w:tr w14:paraId="560E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14:paraId="72A4DBF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施工单位现场负责人</w:t>
            </w:r>
          </w:p>
        </w:tc>
        <w:tc>
          <w:tcPr>
            <w:tcW w:w="3119" w:type="dxa"/>
            <w:noWrap w:val="0"/>
            <w:vAlign w:val="top"/>
          </w:tcPr>
          <w:p w14:paraId="75EF8BB8">
            <w:pPr>
              <w:spacing w:line="360" w:lineRule="auto"/>
              <w:jc w:val="center"/>
              <w:rPr>
                <w:rFonts w:hint="eastAsia" w:ascii="宋体" w:hAnsi="宋体" w:eastAsia="宋体" w:cs="宋体"/>
                <w:b/>
                <w:color w:val="auto"/>
                <w:sz w:val="24"/>
                <w:highlight w:val="none"/>
              </w:rPr>
            </w:pPr>
          </w:p>
        </w:tc>
        <w:tc>
          <w:tcPr>
            <w:tcW w:w="2126" w:type="dxa"/>
            <w:noWrap w:val="0"/>
            <w:vAlign w:val="top"/>
          </w:tcPr>
          <w:p w14:paraId="0258F89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c>
          <w:tcPr>
            <w:tcW w:w="2919" w:type="dxa"/>
            <w:noWrap w:val="0"/>
            <w:vAlign w:val="top"/>
          </w:tcPr>
          <w:p w14:paraId="7DCBDF46">
            <w:pPr>
              <w:spacing w:line="360" w:lineRule="auto"/>
              <w:rPr>
                <w:rFonts w:hint="eastAsia" w:ascii="宋体" w:hAnsi="宋体" w:eastAsia="宋体" w:cs="宋体"/>
                <w:b/>
                <w:color w:val="auto"/>
                <w:sz w:val="24"/>
                <w:highlight w:val="none"/>
              </w:rPr>
            </w:pPr>
          </w:p>
        </w:tc>
      </w:tr>
      <w:tr w14:paraId="37F1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14:paraId="6AE96FB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项目主管科室</w:t>
            </w:r>
          </w:p>
        </w:tc>
        <w:tc>
          <w:tcPr>
            <w:tcW w:w="3119" w:type="dxa"/>
            <w:noWrap w:val="0"/>
            <w:vAlign w:val="top"/>
          </w:tcPr>
          <w:p w14:paraId="47081034">
            <w:pPr>
              <w:spacing w:line="360" w:lineRule="auto"/>
              <w:jc w:val="center"/>
              <w:rPr>
                <w:rFonts w:hint="eastAsia" w:ascii="宋体" w:hAnsi="宋体" w:eastAsia="宋体" w:cs="宋体"/>
                <w:b/>
                <w:color w:val="auto"/>
                <w:sz w:val="24"/>
                <w:highlight w:val="none"/>
              </w:rPr>
            </w:pPr>
          </w:p>
        </w:tc>
        <w:tc>
          <w:tcPr>
            <w:tcW w:w="2126" w:type="dxa"/>
            <w:noWrap w:val="0"/>
            <w:vAlign w:val="top"/>
          </w:tcPr>
          <w:p w14:paraId="3FBDCE4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施工期限</w:t>
            </w:r>
          </w:p>
        </w:tc>
        <w:tc>
          <w:tcPr>
            <w:tcW w:w="2919" w:type="dxa"/>
            <w:noWrap w:val="0"/>
            <w:vAlign w:val="top"/>
          </w:tcPr>
          <w:p w14:paraId="255BCB0A">
            <w:pPr>
              <w:spacing w:line="360" w:lineRule="auto"/>
              <w:rPr>
                <w:rFonts w:hint="eastAsia" w:ascii="宋体" w:hAnsi="宋体" w:eastAsia="宋体" w:cs="宋体"/>
                <w:b/>
                <w:color w:val="auto"/>
                <w:sz w:val="24"/>
                <w:highlight w:val="none"/>
              </w:rPr>
            </w:pPr>
          </w:p>
        </w:tc>
      </w:tr>
      <w:tr w14:paraId="796C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noWrap w:val="0"/>
            <w:vAlign w:val="top"/>
          </w:tcPr>
          <w:p w14:paraId="19B20B6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主管科室项目负责人</w:t>
            </w:r>
          </w:p>
        </w:tc>
        <w:tc>
          <w:tcPr>
            <w:tcW w:w="3119" w:type="dxa"/>
            <w:noWrap w:val="0"/>
            <w:vAlign w:val="top"/>
          </w:tcPr>
          <w:p w14:paraId="64F1D3B1">
            <w:pPr>
              <w:spacing w:line="360" w:lineRule="auto"/>
              <w:jc w:val="center"/>
              <w:rPr>
                <w:rFonts w:hint="eastAsia" w:ascii="宋体" w:hAnsi="宋体" w:eastAsia="宋体" w:cs="宋体"/>
                <w:b/>
                <w:color w:val="auto"/>
                <w:sz w:val="24"/>
                <w:highlight w:val="none"/>
              </w:rPr>
            </w:pPr>
          </w:p>
        </w:tc>
        <w:tc>
          <w:tcPr>
            <w:tcW w:w="2126" w:type="dxa"/>
            <w:noWrap w:val="0"/>
            <w:vAlign w:val="top"/>
          </w:tcPr>
          <w:p w14:paraId="04FFC17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c>
          <w:tcPr>
            <w:tcW w:w="2919" w:type="dxa"/>
            <w:noWrap w:val="0"/>
            <w:vAlign w:val="top"/>
          </w:tcPr>
          <w:p w14:paraId="17866B79">
            <w:pPr>
              <w:spacing w:line="360" w:lineRule="auto"/>
              <w:rPr>
                <w:rFonts w:hint="eastAsia" w:ascii="宋体" w:hAnsi="宋体" w:eastAsia="宋体" w:cs="宋体"/>
                <w:b/>
                <w:color w:val="auto"/>
                <w:sz w:val="24"/>
                <w:highlight w:val="none"/>
              </w:rPr>
            </w:pPr>
          </w:p>
        </w:tc>
      </w:tr>
    </w:tbl>
    <w:p w14:paraId="358EB85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二、施工单位办事指南</w:t>
      </w:r>
    </w:p>
    <w:p w14:paraId="14E2E67D">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请施工单位携带</w:t>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 1 \* GB3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①</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t>合同原件、</w:t>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 2 \* GB3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②</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t>安全文明承诺书原件、</w:t>
      </w: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 = 3 \* GB3 </w:instrText>
      </w:r>
      <w:r>
        <w:rPr>
          <w:rFonts w:hint="eastAsia" w:ascii="宋体" w:hAnsi="宋体" w:eastAsia="宋体" w:cs="宋体"/>
          <w:b/>
          <w:color w:val="auto"/>
          <w:sz w:val="24"/>
          <w:highlight w:val="none"/>
        </w:rPr>
        <w:fldChar w:fldCharType="separate"/>
      </w:r>
      <w:r>
        <w:rPr>
          <w:rFonts w:hint="eastAsia" w:ascii="宋体" w:hAnsi="宋体" w:eastAsia="宋体" w:cs="宋体"/>
          <w:b/>
          <w:color w:val="auto"/>
          <w:sz w:val="24"/>
          <w:highlight w:val="none"/>
        </w:rPr>
        <w:t>③</w:t>
      </w:r>
      <w:r>
        <w:rPr>
          <w:rFonts w:hint="eastAsia" w:ascii="宋体" w:hAnsi="宋体" w:eastAsia="宋体" w:cs="宋体"/>
          <w:b/>
          <w:color w:val="auto"/>
          <w:sz w:val="24"/>
          <w:highlight w:val="none"/>
        </w:rPr>
        <w:fldChar w:fldCharType="end"/>
      </w:r>
      <w:r>
        <w:rPr>
          <w:rFonts w:hint="eastAsia" w:ascii="宋体" w:hAnsi="宋体" w:eastAsia="宋体" w:cs="宋体"/>
          <w:b/>
          <w:color w:val="auto"/>
          <w:sz w:val="24"/>
          <w:highlight w:val="none"/>
        </w:rPr>
        <w:t>各附件表格（加盖公司公章，项目主管科室签名盖章）等资料按下表指南办理进场手续。</w:t>
      </w:r>
    </w:p>
    <w:tbl>
      <w:tblPr>
        <w:tblStyle w:val="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231"/>
        <w:gridCol w:w="1594"/>
        <w:gridCol w:w="4623"/>
        <w:gridCol w:w="1434"/>
      </w:tblGrid>
      <w:tr w14:paraId="14F3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00" w:type="dxa"/>
            <w:noWrap w:val="0"/>
            <w:vAlign w:val="center"/>
          </w:tcPr>
          <w:p w14:paraId="36027D93">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序号</w:t>
            </w:r>
          </w:p>
        </w:tc>
        <w:tc>
          <w:tcPr>
            <w:tcW w:w="2231" w:type="dxa"/>
            <w:noWrap w:val="0"/>
            <w:vAlign w:val="center"/>
          </w:tcPr>
          <w:p w14:paraId="72910807">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办理事项</w:t>
            </w:r>
          </w:p>
        </w:tc>
        <w:tc>
          <w:tcPr>
            <w:tcW w:w="1594" w:type="dxa"/>
            <w:noWrap w:val="0"/>
            <w:vAlign w:val="center"/>
          </w:tcPr>
          <w:p w14:paraId="5C94C971">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办理地点</w:t>
            </w:r>
          </w:p>
        </w:tc>
        <w:tc>
          <w:tcPr>
            <w:tcW w:w="4623" w:type="dxa"/>
            <w:noWrap w:val="0"/>
            <w:vAlign w:val="center"/>
          </w:tcPr>
          <w:p w14:paraId="63F66EBA">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办理流程</w:t>
            </w:r>
          </w:p>
        </w:tc>
        <w:tc>
          <w:tcPr>
            <w:tcW w:w="1434" w:type="dxa"/>
            <w:noWrap w:val="0"/>
            <w:vAlign w:val="center"/>
          </w:tcPr>
          <w:p w14:paraId="2373D855">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科室签名</w:t>
            </w:r>
          </w:p>
        </w:tc>
      </w:tr>
      <w:tr w14:paraId="56DC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800" w:type="dxa"/>
            <w:noWrap w:val="0"/>
            <w:vAlign w:val="center"/>
          </w:tcPr>
          <w:p w14:paraId="6A831AA4">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1</w:t>
            </w:r>
          </w:p>
        </w:tc>
        <w:tc>
          <w:tcPr>
            <w:tcW w:w="2231" w:type="dxa"/>
            <w:noWrap w:val="0"/>
            <w:vAlign w:val="center"/>
          </w:tcPr>
          <w:p w14:paraId="7FD965A5">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《临时出入证》</w:t>
            </w:r>
          </w:p>
        </w:tc>
        <w:tc>
          <w:tcPr>
            <w:tcW w:w="1594" w:type="dxa"/>
            <w:noWrap w:val="0"/>
            <w:vAlign w:val="center"/>
          </w:tcPr>
          <w:p w14:paraId="2E1FC074">
            <w:pPr>
              <w:keepNext/>
              <w:keepLines/>
              <w:tabs>
                <w:tab w:val="left" w:pos="1620"/>
              </w:tabs>
              <w:spacing w:before="340" w:after="330" w:line="360" w:lineRule="auto"/>
              <w:jc w:val="center"/>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保卫处</w:t>
            </w:r>
          </w:p>
        </w:tc>
        <w:tc>
          <w:tcPr>
            <w:tcW w:w="4623" w:type="dxa"/>
            <w:noWrap w:val="0"/>
            <w:vAlign w:val="center"/>
          </w:tcPr>
          <w:p w14:paraId="6A0C4CEE">
            <w:pPr>
              <w:keepNext/>
              <w:keepLines/>
              <w:pageBreakBefore w:val="0"/>
              <w:widowControl w:val="0"/>
              <w:tabs>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填写附件8-1</w:t>
            </w:r>
            <w:r>
              <w:rPr>
                <w:rFonts w:hint="eastAsia" w:ascii="宋体" w:hAnsi="宋体" w:eastAsia="宋体" w:cs="宋体"/>
                <w:b/>
                <w:color w:val="auto"/>
                <w:sz w:val="24"/>
                <w:highlight w:val="none"/>
              </w:rPr>
              <w:t>《临时出入证申请表》</w:t>
            </w:r>
            <w:r>
              <w:rPr>
                <w:rFonts w:hint="eastAsia" w:ascii="宋体" w:hAnsi="宋体" w:eastAsia="宋体" w:cs="宋体"/>
                <w:color w:val="auto"/>
                <w:sz w:val="24"/>
                <w:highlight w:val="none"/>
              </w:rPr>
              <w:t>及所有施工人员</w:t>
            </w:r>
            <w:r>
              <w:rPr>
                <w:rFonts w:hint="eastAsia" w:ascii="宋体" w:hAnsi="宋体" w:eastAsia="宋体" w:cs="宋体"/>
                <w:b/>
                <w:color w:val="auto"/>
                <w:sz w:val="24"/>
                <w:highlight w:val="none"/>
              </w:rPr>
              <w:t>身份证复印件</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一寸证件照一张</w:t>
            </w:r>
            <w:r>
              <w:rPr>
                <w:rFonts w:hint="eastAsia" w:ascii="宋体" w:hAnsi="宋体" w:eastAsia="宋体" w:cs="宋体"/>
                <w:color w:val="auto"/>
                <w:sz w:val="24"/>
                <w:highlight w:val="none"/>
              </w:rPr>
              <w:t>，到保卫处办理。</w:t>
            </w:r>
          </w:p>
        </w:tc>
        <w:tc>
          <w:tcPr>
            <w:tcW w:w="1434" w:type="dxa"/>
            <w:noWrap w:val="0"/>
            <w:vAlign w:val="center"/>
          </w:tcPr>
          <w:p w14:paraId="66D160C7">
            <w:pPr>
              <w:tabs>
                <w:tab w:val="left" w:pos="1620"/>
              </w:tabs>
              <w:spacing w:line="360" w:lineRule="auto"/>
              <w:jc w:val="center"/>
              <w:rPr>
                <w:rFonts w:hint="eastAsia" w:ascii="宋体" w:hAnsi="宋体" w:eastAsia="宋体" w:cs="宋体"/>
                <w:color w:val="auto"/>
                <w:sz w:val="24"/>
                <w:highlight w:val="none"/>
              </w:rPr>
            </w:pPr>
          </w:p>
        </w:tc>
      </w:tr>
      <w:tr w14:paraId="5D96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00" w:type="dxa"/>
            <w:noWrap w:val="0"/>
            <w:vAlign w:val="center"/>
          </w:tcPr>
          <w:p w14:paraId="187C7A6B">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231" w:type="dxa"/>
            <w:noWrap w:val="0"/>
            <w:vAlign w:val="center"/>
          </w:tcPr>
          <w:p w14:paraId="263182B1">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临时门禁卡</w:t>
            </w:r>
          </w:p>
        </w:tc>
        <w:tc>
          <w:tcPr>
            <w:tcW w:w="1594" w:type="dxa"/>
            <w:noWrap w:val="0"/>
            <w:vAlign w:val="center"/>
          </w:tcPr>
          <w:p w14:paraId="289EF72C">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保卫处</w:t>
            </w:r>
          </w:p>
        </w:tc>
        <w:tc>
          <w:tcPr>
            <w:tcW w:w="4623" w:type="dxa"/>
            <w:noWrap w:val="0"/>
            <w:vAlign w:val="center"/>
          </w:tcPr>
          <w:p w14:paraId="33FF3B48">
            <w:pPr>
              <w:tabs>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填写附件8-2</w:t>
            </w:r>
            <w:r>
              <w:rPr>
                <w:rFonts w:hint="eastAsia" w:ascii="宋体" w:hAnsi="宋体" w:eastAsia="宋体" w:cs="宋体"/>
                <w:b/>
                <w:color w:val="auto"/>
                <w:sz w:val="24"/>
                <w:highlight w:val="none"/>
              </w:rPr>
              <w:t>《临时门禁卡申请单》</w:t>
            </w:r>
            <w:r>
              <w:rPr>
                <w:rFonts w:hint="eastAsia" w:ascii="宋体" w:hAnsi="宋体" w:eastAsia="宋体" w:cs="宋体"/>
                <w:color w:val="auto"/>
                <w:sz w:val="24"/>
                <w:highlight w:val="none"/>
              </w:rPr>
              <w:t>，缴纳押金（50元/张），遗失补办50元/张，施工可退回押金。</w:t>
            </w:r>
          </w:p>
        </w:tc>
        <w:tc>
          <w:tcPr>
            <w:tcW w:w="1434" w:type="dxa"/>
            <w:noWrap w:val="0"/>
            <w:vAlign w:val="center"/>
          </w:tcPr>
          <w:p w14:paraId="61245115">
            <w:pPr>
              <w:tabs>
                <w:tab w:val="left" w:pos="1620"/>
              </w:tabs>
              <w:spacing w:line="360" w:lineRule="auto"/>
              <w:jc w:val="center"/>
              <w:rPr>
                <w:rFonts w:hint="eastAsia" w:ascii="宋体" w:hAnsi="宋体" w:eastAsia="宋体" w:cs="宋体"/>
                <w:color w:val="auto"/>
                <w:sz w:val="24"/>
                <w:highlight w:val="none"/>
              </w:rPr>
            </w:pPr>
          </w:p>
        </w:tc>
      </w:tr>
      <w:tr w14:paraId="7B64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00" w:type="dxa"/>
            <w:noWrap w:val="0"/>
            <w:vAlign w:val="center"/>
          </w:tcPr>
          <w:p w14:paraId="31EA6B43">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231" w:type="dxa"/>
            <w:noWrap w:val="0"/>
            <w:vAlign w:val="center"/>
          </w:tcPr>
          <w:p w14:paraId="7455F278">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《动火证》</w:t>
            </w:r>
          </w:p>
          <w:p w14:paraId="4CFE4A87">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（如有需要）</w:t>
            </w:r>
          </w:p>
        </w:tc>
        <w:tc>
          <w:tcPr>
            <w:tcW w:w="1594" w:type="dxa"/>
            <w:noWrap w:val="0"/>
            <w:vAlign w:val="center"/>
          </w:tcPr>
          <w:p w14:paraId="0D5AEC53">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保卫处</w:t>
            </w:r>
          </w:p>
        </w:tc>
        <w:tc>
          <w:tcPr>
            <w:tcW w:w="4623" w:type="dxa"/>
            <w:noWrap w:val="0"/>
            <w:vAlign w:val="center"/>
          </w:tcPr>
          <w:p w14:paraId="75266B3E">
            <w:pPr>
              <w:tabs>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填写附件8-3</w:t>
            </w:r>
            <w:r>
              <w:rPr>
                <w:rFonts w:hint="eastAsia" w:ascii="宋体" w:hAnsi="宋体" w:eastAsia="宋体" w:cs="宋体"/>
                <w:b/>
                <w:color w:val="auto"/>
                <w:sz w:val="24"/>
                <w:highlight w:val="none"/>
              </w:rPr>
              <w:t>《动火证申请书》</w:t>
            </w:r>
            <w:r>
              <w:rPr>
                <w:rFonts w:hint="eastAsia" w:ascii="宋体" w:hAnsi="宋体" w:eastAsia="宋体" w:cs="宋体"/>
                <w:color w:val="auto"/>
                <w:sz w:val="24"/>
                <w:highlight w:val="none"/>
              </w:rPr>
              <w:t>，到保卫处办理，每动火一次办理一张。</w:t>
            </w:r>
          </w:p>
        </w:tc>
        <w:tc>
          <w:tcPr>
            <w:tcW w:w="1434" w:type="dxa"/>
            <w:noWrap w:val="0"/>
            <w:vAlign w:val="center"/>
          </w:tcPr>
          <w:p w14:paraId="5B1DF4AD">
            <w:pPr>
              <w:tabs>
                <w:tab w:val="left" w:pos="1620"/>
              </w:tabs>
              <w:spacing w:line="360" w:lineRule="auto"/>
              <w:jc w:val="center"/>
              <w:rPr>
                <w:rFonts w:hint="eastAsia" w:ascii="宋体" w:hAnsi="宋体" w:eastAsia="宋体" w:cs="宋体"/>
                <w:color w:val="auto"/>
                <w:sz w:val="24"/>
                <w:highlight w:val="none"/>
              </w:rPr>
            </w:pPr>
          </w:p>
        </w:tc>
      </w:tr>
      <w:tr w14:paraId="4ACE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00" w:type="dxa"/>
            <w:noWrap w:val="0"/>
            <w:vAlign w:val="center"/>
          </w:tcPr>
          <w:p w14:paraId="3E5E3F28">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231" w:type="dxa"/>
            <w:noWrap w:val="0"/>
            <w:vAlign w:val="center"/>
          </w:tcPr>
          <w:p w14:paraId="575BFB64">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《施工垃圾</w:t>
            </w:r>
          </w:p>
          <w:p w14:paraId="1C30E4B5">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临时堆放证》</w:t>
            </w:r>
          </w:p>
        </w:tc>
        <w:tc>
          <w:tcPr>
            <w:tcW w:w="1594" w:type="dxa"/>
            <w:noWrap w:val="0"/>
            <w:vAlign w:val="center"/>
          </w:tcPr>
          <w:p w14:paraId="53E34F87">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总务处</w:t>
            </w:r>
          </w:p>
        </w:tc>
        <w:tc>
          <w:tcPr>
            <w:tcW w:w="4623" w:type="dxa"/>
            <w:noWrap w:val="0"/>
            <w:vAlign w:val="center"/>
          </w:tcPr>
          <w:p w14:paraId="38F7AA54">
            <w:pPr>
              <w:tabs>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如需临时堆放施工垃圾，可在总务处办理此证。此证一般情况下，仅限于周六、周日使用，且施工垃圾须当晚清走。</w:t>
            </w:r>
          </w:p>
        </w:tc>
        <w:tc>
          <w:tcPr>
            <w:tcW w:w="1434" w:type="dxa"/>
            <w:noWrap w:val="0"/>
            <w:vAlign w:val="center"/>
          </w:tcPr>
          <w:p w14:paraId="60FD6369">
            <w:pPr>
              <w:tabs>
                <w:tab w:val="left" w:pos="1620"/>
              </w:tabs>
              <w:spacing w:line="360" w:lineRule="auto"/>
              <w:jc w:val="center"/>
              <w:rPr>
                <w:rFonts w:hint="eastAsia" w:ascii="宋体" w:hAnsi="宋体" w:eastAsia="宋体" w:cs="宋体"/>
                <w:color w:val="auto"/>
                <w:sz w:val="24"/>
                <w:highlight w:val="none"/>
              </w:rPr>
            </w:pPr>
          </w:p>
        </w:tc>
      </w:tr>
      <w:tr w14:paraId="641B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0" w:type="dxa"/>
            <w:noWrap w:val="0"/>
            <w:vAlign w:val="center"/>
          </w:tcPr>
          <w:p w14:paraId="75F4C7FF">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231" w:type="dxa"/>
            <w:noWrap w:val="0"/>
            <w:vAlign w:val="center"/>
          </w:tcPr>
          <w:p w14:paraId="752F419E">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《车辆临时</w:t>
            </w:r>
          </w:p>
          <w:p w14:paraId="28DECCC8">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停放证》</w:t>
            </w:r>
          </w:p>
        </w:tc>
        <w:tc>
          <w:tcPr>
            <w:tcW w:w="1594" w:type="dxa"/>
            <w:noWrap w:val="0"/>
            <w:vAlign w:val="center"/>
          </w:tcPr>
          <w:p w14:paraId="46130FA5">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总务处</w:t>
            </w:r>
          </w:p>
        </w:tc>
        <w:tc>
          <w:tcPr>
            <w:tcW w:w="4623" w:type="dxa"/>
            <w:noWrap w:val="0"/>
            <w:vAlign w:val="center"/>
          </w:tcPr>
          <w:p w14:paraId="3F191D6B">
            <w:pPr>
              <w:tabs>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填写附件</w:t>
            </w:r>
            <w:r>
              <w:rPr>
                <w:rFonts w:hint="eastAsia" w:ascii="宋体" w:hAnsi="宋体" w:eastAsia="宋体" w:cs="宋体"/>
                <w:b/>
                <w:color w:val="auto"/>
                <w:sz w:val="24"/>
                <w:highlight w:val="none"/>
              </w:rPr>
              <w:t>《车辆临时出入证申请表》</w:t>
            </w:r>
            <w:r>
              <w:rPr>
                <w:rFonts w:hint="eastAsia" w:ascii="宋体" w:hAnsi="宋体" w:eastAsia="宋体" w:cs="宋体"/>
                <w:color w:val="auto"/>
                <w:sz w:val="24"/>
                <w:highlight w:val="none"/>
              </w:rPr>
              <w:t>加盖公司公章，经主管科室签名盖章后，交至总务处办理。</w:t>
            </w:r>
          </w:p>
        </w:tc>
        <w:tc>
          <w:tcPr>
            <w:tcW w:w="1434" w:type="dxa"/>
            <w:noWrap w:val="0"/>
            <w:vAlign w:val="center"/>
          </w:tcPr>
          <w:p w14:paraId="0886F0DA">
            <w:pPr>
              <w:tabs>
                <w:tab w:val="left" w:pos="1620"/>
              </w:tabs>
              <w:spacing w:line="360" w:lineRule="auto"/>
              <w:jc w:val="center"/>
              <w:rPr>
                <w:rFonts w:hint="eastAsia" w:ascii="宋体" w:hAnsi="宋体" w:eastAsia="宋体" w:cs="宋体"/>
                <w:color w:val="auto"/>
                <w:sz w:val="24"/>
                <w:highlight w:val="none"/>
              </w:rPr>
            </w:pPr>
          </w:p>
        </w:tc>
      </w:tr>
      <w:tr w14:paraId="3817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00" w:type="dxa"/>
            <w:noWrap w:val="0"/>
            <w:vAlign w:val="center"/>
          </w:tcPr>
          <w:p w14:paraId="3CCDEC84">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231" w:type="dxa"/>
            <w:noWrap w:val="0"/>
            <w:vAlign w:val="center"/>
          </w:tcPr>
          <w:p w14:paraId="06D867D2">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《物品临时存放申请单》</w:t>
            </w:r>
          </w:p>
        </w:tc>
        <w:tc>
          <w:tcPr>
            <w:tcW w:w="1594" w:type="dxa"/>
            <w:noWrap w:val="0"/>
            <w:vAlign w:val="center"/>
          </w:tcPr>
          <w:p w14:paraId="05FC70DF">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总务处</w:t>
            </w:r>
          </w:p>
        </w:tc>
        <w:tc>
          <w:tcPr>
            <w:tcW w:w="4623" w:type="dxa"/>
            <w:noWrap w:val="0"/>
            <w:vAlign w:val="center"/>
          </w:tcPr>
          <w:p w14:paraId="5CDBADB7">
            <w:pPr>
              <w:rPr>
                <w:rFonts w:hint="eastAsia" w:ascii="宋体" w:hAnsi="宋体" w:eastAsia="宋体" w:cs="宋体"/>
                <w:color w:val="auto"/>
                <w:sz w:val="24"/>
                <w:highlight w:val="none"/>
              </w:rPr>
            </w:pPr>
            <w:r>
              <w:rPr>
                <w:rFonts w:hint="eastAsia" w:ascii="宋体" w:hAnsi="宋体" w:eastAsia="宋体" w:cs="宋体"/>
                <w:color w:val="auto"/>
                <w:sz w:val="24"/>
                <w:highlight w:val="none"/>
              </w:rPr>
              <w:t>按附件《关于物品临时存放公共区域的管理规定》执行及填写申请。</w:t>
            </w:r>
          </w:p>
        </w:tc>
        <w:tc>
          <w:tcPr>
            <w:tcW w:w="1434" w:type="dxa"/>
            <w:noWrap w:val="0"/>
            <w:vAlign w:val="center"/>
          </w:tcPr>
          <w:p w14:paraId="725C85CA">
            <w:pPr>
              <w:tabs>
                <w:tab w:val="left" w:pos="1620"/>
              </w:tabs>
              <w:spacing w:line="360" w:lineRule="auto"/>
              <w:jc w:val="center"/>
              <w:rPr>
                <w:rFonts w:hint="eastAsia" w:ascii="宋体" w:hAnsi="宋体" w:eastAsia="宋体" w:cs="宋体"/>
                <w:color w:val="auto"/>
                <w:sz w:val="24"/>
                <w:highlight w:val="none"/>
              </w:rPr>
            </w:pPr>
          </w:p>
        </w:tc>
      </w:tr>
      <w:tr w14:paraId="6A8B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00" w:type="dxa"/>
            <w:noWrap w:val="0"/>
            <w:vAlign w:val="center"/>
          </w:tcPr>
          <w:p w14:paraId="54ADCD60">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231" w:type="dxa"/>
            <w:noWrap w:val="0"/>
            <w:vAlign w:val="center"/>
          </w:tcPr>
          <w:p w14:paraId="0963C48E">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《开工令》</w:t>
            </w:r>
          </w:p>
        </w:tc>
        <w:tc>
          <w:tcPr>
            <w:tcW w:w="1594" w:type="dxa"/>
            <w:noWrap w:val="0"/>
            <w:vAlign w:val="center"/>
          </w:tcPr>
          <w:p w14:paraId="0AE6CFD2">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工程管理</w:t>
            </w:r>
          </w:p>
          <w:p w14:paraId="3BD67CEB">
            <w:pPr>
              <w:tabs>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科室</w:t>
            </w:r>
          </w:p>
        </w:tc>
        <w:tc>
          <w:tcPr>
            <w:tcW w:w="4623" w:type="dxa"/>
            <w:noWrap w:val="0"/>
            <w:vAlign w:val="center"/>
          </w:tcPr>
          <w:p w14:paraId="5B0701D1">
            <w:pPr>
              <w:tabs>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经以上部门签名后，持本表到工程管理科室开具</w:t>
            </w:r>
            <w:r>
              <w:rPr>
                <w:rFonts w:hint="eastAsia" w:ascii="宋体" w:hAnsi="宋体" w:eastAsia="宋体" w:cs="宋体"/>
                <w:b/>
                <w:color w:val="auto"/>
                <w:sz w:val="24"/>
                <w:highlight w:val="none"/>
              </w:rPr>
              <w:t>《开工令》</w:t>
            </w:r>
            <w:r>
              <w:rPr>
                <w:rFonts w:hint="eastAsia" w:ascii="宋体" w:hAnsi="宋体" w:eastAsia="宋体" w:cs="宋体"/>
                <w:color w:val="auto"/>
                <w:sz w:val="24"/>
                <w:highlight w:val="none"/>
              </w:rPr>
              <w:t>。</w:t>
            </w:r>
          </w:p>
        </w:tc>
        <w:tc>
          <w:tcPr>
            <w:tcW w:w="1434" w:type="dxa"/>
            <w:noWrap w:val="0"/>
            <w:vAlign w:val="center"/>
          </w:tcPr>
          <w:p w14:paraId="55CC6457">
            <w:pPr>
              <w:tabs>
                <w:tab w:val="left" w:pos="1620"/>
              </w:tabs>
              <w:spacing w:line="360" w:lineRule="auto"/>
              <w:jc w:val="center"/>
              <w:rPr>
                <w:rFonts w:hint="eastAsia" w:ascii="宋体" w:hAnsi="宋体" w:eastAsia="宋体" w:cs="宋体"/>
                <w:color w:val="auto"/>
                <w:sz w:val="24"/>
                <w:highlight w:val="none"/>
              </w:rPr>
            </w:pPr>
          </w:p>
        </w:tc>
      </w:tr>
    </w:tbl>
    <w:p w14:paraId="25C3E46E">
      <w:pPr>
        <w:ind w:firstLine="1190" w:firstLineChars="494"/>
        <w:rPr>
          <w:rFonts w:hint="eastAsia" w:ascii="宋体" w:hAnsi="宋体" w:eastAsia="宋体" w:cs="宋体"/>
          <w:b/>
          <w:color w:val="auto"/>
          <w:sz w:val="24"/>
          <w:highlight w:val="none"/>
        </w:rPr>
        <w:sectPr>
          <w:pgSz w:w="11906" w:h="16838"/>
          <w:pgMar w:top="720" w:right="720" w:bottom="720" w:left="720" w:header="851" w:footer="992" w:gutter="0"/>
          <w:cols w:space="720" w:num="1"/>
          <w:docGrid w:type="lines" w:linePitch="312" w:charSpace="0"/>
        </w:sectPr>
      </w:pPr>
    </w:p>
    <w:tbl>
      <w:tblPr>
        <w:tblStyle w:val="8"/>
        <w:tblW w:w="14850" w:type="dxa"/>
        <w:tblInd w:w="93" w:type="dxa"/>
        <w:tblLayout w:type="fixed"/>
        <w:tblCellMar>
          <w:top w:w="0" w:type="dxa"/>
          <w:left w:w="108" w:type="dxa"/>
          <w:bottom w:w="0" w:type="dxa"/>
          <w:right w:w="108" w:type="dxa"/>
        </w:tblCellMar>
      </w:tblPr>
      <w:tblGrid>
        <w:gridCol w:w="2000"/>
        <w:gridCol w:w="1701"/>
        <w:gridCol w:w="1417"/>
        <w:gridCol w:w="1708"/>
        <w:gridCol w:w="1000"/>
        <w:gridCol w:w="1970"/>
        <w:gridCol w:w="1701"/>
        <w:gridCol w:w="1418"/>
        <w:gridCol w:w="1935"/>
      </w:tblGrid>
      <w:tr w14:paraId="6945C95C">
        <w:tblPrEx>
          <w:tblCellMar>
            <w:top w:w="0" w:type="dxa"/>
            <w:left w:w="108" w:type="dxa"/>
            <w:bottom w:w="0" w:type="dxa"/>
            <w:right w:w="108" w:type="dxa"/>
          </w:tblCellMar>
        </w:tblPrEx>
        <w:trPr>
          <w:trHeight w:val="660" w:hRule="atLeast"/>
        </w:trPr>
        <w:tc>
          <w:tcPr>
            <w:tcW w:w="6826" w:type="dxa"/>
            <w:gridSpan w:val="4"/>
            <w:tcBorders>
              <w:top w:val="nil"/>
              <w:left w:val="nil"/>
              <w:bottom w:val="nil"/>
              <w:right w:val="nil"/>
            </w:tcBorders>
            <w:noWrap w:val="0"/>
            <w:vAlign w:val="center"/>
          </w:tcPr>
          <w:p w14:paraId="14F1EDE5">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附件5</w:t>
            </w:r>
            <w:r>
              <w:rPr>
                <w:rFonts w:hint="eastAsia" w:ascii="宋体" w:hAnsi="宋体" w:eastAsia="宋体" w:cs="宋体"/>
                <w:color w:val="auto"/>
                <w:sz w:val="24"/>
                <w:highlight w:val="none"/>
              </w:rPr>
              <w:t xml:space="preserve">   </w:t>
            </w:r>
          </w:p>
          <w:p w14:paraId="436FEFCE">
            <w:pPr>
              <w:ind w:firstLine="1325" w:firstLineChars="5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临时出入证申请表</w:t>
            </w:r>
          </w:p>
        </w:tc>
        <w:tc>
          <w:tcPr>
            <w:tcW w:w="1000" w:type="dxa"/>
            <w:tcBorders>
              <w:top w:val="nil"/>
              <w:left w:val="nil"/>
              <w:bottom w:val="nil"/>
              <w:right w:val="nil"/>
            </w:tcBorders>
            <w:noWrap w:val="0"/>
            <w:vAlign w:val="center"/>
          </w:tcPr>
          <w:p w14:paraId="56994044">
            <w:pPr>
              <w:jc w:val="center"/>
              <w:rPr>
                <w:rFonts w:hint="eastAsia" w:ascii="宋体" w:hAnsi="宋体" w:eastAsia="宋体" w:cs="宋体"/>
                <w:b/>
                <w:bCs/>
                <w:color w:val="auto"/>
                <w:sz w:val="24"/>
                <w:highlight w:val="none"/>
              </w:rPr>
            </w:pPr>
          </w:p>
        </w:tc>
        <w:tc>
          <w:tcPr>
            <w:tcW w:w="7024" w:type="dxa"/>
            <w:gridSpan w:val="4"/>
            <w:tcBorders>
              <w:top w:val="nil"/>
              <w:left w:val="nil"/>
              <w:bottom w:val="nil"/>
              <w:right w:val="nil"/>
            </w:tcBorders>
            <w:noWrap w:val="0"/>
            <w:vAlign w:val="center"/>
          </w:tcPr>
          <w:p w14:paraId="3CA64BB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附件8-2</w:t>
            </w:r>
          </w:p>
          <w:p w14:paraId="1A367B2F">
            <w:pPr>
              <w:rPr>
                <w:rFonts w:hint="eastAsia" w:ascii="宋体" w:hAnsi="宋体" w:eastAsia="宋体" w:cs="宋体"/>
                <w:color w:val="auto"/>
                <w:sz w:val="24"/>
                <w:highlight w:val="none"/>
              </w:rPr>
            </w:pPr>
          </w:p>
          <w:p w14:paraId="3F532F4B">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临时门禁卡申请表</w:t>
            </w:r>
          </w:p>
        </w:tc>
      </w:tr>
      <w:tr w14:paraId="569FAE96">
        <w:tblPrEx>
          <w:tblCellMar>
            <w:top w:w="0" w:type="dxa"/>
            <w:left w:w="108" w:type="dxa"/>
            <w:bottom w:w="0" w:type="dxa"/>
            <w:right w:w="108" w:type="dxa"/>
          </w:tblCellMar>
        </w:tblPrEx>
        <w:trPr>
          <w:trHeight w:val="660" w:hRule="atLeast"/>
        </w:trPr>
        <w:tc>
          <w:tcPr>
            <w:tcW w:w="2000" w:type="dxa"/>
            <w:tcBorders>
              <w:top w:val="single" w:color="auto" w:sz="4" w:space="0"/>
              <w:left w:val="single" w:color="auto" w:sz="4" w:space="0"/>
              <w:bottom w:val="single" w:color="auto" w:sz="4" w:space="0"/>
              <w:right w:val="single" w:color="auto" w:sz="4" w:space="0"/>
            </w:tcBorders>
            <w:noWrap w:val="0"/>
            <w:vAlign w:val="center"/>
          </w:tcPr>
          <w:p w14:paraId="407CF8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01" w:type="dxa"/>
            <w:tcBorders>
              <w:top w:val="single" w:color="auto" w:sz="4" w:space="0"/>
              <w:left w:val="nil"/>
              <w:bottom w:val="single" w:color="auto" w:sz="4" w:space="0"/>
              <w:right w:val="single" w:color="auto" w:sz="4" w:space="0"/>
            </w:tcBorders>
            <w:noWrap w:val="0"/>
            <w:vAlign w:val="center"/>
          </w:tcPr>
          <w:p w14:paraId="667067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7" w:type="dxa"/>
            <w:tcBorders>
              <w:top w:val="single" w:color="auto" w:sz="4" w:space="0"/>
              <w:left w:val="nil"/>
              <w:bottom w:val="single" w:color="auto" w:sz="4" w:space="0"/>
              <w:right w:val="single" w:color="auto" w:sz="4" w:space="0"/>
            </w:tcBorders>
            <w:noWrap w:val="0"/>
            <w:vAlign w:val="center"/>
          </w:tcPr>
          <w:p w14:paraId="64E443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708" w:type="dxa"/>
            <w:tcBorders>
              <w:top w:val="single" w:color="auto" w:sz="4" w:space="0"/>
              <w:left w:val="nil"/>
              <w:bottom w:val="single" w:color="auto" w:sz="4" w:space="0"/>
              <w:right w:val="single" w:color="auto" w:sz="4" w:space="0"/>
            </w:tcBorders>
            <w:noWrap w:val="0"/>
            <w:vAlign w:val="center"/>
          </w:tcPr>
          <w:p w14:paraId="5A7CD4D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09C5435B">
            <w:pPr>
              <w:jc w:val="center"/>
              <w:rPr>
                <w:rFonts w:hint="eastAsia" w:ascii="宋体" w:hAnsi="宋体" w:eastAsia="宋体" w:cs="宋体"/>
                <w:color w:val="auto"/>
                <w:sz w:val="24"/>
                <w:highlight w:val="none"/>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B9084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701" w:type="dxa"/>
            <w:tcBorders>
              <w:top w:val="single" w:color="auto" w:sz="4" w:space="0"/>
              <w:left w:val="nil"/>
              <w:bottom w:val="single" w:color="auto" w:sz="4" w:space="0"/>
              <w:right w:val="single" w:color="auto" w:sz="4" w:space="0"/>
            </w:tcBorders>
            <w:noWrap w:val="0"/>
            <w:vAlign w:val="center"/>
          </w:tcPr>
          <w:p w14:paraId="610C8FF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314E88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935" w:type="dxa"/>
            <w:tcBorders>
              <w:top w:val="single" w:color="auto" w:sz="4" w:space="0"/>
              <w:left w:val="nil"/>
              <w:bottom w:val="single" w:color="auto" w:sz="4" w:space="0"/>
              <w:right w:val="single" w:color="auto" w:sz="4" w:space="0"/>
            </w:tcBorders>
            <w:noWrap w:val="0"/>
            <w:vAlign w:val="center"/>
          </w:tcPr>
          <w:p w14:paraId="283FA80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29C0DB09">
        <w:tblPrEx>
          <w:tblCellMar>
            <w:top w:w="0" w:type="dxa"/>
            <w:left w:w="108" w:type="dxa"/>
            <w:bottom w:w="0" w:type="dxa"/>
            <w:right w:w="108" w:type="dxa"/>
          </w:tblCellMar>
        </w:tblPrEx>
        <w:trPr>
          <w:trHeight w:val="660" w:hRule="atLeast"/>
        </w:trPr>
        <w:tc>
          <w:tcPr>
            <w:tcW w:w="2000" w:type="dxa"/>
            <w:tcBorders>
              <w:top w:val="nil"/>
              <w:left w:val="single" w:color="auto" w:sz="4" w:space="0"/>
              <w:bottom w:val="single" w:color="auto" w:sz="4" w:space="0"/>
              <w:right w:val="single" w:color="auto" w:sz="4" w:space="0"/>
            </w:tcBorders>
            <w:noWrap w:val="0"/>
            <w:vAlign w:val="center"/>
          </w:tcPr>
          <w:p w14:paraId="4E75852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出入区域</w:t>
            </w:r>
          </w:p>
        </w:tc>
        <w:tc>
          <w:tcPr>
            <w:tcW w:w="1701" w:type="dxa"/>
            <w:tcBorders>
              <w:top w:val="nil"/>
              <w:left w:val="nil"/>
              <w:bottom w:val="single" w:color="auto" w:sz="4" w:space="0"/>
              <w:right w:val="single" w:color="auto" w:sz="4" w:space="0"/>
            </w:tcBorders>
            <w:noWrap w:val="0"/>
            <w:vAlign w:val="center"/>
          </w:tcPr>
          <w:p w14:paraId="5A5438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7" w:type="dxa"/>
            <w:tcBorders>
              <w:top w:val="nil"/>
              <w:left w:val="nil"/>
              <w:bottom w:val="single" w:color="auto" w:sz="4" w:space="0"/>
              <w:right w:val="single" w:color="auto" w:sz="4" w:space="0"/>
            </w:tcBorders>
            <w:noWrap w:val="0"/>
            <w:vAlign w:val="center"/>
          </w:tcPr>
          <w:p w14:paraId="36EC3F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w:t>
            </w:r>
          </w:p>
        </w:tc>
        <w:tc>
          <w:tcPr>
            <w:tcW w:w="1708" w:type="dxa"/>
            <w:tcBorders>
              <w:top w:val="nil"/>
              <w:left w:val="nil"/>
              <w:bottom w:val="single" w:color="auto" w:sz="4" w:space="0"/>
              <w:right w:val="single" w:color="auto" w:sz="4" w:space="0"/>
            </w:tcBorders>
            <w:noWrap w:val="0"/>
            <w:vAlign w:val="center"/>
          </w:tcPr>
          <w:p w14:paraId="55AF14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27020100">
            <w:pPr>
              <w:jc w:val="center"/>
              <w:rPr>
                <w:rFonts w:hint="eastAsia" w:ascii="宋体" w:hAnsi="宋体" w:eastAsia="宋体" w:cs="宋体"/>
                <w:color w:val="auto"/>
                <w:sz w:val="24"/>
                <w:highlight w:val="none"/>
              </w:rPr>
            </w:pPr>
          </w:p>
        </w:tc>
        <w:tc>
          <w:tcPr>
            <w:tcW w:w="1970" w:type="dxa"/>
            <w:tcBorders>
              <w:top w:val="nil"/>
              <w:left w:val="single" w:color="auto" w:sz="4" w:space="0"/>
              <w:bottom w:val="single" w:color="auto" w:sz="4" w:space="0"/>
              <w:right w:val="single" w:color="auto" w:sz="4" w:space="0"/>
            </w:tcBorders>
            <w:noWrap w:val="0"/>
            <w:vAlign w:val="center"/>
          </w:tcPr>
          <w:p w14:paraId="77B024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开通区域</w:t>
            </w:r>
          </w:p>
        </w:tc>
        <w:tc>
          <w:tcPr>
            <w:tcW w:w="1701" w:type="dxa"/>
            <w:tcBorders>
              <w:top w:val="nil"/>
              <w:left w:val="nil"/>
              <w:bottom w:val="single" w:color="auto" w:sz="4" w:space="0"/>
              <w:right w:val="single" w:color="auto" w:sz="4" w:space="0"/>
            </w:tcBorders>
            <w:noWrap w:val="0"/>
            <w:vAlign w:val="center"/>
          </w:tcPr>
          <w:p w14:paraId="20C7F9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418" w:type="dxa"/>
            <w:tcBorders>
              <w:top w:val="nil"/>
              <w:left w:val="nil"/>
              <w:bottom w:val="single" w:color="auto" w:sz="4" w:space="0"/>
              <w:right w:val="single" w:color="auto" w:sz="4" w:space="0"/>
            </w:tcBorders>
            <w:noWrap w:val="0"/>
            <w:vAlign w:val="center"/>
          </w:tcPr>
          <w:p w14:paraId="0B35EC9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w:t>
            </w:r>
          </w:p>
        </w:tc>
        <w:tc>
          <w:tcPr>
            <w:tcW w:w="1935" w:type="dxa"/>
            <w:tcBorders>
              <w:top w:val="nil"/>
              <w:left w:val="nil"/>
              <w:bottom w:val="single" w:color="auto" w:sz="4" w:space="0"/>
              <w:right w:val="single" w:color="auto" w:sz="4" w:space="0"/>
            </w:tcBorders>
            <w:noWrap w:val="0"/>
            <w:vAlign w:val="center"/>
          </w:tcPr>
          <w:p w14:paraId="2EE7516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392B9D2E">
        <w:tblPrEx>
          <w:tblCellMar>
            <w:top w:w="0" w:type="dxa"/>
            <w:left w:w="108" w:type="dxa"/>
            <w:bottom w:w="0" w:type="dxa"/>
            <w:right w:w="108" w:type="dxa"/>
          </w:tblCellMar>
        </w:tblPrEx>
        <w:trPr>
          <w:trHeight w:val="660" w:hRule="atLeast"/>
        </w:trPr>
        <w:tc>
          <w:tcPr>
            <w:tcW w:w="2000" w:type="dxa"/>
            <w:tcBorders>
              <w:top w:val="nil"/>
              <w:left w:val="single" w:color="auto" w:sz="4" w:space="0"/>
              <w:bottom w:val="single" w:color="auto" w:sz="4" w:space="0"/>
              <w:right w:val="single" w:color="auto" w:sz="4" w:space="0"/>
            </w:tcBorders>
            <w:noWrap w:val="0"/>
            <w:vAlign w:val="center"/>
          </w:tcPr>
          <w:p w14:paraId="27F99E1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4826" w:type="dxa"/>
            <w:gridSpan w:val="3"/>
            <w:tcBorders>
              <w:top w:val="single" w:color="auto" w:sz="4" w:space="0"/>
              <w:left w:val="nil"/>
              <w:bottom w:val="single" w:color="auto" w:sz="4" w:space="0"/>
              <w:right w:val="single" w:color="auto" w:sz="4" w:space="0"/>
            </w:tcBorders>
            <w:noWrap w:val="0"/>
            <w:vAlign w:val="center"/>
          </w:tcPr>
          <w:p w14:paraId="4934BD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55256B9A">
            <w:pPr>
              <w:jc w:val="center"/>
              <w:rPr>
                <w:rFonts w:hint="eastAsia" w:ascii="宋体" w:hAnsi="宋体" w:eastAsia="宋体" w:cs="宋体"/>
                <w:color w:val="auto"/>
                <w:sz w:val="24"/>
                <w:highlight w:val="none"/>
              </w:rPr>
            </w:pPr>
          </w:p>
        </w:tc>
        <w:tc>
          <w:tcPr>
            <w:tcW w:w="1970" w:type="dxa"/>
            <w:tcBorders>
              <w:top w:val="nil"/>
              <w:left w:val="single" w:color="auto" w:sz="4" w:space="0"/>
              <w:bottom w:val="single" w:color="auto" w:sz="4" w:space="0"/>
              <w:right w:val="single" w:color="auto" w:sz="4" w:space="0"/>
            </w:tcBorders>
            <w:noWrap w:val="0"/>
            <w:vAlign w:val="center"/>
          </w:tcPr>
          <w:p w14:paraId="78B7BA8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5054" w:type="dxa"/>
            <w:gridSpan w:val="3"/>
            <w:tcBorders>
              <w:top w:val="single" w:color="auto" w:sz="4" w:space="0"/>
              <w:left w:val="nil"/>
              <w:bottom w:val="single" w:color="auto" w:sz="4" w:space="0"/>
              <w:right w:val="single" w:color="auto" w:sz="4" w:space="0"/>
            </w:tcBorders>
            <w:noWrap w:val="0"/>
            <w:vAlign w:val="center"/>
          </w:tcPr>
          <w:p w14:paraId="2142FF1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6715DA07">
        <w:tblPrEx>
          <w:tblCellMar>
            <w:top w:w="0" w:type="dxa"/>
            <w:left w:w="108" w:type="dxa"/>
            <w:bottom w:w="0" w:type="dxa"/>
            <w:right w:w="108" w:type="dxa"/>
          </w:tblCellMar>
        </w:tblPrEx>
        <w:trPr>
          <w:trHeight w:val="660" w:hRule="atLeast"/>
        </w:trPr>
        <w:tc>
          <w:tcPr>
            <w:tcW w:w="2000" w:type="dxa"/>
            <w:tcBorders>
              <w:top w:val="nil"/>
              <w:left w:val="single" w:color="auto" w:sz="4" w:space="0"/>
              <w:bottom w:val="single" w:color="auto" w:sz="4" w:space="0"/>
              <w:right w:val="single" w:color="auto" w:sz="4" w:space="0"/>
            </w:tcBorders>
            <w:noWrap w:val="0"/>
            <w:vAlign w:val="center"/>
          </w:tcPr>
          <w:p w14:paraId="3E7D24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公司名称</w:t>
            </w:r>
          </w:p>
        </w:tc>
        <w:tc>
          <w:tcPr>
            <w:tcW w:w="4826" w:type="dxa"/>
            <w:gridSpan w:val="3"/>
            <w:tcBorders>
              <w:top w:val="single" w:color="auto" w:sz="4" w:space="0"/>
              <w:left w:val="nil"/>
              <w:bottom w:val="single" w:color="auto" w:sz="4" w:space="0"/>
              <w:right w:val="single" w:color="000000" w:sz="4" w:space="0"/>
            </w:tcBorders>
            <w:noWrap w:val="0"/>
            <w:vAlign w:val="center"/>
          </w:tcPr>
          <w:p w14:paraId="31D6B9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1360A82E">
            <w:pPr>
              <w:jc w:val="center"/>
              <w:rPr>
                <w:rFonts w:hint="eastAsia" w:ascii="宋体" w:hAnsi="宋体" w:eastAsia="宋体" w:cs="宋体"/>
                <w:color w:val="auto"/>
                <w:sz w:val="24"/>
                <w:highlight w:val="none"/>
              </w:rPr>
            </w:pPr>
          </w:p>
        </w:tc>
        <w:tc>
          <w:tcPr>
            <w:tcW w:w="1970" w:type="dxa"/>
            <w:tcBorders>
              <w:top w:val="nil"/>
              <w:left w:val="single" w:color="auto" w:sz="4" w:space="0"/>
              <w:bottom w:val="single" w:color="auto" w:sz="4" w:space="0"/>
              <w:right w:val="single" w:color="auto" w:sz="4" w:space="0"/>
            </w:tcBorders>
            <w:noWrap w:val="0"/>
            <w:vAlign w:val="center"/>
          </w:tcPr>
          <w:p w14:paraId="02B8CA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公司名称</w:t>
            </w:r>
          </w:p>
        </w:tc>
        <w:tc>
          <w:tcPr>
            <w:tcW w:w="5054" w:type="dxa"/>
            <w:gridSpan w:val="3"/>
            <w:tcBorders>
              <w:top w:val="single" w:color="auto" w:sz="4" w:space="0"/>
              <w:left w:val="nil"/>
              <w:bottom w:val="single" w:color="auto" w:sz="4" w:space="0"/>
              <w:right w:val="single" w:color="000000" w:sz="4" w:space="0"/>
            </w:tcBorders>
            <w:noWrap w:val="0"/>
            <w:vAlign w:val="center"/>
          </w:tcPr>
          <w:p w14:paraId="37A6697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1BA35B5C">
        <w:tblPrEx>
          <w:tblCellMar>
            <w:top w:w="0" w:type="dxa"/>
            <w:left w:w="108" w:type="dxa"/>
            <w:bottom w:w="0" w:type="dxa"/>
            <w:right w:w="108" w:type="dxa"/>
          </w:tblCellMar>
        </w:tblPrEx>
        <w:trPr>
          <w:trHeight w:val="660" w:hRule="atLeast"/>
        </w:trPr>
        <w:tc>
          <w:tcPr>
            <w:tcW w:w="2000" w:type="dxa"/>
            <w:tcBorders>
              <w:top w:val="nil"/>
              <w:left w:val="single" w:color="auto" w:sz="4" w:space="0"/>
              <w:bottom w:val="single" w:color="auto" w:sz="4" w:space="0"/>
              <w:right w:val="single" w:color="auto" w:sz="4" w:space="0"/>
            </w:tcBorders>
            <w:noWrap w:val="0"/>
            <w:vAlign w:val="center"/>
          </w:tcPr>
          <w:p w14:paraId="61EF1D7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施工项目</w:t>
            </w:r>
          </w:p>
        </w:tc>
        <w:tc>
          <w:tcPr>
            <w:tcW w:w="4826" w:type="dxa"/>
            <w:gridSpan w:val="3"/>
            <w:tcBorders>
              <w:top w:val="single" w:color="auto" w:sz="4" w:space="0"/>
              <w:left w:val="nil"/>
              <w:bottom w:val="single" w:color="auto" w:sz="4" w:space="0"/>
              <w:right w:val="single" w:color="000000" w:sz="4" w:space="0"/>
            </w:tcBorders>
            <w:noWrap w:val="0"/>
            <w:vAlign w:val="center"/>
          </w:tcPr>
          <w:p w14:paraId="220ED4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56035D36">
            <w:pPr>
              <w:jc w:val="center"/>
              <w:rPr>
                <w:rFonts w:hint="eastAsia" w:ascii="宋体" w:hAnsi="宋体" w:eastAsia="宋体" w:cs="宋体"/>
                <w:color w:val="auto"/>
                <w:sz w:val="24"/>
                <w:highlight w:val="none"/>
              </w:rPr>
            </w:pPr>
          </w:p>
        </w:tc>
        <w:tc>
          <w:tcPr>
            <w:tcW w:w="1970" w:type="dxa"/>
            <w:tcBorders>
              <w:top w:val="nil"/>
              <w:left w:val="single" w:color="auto" w:sz="4" w:space="0"/>
              <w:bottom w:val="single" w:color="auto" w:sz="4" w:space="0"/>
              <w:right w:val="single" w:color="auto" w:sz="4" w:space="0"/>
            </w:tcBorders>
            <w:noWrap w:val="0"/>
            <w:vAlign w:val="center"/>
          </w:tcPr>
          <w:p w14:paraId="7DD6828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施工项目</w:t>
            </w:r>
          </w:p>
        </w:tc>
        <w:tc>
          <w:tcPr>
            <w:tcW w:w="5054" w:type="dxa"/>
            <w:gridSpan w:val="3"/>
            <w:tcBorders>
              <w:top w:val="single" w:color="auto" w:sz="4" w:space="0"/>
              <w:left w:val="nil"/>
              <w:bottom w:val="single" w:color="auto" w:sz="4" w:space="0"/>
              <w:right w:val="single" w:color="000000" w:sz="4" w:space="0"/>
            </w:tcBorders>
            <w:noWrap w:val="0"/>
            <w:vAlign w:val="center"/>
          </w:tcPr>
          <w:p w14:paraId="070C12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474793A3">
        <w:tblPrEx>
          <w:tblCellMar>
            <w:top w:w="0" w:type="dxa"/>
            <w:left w:w="108" w:type="dxa"/>
            <w:bottom w:w="0" w:type="dxa"/>
            <w:right w:w="108" w:type="dxa"/>
          </w:tblCellMar>
        </w:tblPrEx>
        <w:trPr>
          <w:trHeight w:val="660" w:hRule="atLeast"/>
        </w:trPr>
        <w:tc>
          <w:tcPr>
            <w:tcW w:w="6826" w:type="dxa"/>
            <w:gridSpan w:val="4"/>
            <w:tcBorders>
              <w:top w:val="single" w:color="auto" w:sz="4" w:space="0"/>
              <w:left w:val="single" w:color="auto" w:sz="4" w:space="0"/>
              <w:bottom w:val="single" w:color="auto" w:sz="4" w:space="0"/>
              <w:right w:val="single" w:color="auto" w:sz="4" w:space="0"/>
            </w:tcBorders>
            <w:noWrap w:val="0"/>
            <w:vAlign w:val="center"/>
          </w:tcPr>
          <w:p w14:paraId="131B1FCA">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临时出入证办理</w:t>
            </w:r>
          </w:p>
        </w:tc>
        <w:tc>
          <w:tcPr>
            <w:tcW w:w="1000" w:type="dxa"/>
            <w:tcBorders>
              <w:top w:val="nil"/>
              <w:left w:val="nil"/>
              <w:bottom w:val="nil"/>
              <w:right w:val="nil"/>
            </w:tcBorders>
            <w:noWrap w:val="0"/>
            <w:vAlign w:val="center"/>
          </w:tcPr>
          <w:p w14:paraId="50C105D1">
            <w:pPr>
              <w:jc w:val="center"/>
              <w:rPr>
                <w:rFonts w:hint="eastAsia" w:ascii="宋体" w:hAnsi="宋体" w:eastAsia="宋体" w:cs="宋体"/>
                <w:color w:val="auto"/>
                <w:sz w:val="24"/>
                <w:highlight w:val="none"/>
              </w:rPr>
            </w:pPr>
          </w:p>
        </w:tc>
        <w:tc>
          <w:tcPr>
            <w:tcW w:w="7024" w:type="dxa"/>
            <w:gridSpan w:val="4"/>
            <w:tcBorders>
              <w:top w:val="single" w:color="auto" w:sz="4" w:space="0"/>
              <w:left w:val="single" w:color="auto" w:sz="4" w:space="0"/>
              <w:bottom w:val="single" w:color="auto" w:sz="4" w:space="0"/>
              <w:right w:val="single" w:color="auto" w:sz="4" w:space="0"/>
            </w:tcBorders>
            <w:noWrap w:val="0"/>
            <w:vAlign w:val="center"/>
          </w:tcPr>
          <w:p w14:paraId="340CB50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门禁卡办理</w:t>
            </w:r>
          </w:p>
        </w:tc>
      </w:tr>
      <w:tr w14:paraId="23CD100C">
        <w:tblPrEx>
          <w:tblCellMar>
            <w:top w:w="0" w:type="dxa"/>
            <w:left w:w="108" w:type="dxa"/>
            <w:bottom w:w="0" w:type="dxa"/>
            <w:right w:w="108" w:type="dxa"/>
          </w:tblCellMar>
        </w:tblPrEx>
        <w:trPr>
          <w:trHeight w:val="660" w:hRule="atLeast"/>
        </w:trPr>
        <w:tc>
          <w:tcPr>
            <w:tcW w:w="2000" w:type="dxa"/>
            <w:tcBorders>
              <w:top w:val="nil"/>
              <w:left w:val="single" w:color="auto" w:sz="4" w:space="0"/>
              <w:bottom w:val="single" w:color="auto" w:sz="4" w:space="0"/>
              <w:right w:val="single" w:color="auto" w:sz="4" w:space="0"/>
            </w:tcBorders>
            <w:noWrap w:val="0"/>
            <w:vAlign w:val="center"/>
          </w:tcPr>
          <w:p w14:paraId="70AD92A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初次办理□</w:t>
            </w:r>
          </w:p>
        </w:tc>
        <w:tc>
          <w:tcPr>
            <w:tcW w:w="1701" w:type="dxa"/>
            <w:tcBorders>
              <w:top w:val="nil"/>
              <w:left w:val="nil"/>
              <w:bottom w:val="single" w:color="auto" w:sz="4" w:space="0"/>
              <w:right w:val="single" w:color="auto" w:sz="4" w:space="0"/>
            </w:tcBorders>
            <w:noWrap w:val="0"/>
            <w:vAlign w:val="center"/>
          </w:tcPr>
          <w:p w14:paraId="54FA175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出入证编号</w:t>
            </w:r>
          </w:p>
        </w:tc>
        <w:tc>
          <w:tcPr>
            <w:tcW w:w="3125" w:type="dxa"/>
            <w:gridSpan w:val="2"/>
            <w:tcBorders>
              <w:top w:val="single" w:color="auto" w:sz="4" w:space="0"/>
              <w:left w:val="nil"/>
              <w:bottom w:val="single" w:color="auto" w:sz="4" w:space="0"/>
              <w:right w:val="single" w:color="auto" w:sz="4" w:space="0"/>
            </w:tcBorders>
            <w:noWrap w:val="0"/>
            <w:vAlign w:val="center"/>
          </w:tcPr>
          <w:p w14:paraId="5154CA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1660CFD7">
            <w:pPr>
              <w:jc w:val="center"/>
              <w:rPr>
                <w:rFonts w:hint="eastAsia" w:ascii="宋体" w:hAnsi="宋体" w:eastAsia="宋体" w:cs="宋体"/>
                <w:color w:val="auto"/>
                <w:sz w:val="24"/>
                <w:highlight w:val="none"/>
              </w:rPr>
            </w:pPr>
          </w:p>
        </w:tc>
        <w:tc>
          <w:tcPr>
            <w:tcW w:w="1970" w:type="dxa"/>
            <w:tcBorders>
              <w:top w:val="nil"/>
              <w:left w:val="single" w:color="auto" w:sz="4" w:space="0"/>
              <w:bottom w:val="single" w:color="auto" w:sz="4" w:space="0"/>
              <w:right w:val="single" w:color="auto" w:sz="4" w:space="0"/>
            </w:tcBorders>
            <w:noWrap w:val="0"/>
            <w:vAlign w:val="center"/>
          </w:tcPr>
          <w:p w14:paraId="2C9234E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初次办理□</w:t>
            </w:r>
          </w:p>
        </w:tc>
        <w:tc>
          <w:tcPr>
            <w:tcW w:w="1701" w:type="dxa"/>
            <w:tcBorders>
              <w:top w:val="nil"/>
              <w:left w:val="nil"/>
              <w:bottom w:val="single" w:color="auto" w:sz="4" w:space="0"/>
              <w:right w:val="single" w:color="auto" w:sz="4" w:space="0"/>
            </w:tcBorders>
            <w:noWrap w:val="0"/>
            <w:vAlign w:val="center"/>
          </w:tcPr>
          <w:p w14:paraId="2E64C8D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门禁卡卡号</w:t>
            </w:r>
          </w:p>
        </w:tc>
        <w:tc>
          <w:tcPr>
            <w:tcW w:w="3353" w:type="dxa"/>
            <w:gridSpan w:val="2"/>
            <w:tcBorders>
              <w:top w:val="single" w:color="auto" w:sz="4" w:space="0"/>
              <w:left w:val="nil"/>
              <w:bottom w:val="single" w:color="auto" w:sz="4" w:space="0"/>
              <w:right w:val="single" w:color="auto" w:sz="4" w:space="0"/>
            </w:tcBorders>
            <w:noWrap w:val="0"/>
            <w:vAlign w:val="center"/>
          </w:tcPr>
          <w:p w14:paraId="105908E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4E7EA49B">
        <w:tblPrEx>
          <w:tblCellMar>
            <w:top w:w="0" w:type="dxa"/>
            <w:left w:w="108" w:type="dxa"/>
            <w:bottom w:w="0" w:type="dxa"/>
            <w:right w:w="108" w:type="dxa"/>
          </w:tblCellMar>
        </w:tblPrEx>
        <w:trPr>
          <w:trHeight w:val="660" w:hRule="atLeast"/>
        </w:trPr>
        <w:tc>
          <w:tcPr>
            <w:tcW w:w="2000" w:type="dxa"/>
            <w:vMerge w:val="restart"/>
            <w:tcBorders>
              <w:top w:val="nil"/>
              <w:left w:val="single" w:color="auto" w:sz="4" w:space="0"/>
              <w:bottom w:val="single" w:color="auto" w:sz="4" w:space="0"/>
              <w:right w:val="single" w:color="auto" w:sz="4" w:space="0"/>
            </w:tcBorders>
            <w:noWrap w:val="0"/>
            <w:vAlign w:val="center"/>
          </w:tcPr>
          <w:p w14:paraId="5AF294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变更□ </w:t>
            </w:r>
          </w:p>
          <w:p w14:paraId="5F004D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损坏□</w:t>
            </w:r>
          </w:p>
          <w:p w14:paraId="0272C2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遗失□</w:t>
            </w:r>
          </w:p>
        </w:tc>
        <w:tc>
          <w:tcPr>
            <w:tcW w:w="1701" w:type="dxa"/>
            <w:tcBorders>
              <w:top w:val="nil"/>
              <w:left w:val="nil"/>
              <w:bottom w:val="single" w:color="auto" w:sz="4" w:space="0"/>
              <w:right w:val="single" w:color="auto" w:sz="4" w:space="0"/>
            </w:tcBorders>
            <w:noWrap w:val="0"/>
            <w:vAlign w:val="center"/>
          </w:tcPr>
          <w:p w14:paraId="2D273DE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原编号</w:t>
            </w:r>
          </w:p>
        </w:tc>
        <w:tc>
          <w:tcPr>
            <w:tcW w:w="3125" w:type="dxa"/>
            <w:gridSpan w:val="2"/>
            <w:tcBorders>
              <w:top w:val="single" w:color="auto" w:sz="4" w:space="0"/>
              <w:left w:val="nil"/>
              <w:bottom w:val="single" w:color="auto" w:sz="4" w:space="0"/>
              <w:right w:val="single" w:color="auto" w:sz="4" w:space="0"/>
            </w:tcBorders>
            <w:noWrap w:val="0"/>
            <w:vAlign w:val="center"/>
          </w:tcPr>
          <w:p w14:paraId="4D38E1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557A340F">
            <w:pPr>
              <w:jc w:val="center"/>
              <w:rPr>
                <w:rFonts w:hint="eastAsia" w:ascii="宋体" w:hAnsi="宋体" w:eastAsia="宋体" w:cs="宋体"/>
                <w:color w:val="auto"/>
                <w:sz w:val="24"/>
                <w:highlight w:val="none"/>
              </w:rPr>
            </w:pPr>
          </w:p>
        </w:tc>
        <w:tc>
          <w:tcPr>
            <w:tcW w:w="1970" w:type="dxa"/>
            <w:vMerge w:val="restart"/>
            <w:tcBorders>
              <w:top w:val="nil"/>
              <w:left w:val="single" w:color="auto" w:sz="4" w:space="0"/>
              <w:bottom w:val="single" w:color="auto" w:sz="4" w:space="0"/>
              <w:right w:val="single" w:color="auto" w:sz="4" w:space="0"/>
            </w:tcBorders>
            <w:noWrap w:val="0"/>
            <w:vAlign w:val="center"/>
          </w:tcPr>
          <w:p w14:paraId="00F57DF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变更□ </w:t>
            </w:r>
          </w:p>
          <w:p w14:paraId="7A9155B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损坏□</w:t>
            </w:r>
          </w:p>
          <w:p w14:paraId="45C189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遗失□</w:t>
            </w:r>
          </w:p>
        </w:tc>
        <w:tc>
          <w:tcPr>
            <w:tcW w:w="1701" w:type="dxa"/>
            <w:tcBorders>
              <w:top w:val="nil"/>
              <w:left w:val="nil"/>
              <w:bottom w:val="single" w:color="auto" w:sz="4" w:space="0"/>
              <w:right w:val="single" w:color="auto" w:sz="4" w:space="0"/>
            </w:tcBorders>
            <w:noWrap w:val="0"/>
            <w:vAlign w:val="center"/>
          </w:tcPr>
          <w:p w14:paraId="2473D52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原门卡卡号</w:t>
            </w:r>
          </w:p>
        </w:tc>
        <w:tc>
          <w:tcPr>
            <w:tcW w:w="3353" w:type="dxa"/>
            <w:gridSpan w:val="2"/>
            <w:tcBorders>
              <w:top w:val="single" w:color="auto" w:sz="4" w:space="0"/>
              <w:left w:val="nil"/>
              <w:bottom w:val="single" w:color="auto" w:sz="4" w:space="0"/>
              <w:right w:val="single" w:color="auto" w:sz="4" w:space="0"/>
            </w:tcBorders>
            <w:noWrap w:val="0"/>
            <w:vAlign w:val="center"/>
          </w:tcPr>
          <w:p w14:paraId="0085D24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7E94BBF0">
        <w:tblPrEx>
          <w:tblCellMar>
            <w:top w:w="0" w:type="dxa"/>
            <w:left w:w="108" w:type="dxa"/>
            <w:bottom w:w="0" w:type="dxa"/>
            <w:right w:w="108" w:type="dxa"/>
          </w:tblCellMar>
        </w:tblPrEx>
        <w:trPr>
          <w:trHeight w:val="660" w:hRule="atLeast"/>
        </w:trPr>
        <w:tc>
          <w:tcPr>
            <w:tcW w:w="2000" w:type="dxa"/>
            <w:vMerge w:val="continue"/>
            <w:tcBorders>
              <w:top w:val="nil"/>
              <w:left w:val="single" w:color="auto" w:sz="4" w:space="0"/>
              <w:bottom w:val="single" w:color="auto" w:sz="4" w:space="0"/>
              <w:right w:val="single" w:color="auto" w:sz="4" w:space="0"/>
            </w:tcBorders>
            <w:noWrap w:val="0"/>
            <w:vAlign w:val="center"/>
          </w:tcPr>
          <w:p w14:paraId="5E77E1E9">
            <w:pPr>
              <w:rPr>
                <w:rFonts w:hint="eastAsia" w:ascii="宋体" w:hAnsi="宋体" w:eastAsia="宋体" w:cs="宋体"/>
                <w:color w:val="auto"/>
                <w:sz w:val="24"/>
                <w:highlight w:val="none"/>
              </w:rPr>
            </w:pPr>
          </w:p>
        </w:tc>
        <w:tc>
          <w:tcPr>
            <w:tcW w:w="1701" w:type="dxa"/>
            <w:tcBorders>
              <w:top w:val="nil"/>
              <w:left w:val="nil"/>
              <w:bottom w:val="single" w:color="auto" w:sz="4" w:space="0"/>
              <w:right w:val="single" w:color="auto" w:sz="4" w:space="0"/>
            </w:tcBorders>
            <w:noWrap w:val="0"/>
            <w:vAlign w:val="center"/>
          </w:tcPr>
          <w:p w14:paraId="35F1652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重新申请编号</w:t>
            </w:r>
          </w:p>
        </w:tc>
        <w:tc>
          <w:tcPr>
            <w:tcW w:w="3125" w:type="dxa"/>
            <w:gridSpan w:val="2"/>
            <w:tcBorders>
              <w:top w:val="single" w:color="auto" w:sz="4" w:space="0"/>
              <w:left w:val="nil"/>
              <w:bottom w:val="single" w:color="auto" w:sz="4" w:space="0"/>
              <w:right w:val="single" w:color="auto" w:sz="4" w:space="0"/>
            </w:tcBorders>
            <w:noWrap w:val="0"/>
            <w:vAlign w:val="center"/>
          </w:tcPr>
          <w:p w14:paraId="1050486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000" w:type="dxa"/>
            <w:tcBorders>
              <w:top w:val="nil"/>
              <w:left w:val="nil"/>
              <w:bottom w:val="nil"/>
              <w:right w:val="nil"/>
            </w:tcBorders>
            <w:noWrap w:val="0"/>
            <w:vAlign w:val="center"/>
          </w:tcPr>
          <w:p w14:paraId="78617C64">
            <w:pPr>
              <w:jc w:val="center"/>
              <w:rPr>
                <w:rFonts w:hint="eastAsia" w:ascii="宋体" w:hAnsi="宋体" w:eastAsia="宋体" w:cs="宋体"/>
                <w:color w:val="auto"/>
                <w:sz w:val="24"/>
                <w:highlight w:val="none"/>
              </w:rPr>
            </w:pPr>
          </w:p>
        </w:tc>
        <w:tc>
          <w:tcPr>
            <w:tcW w:w="1970" w:type="dxa"/>
            <w:vMerge w:val="continue"/>
            <w:tcBorders>
              <w:top w:val="nil"/>
              <w:left w:val="single" w:color="auto" w:sz="4" w:space="0"/>
              <w:bottom w:val="single" w:color="auto" w:sz="4" w:space="0"/>
              <w:right w:val="single" w:color="auto" w:sz="4" w:space="0"/>
            </w:tcBorders>
            <w:noWrap w:val="0"/>
            <w:vAlign w:val="center"/>
          </w:tcPr>
          <w:p w14:paraId="66BA6FE1">
            <w:pPr>
              <w:rPr>
                <w:rFonts w:hint="eastAsia" w:ascii="宋体" w:hAnsi="宋体" w:eastAsia="宋体" w:cs="宋体"/>
                <w:color w:val="auto"/>
                <w:sz w:val="24"/>
                <w:highlight w:val="none"/>
              </w:rPr>
            </w:pPr>
          </w:p>
        </w:tc>
        <w:tc>
          <w:tcPr>
            <w:tcW w:w="1701" w:type="dxa"/>
            <w:tcBorders>
              <w:top w:val="nil"/>
              <w:left w:val="nil"/>
              <w:bottom w:val="single" w:color="auto" w:sz="4" w:space="0"/>
              <w:right w:val="single" w:color="auto" w:sz="4" w:space="0"/>
            </w:tcBorders>
            <w:noWrap w:val="0"/>
            <w:vAlign w:val="center"/>
          </w:tcPr>
          <w:p w14:paraId="0095979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重新申请卡号</w:t>
            </w:r>
          </w:p>
        </w:tc>
        <w:tc>
          <w:tcPr>
            <w:tcW w:w="3353" w:type="dxa"/>
            <w:gridSpan w:val="2"/>
            <w:tcBorders>
              <w:top w:val="single" w:color="auto" w:sz="4" w:space="0"/>
              <w:left w:val="nil"/>
              <w:bottom w:val="single" w:color="auto" w:sz="4" w:space="0"/>
              <w:right w:val="single" w:color="auto" w:sz="4" w:space="0"/>
            </w:tcBorders>
            <w:noWrap w:val="0"/>
            <w:vAlign w:val="center"/>
          </w:tcPr>
          <w:p w14:paraId="1F51C99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bl>
    <w:p w14:paraId="6E72D066">
      <w:pPr>
        <w:rPr>
          <w:rFonts w:hint="eastAsia" w:ascii="宋体" w:hAnsi="宋体" w:eastAsia="宋体" w:cs="宋体"/>
          <w:b/>
          <w:color w:val="auto"/>
          <w:sz w:val="24"/>
          <w:highlight w:val="none"/>
        </w:rPr>
      </w:pPr>
    </w:p>
    <w:p w14:paraId="2104700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申请人：                                                          申请人：                    </w:t>
      </w:r>
    </w:p>
    <w:p w14:paraId="28489AF6">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公司盖章                                                          公司盖章</w:t>
      </w:r>
    </w:p>
    <w:p w14:paraId="16314FFD">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主管部门签名：                                                    主管部门签名：</w:t>
      </w:r>
    </w:p>
    <w:p w14:paraId="09249B4A">
      <w:pPr>
        <w:rPr>
          <w:rFonts w:hint="eastAsia" w:ascii="宋体" w:hAnsi="宋体" w:eastAsia="宋体" w:cs="宋体"/>
          <w:b/>
          <w:color w:val="auto"/>
          <w:sz w:val="24"/>
          <w:highlight w:val="none"/>
        </w:rPr>
      </w:pPr>
    </w:p>
    <w:p w14:paraId="45A415B8">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办理人：                      保卫处签名：                        办理人：                      保卫处签名：</w:t>
      </w:r>
    </w:p>
    <w:p w14:paraId="5F90819F">
      <w:pPr>
        <w:rPr>
          <w:rFonts w:hint="eastAsia" w:ascii="宋体" w:hAnsi="宋体" w:eastAsia="宋体" w:cs="宋体"/>
          <w:b/>
          <w:color w:val="auto"/>
          <w:sz w:val="24"/>
          <w:highlight w:val="none"/>
        </w:rPr>
      </w:pPr>
    </w:p>
    <w:p w14:paraId="0B48A0B1">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456593A1">
      <w:pPr>
        <w:rPr>
          <w:rFonts w:hint="eastAsia" w:ascii="宋体" w:hAnsi="宋体" w:eastAsia="宋体" w:cs="宋体"/>
          <w:b/>
          <w:color w:val="auto"/>
          <w:sz w:val="24"/>
          <w:highlight w:val="none"/>
        </w:rPr>
        <w:sectPr>
          <w:pgSz w:w="16838" w:h="11906" w:orient="landscape"/>
          <w:pgMar w:top="720" w:right="720" w:bottom="720" w:left="720" w:header="851" w:footer="992" w:gutter="0"/>
          <w:cols w:space="720" w:num="1"/>
          <w:docGrid w:type="lines" w:linePitch="312" w:charSpace="0"/>
        </w:sectPr>
      </w:pPr>
    </w:p>
    <w:p w14:paraId="36860675">
      <w:pP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6203315</wp:posOffset>
                </wp:positionH>
                <wp:positionV relativeFrom="paragraph">
                  <wp:posOffset>-697230</wp:posOffset>
                </wp:positionV>
                <wp:extent cx="0" cy="7825740"/>
                <wp:effectExtent l="5080" t="0" r="13970" b="381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0" cy="7825740"/>
                        </a:xfrm>
                        <a:prstGeom prst="line">
                          <a:avLst/>
                        </a:prstGeom>
                        <a:noFill/>
                        <a:ln w="9525">
                          <a:solidFill>
                            <a:srgbClr val="000000"/>
                          </a:solidFill>
                          <a:prstDash val="lgDashDotDot"/>
                          <a:round/>
                        </a:ln>
                        <a:effectLst/>
                      </wps:spPr>
                      <wps:bodyPr/>
                    </wps:wsp>
                  </a:graphicData>
                </a:graphic>
              </wp:anchor>
            </w:drawing>
          </mc:Choice>
          <mc:Fallback>
            <w:pict>
              <v:line id="_x0000_s1026" o:spid="_x0000_s1026" o:spt="20" style="position:absolute;left:0pt;margin-left:488.45pt;margin-top:-54.9pt;height:616.2pt;width:0pt;z-index:251659264;mso-width-relative:page;mso-height-relative:page;" filled="f" stroked="t" coordsize="21600,21600" o:gfxdata="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JBPn9kAAAANAQAADwAAAAAAAAABACAAAAAiAAAAZHJzL2Rvd25yZXYu&#10;eG1sUEsBAhQAFAAAAAgAh07iQOVbgQ/6AQAA2gMAAA4AAAAAAAAAAQAgAAAAKAEAAGRycy9lMm9E&#10;b2MueG1sUEsFBgAAAAAGAAYAWQEAAJQFAAAAAA==&#10;">
                <v:fill on="f" focussize="0,0"/>
                <v:stroke color="#000000" joinstyle="round" dashstyle="longDashDotDot"/>
                <v:imagedata o:title=""/>
                <o:lock v:ext="edit" aspectratio="f"/>
              </v:line>
            </w:pict>
          </mc:Fallback>
        </mc:AlternateContent>
      </w:r>
      <w:r>
        <w:rPr>
          <w:rFonts w:hint="eastAsia" w:ascii="宋体" w:hAnsi="宋体" w:eastAsia="宋体" w:cs="宋体"/>
          <w:b/>
          <w:bCs/>
          <w:color w:val="auto"/>
          <w:sz w:val="24"/>
          <w:highlight w:val="none"/>
        </w:rPr>
        <w:t>附件6             医院施工现场动火证申请表</w:t>
      </w:r>
    </w:p>
    <w:p w14:paraId="6F7DB0FD">
      <w:pPr>
        <w:ind w:firstLine="7680" w:firstLineChars="3200"/>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bl>
      <w:tblPr>
        <w:tblStyle w:val="8"/>
        <w:tblW w:w="13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60"/>
        <w:gridCol w:w="900"/>
        <w:gridCol w:w="1350"/>
        <w:gridCol w:w="6"/>
        <w:gridCol w:w="4224"/>
        <w:gridCol w:w="3936"/>
      </w:tblGrid>
      <w:tr w14:paraId="7AB6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68" w:type="dxa"/>
            <w:vMerge w:val="restart"/>
            <w:tcBorders>
              <w:top w:val="single" w:color="auto" w:sz="4" w:space="0"/>
              <w:left w:val="single" w:color="auto" w:sz="4" w:space="0"/>
              <w:bottom w:val="single" w:color="auto" w:sz="4" w:space="0"/>
              <w:right w:val="single" w:color="auto" w:sz="4" w:space="0"/>
            </w:tcBorders>
            <w:noWrap w:val="0"/>
            <w:vAlign w:val="center"/>
          </w:tcPr>
          <w:p w14:paraId="78D3B028">
            <w:pPr>
              <w:jc w:val="center"/>
              <w:rPr>
                <w:rFonts w:hint="eastAsia" w:ascii="宋体" w:hAnsi="宋体" w:eastAsia="宋体" w:cs="宋体"/>
                <w:color w:val="auto"/>
                <w:sz w:val="24"/>
                <w:highlight w:val="none"/>
              </w:rPr>
            </w:pPr>
          </w:p>
          <w:p w14:paraId="58D3213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p>
        </w:tc>
        <w:tc>
          <w:tcPr>
            <w:tcW w:w="3510" w:type="dxa"/>
            <w:gridSpan w:val="3"/>
            <w:tcBorders>
              <w:top w:val="single" w:color="auto" w:sz="4" w:space="0"/>
              <w:left w:val="single" w:color="auto" w:sz="4" w:space="0"/>
              <w:bottom w:val="single" w:color="auto" w:sz="4" w:space="0"/>
              <w:right w:val="single" w:color="auto" w:sz="4" w:space="0"/>
            </w:tcBorders>
            <w:noWrap w:val="0"/>
            <w:vAlign w:val="center"/>
          </w:tcPr>
          <w:p w14:paraId="45FC3274">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 </w:t>
            </w:r>
          </w:p>
        </w:tc>
        <w:tc>
          <w:tcPr>
            <w:tcW w:w="4230" w:type="dxa"/>
            <w:gridSpan w:val="2"/>
            <w:tcBorders>
              <w:top w:val="single" w:color="auto" w:sz="4" w:space="0"/>
              <w:left w:val="single" w:color="auto" w:sz="4" w:space="0"/>
              <w:bottom w:val="single" w:color="auto" w:sz="4" w:space="0"/>
              <w:right w:val="single" w:color="auto" w:sz="4" w:space="0"/>
            </w:tcBorders>
            <w:noWrap w:val="0"/>
            <w:vAlign w:val="center"/>
          </w:tcPr>
          <w:p w14:paraId="33F176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动火必须做到</w:t>
            </w:r>
          </w:p>
        </w:tc>
        <w:tc>
          <w:tcPr>
            <w:tcW w:w="3936" w:type="dxa"/>
            <w:tcBorders>
              <w:top w:val="nil"/>
              <w:left w:val="single" w:color="auto" w:sz="4" w:space="0"/>
              <w:bottom w:val="nil"/>
              <w:right w:val="single" w:color="auto" w:sz="4" w:space="0"/>
            </w:tcBorders>
            <w:noWrap w:val="0"/>
            <w:vAlign w:val="center"/>
          </w:tcPr>
          <w:p w14:paraId="4CE3CAB1">
            <w:pPr>
              <w:jc w:val="center"/>
              <w:rPr>
                <w:rFonts w:hint="eastAsia" w:ascii="宋体" w:hAnsi="宋体" w:eastAsia="宋体" w:cs="宋体"/>
                <w:color w:val="auto"/>
                <w:sz w:val="24"/>
                <w:highlight w:val="none"/>
              </w:rPr>
            </w:pPr>
          </w:p>
        </w:tc>
      </w:tr>
      <w:tr w14:paraId="0CF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567" w:hRule="exact"/>
        </w:trPr>
        <w:tc>
          <w:tcPr>
            <w:tcW w:w="1368" w:type="dxa"/>
            <w:vMerge w:val="continue"/>
            <w:tcBorders>
              <w:top w:val="single" w:color="auto" w:sz="4" w:space="0"/>
              <w:left w:val="single" w:color="auto" w:sz="4" w:space="0"/>
              <w:bottom w:val="single" w:color="auto" w:sz="4" w:space="0"/>
              <w:right w:val="single" w:color="auto" w:sz="4" w:space="0"/>
            </w:tcBorders>
            <w:noWrap w:val="0"/>
            <w:vAlign w:val="center"/>
          </w:tcPr>
          <w:p w14:paraId="5C13DCFF">
            <w:pPr>
              <w:rPr>
                <w:rFonts w:hint="eastAsia" w:ascii="宋体" w:hAnsi="宋体" w:eastAsia="宋体" w:cs="宋体"/>
                <w:color w:val="auto"/>
                <w:sz w:val="24"/>
                <w:highlight w:val="none"/>
              </w:rPr>
            </w:pPr>
          </w:p>
        </w:tc>
        <w:tc>
          <w:tcPr>
            <w:tcW w:w="3516" w:type="dxa"/>
            <w:gridSpan w:val="4"/>
            <w:tcBorders>
              <w:top w:val="single" w:color="auto" w:sz="4" w:space="0"/>
              <w:left w:val="single" w:color="auto" w:sz="4" w:space="0"/>
              <w:bottom w:val="single" w:color="auto" w:sz="4" w:space="0"/>
              <w:right w:val="single" w:color="auto" w:sz="4" w:space="0"/>
            </w:tcBorders>
            <w:noWrap w:val="0"/>
            <w:vAlign w:val="center"/>
          </w:tcPr>
          <w:p w14:paraId="1460C8C1">
            <w:pP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tc>
        <w:tc>
          <w:tcPr>
            <w:tcW w:w="4224" w:type="dxa"/>
            <w:vMerge w:val="restart"/>
            <w:tcBorders>
              <w:top w:val="single" w:color="auto" w:sz="4" w:space="0"/>
              <w:left w:val="single" w:color="auto" w:sz="4" w:space="0"/>
              <w:bottom w:val="single" w:color="auto" w:sz="4" w:space="0"/>
              <w:right w:val="single" w:color="auto" w:sz="4" w:space="0"/>
            </w:tcBorders>
            <w:noWrap w:val="0"/>
            <w:vAlign w:val="top"/>
          </w:tcPr>
          <w:p w14:paraId="4E79894A">
            <w:pPr>
              <w:rPr>
                <w:rFonts w:hint="eastAsia" w:ascii="宋体" w:hAnsi="宋体" w:eastAsia="宋体" w:cs="宋体"/>
                <w:color w:val="auto"/>
                <w:sz w:val="24"/>
                <w:highlight w:val="none"/>
              </w:rPr>
            </w:pPr>
            <w:r>
              <w:rPr>
                <w:rFonts w:hint="eastAsia" w:ascii="宋体" w:hAnsi="宋体" w:eastAsia="宋体" w:cs="宋体"/>
                <w:color w:val="auto"/>
                <w:sz w:val="24"/>
                <w:highlight w:val="none"/>
              </w:rPr>
              <w:t>1．动火人必须有特种作业人员操作证、动火证，按操作规程动火。</w:t>
            </w:r>
          </w:p>
          <w:p w14:paraId="2163761D">
            <w:pPr>
              <w:rPr>
                <w:rFonts w:hint="eastAsia" w:ascii="宋体" w:hAnsi="宋体" w:eastAsia="宋体" w:cs="宋体"/>
                <w:color w:val="auto"/>
                <w:sz w:val="24"/>
                <w:highlight w:val="none"/>
              </w:rPr>
            </w:pPr>
            <w:r>
              <w:rPr>
                <w:rFonts w:hint="eastAsia" w:ascii="宋体" w:hAnsi="宋体" w:eastAsia="宋体" w:cs="宋体"/>
                <w:color w:val="auto"/>
                <w:sz w:val="24"/>
                <w:highlight w:val="none"/>
              </w:rPr>
              <w:t>2．主管科室责任人指定专人现场看火，并配备灭火器材，动火前清除5米内易燃易爆物品，防止发生火灾事故。</w:t>
            </w:r>
          </w:p>
          <w:p w14:paraId="1154DC7B">
            <w:pPr>
              <w:rPr>
                <w:rFonts w:hint="eastAsia" w:ascii="宋体" w:hAnsi="宋体" w:eastAsia="宋体" w:cs="宋体"/>
                <w:color w:val="auto"/>
                <w:sz w:val="24"/>
                <w:highlight w:val="none"/>
              </w:rPr>
            </w:pPr>
            <w:r>
              <w:rPr>
                <w:rFonts w:hint="eastAsia" w:ascii="宋体" w:hAnsi="宋体" w:eastAsia="宋体" w:cs="宋体"/>
                <w:color w:val="auto"/>
                <w:sz w:val="24"/>
                <w:highlight w:val="none"/>
              </w:rPr>
              <w:t>3．遇有无法清除的易燃物，必须采取防火措施。</w:t>
            </w:r>
          </w:p>
          <w:p w14:paraId="2E7B46ED">
            <w:pPr>
              <w:rPr>
                <w:rFonts w:hint="eastAsia" w:ascii="宋体" w:hAnsi="宋体" w:eastAsia="宋体" w:cs="宋体"/>
                <w:color w:val="auto"/>
                <w:sz w:val="24"/>
                <w:highlight w:val="none"/>
              </w:rPr>
            </w:pPr>
            <w:r>
              <w:rPr>
                <w:rFonts w:hint="eastAsia" w:ascii="宋体" w:hAnsi="宋体" w:eastAsia="宋体" w:cs="宋体"/>
                <w:color w:val="auto"/>
                <w:sz w:val="24"/>
                <w:highlight w:val="none"/>
              </w:rPr>
              <w:t>4．主管部门责任人、看火人要了解动火区域的情况。</w:t>
            </w:r>
          </w:p>
          <w:p w14:paraId="37143337">
            <w:pPr>
              <w:rPr>
                <w:rFonts w:hint="eastAsia" w:ascii="宋体" w:hAnsi="宋体" w:eastAsia="宋体" w:cs="宋体"/>
                <w:color w:val="auto"/>
                <w:sz w:val="24"/>
                <w:highlight w:val="none"/>
              </w:rPr>
            </w:pPr>
            <w:r>
              <w:rPr>
                <w:rFonts w:hint="eastAsia" w:ascii="宋体" w:hAnsi="宋体" w:eastAsia="宋体" w:cs="宋体"/>
                <w:color w:val="auto"/>
                <w:sz w:val="24"/>
                <w:highlight w:val="none"/>
              </w:rPr>
              <w:t>5．结束后必须对现场进行检查，确认无火灾隐患，切断电源后方可离开。</w:t>
            </w:r>
          </w:p>
        </w:tc>
      </w:tr>
      <w:tr w14:paraId="5D72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567"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14:paraId="47A2DBD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14:paraId="5A2CC70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动火人</w:t>
            </w:r>
          </w:p>
        </w:tc>
        <w:tc>
          <w:tcPr>
            <w:tcW w:w="3516" w:type="dxa"/>
            <w:gridSpan w:val="4"/>
            <w:tcBorders>
              <w:top w:val="single" w:color="auto" w:sz="4" w:space="0"/>
              <w:left w:val="single" w:color="auto" w:sz="4" w:space="0"/>
              <w:bottom w:val="single" w:color="auto" w:sz="4" w:space="0"/>
              <w:right w:val="single" w:color="auto" w:sz="4" w:space="0"/>
            </w:tcBorders>
            <w:noWrap w:val="0"/>
            <w:vAlign w:val="center"/>
          </w:tcPr>
          <w:p w14:paraId="08A93AEB">
            <w:pPr>
              <w:rPr>
                <w:rFonts w:hint="eastAsia" w:ascii="宋体" w:hAnsi="宋体" w:eastAsia="宋体" w:cs="宋体"/>
                <w:color w:val="auto"/>
                <w:sz w:val="24"/>
                <w:highlight w:val="none"/>
              </w:rPr>
            </w:pPr>
          </w:p>
        </w:tc>
        <w:tc>
          <w:tcPr>
            <w:tcW w:w="4224" w:type="dxa"/>
            <w:vMerge w:val="continue"/>
            <w:tcBorders>
              <w:top w:val="single" w:color="auto" w:sz="4" w:space="0"/>
              <w:left w:val="single" w:color="auto" w:sz="4" w:space="0"/>
              <w:bottom w:val="single" w:color="auto" w:sz="4" w:space="0"/>
              <w:right w:val="single" w:color="auto" w:sz="4" w:space="0"/>
            </w:tcBorders>
            <w:noWrap w:val="0"/>
            <w:vAlign w:val="center"/>
          </w:tcPr>
          <w:p w14:paraId="6017A7DE">
            <w:pPr>
              <w:rPr>
                <w:rFonts w:hint="eastAsia" w:ascii="宋体" w:hAnsi="宋体" w:eastAsia="宋体" w:cs="宋体"/>
                <w:color w:val="auto"/>
                <w:sz w:val="24"/>
                <w:highlight w:val="none"/>
              </w:rPr>
            </w:pPr>
          </w:p>
        </w:tc>
      </w:tr>
      <w:tr w14:paraId="3FE0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567"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14:paraId="2822730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甲方主管科室责任人</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2953081">
            <w:pPr>
              <w:rPr>
                <w:rFonts w:hint="eastAsia" w:ascii="宋体" w:hAnsi="宋体" w:eastAsia="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094819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14:paraId="35173576">
            <w:pPr>
              <w:rPr>
                <w:rFonts w:hint="eastAsia" w:ascii="宋体" w:hAnsi="宋体" w:eastAsia="宋体" w:cs="宋体"/>
                <w:color w:val="auto"/>
                <w:sz w:val="24"/>
                <w:highlight w:val="none"/>
              </w:rPr>
            </w:pPr>
            <w:r>
              <w:rPr>
                <w:rFonts w:hint="eastAsia" w:ascii="宋体" w:hAnsi="宋体" w:eastAsia="宋体" w:cs="宋体"/>
                <w:color w:val="auto"/>
                <w:sz w:val="24"/>
                <w:highlight w:val="none"/>
              </w:rPr>
              <w:t>看火人</w:t>
            </w:r>
          </w:p>
        </w:tc>
        <w:tc>
          <w:tcPr>
            <w:tcW w:w="1356" w:type="dxa"/>
            <w:gridSpan w:val="2"/>
            <w:tcBorders>
              <w:top w:val="single" w:color="auto" w:sz="4" w:space="0"/>
              <w:left w:val="single" w:color="auto" w:sz="4" w:space="0"/>
              <w:bottom w:val="single" w:color="auto" w:sz="4" w:space="0"/>
              <w:right w:val="single" w:color="auto" w:sz="4" w:space="0"/>
            </w:tcBorders>
            <w:noWrap w:val="0"/>
            <w:vAlign w:val="center"/>
          </w:tcPr>
          <w:p w14:paraId="2E95543C">
            <w:pPr>
              <w:rPr>
                <w:rFonts w:hint="eastAsia" w:ascii="宋体" w:hAnsi="宋体" w:eastAsia="宋体" w:cs="宋体"/>
                <w:color w:val="auto"/>
                <w:sz w:val="24"/>
                <w:highlight w:val="none"/>
              </w:rPr>
            </w:pPr>
          </w:p>
        </w:tc>
        <w:tc>
          <w:tcPr>
            <w:tcW w:w="4224" w:type="dxa"/>
            <w:vMerge w:val="continue"/>
            <w:tcBorders>
              <w:top w:val="single" w:color="auto" w:sz="4" w:space="0"/>
              <w:left w:val="single" w:color="auto" w:sz="4" w:space="0"/>
              <w:bottom w:val="single" w:color="auto" w:sz="4" w:space="0"/>
              <w:right w:val="single" w:color="auto" w:sz="4" w:space="0"/>
            </w:tcBorders>
            <w:noWrap w:val="0"/>
            <w:vAlign w:val="center"/>
          </w:tcPr>
          <w:p w14:paraId="0F488090">
            <w:pPr>
              <w:rPr>
                <w:rFonts w:hint="eastAsia" w:ascii="宋体" w:hAnsi="宋体" w:eastAsia="宋体" w:cs="宋体"/>
                <w:color w:val="auto"/>
                <w:sz w:val="24"/>
                <w:highlight w:val="none"/>
              </w:rPr>
            </w:pPr>
          </w:p>
        </w:tc>
      </w:tr>
      <w:tr w14:paraId="19F9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567"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14:paraId="1865532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w:t>
            </w:r>
          </w:p>
          <w:p w14:paraId="19EA9DE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部位</w:t>
            </w:r>
          </w:p>
        </w:tc>
        <w:tc>
          <w:tcPr>
            <w:tcW w:w="3516" w:type="dxa"/>
            <w:gridSpan w:val="4"/>
            <w:tcBorders>
              <w:top w:val="single" w:color="auto" w:sz="4" w:space="0"/>
              <w:left w:val="single" w:color="auto" w:sz="4" w:space="0"/>
              <w:bottom w:val="single" w:color="auto" w:sz="4" w:space="0"/>
              <w:right w:val="single" w:color="auto" w:sz="4" w:space="0"/>
            </w:tcBorders>
            <w:noWrap w:val="0"/>
            <w:vAlign w:val="center"/>
          </w:tcPr>
          <w:p w14:paraId="29FEA9D7">
            <w:pPr>
              <w:rPr>
                <w:rFonts w:hint="eastAsia" w:ascii="宋体" w:hAnsi="宋体" w:eastAsia="宋体" w:cs="宋体"/>
                <w:color w:val="auto"/>
                <w:sz w:val="24"/>
                <w:highlight w:val="none"/>
              </w:rPr>
            </w:pPr>
          </w:p>
        </w:tc>
        <w:tc>
          <w:tcPr>
            <w:tcW w:w="4224" w:type="dxa"/>
            <w:vMerge w:val="continue"/>
            <w:tcBorders>
              <w:top w:val="single" w:color="auto" w:sz="4" w:space="0"/>
              <w:left w:val="single" w:color="auto" w:sz="4" w:space="0"/>
              <w:bottom w:val="single" w:color="auto" w:sz="4" w:space="0"/>
              <w:right w:val="single" w:color="auto" w:sz="4" w:space="0"/>
            </w:tcBorders>
            <w:noWrap w:val="0"/>
            <w:vAlign w:val="center"/>
          </w:tcPr>
          <w:p w14:paraId="48B3B86E">
            <w:pPr>
              <w:rPr>
                <w:rFonts w:hint="eastAsia" w:ascii="宋体" w:hAnsi="宋体" w:eastAsia="宋体" w:cs="宋体"/>
                <w:color w:val="auto"/>
                <w:sz w:val="24"/>
                <w:highlight w:val="none"/>
              </w:rPr>
            </w:pPr>
          </w:p>
        </w:tc>
      </w:tr>
      <w:tr w14:paraId="7CD4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567"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14:paraId="40E4C2C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w:t>
            </w:r>
          </w:p>
          <w:p w14:paraId="31CC862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516" w:type="dxa"/>
            <w:gridSpan w:val="4"/>
            <w:tcBorders>
              <w:top w:val="single" w:color="auto" w:sz="4" w:space="0"/>
              <w:left w:val="single" w:color="auto" w:sz="4" w:space="0"/>
              <w:bottom w:val="single" w:color="auto" w:sz="4" w:space="0"/>
              <w:right w:val="single" w:color="auto" w:sz="4" w:space="0"/>
            </w:tcBorders>
            <w:noWrap w:val="0"/>
            <w:vAlign w:val="center"/>
          </w:tcPr>
          <w:p w14:paraId="5D85BEA9">
            <w:pPr>
              <w:rPr>
                <w:rFonts w:hint="eastAsia" w:ascii="宋体" w:hAnsi="宋体" w:eastAsia="宋体" w:cs="宋体"/>
                <w:color w:val="auto"/>
                <w:sz w:val="24"/>
                <w:highlight w:val="none"/>
              </w:rPr>
            </w:pPr>
          </w:p>
        </w:tc>
        <w:tc>
          <w:tcPr>
            <w:tcW w:w="4224" w:type="dxa"/>
            <w:vMerge w:val="continue"/>
            <w:tcBorders>
              <w:top w:val="single" w:color="auto" w:sz="4" w:space="0"/>
              <w:left w:val="single" w:color="auto" w:sz="4" w:space="0"/>
              <w:bottom w:val="single" w:color="auto" w:sz="4" w:space="0"/>
              <w:right w:val="single" w:color="auto" w:sz="4" w:space="0"/>
            </w:tcBorders>
            <w:noWrap w:val="0"/>
            <w:vAlign w:val="center"/>
          </w:tcPr>
          <w:p w14:paraId="7116C47B">
            <w:pPr>
              <w:rPr>
                <w:rFonts w:hint="eastAsia" w:ascii="宋体" w:hAnsi="宋体" w:eastAsia="宋体" w:cs="宋体"/>
                <w:color w:val="auto"/>
                <w:sz w:val="24"/>
                <w:highlight w:val="none"/>
              </w:rPr>
            </w:pPr>
          </w:p>
        </w:tc>
      </w:tr>
      <w:tr w14:paraId="59A6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567"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14:paraId="419BDE0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w:t>
            </w:r>
          </w:p>
          <w:p w14:paraId="6E1A7F1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516" w:type="dxa"/>
            <w:gridSpan w:val="4"/>
            <w:tcBorders>
              <w:top w:val="single" w:color="auto" w:sz="4" w:space="0"/>
              <w:left w:val="single" w:color="auto" w:sz="4" w:space="0"/>
              <w:bottom w:val="single" w:color="auto" w:sz="4" w:space="0"/>
              <w:right w:val="single" w:color="auto" w:sz="4" w:space="0"/>
            </w:tcBorders>
            <w:noWrap w:val="0"/>
            <w:vAlign w:val="center"/>
          </w:tcPr>
          <w:p w14:paraId="002D5362">
            <w:pPr>
              <w:ind w:firstLine="240" w:firstLineChars="100"/>
              <w:rPr>
                <w:rFonts w:hint="eastAsia" w:ascii="宋体" w:hAnsi="宋体" w:eastAsia="宋体" w:cs="宋体"/>
                <w:color w:val="auto"/>
                <w:sz w:val="24"/>
                <w:highlight w:val="none"/>
              </w:rPr>
            </w:pPr>
          </w:p>
        </w:tc>
        <w:tc>
          <w:tcPr>
            <w:tcW w:w="4224" w:type="dxa"/>
            <w:vMerge w:val="continue"/>
            <w:tcBorders>
              <w:top w:val="single" w:color="auto" w:sz="4" w:space="0"/>
              <w:left w:val="single" w:color="auto" w:sz="4" w:space="0"/>
              <w:bottom w:val="single" w:color="auto" w:sz="4" w:space="0"/>
              <w:right w:val="single" w:color="auto" w:sz="4" w:space="0"/>
            </w:tcBorders>
            <w:noWrap w:val="0"/>
            <w:vAlign w:val="center"/>
          </w:tcPr>
          <w:p w14:paraId="7141E751">
            <w:pPr>
              <w:rPr>
                <w:rFonts w:hint="eastAsia" w:ascii="宋体" w:hAnsi="宋体" w:eastAsia="宋体" w:cs="宋体"/>
                <w:color w:val="auto"/>
                <w:sz w:val="24"/>
                <w:highlight w:val="none"/>
              </w:rPr>
            </w:pPr>
          </w:p>
        </w:tc>
      </w:tr>
      <w:tr w14:paraId="2F1A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3190" w:hRule="exact"/>
        </w:trPr>
        <w:tc>
          <w:tcPr>
            <w:tcW w:w="1368" w:type="dxa"/>
            <w:tcBorders>
              <w:top w:val="single" w:color="auto" w:sz="4" w:space="0"/>
              <w:left w:val="single" w:color="auto" w:sz="4" w:space="0"/>
              <w:bottom w:val="single" w:color="auto" w:sz="4" w:space="0"/>
              <w:right w:val="single" w:color="auto" w:sz="4" w:space="0"/>
            </w:tcBorders>
            <w:noWrap w:val="0"/>
            <w:textDirection w:val="tbRlV"/>
            <w:vAlign w:val="center"/>
          </w:tcPr>
          <w:p w14:paraId="7FB071C4">
            <w:pPr>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现场防火措施预案</w:t>
            </w:r>
          </w:p>
          <w:p w14:paraId="5C0D59F6">
            <w:pPr>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灭火器材配置情况</w:t>
            </w:r>
          </w:p>
        </w:tc>
        <w:tc>
          <w:tcPr>
            <w:tcW w:w="7740" w:type="dxa"/>
            <w:gridSpan w:val="5"/>
            <w:tcBorders>
              <w:top w:val="single" w:color="auto" w:sz="4" w:space="0"/>
              <w:left w:val="single" w:color="auto" w:sz="4" w:space="0"/>
              <w:bottom w:val="single" w:color="auto" w:sz="4" w:space="0"/>
              <w:right w:val="single" w:color="auto" w:sz="4" w:space="0"/>
            </w:tcBorders>
            <w:noWrap w:val="0"/>
            <w:vAlign w:val="center"/>
          </w:tcPr>
          <w:p w14:paraId="3C33CF0F">
            <w:pPr>
              <w:jc w:val="center"/>
              <w:rPr>
                <w:rFonts w:hint="eastAsia" w:ascii="宋体" w:hAnsi="宋体" w:eastAsia="宋体" w:cs="宋体"/>
                <w:color w:val="auto"/>
                <w:sz w:val="24"/>
                <w:highlight w:val="none"/>
              </w:rPr>
            </w:pPr>
          </w:p>
          <w:p w14:paraId="49276EEC">
            <w:pPr>
              <w:jc w:val="center"/>
              <w:rPr>
                <w:rFonts w:hint="eastAsia" w:ascii="宋体" w:hAnsi="宋体" w:eastAsia="宋体" w:cs="宋体"/>
                <w:color w:val="auto"/>
                <w:sz w:val="24"/>
                <w:highlight w:val="none"/>
              </w:rPr>
            </w:pPr>
          </w:p>
          <w:p w14:paraId="10FF7827">
            <w:pPr>
              <w:rPr>
                <w:rFonts w:hint="eastAsia" w:ascii="宋体" w:hAnsi="宋体" w:eastAsia="宋体" w:cs="宋体"/>
                <w:color w:val="auto"/>
                <w:sz w:val="24"/>
                <w:highlight w:val="none"/>
              </w:rPr>
            </w:pPr>
          </w:p>
        </w:tc>
      </w:tr>
      <w:tr w14:paraId="2C5C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36" w:type="dxa"/>
          <w:cantSplit/>
          <w:trHeight w:val="645" w:hRule="exact"/>
        </w:trPr>
        <w:tc>
          <w:tcPr>
            <w:tcW w:w="1368" w:type="dxa"/>
            <w:tcBorders>
              <w:top w:val="single" w:color="auto" w:sz="4" w:space="0"/>
              <w:left w:val="single" w:color="auto" w:sz="4" w:space="0"/>
              <w:bottom w:val="single" w:color="auto" w:sz="4" w:space="0"/>
              <w:right w:val="single" w:color="auto" w:sz="4" w:space="0"/>
            </w:tcBorders>
            <w:noWrap w:val="0"/>
            <w:textDirection w:val="tbRlV"/>
            <w:vAlign w:val="center"/>
          </w:tcPr>
          <w:p w14:paraId="50B8C927">
            <w:pPr>
              <w:ind w:left="113" w:right="113"/>
              <w:rPr>
                <w:rFonts w:hint="eastAsia" w:ascii="宋体" w:hAnsi="宋体" w:eastAsia="宋体" w:cs="宋体"/>
                <w:color w:val="auto"/>
                <w:sz w:val="24"/>
                <w:highlight w:val="none"/>
              </w:rPr>
            </w:pPr>
          </w:p>
          <w:p w14:paraId="73A85B09">
            <w:pPr>
              <w:ind w:left="113" w:righ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注备</w:t>
            </w:r>
          </w:p>
        </w:tc>
        <w:tc>
          <w:tcPr>
            <w:tcW w:w="7740" w:type="dxa"/>
            <w:gridSpan w:val="5"/>
            <w:tcBorders>
              <w:top w:val="single" w:color="auto" w:sz="4" w:space="0"/>
              <w:left w:val="single" w:color="auto" w:sz="4" w:space="0"/>
              <w:bottom w:val="single" w:color="auto" w:sz="4" w:space="0"/>
              <w:right w:val="single" w:color="auto" w:sz="4" w:space="0"/>
            </w:tcBorders>
            <w:noWrap w:val="0"/>
            <w:vAlign w:val="center"/>
          </w:tcPr>
          <w:p w14:paraId="5DF1C1A1">
            <w:pPr>
              <w:rPr>
                <w:rFonts w:hint="eastAsia" w:ascii="宋体" w:hAnsi="宋体" w:eastAsia="宋体" w:cs="宋体"/>
                <w:color w:val="auto"/>
                <w:sz w:val="24"/>
                <w:highlight w:val="none"/>
              </w:rPr>
            </w:pPr>
            <w:r>
              <w:rPr>
                <w:rFonts w:hint="eastAsia" w:ascii="宋体" w:hAnsi="宋体" w:eastAsia="宋体" w:cs="宋体"/>
                <w:color w:val="auto"/>
                <w:sz w:val="24"/>
                <w:highlight w:val="none"/>
              </w:rPr>
              <w:t>主管科室责任人是指科室正副科长或正副主任；看火人是指本科室现场防火负责人</w:t>
            </w:r>
          </w:p>
        </w:tc>
      </w:tr>
    </w:tbl>
    <w:p w14:paraId="1F22AF40">
      <w:pPr>
        <w:rPr>
          <w:rFonts w:hint="eastAsia" w:ascii="宋体" w:hAnsi="宋体" w:eastAsia="宋体" w:cs="宋体"/>
          <w:color w:val="auto"/>
          <w:sz w:val="24"/>
          <w:highlight w:val="none"/>
        </w:rPr>
      </w:pPr>
    </w:p>
    <w:p w14:paraId="08852AD5">
      <w:pP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乙方安全负责人（签名）：               批准单位（公章）：    批准人：</w:t>
      </w:r>
    </w:p>
    <w:p w14:paraId="7ABDF78D">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（公章）                               </w:t>
      </w:r>
    </w:p>
    <w:p w14:paraId="074402A6">
      <w:pPr>
        <w:ind w:firstLine="7440" w:firstLineChars="3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年    月    日</w:t>
      </w:r>
    </w:p>
    <w:p w14:paraId="291A8DC8">
      <w:pPr>
        <w:ind w:firstLine="354" w:firstLineChars="147"/>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医院</w:t>
      </w:r>
    </w:p>
    <w:p w14:paraId="407A4E56">
      <w:pPr>
        <w:ind w:firstLine="590" w:firstLineChars="24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施工现场动火证</w:t>
      </w:r>
    </w:p>
    <w:tbl>
      <w:tblPr>
        <w:tblStyle w:val="8"/>
        <w:tblW w:w="4716" w:type="dxa"/>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1181"/>
        <w:gridCol w:w="900"/>
        <w:gridCol w:w="1224"/>
      </w:tblGrid>
      <w:tr w14:paraId="71C5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exact"/>
        </w:trPr>
        <w:tc>
          <w:tcPr>
            <w:tcW w:w="1411" w:type="dxa"/>
            <w:vMerge w:val="restart"/>
            <w:tcBorders>
              <w:top w:val="single" w:color="auto" w:sz="4" w:space="0"/>
              <w:left w:val="single" w:color="auto" w:sz="4" w:space="0"/>
              <w:bottom w:val="single" w:color="auto" w:sz="4" w:space="0"/>
              <w:right w:val="single" w:color="auto" w:sz="4" w:space="0"/>
            </w:tcBorders>
            <w:noWrap w:val="0"/>
            <w:vAlign w:val="center"/>
          </w:tcPr>
          <w:p w14:paraId="05AE82A4">
            <w:pPr>
              <w:jc w:val="center"/>
              <w:rPr>
                <w:rFonts w:hint="eastAsia" w:ascii="宋体" w:hAnsi="宋体" w:eastAsia="宋体" w:cs="宋体"/>
                <w:color w:val="auto"/>
                <w:sz w:val="24"/>
                <w:highlight w:val="none"/>
              </w:rPr>
            </w:pPr>
          </w:p>
          <w:p w14:paraId="1ACC13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  位</w:t>
            </w:r>
          </w:p>
        </w:tc>
        <w:tc>
          <w:tcPr>
            <w:tcW w:w="3305" w:type="dxa"/>
            <w:gridSpan w:val="3"/>
            <w:tcBorders>
              <w:top w:val="single" w:color="auto" w:sz="4" w:space="0"/>
              <w:left w:val="single" w:color="auto" w:sz="4" w:space="0"/>
              <w:bottom w:val="single" w:color="auto" w:sz="4" w:space="0"/>
              <w:right w:val="single" w:color="auto" w:sz="4" w:space="0"/>
            </w:tcBorders>
            <w:noWrap w:val="0"/>
            <w:vAlign w:val="center"/>
          </w:tcPr>
          <w:p w14:paraId="576A82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 </w:t>
            </w:r>
          </w:p>
        </w:tc>
      </w:tr>
      <w:tr w14:paraId="4BC5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14:paraId="6391C94D">
            <w:pPr>
              <w:rPr>
                <w:rFonts w:hint="eastAsia" w:ascii="宋体" w:hAnsi="宋体" w:eastAsia="宋体" w:cs="宋体"/>
                <w:color w:val="auto"/>
                <w:sz w:val="24"/>
                <w:highlight w:val="none"/>
              </w:rPr>
            </w:pPr>
          </w:p>
        </w:tc>
        <w:tc>
          <w:tcPr>
            <w:tcW w:w="3305" w:type="dxa"/>
            <w:gridSpan w:val="3"/>
            <w:tcBorders>
              <w:top w:val="single" w:color="auto" w:sz="4" w:space="0"/>
              <w:left w:val="single" w:color="auto" w:sz="4" w:space="0"/>
              <w:bottom w:val="single" w:color="auto" w:sz="4" w:space="0"/>
              <w:right w:val="single" w:color="auto" w:sz="4" w:space="0"/>
            </w:tcBorders>
            <w:noWrap w:val="0"/>
            <w:vAlign w:val="center"/>
          </w:tcPr>
          <w:p w14:paraId="131B2C8A">
            <w:pP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tc>
      </w:tr>
      <w:tr w14:paraId="5D78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411" w:type="dxa"/>
            <w:tcBorders>
              <w:top w:val="single" w:color="auto" w:sz="4" w:space="0"/>
              <w:left w:val="single" w:color="auto" w:sz="4" w:space="0"/>
              <w:bottom w:val="single" w:color="auto" w:sz="4" w:space="0"/>
              <w:right w:val="single" w:color="auto" w:sz="4" w:space="0"/>
            </w:tcBorders>
            <w:noWrap w:val="0"/>
            <w:vAlign w:val="center"/>
          </w:tcPr>
          <w:p w14:paraId="2DCA81F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乙方动火人</w:t>
            </w:r>
          </w:p>
        </w:tc>
        <w:tc>
          <w:tcPr>
            <w:tcW w:w="3305" w:type="dxa"/>
            <w:gridSpan w:val="3"/>
            <w:tcBorders>
              <w:top w:val="single" w:color="auto" w:sz="4" w:space="0"/>
              <w:left w:val="single" w:color="auto" w:sz="4" w:space="0"/>
              <w:bottom w:val="single" w:color="auto" w:sz="4" w:space="0"/>
              <w:right w:val="single" w:color="auto" w:sz="4" w:space="0"/>
            </w:tcBorders>
            <w:noWrap w:val="0"/>
            <w:vAlign w:val="center"/>
          </w:tcPr>
          <w:p w14:paraId="240EAA83">
            <w:pPr>
              <w:rPr>
                <w:rFonts w:hint="eastAsia" w:ascii="宋体" w:hAnsi="宋体" w:eastAsia="宋体" w:cs="宋体"/>
                <w:color w:val="auto"/>
                <w:sz w:val="24"/>
                <w:highlight w:val="none"/>
              </w:rPr>
            </w:pPr>
          </w:p>
        </w:tc>
      </w:tr>
      <w:tr w14:paraId="0020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411" w:type="dxa"/>
            <w:tcBorders>
              <w:top w:val="single" w:color="auto" w:sz="4" w:space="0"/>
              <w:left w:val="single" w:color="auto" w:sz="4" w:space="0"/>
              <w:bottom w:val="single" w:color="auto" w:sz="4" w:space="0"/>
              <w:right w:val="single" w:color="auto" w:sz="4" w:space="0"/>
            </w:tcBorders>
            <w:noWrap w:val="0"/>
            <w:vAlign w:val="center"/>
          </w:tcPr>
          <w:p w14:paraId="6542339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甲方主管部门责任人</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4BBC9BD">
            <w:pPr>
              <w:rPr>
                <w:rFonts w:hint="eastAsia" w:ascii="宋体" w:hAnsi="宋体" w:eastAsia="宋体" w:cs="宋体"/>
                <w:color w:val="auto"/>
                <w:sz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399FF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14:paraId="566DFA24">
            <w:pPr>
              <w:rPr>
                <w:rFonts w:hint="eastAsia" w:ascii="宋体" w:hAnsi="宋体" w:eastAsia="宋体" w:cs="宋体"/>
                <w:color w:val="auto"/>
                <w:sz w:val="24"/>
                <w:highlight w:val="none"/>
              </w:rPr>
            </w:pPr>
            <w:r>
              <w:rPr>
                <w:rFonts w:hint="eastAsia" w:ascii="宋体" w:hAnsi="宋体" w:eastAsia="宋体" w:cs="宋体"/>
                <w:color w:val="auto"/>
                <w:sz w:val="24"/>
                <w:highlight w:val="none"/>
              </w:rPr>
              <w:t>看火人</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148DCD">
            <w:pPr>
              <w:rPr>
                <w:rFonts w:hint="eastAsia" w:ascii="宋体" w:hAnsi="宋体" w:eastAsia="宋体" w:cs="宋体"/>
                <w:color w:val="auto"/>
                <w:sz w:val="24"/>
                <w:highlight w:val="none"/>
              </w:rPr>
            </w:pPr>
          </w:p>
        </w:tc>
      </w:tr>
      <w:tr w14:paraId="2363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411" w:type="dxa"/>
            <w:tcBorders>
              <w:top w:val="single" w:color="auto" w:sz="4" w:space="0"/>
              <w:left w:val="single" w:color="auto" w:sz="4" w:space="0"/>
              <w:bottom w:val="single" w:color="auto" w:sz="4" w:space="0"/>
              <w:right w:val="single" w:color="auto" w:sz="4" w:space="0"/>
            </w:tcBorders>
            <w:noWrap w:val="0"/>
            <w:vAlign w:val="center"/>
          </w:tcPr>
          <w:p w14:paraId="394587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w:t>
            </w:r>
          </w:p>
          <w:p w14:paraId="5FD86CD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部位</w:t>
            </w:r>
          </w:p>
        </w:tc>
        <w:tc>
          <w:tcPr>
            <w:tcW w:w="3305" w:type="dxa"/>
            <w:gridSpan w:val="3"/>
            <w:tcBorders>
              <w:top w:val="single" w:color="auto" w:sz="4" w:space="0"/>
              <w:left w:val="single" w:color="auto" w:sz="4" w:space="0"/>
              <w:bottom w:val="single" w:color="auto" w:sz="4" w:space="0"/>
              <w:right w:val="single" w:color="auto" w:sz="4" w:space="0"/>
            </w:tcBorders>
            <w:noWrap w:val="0"/>
            <w:vAlign w:val="center"/>
          </w:tcPr>
          <w:p w14:paraId="785A1EF0">
            <w:pPr>
              <w:rPr>
                <w:rFonts w:hint="eastAsia" w:ascii="宋体" w:hAnsi="宋体" w:eastAsia="宋体" w:cs="宋体"/>
                <w:color w:val="auto"/>
                <w:sz w:val="24"/>
                <w:highlight w:val="none"/>
              </w:rPr>
            </w:pPr>
          </w:p>
        </w:tc>
      </w:tr>
      <w:tr w14:paraId="5DA4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411" w:type="dxa"/>
            <w:tcBorders>
              <w:top w:val="single" w:color="auto" w:sz="4" w:space="0"/>
              <w:left w:val="single" w:color="auto" w:sz="4" w:space="0"/>
              <w:bottom w:val="single" w:color="auto" w:sz="4" w:space="0"/>
              <w:right w:val="single" w:color="auto" w:sz="4" w:space="0"/>
            </w:tcBorders>
            <w:noWrap w:val="0"/>
            <w:vAlign w:val="center"/>
          </w:tcPr>
          <w:p w14:paraId="317EFAC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w:t>
            </w:r>
          </w:p>
          <w:p w14:paraId="6D2DC7D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305" w:type="dxa"/>
            <w:gridSpan w:val="3"/>
            <w:tcBorders>
              <w:top w:val="single" w:color="auto" w:sz="4" w:space="0"/>
              <w:left w:val="single" w:color="auto" w:sz="4" w:space="0"/>
              <w:bottom w:val="single" w:color="auto" w:sz="4" w:space="0"/>
              <w:right w:val="single" w:color="auto" w:sz="4" w:space="0"/>
            </w:tcBorders>
            <w:noWrap w:val="0"/>
            <w:vAlign w:val="center"/>
          </w:tcPr>
          <w:p w14:paraId="310E2D8F">
            <w:pPr>
              <w:rPr>
                <w:rFonts w:hint="eastAsia" w:ascii="宋体" w:hAnsi="宋体" w:eastAsia="宋体" w:cs="宋体"/>
                <w:color w:val="auto"/>
                <w:sz w:val="24"/>
                <w:highlight w:val="none"/>
              </w:rPr>
            </w:pPr>
          </w:p>
        </w:tc>
      </w:tr>
      <w:tr w14:paraId="3323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411" w:type="dxa"/>
            <w:tcBorders>
              <w:top w:val="single" w:color="auto" w:sz="4" w:space="0"/>
              <w:left w:val="single" w:color="auto" w:sz="4" w:space="0"/>
              <w:bottom w:val="single" w:color="auto" w:sz="4" w:space="0"/>
              <w:right w:val="single" w:color="auto" w:sz="4" w:space="0"/>
            </w:tcBorders>
            <w:noWrap w:val="0"/>
            <w:vAlign w:val="center"/>
          </w:tcPr>
          <w:p w14:paraId="167C7E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w:t>
            </w:r>
          </w:p>
          <w:p w14:paraId="62D7E5B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3305" w:type="dxa"/>
            <w:gridSpan w:val="3"/>
            <w:tcBorders>
              <w:top w:val="single" w:color="auto" w:sz="4" w:space="0"/>
              <w:left w:val="single" w:color="auto" w:sz="4" w:space="0"/>
              <w:bottom w:val="single" w:color="auto" w:sz="4" w:space="0"/>
              <w:right w:val="single" w:color="auto" w:sz="4" w:space="0"/>
            </w:tcBorders>
            <w:noWrap w:val="0"/>
            <w:vAlign w:val="center"/>
          </w:tcPr>
          <w:p w14:paraId="72D94530">
            <w:pPr>
              <w:rPr>
                <w:rFonts w:hint="eastAsia" w:ascii="宋体" w:hAnsi="宋体" w:eastAsia="宋体" w:cs="宋体"/>
                <w:color w:val="auto"/>
                <w:sz w:val="24"/>
                <w:highlight w:val="none"/>
              </w:rPr>
            </w:pPr>
          </w:p>
        </w:tc>
      </w:tr>
      <w:tr w14:paraId="67AD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4716" w:type="dxa"/>
            <w:gridSpan w:val="4"/>
            <w:tcBorders>
              <w:top w:val="single" w:color="auto" w:sz="4" w:space="0"/>
              <w:left w:val="single" w:color="auto" w:sz="4" w:space="0"/>
              <w:bottom w:val="single" w:color="auto" w:sz="4" w:space="0"/>
              <w:right w:val="single" w:color="auto" w:sz="4" w:space="0"/>
            </w:tcBorders>
            <w:noWrap w:val="0"/>
            <w:vAlign w:val="center"/>
          </w:tcPr>
          <w:p w14:paraId="420E2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动火必须做到</w:t>
            </w:r>
          </w:p>
        </w:tc>
      </w:tr>
      <w:tr w14:paraId="2A06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9" w:hRule="atLeast"/>
        </w:trPr>
        <w:tc>
          <w:tcPr>
            <w:tcW w:w="4716" w:type="dxa"/>
            <w:gridSpan w:val="4"/>
            <w:tcBorders>
              <w:top w:val="single" w:color="auto" w:sz="4" w:space="0"/>
              <w:left w:val="single" w:color="auto" w:sz="4" w:space="0"/>
              <w:bottom w:val="single" w:color="auto" w:sz="4" w:space="0"/>
              <w:right w:val="single" w:color="auto" w:sz="4" w:space="0"/>
            </w:tcBorders>
            <w:noWrap w:val="0"/>
            <w:vAlign w:val="top"/>
          </w:tcPr>
          <w:p w14:paraId="3C6E87CF">
            <w:pPr>
              <w:rPr>
                <w:rFonts w:hint="eastAsia" w:ascii="宋体" w:hAnsi="宋体" w:eastAsia="宋体" w:cs="宋体"/>
                <w:color w:val="auto"/>
                <w:sz w:val="24"/>
                <w:highlight w:val="none"/>
              </w:rPr>
            </w:pPr>
          </w:p>
          <w:p w14:paraId="7EFA517D">
            <w:pPr>
              <w:rPr>
                <w:rFonts w:hint="eastAsia" w:ascii="宋体" w:hAnsi="宋体" w:eastAsia="宋体" w:cs="宋体"/>
                <w:color w:val="auto"/>
                <w:sz w:val="24"/>
                <w:highlight w:val="none"/>
              </w:rPr>
            </w:pPr>
            <w:r>
              <w:rPr>
                <w:rFonts w:hint="eastAsia" w:ascii="宋体" w:hAnsi="宋体" w:eastAsia="宋体" w:cs="宋体"/>
                <w:color w:val="auto"/>
                <w:sz w:val="24"/>
                <w:highlight w:val="none"/>
              </w:rPr>
              <w:t>1．动火人必须持有特种作业人员操作证、动火证，按操作规程动火。</w:t>
            </w:r>
          </w:p>
          <w:p w14:paraId="45C92E49">
            <w:pPr>
              <w:rPr>
                <w:rFonts w:hint="eastAsia" w:ascii="宋体" w:hAnsi="宋体" w:eastAsia="宋体" w:cs="宋体"/>
                <w:color w:val="auto"/>
                <w:sz w:val="24"/>
                <w:highlight w:val="none"/>
              </w:rPr>
            </w:pPr>
            <w:r>
              <w:rPr>
                <w:rFonts w:hint="eastAsia" w:ascii="宋体" w:hAnsi="宋体" w:eastAsia="宋体" w:cs="宋体"/>
                <w:color w:val="auto"/>
                <w:sz w:val="24"/>
                <w:highlight w:val="none"/>
              </w:rPr>
              <w:t>2．主管科室责任人指定专人现场看火，并配备灭火器材，动火前清除5米内易燃易爆物品，防止发生火灾事故。</w:t>
            </w:r>
          </w:p>
          <w:p w14:paraId="280BD2F8">
            <w:pPr>
              <w:rPr>
                <w:rFonts w:hint="eastAsia" w:ascii="宋体" w:hAnsi="宋体" w:eastAsia="宋体" w:cs="宋体"/>
                <w:color w:val="auto"/>
                <w:sz w:val="24"/>
                <w:highlight w:val="none"/>
              </w:rPr>
            </w:pPr>
            <w:r>
              <w:rPr>
                <w:rFonts w:hint="eastAsia" w:ascii="宋体" w:hAnsi="宋体" w:eastAsia="宋体" w:cs="宋体"/>
                <w:color w:val="auto"/>
                <w:sz w:val="24"/>
                <w:highlight w:val="none"/>
              </w:rPr>
              <w:t>3．遇有无法清除的易燃物，必须采取防火措施。</w:t>
            </w:r>
          </w:p>
          <w:p w14:paraId="55C3B94F">
            <w:pPr>
              <w:rPr>
                <w:rFonts w:hint="eastAsia" w:ascii="宋体" w:hAnsi="宋体" w:eastAsia="宋体" w:cs="宋体"/>
                <w:color w:val="auto"/>
                <w:sz w:val="24"/>
                <w:highlight w:val="none"/>
              </w:rPr>
            </w:pPr>
            <w:r>
              <w:rPr>
                <w:rFonts w:hint="eastAsia" w:ascii="宋体" w:hAnsi="宋体" w:eastAsia="宋体" w:cs="宋体"/>
                <w:color w:val="auto"/>
                <w:sz w:val="24"/>
                <w:highlight w:val="none"/>
              </w:rPr>
              <w:t>4．主管部门责任人、看火人要了解动火区域的情况。</w:t>
            </w:r>
          </w:p>
          <w:p w14:paraId="482BF988">
            <w:pPr>
              <w:rPr>
                <w:rFonts w:hint="eastAsia" w:ascii="宋体" w:hAnsi="宋体" w:eastAsia="宋体" w:cs="宋体"/>
                <w:color w:val="auto"/>
                <w:sz w:val="24"/>
                <w:highlight w:val="none"/>
              </w:rPr>
            </w:pPr>
            <w:r>
              <w:rPr>
                <w:rFonts w:hint="eastAsia" w:ascii="宋体" w:hAnsi="宋体" w:eastAsia="宋体" w:cs="宋体"/>
                <w:color w:val="auto"/>
                <w:sz w:val="24"/>
                <w:highlight w:val="none"/>
              </w:rPr>
              <w:t>5．结束后必须对现场进行检查，确认无火灾隐患，切断电源后方可离开。</w:t>
            </w:r>
          </w:p>
        </w:tc>
      </w:tr>
    </w:tbl>
    <w:p w14:paraId="1B45EF73">
      <w:pPr>
        <w:rPr>
          <w:rFonts w:hint="eastAsia" w:ascii="宋体" w:hAnsi="宋体" w:eastAsia="宋体" w:cs="宋体"/>
          <w:color w:val="auto"/>
          <w:sz w:val="24"/>
          <w:highlight w:val="none"/>
        </w:rPr>
      </w:pPr>
    </w:p>
    <w:p w14:paraId="3C7A28C4">
      <w:pPr>
        <w:ind w:left="-863" w:leftChars="-411" w:firstLine="491" w:firstLineChars="205"/>
        <w:rPr>
          <w:rFonts w:hint="eastAsia" w:ascii="宋体" w:hAnsi="宋体" w:eastAsia="宋体" w:cs="宋体"/>
          <w:color w:val="auto"/>
          <w:sz w:val="24"/>
          <w:highlight w:val="none"/>
        </w:rPr>
        <w:sectPr>
          <w:pgSz w:w="16838" w:h="11906" w:orient="landscape"/>
          <w:pgMar w:top="720" w:right="720" w:bottom="720" w:left="720" w:header="851" w:footer="992" w:gutter="0"/>
          <w:cols w:equalWidth="0" w:num="2">
            <w:col w:w="10080" w:space="1260"/>
            <w:col w:w="4058"/>
          </w:cols>
          <w:docGrid w:linePitch="286" w:charSpace="0"/>
        </w:sectPr>
      </w:pPr>
      <w:r>
        <w:rPr>
          <w:rFonts w:hint="eastAsia" w:ascii="宋体" w:hAnsi="宋体" w:eastAsia="宋体" w:cs="宋体"/>
          <w:color w:val="auto"/>
          <w:sz w:val="24"/>
          <w:highlight w:val="none"/>
        </w:rPr>
        <w:t xml:space="preserve">批准单位（公章）：       批准人： 年    </w:t>
      </w:r>
    </w:p>
    <w:p w14:paraId="0B83E3A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附件7           医院车辆临时出入证申请表</w:t>
      </w:r>
    </w:p>
    <w:p w14:paraId="22B86E80">
      <w:pPr>
        <w:ind w:firstLine="1190" w:firstLineChars="494"/>
        <w:rPr>
          <w:rFonts w:hint="eastAsia" w:ascii="宋体" w:hAnsi="宋体" w:eastAsia="宋体" w:cs="宋体"/>
          <w:b/>
          <w:color w:val="auto"/>
          <w:sz w:val="24"/>
          <w:highlight w:val="none"/>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1"/>
        <w:gridCol w:w="1466"/>
        <w:gridCol w:w="2837"/>
      </w:tblGrid>
      <w:tr w14:paraId="3A54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8" w:type="dxa"/>
            <w:noWrap w:val="0"/>
            <w:vAlign w:val="center"/>
          </w:tcPr>
          <w:p w14:paraId="6A8F8BF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姓名</w:t>
            </w:r>
          </w:p>
        </w:tc>
        <w:tc>
          <w:tcPr>
            <w:tcW w:w="6854" w:type="dxa"/>
            <w:gridSpan w:val="3"/>
            <w:noWrap w:val="0"/>
            <w:vAlign w:val="center"/>
          </w:tcPr>
          <w:p w14:paraId="1D48300F">
            <w:pPr>
              <w:jc w:val="center"/>
              <w:rPr>
                <w:rFonts w:hint="eastAsia" w:ascii="宋体" w:hAnsi="宋体" w:eastAsia="宋体" w:cs="宋体"/>
                <w:color w:val="auto"/>
                <w:sz w:val="24"/>
                <w:highlight w:val="none"/>
              </w:rPr>
            </w:pPr>
          </w:p>
        </w:tc>
      </w:tr>
      <w:tr w14:paraId="1D56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8" w:type="dxa"/>
            <w:noWrap w:val="0"/>
            <w:vAlign w:val="center"/>
          </w:tcPr>
          <w:p w14:paraId="26C62AF8">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车牌号码</w:t>
            </w:r>
          </w:p>
        </w:tc>
        <w:tc>
          <w:tcPr>
            <w:tcW w:w="2551" w:type="dxa"/>
            <w:noWrap w:val="0"/>
            <w:vAlign w:val="center"/>
          </w:tcPr>
          <w:p w14:paraId="3BA8D1C2">
            <w:pPr>
              <w:jc w:val="center"/>
              <w:rPr>
                <w:rFonts w:hint="eastAsia" w:ascii="宋体" w:hAnsi="宋体" w:eastAsia="宋体" w:cs="宋体"/>
                <w:color w:val="auto"/>
                <w:sz w:val="24"/>
                <w:highlight w:val="none"/>
              </w:rPr>
            </w:pPr>
          </w:p>
        </w:tc>
        <w:tc>
          <w:tcPr>
            <w:tcW w:w="1466" w:type="dxa"/>
            <w:noWrap w:val="0"/>
            <w:vAlign w:val="center"/>
          </w:tcPr>
          <w:p w14:paraId="2006A51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停放时间</w:t>
            </w:r>
          </w:p>
        </w:tc>
        <w:tc>
          <w:tcPr>
            <w:tcW w:w="2837" w:type="dxa"/>
            <w:noWrap w:val="0"/>
            <w:vAlign w:val="center"/>
          </w:tcPr>
          <w:p w14:paraId="58951303">
            <w:pPr>
              <w:jc w:val="center"/>
              <w:rPr>
                <w:rFonts w:hint="eastAsia" w:ascii="宋体" w:hAnsi="宋体" w:eastAsia="宋体" w:cs="宋体"/>
                <w:color w:val="auto"/>
                <w:sz w:val="24"/>
                <w:highlight w:val="none"/>
              </w:rPr>
            </w:pPr>
          </w:p>
        </w:tc>
      </w:tr>
      <w:tr w14:paraId="4C44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8" w:type="dxa"/>
            <w:noWrap w:val="0"/>
            <w:vAlign w:val="center"/>
          </w:tcPr>
          <w:p w14:paraId="0E38BB26">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入口位置</w:t>
            </w:r>
          </w:p>
        </w:tc>
        <w:tc>
          <w:tcPr>
            <w:tcW w:w="2551" w:type="dxa"/>
            <w:noWrap w:val="0"/>
            <w:vAlign w:val="center"/>
          </w:tcPr>
          <w:p w14:paraId="51770FC5">
            <w:pPr>
              <w:jc w:val="center"/>
              <w:rPr>
                <w:rFonts w:hint="eastAsia" w:ascii="宋体" w:hAnsi="宋体" w:eastAsia="宋体" w:cs="宋体"/>
                <w:color w:val="auto"/>
                <w:sz w:val="24"/>
                <w:highlight w:val="none"/>
              </w:rPr>
            </w:pPr>
          </w:p>
        </w:tc>
        <w:tc>
          <w:tcPr>
            <w:tcW w:w="1466" w:type="dxa"/>
            <w:noWrap w:val="0"/>
            <w:vAlign w:val="center"/>
          </w:tcPr>
          <w:p w14:paraId="7E46E21B">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出口位置</w:t>
            </w:r>
          </w:p>
        </w:tc>
        <w:tc>
          <w:tcPr>
            <w:tcW w:w="2837" w:type="dxa"/>
            <w:noWrap w:val="0"/>
            <w:vAlign w:val="center"/>
          </w:tcPr>
          <w:p w14:paraId="21E061C3">
            <w:pPr>
              <w:jc w:val="center"/>
              <w:rPr>
                <w:rFonts w:hint="eastAsia" w:ascii="宋体" w:hAnsi="宋体" w:eastAsia="宋体" w:cs="宋体"/>
                <w:color w:val="auto"/>
                <w:sz w:val="24"/>
                <w:highlight w:val="none"/>
              </w:rPr>
            </w:pPr>
          </w:p>
        </w:tc>
      </w:tr>
      <w:tr w14:paraId="41CF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68" w:type="dxa"/>
            <w:noWrap w:val="0"/>
            <w:vAlign w:val="center"/>
          </w:tcPr>
          <w:p w14:paraId="3990D95D">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联系人</w:t>
            </w:r>
          </w:p>
        </w:tc>
        <w:tc>
          <w:tcPr>
            <w:tcW w:w="2551" w:type="dxa"/>
            <w:noWrap w:val="0"/>
            <w:vAlign w:val="center"/>
          </w:tcPr>
          <w:p w14:paraId="461B818A">
            <w:pPr>
              <w:jc w:val="center"/>
              <w:rPr>
                <w:rFonts w:hint="eastAsia" w:ascii="宋体" w:hAnsi="宋体" w:eastAsia="宋体" w:cs="宋体"/>
                <w:color w:val="auto"/>
                <w:sz w:val="24"/>
                <w:highlight w:val="none"/>
              </w:rPr>
            </w:pPr>
          </w:p>
        </w:tc>
        <w:tc>
          <w:tcPr>
            <w:tcW w:w="1466" w:type="dxa"/>
            <w:noWrap w:val="0"/>
            <w:vAlign w:val="center"/>
          </w:tcPr>
          <w:p w14:paraId="156E6521">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c>
          <w:tcPr>
            <w:tcW w:w="2837" w:type="dxa"/>
            <w:noWrap w:val="0"/>
            <w:vAlign w:val="center"/>
          </w:tcPr>
          <w:p w14:paraId="60C8BA12">
            <w:pPr>
              <w:jc w:val="center"/>
              <w:rPr>
                <w:rFonts w:hint="eastAsia" w:ascii="宋体" w:hAnsi="宋体" w:eastAsia="宋体" w:cs="宋体"/>
                <w:color w:val="auto"/>
                <w:sz w:val="24"/>
                <w:highlight w:val="none"/>
              </w:rPr>
            </w:pPr>
          </w:p>
          <w:p w14:paraId="090E64A0">
            <w:pPr>
              <w:jc w:val="center"/>
              <w:rPr>
                <w:rFonts w:hint="eastAsia" w:ascii="宋体" w:hAnsi="宋体" w:eastAsia="宋体" w:cs="宋体"/>
                <w:color w:val="auto"/>
                <w:sz w:val="24"/>
                <w:highlight w:val="none"/>
              </w:rPr>
            </w:pPr>
          </w:p>
        </w:tc>
      </w:tr>
      <w:tr w14:paraId="42A5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68" w:type="dxa"/>
            <w:noWrap w:val="0"/>
            <w:vAlign w:val="center"/>
          </w:tcPr>
          <w:p w14:paraId="5DF8A89E">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出入证有效期</w:t>
            </w:r>
          </w:p>
        </w:tc>
        <w:tc>
          <w:tcPr>
            <w:tcW w:w="6854" w:type="dxa"/>
            <w:gridSpan w:val="3"/>
            <w:noWrap w:val="0"/>
            <w:vAlign w:val="center"/>
          </w:tcPr>
          <w:p w14:paraId="5CA7F4C1">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年   月   日　　——　　　年　　月　　日</w:t>
            </w:r>
          </w:p>
        </w:tc>
      </w:tr>
      <w:tr w14:paraId="0A6C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1668" w:type="dxa"/>
            <w:noWrap w:val="0"/>
            <w:vAlign w:val="center"/>
          </w:tcPr>
          <w:p w14:paraId="0A57029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申请</w:t>
            </w:r>
          </w:p>
          <w:p w14:paraId="471D12C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理由</w:t>
            </w:r>
          </w:p>
          <w:p w14:paraId="05118375">
            <w:pPr>
              <w:spacing w:line="360" w:lineRule="auto"/>
              <w:ind w:firstLine="4096" w:firstLineChars="1700"/>
              <w:jc w:val="center"/>
              <w:rPr>
                <w:rFonts w:hint="eastAsia" w:ascii="宋体" w:hAnsi="宋体" w:eastAsia="宋体" w:cs="宋体"/>
                <w:b/>
                <w:color w:val="auto"/>
                <w:sz w:val="24"/>
                <w:highlight w:val="none"/>
              </w:rPr>
            </w:pPr>
          </w:p>
        </w:tc>
        <w:tc>
          <w:tcPr>
            <w:tcW w:w="6854" w:type="dxa"/>
            <w:gridSpan w:val="3"/>
            <w:noWrap w:val="0"/>
            <w:vAlign w:val="top"/>
          </w:tcPr>
          <w:p w14:paraId="514A15D0">
            <w:pPr>
              <w:rPr>
                <w:rFonts w:hint="eastAsia" w:ascii="宋体" w:hAnsi="宋体" w:eastAsia="宋体" w:cs="宋体"/>
                <w:b/>
                <w:color w:val="auto"/>
                <w:sz w:val="24"/>
                <w:highlight w:val="none"/>
              </w:rPr>
            </w:pPr>
          </w:p>
          <w:p w14:paraId="15515A7E">
            <w:pPr>
              <w:rPr>
                <w:rFonts w:hint="eastAsia" w:ascii="宋体" w:hAnsi="宋体" w:eastAsia="宋体" w:cs="宋体"/>
                <w:b/>
                <w:color w:val="auto"/>
                <w:sz w:val="24"/>
                <w:highlight w:val="none"/>
              </w:rPr>
            </w:pPr>
          </w:p>
          <w:p w14:paraId="2C55917D">
            <w:pPr>
              <w:rPr>
                <w:rFonts w:hint="eastAsia" w:ascii="宋体" w:hAnsi="宋体" w:eastAsia="宋体" w:cs="宋体"/>
                <w:b/>
                <w:color w:val="auto"/>
                <w:sz w:val="24"/>
                <w:highlight w:val="none"/>
              </w:rPr>
            </w:pPr>
          </w:p>
          <w:p w14:paraId="142E4597">
            <w:pPr>
              <w:rPr>
                <w:rFonts w:hint="eastAsia" w:ascii="宋体" w:hAnsi="宋体" w:eastAsia="宋体" w:cs="宋体"/>
                <w:b/>
                <w:color w:val="auto"/>
                <w:sz w:val="24"/>
                <w:highlight w:val="none"/>
              </w:rPr>
            </w:pPr>
          </w:p>
          <w:p w14:paraId="5D7F57CF">
            <w:pPr>
              <w:rPr>
                <w:rFonts w:hint="eastAsia" w:ascii="宋体" w:hAnsi="宋体" w:eastAsia="宋体" w:cs="宋体"/>
                <w:b/>
                <w:color w:val="auto"/>
                <w:sz w:val="24"/>
                <w:highlight w:val="none"/>
              </w:rPr>
            </w:pPr>
          </w:p>
          <w:p w14:paraId="433BCA2F">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签名：</w:t>
            </w:r>
          </w:p>
          <w:p w14:paraId="35ECA907">
            <w:pPr>
              <w:rPr>
                <w:rFonts w:hint="eastAsia" w:ascii="宋体" w:hAnsi="宋体" w:eastAsia="宋体" w:cs="宋体"/>
                <w:b/>
                <w:color w:val="auto"/>
                <w:sz w:val="24"/>
                <w:highlight w:val="none"/>
              </w:rPr>
            </w:pPr>
          </w:p>
          <w:p w14:paraId="63F0E7DE">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日期：    年     月    日</w:t>
            </w:r>
          </w:p>
        </w:tc>
      </w:tr>
      <w:tr w14:paraId="2B88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668" w:type="dxa"/>
            <w:noWrap w:val="0"/>
            <w:vAlign w:val="center"/>
          </w:tcPr>
          <w:p w14:paraId="50CFF9B7">
            <w:pPr>
              <w:spacing w:line="360" w:lineRule="auto"/>
              <w:jc w:val="center"/>
              <w:rPr>
                <w:rFonts w:hint="eastAsia" w:ascii="宋体" w:hAnsi="宋体" w:eastAsia="宋体" w:cs="宋体"/>
                <w:b/>
                <w:color w:val="auto"/>
                <w:sz w:val="24"/>
                <w:highlight w:val="none"/>
              </w:rPr>
            </w:pPr>
          </w:p>
          <w:p w14:paraId="6BAC6C04">
            <w:pPr>
              <w:spacing w:line="360" w:lineRule="auto"/>
              <w:jc w:val="center"/>
              <w:rPr>
                <w:rFonts w:hint="eastAsia" w:ascii="宋体" w:hAnsi="宋体" w:eastAsia="宋体" w:cs="宋体"/>
                <w:b/>
                <w:color w:val="auto"/>
                <w:sz w:val="24"/>
                <w:highlight w:val="none"/>
              </w:rPr>
            </w:pPr>
          </w:p>
          <w:p w14:paraId="604D4DE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申请</w:t>
            </w:r>
          </w:p>
          <w:p w14:paraId="196D9D9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科室意见</w:t>
            </w:r>
          </w:p>
          <w:p w14:paraId="1C776992">
            <w:pPr>
              <w:spacing w:line="360" w:lineRule="auto"/>
              <w:rPr>
                <w:rFonts w:hint="eastAsia" w:ascii="宋体" w:hAnsi="宋体" w:eastAsia="宋体" w:cs="宋体"/>
                <w:b/>
                <w:color w:val="auto"/>
                <w:sz w:val="24"/>
                <w:highlight w:val="none"/>
              </w:rPr>
            </w:pPr>
          </w:p>
        </w:tc>
        <w:tc>
          <w:tcPr>
            <w:tcW w:w="6854" w:type="dxa"/>
            <w:gridSpan w:val="3"/>
            <w:noWrap w:val="0"/>
            <w:vAlign w:val="top"/>
          </w:tcPr>
          <w:p w14:paraId="74C9A20F">
            <w:pPr>
              <w:rPr>
                <w:rFonts w:hint="eastAsia" w:ascii="宋体" w:hAnsi="宋体" w:eastAsia="宋体" w:cs="宋体"/>
                <w:b/>
                <w:color w:val="auto"/>
                <w:sz w:val="24"/>
                <w:highlight w:val="none"/>
              </w:rPr>
            </w:pPr>
          </w:p>
          <w:p w14:paraId="3EBABEE1">
            <w:pPr>
              <w:rPr>
                <w:rFonts w:hint="eastAsia" w:ascii="宋体" w:hAnsi="宋体" w:eastAsia="宋体" w:cs="宋体"/>
                <w:b/>
                <w:color w:val="auto"/>
                <w:sz w:val="24"/>
                <w:highlight w:val="none"/>
              </w:rPr>
            </w:pPr>
          </w:p>
          <w:p w14:paraId="4B823C00">
            <w:pPr>
              <w:rPr>
                <w:rFonts w:hint="eastAsia" w:ascii="宋体" w:hAnsi="宋体" w:eastAsia="宋体" w:cs="宋体"/>
                <w:b/>
                <w:color w:val="auto"/>
                <w:sz w:val="24"/>
                <w:highlight w:val="none"/>
              </w:rPr>
            </w:pPr>
          </w:p>
          <w:p w14:paraId="13F36089">
            <w:pPr>
              <w:rPr>
                <w:rFonts w:hint="eastAsia" w:ascii="宋体" w:hAnsi="宋体" w:eastAsia="宋体" w:cs="宋体"/>
                <w:b/>
                <w:color w:val="auto"/>
                <w:sz w:val="24"/>
                <w:highlight w:val="none"/>
              </w:rPr>
            </w:pPr>
          </w:p>
          <w:p w14:paraId="24AA5406">
            <w:pPr>
              <w:rPr>
                <w:rFonts w:hint="eastAsia" w:ascii="宋体" w:hAnsi="宋体" w:eastAsia="宋体" w:cs="宋体"/>
                <w:b/>
                <w:color w:val="auto"/>
                <w:sz w:val="24"/>
                <w:highlight w:val="none"/>
              </w:rPr>
            </w:pPr>
          </w:p>
          <w:p w14:paraId="78B47D7B">
            <w:pPr>
              <w:rPr>
                <w:rFonts w:hint="eastAsia" w:ascii="宋体" w:hAnsi="宋体" w:eastAsia="宋体" w:cs="宋体"/>
                <w:b/>
                <w:color w:val="auto"/>
                <w:sz w:val="24"/>
                <w:highlight w:val="none"/>
              </w:rPr>
            </w:pPr>
          </w:p>
          <w:p w14:paraId="1EE8B623">
            <w:pPr>
              <w:ind w:left="20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科室负责人（签名）：</w:t>
            </w:r>
          </w:p>
          <w:p w14:paraId="1624C19F">
            <w:pPr>
              <w:ind w:left="3600"/>
              <w:rPr>
                <w:rFonts w:hint="eastAsia" w:ascii="宋体" w:hAnsi="宋体" w:eastAsia="宋体" w:cs="宋体"/>
                <w:b/>
                <w:color w:val="auto"/>
                <w:sz w:val="24"/>
                <w:highlight w:val="none"/>
              </w:rPr>
            </w:pPr>
          </w:p>
          <w:p w14:paraId="61D66991">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日期：    年     月    日</w:t>
            </w:r>
          </w:p>
        </w:tc>
      </w:tr>
      <w:tr w14:paraId="3C86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668" w:type="dxa"/>
            <w:noWrap w:val="0"/>
            <w:vAlign w:val="center"/>
          </w:tcPr>
          <w:p w14:paraId="1597250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总务处</w:t>
            </w:r>
          </w:p>
          <w:p w14:paraId="02E272F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审批意见</w:t>
            </w:r>
          </w:p>
          <w:p w14:paraId="7F090A8E">
            <w:pPr>
              <w:ind w:firstLine="3855" w:firstLineChars="1600"/>
              <w:jc w:val="center"/>
              <w:rPr>
                <w:rFonts w:hint="eastAsia" w:ascii="宋体" w:hAnsi="宋体" w:eastAsia="宋体" w:cs="宋体"/>
                <w:b/>
                <w:color w:val="auto"/>
                <w:sz w:val="24"/>
                <w:highlight w:val="none"/>
              </w:rPr>
            </w:pPr>
          </w:p>
          <w:p w14:paraId="28CE78E0">
            <w:pPr>
              <w:jc w:val="center"/>
              <w:rPr>
                <w:rFonts w:hint="eastAsia" w:ascii="宋体" w:hAnsi="宋体" w:eastAsia="宋体" w:cs="宋体"/>
                <w:b/>
                <w:color w:val="auto"/>
                <w:sz w:val="24"/>
                <w:highlight w:val="none"/>
              </w:rPr>
            </w:pPr>
          </w:p>
        </w:tc>
        <w:tc>
          <w:tcPr>
            <w:tcW w:w="6854" w:type="dxa"/>
            <w:gridSpan w:val="3"/>
            <w:noWrap w:val="0"/>
            <w:vAlign w:val="top"/>
          </w:tcPr>
          <w:p w14:paraId="128058F2">
            <w:pPr>
              <w:rPr>
                <w:rFonts w:hint="eastAsia" w:ascii="宋体" w:hAnsi="宋体" w:eastAsia="宋体" w:cs="宋体"/>
                <w:b/>
                <w:color w:val="auto"/>
                <w:sz w:val="24"/>
                <w:highlight w:val="none"/>
              </w:rPr>
            </w:pPr>
          </w:p>
          <w:p w14:paraId="2960BEE6">
            <w:pPr>
              <w:rPr>
                <w:rFonts w:hint="eastAsia" w:ascii="宋体" w:hAnsi="宋体" w:eastAsia="宋体" w:cs="宋体"/>
                <w:b/>
                <w:color w:val="auto"/>
                <w:sz w:val="24"/>
                <w:highlight w:val="none"/>
              </w:rPr>
            </w:pPr>
          </w:p>
          <w:p w14:paraId="19EFCA7E">
            <w:pPr>
              <w:rPr>
                <w:rFonts w:hint="eastAsia" w:ascii="宋体" w:hAnsi="宋体" w:eastAsia="宋体" w:cs="宋体"/>
                <w:b/>
                <w:color w:val="auto"/>
                <w:sz w:val="24"/>
                <w:highlight w:val="none"/>
              </w:rPr>
            </w:pPr>
          </w:p>
          <w:p w14:paraId="40D2BDB3">
            <w:pPr>
              <w:rPr>
                <w:rFonts w:hint="eastAsia" w:ascii="宋体" w:hAnsi="宋体" w:eastAsia="宋体" w:cs="宋体"/>
                <w:b/>
                <w:color w:val="auto"/>
                <w:sz w:val="24"/>
                <w:highlight w:val="none"/>
              </w:rPr>
            </w:pPr>
          </w:p>
          <w:p w14:paraId="798C9A6D">
            <w:pPr>
              <w:rPr>
                <w:rFonts w:hint="eastAsia" w:ascii="宋体" w:hAnsi="宋体" w:eastAsia="宋体" w:cs="宋体"/>
                <w:b/>
                <w:color w:val="auto"/>
                <w:sz w:val="24"/>
                <w:highlight w:val="none"/>
              </w:rPr>
            </w:pPr>
          </w:p>
          <w:p w14:paraId="142C9303">
            <w:pPr>
              <w:rPr>
                <w:rFonts w:hint="eastAsia" w:ascii="宋体" w:hAnsi="宋体" w:eastAsia="宋体" w:cs="宋体"/>
                <w:b/>
                <w:color w:val="auto"/>
                <w:sz w:val="24"/>
                <w:highlight w:val="none"/>
              </w:rPr>
            </w:pPr>
          </w:p>
          <w:p w14:paraId="31219923">
            <w:pPr>
              <w:ind w:left="20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科室负责人（签名）：</w:t>
            </w:r>
          </w:p>
          <w:p w14:paraId="7BFC180F">
            <w:pPr>
              <w:ind w:left="3582"/>
              <w:rPr>
                <w:rFonts w:hint="eastAsia" w:ascii="宋体" w:hAnsi="宋体" w:eastAsia="宋体" w:cs="宋体"/>
                <w:b/>
                <w:color w:val="auto"/>
                <w:sz w:val="24"/>
                <w:highlight w:val="none"/>
              </w:rPr>
            </w:pPr>
          </w:p>
          <w:p w14:paraId="283639F8">
            <w:pPr>
              <w:ind w:left="358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日期：    年     月    日</w:t>
            </w:r>
          </w:p>
        </w:tc>
      </w:tr>
    </w:tbl>
    <w:p w14:paraId="6AD84462">
      <w:pPr>
        <w:tabs>
          <w:tab w:val="left" w:pos="1620"/>
        </w:tabs>
        <w:spacing w:line="360" w:lineRule="auto"/>
        <w:rPr>
          <w:rFonts w:hint="eastAsia" w:ascii="宋体" w:hAnsi="宋体" w:eastAsia="宋体" w:cs="宋体"/>
          <w:b/>
          <w:color w:val="auto"/>
          <w:sz w:val="24"/>
          <w:highlight w:val="none"/>
        </w:rPr>
      </w:pPr>
    </w:p>
    <w:p w14:paraId="5BAEB554">
      <w:pPr>
        <w:rPr>
          <w:rFonts w:hint="eastAsia" w:ascii="宋体" w:hAnsi="宋体" w:eastAsia="宋体" w:cs="宋体"/>
          <w:b/>
          <w:color w:val="auto"/>
          <w:sz w:val="24"/>
          <w:highlight w:val="none"/>
        </w:rPr>
      </w:pPr>
    </w:p>
    <w:p w14:paraId="10D45BF5">
      <w:pPr>
        <w:rPr>
          <w:rFonts w:hint="eastAsia" w:ascii="宋体" w:hAnsi="宋体" w:eastAsia="宋体" w:cs="宋体"/>
          <w:b/>
          <w:color w:val="auto"/>
          <w:sz w:val="24"/>
          <w:highlight w:val="none"/>
        </w:rPr>
      </w:pPr>
    </w:p>
    <w:p w14:paraId="71176222">
      <w:pPr>
        <w:rPr>
          <w:rFonts w:hint="eastAsia" w:ascii="宋体" w:hAnsi="宋体" w:eastAsia="宋体" w:cs="宋体"/>
          <w:b/>
          <w:color w:val="auto"/>
          <w:sz w:val="24"/>
          <w:highlight w:val="none"/>
        </w:rPr>
      </w:pPr>
    </w:p>
    <w:p w14:paraId="66B29ACC">
      <w:pPr>
        <w:rPr>
          <w:rFonts w:hint="eastAsia" w:ascii="宋体" w:hAnsi="宋体" w:eastAsia="宋体" w:cs="宋体"/>
          <w:b/>
          <w:color w:val="auto"/>
          <w:sz w:val="24"/>
          <w:highlight w:val="none"/>
        </w:rPr>
      </w:pPr>
    </w:p>
    <w:p w14:paraId="189187CA">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附件8             关于物品临时存放公共区域的管理规定</w:t>
      </w:r>
    </w:p>
    <w:p w14:paraId="30F3E9E0">
      <w:pPr>
        <w:jc w:val="center"/>
        <w:rPr>
          <w:rFonts w:hint="eastAsia" w:ascii="宋体" w:hAnsi="宋体" w:eastAsia="宋体" w:cs="宋体"/>
          <w:b/>
          <w:color w:val="auto"/>
          <w:sz w:val="24"/>
          <w:highlight w:val="none"/>
        </w:rPr>
      </w:pPr>
    </w:p>
    <w:p w14:paraId="7C0CC26C">
      <w:pPr>
        <w:rPr>
          <w:rFonts w:hint="eastAsia" w:ascii="宋体" w:hAnsi="宋体" w:eastAsia="宋体" w:cs="宋体"/>
          <w:color w:val="auto"/>
          <w:sz w:val="24"/>
          <w:highlight w:val="none"/>
        </w:rPr>
      </w:pPr>
      <w:r>
        <w:rPr>
          <w:rFonts w:hint="eastAsia" w:ascii="宋体" w:hAnsi="宋体" w:eastAsia="宋体" w:cs="宋体"/>
          <w:color w:val="auto"/>
          <w:sz w:val="24"/>
          <w:highlight w:val="none"/>
        </w:rPr>
        <w:t>一、目的</w:t>
      </w:r>
    </w:p>
    <w:p w14:paraId="1C7397A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为加强院区内公共区域临时存放物品的管理，规范流程，确保院区安全和维护整体环境，特制定本规定。</w:t>
      </w:r>
    </w:p>
    <w:p w14:paraId="7D22C080">
      <w:pPr>
        <w:numPr>
          <w:ilvl w:val="0"/>
          <w:numId w:val="15"/>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适用范围</w:t>
      </w:r>
    </w:p>
    <w:p w14:paraId="65E0748E">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院区内所有临时堆放物品，包括待用物品（含施工材料）和待清理废物。</w:t>
      </w:r>
    </w:p>
    <w:p w14:paraId="10204EEC">
      <w:pPr>
        <w:numPr>
          <w:ilvl w:val="0"/>
          <w:numId w:val="15"/>
        </w:numPr>
        <w:rPr>
          <w:rFonts w:hint="eastAsia" w:ascii="宋体" w:hAnsi="宋体" w:eastAsia="宋体" w:cs="宋体"/>
          <w:color w:val="auto"/>
          <w:sz w:val="24"/>
          <w:highlight w:val="none"/>
        </w:rPr>
      </w:pPr>
      <w:r>
        <w:rPr>
          <w:rFonts w:hint="eastAsia" w:ascii="宋体" w:hAnsi="宋体" w:eastAsia="宋体" w:cs="宋体"/>
          <w:color w:val="auto"/>
          <w:sz w:val="24"/>
          <w:highlight w:val="none"/>
        </w:rPr>
        <w:t>规定细则</w:t>
      </w:r>
    </w:p>
    <w:p w14:paraId="5CA00DDE">
      <w:pPr>
        <w:numPr>
          <w:ilvl w:val="0"/>
          <w:numId w:val="16"/>
        </w:num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物品临时存放的职能管理科室是总务处和保卫处。如供应商/服务商/承包商需在院区范围内临时堆放物品，由所属主管科室提出申请；</w:t>
      </w:r>
    </w:p>
    <w:p w14:paraId="2D675956">
      <w:pPr>
        <w:numPr>
          <w:ilvl w:val="0"/>
          <w:numId w:val="16"/>
        </w:num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需临时堆放物品的科室须填写《临时物品堆放申请单》，经职能科室总务处和保卫处批准及登记后方可堆放；</w:t>
      </w:r>
    </w:p>
    <w:p w14:paraId="7A2721ED">
      <w:pPr>
        <w:numPr>
          <w:ilvl w:val="0"/>
          <w:numId w:val="16"/>
        </w:num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物品必须堆放在指定区域内，张贴《临时存放物品信息卡》，以便管理；</w:t>
      </w:r>
    </w:p>
    <w:p w14:paraId="1FB04038">
      <w:pPr>
        <w:numPr>
          <w:ilvl w:val="0"/>
          <w:numId w:val="16"/>
        </w:num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申请科室或合作单位负责物品临时堆放的安全管理，职能科室做好巡查工作。</w:t>
      </w:r>
    </w:p>
    <w:p w14:paraId="72C60E24">
      <w:pPr>
        <w:numPr>
          <w:ilvl w:val="0"/>
          <w:numId w:val="16"/>
        </w:num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物品临时堆放期限到期后，申请科室或合作单位自行处理；超过申请期限，如需继续存放，须重新办理申请，征得职能科室同意后方可再继续堆放。</w:t>
      </w:r>
    </w:p>
    <w:p w14:paraId="4D02682E">
      <w:pPr>
        <w:numPr>
          <w:ilvl w:val="0"/>
          <w:numId w:val="16"/>
        </w:num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凡未经批准乱堆乱放、不张贴信息资料牌、超期存放或造成安全事故等，职能科室有权处置并酌情给予通报和罚款。</w:t>
      </w:r>
    </w:p>
    <w:p w14:paraId="167EA0AD">
      <w:pPr>
        <w:rPr>
          <w:rFonts w:hint="eastAsia" w:ascii="宋体" w:hAnsi="宋体" w:eastAsia="宋体" w:cs="宋体"/>
          <w:color w:val="auto"/>
          <w:sz w:val="24"/>
          <w:highlight w:val="none"/>
        </w:rPr>
      </w:pPr>
      <w:r>
        <w:rPr>
          <w:rFonts w:hint="eastAsia" w:ascii="宋体" w:hAnsi="宋体" w:eastAsia="宋体" w:cs="宋体"/>
          <w:color w:val="auto"/>
          <w:sz w:val="24"/>
          <w:highlight w:val="none"/>
        </w:rPr>
        <w:t>四、注意事项</w:t>
      </w:r>
    </w:p>
    <w:p w14:paraId="5E790791">
      <w:p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1、新安装的设备仪器包装木箱、木条等包装物不可丢弃在楼梯通道、外围、地库等公共区域，需由供应商及时清理，若有保质期限要求，按物品临时堆放处理填写申请单，获得批准后方可堆放在指定区域；</w:t>
      </w:r>
    </w:p>
    <w:p w14:paraId="5D1B5C05">
      <w:p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2、建筑施工材料必须堆放到指定区域，施工垃圾按要求到总务处领取《临时堆放证》（仅限周末可以堆放），要做到及时清运处理；</w:t>
      </w:r>
    </w:p>
    <w:p w14:paraId="38207180">
      <w:pPr>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3、报废家具、设备按医院资产报废流程处理，科室向主管部门申请获得批复后由主管部门通知物业公司安排人员进行搬运，放置在仓库或指定区域。</w:t>
      </w:r>
    </w:p>
    <w:p w14:paraId="272690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73D9ED">
      <w:pPr>
        <w:rPr>
          <w:rFonts w:hint="eastAsia" w:ascii="宋体" w:hAnsi="宋体" w:eastAsia="宋体" w:cs="宋体"/>
          <w:color w:val="auto"/>
          <w:sz w:val="24"/>
          <w:highlight w:val="none"/>
        </w:rPr>
      </w:pPr>
    </w:p>
    <w:p w14:paraId="5A9CFBDA">
      <w:pPr>
        <w:spacing w:line="360" w:lineRule="auto"/>
        <w:rPr>
          <w:rFonts w:hint="eastAsia" w:ascii="宋体" w:hAnsi="宋体" w:eastAsia="宋体" w:cs="宋体"/>
          <w:color w:val="auto"/>
          <w:sz w:val="24"/>
          <w:highlight w:val="none"/>
        </w:rPr>
      </w:pPr>
    </w:p>
    <w:p w14:paraId="3390621F">
      <w:pPr>
        <w:spacing w:line="360" w:lineRule="auto"/>
        <w:rPr>
          <w:rFonts w:hint="eastAsia" w:ascii="宋体" w:hAnsi="宋体" w:eastAsia="宋体" w:cs="宋体"/>
          <w:color w:val="auto"/>
          <w:sz w:val="24"/>
          <w:highlight w:val="none"/>
        </w:rPr>
      </w:pPr>
    </w:p>
    <w:p w14:paraId="12C0B26B">
      <w:pPr>
        <w:spacing w:line="360" w:lineRule="auto"/>
        <w:rPr>
          <w:rFonts w:hint="eastAsia" w:ascii="宋体" w:hAnsi="宋体" w:eastAsia="宋体" w:cs="宋体"/>
          <w:color w:val="auto"/>
          <w:sz w:val="24"/>
          <w:highlight w:val="none"/>
        </w:rPr>
      </w:pPr>
    </w:p>
    <w:p w14:paraId="10740EEC">
      <w:pPr>
        <w:spacing w:line="360" w:lineRule="auto"/>
        <w:rPr>
          <w:rFonts w:hint="eastAsia" w:ascii="宋体" w:hAnsi="宋体" w:eastAsia="宋体" w:cs="宋体"/>
          <w:color w:val="auto"/>
          <w:sz w:val="24"/>
          <w:highlight w:val="none"/>
        </w:rPr>
      </w:pPr>
    </w:p>
    <w:p w14:paraId="27B48081">
      <w:pPr>
        <w:spacing w:line="360" w:lineRule="auto"/>
        <w:rPr>
          <w:rFonts w:hint="eastAsia" w:ascii="宋体" w:hAnsi="宋体" w:eastAsia="宋体" w:cs="宋体"/>
          <w:color w:val="auto"/>
          <w:sz w:val="24"/>
          <w:highlight w:val="none"/>
        </w:rPr>
      </w:pPr>
    </w:p>
    <w:p w14:paraId="00D6DBDA">
      <w:pPr>
        <w:spacing w:line="360" w:lineRule="auto"/>
        <w:rPr>
          <w:rFonts w:hint="eastAsia" w:ascii="宋体" w:hAnsi="宋体" w:eastAsia="宋体" w:cs="宋体"/>
          <w:color w:val="auto"/>
          <w:sz w:val="24"/>
          <w:highlight w:val="none"/>
        </w:rPr>
      </w:pPr>
    </w:p>
    <w:p w14:paraId="165E5DB2">
      <w:pPr>
        <w:spacing w:line="360" w:lineRule="auto"/>
        <w:rPr>
          <w:rFonts w:hint="eastAsia" w:ascii="宋体" w:hAnsi="宋体" w:eastAsia="宋体" w:cs="宋体"/>
          <w:color w:val="auto"/>
          <w:sz w:val="24"/>
          <w:highlight w:val="none"/>
        </w:rPr>
      </w:pPr>
    </w:p>
    <w:p w14:paraId="7DABD4BA">
      <w:pPr>
        <w:spacing w:line="360" w:lineRule="auto"/>
        <w:rPr>
          <w:rFonts w:hint="eastAsia" w:ascii="宋体" w:hAnsi="宋体" w:eastAsia="宋体" w:cs="宋体"/>
          <w:color w:val="auto"/>
          <w:sz w:val="24"/>
          <w:highlight w:val="none"/>
        </w:rPr>
      </w:pPr>
    </w:p>
    <w:p w14:paraId="44DF14BD">
      <w:pPr>
        <w:spacing w:line="360" w:lineRule="auto"/>
        <w:rPr>
          <w:rFonts w:hint="eastAsia" w:ascii="宋体" w:hAnsi="宋体" w:eastAsia="宋体" w:cs="宋体"/>
          <w:color w:val="auto"/>
          <w:sz w:val="24"/>
          <w:highlight w:val="none"/>
        </w:rPr>
      </w:pPr>
    </w:p>
    <w:p w14:paraId="52E1BC70">
      <w:pPr>
        <w:spacing w:afterLines="100" w:line="360" w:lineRule="auto"/>
        <w:jc w:val="center"/>
        <w:rPr>
          <w:rFonts w:hint="eastAsia" w:ascii="宋体" w:hAnsi="宋体" w:eastAsia="宋体" w:cs="宋体"/>
          <w:b/>
          <w:color w:val="auto"/>
          <w:sz w:val="24"/>
          <w:highlight w:val="none"/>
        </w:rPr>
      </w:pPr>
    </w:p>
    <w:p w14:paraId="5C64FFD9">
      <w:pPr>
        <w:spacing w:afterLines="10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附件9                物品临时存放申请单</w:t>
      </w:r>
    </w:p>
    <w:tbl>
      <w:tblPr>
        <w:tblStyle w:val="8"/>
        <w:tblW w:w="86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750"/>
        <w:gridCol w:w="1771"/>
        <w:gridCol w:w="1538"/>
      </w:tblGrid>
      <w:tr w14:paraId="0018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623" w:type="dxa"/>
            <w:noWrap w:val="0"/>
            <w:vAlign w:val="center"/>
          </w:tcPr>
          <w:p w14:paraId="4FF89AD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申请科室或</w:t>
            </w:r>
          </w:p>
          <w:p w14:paraId="6684FB3E">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单位（供应商/服务商/承包商）</w:t>
            </w:r>
          </w:p>
        </w:tc>
        <w:tc>
          <w:tcPr>
            <w:tcW w:w="6059" w:type="dxa"/>
            <w:gridSpan w:val="3"/>
            <w:noWrap w:val="0"/>
            <w:vAlign w:val="center"/>
          </w:tcPr>
          <w:p w14:paraId="4B189E78">
            <w:pPr>
              <w:jc w:val="center"/>
              <w:rPr>
                <w:rFonts w:hint="eastAsia" w:ascii="宋体" w:hAnsi="宋体" w:eastAsia="宋体" w:cs="宋体"/>
                <w:b/>
                <w:color w:val="auto"/>
                <w:sz w:val="24"/>
                <w:highlight w:val="none"/>
              </w:rPr>
            </w:pPr>
          </w:p>
        </w:tc>
      </w:tr>
      <w:tr w14:paraId="6CBC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623" w:type="dxa"/>
            <w:noWrap w:val="0"/>
            <w:vAlign w:val="center"/>
          </w:tcPr>
          <w:p w14:paraId="0112873B">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联系人</w:t>
            </w:r>
          </w:p>
        </w:tc>
        <w:tc>
          <w:tcPr>
            <w:tcW w:w="2750" w:type="dxa"/>
            <w:noWrap w:val="0"/>
            <w:vAlign w:val="center"/>
          </w:tcPr>
          <w:p w14:paraId="62AE4D74">
            <w:pPr>
              <w:jc w:val="center"/>
              <w:rPr>
                <w:rFonts w:hint="eastAsia" w:ascii="宋体" w:hAnsi="宋体" w:eastAsia="宋体" w:cs="宋体"/>
                <w:b/>
                <w:color w:val="auto"/>
                <w:sz w:val="24"/>
                <w:highlight w:val="none"/>
              </w:rPr>
            </w:pPr>
          </w:p>
        </w:tc>
        <w:tc>
          <w:tcPr>
            <w:tcW w:w="1771" w:type="dxa"/>
            <w:noWrap w:val="0"/>
            <w:vAlign w:val="center"/>
          </w:tcPr>
          <w:p w14:paraId="173750E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c>
          <w:tcPr>
            <w:tcW w:w="1538" w:type="dxa"/>
            <w:noWrap w:val="0"/>
            <w:vAlign w:val="center"/>
          </w:tcPr>
          <w:p w14:paraId="039FD3C8">
            <w:pPr>
              <w:jc w:val="center"/>
              <w:rPr>
                <w:rFonts w:hint="eastAsia" w:ascii="宋体" w:hAnsi="宋体" w:eastAsia="宋体" w:cs="宋体"/>
                <w:b/>
                <w:color w:val="auto"/>
                <w:sz w:val="24"/>
                <w:highlight w:val="none"/>
              </w:rPr>
            </w:pPr>
          </w:p>
        </w:tc>
      </w:tr>
      <w:tr w14:paraId="6A79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623" w:type="dxa"/>
            <w:noWrap w:val="0"/>
            <w:vAlign w:val="center"/>
          </w:tcPr>
          <w:p w14:paraId="7C2BE41A">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存放物品名称</w:t>
            </w:r>
          </w:p>
        </w:tc>
        <w:tc>
          <w:tcPr>
            <w:tcW w:w="6059" w:type="dxa"/>
            <w:gridSpan w:val="3"/>
            <w:noWrap w:val="0"/>
            <w:vAlign w:val="center"/>
          </w:tcPr>
          <w:p w14:paraId="57EB0E80">
            <w:pPr>
              <w:jc w:val="center"/>
              <w:rPr>
                <w:rFonts w:hint="eastAsia" w:ascii="宋体" w:hAnsi="宋体" w:eastAsia="宋体" w:cs="宋体"/>
                <w:b/>
                <w:color w:val="auto"/>
                <w:sz w:val="24"/>
                <w:highlight w:val="none"/>
              </w:rPr>
            </w:pPr>
          </w:p>
        </w:tc>
      </w:tr>
      <w:tr w14:paraId="1439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623" w:type="dxa"/>
            <w:noWrap w:val="0"/>
            <w:vAlign w:val="center"/>
          </w:tcPr>
          <w:p w14:paraId="262FB60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申请存放位置</w:t>
            </w:r>
          </w:p>
        </w:tc>
        <w:tc>
          <w:tcPr>
            <w:tcW w:w="6059" w:type="dxa"/>
            <w:gridSpan w:val="3"/>
            <w:noWrap w:val="0"/>
            <w:vAlign w:val="center"/>
          </w:tcPr>
          <w:p w14:paraId="71FA3C36">
            <w:pPr>
              <w:jc w:val="center"/>
              <w:rPr>
                <w:rFonts w:hint="eastAsia" w:ascii="宋体" w:hAnsi="宋体" w:eastAsia="宋体" w:cs="宋体"/>
                <w:b/>
                <w:color w:val="auto"/>
                <w:sz w:val="24"/>
                <w:highlight w:val="none"/>
              </w:rPr>
            </w:pPr>
          </w:p>
        </w:tc>
      </w:tr>
      <w:tr w14:paraId="7D94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623" w:type="dxa"/>
            <w:noWrap w:val="0"/>
            <w:vAlign w:val="center"/>
          </w:tcPr>
          <w:p w14:paraId="43F96B9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申请存放期限</w:t>
            </w:r>
          </w:p>
        </w:tc>
        <w:tc>
          <w:tcPr>
            <w:tcW w:w="6059" w:type="dxa"/>
            <w:gridSpan w:val="3"/>
            <w:noWrap w:val="0"/>
            <w:vAlign w:val="center"/>
          </w:tcPr>
          <w:p w14:paraId="3A7E85B8">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年   月   日  至      年   月   日</w:t>
            </w:r>
          </w:p>
        </w:tc>
      </w:tr>
      <w:tr w14:paraId="43E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623" w:type="dxa"/>
            <w:vMerge w:val="restart"/>
            <w:noWrap w:val="0"/>
            <w:vAlign w:val="center"/>
          </w:tcPr>
          <w:p w14:paraId="61FD19A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申请科室或申请单位的主管科室意见</w:t>
            </w:r>
          </w:p>
        </w:tc>
        <w:tc>
          <w:tcPr>
            <w:tcW w:w="6059" w:type="dxa"/>
            <w:gridSpan w:val="3"/>
            <w:noWrap w:val="0"/>
            <w:vAlign w:val="center"/>
          </w:tcPr>
          <w:p w14:paraId="77D6A71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项目负责人申请理由：</w:t>
            </w:r>
          </w:p>
          <w:p w14:paraId="7D912BD7">
            <w:pPr>
              <w:spacing w:line="360" w:lineRule="auto"/>
              <w:rPr>
                <w:rFonts w:hint="eastAsia" w:ascii="宋体" w:hAnsi="宋体" w:eastAsia="宋体" w:cs="宋体"/>
                <w:b/>
                <w:color w:val="auto"/>
                <w:sz w:val="24"/>
                <w:highlight w:val="none"/>
              </w:rPr>
            </w:pPr>
          </w:p>
          <w:p w14:paraId="3E03B44C">
            <w:pPr>
              <w:spacing w:line="360" w:lineRule="auto"/>
              <w:rPr>
                <w:rFonts w:hint="eastAsia" w:ascii="宋体" w:hAnsi="宋体" w:eastAsia="宋体" w:cs="宋体"/>
                <w:b/>
                <w:color w:val="auto"/>
                <w:sz w:val="24"/>
                <w:highlight w:val="none"/>
              </w:rPr>
            </w:pPr>
          </w:p>
          <w:p w14:paraId="4992DEA5">
            <w:pPr>
              <w:spacing w:line="360" w:lineRule="auto"/>
              <w:rPr>
                <w:rFonts w:hint="eastAsia" w:ascii="宋体" w:hAnsi="宋体" w:eastAsia="宋体" w:cs="宋体"/>
                <w:b/>
                <w:color w:val="auto"/>
                <w:sz w:val="24"/>
                <w:highlight w:val="none"/>
              </w:rPr>
            </w:pPr>
          </w:p>
          <w:p w14:paraId="37E2066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项目负责人：      时间：    </w:t>
            </w:r>
          </w:p>
        </w:tc>
      </w:tr>
      <w:tr w14:paraId="0F42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623" w:type="dxa"/>
            <w:vMerge w:val="continue"/>
            <w:noWrap w:val="0"/>
            <w:vAlign w:val="center"/>
          </w:tcPr>
          <w:p w14:paraId="17A12B4C">
            <w:pPr>
              <w:spacing w:line="360" w:lineRule="auto"/>
              <w:jc w:val="center"/>
              <w:rPr>
                <w:rFonts w:hint="eastAsia" w:ascii="宋体" w:hAnsi="宋体" w:eastAsia="宋体" w:cs="宋体"/>
                <w:b/>
                <w:color w:val="auto"/>
                <w:sz w:val="24"/>
                <w:highlight w:val="none"/>
              </w:rPr>
            </w:pPr>
          </w:p>
        </w:tc>
        <w:tc>
          <w:tcPr>
            <w:tcW w:w="6059" w:type="dxa"/>
            <w:gridSpan w:val="3"/>
            <w:noWrap w:val="0"/>
            <w:vAlign w:val="top"/>
          </w:tcPr>
          <w:p w14:paraId="003794A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安全责任人审批意见：</w:t>
            </w:r>
          </w:p>
          <w:p w14:paraId="25268C23">
            <w:pPr>
              <w:spacing w:line="360" w:lineRule="auto"/>
              <w:rPr>
                <w:rFonts w:hint="eastAsia" w:ascii="宋体" w:hAnsi="宋体" w:eastAsia="宋体" w:cs="宋体"/>
                <w:b/>
                <w:color w:val="auto"/>
                <w:sz w:val="24"/>
                <w:highlight w:val="none"/>
              </w:rPr>
            </w:pPr>
          </w:p>
          <w:p w14:paraId="7864D85C">
            <w:pPr>
              <w:spacing w:line="360" w:lineRule="auto"/>
              <w:rPr>
                <w:rFonts w:hint="eastAsia" w:ascii="宋体" w:hAnsi="宋体" w:eastAsia="宋体" w:cs="宋体"/>
                <w:b/>
                <w:color w:val="auto"/>
                <w:sz w:val="24"/>
                <w:highlight w:val="none"/>
              </w:rPr>
            </w:pPr>
          </w:p>
          <w:p w14:paraId="277ACEB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安全责任人：      时间：</w:t>
            </w:r>
          </w:p>
        </w:tc>
      </w:tr>
      <w:tr w14:paraId="0DEE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623" w:type="dxa"/>
            <w:noWrap w:val="0"/>
            <w:vAlign w:val="center"/>
          </w:tcPr>
          <w:p w14:paraId="614412A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保卫处</w:t>
            </w:r>
          </w:p>
          <w:p w14:paraId="1F4BB43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审批意见</w:t>
            </w:r>
          </w:p>
        </w:tc>
        <w:tc>
          <w:tcPr>
            <w:tcW w:w="6059" w:type="dxa"/>
            <w:gridSpan w:val="3"/>
            <w:noWrap w:val="0"/>
            <w:vAlign w:val="bottom"/>
          </w:tcPr>
          <w:p w14:paraId="30F2BA24">
            <w:pPr>
              <w:spacing w:line="360" w:lineRule="auto"/>
              <w:jc w:val="center"/>
              <w:rPr>
                <w:rFonts w:hint="eastAsia" w:ascii="宋体" w:hAnsi="宋体" w:eastAsia="宋体" w:cs="宋体"/>
                <w:b/>
                <w:color w:val="auto"/>
                <w:sz w:val="24"/>
                <w:highlight w:val="none"/>
              </w:rPr>
            </w:pPr>
          </w:p>
          <w:p w14:paraId="76694C3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科室主管：      时间：</w:t>
            </w:r>
          </w:p>
        </w:tc>
      </w:tr>
      <w:tr w14:paraId="563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623" w:type="dxa"/>
            <w:tcBorders>
              <w:top w:val="single" w:color="auto" w:sz="4" w:space="0"/>
              <w:left w:val="single" w:color="auto" w:sz="4" w:space="0"/>
              <w:bottom w:val="single" w:color="auto" w:sz="4" w:space="0"/>
              <w:right w:val="single" w:color="auto" w:sz="4" w:space="0"/>
            </w:tcBorders>
            <w:noWrap w:val="0"/>
            <w:vAlign w:val="center"/>
          </w:tcPr>
          <w:p w14:paraId="5751C60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总务处</w:t>
            </w:r>
          </w:p>
          <w:p w14:paraId="253E142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审批意见</w:t>
            </w:r>
          </w:p>
        </w:tc>
        <w:tc>
          <w:tcPr>
            <w:tcW w:w="6059" w:type="dxa"/>
            <w:gridSpan w:val="3"/>
            <w:tcBorders>
              <w:top w:val="single" w:color="auto" w:sz="4" w:space="0"/>
              <w:left w:val="single" w:color="auto" w:sz="4" w:space="0"/>
              <w:bottom w:val="single" w:color="auto" w:sz="4" w:space="0"/>
              <w:right w:val="single" w:color="auto" w:sz="4" w:space="0"/>
            </w:tcBorders>
            <w:noWrap w:val="0"/>
            <w:vAlign w:val="bottom"/>
          </w:tcPr>
          <w:p w14:paraId="273466BE">
            <w:pPr>
              <w:spacing w:line="360" w:lineRule="auto"/>
              <w:jc w:val="center"/>
              <w:rPr>
                <w:rFonts w:hint="eastAsia" w:ascii="宋体" w:hAnsi="宋体" w:eastAsia="宋体" w:cs="宋体"/>
                <w:b/>
                <w:color w:val="auto"/>
                <w:sz w:val="24"/>
                <w:highlight w:val="none"/>
              </w:rPr>
            </w:pPr>
          </w:p>
          <w:p w14:paraId="5B795653">
            <w:pPr>
              <w:spacing w:line="360" w:lineRule="auto"/>
              <w:jc w:val="center"/>
              <w:rPr>
                <w:rFonts w:hint="eastAsia" w:ascii="宋体" w:hAnsi="宋体" w:eastAsia="宋体" w:cs="宋体"/>
                <w:b/>
                <w:color w:val="auto"/>
                <w:sz w:val="24"/>
                <w:highlight w:val="none"/>
              </w:rPr>
            </w:pPr>
          </w:p>
          <w:p w14:paraId="5E45962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科室主管：      时间：</w:t>
            </w:r>
          </w:p>
        </w:tc>
      </w:tr>
    </w:tbl>
    <w:p w14:paraId="580842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备注：本单一式两份，总务处和申请单位各一份。</w:t>
      </w:r>
    </w:p>
    <w:p w14:paraId="3039976E">
      <w:pPr>
        <w:pStyle w:val="7"/>
        <w:rPr>
          <w:rFonts w:hint="eastAsia" w:ascii="宋体" w:hAnsi="宋体" w:eastAsia="宋体" w:cs="宋体"/>
          <w:color w:val="auto"/>
          <w:highlight w:val="none"/>
        </w:rPr>
      </w:pPr>
    </w:p>
    <w:p w14:paraId="2CCA7B09">
      <w:pPr>
        <w:rPr>
          <w:rFonts w:hint="eastAsia" w:ascii="宋体" w:hAnsi="宋体" w:eastAsia="宋体" w:cs="宋体"/>
          <w:color w:val="auto"/>
          <w:sz w:val="24"/>
          <w:highlight w:val="none"/>
        </w:rPr>
      </w:pPr>
    </w:p>
    <w:p w14:paraId="18630653">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附件10                          开工令</w:t>
      </w:r>
    </w:p>
    <w:p w14:paraId="42BD74DD">
      <w:pPr>
        <w:rPr>
          <w:rFonts w:hint="eastAsia" w:ascii="宋体" w:hAnsi="宋体" w:eastAsia="宋体" w:cs="宋体"/>
          <w:color w:val="auto"/>
          <w:sz w:val="24"/>
          <w:highlight w:val="none"/>
        </w:rPr>
      </w:pPr>
    </w:p>
    <w:p w14:paraId="3E89E537">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合同编号：</w:t>
      </w:r>
      <w:r>
        <w:rPr>
          <w:rFonts w:hint="eastAsia" w:ascii="宋体" w:hAnsi="宋体" w:eastAsia="宋体" w:cs="宋体"/>
          <w:color w:val="auto"/>
          <w:sz w:val="24"/>
          <w:highlight w:val="none"/>
          <w:u w:val="single"/>
        </w:rPr>
        <w:t xml:space="preserve">                </w:t>
      </w:r>
    </w:p>
    <w:p w14:paraId="6DB3F66E">
      <w:pPr>
        <w:rPr>
          <w:rFonts w:hint="eastAsia" w:ascii="宋体" w:hAnsi="宋体" w:eastAsia="宋体" w:cs="宋体"/>
          <w:color w:val="auto"/>
          <w:sz w:val="24"/>
          <w:highlight w:val="none"/>
          <w:u w:val="single"/>
        </w:rPr>
      </w:pPr>
    </w:p>
    <w:p w14:paraId="299A7373">
      <w:pPr>
        <w:spacing w:line="5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w:t>
      </w:r>
    </w:p>
    <w:p w14:paraId="314ACEED">
      <w:pPr>
        <w:spacing w:line="54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经审核，你方已经完成了工程施工前的准备工作，满足开工条件，同意你方于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日起开始施工。</w:t>
      </w:r>
    </w:p>
    <w:p w14:paraId="5B794E7D">
      <w:pPr>
        <w:ind w:firstLine="570"/>
        <w:rPr>
          <w:rFonts w:hint="eastAsia" w:ascii="宋体" w:hAnsi="宋体" w:eastAsia="宋体" w:cs="宋体"/>
          <w:color w:val="auto"/>
          <w:sz w:val="24"/>
          <w:highlight w:val="none"/>
        </w:rPr>
      </w:pPr>
    </w:p>
    <w:p w14:paraId="62EEA161">
      <w:pPr>
        <w:ind w:firstLine="570"/>
        <w:rPr>
          <w:rFonts w:hint="eastAsia" w:ascii="宋体" w:hAnsi="宋体" w:eastAsia="宋体" w:cs="宋体"/>
          <w:color w:val="auto"/>
          <w:sz w:val="24"/>
          <w:highlight w:val="none"/>
        </w:rPr>
      </w:pPr>
    </w:p>
    <w:p w14:paraId="1587584E">
      <w:pPr>
        <w:ind w:firstLine="570"/>
        <w:rPr>
          <w:rFonts w:hint="eastAsia" w:ascii="宋体" w:hAnsi="宋体" w:eastAsia="宋体" w:cs="宋体"/>
          <w:color w:val="auto"/>
          <w:sz w:val="24"/>
          <w:highlight w:val="none"/>
        </w:rPr>
      </w:pPr>
    </w:p>
    <w:p w14:paraId="51E47285">
      <w:pPr>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职能科室：</w:t>
      </w:r>
    </w:p>
    <w:p w14:paraId="546559D0">
      <w:pPr>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20   年   月  日</w:t>
      </w:r>
    </w:p>
    <w:p w14:paraId="09F36964">
      <w:pPr>
        <w:pStyle w:val="7"/>
        <w:rPr>
          <w:rFonts w:hint="eastAsia" w:ascii="宋体" w:hAnsi="宋体" w:eastAsia="宋体" w:cs="宋体"/>
          <w:color w:val="auto"/>
          <w:highlight w:val="none"/>
        </w:rPr>
      </w:pPr>
    </w:p>
    <w:p w14:paraId="1096B8E1">
      <w:pPr>
        <w:pStyle w:val="7"/>
        <w:rPr>
          <w:rFonts w:hint="eastAsia" w:ascii="宋体" w:hAnsi="宋体" w:eastAsia="宋体" w:cs="宋体"/>
          <w:color w:val="auto"/>
          <w:highlight w:val="none"/>
        </w:rPr>
      </w:pPr>
    </w:p>
    <w:p w14:paraId="219D38B0">
      <w:pPr>
        <w:pStyle w:val="7"/>
        <w:rPr>
          <w:rFonts w:hint="eastAsia" w:ascii="宋体" w:hAnsi="宋体" w:eastAsia="宋体" w:cs="宋体"/>
          <w:color w:val="auto"/>
          <w:highlight w:val="none"/>
        </w:rPr>
      </w:pPr>
    </w:p>
    <w:p w14:paraId="4B37F6FE">
      <w:pPr>
        <w:pStyle w:val="7"/>
        <w:rPr>
          <w:rFonts w:hint="eastAsia" w:ascii="宋体" w:hAnsi="宋体" w:eastAsia="宋体" w:cs="宋体"/>
          <w:color w:val="auto"/>
          <w:highlight w:val="none"/>
        </w:rPr>
      </w:pPr>
    </w:p>
    <w:p w14:paraId="43980F39">
      <w:pPr>
        <w:pStyle w:val="7"/>
        <w:rPr>
          <w:rFonts w:hint="eastAsia" w:ascii="宋体" w:hAnsi="宋体" w:eastAsia="宋体" w:cs="宋体"/>
          <w:color w:val="auto"/>
          <w:highlight w:val="none"/>
        </w:rPr>
      </w:pPr>
    </w:p>
    <w:p w14:paraId="6A64CDB1">
      <w:pPr>
        <w:pStyle w:val="7"/>
        <w:rPr>
          <w:rFonts w:hint="eastAsia" w:ascii="宋体" w:hAnsi="宋体" w:eastAsia="宋体" w:cs="宋体"/>
          <w:color w:val="auto"/>
          <w:highlight w:val="none"/>
        </w:rPr>
      </w:pPr>
    </w:p>
    <w:p w14:paraId="31F69D73">
      <w:pPr>
        <w:pStyle w:val="7"/>
        <w:rPr>
          <w:rFonts w:hint="eastAsia" w:ascii="宋体" w:hAnsi="宋体" w:eastAsia="宋体" w:cs="宋体"/>
          <w:color w:val="auto"/>
          <w:highlight w:val="none"/>
        </w:rPr>
      </w:pPr>
    </w:p>
    <w:p w14:paraId="7F0767FF">
      <w:pPr>
        <w:pStyle w:val="7"/>
        <w:rPr>
          <w:rFonts w:hint="eastAsia" w:ascii="宋体" w:hAnsi="宋体" w:eastAsia="宋体" w:cs="宋体"/>
          <w:color w:val="auto"/>
          <w:highlight w:val="none"/>
        </w:rPr>
      </w:pPr>
    </w:p>
    <w:p w14:paraId="57CF6845">
      <w:pPr>
        <w:pStyle w:val="7"/>
        <w:rPr>
          <w:rFonts w:hint="eastAsia" w:ascii="宋体" w:hAnsi="宋体" w:eastAsia="宋体" w:cs="宋体"/>
          <w:color w:val="auto"/>
          <w:highlight w:val="none"/>
        </w:rPr>
      </w:pPr>
    </w:p>
    <w:p w14:paraId="069E82F5">
      <w:pPr>
        <w:pStyle w:val="7"/>
        <w:rPr>
          <w:rFonts w:hint="eastAsia" w:ascii="宋体" w:hAnsi="宋体" w:eastAsia="宋体" w:cs="宋体"/>
          <w:color w:val="auto"/>
          <w:highlight w:val="none"/>
        </w:rPr>
      </w:pPr>
    </w:p>
    <w:p w14:paraId="739B0AF6">
      <w:pPr>
        <w:pStyle w:val="7"/>
        <w:rPr>
          <w:rFonts w:hint="eastAsia" w:ascii="宋体" w:hAnsi="宋体" w:eastAsia="宋体" w:cs="宋体"/>
          <w:color w:val="auto"/>
          <w:highlight w:val="none"/>
        </w:rPr>
      </w:pPr>
    </w:p>
    <w:p w14:paraId="1579F58E">
      <w:pPr>
        <w:pStyle w:val="7"/>
        <w:rPr>
          <w:rFonts w:hint="eastAsia" w:ascii="宋体" w:hAnsi="宋体" w:eastAsia="宋体" w:cs="宋体"/>
          <w:color w:val="auto"/>
          <w:highlight w:val="none"/>
        </w:rPr>
      </w:pPr>
    </w:p>
    <w:p w14:paraId="1424DF33">
      <w:pPr>
        <w:pStyle w:val="7"/>
        <w:rPr>
          <w:rFonts w:hint="eastAsia" w:ascii="宋体" w:hAnsi="宋体" w:eastAsia="宋体" w:cs="宋体"/>
          <w:color w:val="auto"/>
          <w:highlight w:val="none"/>
        </w:rPr>
      </w:pPr>
    </w:p>
    <w:p w14:paraId="56CD670A">
      <w:pPr>
        <w:pStyle w:val="7"/>
        <w:rPr>
          <w:rFonts w:hint="eastAsia" w:ascii="宋体" w:hAnsi="宋体" w:eastAsia="宋体" w:cs="宋体"/>
          <w:color w:val="auto"/>
          <w:highlight w:val="none"/>
        </w:rPr>
      </w:pPr>
    </w:p>
    <w:p w14:paraId="074E1050">
      <w:pPr>
        <w:pStyle w:val="7"/>
        <w:rPr>
          <w:rFonts w:hint="eastAsia" w:ascii="宋体" w:hAnsi="宋体" w:eastAsia="宋体" w:cs="宋体"/>
          <w:color w:val="auto"/>
          <w:highlight w:val="none"/>
        </w:rPr>
      </w:pPr>
    </w:p>
    <w:p w14:paraId="04B50889">
      <w:pPr>
        <w:pStyle w:val="7"/>
        <w:rPr>
          <w:rFonts w:hint="eastAsia" w:ascii="宋体" w:hAnsi="宋体" w:eastAsia="宋体" w:cs="宋体"/>
          <w:color w:val="auto"/>
          <w:highlight w:val="none"/>
        </w:rPr>
      </w:pPr>
    </w:p>
    <w:p w14:paraId="7ECB47B6">
      <w:pPr>
        <w:pStyle w:val="7"/>
        <w:rPr>
          <w:rFonts w:hint="eastAsia" w:ascii="宋体" w:hAnsi="宋体" w:eastAsia="宋体" w:cs="宋体"/>
          <w:color w:val="auto"/>
          <w:highlight w:val="none"/>
        </w:rPr>
      </w:pPr>
    </w:p>
    <w:p w14:paraId="145AD9F1">
      <w:pPr>
        <w:pStyle w:val="7"/>
        <w:rPr>
          <w:rFonts w:hint="eastAsia" w:ascii="宋体" w:hAnsi="宋体" w:eastAsia="宋体" w:cs="宋体"/>
          <w:color w:val="auto"/>
          <w:highlight w:val="none"/>
        </w:rPr>
      </w:pPr>
    </w:p>
    <w:p w14:paraId="3C262DC8">
      <w:pPr>
        <w:pStyle w:val="7"/>
        <w:rPr>
          <w:rFonts w:hint="eastAsia" w:ascii="宋体" w:hAnsi="宋体" w:eastAsia="宋体" w:cs="宋体"/>
          <w:color w:val="auto"/>
          <w:highlight w:val="none"/>
        </w:rPr>
      </w:pPr>
    </w:p>
    <w:p w14:paraId="3B364311">
      <w:pPr>
        <w:spacing w:line="360" w:lineRule="auto"/>
        <w:rPr>
          <w:rFonts w:hint="eastAsia" w:ascii="宋体" w:hAnsi="宋体" w:eastAsia="宋体" w:cs="宋体"/>
          <w:color w:val="auto"/>
          <w:sz w:val="24"/>
          <w:highlight w:val="none"/>
        </w:rPr>
      </w:pPr>
    </w:p>
    <w:p w14:paraId="319321B1">
      <w:pPr>
        <w:spacing w:line="360" w:lineRule="auto"/>
        <w:rPr>
          <w:rFonts w:hint="eastAsia" w:ascii="宋体" w:hAnsi="宋体" w:eastAsia="宋体" w:cs="宋体"/>
          <w:b/>
          <w:color w:val="auto"/>
          <w:sz w:val="24"/>
          <w:highlight w:val="none"/>
        </w:rPr>
      </w:pPr>
    </w:p>
    <w:p w14:paraId="1691AAB4">
      <w:pPr>
        <w:rPr>
          <w:rFonts w:hint="eastAsia" w:ascii="宋体" w:hAnsi="宋体" w:eastAsia="宋体" w:cs="宋体"/>
          <w:color w:val="auto"/>
          <w:highlight w:val="none"/>
        </w:rPr>
      </w:pPr>
    </w:p>
    <w:p w14:paraId="5CADD3AD">
      <w:pPr>
        <w:pStyle w:val="11"/>
        <w:ind w:firstLine="211"/>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1CB864A">
      <w:pPr>
        <w:pStyle w:val="11"/>
        <w:ind w:left="42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C70D1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8343">
    <w:pPr>
      <w:pStyle w:val="6"/>
      <w:jc w:val="right"/>
    </w:pPr>
    <w:r>
      <w:fldChar w:fldCharType="begin"/>
    </w:r>
    <w:r>
      <w:instrText xml:space="preserve"> PAGE   \* MERGEFORMAT </w:instrText>
    </w:r>
    <w:r>
      <w:fldChar w:fldCharType="separate"/>
    </w:r>
    <w:r>
      <w:rPr>
        <w:lang w:val="zh-CN"/>
      </w:rPr>
      <w:t>1</w:t>
    </w:r>
    <w:r>
      <w:fldChar w:fldCharType="end"/>
    </w:r>
  </w:p>
  <w:p w14:paraId="08290B21">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22A63"/>
    <w:multiLevelType w:val="singleLevel"/>
    <w:tmpl w:val="DB422A63"/>
    <w:lvl w:ilvl="0" w:tentative="0">
      <w:start w:val="2"/>
      <w:numFmt w:val="chineseCounting"/>
      <w:suff w:val="space"/>
      <w:lvlText w:val="第%1篇"/>
      <w:lvlJc w:val="left"/>
      <w:rPr>
        <w:rFonts w:hint="eastAsia"/>
      </w:rPr>
    </w:lvl>
  </w:abstractNum>
  <w:abstractNum w:abstractNumId="1">
    <w:nsid w:val="0000000F"/>
    <w:multiLevelType w:val="multilevel"/>
    <w:tmpl w:val="0000000F"/>
    <w:lvl w:ilvl="0" w:tentative="0">
      <w:start w:val="1"/>
      <w:numFmt w:val="decimal"/>
      <w:lvlText w:val="%1）"/>
      <w:lvlJc w:val="left"/>
      <w:pPr>
        <w:tabs>
          <w:tab w:val="left" w:pos="1680"/>
        </w:tabs>
        <w:ind w:left="1680" w:hanging="84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25"/>
      <w:numFmt w:val="decimal"/>
      <w:lvlText w:val="%1"/>
      <w:lvlJc w:val="left"/>
      <w:pPr>
        <w:tabs>
          <w:tab w:val="left" w:pos="630"/>
        </w:tabs>
        <w:ind w:left="630" w:hanging="630"/>
      </w:pPr>
      <w:rPr>
        <w:rFonts w:hint="default"/>
      </w:rPr>
    </w:lvl>
    <w:lvl w:ilvl="1" w:tentative="0">
      <w:start w:val="1"/>
      <w:numFmt w:val="decimal"/>
      <w:lvlText w:val="%1.%2"/>
      <w:lvlJc w:val="left"/>
      <w:pPr>
        <w:tabs>
          <w:tab w:val="left" w:pos="1091"/>
        </w:tabs>
        <w:ind w:left="1091" w:hanging="630"/>
      </w:pPr>
      <w:rPr>
        <w:rFonts w:hint="default"/>
      </w:rPr>
    </w:lvl>
    <w:lvl w:ilvl="2" w:tentative="0">
      <w:start w:val="1"/>
      <w:numFmt w:val="decimal"/>
      <w:lvlText w:val="%1.%2.%3"/>
      <w:lvlJc w:val="left"/>
      <w:pPr>
        <w:tabs>
          <w:tab w:val="left" w:pos="1552"/>
        </w:tabs>
        <w:ind w:left="1552" w:hanging="630"/>
      </w:pPr>
      <w:rPr>
        <w:rFonts w:hint="default"/>
      </w:rPr>
    </w:lvl>
    <w:lvl w:ilvl="3" w:tentative="0">
      <w:start w:val="1"/>
      <w:numFmt w:val="decimal"/>
      <w:lvlText w:val="%1.%2.%3.%4"/>
      <w:lvlJc w:val="left"/>
      <w:pPr>
        <w:tabs>
          <w:tab w:val="left" w:pos="2013"/>
        </w:tabs>
        <w:ind w:left="2013" w:hanging="630"/>
      </w:pPr>
      <w:rPr>
        <w:rFonts w:hint="default"/>
      </w:rPr>
    </w:lvl>
    <w:lvl w:ilvl="4" w:tentative="0">
      <w:start w:val="1"/>
      <w:numFmt w:val="decimal"/>
      <w:lvlText w:val="%1.%2.%3.%4.%5"/>
      <w:lvlJc w:val="left"/>
      <w:pPr>
        <w:tabs>
          <w:tab w:val="left" w:pos="2474"/>
        </w:tabs>
        <w:ind w:left="2474" w:hanging="630"/>
      </w:pPr>
      <w:rPr>
        <w:rFonts w:hint="default"/>
      </w:rPr>
    </w:lvl>
    <w:lvl w:ilvl="5" w:tentative="0">
      <w:start w:val="1"/>
      <w:numFmt w:val="decimal"/>
      <w:lvlText w:val="%1.%2.%3.%4.%5.%6"/>
      <w:lvlJc w:val="left"/>
      <w:pPr>
        <w:tabs>
          <w:tab w:val="left" w:pos="2935"/>
        </w:tabs>
        <w:ind w:left="2935" w:hanging="630"/>
      </w:pPr>
      <w:rPr>
        <w:rFonts w:hint="default"/>
      </w:rPr>
    </w:lvl>
    <w:lvl w:ilvl="6" w:tentative="0">
      <w:start w:val="1"/>
      <w:numFmt w:val="decimal"/>
      <w:lvlText w:val="%1.%2.%3.%4.%5.%6.%7"/>
      <w:lvlJc w:val="left"/>
      <w:pPr>
        <w:tabs>
          <w:tab w:val="left" w:pos="3396"/>
        </w:tabs>
        <w:ind w:left="3396" w:hanging="630"/>
      </w:pPr>
      <w:rPr>
        <w:rFonts w:hint="default"/>
      </w:rPr>
    </w:lvl>
    <w:lvl w:ilvl="7" w:tentative="0">
      <w:start w:val="1"/>
      <w:numFmt w:val="decimal"/>
      <w:lvlText w:val="%1.%2.%3.%4.%5.%6.%7.%8"/>
      <w:lvlJc w:val="left"/>
      <w:pPr>
        <w:tabs>
          <w:tab w:val="left" w:pos="3857"/>
        </w:tabs>
        <w:ind w:left="3857" w:hanging="630"/>
      </w:pPr>
      <w:rPr>
        <w:rFonts w:hint="default"/>
      </w:rPr>
    </w:lvl>
    <w:lvl w:ilvl="8" w:tentative="0">
      <w:start w:val="1"/>
      <w:numFmt w:val="decimal"/>
      <w:lvlText w:val="%1.%2.%3.%4.%5.%6.%7.%8.%9"/>
      <w:lvlJc w:val="left"/>
      <w:pPr>
        <w:tabs>
          <w:tab w:val="left" w:pos="4318"/>
        </w:tabs>
        <w:ind w:left="4318" w:hanging="630"/>
      </w:pPr>
      <w:rPr>
        <w:rFonts w:hint="default"/>
      </w:rPr>
    </w:lvl>
  </w:abstractNum>
  <w:abstractNum w:abstractNumId="3">
    <w:nsid w:val="00000014"/>
    <w:multiLevelType w:val="singleLevel"/>
    <w:tmpl w:val="00000014"/>
    <w:lvl w:ilvl="0" w:tentative="0">
      <w:start w:val="1"/>
      <w:numFmt w:val="decimal"/>
      <w:lvlText w:val="%1"/>
      <w:legacy w:legacy="1" w:legacySpace="0" w:legacyIndent="360"/>
      <w:lvlJc w:val="left"/>
      <w:rPr>
        <w:rFonts w:hint="eastAsia" w:ascii="宋体" w:hAnsi="宋体" w:eastAsia="宋体"/>
      </w:rPr>
    </w:lvl>
  </w:abstractNum>
  <w:abstractNum w:abstractNumId="4">
    <w:nsid w:val="00000015"/>
    <w:multiLevelType w:val="singleLevel"/>
    <w:tmpl w:val="00000015"/>
    <w:lvl w:ilvl="0" w:tentative="0">
      <w:start w:val="3"/>
      <w:numFmt w:val="decimal"/>
      <w:lvlText w:val="%1)"/>
      <w:legacy w:legacy="1" w:legacySpace="0" w:legacyIndent="360"/>
      <w:lvlJc w:val="left"/>
      <w:rPr>
        <w:rFonts w:hint="eastAsia" w:ascii="宋体" w:hAnsi="宋体" w:eastAsia="宋体"/>
      </w:rPr>
    </w:lvl>
  </w:abstractNum>
  <w:abstractNum w:abstractNumId="5">
    <w:nsid w:val="00000021"/>
    <w:multiLevelType w:val="singleLevel"/>
    <w:tmpl w:val="00000021"/>
    <w:lvl w:ilvl="0" w:tentative="0">
      <w:start w:val="1"/>
      <w:numFmt w:val="decimal"/>
      <w:lvlText w:val="%1)"/>
      <w:legacy w:legacy="1" w:legacySpace="0" w:legacyIndent="360"/>
      <w:lvlJc w:val="left"/>
      <w:rPr>
        <w:rFonts w:hint="eastAsia" w:ascii="宋体" w:hAnsi="宋体" w:eastAsia="宋体"/>
      </w:rPr>
    </w:lvl>
  </w:abstractNum>
  <w:abstractNum w:abstractNumId="6">
    <w:nsid w:val="00000025"/>
    <w:multiLevelType w:val="singleLevel"/>
    <w:tmpl w:val="00000025"/>
    <w:lvl w:ilvl="0" w:tentative="0">
      <w:start w:val="1"/>
      <w:numFmt w:val="decimal"/>
      <w:lvlText w:val="%1)"/>
      <w:legacy w:legacy="1" w:legacySpace="0" w:legacyIndent="360"/>
      <w:lvlJc w:val="left"/>
      <w:rPr>
        <w:rFonts w:hint="eastAsia" w:ascii="宋体" w:hAnsi="宋体" w:eastAsia="宋体"/>
      </w:rPr>
    </w:lvl>
  </w:abstractNum>
  <w:abstractNum w:abstractNumId="7">
    <w:nsid w:val="00000027"/>
    <w:multiLevelType w:val="multilevel"/>
    <w:tmpl w:val="00000027"/>
    <w:lvl w:ilvl="0" w:tentative="0">
      <w:start w:val="1"/>
      <w:numFmt w:val="decimal"/>
      <w:lvlText w:val="（%1）"/>
      <w:lvlJc w:val="left"/>
      <w:pPr>
        <w:tabs>
          <w:tab w:val="left" w:pos="2880"/>
        </w:tabs>
        <w:ind w:left="25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8"/>
    <w:multiLevelType w:val="multilevel"/>
    <w:tmpl w:val="00000028"/>
    <w:lvl w:ilvl="0" w:tentative="0">
      <w:start w:val="1"/>
      <w:numFmt w:val="decimal"/>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9">
    <w:nsid w:val="00000030"/>
    <w:multiLevelType w:val="singleLevel"/>
    <w:tmpl w:val="00000030"/>
    <w:lvl w:ilvl="0" w:tentative="0">
      <w:start w:val="2"/>
      <w:numFmt w:val="decimal"/>
      <w:lvlText w:val="%1"/>
      <w:legacy w:legacy="1" w:legacySpace="0" w:legacyIndent="360"/>
      <w:lvlJc w:val="left"/>
      <w:rPr>
        <w:rFonts w:hint="eastAsia" w:ascii="宋体" w:hAnsi="宋体" w:eastAsia="宋体"/>
      </w:rPr>
    </w:lvl>
  </w:abstractNum>
  <w:abstractNum w:abstractNumId="10">
    <w:nsid w:val="00000032"/>
    <w:multiLevelType w:val="multilevel"/>
    <w:tmpl w:val="00000032"/>
    <w:lvl w:ilvl="0" w:tentative="0">
      <w:start w:val="1"/>
      <w:numFmt w:val="decimal"/>
      <w:lvlText w:val="（%1）"/>
      <w:lvlJc w:val="left"/>
      <w:pPr>
        <w:tabs>
          <w:tab w:val="left" w:pos="2880"/>
        </w:tabs>
        <w:ind w:left="252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33"/>
    <w:multiLevelType w:val="singleLevel"/>
    <w:tmpl w:val="00000033"/>
    <w:lvl w:ilvl="0" w:tentative="0">
      <w:start w:val="1"/>
      <w:numFmt w:val="decimal"/>
      <w:lvlText w:val="%1"/>
      <w:legacy w:legacy="1" w:legacySpace="0" w:legacyIndent="360"/>
      <w:lvlJc w:val="left"/>
      <w:rPr>
        <w:rFonts w:hint="eastAsia" w:ascii="宋体" w:hAnsi="宋体" w:eastAsia="宋体"/>
      </w:rPr>
    </w:lvl>
  </w:abstractNum>
  <w:abstractNum w:abstractNumId="12">
    <w:nsid w:val="222F8A04"/>
    <w:multiLevelType w:val="singleLevel"/>
    <w:tmpl w:val="222F8A04"/>
    <w:lvl w:ilvl="0" w:tentative="0">
      <w:start w:val="1"/>
      <w:numFmt w:val="chineseCounting"/>
      <w:suff w:val="nothing"/>
      <w:lvlText w:val="%1、"/>
      <w:lvlJc w:val="left"/>
      <w:rPr>
        <w:rFonts w:hint="eastAsia"/>
      </w:rPr>
    </w:lvl>
  </w:abstractNum>
  <w:abstractNum w:abstractNumId="13">
    <w:nsid w:val="4094BEDE"/>
    <w:multiLevelType w:val="singleLevel"/>
    <w:tmpl w:val="4094BEDE"/>
    <w:lvl w:ilvl="0" w:tentative="0">
      <w:start w:val="1"/>
      <w:numFmt w:val="decimal"/>
      <w:lvlText w:val="(%1)"/>
      <w:lvlJc w:val="left"/>
      <w:pPr>
        <w:ind w:left="425" w:hanging="425"/>
      </w:pPr>
      <w:rPr>
        <w:rFonts w:hint="default"/>
      </w:rPr>
    </w:lvl>
  </w:abstractNum>
  <w:abstractNum w:abstractNumId="14">
    <w:nsid w:val="56D47623"/>
    <w:multiLevelType w:val="singleLevel"/>
    <w:tmpl w:val="56D47623"/>
    <w:lvl w:ilvl="0" w:tentative="0">
      <w:start w:val="2"/>
      <w:numFmt w:val="chineseCounting"/>
      <w:suff w:val="nothing"/>
      <w:lvlText w:val="%1、"/>
      <w:lvlJc w:val="left"/>
    </w:lvl>
  </w:abstractNum>
  <w:abstractNum w:abstractNumId="15">
    <w:nsid w:val="56D47798"/>
    <w:multiLevelType w:val="singleLevel"/>
    <w:tmpl w:val="56D47798"/>
    <w:lvl w:ilvl="0" w:tentative="0">
      <w:start w:val="1"/>
      <w:numFmt w:val="decimal"/>
      <w:suff w:val="nothing"/>
      <w:lvlText w:val="%1、"/>
      <w:lvlJc w:val="left"/>
    </w:lvl>
  </w:abstractNum>
  <w:num w:numId="1">
    <w:abstractNumId w:val="13"/>
  </w:num>
  <w:num w:numId="2">
    <w:abstractNumId w:val="0"/>
  </w:num>
  <w:num w:numId="3">
    <w:abstractNumId w:val="12"/>
  </w:num>
  <w:num w:numId="4">
    <w:abstractNumId w:val="4"/>
  </w:num>
  <w:num w:numId="5">
    <w:abstractNumId w:val="11"/>
  </w:num>
  <w:num w:numId="6">
    <w:abstractNumId w:val="6"/>
  </w:num>
  <w:num w:numId="7">
    <w:abstractNumId w:val="1"/>
  </w:num>
  <w:num w:numId="8">
    <w:abstractNumId w:val="2"/>
  </w:num>
  <w:num w:numId="9">
    <w:abstractNumId w:val="8"/>
  </w:num>
  <w:num w:numId="10">
    <w:abstractNumId w:val="5"/>
  </w:num>
  <w:num w:numId="11">
    <w:abstractNumId w:val="3"/>
  </w:num>
  <w:num w:numId="12">
    <w:abstractNumId w:val="10"/>
  </w:num>
  <w:num w:numId="13">
    <w:abstractNumId w:val="9"/>
  </w:num>
  <w:num w:numId="14">
    <w:abstractNumId w:val="7"/>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94597"/>
    <w:rsid w:val="17F9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480" w:firstLineChars="200"/>
    </w:pPr>
    <w:rPr>
      <w:rFonts w:ascii="仿宋_GB2312" w:hAnsi="宋体" w:eastAsia="仿宋_GB2312" w:cs="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rPr>
      <w:rFonts w:ascii="Times New Roman" w:hAnsi="Times New Roman" w:eastAsia="宋体" w:cs="Times New Roman"/>
      <w:sz w:val="24"/>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2026-04-16T08:22:00Z</dcterms:created>
  <dc:creator>CC</dc:creator>
  <cp:lastModifiedBy>CC</cp:lastModifiedBy>
  <dcterms:modified xsi:type="dcterms:W3CDTF">2026-04-16T08:23:33Z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86450DF5F2464C0A83815C14E9BA44E1_11</vt:lpwstr>
  </property>
  <property fmtid="{D5CDD505-2E9C-101B-9397-08002B2CF9AE}" pid="4" name="KSOTemplateDocerSaveRecord">
    <vt:lpwstr>eyJoZGlkIjoiYjViMjc2OWFhMzE4NDM1YjhmMjQxMTFmNjE5MWIxNzQiLCJ1c2VySWQiOiI1NTA5MzUxNTkifQ==</vt:lpwstr>
  </property>
</Properties>
</file>