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441501-2025-00598</w:t>
      </w:r>
    </w:p>
    <w:p>
      <w:pPr>
        <w:pStyle w:val="null3"/>
        <w:jc w:val="center"/>
        <w:outlineLvl w:val="3"/>
      </w:pPr>
      <w:r>
        <w:rPr>
          <w:sz w:val="24"/>
          <w:b/>
        </w:rPr>
        <w:t>采购项目编号：</w:t>
      </w:r>
      <w:r>
        <w:rPr>
          <w:sz w:val="24"/>
          <w:b/>
        </w:rPr>
        <w:t>0724-2531SW902109</w:t>
      </w:r>
    </w:p>
    <w:p>
      <w:pPr>
        <w:pStyle w:val="null3"/>
        <w:jc w:val="center"/>
        <w:outlineLvl w:val="3"/>
      </w:pPr>
      <w:r>
        <w:rPr>
          <w:sz w:val="24"/>
          <w:b/>
        </w:rPr>
        <w:t>项目名称：</w:t>
      </w:r>
      <w:r>
        <w:rPr>
          <w:sz w:val="24"/>
          <w:b/>
        </w:rPr>
        <w:t>中山大学孙逸仙纪念医院深汕中心医院3.0MRI采购项目</w:t>
      </w:r>
    </w:p>
    <w:p>
      <w:pPr>
        <w:pStyle w:val="null3"/>
        <w:jc w:val="center"/>
        <w:outlineLvl w:val="3"/>
      </w:pPr>
      <w:r>
        <w:rPr>
          <w:sz w:val="24"/>
          <w:b/>
        </w:rPr>
        <w:t>采购人：</w:t>
      </w:r>
      <w:r>
        <w:rPr>
          <w:sz w:val="24"/>
          <w:b/>
        </w:rPr>
        <w:t>中山大学孙逸仙纪念医院深汕中心医院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中山大学孙逸仙纪念医院深汕中心医院</w:t>
      </w:r>
      <w:r>
        <w:rPr/>
        <w:t>的委托，采用</w:t>
      </w:r>
      <w:r>
        <w:rPr/>
        <w:t>公开招标</w:t>
      </w:r>
      <w:r>
        <w:rPr/>
        <w:t>方式组织采购</w:t>
      </w:r>
      <w:r>
        <w:rPr/>
        <w:t>中山大学孙逸仙纪念医院深汕中心医院3.0MRI采购项目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中山大学孙逸仙纪念医院深汕中心医院3.0MRI采购项目</w:t>
      </w:r>
    </w:p>
    <w:p>
      <w:pPr>
        <w:pStyle w:val="null3"/>
        <w:ind w:firstLine="480"/>
      </w:pPr>
      <w:r>
        <w:rPr/>
        <w:t>采购计划编号：</w:t>
      </w:r>
      <w:r>
        <w:rPr/>
        <w:t>441501-2025-00598</w:t>
      </w:r>
    </w:p>
    <w:p>
      <w:pPr>
        <w:pStyle w:val="null3"/>
        <w:ind w:firstLine="480"/>
      </w:pPr>
      <w:r>
        <w:rPr/>
        <w:t>采购项目编号：</w:t>
      </w:r>
      <w:r>
        <w:rPr/>
        <w:t>0724-2531SW902109</w:t>
      </w:r>
    </w:p>
    <w:p>
      <w:pPr>
        <w:pStyle w:val="null3"/>
        <w:ind w:firstLine="480"/>
      </w:pPr>
      <w:r>
        <w:rPr/>
        <w:t>采购方式：</w:t>
      </w:r>
      <w:r>
        <w:rPr/>
        <w:t>公开招标</w:t>
      </w:r>
    </w:p>
    <w:p>
      <w:pPr>
        <w:pStyle w:val="null3"/>
        <w:ind w:firstLine="480"/>
      </w:pPr>
      <w:r>
        <w:rPr/>
        <w:t>预算金额：</w:t>
      </w:r>
      <w:r>
        <w:rPr/>
        <w:t>25,000,000.00</w:t>
      </w:r>
      <w:r>
        <w:rPr/>
        <w:t>元</w:t>
      </w:r>
    </w:p>
    <w:p>
      <w:pPr>
        <w:pStyle w:val="null3"/>
        <w:outlineLvl w:val="3"/>
      </w:pPr>
      <w:r>
        <w:rPr>
          <w:sz w:val="24"/>
          <w:b/>
        </w:rPr>
        <w:t>2.项目内容及需求情况（采购项目技术规格、参数及要求）</w:t>
      </w:r>
    </w:p>
    <w:p>
      <w:pPr>
        <w:pStyle w:val="null3"/>
      </w:pPr>
      <w:r>
        <w:rPr/>
        <w:t>采购包1(3.0MRI):</w:t>
      </w:r>
    </w:p>
    <w:p>
      <w:pPr>
        <w:pStyle w:val="null3"/>
      </w:pPr>
      <w:r>
        <w:rPr/>
        <w:t>采购包预算金额：25,000,000.00元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医用磁共振设备</w:t>
            </w:r>
          </w:p>
        </w:tc>
        <w:tc>
          <w:tcPr>
            <w:tcW w:type="dxa" w:w="2136"/>
          </w:tcPr>
          <w:p>
            <w:pPr>
              <w:pStyle w:val="null3"/>
            </w:pPr>
            <w:r>
              <w:rPr/>
              <w:t>3.0MRI</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2）具有良好的商业信誉和健全的财务会计制度：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3）履行合同所必需的设备和专业技术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4）有依法缴纳税收和社会保障资金的良好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5）参加采购活动前3年内，在经营活动中没有重大违法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采购包1（3.0MRI）：</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采购包1（3.0MRI）：</w:t>
      </w:r>
    </w:p>
    <w:p>
      <w:pPr>
        <w:pStyle w:val="null3"/>
      </w:pPr>
      <w:r>
        <w:rPr/>
        <w:t>1)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2)供应商必须符合法律、行政法规规定的其他条件</w:t>
      </w:r>
    </w:p>
    <w:p>
      <w:pPr>
        <w:pStyle w:val="null3"/>
      </w:pPr>
      <w:r>
        <w:rPr/>
        <w:t>3)单位负责人为同一人或者存在直接控股、管理关系的不同供应商，不得参加同一包号投标或者未划分包号的同一招标项目投标(投标人出具声明函)。</w:t>
      </w:r>
    </w:p>
    <w:p>
      <w:pPr>
        <w:pStyle w:val="null3"/>
      </w:pPr>
      <w:r>
        <w:rPr/>
        <w:t>4)为本项目提供整体设计、规范编制或者项目管理、监理、检测等服务的供应商，不得再参加本项目的其他采购活动(投标人出具声明函)。</w:t>
      </w:r>
    </w:p>
    <w:p>
      <w:pPr>
        <w:pStyle w:val="null3"/>
      </w:pPr>
      <w:r>
        <w:rPr/>
        <w:t>5)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6)已获取本次采购文件。</w:t>
      </w:r>
    </w:p>
    <w:p>
      <w:pPr>
        <w:pStyle w:val="null3"/>
      </w:pPr>
      <w:r>
        <w:rPr/>
        <w:t>7)本项目不接受联合体投标。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中山大学孙逸仙纪念医院深汕中心医院</w:t>
      </w:r>
    </w:p>
    <w:p>
      <w:pPr>
        <w:pStyle w:val="null3"/>
        <w:ind w:firstLine="480"/>
      </w:pPr>
      <w:r>
        <w:rPr/>
        <w:t xml:space="preserve"> 地址：</w:t>
      </w:r>
      <w:r>
        <w:rPr/>
        <w:t>汕尾市城区东涌镇站前横二路1号</w:t>
      </w:r>
    </w:p>
    <w:p>
      <w:pPr>
        <w:pStyle w:val="null3"/>
        <w:ind w:firstLine="480"/>
      </w:pPr>
      <w:r>
        <w:rPr/>
        <w:t xml:space="preserve"> 联系方式：</w:t>
      </w:r>
      <w:r>
        <w:rPr/>
        <w:t>0660-3863370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0660-3390199、020-37860535、020-37860526</w:t>
      </w:r>
    </w:p>
    <w:p>
      <w:pPr>
        <w:pStyle w:val="null3"/>
        <w:outlineLvl w:val="3"/>
      </w:pPr>
      <w:r>
        <w:rPr>
          <w:sz w:val="24"/>
          <w:b/>
        </w:rPr>
        <w:t xml:space="preserve"> 3.项目联系方式</w:t>
      </w:r>
    </w:p>
    <w:p>
      <w:pPr>
        <w:pStyle w:val="null3"/>
        <w:ind w:firstLine="480"/>
      </w:pPr>
      <w:r>
        <w:rPr/>
        <w:t xml:space="preserve"> 项目联系人：</w:t>
      </w:r>
      <w:r>
        <w:rPr/>
        <w:t>张海燕、郑发权、邓子华</w:t>
      </w:r>
    </w:p>
    <w:p>
      <w:pPr>
        <w:pStyle w:val="null3"/>
        <w:ind w:firstLine="480"/>
      </w:pPr>
      <w:r>
        <w:rPr/>
        <w:t xml:space="preserve"> 电话：</w:t>
      </w:r>
      <w:r>
        <w:rPr/>
        <w:t>0660-3390199、020-37860535、020-37860526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1234"/>
        <w:gridCol w:w="3611"/>
        <w:gridCol w:w="828"/>
        <w:gridCol w:w="2633"/>
      </w:tblGrid>
      <w:tr>
        <w:tc>
          <w:tcPr>
            <w:tcW w:type="dxa" w:w="1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6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8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w:t>
            </w:r>
          </w:p>
        </w:tc>
      </w:tr>
      <w:tr>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3.0MRI</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2500</w:t>
            </w:r>
            <w:r>
              <w:rPr>
                <w:sz w:val="21"/>
              </w:rPr>
              <w:t>万元</w:t>
            </w:r>
          </w:p>
        </w:tc>
      </w:tr>
    </w:tbl>
    <w:p>
      <w:pPr>
        <w:pStyle w:val="null3"/>
        <w:ind w:firstLine="420"/>
        <w:jc w:val="both"/>
      </w:pPr>
      <w:r>
        <w:rPr>
          <w:sz w:val="21"/>
        </w:rPr>
        <w:t>投标人必须对</w:t>
      </w:r>
      <w:r>
        <w:rPr>
          <w:sz w:val="21"/>
        </w:rPr>
        <w:t>本项目</w:t>
      </w:r>
      <w:r>
        <w:rPr>
          <w:sz w:val="21"/>
        </w:rPr>
        <w:t>全部内容进</w:t>
      </w:r>
      <w:r>
        <w:rPr>
          <w:sz w:val="21"/>
        </w:rPr>
        <w:t>行</w:t>
      </w:r>
      <w:r>
        <w:rPr>
          <w:sz w:val="21"/>
        </w:rPr>
        <w:t>投标报价，如有缺漏或</w:t>
      </w:r>
      <w:r>
        <w:rPr>
          <w:sz w:val="21"/>
        </w:rPr>
        <w:t>超出采购预算</w:t>
      </w:r>
      <w:r>
        <w:rPr>
          <w:sz w:val="21"/>
        </w:rPr>
        <w:t>，将导致投标无效。</w:t>
      </w:r>
    </w:p>
    <w:p>
      <w:pPr>
        <w:pStyle w:val="null3"/>
        <w:ind w:firstLine="420"/>
        <w:jc w:val="both"/>
      </w:pPr>
      <w:r>
        <w:rPr>
          <w:sz w:val="21"/>
        </w:rPr>
        <w:t>本项目采购本国产品。</w:t>
      </w:r>
    </w:p>
    <w:p>
      <w:pPr>
        <w:pStyle w:val="null3"/>
        <w:ind w:firstLine="420"/>
        <w:jc w:val="both"/>
      </w:pPr>
      <w:r>
        <w:rPr>
          <w:sz w:val="21"/>
        </w:rPr>
        <w:t>需要落实的政府采购政策：《政府采购促进中小企业发展管理办法》（财库〔</w:t>
      </w:r>
      <w:r>
        <w:rPr>
          <w:sz w:val="21"/>
        </w:rPr>
        <w:t>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pPr>
      <w:r>
        <w:rPr>
          <w:sz w:val="28"/>
          <w:b/>
        </w:rPr>
        <w:t>二、技术参数要求：</w:t>
      </w:r>
    </w:p>
    <w:p>
      <w:pPr>
        <w:pStyle w:val="null3"/>
        <w:jc w:val="both"/>
      </w:pPr>
      <w:r>
        <w:rPr>
          <w:b/>
        </w:rPr>
        <w:t>（</w:t>
      </w:r>
      <w:r>
        <w:rPr>
          <w:b/>
        </w:rPr>
        <w:t>1</w:t>
      </w:r>
      <w:r>
        <w:rPr>
          <w:b/>
        </w:rPr>
        <w:t>）</w:t>
      </w:r>
      <w:r>
        <w:rPr>
          <w:b/>
        </w:rPr>
        <w:t>★</w:t>
      </w:r>
      <w:r>
        <w:rPr>
          <w:b/>
        </w:rPr>
        <w:t>所投产品具有有效的医疗器械注册证明资料</w:t>
      </w:r>
      <w:r>
        <w:rPr>
          <w:b/>
        </w:rPr>
        <w:t>。</w:t>
      </w:r>
    </w:p>
    <w:p>
      <w:pPr>
        <w:pStyle w:val="null3"/>
        <w:jc w:val="both"/>
      </w:pPr>
      <w:r>
        <w:rPr>
          <w:b/>
        </w:rPr>
        <w:t>（</w:t>
      </w:r>
      <w:r>
        <w:rPr>
          <w:b/>
        </w:rPr>
        <w:t>2</w:t>
      </w:r>
      <w:r>
        <w:rPr>
          <w:b/>
        </w:rPr>
        <w:t>）</w:t>
      </w:r>
      <w:r>
        <w:rPr>
          <w:b/>
        </w:rPr>
        <w:t>“★”</w:t>
      </w:r>
      <w:r>
        <w:rPr>
          <w:b/>
        </w:rPr>
        <w:t>号条款是关键技术参数，一项不符合即导致该投标人投标无效。所有投标人必须严格按照招标文件的内容进行填写，如不能填写请提供说明。</w:t>
      </w:r>
      <w:r>
        <w:rPr>
          <w:b/>
        </w:rPr>
        <w:t>“▲”</w:t>
      </w:r>
      <w:r>
        <w:rPr>
          <w:b/>
        </w:rPr>
        <w:t>号条款为评审时的重要技术参数，不作为投标无效条款。</w:t>
      </w:r>
    </w:p>
    <w:tbl>
      <w:tblPr>
        <w:tblW w:w="0" w:type="auto"/>
        <w:tblBorders>
          <w:top w:val="none" w:color="000000" w:sz="4"/>
          <w:left w:val="none" w:color="000000" w:sz="4"/>
          <w:bottom w:val="none" w:color="000000" w:sz="4"/>
          <w:right w:val="none" w:color="000000" w:sz="4"/>
          <w:insideH w:val="none"/>
          <w:insideV w:val="none"/>
        </w:tblBorders>
      </w:tblPr>
      <w:tblGrid>
        <w:gridCol w:w="1110"/>
        <w:gridCol w:w="4232"/>
        <w:gridCol w:w="2936"/>
      </w:tblGrid>
      <w:tr>
        <w:tc>
          <w:tcPr>
            <w:tcW w:type="dxa" w:w="11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4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技术参数</w:t>
            </w:r>
          </w:p>
        </w:tc>
        <w:tc>
          <w:tcPr>
            <w:tcW w:type="dxa" w:w="29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招标要求</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71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总体要求</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1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投标机型为各公司获得</w:t>
            </w:r>
            <w:r>
              <w:rPr>
                <w:sz w:val="21"/>
              </w:rPr>
              <w:t>NMPA的磁共振机型</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磁体系统</w:t>
            </w:r>
          </w:p>
        </w:tc>
        <w:tc>
          <w:tcPr>
            <w:tcW w:type="dxa" w:w="29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磁体类型</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超导磁体</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磁场强度</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3.0T</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屏蔽方式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主动屏蔽</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抗外界电磁干扰屏蔽技术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匀场方式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主动</w:t>
            </w:r>
            <w:r>
              <w:rPr>
                <w:sz w:val="21"/>
              </w:rPr>
              <w:t>+被动</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2.6</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磁场稳定度</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&lt;0.1ppm/h</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2.7</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动态匀场</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2.8</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实时匀场</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2.9</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病人个性匀场</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2.10</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磁场均匀度</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典型值（</w:t>
            </w:r>
            <w:r>
              <w:rPr>
                <w:sz w:val="21"/>
              </w:rPr>
              <w:t>V－RMS测量法）</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2.10.1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10cm DSV</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≤0.01ppm</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2.10.2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20cm DSV</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≤0.03ppm</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2.10.3</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30cm DSV</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≤0.06ppm</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▲2.10.4</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40cm DSV</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≤0.3ppm</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2.10.5</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45cm DSV</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≤0.7ppm</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2.10.6</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50cm DSV</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≤2.1ppm</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液氦消耗</w:t>
            </w:r>
            <w:r>
              <w:rPr>
                <w:sz w:val="21"/>
              </w:rPr>
              <w:t>(正常使用)</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每年</w:t>
            </w:r>
            <w:r>
              <w:rPr>
                <w:sz w:val="21"/>
              </w:rPr>
              <w:t>≤0.0L</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磁体长度（不含外壳）</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≤175 cm           </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2.13</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磁体长度</w:t>
            </w:r>
            <w:r>
              <w:rPr>
                <w:sz w:val="21"/>
              </w:rPr>
              <w:t>(含外壳)</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≤210 cm           </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★2.14</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磁体最小孔径</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≥70 cm</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▲2.15</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磁体重量</w:t>
            </w:r>
            <w:r>
              <w:rPr>
                <w:sz w:val="21"/>
              </w:rPr>
              <w:t>(含液氦）</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≤6.5吨</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▲2.16</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五高斯磁力线径向</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≤3.0m</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2.17</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五高斯磁力线轴向</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≤5.5m</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2.18</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冷头保用时间</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≥1年</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2.19</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最大液氦容量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≥1500L</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梯度系统</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单梯度系统（非双梯度或双梯度放大器）</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最大单轴梯度场强（非有效值，非</w:t>
            </w:r>
            <w:r>
              <w:rPr>
                <w:sz w:val="21"/>
              </w:rPr>
              <w:t>Peak值，非Vector值）</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r>
              <w:rPr>
                <w:sz w:val="21"/>
              </w:rPr>
              <w:t xml:space="preserve">0mT/m  </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3.3</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最大单轴梯度切换率（非有效值，非</w:t>
            </w:r>
            <w:r>
              <w:rPr>
                <w:sz w:val="21"/>
              </w:rPr>
              <w:t>Peak值，非Vector值）</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≥200T</w:t>
            </w:r>
            <w:r>
              <w:rPr>
                <w:sz w:val="21"/>
              </w:rPr>
              <w:t>/m/s</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3.4</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最大单轴梯度爬升时间</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≤300us</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3.5</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最大场强和最大切换率同时到达</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3.6</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工作周期中的最大占空比</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3.7</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软件降噪技术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3.8</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硬件降噪技术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3.9</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梯度线圈冷却</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水冷</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3.10</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梯度放大器冷却</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水冷</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梯度控制技术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全数字实时发射接收</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梯度工作方式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非共振式</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射频系统</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多通道（源）射频发射技术平台</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射频类型</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全数字实时控制系统</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4.3</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射频发射功率</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≥30kW</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4.4</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独立射频放大器个数</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≥2个</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4.5</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射频噪音水平</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≤0.5dB</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4.6</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射频发射带宽</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≥800kHz</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4.7</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相控阵射频同时并行终端传输通道数（非系统最大通道数、非最大可用线圈单元数）</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≥128个</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▲4.8</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单个扫描野内一次扫描最大独立接收通道数（非线圈组合通道数或移床过程中用到的总通道数）</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≥128个</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4.9</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各通道接收带宽</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≥1MHz</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4.10</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用户可调节接收带宽技术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4.11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射频线圈扫描自动调谐技术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4.12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磁体内置一体化数字射频发射系统</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4.13</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磁体内置一体化数字射频接收系统</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全身各部位射频接收线圈</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(以下线圈为单独或组合使用)</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提供与主机同一品牌原厂头颅矩阵线圈或与主机同一品牌原厂头颈矩阵线圈（单独）</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≥48通道</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颈部矩阵线圈（组合）</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≥16通道</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5.3</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头颈联合（神经血管）矩阵线圈（组合）</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≥48通道</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▲5.4</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全脊柱线圈整合于床面设计，且脊柱矩阵线圈（单独）</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≥38通道</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5.5</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体部矩阵线圈（组合）</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≥48通道</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5.6</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全腹矩阵线圈（组合）</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≥48通道</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5.7</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胸部（心脏）矩阵线圈（组合）</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≥48通道</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5.8</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全神经（头颈脊柱一体化）线圈（组合）</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≥50通道</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5.9</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下肢血管线圈（组合）</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≥48通道</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5.10</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乳腺线圈（单独）</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i/>
              </w:rPr>
              <w:t>≥16通道</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5.11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关节柔软线圈（单独）</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≥18通道</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全静音平台</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梯度系统硬件静音技术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声阻尼材料技术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6.3</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真空隔绝腔设计的硬件静音技术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6.4</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自动防止梯度线圈共振的序列优化技术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6.5</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人工智能选择性静音技术（适用于所有序列）</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6.6</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全静音平台适用范围</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6.6.1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全静音平台可用于</w:t>
            </w:r>
            <w:r>
              <w:rPr>
                <w:sz w:val="21"/>
              </w:rPr>
              <w:t>T1对比</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满足</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6.6.2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全静音平台可用于</w:t>
            </w:r>
            <w:r>
              <w:rPr>
                <w:sz w:val="21"/>
              </w:rPr>
              <w:t>T2对比</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满足</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6.6.3</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全静音平台可用于</w:t>
            </w:r>
            <w:r>
              <w:rPr>
                <w:sz w:val="21"/>
              </w:rPr>
              <w:t>Darkfluid对比</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满足</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6.6.4</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全静音平台可用于</w:t>
            </w:r>
            <w:r>
              <w:rPr>
                <w:sz w:val="21"/>
              </w:rPr>
              <w:t>SWI对比</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满足</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6.6.5</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全静音平台可用于</w:t>
            </w:r>
            <w:r>
              <w:rPr>
                <w:sz w:val="21"/>
              </w:rPr>
              <w:t>TSE序列</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满足</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6.6.5</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全静音平台可用于</w:t>
            </w:r>
            <w:r>
              <w:rPr>
                <w:sz w:val="21"/>
              </w:rPr>
              <w:t>SE序列</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满足</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6.6.5</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全静音平台可用于</w:t>
            </w:r>
            <w:r>
              <w:rPr>
                <w:sz w:val="21"/>
              </w:rPr>
              <w:t>GRE序列</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满足</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6.6.6</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全静音平台可用于</w:t>
            </w:r>
            <w:r>
              <w:rPr>
                <w:sz w:val="21"/>
              </w:rPr>
              <w:t>DWI序列</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满足</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6.7</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全静音平台可以应用于</w:t>
            </w:r>
            <w:r>
              <w:rPr>
                <w:sz w:val="21"/>
              </w:rPr>
              <w:t>3D T1加权超短TE 序列</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6.8</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全静音平台可以应用于神经系统成像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6.9</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全静音平台可以应用于骨关节系统成像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6.10</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全静音平台可以应用于脊柱成像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6.11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可以降低</w:t>
            </w:r>
            <w:r>
              <w:rPr>
                <w:sz w:val="21"/>
              </w:rPr>
              <w:t>≥96% 噪声声压</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主控计算机系统</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CPU</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CPU核心</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≥4个</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7.3</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CPU位数</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≥64位</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7.4</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主频大小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≥3.5GHz</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7.5</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内存大小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≥64GB  </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7.6</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计算机显示</w:t>
            </w:r>
            <w:r>
              <w:rPr>
                <w:sz w:val="21"/>
              </w:rPr>
              <w:t>设备</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≥24英寸彩色LCD</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7.7</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w:t>
            </w:r>
            <w:r>
              <w:rPr>
                <w:sz w:val="21"/>
              </w:rPr>
              <w:t>设备</w:t>
            </w:r>
            <w:r>
              <w:rPr>
                <w:sz w:val="21"/>
              </w:rPr>
              <w:t>分辨率</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≥1920×1200</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7.8</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硬盘容量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≥1024GB         </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7.9</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数据存储形式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CD/DVD</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7.10</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阵列处理器主频</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≥2.6GHz</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7.11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阵列处理器内存</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≥64GB</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7.12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阵列处理器硬盘</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≥1024GB         </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7.13</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超快速计算机处理技术</w:t>
            </w:r>
            <w:r>
              <w:rPr>
                <w:sz w:val="21"/>
              </w:rPr>
              <w:t>(256X256, 100% FOV)</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图像重建速度</w:t>
            </w:r>
            <w:r>
              <w:rPr>
                <w:sz w:val="21"/>
              </w:rPr>
              <w:t>≥50000幅/秒</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7.14</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DICOM3.0接口</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系统后处理功能</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3D后处理</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实时</w:t>
            </w:r>
            <w:r>
              <w:rPr>
                <w:sz w:val="21"/>
              </w:rPr>
              <w:t>MPR后处理</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8.3</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三维表面重建技术</w:t>
            </w:r>
            <w:r>
              <w:rPr>
                <w:sz w:val="21"/>
              </w:rPr>
              <w:t>SSD后处理</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8.4</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实时</w:t>
            </w:r>
            <w:r>
              <w:rPr>
                <w:sz w:val="21"/>
              </w:rPr>
              <w:t>MIP后处理</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8.5</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电影回放软件</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8.6</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图像评价软件</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8.7</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实时互动重建</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8.8</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ADC-map</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8.9</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T1，T2值计算</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8.10</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时间信号曲线</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8.11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图像减影、叠加</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操作台、扫描床及环境调节系统</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垂直移动时扫描床最大承重</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≥200Kg</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扫描床升降系统</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9.3</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床旁扫描控制系统</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9.4</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病人监视系统</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9.5</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照明、通风、通话</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9.6</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最低床位</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≤70cm</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9.7</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扫描范围</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≥200cm</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9.8</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智能线圈更换</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9.9</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自动步进扫描床</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9.10</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患者呼叫警示系统</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9.11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特定吸收率</w:t>
            </w:r>
            <w:r>
              <w:rPr>
                <w:sz w:val="21"/>
              </w:rPr>
              <w:t>SAR实时连续监控显示装置</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9.12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紧急制动系统</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后处理接口</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软件控制照相技术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光盘刻录机</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10.3</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可同时回读至主机和</w:t>
            </w:r>
            <w:r>
              <w:rPr>
                <w:sz w:val="21"/>
              </w:rPr>
              <w:t>PC机</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10.4</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具备完整</w:t>
            </w:r>
            <w:r>
              <w:rPr>
                <w:sz w:val="21"/>
              </w:rPr>
              <w:t>DICOM3.0接口及 与PACS 网络连接（包括Query/Retrieve、Send/Receive、Print、Worklist）的功能</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10.5</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DICOM3.0标准激光 相机数字接口</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全景一体化成像系统</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一次摆位完成全部线圈扫描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线圈组合扫描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11.3</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组合扫描专用线圈控制技术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11.4</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智能定位技术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11.5</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脊柱线圈整合于床面设计</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11.6</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线圈接口整合于床面设计</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11.7</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矩阵线圈选择模式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11.8</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矩阵线圈频谱成像模式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智能操作平台</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头部自动定位功能</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图文引导的实时在线指导功能</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12.3</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大范围自动扫描定位功能（移动中扫描定位）</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12.4</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并行采集拓展功能</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12.5</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膈肌导航技术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扫描参数</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最小二维层厚</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≤0.1mm   </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最小三维层厚</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≤0.05mm     </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13.3</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最大扫描视野</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≥50cm</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13.4</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最小扫描视野</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≤0.5cm  </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13.5</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FSE最大回波链长度</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≥512        </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13.6</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EPI最大因子</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≥256</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13.7</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最大采集矩阵</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1024×1024</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13.8</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弥散加权</w:t>
            </w:r>
            <w:r>
              <w:rPr>
                <w:sz w:val="21"/>
              </w:rPr>
              <w:t>B值</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≥10000       </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13.9</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最短</w:t>
            </w:r>
            <w:r>
              <w:rPr>
                <w:sz w:val="21"/>
              </w:rPr>
              <w:t>TR时间（128矩阵）</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≤0.7ms</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13.10</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最短</w:t>
            </w:r>
            <w:r>
              <w:rPr>
                <w:sz w:val="21"/>
              </w:rPr>
              <w:t>TE时间（128矩阵）</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≤0.22ms  </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13.11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3D GRE最短TR(256 x256矩阵)</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≤1.1ms</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13.12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3D GRE最短TE (256 x256矩阵)</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≤0.22ms</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13.13</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3D GRE最短TR(128 x128矩阵)</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≤0.7ms</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13.14</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3D GRE最短TE (128 x128矩阵)</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≤0.22ms</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13.15</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快速自旋回波最短</w:t>
            </w:r>
            <w:r>
              <w:rPr>
                <w:sz w:val="21"/>
              </w:rPr>
              <w:t>TR（256 x 256矩阵）</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≤4.7ms</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13.16</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快速自旋回波最短</w:t>
            </w:r>
            <w:r>
              <w:rPr>
                <w:sz w:val="21"/>
              </w:rPr>
              <w:t>TE（256 x 256矩阵）</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≤1.8ms</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13.17</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快速自旋回波最短</w:t>
            </w:r>
            <w:r>
              <w:rPr>
                <w:sz w:val="21"/>
              </w:rPr>
              <w:t>TR（128 x 128矩阵）</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≤4.3ms</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13.18</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快速自旋回波最短</w:t>
            </w:r>
            <w:r>
              <w:rPr>
                <w:sz w:val="21"/>
              </w:rPr>
              <w:t>TE（128 x 128矩阵）</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≤1.6ms</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13.19</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EPI最短TR（64 x 64矩阵）</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≤10ms</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13.20</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EPI最短TE（64 x 64矩阵）</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≤2.1ms</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13.21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TSE序列最短回波间隔(256x256矩阵)</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≤2.0ms</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13.22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EPI序列最短回波间隔 (256x256矩阵)</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≤0.54ms   </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成像序列和技术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自旋回波（</w:t>
            </w:r>
            <w:r>
              <w:rPr>
                <w:sz w:val="21"/>
              </w:rPr>
              <w:t>SE）序列</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14.1.1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2D/3D TSE</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14.1.2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TSE回波分享技术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14.1.3</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三维</w:t>
            </w:r>
            <w:r>
              <w:rPr>
                <w:sz w:val="21"/>
              </w:rPr>
              <w:t>TSE序列</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14.1.4</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单次激发</w:t>
            </w:r>
            <w:r>
              <w:rPr>
                <w:sz w:val="21"/>
              </w:rPr>
              <w:t>SE</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14.1.5</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脂肪抑制序列</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14.1.6</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频率脂肪抑制</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14.1.7</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水抑制序列</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反转恢复（</w:t>
            </w:r>
            <w:r>
              <w:rPr>
                <w:sz w:val="21"/>
              </w:rPr>
              <w:t>IR）序列</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14.2.1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快速</w:t>
            </w:r>
            <w:r>
              <w:rPr>
                <w:sz w:val="21"/>
              </w:rPr>
              <w:t>IR(脂肪、 水抑制）</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14.2.2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快速自由水抑制（</w:t>
            </w:r>
            <w:r>
              <w:rPr>
                <w:sz w:val="21"/>
              </w:rPr>
              <w:t>T1、 T2FLAIR）</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14.2.3</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STIR短T1压脂序列</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14.2.4</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单次激发快速</w:t>
            </w:r>
            <w:r>
              <w:rPr>
                <w:sz w:val="21"/>
              </w:rPr>
              <w:t>IR</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14.2.5</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常规反转恢复序列</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14.2.6</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真实影像反转恢复（灰白质强对比）</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14.2.7</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脂肪</w:t>
            </w:r>
            <w:r>
              <w:rPr>
                <w:sz w:val="21"/>
              </w:rPr>
              <w:t>/水激发技术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14.2.8</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翻转恢复脂肪抑制序列</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14.3</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梯度回波</w:t>
            </w:r>
            <w:r>
              <w:rPr>
                <w:sz w:val="21"/>
              </w:rPr>
              <w:t>(GRE) 序列</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14.3.1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2D/3D稳态进动梯度回波</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14.3.2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in-phase和out-phase成像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14.3.3</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多回波聚合序列</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14.3.4</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亚秒</w:t>
            </w:r>
            <w:r>
              <w:rPr>
                <w:sz w:val="21"/>
              </w:rPr>
              <w:t>T1扫描序列（2D/3D）</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14.3.5</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亚秒</w:t>
            </w:r>
            <w:r>
              <w:rPr>
                <w:sz w:val="21"/>
              </w:rPr>
              <w:t>T2扫描序列（2D/3D）</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14.3.6</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单次多平面梯度回波序列</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14.3.7</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多回波梯度回波序列</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14.3.8</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除剩余磁化梯度回波</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14.3.9</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利用剩余磁化梯度回波</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14.3.10</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重</w:t>
            </w:r>
            <w:r>
              <w:rPr>
                <w:sz w:val="21"/>
              </w:rPr>
              <w:t>T2 加权高对比序列</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14.4</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平面回波</w:t>
            </w:r>
            <w:r>
              <w:rPr>
                <w:sz w:val="21"/>
              </w:rPr>
              <w:t>(EPI)序列</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14.4.1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单次激发</w:t>
            </w:r>
            <w:r>
              <w:rPr>
                <w:sz w:val="21"/>
              </w:rPr>
              <w:t>EPI</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14.4.2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多次激发</w:t>
            </w:r>
            <w:r>
              <w:rPr>
                <w:sz w:val="21"/>
              </w:rPr>
              <w:t>EPI</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14.4.3</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自旋回波</w:t>
            </w:r>
            <w:r>
              <w:rPr>
                <w:sz w:val="21"/>
              </w:rPr>
              <w:t>EPI</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14.4.4</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梯度回波</w:t>
            </w:r>
            <w:r>
              <w:rPr>
                <w:sz w:val="21"/>
              </w:rPr>
              <w:t>EPI</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14.4.5</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反转</w:t>
            </w:r>
            <w:r>
              <w:rPr>
                <w:sz w:val="21"/>
              </w:rPr>
              <w:t>EPI</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体部成像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肝脏</w:t>
            </w:r>
            <w:r>
              <w:rPr>
                <w:sz w:val="21"/>
              </w:rPr>
              <w:t>T1加权3D高分辨动态成像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多期动态扫描层面精准对位技术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15.3</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全身弥散成像软件包</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 xml:space="preserve">     </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15.4</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同相位</w:t>
            </w:r>
            <w:r>
              <w:rPr>
                <w:sz w:val="21"/>
              </w:rPr>
              <w:t>/去相位水脂分离技术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15.5</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MR结肠造影技术 （亮、暗腔）</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15.6</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MR胰胆管造影技术(2D/3D)</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15.7</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单次激发</w:t>
            </w:r>
            <w:r>
              <w:rPr>
                <w:sz w:val="21"/>
              </w:rPr>
              <w:t>2D/3D水成像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15.8</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呼吸导航技术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15.9</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自由呼吸</w:t>
            </w:r>
            <w:r>
              <w:rPr>
                <w:sz w:val="21"/>
              </w:rPr>
              <w:t>3D水成像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15.10</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动态肾脏灌注成像技术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16.11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MR尿路造影技术（2D/3D）</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15.12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MR脊髓造影技术（2D/3D）</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神经系统成像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弥散成像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16.1.1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实时弥散技术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16.1.2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各向同性采集、</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16.1.3</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各向异性采集</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16.1.4</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ADC值测量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16.1.5</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ADC-map彩图</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16.1.6</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体部脏器弥散</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16.1.7</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可选优化</w:t>
            </w:r>
            <w:r>
              <w:rPr>
                <w:sz w:val="21"/>
              </w:rPr>
              <w:t>B值</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16.1.8</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弥散张量成像（</w:t>
            </w:r>
            <w:r>
              <w:rPr>
                <w:sz w:val="21"/>
              </w:rPr>
              <w:t>DTI）</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16.1.9</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白质纤维束成像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16.1.10</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DTI弥散张量方向数</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≥256方向</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16.1.11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高清弥散成像（多次激发分段读出弥散成像）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16.1.12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高清弥散可应用于头部</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16.1.13</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高清弥散可应用于乳腺</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16.1.14</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高清弥散可应用于盆腔</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灌注成像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16.2.1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2D-EPI灌注成像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16.2.2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多层灌注成像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16.2.3</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rCBV分析</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16.2.4</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TTP分析</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16.2.5</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MTT分析</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16.2.6</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时间信号曲线</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16.2.7</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彩色后处理功能</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16.2.8</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三维动脉自旋</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16.3</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磁敏感成像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16.3.1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可兼容并行采集</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16.3.2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SWI实时磁矩图成像技术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16.3.3</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SWI实时相位图成像技术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16.3.4</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SWI原始图像成像技术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16.3.5</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mMIP图像成像技术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16.4</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脑功能成像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16.4.1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血氧饱和度依赖性成像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16.4.2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t-test后处理成像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16.5</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其他成像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16.5.1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全中枢神经系统成像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具备，使用一体化线圈</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16.5.2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图像无缝拼接软件包</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16.5.3</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灰质容积成像技术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心血管成像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2D/3D时飞法(TOF)血管成像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相位对比</w:t>
            </w:r>
            <w:r>
              <w:rPr>
                <w:sz w:val="21"/>
              </w:rPr>
              <w:t>(PC)血管成像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17.3</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门控法</w:t>
            </w:r>
            <w:r>
              <w:rPr>
                <w:sz w:val="21"/>
              </w:rPr>
              <w:t>TOF/PC血管成像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17.4</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3D增强对比CE—MRA技术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17.5</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门静脉成像技术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17.6</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实时成像技术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17.7</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超快速血管造影成像技术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17.8</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磁化转移（</w:t>
            </w:r>
            <w:r>
              <w:rPr>
                <w:sz w:val="21"/>
              </w:rPr>
              <w:t>MTC）技术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17.9</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造影剂实时跟踪触发技术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17.10</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导航技术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17.11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下肢血管造影分段跟踪成像技术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17.12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自动移床</w:t>
            </w:r>
            <w:r>
              <w:rPr>
                <w:sz w:val="21"/>
              </w:rPr>
              <w:t>MRA</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17.13</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电影回放</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17.14</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最大强度投影</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17.15</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多层面重建</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17.16</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曲面重建</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17.17</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常规心脏形态学成像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17.18</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心脏回波分享技术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17.19</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快速梯度回波</w:t>
            </w:r>
            <w:r>
              <w:rPr>
                <w:sz w:val="21"/>
              </w:rPr>
              <w:t>/快速心脏采集</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17.20</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黑血技术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17.21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亮血技术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17.22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正向心电触发</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17.23</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反向心电触发</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17.24</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二维</w:t>
            </w:r>
            <w:r>
              <w:rPr>
                <w:sz w:val="21"/>
              </w:rPr>
              <w:t>/三维多相位成像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17.25</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心脏电影</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17.26</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一站式心脏成像技术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17.27</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首过法灌注成像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17.28</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自动心肌活性成像（自动选择</w:t>
            </w:r>
            <w:r>
              <w:rPr>
                <w:sz w:val="21"/>
              </w:rPr>
              <w:t>TI时间）</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17.29</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放射采集技术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17.30</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双斜位成像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波谱成像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自动匀场方式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手动匀场方式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18.3</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自动水抑制技术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18.4</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自动频谱分析</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18.5</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实时频谱分析及实时显示</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18.6</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高级频谱分析后处理软件</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18.7</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后处理程序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18.8</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2D和3D频谱成像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18.9</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单体素和多体素频谱成像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18.10</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点分辨法技术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18.11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激励回波法技术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18.12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代谢产物浓度分布彩图</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18.13</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代谢产物比例地图</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18.14</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外周容积脂肪抑制技术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18.15</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半自动匀场方式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18.16</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快速频谱成像技术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18.17</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三维脑频谱成像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18.18</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化学位移成像</w:t>
            </w:r>
            <w:r>
              <w:rPr>
                <w:sz w:val="21"/>
              </w:rPr>
              <w:t>(2D/3D CSI)</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18.19</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多通道矩阵线圈完成头颅频谱</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18.20</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多通道矩阵线圈完成乳腺频谱</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骨关节成像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3D各向同性容积成像序列</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高分辨率颈髓成像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19.3</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高分辨率内耳三维成像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19.4</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全脊柱成像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19.5</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图像无缝拼接软件包</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19.6</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关节软骨成像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各个厂家</w:t>
            </w:r>
            <w:r>
              <w:rPr>
                <w:sz w:val="21"/>
              </w:rPr>
              <w:t>应</w:t>
            </w:r>
            <w:r>
              <w:rPr>
                <w:sz w:val="21"/>
              </w:rPr>
              <w:t>提供各自最新</w:t>
            </w:r>
            <w:r>
              <w:rPr>
                <w:sz w:val="21"/>
              </w:rPr>
              <w:t>AI功能:</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头部</w:t>
            </w:r>
            <w:r>
              <w:rPr>
                <w:sz w:val="21"/>
              </w:rPr>
              <w:t>AI平台</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体部</w:t>
            </w:r>
            <w:r>
              <w:rPr>
                <w:sz w:val="21"/>
              </w:rPr>
              <w:t>AI平台</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20.3</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骨关节</w:t>
            </w:r>
            <w:r>
              <w:rPr>
                <w:sz w:val="21"/>
              </w:rPr>
              <w:t>AI平台</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并行采集技术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基于图像算法</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基于</w:t>
            </w:r>
            <w:r>
              <w:rPr>
                <w:sz w:val="21"/>
              </w:rPr>
              <w:t>k-空间算法</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21.3</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基于两个相位编码方向同时加速算法</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21.4</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并行采集加速因子</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21.5</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与并行采集技术兼容的射频线圈</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全面兼容</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21.6</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与并行采集技术</w:t>
            </w:r>
            <w:r>
              <w:rPr>
                <w:sz w:val="21"/>
              </w:rPr>
              <w:t>兼容的扫描序列</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全面兼容</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21.7</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并行采集自动校准技术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21.8</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并行采集因子施加方向</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X, Y, Z轴三方向</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伪影校正技术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流体补偿</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呼吸补偿</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22.3</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头部伪影矫正</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22.4</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去金属伪影技术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22.5</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消除磁敏感伪影</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22.6</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卷积伪影去除</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22.7</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前瞻性运动伪影校正</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22.8</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回顾性运动伪影校正</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22.9</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抑制头部运动伪影</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22.10</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抑制腹部运动伪影</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22.11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抑制关节运动伪影</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22.12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抑制颈部运动伪影</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22.13</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可应用于</w:t>
            </w:r>
            <w:r>
              <w:rPr>
                <w:sz w:val="21"/>
              </w:rPr>
              <w:t>T1像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22.14</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可应用于</w:t>
            </w:r>
            <w:r>
              <w:rPr>
                <w:sz w:val="21"/>
              </w:rPr>
              <w:t>T2像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22.15</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可应用于黑水像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22.16</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可应用于冠状位</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22.17</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可应用于矢状位</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22.18</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可应用于横断位</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其他先进技术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自动和手动滤波</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实时交互式成像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23.3</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三维定位系统</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23.4</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频率编码方向扩大采集</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23.5</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相位编码方向扩大采集</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23.6</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预饱和技术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23.7</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饱和带数目</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23.8</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脂肪饱和技术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23.9</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水饱和技术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23.10</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水激发技术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23.11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偏中心扫描技术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23.12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扫描暂停技术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23.13</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可变带宽技术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23.14</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可变</w:t>
            </w:r>
            <w:r>
              <w:rPr>
                <w:sz w:val="21"/>
              </w:rPr>
              <w:t>k空间填充</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23.15</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非</w:t>
            </w:r>
            <w:r>
              <w:rPr>
                <w:sz w:val="21"/>
              </w:rPr>
              <w:t>/对称回波</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23.16</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信噪比指示器</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23.17</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优化反转角技术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23.18</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线圈灵敏度校正</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23.19</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神经高分辨成像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23.20</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磁共振实时定位</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23.21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磁共振实时透视</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23.22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交互式参数改变</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23.23</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扫描参数顾问</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23.24</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序列重生技术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w:t>
            </w:r>
          </w:p>
        </w:tc>
        <w:tc>
          <w:tcPr>
            <w:tcW w:type="dxa" w:w="71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高级独立影像后处理工作站</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内存</w:t>
            </w:r>
          </w:p>
        </w:tc>
        <w:tc>
          <w:tcPr>
            <w:tcW w:type="dxa" w:w="29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 GB</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主频</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≥3.4GHz</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24.3</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硬盘容量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≥500G</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24.4</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MIP,MPR,SSD等</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24.5</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DICOM图像转换成JPG格式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24.6</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图像分析系统（测量、反转、滤波）</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24.7</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工作站控制照相</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24.8</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图像管理</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24.9</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联网图像传输</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24.10</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Dicom3.0软硬接口 并负责连接</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主台及后处理工作站都可</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其他及第三方配套设备要求</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基建（含</w:t>
            </w:r>
            <w:r>
              <w:rPr>
                <w:sz w:val="21"/>
              </w:rPr>
              <w:t>改造</w:t>
            </w:r>
            <w:r>
              <w:rPr>
                <w:sz w:val="21"/>
              </w:rPr>
              <w:t>、机房屏蔽）</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精密空调</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具备，数量</w:t>
            </w:r>
            <w:r>
              <w:rPr>
                <w:sz w:val="21"/>
              </w:rPr>
              <w:t>1台</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25.3</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水冷机</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具备，数量</w:t>
            </w:r>
            <w:r>
              <w:rPr>
                <w:sz w:val="21"/>
              </w:rPr>
              <w:t>1台</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25.4</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铁磁监测系统</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具备，数量</w:t>
            </w:r>
            <w:r>
              <w:rPr>
                <w:sz w:val="21"/>
              </w:rPr>
              <w:t>1套</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25.5</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PACS端口</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具备，数量</w:t>
            </w:r>
            <w:r>
              <w:rPr>
                <w:sz w:val="21"/>
              </w:rPr>
              <w:t>20个</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25.6</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8兆显示</w:t>
            </w:r>
            <w:r>
              <w:rPr>
                <w:sz w:val="21"/>
              </w:rPr>
              <w:t>设备</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具备，数量</w:t>
            </w:r>
            <w:r>
              <w:rPr>
                <w:sz w:val="21"/>
              </w:rPr>
              <w:t>5台</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25.7</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4兆显示</w:t>
            </w:r>
            <w:r>
              <w:rPr>
                <w:sz w:val="21"/>
              </w:rPr>
              <w:t>设备</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具备，数量</w:t>
            </w:r>
            <w:r>
              <w:rPr>
                <w:sz w:val="21"/>
              </w:rPr>
              <w:t>5台</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25.8</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一体式工作台</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具备，数量</w:t>
            </w:r>
            <w:r>
              <w:rPr>
                <w:sz w:val="21"/>
              </w:rPr>
              <w:t>10张</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25.9</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国产高压注射器</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具备，数量</w:t>
            </w:r>
            <w:r>
              <w:rPr>
                <w:sz w:val="21"/>
              </w:rPr>
              <w:t>1台</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25.10</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无磁轮椅</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具备，数量</w:t>
            </w:r>
            <w:r>
              <w:rPr>
                <w:sz w:val="21"/>
              </w:rPr>
              <w:t>1张</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25.11</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无磁转运床</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具备，数量</w:t>
            </w:r>
            <w:r>
              <w:rPr>
                <w:sz w:val="21"/>
              </w:rPr>
              <w:t>1张</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25.12</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无磁灭火器</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具备，数量</w:t>
            </w:r>
            <w:r>
              <w:rPr>
                <w:sz w:val="21"/>
              </w:rPr>
              <w:t>2个</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25.13</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无磁消毒灯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具备，数量</w:t>
            </w:r>
            <w:r>
              <w:rPr>
                <w:sz w:val="21"/>
              </w:rPr>
              <w:t>1台</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25.14</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无磁摄像头</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具备，数量</w:t>
            </w:r>
            <w:r>
              <w:rPr>
                <w:sz w:val="21"/>
              </w:rPr>
              <w:t>1套</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25.15</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动物线圈</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具备，数量</w:t>
            </w:r>
            <w:r>
              <w:rPr>
                <w:sz w:val="21"/>
              </w:rPr>
              <w:t>1套</w:t>
            </w:r>
          </w:p>
        </w:tc>
      </w:tr>
    </w:tbl>
    <w:p>
      <w:pPr>
        <w:pStyle w:val="null3"/>
      </w:pPr>
      <w:r>
        <w:rPr/>
        <w:t>采购包1（3.0MRI）</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按采购人要求</w:t>
            </w:r>
          </w:p>
        </w:tc>
      </w:tr>
      <w:tr>
        <w:tc>
          <w:tcPr>
            <w:tcW w:type="dxa" w:w="4153"/>
          </w:tcPr>
          <w:p>
            <w:pPr>
              <w:pStyle w:val="null3"/>
            </w:pPr>
            <w:r>
              <w:rPr/>
              <w:t>标的提供的地点</w:t>
            </w:r>
          </w:p>
        </w:tc>
        <w:tc>
          <w:tcPr>
            <w:tcW w:type="dxa" w:w="4153"/>
          </w:tcPr>
          <w:p>
            <w:pPr>
              <w:pStyle w:val="null3"/>
            </w:pPr>
            <w:r>
              <w:rPr/>
              <w:t>按采购人要求</w:t>
            </w:r>
          </w:p>
        </w:tc>
      </w:tr>
      <w:tr/>
      <w:tr/>
      <w:tr>
        <w:tc>
          <w:tcPr>
            <w:tcW w:type="dxa" w:w="4153"/>
          </w:tcPr>
          <w:p>
            <w:pPr>
              <w:pStyle w:val="null3"/>
            </w:pPr>
            <w:r>
              <w:rPr/>
              <w:t>付款方式</w:t>
            </w:r>
          </w:p>
        </w:tc>
        <w:tc>
          <w:tcPr>
            <w:tcW w:type="dxa" w:w="4153"/>
          </w:tcPr>
          <w:p>
            <w:pPr>
              <w:pStyle w:val="null3"/>
            </w:pPr>
            <w:r>
              <w:rPr/>
              <w:t>第1期为(货款)：支付比例100%，★一、如中标单位为大型企业（依据《关于印发中小企业划型标准规定的通知》工信部联企业〔2011〕300号划分大型企业） 1）中标人与采购人签订合同后10天内以支票、保函、银行转账等非现金形式提交合同总额5%的履约保证金给采购人。 2）合同设备全部到工地或指定地点交付并完成安装及验收后，中标人凭采购人收货证明、使用部门调试使用意见（加盖采购人装备科公章）等资料，向采购人申请付款。 3）付款方式经采购人、中标人双方共同协议同意于货到验收合格后，采购人在收到相关申请资料及满足付款支付条件后10天内以银行转账支付合同金额的100%，待设备安装正常运行后采购人在收到相关申请资料后10天内无息退回5%履约保证金。 4）如不是医院自有资金项目，付款方式按相关经费要求支付。 ★二、如中标单位为中小企业（依据《关于印发中小企业划型标准规定的通知》工信部联企业〔2011〕300号划分中小企业） 1）合同签订后，中标人向采购人开具合同总价30%的发票及等额的预付款保函，满足付款支付条件后10天内支付合同总金额的30%； 2）货物按照验收合格并通过相关部门的评定验收后，在收到中标人开具合同总价70%的发票及满足付款支付条件后10天内支付合同总金额的70%，若中标人没有违约行为，保函在验收合格后当月自动失效； 3） 如不是医院自有资金项目，付款方式按相关经费要求支付。。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1期：★1)、本项目质量应达到国家质量评定合格标准，通过第三方权威机构的验收，提供有效的验收报告。同时参考相关校准规范的要求出具仪器设备计量校准证书，相关费用由中标人承担。 ★2)、设备到货验收后，必须免费安装调试至能正常使用。中标人响应设备验收合格后，如果由厂家提供免费保修、维保及保养等服务，投标人应提供承诺书并明确具体项目名称。</w:t>
            </w:r>
          </w:p>
        </w:tc>
      </w:tr>
      <w:tr>
        <w:tc>
          <w:tcPr>
            <w:tcW w:type="dxa" w:w="4153"/>
          </w:tcPr>
          <w:p>
            <w:pPr>
              <w:pStyle w:val="null3"/>
            </w:pPr>
            <w:r>
              <w:rPr/>
              <w:t>履约保证金</w:t>
            </w:r>
          </w:p>
        </w:tc>
        <w:tc>
          <w:tcPr>
            <w:tcW w:type="dxa" w:w="4153"/>
          </w:tcPr>
          <w:p>
            <w:pPr>
              <w:pStyle w:val="null3"/>
            </w:pPr>
            <w:r>
              <w:rPr/>
              <w:t>收取比例：5%,说明：★如中标单位为大型企业，中标人与采购人签订合同后10天内以支票、保函、银行转账等非现金形式提交合同总额5%的履约保证金给采购人；如中标单位为中小企业，则不收取履约保证金。</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真实性和有效性，同意采购方以任何形式对我方投标文件内容及采购方认为有必要的相关资料的真实性和有效性进行审查、验证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投标人应报货交采购人指定地点/仓库（包括安装至指定位置）人民币含税价，并按开标一览表及投标明细报价表进行明细报价。</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质保期（服务期）</w:t>
            </w:r>
          </w:p>
        </w:tc>
        <w:tc>
          <w:tcPr>
            <w:tcW w:type="dxa" w:w="2076"/>
          </w:tcPr>
          <w:p>
            <w:pPr>
              <w:pStyle w:val="null3"/>
              <w:jc w:val="left"/>
            </w:pPr>
            <w:r>
              <w:rPr/>
              <w:t>验收合格后所有设备免费保修期为3年。质保期内每年至少两次免费现场维护（包括整机清洁、维护保养、定期巡查、性能调整等内容），并提供保修、维护及保养说明</w:t>
            </w:r>
          </w:p>
        </w:tc>
      </w:tr>
      <w:tr>
        <w:tc>
          <w:tcPr>
            <w:tcW w:type="dxa" w:w="2076"/>
          </w:tcPr>
          <w:p/>
        </w:tc>
        <w:tc>
          <w:tcPr>
            <w:tcW w:type="dxa" w:w="2076"/>
          </w:tcPr>
          <w:p>
            <w:pPr>
              <w:pStyle w:val="null3"/>
              <w:jc w:val="center"/>
            </w:pPr>
            <w:r>
              <w:rPr/>
              <w:t>3</w:t>
            </w:r>
          </w:p>
        </w:tc>
        <w:tc>
          <w:tcPr>
            <w:tcW w:type="dxa" w:w="2076"/>
          </w:tcPr>
          <w:p>
            <w:pPr>
              <w:pStyle w:val="null3"/>
              <w:jc w:val="left"/>
            </w:pPr>
            <w:r>
              <w:rPr/>
              <w:t>培训要求</w:t>
            </w:r>
          </w:p>
        </w:tc>
        <w:tc>
          <w:tcPr>
            <w:tcW w:type="dxa" w:w="2076"/>
          </w:tcPr>
          <w:p>
            <w:pPr>
              <w:pStyle w:val="null3"/>
              <w:jc w:val="left"/>
            </w:pPr>
            <w:r>
              <w:rPr/>
              <w:t>（1）设备必须免费安装调试至能正常使用，并无偿培训采购人维修人员，主要内容为设备的基本结构、性能、主要部件的构造及修理，日常使用保养与管理，常见故障的排除、紧急情况的处理等，培训地点主要在设备安装现场或按采购人安排。 （2）中标人需提供详细的培训方案，包括但不限于培训内容和培训计划，保证两名或以上操作人员熟练掌握操作技术为止；如遇设备升级更新，中标人需及时提供更新操作指导。</w:t>
            </w:r>
          </w:p>
        </w:tc>
      </w:tr>
      <w:tr>
        <w:tc>
          <w:tcPr>
            <w:tcW w:type="dxa" w:w="2076"/>
          </w:tcPr>
          <w:p/>
        </w:tc>
        <w:tc>
          <w:tcPr>
            <w:tcW w:type="dxa" w:w="2076"/>
          </w:tcPr>
          <w:p>
            <w:pPr>
              <w:pStyle w:val="null3"/>
              <w:jc w:val="center"/>
            </w:pPr>
            <w:r>
              <w:rPr/>
              <w:t>4</w:t>
            </w:r>
          </w:p>
        </w:tc>
        <w:tc>
          <w:tcPr>
            <w:tcW w:type="dxa" w:w="2076"/>
          </w:tcPr>
          <w:p>
            <w:pPr>
              <w:pStyle w:val="null3"/>
              <w:jc w:val="left"/>
            </w:pPr>
            <w:r>
              <w:rPr/>
              <w:t>售后服务</w:t>
            </w:r>
          </w:p>
        </w:tc>
        <w:tc>
          <w:tcPr>
            <w:tcW w:type="dxa" w:w="2076"/>
          </w:tcPr>
          <w:p>
            <w:pPr>
              <w:pStyle w:val="null3"/>
              <w:jc w:val="left"/>
            </w:pPr>
            <w:r>
              <w:rPr/>
              <w:t>对采购人的服务通知，中标人4小时内派员到现场维修，在中标人承诺的质量保证期内，如经中标人两次维修或更换，货物仍不能达到合同约定的质量标准，采购人有权退货或要求更换，中标人应赔偿采购人因此遭受的损失。</w:t>
            </w:r>
          </w:p>
        </w:tc>
      </w:tr>
      <w:tr>
        <w:tc>
          <w:tcPr>
            <w:tcW w:type="dxa" w:w="2076"/>
          </w:tcPr>
          <w:p/>
        </w:tc>
        <w:tc>
          <w:tcPr>
            <w:tcW w:type="dxa" w:w="2076"/>
          </w:tcPr>
          <w:p>
            <w:pPr>
              <w:pStyle w:val="null3"/>
              <w:jc w:val="center"/>
            </w:pPr>
            <w:r>
              <w:rPr/>
              <w:t>5</w:t>
            </w:r>
          </w:p>
        </w:tc>
        <w:tc>
          <w:tcPr>
            <w:tcW w:type="dxa" w:w="2076"/>
          </w:tcPr>
          <w:p>
            <w:pPr>
              <w:pStyle w:val="null3"/>
              <w:jc w:val="left"/>
            </w:pPr>
            <w:r>
              <w:rPr/>
              <w:t>包装和运输</w:t>
            </w:r>
          </w:p>
        </w:tc>
        <w:tc>
          <w:tcPr>
            <w:tcW w:type="dxa" w:w="2076"/>
          </w:tcPr>
          <w:p>
            <w:pPr>
              <w:pStyle w:val="null3"/>
              <w:jc w:val="left"/>
            </w:pPr>
            <w:r>
              <w:rPr/>
              <w:t>（1）中标人应提供运至交付地点所需要的包装，包装应符合经济、牢固、美观的要求，采取防潮、防晒、防锈、防震及防止其它损坏的必要措施，以防止货物在运转中损坏或变质。 （2）包装必须要符合相关法律法规的要求，包括与环境、职业健康和安全有关的法律、法规标准。 （3）运输包装应根据产品的特点及国家相关标准标注有相应的运输标志。 （4）中标人负责将货物运输并卸载到采购人指定地点。</w:t>
            </w:r>
          </w:p>
        </w:tc>
      </w:tr>
      <w:tr>
        <w:tc>
          <w:tcPr>
            <w:tcW w:type="dxa" w:w="2076"/>
          </w:tcPr>
          <w:p/>
        </w:tc>
        <w:tc>
          <w:tcPr>
            <w:tcW w:type="dxa" w:w="2076"/>
          </w:tcPr>
          <w:p>
            <w:pPr>
              <w:pStyle w:val="null3"/>
              <w:jc w:val="center"/>
            </w:pPr>
            <w:r>
              <w:rPr/>
              <w:t>6</w:t>
            </w:r>
          </w:p>
        </w:tc>
        <w:tc>
          <w:tcPr>
            <w:tcW w:type="dxa" w:w="2076"/>
          </w:tcPr>
          <w:p>
            <w:pPr>
              <w:pStyle w:val="null3"/>
              <w:jc w:val="left"/>
            </w:pPr>
            <w:r>
              <w:rPr/>
              <w:t>安装、调试与测试</w:t>
            </w:r>
          </w:p>
        </w:tc>
        <w:tc>
          <w:tcPr>
            <w:tcW w:type="dxa" w:w="2076"/>
          </w:tcPr>
          <w:p>
            <w:pPr>
              <w:pStyle w:val="null3"/>
              <w:jc w:val="left"/>
            </w:pPr>
            <w:r>
              <w:rPr/>
              <w:t>（1）中标人必须依照招标文件的要求和投标文件的承诺，将设备、系统安装并调试至正常运行的最佳状态，测试无故障。 （2）合同设备安装 1）各种设备必须提供装箱清单，按合同清单验收货物。 2）中标人安装时须对各安装场地内的其他设备、设施有良好保护措施。如损坏采购人院内设备、设施，中标人需与采购人协商赔偿事宜。</w:t>
            </w:r>
          </w:p>
        </w:tc>
      </w:tr>
      <w:tr>
        <w:tc>
          <w:tcPr>
            <w:tcW w:type="dxa" w:w="2076"/>
          </w:tcPr>
          <w:p/>
        </w:tc>
        <w:tc>
          <w:tcPr>
            <w:tcW w:type="dxa" w:w="2076"/>
          </w:tcPr>
          <w:p>
            <w:pPr>
              <w:pStyle w:val="null3"/>
              <w:jc w:val="center"/>
            </w:pPr>
            <w:r>
              <w:rPr/>
              <w:t>7</w:t>
            </w:r>
          </w:p>
        </w:tc>
        <w:tc>
          <w:tcPr>
            <w:tcW w:type="dxa" w:w="2076"/>
          </w:tcPr>
          <w:p>
            <w:pPr>
              <w:pStyle w:val="null3"/>
              <w:jc w:val="left"/>
            </w:pPr>
            <w:r>
              <w:rPr/>
              <w:t>其它要求</w:t>
            </w:r>
          </w:p>
        </w:tc>
        <w:tc>
          <w:tcPr>
            <w:tcW w:type="dxa" w:w="2076"/>
          </w:tcPr>
          <w:p>
            <w:pPr>
              <w:pStyle w:val="null3"/>
              <w:jc w:val="left"/>
            </w:pPr>
            <w:r>
              <w:rPr/>
              <w:t>（1）如有相关耗材（三年以内要更换或耗损的）、试剂或易损器械（三年以内要更换或耗损的），请提供它们的优惠价格。 （2）电源插头符合使用科室现有的插座，如不符合需要提供相应的插头转换接口。院方只提供电源到机房总配电箱，机房的天花（含龙骨）、地面机座插座、底座、电线、电缆、线管（槽）及配电分箱等相关费用，由中标方负责。安装现场所涉及到的总承包管理配合费、配套服务费由中标方负责。 （3）采购合同签订且采购人发出通知后， 60天或以内完成交货至安装验收。（其中交货时间为 53 天或以内完成交货，安装时间为交货后 7 天完成安装） （4）国家法律法规规定的需计量强检、第三方验收的设备，其相应的计量强检费、第三方验收服务费等费用全由中标方负责。 ▲（5）按三甲医院信息化建设的标准来满足医院使用需求、配合包括但不限于电子病历系统应用水平分级评价5级标准、互联互通标准化成熟度等级测评4级甲等标准的改造，所提供的系统应满足智慧医院建设的整体要求，配合实现医院信息系统的一体化、无纸化、无窗口化、闭环化、同步化，例如提供设备网络接口、CA电子签名认证、统一门户登陆、检验检查结果对接医院核心系统及全景病历等服务，需要加强各部分业务与结算、支付环节的打通，要求与医院收费、结算等渠道，包括收费窗口、自助终端、微信平台等进行对接。如涉及系统存储的设备（包含但不限于线上/硬件等）的设备，需满足医院3-5年的随访需求，本项目合同金额已包含提供扩容服务。</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医用磁共振设备</w:t>
            </w:r>
          </w:p>
        </w:tc>
        <w:tc>
          <w:tcPr>
            <w:tcW w:type="dxa" w:w="831"/>
          </w:tcPr>
          <w:p>
            <w:pPr>
              <w:pStyle w:val="null3"/>
              <w:jc w:val="left"/>
            </w:pPr>
            <w:r>
              <w:rPr/>
              <w:t>3.0MRI</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25,000,000.00</w:t>
            </w:r>
          </w:p>
        </w:tc>
        <w:tc>
          <w:tcPr>
            <w:tcW w:type="dxa" w:w="831"/>
          </w:tcPr>
          <w:p>
            <w:pPr>
              <w:pStyle w:val="null3"/>
              <w:jc w:val="right"/>
            </w:pPr>
            <w:r>
              <w:rPr/>
              <w:t>25,000,000.00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3.0MRI</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详见招标文件</w:t>
            </w:r>
            <w:r>
              <w:rPr>
                <w:sz w:val="21"/>
              </w:rPr>
              <w:t>“第二章采购需求”。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中山大学孙逸仙纪念医院深汕中心医院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远程电子评标</w:t>
            </w:r>
            <w:r>
              <w:rPr/>
              <w:t>（供应商应当审慎标记各评审项的应答部分，标记内容清晰且完整，否则将自行承担不利后果）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招标代理服务收费按差额定率累进法计算，以中标通知书中确定的中标金额作为收费的计算依据。该项目中标服务费参照国家计委[计价格[2002]1980号]文货物招标代理服务收费标准差额定率累进法计算后收取。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启动解密阶段时间为30分钟内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政府采购监督管理机构名称：汕尾市财政局政府采购监管科</w:t>
      </w:r>
    </w:p>
    <w:p>
      <w:pPr>
        <w:pStyle w:val="null3"/>
      </w:pPr>
      <w:r>
        <w:rPr/>
        <w:t>地 址：汕尾市城区政和路10号政府采购监管科</w:t>
      </w:r>
    </w:p>
    <w:p>
      <w:pPr>
        <w:pStyle w:val="null3"/>
      </w:pPr>
      <w:r>
        <w:rPr/>
        <w:t>电 话：0660—3310721</w:t>
      </w:r>
    </w:p>
    <w:p>
      <w:pPr>
        <w:pStyle w:val="null3"/>
      </w:pPr>
      <w:r>
        <w:rPr/>
        <w:t>邮 编：516600</w:t>
      </w:r>
    </w:p>
    <w:p>
      <w:pPr>
        <w:pStyle w:val="null3"/>
      </w:pPr>
      <w:r>
        <w:rPr/>
        <w:t>传 真：0660—3310721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采购包1(3.0MRI)：综合评分法,是指投标文件满足招标文件全部实质性要求，且按照评审因素的量化指标评审得分最高的投标人为中标候选人的评标方法。（最低报价不是中标的唯一依据。）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采购包1（3.0MRI）：</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采购包1（3.0MRI）：</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本项目不接受联合体投标。</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ind w:firstLine="480"/>
      </w:pPr>
      <w:r>
        <w:rPr/>
        <w:t>表二符合性审查表：</w:t>
      </w:r>
    </w:p>
    <w:p>
      <w:pPr>
        <w:pStyle w:val="null3"/>
      </w:pPr>
      <w:r>
        <w:rPr/>
        <w:t>采购包1（3.0MRI）：</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1）投标报价未超过本项目的采购预算 2）对全部招标内容进行投标报价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进口产品</w:t>
            </w:r>
          </w:p>
        </w:tc>
        <w:tc>
          <w:tcPr>
            <w:tcW w:type="dxa" w:w="4238"/>
          </w:tcPr>
          <w:p>
            <w:pPr>
              <w:pStyle w:val="null3"/>
            </w:pPr>
            <w:r>
              <w:rPr/>
              <w:t>招标文件不允许采购进口产品时，不得以进口产品投标</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采购包1(3.0MRI):</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所投产品对用户需求书中带▲号的重要参数的符合性 (36.0分)</w:t>
            </w:r>
          </w:p>
        </w:tc>
        <w:tc>
          <w:tcPr>
            <w:tcW w:type="dxa" w:w="5076"/>
          </w:tcPr>
          <w:p>
            <w:pPr>
              <w:pStyle w:val="null3"/>
              <w:jc w:val="left"/>
            </w:pPr>
            <w:r>
              <w:rPr/>
              <w:t>投标人所投产品每满足一项用户需求书中带“▲”号的重要参数要求（共9项），得4分，合计36分； 所有投标人须提供投标产品彩页或检测报告或相应技术参数的厂家使用说明书作为技术证明文件，如未提供相关资料，评标委员会有权认为其投标文件中相应参数不符合招标文件要求（如厂家的产品使用说明书为英文版，请同时提供中文版）。</w:t>
            </w:r>
          </w:p>
        </w:tc>
      </w:tr>
      <w:tr>
        <w:tc>
          <w:tcPr>
            <w:tcW w:type="dxa" w:w="922"/>
            <w:gridSpan w:val="2"/>
            <w:vMerge/>
          </w:tcPr>
          <w:p/>
        </w:tc>
        <w:tc>
          <w:tcPr>
            <w:tcW w:type="dxa" w:w="2307"/>
          </w:tcPr>
          <w:p>
            <w:pPr>
              <w:pStyle w:val="null3"/>
              <w:jc w:val="left"/>
            </w:pPr>
            <w:r>
              <w:rPr/>
              <w:t>所投产品对用户需求书中不带▲号的一般技术参数的响应情况 (10.0分)</w:t>
            </w:r>
          </w:p>
        </w:tc>
        <w:tc>
          <w:tcPr>
            <w:tcW w:type="dxa" w:w="5076"/>
          </w:tcPr>
          <w:p>
            <w:pPr>
              <w:pStyle w:val="null3"/>
              <w:jc w:val="left"/>
            </w:pPr>
            <w:r>
              <w:rPr/>
              <w:t>完全满足用户需求书中不带▲号的一般技术参数，得10分； 有1项不带▲号的一般技术参数负偏离，得9分； 有2项不带▲号的一般技术参数负偏离，得8分； 有3项不带▲号的一般技术参数负偏离，得7分； 有4项不带▲号的一般技术参数负偏离，得6分； 有5项不带▲号的一般技术参数负偏离，得5分； 有6项不带▲号的一般技术参数负偏离，得4分； 有7项不带▲号的一般技术参数负偏离，得3分； 有8项不带▲号的一般技术参数负偏离，得2分； 有9项及以上不带▲号的一般技术参数负偏离，得1分。 所有投标人须提供投标产品彩页或检测报告或相应技术参数的厂家使用说明书作为技术证明文件，如未提供相关资料，评标委员会有权认为其投标文件中相应参数不符合招标文件要求（如厂家的产品使用说明书为英文版，请同时提供中文版）。</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根据投标人针对本项目制定的培训方案进行评审： 根据采购需求中的培训要求内容，投标人提供的培训方案，优于采购需求的，得6分；能满足采购需求的，得3分；不能满足采购需求的，得0分。</w:t>
            </w:r>
          </w:p>
        </w:tc>
      </w:tr>
      <w:tr>
        <w:tc>
          <w:tcPr>
            <w:tcW w:type="dxa" w:w="922"/>
            <w:gridSpan w:val="2"/>
            <w:vMerge/>
          </w:tcPr>
          <w:p/>
        </w:tc>
        <w:tc>
          <w:tcPr>
            <w:tcW w:type="dxa" w:w="2307"/>
          </w:tcPr>
          <w:p>
            <w:pPr>
              <w:pStyle w:val="null3"/>
              <w:jc w:val="left"/>
            </w:pPr>
            <w:r>
              <w:rPr/>
              <w:t>质量保证及售后服务方案 (8.0分)</w:t>
            </w:r>
          </w:p>
        </w:tc>
        <w:tc>
          <w:tcPr>
            <w:tcW w:type="dxa" w:w="5076"/>
          </w:tcPr>
          <w:p>
            <w:pPr>
              <w:pStyle w:val="null3"/>
              <w:jc w:val="left"/>
            </w:pPr>
            <w:r>
              <w:rPr/>
              <w:t>根据投标人针对本项目所提供的售后服务方案，方案内容包括但不限于售后服务人员（专人跟进、服务沟通等）的安排、服务计划安排、响应时间的及时性、提供备品备件服务等内容进行评审： （1）投标人所提供的质量保证及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8分； （2）投标人所提供的质量保证及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4分； （3）投标人只提供了简单的质量保证及售后服务方案，维修服务安排无法满足项目要求，对日常维修和应急情况响应慢，不能满足项目要求的得1分；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投标人的履约能力 (3.0分)</w:t>
            </w:r>
          </w:p>
        </w:tc>
        <w:tc>
          <w:tcPr>
            <w:tcW w:type="dxa" w:w="5076"/>
          </w:tcPr>
          <w:p>
            <w:pPr>
              <w:pStyle w:val="null3"/>
              <w:jc w:val="left"/>
            </w:pPr>
            <w:r>
              <w:rPr/>
              <w:t>根据投标人的履约能力作为评审依据，包括以下内容：①项目测试方案②运输方案 注：每提供1项内容且表述完整、科学、可行，能体现投标人完全具备本项目履约能力的，得1.5分。提供体现投标人履约能力的方案或相关证明材料并加盖公章，不提供方案或相关证明材料的不得分。</w:t>
            </w:r>
          </w:p>
        </w:tc>
      </w:tr>
      <w:tr>
        <w:tc>
          <w:tcPr>
            <w:tcW w:type="dxa" w:w="922"/>
            <w:gridSpan w:val="2"/>
            <w:vMerge/>
          </w:tcPr>
          <w:p/>
        </w:tc>
        <w:tc>
          <w:tcPr>
            <w:tcW w:type="dxa" w:w="2307"/>
          </w:tcPr>
          <w:p>
            <w:pPr>
              <w:pStyle w:val="null3"/>
              <w:jc w:val="left"/>
            </w:pPr>
            <w:r>
              <w:rPr/>
              <w:t>投标人自2022年以来的同类设备的业绩 (4.0分)</w:t>
            </w:r>
          </w:p>
        </w:tc>
        <w:tc>
          <w:tcPr>
            <w:tcW w:type="dxa" w:w="5076"/>
          </w:tcPr>
          <w:p>
            <w:pPr>
              <w:pStyle w:val="null3"/>
              <w:jc w:val="left"/>
            </w:pPr>
            <w:r>
              <w:rPr/>
              <w:t>每提供一项同类项目业绩的合同或中标通知书复印件并加盖公章得1分，最高得4分，不提供不得分。 1.如提供合同证明资料的，则需提供合同关键信息（含首页、签字页）证明文件 2.通过中标通知书或合同关键信息无法判断是否得分的，还须同时提供能证明得分的其它证明资料，如项目报告或合同甲方出具的证明文件等。 3.以上资料均要求提供扫描件。评分中出现无证明资料或专家无法凭所提供资料判断是否得分的情况，一律作不得分处理。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使用用户评价 (3.0分)</w:t>
            </w:r>
          </w:p>
        </w:tc>
        <w:tc>
          <w:tcPr>
            <w:tcW w:type="dxa" w:w="5076"/>
          </w:tcPr>
          <w:p>
            <w:pPr>
              <w:pStyle w:val="null3"/>
              <w:jc w:val="left"/>
            </w:pPr>
            <w:r>
              <w:rPr/>
              <w:t>提供上述有效投标货物业绩的使用用户评价，每提供一个类似“满意”或“非常满意”或“优”的使用用户评价得1 分，本项最高不超过3分。须提供用户单位的评价证明（格式自拟，须加盖用户单位印章）。其他表达满意度的词语，由评委参照以上评价等级程度认定对应的评价等级。同一法人单位的多份用户评价只计算 1 份。</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u w:val="single"/>
        </w:rPr>
        <w:t>采购项目</w:t>
      </w:r>
    </w:p>
    <w:p>
      <w:pPr>
        <w:pStyle w:val="null3"/>
        <w:jc w:val="left"/>
      </w:pPr>
      <w:r>
        <w:rPr>
          <w:sz w:val="48"/>
          <w:b/>
        </w:rPr>
        <w:t>合</w:t>
      </w:r>
      <w:r>
        <w:rPr>
          <w:sz w:val="48"/>
          <w:b/>
        </w:rPr>
        <w:t>同</w:t>
      </w:r>
      <w:r>
        <w:rPr>
          <w:sz w:val="48"/>
          <w:b/>
        </w:rPr>
        <w:t>书</w:t>
      </w:r>
    </w:p>
    <w:p>
      <w:pPr>
        <w:pStyle w:val="null3"/>
        <w:jc w:val="center"/>
      </w:pPr>
      <w:r>
        <w:rPr>
          <w:sz w:val="44"/>
          <w:b/>
        </w:rPr>
        <w:t>（货物类）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32"/>
                <w:b/>
              </w:rPr>
              <w:t>项目编号：</w:t>
            </w:r>
            <w:r>
              <w:rPr>
                <w:sz w:val="21"/>
                <w:b/>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项目名称：</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bl>
    <w:p>
      <w:pPr>
        <w:pStyle w:val="null3"/>
      </w:pPr>
      <w:r>
        <w:rPr>
          <w:sz w:val="36"/>
          <w:b/>
        </w:rPr>
        <w:t>中山大学孙逸仙纪念医院深汕中心医院采购合同</w:t>
      </w:r>
    </w:p>
    <w:p>
      <w:pPr>
        <w:pStyle w:val="null3"/>
      </w:pPr>
      <w:r>
        <w:rPr/>
        <w:t xml:space="preserve"> </w:t>
      </w:r>
    </w:p>
    <w:p>
      <w:pPr>
        <w:pStyle w:val="null3"/>
        <w:jc w:val="left"/>
      </w:pPr>
      <w:r>
        <w:rPr>
          <w:sz w:val="24"/>
        </w:rPr>
        <w:t>甲方：</w:t>
      </w:r>
    </w:p>
    <w:p>
      <w:pPr>
        <w:pStyle w:val="null3"/>
        <w:jc w:val="left"/>
      </w:pPr>
      <w:r>
        <w:rPr>
          <w:sz w:val="24"/>
        </w:rPr>
        <w:t>乙方：</w:t>
      </w:r>
    </w:p>
    <w:p>
      <w:pPr>
        <w:pStyle w:val="null3"/>
        <w:ind w:firstLine="480"/>
        <w:jc w:val="left"/>
      </w:pPr>
      <w:r>
        <w:rPr>
          <w:sz w:val="24"/>
        </w:rPr>
        <w:t>根据中华人民共和国现行法律法规，甲、乙双方经协商确定，甲方向乙方订购</w:t>
      </w:r>
      <w:r>
        <w:rPr>
          <w:sz w:val="24"/>
          <w:u w:val="single"/>
        </w:rPr>
        <w:t>医疗</w:t>
      </w:r>
      <w:r>
        <w:rPr>
          <w:sz w:val="24"/>
          <w:u w:val="single"/>
        </w:rPr>
        <w:t>设备</w:t>
      </w:r>
      <w:r>
        <w:rPr>
          <w:sz w:val="24"/>
          <w:u w:val="single"/>
        </w:rPr>
        <w:t>及其服务</w:t>
      </w:r>
      <w:r>
        <w:rPr>
          <w:sz w:val="24"/>
        </w:rPr>
        <w:t>，为明确双方责任和权利，特签订本合同，共同遵守。具体条款如下：</w:t>
      </w:r>
    </w:p>
    <w:p>
      <w:pPr>
        <w:pStyle w:val="null3"/>
        <w:ind w:firstLine="482"/>
        <w:jc w:val="left"/>
      </w:pPr>
      <w:r>
        <w:rPr>
          <w:sz w:val="24"/>
          <w:b/>
        </w:rPr>
        <w:t>1、</w:t>
      </w:r>
      <w:r>
        <w:rPr>
          <w:sz w:val="24"/>
          <w:b/>
        </w:rPr>
        <w:t>合同设备</w:t>
      </w:r>
    </w:p>
    <w:p>
      <w:pPr>
        <w:pStyle w:val="null3"/>
        <w:ind w:left="480"/>
        <w:jc w:val="left"/>
      </w:pPr>
      <w:r>
        <w:rPr>
          <w:sz w:val="24"/>
        </w:rPr>
        <w:t>乙方负责向甲方供应下表中所列场地器材配套设备及负责安装调试。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991"/>
        <w:gridCol w:w="1341"/>
        <w:gridCol w:w="664"/>
        <w:gridCol w:w="583"/>
        <w:gridCol w:w="548"/>
        <w:gridCol w:w="513"/>
        <w:gridCol w:w="921"/>
        <w:gridCol w:w="1026"/>
        <w:gridCol w:w="828"/>
        <w:gridCol w:w="828"/>
      </w:tblGrid>
      <w:tr>
        <w:tc>
          <w:tcPr>
            <w:tcW w:type="dxa" w:w="9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品名</w:t>
            </w:r>
          </w:p>
        </w:tc>
        <w:tc>
          <w:tcPr>
            <w:tcW w:type="dxa" w:w="13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6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5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5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5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9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p>
        </w:tc>
        <w:tc>
          <w:tcPr>
            <w:tcW w:type="dxa" w:w="10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w:t>
            </w:r>
          </w:p>
        </w:tc>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222222"/>
              </w:rPr>
              <w:t>注册证号</w:t>
            </w:r>
          </w:p>
        </w:tc>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随机配件</w:t>
            </w:r>
          </w:p>
        </w:tc>
      </w:tr>
      <w:tr>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4"/>
          <w:b/>
        </w:rPr>
        <w:t>2、</w:t>
      </w:r>
      <w:r>
        <w:rPr>
          <w:sz w:val="24"/>
          <w:b/>
        </w:rPr>
        <w:t>合同总价</w:t>
      </w:r>
    </w:p>
    <w:p>
      <w:pPr>
        <w:pStyle w:val="null3"/>
        <w:ind w:firstLine="480"/>
        <w:jc w:val="both"/>
      </w:pPr>
      <w:r>
        <w:rPr>
          <w:sz w:val="24"/>
        </w:rPr>
        <w:t>总价为</w:t>
      </w:r>
      <w:r>
        <w:rPr>
          <w:sz w:val="24"/>
        </w:rPr>
        <w:t>(大写)：</w:t>
      </w:r>
      <w:r>
        <w:rPr>
          <w:sz w:val="21"/>
          <w:u w:val="single"/>
        </w:rPr>
        <w:t xml:space="preserve"> </w:t>
      </w:r>
      <w:r>
        <w:rPr>
          <w:sz w:val="21"/>
          <w:u w:val="single"/>
        </w:rPr>
        <w:t xml:space="preserve"> </w:t>
      </w:r>
      <w:r>
        <w:rPr>
          <w:sz w:val="24"/>
        </w:rPr>
        <w:t>元整，即</w:t>
      </w:r>
      <w:r>
        <w:rPr>
          <w:sz w:val="24"/>
        </w:rPr>
        <w:t>RMB</w:t>
      </w:r>
      <w:r>
        <w:rPr>
          <w:sz w:val="24"/>
          <w:u w:val="single"/>
        </w:rPr>
        <w:t>￥：</w:t>
      </w:r>
      <w:r>
        <w:rPr>
          <w:sz w:val="24"/>
        </w:rPr>
        <w:t>元，该合同总金额是设计、设备制造、包装、运输、安装、使用培训及验收合格之前及保修期与备品备件发生的所有含税费用。本合同执行期间合同总金额不变。</w:t>
      </w:r>
    </w:p>
    <w:p>
      <w:pPr>
        <w:pStyle w:val="null3"/>
        <w:jc w:val="left"/>
      </w:pPr>
      <w:r>
        <w:rPr>
          <w:sz w:val="24"/>
          <w:b/>
        </w:rPr>
        <w:t>3、</w:t>
      </w:r>
      <w:r>
        <w:rPr>
          <w:sz w:val="24"/>
          <w:b/>
        </w:rPr>
        <w:t>合同组成</w:t>
      </w:r>
    </w:p>
    <w:p>
      <w:pPr>
        <w:pStyle w:val="null3"/>
        <w:spacing w:after="120"/>
        <w:ind w:firstLine="480"/>
        <w:jc w:val="both"/>
      </w:pPr>
      <w:r>
        <w:rPr>
          <w:sz w:val="24"/>
        </w:rPr>
        <w:t>详细价格、技术说明及其它有关合同项目的特定信息由合同附件说明，所有附件及本项目的采购文件、响应文件、中标通知书、会议纪要等均为本合同不可分割之一部分。</w:t>
      </w:r>
    </w:p>
    <w:p>
      <w:pPr>
        <w:pStyle w:val="null3"/>
        <w:jc w:val="left"/>
      </w:pPr>
      <w:r>
        <w:rPr>
          <w:sz w:val="24"/>
          <w:b/>
        </w:rPr>
        <w:t>4、技术要求</w:t>
      </w:r>
    </w:p>
    <w:p>
      <w:pPr>
        <w:pStyle w:val="null3"/>
        <w:ind w:firstLine="480"/>
        <w:jc w:val="both"/>
      </w:pPr>
      <w:r>
        <w:rPr>
          <w:sz w:val="24"/>
        </w:rPr>
        <w:t>乙方所提供设备，必须符合国家有关规范和环保要求及甲方的技术要求，并提供设备的出厂测试报告。</w:t>
      </w:r>
    </w:p>
    <w:p>
      <w:pPr>
        <w:pStyle w:val="null3"/>
        <w:jc w:val="left"/>
      </w:pPr>
      <w:r>
        <w:rPr>
          <w:sz w:val="24"/>
          <w:b/>
        </w:rPr>
        <w:t>5、合同设备包装、交货、安装及验收</w:t>
      </w:r>
    </w:p>
    <w:p>
      <w:pPr>
        <w:pStyle w:val="null3"/>
        <w:jc w:val="left"/>
      </w:pPr>
      <w:r>
        <w:rPr>
          <w:sz w:val="24"/>
        </w:rPr>
        <w:t>（</w:t>
      </w:r>
      <w:r>
        <w:rPr>
          <w:sz w:val="24"/>
        </w:rPr>
        <w:t>1）  合同设备的包装</w:t>
      </w:r>
    </w:p>
    <w:p>
      <w:pPr>
        <w:pStyle w:val="null3"/>
        <w:ind w:firstLine="480"/>
        <w:jc w:val="both"/>
      </w:pPr>
      <w:r>
        <w:rPr>
          <w:sz w:val="24"/>
        </w:rPr>
        <w:t>1）设备的包装符合经济、牢固、美观的要求，应有良好的防湿、防锈、防潮、防雨、防腐及防碰撞的措施。凡由于包装不良造成的损失和由此产生的费用均由乙方承担。</w:t>
      </w:r>
    </w:p>
    <w:p>
      <w:pPr>
        <w:pStyle w:val="null3"/>
        <w:ind w:firstLine="480"/>
        <w:jc w:val="both"/>
      </w:pPr>
      <w:r>
        <w:rPr>
          <w:sz w:val="24"/>
        </w:rPr>
        <w:t>2）包装必须要符合相关法律法规的要求，包括与环境、职业健康和安全有关的法律、法规标准。</w:t>
      </w:r>
    </w:p>
    <w:p>
      <w:pPr>
        <w:pStyle w:val="null3"/>
        <w:ind w:firstLine="480"/>
        <w:jc w:val="both"/>
      </w:pPr>
      <w:r>
        <w:rPr>
          <w:sz w:val="24"/>
        </w:rPr>
        <w:t>3）运输包装应根据产品的特点及国家相关标准标注有相应的运输标志。</w:t>
      </w:r>
    </w:p>
    <w:p>
      <w:pPr>
        <w:pStyle w:val="null3"/>
        <w:ind w:firstLine="480"/>
        <w:jc w:val="both"/>
      </w:pPr>
      <w:r>
        <w:rPr>
          <w:sz w:val="24"/>
        </w:rPr>
        <w:t>（</w:t>
      </w:r>
      <w:r>
        <w:rPr>
          <w:sz w:val="24"/>
        </w:rPr>
        <w:t>2）  合同设备的交货</w:t>
      </w:r>
    </w:p>
    <w:p>
      <w:pPr>
        <w:pStyle w:val="null3"/>
        <w:ind w:firstLine="480"/>
        <w:jc w:val="both"/>
      </w:pPr>
      <w:r>
        <w:rPr>
          <w:sz w:val="24"/>
        </w:rPr>
        <w:t xml:space="preserve">1）乙方交货时间：采购合同签订且采购人发出通知后， </w:t>
      </w:r>
      <w:r>
        <w:rPr>
          <w:sz w:val="24"/>
        </w:rPr>
        <w:t>53</w:t>
      </w:r>
      <w:r>
        <w:rPr>
          <w:sz w:val="24"/>
        </w:rPr>
        <w:t>天或以内完成交货</w:t>
      </w:r>
      <w:r>
        <w:rPr>
          <w:sz w:val="24"/>
        </w:rPr>
        <w:t>。</w:t>
      </w:r>
      <w:r>
        <w:rPr>
          <w:sz w:val="21"/>
        </w:rPr>
        <w:t xml:space="preserve">    </w:t>
      </w:r>
      <w:r>
        <w:br/>
      </w:r>
      <w:r>
        <w:rPr>
          <w:sz w:val="24"/>
        </w:rPr>
        <w:t>2）乙方交货地点：运输及卸车至甲方指定地点。</w:t>
      </w:r>
    </w:p>
    <w:p>
      <w:pPr>
        <w:pStyle w:val="null3"/>
        <w:ind w:firstLine="480"/>
        <w:jc w:val="both"/>
      </w:pPr>
      <w:r>
        <w:rPr>
          <w:sz w:val="24"/>
        </w:rPr>
        <w:t>（</w:t>
      </w:r>
      <w:r>
        <w:rPr>
          <w:sz w:val="24"/>
        </w:rPr>
        <w:t>3）  合同设备的安装</w:t>
      </w:r>
    </w:p>
    <w:p>
      <w:pPr>
        <w:pStyle w:val="null3"/>
        <w:ind w:firstLine="480"/>
        <w:jc w:val="both"/>
      </w:pPr>
      <w:r>
        <w:rPr>
          <w:sz w:val="24"/>
        </w:rPr>
        <w:t>1）乙方负责合同项下的安装维修调试，一切费用由乙方负责。</w:t>
      </w:r>
    </w:p>
    <w:p>
      <w:pPr>
        <w:pStyle w:val="null3"/>
        <w:ind w:firstLine="480"/>
        <w:jc w:val="both"/>
      </w:pPr>
      <w:r>
        <w:rPr>
          <w:sz w:val="24"/>
        </w:rPr>
        <w:t>2）乙方安装时须对各安装场地内的其他设备、设施有良好保护措施。</w:t>
      </w:r>
    </w:p>
    <w:p>
      <w:pPr>
        <w:pStyle w:val="null3"/>
        <w:ind w:firstLine="480"/>
        <w:jc w:val="both"/>
      </w:pPr>
      <w:r>
        <w:rPr>
          <w:sz w:val="24"/>
        </w:rPr>
        <w:t>3）乙方交货后</w:t>
      </w:r>
      <w:r>
        <w:rPr>
          <w:sz w:val="21"/>
          <w:u w:val="single"/>
        </w:rPr>
        <w:t xml:space="preserve">   </w:t>
      </w:r>
      <w:r>
        <w:rPr>
          <w:sz w:val="24"/>
          <w:u w:val="single"/>
        </w:rPr>
        <w:t>7</w:t>
      </w:r>
      <w:r>
        <w:rPr>
          <w:sz w:val="21"/>
          <w:u w:val="single"/>
        </w:rPr>
        <w:t xml:space="preserve">   </w:t>
      </w:r>
      <w:r>
        <w:rPr>
          <w:sz w:val="24"/>
        </w:rPr>
        <w:t>天完成安装。</w:t>
      </w:r>
    </w:p>
    <w:p>
      <w:pPr>
        <w:pStyle w:val="null3"/>
        <w:ind w:firstLine="480"/>
        <w:jc w:val="both"/>
      </w:pPr>
      <w:r>
        <w:rPr>
          <w:sz w:val="24"/>
        </w:rPr>
        <w:t>4）电源插头符合使用科室现有的插座，如不符合需要提供相应的插头转换接口。甲方只提供电源到机房总配电箱，机房的天花（含龙骨）、地面机座插座、底座、电线、电缆、线管（槽）及配电分箱等相关费用，由乙方负责。安装现场所涉及到的总承包管理配合费、配套服务费由乙方负责。</w:t>
      </w:r>
    </w:p>
    <w:p>
      <w:pPr>
        <w:pStyle w:val="null3"/>
        <w:ind w:firstLine="480"/>
        <w:jc w:val="both"/>
      </w:pPr>
      <w:r>
        <w:rPr>
          <w:sz w:val="24"/>
        </w:rPr>
        <w:t>5)各种设备必须提供装箱清单，按合同清单验收货物。</w:t>
      </w:r>
    </w:p>
    <w:p>
      <w:pPr>
        <w:pStyle w:val="null3"/>
        <w:jc w:val="left"/>
      </w:pPr>
      <w:r>
        <w:rPr>
          <w:sz w:val="24"/>
        </w:rPr>
        <w:t>（</w:t>
      </w:r>
      <w:r>
        <w:rPr>
          <w:sz w:val="24"/>
        </w:rPr>
        <w:t>4）  设备的验收</w:t>
      </w:r>
    </w:p>
    <w:p>
      <w:pPr>
        <w:pStyle w:val="null3"/>
        <w:ind w:firstLine="480"/>
        <w:jc w:val="both"/>
      </w:pPr>
      <w:r>
        <w:rPr>
          <w:sz w:val="24"/>
        </w:rPr>
        <w:t>1）合同设备安装完成后进行验收，验收应在甲乙双方共同参加下进行。</w:t>
      </w:r>
    </w:p>
    <w:p>
      <w:pPr>
        <w:pStyle w:val="null3"/>
        <w:ind w:firstLine="480"/>
        <w:jc w:val="both"/>
      </w:pPr>
      <w:r>
        <w:rPr>
          <w:sz w:val="24"/>
        </w:rPr>
        <w:t>2）验收按国家有关的规定、规范进行。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ind w:firstLine="480"/>
        <w:jc w:val="both"/>
      </w:pPr>
      <w:r>
        <w:rPr>
          <w:sz w:val="24"/>
        </w:rPr>
        <w:t>3）如果合同设备运输和安装过程中因事故造成货物短缺、损坏，乙方应及时安排换装，以保证合同设备安装的成功完成。换货的相关费用由乙方承担。</w:t>
      </w:r>
    </w:p>
    <w:p>
      <w:pPr>
        <w:pStyle w:val="null3"/>
        <w:ind w:firstLine="480"/>
        <w:jc w:val="both"/>
      </w:pPr>
      <w:r>
        <w:rPr>
          <w:sz w:val="24"/>
        </w:rPr>
        <w:t>4）本项目质量应达到国家质量评定合格标准，通过第三方权威机构的验收，提供有效的验收报告。同时参考相关校准规范的要求出具仪器设备计量校准证书，相关费用由乙方承担。</w:t>
      </w:r>
    </w:p>
    <w:p>
      <w:pPr>
        <w:pStyle w:val="null3"/>
        <w:ind w:firstLine="480"/>
        <w:jc w:val="both"/>
      </w:pPr>
      <w:r>
        <w:rPr>
          <w:sz w:val="24"/>
        </w:rPr>
        <w:t>5）乙方保证合同项下提供的设备不侵犯任何第三方的专利、商标或版权。否则，乙方须承担对第三方的专利或版权的侵权责任并承担因此而发生的所有费用。</w:t>
      </w:r>
    </w:p>
    <w:p>
      <w:pPr>
        <w:pStyle w:val="null3"/>
        <w:ind w:firstLine="480"/>
        <w:jc w:val="both"/>
      </w:pPr>
      <w:r>
        <w:rPr>
          <w:sz w:val="24"/>
        </w:rPr>
        <w:t>6)设备到货验收后，必须免费安装调试至能正常使用。乙方响应设备验收合格后，如果由厂家提供免费保修、维保及保养等服务，</w:t>
      </w:r>
      <w:r>
        <w:rPr>
          <w:sz w:val="24"/>
        </w:rPr>
        <w:t>乙方</w:t>
      </w:r>
      <w:r>
        <w:rPr>
          <w:sz w:val="24"/>
        </w:rPr>
        <w:t>应提供承诺书并明确具体项目名称。</w:t>
      </w:r>
    </w:p>
    <w:p>
      <w:pPr>
        <w:pStyle w:val="null3"/>
        <w:jc w:val="both"/>
      </w:pPr>
      <w:r>
        <w:rPr>
          <w:sz w:val="24"/>
          <w:b/>
        </w:rPr>
        <w:t>6、质量保证及培训、售后服务</w:t>
      </w:r>
    </w:p>
    <w:p>
      <w:pPr>
        <w:pStyle w:val="null3"/>
        <w:ind w:firstLine="480"/>
        <w:jc w:val="both"/>
      </w:pPr>
      <w:r>
        <w:rPr>
          <w:sz w:val="24"/>
        </w:rPr>
        <w:t>（</w:t>
      </w:r>
      <w:r>
        <w:rPr>
          <w:sz w:val="24"/>
        </w:rPr>
        <w:t>1）乙方保证合同设备是全新、未曾使用过、符合国家有关法律规定的产品，其质量、规格及技术特征符合合同附件的要求。</w:t>
      </w:r>
    </w:p>
    <w:p>
      <w:pPr>
        <w:pStyle w:val="null3"/>
        <w:ind w:firstLine="480"/>
        <w:jc w:val="both"/>
      </w:pPr>
      <w:r>
        <w:rPr>
          <w:sz w:val="24"/>
        </w:rPr>
        <w:t>（</w:t>
      </w:r>
      <w:r>
        <w:rPr>
          <w:sz w:val="24"/>
        </w:rPr>
        <w:t>2）合同设备保质保用期，为本项目有关部门验收签字之日起整机免费保修</w:t>
      </w:r>
      <w:r>
        <w:rPr>
          <w:sz w:val="21"/>
          <w:u w:val="single"/>
        </w:rPr>
        <w:t xml:space="preserve">  </w:t>
      </w:r>
      <w:r>
        <w:rPr>
          <w:sz w:val="24"/>
        </w:rPr>
        <w:t>年。每年至少</w:t>
      </w:r>
      <w:r>
        <w:rPr>
          <w:sz w:val="21"/>
          <w:u w:val="single"/>
        </w:rPr>
        <w:t xml:space="preserve"> </w:t>
      </w:r>
      <w:r>
        <w:rPr>
          <w:sz w:val="24"/>
          <w:u w:val="single"/>
        </w:rPr>
        <w:t xml:space="preserve">2 </w:t>
      </w:r>
      <w:r>
        <w:rPr>
          <w:sz w:val="24"/>
        </w:rPr>
        <w:t>次现场维护，现场维护包括但不限于</w:t>
      </w:r>
      <w:r>
        <w:rPr>
          <w:sz w:val="24"/>
          <w:u w:val="single"/>
        </w:rPr>
        <w:t xml:space="preserve"> </w:t>
      </w:r>
      <w:r>
        <w:rPr>
          <w:sz w:val="24"/>
          <w:u w:val="single"/>
        </w:rPr>
        <w:t>包括整机清洁、维护保养、定期巡查、性能调整等内容</w:t>
      </w:r>
      <w:r>
        <w:rPr>
          <w:sz w:val="24"/>
        </w:rPr>
        <w:t>。保质保用期内非因甲方的人为原因而出现产品质量及安装问题，由乙方负责包修、包换或包退，并承担因此而产生的一切费用。保修承担方为：</w:t>
      </w:r>
      <w:r>
        <w:rPr>
          <w:sz w:val="21"/>
          <w:u w:val="single"/>
        </w:rPr>
        <w:t xml:space="preserve">  </w:t>
      </w:r>
      <w:r>
        <w:rPr>
          <w:sz w:val="24"/>
        </w:rPr>
        <w:t>。（保修承担方与乙方不一致时，需要保修承担方提供具备法律效力的承诺函作为本协议附件，乙方同意与保修方共同无限承担连带责任）</w:t>
      </w:r>
    </w:p>
    <w:p>
      <w:pPr>
        <w:pStyle w:val="null3"/>
        <w:ind w:firstLine="480"/>
        <w:jc w:val="both"/>
      </w:pPr>
      <w:r>
        <w:rPr>
          <w:sz w:val="24"/>
        </w:rPr>
        <w:t>（</w:t>
      </w:r>
      <w:r>
        <w:rPr>
          <w:sz w:val="24"/>
        </w:rPr>
        <w:t>3）因设备的质量问题而发生争议，由广东省或汕尾市质检部门进行质量鉴定。设备符合质量标准的，鉴定费用由甲方承担，设备不符合质量标准的鉴定费用由乙方承担。</w:t>
      </w:r>
    </w:p>
    <w:p>
      <w:pPr>
        <w:pStyle w:val="null3"/>
        <w:ind w:firstLine="480"/>
        <w:jc w:val="both"/>
      </w:pPr>
      <w:r>
        <w:rPr>
          <w:sz w:val="24"/>
        </w:rPr>
        <w:t>（</w:t>
      </w:r>
      <w:r>
        <w:rPr>
          <w:sz w:val="24"/>
        </w:rPr>
        <w:t>4）乙方无偿培训甲方维修人员，主要内容为设备的基本结构、性能、主要部件的构造及修理，日常使用保养与管理，常见故障的排除、紧急情况的处理等，培训地点主要在设备安装现场或按甲方安排。</w:t>
      </w:r>
    </w:p>
    <w:p>
      <w:pPr>
        <w:pStyle w:val="null3"/>
        <w:ind w:firstLine="480"/>
        <w:jc w:val="both"/>
      </w:pPr>
      <w:r>
        <w:rPr>
          <w:sz w:val="24"/>
        </w:rPr>
        <w:t>（</w:t>
      </w:r>
      <w:r>
        <w:rPr>
          <w:sz w:val="24"/>
        </w:rPr>
        <w:t>5）乙方需提供详细的培训方案，包括但不限于培训内容和培训计划，保证两名或以上操作人员熟练掌握操作技术为止；如遇设备升级更新，乙方需及时提供更新操作指导。</w:t>
      </w:r>
    </w:p>
    <w:p>
      <w:pPr>
        <w:pStyle w:val="null3"/>
        <w:ind w:firstLine="480"/>
        <w:jc w:val="both"/>
      </w:pPr>
      <w:r>
        <w:rPr>
          <w:sz w:val="24"/>
        </w:rPr>
        <w:t>（</w:t>
      </w:r>
      <w:r>
        <w:rPr>
          <w:sz w:val="24"/>
        </w:rPr>
        <w:t>6）对甲方的服务通知，乙方4小时内派员到现场维修，在乙方承诺的质量保证期内，如经甲方两次维修或更换，货物仍不能达到合同约定的质量标准，甲方有权退货或要求更换，乙方应赔偿甲方因此遭受的损失。</w:t>
      </w:r>
    </w:p>
    <w:p>
      <w:pPr>
        <w:pStyle w:val="null3"/>
        <w:ind w:firstLine="480"/>
        <w:jc w:val="both"/>
      </w:pPr>
      <w:r>
        <w:rPr>
          <w:sz w:val="24"/>
        </w:rPr>
        <w:t>（</w:t>
      </w:r>
      <w:r>
        <w:rPr>
          <w:sz w:val="24"/>
        </w:rPr>
        <w:t>7）</w:t>
      </w:r>
      <w:r>
        <w:rPr>
          <w:sz w:val="24"/>
        </w:rPr>
        <w:t>如有相关耗材（三年以内要更换或耗损的）、试剂或易损器械（三年以内要更换或耗损的），请提供它们的优惠价格</w:t>
      </w:r>
      <w:r>
        <w:rPr>
          <w:sz w:val="21"/>
          <w:u w:val="single"/>
        </w:rPr>
        <w:t xml:space="preserve">    </w:t>
      </w:r>
      <w:r>
        <w:rPr>
          <w:sz w:val="24"/>
        </w:rPr>
        <w:t>元</w:t>
      </w:r>
      <w:r>
        <w:rPr>
          <w:sz w:val="24"/>
        </w:rPr>
        <w:t>/年。</w:t>
      </w:r>
    </w:p>
    <w:p>
      <w:pPr>
        <w:pStyle w:val="null3"/>
        <w:ind w:firstLine="480"/>
        <w:jc w:val="both"/>
      </w:pPr>
      <w:r>
        <w:rPr>
          <w:sz w:val="24"/>
        </w:rPr>
        <w:t>（</w:t>
      </w:r>
      <w:r>
        <w:rPr>
          <w:sz w:val="24"/>
        </w:rPr>
        <w:t>8）</w:t>
      </w:r>
      <w:r>
        <w:rPr>
          <w:sz w:val="24"/>
        </w:rPr>
        <w:t>按三甲医院信息化建设的标准来满足医院使用需求、配合包括但不限于电子病历系统应用水平分级评价</w:t>
      </w:r>
      <w:r>
        <w:rPr>
          <w:sz w:val="24"/>
        </w:rPr>
        <w:t>5级标准、互联互通标准化成熟度等级测评4级甲等标准的改造，所提供的系统应满足智慧医院建设的整体要求，配合实现医院信息系统的一体化、无纸化、无窗口化、闭环化、同步化，例如提供设备网络接口、CA 电子签名认证、统一门户登陆、检验检查结果对接医院核心系统及全景病历等服务，需要加强各部分业务与结算、支付环节的打通，要求与医院收费、结算等渠道，包括收费窗口、自助终端、微信平台等进行对接。如涉及系统存储的设备(包括但不限于线上/硬件等)的设备，需满足医院3-5年的随访需求，本项目合同金额已包含提供扩容服务。</w:t>
      </w:r>
    </w:p>
    <w:p>
      <w:pPr>
        <w:pStyle w:val="null3"/>
        <w:jc w:val="left"/>
      </w:pPr>
      <w:r>
        <w:rPr>
          <w:sz w:val="24"/>
          <w:b/>
        </w:rPr>
        <w:t>7、付款办法</w:t>
      </w:r>
    </w:p>
    <w:p>
      <w:pPr>
        <w:pStyle w:val="null3"/>
        <w:ind w:firstLine="480"/>
        <w:jc w:val="left"/>
      </w:pPr>
      <w:r>
        <w:rPr>
          <w:sz w:val="24"/>
        </w:rPr>
        <w:t>一、如乙方为大型企业（依据《关于印发中小企业划型标准规定的通知》工信部联企业〔</w:t>
      </w:r>
      <w:r>
        <w:rPr>
          <w:sz w:val="24"/>
        </w:rPr>
        <w:t>2011〕300号划分大型企业）</w:t>
      </w:r>
    </w:p>
    <w:p>
      <w:pPr>
        <w:pStyle w:val="null3"/>
        <w:ind w:firstLine="480"/>
        <w:jc w:val="left"/>
      </w:pPr>
      <w:r>
        <w:rPr>
          <w:sz w:val="24"/>
        </w:rPr>
        <w:t>1）乙方与甲方签订合同后10天内以支票、保函、银行转账等非现金形式提交合同总额5%的履约保证金给甲方。</w:t>
      </w:r>
    </w:p>
    <w:p>
      <w:pPr>
        <w:pStyle w:val="null3"/>
        <w:ind w:firstLine="480"/>
        <w:jc w:val="left"/>
      </w:pPr>
      <w:r>
        <w:rPr>
          <w:sz w:val="24"/>
        </w:rPr>
        <w:t>2）合同设备全部到工地或指定地点交付并完成安装及验收后，乙方凭甲方收货证明、使用部门调试使用意见（加盖甲方装备科公章）等资料，向甲方申请付款。</w:t>
      </w:r>
    </w:p>
    <w:p>
      <w:pPr>
        <w:pStyle w:val="null3"/>
        <w:ind w:firstLine="480"/>
        <w:jc w:val="left"/>
      </w:pPr>
      <w:r>
        <w:rPr>
          <w:sz w:val="24"/>
        </w:rPr>
        <w:t>3）付款方式经甲方、乙方双方共同协议同意于货到验收合格后，甲方在收到相关申请资料及满足付款支付条件后10天内以银行转账支付合同金额的100%，待设备安装正常运行后甲方在收到相关申请资料后10天内无息退回5%履约保证金。</w:t>
      </w:r>
    </w:p>
    <w:p>
      <w:pPr>
        <w:pStyle w:val="null3"/>
        <w:ind w:firstLine="480"/>
        <w:jc w:val="left"/>
      </w:pPr>
      <w:r>
        <w:rPr>
          <w:sz w:val="24"/>
        </w:rPr>
        <w:t xml:space="preserve"> </w:t>
      </w:r>
      <w:r>
        <w:rPr>
          <w:sz w:val="24"/>
        </w:rPr>
        <w:t>4）如不是医院自有资金项目，付款方式按相关经费要求支付。</w:t>
      </w:r>
    </w:p>
    <w:p>
      <w:pPr>
        <w:pStyle w:val="null3"/>
        <w:ind w:firstLine="480"/>
        <w:jc w:val="left"/>
      </w:pPr>
      <w:r>
        <w:rPr>
          <w:sz w:val="24"/>
        </w:rPr>
        <w:t>二、如乙方为中小企业（依据《关于印发中小企业划型标准规定的通知》工信部联企业〔</w:t>
      </w:r>
      <w:r>
        <w:rPr>
          <w:sz w:val="24"/>
        </w:rPr>
        <w:t>2011〕300号划分中小企业）</w:t>
      </w:r>
    </w:p>
    <w:p>
      <w:pPr>
        <w:pStyle w:val="null3"/>
        <w:ind w:firstLine="480"/>
        <w:jc w:val="left"/>
      </w:pPr>
      <w:r>
        <w:rPr>
          <w:sz w:val="24"/>
        </w:rPr>
        <w:t>1）合同签订后，乙方向甲方开具合同总价30%的发票及等额的预付款保函，满足付款支付条件后10天内支付合同总金额的30%；</w:t>
      </w:r>
    </w:p>
    <w:p>
      <w:pPr>
        <w:pStyle w:val="null3"/>
        <w:ind w:firstLine="480"/>
        <w:jc w:val="left"/>
      </w:pPr>
      <w:r>
        <w:rPr>
          <w:sz w:val="24"/>
        </w:rPr>
        <w:t>2）货物按照验收合格并通过相关部门的评定验收后，在收到乙方开具合同总价70%的发票及满足付款支付条件后10天内支付合同总金额的70%，若乙方没有违约行为，保函在验收合格后当月自动失效；</w:t>
      </w:r>
    </w:p>
    <w:p>
      <w:pPr>
        <w:pStyle w:val="null3"/>
        <w:ind w:firstLine="480"/>
        <w:jc w:val="left"/>
      </w:pPr>
      <w:r>
        <w:rPr>
          <w:sz w:val="24"/>
        </w:rPr>
        <w:t>3）如不是医院自有资金项目，付款方式按相关经费要求支付。</w:t>
      </w:r>
    </w:p>
    <w:p>
      <w:pPr>
        <w:pStyle w:val="null3"/>
        <w:ind w:firstLine="482"/>
        <w:jc w:val="left"/>
      </w:pPr>
      <w:r>
        <w:rPr>
          <w:sz w:val="24"/>
          <w:b/>
        </w:rPr>
        <w:t>8、技术服务</w:t>
      </w:r>
    </w:p>
    <w:p>
      <w:pPr>
        <w:pStyle w:val="null3"/>
        <w:ind w:firstLine="480"/>
        <w:jc w:val="both"/>
      </w:pPr>
      <w:r>
        <w:rPr>
          <w:sz w:val="24"/>
        </w:rPr>
        <w:t>乙方应派员到甲方指定地点配合工作，按甲方提供的合同执行进度计划，再配合甲方及有关单位，以此做好合同执行进度上的配合工作。</w:t>
      </w:r>
    </w:p>
    <w:p>
      <w:pPr>
        <w:pStyle w:val="null3"/>
        <w:ind w:firstLine="482"/>
        <w:jc w:val="left"/>
      </w:pPr>
      <w:r>
        <w:rPr>
          <w:sz w:val="24"/>
          <w:b/>
        </w:rPr>
        <w:t>9、不可抗力</w:t>
      </w:r>
    </w:p>
    <w:p>
      <w:pPr>
        <w:pStyle w:val="null3"/>
        <w:ind w:firstLine="480"/>
        <w:jc w:val="both"/>
      </w:pPr>
      <w:r>
        <w:rPr>
          <w:sz w:val="24"/>
        </w:rPr>
        <w:t>（</w:t>
      </w:r>
      <w:r>
        <w:rPr>
          <w:sz w:val="24"/>
        </w:rPr>
        <w:t>1）不可抗力指战争、严重火灾、洪水、台风、地震等或其它双方认定的不可抗力事件。</w:t>
      </w:r>
    </w:p>
    <w:p>
      <w:pPr>
        <w:pStyle w:val="null3"/>
        <w:ind w:firstLine="480"/>
        <w:jc w:val="both"/>
      </w:pPr>
      <w:r>
        <w:rPr>
          <w:sz w:val="24"/>
        </w:rPr>
        <w:t>（</w:t>
      </w:r>
      <w:r>
        <w:rPr>
          <w:sz w:val="24"/>
        </w:rPr>
        <w:t>2）签约双方中任何一方由于不可抗力影响合同执行时，发生不可抗力一方应尽快将事故通知另一方。在此情况下，乙方仍然有责任采取必要的措施加速供货，双方应通过友好协商解决本合同的执行问题</w:t>
      </w:r>
      <w:r>
        <w:rPr>
          <w:sz w:val="24"/>
          <w:b/>
        </w:rPr>
        <w:t>。</w:t>
      </w:r>
    </w:p>
    <w:p>
      <w:pPr>
        <w:pStyle w:val="null3"/>
        <w:jc w:val="left"/>
      </w:pPr>
      <w:r>
        <w:rPr>
          <w:sz w:val="24"/>
          <w:b/>
        </w:rPr>
        <w:t>10、索赔</w:t>
      </w:r>
    </w:p>
    <w:p>
      <w:pPr>
        <w:pStyle w:val="null3"/>
        <w:ind w:firstLine="480"/>
        <w:jc w:val="both"/>
      </w:pPr>
      <w:r>
        <w:rPr>
          <w:sz w:val="24"/>
        </w:rPr>
        <w:t>（</w:t>
      </w:r>
      <w:r>
        <w:rPr>
          <w:sz w:val="24"/>
        </w:rPr>
        <w:t>1）如有异议，甲方有权根据有关政府部门的检验结果向乙方提出索赔。</w:t>
      </w:r>
    </w:p>
    <w:p>
      <w:pPr>
        <w:pStyle w:val="null3"/>
        <w:ind w:firstLine="480"/>
        <w:jc w:val="both"/>
      </w:pPr>
      <w:r>
        <w:rPr>
          <w:sz w:val="24"/>
        </w:rPr>
        <w:t>（</w:t>
      </w:r>
      <w:r>
        <w:rPr>
          <w:sz w:val="24"/>
        </w:rPr>
        <w:t>2）在合同执行期间，如果乙方对甲方提出的索赔和差异负有责任，乙方应按照甲方同意的下列一种或多种方式解决索赔事宜。</w:t>
      </w:r>
    </w:p>
    <w:p>
      <w:pPr>
        <w:pStyle w:val="null3"/>
        <w:ind w:firstLine="480"/>
        <w:jc w:val="both"/>
      </w:pPr>
      <w:r>
        <w:rPr>
          <w:sz w:val="24"/>
        </w:rPr>
        <w:t>1）乙方同意退货，并按合同规定的同种货币将货款退还给甲方，并承担由此发生的一切损失和费用。</w:t>
      </w:r>
    </w:p>
    <w:p>
      <w:pPr>
        <w:pStyle w:val="null3"/>
        <w:ind w:firstLine="480"/>
        <w:jc w:val="both"/>
      </w:pPr>
      <w:r>
        <w:rPr>
          <w:sz w:val="24"/>
        </w:rPr>
        <w:t>2）根据货物低劣程度、损坏程度以及甲方所遭受损失的数额，甲乙双方商定降低货物的价格。</w:t>
      </w:r>
    </w:p>
    <w:p>
      <w:pPr>
        <w:pStyle w:val="null3"/>
        <w:ind w:firstLine="480"/>
        <w:jc w:val="both"/>
      </w:pPr>
      <w:r>
        <w:rPr>
          <w:sz w:val="24"/>
        </w:rPr>
        <w:t>3）用符合规格、质量和性能要求的新零件、部件或货物来更换有缺陷部分或修补缺陷的部份，乙方应承担一切费用和风险并负担甲方所发生的一切直接费用。同时，相应延长质量保证期。</w:t>
      </w:r>
    </w:p>
    <w:p>
      <w:pPr>
        <w:pStyle w:val="null3"/>
        <w:ind w:firstLine="480"/>
        <w:jc w:val="both"/>
      </w:pPr>
      <w:r>
        <w:rPr>
          <w:sz w:val="24"/>
        </w:rPr>
        <w:t>（</w:t>
      </w:r>
      <w:r>
        <w:rPr>
          <w:sz w:val="24"/>
        </w:rPr>
        <w:t>3） 如果在甲方发出索赔通知后30天内，乙方未作答复，上述索赔应视为已被乙方接受。甲方将从合同款项中扣回索赔金额。如果这些金额不足以补偿索赔金额，甲方有权向乙方提出不足部分的补偿。</w:t>
      </w:r>
    </w:p>
    <w:p>
      <w:pPr>
        <w:pStyle w:val="null3"/>
        <w:ind w:firstLine="480"/>
        <w:jc w:val="both"/>
      </w:pPr>
      <w:r>
        <w:rPr>
          <w:sz w:val="24"/>
        </w:rPr>
        <w:t>（</w:t>
      </w:r>
      <w:r>
        <w:rPr>
          <w:sz w:val="24"/>
        </w:rPr>
        <w:t>4）本合同所称之损失包括直接经济损失和合同履行后可以获得的利益及合理的调查费、评估费、公证费、诉讼费、交通费、律师费等相关法律费用。</w:t>
      </w:r>
    </w:p>
    <w:p>
      <w:pPr>
        <w:pStyle w:val="null3"/>
        <w:jc w:val="left"/>
      </w:pPr>
      <w:r>
        <w:rPr>
          <w:sz w:val="24"/>
          <w:b/>
        </w:rPr>
        <w:t>11、违约与处罚</w:t>
      </w:r>
    </w:p>
    <w:p>
      <w:pPr>
        <w:pStyle w:val="null3"/>
        <w:ind w:firstLine="480"/>
        <w:jc w:val="both"/>
      </w:pPr>
      <w:r>
        <w:rPr>
          <w:sz w:val="24"/>
        </w:rPr>
        <w:t>（</w:t>
      </w:r>
      <w:r>
        <w:rPr>
          <w:sz w:val="24"/>
        </w:rPr>
        <w:t>1）乙方未能按时交货，每拖延一天，须向甲方支付合同金额的5‰的违约金。</w:t>
      </w:r>
    </w:p>
    <w:p>
      <w:pPr>
        <w:pStyle w:val="null3"/>
        <w:ind w:firstLine="480"/>
        <w:jc w:val="both"/>
      </w:pPr>
      <w:r>
        <w:rPr>
          <w:sz w:val="24"/>
        </w:rPr>
        <w:t>（</w:t>
      </w:r>
      <w:r>
        <w:rPr>
          <w:sz w:val="24"/>
        </w:rPr>
        <w:t>2）乙方交付的货物不符合合同规定的，甲方有权拒收并不予退还履约保证金。</w:t>
      </w:r>
    </w:p>
    <w:p>
      <w:pPr>
        <w:pStyle w:val="null3"/>
        <w:ind w:firstLine="480"/>
        <w:jc w:val="both"/>
      </w:pPr>
      <w:r>
        <w:rPr>
          <w:sz w:val="24"/>
        </w:rPr>
        <w:t>（</w:t>
      </w:r>
      <w:r>
        <w:rPr>
          <w:sz w:val="24"/>
        </w:rPr>
        <w:t>3）乙方未能交付货物，则向甲方支付合同金额的7.5%的违约金。</w:t>
      </w:r>
    </w:p>
    <w:p>
      <w:pPr>
        <w:pStyle w:val="null3"/>
        <w:ind w:firstLine="480"/>
        <w:jc w:val="both"/>
      </w:pPr>
      <w:r>
        <w:rPr>
          <w:sz w:val="24"/>
        </w:rPr>
        <w:t>（</w:t>
      </w:r>
      <w:r>
        <w:rPr>
          <w:sz w:val="24"/>
        </w:rPr>
        <w:t>4）甲方无正当理由拒收货物/接受服务，到期拒付货物/服务款项的，甲方向乙方偿付本合同总价的7.5%的违约金。甲方逾期付款或逾期退还履约保证金，则每日按逾期金额的1‰向乙方偿付违约金，总金额不超过合同总价的3%。</w:t>
      </w:r>
    </w:p>
    <w:p>
      <w:pPr>
        <w:pStyle w:val="null3"/>
        <w:ind w:firstLine="480"/>
        <w:jc w:val="both"/>
      </w:pPr>
      <w:r>
        <w:rPr>
          <w:sz w:val="24"/>
        </w:rPr>
        <w:t>（</w:t>
      </w:r>
      <w:r>
        <w:rPr>
          <w:sz w:val="24"/>
        </w:rPr>
        <w:t>5</w:t>
      </w:r>
      <w:r>
        <w:rPr>
          <w:sz w:val="24"/>
        </w:rPr>
        <w:t>）</w:t>
      </w:r>
      <w:r>
        <w:rPr>
          <w:sz w:val="24"/>
        </w:rPr>
        <w:t>若乙方没有违约行为，乙方以支票、银行转账等形式提交履约保证金，则待设备安装正常运行后甲方在收到相关申请资料后</w:t>
      </w:r>
      <w:r>
        <w:rPr>
          <w:sz w:val="24"/>
        </w:rPr>
        <w:t>10天内原路退还履约保证金，以保函形式提交的履约保证金，则待设备安装正常运行后甲方在收到相关申请资料后次月自动失效。</w:t>
      </w:r>
    </w:p>
    <w:p>
      <w:pPr>
        <w:pStyle w:val="null3"/>
        <w:jc w:val="left"/>
      </w:pPr>
      <w:r>
        <w:rPr>
          <w:sz w:val="24"/>
          <w:b/>
        </w:rPr>
        <w:t>12、合同终止</w:t>
      </w:r>
    </w:p>
    <w:p>
      <w:pPr>
        <w:pStyle w:val="null3"/>
        <w:ind w:firstLine="480"/>
        <w:jc w:val="both"/>
      </w:pPr>
      <w:r>
        <w:rPr>
          <w:sz w:val="24"/>
        </w:rPr>
        <w:t>如果一方违反合同，并在收到对方违约通知书后</w:t>
      </w:r>
      <w:r>
        <w:rPr>
          <w:sz w:val="24"/>
        </w:rPr>
        <w:t>30天内仍未能改正违约的另一方可立即终止本合同。</w:t>
      </w:r>
    </w:p>
    <w:p>
      <w:pPr>
        <w:pStyle w:val="null3"/>
        <w:jc w:val="left"/>
      </w:pPr>
      <w:r>
        <w:rPr>
          <w:sz w:val="24"/>
          <w:b/>
        </w:rPr>
        <w:t>13、法律诉讼</w:t>
      </w:r>
    </w:p>
    <w:p>
      <w:pPr>
        <w:pStyle w:val="null3"/>
        <w:ind w:firstLine="480"/>
        <w:jc w:val="both"/>
      </w:pPr>
      <w:r>
        <w:rPr>
          <w:sz w:val="24"/>
        </w:rPr>
        <w:t>签约双方在履约中发生争执和分歧，双方应通过友好协商解决，若经协商不能达成协议时，则向甲方所在地人民法院提起诉讼。受理期间，双方应继续执行合同其余部份。</w:t>
      </w:r>
    </w:p>
    <w:p>
      <w:pPr>
        <w:pStyle w:val="null3"/>
        <w:jc w:val="left"/>
      </w:pPr>
      <w:r>
        <w:rPr>
          <w:sz w:val="24"/>
          <w:b/>
        </w:rPr>
        <w:t>14、其他</w:t>
      </w:r>
    </w:p>
    <w:p>
      <w:pPr>
        <w:pStyle w:val="null3"/>
        <w:ind w:firstLine="480"/>
        <w:jc w:val="both"/>
      </w:pPr>
      <w:r>
        <w:rPr>
          <w:sz w:val="24"/>
        </w:rPr>
        <w:t>本合同正本肆份，具有同等法律效力，甲方执叁份，乙方执壹份。本合同经双方法定代表人（委托代理人）签字并加盖单位合同印章之日起即时生效。</w:t>
      </w:r>
    </w:p>
    <w:p>
      <w:pPr>
        <w:pStyle w:val="null3"/>
        <w:ind w:firstLine="480"/>
        <w:jc w:val="both"/>
      </w:pPr>
      <w:r>
        <w:rPr>
          <w:sz w:val="24"/>
        </w:rPr>
        <w:t>本合同未尽事宜，由双方协商处理。</w:t>
      </w:r>
    </w:p>
    <w:tbl>
      <w:tblPr>
        <w:tblW w:w="0" w:type="auto"/>
        <w:tblBorders>
          <w:top w:val="none" w:color="000000" w:sz="4"/>
          <w:left w:val="none" w:color="000000" w:sz="4"/>
          <w:bottom w:val="none" w:color="000000" w:sz="4"/>
          <w:right w:val="none" w:color="000000" w:sz="4"/>
          <w:insideH w:val="none"/>
          <w:insideV w:val="none"/>
        </w:tblBorders>
      </w:tblPr>
      <w:tblGrid>
        <w:gridCol w:w="4070"/>
        <w:gridCol w:w="4223"/>
      </w:tblGrid>
      <w:tr>
        <w:tc>
          <w:tcPr>
            <w:tcW w:type="dxa" w:w="40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甲方：中山大学孙逸仙纪念医院深汕中心医院</w:t>
            </w:r>
          </w:p>
        </w:tc>
        <w:tc>
          <w:tcPr>
            <w:tcW w:type="dxa" w:w="42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乙方：</w:t>
            </w:r>
          </w:p>
        </w:tc>
      </w:tr>
      <w:tr>
        <w:tc>
          <w:tcPr>
            <w:tcW w:type="dxa" w:w="40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法人代表签名：</w:t>
            </w:r>
            <w:r>
              <w:rPr>
                <w:sz w:val="24"/>
              </w:rPr>
              <w:t xml:space="preserve">                        </w:t>
            </w:r>
          </w:p>
        </w:tc>
        <w:tc>
          <w:tcPr>
            <w:tcW w:type="dxa" w:w="42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法人代表签名：</w:t>
            </w:r>
          </w:p>
        </w:tc>
      </w:tr>
      <w:tr>
        <w:tc>
          <w:tcPr>
            <w:tcW w:type="dxa" w:w="40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签约代表：</w:t>
            </w:r>
          </w:p>
        </w:tc>
        <w:tc>
          <w:tcPr>
            <w:tcW w:type="dxa" w:w="42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签约代表：</w:t>
            </w:r>
          </w:p>
        </w:tc>
      </w:tr>
      <w:tr>
        <w:tc>
          <w:tcPr>
            <w:tcW w:type="dxa" w:w="40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地址：广东省汕尾市城区东涌镇站前横二路</w:t>
            </w:r>
            <w:r>
              <w:rPr>
                <w:sz w:val="24"/>
              </w:rPr>
              <w:t>1号</w:t>
            </w:r>
          </w:p>
        </w:tc>
        <w:tc>
          <w:tcPr>
            <w:tcW w:type="dxa" w:w="42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地址：</w:t>
            </w:r>
          </w:p>
        </w:tc>
      </w:tr>
      <w:tr>
        <w:tc>
          <w:tcPr>
            <w:tcW w:type="dxa" w:w="40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电话：</w:t>
            </w:r>
            <w:r>
              <w:rPr>
                <w:sz w:val="24"/>
              </w:rPr>
              <w:t>06603863370</w:t>
            </w:r>
          </w:p>
        </w:tc>
        <w:tc>
          <w:tcPr>
            <w:tcW w:type="dxa" w:w="42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电话：</w:t>
            </w:r>
          </w:p>
        </w:tc>
      </w:tr>
      <w:tr>
        <w:tc>
          <w:tcPr>
            <w:tcW w:type="dxa" w:w="40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传真：</w:t>
            </w:r>
            <w:r>
              <w:rPr>
                <w:sz w:val="24"/>
              </w:rPr>
              <w:t>/</w:t>
            </w:r>
          </w:p>
        </w:tc>
        <w:tc>
          <w:tcPr>
            <w:tcW w:type="dxa" w:w="42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传真：</w:t>
            </w:r>
            <w:r>
              <w:rPr>
                <w:sz w:val="24"/>
              </w:rPr>
              <w:t>/</w:t>
            </w:r>
          </w:p>
        </w:tc>
      </w:tr>
      <w:tr>
        <w:tc>
          <w:tcPr>
            <w:tcW w:type="dxa" w:w="40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42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40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签约地点：中山大学孙逸仙纪念医院深汕中心医院</w:t>
            </w:r>
          </w:p>
        </w:tc>
        <w:tc>
          <w:tcPr>
            <w:tcW w:type="dxa" w:w="42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乙方项目联系人：</w:t>
            </w:r>
            <w:r>
              <w:rPr>
                <w:sz w:val="21"/>
                <w:u w:val="single"/>
              </w:rPr>
              <w:t xml:space="preserve">  </w:t>
            </w:r>
            <w:r>
              <w:rPr>
                <w:sz w:val="24"/>
              </w:rPr>
              <w:t>电话：</w:t>
            </w:r>
            <w:r>
              <w:rPr>
                <w:sz w:val="21"/>
                <w:u w:val="single"/>
              </w:rPr>
              <w:t xml:space="preserve">           </w:t>
            </w:r>
          </w:p>
        </w:tc>
      </w:tr>
    </w:tbl>
    <w:p>
      <w:pPr>
        <w:pStyle w:val="null3"/>
        <w:jc w:val="left"/>
      </w:pPr>
      <w:r>
        <w:rPr>
          <w:sz w:val="21"/>
        </w:rPr>
        <w:t xml:space="preserve">          </w:t>
      </w:r>
    </w:p>
    <w:p>
      <w:pPr>
        <w:pStyle w:val="null3"/>
        <w:jc w:val="left"/>
      </w:pPr>
      <w:r>
        <w:rPr/>
        <w:t xml:space="preserve"> </w:t>
      </w:r>
    </w:p>
    <w:p>
      <w:pPr>
        <w:pStyle w:val="null3"/>
        <w:ind w:firstLine="1124"/>
        <w:jc w:val="center"/>
      </w:pPr>
      <w:r>
        <w:rPr>
          <w:sz w:val="28"/>
          <w:b/>
        </w:rPr>
        <w:t>中山大学孙逸仙纪念医院深汕中心医院设备配置清单</w:t>
      </w:r>
    </w:p>
    <w:tbl>
      <w:tblPr>
        <w:tblW w:w="0" w:type="auto"/>
        <w:tblBorders>
          <w:top w:val="none" w:color="000000" w:sz="4"/>
          <w:left w:val="none" w:color="000000" w:sz="4"/>
          <w:bottom w:val="none" w:color="000000" w:sz="4"/>
          <w:right w:val="none" w:color="000000" w:sz="4"/>
          <w:insideH w:val="none"/>
          <w:insideV w:val="none"/>
        </w:tblBorders>
      </w:tblPr>
      <w:tblGrid>
        <w:gridCol w:w="545"/>
        <w:gridCol w:w="884"/>
        <w:gridCol w:w="1562"/>
        <w:gridCol w:w="1598"/>
        <w:gridCol w:w="581"/>
        <w:gridCol w:w="605"/>
        <w:gridCol w:w="835"/>
        <w:gridCol w:w="920"/>
        <w:gridCol w:w="775"/>
      </w:tblGrid>
      <w:tr>
        <w:tc>
          <w:tcPr>
            <w:tcW w:type="dxa" w:w="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8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产品代码</w:t>
            </w:r>
          </w:p>
        </w:tc>
        <w:tc>
          <w:tcPr>
            <w:tcW w:type="dxa" w:w="15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产品名称</w:t>
            </w:r>
          </w:p>
        </w:tc>
        <w:tc>
          <w:tcPr>
            <w:tcW w:type="dxa" w:w="1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规格型号</w:t>
            </w:r>
          </w:p>
        </w:tc>
        <w:tc>
          <w:tcPr>
            <w:tcW w:type="dxa" w:w="5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6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8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产地</w:t>
            </w:r>
          </w:p>
        </w:tc>
        <w:tc>
          <w:tcPr>
            <w:tcW w:type="dxa" w:w="9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7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w:t>
            </w:r>
          </w:p>
        </w:tc>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center"/>
      </w:pPr>
      <w:r>
        <w:rPr>
          <w:sz w:val="72"/>
          <w:color w:val="FF0000"/>
        </w:rPr>
        <w:t>中山大学孙逸仙纪念医院深汕中心医院</w:t>
      </w:r>
    </w:p>
    <w:p>
      <w:pPr>
        <w:pStyle w:val="null3"/>
        <w:ind w:left="1470"/>
        <w:jc w:val="left"/>
      </w:pPr>
      <w:r>
        <w:rPr>
          <w:sz w:val="30"/>
        </w:rPr>
        <w:t>项目名称：</w:t>
      </w:r>
    </w:p>
    <w:p>
      <w:pPr>
        <w:pStyle w:val="null3"/>
        <w:jc w:val="center"/>
      </w:pPr>
      <w:r>
        <w:rPr>
          <w:sz w:val="36"/>
          <w:b/>
        </w:rPr>
        <w:t>廉洁守约承诺书</w:t>
      </w:r>
    </w:p>
    <w:p>
      <w:pPr>
        <w:pStyle w:val="null3"/>
        <w:ind w:firstLine="560"/>
        <w:jc w:val="left"/>
      </w:pPr>
      <w:r>
        <w:rPr>
          <w:sz w:val="28"/>
        </w:rPr>
        <w:t>为加强医疗卫生行业作风建设，切实纠正损害人民群众利益的不正之风，保障合同双方的权利与义务，根据《中华人民共和国药品管理法》、《中华人民共和国执业医师法》、《中华人民共和国政府采购法》、《中华人民共和国招标投标法》等有关规定，结合中山大学孙逸仙纪念医院深汕中心医院（下称医院）的规章制度，我公司特作出以下廉洁守约承诺：</w:t>
      </w:r>
    </w:p>
    <w:p>
      <w:pPr>
        <w:pStyle w:val="null3"/>
        <w:ind w:firstLine="560"/>
        <w:jc w:val="left"/>
      </w:pPr>
      <w:r>
        <w:rPr>
          <w:sz w:val="28"/>
        </w:rPr>
        <w:t>一、我司及工作人员严格遵守医院的有关规定，不通过给予医院工作人员</w:t>
      </w:r>
      <w:r>
        <w:rPr>
          <w:sz w:val="28"/>
        </w:rPr>
        <w:t>“红包”（含礼品、礼金、消费卡和有价证券、股权、其他金融产品等财物，公司及工作人员安排、组织或者支付费用的宴请或者旅游、健身、娱乐等活动安排，下同）、贿赂、提成、物品及以其它不正当利益等手段进行促销；不以任何名义、形式给予医院工作人员及其特殊关系人“红包”、贿赂、提成、物品以及其他不正当利益，或邀请医院工作人员及其特殊关系人参加涉及商业利益的活动等。</w:t>
      </w:r>
    </w:p>
    <w:p>
      <w:pPr>
        <w:pStyle w:val="null3"/>
        <w:ind w:firstLine="560"/>
        <w:jc w:val="left"/>
      </w:pPr>
      <w:r>
        <w:rPr>
          <w:sz w:val="28"/>
        </w:rPr>
        <w:t>前款所称</w:t>
      </w:r>
      <w:r>
        <w:rPr>
          <w:sz w:val="28"/>
        </w:rPr>
        <w:t>“特殊关系人”，是指医院工作人员的近亲属、特殊利害关系人等 。</w:t>
      </w:r>
    </w:p>
    <w:p>
      <w:pPr>
        <w:pStyle w:val="null3"/>
        <w:ind w:firstLine="560"/>
        <w:jc w:val="left"/>
      </w:pPr>
      <w:r>
        <w:rPr>
          <w:sz w:val="28"/>
        </w:rPr>
        <w:t>二、我司及销售人员不在医院诊疗时间、诊疗区域进入各医疗科室进行产品推介活动，不干扰医务人员的医疗活动；未经医院批准，不在院内召开任何形式的产品宣传、推广活动；不在院内张贴、派发涉及产品的宣传资料和赠品。</w:t>
      </w:r>
    </w:p>
    <w:p>
      <w:pPr>
        <w:pStyle w:val="null3"/>
        <w:ind w:firstLine="560"/>
        <w:jc w:val="left"/>
      </w:pPr>
      <w:r>
        <w:rPr>
          <w:sz w:val="28"/>
        </w:rPr>
        <w:t>三、我司承诺需要在医院进行产品宣传、推广工作时，一定向医院相关职能部门提出书面申请。经审批后，由医院有组织、有计划地予以安排。</w:t>
      </w:r>
    </w:p>
    <w:p>
      <w:pPr>
        <w:pStyle w:val="null3"/>
        <w:ind w:firstLine="560"/>
        <w:jc w:val="left"/>
      </w:pPr>
      <w:r>
        <w:rPr>
          <w:sz w:val="28"/>
        </w:rPr>
        <w:t>四、我司承诺遵守国家有关招标采购法律法规规章，在参加医院招标采购活动时，保证诚信投标、不串标、不陪标，严格按照有关规定及合同执行。</w:t>
      </w:r>
    </w:p>
    <w:p>
      <w:pPr>
        <w:pStyle w:val="null3"/>
        <w:ind w:firstLine="560"/>
        <w:jc w:val="left"/>
      </w:pPr>
      <w:r>
        <w:rPr>
          <w:sz w:val="28"/>
        </w:rPr>
        <w:t>五、我司承诺</w:t>
      </w:r>
    </w:p>
    <w:p>
      <w:pPr>
        <w:pStyle w:val="null3"/>
        <w:ind w:firstLine="560"/>
        <w:jc w:val="left"/>
      </w:pPr>
      <w:r>
        <w:rPr>
          <w:sz w:val="28"/>
        </w:rPr>
        <w:t>不销售、不使用假冒伪劣以及无生产批准文号或无相关经营许可证、经营注册证的药品、试剂、医疗设备、医疗器械、医用耗材及其它产品。（药品、医疗设备、医用耗材及其他货物的生产和经营企业勾选此项）</w:t>
      </w:r>
    </w:p>
    <w:p>
      <w:pPr>
        <w:pStyle w:val="null3"/>
        <w:ind w:firstLine="560"/>
        <w:jc w:val="left"/>
      </w:pPr>
      <w:r>
        <w:rPr>
          <w:sz w:val="28"/>
        </w:rPr>
        <w:t>严格遵守国家关于市场准入、项目招标投标、工程建设、施工安装和市场活动等有关法律、法规、相关政策，不违反工程建设管理、施工安装和监理的规章制度。按照有关法律法规和程序开展业务工作，严格执行工程建设和监理的有关方针、政策，尤其是有关建筑施工安装和监理的强制性标准和规范。（工程建设项目勾选此项）</w:t>
      </w:r>
    </w:p>
    <w:p>
      <w:pPr>
        <w:pStyle w:val="null3"/>
        <w:ind w:firstLine="560"/>
        <w:jc w:val="left"/>
      </w:pPr>
      <w:r>
        <w:rPr>
          <w:sz w:val="28"/>
        </w:rPr>
        <w:t>六、我司承诺遵守《中华人民共和国政府采购法》第四十六条、《中华人民共和国招标投标法》第四十六条及医院招标采购相关规章制度的规定，在医院中标、成交通知书发出之日起二十日内，按照招标采购文件和中标人的投标文件或其他响应文件签订书面合同。</w:t>
      </w:r>
    </w:p>
    <w:p>
      <w:pPr>
        <w:pStyle w:val="null3"/>
        <w:ind w:firstLine="560"/>
        <w:jc w:val="left"/>
      </w:pPr>
      <w:r>
        <w:rPr>
          <w:sz w:val="28"/>
        </w:rPr>
        <w:t>若违反上述承诺，我司自愿接受中山大学孙逸仙纪念医院深汕中心医院以下处理：医院将我司违规行为予以曝光；医院取消我司中标资格并不予退还履约保证金；医院有权解除双方签订的买卖合同、技术服务合同及建筑工程施工合同等合同，停用相关产品，并断绝与我司业务往来，且不承担我司因此造成的任何损失；取消我司参加医院招标采购投标资格两年；报请上级主管部门，依据有关规定在系统内通报、公布药品、医疗设备、医用耗材违法违规情况及其它处理。</w:t>
      </w:r>
    </w:p>
    <w:p>
      <w:pPr>
        <w:pStyle w:val="null3"/>
        <w:ind w:firstLine="560"/>
        <w:jc w:val="left"/>
      </w:pPr>
      <w:r>
        <w:rPr>
          <w:sz w:val="28"/>
        </w:rPr>
        <w:t>双方订立买卖合同、技术服务合同、建筑工程施工合同等合同以后，本承诺书同时作为双方合同的构成部分。</w:t>
      </w:r>
    </w:p>
    <w:p>
      <w:pPr>
        <w:pStyle w:val="null3"/>
        <w:ind w:firstLine="560"/>
        <w:jc w:val="left"/>
      </w:pPr>
      <w:r>
        <w:rPr>
          <w:sz w:val="28"/>
        </w:rPr>
        <w:t>本承诺书一式两份，一份由医院相关职能部门保存，一份由经营单位保存。</w:t>
      </w:r>
    </w:p>
    <w:p>
      <w:pPr>
        <w:pStyle w:val="null3"/>
        <w:jc w:val="left"/>
      </w:pPr>
      <w:r>
        <w:rPr>
          <w:sz w:val="21"/>
        </w:rPr>
        <w:t xml:space="preserve">                       </w:t>
      </w:r>
    </w:p>
    <w:p>
      <w:pPr>
        <w:pStyle w:val="null3"/>
        <w:ind w:firstLine="435"/>
        <w:jc w:val="right"/>
      </w:pPr>
      <w:r>
        <w:rPr>
          <w:sz w:val="21"/>
        </w:rPr>
        <w:t xml:space="preserve">     </w:t>
      </w:r>
      <w:r>
        <w:rPr>
          <w:sz w:val="28"/>
        </w:rPr>
        <w:t>医药生产、经销单位名称：</w:t>
      </w:r>
      <w:r>
        <w:rPr>
          <w:sz w:val="21"/>
        </w:rPr>
        <w:t xml:space="preserve">                                     </w:t>
      </w:r>
      <w:r>
        <w:rPr>
          <w:sz w:val="28"/>
        </w:rPr>
        <w:t>（盖章）</w:t>
      </w:r>
    </w:p>
    <w:p>
      <w:pPr>
        <w:pStyle w:val="null3"/>
        <w:jc w:val="right"/>
      </w:pPr>
      <w:r>
        <w:rPr>
          <w:sz w:val="21"/>
        </w:rPr>
        <w:t xml:space="preserve">                        </w:t>
      </w:r>
      <w:r>
        <w:rPr>
          <w:sz w:val="28"/>
        </w:rPr>
        <w:t>单位负责人：</w:t>
      </w:r>
      <w:r>
        <w:rPr>
          <w:sz w:val="21"/>
          <w:u w:val="single"/>
        </w:rPr>
        <w:t xml:space="preserve">             </w:t>
      </w:r>
    </w:p>
    <w:p>
      <w:pPr>
        <w:pStyle w:val="null3"/>
        <w:ind w:firstLine="1820"/>
        <w:jc w:val="right"/>
      </w:pPr>
      <w:r>
        <w:rPr>
          <w:sz w:val="21"/>
        </w:rPr>
        <w:t xml:space="preserve">                           </w:t>
      </w:r>
      <w:r>
        <w:rPr>
          <w:sz w:val="28"/>
        </w:rPr>
        <w:t>（签名）</w:t>
      </w:r>
    </w:p>
    <w:p>
      <w:pPr>
        <w:pStyle w:val="null3"/>
        <w:jc w:val="right"/>
      </w:pPr>
      <w:r>
        <w:rPr>
          <w:sz w:val="21"/>
        </w:rPr>
        <w:t xml:space="preserve">             </w:t>
      </w:r>
      <w:r>
        <w:rPr>
          <w:sz w:val="28"/>
        </w:rPr>
        <w:t>日期：</w:t>
      </w:r>
      <w:r>
        <w:rPr>
          <w:sz w:val="28"/>
        </w:rPr>
        <w:t xml:space="preserve">           </w:t>
      </w:r>
      <w:r>
        <w:rPr>
          <w:sz w:val="28"/>
        </w:rPr>
        <w:t>年</w:t>
      </w:r>
      <w:r>
        <w:rPr>
          <w:sz w:val="28"/>
        </w:rPr>
        <w:t xml:space="preserve">    </w:t>
      </w:r>
      <w:r>
        <w:rPr>
          <w:sz w:val="28"/>
        </w:rPr>
        <w:t>月</w:t>
      </w:r>
      <w:r>
        <w:rPr>
          <w:sz w:val="28"/>
        </w:rPr>
        <w:t xml:space="preserve">    </w:t>
      </w:r>
      <w:r>
        <w:rPr>
          <w:sz w:val="28"/>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441501-2025-00598</w:t>
      </w:r>
    </w:p>
    <w:p>
      <w:pPr>
        <w:pStyle w:val="null3"/>
        <w:jc w:val="center"/>
        <w:outlineLvl w:val="3"/>
      </w:pPr>
      <w:r>
        <w:rPr>
          <w:sz w:val="24"/>
          <w:b/>
        </w:rPr>
        <w:t>采购项目编号：</w:t>
      </w:r>
      <w:r>
        <w:rPr>
          <w:sz w:val="24"/>
          <w:b/>
        </w:rPr>
        <w:t>0724-2531SW902109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中山大学孙逸仙纪念医院深汕中心医院3.0MRI采购项目</w:t>
      </w:r>
      <w:r>
        <w:rPr>
          <w:u w:val="single"/>
        </w:rPr>
        <w:t>”</w:t>
      </w:r>
      <w:r>
        <w:rPr/>
        <w:t>项目的招标[采购项目编号为：</w:t>
      </w:r>
      <w:r>
        <w:rPr>
          <w:u w:val="single"/>
        </w:rPr>
        <w:t>0724-2531SW902109</w:t>
      </w:r>
      <w:r>
        <w:rPr/>
        <w:t>]，我方愿参与投标。</w:t>
      </w:r>
    </w:p>
    <w:p>
      <w:pPr>
        <w:pStyle w:val="null3"/>
        <w:ind w:firstLine="480"/>
      </w:pPr>
      <w:r>
        <w:rPr/>
        <w:t>我方确认收到贵方提供的</w:t>
      </w:r>
      <w:r>
        <w:rPr>
          <w:u w:val="single"/>
        </w:rPr>
        <w:t>“</w:t>
      </w:r>
      <w:r>
        <w:rPr>
          <w:u w:val="single"/>
        </w:rPr>
        <w:t>中山大学孙逸仙纪念医院深汕中心医院3.0MRI采购项目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中山大学孙逸仙纪念医院深汕中心医院3.0MRI采购项目</w:t>
      </w:r>
      <w:r>
        <w:rPr/>
        <w:t>”项目采购[采购项目编号为</w:t>
      </w:r>
      <w:r>
        <w:rPr/>
        <w:t>0724-2531SW902109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中山大学孙逸仙纪念医院深汕中心医院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中山大学孙逸仙纪念医院深汕中心医院3.0MRI采购项目</w:t>
      </w:r>
      <w:r>
        <w:rPr/>
        <w:t>招标中获中标（采购项目编号：</w:t>
      </w:r>
      <w:r>
        <w:rPr/>
        <w:t>0724-2531SW902109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中山大学孙逸仙纪念医院深汕中心医院3.0MRI采购项目</w:t>
      </w:r>
      <w:r>
        <w:rPr/>
        <w:t>”项目（采购项目编号：</w:t>
      </w:r>
      <w:r>
        <w:rPr/>
        <w:t>0724-2531SW902109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