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7898E">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2026-2027年舟山烟草客户中心硬件设备运维服务采购项目-公开招标公告</w:t>
      </w:r>
    </w:p>
    <w:p w14:paraId="475E509E">
      <w:pPr>
        <w:spacing w:line="360" w:lineRule="auto"/>
        <w:rPr>
          <w:rFonts w:hint="eastAsia" w:ascii="宋体" w:hAnsi="宋体" w:cs="宋体"/>
          <w:sz w:val="24"/>
          <w:highlight w:val="none"/>
        </w:rPr>
      </w:pPr>
      <w:r>
        <w:rPr>
          <w:rFonts w:hint="eastAsia" w:ascii="宋体" w:hAnsi="宋体" w:cs="宋体"/>
          <w:sz w:val="24"/>
          <w:highlight w:val="none"/>
        </w:rPr>
        <w:t>招标项目所在地区：浙江省舟山市</w:t>
      </w:r>
    </w:p>
    <w:p w14:paraId="27F687E2">
      <w:pPr>
        <w:spacing w:line="360" w:lineRule="auto"/>
        <w:ind w:firstLine="482" w:firstLineChars="200"/>
        <w:jc w:val="left"/>
        <w:outlineLvl w:val="1"/>
        <w:rPr>
          <w:rFonts w:hint="eastAsia" w:ascii="宋体" w:hAnsi="宋体" w:cs="宋体"/>
          <w:b/>
          <w:bCs/>
          <w:sz w:val="24"/>
          <w:highlight w:val="none"/>
        </w:rPr>
      </w:pPr>
      <w:r>
        <w:rPr>
          <w:rFonts w:hint="eastAsia" w:ascii="宋体" w:hAnsi="宋体" w:cs="宋体"/>
          <w:b/>
          <w:bCs/>
          <w:sz w:val="24"/>
          <w:highlight w:val="none"/>
        </w:rPr>
        <w:t>一、招标条件</w:t>
      </w:r>
    </w:p>
    <w:p w14:paraId="63C2F3D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本招标项目为2026-2027年舟山烟草客户中心硬件设备运维服务采购项目（招标项目编号：</w:t>
      </w:r>
      <w:r>
        <w:rPr>
          <w:rFonts w:ascii="宋体" w:hAnsi="宋体" w:cs="宋体"/>
          <w:sz w:val="24"/>
          <w:highlight w:val="none"/>
        </w:rPr>
        <w:t>C202601BA2002122032793</w:t>
      </w:r>
      <w:r>
        <w:rPr>
          <w:rFonts w:hint="eastAsia" w:ascii="宋体" w:hAnsi="宋体" w:cs="宋体"/>
          <w:sz w:val="24"/>
          <w:highlight w:val="none"/>
        </w:rPr>
        <w:t>），已由项目审批/核准/备案机关批准，项目资金来源为企业自筹，招标人为浙江省烟草公司舟山市公司。本项目已具备招标条件，现进行公开招标。</w:t>
      </w:r>
    </w:p>
    <w:p w14:paraId="012E48C7">
      <w:pPr>
        <w:spacing w:line="360" w:lineRule="auto"/>
        <w:ind w:firstLine="482" w:firstLineChars="200"/>
        <w:jc w:val="left"/>
        <w:outlineLvl w:val="1"/>
        <w:rPr>
          <w:rFonts w:hint="eastAsia" w:ascii="宋体" w:hAnsi="宋体" w:cs="宋体"/>
          <w:b/>
          <w:bCs/>
          <w:sz w:val="24"/>
          <w:highlight w:val="none"/>
        </w:rPr>
      </w:pPr>
      <w:r>
        <w:rPr>
          <w:rFonts w:hint="eastAsia" w:ascii="宋体" w:hAnsi="宋体" w:cs="宋体"/>
          <w:b/>
          <w:bCs/>
          <w:sz w:val="24"/>
          <w:highlight w:val="none"/>
        </w:rPr>
        <w:t>二、项目概况和招标范围</w:t>
      </w:r>
    </w:p>
    <w:p w14:paraId="2F212CF9">
      <w:pPr>
        <w:spacing w:line="360" w:lineRule="auto"/>
        <w:ind w:firstLine="480" w:firstLineChars="200"/>
        <w:rPr>
          <w:rFonts w:hint="eastAsia" w:ascii="宋体" w:hAnsi="宋体" w:cs="宋体"/>
          <w:sz w:val="24"/>
          <w:highlight w:val="none"/>
        </w:rPr>
      </w:pPr>
      <w:bookmarkStart w:id="0" w:name="_Toc27830"/>
      <w:bookmarkStart w:id="1" w:name="_Toc3684"/>
      <w:bookmarkStart w:id="2" w:name="_Toc11303"/>
      <w:r>
        <w:rPr>
          <w:rFonts w:hint="eastAsia" w:ascii="宋体" w:hAnsi="宋体" w:cs="宋体"/>
          <w:sz w:val="24"/>
          <w:highlight w:val="none"/>
        </w:rPr>
        <w:t>项目规模：14.36万元(人民币)。</w:t>
      </w:r>
    </w:p>
    <w:p w14:paraId="0D281CA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招标内容与范围：2026-2027年舟山烟草客户中心硬件设备运维服务采购项目，详见第三章招标内容及要求。最高限价（总价）：¥141925元（大写：壹拾肆万壹仟玖佰贰拾伍元整），单价限价详见第三章招标内容及要求。本招标项目划分为 1 个标段，本次招标为其中的：</w:t>
      </w:r>
    </w:p>
    <w:p w14:paraId="716C3E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001 2026-2027年舟山烟草客户中心硬件设备运维服务采购项目</w:t>
      </w:r>
    </w:p>
    <w:p w14:paraId="40F55C59">
      <w:pPr>
        <w:spacing w:line="360" w:lineRule="auto"/>
        <w:ind w:firstLine="482" w:firstLineChars="200"/>
        <w:jc w:val="left"/>
        <w:outlineLvl w:val="1"/>
        <w:rPr>
          <w:rFonts w:hint="eastAsia" w:ascii="宋体" w:hAnsi="宋体" w:cs="宋体"/>
          <w:b/>
          <w:bCs/>
          <w:sz w:val="24"/>
          <w:highlight w:val="none"/>
        </w:rPr>
      </w:pPr>
      <w:r>
        <w:rPr>
          <w:rFonts w:hint="eastAsia" w:ascii="宋体" w:hAnsi="宋体" w:cs="宋体"/>
          <w:b/>
          <w:bCs/>
          <w:sz w:val="24"/>
          <w:highlight w:val="none"/>
        </w:rPr>
        <w:t>三、投标人资格要求</w:t>
      </w:r>
    </w:p>
    <w:p w14:paraId="58AF89FE">
      <w:pPr>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 xml:space="preserve"> 001 2026-2027年舟山烟草客户中心硬件设备运维服务采购项目：</w:t>
      </w:r>
    </w:p>
    <w:bookmarkEnd w:id="0"/>
    <w:bookmarkEnd w:id="1"/>
    <w:bookmarkEnd w:id="2"/>
    <w:p w14:paraId="0A2251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1.在中华人民共和国境内注册，</w:t>
      </w:r>
      <w:r>
        <w:rPr>
          <w:rFonts w:hint="eastAsia" w:ascii="宋体" w:hAnsi="宋体" w:cs="宋体"/>
          <w:kern w:val="0"/>
          <w:sz w:val="24"/>
          <w:highlight w:val="none"/>
          <w:lang w:bidi="ar"/>
        </w:rPr>
        <w:t>□具有</w:t>
      </w:r>
      <w:r>
        <w:rPr>
          <w:rStyle w:val="14"/>
          <w:rFonts w:hint="default"/>
          <w:color w:val="auto"/>
          <w:highlight w:val="none"/>
          <w:lang w:bidi="ar"/>
        </w:rPr>
        <w:t>法人资格</w:t>
      </w:r>
      <w:r>
        <w:rPr>
          <w:rStyle w:val="15"/>
          <w:rFonts w:hint="default"/>
          <w:color w:val="auto"/>
          <w:highlight w:val="none"/>
          <w:lang w:bidi="ar"/>
        </w:rPr>
        <w:t>/☑具有承担民事责任能力的</w:t>
      </w:r>
      <w:r>
        <w:rPr>
          <w:rStyle w:val="14"/>
          <w:rFonts w:hint="default"/>
          <w:color w:val="auto"/>
          <w:highlight w:val="none"/>
          <w:lang w:bidi="ar"/>
        </w:rPr>
        <w:t>法人、非法人组织</w:t>
      </w:r>
      <w:r>
        <w:rPr>
          <w:rStyle w:val="15"/>
          <w:rFonts w:hint="default"/>
          <w:color w:val="auto"/>
          <w:highlight w:val="none"/>
          <w:lang w:bidi="ar"/>
        </w:rPr>
        <w:t>（包括</w:t>
      </w:r>
      <w:r>
        <w:rPr>
          <w:rStyle w:val="14"/>
          <w:rFonts w:hint="default"/>
          <w:color w:val="auto"/>
          <w:highlight w:val="none"/>
          <w:lang w:bidi="ar"/>
        </w:rPr>
        <w:t>个人独资企业、合伙企业、不具有法人资格的专业服务机构</w:t>
      </w:r>
      <w:r>
        <w:rPr>
          <w:rStyle w:val="15"/>
          <w:rFonts w:hint="default"/>
          <w:color w:val="auto"/>
          <w:highlight w:val="none"/>
          <w:lang w:bidi="ar"/>
        </w:rPr>
        <w:t>等）；</w:t>
      </w:r>
      <w:r>
        <w:rPr>
          <w:rFonts w:hint="eastAsia" w:ascii="宋体" w:hAnsi="宋体" w:cs="宋体"/>
          <w:sz w:val="24"/>
          <w:highlight w:val="none"/>
        </w:rPr>
        <w:t>具备有效营业执照（或者事业单位法人证书、社会团体法人登记证书、非法人组织登记证明文件）；</w:t>
      </w:r>
    </w:p>
    <w:p w14:paraId="73CB2A4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bookmarkStart w:id="3" w:name="_Hlk105247872"/>
      <w:r>
        <w:rPr>
          <w:rFonts w:hint="eastAsia" w:ascii="宋体" w:hAnsi="宋体" w:cs="宋体"/>
          <w:sz w:val="24"/>
          <w:highlight w:val="none"/>
        </w:rPr>
        <w:t>从投标截止之日起前3年（成立不足3年的可从成立之日起算）</w:t>
      </w:r>
      <w:bookmarkEnd w:id="3"/>
      <w:r>
        <w:rPr>
          <w:rFonts w:hint="eastAsia" w:ascii="宋体" w:hAnsi="宋体" w:cs="宋体"/>
          <w:sz w:val="24"/>
          <w:highlight w:val="none"/>
        </w:rPr>
        <w:t>，投标人、法定代表人</w:t>
      </w:r>
      <w:r>
        <w:rPr>
          <w:rFonts w:hint="eastAsia" w:ascii="宋体" w:hAnsi="宋体" w:cs="宋体"/>
          <w:snapToGrid w:val="0"/>
          <w:sz w:val="24"/>
          <w:highlight w:val="none"/>
        </w:rPr>
        <w:t>、</w:t>
      </w:r>
      <w:r>
        <w:rPr>
          <w:rFonts w:hint="eastAsia" w:ascii="宋体" w:hAnsi="宋体" w:cs="宋体"/>
          <w:snapToGrid w:val="0"/>
          <w:kern w:val="0"/>
          <w:sz w:val="24"/>
          <w:highlight w:val="none"/>
        </w:rPr>
        <w:t>☑</w:t>
      </w:r>
      <w:r>
        <w:rPr>
          <w:rFonts w:hint="eastAsia" w:ascii="宋体" w:hAnsi="宋体" w:cs="宋体"/>
          <w:sz w:val="24"/>
          <w:highlight w:val="none"/>
        </w:rPr>
        <w:t>项目负责人无行贿行为记录。在本公告发布之日起至投标截止之日前，应通过中国裁判文书网分开、单独查询投标人、法定代表人</w:t>
      </w:r>
      <w:r>
        <w:rPr>
          <w:rFonts w:hint="eastAsia" w:ascii="宋体" w:hAnsi="宋体" w:cs="宋体"/>
          <w:snapToGrid w:val="0"/>
          <w:sz w:val="24"/>
          <w:highlight w:val="none"/>
        </w:rPr>
        <w:t>、</w:t>
      </w:r>
      <w:r>
        <w:rPr>
          <w:rFonts w:hint="eastAsia" w:ascii="宋体" w:hAnsi="宋体" w:cs="宋体"/>
          <w:snapToGrid w:val="0"/>
          <w:kern w:val="0"/>
          <w:sz w:val="24"/>
          <w:highlight w:val="none"/>
        </w:rPr>
        <w:t>☑</w:t>
      </w:r>
      <w:r>
        <w:rPr>
          <w:rFonts w:hint="eastAsia" w:ascii="宋体" w:hAnsi="宋体" w:cs="宋体"/>
          <w:sz w:val="24"/>
          <w:highlight w:val="none"/>
        </w:rPr>
        <w:t>项目负责人的无行贿行为记录（前款允许非法人组织投标时，非法人组织提供单位负责人的无行贿行为记录）；</w:t>
      </w:r>
    </w:p>
    <w:p w14:paraId="6BA8CF9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从投标截止日起前3年（成立不足3年的可从成立之日起算），投标人在经营活动中无重大违法记录（重大违法记录是指投标人因违法经营受到刑事处罚或者责令停产停业、责令关闭、限制从业、降低资质等级、吊销许可证或者执照、较大数额罚款（200万元以上）、没收较大数额违法所得（200万元以上）、没收较大价值非法财物（200万元以上）等行政处罚）；</w:t>
      </w:r>
    </w:p>
    <w:p w14:paraId="5ECB8C75">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4.类似案例要求：</w:t>
      </w:r>
      <w:r>
        <w:rPr>
          <w:rFonts w:hint="eastAsia" w:ascii="宋体" w:hAnsi="宋体" w:cs="宋体"/>
          <w:snapToGrid w:val="0"/>
          <w:kern w:val="0"/>
          <w:sz w:val="24"/>
          <w:highlight w:val="none"/>
        </w:rPr>
        <w:t>☑</w:t>
      </w:r>
      <w:r>
        <w:rPr>
          <w:rFonts w:hint="eastAsia" w:ascii="宋体" w:hAnsi="宋体" w:cs="宋体"/>
          <w:snapToGrid w:val="0"/>
          <w:sz w:val="24"/>
          <w:highlight w:val="none"/>
        </w:rPr>
        <w:t>无</w:t>
      </w:r>
      <w:r>
        <w:rPr>
          <w:rFonts w:hint="eastAsia" w:ascii="宋体" w:hAnsi="宋体" w:cs="宋体"/>
          <w:sz w:val="24"/>
          <w:highlight w:val="none"/>
        </w:rPr>
        <w:t>/</w:t>
      </w:r>
      <w:r>
        <w:rPr>
          <w:rFonts w:hint="eastAsia" w:ascii="宋体" w:hAnsi="宋体" w:cs="宋体"/>
          <w:snapToGrid w:val="0"/>
          <w:kern w:val="0"/>
          <w:sz w:val="24"/>
          <w:highlight w:val="none"/>
        </w:rPr>
        <w:t>□</w:t>
      </w:r>
      <w:r>
        <w:rPr>
          <w:rFonts w:hint="eastAsia" w:ascii="宋体" w:hAnsi="宋体" w:cs="宋体"/>
          <w:snapToGrid w:val="0"/>
          <w:sz w:val="24"/>
          <w:highlight w:val="none"/>
        </w:rPr>
        <w:t>有，</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日以来，投标人具有合同金额</w:t>
      </w:r>
      <w:r>
        <w:rPr>
          <w:rFonts w:hint="eastAsia" w:ascii="宋体" w:hAnsi="宋体" w:cs="宋体"/>
          <w:sz w:val="24"/>
          <w:highlight w:val="none"/>
          <w:u w:val="single"/>
        </w:rPr>
        <w:t xml:space="preserve">     </w:t>
      </w:r>
      <w:r>
        <w:rPr>
          <w:rFonts w:hint="eastAsia" w:ascii="宋体" w:hAnsi="宋体" w:cs="宋体"/>
          <w:sz w:val="24"/>
          <w:highlight w:val="none"/>
        </w:rPr>
        <w:t>万元及以上</w:t>
      </w:r>
      <w:r>
        <w:rPr>
          <w:rFonts w:hint="eastAsia" w:ascii="宋体" w:hAnsi="宋体" w:cs="宋体"/>
          <w:sz w:val="24"/>
          <w:highlight w:val="none"/>
          <w:u w:val="single"/>
        </w:rPr>
        <w:t xml:space="preserve">     </w:t>
      </w:r>
      <w:r>
        <w:rPr>
          <w:rFonts w:hint="eastAsia" w:ascii="宋体" w:hAnsi="宋体" w:cs="宋体"/>
          <w:sz w:val="24"/>
          <w:highlight w:val="none"/>
        </w:rPr>
        <w:t>类似项目案例1例，</w:t>
      </w:r>
      <w:r>
        <w:rPr>
          <w:rFonts w:hint="eastAsia" w:ascii="宋体" w:hAnsi="宋体" w:cs="宋体"/>
          <w:bCs/>
          <w:sz w:val="24"/>
          <w:highlight w:val="none"/>
        </w:rPr>
        <w:t>提供合同及对应发票（至少1份）复印件，并在合同及对应发票复印件上加盖投标人公章；</w:t>
      </w:r>
    </w:p>
    <w:p w14:paraId="1D02D6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5.单位负责人为同一人或者存在直接控股、管理关系的不同单位，不得参加同一标段投标或未划分标段的同一招标项目投标；</w:t>
      </w:r>
    </w:p>
    <w:p w14:paraId="76C3594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6.提供“国家企业信用信息公示系统”或“天眼查”股权结构查询，查询结果网页截图打印并加盖单位公章；</w:t>
      </w:r>
    </w:p>
    <w:p w14:paraId="431CFDB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本项目不允许联合体投标。</w:t>
      </w:r>
    </w:p>
    <w:p w14:paraId="0B6817A4">
      <w:pPr>
        <w:spacing w:line="360" w:lineRule="auto"/>
        <w:ind w:firstLine="482" w:firstLineChars="200"/>
        <w:jc w:val="left"/>
        <w:outlineLvl w:val="1"/>
        <w:rPr>
          <w:rFonts w:hint="eastAsia" w:ascii="宋体" w:hAnsi="宋体" w:cs="宋体"/>
          <w:b/>
          <w:bCs/>
          <w:sz w:val="24"/>
          <w:highlight w:val="none"/>
        </w:rPr>
      </w:pPr>
      <w:bookmarkStart w:id="4" w:name="_Toc9755"/>
      <w:bookmarkStart w:id="5" w:name="_Toc24975"/>
      <w:bookmarkStart w:id="6" w:name="_Toc19126"/>
      <w:r>
        <w:rPr>
          <w:rFonts w:hint="eastAsia" w:ascii="宋体" w:hAnsi="宋体" w:cs="宋体"/>
          <w:b/>
          <w:bCs/>
          <w:sz w:val="24"/>
          <w:highlight w:val="none"/>
        </w:rPr>
        <w:t>四、招标文件的获取</w:t>
      </w:r>
    </w:p>
    <w:p w14:paraId="02E469CB">
      <w:pPr>
        <w:spacing w:line="360" w:lineRule="auto"/>
        <w:ind w:firstLine="480" w:firstLineChars="200"/>
        <w:rPr>
          <w:rFonts w:hint="eastAsia" w:ascii="宋体" w:hAnsi="宋体" w:cs="宋体"/>
          <w:i/>
          <w:sz w:val="24"/>
          <w:highlight w:val="none"/>
        </w:rPr>
      </w:pPr>
      <w:r>
        <w:rPr>
          <w:rFonts w:hint="eastAsia" w:ascii="宋体" w:hAnsi="宋体" w:cs="宋体"/>
          <w:sz w:val="24"/>
          <w:highlight w:val="none"/>
        </w:rPr>
        <w:t>获取时间：</w:t>
      </w:r>
      <w:r>
        <w:rPr>
          <w:rFonts w:hint="eastAsia" w:ascii="宋体" w:hAnsi="宋体" w:eastAsia="宋体" w:cs="宋体"/>
          <w:sz w:val="24"/>
          <w:highlight w:val="none"/>
        </w:rPr>
        <w:t>2026年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18</w:t>
      </w:r>
      <w:r>
        <w:rPr>
          <w:rFonts w:hint="eastAsia" w:ascii="宋体" w:hAnsi="宋体" w:eastAsia="宋体" w:cs="宋体"/>
          <w:sz w:val="24"/>
          <w:highlight w:val="none"/>
        </w:rPr>
        <w:t>时00分00秒---2026年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13</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时00分00秒</w:t>
      </w:r>
    </w:p>
    <w:p w14:paraId="1F2E42BB">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获取方法</w:t>
      </w:r>
      <w:r>
        <w:rPr>
          <w:rFonts w:hint="eastAsia" w:ascii="宋体" w:hAnsi="宋体" w:cs="宋体"/>
          <w:sz w:val="24"/>
          <w:highlight w:val="none"/>
          <w:lang w:eastAsia="zh-CN"/>
        </w:rPr>
        <w:t>：</w:t>
      </w:r>
    </w:p>
    <w:p w14:paraId="041BA70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1）获取方法：本项目为全流程电子化招投标项目，招标文件获取方式：</w:t>
      </w:r>
    </w:p>
    <w:p w14:paraId="434D95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登录中烟电子采购平台（https://cgjy.tobacco.com.cn/，以下简称“电子采购平台”，下同)，已在该平台注册过的可直接登录，未注册的请先注册(电子采购平台注册免费，注册成功后可以及时参与电子采购平台发布的所有项目)。</w:t>
      </w:r>
    </w:p>
    <w:p w14:paraId="75007DD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3）登录后查找并参与本项目，按提示完成购标申请，并点击“立即投标”进入“我要投标”界面，勾选需要参加的标包。</w:t>
      </w:r>
    </w:p>
    <w:p w14:paraId="3C96904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w:t>
      </w:r>
    </w:p>
    <w:p w14:paraId="6515EF4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b/>
          <w:bCs/>
          <w:sz w:val="24"/>
          <w:highlight w:val="none"/>
        </w:rPr>
        <w:t>付款后，请在招标文件获取截止时间前，登录“电子采购平台”提交支付记录，待招标代理机构确认收款无误后，即可获得下载招标文件的权限。</w:t>
      </w:r>
    </w:p>
    <w:p w14:paraId="7DF73588">
      <w:pPr>
        <w:spacing w:line="360" w:lineRule="auto"/>
        <w:ind w:firstLine="482" w:firstLineChars="200"/>
        <w:jc w:val="left"/>
        <w:outlineLvl w:val="1"/>
        <w:rPr>
          <w:rFonts w:hint="eastAsia" w:ascii="宋体" w:hAnsi="宋体" w:cs="宋体"/>
          <w:b/>
          <w:bCs/>
          <w:sz w:val="24"/>
          <w:highlight w:val="none"/>
        </w:rPr>
      </w:pPr>
      <w:r>
        <w:rPr>
          <w:rFonts w:hint="eastAsia" w:ascii="宋体" w:hAnsi="宋体" w:cs="宋体"/>
          <w:b/>
          <w:bCs/>
          <w:sz w:val="24"/>
          <w:highlight w:val="none"/>
        </w:rPr>
        <w:t>五、投标文件的递交</w:t>
      </w:r>
    </w:p>
    <w:p w14:paraId="1885231E">
      <w:pPr>
        <w:spacing w:line="360" w:lineRule="auto"/>
        <w:ind w:firstLine="480" w:firstLineChars="200"/>
        <w:rPr>
          <w:rFonts w:hint="eastAsia" w:ascii="宋体" w:hAnsi="宋体" w:cs="宋体"/>
          <w:color w:val="FF0000"/>
          <w:sz w:val="24"/>
          <w:highlight w:val="none"/>
        </w:rPr>
      </w:pPr>
      <w:r>
        <w:rPr>
          <w:rFonts w:hint="eastAsia" w:ascii="宋体" w:hAnsi="宋体" w:cs="宋体"/>
          <w:sz w:val="24"/>
          <w:highlight w:val="none"/>
        </w:rPr>
        <w:t>递交截止时间：2026年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 xml:space="preserve">日 </w:t>
      </w:r>
      <w:r>
        <w:rPr>
          <w:rFonts w:hint="eastAsia" w:ascii="宋体" w:hAnsi="宋体" w:cs="宋体"/>
          <w:sz w:val="24"/>
          <w:highlight w:val="none"/>
          <w:lang w:val="en-US" w:eastAsia="zh-CN"/>
        </w:rPr>
        <w:t>14</w:t>
      </w:r>
      <w:r>
        <w:rPr>
          <w:rFonts w:hint="eastAsia" w:ascii="宋体" w:hAnsi="宋体" w:cs="宋体"/>
          <w:sz w:val="24"/>
          <w:highlight w:val="none"/>
        </w:rPr>
        <w:t>时 00分 00秒</w:t>
      </w:r>
    </w:p>
    <w:p w14:paraId="5B77439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递交方法：</w:t>
      </w:r>
    </w:p>
    <w:p w14:paraId="50C09C9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w:t>
      </w:r>
    </w:p>
    <w:p w14:paraId="3AE659E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2、投标人必须在制作电子投标文件之前完成CA证书的办理，并使用CA证书进行加密后才能投标；否则将无法正常投标。CA证书具体办理流程参见登录后“平台-我的</w:t>
      </w:r>
      <w:r>
        <w:rPr>
          <w:rFonts w:hint="eastAsia" w:ascii="宋体" w:hAnsi="宋体"/>
          <w:sz w:val="24"/>
          <w:highlight w:val="none"/>
        </w:rPr>
        <w:t>工作台”中“CA申请”和“CA申请帮助</w:t>
      </w:r>
      <w:r>
        <w:rPr>
          <w:rFonts w:hint="eastAsia" w:ascii="宋体" w:hAnsi="宋体" w:cs="宋体"/>
          <w:sz w:val="24"/>
          <w:highlight w:val="none"/>
        </w:rPr>
        <w:t>”查看，也可拨打“平台”统一服务热线</w:t>
      </w:r>
      <w:r>
        <w:rPr>
          <w:rFonts w:ascii="宋体" w:hAnsi="宋体" w:cs="宋体"/>
          <w:sz w:val="24"/>
          <w:highlight w:val="none"/>
        </w:rPr>
        <w:t>400-903-3236</w:t>
      </w:r>
      <w:r>
        <w:rPr>
          <w:rFonts w:hint="eastAsia" w:ascii="宋体" w:hAnsi="宋体" w:cs="宋体"/>
          <w:sz w:val="24"/>
          <w:highlight w:val="none"/>
        </w:rPr>
        <w:t>进行咨询。</w:t>
      </w:r>
    </w:p>
    <w:p w14:paraId="05528FE3">
      <w:pPr>
        <w:spacing w:line="360" w:lineRule="auto"/>
        <w:ind w:firstLine="482" w:firstLineChars="200"/>
        <w:jc w:val="left"/>
        <w:outlineLvl w:val="1"/>
        <w:rPr>
          <w:rFonts w:hint="eastAsia" w:ascii="宋体" w:hAnsi="宋体" w:cs="宋体"/>
          <w:b/>
          <w:bCs/>
          <w:sz w:val="24"/>
          <w:highlight w:val="none"/>
        </w:rPr>
      </w:pPr>
      <w:r>
        <w:rPr>
          <w:rFonts w:hint="eastAsia" w:ascii="宋体" w:hAnsi="宋体" w:cs="宋体"/>
          <w:b/>
          <w:bCs/>
          <w:sz w:val="24"/>
          <w:highlight w:val="none"/>
        </w:rPr>
        <w:t>六、开标时间及地点</w:t>
      </w:r>
    </w:p>
    <w:p w14:paraId="117384B5">
      <w:pPr>
        <w:spacing w:line="360" w:lineRule="auto"/>
        <w:rPr>
          <w:rFonts w:hint="eastAsia" w:ascii="宋体" w:hAnsi="宋体" w:cs="宋体"/>
          <w:sz w:val="24"/>
          <w:highlight w:val="none"/>
        </w:rPr>
      </w:pPr>
      <w:r>
        <w:rPr>
          <w:rFonts w:hint="eastAsia" w:ascii="宋体" w:hAnsi="宋体" w:cs="宋体"/>
          <w:sz w:val="24"/>
          <w:highlight w:val="none"/>
        </w:rPr>
        <w:t>开标时间：</w:t>
      </w:r>
      <w:r>
        <w:rPr>
          <w:rFonts w:hint="eastAsia" w:ascii="宋体" w:hAnsi="宋体" w:eastAsia="宋体" w:cs="宋体"/>
          <w:sz w:val="24"/>
          <w:highlight w:val="none"/>
        </w:rPr>
        <w:t>2026年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13</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时00分 00秒</w:t>
      </w:r>
    </w:p>
    <w:p w14:paraId="6077051D">
      <w:pPr>
        <w:spacing w:line="360" w:lineRule="auto"/>
        <w:rPr>
          <w:rFonts w:hint="eastAsia" w:ascii="宋体" w:hAnsi="宋体" w:cs="宋体"/>
          <w:sz w:val="24"/>
          <w:highlight w:val="none"/>
        </w:rPr>
      </w:pPr>
      <w:r>
        <w:rPr>
          <w:rFonts w:hint="eastAsia" w:ascii="宋体" w:hAnsi="宋体" w:cs="宋体"/>
          <w:sz w:val="24"/>
          <w:highlight w:val="none"/>
        </w:rPr>
        <w:t>开标地点及方式：</w:t>
      </w:r>
    </w:p>
    <w:p w14:paraId="5A2BE42E">
      <w:pPr>
        <w:pStyle w:val="16"/>
        <w:ind w:firstLine="480" w:firstLineChars="200"/>
        <w:rPr>
          <w:rFonts w:hint="eastAsia" w:ascii="宋体" w:hAnsi="宋体"/>
          <w:sz w:val="24"/>
          <w:highlight w:val="none"/>
        </w:rPr>
      </w:pPr>
      <w:r>
        <w:rPr>
          <w:rFonts w:hint="eastAsia" w:ascii="宋体" w:hAnsi="宋体"/>
          <w:sz w:val="24"/>
          <w:highlight w:val="none"/>
        </w:rPr>
        <w:t>1、开标方式：本项目采用“远程不见面”开标方式，投标人应当在投标截止时间前，登录“电子采购平台”远程开标大厅，在线准时参加开标活动。本项目采取“集中解密”。</w:t>
      </w:r>
    </w:p>
    <w:p w14:paraId="3796FBB9">
      <w:pPr>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2、开标地点： 中烟电子采购平台远程开标大厅。</w:t>
      </w:r>
    </w:p>
    <w:p w14:paraId="029B699E">
      <w:pPr>
        <w:spacing w:line="360" w:lineRule="auto"/>
        <w:ind w:firstLine="482" w:firstLineChars="200"/>
        <w:jc w:val="left"/>
        <w:outlineLvl w:val="1"/>
        <w:rPr>
          <w:rFonts w:hint="eastAsia" w:ascii="宋体" w:hAnsi="宋体" w:cs="宋体"/>
          <w:b/>
          <w:bCs/>
          <w:sz w:val="24"/>
          <w:highlight w:val="none"/>
        </w:rPr>
      </w:pPr>
      <w:r>
        <w:rPr>
          <w:rFonts w:hint="eastAsia" w:ascii="宋体" w:hAnsi="宋体" w:cs="宋体"/>
          <w:b/>
          <w:bCs/>
          <w:sz w:val="24"/>
          <w:highlight w:val="none"/>
        </w:rPr>
        <w:t>七、其他公告内容</w:t>
      </w:r>
    </w:p>
    <w:p w14:paraId="65C2303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获取招标文件费用：300.00元/项目，领购招标文件的投标人通过点击招标公告中二维码链接(复制网址至浏览器中打开)填写相关信息及缴纳费用(二维码链接:https://www.gmgitc.com/DocSaleNew/Weixin/Edit.aspx?BidCode=C202601BA2002122032793）。</w:t>
      </w:r>
    </w:p>
    <w:p w14:paraId="479D6D6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2.本项目采用资格后审方式确定合格投标人。</w:t>
      </w:r>
    </w:p>
    <w:p w14:paraId="2BC8B87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3.本项目为非政府采购项目。</w:t>
      </w:r>
    </w:p>
    <w:p w14:paraId="654DB3FC">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4.未按要求获取招标文件的潜在投标人不得参加本项目投标。</w:t>
      </w:r>
    </w:p>
    <w:p w14:paraId="2800517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5.本项目邀请全部投标人的授权代表参加线上开标。</w:t>
      </w:r>
    </w:p>
    <w:p w14:paraId="1BEE5187">
      <w:pPr>
        <w:spacing w:line="360" w:lineRule="auto"/>
        <w:ind w:firstLine="480" w:firstLineChars="200"/>
        <w:rPr>
          <w:rFonts w:hint="eastAsia" w:ascii="宋体" w:hAnsi="宋体" w:cs="宋体"/>
          <w:color w:val="000000"/>
          <w:sz w:val="24"/>
          <w:highlight w:val="none"/>
        </w:rPr>
      </w:pPr>
      <w:r>
        <w:rPr>
          <w:rFonts w:hint="eastAsia" w:ascii="宋体" w:hAnsi="宋体" w:cs="宋体"/>
          <w:sz w:val="24"/>
          <w:highlight w:val="none"/>
        </w:rPr>
        <w:t>6.</w:t>
      </w:r>
      <w:r>
        <w:rPr>
          <w:rFonts w:hint="eastAsia" w:ascii="宋体" w:hAnsi="宋体" w:cs="宋体"/>
          <w:color w:val="000000"/>
          <w:sz w:val="24"/>
          <w:highlight w:val="none"/>
        </w:rPr>
        <w:t>本项目法律依据为‌</w:t>
      </w:r>
      <w:r>
        <w:rPr>
          <w:rFonts w:hint="eastAsia" w:ascii="宋体" w:hAnsi="宋体"/>
          <w:sz w:val="24"/>
          <w:highlight w:val="none"/>
        </w:rPr>
        <w:t>《中华人民共和国招标投标法》《中华人民共和国招标</w:t>
      </w:r>
      <w:r>
        <w:rPr>
          <w:rFonts w:hint="eastAsia" w:ascii="宋体" w:hAnsi="宋体" w:cs="宋体"/>
          <w:sz w:val="24"/>
          <w:highlight w:val="none"/>
        </w:rPr>
        <w:t>投标法实施条例》</w:t>
      </w:r>
      <w:r>
        <w:rPr>
          <w:rFonts w:hint="eastAsia" w:ascii="宋体" w:hAnsi="宋体" w:cs="宋体"/>
          <w:color w:val="000000"/>
          <w:sz w:val="24"/>
          <w:highlight w:val="none"/>
        </w:rPr>
        <w:t>《电子招标投标办法》等。</w:t>
      </w:r>
    </w:p>
    <w:p w14:paraId="78D0CDF2">
      <w:pPr>
        <w:wordWrap w:val="0"/>
        <w:spacing w:line="360" w:lineRule="auto"/>
        <w:ind w:firstLine="480" w:firstLineChars="200"/>
        <w:jc w:val="left"/>
        <w:rPr>
          <w:rFonts w:hint="eastAsia" w:ascii="宋体" w:hAnsi="宋体" w:cs="宋体"/>
          <w:sz w:val="24"/>
          <w:highlight w:val="none"/>
        </w:rPr>
      </w:pPr>
      <w:r>
        <w:rPr>
          <w:rFonts w:hint="eastAsia" w:ascii="宋体" w:hAnsi="宋体" w:cs="宋体"/>
          <w:color w:val="000000"/>
          <w:sz w:val="24"/>
          <w:highlight w:val="none"/>
        </w:rPr>
        <w:t>7.</w:t>
      </w:r>
      <w:r>
        <w:rPr>
          <w:rFonts w:ascii="宋体" w:hAnsi="宋体" w:cs="宋体"/>
          <w:color w:val="000000"/>
          <w:sz w:val="24"/>
          <w:highlight w:val="none"/>
        </w:rPr>
        <w:t>本项目发布公告的媒介为：中烟电子采购平台（https://cgjy.tobacco.com.cn/）、中国招标投标公共服务平台（www.cebpubservice.com）</w:t>
      </w:r>
      <w:r>
        <w:rPr>
          <w:rFonts w:hint="eastAsia" w:ascii="宋体" w:hAnsi="宋体" w:cs="宋体"/>
          <w:color w:val="000000"/>
          <w:sz w:val="24"/>
          <w:highlight w:val="none"/>
        </w:rPr>
        <w:t>、</w:t>
      </w:r>
      <w:r>
        <w:rPr>
          <w:rFonts w:hint="eastAsia" w:ascii="宋体" w:hAnsi="宋体" w:cs="宋体"/>
          <w:bCs/>
          <w:color w:val="000000"/>
          <w:sz w:val="24"/>
          <w:highlight w:val="none"/>
          <w:u w:val="none"/>
        </w:rPr>
        <w:t>浙江企业采购信息服务网（https://b.zhengcaiyun.cn/luban/home）</w:t>
      </w:r>
      <w:r>
        <w:rPr>
          <w:rFonts w:hint="eastAsia" w:ascii="宋体" w:hAnsi="宋体" w:cs="宋体"/>
          <w:color w:val="000000"/>
          <w:sz w:val="24"/>
          <w:highlight w:val="none"/>
        </w:rPr>
        <w:t>。</w:t>
      </w:r>
    </w:p>
    <w:p w14:paraId="08B49A40">
      <w:pPr>
        <w:autoSpaceDE w:val="0"/>
        <w:autoSpaceDN w:val="0"/>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8.本项目</w:t>
      </w:r>
      <w:r>
        <w:rPr>
          <w:rFonts w:hint="eastAsia" w:ascii="宋体" w:hAnsi="宋体" w:cs="宋体"/>
          <w:snapToGrid w:val="0"/>
          <w:kern w:val="0"/>
          <w:sz w:val="24"/>
          <w:highlight w:val="none"/>
        </w:rPr>
        <w:t>☑</w:t>
      </w:r>
      <w:r>
        <w:rPr>
          <w:rFonts w:hint="eastAsia" w:ascii="宋体" w:hAnsi="宋体" w:cs="宋体"/>
          <w:sz w:val="24"/>
          <w:highlight w:val="none"/>
        </w:rPr>
        <w:t>需要缴纳投标保证金，缴纳投标保证金的具体要求如下：</w:t>
      </w:r>
    </w:p>
    <w:p w14:paraId="7C32FB6B">
      <w:pPr>
        <w:autoSpaceDE w:val="0"/>
        <w:autoSpaceDN w:val="0"/>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（1）缴纳金额：</w:t>
      </w:r>
      <w:r>
        <w:rPr>
          <w:rFonts w:hint="eastAsia" w:ascii="宋体" w:hAnsi="宋体" w:cs="宋体"/>
          <w:sz w:val="24"/>
          <w:highlight w:val="none"/>
          <w:u w:val="single"/>
        </w:rPr>
        <w:t xml:space="preserve">2000.00 </w:t>
      </w:r>
      <w:r>
        <w:rPr>
          <w:rFonts w:hint="eastAsia" w:ascii="宋体" w:hAnsi="宋体" w:cs="宋体"/>
          <w:sz w:val="24"/>
          <w:highlight w:val="none"/>
        </w:rPr>
        <w:t>元；</w:t>
      </w:r>
    </w:p>
    <w:p w14:paraId="742C7B17">
      <w:pPr>
        <w:autoSpaceDE w:val="0"/>
        <w:autoSpaceDN w:val="0"/>
        <w:adjustRightInd w:val="0"/>
        <w:snapToGrid w:val="0"/>
        <w:spacing w:line="360" w:lineRule="auto"/>
        <w:ind w:firstLine="480" w:firstLineChars="200"/>
        <w:jc w:val="left"/>
        <w:rPr>
          <w:rFonts w:hint="eastAsia" w:ascii="宋体" w:hAnsi="宋体" w:cs="宋体"/>
          <w:b/>
          <w:bCs/>
          <w:sz w:val="24"/>
          <w:highlight w:val="none"/>
        </w:rPr>
      </w:pPr>
      <w:r>
        <w:rPr>
          <w:rFonts w:hint="eastAsia" w:ascii="宋体" w:hAnsi="宋体" w:cs="宋体"/>
          <w:sz w:val="24"/>
          <w:highlight w:val="none"/>
        </w:rPr>
        <w:t>（2）缴纳方式：现金、网上银行、转账支票、电汇、银行保函；</w:t>
      </w:r>
      <w:r>
        <w:rPr>
          <w:rFonts w:hint="eastAsia" w:ascii="宋体" w:hAnsi="宋体" w:cs="宋体"/>
          <w:b/>
          <w:bCs/>
          <w:sz w:val="24"/>
          <w:highlight w:val="none"/>
        </w:rPr>
        <w:t xml:space="preserve">（以银行保函形式缴纳的，需提供以本项目招标代理机构 </w:t>
      </w:r>
      <w:r>
        <w:rPr>
          <w:rFonts w:hint="eastAsia" w:ascii="宋体" w:hAnsi="宋体" w:cs="宋体"/>
          <w:b/>
          <w:bCs/>
          <w:sz w:val="24"/>
          <w:highlight w:val="none"/>
          <w:u w:val="single"/>
        </w:rPr>
        <w:t>国义招标股份有限公司</w:t>
      </w:r>
      <w:r>
        <w:rPr>
          <w:rFonts w:hint="eastAsia" w:ascii="宋体" w:hAnsi="宋体" w:cs="宋体"/>
          <w:b/>
          <w:bCs/>
          <w:sz w:val="24"/>
          <w:highlight w:val="none"/>
        </w:rPr>
        <w:t xml:space="preserve"> 为受益人的无条件且不可撤销国有银行及全国性股份制商业银行的银行保函原件）</w:t>
      </w:r>
    </w:p>
    <w:p w14:paraId="467B31BA">
      <w:pPr>
        <w:autoSpaceDE w:val="0"/>
        <w:autoSpaceDN w:val="0"/>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（3）缴纳期限：投标截止时间前；</w:t>
      </w:r>
    </w:p>
    <w:p w14:paraId="3C493F79">
      <w:pPr>
        <w:autoSpaceDE w:val="0"/>
        <w:autoSpaceDN w:val="0"/>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（4）有效期：同投标有效期；</w:t>
      </w:r>
    </w:p>
    <w:p w14:paraId="1BE010F9">
      <w:pPr>
        <w:autoSpaceDE w:val="0"/>
        <w:autoSpaceDN w:val="0"/>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（5）收款人（接收人）：</w:t>
      </w:r>
      <w:r>
        <w:rPr>
          <w:rFonts w:hint="eastAsia" w:ascii="宋体" w:hAnsi="宋体" w:cs="宋体"/>
          <w:color w:val="000000"/>
          <w:sz w:val="24"/>
          <w:highlight w:val="none"/>
        </w:rPr>
        <w:t>国义招标股份有限公司</w:t>
      </w:r>
      <w:r>
        <w:rPr>
          <w:rFonts w:hint="eastAsia" w:ascii="宋体" w:hAnsi="宋体" w:cs="宋体"/>
          <w:sz w:val="24"/>
          <w:highlight w:val="none"/>
        </w:rPr>
        <w:t>；</w:t>
      </w:r>
    </w:p>
    <w:p w14:paraId="3D023BDC">
      <w:pPr>
        <w:autoSpaceDE w:val="0"/>
        <w:autoSpaceDN w:val="0"/>
        <w:adjustRightInd w:val="0"/>
        <w:snapToGrid w:val="0"/>
        <w:spacing w:line="360" w:lineRule="auto"/>
        <w:ind w:firstLine="960" w:firstLineChars="400"/>
        <w:jc w:val="left"/>
        <w:rPr>
          <w:rFonts w:hint="eastAsia" w:ascii="宋体" w:hAnsi="宋体" w:cs="宋体"/>
          <w:sz w:val="24"/>
          <w:highlight w:val="none"/>
        </w:rPr>
      </w:pPr>
      <w:r>
        <w:rPr>
          <w:rFonts w:hint="eastAsia" w:ascii="宋体" w:hAnsi="宋体" w:cs="宋体"/>
          <w:sz w:val="24"/>
          <w:highlight w:val="none"/>
        </w:rPr>
        <w:t>开户行：</w:t>
      </w:r>
      <w:r>
        <w:rPr>
          <w:rFonts w:hint="eastAsia" w:ascii="宋体" w:hAnsi="宋体" w:cs="宋体"/>
          <w:color w:val="000000"/>
          <w:sz w:val="24"/>
          <w:highlight w:val="none"/>
        </w:rPr>
        <w:t>招商银行股份有限公司广州体育东路支行</w:t>
      </w:r>
      <w:r>
        <w:rPr>
          <w:rFonts w:hint="eastAsia" w:ascii="宋体" w:hAnsi="宋体" w:cs="宋体"/>
          <w:sz w:val="24"/>
          <w:highlight w:val="none"/>
        </w:rPr>
        <w:t>；</w:t>
      </w:r>
    </w:p>
    <w:p w14:paraId="28ED3B23">
      <w:pPr>
        <w:autoSpaceDE w:val="0"/>
        <w:autoSpaceDN w:val="0"/>
        <w:adjustRightInd w:val="0"/>
        <w:snapToGrid w:val="0"/>
        <w:spacing w:line="360" w:lineRule="auto"/>
        <w:ind w:firstLine="960" w:firstLineChars="400"/>
        <w:jc w:val="left"/>
        <w:rPr>
          <w:rFonts w:hint="eastAsia" w:ascii="宋体" w:hAnsi="宋体" w:cs="宋体"/>
          <w:sz w:val="24"/>
          <w:highlight w:val="none"/>
        </w:rPr>
      </w:pPr>
      <w:r>
        <w:rPr>
          <w:rFonts w:hint="eastAsia" w:ascii="宋体" w:hAnsi="宋体" w:cs="宋体"/>
          <w:sz w:val="24"/>
          <w:highlight w:val="none"/>
        </w:rPr>
        <w:t>账号：</w:t>
      </w:r>
      <w:r>
        <w:rPr>
          <w:rFonts w:hint="eastAsia" w:ascii="宋体" w:hAnsi="宋体" w:cs="宋体"/>
          <w:color w:val="000000"/>
          <w:sz w:val="24"/>
          <w:highlight w:val="none"/>
        </w:rPr>
        <w:t>120905690610808</w:t>
      </w:r>
      <w:r>
        <w:rPr>
          <w:rFonts w:hint="eastAsia" w:ascii="宋体" w:hAnsi="宋体" w:cs="宋体"/>
          <w:sz w:val="24"/>
          <w:highlight w:val="none"/>
        </w:rPr>
        <w:t>。</w:t>
      </w:r>
    </w:p>
    <w:p w14:paraId="3BA519D9">
      <w:pPr>
        <w:spacing w:line="360" w:lineRule="auto"/>
        <w:ind w:firstLine="482" w:firstLineChars="200"/>
        <w:jc w:val="left"/>
        <w:outlineLvl w:val="1"/>
        <w:rPr>
          <w:rFonts w:hint="eastAsia" w:ascii="宋体" w:hAnsi="宋体" w:cs="宋体"/>
          <w:b/>
          <w:bCs/>
          <w:sz w:val="24"/>
          <w:highlight w:val="none"/>
        </w:rPr>
      </w:pPr>
      <w:r>
        <w:rPr>
          <w:rFonts w:hint="eastAsia" w:ascii="宋体" w:hAnsi="宋体" w:cs="宋体"/>
          <w:b/>
          <w:bCs/>
          <w:sz w:val="24"/>
          <w:highlight w:val="none"/>
        </w:rPr>
        <w:t>八、监督部门</w:t>
      </w:r>
    </w:p>
    <w:p w14:paraId="73505D80">
      <w:pPr>
        <w:wordWrap w:val="0"/>
        <w:spacing w:line="360" w:lineRule="auto"/>
        <w:ind w:firstLine="480" w:firstLineChars="200"/>
        <w:jc w:val="left"/>
        <w:outlineLvl w:val="1"/>
        <w:rPr>
          <w:rFonts w:hint="eastAsia" w:ascii="宋体" w:hAnsi="宋体" w:cs="宋体"/>
          <w:sz w:val="24"/>
          <w:highlight w:val="none"/>
        </w:rPr>
      </w:pPr>
      <w:r>
        <w:rPr>
          <w:rFonts w:hint="eastAsia" w:ascii="宋体" w:hAnsi="宋体" w:cs="宋体"/>
          <w:sz w:val="24"/>
          <w:highlight w:val="none"/>
        </w:rPr>
        <w:t>本招标项目的监督部门为浙江省烟草公司舟山市公司规范管理办公室（0580-2185020）。</w:t>
      </w:r>
      <w:bookmarkEnd w:id="4"/>
      <w:bookmarkEnd w:id="5"/>
      <w:bookmarkEnd w:id="6"/>
    </w:p>
    <w:p w14:paraId="31C97E97">
      <w:pPr>
        <w:spacing w:line="360" w:lineRule="auto"/>
        <w:ind w:firstLine="482" w:firstLineChars="200"/>
        <w:jc w:val="left"/>
        <w:outlineLvl w:val="1"/>
        <w:rPr>
          <w:rFonts w:hint="eastAsia" w:ascii="宋体" w:hAnsi="宋体" w:cs="宋体"/>
          <w:b/>
          <w:bCs/>
          <w:sz w:val="24"/>
          <w:highlight w:val="none"/>
        </w:rPr>
      </w:pPr>
      <w:bookmarkStart w:id="7" w:name="_Toc7759"/>
      <w:bookmarkStart w:id="8" w:name="_Toc12493"/>
      <w:bookmarkStart w:id="9" w:name="_Toc19822"/>
      <w:r>
        <w:rPr>
          <w:rFonts w:hint="eastAsia" w:ascii="宋体" w:hAnsi="宋体" w:cs="宋体"/>
          <w:b/>
          <w:bCs/>
          <w:sz w:val="24"/>
          <w:highlight w:val="none"/>
        </w:rPr>
        <w:t>九、联系方式</w:t>
      </w:r>
      <w:bookmarkEnd w:id="7"/>
      <w:bookmarkEnd w:id="8"/>
      <w:bookmarkEnd w:id="9"/>
    </w:p>
    <w:p w14:paraId="044ED645">
      <w:pPr>
        <w:spacing w:line="360" w:lineRule="auto"/>
        <w:ind w:firstLine="480" w:firstLineChars="200"/>
        <w:rPr>
          <w:rFonts w:hint="eastAsia" w:ascii="宋体" w:hAnsi="宋体" w:cs="宋体"/>
          <w:sz w:val="24"/>
          <w:highlight w:val="none"/>
        </w:rPr>
      </w:pPr>
      <w:bookmarkStart w:id="10" w:name="_GoBack"/>
      <w:r>
        <w:rPr>
          <w:rFonts w:hint="eastAsia" w:ascii="宋体" w:hAnsi="宋体" w:cs="宋体"/>
          <w:sz w:val="24"/>
          <w:highlight w:val="none"/>
        </w:rPr>
        <w:t>招标人：浙江省烟草公司舟山市公司</w:t>
      </w:r>
    </w:p>
    <w:p w14:paraId="1AF51E3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地址：舟山市定海区临城街道定沈路616号</w:t>
      </w:r>
    </w:p>
    <w:p w14:paraId="00BFB3C7">
      <w:pPr>
        <w:spacing w:line="360" w:lineRule="auto"/>
        <w:ind w:firstLine="480" w:firstLineChars="200"/>
        <w:rPr>
          <w:rFonts w:ascii="宋体" w:hAnsi="宋体" w:cs="宋体"/>
          <w:sz w:val="24"/>
          <w:highlight w:val="none"/>
        </w:rPr>
      </w:pPr>
      <w:r>
        <w:rPr>
          <w:rFonts w:hint="eastAsia" w:ascii="宋体" w:hAnsi="宋体" w:cs="宋体"/>
          <w:sz w:val="24"/>
          <w:highlight w:val="none"/>
        </w:rPr>
        <w:t>联系人：王先生</w:t>
      </w:r>
    </w:p>
    <w:p w14:paraId="604F3CAA">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电子邮件：</w:t>
      </w:r>
      <w:r>
        <w:rPr>
          <w:rFonts w:hint="eastAsia" w:ascii="宋体" w:hAnsi="宋体" w:cs="宋体"/>
          <w:sz w:val="24"/>
          <w:highlight w:val="none"/>
          <w:lang w:val="en-US" w:eastAsia="zh-CN"/>
        </w:rPr>
        <w:t>/</w:t>
      </w:r>
    </w:p>
    <w:p w14:paraId="0CCC373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电话：19558037857</w:t>
      </w:r>
    </w:p>
    <w:p w14:paraId="093F4A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招标代理机构：国义招标股份有限公司</w:t>
      </w:r>
    </w:p>
    <w:p w14:paraId="05EF690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地址：广州市越秀区东风东路726号16—18楼</w:t>
      </w:r>
    </w:p>
    <w:p w14:paraId="3A70963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联系人：黄志伟、蔡术宇、刘闻凯、黄凯、陈涵珺</w:t>
      </w:r>
    </w:p>
    <w:p w14:paraId="5BBAEB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电话：0571-86580858、18958170805</w:t>
      </w:r>
    </w:p>
    <w:p w14:paraId="5AAB5CC4">
      <w:pPr>
        <w:spacing w:line="360" w:lineRule="auto"/>
        <w:ind w:firstLine="480" w:firstLineChars="200"/>
        <w:rPr>
          <w:rFonts w:hint="eastAsia" w:ascii="宋体" w:hAnsi="宋体" w:cs="宋体"/>
          <w:highlight w:val="none"/>
        </w:rPr>
      </w:pPr>
      <w:r>
        <w:rPr>
          <w:rFonts w:hint="eastAsia" w:ascii="宋体" w:hAnsi="宋体" w:cs="宋体"/>
          <w:sz w:val="24"/>
          <w:highlight w:val="none"/>
        </w:rPr>
        <w:t>电子邮件：zhejiang@ebidding.com</w:t>
      </w:r>
    </w:p>
    <w:bookmarkEnd w:id="10"/>
    <w:p w14:paraId="0F0B0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2A9"/>
    <w:multiLevelType w:val="singleLevel"/>
    <w:tmpl w:val="813A42A9"/>
    <w:lvl w:ilvl="0" w:tentative="0">
      <w:start w:val="1"/>
      <w:numFmt w:val="bullet"/>
      <w:pStyle w:val="6"/>
      <w:lvlText w:val=""/>
      <w:lvlJc w:val="left"/>
      <w:pPr>
        <w:ind w:left="420" w:hanging="420"/>
      </w:pPr>
      <w:rPr>
        <w:rFonts w:hint="default" w:ascii="Wingdings" w:hAnsi="Wingdings"/>
      </w:rPr>
    </w:lvl>
  </w:abstractNum>
  <w:abstractNum w:abstractNumId="1">
    <w:nsid w:val="82AD7530"/>
    <w:multiLevelType w:val="singleLevel"/>
    <w:tmpl w:val="82AD7530"/>
    <w:lvl w:ilvl="0" w:tentative="0">
      <w:start w:val="1"/>
      <w:numFmt w:val="chineseCounting"/>
      <w:pStyle w:val="3"/>
      <w:suff w:val="nothing"/>
      <w:lvlText w:val="（%1）"/>
      <w:lvlJc w:val="left"/>
      <w:pPr>
        <w:ind w:left="0" w:firstLine="420"/>
      </w:pPr>
      <w:rPr>
        <w:rFonts w:hint="eastAsia"/>
      </w:rPr>
    </w:lvl>
  </w:abstractNum>
  <w:abstractNum w:abstractNumId="2">
    <w:nsid w:val="EB2F9F79"/>
    <w:multiLevelType w:val="singleLevel"/>
    <w:tmpl w:val="EB2F9F79"/>
    <w:lvl w:ilvl="0" w:tentative="0">
      <w:start w:val="1"/>
      <w:numFmt w:val="chineseCounting"/>
      <w:pStyle w:val="2"/>
      <w:suff w:val="nothing"/>
      <w:lvlText w:val="%1、"/>
      <w:lvlJc w:val="left"/>
      <w:pPr>
        <w:ind w:left="0" w:firstLine="0"/>
      </w:pPr>
      <w:rPr>
        <w:rFonts w:hint="eastAsia"/>
      </w:rPr>
    </w:lvl>
  </w:abstractNum>
  <w:abstractNum w:abstractNumId="3">
    <w:nsid w:val="2F796D14"/>
    <w:multiLevelType w:val="multilevel"/>
    <w:tmpl w:val="2F796D14"/>
    <w:lvl w:ilvl="0" w:tentative="0">
      <w:start w:val="1"/>
      <w:numFmt w:val="decimal"/>
      <w:pStyle w:val="5"/>
      <w:suff w:val="space"/>
      <w:lvlText w:val="(%1)"/>
      <w:lvlJc w:val="left"/>
      <w:pPr>
        <w:ind w:left="705" w:hanging="705"/>
      </w:pPr>
      <w:rPr>
        <w:rFonts w:hint="default"/>
        <w:b/>
        <w:sz w:val="24"/>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6E6C9A0E"/>
    <w:multiLevelType w:val="multilevel"/>
    <w:tmpl w:val="6E6C9A0E"/>
    <w:lvl w:ilvl="0" w:tentative="0">
      <w:start w:val="1"/>
      <w:numFmt w:val="decimal"/>
      <w:pStyle w:val="4"/>
      <w:suff w:val="space"/>
      <w:lvlText w:val="%1."/>
      <w:lvlJc w:val="left"/>
      <w:pPr>
        <w:ind w:left="0" w:leftChars="0" w:firstLine="0"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61A6"/>
    <w:rsid w:val="05D7184A"/>
    <w:rsid w:val="0A8F762F"/>
    <w:rsid w:val="0AA95014"/>
    <w:rsid w:val="0B136931"/>
    <w:rsid w:val="166A5DC5"/>
    <w:rsid w:val="16AA639C"/>
    <w:rsid w:val="19D35C0A"/>
    <w:rsid w:val="1F881244"/>
    <w:rsid w:val="20BB11BE"/>
    <w:rsid w:val="2697025C"/>
    <w:rsid w:val="2F9E57B3"/>
    <w:rsid w:val="3B697D24"/>
    <w:rsid w:val="4602321A"/>
    <w:rsid w:val="4BF70604"/>
    <w:rsid w:val="4C3103EA"/>
    <w:rsid w:val="4FE52682"/>
    <w:rsid w:val="52ED0DE3"/>
    <w:rsid w:val="59AF2BCF"/>
    <w:rsid w:val="660C4727"/>
    <w:rsid w:val="70BB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numPr>
        <w:ilvl w:val="0"/>
        <w:numId w:val="1"/>
      </w:numPr>
      <w:spacing w:beforeLines="0" w:afterLines="0" w:line="480" w:lineRule="auto"/>
      <w:ind w:firstLine="0"/>
      <w:jc w:val="center"/>
      <w:outlineLvl w:val="0"/>
    </w:pPr>
    <w:rPr>
      <w:rFonts w:ascii="Times New Roman" w:hAnsi="Times New Roman" w:eastAsia="宋体" w:cs="Times New Roman"/>
      <w:b/>
      <w:color w:val="auto"/>
      <w:kern w:val="44"/>
      <w:sz w:val="32"/>
    </w:rPr>
  </w:style>
  <w:style w:type="paragraph" w:styleId="3">
    <w:name w:val="heading 2"/>
    <w:basedOn w:val="1"/>
    <w:next w:val="1"/>
    <w:link w:val="10"/>
    <w:semiHidden/>
    <w:unhideWhenUsed/>
    <w:qFormat/>
    <w:uiPriority w:val="0"/>
    <w:pPr>
      <w:keepNext/>
      <w:keepLines/>
      <w:numPr>
        <w:ilvl w:val="0"/>
        <w:numId w:val="2"/>
      </w:numPr>
      <w:spacing w:beforeLines="0" w:beforeAutospacing="0" w:afterLines="0" w:afterAutospacing="0" w:line="360" w:lineRule="auto"/>
      <w:jc w:val="center"/>
      <w:outlineLvl w:val="1"/>
    </w:pPr>
    <w:rPr>
      <w:rFonts w:ascii="Arial" w:hAnsi="Arial" w:eastAsia="宋体"/>
      <w:b/>
      <w:sz w:val="30"/>
    </w:rPr>
  </w:style>
  <w:style w:type="paragraph" w:styleId="4">
    <w:name w:val="heading 3"/>
    <w:basedOn w:val="1"/>
    <w:next w:val="1"/>
    <w:link w:val="12"/>
    <w:semiHidden/>
    <w:unhideWhenUsed/>
    <w:qFormat/>
    <w:uiPriority w:val="0"/>
    <w:pPr>
      <w:keepNext/>
      <w:keepLines/>
      <w:widowControl/>
      <w:numPr>
        <w:ilvl w:val="0"/>
        <w:numId w:val="3"/>
      </w:numPr>
      <w:adjustRightInd w:val="0"/>
      <w:snapToGrid/>
      <w:spacing w:line="360" w:lineRule="auto"/>
      <w:ind w:left="0" w:firstLine="0"/>
      <w:jc w:val="left"/>
      <w:outlineLvl w:val="2"/>
    </w:pPr>
    <w:rPr>
      <w:rFonts w:ascii="Tahoma" w:hAnsi="Tahoma" w:eastAsia="宋体" w:cs="Times New Roman"/>
      <w:b/>
      <w:bCs/>
      <w:kern w:val="0"/>
      <w:sz w:val="28"/>
      <w:szCs w:val="32"/>
    </w:rPr>
  </w:style>
  <w:style w:type="paragraph" w:styleId="5">
    <w:name w:val="heading 4"/>
    <w:basedOn w:val="1"/>
    <w:next w:val="1"/>
    <w:link w:val="11"/>
    <w:semiHidden/>
    <w:unhideWhenUsed/>
    <w:qFormat/>
    <w:uiPriority w:val="0"/>
    <w:pPr>
      <w:keepNext/>
      <w:keepLines/>
      <w:numPr>
        <w:ilvl w:val="0"/>
        <w:numId w:val="4"/>
      </w:numPr>
      <w:spacing w:beforeLines="0" w:afterLines="0" w:line="360" w:lineRule="auto"/>
      <w:ind w:left="703" w:hanging="703"/>
      <w:jc w:val="left"/>
      <w:outlineLvl w:val="3"/>
    </w:pPr>
    <w:rPr>
      <w:rFonts w:ascii="Arial" w:hAnsi="Arial" w:eastAsia="宋体" w:cs="Times New Roman"/>
      <w:b/>
    </w:rPr>
  </w:style>
  <w:style w:type="paragraph" w:styleId="6">
    <w:name w:val="heading 6"/>
    <w:basedOn w:val="1"/>
    <w:next w:val="1"/>
    <w:link w:val="13"/>
    <w:semiHidden/>
    <w:unhideWhenUsed/>
    <w:qFormat/>
    <w:uiPriority w:val="0"/>
    <w:pPr>
      <w:keepNext/>
      <w:keepLines/>
      <w:numPr>
        <w:ilvl w:val="0"/>
        <w:numId w:val="5"/>
      </w:numPr>
      <w:spacing w:beforeLines="0" w:beforeAutospacing="0" w:afterLines="0" w:afterAutospacing="0" w:line="360" w:lineRule="auto"/>
      <w:ind w:left="0" w:firstLine="0"/>
      <w:jc w:val="left"/>
      <w:outlineLvl w:val="5"/>
    </w:pPr>
    <w:rPr>
      <w:rFonts w:ascii="Arial" w:hAnsi="Arial" w:eastAsia="宋体" w:cs="Times New Roman"/>
      <w:b/>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character" w:customStyle="1" w:styleId="9">
    <w:name w:val="标题 1 Char"/>
    <w:link w:val="2"/>
    <w:qFormat/>
    <w:uiPriority w:val="0"/>
    <w:rPr>
      <w:rFonts w:ascii="Times New Roman" w:hAnsi="Times New Roman" w:eastAsia="宋体" w:cs="Times New Roman"/>
      <w:b/>
      <w:color w:val="auto"/>
      <w:kern w:val="44"/>
      <w:sz w:val="32"/>
    </w:rPr>
  </w:style>
  <w:style w:type="character" w:customStyle="1" w:styleId="10">
    <w:name w:val="标题 2 Char"/>
    <w:link w:val="3"/>
    <w:qFormat/>
    <w:uiPriority w:val="0"/>
    <w:rPr>
      <w:rFonts w:ascii="Arial" w:hAnsi="Arial" w:eastAsia="宋体"/>
      <w:b/>
      <w:sz w:val="30"/>
    </w:rPr>
  </w:style>
  <w:style w:type="character" w:customStyle="1" w:styleId="11">
    <w:name w:val="标题 4 字符"/>
    <w:link w:val="5"/>
    <w:qFormat/>
    <w:uiPriority w:val="0"/>
    <w:rPr>
      <w:rFonts w:ascii="Arial" w:hAnsi="Arial" w:eastAsia="宋体" w:cs="Times New Roman"/>
      <w:b/>
      <w:sz w:val="24"/>
    </w:rPr>
  </w:style>
  <w:style w:type="character" w:customStyle="1" w:styleId="12">
    <w:name w:val="标题 3 字符"/>
    <w:link w:val="4"/>
    <w:qFormat/>
    <w:uiPriority w:val="0"/>
    <w:rPr>
      <w:rFonts w:ascii="Tahoma" w:hAnsi="Tahoma" w:eastAsia="宋体" w:cs="Times New Roman"/>
      <w:b/>
      <w:bCs/>
      <w:kern w:val="0"/>
      <w:sz w:val="28"/>
      <w:szCs w:val="32"/>
    </w:rPr>
  </w:style>
  <w:style w:type="character" w:customStyle="1" w:styleId="13">
    <w:name w:val="标题 6 Char"/>
    <w:link w:val="6"/>
    <w:qFormat/>
    <w:uiPriority w:val="0"/>
    <w:rPr>
      <w:rFonts w:ascii="Arial" w:hAnsi="Arial" w:eastAsia="宋体" w:cs="Times New Roman"/>
      <w:b/>
      <w:sz w:val="24"/>
    </w:rPr>
  </w:style>
  <w:style w:type="character" w:customStyle="1" w:styleId="14">
    <w:name w:val="font11"/>
    <w:qFormat/>
    <w:uiPriority w:val="0"/>
    <w:rPr>
      <w:rFonts w:hint="eastAsia" w:ascii="宋体" w:hAnsi="宋体" w:eastAsia="宋体" w:cs="宋体"/>
      <w:color w:val="FF0000"/>
      <w:sz w:val="24"/>
      <w:szCs w:val="24"/>
      <w:u w:val="none"/>
    </w:rPr>
  </w:style>
  <w:style w:type="character" w:customStyle="1" w:styleId="15">
    <w:name w:val="font01"/>
    <w:qFormat/>
    <w:uiPriority w:val="0"/>
    <w:rPr>
      <w:rFonts w:hint="eastAsia" w:ascii="宋体" w:hAnsi="宋体" w:eastAsia="宋体" w:cs="宋体"/>
      <w:color w:val="000000"/>
      <w:sz w:val="24"/>
      <w:szCs w:val="24"/>
      <w:u w:val="none"/>
    </w:rPr>
  </w:style>
  <w:style w:type="paragraph" w:customStyle="1" w:styleId="16">
    <w:name w:val="1223正文"/>
    <w:basedOn w:val="1"/>
    <w:qFormat/>
    <w:uiPriority w:val="0"/>
    <w:pPr>
      <w:spacing w:line="360" w:lineRule="auto"/>
      <w:ind w:firstLine="420"/>
    </w:pPr>
    <w:rPr>
      <w:rFonts w:eastAsia="宋体" w:cs="宋体"/>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2026-01-14T01:10:00Z</dcterms:created>
  <dc:creator>gmgitc</dc:creator>
  <cp:lastModifiedBy>刘闻凯</cp:lastModifiedBy>
  <dcterms:modified xsi:type="dcterms:W3CDTF">2026-04-22T08:58:56Z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DED23C21C9EB44F3B9C4630899A701E0_12</vt:lpwstr>
  </property>
  <property fmtid="{D5CDD505-2E9C-101B-9397-08002B2CF9AE}" pid="4" name="KSOTemplateDocerSaveRecord">
    <vt:lpwstr>eyJoZGlkIjoiZmJmMjM5MGM3ZDg0NTc0MWUxMzlmMzI1Y2EzODJkNGUiLCJ1c2VySWQiOiI0MDM3MDQ2MDUifQ==</vt:lpwstr>
  </property>
</Properties>
</file>