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440701-2026-01141</w:t>
      </w:r>
    </w:p>
    <w:p>
      <w:pPr>
        <w:pStyle w:val="null3"/>
        <w:jc w:val="center"/>
        <w:outlineLvl w:val="3"/>
      </w:pPr>
      <w:r>
        <w:rPr>
          <w:sz w:val="24"/>
          <w:b/>
        </w:rPr>
        <w:t>采购项目编号：</w:t>
      </w:r>
      <w:r>
        <w:rPr>
          <w:sz w:val="24"/>
          <w:b/>
        </w:rPr>
        <w:t>0724-2631Z1972515</w:t>
      </w:r>
    </w:p>
    <w:p>
      <w:pPr>
        <w:pStyle w:val="null3"/>
        <w:jc w:val="center"/>
        <w:outlineLvl w:val="3"/>
      </w:pPr>
      <w:r>
        <w:rPr>
          <w:sz w:val="24"/>
          <w:b/>
        </w:rPr>
        <w:t>项目名称：</w:t>
      </w:r>
      <w:r>
        <w:rPr>
          <w:sz w:val="24"/>
          <w:b/>
        </w:rPr>
        <w:t>江门市疾病预防控制中心高通量二代测序系统采购项目</w:t>
      </w:r>
    </w:p>
    <w:p>
      <w:pPr>
        <w:pStyle w:val="null3"/>
        <w:jc w:val="center"/>
        <w:outlineLvl w:val="3"/>
      </w:pPr>
      <w:r>
        <w:rPr>
          <w:sz w:val="24"/>
          <w:b/>
        </w:rPr>
        <w:t>采购人：</w:t>
      </w:r>
      <w:r>
        <w:rPr>
          <w:sz w:val="24"/>
          <w:b/>
        </w:rPr>
        <w:t>江门市疾病预防控制中心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江门市疾病预防控制中心</w:t>
      </w:r>
      <w:r>
        <w:rPr/>
        <w:t>的委托，采用</w:t>
      </w:r>
      <w:r>
        <w:rPr/>
        <w:t>公开招标</w:t>
      </w:r>
      <w:r>
        <w:rPr/>
        <w:t>方式组织采购</w:t>
      </w:r>
      <w:r>
        <w:rPr/>
        <w:t>江门市疾病预防控制中心高通量二代测序系统采购项目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江门市疾病预防控制中心高通量二代测序系统采购项目</w:t>
      </w:r>
    </w:p>
    <w:p>
      <w:pPr>
        <w:pStyle w:val="null3"/>
        <w:ind w:firstLine="480"/>
      </w:pPr>
      <w:r>
        <w:rPr/>
        <w:t>采购计划编号：</w:t>
      </w:r>
      <w:r>
        <w:rPr/>
        <w:t>440701-2026-01141</w:t>
      </w:r>
    </w:p>
    <w:p>
      <w:pPr>
        <w:pStyle w:val="null3"/>
        <w:ind w:firstLine="480"/>
      </w:pPr>
      <w:r>
        <w:rPr/>
        <w:t>采购项目编号：</w:t>
      </w:r>
      <w:r>
        <w:rPr/>
        <w:t>0724-2631Z1972515</w:t>
      </w:r>
    </w:p>
    <w:p>
      <w:pPr>
        <w:pStyle w:val="null3"/>
        <w:ind w:firstLine="480"/>
      </w:pPr>
      <w:r>
        <w:rPr/>
        <w:t>采购方式：</w:t>
      </w:r>
      <w:r>
        <w:rPr/>
        <w:t>公开招标</w:t>
      </w:r>
    </w:p>
    <w:p>
      <w:pPr>
        <w:pStyle w:val="null3"/>
        <w:ind w:firstLine="480"/>
      </w:pPr>
      <w:r>
        <w:rPr/>
        <w:t>预算金额：</w:t>
      </w:r>
      <w:r>
        <w:rPr/>
        <w:t>3,500,000.00</w:t>
      </w:r>
      <w:r>
        <w:rPr/>
        <w:t>元</w:t>
      </w:r>
    </w:p>
    <w:p>
      <w:pPr>
        <w:pStyle w:val="null3"/>
        <w:outlineLvl w:val="3"/>
      </w:pPr>
      <w:r>
        <w:rPr>
          <w:sz w:val="24"/>
          <w:b/>
        </w:rPr>
        <w:t>2.项目内容及需求情况（采购项目技术规格、参数及要求）</w:t>
      </w:r>
    </w:p>
    <w:p>
      <w:pPr>
        <w:pStyle w:val="null3"/>
      </w:pPr>
      <w:r>
        <w:rPr/>
        <w:t>采购包1(高通量二代测序系统):</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高通量二代测序系统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3）具有良好的商业信誉和健全的财务会计制度：提供2024-2025年任意一年的财务状况报告或基本开户行出具的资信证明或《资格条件承诺函》（详见招标公告附件）。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采购包1（高通量二代测序系统）：</w:t>
      </w:r>
      <w:r>
        <w:rPr/>
        <w:t>本采购包不专门面向中小企业采购。</w:t>
      </w:r>
    </w:p>
    <w:p>
      <w:pPr>
        <w:pStyle w:val="null3"/>
        <w:outlineLvl w:val="3"/>
      </w:pPr>
      <w:r>
        <w:rPr>
          <w:sz w:val="24"/>
          <w:b/>
        </w:rPr>
        <w:t>3.本项目特定的资格要求：</w:t>
      </w:r>
    </w:p>
    <w:p>
      <w:pPr>
        <w:pStyle w:val="null3"/>
      </w:pPr>
      <w:r>
        <w:rPr/>
        <w:t>采购包1（高通量二代测序系统）：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提供《资格条件承诺函》（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江门市疾病预防控制中心</w:t>
      </w:r>
    </w:p>
    <w:p>
      <w:pPr>
        <w:pStyle w:val="null3"/>
        <w:ind w:firstLine="480"/>
      </w:pPr>
      <w:r>
        <w:rPr/>
        <w:t xml:space="preserve"> 地址：</w:t>
      </w:r>
      <w:r>
        <w:rPr/>
        <w:t>江门市蓬江区星河路10号</w:t>
      </w:r>
    </w:p>
    <w:p>
      <w:pPr>
        <w:pStyle w:val="null3"/>
        <w:ind w:firstLine="480"/>
      </w:pPr>
      <w:r>
        <w:rPr/>
        <w:t xml:space="preserve"> 联系方式：</w:t>
      </w:r>
      <w:r>
        <w:rPr/>
        <w:t>0750-3288502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020-37860557、020-37860530、020-37860545</w:t>
      </w:r>
    </w:p>
    <w:p>
      <w:pPr>
        <w:pStyle w:val="null3"/>
        <w:outlineLvl w:val="3"/>
      </w:pPr>
      <w:r>
        <w:rPr>
          <w:sz w:val="24"/>
          <w:b/>
        </w:rPr>
        <w:t xml:space="preserve"> 3.项目联系方式</w:t>
      </w:r>
    </w:p>
    <w:p>
      <w:pPr>
        <w:pStyle w:val="null3"/>
        <w:ind w:firstLine="480"/>
      </w:pPr>
      <w:r>
        <w:rPr/>
        <w:t xml:space="preserve"> 项目联系人：</w:t>
      </w:r>
      <w:r>
        <w:rPr/>
        <w:t>陈超、黎安翘、薛业生</w:t>
      </w:r>
    </w:p>
    <w:p>
      <w:pPr>
        <w:pStyle w:val="null3"/>
        <w:ind w:firstLine="480"/>
      </w:pPr>
      <w:r>
        <w:rPr/>
        <w:t xml:space="preserve"> 电话：</w:t>
      </w:r>
      <w:r>
        <w:rPr/>
        <w:t>020-37860557、020-37860530、020-37860545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647"/>
        <w:gridCol w:w="784"/>
        <w:gridCol w:w="1848"/>
        <w:gridCol w:w="1848"/>
        <w:gridCol w:w="1162"/>
      </w:tblGrid>
      <w:tr>
        <w:tc>
          <w:tcPr>
            <w:tcW w:type="dxa" w:w="2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r>
      <w:tr>
        <w:tc>
          <w:tcPr>
            <w:tcW w:type="dxa" w:w="2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高通量二代测序系统</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3,500,000.00</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3,500,000.00</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pPr>
      <w:r>
        <w:rPr>
          <w:sz w:val="28"/>
          <w:b/>
        </w:rPr>
        <w:t>二、技术标准与要求</w:t>
      </w:r>
    </w:p>
    <w:p>
      <w:pPr>
        <w:pStyle w:val="null3"/>
        <w:ind w:firstLine="422"/>
        <w:jc w:val="both"/>
      </w:pPr>
      <w:r>
        <w:rPr>
          <w:sz w:val="21"/>
          <w:b/>
        </w:rPr>
        <w:t>1.功能需求</w:t>
      </w:r>
    </w:p>
    <w:p>
      <w:pPr>
        <w:pStyle w:val="null3"/>
        <w:ind w:firstLine="420"/>
        <w:jc w:val="both"/>
      </w:pPr>
      <w:r>
        <w:rPr>
          <w:sz w:val="21"/>
        </w:rPr>
        <w:t>1.1适用于未知物种全基因组测序、全外显子测序、转录组测序、小RNA测序、靶向测序等</w:t>
      </w:r>
      <w:r>
        <w:rPr>
          <w:sz w:val="21"/>
        </w:rPr>
        <w:t>。</w:t>
      </w:r>
    </w:p>
    <w:p>
      <w:pPr>
        <w:pStyle w:val="null3"/>
        <w:ind w:firstLine="420"/>
        <w:jc w:val="both"/>
      </w:pPr>
      <w:r>
        <w:rPr>
          <w:sz w:val="21"/>
        </w:rPr>
        <w:t>1.2满足微生物宏基因组分析、病毒基因组变异研究、药物基因研究、甲基化研究、转录组分析等</w:t>
      </w:r>
      <w:r>
        <w:rPr>
          <w:sz w:val="21"/>
        </w:rPr>
        <w:t>。</w:t>
      </w:r>
    </w:p>
    <w:p>
      <w:pPr>
        <w:pStyle w:val="null3"/>
        <w:ind w:firstLine="420"/>
        <w:jc w:val="both"/>
      </w:pPr>
      <w:r>
        <w:rPr>
          <w:sz w:val="21"/>
        </w:rPr>
        <w:t>1.3满足单细胞测序、免疫组测序、疫苗研究等。</w:t>
      </w:r>
    </w:p>
    <w:p>
      <w:pPr>
        <w:pStyle w:val="null3"/>
        <w:ind w:firstLine="422"/>
        <w:jc w:val="both"/>
      </w:pPr>
      <w:r>
        <w:rPr>
          <w:sz w:val="21"/>
          <w:b/>
        </w:rPr>
        <w:t>2.技术参数</w:t>
      </w:r>
    </w:p>
    <w:p>
      <w:pPr>
        <w:pStyle w:val="null3"/>
        <w:ind w:firstLine="420"/>
        <w:jc w:val="both"/>
      </w:pPr>
      <w:r>
        <w:rPr>
          <w:sz w:val="21"/>
        </w:rPr>
        <w:t>▲2.1高通量数据平台：每次反应可生成≥5400亿(540G)碱基数据，读长达600个碱基时，单次测序通量可以达到240Gb</w:t>
      </w:r>
      <w:r>
        <w:rPr>
          <w:sz w:val="21"/>
        </w:rPr>
        <w:t>。</w:t>
      </w:r>
    </w:p>
    <w:p>
      <w:pPr>
        <w:pStyle w:val="null3"/>
        <w:ind w:firstLine="420"/>
        <w:jc w:val="both"/>
      </w:pPr>
      <w:r>
        <w:rPr>
          <w:sz w:val="21"/>
        </w:rPr>
        <w:t>2.2高通量数据平台数据读取模式：单端读取序列和双端读取序列</w:t>
      </w:r>
      <w:r>
        <w:rPr>
          <w:sz w:val="21"/>
        </w:rPr>
        <w:t>。</w:t>
      </w:r>
    </w:p>
    <w:p>
      <w:pPr>
        <w:pStyle w:val="null3"/>
        <w:ind w:firstLine="420"/>
        <w:jc w:val="both"/>
      </w:pPr>
      <w:r>
        <w:rPr>
          <w:sz w:val="21"/>
        </w:rPr>
        <w:t>▲2.3可以提供≥4种不同Reads数的芯片，且提供Reads数不低于1800M芯片，以应对不同样本规模的检测</w:t>
      </w:r>
      <w:r>
        <w:rPr>
          <w:sz w:val="21"/>
        </w:rPr>
        <w:t>。</w:t>
      </w:r>
    </w:p>
    <w:p>
      <w:pPr>
        <w:pStyle w:val="null3"/>
        <w:ind w:firstLine="420"/>
        <w:jc w:val="both"/>
      </w:pPr>
      <w:r>
        <w:rPr>
          <w:sz w:val="21"/>
        </w:rPr>
        <w:t>2.4测序原理：采用光学原理的基于可逆终止子边合成边测序技术，使用荧光信号确认碱基种类，每次只读取一个碱基，保证最终的核酸序列质量</w:t>
      </w:r>
      <w:r>
        <w:rPr>
          <w:sz w:val="21"/>
        </w:rPr>
        <w:t>。</w:t>
      </w:r>
    </w:p>
    <w:p>
      <w:pPr>
        <w:pStyle w:val="null3"/>
        <w:ind w:firstLine="420"/>
        <w:jc w:val="both"/>
      </w:pPr>
      <w:r>
        <w:rPr>
          <w:sz w:val="21"/>
        </w:rPr>
        <w:t>2.5平台数据读长：设备应支持多种读长，包括：100bp、200bp、300bp、600bp模式的读长检测</w:t>
      </w:r>
      <w:r>
        <w:rPr>
          <w:sz w:val="21"/>
        </w:rPr>
        <w:t>。</w:t>
      </w:r>
    </w:p>
    <w:p>
      <w:pPr>
        <w:pStyle w:val="null3"/>
        <w:ind w:firstLine="420"/>
        <w:jc w:val="both"/>
      </w:pPr>
      <w:r>
        <w:rPr>
          <w:sz w:val="21"/>
        </w:rPr>
        <w:t>2.6测序芯片采用Patterned Flow Cell设计，簇密度可达6250 k/mm2，适配超高分辨率光学组件用于识别</w:t>
      </w:r>
      <w:r>
        <w:rPr>
          <w:sz w:val="21"/>
        </w:rPr>
        <w:t>。</w:t>
      </w:r>
    </w:p>
    <w:p>
      <w:pPr>
        <w:pStyle w:val="null3"/>
        <w:ind w:firstLine="420"/>
        <w:jc w:val="both"/>
      </w:pPr>
      <w:r>
        <w:rPr>
          <w:sz w:val="21"/>
        </w:rPr>
        <w:t>▲2.7读长2x150 bp时，整个测序运行（包括文库克隆扩增和测序反应）可以17个小时</w:t>
      </w:r>
      <w:r>
        <w:rPr>
          <w:sz w:val="21"/>
        </w:rPr>
        <w:t>以内</w:t>
      </w:r>
      <w:r>
        <w:rPr>
          <w:sz w:val="21"/>
        </w:rPr>
        <w:t>完成；读长</w:t>
      </w:r>
      <w:r>
        <w:rPr>
          <w:sz w:val="21"/>
        </w:rPr>
        <w:t>2x300 bp时，整个测序运行可以34个小时</w:t>
      </w:r>
      <w:r>
        <w:rPr>
          <w:sz w:val="21"/>
        </w:rPr>
        <w:t>以内</w:t>
      </w:r>
      <w:r>
        <w:rPr>
          <w:sz w:val="21"/>
        </w:rPr>
        <w:t>完成</w:t>
      </w:r>
      <w:r>
        <w:rPr>
          <w:sz w:val="21"/>
        </w:rPr>
        <w:t>。</w:t>
      </w:r>
    </w:p>
    <w:p>
      <w:pPr>
        <w:pStyle w:val="null3"/>
        <w:ind w:firstLine="420"/>
        <w:jc w:val="both"/>
      </w:pPr>
      <w:r>
        <w:rPr>
          <w:sz w:val="21"/>
        </w:rPr>
        <w:t>▲2.8 测序文库直接用于测序仪上机，文库克隆扩增及测序反应都在测序芯片上自动化完成，有效降低操作复杂性，减少实验误差</w:t>
      </w:r>
      <w:r>
        <w:rPr>
          <w:sz w:val="21"/>
        </w:rPr>
        <w:t>。</w:t>
      </w:r>
    </w:p>
    <w:p>
      <w:pPr>
        <w:pStyle w:val="null3"/>
        <w:ind w:firstLine="420"/>
        <w:jc w:val="both"/>
      </w:pPr>
      <w:r>
        <w:rPr>
          <w:sz w:val="21"/>
        </w:rPr>
        <w:t>▲2.9 采用集成式全封闭的单一测序卡盒，卡盒内预装所有文库克隆扩增及测序反应需要的生物酶和试剂，无需手工配制，减少生物污染</w:t>
      </w:r>
      <w:r>
        <w:rPr>
          <w:sz w:val="21"/>
        </w:rPr>
        <w:t>。</w:t>
      </w:r>
    </w:p>
    <w:p>
      <w:pPr>
        <w:pStyle w:val="null3"/>
        <w:ind w:firstLine="420"/>
        <w:jc w:val="both"/>
      </w:pPr>
      <w:r>
        <w:rPr>
          <w:sz w:val="21"/>
        </w:rPr>
        <w:t>2.10 试剂槽及放入测序仪的试剂耗材：即插即用，具备可读取的无线射频识别标签</w:t>
      </w:r>
      <w:r>
        <w:rPr>
          <w:sz w:val="21"/>
        </w:rPr>
        <w:t>。</w:t>
      </w:r>
    </w:p>
    <w:p>
      <w:pPr>
        <w:pStyle w:val="null3"/>
        <w:ind w:firstLine="420"/>
        <w:jc w:val="both"/>
      </w:pPr>
      <w:r>
        <w:rPr>
          <w:sz w:val="21"/>
        </w:rPr>
        <w:t>2.11 测序数据准确性：测序结果给出严格的Q30质量数据，当2×150 bp测序时，Q30值≥90%；当2×300 bp测序时，Q30值≥85%</w:t>
      </w:r>
      <w:r>
        <w:rPr>
          <w:sz w:val="21"/>
        </w:rPr>
        <w:t>。</w:t>
      </w:r>
    </w:p>
    <w:p>
      <w:pPr>
        <w:pStyle w:val="null3"/>
        <w:ind w:firstLine="420"/>
        <w:jc w:val="both"/>
      </w:pPr>
      <w:r>
        <w:rPr>
          <w:sz w:val="21"/>
        </w:rPr>
        <w:t>2.12 测序系统主机内置服务器，主机同时具备样本文库克隆扩增、测序和数据分析功能</w:t>
      </w:r>
      <w:r>
        <w:rPr>
          <w:sz w:val="21"/>
        </w:rPr>
        <w:t>。</w:t>
      </w:r>
    </w:p>
    <w:p>
      <w:pPr>
        <w:pStyle w:val="null3"/>
        <w:ind w:firstLine="420"/>
        <w:jc w:val="both"/>
      </w:pPr>
      <w:r>
        <w:rPr>
          <w:sz w:val="21"/>
        </w:rPr>
        <w:t>▲2.13 测序仪内置生物信息分析加速器，提供准确的超快速基因组分析功能，25分钟内处理一个30倍深度的全基因组，8分钟处理100深度的人外显子组；内置服务器内存≥288 GB，硬盘≥3.8 TB SSD，操作系统为Linux CentOS 7.6或以上的版本</w:t>
      </w:r>
      <w:r>
        <w:rPr>
          <w:sz w:val="21"/>
        </w:rPr>
        <w:t>。</w:t>
      </w:r>
    </w:p>
    <w:p>
      <w:pPr>
        <w:pStyle w:val="null3"/>
        <w:ind w:firstLine="420"/>
        <w:jc w:val="both"/>
      </w:pPr>
      <w:r>
        <w:rPr>
          <w:sz w:val="21"/>
        </w:rPr>
        <w:t>2.14 机载生物信息学分析软件：可提供准确的超快速二级分析方案。采用优化的硬件加速算法，用于各种基因组分析解决方案，包括BCL-to-fastQ转换、基因组定位、序列比对、序列排序、重复标记和变异检出；仪器下级数据有FASTQ，BAM，VCF和CSV多种格式，确保适配下游第三方数据分析和可视化工具软件</w:t>
      </w:r>
      <w:r>
        <w:rPr>
          <w:sz w:val="21"/>
        </w:rPr>
        <w:t>。</w:t>
      </w:r>
    </w:p>
    <w:p>
      <w:pPr>
        <w:pStyle w:val="null3"/>
        <w:ind w:firstLine="420"/>
        <w:jc w:val="both"/>
      </w:pPr>
      <w:r>
        <w:rPr>
          <w:sz w:val="21"/>
        </w:rPr>
        <w:t>▲2.15 测序仪主机内不含液流流路，无需清洗</w:t>
      </w:r>
      <w:r>
        <w:rPr>
          <w:sz w:val="21"/>
        </w:rPr>
        <w:t>。</w:t>
      </w:r>
    </w:p>
    <w:p>
      <w:pPr>
        <w:pStyle w:val="null3"/>
        <w:ind w:firstLine="420"/>
        <w:jc w:val="both"/>
      </w:pPr>
      <w:r>
        <w:rPr>
          <w:sz w:val="21"/>
        </w:rPr>
        <w:t>▲2.16 仪器尺寸：宽度</w:t>
      </w:r>
      <w:r>
        <w:rPr>
          <w:sz w:val="21"/>
        </w:rPr>
        <w:t>＜</w:t>
      </w:r>
      <w:r>
        <w:rPr>
          <w:sz w:val="21"/>
        </w:rPr>
        <w:t>70cm，深度</w:t>
      </w:r>
      <w:r>
        <w:rPr>
          <w:sz w:val="21"/>
        </w:rPr>
        <w:t>＜</w:t>
      </w:r>
      <w:r>
        <w:rPr>
          <w:sz w:val="21"/>
        </w:rPr>
        <w:t>70cm，高度</w:t>
      </w:r>
      <w:r>
        <w:rPr>
          <w:sz w:val="21"/>
        </w:rPr>
        <w:t>＜</w:t>
      </w:r>
      <w:r>
        <w:rPr>
          <w:sz w:val="21"/>
        </w:rPr>
        <w:t>70cm，重量</w:t>
      </w:r>
      <w:r>
        <w:rPr>
          <w:sz w:val="21"/>
        </w:rPr>
        <w:t>＜</w:t>
      </w:r>
      <w:r>
        <w:rPr>
          <w:sz w:val="21"/>
        </w:rPr>
        <w:t>150kg，便于在不同实验室环境放置</w:t>
      </w:r>
      <w:r>
        <w:rPr>
          <w:sz w:val="21"/>
        </w:rPr>
        <w:t>。</w:t>
      </w:r>
    </w:p>
    <w:p>
      <w:pPr>
        <w:pStyle w:val="null3"/>
        <w:ind w:firstLine="420"/>
        <w:jc w:val="both"/>
      </w:pPr>
      <w:r>
        <w:rPr>
          <w:sz w:val="21"/>
        </w:rPr>
        <w:t>2.</w:t>
      </w:r>
      <w:r>
        <w:rPr>
          <w:sz w:val="21"/>
        </w:rPr>
        <w:t>17测序前文库加样质控模块技术参数：</w:t>
      </w:r>
    </w:p>
    <w:p>
      <w:pPr>
        <w:pStyle w:val="null3"/>
        <w:ind w:firstLine="420"/>
        <w:jc w:val="both"/>
      </w:pPr>
      <w:r>
        <w:rPr>
          <w:sz w:val="21"/>
        </w:rPr>
        <w:t>2.</w:t>
      </w:r>
      <w:r>
        <w:rPr>
          <w:sz w:val="21"/>
        </w:rPr>
        <w:t>17.1单台设备，通过红外光源和红外感应器，自动探测96孔板、384孔板或8联管，确定每个孔（管）是否完成加样，软件通过颜色和数字的组合，在液晶屏上显示每个孔（管）的加样次数。</w:t>
      </w:r>
    </w:p>
    <w:p>
      <w:pPr>
        <w:pStyle w:val="null3"/>
        <w:ind w:firstLine="420"/>
        <w:jc w:val="both"/>
      </w:pPr>
      <w:r>
        <w:rPr>
          <w:sz w:val="21"/>
        </w:rPr>
        <w:t>▲</w:t>
      </w:r>
      <w:r>
        <w:rPr>
          <w:sz w:val="21"/>
        </w:rPr>
        <w:t>2.</w:t>
      </w:r>
      <w:r>
        <w:rPr>
          <w:sz w:val="21"/>
        </w:rPr>
        <w:t>17.2有两个液晶显示屏（屏幕面积均不小于9.5寸），一个液晶屏位于96孔板或384孔板下方，另一个液晶屏位于孔板前方，便于从各个角度观察</w:t>
      </w:r>
      <w:r>
        <w:rPr>
          <w:sz w:val="21"/>
        </w:rPr>
        <w:t>（</w:t>
      </w:r>
      <w:r>
        <w:rPr>
          <w:sz w:val="21"/>
        </w:rPr>
        <w:t>提供产品官网可查询下载的公开印制版彩页和公开发行的技术白皮书）</w:t>
      </w:r>
      <w:r>
        <w:rPr>
          <w:sz w:val="21"/>
        </w:rPr>
        <w:t>。</w:t>
      </w:r>
    </w:p>
    <w:p>
      <w:pPr>
        <w:pStyle w:val="null3"/>
        <w:ind w:firstLine="420"/>
        <w:jc w:val="both"/>
      </w:pPr>
      <w:r>
        <w:rPr>
          <w:sz w:val="21"/>
        </w:rPr>
        <w:t>2.</w:t>
      </w:r>
      <w:r>
        <w:rPr>
          <w:sz w:val="21"/>
        </w:rPr>
        <w:t>18多通道超快速核酸样本检测平台</w:t>
      </w:r>
      <w:r>
        <w:rPr>
          <w:sz w:val="21"/>
        </w:rPr>
        <w:t>：</w:t>
      </w:r>
    </w:p>
    <w:p>
      <w:pPr>
        <w:pStyle w:val="null3"/>
        <w:ind w:firstLine="420"/>
        <w:jc w:val="both"/>
      </w:pPr>
      <w:r>
        <w:rPr>
          <w:sz w:val="21"/>
        </w:rPr>
        <w:t>2.</w:t>
      </w:r>
      <w:r>
        <w:rPr>
          <w:sz w:val="21"/>
        </w:rPr>
        <w:t>18.1检测通量为8通道平行检测，支持八联管或单管独立运行，适用标准0.2mL透明PCR管；温度为35℃至</w:t>
      </w:r>
      <w:r>
        <w:rPr>
          <w:sz w:val="21"/>
        </w:rPr>
        <w:t>90</w:t>
      </w:r>
      <w:r>
        <w:rPr>
          <w:sz w:val="21"/>
        </w:rPr>
        <w:t>℃（恒温控制），温控精度±0.5℃。</w:t>
      </w:r>
    </w:p>
    <w:p>
      <w:pPr>
        <w:pStyle w:val="null3"/>
        <w:ind w:firstLine="420"/>
        <w:jc w:val="both"/>
      </w:pPr>
      <w:r>
        <w:rPr>
          <w:sz w:val="21"/>
        </w:rPr>
        <w:t>▲</w:t>
      </w:r>
      <w:r>
        <w:rPr>
          <w:sz w:val="21"/>
        </w:rPr>
        <w:t>2.</w:t>
      </w:r>
      <w:r>
        <w:rPr>
          <w:sz w:val="21"/>
        </w:rPr>
        <w:t>18.2设备尺寸≤120mm×90mm×35mm，整机重量≤180g；配备高清触摸屏（屏幕≥4寸），内置专用控制软件及供电系统，可进行参数设置、运行监控与结果可视化</w:t>
      </w:r>
      <w:r>
        <w:rPr>
          <w:sz w:val="21"/>
        </w:rPr>
        <w:t>（</w:t>
      </w:r>
      <w:r>
        <w:rPr>
          <w:sz w:val="21"/>
        </w:rPr>
        <w:t>提供设备实物图片及尺寸重量证明）。</w:t>
      </w:r>
    </w:p>
    <w:p>
      <w:pPr>
        <w:pStyle w:val="null3"/>
        <w:ind w:firstLine="420"/>
        <w:jc w:val="both"/>
      </w:pPr>
      <w:r>
        <w:rPr>
          <w:sz w:val="21"/>
        </w:rPr>
        <w:t>2.</w:t>
      </w:r>
      <w:r>
        <w:rPr>
          <w:sz w:val="21"/>
        </w:rPr>
        <w:t>19测序数据分析软件</w:t>
      </w:r>
      <w:r>
        <w:rPr>
          <w:sz w:val="21"/>
        </w:rPr>
        <w:t>：</w:t>
      </w:r>
    </w:p>
    <w:p>
      <w:pPr>
        <w:pStyle w:val="null3"/>
        <w:ind w:firstLine="420"/>
        <w:jc w:val="both"/>
      </w:pPr>
      <w:r>
        <w:rPr>
          <w:sz w:val="21"/>
        </w:rPr>
        <w:t>2.</w:t>
      </w:r>
      <w:r>
        <w:rPr>
          <w:sz w:val="21"/>
        </w:rPr>
        <w:t>19.1多平台测序兼容与深度分析能力：软件统一支持二代（16S rDNA/ITS区段）及三代（16S rDNA/ITS全长）扩增子测序数据分析，并集成宏基因组去宿主、组装、耐药性及毒力因子分析功能；内置78000条高质量基因组，支持1×、10×、30×多层级覆盖度分析，并提供比对质量分布、进化树构建及物种堆积图等可视化结果。</w:t>
      </w:r>
    </w:p>
    <w:p>
      <w:pPr>
        <w:pStyle w:val="null3"/>
        <w:ind w:firstLine="420"/>
        <w:jc w:val="both"/>
      </w:pPr>
      <w:r>
        <w:rPr>
          <w:sz w:val="21"/>
        </w:rPr>
        <w:t>2.</w:t>
      </w:r>
      <w:r>
        <w:rPr>
          <w:sz w:val="21"/>
        </w:rPr>
        <w:t>19.2超大规模病原体数据库与精准鉴定体系：可检测≥60000种物种信息条目，涵盖病毒（</w:t>
      </w:r>
      <w:r>
        <w:rPr>
          <w:sz w:val="21"/>
        </w:rPr>
        <w:t>＞</w:t>
      </w:r>
      <w:r>
        <w:rPr>
          <w:sz w:val="21"/>
        </w:rPr>
        <w:t>30000种）、细菌（</w:t>
      </w:r>
      <w:r>
        <w:rPr>
          <w:sz w:val="21"/>
        </w:rPr>
        <w:t>＞</w:t>
      </w:r>
      <w:r>
        <w:rPr>
          <w:sz w:val="21"/>
        </w:rPr>
        <w:t>28000种）、真菌（</w:t>
      </w:r>
      <w:r>
        <w:rPr>
          <w:sz w:val="21"/>
        </w:rPr>
        <w:t>＞</w:t>
      </w:r>
      <w:r>
        <w:rPr>
          <w:sz w:val="21"/>
        </w:rPr>
        <w:t>5000种）及寄生虫（</w:t>
      </w:r>
      <w:r>
        <w:rPr>
          <w:sz w:val="21"/>
        </w:rPr>
        <w:t>＞</w:t>
      </w:r>
      <w:r>
        <w:rPr>
          <w:sz w:val="21"/>
        </w:rPr>
        <w:t>300种），搭载临床级数据库与NCBI TaxID比对系统，支持自建本地数据库及BLAST/mapping双比对模式，提供相对丰度、覆盖度、致病性及中文人间传染病原微生物目录等多维注释信息。</w:t>
      </w:r>
    </w:p>
    <w:p>
      <w:pPr>
        <w:pStyle w:val="null3"/>
        <w:ind w:firstLine="420"/>
        <w:jc w:val="both"/>
      </w:pPr>
      <w:r>
        <w:rPr>
          <w:sz w:val="21"/>
        </w:rPr>
        <w:t>2.</w:t>
      </w:r>
      <w:r>
        <w:rPr>
          <w:sz w:val="21"/>
        </w:rPr>
        <w:t>19.3一体化智能分析与合规化报告系统：所有功能集成于单一模块，支持动态筛选、阈值自动报告生成及国家致病菌识别网数据一键上传；制造商具备“病原体高通量测序技术研发中心”、国家高新技术企业资质及ISO9001/14001/45001认证，软件著作权完备，并发表三代16S分析相关SCI论文≥1篇，确保技术专业性与合规性。</w:t>
      </w:r>
    </w:p>
    <w:p>
      <w:pPr>
        <w:pStyle w:val="null3"/>
        <w:ind w:firstLine="420"/>
        <w:jc w:val="both"/>
      </w:pPr>
      <w:r>
        <w:rPr>
          <w:sz w:val="21"/>
        </w:rPr>
        <w:t>2.</w:t>
      </w:r>
      <w:r>
        <w:rPr>
          <w:sz w:val="21"/>
        </w:rPr>
        <w:t>20掌上离心机</w:t>
      </w:r>
      <w:r>
        <w:rPr>
          <w:sz w:val="21"/>
        </w:rPr>
        <w:t>：</w:t>
      </w:r>
    </w:p>
    <w:p>
      <w:pPr>
        <w:pStyle w:val="null3"/>
        <w:ind w:firstLine="420"/>
        <w:jc w:val="both"/>
      </w:pPr>
      <w:r>
        <w:rPr>
          <w:sz w:val="21"/>
        </w:rPr>
        <w:t>2.</w:t>
      </w:r>
      <w:r>
        <w:rPr>
          <w:sz w:val="21"/>
        </w:rPr>
        <w:t>20.1最高转速（rpm）≥12000</w:t>
      </w:r>
      <w:r>
        <w:rPr>
          <w:sz w:val="21"/>
        </w:rPr>
        <w:t>。</w:t>
      </w:r>
    </w:p>
    <w:p>
      <w:pPr>
        <w:pStyle w:val="null3"/>
        <w:ind w:firstLine="420"/>
        <w:jc w:val="both"/>
      </w:pPr>
      <w:r>
        <w:rPr>
          <w:sz w:val="21"/>
        </w:rPr>
        <w:t>2.</w:t>
      </w:r>
      <w:r>
        <w:rPr>
          <w:sz w:val="21"/>
        </w:rPr>
        <w:t>20.2</w:t>
      </w:r>
      <w:r>
        <w:rPr>
          <w:sz w:val="21"/>
        </w:rPr>
        <w:t>标配</w:t>
      </w:r>
      <w:r>
        <w:rPr>
          <w:sz w:val="21"/>
        </w:rPr>
        <w:t>：</w:t>
      </w:r>
      <w:r>
        <w:rPr>
          <w:sz w:val="21"/>
        </w:rPr>
        <w:t>8*1.5/2.0mL转子，适配器（mL）0.5/0.2；PCR转子2*8*0.2ml</w:t>
      </w:r>
      <w:r>
        <w:rPr>
          <w:sz w:val="21"/>
        </w:rPr>
        <w:t>。</w:t>
      </w:r>
    </w:p>
    <w:p>
      <w:pPr>
        <w:pStyle w:val="null3"/>
        <w:ind w:firstLine="420"/>
        <w:jc w:val="both"/>
      </w:pPr>
      <w:r>
        <w:rPr>
          <w:sz w:val="21"/>
        </w:rPr>
        <w:t>2.</w:t>
      </w:r>
      <w:r>
        <w:rPr>
          <w:sz w:val="21"/>
        </w:rPr>
        <w:t>21普通PCR仪</w:t>
      </w:r>
    </w:p>
    <w:p>
      <w:pPr>
        <w:pStyle w:val="null3"/>
        <w:ind w:firstLine="420"/>
        <w:jc w:val="both"/>
      </w:pPr>
      <w:r>
        <w:rPr>
          <w:sz w:val="21"/>
        </w:rPr>
        <w:t>▲</w:t>
      </w:r>
      <w:r>
        <w:rPr>
          <w:sz w:val="21"/>
        </w:rPr>
        <w:t>2.</w:t>
      </w:r>
      <w:r>
        <w:rPr>
          <w:sz w:val="21"/>
        </w:rPr>
        <w:t>21.1动态温度梯度PCR功能：每个温度梯度同时可以做12个孔的样品，每个温度孵育时间相同，以确保样品在温度梯度摸索的时候退火时间一致。（提供动态温度梯度实验每个温度孵育时间相同的软件截图）。</w:t>
      </w:r>
    </w:p>
    <w:p>
      <w:pPr>
        <w:pStyle w:val="null3"/>
        <w:ind w:firstLine="420"/>
        <w:jc w:val="both"/>
      </w:pPr>
      <w:r>
        <w:rPr>
          <w:sz w:val="21"/>
        </w:rPr>
        <w:t>2.</w:t>
      </w:r>
      <w:r>
        <w:rPr>
          <w:sz w:val="21"/>
        </w:rPr>
        <w:t>21.2“O”型环具有优异的密封性，支持过夜反应，反应结束后可以调到4℃保存样品。（提供“O”型环结构图）。</w:t>
      </w:r>
    </w:p>
    <w:p>
      <w:pPr>
        <w:pStyle w:val="null3"/>
        <w:ind w:firstLine="420"/>
        <w:jc w:val="both"/>
      </w:pPr>
      <w:r>
        <w:rPr>
          <w:sz w:val="21"/>
        </w:rPr>
        <w:t>2.</w:t>
      </w:r>
      <w:r>
        <w:rPr>
          <w:sz w:val="21"/>
        </w:rPr>
        <w:t>21.3具备LED仪器状态指示灯显示仪器运行状态（提供公开发行的彩页和技术证明文件）。</w:t>
      </w:r>
    </w:p>
    <w:p>
      <w:pPr>
        <w:pStyle w:val="null3"/>
        <w:ind w:firstLine="420"/>
        <w:jc w:val="both"/>
      </w:pPr>
      <w:r>
        <w:rPr>
          <w:sz w:val="21"/>
        </w:rPr>
        <w:t>2.</w:t>
      </w:r>
      <w:r>
        <w:rPr>
          <w:sz w:val="21"/>
        </w:rPr>
        <w:t>22测序数据分析服务器</w:t>
      </w:r>
      <w:r>
        <w:rPr>
          <w:sz w:val="21"/>
        </w:rPr>
        <w:t>（</w:t>
      </w:r>
      <w:r>
        <w:rPr>
          <w:sz w:val="21"/>
        </w:rPr>
        <w:t>满足以下最低要求</w:t>
      </w:r>
      <w:r>
        <w:rPr>
          <w:sz w:val="21"/>
        </w:rPr>
        <w:t>）</w:t>
      </w:r>
      <w:r>
        <w:rPr>
          <w:sz w:val="21"/>
        </w:rPr>
        <w:t>：</w:t>
      </w:r>
    </w:p>
    <w:p>
      <w:pPr>
        <w:pStyle w:val="null3"/>
        <w:ind w:firstLine="420"/>
        <w:jc w:val="both"/>
      </w:pPr>
      <w:r>
        <w:rPr>
          <w:sz w:val="21"/>
        </w:rPr>
        <w:t>2.</w:t>
      </w:r>
      <w:r>
        <w:rPr>
          <w:sz w:val="21"/>
        </w:rPr>
        <w:t>22.1 CPU：Xeon GD 6248 2.5G 20</w:t>
      </w:r>
      <w:r>
        <w:rPr>
          <w:sz w:val="21"/>
        </w:rPr>
        <w:t>。</w:t>
      </w:r>
    </w:p>
    <w:p>
      <w:pPr>
        <w:pStyle w:val="null3"/>
        <w:ind w:firstLine="420"/>
        <w:jc w:val="both"/>
      </w:pPr>
      <w:r>
        <w:rPr>
          <w:sz w:val="21"/>
        </w:rPr>
        <w:t>2.</w:t>
      </w:r>
      <w:r>
        <w:rPr>
          <w:sz w:val="21"/>
        </w:rPr>
        <w:t>22.2 内存：32GB DDR4 2933 ECC RDIMM</w:t>
      </w:r>
      <w:r>
        <w:rPr>
          <w:sz w:val="21"/>
        </w:rPr>
        <w:t>。</w:t>
      </w:r>
    </w:p>
    <w:p>
      <w:pPr>
        <w:pStyle w:val="null3"/>
        <w:ind w:firstLine="420"/>
        <w:jc w:val="both"/>
      </w:pPr>
      <w:r>
        <w:rPr>
          <w:sz w:val="21"/>
        </w:rPr>
        <w:t>2.</w:t>
      </w:r>
      <w:r>
        <w:rPr>
          <w:sz w:val="21"/>
        </w:rPr>
        <w:t>22.3 SAS RAID硬盘适配器</w:t>
      </w:r>
      <w:r>
        <w:rPr>
          <w:sz w:val="21"/>
        </w:rPr>
        <w:t>：</w:t>
      </w:r>
      <w:r>
        <w:rPr>
          <w:sz w:val="21"/>
        </w:rPr>
        <w:t>BCM530-8i IOC PCIe SAS适配卡</w:t>
      </w:r>
      <w:r>
        <w:rPr>
          <w:sz w:val="21"/>
        </w:rPr>
        <w:t>。</w:t>
      </w:r>
    </w:p>
    <w:p>
      <w:pPr>
        <w:pStyle w:val="null3"/>
        <w:ind w:firstLine="420"/>
        <w:jc w:val="both"/>
      </w:pPr>
      <w:r>
        <w:rPr>
          <w:sz w:val="21"/>
        </w:rPr>
        <w:t>2.</w:t>
      </w:r>
      <w:r>
        <w:rPr>
          <w:sz w:val="21"/>
        </w:rPr>
        <w:t>22.4 显示器</w:t>
      </w:r>
      <w:r>
        <w:rPr>
          <w:sz w:val="21"/>
        </w:rPr>
        <w:t>：</w:t>
      </w:r>
      <w:r>
        <w:rPr>
          <w:sz w:val="21"/>
        </w:rPr>
        <w:t>≥</w:t>
      </w:r>
      <w:r>
        <w:rPr>
          <w:sz w:val="21"/>
        </w:rPr>
        <w:t>32寸显示器</w:t>
      </w:r>
      <w:r>
        <w:rPr>
          <w:sz w:val="21"/>
        </w:rPr>
        <w:t>，分辨率</w:t>
      </w:r>
      <w:r>
        <w:rPr>
          <w:sz w:val="21"/>
        </w:rPr>
        <w:t>≥</w:t>
      </w:r>
      <w:r>
        <w:rPr>
          <w:sz w:val="21"/>
        </w:rPr>
        <w:t>2560*1440</w:t>
      </w:r>
      <w:r>
        <w:rPr>
          <w:sz w:val="21"/>
        </w:rPr>
        <w:t>。</w:t>
      </w:r>
    </w:p>
    <w:p>
      <w:pPr>
        <w:pStyle w:val="null3"/>
        <w:ind w:firstLine="422"/>
        <w:jc w:val="both"/>
      </w:pPr>
      <w:r>
        <w:rPr>
          <w:sz w:val="21"/>
          <w:b/>
        </w:rPr>
        <w:t>3</w:t>
      </w:r>
      <w:r>
        <w:rPr>
          <w:sz w:val="21"/>
          <w:b/>
        </w:rPr>
        <w:t>.</w:t>
      </w:r>
      <w:r>
        <w:rPr>
          <w:sz w:val="21"/>
          <w:b/>
        </w:rPr>
        <w:t>配置</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6236"/>
        <w:gridCol w:w="2070"/>
      </w:tblGrid>
      <w:tr>
        <w:tc>
          <w:tcPr>
            <w:tcW w:type="dxa" w:w="6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2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高通量</w:t>
            </w:r>
            <w:r>
              <w:rPr>
                <w:sz w:val="21"/>
              </w:rPr>
              <w:t>二代测序</w:t>
            </w:r>
            <w:r>
              <w:rPr>
                <w:sz w:val="21"/>
              </w:rPr>
              <w:t>系统</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测序前文库加样质控模块</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多通道超快速核酸样本检测平台</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测序数据分析软件</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掌上离心机</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5台</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w:t>
            </w:r>
            <w:r>
              <w:rPr>
                <w:sz w:val="21"/>
              </w:rPr>
              <w:t>PCR仪</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数据分析服务器</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装机调试试剂</w:t>
            </w:r>
          </w:p>
        </w:tc>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pPr>
      <w:r>
        <w:rPr/>
        <w:t>采购包1（高通量二代测序系统）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采购人微检实验室具备安装条件后，由采购人通知送货，并在7天内安装、调试完毕</w:t>
            </w:r>
          </w:p>
        </w:tc>
      </w:tr>
      <w:tr>
        <w:tc>
          <w:tcPr>
            <w:tcW w:type="dxa" w:w="4153"/>
          </w:tcPr>
          <w:p>
            <w:pPr>
              <w:pStyle w:val="null3"/>
            </w:pPr>
            <w:r>
              <w:rPr/>
              <w:t>标的提供的地点</w:t>
            </w:r>
          </w:p>
        </w:tc>
        <w:tc>
          <w:tcPr>
            <w:tcW w:type="dxa" w:w="4153"/>
          </w:tcPr>
          <w:p>
            <w:pPr>
              <w:pStyle w:val="null3"/>
            </w:pPr>
            <w:r>
              <w:rPr/>
              <w:t>江门市疾病预防控制中心指定地点</w:t>
            </w:r>
          </w:p>
        </w:tc>
      </w:tr>
      <w:tr>
        <w:tc>
          <w:tcPr>
            <w:tcW w:type="dxa" w:w="4153"/>
          </w:tcPr>
          <w:p>
            <w:pPr>
              <w:pStyle w:val="null3"/>
            </w:pPr>
            <w:r>
              <w:rPr/>
              <w:t>付款方式</w:t>
            </w:r>
          </w:p>
        </w:tc>
        <w:tc>
          <w:tcPr>
            <w:tcW w:type="dxa" w:w="4153"/>
          </w:tcPr>
          <w:p>
            <w:pPr>
              <w:pStyle w:val="null3"/>
            </w:pPr>
            <w:r>
              <w:rPr/>
              <w:t>1期：支付比例30%,采购人确定收到履约保证金后30日内，采购人向中标人预付合同款的30%。注：中标人需于采购人付款前10个工作日向采购人提供与预付款金额相符的有效发票，且收款方、出具发票方、合同乙方均必须与中标人名称一致。</w:t>
            </w:r>
          </w:p>
          <w:p>
            <w:pPr>
              <w:pStyle w:val="null3"/>
            </w:pPr>
            <w:r>
              <w:rPr/>
              <w:t>2期：支付比例70%,中标人将设备安装完毕并经双方验收合格后30日内，采购人向中标人支付合同款的70%。注：中标人需于采购人付款前10个工作日向采购人提供与预付款金额相符的有效发票，且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 （2）验收方法：采购人派遣有经验有能力的人员检验产品和工程的质量和指标。 （3）验收标准：符合国家及厂家相关技术标准；符合招标文件、中标人的投标文件、澄清文件和中标通知书的要求（以上文件存在差异时，以较高标准为准）；单证齐全，有产品合格证（或质量保证书）、发票和其它应当具有单证文件。 （4）采购人对中标人产品质量的验收为表面验收，不能视为采购人对中标人供应的产品质量完全验收，如采购人在使用的过程中发现中标人供应的产品存在质量问题不符合合同约定的，采购人依然有权要求中标人退换或追究中标人其他的违约责任。</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账号：103001517010004211</w:t>
            </w:r>
          </w:p>
          <w:p>
            <w:pPr>
              <w:pStyle w:val="null3"/>
            </w:pPr>
            <w:r>
              <w:rPr/>
              <w:t>户名：江门市疾病预防控制中心</w:t>
            </w:r>
          </w:p>
          <w:p>
            <w:pPr>
              <w:pStyle w:val="null3"/>
            </w:pPr>
            <w:r>
              <w:rPr/>
              <w:t>开户行：广发银行江门分行</w:t>
            </w:r>
          </w:p>
          <w:p>
            <w:pPr>
              <w:pStyle w:val="null3"/>
            </w:pPr>
            <w:r>
              <w:rPr/>
              <w:t>支票提交方式：中标后按要求提供</w:t>
            </w:r>
          </w:p>
          <w:p>
            <w:pPr>
              <w:pStyle w:val="null3"/>
            </w:pPr>
            <w:r>
              <w:rPr/>
              <w:t>汇票、本票提交方式：中标后按要求提供</w:t>
            </w:r>
          </w:p>
          <w:p>
            <w:pPr>
              <w:pStyle w:val="null3"/>
            </w:pPr>
            <w:r>
              <w:rPr/>
              <w:t>说明：（1）中标人须在合同签订后的5个工作日内向采购人支付合同总金额的5%作为履约保证金，可转账或采取银行保函形式，银行保函有效期至设备验收合格；如转账支付履约保证金的，验收合格后由采购人不计利息退还履约保证金，免费保修期依然生效。 （2）中标人违反合同及其附件约定的任何义务，采购人有权在履约保证金中直接扣除中标人应向采购人支付的违约金或损失赔偿额，如有不足的，中标人应按照采购人要求对超过的部分予以赔偿。采购人扣除履约保证金后，中标人应按照采购人要求补足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w:t>
            </w:r>
          </w:p>
        </w:tc>
        <w:tc>
          <w:tcPr>
            <w:tcW w:type="dxa" w:w="2076"/>
          </w:tcPr>
          <w:p>
            <w:pPr>
              <w:pStyle w:val="null3"/>
              <w:jc w:val="left"/>
            </w:pPr>
            <w:r>
              <w:rPr/>
              <w:t>经双方验收合格之日起计算不少于1年，保修费用已含在投标报价中。</w:t>
            </w:r>
          </w:p>
        </w:tc>
      </w:tr>
      <w:tr>
        <w:tc>
          <w:tcPr>
            <w:tcW w:type="dxa" w:w="2076"/>
          </w:tcPr>
          <w:p/>
        </w:tc>
        <w:tc>
          <w:tcPr>
            <w:tcW w:type="dxa" w:w="2076"/>
          </w:tcPr>
          <w:p>
            <w:pPr>
              <w:pStyle w:val="null3"/>
              <w:jc w:val="center"/>
            </w:pPr>
            <w:r>
              <w:rPr/>
              <w:t>3</w:t>
            </w:r>
          </w:p>
        </w:tc>
        <w:tc>
          <w:tcPr>
            <w:tcW w:type="dxa" w:w="2076"/>
          </w:tcPr>
          <w:p>
            <w:pPr>
              <w:pStyle w:val="null3"/>
              <w:jc w:val="left"/>
            </w:pPr>
            <w:r>
              <w:rPr/>
              <w:t>项目实施要求</w:t>
            </w:r>
          </w:p>
        </w:tc>
        <w:tc>
          <w:tcPr>
            <w:tcW w:type="dxa" w:w="2076"/>
          </w:tcPr>
          <w:p>
            <w:pPr>
              <w:pStyle w:val="null3"/>
              <w:jc w:val="left"/>
            </w:pPr>
            <w:r>
              <w:rPr/>
              <w:t>投标人针对本项目提供项目实施方案（包括：实施供货计划、项目组织管理及人员安排、包装运输方案、安装测试方案）。</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投标人针对本项目提供培训方案（包括：培训目标制定与落实措施、培训次数针对性落实措施、师资力量调配和安排措施、结合本项目培训内容与计划制定及完善措施）。</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投标人针对本项目提供售后服务方案（包括：服务响应时间、零配件供应情况、维保服务内容、维修人员配备情况）。</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高通量二代测序系统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高通量二代测序系统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采购包1(高通量二代测序系统)：综合评分法,是指投标文件满足招标文件全部实质性要求，且按照评审因素的量化指标评审得分最高的投标人为中标候选人的评标方法。（最低报价不是中标的唯一依据。）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采购包1（高通量二代测序系统）：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采购包1（高通量二代测序系统）：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采购包1（高通量二代测序系统）：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采购包1(高通量二代测序系统):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(33.0分)</w:t>
            </w:r>
          </w:p>
        </w:tc>
        <w:tc>
          <w:tcPr>
            <w:tcW w:type="dxa" w:w="5076"/>
          </w:tcPr>
          <w:p>
            <w:pPr>
              <w:pStyle w:val="null3"/>
              <w:jc w:val="left"/>
            </w:pPr>
            <w:r>
              <w:rPr/>
              <w:t>根据投标人所投产品对采购需求中“技术标准与要求”带“▲”的重要技术条款（11条，以最低一级编号的条款为1条，标题不计入）的响应情况进行评审： 每有一条满足得3分，最高得33分。计算结果保留小数点两位，第三位四舍五入。 【注：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(15.0分)</w:t>
            </w:r>
          </w:p>
        </w:tc>
        <w:tc>
          <w:tcPr>
            <w:tcW w:type="dxa" w:w="5076"/>
          </w:tcPr>
          <w:p>
            <w:pPr>
              <w:pStyle w:val="null3"/>
              <w:jc w:val="left"/>
            </w:pPr>
            <w:r>
              <w:rPr/>
              <w:t>根据投标人所投产品对采购需求中“技术标准与要求”不带“▲”“★”号的一般技术条款（25条，以最低一级编号的条款为1条，标题不计入）的响应情况进行评审： （1）完全满足得15分； （2）如有负偏离，则本项得分=15-负偏离条款数/25×15。计算结果保留2位小数，第三位四舍五入。 【注：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根据投标人提供的项目实施方案（包括：实施供货计划、项目组织管理及人员安排、包装运输方案、安装测试方案）等内容进行评审： 方案内容描述全面且清晰，可行性高，符合或优于采购需求实际情况，得6分； 方案内容完整但不够详细，仍具有可行性，符合采购需求实际情况，得3分； 方案内容简单有缺漏，可行性不强，存在部分不符合采购需求实际情况的情形，得1分； 方案内容有缺漏或方案不符合采购需求实际情况或未提供方案的，不得分。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根据投标人提供的培训方案（包括：培训目标制定与落实措施、培训次数针对性落实措施、师资力量调配和安排措施、结合本项目培训内容与计划制定及完善措施）等内容进行评审： 方案内容描述全面且清晰，可行性高，符合或优于采购需求实际情况，得6分； 方案内容完整但不够详细，仍具有可行性，符合采购需求实际情况，得3分； 方案内容简单有缺漏，可行性不强，存在部分不符合采购需求实际情况的情形，得1分； 方案内容有缺漏或方案不符合采购需求实际情况或未提供方案的，不得分。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投标人自2023年1月1日以来具有高通量二代测序系统的供货业绩，每个得2分，最高得4分。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根据投标人提供的售后服务方案（包括：服务响应时间、零配件供应情况、维保服务内容、维修人员配备情况）等内容进行评审： 方案内容描述全面且清晰，可行性高，符合或优于采购需求实际情况，得6分； 方案内容完整但不够详细，仍具有可行性，符合采购需求实际情况，得3分； 方案内容简单有缺漏，可行性不强，存在部分不符合采购需求实际情况的情形，得1分； 方案内容有缺漏或方案不符合采购需求实际情况或未提供方案的，不得分。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设备采购</w:t>
      </w:r>
      <w:r>
        <w:rPr>
          <w:sz w:val="28"/>
          <w:b/>
        </w:rPr>
        <w:t>合同</w:t>
      </w:r>
    </w:p>
    <w:p>
      <w:pPr>
        <w:pStyle w:val="null3"/>
        <w:jc w:val="both"/>
      </w:pPr>
      <w:r>
        <w:rPr/>
        <w:t xml:space="preserve"> </w:t>
      </w:r>
    </w:p>
    <w:p>
      <w:pPr>
        <w:pStyle w:val="null3"/>
        <w:jc w:val="both"/>
      </w:pPr>
      <w:r>
        <w:rPr>
          <w:sz w:val="24"/>
        </w:rPr>
        <w:t>购货单位：</w:t>
      </w:r>
      <w:r>
        <w:rPr>
          <w:sz w:val="21"/>
          <w:u w:val="single"/>
        </w:rPr>
        <w:t xml:space="preserve">  </w:t>
      </w:r>
      <w:r>
        <w:rPr>
          <w:sz w:val="21"/>
          <w:u w:val="single"/>
        </w:rPr>
        <w:t xml:space="preserve"> </w:t>
      </w:r>
      <w:r>
        <w:rPr>
          <w:sz w:val="21"/>
          <w:u w:val="single"/>
        </w:rPr>
        <w:t xml:space="preserve">                </w:t>
      </w:r>
      <w:r>
        <w:rPr>
          <w:sz w:val="24"/>
        </w:rPr>
        <w:t>（以下简称甲方）</w:t>
      </w:r>
    </w:p>
    <w:p>
      <w:pPr>
        <w:pStyle w:val="null3"/>
        <w:jc w:val="both"/>
      </w:pPr>
      <w:r>
        <w:rPr>
          <w:sz w:val="24"/>
        </w:rPr>
        <w:t>供货单位：</w:t>
      </w:r>
      <w:r>
        <w:rPr>
          <w:sz w:val="21"/>
          <w:u w:val="single"/>
        </w:rPr>
        <w:t xml:space="preserve">                 </w:t>
      </w:r>
      <w:r>
        <w:rPr>
          <w:sz w:val="21"/>
          <w:u w:val="single"/>
        </w:rPr>
        <w:t xml:space="preserve"> </w:t>
      </w:r>
      <w:r>
        <w:rPr>
          <w:sz w:val="21"/>
          <w:u w:val="single"/>
        </w:rPr>
        <w:t xml:space="preserve"> </w:t>
      </w:r>
      <w:r>
        <w:rPr>
          <w:sz w:val="24"/>
        </w:rPr>
        <w:t>（以下简称乙方）</w:t>
      </w:r>
    </w:p>
    <w:p>
      <w:pPr>
        <w:pStyle w:val="null3"/>
        <w:jc w:val="both"/>
      </w:pPr>
      <w:r>
        <w:rPr/>
        <w:t xml:space="preserve"> </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的采购结果、招标文件、乙方的投标文件及澄清文件和中标通知书的要求，经双方协商一致，订立合同如下：</w:t>
      </w:r>
    </w:p>
    <w:p>
      <w:pPr>
        <w:pStyle w:val="null3"/>
        <w:ind w:firstLine="482"/>
        <w:jc w:val="both"/>
      </w:pPr>
      <w:r>
        <w:rPr>
          <w:sz w:val="24"/>
          <w:b/>
        </w:rPr>
        <w:t>第一条</w:t>
      </w:r>
      <w:r>
        <w:rPr>
          <w:sz w:val="21"/>
          <w:b/>
        </w:rPr>
        <w:t xml:space="preserve">  </w:t>
      </w:r>
      <w:r>
        <w:rPr>
          <w:sz w:val="24"/>
          <w:b/>
        </w:rPr>
        <w:t>项目的名称、项目总价和项目货物的清单（名称、数量、规格、单价、型号、品牌和技术指标等）</w:t>
      </w:r>
    </w:p>
    <w:p>
      <w:pPr>
        <w:pStyle w:val="null3"/>
        <w:ind w:firstLine="480"/>
        <w:jc w:val="both"/>
      </w:pPr>
      <w:r>
        <w:rPr>
          <w:sz w:val="24"/>
        </w:rPr>
        <w:t>（一）项目名称：</w:t>
      </w:r>
      <w:r>
        <w:rPr>
          <w:sz w:val="21"/>
          <w:u w:val="single"/>
        </w:rPr>
        <w:t xml:space="preserve"> </w:t>
      </w:r>
      <w:r>
        <w:rPr>
          <w:sz w:val="21"/>
          <w:u w:val="single"/>
        </w:rPr>
        <w:t xml:space="preserve">          </w:t>
      </w:r>
      <w:r>
        <w:rPr>
          <w:sz w:val="21"/>
          <w:u w:val="single"/>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72"/>
        <w:gridCol w:w="1044"/>
        <w:gridCol w:w="1094"/>
        <w:gridCol w:w="1479"/>
        <w:gridCol w:w="944"/>
        <w:gridCol w:w="596"/>
        <w:gridCol w:w="1318"/>
        <w:gridCol w:w="1318"/>
      </w:tblGrid>
      <w:tr>
        <w:tc>
          <w:tcPr>
            <w:tcW w:type="dxa" w:w="47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104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货物名称</w:t>
            </w:r>
          </w:p>
        </w:tc>
        <w:tc>
          <w:tcPr>
            <w:tcW w:type="dxa" w:w="10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注册证名称</w:t>
            </w:r>
            <w:r>
              <w:rPr>
                <w:sz w:val="24"/>
                <w:b/>
              </w:rPr>
              <w:t>（</w:t>
            </w:r>
            <w:r>
              <w:rPr>
                <w:sz w:val="24"/>
                <w:b/>
              </w:rPr>
              <w:t>如有</w:t>
            </w:r>
            <w:r>
              <w:rPr>
                <w:sz w:val="24"/>
                <w:b/>
              </w:rPr>
              <w:t>）</w:t>
            </w:r>
          </w:p>
        </w:tc>
        <w:tc>
          <w:tcPr>
            <w:tcW w:type="dxa" w:w="147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产地和</w:t>
            </w:r>
          </w:p>
          <w:p>
            <w:pPr>
              <w:pStyle w:val="null3"/>
              <w:jc w:val="center"/>
            </w:pPr>
            <w:r>
              <w:rPr>
                <w:sz w:val="24"/>
                <w:b/>
              </w:rPr>
              <w:t>制造商名称</w:t>
            </w:r>
          </w:p>
        </w:tc>
        <w:tc>
          <w:tcPr>
            <w:tcW w:type="dxa" w:w="94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规格、型号</w:t>
            </w:r>
          </w:p>
        </w:tc>
        <w:tc>
          <w:tcPr>
            <w:tcW w:type="dxa" w:w="5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数量</w:t>
            </w:r>
          </w:p>
        </w:tc>
        <w:tc>
          <w:tcPr>
            <w:tcW w:type="dxa" w:w="131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单价</w:t>
            </w:r>
            <w:r>
              <w:rPr>
                <w:sz w:val="24"/>
                <w:b/>
              </w:rPr>
              <w:t>(</w:t>
            </w:r>
            <w:r>
              <w:rPr>
                <w:sz w:val="24"/>
                <w:b/>
              </w:rPr>
              <w:t>元）</w:t>
            </w:r>
          </w:p>
        </w:tc>
        <w:tc>
          <w:tcPr>
            <w:tcW w:type="dxa" w:w="131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总价</w:t>
            </w:r>
            <w:r>
              <w:rPr>
                <w:sz w:val="24"/>
                <w:b/>
              </w:rPr>
              <w:t>(</w:t>
            </w:r>
            <w:r>
              <w:rPr>
                <w:sz w:val="24"/>
                <w:b/>
              </w:rPr>
              <w:t>元）</w:t>
            </w:r>
          </w:p>
        </w:tc>
      </w:tr>
      <w:tr>
        <w:tc>
          <w:tcPr>
            <w:tcW w:type="dxa" w:w="47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0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9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sz w:val="19"/>
              </w:rPr>
              <w:t xml:space="preserve"> </w:t>
            </w:r>
          </w:p>
          <w:p>
            <w:pPr>
              <w:pStyle w:val="null3"/>
            </w:pPr>
            <w:r>
              <w:rPr>
                <w:sz w:val="19"/>
              </w:rPr>
              <w:t xml:space="preserve"> </w:t>
            </w:r>
          </w:p>
          <w:p>
            <w:pPr>
              <w:pStyle w:val="null3"/>
              <w:jc w:val="center"/>
            </w:pPr>
          </w:p>
        </w:tc>
        <w:tc>
          <w:tcPr>
            <w:tcW w:type="dxa" w:w="59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9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sz w:val="19"/>
              </w:rPr>
              <w:t xml:space="preserve"> </w:t>
            </w:r>
          </w:p>
          <w:p>
            <w:pPr>
              <w:pStyle w:val="null3"/>
            </w:pPr>
            <w:r>
              <w:rPr>
                <w:sz w:val="19"/>
              </w:rPr>
              <w:t xml:space="preserve"> </w:t>
            </w:r>
          </w:p>
          <w:p>
            <w:pPr>
              <w:pStyle w:val="null3"/>
              <w:jc w:val="center"/>
            </w:pPr>
          </w:p>
        </w:tc>
        <w:tc>
          <w:tcPr>
            <w:tcW w:type="dxa" w:w="59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rPr>
              <w:t>合计：人民币（大写）：</w:t>
            </w:r>
            <w:r>
              <w:rPr>
                <w:sz w:val="24"/>
              </w:rPr>
              <w:t>XXXXXX</w:t>
            </w:r>
            <w:r>
              <w:rPr>
                <w:sz w:val="24"/>
              </w:rPr>
              <w:t>元；（小写）</w:t>
            </w:r>
            <w:r>
              <w:rPr>
                <w:sz w:val="24"/>
              </w:rPr>
              <w:t>XXXXXX</w:t>
            </w:r>
          </w:p>
          <w:p>
            <w:pPr>
              <w:pStyle w:val="null3"/>
              <w:jc w:val="both"/>
            </w:pPr>
            <w:r>
              <w:rPr>
                <w:sz w:val="24"/>
              </w:rPr>
              <w:t>（其中，货物价格为</w:t>
            </w:r>
            <w:r>
              <w:rPr>
                <w:sz w:val="24"/>
              </w:rPr>
              <w:t>XXXXXX</w:t>
            </w:r>
            <w:r>
              <w:rPr>
                <w:sz w:val="24"/>
              </w:rPr>
              <w:t>元；税金为</w:t>
            </w:r>
            <w:r>
              <w:rPr>
                <w:sz w:val="24"/>
              </w:rPr>
              <w:t>XXXXXX</w:t>
            </w:r>
            <w:r>
              <w:rPr>
                <w:sz w:val="24"/>
              </w:rPr>
              <w:t>元）</w:t>
            </w:r>
          </w:p>
        </w:tc>
      </w:tr>
      <w:tr>
        <w:tc>
          <w:tcPr>
            <w:tcW w:type="dxa" w:w="8265"/>
            <w:gridSpan w:val="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备注：</w:t>
            </w:r>
            <w:r>
              <w:rPr>
                <w:sz w:val="24"/>
              </w:rPr>
              <w:t>注册证编号</w:t>
            </w:r>
            <w:r>
              <w:rPr>
                <w:sz w:val="24"/>
              </w:rPr>
              <w:t>（</w:t>
            </w:r>
            <w:r>
              <w:rPr>
                <w:sz w:val="24"/>
              </w:rPr>
              <w:t>如有</w:t>
            </w:r>
            <w:r>
              <w:rPr>
                <w:sz w:val="24"/>
              </w:rPr>
              <w:t>）</w:t>
            </w:r>
            <w:r>
              <w:rPr>
                <w:sz w:val="24"/>
              </w:rPr>
              <w:t>：</w:t>
            </w:r>
          </w:p>
        </w:tc>
      </w:tr>
    </w:tbl>
    <w:p>
      <w:pPr>
        <w:pStyle w:val="null3"/>
        <w:ind w:firstLine="480"/>
        <w:jc w:val="both"/>
      </w:pPr>
      <w:r>
        <w:rPr>
          <w:sz w:val="24"/>
        </w:rPr>
        <w:t>（二）项目总价是完成项目的含税全包价，包括但不限于本合同约定的设备（包括但不限于厂家标准配置所包括的全部零配件、备品备件及专用工具等）的制造、装卸、运输、保险、安装、调试、验收、售后服务、培训、技术文件（包括但不限于相应的操作手册、维护手册、质量保证文件及服务指南等）、其他伴随服务、关税、销售税、其他税等。所有价格变动的风险均由乙方承担，甲方不需再向乙方支付任何其他费用。</w:t>
      </w:r>
    </w:p>
    <w:p>
      <w:pPr>
        <w:pStyle w:val="null3"/>
        <w:ind w:firstLine="480"/>
        <w:jc w:val="both"/>
      </w:pPr>
      <w:r>
        <w:rPr>
          <w:sz w:val="24"/>
        </w:rPr>
        <w:t>项目总价为（大写）</w:t>
      </w:r>
      <w:r>
        <w:rPr>
          <w:sz w:val="21"/>
          <w:u w:val="single"/>
        </w:rPr>
        <w:t xml:space="preserve"> </w:t>
      </w:r>
      <w:r>
        <w:rPr>
          <w:sz w:val="24"/>
          <w:u w:val="single"/>
        </w:rPr>
        <w:t>¥</w:t>
      </w:r>
      <w:r>
        <w:rPr>
          <w:sz w:val="21"/>
          <w:u w:val="single"/>
        </w:rPr>
        <w:t xml:space="preserve">                 </w:t>
      </w:r>
      <w:r>
        <w:rPr>
          <w:sz w:val="24"/>
        </w:rPr>
        <w:t>；</w:t>
      </w:r>
    </w:p>
    <w:p>
      <w:pPr>
        <w:pStyle w:val="null3"/>
        <w:ind w:firstLine="480"/>
        <w:jc w:val="both"/>
      </w:pPr>
      <w:r>
        <w:rPr>
          <w:sz w:val="24"/>
        </w:rPr>
        <w:t>（小写）</w:t>
      </w:r>
      <w:r>
        <w:rPr>
          <w:sz w:val="21"/>
          <w:u w:val="single"/>
        </w:rPr>
        <w:t xml:space="preserve"> </w:t>
      </w:r>
      <w:r>
        <w:rPr>
          <w:sz w:val="24"/>
          <w:u w:val="single"/>
        </w:rPr>
        <w:t>人民币</w:t>
      </w:r>
      <w:r>
        <w:rPr>
          <w:sz w:val="21"/>
          <w:u w:val="single"/>
        </w:rPr>
        <w:t xml:space="preserve">                  </w:t>
      </w:r>
      <w:r>
        <w:rPr>
          <w:sz w:val="24"/>
        </w:rPr>
        <w:t>。</w:t>
      </w:r>
    </w:p>
    <w:p>
      <w:pPr>
        <w:pStyle w:val="null3"/>
        <w:ind w:firstLine="480"/>
        <w:jc w:val="both"/>
      </w:pPr>
      <w:r>
        <w:rPr>
          <w:sz w:val="24"/>
        </w:rPr>
        <w:t>（三）货物及配置清单：</w:t>
      </w:r>
      <w:r>
        <w:rPr>
          <w:sz w:val="21"/>
          <w:u w:val="single"/>
        </w:rPr>
        <w:t xml:space="preserve">   </w:t>
      </w:r>
      <w:r>
        <w:rPr>
          <w:sz w:val="21"/>
          <w:u w:val="single"/>
        </w:rPr>
        <w:t xml:space="preserve"> </w:t>
      </w:r>
      <w:r>
        <w:rPr>
          <w:sz w:val="21"/>
          <w:u w:val="single"/>
        </w:rPr>
        <w:t xml:space="preserve">                </w:t>
      </w:r>
      <w:r>
        <w:rPr>
          <w:sz w:val="24"/>
        </w:rPr>
        <w:t>；</w:t>
      </w:r>
    </w:p>
    <w:p>
      <w:pPr>
        <w:pStyle w:val="null3"/>
        <w:ind w:firstLine="480"/>
        <w:jc w:val="both"/>
      </w:pPr>
      <w:r>
        <w:rPr>
          <w:sz w:val="24"/>
        </w:rPr>
        <w:t>（四）项目内容：</w:t>
      </w:r>
      <w:r>
        <w:rPr>
          <w:sz w:val="21"/>
          <w:u w:val="single"/>
        </w:rPr>
        <w:t xml:space="preserve">  </w:t>
      </w:r>
      <w:r>
        <w:rPr>
          <w:sz w:val="24"/>
          <w:u w:val="single"/>
        </w:rPr>
        <w:t>按照本合同约定、招标文件、乙方的投标文件、澄清文件和中标通知书的要求执行（以上文件存在差异时，以较高标准为准）</w:t>
      </w:r>
      <w:r>
        <w:rPr>
          <w:sz w:val="21"/>
          <w:u w:val="single"/>
        </w:rPr>
        <w:t xml:space="preserve">  </w:t>
      </w:r>
      <w:r>
        <w:rPr>
          <w:sz w:val="24"/>
        </w:rPr>
        <w:t>。</w:t>
      </w:r>
    </w:p>
    <w:p>
      <w:pPr>
        <w:pStyle w:val="null3"/>
        <w:ind w:firstLine="482"/>
        <w:jc w:val="both"/>
      </w:pPr>
      <w:r>
        <w:rPr>
          <w:sz w:val="24"/>
          <w:b/>
        </w:rPr>
        <w:t>第二条</w:t>
      </w:r>
      <w:r>
        <w:rPr>
          <w:sz w:val="21"/>
          <w:b/>
        </w:rPr>
        <w:t xml:space="preserve">  </w:t>
      </w:r>
      <w:r>
        <w:rPr>
          <w:sz w:val="24"/>
          <w:b/>
        </w:rPr>
        <w:t>货物的质量要求、售后服务及损害赔偿</w:t>
      </w:r>
    </w:p>
    <w:p>
      <w:pPr>
        <w:pStyle w:val="null3"/>
        <w:ind w:firstLine="480"/>
        <w:jc w:val="both"/>
      </w:pPr>
      <w:r>
        <w:rPr>
          <w:sz w:val="24"/>
        </w:rPr>
        <w:t>（一）货物的质量要求：符合国家有关标准、制造厂家标准，按照本合同约定、招标文件、乙方的投标文件、澄清文件和中标通知书的要求执行。</w:t>
      </w:r>
    </w:p>
    <w:p>
      <w:pPr>
        <w:pStyle w:val="null3"/>
        <w:ind w:firstLine="480"/>
        <w:jc w:val="both"/>
      </w:pPr>
      <w:r>
        <w:rPr>
          <w:sz w:val="24"/>
        </w:rPr>
        <w:t>（二）售后服务要求：</w:t>
      </w:r>
    </w:p>
    <w:p>
      <w:pPr>
        <w:pStyle w:val="null3"/>
        <w:ind w:firstLine="480"/>
        <w:jc w:val="both"/>
      </w:pPr>
      <w:r>
        <w:rPr>
          <w:sz w:val="24"/>
        </w:rPr>
        <w:t>1</w:t>
      </w:r>
      <w:r>
        <w:rPr>
          <w:sz w:val="24"/>
        </w:rPr>
        <w:t>、乙方须有属乙方本公司的可随时上门至甲方进行维修及检测的工程师，设备出现故障时，乙方应自报障时起算，</w:t>
      </w:r>
      <w:r>
        <w:rPr>
          <w:sz w:val="21"/>
          <w:u w:val="single"/>
        </w:rPr>
        <w:t xml:space="preserve">    </w:t>
      </w:r>
      <w:r>
        <w:rPr>
          <w:sz w:val="24"/>
        </w:rPr>
        <w:t>小时内响应，</w:t>
      </w:r>
      <w:r>
        <w:rPr>
          <w:sz w:val="21"/>
          <w:u w:val="single"/>
        </w:rPr>
        <w:t xml:space="preserve">         </w:t>
      </w:r>
      <w:r>
        <w:rPr>
          <w:sz w:val="24"/>
        </w:rPr>
        <w:t>小时内到达现场，</w:t>
      </w:r>
      <w:r>
        <w:rPr>
          <w:sz w:val="21"/>
          <w:u w:val="single"/>
        </w:rPr>
        <w:t xml:space="preserve">    </w:t>
      </w:r>
      <w:r>
        <w:rPr>
          <w:sz w:val="24"/>
        </w:rPr>
        <w:t>小时内解决问题。如果设备故障在规定时间内仍无法排除，乙方应在随后</w:t>
      </w:r>
      <w:r>
        <w:rPr>
          <w:sz w:val="21"/>
          <w:u w:val="single"/>
        </w:rPr>
        <w:t xml:space="preserve">        </w:t>
      </w:r>
      <w:r>
        <w:rPr>
          <w:sz w:val="24"/>
        </w:rPr>
        <w:t>小时内提供不低于故障设备规格型号档次的备用设备供甲方代替使用，直至故障设备修复，确保设备的正常使用。若乙方不能按照合同约定提供售后服务，或者在规定时间内无法解决问题的，甲方有权另行聘请第三方进行处理，由此产生的费用由乙方承担。</w:t>
      </w:r>
    </w:p>
    <w:p>
      <w:pPr>
        <w:pStyle w:val="null3"/>
        <w:ind w:firstLine="480"/>
        <w:jc w:val="both"/>
      </w:pPr>
      <w:r>
        <w:rPr>
          <w:sz w:val="24"/>
        </w:rPr>
        <w:t>2、乙方提供专门的售后服务队伍，提供24小时服务热线、7×24的上门服务等售后服务。紧急情况下（例如项目出现故障影响甲方工作等），乙方须按照甲方另行规定的合理时间响应及解决故障。</w:t>
      </w:r>
    </w:p>
    <w:p>
      <w:pPr>
        <w:pStyle w:val="null3"/>
        <w:ind w:firstLine="480"/>
        <w:jc w:val="both"/>
      </w:pPr>
      <w:r>
        <w:rPr>
          <w:sz w:val="24"/>
        </w:rPr>
        <w:t>3、本合同下所有设备保修期</w:t>
      </w:r>
      <w:r>
        <w:rPr>
          <w:sz w:val="24"/>
        </w:rPr>
        <w:t>自验收合格之日起</w:t>
      </w:r>
      <w:r>
        <w:rPr>
          <w:sz w:val="21"/>
          <w:u w:val="single"/>
        </w:rPr>
        <w:t xml:space="preserve">       </w:t>
      </w:r>
      <w:r>
        <w:rPr>
          <w:sz w:val="24"/>
        </w:rPr>
        <w:t>年</w:t>
      </w:r>
      <w:r>
        <w:rPr>
          <w:sz w:val="24"/>
        </w:rPr>
        <w:t>，</w:t>
      </w:r>
      <w:r>
        <w:rPr>
          <w:sz w:val="24"/>
        </w:rPr>
        <w:t>保修期内，乙方负责免费维修，免费维修的范围包括但不限于更换零件费用及维修工时费等；保修期自本合同项下的设备经甲乙双方验收合格之日起计算。保修期满后，由乙方提供终身维护服务，为甲方提供维修、维护以等服务。无论在保修期内或是期满后，乙方均提供上门服务。</w:t>
      </w:r>
    </w:p>
    <w:p>
      <w:pPr>
        <w:pStyle w:val="null3"/>
        <w:ind w:firstLine="480"/>
        <w:jc w:val="both"/>
      </w:pPr>
      <w:r>
        <w:rPr>
          <w:sz w:val="24"/>
        </w:rPr>
        <w:t>4、乙方负责在甲方现场培训甲方有关技术人员，直至掌握操作技术为止。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0"/>
        <w:jc w:val="both"/>
      </w:pPr>
      <w:r>
        <w:rPr>
          <w:sz w:val="24"/>
        </w:rPr>
        <w:t>（四）乙方保证所提供的货物、技术服务无任何法律争议和质量问题，不存在对任何第三方的侵权（包括但不限于所有权、知识产权），如与第三方出现了纠纷或存在侵权行为，由此引起的一切法律后果均由乙方承担，且甲方有权解除合同，乙方按合同总价的</w:t>
      </w:r>
      <w:r>
        <w:rPr>
          <w:sz w:val="21"/>
          <w:u w:val="single"/>
        </w:rPr>
        <w:t xml:space="preserve">       </w:t>
      </w:r>
      <w:r>
        <w:rPr>
          <w:sz w:val="24"/>
        </w:rPr>
        <w:t>%向甲方支付违约金。</w:t>
      </w:r>
    </w:p>
    <w:p>
      <w:pPr>
        <w:pStyle w:val="null3"/>
        <w:ind w:firstLine="482"/>
        <w:jc w:val="both"/>
      </w:pPr>
      <w:r>
        <w:rPr>
          <w:sz w:val="24"/>
          <w:b/>
        </w:rPr>
        <w:t>第三条</w:t>
      </w:r>
      <w:r>
        <w:rPr>
          <w:sz w:val="21"/>
          <w:b/>
        </w:rPr>
        <w:t xml:space="preserve">  </w:t>
      </w:r>
      <w:r>
        <w:rPr>
          <w:sz w:val="24"/>
          <w:b/>
        </w:rPr>
        <w:t>交货和安装</w:t>
      </w:r>
    </w:p>
    <w:p>
      <w:pPr>
        <w:pStyle w:val="null3"/>
        <w:ind w:firstLine="480"/>
        <w:jc w:val="both"/>
      </w:pPr>
      <w:r>
        <w:rPr>
          <w:sz w:val="24"/>
        </w:rPr>
        <w:t>（一）交货期：</w:t>
      </w:r>
      <w:r>
        <w:rPr>
          <w:sz w:val="21"/>
          <w:u w:val="single"/>
        </w:rPr>
        <w:t xml:space="preserve"> </w:t>
      </w:r>
      <w:r>
        <w:rPr>
          <w:sz w:val="21"/>
          <w:u w:val="single"/>
        </w:rPr>
        <w:t xml:space="preserve">  </w:t>
      </w:r>
      <w:r>
        <w:rPr>
          <w:sz w:val="21"/>
          <w:u w:val="single"/>
        </w:rPr>
        <w:t xml:space="preserve">               </w:t>
      </w:r>
      <w:r>
        <w:rPr>
          <w:sz w:val="24"/>
        </w:rPr>
        <w:t>（时间）。乙方应提供设备的技术文件，包括相应的操作手册、维护手册、质量保证文件、服务指南等，这些文件应随同设备一起发运至甲方。</w:t>
      </w:r>
    </w:p>
    <w:p>
      <w:pPr>
        <w:pStyle w:val="null3"/>
        <w:ind w:firstLine="480"/>
        <w:jc w:val="both"/>
      </w:pPr>
      <w:r>
        <w:rPr>
          <w:sz w:val="24"/>
        </w:rPr>
        <w:t>（二）交货方式：乙方负责将货物送至</w:t>
      </w:r>
      <w:r>
        <w:rPr>
          <w:sz w:val="21"/>
          <w:u w:val="single"/>
        </w:rPr>
        <w:t xml:space="preserve"> </w:t>
      </w:r>
      <w:r>
        <w:rPr>
          <w:sz w:val="21"/>
          <w:u w:val="single"/>
        </w:rPr>
        <w:t xml:space="preserve">                </w:t>
      </w:r>
      <w:r>
        <w:rPr>
          <w:sz w:val="24"/>
        </w:rPr>
        <w:t xml:space="preserve"> </w:t>
      </w:r>
      <w:r>
        <w:rPr>
          <w:sz w:val="24"/>
        </w:rPr>
        <w:t>。（具体地点）</w:t>
      </w:r>
    </w:p>
    <w:p>
      <w:pPr>
        <w:pStyle w:val="null3"/>
        <w:ind w:firstLine="480"/>
        <w:jc w:val="both"/>
      </w:pPr>
      <w:r>
        <w:rPr>
          <w:sz w:val="24"/>
        </w:rPr>
        <w:t>（三）设备的安装：</w:t>
      </w:r>
      <w:r>
        <w:rPr>
          <w:sz w:val="21"/>
          <w:u w:val="single"/>
        </w:rPr>
        <w:t xml:space="preserve">  </w:t>
      </w:r>
      <w:r>
        <w:rPr>
          <w:sz w:val="21"/>
          <w:u w:val="single"/>
        </w:rPr>
        <w:t xml:space="preserve">               </w:t>
      </w:r>
      <w:r>
        <w:rPr>
          <w:sz w:val="21"/>
          <w:u w:val="single"/>
        </w:rPr>
        <w:t xml:space="preserve">  </w:t>
      </w:r>
      <w:r>
        <w:rPr>
          <w:sz w:val="24"/>
        </w:rPr>
        <w:t>。</w:t>
      </w:r>
    </w:p>
    <w:p>
      <w:pPr>
        <w:pStyle w:val="null3"/>
        <w:ind w:firstLine="480"/>
        <w:jc w:val="both"/>
      </w:pPr>
      <w:r>
        <w:rPr>
          <w:sz w:val="24"/>
        </w:rPr>
        <w:t>（四）乙方在履行合同过程中造成甲方或第三方人身、财产损害的，应当由乙方承担全部责任。</w:t>
      </w:r>
    </w:p>
    <w:p>
      <w:pPr>
        <w:pStyle w:val="null3"/>
        <w:ind w:firstLine="482"/>
        <w:jc w:val="both"/>
      </w:pPr>
      <w:r>
        <w:rPr>
          <w:sz w:val="24"/>
          <w:b/>
        </w:rPr>
        <w:t>第四条</w:t>
      </w:r>
      <w:r>
        <w:rPr>
          <w:sz w:val="21"/>
          <w:b/>
        </w:rPr>
        <w:t xml:space="preserve">  </w:t>
      </w:r>
      <w:r>
        <w:rPr>
          <w:sz w:val="24"/>
          <w:b/>
        </w:rPr>
        <w:t>货款的结算</w:t>
      </w:r>
      <w:r>
        <w:rPr>
          <w:sz w:val="24"/>
          <w:b/>
        </w:rPr>
        <w:t>及履约保证金</w:t>
      </w:r>
    </w:p>
    <w:p>
      <w:pPr>
        <w:pStyle w:val="null3"/>
        <w:ind w:firstLine="480"/>
        <w:jc w:val="both"/>
      </w:pPr>
      <w:r>
        <w:rPr>
          <w:sz w:val="24"/>
        </w:rPr>
        <w:t>（</w:t>
      </w:r>
      <w:r>
        <w:rPr>
          <w:sz w:val="24"/>
        </w:rPr>
        <w:t>一</w:t>
      </w:r>
      <w:r>
        <w:rPr>
          <w:sz w:val="24"/>
        </w:rPr>
        <w:t>）</w:t>
      </w:r>
      <w:r>
        <w:rPr>
          <w:sz w:val="24"/>
        </w:rPr>
        <w:t>具体结算方式：</w:t>
      </w:r>
    </w:p>
    <w:p>
      <w:pPr>
        <w:pStyle w:val="null3"/>
        <w:ind w:firstLine="480"/>
        <w:jc w:val="both"/>
      </w:pPr>
      <w:r>
        <w:rPr>
          <w:sz w:val="24"/>
          <w:color w:val="000000"/>
          <w:u w:val="single"/>
        </w:rPr>
        <w:t>第一期：甲方确定收到履约保证金后</w:t>
      </w:r>
      <w:r>
        <w:rPr>
          <w:sz w:val="24"/>
          <w:color w:val="000000"/>
          <w:u w:val="single"/>
        </w:rPr>
        <w:t>30日内，甲方向乙方预付合同款的30%</w:t>
      </w:r>
      <w:r>
        <w:rPr>
          <w:sz w:val="24"/>
          <w:color w:val="000000"/>
          <w:u w:val="single"/>
        </w:rPr>
        <w:t>（即¥      ）</w:t>
      </w:r>
      <w:r>
        <w:rPr>
          <w:sz w:val="24"/>
          <w:color w:val="000000"/>
          <w:u w:val="single"/>
        </w:rPr>
        <w:t>；</w:t>
      </w:r>
    </w:p>
    <w:p>
      <w:pPr>
        <w:pStyle w:val="null3"/>
        <w:ind w:firstLine="480"/>
        <w:jc w:val="both"/>
      </w:pPr>
      <w:r>
        <w:rPr>
          <w:sz w:val="24"/>
          <w:color w:val="000000"/>
          <w:u w:val="single"/>
        </w:rPr>
        <w:t>第二期：乙方将设备安装完毕并经甲乙双方验收合格后</w:t>
      </w:r>
      <w:r>
        <w:rPr>
          <w:sz w:val="24"/>
          <w:color w:val="000000"/>
          <w:u w:val="single"/>
        </w:rPr>
        <w:t>30日内，甲方向乙方支付合同款的70%</w:t>
      </w:r>
      <w:r>
        <w:rPr>
          <w:sz w:val="24"/>
          <w:color w:val="000000"/>
          <w:u w:val="single"/>
        </w:rPr>
        <w:t>（即¥      ）</w:t>
      </w:r>
      <w:r>
        <w:rPr>
          <w:sz w:val="24"/>
          <w:color w:val="000000"/>
          <w:u w:val="single"/>
        </w:rPr>
        <w:t>。</w:t>
      </w:r>
    </w:p>
    <w:p>
      <w:pPr>
        <w:pStyle w:val="null3"/>
        <w:ind w:firstLine="480"/>
        <w:jc w:val="both"/>
      </w:pPr>
      <w:r>
        <w:rPr>
          <w:sz w:val="24"/>
          <w:color w:val="000000"/>
          <w:u w:val="single"/>
        </w:rPr>
        <w:t>乙方需于甲方付款前</w:t>
      </w:r>
      <w:r>
        <w:rPr>
          <w:sz w:val="24"/>
          <w:color w:val="000000"/>
          <w:u w:val="single"/>
        </w:rPr>
        <w:t>10个工作日内向甲方提供与预付款金额相符的有效发票，且收款方、出具发票方、合同乙方均必须与乙方名称一致，否则甲方有权顺延付款的期限且不承担违约责任。</w:t>
      </w:r>
    </w:p>
    <w:p>
      <w:pPr>
        <w:pStyle w:val="null3"/>
        <w:ind w:firstLine="480"/>
        <w:jc w:val="both"/>
      </w:pPr>
      <w:r>
        <w:rPr>
          <w:sz w:val="24"/>
          <w:color w:val="000000"/>
          <w:u w:val="single"/>
        </w:rPr>
        <w:t>（</w:t>
      </w:r>
      <w:r>
        <w:rPr>
          <w:sz w:val="24"/>
          <w:color w:val="000000"/>
          <w:u w:val="single"/>
        </w:rPr>
        <w:t>二</w:t>
      </w:r>
      <w:r>
        <w:rPr>
          <w:sz w:val="24"/>
          <w:color w:val="000000"/>
          <w:u w:val="single"/>
        </w:rPr>
        <w:t>）</w:t>
      </w:r>
      <w:r>
        <w:rPr>
          <w:sz w:val="24"/>
          <w:color w:val="000000"/>
          <w:u w:val="single"/>
        </w:rPr>
        <w:t>履约保证金</w:t>
      </w:r>
    </w:p>
    <w:p>
      <w:pPr>
        <w:pStyle w:val="null3"/>
        <w:ind w:firstLine="480"/>
        <w:jc w:val="both"/>
      </w:pPr>
      <w:r>
        <w:rPr>
          <w:sz w:val="24"/>
          <w:color w:val="000000"/>
          <w:u w:val="single"/>
        </w:rPr>
        <w:t>1.</w:t>
      </w:r>
      <w:r>
        <w:rPr>
          <w:sz w:val="24"/>
          <w:color w:val="000000"/>
          <w:u w:val="single"/>
        </w:rPr>
        <w:t>乙方须在合同签订后的</w:t>
      </w:r>
      <w:r>
        <w:rPr>
          <w:sz w:val="24"/>
          <w:color w:val="000000"/>
          <w:u w:val="single"/>
        </w:rPr>
        <w:t>5个工作日内向甲方支付合同总金额的5%（即¥      ）作为履约保证金，可转账或采取银行保函形式，银行保函有效期至</w:t>
      </w:r>
      <w:r>
        <w:rPr>
          <w:sz w:val="24"/>
          <w:color w:val="000000"/>
          <w:u w:val="single"/>
        </w:rPr>
        <w:t>设备验收合格</w:t>
      </w:r>
      <w:r>
        <w:rPr>
          <w:sz w:val="24"/>
          <w:color w:val="000000"/>
          <w:u w:val="single"/>
        </w:rPr>
        <w:t>；如转账支付履约保证金的，验收合格后由甲方不计利息退还履约保证金，免费保修期依然生效。</w:t>
      </w:r>
    </w:p>
    <w:p>
      <w:pPr>
        <w:pStyle w:val="null3"/>
        <w:ind w:firstLine="480"/>
        <w:jc w:val="both"/>
      </w:pPr>
      <w:r>
        <w:rPr>
          <w:sz w:val="24"/>
          <w:color w:val="000000"/>
          <w:u w:val="single"/>
        </w:rPr>
        <w:t>2.</w:t>
      </w:r>
      <w:r>
        <w:rPr>
          <w:sz w:val="24"/>
          <w:color w:val="000000"/>
          <w:u w:val="single"/>
        </w:rPr>
        <w:t>乙方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2"/>
        <w:jc w:val="both"/>
      </w:pPr>
      <w:r>
        <w:rPr>
          <w:sz w:val="24"/>
          <w:b/>
        </w:rPr>
        <w:t>第五条</w:t>
      </w:r>
      <w:r>
        <w:rPr>
          <w:sz w:val="21"/>
          <w:b/>
        </w:rPr>
        <w:t xml:space="preserve">  </w:t>
      </w:r>
      <w:r>
        <w:rPr>
          <w:sz w:val="24"/>
          <w:b/>
        </w:rPr>
        <w:t>验收方式</w:t>
      </w:r>
    </w:p>
    <w:p>
      <w:pPr>
        <w:pStyle w:val="null3"/>
        <w:ind w:firstLine="480"/>
        <w:jc w:val="both"/>
      </w:pPr>
      <w:r>
        <w:rPr>
          <w:sz w:val="24"/>
        </w:rPr>
        <w:t>（一）验收时间：</w:t>
      </w:r>
      <w:r>
        <w:rPr>
          <w:sz w:val="24"/>
          <w:u w:val="single"/>
        </w:rPr>
        <w:t>设备安装调试完毕正常运行后</w:t>
      </w:r>
      <w:r>
        <w:rPr>
          <w:sz w:val="21"/>
          <w:u w:val="single"/>
        </w:rPr>
        <w:t xml:space="preserve">     </w:t>
      </w:r>
      <w:r>
        <w:rPr>
          <w:sz w:val="24"/>
          <w:u w:val="single"/>
        </w:rPr>
        <w:t>内</w:t>
      </w:r>
      <w:r>
        <w:rPr>
          <w:sz w:val="24"/>
        </w:rPr>
        <w:t>。</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符合国家及厂家相关技术标准；符合招标文件、乙方的投标文件、澄清文件和中标通知书的要求（以上文件存在差异时，以较高标准为准）；单证齐全，有产品合格证（或质量保证书）、发票和其它应当具有单证文件。</w:t>
      </w:r>
    </w:p>
    <w:p>
      <w:pPr>
        <w:pStyle w:val="null3"/>
        <w:ind w:firstLine="480"/>
        <w:jc w:val="both"/>
      </w:pPr>
      <w:r>
        <w:rPr>
          <w:sz w:val="24"/>
        </w:rPr>
        <w:t>（四）甲方对乙方产品质量的验收为表面验收，不能视为甲方对乙方供应的产品质量完全验收，如甲方在使用的过程中发现乙方供应的产品存在质量问题不符合合同约定的，甲方依然有权要求乙方退换或追究乙方其他的违约责任。</w:t>
      </w:r>
    </w:p>
    <w:p>
      <w:pPr>
        <w:pStyle w:val="null3"/>
        <w:ind w:firstLine="482"/>
        <w:jc w:val="both"/>
      </w:pPr>
      <w:r>
        <w:rPr>
          <w:sz w:val="24"/>
          <w:b/>
        </w:rPr>
        <w:t>第六条</w:t>
      </w:r>
      <w:r>
        <w:rPr>
          <w:sz w:val="21"/>
          <w:b/>
        </w:rPr>
        <w:t xml:space="preserve">  </w:t>
      </w:r>
      <w:r>
        <w:rPr>
          <w:sz w:val="24"/>
          <w:b/>
        </w:rPr>
        <w:t>对产品异议的时间和办法</w:t>
      </w:r>
    </w:p>
    <w:p>
      <w:pPr>
        <w:pStyle w:val="null3"/>
        <w:ind w:firstLine="480"/>
        <w:jc w:val="both"/>
      </w:pPr>
      <w:r>
        <w:rPr>
          <w:sz w:val="24"/>
        </w:rPr>
        <w:t>（一）甲方在验收中，如果发现货物的品种、型号、数量、规格、质量或有关软件及有关工程不合规定的，应妥为保管，并在</w:t>
      </w:r>
      <w:r>
        <w:rPr>
          <w:sz w:val="24"/>
          <w:u w:val="single"/>
        </w:rPr>
        <w:t>三十日</w:t>
      </w:r>
      <w:r>
        <w:rPr>
          <w:sz w:val="24"/>
        </w:rPr>
        <w:t>内向乙方提出书面异议；甲方怠于通知或者自货物收到之日起三个月内未通知乙方的，视为货物已经验收；</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0"/>
        <w:jc w:val="both"/>
      </w:pPr>
      <w:r>
        <w:rPr>
          <w:sz w:val="24"/>
        </w:rPr>
        <w:t>（三）甲方正式验收前，货物毁损、灭失的风险由乙方承担。</w:t>
      </w:r>
    </w:p>
    <w:p>
      <w:pPr>
        <w:pStyle w:val="null3"/>
        <w:ind w:firstLine="482"/>
        <w:jc w:val="both"/>
      </w:pPr>
      <w:r>
        <w:rPr>
          <w:sz w:val="24"/>
          <w:b/>
        </w:rPr>
        <w:t>第七条</w:t>
      </w:r>
      <w:r>
        <w:rPr>
          <w:sz w:val="21"/>
          <w:b/>
        </w:rPr>
        <w:t xml:space="preserve">  </w:t>
      </w:r>
      <w:r>
        <w:rPr>
          <w:sz w:val="24"/>
          <w:b/>
        </w:rPr>
        <w:t>乙方的违约责任</w:t>
      </w:r>
    </w:p>
    <w:p>
      <w:pPr>
        <w:pStyle w:val="null3"/>
        <w:ind w:firstLine="480"/>
        <w:jc w:val="both"/>
      </w:pPr>
      <w:r>
        <w:rPr>
          <w:sz w:val="24"/>
        </w:rPr>
        <w:t>（一）乙方不能在约定的时间内交货或完成设备的安装调试的，每逾期一日，乙方按照合同总额千分之一的标准向甲方支付违约金，直至完成交货或安装调试；如逾期超过</w:t>
      </w:r>
      <w:r>
        <w:rPr>
          <w:sz w:val="24"/>
        </w:rPr>
        <w:t>30天的，甲方有权解除本合同，乙方应当退还甲方已经支付的款项，同时乙方应向甲方支付合同总价的</w:t>
      </w:r>
      <w:r>
        <w:rPr>
          <w:sz w:val="24"/>
          <w:u w:val="single"/>
        </w:rPr>
        <w:t>20%</w:t>
      </w:r>
      <w:r>
        <w:rPr>
          <w:sz w:val="24"/>
        </w:rPr>
        <w:t>作为违约金；</w:t>
      </w:r>
    </w:p>
    <w:p>
      <w:pPr>
        <w:pStyle w:val="null3"/>
        <w:ind w:firstLine="480"/>
        <w:jc w:val="both"/>
      </w:pPr>
      <w:r>
        <w:rPr>
          <w:sz w:val="24"/>
        </w:rPr>
        <w:t>（二）乙方所交设备种类、数量、规格、质量和技术性能等不符合合同规定的，由乙方负责修理、退换，并承担修理、调换或退货而支付的实际费用，并向甲方偿付合同总价的</w:t>
      </w:r>
      <w:r>
        <w:rPr>
          <w:sz w:val="24"/>
          <w:u w:val="single"/>
        </w:rPr>
        <w:t>10</w:t>
      </w:r>
      <w:r>
        <w:rPr>
          <w:sz w:val="24"/>
          <w:u w:val="single"/>
        </w:rPr>
        <w:t>%</w:t>
      </w:r>
      <w:r>
        <w:rPr>
          <w:sz w:val="24"/>
        </w:rPr>
        <w:t>作为违约金；如乙方修理、调换或退货后，设备仍不能达到合同约定或乙方不按上述规定履行更换义务的，甲方有权解除本合同，乙方应当退还甲方已经支付的款项，乙方还应向甲方支付合同总价的</w:t>
      </w:r>
      <w:r>
        <w:rPr>
          <w:sz w:val="24"/>
          <w:u w:val="single"/>
        </w:rPr>
        <w:t>20%</w:t>
      </w:r>
      <w:r>
        <w:rPr>
          <w:sz w:val="24"/>
        </w:rPr>
        <w:t>作为违约金；</w:t>
      </w:r>
    </w:p>
    <w:p>
      <w:pPr>
        <w:pStyle w:val="null3"/>
        <w:ind w:firstLine="480"/>
        <w:jc w:val="both"/>
      </w:pPr>
      <w:r>
        <w:rPr>
          <w:sz w:val="24"/>
        </w:rPr>
        <w:t>（三）除本合同另有约定外，乙方每次违反本合同约定的，须按照合同总价的</w:t>
      </w:r>
      <w:r>
        <w:rPr>
          <w:sz w:val="24"/>
          <w:u w:val="single"/>
        </w:rPr>
        <w:t>10%</w:t>
      </w:r>
      <w:r>
        <w:rPr>
          <w:sz w:val="24"/>
        </w:rPr>
        <w:t>向甲方支付违约金，违约金不足以弥补甲方损失的，乙方应赔偿甲方实际损失。前述情况累计</w:t>
      </w:r>
      <w:r>
        <w:rPr>
          <w:sz w:val="24"/>
          <w:u w:val="single"/>
        </w:rPr>
        <w:t>3</w:t>
      </w:r>
      <w:r>
        <w:rPr>
          <w:sz w:val="24"/>
        </w:rPr>
        <w:t>次及以上，甲方有权解除本合同，乙方应当返还甲方已经支付的全部款项，乙方还应向甲方支付合同总价的</w:t>
      </w:r>
      <w:r>
        <w:rPr>
          <w:sz w:val="24"/>
          <w:u w:val="single"/>
        </w:rPr>
        <w:t>30%</w:t>
      </w:r>
      <w:r>
        <w:rPr>
          <w:sz w:val="24"/>
        </w:rPr>
        <w:t>作为违约金。</w:t>
      </w:r>
    </w:p>
    <w:p>
      <w:pPr>
        <w:pStyle w:val="null3"/>
        <w:ind w:firstLine="480"/>
        <w:jc w:val="both"/>
      </w:pPr>
      <w:r>
        <w:rPr>
          <w:sz w:val="24"/>
        </w:rPr>
        <w:t>（四）乙方不得将合同义务的全部或部分以任何形式分包、转包给第三人，否则甲方有权单方解除本合同，要求乙方返还甲方支付的全部款项，同时乙方须按合同总价的</w:t>
      </w:r>
      <w:r>
        <w:rPr>
          <w:sz w:val="24"/>
        </w:rPr>
        <w:t>10%支付违约金。</w:t>
      </w:r>
    </w:p>
    <w:p>
      <w:pPr>
        <w:pStyle w:val="null3"/>
        <w:ind w:firstLine="482"/>
        <w:jc w:val="both"/>
      </w:pPr>
      <w:r>
        <w:rPr>
          <w:sz w:val="24"/>
          <w:b/>
        </w:rPr>
        <w:t>第八条</w:t>
      </w:r>
      <w:r>
        <w:rPr>
          <w:sz w:val="21"/>
          <w:b/>
        </w:rPr>
        <w:t xml:space="preserve">  </w:t>
      </w:r>
      <w:r>
        <w:rPr>
          <w:sz w:val="24"/>
          <w:b/>
        </w:rPr>
        <w:t>甲方的违约责任</w:t>
      </w:r>
    </w:p>
    <w:p>
      <w:pPr>
        <w:pStyle w:val="null3"/>
        <w:ind w:firstLine="480"/>
        <w:jc w:val="both"/>
      </w:pPr>
      <w:r>
        <w:rPr>
          <w:sz w:val="24"/>
        </w:rPr>
        <w:t>（一）甲</w:t>
      </w:r>
      <w:r>
        <w:rPr>
          <w:sz w:val="24"/>
        </w:rPr>
        <w:t>方逾期付款的，应</w:t>
      </w:r>
      <w:r>
        <w:rPr>
          <w:sz w:val="24"/>
        </w:rPr>
        <w:t>以逾期金额为基数，以合同签订时的一年期</w:t>
      </w:r>
      <w:r>
        <w:rPr>
          <w:sz w:val="24"/>
        </w:rPr>
        <w:t>LPR为利率</w:t>
      </w:r>
      <w:r>
        <w:rPr>
          <w:sz w:val="24"/>
        </w:rPr>
        <w:t>向乙方偿付</w:t>
      </w:r>
      <w:r>
        <w:rPr>
          <w:sz w:val="24"/>
        </w:rPr>
        <w:t>逾期付款</w:t>
      </w:r>
      <w:r>
        <w:rPr>
          <w:sz w:val="24"/>
        </w:rPr>
        <w:t>违约金。</w:t>
      </w:r>
    </w:p>
    <w:p>
      <w:pPr>
        <w:pStyle w:val="null3"/>
        <w:ind w:firstLine="480"/>
        <w:jc w:val="both"/>
      </w:pPr>
      <w:r>
        <w:rPr>
          <w:sz w:val="24"/>
        </w:rPr>
        <w:t>（二）甲方无正当理由违反合同约定拒绝接受货物的，应当承担由此而对乙方造成的损失。</w:t>
      </w:r>
    </w:p>
    <w:p>
      <w:pPr>
        <w:pStyle w:val="null3"/>
        <w:ind w:firstLine="482"/>
        <w:jc w:val="both"/>
      </w:pPr>
      <w:r>
        <w:rPr>
          <w:sz w:val="24"/>
          <w:b/>
        </w:rPr>
        <w:t>第九条</w:t>
      </w:r>
      <w:r>
        <w:rPr>
          <w:sz w:val="21"/>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1"/>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（一）如因货物的质量问题发生争议，由法定的质量技术鉴定机构进行质量鉴定，双方应当服从该鉴定的结论，质量鉴定费用由乙方承担；</w:t>
      </w:r>
    </w:p>
    <w:p>
      <w:pPr>
        <w:pStyle w:val="null3"/>
        <w:ind w:firstLine="480"/>
        <w:jc w:val="both"/>
      </w:pPr>
      <w:r>
        <w:rPr>
          <w:sz w:val="24"/>
        </w:rPr>
        <w:t>（二）若执行本合同的过程中发生纠纷，双方当事人应当及时协商解决；协商不成时，可向甲方所在地人民法院提起诉讼。</w:t>
      </w:r>
    </w:p>
    <w:p>
      <w:pPr>
        <w:pStyle w:val="null3"/>
        <w:ind w:firstLine="482"/>
        <w:jc w:val="both"/>
      </w:pPr>
      <w:r>
        <w:rPr>
          <w:sz w:val="24"/>
          <w:b/>
        </w:rPr>
        <w:t>第十一条</w:t>
      </w:r>
      <w:r>
        <w:rPr>
          <w:sz w:val="21"/>
          <w:b/>
        </w:rPr>
        <w:t xml:space="preserve">  </w:t>
      </w:r>
      <w:r>
        <w:rPr>
          <w:sz w:val="24"/>
          <w:b/>
        </w:rPr>
        <w:t>监督和管理</w:t>
      </w:r>
    </w:p>
    <w:p>
      <w:pPr>
        <w:pStyle w:val="null3"/>
        <w:ind w:firstLine="480"/>
        <w:jc w:val="both"/>
      </w:pPr>
      <w:r>
        <w:rPr>
          <w:sz w:val="24"/>
        </w:rPr>
        <w:t>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1"/>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1"/>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1"/>
          <w:b/>
        </w:rPr>
        <w:t xml:space="preserve">  </w:t>
      </w:r>
      <w:r>
        <w:rPr>
          <w:sz w:val="24"/>
          <w:b/>
        </w:rPr>
        <w:t>附则</w:t>
      </w:r>
    </w:p>
    <w:p>
      <w:pPr>
        <w:pStyle w:val="null3"/>
        <w:ind w:firstLine="480"/>
        <w:jc w:val="both"/>
      </w:pPr>
      <w:r>
        <w:rPr>
          <w:sz w:val="24"/>
        </w:rPr>
        <w:t>（一）本合同一式</w:t>
      </w:r>
      <w:r>
        <w:rPr>
          <w:sz w:val="24"/>
          <w:u w:val="single"/>
        </w:rPr>
        <w:t>肆</w:t>
      </w:r>
      <w:r>
        <w:rPr>
          <w:sz w:val="24"/>
        </w:rPr>
        <w:t>份，甲方执</w:t>
      </w:r>
      <w:r>
        <w:rPr>
          <w:sz w:val="24"/>
          <w:u w:val="single"/>
        </w:rPr>
        <w:t>贰</w:t>
      </w:r>
      <w:r>
        <w:rPr>
          <w:sz w:val="24"/>
        </w:rPr>
        <w:t>份，乙方执</w:t>
      </w:r>
      <w:r>
        <w:rPr>
          <w:sz w:val="24"/>
          <w:u w:val="single"/>
        </w:rPr>
        <w:t>壹</w:t>
      </w:r>
      <w:r>
        <w:rPr>
          <w:sz w:val="24"/>
        </w:rPr>
        <w:t>份，</w:t>
      </w:r>
      <w:r>
        <w:rPr>
          <w:sz w:val="24"/>
        </w:rPr>
        <w:t>壹</w:t>
      </w:r>
      <w:r>
        <w:rPr>
          <w:sz w:val="24"/>
        </w:rPr>
        <w:t>份送</w:t>
      </w:r>
      <w:r>
        <w:rPr>
          <w:sz w:val="21"/>
          <w:u w:val="single"/>
        </w:rPr>
        <w:t xml:space="preserve"> </w:t>
      </w:r>
      <w:r>
        <w:rPr>
          <w:sz w:val="21"/>
          <w:u w:val="single"/>
        </w:rPr>
        <w:t xml:space="preserve">    </w:t>
      </w:r>
      <w:r>
        <w:rPr>
          <w:sz w:val="21"/>
          <w:u w:val="single"/>
        </w:rPr>
        <w:t xml:space="preserve"> </w:t>
      </w:r>
      <w:r>
        <w:rPr>
          <w:sz w:val="24"/>
        </w:rPr>
        <w:t>招标有限公司。【（如有）合同附件为本合同的组成部分，与本合同正文具有同等法律效力。】</w:t>
      </w:r>
    </w:p>
    <w:p>
      <w:pPr>
        <w:pStyle w:val="null3"/>
        <w:ind w:firstLine="480"/>
        <w:jc w:val="both"/>
      </w:pPr>
      <w:r>
        <w:rPr>
          <w:sz w:val="24"/>
        </w:rPr>
        <w:t>（二）本合同自甲乙双方签字盖章后生效。</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1"/>
              </w:rPr>
              <w:t xml:space="preserve">    </w:t>
            </w:r>
            <w:r>
              <w:rPr>
                <w:sz w:val="24"/>
              </w:rPr>
              <w:t>年</w:t>
            </w:r>
            <w:r>
              <w:rPr>
                <w:sz w:val="21"/>
              </w:rPr>
              <w:t xml:space="preserve">   </w:t>
            </w:r>
            <w:r>
              <w:rPr>
                <w:sz w:val="24"/>
              </w:rPr>
              <w:t>月</w:t>
            </w:r>
            <w:r>
              <w:rPr>
                <w:sz w:val="21"/>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sz w:val="24"/>
        </w:rPr>
        <w:t>以下为配置清单：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440701-2026-01141</w:t>
      </w:r>
    </w:p>
    <w:p>
      <w:pPr>
        <w:pStyle w:val="null3"/>
        <w:jc w:val="center"/>
        <w:outlineLvl w:val="3"/>
      </w:pPr>
      <w:r>
        <w:rPr>
          <w:sz w:val="24"/>
          <w:b/>
        </w:rPr>
        <w:t>采购项目编号：</w:t>
      </w:r>
      <w:r>
        <w:rPr>
          <w:sz w:val="24"/>
          <w:b/>
        </w:rPr>
        <w:t>0724-2631Z1972515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江门市疾病预防控制中心高通量二代测序系统采购项目</w:t>
      </w:r>
      <w:r>
        <w:rPr>
          <w:u w:val="single"/>
        </w:rPr>
        <w:t>”</w:t>
      </w:r>
      <w:r>
        <w:rPr/>
        <w:t>项目的招标[采购项目编号为：</w:t>
      </w:r>
      <w:r>
        <w:rPr>
          <w:u w:val="single"/>
        </w:rPr>
        <w:t>0724-2631Z1972515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江门市疾病预防控制中心高通量二代测序系统采购项目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江门市疾病预防控制中心高通量二代测序系统采购项目</w:t>
      </w:r>
      <w:r>
        <w:rPr/>
        <w:t>”项目采购[采购项目编号为</w:t>
      </w:r>
      <w:r>
        <w:rPr/>
        <w:t>0724-2631Z1972515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江门市疾病预防控制中心高通量二代测序系统采购项目</w:t>
      </w:r>
      <w:r>
        <w:rPr/>
        <w:t>招标中获中标（采购项目编号：</w:t>
      </w:r>
      <w:r>
        <w:rPr/>
        <w:t>0724-2631Z1972515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江门市疾病预防控制中心高通量二代测序系统采购项目</w:t>
      </w:r>
      <w:r>
        <w:rPr/>
        <w:t>”项目（采购项目编号：</w:t>
      </w:r>
      <w:r>
        <w:rPr/>
        <w:t>0724-2631Z1972515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