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441781-2025-01891</w:t>
      </w:r>
    </w:p>
    <w:p>
      <w:pPr>
        <w:pStyle w:val="null3"/>
        <w:jc w:val="center"/>
        <w:outlineLvl w:val="3"/>
      </w:pPr>
      <w:r>
        <w:rPr>
          <w:sz w:val="24"/>
          <w:b/>
        </w:rPr>
        <w:t>采购项目编号：</w:t>
      </w:r>
      <w:r>
        <w:rPr>
          <w:sz w:val="24"/>
          <w:b/>
        </w:rPr>
        <w:t>0724-2531YJ014468</w:t>
      </w:r>
    </w:p>
    <w:p>
      <w:pPr>
        <w:pStyle w:val="null3"/>
        <w:jc w:val="center"/>
        <w:outlineLvl w:val="3"/>
      </w:pPr>
      <w:r>
        <w:rPr>
          <w:sz w:val="24"/>
          <w:b/>
        </w:rPr>
        <w:t>项目名称：</w:t>
      </w:r>
      <w:r>
        <w:rPr>
          <w:sz w:val="24"/>
          <w:b/>
        </w:rPr>
        <w:t>采购饭堂食材配送服务项目</w:t>
      </w:r>
    </w:p>
    <w:p>
      <w:pPr>
        <w:pStyle w:val="null3"/>
        <w:jc w:val="center"/>
        <w:outlineLvl w:val="3"/>
      </w:pPr>
      <w:r>
        <w:rPr>
          <w:sz w:val="24"/>
          <w:b/>
        </w:rPr>
        <w:t>采购人：</w:t>
      </w:r>
      <w:r>
        <w:rPr>
          <w:sz w:val="24"/>
          <w:b/>
        </w:rPr>
        <w:t>阳春市人民医院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阳春市人民医院</w:t>
      </w:r>
      <w:r>
        <w:rPr/>
        <w:t>的委托，采用</w:t>
      </w:r>
      <w:r>
        <w:rPr/>
        <w:t>公开招标</w:t>
      </w:r>
      <w:r>
        <w:rPr/>
        <w:t>方式组织采购</w:t>
      </w:r>
      <w:r>
        <w:rPr/>
        <w:t>采购饭堂食材配送服务项目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采购饭堂食材配送服务项目</w:t>
      </w:r>
    </w:p>
    <w:p>
      <w:pPr>
        <w:pStyle w:val="null3"/>
        <w:ind w:firstLine="480"/>
      </w:pPr>
      <w:r>
        <w:rPr/>
        <w:t>采购计划编号：</w:t>
      </w:r>
      <w:r>
        <w:rPr/>
        <w:t>441781-2025-01891</w:t>
      </w:r>
    </w:p>
    <w:p>
      <w:pPr>
        <w:pStyle w:val="null3"/>
        <w:ind w:firstLine="480"/>
      </w:pPr>
      <w:r>
        <w:rPr/>
        <w:t>采购项目编号：</w:t>
      </w:r>
      <w:r>
        <w:rPr/>
        <w:t>0724-2531YJ014468</w:t>
      </w:r>
    </w:p>
    <w:p>
      <w:pPr>
        <w:pStyle w:val="null3"/>
        <w:ind w:firstLine="480"/>
      </w:pPr>
      <w:r>
        <w:rPr/>
        <w:t>采购方式：</w:t>
      </w:r>
      <w:r>
        <w:rPr/>
        <w:t>公开招标</w:t>
      </w:r>
    </w:p>
    <w:p>
      <w:pPr>
        <w:pStyle w:val="null3"/>
        <w:ind w:firstLine="480"/>
      </w:pPr>
      <w:r>
        <w:rPr/>
        <w:t>预算金额：</w:t>
      </w:r>
      <w:r>
        <w:rPr/>
        <w:t>2,053,000.00</w:t>
      </w:r>
      <w:r>
        <w:rPr/>
        <w:t>元</w:t>
      </w:r>
    </w:p>
    <w:p>
      <w:pPr>
        <w:pStyle w:val="null3"/>
        <w:outlineLvl w:val="3"/>
      </w:pPr>
      <w:r>
        <w:rPr>
          <w:sz w:val="24"/>
          <w:b/>
        </w:rPr>
        <w:t>2.项目内容及需求情况（采购项目技术规格、参数及要求）</w:t>
      </w:r>
    </w:p>
    <w:p>
      <w:pPr>
        <w:pStyle w:val="null3"/>
      </w:pPr>
      <w:r>
        <w:rPr/>
        <w:t>采购包1(采购饭堂食材配送服务项目):</w:t>
      </w:r>
    </w:p>
    <w:p>
      <w:pPr>
        <w:pStyle w:val="null3"/>
      </w:pPr>
      <w:r>
        <w:rPr/>
        <w:t>采购包预算金额：2,053,000.00元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2,053,000.00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合同履行期限：自合同签订生效之日起1年或采购费用总额累计达到本项目预算金额时，以先到者为期限。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2）有依法缴纳税收和社会保障资金的良好记录：提供《阳江市政府采购供应商资格信用承诺函》（格式详见附件）。</w:t>
      </w:r>
    </w:p>
    <w:p>
      <w:pPr>
        <w:pStyle w:val="null3"/>
      </w:pPr>
      <w:r>
        <w:rPr/>
        <w:t>3）具有良好的商业信誉和健全的财务会计制度：提供《阳江市政府采购供应商资格信用承诺函》（格式详见附件）。</w:t>
      </w:r>
    </w:p>
    <w:p>
      <w:pPr>
        <w:pStyle w:val="null3"/>
      </w:pPr>
      <w:r>
        <w:rPr/>
        <w:t>4）履行合同所必需的设备和专业技术能力：提供《阳江市政府采购供应商资格信用承诺函》（格式详见附件）。</w:t>
      </w:r>
    </w:p>
    <w:p>
      <w:pPr>
        <w:pStyle w:val="null3"/>
      </w:pPr>
      <w:r>
        <w:rPr/>
        <w:t>5）参加采购活动前3年内，在经营活动中没有重大违法记录：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采购包1（采购饭堂食材配送服务项目）：</w:t>
      </w:r>
      <w:r>
        <w:rPr/>
        <w:t>本项目整体专门面向中小微企业采购。供应商须符合本项目采购标的对应行业（本项目行业为：批发业）的政策划分标准。监狱企业、残疾人福利单位视同小型、微型企业。（注：中小企业以供应商填写的《中小企业声明函》（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采购包1（采购饭堂食材配送服务项目）：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3)供应商须满足以下任一条件并提供证明： A.持有有效的《食品经营许可证》。 B.持有有效的《食品药品经营许可证》且许可项目明确包含食品经营（纯药品类无效）。 C.若供应商为所投食品的生产厂家，仅需提供食品生产许可证明文件。 注：上述资料须提供证明文件扫描件并加盖投标人公章。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阳春市人民医院</w:t>
      </w:r>
    </w:p>
    <w:p>
      <w:pPr>
        <w:pStyle w:val="null3"/>
        <w:ind w:firstLine="480"/>
      </w:pPr>
      <w:r>
        <w:rPr/>
        <w:t xml:space="preserve"> 地址：</w:t>
      </w:r>
      <w:r>
        <w:rPr/>
        <w:t>广东省阳春市春城街道环城南路24号</w:t>
      </w:r>
    </w:p>
    <w:p>
      <w:pPr>
        <w:pStyle w:val="null3"/>
        <w:ind w:firstLine="480"/>
      </w:pPr>
      <w:r>
        <w:rPr/>
        <w:t xml:space="preserve"> 联系方式：</w:t>
      </w:r>
      <w:r>
        <w:rPr/>
        <w:t>0662-7768532</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w:t>
      </w:r>
    </w:p>
    <w:p>
      <w:pPr>
        <w:pStyle w:val="null3"/>
      </w:pPr>
      <w:r>
        <w:rPr/>
        <w:t>采购包1（采购饭堂食材配送服务项目）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自合同签订生效之日起1年或采购费用总额累计达到本项目预算金额时，以先到者为期限。</w:t>
            </w:r>
          </w:p>
        </w:tc>
      </w:tr>
      <w:tr>
        <w:tc>
          <w:tcPr>
            <w:tcW w:type="dxa" w:w="4153"/>
          </w:tcPr>
          <w:p>
            <w:pPr>
              <w:pStyle w:val="null3"/>
            </w:pPr>
            <w:r>
              <w:rPr/>
              <w:t>标的提供的地点</w:t>
            </w:r>
          </w:p>
        </w:tc>
        <w:tc>
          <w:tcPr>
            <w:tcW w:type="dxa" w:w="4153"/>
          </w:tcPr>
          <w:p>
            <w:pPr>
              <w:pStyle w:val="null3"/>
            </w:pPr>
            <w:r>
              <w:rPr/>
              <w:t>阳春市人民医院</w:t>
            </w:r>
          </w:p>
        </w:tc>
      </w:tr>
      <w:tr>
        <w:tc>
          <w:tcPr>
            <w:tcW w:type="dxa" w:w="4153"/>
          </w:tcPr>
          <w:p>
            <w:pPr>
              <w:pStyle w:val="null3"/>
            </w:pPr>
            <w:r>
              <w:rPr/>
              <w:t>付款方式</w:t>
            </w:r>
          </w:p>
        </w:tc>
        <w:tc>
          <w:tcPr>
            <w:tcW w:type="dxa" w:w="4153"/>
          </w:tcPr>
          <w:p>
            <w:pPr>
              <w:pStyle w:val="null3"/>
            </w:pPr>
            <w:r>
              <w:rPr/>
              <w:t>1期：支付比例100%,本项目采用月度100%付款制：中标人须于次月 15日前凭完整结算材料申请支付，结算金额按公式【结算基准价×中标折扣率× 当月签收供货量】计算，须同步提供四类法定结算文件：①中标通知书复印件、②合同关键页、③有效发票、④含签收章的送货清单。 注： 1)15日付款期限自采购人确认申请材料齐全之日起算，不含政府财政部门的审核及支付时间；供应商按时提交申请即视为采购人履约。 2)发票必须真实有效，注明货物明细及金额，增值税普通发票或专用发票均需加盖发票专用章。 3)若因签收凭证缺失、发票无效或材料不齐导致支付延迟，责任由供应商承担；因采购人内部流程或财政支付系统造成的延迟，不构成违约。 4)实际执行以双方签署的合同模板及中标承诺为准，本条款与合同冲突时优先适用合同约定。 5)当月综合服务满意度考核结果与付款直接挂钩，具体为：若当月满意度达到 90分及以上，采购人正常支付结算款；若满意度低于90分，每下降 1%则扣除当月结算金额的1%（例如 89分扣1%、80分扣10%）；若半年内累计出现3次满意度低于90分的情况，采购人有权解除合同，并按实际供货情况进行结算。 6)因供应商违反配送、质量、安全生产管理等考核要求被扣分的，采购人有权根据扣分情况，在当月结算金额中扣除相应比例款项；涉及重大违约导致终止供货资格的，双方按合同约定及实际履约情况进行结算。</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1期：1．明确验收流程包括卸货前检查、现场验收等环节。卸货前，采购人和中标供应商双方的验收人员应对场地和验收设备做好准备，并对食材的外观质量进行初步了解。 2．现场验收环节，验收人员应按索票、验证→ 留样 → 抽查 → 过磅 →入库的程序完成验收工作，中标供应商提供原件的留原件，原件只有一份而无法提供给采购人的查验原件后索取复印件留存。每批次每种货物均留样进行抽查。 3．对每次验收的食材均记录物资名称、数量、验收情况等事项，并由送货人签名确认。 4．食材的质量问题争议及解决办法：因货物的质量问题发生争议，由阳江市质量技术监督局或国家法定的质量鉴定单位进行质量鉴定。货物符合质量标准的，鉴定费由采购人承担；货物不符合质量标准的，鉴定费由中标供应商承担，并且采购人有权追究中标供应商的相关责任。 5．退（补）货流程 对不符合采购要求的食材由验收人员提出清退，如双方对质量或重量有争议的可送具有检验资质的部门检测，同时留样备检，对数量不足或部分退货的，责成中标供应商以不影响采购人伙食供应为前提尽快补送。在退货过程中，对有碍公共卫生安全的食品，应按国家有关规定处理或进行协议销毁，不退货给中标供应商。 6．抽查发现食品安全质量问题的处理 1）对危及人身安全的食品质量问题采取零容忍措施，一经发现，当日所送同批次产品全部退货，如发现农药残留超标、腐败变质肉类等。 2）若抽查未发现问题，而在加工食用前发现部分产品质量问题，应立即通知单位伙食物资验收小组及中标供应商，将问题食材退货处理。 7．重量验收 1)瓜菜类、新鲜肉类直接称重验收。 2）冻肉类验货时，拆箱检查，如含水量太多称重时适当按比例除冰块的重量。称重时要扣除纸箱、以货品净重为准。如果外包装箱上标有净重，按净重入库，如果没有净重标识，按5%扣除含冰量。 8．中标供应商提供假冒伪劣、过期、变质的、有毒食品的，一经发现，除按采购人要求无条件退货或换货外，还将受到如下处罚： 1）中标供应商提供假冒伪劣、过期、变质食品的，采购人有权要求无条件退货或换货，中标供应商将被处以当次供应食品货款2倍的违约金，违约金在供货结算款内扣除。 2）中标供应商若提供有毒食品，造成食品安全事故的，经有关单位鉴定原因后，如确实为中标供应商提供的食品问题，视为中标供应商单方违约，中标供应商须负担全数的医药费，采购人将取消该中标供应商的供货资格，中标供应商同时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合同签订要求</w:t>
            </w:r>
          </w:p>
        </w:tc>
        <w:tc>
          <w:tcPr>
            <w:tcW w:type="dxa" w:w="2076"/>
          </w:tcPr>
          <w:p>
            <w:pPr>
              <w:pStyle w:val="null3"/>
              <w:jc w:val="left"/>
            </w:pPr>
            <w:r>
              <w:rPr/>
              <w:t>采购合同由中标供应商与采购人双方签订，签订时间为《中标通知书》发出之日起30个日历日内。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帮扶要求</w:t>
            </w:r>
          </w:p>
        </w:tc>
        <w:tc>
          <w:tcPr>
            <w:tcW w:type="dxa" w:w="2076"/>
          </w:tcPr>
          <w:p>
            <w:pPr>
              <w:pStyle w:val="null3"/>
              <w:jc w:val="left"/>
            </w:pPr>
            <w:r>
              <w:rPr/>
              <w:t>贯彻落实《关于运用政府采购政策支持乡村产业振兴的通知》（财库〔2021〕19号）、《广东省财政厅关于落实2025年政府采购脱贫地区农副产品工作的通知》（粤财采购〔2025〕2号）有关要求，中标供应商应配合采购人执行扶贫政策等，采购人有权按规定购买扶贫产品,该部分金额按实际采购费用从本项目预算中予以支出，中标供应商同意采购人使用该部分预算购买扶贫产品（提供承诺函，格式自拟）</w:t>
            </w:r>
          </w:p>
        </w:tc>
      </w:tr>
      <w:tr>
        <w:tc>
          <w:tcPr>
            <w:tcW w:type="dxa" w:w="2076"/>
          </w:tcPr>
          <w:p/>
        </w:tc>
        <w:tc>
          <w:tcPr>
            <w:tcW w:type="dxa" w:w="2076"/>
          </w:tcPr>
          <w:p>
            <w:pPr>
              <w:pStyle w:val="null3"/>
              <w:jc w:val="center"/>
            </w:pPr>
            <w:r>
              <w:rPr/>
              <w:t>3</w:t>
            </w:r>
          </w:p>
        </w:tc>
        <w:tc>
          <w:tcPr>
            <w:tcW w:type="dxa" w:w="2076"/>
          </w:tcPr>
          <w:p>
            <w:pPr>
              <w:pStyle w:val="null3"/>
              <w:jc w:val="left"/>
            </w:pPr>
            <w:r>
              <w:rPr/>
              <w:t>产品配送要求</w:t>
            </w:r>
          </w:p>
        </w:tc>
        <w:tc>
          <w:tcPr>
            <w:tcW w:type="dxa" w:w="2076"/>
          </w:tcPr>
          <w:p>
            <w:pPr>
              <w:pStyle w:val="null3"/>
              <w:jc w:val="left"/>
            </w:pPr>
            <w:r>
              <w:rPr/>
              <w:t>1．送货方式：每次根据采购人的电话或其它方式通知订购品种、数量后，按时运送物品到指定地点，中标供应商随货提供注明货物名称、单位、数量、售价及总金额的商品送货清单，作为采购人入库验收之凭证。 2．包装与标志要求。包装：容器(框、箱、袋)要求清洁、干燥、牢固、透气，无污染、无异味、无霉变现象。标志：每件包装必须按《农产品包装和标识管理办法》贴标签，并标明产地、品种、净含量、生产单位及地址和采收日期。冻品包装外必须随货贴上正规的检疫合格证。 3．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 4．数量方面要求：保证配送品种重量的准确性，以采购人的验货数量为准，中标供应商每次随货送上一式两份的送货清单，供双方验货后签字确认，双方各持一份，作为送、收货的凭证。 5．每次根据采购用户的通知订购品种和数量后，24小时内送货，具体送货时间由采购用户通知时约定，由采购人指定负责人验收过秤记录。对于不符合质量的品种采购人可退货或换货（由于产品质量而造成用餐人员发生食品安全事故的，中标供应商须承担全部责任）。 6．对采购人临时的供货要求，需随订随送，至少在1个小时内响应。 7．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 8．配送车辆应遵循一小时配送圈原则开展配送工作，目的地在一小时车程内的用常温车配送，一小时以外的必须使用制冷车配送，并确保全程冷链不间断，保证冷冻肉中心温度控制在-2-7℃的范围之内，保证运输过程冷链不中断。商品到达目的地时外包装箱干爽，无软化现象。 9．送货车辆应保持清洁；食品堆放科学合理，避免造成食品的交叉污染；如对温度有要求的食品应确定食品的温度，记录送货车辆温度，并记录存档。 10．在配送卸货环节中应保证冷藏食品脱离冷链时间不得超过20分钟，冷冻食品脱离冷链时间不得超过30分钟，否则采购人有权拒收。</w:t>
            </w:r>
          </w:p>
        </w:tc>
      </w:tr>
      <w:tr>
        <w:tc>
          <w:tcPr>
            <w:tcW w:type="dxa" w:w="2076"/>
          </w:tcPr>
          <w:p/>
        </w:tc>
        <w:tc>
          <w:tcPr>
            <w:tcW w:type="dxa" w:w="2076"/>
          </w:tcPr>
          <w:p>
            <w:pPr>
              <w:pStyle w:val="null3"/>
              <w:jc w:val="center"/>
            </w:pPr>
            <w:r>
              <w:rPr/>
              <w:t>4</w:t>
            </w:r>
          </w:p>
        </w:tc>
        <w:tc>
          <w:tcPr>
            <w:tcW w:type="dxa" w:w="2076"/>
          </w:tcPr>
          <w:p>
            <w:pPr>
              <w:pStyle w:val="null3"/>
              <w:jc w:val="left"/>
            </w:pPr>
            <w:r>
              <w:rPr/>
              <w:t>定价方式</w:t>
            </w:r>
          </w:p>
        </w:tc>
        <w:tc>
          <w:tcPr>
            <w:tcW w:type="dxa" w:w="2076"/>
          </w:tcPr>
          <w:p>
            <w:pPr>
              <w:pStyle w:val="null3"/>
              <w:jc w:val="left"/>
            </w:pPr>
            <w:r>
              <w:rPr/>
              <w:t>1．本项目各产品价格以阳江市发展和改革局上一个月在政府信息公开公布的价格为基准价格，若上述官方机构公布的价格中没有采购人要求的产品价格信息，以“市场调查价格”作为下个月内的基准价。“市场调查价格”在实施采购及供货前每月调查一次，调查结果作为下一个供货月内的基准价，并由双方指定人员参与并签字确认（原则上在每月的25日至月底进行市场调查，作为下个月内的基准价。）肉类、果蔬菜类、水产海鲜类、干货类由采购人分别指定阳春市市区范围内3个大型肉菜贸易市场（城南市场，漠阳市场，河西市场），粮油、调味料、厨房辅材用品类由采购人分别指定阳春市市区范围内3家正规大型商超（华润万家超市、南大育源超市(南大店)、河西好好多购物广场）进行同类同质产品的价格调查出。若仍无法确定，由采购人与中标人双方共同协商，参考同类或相近品种产品的市场行情确定基准价格，并由双方指定人员参与并签字确认。 2．当月结算价：各类肉类及蔬菜瓜果粮油类等产品货款=对应品种的政府基准价（或市场调查价或协商价）×当月实际供货数量×中标折扣率。 3．本项目报价方式为折扣率报价，0＜折扣率≤100%，且该折扣率必须为固定数值，不接受区间报价（ 如80%～90%）。（注：满足招标文件要求且投标价格最低的投标报价（折扣率）为评标基准价。）最低报价不是中标的唯一依据。【注：满足招标文件要求且“XXXX”报价最低的为评标基准价。如：投标报价XXXX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 4．合同执行期内，不论中标供应商供应货物的来源何地均按中标折扣率结算，中标折扣率合同期内不作调整。 5．供应价格应包含货物的税费、加工、运输、检验、包装、仓储、送货、装卸、质保期保障等一切费用，采购人不再承担其他任何费用。</w:t>
            </w:r>
          </w:p>
        </w:tc>
      </w:tr>
      <w:tr>
        <w:tc>
          <w:tcPr>
            <w:tcW w:type="dxa" w:w="2076"/>
          </w:tcPr>
          <w:p/>
        </w:tc>
        <w:tc>
          <w:tcPr>
            <w:tcW w:type="dxa" w:w="2076"/>
          </w:tcPr>
          <w:p>
            <w:pPr>
              <w:pStyle w:val="null3"/>
              <w:jc w:val="center"/>
            </w:pPr>
            <w:r>
              <w:rPr/>
              <w:t>5</w:t>
            </w:r>
          </w:p>
        </w:tc>
        <w:tc>
          <w:tcPr>
            <w:tcW w:type="dxa" w:w="2076"/>
          </w:tcPr>
          <w:p>
            <w:pPr>
              <w:pStyle w:val="null3"/>
              <w:jc w:val="left"/>
            </w:pPr>
            <w:r>
              <w:rPr/>
              <w:t>售后服务</w:t>
            </w:r>
          </w:p>
        </w:tc>
        <w:tc>
          <w:tcPr>
            <w:tcW w:type="dxa" w:w="2076"/>
          </w:tcPr>
          <w:p>
            <w:pPr>
              <w:pStyle w:val="null3"/>
              <w:jc w:val="left"/>
            </w:pPr>
            <w:r>
              <w:rPr/>
              <w:t>非采购人的人为原因而出现产品质量问题，由中标供应商负责包换或包退，并承担因此而产生的一切费用，由于中标方所供货物质量原因（以有资质的质检部门的质检报告为准），造成采购方用餐人员发生食品安全事故的，中标供应商须承担所有相关的经济赔偿及法律责任。</w:t>
            </w:r>
          </w:p>
        </w:tc>
      </w:tr>
      <w:tr>
        <w:tc>
          <w:tcPr>
            <w:tcW w:type="dxa" w:w="2076"/>
          </w:tcPr>
          <w:p/>
        </w:tc>
        <w:tc>
          <w:tcPr>
            <w:tcW w:type="dxa" w:w="2076"/>
          </w:tcPr>
          <w:p>
            <w:pPr>
              <w:pStyle w:val="null3"/>
              <w:jc w:val="center"/>
            </w:pPr>
            <w:r>
              <w:rPr/>
              <w:t>6</w:t>
            </w:r>
          </w:p>
        </w:tc>
        <w:tc>
          <w:tcPr>
            <w:tcW w:type="dxa" w:w="2076"/>
          </w:tcPr>
          <w:p>
            <w:pPr>
              <w:pStyle w:val="null3"/>
              <w:jc w:val="left"/>
            </w:pPr>
            <w:r>
              <w:rPr/>
              <w:t>保密条款</w:t>
            </w:r>
          </w:p>
        </w:tc>
        <w:tc>
          <w:tcPr>
            <w:tcW w:type="dxa" w:w="2076"/>
          </w:tcPr>
          <w:p>
            <w:pPr>
              <w:pStyle w:val="null3"/>
              <w:jc w:val="left"/>
            </w:pPr>
            <w:r>
              <w:rPr/>
              <w:t>中标供应商在实施货物供货期间，不得将供货的实际数量及供货地点泄露给其他企业或者个人，中标供应商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w:t>
            </w:r>
          </w:p>
        </w:tc>
      </w:tr>
      <w:tr>
        <w:tc>
          <w:tcPr>
            <w:tcW w:type="dxa" w:w="2076"/>
          </w:tcPr>
          <w:p/>
        </w:tc>
        <w:tc>
          <w:tcPr>
            <w:tcW w:type="dxa" w:w="2076"/>
          </w:tcPr>
          <w:p>
            <w:pPr>
              <w:pStyle w:val="null3"/>
              <w:jc w:val="center"/>
            </w:pPr>
            <w:r>
              <w:rPr/>
              <w:t>7</w:t>
            </w:r>
          </w:p>
        </w:tc>
        <w:tc>
          <w:tcPr>
            <w:tcW w:type="dxa" w:w="2076"/>
          </w:tcPr>
          <w:p>
            <w:pPr>
              <w:pStyle w:val="null3"/>
              <w:jc w:val="left"/>
            </w:pPr>
            <w:r>
              <w:rPr/>
              <w:t>技术方案编制要求</w:t>
            </w:r>
          </w:p>
        </w:tc>
        <w:tc>
          <w:tcPr>
            <w:tcW w:type="dxa" w:w="2076"/>
          </w:tcPr>
          <w:p>
            <w:pPr>
              <w:pStyle w:val="null3"/>
              <w:jc w:val="left"/>
            </w:pPr>
            <w:r>
              <w:rPr/>
              <w:t>1．食品质量保证方案：明确食材来源可追溯，加工、包装、存储、运输符合卫生规范，每批次提供合格检验证明，确保食材剩余有效期不少于标注有效期的 60%。 2．配送方案：保障 24 小时内送货、临时需求 1 小时响应，遵循 “一小时配送圈” 原则，冷藏冷冻食品运输符合温控要求，有缺货补送预案。 3．食品安全管理制度：建立进出货台账（保存不少于 2 年），落实食材抽检及留样（保存不少于 48 小时），定期清洁消毒设备场地，对问题食材零容忍并按规定处理。 4．应急方案：应对自然灾害有备用路线和设备，遇经营风险提前 30 天通知并协助对接预备商，发生食品安全事故及时召回、配合调查。 服务质量方案：配送人员无违法犯罪记录、需培训备案，更换人员提前审批；提供增值服务方案；验收不合格食材 1 小时响应、2 小时完成更换。</w:t>
            </w:r>
          </w:p>
        </w:tc>
      </w:tr>
      <w:tr>
        <w:tc>
          <w:tcPr>
            <w:tcW w:type="dxa" w:w="2076"/>
          </w:tcPr>
          <w:p/>
        </w:tc>
        <w:tc>
          <w:tcPr>
            <w:tcW w:type="dxa" w:w="2076"/>
          </w:tcPr>
          <w:p>
            <w:pPr>
              <w:pStyle w:val="null3"/>
              <w:jc w:val="center"/>
            </w:pPr>
            <w:r>
              <w:rPr/>
              <w:t>8</w:t>
            </w:r>
          </w:p>
        </w:tc>
        <w:tc>
          <w:tcPr>
            <w:tcW w:type="dxa" w:w="2076"/>
          </w:tcPr>
          <w:p>
            <w:pPr>
              <w:pStyle w:val="null3"/>
              <w:jc w:val="left"/>
            </w:pPr>
            <w:r>
              <w:rPr/>
              <w:t>合同解除</w:t>
            </w:r>
          </w:p>
        </w:tc>
        <w:tc>
          <w:tcPr>
            <w:tcW w:type="dxa" w:w="2076"/>
          </w:tcPr>
          <w:p>
            <w:pPr>
              <w:pStyle w:val="null3"/>
              <w:jc w:val="left"/>
            </w:pPr>
            <w:r>
              <w:rPr/>
              <w:t>1.自合同签订生效之日起一年或采购费用总额累计达到本项目预算金额时，合同自然 2.若供应商在招投标过程中存在弄虚作假等欺诈手段，或在配送过程中因情况变化不再符合本项目准入条件，采购人有权直接取消其配送资格，并终止合同。 3.中标供应商严禁将中标项目进行转让或分包给第三方，一经查实，采购人立即取消其配送资格，合同自动解除。 4.中标供应商在合同履行期间，出现以下情况采购人有权解除合同： ①未按配送要求提供原料，导致正常就餐受到影响，累计达三次及以上； ②对采购人提出的问题，未及时响应或未落实整改措施； ③单次考核中，供应商被扣减分数达到 20 分及以上，或半年内累计有 2 次被扣减分数在 10 分以上； ④半年内累计出现 3 次低于合格满意度（＜90 分），或半年内累计2次当月考核总分低于 60 分。 5.采购人对每次出现的食品质量安全事件均进行详细记录，若出现以下情况采购人有权直接单方终止合同： ①事件已对人身安全造成危害，或同类问题累计出现超过3次； ②若经县级以上卫生行政部门或疾控中心认定，因中标供应商配送的食材问题造成食物中毒事故，或引发重大食品安全事故； ③当月考核过程中，出现导致食品安全事故等严重问题直接扣至0分，且整改不合格或逾期未提交方案。中标供应商不得以任何形式对采购人相关人员进行贿赂，若有违反，一经发现，采购人立即取消其配送资格。</w:t>
            </w:r>
          </w:p>
        </w:tc>
      </w:tr>
      <w:tr>
        <w:tc>
          <w:tcPr>
            <w:tcW w:type="dxa" w:w="2076"/>
          </w:tcPr>
          <w:p/>
        </w:tc>
        <w:tc>
          <w:tcPr>
            <w:tcW w:type="dxa" w:w="2076"/>
          </w:tcPr>
          <w:p>
            <w:pPr>
              <w:pStyle w:val="null3"/>
              <w:jc w:val="center"/>
            </w:pPr>
            <w:r>
              <w:rPr/>
              <w:t>9</w:t>
            </w:r>
          </w:p>
        </w:tc>
        <w:tc>
          <w:tcPr>
            <w:tcW w:type="dxa" w:w="2076"/>
          </w:tcPr>
          <w:p>
            <w:pPr>
              <w:pStyle w:val="null3"/>
              <w:jc w:val="left"/>
            </w:pPr>
            <w:r>
              <w:rPr/>
              <w:t>其他要求</w:t>
            </w:r>
          </w:p>
        </w:tc>
        <w:tc>
          <w:tcPr>
            <w:tcW w:type="dxa" w:w="2076"/>
          </w:tcPr>
          <w:p>
            <w:pPr>
              <w:pStyle w:val="null3"/>
              <w:jc w:val="left"/>
            </w:pPr>
            <w:r>
              <w:rPr/>
              <w:t>1．中标供应商需严格履行招标文件和合同的约定，保质、保量、按时配送食品。 2．因使用中标供应商配送的食品而引致安全事故，中标供应商需承担全部经济和法律责任，并放弃先诉抗辩权。 3．中标供应商在食品配送过程中如出现需向采购人支付经济赔偿金、违约金等相关费用时，采购人可直接在每月食品配送结算金额中扣除。 4．合同期内，如因中标供应商违约原因被采购人解除合同或中标供应商单方解除合同时，经济赔偿金、违约罚金等相关费用按如下处理： 如中标供应商出现需向采购人支付经济赔偿金、违约罚金等相关费用，而食品配送结算金额不足以支付时，差额部分中标供应商需3日内另行向采购人支付。 5．中标供应商因违反合同约定给采购方造成重大影响或经济损失或未及时向采购人支付经济赔偿金、违约金等相关费用差额的，采购人保留法律追究权。</w:t>
            </w:r>
          </w:p>
        </w:tc>
      </w:tr>
      <w:tr>
        <w:tc>
          <w:tcPr>
            <w:tcW w:type="dxa" w:w="2076"/>
          </w:tcPr>
          <w:p/>
        </w:tc>
        <w:tc>
          <w:tcPr>
            <w:tcW w:type="dxa" w:w="2076"/>
          </w:tcPr>
          <w:p>
            <w:pPr>
              <w:pStyle w:val="null3"/>
              <w:jc w:val="center"/>
            </w:pPr>
            <w:r>
              <w:rPr/>
              <w:t>10</w:t>
            </w:r>
          </w:p>
        </w:tc>
        <w:tc>
          <w:tcPr>
            <w:tcW w:type="dxa" w:w="2076"/>
          </w:tcPr>
          <w:p>
            <w:pPr>
              <w:pStyle w:val="null3"/>
              <w:jc w:val="left"/>
            </w:pPr>
            <w:r>
              <w:rPr/>
              <w:t>应急预案</w:t>
            </w:r>
          </w:p>
        </w:tc>
        <w:tc>
          <w:tcPr>
            <w:tcW w:type="dxa" w:w="2076"/>
          </w:tcPr>
          <w:p>
            <w:pPr>
              <w:pStyle w:val="null3"/>
              <w:jc w:val="left"/>
            </w:pPr>
            <w:r>
              <w:rPr/>
              <w:t>供应商应制定完善的应急预案，以应对自然灾害、供应商破产等突发情况。预案中需明确应急配送机制，如在自然灾害导致交通受阻时，应提前规划备用配送路线或采用应急运输方式确保食材供应；若供应商面临破产风险，应提前与采购人沟通，并协助采购人寻找预备供应商，确保在最短时间内完成供应商更替，保障医院饭堂食材的稳定供应。</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2,053,000.00</w:t>
            </w:r>
          </w:p>
        </w:tc>
        <w:tc>
          <w:tcPr>
            <w:tcW w:type="dxa" w:w="831"/>
          </w:tcPr>
          <w:p>
            <w:pPr>
              <w:pStyle w:val="null3"/>
              <w:jc w:val="right"/>
            </w:pPr>
            <w:r>
              <w:rPr/>
              <w:t>2,053,000.00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一、总体要求</w:t>
            </w:r>
          </w:p>
          <w:p>
            <w:pPr>
              <w:pStyle w:val="null3"/>
              <w:jc w:val="both"/>
            </w:pPr>
            <w:r>
              <w:rPr>
                <w:sz w:val="21"/>
              </w:rPr>
              <w:t>1.具有使用有效期的食材，剩余有效期不得少于标注有效期的 60%，保障食材在采购方使用阶段处于良好品质状态。</w:t>
            </w:r>
          </w:p>
          <w:p>
            <w:pPr>
              <w:pStyle w:val="null3"/>
              <w:jc w:val="both"/>
            </w:pPr>
            <w:r>
              <w:rPr>
                <w:sz w:val="21"/>
              </w:rPr>
              <w:t>2.所供物品必须严格符合《中华人民共和国食品安全法》要求，确保全流程合法合规。</w:t>
            </w:r>
          </w:p>
          <w:p>
            <w:pPr>
              <w:pStyle w:val="null3"/>
              <w:jc w:val="both"/>
            </w:pPr>
            <w:r>
              <w:rPr>
                <w:sz w:val="21"/>
              </w:rPr>
              <w:t>3.供应商需书面承诺所供物品符合国家有关标准，保证无异味、无霉烂变质；若不符合投标文件描述的质量标准，须无条件退货，并按合同约定承担违约责任。</w:t>
            </w:r>
          </w:p>
          <w:p>
            <w:pPr>
              <w:pStyle w:val="null3"/>
              <w:jc w:val="both"/>
            </w:pPr>
            <w:r>
              <w:rPr>
                <w:sz w:val="21"/>
              </w:rPr>
              <w:t>4.所供商品均需符合国家行业生产及经营标准，做到货真价实，且每批次商品均能提供对应合格检验证明，如出厂检验报告、第三方检测报告等，实现质量可追溯。</w:t>
            </w:r>
          </w:p>
          <w:p>
            <w:pPr>
              <w:pStyle w:val="null3"/>
              <w:jc w:val="both"/>
            </w:pPr>
            <w:r>
              <w:rPr>
                <w:sz w:val="21"/>
              </w:rPr>
              <w:t>5.供应货物各项技术指标符合国家质量检测、环保标准及产品出厂标准，确保产品质量安全可靠，实现多维度质量把控</w:t>
            </w:r>
            <w:r>
              <w:rPr>
                <w:sz w:val="21"/>
              </w:rPr>
              <w:t>。</w:t>
            </w:r>
          </w:p>
          <w:p>
            <w:pPr>
              <w:pStyle w:val="null3"/>
              <w:jc w:val="both"/>
            </w:pPr>
            <w:r>
              <w:rPr>
                <w:sz w:val="21"/>
              </w:rPr>
              <w:t>6.供应商负责中标货物的运输、质量检测等工作，严格按照相关标准和规范执行，承担全部相关费用</w:t>
            </w:r>
            <w:r>
              <w:rPr>
                <w:sz w:val="21"/>
              </w:rPr>
              <w:t>。</w:t>
            </w:r>
          </w:p>
          <w:p>
            <w:pPr>
              <w:pStyle w:val="null3"/>
              <w:jc w:val="both"/>
            </w:pPr>
            <w:r>
              <w:rPr>
                <w:sz w:val="21"/>
              </w:rPr>
              <w:t>7.物品具体需求量及品种以实际供应前一天采购人通知为准，供应商需具备灵活响应能力。</w:t>
            </w:r>
          </w:p>
          <w:p>
            <w:pPr>
              <w:pStyle w:val="null3"/>
              <w:jc w:val="both"/>
            </w:pPr>
            <w:r>
              <w:rPr>
                <w:sz w:val="21"/>
              </w:rPr>
              <w:t>8.供应商严禁将中标项目进行转包、分包，否则采购人有权单方终止合同，由此产生的一切经济损失，包括但不限于采购方重新采购的差价、工期延误损失等，均由供应商自行承担。</w:t>
            </w:r>
          </w:p>
          <w:p>
            <w:pPr>
              <w:pStyle w:val="null3"/>
              <w:jc w:val="both"/>
            </w:pPr>
            <w:r>
              <w:rPr>
                <w:sz w:val="21"/>
              </w:rPr>
              <w:t>9.鉴于采购人工作特殊性，供应商须做好本单位工作人员的教育与培训工作，确保其严格遵守采购人各项规定，维护采购人正常工作秩序。</w:t>
            </w:r>
          </w:p>
          <w:p>
            <w:pPr>
              <w:pStyle w:val="null3"/>
              <w:jc w:val="both"/>
            </w:pPr>
            <w:r>
              <w:rPr>
                <w:sz w:val="21"/>
              </w:rPr>
              <w:t>10.除不可抗力因素外，供应商不得以任何其他理由延迟送货；采购人若因特殊情况需推迟送货，应提前通知供应商。因供应商原因延误交货日期（采购人要求推迟的除外），采购人有权自行采购，由此产生的额外费用、损失及法律责任均由供应商承担。</w:t>
            </w:r>
          </w:p>
          <w:p>
            <w:pPr>
              <w:pStyle w:val="null3"/>
              <w:jc w:val="both"/>
            </w:pPr>
            <w:r>
              <w:rPr>
                <w:sz w:val="21"/>
              </w:rPr>
              <w:t>11.供应商不得随意变更供应商品，应严格按照招标要求（涵盖商标、名称、产地、规格、重量等详细信息）供应；如因市场流通问题确需变更，需提前书面向采购人申请，经采购人书面回复同意后，方可按意见执行。</w:t>
            </w:r>
          </w:p>
          <w:p>
            <w:pPr>
              <w:pStyle w:val="null3"/>
              <w:jc w:val="both"/>
            </w:pPr>
            <w:r>
              <w:rPr>
                <w:sz w:val="21"/>
              </w:rPr>
              <w:t>12.若供应商供应假冒伪劣、以次充好商品，除立即更换为合格商品外，采购人不予支付本批货物货款；同一月份内同类问题发生达 2 次，采购人有权单方面终止合同，并取消其供应资格。</w:t>
            </w:r>
          </w:p>
          <w:p>
            <w:pPr>
              <w:pStyle w:val="null3"/>
              <w:jc w:val="both"/>
            </w:pPr>
            <w:r>
              <w:rPr>
                <w:sz w:val="21"/>
              </w:rPr>
              <w:t>13.为保障服务质量，投标供应商须：①具备自有或租赁的冷库、配送加工场地及冷链车，并提供有效租赁协议；②购买食品安全责任险（保险金额不低于 500 万元，保险覆盖范围需涵盖因所供应食材导致的食品安全事故、食物中毒等风险。），或提供等额银行保函、履约金等风险保障；③配备专职食品安全管理人员，负责食材采购、验收、存储等环节的安全管控，且人员无违法犯罪记录；</w:t>
            </w:r>
            <w:r>
              <w:rPr>
                <w:sz w:val="21"/>
              </w:rPr>
              <w:t>④</w:t>
            </w:r>
            <w:r>
              <w:rPr>
                <w:sz w:val="21"/>
              </w:rPr>
              <w:t>每批次食材均能提供符合需求书要求的合格检验证明（如检疫合格证、第三方检测报告等），且能配合采购人进行食材抽检，必要时需具备相应的检测设备以保障检测工作的顺利开展。</w:t>
            </w:r>
          </w:p>
          <w:p>
            <w:pPr>
              <w:pStyle w:val="null3"/>
              <w:jc w:val="both"/>
            </w:pPr>
            <w:r>
              <w:rPr>
                <w:sz w:val="21"/>
              </w:rPr>
              <w:t>14.如有国家政策要求采购其他食品物资，中标供应商需无条件执行，确保政策落实到位。</w:t>
            </w:r>
          </w:p>
          <w:p>
            <w:pPr>
              <w:pStyle w:val="null3"/>
              <w:jc w:val="both"/>
            </w:pPr>
            <w:r>
              <w:rPr>
                <w:sz w:val="21"/>
                <w:b/>
              </w:rPr>
              <w:t>二、具体项目要求</w:t>
            </w:r>
          </w:p>
          <w:p>
            <w:pPr>
              <w:pStyle w:val="null3"/>
              <w:jc w:val="both"/>
            </w:pPr>
            <w:r>
              <w:rPr>
                <w:sz w:val="21"/>
                <w:b/>
              </w:rPr>
              <w:t>（一）肉类</w:t>
            </w:r>
          </w:p>
          <w:p>
            <w:pPr>
              <w:pStyle w:val="null3"/>
              <w:jc w:val="both"/>
            </w:pPr>
            <w:r>
              <w:rPr>
                <w:sz w:val="21"/>
              </w:rPr>
              <w:t>1.鲜肉、冷冻肉：品质符合国家食品部门标准和规格，供货时提供当批次有效动物产品检疫合格证（原件备查）。每批鲜肉、骨外观和质量良好，无异味、无腐烂变质；鲜肉每日新鲜供应，标明保鲜期；冷冻肉冻实坚硬，无化冻，肉质紧密有弹性，色泽均匀，不粘手，解冻后无血水渗出，交货时干净、新鲜、无异味</w:t>
            </w:r>
            <w:r>
              <w:rPr>
                <w:sz w:val="21"/>
              </w:rPr>
              <w:t>。</w:t>
            </w:r>
          </w:p>
          <w:p>
            <w:pPr>
              <w:pStyle w:val="null3"/>
              <w:jc w:val="both"/>
            </w:pPr>
            <w:r>
              <w:rPr>
                <w:sz w:val="21"/>
              </w:rPr>
              <w:t>2.其他肉类</w:t>
            </w:r>
          </w:p>
          <w:p>
            <w:pPr>
              <w:pStyle w:val="null3"/>
              <w:jc w:val="both"/>
            </w:pPr>
            <w:r>
              <w:rPr>
                <w:sz w:val="21"/>
              </w:rPr>
              <w:t>①</w:t>
            </w:r>
            <w:r>
              <w:rPr>
                <w:sz w:val="21"/>
              </w:rPr>
              <w:t>冷冻肉：符合上述冷冻肉通用标准。</w:t>
            </w:r>
          </w:p>
          <w:p>
            <w:pPr>
              <w:pStyle w:val="null3"/>
              <w:jc w:val="both"/>
            </w:pPr>
            <w:r>
              <w:rPr>
                <w:sz w:val="21"/>
              </w:rPr>
              <w:t>②</w:t>
            </w:r>
            <w:r>
              <w:rPr>
                <w:sz w:val="21"/>
              </w:rPr>
              <w:t>冷冻鱼类：鱼眼睛清亮，角膜透明，鳞片色泽明显</w:t>
            </w:r>
            <w:r>
              <w:rPr>
                <w:sz w:val="21"/>
              </w:rPr>
              <w:t>，鱼鳃鲜红，无黏液附着</w:t>
            </w:r>
            <w:r>
              <w:rPr>
                <w:sz w:val="21"/>
              </w:rPr>
              <w:t>。</w:t>
            </w:r>
          </w:p>
          <w:p>
            <w:pPr>
              <w:pStyle w:val="null3"/>
              <w:jc w:val="both"/>
            </w:pPr>
            <w:r>
              <w:rPr>
                <w:sz w:val="21"/>
              </w:rPr>
              <w:t>③</w:t>
            </w:r>
            <w:r>
              <w:rPr>
                <w:sz w:val="21"/>
              </w:rPr>
              <w:t>冷冻禽类：解冻后净重量不少于 90%。</w:t>
            </w:r>
          </w:p>
          <w:p>
            <w:pPr>
              <w:pStyle w:val="null3"/>
              <w:jc w:val="both"/>
            </w:pPr>
            <w:r>
              <w:rPr>
                <w:sz w:val="21"/>
              </w:rPr>
              <w:t>④</w:t>
            </w:r>
            <w:r>
              <w:rPr>
                <w:sz w:val="21"/>
              </w:rPr>
              <w:t>冷冻肉类：解冻后净重量不少于 92%。</w:t>
            </w:r>
          </w:p>
          <w:p>
            <w:pPr>
              <w:pStyle w:val="null3"/>
              <w:jc w:val="both"/>
            </w:pPr>
            <w:r>
              <w:rPr>
                <w:sz w:val="21"/>
              </w:rPr>
              <w:t>⑤</w:t>
            </w:r>
            <w:r>
              <w:rPr>
                <w:sz w:val="21"/>
              </w:rPr>
              <w:t>冷冻水产品：解冻后净重量不少于 85%，解冻时间控制在 4 小时以内（室温 20℃）。所有冷冻食品均需清晰列出产品品牌、规格、类型、包装方式、包装净重、含冰量等相关参数，且包装箱上必须贴有 SC 标志。</w:t>
            </w:r>
          </w:p>
          <w:p>
            <w:pPr>
              <w:pStyle w:val="null3"/>
              <w:jc w:val="both"/>
            </w:pPr>
            <w:r>
              <w:rPr>
                <w:sz w:val="21"/>
                <w:b/>
              </w:rPr>
              <w:t>（二）蛋类</w:t>
            </w:r>
          </w:p>
          <w:p>
            <w:pPr>
              <w:pStyle w:val="null3"/>
              <w:jc w:val="both"/>
            </w:pPr>
            <w:r>
              <w:rPr>
                <w:sz w:val="21"/>
              </w:rPr>
              <w:t>1.鲜蛋：蛋壳清洁完整，色泽鲜明，无破损、裂纹、霉斑；灯光透视时，整个蛋呈桔黄色至橙红色，蛋黄不见或略见阴影，无霉味、酸味、臭味等不良气味；打开后蛋黄凸起、完整、有韧性，蛋白澄清、透明、稀稠分明，无异味。</w:t>
            </w:r>
          </w:p>
          <w:p>
            <w:pPr>
              <w:pStyle w:val="null3"/>
              <w:jc w:val="both"/>
            </w:pPr>
            <w:r>
              <w:rPr>
                <w:sz w:val="21"/>
              </w:rPr>
              <w:t>2.咸蛋：裹泥完整，无裂纹或霉斑，摇动时有轻度水荡漾感觉；灯光透视蛋黄凝结、呈橙黄色且靠近蛋壳，蛋清呈白色水样透明；打开可见蛋清稀薄透明，蛋黄呈红色或淡红色，浓缩粘度增强，但不硬固；煮熟后蛋清白嫩，蛋黄口味有细沙感，富于油脂，具咸蛋固有香味。</w:t>
            </w:r>
          </w:p>
          <w:p>
            <w:pPr>
              <w:pStyle w:val="null3"/>
              <w:jc w:val="both"/>
            </w:pPr>
            <w:r>
              <w:rPr>
                <w:sz w:val="21"/>
              </w:rPr>
              <w:t>3.皮蛋：外表泥状包料完整、无霉斑，包料除掉后蛋壳完整无损；灯光透照蛋内容物凝固不动；打开后整个蛋凝固、不粘壳、清洁有弹性、呈半透明棕黄色，闻有芳香，无辛辣气。</w:t>
            </w:r>
          </w:p>
          <w:p>
            <w:pPr>
              <w:pStyle w:val="null3"/>
              <w:jc w:val="both"/>
            </w:pPr>
            <w:r>
              <w:rPr>
                <w:sz w:val="21"/>
                <w:b/>
              </w:rPr>
              <w:t>（三）蔬菜、瓜果</w:t>
            </w:r>
          </w:p>
          <w:p>
            <w:pPr>
              <w:pStyle w:val="null3"/>
              <w:jc w:val="both"/>
            </w:pPr>
            <w:r>
              <w:rPr>
                <w:sz w:val="21"/>
              </w:rPr>
              <w:t>1.总体要求：必须为优质货品，不得含有残留农药或污染物，卫生指标符合我国无公害蔬菜卫生指标规定；各类蔬菜、瓜果应具有本品种固有气味、形态、颜色、光泽及成熟度和鲜嫩程度，无腐烂变质及其他异常味道，不提供萎蔫、枯塌、损伤、病变、虫害等异常产品。</w:t>
            </w:r>
          </w:p>
          <w:p>
            <w:pPr>
              <w:pStyle w:val="null3"/>
              <w:jc w:val="both"/>
            </w:pPr>
            <w:r>
              <w:rPr>
                <w:sz w:val="21"/>
              </w:rPr>
              <w:t>2.分类要求</w:t>
            </w:r>
          </w:p>
          <w:p>
            <w:pPr>
              <w:pStyle w:val="null3"/>
              <w:jc w:val="both"/>
            </w:pPr>
            <w:r>
              <w:rPr>
                <w:sz w:val="21"/>
              </w:rPr>
              <w:t>①</w:t>
            </w:r>
            <w:r>
              <w:rPr>
                <w:sz w:val="21"/>
              </w:rPr>
              <w:t>叶菜类：肉质鲜嫩，形态良好，色泽正常，茎基部削平；无黄叶、病叶、泥土、明显机械伤和病虫害，无烧心焦边、腐烂、抽苔、畸形、异味；结球叶菜结球适度，花椰菜类新鲜洁白，不带叶麸、无畸形花。</w:t>
            </w:r>
          </w:p>
          <w:p>
            <w:pPr>
              <w:pStyle w:val="null3"/>
              <w:jc w:val="both"/>
            </w:pPr>
            <w:r>
              <w:rPr>
                <w:sz w:val="21"/>
              </w:rPr>
              <w:t>②</w:t>
            </w:r>
            <w:r>
              <w:rPr>
                <w:sz w:val="21"/>
              </w:rPr>
              <w:t>茄果类：果实整洁，成熟度适中；番茄花蒂不明显，无裂果及空洞现象；茄果无裂蒂及果皮变硬情况，无腐烂、畸形、异味、明显机械伤。</w:t>
            </w:r>
          </w:p>
          <w:p>
            <w:pPr>
              <w:pStyle w:val="null3"/>
              <w:jc w:val="both"/>
            </w:pPr>
            <w:r>
              <w:rPr>
                <w:sz w:val="21"/>
              </w:rPr>
              <w:t>③</w:t>
            </w:r>
            <w:r>
              <w:rPr>
                <w:sz w:val="21"/>
              </w:rPr>
              <w:t>瓜果类：形状、色泽一致，瓜条均匀；无疤点、断裂、腐烂、畸形、异味、明显机械伤，不带泥土。</w:t>
            </w:r>
          </w:p>
          <w:p>
            <w:pPr>
              <w:pStyle w:val="null3"/>
              <w:jc w:val="both"/>
            </w:pPr>
            <w:r>
              <w:rPr>
                <w:sz w:val="21"/>
              </w:rPr>
              <w:t>④</w:t>
            </w:r>
            <w:r>
              <w:rPr>
                <w:sz w:val="21"/>
              </w:rPr>
              <w:t>根菜类：品种皮细光滑，大小均匀；肉质脆嫩、新鲜，无断裂、腐烂、裂痕、糠心、异味；不带泥土、茎叶和须根。</w:t>
            </w:r>
          </w:p>
          <w:p>
            <w:pPr>
              <w:pStyle w:val="null3"/>
              <w:jc w:val="both"/>
            </w:pPr>
            <w:r>
              <w:rPr>
                <w:sz w:val="21"/>
              </w:rPr>
              <w:t>⑤</w:t>
            </w:r>
            <w:r>
              <w:rPr>
                <w:sz w:val="21"/>
              </w:rPr>
              <w:t>薯芋类：色泽一致，不带泥土、茎叶和须根；不干瘪、无腐烂、畸形、异味、明显机械伤、病虫害斑；马铃薯无发芽，皮不变绿。</w:t>
            </w:r>
          </w:p>
          <w:p>
            <w:pPr>
              <w:pStyle w:val="null3"/>
              <w:jc w:val="both"/>
            </w:pPr>
            <w:r>
              <w:rPr>
                <w:sz w:val="21"/>
              </w:rPr>
              <w:t>⑥</w:t>
            </w:r>
            <w:r>
              <w:rPr>
                <w:sz w:val="21"/>
              </w:rPr>
              <w:t>葱蒜类：不带老叶、枯叶，不带泥土，无腐烂、异味。</w:t>
            </w:r>
          </w:p>
          <w:p>
            <w:pPr>
              <w:pStyle w:val="null3"/>
              <w:jc w:val="both"/>
            </w:pPr>
            <w:r>
              <w:rPr>
                <w:sz w:val="21"/>
              </w:rPr>
              <w:t>⑦</w:t>
            </w:r>
            <w:r>
              <w:rPr>
                <w:sz w:val="21"/>
              </w:rPr>
              <w:t>豆类：形态完整，成熟度适中；无腐烂、畸形、异味；豆荚类新鲜、嫩、均匀，豆粒饱满，无发芽，不带泥土。</w:t>
            </w:r>
          </w:p>
          <w:p>
            <w:pPr>
              <w:pStyle w:val="null3"/>
              <w:jc w:val="both"/>
            </w:pPr>
            <w:r>
              <w:rPr>
                <w:sz w:val="21"/>
              </w:rPr>
              <w:t>⑧</w:t>
            </w:r>
            <w:r>
              <w:rPr>
                <w:sz w:val="21"/>
              </w:rPr>
              <w:t>食用菌类：新鲜，无杂质、腐烂、畸形、异味。</w:t>
            </w:r>
          </w:p>
          <w:p>
            <w:pPr>
              <w:pStyle w:val="null3"/>
              <w:jc w:val="both"/>
            </w:pPr>
            <w:r>
              <w:rPr>
                <w:sz w:val="21"/>
              </w:rPr>
              <w:t>（四）海鲜、河鲜类</w:t>
            </w:r>
          </w:p>
          <w:p>
            <w:pPr>
              <w:pStyle w:val="null3"/>
              <w:jc w:val="both"/>
            </w:pPr>
            <w:r>
              <w:rPr>
                <w:sz w:val="21"/>
              </w:rPr>
              <w:t>1.鲜活类：必须鲜活，身体饱满结实，无腐烂异味，肉质紧密有弹性，来源可靠放心，无毒、无害、无污染，利用率不低于 95%。</w:t>
            </w:r>
          </w:p>
          <w:p>
            <w:pPr>
              <w:pStyle w:val="null3"/>
              <w:jc w:val="both"/>
            </w:pPr>
            <w:r>
              <w:rPr>
                <w:sz w:val="21"/>
              </w:rPr>
              <w:t>2.冷冻类</w:t>
            </w:r>
          </w:p>
          <w:p>
            <w:pPr>
              <w:pStyle w:val="null3"/>
              <w:jc w:val="both"/>
            </w:pPr>
            <w:r>
              <w:rPr>
                <w:sz w:val="21"/>
              </w:rPr>
              <w:t>3.冷冻鱼类：鱼眼睛清亮，角膜透明，鳞片上覆盖有冻结的透明粘液层，皮肤天然色泽明显；鱼体完整无伤残，带鳞鱼体表鳞片完整无损，去鳞鱼无残鳞片；鱼体富有弹性，手指轻按后凹陷处可马上恢复，无异味，仅有较温和鱼腥味。</w:t>
            </w:r>
          </w:p>
          <w:p>
            <w:pPr>
              <w:pStyle w:val="null3"/>
              <w:jc w:val="both"/>
            </w:pPr>
            <w:r>
              <w:rPr>
                <w:sz w:val="21"/>
              </w:rPr>
              <w:t>4.虾：头胸甲与躯干连接紧密，无断头现象；虾身清洁无污染无异味，虾眼突起，虾身较挺，肉质坚实；虾壳发亮、发硬，呈青绿色或青白色。</w:t>
            </w:r>
          </w:p>
          <w:p>
            <w:pPr>
              <w:pStyle w:val="null3"/>
              <w:jc w:val="both"/>
            </w:pPr>
            <w:r>
              <w:rPr>
                <w:sz w:val="21"/>
              </w:rPr>
              <w:t>5.黄鳝：体态完整，体色正常，在水中朝上直立，捞离水后挣扎有力，身上粘度较多，个体较大。</w:t>
            </w:r>
          </w:p>
          <w:p>
            <w:pPr>
              <w:pStyle w:val="null3"/>
              <w:jc w:val="both"/>
            </w:pPr>
            <w:r>
              <w:rPr>
                <w:sz w:val="21"/>
              </w:rPr>
              <w:t>6.贝壳类：肉质新鲜，无臭味，两贝壳相碰发出实响且响声均匀，在静水中会伸出触角；表面清洁完整，无寄生物，外观完美，有光泽。</w:t>
            </w:r>
          </w:p>
          <w:p>
            <w:pPr>
              <w:pStyle w:val="null3"/>
              <w:jc w:val="both"/>
            </w:pPr>
            <w:r>
              <w:rPr>
                <w:sz w:val="21"/>
              </w:rPr>
              <w:t>7.冷冻水产类：解冻后净重量不少于 82%，解冻时间为 4 小时以内（室温 20℃），清晰列出产品品牌、规格等相关参数。</w:t>
            </w:r>
          </w:p>
          <w:p>
            <w:pPr>
              <w:pStyle w:val="null3"/>
              <w:jc w:val="both"/>
            </w:pPr>
            <w:r>
              <w:rPr>
                <w:sz w:val="21"/>
              </w:rPr>
              <w:t>注：所有</w:t>
            </w:r>
            <w:r>
              <w:rPr>
                <w:sz w:val="21"/>
              </w:rPr>
              <w:t>水产品须出具贮存地的出入库检疫证明。</w:t>
            </w:r>
          </w:p>
          <w:p>
            <w:pPr>
              <w:pStyle w:val="null3"/>
              <w:jc w:val="both"/>
            </w:pPr>
            <w:r>
              <w:rPr>
                <w:sz w:val="21"/>
              </w:rPr>
              <w:t>（五）干货类</w:t>
            </w:r>
          </w:p>
          <w:p>
            <w:pPr>
              <w:pStyle w:val="null3"/>
              <w:jc w:val="both"/>
            </w:pPr>
            <w:r>
              <w:rPr>
                <w:sz w:val="21"/>
              </w:rPr>
              <w:t>1.干货制品：符合国家相关行业标准，干爽、不霉烂、整齐、均匀、完整，无虫蛀、无杂质，保持应有的色泽；从加工、包装、运输、贮存到销售全过程符合国家规定标准，二氧化硫残留量、总砷含量不超过国家卫生标准；木耳类水分含量符合国家标准要求；采购人可根据实际情况进行品质抽检，对质量未达标的干货制品有权拒绝接收。</w:t>
            </w:r>
          </w:p>
          <w:p>
            <w:pPr>
              <w:pStyle w:val="null3"/>
              <w:jc w:val="both"/>
            </w:pPr>
            <w:r>
              <w:rPr>
                <w:sz w:val="21"/>
              </w:rPr>
              <w:t>2.腊肉：符合国家食品部门有关标准，色泽鲜明，肌肉暗红色，脂肪透明呈乳白色，肉干燥结实，带有固有的腊式香味。</w:t>
            </w:r>
          </w:p>
          <w:p>
            <w:pPr>
              <w:pStyle w:val="null3"/>
              <w:jc w:val="both"/>
            </w:pPr>
            <w:r>
              <w:rPr>
                <w:sz w:val="21"/>
              </w:rPr>
              <w:t>3.香肠：肠衣干燥，不发霉，无粘液，肠衣与肉馅紧密联在一起，表面紧而有弹性，色泽均匀，肥肉色白，瘦肉色红，无灰色斑点，气味芳香。</w:t>
            </w:r>
          </w:p>
          <w:p>
            <w:pPr>
              <w:pStyle w:val="null3"/>
              <w:jc w:val="both"/>
            </w:pPr>
            <w:r>
              <w:rPr>
                <w:sz w:val="21"/>
              </w:rPr>
              <w:t>4.干贝：上等干贝粒大完整、黄亮干燥、肉质饱满，肉丝清晰、粗且有特殊香气；粒小、碎破、色淡无光泽者较次；破碎、发黑发霉的为变质品。</w:t>
            </w:r>
          </w:p>
          <w:p>
            <w:pPr>
              <w:pStyle w:val="null3"/>
              <w:jc w:val="both"/>
            </w:pPr>
            <w:r>
              <w:rPr>
                <w:sz w:val="21"/>
              </w:rPr>
              <w:t>5.鱿鱼：市场常见的椭圆形和长方形鱿鱼，体干、体形完整、光亮洁净、淡粉红色、片大头小、肉厚者为优；体形部分卷曲，尾部和背部红中透暗，两侧有微红点、体小而宽、肉薄者为次品。</w:t>
            </w:r>
          </w:p>
          <w:p>
            <w:pPr>
              <w:pStyle w:val="null3"/>
              <w:jc w:val="both"/>
            </w:pPr>
            <w:r>
              <w:rPr>
                <w:sz w:val="21"/>
              </w:rPr>
              <w:t>6.海蛰：以乳白色或淡黄色、气味清新、质厚均匀、个体完整、块大、无血黑（体肉红皮）有光泽的为上品；带有膜状血衣的为次品。</w:t>
            </w:r>
          </w:p>
          <w:p>
            <w:pPr>
              <w:pStyle w:val="null3"/>
              <w:jc w:val="both"/>
            </w:pPr>
            <w:r>
              <w:rPr>
                <w:sz w:val="21"/>
              </w:rPr>
              <w:t>7.紫菜：卷筒形柔嫩微脆、叶薄、色紫清香鲜美的为品质优。</w:t>
            </w:r>
          </w:p>
          <w:p>
            <w:pPr>
              <w:pStyle w:val="null3"/>
              <w:jc w:val="both"/>
            </w:pPr>
            <w:r>
              <w:rPr>
                <w:sz w:val="21"/>
              </w:rPr>
              <w:t>8.点心、点心配料：符合国家相关质量标准及卫生安全标准，无霉变和结块，气味正常。</w:t>
            </w:r>
          </w:p>
          <w:p>
            <w:pPr>
              <w:pStyle w:val="null3"/>
              <w:jc w:val="both"/>
            </w:pPr>
            <w:r>
              <w:rPr>
                <w:sz w:val="21"/>
              </w:rPr>
              <w:t>（六）奶类</w:t>
            </w:r>
          </w:p>
          <w:p>
            <w:pPr>
              <w:pStyle w:val="null3"/>
              <w:jc w:val="both"/>
            </w:pPr>
            <w:r>
              <w:rPr>
                <w:sz w:val="21"/>
              </w:rPr>
              <w:t>1.总体要求：符合国家相关行业标准，无异味、无霉烂变质，从加工、包装、运输、贮存到销售全部符合国家规定标准，包装完整、无破损。</w:t>
            </w:r>
          </w:p>
          <w:p>
            <w:pPr>
              <w:pStyle w:val="null3"/>
              <w:jc w:val="both"/>
            </w:pPr>
            <w:r>
              <w:rPr>
                <w:sz w:val="21"/>
              </w:rPr>
              <w:t>2.分类标准</w:t>
            </w:r>
          </w:p>
          <w:p>
            <w:pPr>
              <w:pStyle w:val="null3"/>
              <w:jc w:val="both"/>
            </w:pPr>
            <w:r>
              <w:rPr>
                <w:sz w:val="21"/>
              </w:rPr>
              <w:t>①</w:t>
            </w:r>
            <w:r>
              <w:rPr>
                <w:sz w:val="21"/>
              </w:rPr>
              <w:t>鲜牛奶：质量及其标识符合 GB - 19645 - 2010《巴氏杀菌乳》、GB25190 - 2010《灭菌乳》和 GB7718 - 2023《预包装食品标签通则》，采用符合 GB19301 - 2022《生乳》。</w:t>
            </w:r>
          </w:p>
          <w:p>
            <w:pPr>
              <w:pStyle w:val="null3"/>
              <w:jc w:val="both"/>
            </w:pPr>
            <w:r>
              <w:rPr>
                <w:sz w:val="21"/>
              </w:rPr>
              <w:t>②</w:t>
            </w:r>
            <w:r>
              <w:rPr>
                <w:sz w:val="21"/>
              </w:rPr>
              <w:t>酸奶制品：符合国家关于《食品添加剂使用卫生标准》和《食品营养强化剂使用卫生标准》等相关标准；包装标签标注产品中脂肪、蛋白质、非脂乳固体的含量；不得含有山梨酸等防腐剂。</w:t>
            </w:r>
          </w:p>
          <w:p>
            <w:pPr>
              <w:pStyle w:val="null3"/>
              <w:jc w:val="both"/>
            </w:pPr>
            <w:r>
              <w:rPr>
                <w:sz w:val="21"/>
              </w:rPr>
              <w:t>③</w:t>
            </w:r>
            <w:r>
              <w:rPr>
                <w:sz w:val="21"/>
              </w:rPr>
              <w:t>牛奶包装：符合 GB/T18706 - 2022《液体食品无菌包装用纸基复合材料》。</w:t>
            </w:r>
          </w:p>
          <w:p>
            <w:pPr>
              <w:pStyle w:val="null3"/>
              <w:jc w:val="both"/>
            </w:pPr>
            <w:r>
              <w:rPr>
                <w:sz w:val="21"/>
              </w:rPr>
              <w:t>（七）豆制品</w:t>
            </w:r>
          </w:p>
          <w:p>
            <w:pPr>
              <w:pStyle w:val="null3"/>
              <w:jc w:val="both"/>
            </w:pPr>
            <w:r>
              <w:rPr>
                <w:sz w:val="21"/>
              </w:rPr>
              <w:t>1.总体要求：豆腐、豆皮、腐竹、腐皮等要求新鲜，无变质，符合国家标准。</w:t>
            </w:r>
          </w:p>
          <w:p>
            <w:pPr>
              <w:pStyle w:val="null3"/>
              <w:jc w:val="both"/>
            </w:pPr>
            <w:r>
              <w:rPr>
                <w:sz w:val="21"/>
              </w:rPr>
              <w:t>2.分类标准</w:t>
            </w:r>
          </w:p>
          <w:p>
            <w:pPr>
              <w:pStyle w:val="null3"/>
              <w:jc w:val="both"/>
            </w:pPr>
            <w:r>
              <w:rPr>
                <w:sz w:val="21"/>
              </w:rPr>
              <w:t>①</w:t>
            </w:r>
            <w:r>
              <w:rPr>
                <w:sz w:val="21"/>
              </w:rPr>
              <w:t>.豆腐：呈均匀的乳白色或淡黄色，稍有光泽，块形完整，软硬适度，富有一定的弹性，质地细嫩、结构均匀、无杂质，具有豆腐特有的香味，品尝时口感细腻鲜嫩，味道纯正清香。</w:t>
            </w:r>
          </w:p>
          <w:p>
            <w:pPr>
              <w:pStyle w:val="null3"/>
              <w:jc w:val="both"/>
            </w:pPr>
            <w:r>
              <w:rPr>
                <w:sz w:val="21"/>
              </w:rPr>
              <w:t>②</w:t>
            </w:r>
            <w:r>
              <w:rPr>
                <w:sz w:val="21"/>
              </w:rPr>
              <w:t>豆腐泡：为金黄色或棕黄色，色彩鲜艳而有光泽，块形整齐，有弹性，皮脆，内质呈蜂窝状，不粘不散，无杂质，具有豆腐泡特有的清香风味，无任何不良气味，品尝时外皮酥脆适口，泡内软嫩，咸香适度，具豆腐泡固有滋味。</w:t>
            </w:r>
          </w:p>
          <w:p>
            <w:pPr>
              <w:pStyle w:val="null3"/>
              <w:jc w:val="both"/>
            </w:pPr>
            <w:r>
              <w:rPr>
                <w:sz w:val="21"/>
              </w:rPr>
              <w:t>③</w:t>
            </w:r>
            <w:r>
              <w:rPr>
                <w:sz w:val="21"/>
              </w:rPr>
              <w:t>腐竹：为枝条或片叶状，质脆易折，条状折断有空心，无霉斑、杂质、虫蛀；呈淡黄色，有光泽，具有腐竹固有的香味，无任何异味，品尝时有腐竹固有的鲜香滋味。</w:t>
            </w:r>
          </w:p>
          <w:p>
            <w:pPr>
              <w:pStyle w:val="null3"/>
              <w:jc w:val="both"/>
            </w:pPr>
            <w:r>
              <w:rPr>
                <w:sz w:val="21"/>
              </w:rPr>
              <w:t>（八）米、油、面类</w:t>
            </w:r>
          </w:p>
          <w:p>
            <w:pPr>
              <w:pStyle w:val="null3"/>
              <w:jc w:val="both"/>
            </w:pPr>
            <w:r>
              <w:rPr>
                <w:sz w:val="21"/>
              </w:rPr>
              <w:t>1.总体要求：货物须符合卫生标准，不得有腐烂、变质、油脂酸败、霉变、生虫、污秽不洁、混有异物或者其他感官性状异常，并可能对人体健康有害的物质。</w:t>
            </w:r>
          </w:p>
          <w:p>
            <w:pPr>
              <w:pStyle w:val="null3"/>
              <w:jc w:val="both"/>
            </w:pPr>
            <w:r>
              <w:rPr>
                <w:sz w:val="21"/>
              </w:rPr>
              <w:t>2.分类标准</w:t>
            </w:r>
          </w:p>
          <w:p>
            <w:pPr>
              <w:pStyle w:val="null3"/>
              <w:jc w:val="both"/>
            </w:pPr>
            <w:r>
              <w:rPr>
                <w:sz w:val="21"/>
              </w:rPr>
              <w:t>①</w:t>
            </w:r>
            <w:r>
              <w:rPr>
                <w:sz w:val="21"/>
              </w:rPr>
              <w:t>米、油：提供 SC 认证及国家机关发出的产品检验合格证书；包装完整，包装箱印有注册商标、生产厂家名称、厂址、出厂日期、产品合格证、保质期限、产品成分、厂家电话号码；散装豆类提供生产厂家营业执照、卫生许可证、产品检验合格证书；产品质量符合行业标准，无掺假、变质、变味、过期等现象。</w:t>
            </w:r>
          </w:p>
          <w:p>
            <w:pPr>
              <w:pStyle w:val="null3"/>
              <w:jc w:val="both"/>
            </w:pPr>
            <w:r>
              <w:rPr>
                <w:sz w:val="21"/>
              </w:rPr>
              <w:t>②</w:t>
            </w:r>
            <w:r>
              <w:rPr>
                <w:sz w:val="21"/>
              </w:rPr>
              <w:t>面粉：符合国家相关质量标准及卫生安全标准，呈粉状，无霉变和结块，气味正常。</w:t>
            </w:r>
          </w:p>
          <w:p>
            <w:pPr>
              <w:pStyle w:val="null3"/>
              <w:jc w:val="both"/>
            </w:pPr>
            <w:r>
              <w:rPr>
                <w:sz w:val="21"/>
              </w:rPr>
              <w:t>（九）调味品、配料</w:t>
            </w:r>
          </w:p>
          <w:p>
            <w:pPr>
              <w:pStyle w:val="null3"/>
              <w:jc w:val="both"/>
            </w:pPr>
            <w:r>
              <w:rPr>
                <w:sz w:val="21"/>
              </w:rPr>
              <w:t>1.酱油：颜色红亮、有光泽、透明；倒在瓶子里摇晃，产生的泡沫细腻持久，挂碗现象良好，有发黏感觉。</w:t>
            </w:r>
          </w:p>
          <w:p>
            <w:pPr>
              <w:pStyle w:val="null3"/>
              <w:jc w:val="both"/>
            </w:pPr>
            <w:r>
              <w:rPr>
                <w:sz w:val="21"/>
              </w:rPr>
              <w:t>2.味精：无色至白色结晶或粉末，具有特殊的鲜味，无异味，无肉眼可见杂质。</w:t>
            </w:r>
          </w:p>
          <w:p>
            <w:pPr>
              <w:pStyle w:val="null3"/>
              <w:jc w:val="both"/>
            </w:pPr>
            <w:r>
              <w:rPr>
                <w:sz w:val="21"/>
              </w:rPr>
              <w:t>3.酱类食品：具有正常酿造酱的色泽、气味和滋味，不涩，无其他不良气味，不得有酸、苦、焦糊及其他异味、异物。</w:t>
            </w:r>
          </w:p>
          <w:p>
            <w:pPr>
              <w:pStyle w:val="null3"/>
              <w:jc w:val="both"/>
            </w:pPr>
            <w:r>
              <w:rPr>
                <w:sz w:val="21"/>
              </w:rPr>
              <w:t>4.淀粉制品：具有各自品种固有的形态和色泽，不酸、不粘、不发霉、无变质、无异味、无杂质，口尝无砂质。</w:t>
            </w:r>
          </w:p>
          <w:p>
            <w:pPr>
              <w:pStyle w:val="null3"/>
              <w:jc w:val="both"/>
            </w:pPr>
            <w:r>
              <w:rPr>
                <w:sz w:val="21"/>
              </w:rPr>
              <w:t>5.食盐：结晶整齐一致，坚硬光滑，呈透明或半透明，不结块，无反卤吸潮现象，无杂质，具有纯正的咸味。</w:t>
            </w:r>
          </w:p>
          <w:p>
            <w:pPr>
              <w:pStyle w:val="null3"/>
              <w:jc w:val="both"/>
            </w:pPr>
            <w:r>
              <w:rPr>
                <w:sz w:val="21"/>
              </w:rPr>
              <w:t>6.白糖：色泽洁白明亮，有光泽，具有白糖的正常气味，无酸味、酒味或其他外来气味；干燥，晶粒松散，不粘手，不结块，无肉眼可见的杂质，水溶液清晰透明无杂质。</w:t>
            </w:r>
          </w:p>
          <w:p>
            <w:pPr>
              <w:pStyle w:val="null3"/>
              <w:jc w:val="both"/>
            </w:pPr>
            <w:r>
              <w:rPr>
                <w:sz w:val="21"/>
              </w:rPr>
              <w:t>7.白砂糖：颗粒大如砂粒，晶粒均匀整齐，晶面明显，无碎末，糖质坚硬。</w:t>
            </w:r>
          </w:p>
          <w:p>
            <w:pPr>
              <w:pStyle w:val="null3"/>
              <w:jc w:val="both"/>
            </w:pPr>
            <w:r>
              <w:rPr>
                <w:sz w:val="21"/>
              </w:rPr>
              <w:t>8.绵白糖：颗粒细小而均匀，质地绵软、潮润。</w:t>
            </w:r>
          </w:p>
          <w:p>
            <w:pPr>
              <w:pStyle w:val="null3"/>
              <w:jc w:val="both"/>
            </w:pPr>
            <w:r>
              <w:rPr>
                <w:sz w:val="21"/>
              </w:rPr>
              <w:t>9.红糖：呈晶粒状或粉末状，干燥而松散，不结块，不成团，无杂质；水溶液清晰，无沉淀，无悬浮物，具有甘蔗汁的清香味，无酒味、酸味或其他外来不良气味，口味浓甜带鲜，微有糖蜜味，无焦苦味或其他外来异味。</w:t>
            </w:r>
          </w:p>
          <w:p>
            <w:pPr>
              <w:pStyle w:val="null3"/>
              <w:jc w:val="both"/>
            </w:pPr>
            <w:r>
              <w:rPr>
                <w:sz w:val="21"/>
              </w:rPr>
              <w:t>10.冰糖：块形完整，个粒均匀，结晶组织严密，透明或半透明，无破碎。</w:t>
            </w:r>
          </w:p>
          <w:p>
            <w:pPr>
              <w:pStyle w:val="null3"/>
              <w:jc w:val="both"/>
            </w:pPr>
            <w:r>
              <w:rPr>
                <w:sz w:val="21"/>
              </w:rPr>
              <w:t>11.方糖：呈正六面体状，表面平整，无裂纹、铁边、断角，无突出砂粒，无霉斑。</w:t>
            </w:r>
          </w:p>
          <w:p>
            <w:pPr>
              <w:pStyle w:val="null3"/>
              <w:jc w:val="both"/>
            </w:pPr>
            <w:r>
              <w:rPr>
                <w:sz w:val="21"/>
              </w:rPr>
              <w:t>（十）辛辣料</w:t>
            </w:r>
          </w:p>
          <w:p>
            <w:pPr>
              <w:pStyle w:val="null3"/>
              <w:jc w:val="both"/>
            </w:pPr>
            <w:r>
              <w:rPr>
                <w:sz w:val="21"/>
              </w:rPr>
              <w:t>1.</w:t>
            </w:r>
            <w:r>
              <w:rPr>
                <w:sz w:val="21"/>
              </w:rPr>
              <w:t>原料要求：采用植物果实和种子粉碎而配制成的天然植物香料，如五香粉、胡椒粉、花椒粉、咖喱粉、芥末粉等，主要原料有八角、花椒、胡椒、桂皮、小茴香、大茴香、辣椒、孜然等。</w:t>
            </w:r>
          </w:p>
          <w:p>
            <w:pPr>
              <w:pStyle w:val="null3"/>
              <w:jc w:val="both"/>
            </w:pPr>
            <w:r>
              <w:rPr>
                <w:sz w:val="21"/>
              </w:rPr>
              <w:t>2.</w:t>
            </w:r>
            <w:r>
              <w:rPr>
                <w:sz w:val="21"/>
              </w:rPr>
              <w:t>品质要求：呈干燥状，具有该种香料植物所特有的色、香、味，无不良气味和味道，无发霉味或其他异味。</w:t>
            </w:r>
          </w:p>
          <w:p>
            <w:pPr>
              <w:pStyle w:val="null3"/>
              <w:jc w:val="both"/>
            </w:pPr>
            <w:r>
              <w:rPr>
                <w:sz w:val="21"/>
              </w:rPr>
              <w:t>3.</w:t>
            </w:r>
            <w:r>
              <w:rPr>
                <w:sz w:val="21"/>
              </w:rPr>
              <w:t>腐乳：红腐乳表面呈红色或枣红色，内部呈杏黄色，色泽鲜艳，有光泽；白腐乳外表呈乳黄色；块形整齐均匀，质地细腻，无霉斑、霉变及杂质；具有各品种的腐乳特有的香味或特征气味，无其他异味，滋味鲜美，咸淡适口。</w:t>
            </w:r>
          </w:p>
          <w:p>
            <w:pPr>
              <w:pStyle w:val="null3"/>
              <w:jc w:val="both"/>
            </w:pPr>
            <w:r>
              <w:rPr>
                <w:sz w:val="21"/>
              </w:rPr>
              <w:t>（十一）食品包装类</w:t>
            </w:r>
          </w:p>
          <w:p>
            <w:pPr>
              <w:pStyle w:val="null3"/>
              <w:jc w:val="both"/>
            </w:pPr>
            <w:r>
              <w:rPr>
                <w:sz w:val="21"/>
              </w:rPr>
              <w:t>1.</w:t>
            </w:r>
            <w:r>
              <w:rPr>
                <w:sz w:val="21"/>
              </w:rPr>
              <w:t>产品范围：包括但不限于一次性杯（盖）、一次性碗、一次性饭盒、一次性筷子、吸管、食品包装袋等。</w:t>
            </w:r>
          </w:p>
          <w:p>
            <w:pPr>
              <w:pStyle w:val="null3"/>
              <w:jc w:val="both"/>
            </w:pPr>
            <w:r>
              <w:rPr>
                <w:sz w:val="21"/>
              </w:rPr>
              <w:t>2.</w:t>
            </w:r>
            <w:r>
              <w:rPr>
                <w:sz w:val="21"/>
              </w:rPr>
              <w:t>标准要求：中标人所供一次性餐具须为无毒、环保餐具，符合 GB4806.1 - 2016 标准；食品包装袋类产品上具有符合 GB 21660 - 2008 号标准要求的信息；包装袋外观平整，无划伤、烫伤、气泡、破油和折皱，热封平整、无虚封；薄膜无裂纹、孔隙和复合层分离，无杂质、异物和油渍等污染。</w:t>
            </w:r>
          </w:p>
          <w:p>
            <w:pPr>
              <w:pStyle w:val="null3"/>
              <w:jc w:val="both"/>
            </w:pPr>
            <w:r>
              <w:rPr>
                <w:sz w:val="21"/>
              </w:rPr>
              <w:t>（十二）其他要求</w:t>
            </w:r>
          </w:p>
          <w:p>
            <w:pPr>
              <w:pStyle w:val="null3"/>
              <w:jc w:val="both"/>
            </w:pPr>
            <w:r>
              <w:rPr>
                <w:sz w:val="21"/>
              </w:rPr>
              <w:t>1. 质量保证：中标人所提供的物品质量必须符合行业标准要求，杜绝掺假、变质、变味、过期等现象，严禁伪劣、假冒、无证不合格物品进入仓库。验收时，各类食材应符合本项目各品类具体标准（如肉类、果蔬类等）。</w:t>
            </w:r>
          </w:p>
          <w:p>
            <w:pPr>
              <w:pStyle w:val="null3"/>
              <w:jc w:val="both"/>
            </w:pPr>
            <w:r>
              <w:rPr>
                <w:sz w:val="21"/>
              </w:rPr>
              <w:t>2. 责任承担：中标人在供应过程中，若因食材质量问题导致食物中毒等情况，经查实属中标人责任，中标人需承担全部责任，包括但不限于食物中毒人员医疗费、误工费、事故处理费等，情节严重的依法追究刑事责任。验收阶段发现的质量问题，按本项目要求“验收流程” 规定处理；验收合格后出现的质量问题，按售后服务条款执行。</w:t>
            </w:r>
          </w:p>
          <w:p>
            <w:pPr>
              <w:pStyle w:val="null3"/>
              <w:jc w:val="both"/>
            </w:pPr>
            <w:r>
              <w:rPr>
                <w:sz w:val="21"/>
              </w:rPr>
              <w:t>3. 需求确定：物品具体需求量及品种以实际供应前一天采购人通知为准，供应商应及时响应并做好供应准备。</w:t>
            </w:r>
          </w:p>
          <w:p>
            <w:pPr>
              <w:pStyle w:val="null3"/>
              <w:jc w:val="both"/>
            </w:pPr>
            <w:r>
              <w:rPr>
                <w:sz w:val="21"/>
                <w:b/>
              </w:rPr>
              <w:t>三、执行标准</w:t>
            </w:r>
          </w:p>
          <w:tbl>
            <w:tblPr>
              <w:tblBorders>
                <w:top w:val="none" w:color="000000" w:sz="4"/>
                <w:left w:val="none" w:color="000000" w:sz="4"/>
                <w:bottom w:val="none" w:color="000000" w:sz="4"/>
                <w:right w:val="none" w:color="000000" w:sz="4"/>
                <w:insideH w:val="none"/>
                <w:insideV w:val="none"/>
              </w:tblBorders>
            </w:tblPr>
            <w:tblGrid>
              <w:gridCol w:w="761"/>
              <w:gridCol w:w="780"/>
              <w:gridCol w:w="2698"/>
              <w:gridCol w:w="1349"/>
            </w:tblGrid>
            <w:tr>
              <w:tc>
                <w:tcPr>
                  <w:tcW w:type="dxa" w:w="76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1"/>
                    </w:rPr>
                    <w:t>项目分类</w:t>
                  </w:r>
                </w:p>
              </w:tc>
              <w:tc>
                <w:tcPr>
                  <w:tcW w:type="dxa" w:w="780"/>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1"/>
                    </w:rPr>
                    <w:t>产品类别</w:t>
                  </w:r>
                </w:p>
              </w:tc>
              <w:tc>
                <w:tcPr>
                  <w:tcW w:type="dxa" w:w="2698"/>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1"/>
                    </w:rPr>
                    <w:t>具体要求</w:t>
                  </w:r>
                </w:p>
              </w:tc>
              <w:tc>
                <w:tcPr>
                  <w:tcW w:type="dxa" w:w="1349"/>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1"/>
                    </w:rPr>
                    <w:t>标准依据</w:t>
                  </w:r>
                </w:p>
              </w:tc>
            </w:tr>
            <w:tr>
              <w:tc>
                <w:tcPr>
                  <w:tcW w:type="dxa" w:w="761"/>
                  <w:vMerge w:val="restart"/>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肉类、水产海鲜类货物票证要求</w:t>
                  </w: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猪、牛肉类、家禽类</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1.交货时提交生产厂家的肉制品《食品生产许可证》；</w:t>
                  </w:r>
                  <w:r>
                    <w:br/>
                  </w:r>
                  <w:r>
                    <w:rPr>
                      <w:sz w:val="21"/>
                    </w:rPr>
                    <w:t>2.提供由官方兽医出具的《动物检疫合格证明》（跨区销售时须提供）；</w:t>
                  </w:r>
                  <w:r>
                    <w:br/>
                  </w:r>
                  <w:r>
                    <w:rPr>
                      <w:sz w:val="21"/>
                    </w:rPr>
                    <w:t>提供本批次产品的出厂 (库) 检验合格证明《产品合格证》，随车同行；</w:t>
                  </w:r>
                  <w:r>
                    <w:br/>
                  </w:r>
                  <w:r>
                    <w:rPr>
                      <w:sz w:val="21"/>
                    </w:rPr>
                    <w:t>3.提供当批次有效的《动物产品检疫合格证》，原件备查</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《食品生产许可管理办法（2023 修订版）》；</w:t>
                  </w:r>
                  <w:r>
                    <w:br/>
                  </w:r>
                  <w:r>
                    <w:rPr>
                      <w:sz w:val="21"/>
                    </w:rPr>
                    <w:t>《动物检疫管理办法（2022 版）》</w:t>
                  </w:r>
                </w:p>
              </w:tc>
            </w:tr>
            <w:tr>
              <w:tc>
                <w:tcPr>
                  <w:tcW w:type="dxa" w:w="761"/>
                  <w:vMerge/>
                  <w:tcBorders>
                    <w:top w:val="none" w:color="000000" w:sz="4"/>
                    <w:left w:val="single" w:color="000000" w:sz="4"/>
                    <w:bottom w:val="single" w:color="000000" w:sz="4"/>
                    <w:right w:val="single" w:color="000000" w:sz="4"/>
                  </w:tcBorders>
                </w:tcP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肉制品</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1.由具备资质的第三方检测机构或政府指定检测部门出具《食品安全检验报告》，报告有效期按相关规定执行；</w:t>
                  </w:r>
                  <w:r>
                    <w:br/>
                  </w:r>
                  <w:r>
                    <w:rPr>
                      <w:sz w:val="21"/>
                    </w:rPr>
                    <w:t>2.提供本批次产品的出厂 (库) 检验合格证明《产品合格证》，随车同行</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《食品安全抽样检验管理办法（2023 修订版）》</w:t>
                  </w:r>
                </w:p>
              </w:tc>
            </w:tr>
            <w:tr>
              <w:tc>
                <w:tcPr>
                  <w:tcW w:type="dxa" w:w="761"/>
                  <w:vMerge/>
                  <w:tcBorders>
                    <w:top w:val="none" w:color="000000" w:sz="4"/>
                    <w:left w:val="single" w:color="000000" w:sz="4"/>
                    <w:bottom w:val="single" w:color="000000" w:sz="4"/>
                    <w:right w:val="single" w:color="000000" w:sz="4"/>
                  </w:tcBorders>
                </w:tcP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水产品</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1提供贮存地的出入库检疫证明，且水产品成型标准为个体单独冷冻成型；</w:t>
                  </w:r>
                  <w:r>
                    <w:br/>
                  </w:r>
                  <w:r>
                    <w:rPr>
                      <w:sz w:val="21"/>
                    </w:rPr>
                    <w:t>2.交货时提供本批次产品的出厂 (库) 检验合格证明</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《农产品质量安全法（2022 修订版）》</w:t>
                  </w:r>
                </w:p>
              </w:tc>
            </w:tr>
            <w:tr>
              <w:tc>
                <w:tcPr>
                  <w:tcW w:type="dxa" w:w="76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果蔬菜类</w:t>
                  </w: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各类果蔬</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1.农药残留指标：</w:t>
                  </w:r>
                  <w:r>
                    <w:br/>
                  </w:r>
                  <w:r>
                    <w:rPr>
                      <w:sz w:val="21"/>
                    </w:rPr>
                    <w:t>甲胺磷、甲拌磷、氧化乐果等不得检出；</w:t>
                  </w:r>
                  <w:r>
                    <w:br/>
                  </w:r>
                  <w:r>
                    <w:rPr>
                      <w:sz w:val="21"/>
                    </w:rPr>
                    <w:t>百菌清≤1.0mg/kg；多菌灵≤0.5mg/kg 。</w:t>
                  </w:r>
                  <w:r>
                    <w:br/>
                  </w:r>
                  <w:r>
                    <w:rPr>
                      <w:sz w:val="21"/>
                    </w:rPr>
                    <w:t>2.重金属及其他指标：</w:t>
                  </w:r>
                  <w:r>
                    <w:br/>
                  </w:r>
                  <w:r>
                    <w:rPr>
                      <w:sz w:val="21"/>
                    </w:rPr>
                    <w:t>汞 (以 Hg 计)≤0.01mg/kg；铅 (以 Pb 计)≤0.2mg/kg；砷 (以 As 计)≤0.5mg/kg；氟 (以 F 计)≤0.5mg/kg；</w:t>
                  </w:r>
                  <w:r>
                    <w:br/>
                  </w:r>
                  <w:r>
                    <w:rPr>
                      <w:sz w:val="21"/>
                    </w:rPr>
                    <w:t>硝酸盐 (以 NaNO₂计)：瓜果类≤600mg/kg，叶菜根茎类≤1200mg/kg；亚硝酸盐 (以 NaNO₂计)≤4mg/kg 。</w:t>
                  </w:r>
                  <w:r>
                    <w:br/>
                  </w:r>
                  <w:r>
                    <w:rPr>
                      <w:sz w:val="21"/>
                    </w:rPr>
                    <w:t>检验流程需符合相关检测方法标准。</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GB2763 - 2021《食品安全国家标准 食品中农药最大残留限量》；</w:t>
                  </w:r>
                  <w:r>
                    <w:br/>
                  </w:r>
                  <w:r>
                    <w:rPr>
                      <w:sz w:val="21"/>
                    </w:rPr>
                    <w:t>GB2762 - 2022《食品安全国家标准 食品中污染物限量》；</w:t>
                  </w:r>
                  <w:r>
                    <w:br/>
                  </w:r>
                  <w:r>
                    <w:rPr>
                      <w:sz w:val="21"/>
                    </w:rPr>
                    <w:t>GB19338 - 2020《食品安全国家标准 蔬菜水果中 500 种农药及相关化学品残留量的测定 气相色谱 - 质谱法》</w:t>
                  </w:r>
                </w:p>
              </w:tc>
            </w:tr>
            <w:tr>
              <w:tc>
                <w:tcPr>
                  <w:tcW w:type="dxa" w:w="761"/>
                  <w:vMerge w:val="restart"/>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粮油类</w:t>
                  </w: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米类</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执行标准：GB 1354 - 2018《大米》、GB 2715 - 2021《食品安全国家标准 粮食》，需具有 SC 认证；</w:t>
                  </w:r>
                  <w:r>
                    <w:br/>
                  </w:r>
                  <w:r>
                    <w:rPr>
                      <w:sz w:val="21"/>
                    </w:rPr>
                    <w:t>质量要求：碎米总量≤17%，小碎米总量≤2%，不完善米≤3.5%，黄粒米按 GB 2715 - 2021 标准执行；</w:t>
                  </w:r>
                  <w:r>
                    <w:br/>
                  </w:r>
                  <w:r>
                    <w:rPr>
                      <w:sz w:val="21"/>
                    </w:rPr>
                    <w:t>生产加工过程遵循 GB 14881 - 2013《食品安全国家标准 食品生产通用卫生规范》</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GB1354- 2018；</w:t>
                  </w:r>
                  <w:r>
                    <w:br/>
                  </w:r>
                  <w:r>
                    <w:rPr>
                      <w:sz w:val="21"/>
                    </w:rPr>
                    <w:t>GB2715- 2021；</w:t>
                  </w:r>
                  <w:r>
                    <w:br/>
                  </w:r>
                  <w:r>
                    <w:rPr>
                      <w:sz w:val="21"/>
                    </w:rPr>
                    <w:t>GB14881 - 2013</w:t>
                  </w:r>
                </w:p>
              </w:tc>
            </w:tr>
            <w:tr>
              <w:tc>
                <w:tcPr>
                  <w:tcW w:type="dxa" w:w="761"/>
                  <w:vMerge/>
                  <w:tcBorders>
                    <w:top w:val="none" w:color="000000" w:sz="4"/>
                    <w:left w:val="single" w:color="000000" w:sz="4"/>
                    <w:bottom w:val="single" w:color="000000" w:sz="4"/>
                    <w:right w:val="single" w:color="000000" w:sz="4"/>
                  </w:tcBorders>
                </w:tcP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油类</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执行标准：</w:t>
                  </w:r>
                  <w:r>
                    <w:br/>
                  </w:r>
                  <w:r>
                    <w:rPr>
                      <w:sz w:val="21"/>
                    </w:rPr>
                    <w:t>色拉油执行 GB/T 1535 - 2017《大豆油》（一级标准）；</w:t>
                  </w:r>
                  <w:r>
                    <w:br/>
                  </w:r>
                  <w:r>
                    <w:rPr>
                      <w:sz w:val="21"/>
                    </w:rPr>
                    <w:t>花生油执行 GB/T 1534 - 2017《花生油》；</w:t>
                  </w:r>
                  <w:r>
                    <w:br/>
                  </w:r>
                  <w:r>
                    <w:rPr>
                      <w:sz w:val="21"/>
                    </w:rPr>
                    <w:t>大豆油执行 GB/T 1535 - 2017《大豆油》；</w:t>
                  </w:r>
                  <w:r>
                    <w:br/>
                  </w:r>
                  <w:r>
                    <w:rPr>
                      <w:sz w:val="21"/>
                    </w:rPr>
                    <w:t>葵花籽油执行 GB/T 10464 - 2017《葵花籽油》，均需具有 SC 认证；</w:t>
                  </w:r>
                  <w:r>
                    <w:br/>
                  </w:r>
                  <w:r>
                    <w:rPr>
                      <w:sz w:val="21"/>
                    </w:rPr>
                    <w:t>质量标准：</w:t>
                  </w:r>
                  <w:r>
                    <w:br/>
                  </w:r>
                  <w:r>
                    <w:rPr>
                      <w:sz w:val="21"/>
                    </w:rPr>
                    <w:t>霉变粒不得超过 2%；</w:t>
                  </w:r>
                  <w:r>
                    <w:br/>
                  </w:r>
                  <w:r>
                    <w:rPr>
                      <w:sz w:val="21"/>
                    </w:rPr>
                    <w:t>真菌毒素需符合 GB 2761 - 2021（如黄曲霉素 B1 需控制在 5μg/kg ～20μg/kg 等）；</w:t>
                  </w:r>
                  <w:r>
                    <w:br/>
                  </w:r>
                  <w:r>
                    <w:rPr>
                      <w:sz w:val="21"/>
                    </w:rPr>
                    <w:t>重金属污染物需符合 GB 2762 - 2022；</w:t>
                  </w:r>
                  <w:r>
                    <w:br/>
                  </w:r>
                  <w:r>
                    <w:rPr>
                      <w:sz w:val="21"/>
                    </w:rPr>
                    <w:t>农药残留量需符合 GB 2763 - 2021；</w:t>
                  </w:r>
                  <w:r>
                    <w:br/>
                  </w:r>
                  <w:r>
                    <w:rPr>
                      <w:sz w:val="21"/>
                    </w:rPr>
                    <w:t>理化指标符合对应油类产品标准要求</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GB/T1535-2017；</w:t>
                  </w:r>
                  <w:r>
                    <w:br/>
                  </w:r>
                  <w:r>
                    <w:rPr>
                      <w:sz w:val="21"/>
                    </w:rPr>
                    <w:t>GB/T 1534 - 2017；</w:t>
                  </w:r>
                  <w:r>
                    <w:br/>
                  </w:r>
                  <w:r>
                    <w:rPr>
                      <w:sz w:val="21"/>
                    </w:rPr>
                    <w:t>GB/T10464- 2017；</w:t>
                  </w:r>
                  <w:r>
                    <w:br/>
                  </w:r>
                  <w:r>
                    <w:rPr>
                      <w:sz w:val="21"/>
                    </w:rPr>
                    <w:t>GB2761 - 2021；</w:t>
                  </w:r>
                  <w:r>
                    <w:br/>
                  </w:r>
                  <w:r>
                    <w:rPr>
                      <w:sz w:val="21"/>
                    </w:rPr>
                    <w:t>GB2762 - 2022；</w:t>
                  </w:r>
                  <w:r>
                    <w:br/>
                  </w:r>
                  <w:r>
                    <w:rPr>
                      <w:sz w:val="21"/>
                    </w:rPr>
                    <w:t>GB2763 - 2021</w:t>
                  </w:r>
                </w:p>
              </w:tc>
            </w:tr>
            <w:tr>
              <w:tc>
                <w:tcPr>
                  <w:tcW w:type="dxa" w:w="761"/>
                  <w:vMerge/>
                  <w:tcBorders>
                    <w:top w:val="none" w:color="000000" w:sz="4"/>
                    <w:left w:val="single" w:color="000000" w:sz="4"/>
                    <w:bottom w:val="single" w:color="000000" w:sz="4"/>
                    <w:right w:val="single" w:color="000000" w:sz="4"/>
                  </w:tcBorders>
                </w:tcP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面粉</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执行标准：GB 1355 - 1986《小麦粉》（现行主要标准），需具有 SC 认证；</w:t>
                  </w:r>
                  <w:r>
                    <w:br/>
                  </w:r>
                  <w:r>
                    <w:rPr>
                      <w:sz w:val="21"/>
                    </w:rPr>
                    <w:t>同时符合 GB 2715 - 2021《食品安全国家标准 粮食》及 GB/T 5506.2 - 2008《小麦粉 面筋含量 第 2 部分：湿面筋含量的测定 手洗法》等检测标准</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GB1355 - 1986；</w:t>
                  </w:r>
                  <w:r>
                    <w:br/>
                  </w:r>
                  <w:r>
                    <w:rPr>
                      <w:sz w:val="21"/>
                    </w:rPr>
                    <w:t>GB2715 - 2021；</w:t>
                  </w:r>
                  <w:r>
                    <w:br/>
                  </w:r>
                  <w:r>
                    <w:rPr>
                      <w:sz w:val="21"/>
                    </w:rPr>
                    <w:t>GB/T 5506.2 - 2008</w:t>
                  </w:r>
                </w:p>
              </w:tc>
            </w:tr>
            <w:tr>
              <w:tc>
                <w:tcPr>
                  <w:tcW w:type="dxa" w:w="761"/>
                  <w:vMerge w:val="restart"/>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调味料、厨房辅材用品类</w:t>
                  </w: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酱油</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执行 GB 2717 - 2018《食品安全国家标准 酱油》，对氨基酸态氮含量、总酸、铵盐等指标进行严格规定</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GB2717 - 2018</w:t>
                  </w:r>
                </w:p>
              </w:tc>
            </w:tr>
            <w:tr>
              <w:tc>
                <w:tcPr>
                  <w:tcW w:type="dxa" w:w="761"/>
                  <w:vMerge/>
                  <w:tcBorders>
                    <w:top w:val="none" w:color="000000" w:sz="4"/>
                    <w:left w:val="single" w:color="000000" w:sz="4"/>
                    <w:bottom w:val="single" w:color="000000" w:sz="4"/>
                    <w:right w:val="single" w:color="000000" w:sz="4"/>
                  </w:tcBorders>
                </w:tcP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味精</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执行 GB 2720 - 2015《食品安全国家标准 味精》，规定感官要求、理化指标、卫生指标等内容</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GB2720 - 2015</w:t>
                  </w:r>
                </w:p>
              </w:tc>
            </w:tr>
            <w:tr>
              <w:tc>
                <w:tcPr>
                  <w:tcW w:type="dxa" w:w="761"/>
                  <w:vMerge/>
                  <w:tcBorders>
                    <w:top w:val="none" w:color="000000" w:sz="4"/>
                    <w:left w:val="single" w:color="000000" w:sz="4"/>
                    <w:bottom w:val="single" w:color="000000" w:sz="4"/>
                    <w:right w:val="single" w:color="000000" w:sz="4"/>
                  </w:tcBorders>
                </w:tcP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酱类食品</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执行 GB2718 - 2014《食品安全国家标准 酿造酱》，明确色泽、滋味、香气等感官特性，以及食盐、氨基酸态氮等理化指标要求</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GB2718 - 2014</w:t>
                  </w:r>
                </w:p>
              </w:tc>
            </w:tr>
            <w:tr>
              <w:tc>
                <w:tcPr>
                  <w:tcW w:type="dxa" w:w="761"/>
                  <w:vMerge/>
                  <w:tcBorders>
                    <w:top w:val="none" w:color="000000" w:sz="4"/>
                    <w:left w:val="single" w:color="000000" w:sz="4"/>
                    <w:bottom w:val="single" w:color="000000" w:sz="4"/>
                    <w:right w:val="single" w:color="000000" w:sz="4"/>
                  </w:tcBorders>
                </w:tcP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淀粉制品</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执行对应各类淀粉制品的专项食品安全国家标准，如 GB/T 8883 - 2008《食用淀粉》，从原料、感官、理化、卫生等方面进行规范</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对应专项食品安全国家标准</w:t>
                  </w:r>
                </w:p>
              </w:tc>
            </w:tr>
            <w:tr>
              <w:tc>
                <w:tcPr>
                  <w:tcW w:type="dxa" w:w="761"/>
                  <w:vMerge/>
                  <w:tcBorders>
                    <w:top w:val="none" w:color="000000" w:sz="4"/>
                    <w:left w:val="single" w:color="000000" w:sz="4"/>
                    <w:bottom w:val="single" w:color="000000" w:sz="4"/>
                    <w:right w:val="single" w:color="000000" w:sz="4"/>
                  </w:tcBorders>
                </w:tcP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食盐</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执行 GB2721 - 2015《食品安全国家标准 食用盐》，对氯化钠含量、碘含量、抗结剂等指标进行限定</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GB2721 - 2015</w:t>
                  </w:r>
                </w:p>
              </w:tc>
            </w:tr>
            <w:tr>
              <w:tc>
                <w:tcPr>
                  <w:tcW w:type="dxa" w:w="761"/>
                  <w:vMerge/>
                  <w:tcBorders>
                    <w:top w:val="none" w:color="000000" w:sz="4"/>
                    <w:left w:val="single" w:color="000000" w:sz="4"/>
                    <w:bottom w:val="single" w:color="000000" w:sz="4"/>
                    <w:right w:val="single" w:color="000000" w:sz="4"/>
                  </w:tcBorders>
                </w:tcP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糖类</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白砂糖执行 GB/T 317 - 2018；</w:t>
                  </w:r>
                  <w:r>
                    <w:br/>
                  </w:r>
                  <w:r>
                    <w:rPr>
                      <w:sz w:val="21"/>
                    </w:rPr>
                    <w:t>绵白糖执行 GB/T 1445 - 2018；</w:t>
                  </w:r>
                  <w:r>
                    <w:br/>
                  </w:r>
                  <w:r>
                    <w:rPr>
                      <w:sz w:val="21"/>
                    </w:rPr>
                    <w:t>红糖执行 QB/T 4561 - 2013；</w:t>
                  </w:r>
                  <w:r>
                    <w:br/>
                  </w:r>
                  <w:r>
                    <w:rPr>
                      <w:sz w:val="21"/>
                    </w:rPr>
                    <w:t>冰糖执行 GB/T 35883 - 2018；</w:t>
                  </w:r>
                  <w:r>
                    <w:br/>
                  </w:r>
                  <w:r>
                    <w:rPr>
                      <w:sz w:val="21"/>
                    </w:rPr>
                    <w:t>方糖执行 QB/T 2153 - 2017，分别对各类糖的感官要求、理化指标、卫生指标等作出详细规定</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GB/T 317 - 2018；</w:t>
                  </w:r>
                  <w:r>
                    <w:br/>
                  </w:r>
                  <w:r>
                    <w:rPr>
                      <w:sz w:val="21"/>
                    </w:rPr>
                    <w:t>GB/T 1445 - 2018；</w:t>
                  </w:r>
                  <w:r>
                    <w:br/>
                  </w:r>
                  <w:r>
                    <w:rPr>
                      <w:sz w:val="21"/>
                    </w:rPr>
                    <w:t>QB/T 4561 - 2013；</w:t>
                  </w:r>
                  <w:r>
                    <w:br/>
                  </w:r>
                  <w:r>
                    <w:rPr>
                      <w:sz w:val="21"/>
                    </w:rPr>
                    <w:t>GB/T35883 -2018；</w:t>
                  </w:r>
                  <w:r>
                    <w:br/>
                  </w:r>
                  <w:r>
                    <w:rPr>
                      <w:sz w:val="21"/>
                    </w:rPr>
                    <w:t>QB/T 2153 - 2017</w:t>
                  </w:r>
                </w:p>
              </w:tc>
            </w:tr>
            <w:tr>
              <w:tc>
                <w:tcPr>
                  <w:tcW w:type="dxa" w:w="761"/>
                  <w:vMerge/>
                  <w:tcBorders>
                    <w:top w:val="none" w:color="000000" w:sz="4"/>
                    <w:left w:val="single" w:color="000000" w:sz="4"/>
                    <w:bottom w:val="single" w:color="000000" w:sz="4"/>
                    <w:right w:val="single" w:color="000000" w:sz="4"/>
                  </w:tcBorders>
                </w:tcPr>
                <w:p/>
              </w:tc>
              <w:tc>
                <w:tcPr>
                  <w:tcW w:type="dxa" w:w="78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所有调味料、厨房辅材用品</w:t>
                  </w:r>
                </w:p>
              </w:tc>
              <w:tc>
                <w:tcPr>
                  <w:tcW w:type="dxa" w:w="2698"/>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生产、包装、运输、贮存过程均需符合 GB14881 - 2013《食品安全国家标准 食品生产通用卫生规范》</w:t>
                  </w:r>
                </w:p>
              </w:tc>
              <w:tc>
                <w:tcPr>
                  <w:tcW w:type="dxa" w:w="1349"/>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1"/>
                    </w:rPr>
                    <w:t>GB14881 - 2013</w:t>
                  </w:r>
                </w:p>
              </w:tc>
            </w:tr>
          </w:tbl>
          <w:p>
            <w:pPr>
              <w:pStyle w:val="null3"/>
              <w:jc w:val="both"/>
            </w:pPr>
            <w:r>
              <w:rPr>
                <w:sz w:val="21"/>
                <w:b/>
              </w:rPr>
              <w:t>注：以上标准均按国家颁布的最新标准执行，若出现标准更新情况，中标供应商需在规定时间内按照新标准执行，确保食材质量始终符合要求。</w:t>
            </w:r>
          </w:p>
          <w:p>
            <w:pPr>
              <w:pStyle w:val="null3"/>
            </w:pPr>
            <w:r>
              <w:rPr>
                <w:sz w:val="21"/>
                <w:b/>
              </w:rPr>
              <w:t>附件1：</w:t>
            </w:r>
          </w:p>
          <w:p>
            <w:pPr>
              <w:pStyle w:val="null3"/>
              <w:jc w:val="both"/>
            </w:pPr>
            <w:r>
              <w:rPr>
                <w:sz w:val="24"/>
                <w:b/>
              </w:rPr>
              <w:t>《 阳春市人民医院饭堂食材配送服务质量考核评价办法》</w:t>
            </w:r>
          </w:p>
          <w:p>
            <w:pPr>
              <w:pStyle w:val="null3"/>
              <w:jc w:val="both"/>
            </w:pPr>
            <w:r>
              <w:rPr>
                <w:sz w:val="21"/>
                <w:b/>
              </w:rPr>
              <w:t>一、总则</w:t>
            </w:r>
          </w:p>
          <w:p>
            <w:pPr>
              <w:pStyle w:val="null3"/>
              <w:jc w:val="both"/>
            </w:pPr>
            <w:r>
              <w:rPr>
                <w:sz w:val="21"/>
              </w:rPr>
              <w:t>为保障阳春市人民医院饭堂食材配送服务质量，规范供应商服务行为，依据相关法律法规及采购合同要求，制定本考核评价办法。</w:t>
            </w:r>
          </w:p>
          <w:p>
            <w:pPr>
              <w:pStyle w:val="null3"/>
              <w:jc w:val="both"/>
            </w:pPr>
            <w:r>
              <w:rPr>
                <w:sz w:val="21"/>
                <w:b/>
              </w:rPr>
              <w:t>二、考核总分与结果应用</w:t>
            </w:r>
          </w:p>
          <w:p>
            <w:pPr>
              <w:pStyle w:val="null3"/>
              <w:jc w:val="both"/>
            </w:pPr>
            <w:r>
              <w:rPr>
                <w:sz w:val="21"/>
              </w:rPr>
              <w:t>每月综合服务满意度满分为 100 分，合格标准为 90 分。满意度低于 90 分的，每下降 1% 扣除当月结算金额的 1% 。</w:t>
            </w:r>
          </w:p>
          <w:p>
            <w:pPr>
              <w:pStyle w:val="null3"/>
              <w:jc w:val="both"/>
            </w:pPr>
            <w:r>
              <w:rPr>
                <w:sz w:val="21"/>
                <w:b/>
              </w:rPr>
              <w:t>三、整改与警告机制</w:t>
            </w:r>
          </w:p>
          <w:p>
            <w:pPr>
              <w:pStyle w:val="null3"/>
              <w:jc w:val="both"/>
            </w:pPr>
            <w:r>
              <w:rPr>
                <w:sz w:val="21"/>
              </w:rPr>
              <w:t>中标供应商需对采购人提出的问题及时响应并整改。次月未整改的，采购人发出警告信 1 次；连续因同一问题收到 3 次警告，采购人有权终止其供货资格。</w:t>
            </w:r>
          </w:p>
          <w:p>
            <w:pPr>
              <w:pStyle w:val="null3"/>
              <w:jc w:val="both"/>
            </w:pPr>
            <w:r>
              <w:rPr>
                <w:sz w:val="21"/>
              </w:rPr>
              <w:t>提前终止供货服务的，需提前一周以书面形式通知对方。</w:t>
            </w:r>
          </w:p>
          <w:p>
            <w:pPr>
              <w:pStyle w:val="null3"/>
              <w:jc w:val="both"/>
            </w:pPr>
            <w:r>
              <w:rPr>
                <w:sz w:val="21"/>
                <w:b/>
              </w:rPr>
              <w:t>四、考核评分细则</w:t>
            </w:r>
          </w:p>
          <w:tbl>
            <w:tblPr>
              <w:tblBorders>
                <w:top w:val="none" w:color="000000" w:sz="4"/>
                <w:left w:val="none" w:color="000000" w:sz="4"/>
                <w:bottom w:val="none" w:color="000000" w:sz="4"/>
                <w:right w:val="none" w:color="000000" w:sz="4"/>
                <w:insideH w:val="none"/>
                <w:insideV w:val="none"/>
              </w:tblBorders>
            </w:tblPr>
            <w:tblGrid>
              <w:gridCol w:w="848"/>
              <w:gridCol w:w="572"/>
              <w:gridCol w:w="1942"/>
              <w:gridCol w:w="1084"/>
              <w:gridCol w:w="1153"/>
            </w:tblGrid>
            <w:tr>
              <w:tc>
                <w:tcPr>
                  <w:tcW w:type="dxa" w:w="848"/>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考核项目</w:t>
                  </w:r>
                </w:p>
              </w:tc>
              <w:tc>
                <w:tcPr>
                  <w:tcW w:type="dxa" w:w="57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序号</w:t>
                  </w:r>
                </w:p>
              </w:tc>
              <w:tc>
                <w:tcPr>
                  <w:tcW w:type="dxa" w:w="194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评分细则</w:t>
                  </w:r>
                </w:p>
              </w:tc>
              <w:tc>
                <w:tcPr>
                  <w:tcW w:type="dxa" w:w="1084"/>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扣分</w:t>
                  </w:r>
                </w:p>
              </w:tc>
              <w:tc>
                <w:tcPr>
                  <w:tcW w:type="dxa" w:w="1153"/>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备注</w:t>
                  </w:r>
                </w:p>
              </w:tc>
            </w:tr>
            <w:tr>
              <w:tc>
                <w:tcPr>
                  <w:tcW w:type="dxa" w:w="848"/>
                  <w:vMerge w:val="restart"/>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配送要求</w:t>
                  </w:r>
                </w:p>
                <w:p>
                  <w:pPr>
                    <w:pStyle w:val="null3"/>
                    <w:jc w:val="center"/>
                  </w:p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1</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配送车辆、实际运输不符合招标文件及合同约定的</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3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包括车辆类型、温度控制、包装标识等不符</w:t>
                  </w: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2</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未在规定时间内（迟到超过半小时）完成配送、供货</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5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不可抗力因素经采购人认可的除外</w:t>
                  </w: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3</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实际配送货物少于订购数量且未能及时补充</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8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影响正常供餐的，采购人可另行采购，费用由供应商承担</w:t>
                  </w: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4</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实际配送的货物与订购种类、质量不符</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8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未及时更换的，采购人有权拒收，并加扣 5 分 / 次</w:t>
                  </w: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5</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相应批次货物未能提供合格检验证明（如检疫合格证、检测报告等）</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10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无法补证的，采购人有权退货并要求赔偿损失</w:t>
                  </w:r>
                </w:p>
              </w:tc>
            </w:tr>
            <w:tr>
              <w:tc>
                <w:tcPr>
                  <w:tcW w:type="dxa" w:w="848"/>
                  <w:vMerge w:val="restart"/>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质量要求</w:t>
                  </w: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6</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食品卫生不符合要求导致一般质量问题（未造成人员健康损害）</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6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如食材轻微变质、感官性状异常但未引发投诉</w:t>
                  </w: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7</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食品卫生问题造成食物中毒事故（以县级以上卫生行政部门或疾控中心认定书为准）</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直接扣至 0 分</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采购人立即暂停配送资格，限期 3 日内提交整改方案</w:t>
                  </w: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8</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滥用或过量使用食品添加剂、使用劣质原料、抗生素、激素等有害物质</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8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导致食品安全风险的，参照第 7 条处理</w:t>
                  </w: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9</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货物品质与招标文件不符且未及时补充</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6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p>
              </w:tc>
            </w:tr>
            <w:tr>
              <w:tc>
                <w:tcPr>
                  <w:tcW w:type="dxa" w:w="848"/>
                  <w:vMerge w:val="restart"/>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安全生产管理</w:t>
                  </w: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10</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未建立安全生产责任制，或违反制度操作</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3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包括未制定应急预案、未落实安全培训等</w:t>
                  </w: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11</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无相关应急预案</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5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12</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发生重大事故或不配合事故处理</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15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造成严重后果的，按 A 资格及商务要求相关条款处理</w:t>
                  </w: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13</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未及时、如实报告生产安全事故</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10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p>
              </w:tc>
            </w:tr>
            <w:tr>
              <w:tc>
                <w:tcPr>
                  <w:tcW w:type="dxa" w:w="848"/>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14</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提供资料弄虚作假</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8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p>
              </w:tc>
            </w:tr>
            <w:tr>
              <w:tc>
                <w:tcPr>
                  <w:tcW w:type="dxa" w:w="8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其他</w:t>
                  </w:r>
                </w:p>
              </w:tc>
              <w:tc>
                <w:tcPr>
                  <w:tcW w:type="dxa" w:w="5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15</w:t>
                  </w:r>
                </w:p>
              </w:tc>
              <w:tc>
                <w:tcPr>
                  <w:tcW w:type="dxa" w:w="19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违反招标文件及合同规定的其他违约事件</w:t>
                  </w:r>
                </w:p>
              </w:tc>
              <w:tc>
                <w:tcPr>
                  <w:tcW w:type="dxa" w:w="10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5 分 / 次</w:t>
                  </w:r>
                </w:p>
              </w:tc>
              <w:tc>
                <w:tcPr>
                  <w:tcW w:type="dxa" w:w="115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sz w:val="21"/>
                    </w:rPr>
                    <w:t>按违约性质参照上述条款加重处理</w:t>
                  </w:r>
                </w:p>
              </w:tc>
            </w:tr>
          </w:tbl>
          <w:p>
            <w:pPr>
              <w:pStyle w:val="null3"/>
              <w:jc w:val="both"/>
            </w:pPr>
            <w:r>
              <w:rPr>
                <w:sz w:val="21"/>
                <w:b/>
              </w:rPr>
              <w:t>五、特殊情况处理</w:t>
            </w:r>
          </w:p>
          <w:p>
            <w:pPr>
              <w:pStyle w:val="null3"/>
              <w:jc w:val="both"/>
            </w:pPr>
            <w:r>
              <w:rPr>
                <w:sz w:val="21"/>
              </w:rPr>
              <w:t>1.若当月考核过程中出现直接扣至 0 分的情况（如因食品卫生问题造成食物中毒事故），采购人将采取以下措施：</w:t>
            </w:r>
          </w:p>
          <w:p>
            <w:pPr>
              <w:pStyle w:val="null3"/>
              <w:jc w:val="both"/>
            </w:pPr>
            <w:r>
              <w:rPr>
                <w:sz w:val="21"/>
              </w:rPr>
              <w:t>2.暂停供应商配送资格，限期 3 个工作日内提交整改方案；</w:t>
            </w:r>
          </w:p>
          <w:p>
            <w:pPr>
              <w:pStyle w:val="null3"/>
              <w:jc w:val="both"/>
            </w:pPr>
            <w:r>
              <w:rPr>
                <w:sz w:val="21"/>
              </w:rPr>
              <w:t>3.整改验收合格前，采购人可委托第三方临时配送，费用由供应商承担；</w:t>
            </w:r>
          </w:p>
          <w:p>
            <w:pPr>
              <w:pStyle w:val="null3"/>
              <w:jc w:val="both"/>
            </w:pPr>
            <w:r>
              <w:rPr>
                <w:sz w:val="21"/>
              </w:rPr>
              <w:t>4.整改相关处理流程及合同解除事宜，按 A 资格及商务要求中 “合同解除” 条款执行。</w:t>
            </w:r>
          </w:p>
          <w:p>
            <w:pPr>
              <w:pStyle w:val="null3"/>
              <w:jc w:val="both"/>
            </w:pPr>
            <w:r>
              <w:rPr>
                <w:sz w:val="21"/>
                <w:b/>
              </w:rPr>
              <w:t>六、考核流程</w:t>
            </w:r>
          </w:p>
          <w:p>
            <w:pPr>
              <w:pStyle w:val="null3"/>
              <w:jc w:val="both"/>
            </w:pPr>
            <w:r>
              <w:rPr>
                <w:sz w:val="21"/>
              </w:rPr>
              <w:t>1.采购人每月组织考核，考核人员需 2 人及以上签字确认。</w:t>
            </w:r>
          </w:p>
          <w:p>
            <w:pPr>
              <w:pStyle w:val="null3"/>
              <w:jc w:val="both"/>
            </w:pPr>
            <w:r>
              <w:rPr>
                <w:sz w:val="21"/>
              </w:rPr>
              <w:t>2.考核结果需在 5 个工作日内书面告知供应商，供应商可在 3 个工作日内提出申诉，由采购人复核。</w:t>
            </w:r>
          </w:p>
          <w:p>
            <w:pPr>
              <w:pStyle w:val="null3"/>
              <w:jc w:val="both"/>
            </w:pPr>
            <w:r>
              <w:rPr>
                <w:sz w:val="21"/>
                <w:b/>
              </w:rPr>
              <w:t>七、附则</w:t>
            </w:r>
          </w:p>
          <w:p>
            <w:pPr>
              <w:pStyle w:val="null3"/>
              <w:jc w:val="both"/>
            </w:pPr>
            <w:r>
              <w:rPr>
                <w:sz w:val="21"/>
              </w:rPr>
              <w:t>本考核评价办法自发布之日起实施，由阳春市人民医院负责解释与修订。</w:t>
            </w:r>
          </w:p>
          <w:p>
            <w:pPr>
              <w:pStyle w:val="null3"/>
              <w:jc w:val="both"/>
            </w:pPr>
            <w:r>
              <w:rPr>
                <w:sz w:val="21"/>
              </w:rPr>
              <w:t>被考核单位：__________</w:t>
            </w:r>
          </w:p>
          <w:p>
            <w:pPr>
              <w:pStyle w:val="null3"/>
              <w:jc w:val="both"/>
            </w:pPr>
            <w:r>
              <w:rPr>
                <w:sz w:val="21"/>
              </w:rPr>
              <w:t>考核月份：__________</w:t>
            </w:r>
          </w:p>
          <w:p>
            <w:pPr>
              <w:pStyle w:val="null3"/>
              <w:jc w:val="both"/>
            </w:pPr>
            <w:r>
              <w:rPr>
                <w:sz w:val="21"/>
              </w:rPr>
              <w:t>考核得分：__________</w:t>
            </w:r>
          </w:p>
          <w:p>
            <w:pPr>
              <w:pStyle w:val="null3"/>
              <w:jc w:val="both"/>
            </w:pPr>
            <w:r>
              <w:rPr>
                <w:sz w:val="21"/>
              </w:rPr>
              <w:t>考核人员签名：__________</w:t>
            </w:r>
          </w:p>
          <w:p>
            <w:pPr>
              <w:pStyle w:val="null3"/>
              <w:jc w:val="both"/>
            </w:pPr>
            <w:r>
              <w:rPr>
                <w:sz w:val="21"/>
              </w:rPr>
              <w:t>考核日期：__________</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阳春市人民医院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采购机构代理服务收费标准：采购机构代理服务收费标准：以本项目的采购预算作为计算基数，参照国家计委[计价格[2002]1980号]文及国家发改委[2011]534号文服务类招标代理服务收费标准差额定率累进法计算收取。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成交）供应商后，应打印纸质响应文件1正2副（内容同电子投标文件一致，不一致的以电子标书为准），并加盖中标（成交）供应商公章，在领取《中标（成交）通知书》前提交至招标代理处。 2.对于《阳江市政府采购供应商资格信用承诺函》承诺内容，采购人有权在发放《中标（成交）通知书》前要求中标（成交）供应商提供证明材料，以备核实供应商承诺事项的真实性。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政府采购监督管理机构名称：阳春市政府采购事务中心</w:t>
      </w:r>
    </w:p>
    <w:p>
      <w:pPr>
        <w:pStyle w:val="null3"/>
      </w:pPr>
      <w:r>
        <w:rPr/>
        <w:t>地 址：阳春市春城朝南路73号</w:t>
      </w:r>
    </w:p>
    <w:p>
      <w:pPr>
        <w:pStyle w:val="null3"/>
      </w:pPr>
      <w:r>
        <w:rPr/>
        <w:t>电 话：0662－7745980</w:t>
      </w:r>
    </w:p>
    <w:p>
      <w:pPr>
        <w:pStyle w:val="null3"/>
      </w:pPr>
      <w:r>
        <w:rPr/>
        <w:t>邮 编：529600</w:t>
      </w:r>
    </w:p>
    <w:p>
      <w:pPr>
        <w:pStyle w:val="null3"/>
      </w:pPr>
      <w:r>
        <w:rPr/>
        <w:t>传 真：0662－7745980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采购包1(采购饭堂食材配送服务项目)：综合评分法,是指投标文件满足招标文件全部实质性要求，且按照评审因素的量化指标评审得分最高的投标人为中标候选人的评标方法。（最低报价不是中标的唯一依据。）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采购包1（采购饭堂食材配送服务项目）：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采购包1（采购饭堂食材配送服务项目）：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其他要求</w:t>
            </w:r>
          </w:p>
        </w:tc>
        <w:tc>
          <w:tcPr>
            <w:tcW w:type="dxa" w:w="4238"/>
          </w:tcPr>
          <w:p>
            <w:pPr>
              <w:pStyle w:val="null3"/>
            </w:pPr>
            <w:r>
              <w:rPr/>
              <w:t>供应商须满足以下任一条件并提供证明： A.持有有效的《食品经营许可证》。 B.持有有效的《食品药品经营许可证》且许可项目明确包含食品经营（纯药品类无效）。 C.若供应商为所投食品的生产厂家，仅需提供食品生产许可证明文件。 注：上述资料须提供证明文件扫描件并加盖投标人公章。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微企业采购。供应商须符合本项目采购标的对应行业（本项目行业为：批发业）的政策划分标准。监狱企业、残疾人福利单位视同小型、微型企业。（注：中小企业以供应商填写的《中小企业声明函》（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采购包1（采购饭堂食材配送服务项目）：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采购包1(采购饭堂食材配送服务项目):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商务部分41.0分</w:t>
            </w:r>
          </w:p>
          <w:p>
            <w:pPr>
              <w:pStyle w:val="null3"/>
            </w:pPr>
            <w:r>
              <w:rPr/>
              <w:t>技术部分49.0分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食品质量保证方案 (10.0分)</w:t>
            </w:r>
          </w:p>
        </w:tc>
        <w:tc>
          <w:tcPr>
            <w:tcW w:type="dxa" w:w="5076"/>
          </w:tcPr>
          <w:p>
            <w:pPr>
              <w:pStyle w:val="null3"/>
              <w:jc w:val="left"/>
            </w:pPr>
            <w:r>
              <w:rPr/>
              <w:t>对投标文件中的食品质量保证方案进行评审（根据食品的来源、加工、包装、保存、运输各环节的质量保证及食品安全措施进行评价）： 1）投标人提供的食品质量保证方案完整，包含来源、加工、包装、保存、运输全部环节的质量保证及食品安全措施，方案整体内容优于项目需求，得 10分； 2）投标人提供的食品质量保证方案基本完整，包含主要内容，方案整体内容基本满足项目需求，得 7分； 3）投标人提供的食品质量保证方案存在缺漏（缺少1项环节内容），方案整体内容部分满足需求，得 4分； 4）投标人提供的食品质量保证方案存在重大缺漏（缺少≥2项环节内容），方案整体内容不满足基本需求，得 1分； 5）其他情况或未提供方案，得 0分。</w:t>
            </w:r>
          </w:p>
        </w:tc>
      </w:tr>
      <w:tr>
        <w:tc>
          <w:tcPr>
            <w:tcW w:type="dxa" w:w="922"/>
            <w:gridSpan w:val="2"/>
            <w:vMerge/>
          </w:tcPr>
          <w:p/>
        </w:tc>
        <w:tc>
          <w:tcPr>
            <w:tcW w:type="dxa" w:w="2307"/>
          </w:tcPr>
          <w:p>
            <w:pPr>
              <w:pStyle w:val="null3"/>
              <w:jc w:val="left"/>
            </w:pPr>
            <w:r>
              <w:rPr/>
              <w:t>配送方案 (10.0分)</w:t>
            </w:r>
          </w:p>
        </w:tc>
        <w:tc>
          <w:tcPr>
            <w:tcW w:type="dxa" w:w="5076"/>
          </w:tcPr>
          <w:p>
            <w:pPr>
              <w:pStyle w:val="null3"/>
              <w:jc w:val="left"/>
            </w:pPr>
            <w:r>
              <w:rPr/>
              <w:t>根据各投标人的配送方案（包括但不限于供货保障、日常管理组织、物流配送方案）进行评审： 1）投标人提供的配送方案完整，包含供货保障、日常管理组织、物流配送方案全部内容，方案整体内容优于项目需求，得 10分； 2）投标人提供的配送方案基本完整，包含主要内容，方案整体内容基本满足项目需求，得 7分； 3）投标人提供的配送方案存在缺漏（缺少1项内容），方案整体内容部分满足需求，得 4分； 4）投标人提供的配送方案存在重大缺漏（缺少≥2项内容），方案整体内容不满足基本需求，得 1分； 5）其他情况或未提供方案，得 0分。</w:t>
            </w:r>
          </w:p>
        </w:tc>
      </w:tr>
      <w:tr>
        <w:tc>
          <w:tcPr>
            <w:tcW w:type="dxa" w:w="922"/>
            <w:gridSpan w:val="2"/>
            <w:vMerge/>
          </w:tcPr>
          <w:p/>
        </w:tc>
        <w:tc>
          <w:tcPr>
            <w:tcW w:type="dxa" w:w="2307"/>
          </w:tcPr>
          <w:p>
            <w:pPr>
              <w:pStyle w:val="null3"/>
              <w:jc w:val="left"/>
            </w:pPr>
            <w:r>
              <w:rPr/>
              <w:t>食品安全管理制度 (10.0分)</w:t>
            </w:r>
          </w:p>
        </w:tc>
        <w:tc>
          <w:tcPr>
            <w:tcW w:type="dxa" w:w="5076"/>
          </w:tcPr>
          <w:p>
            <w:pPr>
              <w:pStyle w:val="null3"/>
              <w:jc w:val="left"/>
            </w:pPr>
            <w:r>
              <w:rPr/>
              <w:t>根据各投标人的食品安全管理制度（包括但不限于进出货台账、食品安全检测制度、食品卫生安全措施、留样检测制度）进行评审： 1）投标人提供的食品安全管理制度完整，包含进出货台账、食品安全检测制度、食品卫生安全措施、留样检测制度全部内容，方案整体内容优于项目需求，得 10分； 2）投标人提供的食品安全管理制度基本完整，包含主要内容，方案整体内容基本满足项目需求，得 7分； 3）投标人提供的食品安全管理制度存在缺漏（缺少1项内容），方案整体内容部分满足需求，得 4分； 4）投标人提供的食品安全管理制度存在重大缺漏（缺少≥2项内容），方案整体内容不满足基本需求，得 1分； 5）其他情况或未提供方案，得 0分。</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根据各投标人的应急方案（包括但不限于人员和设备调配、责任分工）进行评审： 1）投标人提供的应急方案完整，包含人员和设备调配、责任分工全部内容，方案整体内容优于项目需求，得 10分； 2）投标人提供的应急方案基本完整，包含主要内容，方案整体内容基本满足项目需求，得 7分； 3）投标人提供的应急方案存在缺漏（缺少1项内容），方案整体内容部分满足需求，得 4分； 4）投标人提供的应急方案存在重大缺漏（缺少≥2项内容），方案整体内容不满足基本需求，得 1分； 5）其他情况或未提供方案，得 0分。</w:t>
            </w:r>
          </w:p>
        </w:tc>
      </w:tr>
      <w:tr>
        <w:tc>
          <w:tcPr>
            <w:tcW w:type="dxa" w:w="922"/>
            <w:gridSpan w:val="2"/>
            <w:vMerge/>
          </w:tcPr>
          <w:p/>
        </w:tc>
        <w:tc>
          <w:tcPr>
            <w:tcW w:type="dxa" w:w="2307"/>
          </w:tcPr>
          <w:p>
            <w:pPr>
              <w:pStyle w:val="null3"/>
              <w:jc w:val="left"/>
            </w:pPr>
            <w:r>
              <w:rPr/>
              <w:t>服务质量方案 (9.0分)</w:t>
            </w:r>
          </w:p>
        </w:tc>
        <w:tc>
          <w:tcPr>
            <w:tcW w:type="dxa" w:w="5076"/>
          </w:tcPr>
          <w:p>
            <w:pPr>
              <w:pStyle w:val="null3"/>
              <w:jc w:val="left"/>
            </w:pPr>
            <w:r>
              <w:rPr/>
              <w:t>对投标文件中的服务质量方案（包括但不限于配送员选定、增值服务、换货补货）进行评审： 1）投标人提供的服务质量方案完整，包含配送员选定、增值服务、换货补货全部内容，方案整体内容优于项目需求，得9分； 2）投标人提供的服务质量方案基本完整，包含主要内容，方案整体内容基本满足项目需求，得 6分； 3）投标人提供的服务质量方案存在缺漏（缺少1项内容），方案整体内容部分满足需求，得 3分； 4）投标人提供的服务质量方案存在重大缺漏（缺少≥2项内容），方案整体内容不满足基本需求，得 1分； 5）其他情况或未提供方案，得 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投标人自2021年1月1日至今（以合同签订时间为准）承接的同类项目业绩，每提供一个得2分，满分10分。 注：需提供合同关键页扫描件并加盖投标人公章，不提供不得分。</w:t>
            </w:r>
          </w:p>
        </w:tc>
      </w:tr>
      <w:tr>
        <w:tc>
          <w:tcPr>
            <w:tcW w:type="dxa" w:w="922"/>
            <w:gridSpan w:val="2"/>
            <w:vMerge/>
          </w:tcPr>
          <w:p/>
        </w:tc>
        <w:tc>
          <w:tcPr>
            <w:tcW w:type="dxa" w:w="2307"/>
          </w:tcPr>
          <w:p>
            <w:pPr>
              <w:pStyle w:val="null3"/>
              <w:jc w:val="left"/>
            </w:pPr>
            <w:r>
              <w:rPr/>
              <w:t>配送场地 (5.0分)</w:t>
            </w:r>
          </w:p>
        </w:tc>
        <w:tc>
          <w:tcPr>
            <w:tcW w:type="dxa" w:w="5076"/>
          </w:tcPr>
          <w:p>
            <w:pPr>
              <w:pStyle w:val="null3"/>
              <w:jc w:val="left"/>
            </w:pPr>
            <w:r>
              <w:rPr/>
              <w:t>投标人具有符合食品配送要求的自有或租赁场地，且场地包含冷库，得 5 分。 注：需提供以下证明文件： （1）场地及冷库的产权证明（若为自有）；或投标人 / 其分支机构签订的有效租赁合同。 租赁合同剩余租期覆盖合同履行期的，另附出租方产权证明扫描件；未覆盖的，须提供承诺函，确保原合同到期前办妥符合配送需求的新场地及冷库手续（租赁或自有），且新证明文件覆盖剩余履行期，同时承诺不因此影响配送业务正常开展。 （2）冷库的专项证明材料（可提供以下任一）： ①　冷库的产权证明中明确标注包含冷库； ②　租赁合同中明确约定租赁范围包含冷库； ③　冷库的购买发票或验收报告扫描件（若为自有且产权证明未单独标注）； ④　出租方出具的包含冷库的场地说明（需加盖出租方公章，若租赁且合同未单独标注。 所有文件均需加盖投标人公章，不提供或资料不全不得分。</w:t>
            </w:r>
          </w:p>
        </w:tc>
      </w:tr>
      <w:tr>
        <w:tc>
          <w:tcPr>
            <w:tcW w:type="dxa" w:w="922"/>
            <w:gridSpan w:val="2"/>
            <w:vMerge/>
          </w:tcPr>
          <w:p/>
        </w:tc>
        <w:tc>
          <w:tcPr>
            <w:tcW w:type="dxa" w:w="2307"/>
          </w:tcPr>
          <w:p>
            <w:pPr>
              <w:pStyle w:val="null3"/>
              <w:jc w:val="left"/>
            </w:pPr>
            <w:r>
              <w:rPr/>
              <w:t>拟投入项目团队人员实力 (6.0分)</w:t>
            </w:r>
          </w:p>
        </w:tc>
        <w:tc>
          <w:tcPr>
            <w:tcW w:type="dxa" w:w="5076"/>
          </w:tcPr>
          <w:p>
            <w:pPr>
              <w:pStyle w:val="null3"/>
              <w:jc w:val="left"/>
            </w:pPr>
            <w:r>
              <w:rPr/>
              <w:t>投标人配备持有国家或地方食品安全监管部门认可的中级（或以上）食品安全管理员证书或考试合格证明的专职人员，每提供1名符合要求的人员证明材料，得3分，本项最高得6分（即最多计2名人员） 注：上述人员提供有效的①中级（或以上）食品安全管理员证书扫描件；②劳动合同及近半年任意一个月的社保证明加盖公章；不提供或提供不全不得分。</w:t>
            </w:r>
          </w:p>
        </w:tc>
      </w:tr>
      <w:tr>
        <w:tc>
          <w:tcPr>
            <w:tcW w:type="dxa" w:w="922"/>
            <w:gridSpan w:val="2"/>
            <w:vMerge/>
          </w:tcPr>
          <w:p/>
        </w:tc>
        <w:tc>
          <w:tcPr>
            <w:tcW w:type="dxa" w:w="2307"/>
          </w:tcPr>
          <w:p>
            <w:pPr>
              <w:pStyle w:val="null3"/>
              <w:jc w:val="left"/>
            </w:pPr>
            <w:r>
              <w:rPr/>
              <w:t>食品卫生检测 (10.0分)</w:t>
            </w:r>
          </w:p>
        </w:tc>
        <w:tc>
          <w:tcPr>
            <w:tcW w:type="dxa" w:w="5076"/>
          </w:tcPr>
          <w:p>
            <w:pPr>
              <w:pStyle w:val="null3"/>
              <w:jc w:val="left"/>
            </w:pPr>
            <w:r>
              <w:rPr/>
              <w:t>投标人具有自有或租赁的食品安全检测仪、兽药残留检测仪、农药残留检测仪、多功能食品检测仪，每提供一项检测仪器，得2.5分，最高10分； 注：①若为自有检测仪器，需提供上述检测仪器的购买发票扫描件及仪器图片。不提供或者提供不齐全不得分。② 若为租赁检测仪器，需提供上述检测仪器的购买发票扫描件、仪器图片和租赁合同。不提供或者提供不齐全不得分。</w:t>
            </w:r>
          </w:p>
        </w:tc>
      </w:tr>
      <w:tr>
        <w:tc>
          <w:tcPr>
            <w:tcW w:type="dxa" w:w="922"/>
            <w:gridSpan w:val="2"/>
            <w:vMerge/>
          </w:tcPr>
          <w:p/>
        </w:tc>
        <w:tc>
          <w:tcPr>
            <w:tcW w:type="dxa" w:w="2307"/>
          </w:tcPr>
          <w:p>
            <w:pPr>
              <w:pStyle w:val="null3"/>
              <w:jc w:val="left"/>
            </w:pPr>
            <w:r>
              <w:rPr/>
              <w:t>配送车辆 (10.0分)</w:t>
            </w:r>
          </w:p>
        </w:tc>
        <w:tc>
          <w:tcPr>
            <w:tcW w:type="dxa" w:w="5076"/>
          </w:tcPr>
          <w:p>
            <w:pPr>
              <w:pStyle w:val="null3"/>
              <w:jc w:val="left"/>
            </w:pPr>
            <w:r>
              <w:rPr/>
              <w:t>投标人具有自有或租赁的冷藏配送车，每提供1台冷藏配送车，得3分，最高得6分； 投标人具有自有或租赁的箱式配送车，每提供1台箱式配送车，得4分，最高得4分； 备注： ①若为自有车辆，需提供有效的机动车行驶证扫描件（机动车行驶证所有人必须为投标单位）或购买车辆发票及配送车的照片（需显示到车牌号，未上牌需显示与发票一致的车架号和发动机号码）。不提供或者提供不全不得分。② 若为租赁车辆，需提供有效的机动车行驶证扫描件或租赁期间前三期任意一期的租赁发票及配送车的照片（需显示到车牌号，未上牌需显示与发票一致的车架号和发动机号码）和租赁合同扫描件。不提供或者提供不全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 评标基准折扣率/ 投标折扣率）×价格分值（注：满足招标文件要求且投标折扣率最高的投标折扣率为评标基准折扣率。）最高折扣率不是中标的唯一依据。【注：满足招标文件要求且投标折扣率最高的投标报价为评标基准折扣率。 (例如：投标人报出的折扣率为85%，且是所有有效投标中折扣率最高的，则评标基准折扣率为85%)】因落实政府采购政策进行价格调整的，以调整后的价格计算评标基准折扣率和投标投标折扣率。</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r>
        <w:rPr>
          <w:sz w:val="27"/>
          <w:color w:val="222222"/>
        </w:rPr>
        <w:t>　　</w:t>
      </w:r>
    </w:p>
    <w:p>
      <w:pPr>
        <w:pStyle w:val="null3"/>
      </w:pPr>
      <w:r>
        <w:rPr>
          <w:sz w:val="27"/>
          <w:color w:val="000000"/>
        </w:rPr>
        <w:t>付款方式：本项目采用月度 100% 付款制：乙方须于次月 15 日前凭完整结算材料申请支付，结算金额按公式 【结算基准价 × 中标折扣率 × 当月签收供货量】计算，须同步提供四类法定结算文件：①中标通知书复印件、②合同关键页、③有效发票、④含签收章的送货清单。</w:t>
      </w:r>
    </w:p>
    <w:p>
      <w:pPr>
        <w:pStyle w:val="null3"/>
      </w:pPr>
      <w:r>
        <w:rPr>
          <w:sz w:val="27"/>
          <w:color w:val="000000"/>
        </w:rPr>
        <w:t>注：</w:t>
      </w:r>
    </w:p>
    <w:p>
      <w:pPr>
        <w:pStyle w:val="null3"/>
      </w:pPr>
      <w:r>
        <w:rPr>
          <w:sz w:val="27"/>
          <w:color w:val="000000"/>
        </w:rPr>
        <w:t>1) 15 日付款期限自甲方确认申请材料齐全之日起算，不含政府财政部门的审核及支付时间；供应商按时提交申请即视为甲方履约。</w:t>
      </w:r>
    </w:p>
    <w:p>
      <w:pPr>
        <w:pStyle w:val="null3"/>
      </w:pPr>
      <w:r>
        <w:rPr>
          <w:sz w:val="27"/>
          <w:color w:val="000000"/>
        </w:rPr>
        <w:t>2) 发票必须真实有效，注明货物明细及金额，增值税普通发票或专用发票均需加盖发票专用章。</w:t>
      </w:r>
    </w:p>
    <w:p>
      <w:pPr>
        <w:pStyle w:val="null3"/>
      </w:pPr>
      <w:r>
        <w:rPr>
          <w:sz w:val="27"/>
          <w:color w:val="000000"/>
        </w:rPr>
        <w:t>3) 若因签收凭证缺失、发票无效或材料不齐导致支付延迟，责任由供应商承担；因甲方内部流程或财政支付系统造成的延迟，不构成违约。</w:t>
      </w:r>
    </w:p>
    <w:p>
      <w:pPr>
        <w:pStyle w:val="null3"/>
      </w:pPr>
      <w:r>
        <w:rPr>
          <w:sz w:val="27"/>
        </w:rPr>
        <w:t>4) 实际执行以双方签署的合同模板及中标承诺为准，本条款与合同冲突时优先适用合同约定。</w:t>
      </w:r>
    </w:p>
    <w:p>
      <w:pPr>
        <w:pStyle w:val="null3"/>
      </w:pPr>
      <w:r>
        <w:rPr>
          <w:sz w:val="27"/>
        </w:rPr>
        <w:t>5) 当月综合服务满意度考核结果与付款直接挂钩，具体为：若当月满意度达到 90 分及以上，甲方正常支付结算款；若满意度低于 90 分，每下降 1% 则扣除当月结算金额的 1%（例如 89 分扣 1%、80 分扣 10%）；若半年内累计出现 3 次满意度低于 90 分的情况，甲方有权解除合同，并按实际供货情况进行结算。</w:t>
      </w:r>
    </w:p>
    <w:p>
      <w:pPr>
        <w:pStyle w:val="null3"/>
      </w:pPr>
      <w:r>
        <w:rPr>
          <w:sz w:val="27"/>
        </w:rPr>
        <w:t>6) 因供应商违反配送、质量、安全生产管理等考核要求被扣分的，甲方有权根据扣分情况，在当月结算金额中扣除相应比例款项；涉及重大违约导致终止供货资格的，双方按合同约定及实际履约情况进行结算。</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441781-2025-01891</w:t>
      </w:r>
    </w:p>
    <w:p>
      <w:pPr>
        <w:pStyle w:val="null3"/>
        <w:jc w:val="center"/>
        <w:outlineLvl w:val="3"/>
      </w:pPr>
      <w:r>
        <w:rPr>
          <w:sz w:val="24"/>
          <w:b/>
        </w:rPr>
        <w:t>采购项目编号：</w:t>
      </w:r>
      <w:r>
        <w:rPr>
          <w:sz w:val="24"/>
          <w:b/>
        </w:rPr>
        <w:t>0724-2531YJ014468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采购饭堂食材配送服务项目</w:t>
      </w:r>
      <w:r>
        <w:rPr>
          <w:u w:val="single"/>
        </w:rPr>
        <w:t>”</w:t>
      </w:r>
      <w:r>
        <w:rPr/>
        <w:t>项目的招标[采购项目编号为：</w:t>
      </w:r>
      <w:r>
        <w:rPr>
          <w:u w:val="single"/>
        </w:rPr>
        <w:t>0724-2531YJ014468</w:t>
      </w:r>
      <w:r>
        <w:rPr/>
        <w:t>]，我方愿参与投标。</w:t>
      </w:r>
    </w:p>
    <w:p>
      <w:pPr>
        <w:pStyle w:val="null3"/>
        <w:ind w:firstLine="480"/>
      </w:pPr>
      <w:r>
        <w:rPr/>
        <w:t>我方确认收到贵方提供的</w:t>
      </w:r>
      <w:r>
        <w:rPr>
          <w:u w:val="single"/>
        </w:rPr>
        <w:t>“</w:t>
      </w:r>
      <w:r>
        <w:rPr>
          <w:u w:val="single"/>
        </w:rPr>
        <w:t>采购饭堂食材配送服务项目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采购饭堂食材配送服务项目</w:t>
      </w:r>
      <w:r>
        <w:rPr/>
        <w:t>”项目采购[采购项目编号为</w:t>
      </w:r>
      <w:r>
        <w:rPr/>
        <w:t>0724-2531YJ014468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阳春市人民医院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采购饭堂食材配送服务项目</w:t>
      </w:r>
      <w:r>
        <w:rPr/>
        <w:t>招标中获中标（采购项目编号：</w:t>
      </w:r>
      <w:r>
        <w:rPr/>
        <w:t>0724-2531YJ014468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采购饭堂食材配送服务项目</w:t>
      </w:r>
      <w:r>
        <w:rPr/>
        <w:t>”项目（采购项目编号：</w:t>
      </w:r>
      <w:r>
        <w:rPr/>
        <w:t>0724-2531YJ014468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