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440705-2025-01266</w:t>
      </w:r>
    </w:p>
    <w:p>
      <w:pPr>
        <w:pStyle w:val="null3"/>
        <w:jc w:val="center"/>
        <w:outlineLvl w:val="3"/>
      </w:pPr>
      <w:r>
        <w:rPr>
          <w:sz w:val="24"/>
          <w:b/>
        </w:rPr>
        <w:t>采购项目编号：</w:t>
      </w:r>
      <w:r>
        <w:rPr>
          <w:sz w:val="24"/>
          <w:b/>
        </w:rPr>
        <w:t>0724-2511Z1615193</w:t>
      </w:r>
    </w:p>
    <w:p>
      <w:pPr>
        <w:pStyle w:val="null3"/>
        <w:jc w:val="center"/>
        <w:outlineLvl w:val="3"/>
      </w:pPr>
      <w:r>
        <w:rPr>
          <w:sz w:val="24"/>
          <w:b/>
        </w:rPr>
        <w:t>项目名称：</w:t>
      </w:r>
      <w:r>
        <w:rPr>
          <w:sz w:val="24"/>
          <w:b/>
        </w:rPr>
        <w:t>江门市新会区中医院检验及病理外送检测服务项目</w:t>
      </w:r>
    </w:p>
    <w:p>
      <w:pPr>
        <w:pStyle w:val="null3"/>
        <w:jc w:val="center"/>
        <w:outlineLvl w:val="3"/>
      </w:pPr>
      <w:r>
        <w:rPr>
          <w:sz w:val="24"/>
          <w:b/>
        </w:rPr>
        <w:t>采购人：</w:t>
      </w:r>
      <w:r>
        <w:rPr>
          <w:sz w:val="24"/>
          <w:b/>
        </w:rPr>
        <w:t>江门市新会区中医院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江门市新会区中医院</w:t>
      </w:r>
      <w:r>
        <w:rPr/>
        <w:t>的委托，采用</w:t>
      </w:r>
      <w:r>
        <w:rPr/>
        <w:t>公开招标</w:t>
      </w:r>
      <w:r>
        <w:rPr/>
        <w:t>方式组织采购</w:t>
      </w:r>
      <w:r>
        <w:rPr/>
        <w:t>江门市新会区中医院检验及病理外送检测服务项目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江门市新会区中医院检验及病理外送检测服务项目</w:t>
      </w:r>
    </w:p>
    <w:p>
      <w:pPr>
        <w:pStyle w:val="null3"/>
        <w:ind w:firstLine="480"/>
      </w:pPr>
      <w:r>
        <w:rPr/>
        <w:t>采购计划编号：</w:t>
      </w:r>
      <w:r>
        <w:rPr/>
        <w:t>440705-2025-01266</w:t>
      </w:r>
    </w:p>
    <w:p>
      <w:pPr>
        <w:pStyle w:val="null3"/>
        <w:ind w:firstLine="480"/>
      </w:pPr>
      <w:r>
        <w:rPr/>
        <w:t>采购项目编号：</w:t>
      </w:r>
      <w:r>
        <w:rPr/>
        <w:t>0724-2511Z1615193</w:t>
      </w:r>
    </w:p>
    <w:p>
      <w:pPr>
        <w:pStyle w:val="null3"/>
        <w:ind w:firstLine="480"/>
      </w:pPr>
      <w:r>
        <w:rPr/>
        <w:t>采购方式：</w:t>
      </w:r>
      <w:r>
        <w:rPr/>
        <w:t>公开招标</w:t>
      </w:r>
    </w:p>
    <w:p>
      <w:pPr>
        <w:pStyle w:val="null3"/>
        <w:ind w:firstLine="480"/>
      </w:pPr>
      <w:r>
        <w:rPr/>
        <w:t>预算金额：</w:t>
      </w:r>
      <w:r>
        <w:rPr/>
        <w:t>5,200,000.00</w:t>
      </w:r>
      <w:r>
        <w:rPr/>
        <w:t>元</w:t>
      </w:r>
    </w:p>
    <w:p>
      <w:pPr>
        <w:pStyle w:val="null3"/>
        <w:outlineLvl w:val="3"/>
      </w:pPr>
      <w:r>
        <w:rPr>
          <w:sz w:val="24"/>
          <w:b/>
        </w:rPr>
        <w:t>2.项目内容及需求情况（采购项目技术规格、参数及要求）</w:t>
      </w:r>
    </w:p>
    <w:p>
      <w:pPr>
        <w:pStyle w:val="null3"/>
      </w:pPr>
      <w:r>
        <w:rPr/>
        <w:t>采购包1(检验及病理外送检测服务):</w:t>
      </w:r>
    </w:p>
    <w:p>
      <w:pPr>
        <w:pStyle w:val="null3"/>
      </w:pPr>
      <w:r>
        <w:rPr/>
        <w:t>采购包预算金额：5,200,000.00元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检验及病理外送检测服务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3）具有良好的商业信誉和健全的财务会计制度：供应商必须具有良好的商业信誉和健全的财务会计制度（提供2022年至2024年财务状况报告或基本开户行出具的资信证明）。</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采购包1（检验及病理外送检测服务）：</w:t>
      </w:r>
      <w:r>
        <w:rPr/>
        <w:t>无</w:t>
      </w:r>
    </w:p>
    <w:p>
      <w:pPr>
        <w:pStyle w:val="null3"/>
        <w:outlineLvl w:val="3"/>
      </w:pPr>
      <w:r>
        <w:rPr>
          <w:sz w:val="24"/>
          <w:b/>
        </w:rPr>
        <w:t>3.本项目特定的资格要求：</w:t>
      </w:r>
    </w:p>
    <w:p>
      <w:pPr>
        <w:pStyle w:val="null3"/>
      </w:pPr>
      <w:r>
        <w:rPr/>
        <w:t>采购包1（检验及病理外送检测服务）：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 (提供投标（报价） 函承诺相关内容）。</w:t>
      </w:r>
    </w:p>
    <w:p>
      <w:pPr>
        <w:pStyle w:val="null3"/>
      </w:pPr>
      <w:r>
        <w:rPr/>
        <w:t>3)供应商具有卫生部门核发的且在有效期内的医疗机构执业许可证，诊疗科目包含医学检验科。</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江门市新会区中医院</w:t>
      </w:r>
    </w:p>
    <w:p>
      <w:pPr>
        <w:pStyle w:val="null3"/>
        <w:ind w:firstLine="480"/>
      </w:pPr>
      <w:r>
        <w:rPr/>
        <w:t xml:space="preserve"> 地址：</w:t>
      </w:r>
      <w:r>
        <w:rPr/>
        <w:t>广东省江门市新会区会城惠民东路47号</w:t>
      </w:r>
    </w:p>
    <w:p>
      <w:pPr>
        <w:pStyle w:val="null3"/>
        <w:ind w:firstLine="480"/>
      </w:pPr>
      <w:r>
        <w:rPr/>
        <w:t xml:space="preserve"> 联系方式：</w:t>
      </w:r>
      <w:r>
        <w:rPr/>
        <w:t>0750-6621145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020-37860530、020-37860545、020-37860519</w:t>
      </w:r>
    </w:p>
    <w:p>
      <w:pPr>
        <w:pStyle w:val="null3"/>
        <w:outlineLvl w:val="3"/>
      </w:pPr>
      <w:r>
        <w:rPr>
          <w:sz w:val="24"/>
          <w:b/>
        </w:rPr>
        <w:t xml:space="preserve"> 3.项目联系方式</w:t>
      </w:r>
    </w:p>
    <w:p>
      <w:pPr>
        <w:pStyle w:val="null3"/>
        <w:ind w:firstLine="480"/>
      </w:pPr>
      <w:r>
        <w:rPr/>
        <w:t xml:space="preserve"> 项目联系人：</w:t>
      </w:r>
      <w:r>
        <w:rPr/>
        <w:t>黎安翘、薛业生、罗海山</w:t>
      </w:r>
    </w:p>
    <w:p>
      <w:pPr>
        <w:pStyle w:val="null3"/>
        <w:ind w:firstLine="480"/>
      </w:pPr>
      <w:r>
        <w:rPr/>
        <w:t xml:space="preserve"> 电话：</w:t>
      </w:r>
      <w:r>
        <w:rPr/>
        <w:t>020-37860530、020-37860545、020-37860519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、技术要求：</w:t>
      </w:r>
    </w:p>
    <w:p>
      <w:pPr>
        <w:pStyle w:val="null3"/>
        <w:spacing w:before="105" w:after="105"/>
        <w:ind w:firstLine="420"/>
        <w:jc w:val="both"/>
      </w:pPr>
      <w:r>
        <w:rPr>
          <w:sz w:val="21"/>
        </w:rPr>
        <w:t>1.1</w:t>
      </w:r>
      <w:r>
        <w:rPr>
          <w:sz w:val="21"/>
        </w:rPr>
        <w:t>、服务实验室符合国家卫生部《医疗机构临床实验室管理办法》等法律法规要求；</w:t>
      </w:r>
    </w:p>
    <w:p>
      <w:pPr>
        <w:pStyle w:val="null3"/>
        <w:spacing w:before="105" w:after="105"/>
        <w:ind w:firstLine="420"/>
        <w:jc w:val="both"/>
      </w:pPr>
      <w:r>
        <w:rPr>
          <w:sz w:val="21"/>
        </w:rPr>
        <w:t>1.2</w:t>
      </w:r>
      <w:r>
        <w:rPr>
          <w:sz w:val="21"/>
        </w:rPr>
        <w:t>、按国家检测规范进行操作，并对标本的检测报告承担相应的责任；</w:t>
      </w:r>
    </w:p>
    <w:p>
      <w:pPr>
        <w:pStyle w:val="null3"/>
        <w:spacing w:before="105" w:after="105"/>
        <w:ind w:firstLine="420"/>
        <w:jc w:val="both"/>
      </w:pPr>
      <w:r>
        <w:rPr>
          <w:sz w:val="21"/>
        </w:rPr>
        <w:t>1.3</w:t>
      </w:r>
      <w:r>
        <w:rPr>
          <w:sz w:val="21"/>
        </w:rPr>
        <w:t>、具备完善的售后服务能力：包含针对故障的处理、售后人员跟进情况、售后服务保障情况；</w:t>
      </w:r>
    </w:p>
    <w:p>
      <w:pPr>
        <w:pStyle w:val="null3"/>
        <w:spacing w:before="105" w:after="105"/>
        <w:ind w:firstLine="420"/>
        <w:jc w:val="both"/>
      </w:pPr>
      <w:r>
        <w:rPr>
          <w:sz w:val="21"/>
        </w:rPr>
        <w:t>1.4</w:t>
      </w:r>
      <w:r>
        <w:rPr>
          <w:sz w:val="21"/>
        </w:rPr>
        <w:t>、服务检验、病理实验室需拥有专业的检验、病理技术人员，可提供专业的检测服务，需承诺具有承担病理服务相关业务能力且中标后不能将病理服务外包给其他公司</w:t>
      </w:r>
      <w:r>
        <w:rPr>
          <w:sz w:val="21"/>
          <w:b/>
        </w:rPr>
        <w:t>（提供承诺函）</w:t>
      </w:r>
      <w:r>
        <w:rPr>
          <w:sz w:val="21"/>
        </w:rPr>
        <w:t>；</w:t>
      </w:r>
    </w:p>
    <w:p>
      <w:pPr>
        <w:pStyle w:val="null3"/>
        <w:spacing w:before="105" w:after="105"/>
        <w:ind w:firstLine="420"/>
        <w:jc w:val="both"/>
      </w:pPr>
      <w:r>
        <w:rPr>
          <w:sz w:val="21"/>
        </w:rPr>
        <w:t>1.5</w:t>
      </w:r>
      <w:r>
        <w:rPr>
          <w:sz w:val="21"/>
        </w:rPr>
        <w:t xml:space="preserve">、具有通过中国合格评定国家认可委员会（ </w:t>
      </w:r>
      <w:r>
        <w:rPr>
          <w:sz w:val="21"/>
        </w:rPr>
        <w:t>CNAS )ISO15189</w:t>
      </w:r>
      <w:r>
        <w:rPr>
          <w:sz w:val="21"/>
        </w:rPr>
        <w:t xml:space="preserve">认可证书以及实验室资质证明（ </w:t>
      </w:r>
      <w:r>
        <w:rPr>
          <w:sz w:val="21"/>
        </w:rPr>
        <w:t xml:space="preserve">CMA </w:t>
      </w:r>
      <w:r>
        <w:rPr>
          <w:sz w:val="21"/>
        </w:rPr>
        <w:t xml:space="preserve">证书），实验室人员具有病理医师、具有检验师、具有 </w:t>
      </w:r>
      <w:r>
        <w:rPr>
          <w:sz w:val="21"/>
        </w:rPr>
        <w:t xml:space="preserve">PCR </w:t>
      </w:r>
      <w:r>
        <w:rPr>
          <w:sz w:val="21"/>
        </w:rPr>
        <w:t>上岗证。</w:t>
      </w:r>
    </w:p>
    <w:p>
      <w:pPr>
        <w:pStyle w:val="null3"/>
        <w:spacing w:before="105" w:after="105"/>
        <w:ind w:firstLine="420"/>
        <w:jc w:val="both"/>
      </w:pPr>
      <w:r>
        <w:rPr>
          <w:sz w:val="21"/>
        </w:rPr>
        <w:t>1.6</w:t>
      </w:r>
      <w:r>
        <w:rPr>
          <w:sz w:val="21"/>
        </w:rPr>
        <w:t>、服务实验室的</w:t>
      </w:r>
      <w:r>
        <w:rPr>
          <w:sz w:val="21"/>
        </w:rPr>
        <w:t>LIS</w:t>
      </w:r>
      <w:r>
        <w:rPr>
          <w:sz w:val="21"/>
        </w:rPr>
        <w:t>系统须与采购人的</w:t>
      </w:r>
      <w:r>
        <w:rPr>
          <w:sz w:val="21"/>
        </w:rPr>
        <w:t>LIS</w:t>
      </w:r>
      <w:r>
        <w:rPr>
          <w:sz w:val="21"/>
        </w:rPr>
        <w:t>对接，实现检验项目结果传输，方便检验项目的统一管理；</w:t>
      </w:r>
    </w:p>
    <w:p>
      <w:pPr>
        <w:pStyle w:val="null3"/>
        <w:spacing w:before="105" w:after="105"/>
        <w:ind w:firstLine="420"/>
        <w:jc w:val="both"/>
      </w:pPr>
      <w:r>
        <w:rPr>
          <w:sz w:val="21"/>
        </w:rPr>
        <w:t>1.7</w:t>
      </w:r>
      <w:r>
        <w:rPr>
          <w:sz w:val="21"/>
        </w:rPr>
        <w:t>需落实国家信息安全等级保护制度，信息系统具备安全管理体系及技术安全防护能力。</w:t>
      </w:r>
    </w:p>
    <w:p>
      <w:pPr>
        <w:pStyle w:val="null3"/>
        <w:spacing w:before="105" w:after="105"/>
        <w:ind w:firstLine="420"/>
        <w:jc w:val="both"/>
      </w:pPr>
      <w:r>
        <w:rPr>
          <w:sz w:val="21"/>
        </w:rPr>
        <w:t>1.8</w:t>
      </w:r>
      <w:r>
        <w:rPr>
          <w:sz w:val="21"/>
        </w:rPr>
        <w:t>、服务实验室的质量要求：</w:t>
      </w:r>
    </w:p>
    <w:p>
      <w:pPr>
        <w:pStyle w:val="null3"/>
        <w:spacing w:before="105" w:after="105"/>
        <w:ind w:firstLine="420"/>
        <w:jc w:val="both"/>
      </w:pPr>
      <w:r>
        <w:rPr>
          <w:sz w:val="21"/>
        </w:rPr>
        <w:t>1.8.1</w:t>
      </w:r>
      <w:r>
        <w:rPr>
          <w:sz w:val="21"/>
        </w:rPr>
        <w:t>、须提供开展全部检测项目目录和明确检测方法。</w:t>
      </w:r>
    </w:p>
    <w:p>
      <w:pPr>
        <w:pStyle w:val="null3"/>
        <w:spacing w:before="105" w:after="105"/>
        <w:ind w:firstLine="420"/>
        <w:jc w:val="both"/>
      </w:pPr>
      <w:r>
        <w:rPr>
          <w:sz w:val="21"/>
        </w:rPr>
        <w:t>1.8.2</w:t>
      </w:r>
      <w:r>
        <w:rPr>
          <w:sz w:val="21"/>
        </w:rPr>
        <w:t>、对采购人送检的合格样本结果进行负责，按照检测机构取材要求进行取材的合格样本，若因检测机构原因导致检测结果存在质量问题，由检测机构承担相关责任。</w:t>
      </w:r>
    </w:p>
    <w:p>
      <w:pPr>
        <w:pStyle w:val="null3"/>
        <w:spacing w:before="105" w:after="105"/>
        <w:ind w:firstLine="420"/>
        <w:jc w:val="both"/>
      </w:pPr>
      <w:r>
        <w:rPr>
          <w:sz w:val="21"/>
        </w:rPr>
        <w:t>1.8.3</w:t>
      </w:r>
      <w:r>
        <w:rPr>
          <w:sz w:val="21"/>
        </w:rPr>
        <w:t>、检测机构均按日或检测批次对采购人委托项目进行室内质控，按季度提供室内质量控制报表，其内容包括质控检测数据、控制标准、质控分析、质控报告。</w:t>
      </w:r>
    </w:p>
    <w:p>
      <w:pPr>
        <w:pStyle w:val="null3"/>
        <w:spacing w:before="105" w:after="105"/>
        <w:ind w:firstLine="420"/>
        <w:jc w:val="both"/>
      </w:pPr>
      <w:r>
        <w:rPr>
          <w:sz w:val="21"/>
        </w:rPr>
        <w:t>1.8.4</w:t>
      </w:r>
      <w:r>
        <w:rPr>
          <w:sz w:val="21"/>
        </w:rPr>
        <w:t>、检测机构参加国家卫生部室间质评，每半年提供委托项目的能力验证活动报告，没有能力验证的检验项目应提供与委托方认可的实验室结果一致性的证据。</w:t>
      </w:r>
    </w:p>
    <w:p>
      <w:pPr>
        <w:pStyle w:val="null3"/>
        <w:spacing w:before="105" w:after="105"/>
        <w:ind w:firstLine="420"/>
        <w:jc w:val="both"/>
      </w:pPr>
      <w:r>
        <w:rPr>
          <w:sz w:val="21"/>
        </w:rPr>
        <w:t>1.8.5</w:t>
      </w:r>
      <w:r>
        <w:rPr>
          <w:sz w:val="21"/>
        </w:rPr>
        <w:t>、采购人可随时要求检测机构提供质量和技术资料，如更换试剂批号、仪器维修后、检验系统更换后的质控记录和性能验证报告。</w:t>
      </w:r>
    </w:p>
    <w:p>
      <w:pPr>
        <w:pStyle w:val="null3"/>
        <w:spacing w:before="105" w:after="105"/>
        <w:ind w:firstLine="420"/>
        <w:jc w:val="both"/>
      </w:pPr>
      <w:r>
        <w:rPr>
          <w:sz w:val="21"/>
        </w:rPr>
        <w:t>1.8.6</w:t>
      </w:r>
      <w:r>
        <w:rPr>
          <w:sz w:val="21"/>
        </w:rPr>
        <w:t>、检测机构须派专人负责</w:t>
      </w:r>
      <w:r>
        <w:rPr>
          <w:sz w:val="21"/>
        </w:rPr>
        <w:t>采购人</w:t>
      </w:r>
      <w:r>
        <w:rPr>
          <w:sz w:val="21"/>
        </w:rPr>
        <w:t>的业务及质量、技术、培训等工作。</w:t>
      </w:r>
    </w:p>
    <w:p>
      <w:pPr>
        <w:pStyle w:val="null3"/>
        <w:spacing w:before="105" w:after="105"/>
        <w:ind w:firstLine="420"/>
        <w:jc w:val="both"/>
      </w:pPr>
      <w:r>
        <w:rPr>
          <w:sz w:val="21"/>
        </w:rPr>
        <w:t>1.8.7</w:t>
      </w:r>
      <w:r>
        <w:rPr>
          <w:sz w:val="21"/>
        </w:rPr>
        <w:t>、检测机构随时接受并妥善安排</w:t>
      </w:r>
      <w:r>
        <w:rPr>
          <w:sz w:val="21"/>
        </w:rPr>
        <w:t>采购人</w:t>
      </w:r>
      <w:r>
        <w:rPr>
          <w:sz w:val="21"/>
        </w:rPr>
        <w:t>查阅项目检测、质量控制等情况。</w:t>
      </w:r>
    </w:p>
    <w:p>
      <w:pPr>
        <w:pStyle w:val="null3"/>
        <w:spacing w:before="105" w:after="105"/>
        <w:ind w:firstLine="420"/>
        <w:jc w:val="both"/>
      </w:pPr>
      <w:r>
        <w:rPr>
          <w:sz w:val="21"/>
        </w:rPr>
        <w:t>1.9</w:t>
      </w:r>
      <w:r>
        <w:rPr>
          <w:sz w:val="21"/>
        </w:rPr>
        <w:t>、对于样本周转时间（</w:t>
      </w:r>
      <w:r>
        <w:rPr>
          <w:sz w:val="21"/>
        </w:rPr>
        <w:t>TAT</w:t>
      </w:r>
      <w:r>
        <w:rPr>
          <w:sz w:val="21"/>
        </w:rPr>
        <w:t>）的要求：</w:t>
      </w:r>
    </w:p>
    <w:p>
      <w:pPr>
        <w:pStyle w:val="null3"/>
        <w:spacing w:before="105" w:after="105"/>
        <w:ind w:firstLine="420"/>
        <w:jc w:val="both"/>
      </w:pPr>
      <w:r>
        <w:rPr>
          <w:sz w:val="21"/>
        </w:rPr>
        <w:t>1.9.1</w:t>
      </w:r>
      <w:r>
        <w:rPr>
          <w:sz w:val="21"/>
        </w:rPr>
        <w:t>、有明确的样本送检和报告发布时间服务承诺。检测报告需按照检测机构提供的《检测项目手册》规定的出报告时间出具。</w:t>
      </w:r>
    </w:p>
    <w:p>
      <w:pPr>
        <w:pStyle w:val="null3"/>
        <w:spacing w:before="105" w:after="105"/>
        <w:ind w:firstLine="420"/>
        <w:jc w:val="both"/>
      </w:pPr>
      <w:r>
        <w:rPr>
          <w:sz w:val="21"/>
        </w:rPr>
        <w:t>1.9.2</w:t>
      </w:r>
      <w:r>
        <w:rPr>
          <w:sz w:val="21"/>
        </w:rPr>
        <w:t>、样本周转时间起点为检测机构接收样本，终点为</w:t>
      </w:r>
      <w:r>
        <w:rPr>
          <w:sz w:val="21"/>
        </w:rPr>
        <w:t>采购人</w:t>
      </w:r>
      <w:r>
        <w:rPr>
          <w:sz w:val="21"/>
        </w:rPr>
        <w:t>检验科收到检验报告。</w:t>
      </w:r>
    </w:p>
    <w:p>
      <w:pPr>
        <w:pStyle w:val="null3"/>
        <w:spacing w:before="105" w:after="105"/>
        <w:ind w:firstLine="420"/>
        <w:jc w:val="both"/>
      </w:pPr>
      <w:r>
        <w:rPr>
          <w:sz w:val="21"/>
        </w:rPr>
        <w:t>1.9.3</w:t>
      </w:r>
      <w:r>
        <w:rPr>
          <w:sz w:val="21"/>
        </w:rPr>
        <w:t>、报告延误率</w:t>
      </w:r>
      <w:r>
        <w:rPr>
          <w:sz w:val="21"/>
        </w:rPr>
        <w:t>≤1/1000</w:t>
      </w:r>
      <w:r>
        <w:rPr>
          <w:sz w:val="21"/>
        </w:rPr>
        <w:t>。</w:t>
      </w:r>
    </w:p>
    <w:p>
      <w:pPr>
        <w:pStyle w:val="null3"/>
        <w:spacing w:before="105" w:after="105"/>
        <w:ind w:firstLine="420"/>
        <w:jc w:val="both"/>
      </w:pPr>
      <w:r>
        <w:rPr>
          <w:sz w:val="21"/>
        </w:rPr>
        <w:t>1.9.4</w:t>
      </w:r>
      <w:r>
        <w:rPr>
          <w:sz w:val="21"/>
        </w:rPr>
        <w:t>、定期提供委托项目的样本周转时间（</w:t>
      </w:r>
      <w:r>
        <w:rPr>
          <w:sz w:val="21"/>
        </w:rPr>
        <w:t>TAT</w:t>
      </w:r>
      <w:r>
        <w:rPr>
          <w:sz w:val="21"/>
        </w:rPr>
        <w:t>）分析，对于</w:t>
      </w:r>
      <w:r>
        <w:rPr>
          <w:sz w:val="21"/>
        </w:rPr>
        <w:t>采购人</w:t>
      </w:r>
      <w:r>
        <w:rPr>
          <w:sz w:val="21"/>
        </w:rPr>
        <w:t>提出的要求及时反馈并更正。</w:t>
      </w:r>
    </w:p>
    <w:p>
      <w:pPr>
        <w:pStyle w:val="null3"/>
        <w:spacing w:before="105" w:after="105"/>
        <w:ind w:firstLine="420"/>
        <w:jc w:val="both"/>
      </w:pPr>
      <w:r>
        <w:rPr>
          <w:sz w:val="21"/>
        </w:rPr>
        <w:t>1.9.5</w:t>
      </w:r>
      <w:r>
        <w:rPr>
          <w:sz w:val="21"/>
        </w:rPr>
        <w:t>、如检测报告超出约定时间而又未出具书面通知</w:t>
      </w:r>
      <w:r>
        <w:rPr>
          <w:sz w:val="21"/>
        </w:rPr>
        <w:t>采购人</w:t>
      </w:r>
      <w:r>
        <w:rPr>
          <w:sz w:val="21"/>
        </w:rPr>
        <w:t>造成恶劣影响的，包括造成医疗纠纷、有群众投诉造成严重后果等情况，检测机构应承担相应的经济和法律责任。</w:t>
      </w:r>
    </w:p>
    <w:p>
      <w:pPr>
        <w:pStyle w:val="null3"/>
        <w:spacing w:before="105" w:after="105"/>
        <w:ind w:firstLine="420"/>
        <w:jc w:val="both"/>
      </w:pPr>
      <w:r>
        <w:rPr>
          <w:sz w:val="21"/>
        </w:rPr>
        <w:t>1.9.6</w:t>
      </w:r>
      <w:r>
        <w:rPr>
          <w:sz w:val="21"/>
        </w:rPr>
        <w:t>、检验结果差错比低于万分之一；检验结果与临床资料相符程度高于</w:t>
      </w:r>
      <w:r>
        <w:rPr>
          <w:sz w:val="21"/>
        </w:rPr>
        <w:t>95%</w:t>
      </w:r>
      <w:r>
        <w:rPr>
          <w:sz w:val="21"/>
        </w:rPr>
        <w:t>；检验结果与诊断报告相符程度（不可前后矛盾）高于</w:t>
      </w:r>
      <w:r>
        <w:rPr>
          <w:sz w:val="21"/>
        </w:rPr>
        <w:t>99%</w:t>
      </w:r>
      <w:r>
        <w:rPr>
          <w:sz w:val="21"/>
        </w:rPr>
        <w:t>；报告内容必须与报告结论相吻合；检测标本丢失、运送错误（次数累计</w:t>
      </w:r>
      <w:r>
        <w:rPr>
          <w:sz w:val="21"/>
        </w:rPr>
        <w:t>/</w:t>
      </w:r>
      <w:r>
        <w:rPr>
          <w:sz w:val="21"/>
        </w:rPr>
        <w:t>月</w:t>
      </w:r>
      <w:r>
        <w:rPr>
          <w:sz w:val="21"/>
        </w:rPr>
        <w:t>/</w:t>
      </w:r>
      <w:r>
        <w:rPr>
          <w:sz w:val="21"/>
        </w:rPr>
        <w:t>季度）季度不能高于</w:t>
      </w:r>
      <w:r>
        <w:rPr>
          <w:sz w:val="21"/>
        </w:rPr>
        <w:t>1‰</w:t>
      </w:r>
      <w:r>
        <w:rPr>
          <w:sz w:val="21"/>
        </w:rPr>
        <w:t>；报告的延误送达（次数累计</w:t>
      </w:r>
      <w:r>
        <w:rPr>
          <w:sz w:val="21"/>
        </w:rPr>
        <w:t>/</w:t>
      </w:r>
      <w:r>
        <w:rPr>
          <w:sz w:val="21"/>
        </w:rPr>
        <w:t>月</w:t>
      </w:r>
      <w:r>
        <w:rPr>
          <w:sz w:val="21"/>
        </w:rPr>
        <w:t>/</w:t>
      </w:r>
      <w:r>
        <w:rPr>
          <w:sz w:val="21"/>
        </w:rPr>
        <w:t>季度）每月度不高于</w:t>
      </w:r>
      <w:r>
        <w:rPr>
          <w:sz w:val="21"/>
        </w:rPr>
        <w:t>5</w:t>
      </w:r>
      <w:r>
        <w:rPr>
          <w:sz w:val="21"/>
        </w:rPr>
        <w:t>例；每季度不高于</w:t>
      </w:r>
      <w:r>
        <w:rPr>
          <w:sz w:val="21"/>
        </w:rPr>
        <w:t>20</w:t>
      </w:r>
      <w:r>
        <w:rPr>
          <w:sz w:val="21"/>
        </w:rPr>
        <w:t>例；检测项目必须与院方开单项目相吻合。</w:t>
      </w:r>
    </w:p>
    <w:p>
      <w:pPr>
        <w:pStyle w:val="null3"/>
        <w:spacing w:before="105" w:after="105"/>
        <w:ind w:firstLine="420"/>
        <w:jc w:val="both"/>
      </w:pPr>
      <w:r>
        <w:rPr>
          <w:sz w:val="21"/>
        </w:rPr>
        <w:t>2</w:t>
      </w:r>
      <w:r>
        <w:rPr>
          <w:sz w:val="21"/>
        </w:rPr>
        <w:t>、服务要求：</w:t>
      </w:r>
    </w:p>
    <w:p>
      <w:pPr>
        <w:pStyle w:val="null3"/>
        <w:spacing w:before="105" w:after="105"/>
        <w:ind w:firstLine="420"/>
        <w:jc w:val="both"/>
      </w:pPr>
      <w:r>
        <w:rPr>
          <w:sz w:val="21"/>
        </w:rPr>
        <w:t>2.1</w:t>
      </w:r>
      <w:r>
        <w:rPr>
          <w:sz w:val="21"/>
        </w:rPr>
        <w:t>、标本接收、送检及检验要求：</w:t>
      </w:r>
    </w:p>
    <w:p>
      <w:pPr>
        <w:pStyle w:val="null3"/>
        <w:spacing w:before="105" w:after="105"/>
        <w:ind w:firstLine="420"/>
        <w:jc w:val="both"/>
      </w:pPr>
      <w:r>
        <w:rPr>
          <w:sz w:val="21"/>
        </w:rPr>
        <w:t>2.1.1</w:t>
      </w:r>
      <w:r>
        <w:rPr>
          <w:sz w:val="21"/>
        </w:rPr>
        <w:t>、提供一站式检验外送服务，每天</w:t>
      </w:r>
      <w:r>
        <w:rPr>
          <w:sz w:val="21"/>
        </w:rPr>
        <w:t>≥1</w:t>
      </w:r>
      <w:r>
        <w:rPr>
          <w:sz w:val="21"/>
        </w:rPr>
        <w:t>次上门收集标本，时间为</w:t>
      </w:r>
      <w:r>
        <w:rPr>
          <w:sz w:val="21"/>
        </w:rPr>
        <w:t>9</w:t>
      </w:r>
      <w:r>
        <w:rPr>
          <w:sz w:val="21"/>
        </w:rPr>
        <w:t>：</w:t>
      </w:r>
      <w:r>
        <w:rPr>
          <w:sz w:val="21"/>
        </w:rPr>
        <w:t>00</w:t>
      </w:r>
      <w:r>
        <w:rPr>
          <w:sz w:val="21"/>
        </w:rPr>
        <w:t>至</w:t>
      </w:r>
      <w:r>
        <w:rPr>
          <w:sz w:val="21"/>
        </w:rPr>
        <w:t>17</w:t>
      </w:r>
      <w:r>
        <w:rPr>
          <w:sz w:val="21"/>
        </w:rPr>
        <w:t>：</w:t>
      </w:r>
      <w:r>
        <w:rPr>
          <w:sz w:val="21"/>
        </w:rPr>
        <w:t>00</w:t>
      </w:r>
      <w:r>
        <w:rPr>
          <w:sz w:val="21"/>
        </w:rPr>
        <w:t>。采购人有特殊需求时可增加收取次数（紧急标本、双休、节假日均可安排上门收取标本），对于一些特殊项目，具有样本接收检测时效性能力。检测机构需配送人员每天到检验科收取标本并负责前处理工作，平时备足各种盛装标本的专用试管，临时急用试管将及时送达，保证外送标本安全有效。</w:t>
      </w:r>
    </w:p>
    <w:p>
      <w:pPr>
        <w:pStyle w:val="null3"/>
        <w:spacing w:before="105" w:after="105"/>
        <w:ind w:firstLine="420"/>
        <w:jc w:val="both"/>
      </w:pPr>
      <w:r>
        <w:rPr>
          <w:sz w:val="21"/>
        </w:rPr>
        <w:t>2.1.2</w:t>
      </w:r>
      <w:r>
        <w:rPr>
          <w:sz w:val="21"/>
        </w:rPr>
        <w:t>、检测机构的标本接收人员负责标本质量的初检、标识的核对，标本的接收登记及包装储存，标本的接收人员必须是通过专业培训或拥有标本接收经验的专业人员。</w:t>
      </w:r>
    </w:p>
    <w:p>
      <w:pPr>
        <w:pStyle w:val="null3"/>
        <w:spacing w:before="105" w:after="105"/>
        <w:ind w:firstLine="420"/>
        <w:jc w:val="both"/>
      </w:pPr>
      <w:r>
        <w:rPr>
          <w:sz w:val="21"/>
        </w:rPr>
        <w:t>★2.1.3</w:t>
      </w:r>
      <w:r>
        <w:rPr>
          <w:sz w:val="21"/>
        </w:rPr>
        <w:t>、运输团队具有冷链物流相关资质，提供负责运输的机构的有效的《道路运输经营许可证》。</w:t>
      </w:r>
    </w:p>
    <w:p>
      <w:pPr>
        <w:pStyle w:val="null3"/>
        <w:spacing w:before="105" w:after="105"/>
        <w:ind w:firstLine="420"/>
        <w:jc w:val="both"/>
      </w:pPr>
      <w:r>
        <w:rPr>
          <w:sz w:val="21"/>
        </w:rPr>
        <w:t>2.1.4</w:t>
      </w:r>
      <w:r>
        <w:rPr>
          <w:sz w:val="21"/>
        </w:rPr>
        <w:t xml:space="preserve">通过 </w:t>
      </w:r>
      <w:r>
        <w:rPr>
          <w:sz w:val="21"/>
        </w:rPr>
        <w:t xml:space="preserve">CNAS </w:t>
      </w:r>
      <w:r>
        <w:rPr>
          <w:sz w:val="21"/>
        </w:rPr>
        <w:t>货物运输条件鉴定，能提供铁路、公路、航空运输条件鉴定书复印件。符合国家标准</w:t>
      </w:r>
      <w:r>
        <w:rPr>
          <w:sz w:val="21"/>
        </w:rPr>
        <w:t>GB/T 42186-2022</w:t>
      </w:r>
      <w:r>
        <w:rPr>
          <w:sz w:val="21"/>
        </w:rPr>
        <w:t>《医学检验生物样本冷链物流运作规范》。保证标本接收、送检运输过程的安全与规范，保证标本的检测前质量，特殊标本运输过程中采用干冰冻存，确保运输过程的样品质量和环境安全。配送人员将标本运输至实验室进行检测，运输过程采用相应的规范运送技术。标本在送检过程中出现延迟、遗漏、丢失等情况，应具备突发事件的处理措施和完善的应急预案，否则检测机构应承担相应责任。同时配备有处置生物安全应急事件的应急箱及消毒用喷壶，可以应对突发生物安全事件的现场处置。做到全流程实现定位追踪，数字化监控。能对物流的全程进行温度监控、报警及记录，可对整个运输过程进行溯源管理，并保存相关记录的纸质文档，以留档备查。</w:t>
      </w:r>
    </w:p>
    <w:p>
      <w:pPr>
        <w:pStyle w:val="null3"/>
        <w:spacing w:before="105" w:after="105"/>
        <w:ind w:firstLine="420"/>
        <w:jc w:val="both"/>
      </w:pPr>
      <w:r>
        <w:rPr>
          <w:sz w:val="21"/>
        </w:rPr>
        <w:t>2.1.5</w:t>
      </w:r>
      <w:r>
        <w:rPr>
          <w:sz w:val="21"/>
        </w:rPr>
        <w:t>、必须确保及时接收、送检标本和及时检验。标本不符合检验要求时，应及时通知采购人重新取样，实时回传检测报告。</w:t>
      </w:r>
    </w:p>
    <w:p>
      <w:pPr>
        <w:pStyle w:val="null3"/>
        <w:spacing w:before="105" w:after="105"/>
        <w:ind w:firstLine="420"/>
        <w:jc w:val="both"/>
      </w:pPr>
      <w:r>
        <w:rPr>
          <w:sz w:val="21"/>
        </w:rPr>
        <w:t>2.1.6</w:t>
      </w:r>
      <w:r>
        <w:rPr>
          <w:sz w:val="21"/>
        </w:rPr>
        <w:t>、依照</w:t>
      </w:r>
      <w:r>
        <w:rPr>
          <w:sz w:val="21"/>
        </w:rPr>
        <w:t>ISO 15189</w:t>
      </w:r>
      <w:r>
        <w:rPr>
          <w:sz w:val="21"/>
        </w:rPr>
        <w:t>的标准，对经前处理合格，分类分样后的检测标本进行集中检测。检测机构对项目的检测过程需制定标准操作流程文件，对样本检测分析前、分析中以及分析后的全过程进行质控，通过严格的标本检测流程，精密的仪器设备，专业的检测团队，完善的质量控制体系，确保每一个标本检测流程严格、规范，检测结果专业、准确。</w:t>
      </w:r>
    </w:p>
    <w:p>
      <w:pPr>
        <w:pStyle w:val="null3"/>
        <w:spacing w:before="105" w:after="105"/>
        <w:ind w:firstLine="420"/>
        <w:jc w:val="both"/>
      </w:pPr>
      <w:r>
        <w:rPr>
          <w:sz w:val="21"/>
        </w:rPr>
        <w:t>2.1.7</w:t>
      </w:r>
      <w:r>
        <w:rPr>
          <w:sz w:val="21"/>
        </w:rPr>
        <w:t>、检验报告单必须由具备相应资质的检验人员签发。出现因检验结果错误导致的医疗纠纷等不良后果，责任由检测机构承担。</w:t>
      </w:r>
    </w:p>
    <w:p>
      <w:pPr>
        <w:pStyle w:val="null3"/>
        <w:spacing w:before="105" w:after="105"/>
        <w:ind w:firstLine="420"/>
        <w:jc w:val="both"/>
      </w:pPr>
      <w:r>
        <w:rPr>
          <w:sz w:val="21"/>
        </w:rPr>
        <w:t>2.1.8</w:t>
      </w:r>
      <w:r>
        <w:rPr>
          <w:sz w:val="21"/>
        </w:rPr>
        <w:t>、采购人除外送检测服务费外，不再另外支付任何其他费用。</w:t>
      </w:r>
    </w:p>
    <w:p>
      <w:pPr>
        <w:pStyle w:val="null3"/>
        <w:spacing w:before="105" w:after="105"/>
        <w:ind w:firstLine="420"/>
        <w:jc w:val="both"/>
      </w:pPr>
      <w:r>
        <w:rPr>
          <w:sz w:val="21"/>
        </w:rPr>
        <w:t>2.1.9</w:t>
      </w:r>
      <w:r>
        <w:rPr>
          <w:sz w:val="21"/>
        </w:rPr>
        <w:t>、采购人对外送检测项目的项目数和标本量不作承诺。</w:t>
      </w:r>
    </w:p>
    <w:p>
      <w:pPr>
        <w:pStyle w:val="null3"/>
        <w:spacing w:before="105" w:after="105"/>
        <w:ind w:firstLine="420"/>
        <w:jc w:val="both"/>
      </w:pPr>
      <w:r>
        <w:rPr>
          <w:sz w:val="21"/>
        </w:rPr>
        <w:t>2.1.10</w:t>
      </w:r>
      <w:r>
        <w:rPr>
          <w:sz w:val="21"/>
        </w:rPr>
        <w:t>、检测项目内涵或检测项目价格因政策因素发生变化时，本文件涉及的相关项目价格按比例同步调整。采购人有权根据临床需求调整外送标本种类及项目。</w:t>
      </w:r>
    </w:p>
    <w:p>
      <w:pPr>
        <w:pStyle w:val="null3"/>
        <w:spacing w:before="105" w:after="105"/>
        <w:ind w:firstLine="420"/>
        <w:jc w:val="both"/>
      </w:pPr>
      <w:r>
        <w:rPr>
          <w:sz w:val="21"/>
        </w:rPr>
        <w:t>2.1.11</w:t>
      </w:r>
      <w:r>
        <w:rPr>
          <w:sz w:val="21"/>
        </w:rPr>
        <w:t>、因检测机构原因造成的标本损坏、遗失、报告延迟或延误发放、结果不符等，造成不良影响的，由检测机构负责解释并整改，涉及患者要求赔偿事宜的，由检测机构负责赔偿。因检测机构弄虚作假造成后果的，采购人有权解除合同，并扣除当月外送检测服务费和给予采购人一定的经济赔偿。</w:t>
      </w:r>
    </w:p>
    <w:p>
      <w:pPr>
        <w:pStyle w:val="null3"/>
        <w:spacing w:before="105" w:after="105"/>
        <w:ind w:firstLine="420"/>
        <w:jc w:val="both"/>
      </w:pPr>
      <w:r>
        <w:rPr>
          <w:sz w:val="21"/>
        </w:rPr>
        <w:t>3</w:t>
      </w:r>
      <w:r>
        <w:rPr>
          <w:sz w:val="21"/>
        </w:rPr>
        <w:t>、结果报告</w:t>
      </w:r>
      <w:r>
        <w:rPr>
          <w:sz w:val="21"/>
        </w:rPr>
        <w:t>/</w:t>
      </w:r>
      <w:r>
        <w:rPr>
          <w:sz w:val="21"/>
        </w:rPr>
        <w:t>查询：</w:t>
      </w:r>
    </w:p>
    <w:p>
      <w:pPr>
        <w:pStyle w:val="null3"/>
        <w:spacing w:before="105" w:after="105"/>
        <w:ind w:firstLine="420"/>
        <w:jc w:val="both"/>
      </w:pPr>
      <w:r>
        <w:rPr>
          <w:sz w:val="21"/>
        </w:rPr>
        <w:t>3.1</w:t>
      </w:r>
      <w:r>
        <w:rPr>
          <w:sz w:val="21"/>
        </w:rPr>
        <w:t>、为保证检验结果实时网络传送，实现实验室数据的汇总、储存、传输功能，检测机构需有相关的技术能力与采购人</w:t>
      </w:r>
      <w:r>
        <w:rPr>
          <w:sz w:val="21"/>
        </w:rPr>
        <w:t>LIS</w:t>
      </w:r>
      <w:r>
        <w:rPr>
          <w:sz w:val="21"/>
        </w:rPr>
        <w:t>和</w:t>
      </w:r>
      <w:r>
        <w:rPr>
          <w:sz w:val="21"/>
        </w:rPr>
        <w:t>HIS</w:t>
      </w:r>
      <w:r>
        <w:rPr>
          <w:sz w:val="21"/>
        </w:rPr>
        <w:t>系统对接，接口费用由检测机构承担。</w:t>
      </w:r>
    </w:p>
    <w:p>
      <w:pPr>
        <w:pStyle w:val="null3"/>
        <w:spacing w:before="105" w:after="105"/>
        <w:ind w:firstLine="420"/>
        <w:jc w:val="both"/>
      </w:pPr>
      <w:r>
        <w:rPr>
          <w:sz w:val="21"/>
        </w:rPr>
        <w:t>3.2</w:t>
      </w:r>
      <w:r>
        <w:rPr>
          <w:sz w:val="21"/>
        </w:rPr>
        <w:t>、提供网上查询服务，以供随时查询进度和结果。</w:t>
      </w:r>
    </w:p>
    <w:p>
      <w:pPr>
        <w:pStyle w:val="null3"/>
        <w:spacing w:before="105" w:after="105"/>
        <w:ind w:firstLine="420"/>
        <w:jc w:val="both"/>
      </w:pPr>
      <w:r>
        <w:rPr>
          <w:sz w:val="21"/>
        </w:rPr>
        <w:t>3.3</w:t>
      </w:r>
      <w:r>
        <w:rPr>
          <w:sz w:val="21"/>
        </w:rPr>
        <w:t>、提供电话查询服务，危急值专人电话跟进，确保患者检测信息与临床医生的畅通。</w:t>
      </w:r>
    </w:p>
    <w:p>
      <w:pPr>
        <w:pStyle w:val="null3"/>
        <w:spacing w:before="105" w:after="105"/>
        <w:ind w:firstLine="420"/>
        <w:jc w:val="both"/>
      </w:pPr>
      <w:r>
        <w:rPr>
          <w:sz w:val="21"/>
        </w:rPr>
        <w:t>3.4</w:t>
      </w:r>
      <w:r>
        <w:rPr>
          <w:sz w:val="21"/>
        </w:rPr>
        <w:t>、医务人员可以随时调阅检验、病理结果，检测机构须保证病人的资料的准确性和检验结果的及时性，并提供系统使用的必要培训与技术支持。</w:t>
      </w:r>
    </w:p>
    <w:p>
      <w:pPr>
        <w:pStyle w:val="null3"/>
        <w:spacing w:before="105" w:after="105"/>
        <w:ind w:firstLine="420"/>
        <w:jc w:val="both"/>
      </w:pPr>
      <w:r>
        <w:rPr>
          <w:sz w:val="21"/>
        </w:rPr>
        <w:t>3.5</w:t>
      </w:r>
      <w:r>
        <w:rPr>
          <w:sz w:val="21"/>
        </w:rPr>
        <w:t>按承诺的报告时间及时发出报告，并能满足采购人急诊项目的优先检测。检测结果报告内容及格式符合相关实验室管理规范要求。</w:t>
      </w:r>
    </w:p>
    <w:p>
      <w:pPr>
        <w:pStyle w:val="null3"/>
        <w:spacing w:before="105" w:after="105"/>
        <w:ind w:firstLine="420"/>
        <w:jc w:val="both"/>
      </w:pPr>
      <w:r>
        <w:rPr>
          <w:sz w:val="21"/>
        </w:rPr>
        <w:t>4</w:t>
      </w:r>
      <w:r>
        <w:rPr>
          <w:sz w:val="21"/>
        </w:rPr>
        <w:t>、技术和服务支持：</w:t>
      </w:r>
    </w:p>
    <w:p>
      <w:pPr>
        <w:pStyle w:val="null3"/>
        <w:spacing w:before="105" w:after="105"/>
        <w:ind w:firstLine="420"/>
        <w:jc w:val="both"/>
      </w:pPr>
      <w:r>
        <w:rPr>
          <w:sz w:val="21"/>
        </w:rPr>
        <w:t>4.1</w:t>
      </w:r>
      <w:r>
        <w:rPr>
          <w:sz w:val="21"/>
        </w:rPr>
        <w:t>、检测机构提供采购人检验科、病理科人员到检测机构实验室进修的机会，以提高采购人检验科、病理科人员的专业技能，以协助、促进采购人在</w:t>
      </w:r>
      <w:r>
        <w:rPr>
          <w:sz w:val="21"/>
        </w:rPr>
        <w:t>ISO</w:t>
      </w:r>
      <w:r>
        <w:rPr>
          <w:sz w:val="21"/>
        </w:rPr>
        <w:t>管理方面的建设和发展。</w:t>
      </w:r>
    </w:p>
    <w:p>
      <w:pPr>
        <w:pStyle w:val="null3"/>
        <w:spacing w:before="105" w:after="105"/>
        <w:ind w:firstLine="420"/>
        <w:jc w:val="both"/>
      </w:pPr>
      <w:r>
        <w:rPr>
          <w:sz w:val="21"/>
        </w:rPr>
        <w:t>4.2</w:t>
      </w:r>
      <w:r>
        <w:rPr>
          <w:sz w:val="21"/>
        </w:rPr>
        <w:t>、检测机构协助设计、制作相关医学检验、病理诊断宣传资料。</w:t>
      </w:r>
    </w:p>
    <w:p>
      <w:pPr>
        <w:pStyle w:val="null3"/>
        <w:spacing w:before="105" w:after="105"/>
        <w:ind w:firstLine="420"/>
        <w:jc w:val="both"/>
      </w:pPr>
      <w:r>
        <w:rPr>
          <w:sz w:val="21"/>
        </w:rPr>
        <w:t>4.3</w:t>
      </w:r>
      <w:r>
        <w:rPr>
          <w:sz w:val="21"/>
        </w:rPr>
        <w:t>、检测机构可提供标本收集与运输服务：定期到与采购人有业务往来的机构（江门市范围内、医共体单位）收取特殊样本，集中送至采购人处。</w:t>
      </w:r>
    </w:p>
    <w:p>
      <w:pPr>
        <w:pStyle w:val="null3"/>
        <w:spacing w:before="105" w:after="105"/>
        <w:ind w:firstLine="420"/>
        <w:jc w:val="both"/>
      </w:pPr>
      <w:r>
        <w:rPr>
          <w:sz w:val="21"/>
        </w:rPr>
        <w:t>5</w:t>
      </w:r>
      <w:r>
        <w:rPr>
          <w:sz w:val="21"/>
        </w:rPr>
        <w:t>、服务期内若增加目录以外的检验</w:t>
      </w:r>
      <w:r>
        <w:rPr>
          <w:sz w:val="21"/>
        </w:rPr>
        <w:t>+</w:t>
      </w:r>
      <w:r>
        <w:rPr>
          <w:sz w:val="21"/>
        </w:rPr>
        <w:t>病理项目，约定的内容及方式与原合同条款一致。折扣率需与目录内的检验</w:t>
      </w:r>
      <w:r>
        <w:rPr>
          <w:sz w:val="21"/>
        </w:rPr>
        <w:t>+</w:t>
      </w:r>
      <w:r>
        <w:rPr>
          <w:sz w:val="21"/>
        </w:rPr>
        <w:t>病理项目一致。</w:t>
      </w:r>
    </w:p>
    <w:p>
      <w:pPr>
        <w:pStyle w:val="null3"/>
        <w:spacing w:before="105" w:after="105"/>
        <w:ind w:firstLine="420"/>
        <w:jc w:val="both"/>
      </w:pPr>
      <w:r>
        <w:rPr>
          <w:sz w:val="21"/>
        </w:rPr>
        <w:t>★6</w:t>
      </w:r>
      <w:r>
        <w:rPr>
          <w:sz w:val="21"/>
        </w:rPr>
        <w:t>、该项目服务期为三年。</w:t>
      </w:r>
    </w:p>
    <w:p>
      <w:pPr>
        <w:pStyle w:val="null3"/>
        <w:spacing w:before="105" w:after="105"/>
        <w:ind w:firstLine="420"/>
        <w:jc w:val="both"/>
      </w:pPr>
      <w:r>
        <w:rPr>
          <w:sz w:val="21"/>
        </w:rPr>
        <w:t>7</w:t>
      </w:r>
      <w:r>
        <w:rPr>
          <w:sz w:val="21"/>
        </w:rPr>
        <w:t>、检验、病理项目目录如下：</w:t>
      </w:r>
    </w:p>
    <w:p>
      <w:pPr>
        <w:pStyle w:val="null3"/>
        <w:jc w:val="both"/>
      </w:pPr>
      <w:r>
        <w:rPr/>
        <w:t xml:space="preserve"> </w:t>
      </w:r>
    </w:p>
    <w:p>
      <w:pPr>
        <w:pStyle w:val="null3"/>
        <w:jc w:val="center"/>
      </w:pPr>
      <w:r>
        <w:rPr>
          <w:sz w:val="21"/>
          <w:b/>
        </w:rPr>
        <w:t>检验、病理项目目录需求清单（包括但不限于以下项目）</w:t>
      </w:r>
    </w:p>
    <w:tbl>
      <w:tblPr>
        <w:tblW w:w="0" w:type="auto"/>
        <w:tblBorders>
          <w:top w:val="none" w:color="000000" w:sz="4"/>
          <w:left w:val="none" w:color="000000" w:sz="4"/>
          <w:bottom w:val="none" w:color="000000" w:sz="4"/>
          <w:right w:val="none" w:color="000000" w:sz="4"/>
          <w:insideH w:val="none"/>
          <w:insideV w:val="none"/>
        </w:tblBorders>
      </w:tblPr>
      <w:tblGrid>
        <w:gridCol w:w="767"/>
        <w:gridCol w:w="6652"/>
        <w:gridCol w:w="886"/>
      </w:tblGrid>
      <w:tr>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分类</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全血微量元素七项【</w:t>
            </w:r>
            <w:r>
              <w:rPr>
                <w:sz w:val="21"/>
              </w:rPr>
              <w:t>(铅(Pb)，锰(Mn)，钙(Ca)，铜(Cu)，铁(Fe)，锌(Zn)，镁(Mg)】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全血微量元素六项：【</w:t>
            </w:r>
            <w:r>
              <w:rPr>
                <w:sz w:val="21"/>
              </w:rPr>
              <w:t>(铅(Pb)，锰(Mn)，铜(Cu)，铁(Fe)，锌(Zn)，镁(Mg)】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血液流变学检测【红细胞比积测定</w:t>
            </w:r>
            <w:r>
              <w:rPr>
                <w:sz w:val="21"/>
              </w:rPr>
              <w:t>(HCT)，红细胞沉降率测定(ESR)，红细胞流变特性检测，红细胞流变特性检测(变形指数)，红细胞流变特性检测(电泳指数)，全血粘度测定(高切)，血浆粘度测定，红细胞流变特性检测，全血粘度测定(低切)，全血粘度测定(中切)】</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优生系列十项（</w:t>
            </w:r>
            <w:r>
              <w:rPr>
                <w:sz w:val="21"/>
              </w:rPr>
              <w:t>TORCH-IgM/IgG）【巨细胞病毒IgM抗体(CMV-IgM)，风疹病毒IgM抗体(RV-IgM)，单纯疱疹病毒IgM(HSV-Ⅰ-IgM)抗体，单纯疱疹病毒IgM(HSV-II-IgM)抗体，风疹病毒IgG抗体(RV-IgG)，巨细胞病毒IgG抗体(CMV-IgG)，弓形虫IgM抗体(TOX-IgM)，弓形虫IgG抗体(TOX-IgG)，单纯疱疹病毒IgG(HSV-Ⅰ-IgG)抗体，单纯疱疹病毒IgG(HSV-II-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优生五项（</w:t>
            </w:r>
            <w:r>
              <w:rPr>
                <w:sz w:val="21"/>
              </w:rPr>
              <w:t>IgM）【单纯疱疹病毒IgM(HSV-Ⅰ-IgM)抗体，单纯疱疹病毒IgM(HSV-II-IgM)抗体，巨细胞病毒IgM抗体(CMV-IgM)，风疹病毒IgM抗体(RV-IgM)，弓形虫IgM抗体(TOX-IgM)】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优生四项（</w:t>
            </w:r>
            <w:r>
              <w:rPr>
                <w:sz w:val="21"/>
                <w:color w:val="000000"/>
              </w:rPr>
              <w:t>IgG）【风疹病毒IgG抗体(RV-IgG)，巨细胞病毒IgG抗体(CMV-IgG，弓形虫IgG抗体(TOX-IgG)，单纯疱疹病毒IgG(HSV-Ⅰ-IgG)抗体】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特应性皮炎</w:t>
            </w:r>
            <w:r>
              <w:rPr>
                <w:sz w:val="21"/>
              </w:rPr>
              <w:t>/湿疹/荨麻疹过敏原组合【d1(户尘螨)，e5(狗毛屑)，m3(烟曲霉)，f1(鸡蛋白)，f2(牛奶)，f13(花生)，f23(蟹)，f24(虾)】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食物特异性</w:t>
            </w:r>
            <w:r>
              <w:rPr>
                <w:sz w:val="21"/>
              </w:rPr>
              <w:t>IgG检测14项【牛肉特异性IgG抗体，鸡肉特异性IgG抗体，鳕鱼特异性IgG抗体，玉米特异性IgG抗体，蟹特异性IgG抗体，鸡蛋特异性IgG抗体，蘑菇特异性IgG抗体，牛奶特异性IgG抗体，猪肉特异性IgG抗体，大米特异性IgG抗体，虾特异性IgG抗体，大豆特异性IgG抗体，西红柿特异性IgG抗体，小麦特异性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食入及吸入性过敏原</w:t>
            </w:r>
            <w:r>
              <w:rPr>
                <w:sz w:val="21"/>
              </w:rPr>
              <w:t>9项【f24(虾)-sIgE抗体，f2(牛奶)-sIgE抗体，i6(蟑螂)-sIgE抗体，e5(狗毛皮屑)-sIgE抗体，mx1(产黄青霉,多主枝孢,烟曲霉,链格孢)-sIgE抗体，d1(户尘螨)-sIgE抗体，f23(蟹)-sIgE抗体，f1(鸡蛋白)-sIgE抗体，hx2(屋尘,户尘,粉尘螨,蟑螂)-sIgE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过敏原吸入</w:t>
            </w:r>
            <w:r>
              <w:rPr>
                <w:sz w:val="21"/>
              </w:rPr>
              <w:t>-食物组19项（IgE）【户尘螨d1，屋尘h1，桑树t70，猫毛皮屑e1，狗毛皮屑e5，蟑螂i6，苋w14，鸡蛋白f1，牛奶f2，虾f24，牛肉f27，贝f37，蟹f23，芒果f91，腰果f202，菠萝f210，霉菌组合（点青霉/链格孢霉/烟曲霉/分枝孢霉），混合草（肯塔基蓝草/草地羊茅/果园草/小糠草/黑麦草/梯牧草/黄花茅），树花粉组合（栎树/榆树/梧桐/柳树/杨树）】</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过敏原吸入</w:t>
            </w:r>
            <w:r>
              <w:rPr>
                <w:sz w:val="21"/>
              </w:rPr>
              <w:t>-食物组28项（IgE）【屋尘h1，桑树t70，猫毛皮屑e1，狗毛皮屑e5，蟑螂i6，苋w14，鸡蛋白f1，牛奶f2，虾f24，牛肉f27，贝f37，蟹f23，芒果f91，腰果f202，菠萝f210，霉菌组合（点青霉/链格孢霉/烟曲霉/分枝孢霉），混合草（肯塔基蓝草/草地羊茅/果园草/小糠草/黑麦草/梯牧草/黄花茅），树花粉组合（栎树/榆树/梧桐/柳树/杨树），葎草w22，屋尘螨/粉尘螨d1/d2，艾蒿w6，矮豚草w1，羊肉f88，鳕鱼f3，鲑鱼f41，龙虾/扇贝f80/f338，黄豆f14，花生f13】</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儿童皮肤过敏</w:t>
            </w:r>
            <w:r>
              <w:rPr>
                <w:sz w:val="21"/>
              </w:rPr>
              <w:t>(3岁以上)【d1(户尘螨)，d2(粉尘螨)，i6(蟑螂)，mx2(产黄青霉,多主枝孢,烟曲霉,白色念珠菌,链格孢,长蠕孢霉)，ex1（猫皮屑，马皮屑，牛皮屑，狗毛皮屑），f23(蟹)，f24(虾)，fx5e（食物混合 （鸡蛋白、牛奶、鳕鱼、小麦、花生、大豆））】</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儿童皮肤过敏</w:t>
            </w:r>
            <w:r>
              <w:rPr>
                <w:sz w:val="21"/>
              </w:rPr>
              <w:t>(3岁以下)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儿童鼻炎</w:t>
            </w:r>
            <w:r>
              <w:rPr>
                <w:sz w:val="21"/>
              </w:rPr>
              <w:t>/哮喘过敏原组合【d1(户尘螨)，i6(蟑螂)，e5(狗毛屑)，m3(烟曲霉)，f13(花生)，f1(鸡蛋白)，f2(牛奶)，f24(虾)】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成人鼻炎</w:t>
            </w:r>
            <w:r>
              <w:rPr>
                <w:sz w:val="21"/>
              </w:rPr>
              <w:t>/哮喘过敏原组合【d1(户尘螨)，i6(蟑螂)，e5(狗毛屑)，m3(烟曲霉)，w6(艾蒿)，f13(花生)，f23(蟹)，f24(虾)】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自身免疫性肝病抗体四项</w:t>
            </w:r>
            <w:r>
              <w:rPr>
                <w:sz w:val="21"/>
                <w:color w:val="000000"/>
              </w:rPr>
              <w:t>(M2-3E,LKM-1,LC-1,SLA/LP）【抗线粒体M2-3E抗体，抗可溶性肝抗原/肝胰抗原抗体，抗肝/肾微粒体1型抗体，抗肝细胞胞浆1型抗原抗体】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血管炎五项（</w:t>
            </w:r>
            <w:r>
              <w:rPr>
                <w:sz w:val="21"/>
                <w:color w:val="000000"/>
              </w:rPr>
              <w:t>P-ANCA、C-ANCA，MPO-Ab，PR3-Ab，ACA）【抗中性粒细胞胞浆抗体-pANCA，抗中性粒细胞胞浆抗体-cANCA，抗中性粒细胞胞浆髓过氧化物酶抗体（MPO-ANCA），抗中性粒细胞胞浆蛋白酶3抗体（PR3-ANCA），，抗心磷脂抗体(ACA)】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糖尿病自身抗体三项【抗胰岛素</w:t>
            </w:r>
            <w:r>
              <w:rPr>
                <w:sz w:val="21"/>
              </w:rPr>
              <w:t>IgG抗体(IAA-IgG)，抗胰岛细胞抗体(ICA-IgG)，谷氨酸脱羧酶抗体（GAD）】</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狼疮样抗凝物质筛查狼疮样抗凝物质筛查（</w:t>
            </w:r>
            <w:r>
              <w:rPr>
                <w:sz w:val="21"/>
                <w:color w:val="000000"/>
              </w:rPr>
              <w:t>LA1、LA2、RVVT比值）【狼疮抗凝物确定试验(LA2)，狼疮抗凝物初筛试验1(LA1)，狼疮抗凝物DRVVT确认比值计算，狼疮抗凝物DRVVT筛选比值计算，狼疮抗凝物DRVVT标准比值计算】</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风湿七项（抗可提取性核抗原多肽抗体（抗</w:t>
            </w:r>
            <w:r>
              <w:rPr>
                <w:sz w:val="21"/>
              </w:rPr>
              <w:t>ENA抗体））【抗核糖体P蛋白，抗Sm，抗U1-RNP/抗Sm，抗SSA，抗SSB，抗JO-1，抗Scl-70】</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抗中性粒细胞胞浆抗体（</w:t>
            </w:r>
            <w:r>
              <w:rPr>
                <w:sz w:val="21"/>
                <w:color w:val="000000"/>
              </w:rPr>
              <w:t>ANCA）二项【抗中性粒细胞胞浆抗体-pANCA，抗中性粒细胞胞浆抗体-cANCA】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抗组蛋白抗体</w:t>
            </w:r>
            <w:r>
              <w:rPr>
                <w:sz w:val="21"/>
                <w:color w:val="000000"/>
              </w:rPr>
              <w:t>(AHA)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抗子宫内膜抗体</w:t>
            </w:r>
            <w:r>
              <w:rPr>
                <w:sz w:val="21"/>
                <w:color w:val="000000"/>
              </w:rPr>
              <w:t>(EmAb)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抗胰岛素</w:t>
            </w:r>
            <w:r>
              <w:rPr>
                <w:sz w:val="21"/>
                <w:color w:val="000000"/>
              </w:rPr>
              <w:t>IgG抗体(IAA-IgG)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抗心磷脂抗体</w:t>
            </w:r>
            <w:r>
              <w:rPr>
                <w:sz w:val="21"/>
                <w:color w:val="000000"/>
              </w:rPr>
              <w:t>(ACA)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抗线粒体抗体</w:t>
            </w:r>
            <w:r>
              <w:rPr>
                <w:sz w:val="21"/>
                <w:color w:val="000000"/>
              </w:rPr>
              <w:t>(AMA)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抗髓过氧化物酶抗体</w:t>
            </w:r>
            <w:r>
              <w:rPr>
                <w:sz w:val="21"/>
                <w:color w:val="000000"/>
              </w:rPr>
              <w:t>(MPO-Ab)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抗双链</w:t>
            </w:r>
            <w:r>
              <w:rPr>
                <w:sz w:val="21"/>
                <w:color w:val="000000"/>
              </w:rPr>
              <w:t>DNA抗体(dsDNA)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抗肾小球基底膜抗体</w:t>
            </w:r>
            <w:r>
              <w:rPr>
                <w:sz w:val="21"/>
                <w:color w:val="000000"/>
              </w:rPr>
              <w:t>(GBM)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抗凝血酶</w:t>
            </w:r>
            <w:r>
              <w:rPr>
                <w:sz w:val="21"/>
                <w:color w:val="000000"/>
              </w:rPr>
              <w:t>III(AT-III)</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抗磷脂酶</w:t>
            </w:r>
            <w:r>
              <w:rPr>
                <w:sz w:val="21"/>
                <w:color w:val="000000"/>
              </w:rPr>
              <w:t>A2受体抗体IgG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脂蛋白相关磷脂酶</w:t>
            </w:r>
            <w:r>
              <w:rPr>
                <w:sz w:val="21"/>
                <w:color w:val="000000"/>
              </w:rPr>
              <w:t>A2（Lp-PLA2）</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抗链球菌</w:t>
            </w:r>
            <w:r>
              <w:rPr>
                <w:sz w:val="21"/>
              </w:rPr>
              <w:t>DNA酶B(DNAB)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抗精子抗体</w:t>
            </w:r>
            <w:r>
              <w:rPr>
                <w:sz w:val="21"/>
                <w:color w:val="000000"/>
              </w:rPr>
              <w:t>(AsAb)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抗角蛋白抗体</w:t>
            </w:r>
            <w:r>
              <w:rPr>
                <w:sz w:val="21"/>
                <w:color w:val="000000"/>
              </w:rPr>
              <w:t>(AKA)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抗核小体抗体</w:t>
            </w:r>
            <w:r>
              <w:rPr>
                <w:sz w:val="21"/>
                <w:color w:val="000000"/>
              </w:rPr>
              <w:t>(AnuA)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抗核抗体</w:t>
            </w:r>
            <w:r>
              <w:rPr>
                <w:sz w:val="21"/>
                <w:color w:val="000000"/>
              </w:rPr>
              <w:t>(ANA)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抗蛋白酶</w:t>
            </w:r>
            <w:r>
              <w:rPr>
                <w:sz w:val="21"/>
                <w:color w:val="000000"/>
              </w:rPr>
              <w:t>3抗体(PR3-Ab)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w:t>
            </w:r>
            <w:r>
              <w:rPr>
                <w:sz w:val="21"/>
                <w:color w:val="000000"/>
              </w:rPr>
              <w:t>HCG抗体(HCG-Ab)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抗缪勒管激素（</w:t>
            </w:r>
            <w:r>
              <w:rPr>
                <w:sz w:val="21"/>
                <w:color w:val="000000"/>
              </w:rPr>
              <w:t>AMH）</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抗卵巢抗体</w:t>
            </w:r>
            <w:r>
              <w:rPr>
                <w:sz w:val="21"/>
                <w:color w:val="000000"/>
              </w:rPr>
              <w:t>(AoAb)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β2糖蛋白1抗体(β2-GP1-Ab)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酪氨酸磷酸酶抗体</w:t>
            </w:r>
            <w:r>
              <w:rPr>
                <w:sz w:val="21"/>
                <w:color w:val="000000"/>
              </w:rPr>
              <w:t>(IA-2Ab)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w:t>
            </w:r>
            <w:r>
              <w:rPr>
                <w:sz w:val="21"/>
                <w:color w:val="000000"/>
              </w:rPr>
              <w:t>Lambda轻链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w:t>
            </w:r>
            <w:r>
              <w:rPr>
                <w:sz w:val="21"/>
                <w:color w:val="000000"/>
              </w:rPr>
              <w:t>Kappa轻链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总</w:t>
            </w:r>
            <w:r>
              <w:rPr>
                <w:sz w:val="21"/>
                <w:color w:val="000000"/>
              </w:rPr>
              <w:t>IgE</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血清总补体</w:t>
            </w:r>
            <w:r>
              <w:rPr>
                <w:sz w:val="21"/>
                <w:color w:val="000000"/>
              </w:rPr>
              <w:t>CH50</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免疫球蛋白</w:t>
            </w:r>
            <w:r>
              <w:rPr>
                <w:sz w:val="21"/>
                <w:color w:val="000000"/>
              </w:rPr>
              <w:t>G4</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人附睾蛋白</w:t>
            </w:r>
            <w:r>
              <w:rPr>
                <w:sz w:val="21"/>
                <w:color w:val="000000"/>
              </w:rPr>
              <w:t>4(HE4)</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醛固酮</w:t>
            </w:r>
            <w:r>
              <w:rPr>
                <w:sz w:val="21"/>
                <w:color w:val="000000"/>
              </w:rPr>
              <w:t>(ALD)</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皮质醇</w:t>
            </w:r>
            <w:r>
              <w:rPr>
                <w:sz w:val="21"/>
                <w:color w:val="000000"/>
              </w:rPr>
              <w:t>(COR)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生长激素</w:t>
            </w:r>
            <w:r>
              <w:rPr>
                <w:sz w:val="21"/>
                <w:color w:val="000000"/>
              </w:rPr>
              <w:t>(GH)</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胰岛素样生长因子</w:t>
            </w:r>
            <w:r>
              <w:rPr>
                <w:sz w:val="21"/>
                <w:color w:val="000000"/>
              </w:rPr>
              <w:t>-1(IGF-1)精准检测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降钙素</w:t>
            </w:r>
            <w:r>
              <w:rPr>
                <w:sz w:val="21"/>
                <w:color w:val="000000"/>
              </w:rPr>
              <w:t>(CT)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甲状腺微粒体抗体（</w:t>
            </w:r>
            <w:r>
              <w:rPr>
                <w:sz w:val="21"/>
                <w:color w:val="000000"/>
              </w:rPr>
              <w:t>TMAb）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促甲状腺激素受体抗体</w:t>
            </w:r>
            <w:r>
              <w:rPr>
                <w:sz w:val="21"/>
              </w:rPr>
              <w:t>(TRAb)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甲状腺球蛋白</w:t>
            </w:r>
            <w:r>
              <w:rPr>
                <w:sz w:val="21"/>
              </w:rPr>
              <w:t>(Tg)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促肾上腺皮质激素（</w:t>
            </w:r>
            <w:r>
              <w:rPr>
                <w:sz w:val="21"/>
                <w:color w:val="000000"/>
              </w:rPr>
              <w:t>ACTH）</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促红细胞生成素（</w:t>
            </w:r>
            <w:r>
              <w:rPr>
                <w:sz w:val="21"/>
              </w:rPr>
              <w:t>EPO）</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尿微量白蛋白</w:t>
            </w:r>
            <w:r>
              <w:rPr>
                <w:sz w:val="21"/>
                <w:color w:val="000000"/>
              </w:rPr>
              <w:t>/尿肌酐组合</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尿蛋白电泳定量（带</w:t>
            </w:r>
            <w:r>
              <w:rPr>
                <w:sz w:val="21"/>
                <w:color w:val="000000"/>
              </w:rPr>
              <w:t>M蛋白）</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尿本周氏蛋白电泳</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脑脊液寡克隆电泳分析</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脑脊液</w:t>
            </w:r>
            <w:r>
              <w:rPr>
                <w:sz w:val="21"/>
              </w:rPr>
              <w:t>IgG测定</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直接抗人球蛋白试验</w:t>
            </w:r>
            <w:r>
              <w:rPr>
                <w:sz w:val="21"/>
                <w:color w:val="000000"/>
              </w:rPr>
              <w:t>(DAT)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间接抗人球蛋白试验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幽门螺杆菌抗体分型检测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乙酰胆碱受体</w:t>
            </w:r>
            <w:r>
              <w:rPr>
                <w:sz w:val="21"/>
                <w:color w:val="000000"/>
              </w:rPr>
              <w:t>(AChR)抗体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血清免疫固定电泳</w:t>
            </w:r>
            <w:r>
              <w:rPr>
                <w:sz w:val="21"/>
                <w:color w:val="000000"/>
              </w:rPr>
              <w:t>(DYIF)</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血清蛋白电泳（毛细管电泳）</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w:t>
            </w:r>
            <w:r>
              <w:rPr>
                <w:sz w:val="21"/>
                <w:color w:val="000000"/>
              </w:rPr>
              <w:t>β2微球蛋白</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胸</w:t>
            </w:r>
            <w:r>
              <w:rPr>
                <w:sz w:val="21"/>
                <w:color w:val="000000"/>
              </w:rPr>
              <w:t>(腹)水腺苷脱氨酶(ADA)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腺病毒</w:t>
            </w:r>
            <w:r>
              <w:rPr>
                <w:sz w:val="21"/>
                <w:color w:val="000000"/>
              </w:rPr>
              <w:t>IgM抗体(ADV-IgM)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胃泌素</w:t>
            </w:r>
            <w:r>
              <w:rPr>
                <w:sz w:val="21"/>
                <w:color w:val="000000"/>
              </w:rPr>
              <w:t>(GAS)</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铜蓝蛋白</w:t>
            </w:r>
            <w:r>
              <w:rPr>
                <w:sz w:val="21"/>
              </w:rPr>
              <w:t>(CER)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恶性肿瘤特异生长因子</w:t>
            </w:r>
            <w:r>
              <w:rPr>
                <w:sz w:val="21"/>
              </w:rPr>
              <w:t>(TSGF)</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肝吸虫</w:t>
            </w:r>
            <w:r>
              <w:rPr>
                <w:sz w:val="21"/>
              </w:rPr>
              <w:t>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丁型肝炎病毒</w:t>
            </w:r>
            <w:r>
              <w:rPr>
                <w:sz w:val="21"/>
              </w:rPr>
              <w:t>IgM抗体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高敏丙肝病毒核酸（</w:t>
            </w:r>
            <w:r>
              <w:rPr>
                <w:sz w:val="21"/>
                <w:color w:val="000000"/>
              </w:rPr>
              <w:t>HCV-RNA）定量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高灵敏</w:t>
            </w:r>
            <w:r>
              <w:rPr>
                <w:sz w:val="21"/>
                <w:color w:val="000000"/>
              </w:rPr>
              <w:t>HBV DNA定量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乙型肝炎病毒</w:t>
            </w:r>
            <w:r>
              <w:rPr>
                <w:sz w:val="21"/>
                <w:color w:val="000000"/>
              </w:rPr>
              <w:t>(HBV-DNA)定性</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乙型肝炎病毒</w:t>
            </w:r>
            <w:r>
              <w:rPr>
                <w:sz w:val="21"/>
                <w:color w:val="000000"/>
              </w:rPr>
              <w:t>(HBV-DNA)定量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丙型肝炎病毒</w:t>
            </w:r>
            <w:r>
              <w:rPr>
                <w:sz w:val="21"/>
              </w:rPr>
              <w:t>(HCV-RNA)定量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丙型肝炎病毒（</w:t>
            </w:r>
            <w:r>
              <w:rPr>
                <w:sz w:val="21"/>
              </w:rPr>
              <w:t>HCV）基因分型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EB病毒(EBV-DNA)定性</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EB病毒(EBV DNA)定量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EB病毒早期抗原IgA抗体(EA-IgA)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结核感染</w:t>
            </w:r>
            <w:r>
              <w:rPr>
                <w:sz w:val="21"/>
                <w:color w:val="000000"/>
              </w:rPr>
              <w:t>T细胞斑点实验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结核杆菌</w:t>
            </w:r>
            <w:r>
              <w:rPr>
                <w:sz w:val="21"/>
              </w:rPr>
              <w:t>(TB-DNA)定性</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人乳头瘤病毒</w:t>
            </w:r>
            <w:r>
              <w:rPr>
                <w:sz w:val="21"/>
                <w:color w:val="000000"/>
              </w:rPr>
              <w:t>(HPV-DNA)分型检测（23种）</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副流感病毒</w:t>
            </w:r>
            <w:r>
              <w:rPr>
                <w:sz w:val="21"/>
                <w:color w:val="000000"/>
              </w:rPr>
              <w:t>1/2/3型IgA抗体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副流感病毒</w:t>
            </w:r>
            <w:r>
              <w:rPr>
                <w:sz w:val="21"/>
              </w:rPr>
              <w:t>1/2/3型IgG抗体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甲型流感病毒</w:t>
            </w:r>
            <w:r>
              <w:rPr>
                <w:sz w:val="21"/>
              </w:rPr>
              <w:t>FluA核酸检测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乙型流感病毒</w:t>
            </w:r>
            <w:r>
              <w:rPr>
                <w:sz w:val="21"/>
                <w:color w:val="000000"/>
              </w:rPr>
              <w:t>FluB核酸检测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高血压五项【血管紧张素</w:t>
            </w:r>
            <w:r>
              <w:rPr>
                <w:sz w:val="21"/>
              </w:rPr>
              <w:t>I(37℃)，血管紧张素I(4℃)，醛固酮(ALD)血浆，肾素活性(PRA)计算法，血管紧张素II(AngII)，ARR】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肝纤四项【透明质酸</w:t>
            </w:r>
            <w:r>
              <w:rPr>
                <w:sz w:val="21"/>
              </w:rPr>
              <w:t>(HA)，Ⅲ型前胶原N端肽(PIIINP)，Ⅳ型胶原(IV-C)，层粘连蛋白(LN)】</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贫血三项（</w:t>
            </w:r>
            <w:r>
              <w:rPr>
                <w:sz w:val="21"/>
                <w:color w:val="000000"/>
              </w:rPr>
              <w:t>VitB12,FOL,FER）【维生素B12(VitB12)，叶酸(FOL)，铁蛋白(FER)】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总维生素</w:t>
            </w:r>
            <w:r>
              <w:rPr>
                <w:sz w:val="21"/>
              </w:rPr>
              <w:t>D</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25-羟基维生素D</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叶酸</w:t>
            </w:r>
            <w:r>
              <w:rPr>
                <w:sz w:val="21"/>
                <w:color w:val="000000"/>
              </w:rPr>
              <w:t>(FOL)</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维生素</w:t>
            </w:r>
            <w:r>
              <w:rPr>
                <w:sz w:val="21"/>
                <w:color w:val="000000"/>
              </w:rPr>
              <w:t>B12(VitB12)</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铁蛋白</w:t>
            </w:r>
            <w:r>
              <w:rPr>
                <w:sz w:val="21"/>
                <w:color w:val="000000"/>
              </w:rPr>
              <w:t>(FER)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葡萄糖</w:t>
            </w:r>
            <w:r>
              <w:rPr>
                <w:sz w:val="21"/>
                <w:color w:val="000000"/>
              </w:rPr>
              <w:t>6-磷酸脱氢酶(G-6-PD)缺陷筛查</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Hb成份分析（高分辨血红蛋白成份分析，三个月外）</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地中海贫血筛查【红细胞孵育渗透脆性试验、</w:t>
            </w:r>
            <w:r>
              <w:rPr>
                <w:sz w:val="21"/>
              </w:rPr>
              <w:t>G6PD缺陷筛查】</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地中海贫血基因分型（含</w:t>
            </w:r>
            <w:r>
              <w:rPr>
                <w:sz w:val="21"/>
              </w:rPr>
              <w:t>α点突变）</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地中海贫血基因分型（不含</w:t>
            </w:r>
            <w:r>
              <w:rPr>
                <w:sz w:val="21"/>
              </w:rPr>
              <w:t>α点突变）</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α-地贫基因分型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β-地贫基因分型(十七种突变)</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蛋白</w:t>
            </w:r>
            <w:r>
              <w:rPr>
                <w:sz w:val="21"/>
                <w:color w:val="000000"/>
              </w:rPr>
              <w:t>S测定</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蛋白</w:t>
            </w:r>
            <w:r>
              <w:rPr>
                <w:sz w:val="21"/>
                <w:color w:val="000000"/>
              </w:rPr>
              <w:t>C测定</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层粘连蛋白</w:t>
            </w:r>
            <w:r>
              <w:rPr>
                <w:sz w:val="21"/>
                <w:color w:val="000000"/>
              </w:rPr>
              <w:t>(LN)</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呼吸道合胞病毒</w:t>
            </w:r>
            <w:r>
              <w:rPr>
                <w:sz w:val="21"/>
              </w:rPr>
              <w:t>IgM(RSV-IgM)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弓形虫</w:t>
            </w:r>
            <w:r>
              <w:rPr>
                <w:sz w:val="21"/>
              </w:rPr>
              <w:t>IgM抗体(TOX-IgM)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弓形虫</w:t>
            </w:r>
            <w:r>
              <w:rPr>
                <w:sz w:val="21"/>
              </w:rPr>
              <w:t>IgG抗体(TOX-IgG)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巨细胞病毒</w:t>
            </w:r>
            <w:r>
              <w:rPr>
                <w:sz w:val="21"/>
              </w:rPr>
              <w:t>IgM抗体(CMV-IgM)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巨细胞病毒</w:t>
            </w:r>
            <w:r>
              <w:rPr>
                <w:sz w:val="21"/>
              </w:rPr>
              <w:t>IgG抗体(CMV-IgG)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IgM抗体(HSV-II-IgM)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IgM抗体(HSV-I-IgM)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IgG抗体(HSV-II-IgG)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单纯疱疹病毒</w:t>
            </w:r>
            <w:r>
              <w:rPr>
                <w:sz w:val="21"/>
              </w:rPr>
              <w:t>IgG抗体((HSV-I-IgG)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HLA-B27-DNA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鳞癌细胞抗原</w:t>
            </w:r>
            <w:r>
              <w:rPr>
                <w:sz w:val="21"/>
                <w:color w:val="000000"/>
              </w:rPr>
              <w:t>(SCC)</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糖链抗原</w:t>
            </w:r>
            <w:r>
              <w:rPr>
                <w:sz w:val="21"/>
              </w:rPr>
              <w:t>242(CA242)</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(1-3)-β-D葡聚糖(G试验)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丙戊酸</w:t>
            </w:r>
            <w:r>
              <w:rPr>
                <w:sz w:val="21"/>
                <w:color w:val="000000"/>
              </w:rPr>
              <w:t>(VAL)</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苯妥英</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地高辛（</w:t>
            </w:r>
            <w:r>
              <w:rPr>
                <w:sz w:val="21"/>
              </w:rPr>
              <w:t>DIG）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甲氨蝶呤</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环孢霉素</w:t>
            </w:r>
            <w:r>
              <w:rPr>
                <w:sz w:val="21"/>
              </w:rPr>
              <w:t>A浓度</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血清药物浓度测定（万古霉素）</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肥达氏试验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外斐氏试验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分枝杆菌培养组合</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骨髓涂片细胞学检验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骨髓特殊染色及酶组织化学染色检查</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骨髓涂片检查</w:t>
            </w:r>
            <w:r>
              <w:rPr>
                <w:sz w:val="21"/>
              </w:rPr>
              <w:t>+染色+图文</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血清载脂蛋白</w:t>
            </w:r>
            <w:r>
              <w:rPr>
                <w:sz w:val="21"/>
              </w:rPr>
              <w:t>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乙型肝炎核心</w:t>
            </w:r>
            <w:r>
              <w:rPr>
                <w:sz w:val="21"/>
              </w:rPr>
              <w:t>IgM抗体测定-定性</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纤维蛋白原降解产物</w:t>
            </w:r>
            <w:r>
              <w:rPr>
                <w:sz w:val="21"/>
              </w:rPr>
              <w:t>(FDP)</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百日咳杆菌</w:t>
            </w:r>
            <w:r>
              <w:rPr>
                <w:sz w:val="21"/>
              </w:rPr>
              <w:t>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EB病毒早期抗原IgG抗体(EBV-EA-IgG）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七项呼吸道感染病原体</w:t>
            </w:r>
            <w:r>
              <w:rPr>
                <w:sz w:val="21"/>
              </w:rPr>
              <w:t>IgM抗体检测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呼吸道多种病原体靶向测序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HLA-B*5801基因检测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外周血</w:t>
            </w:r>
            <w:r>
              <w:rPr>
                <w:sz w:val="21"/>
              </w:rPr>
              <w:t>T淋巴细胞亚群</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封闭抗体</w:t>
            </w:r>
            <w:r>
              <w:rPr>
                <w:sz w:val="21"/>
              </w:rPr>
              <w:t>(BA)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肠道菌群</w:t>
            </w:r>
            <w:r>
              <w:rPr>
                <w:sz w:val="20"/>
                <w:color w:val="000000"/>
              </w:rPr>
              <w:t>16S rDNA</w:t>
            </w:r>
            <w:r>
              <w:rPr>
                <w:sz w:val="20"/>
                <w:color w:val="000000"/>
              </w:rPr>
              <w:t>高通量测序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49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DNA-</w:t>
            </w:r>
            <w:r>
              <w:rPr>
                <w:sz w:val="20"/>
                <w:color w:val="000000"/>
              </w:rPr>
              <w:t>病原微生物宏基因组检测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RNA-</w:t>
            </w:r>
            <w:r>
              <w:rPr>
                <w:sz w:val="20"/>
                <w:color w:val="000000"/>
              </w:rPr>
              <w:t>病原微生物宏基因组检测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全套病原微生物宏基因组检测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切除组织活检检查与诊断</w:t>
            </w:r>
            <w:r>
              <w:rPr>
                <w:sz w:val="21"/>
              </w:rPr>
              <w:t>(</w:t>
            </w:r>
            <w:r>
              <w:rPr>
                <w:sz w:val="21"/>
              </w:rPr>
              <w:t>超过两个蜡块每增加一个加收</w:t>
            </w:r>
            <w:r>
              <w:rPr>
                <w:sz w:val="21"/>
              </w:rPr>
              <w: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病理大体标本摄影</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显微摄影术</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内镜组织活检检查与诊断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手术标本检查与诊断</w:t>
            </w:r>
            <w:r>
              <w:rPr>
                <w:sz w:val="21"/>
              </w:rPr>
              <w:t>(</w:t>
            </w:r>
            <w:r>
              <w:rPr>
                <w:sz w:val="21"/>
              </w:rPr>
              <w:t>含标本处理</w:t>
            </w:r>
            <w:r>
              <w:rPr>
                <w:sz w:val="21"/>
              </w:rPr>
              <w: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疑难病理会诊</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液基薄层细胞制片术（液基细胞学超薄片技术）</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细针穿刺细胞学检查与诊断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特殊染色及酶组织化学染色诊断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会诊组织切白片</w:t>
            </w:r>
            <w:r>
              <w:rPr>
                <w:sz w:val="21"/>
              </w:rPr>
              <w:t>(</w:t>
            </w:r>
            <w:r>
              <w:rPr>
                <w:sz w:val="21"/>
              </w:rPr>
              <w:t>指送院外诊治的各类组织切片</w:t>
            </w:r>
            <w:r>
              <w:rPr>
                <w:sz w:val="21"/>
              </w:rPr>
              <w: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组织切片基因检测</w:t>
            </w:r>
            <w:r>
              <w:rPr>
                <w:sz w:val="21"/>
              </w:rPr>
              <w:t>-</w:t>
            </w:r>
            <w:r>
              <w:rPr>
                <w:sz w:val="21"/>
              </w:rPr>
              <w:t>原位杂交</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液基超薄细胞学检测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脱落细胞学检查与诊断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体液细胞学检查与诊断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全自动免疫组化</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免疫组织化学染色诊断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免疫荧光染色诊断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局部切除组织活检检查与诊断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穿刺组织活检检查与诊断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普通透射电镜检查与诊断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肾穿刺组织活检检查与诊断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骨髓组织活检检查与诊断</w:t>
            </w:r>
            <w:r>
              <w:rPr>
                <w:sz w:val="21"/>
              </w:rPr>
              <w:t xml:space="preserve">  </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甲状腺穿刺细胞学检查</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体表肿块穿刺组织活检检查与诊断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乳腺穿刺组织活检检查与诊断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bl>
    <w:p>
      <w:pPr>
        <w:pStyle w:val="null3"/>
      </w:pPr>
      <w:r>
        <w:rPr/>
        <w:t>采购包1（检验及病理外送检测服务）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三年，具体服务起始时间以合同签订为准。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供应商按照《江门市非营利性医疗机构服务价格》的收费标准，对本项目所有检验内容提供统一的投标折扣率。折扣＝（采购人实际支付单价÷按收费标准的应付费用）×100%。（如遇物价部门价格调整，则以调整后价格为准）。投标单位以折扣进行报价，折扣必须为固定报价，不能为区间值。 采购人负责向病人收取病人检验费，而中标人按照《江门市非营利性医疗机构服务价格》乘以中标折扣后向采购人收取委托检验服务费用，委托检验服务费用按月结算，中标人每月将发票及结算单送至采购人，采购人核对无误后，凭发票及结算单进行公对公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1期：1.中标人完成检测后，每批送检的标本均需提供纸质报告单或联网打印检验报告，采购人对每批送检样本的检测结果进行质量验收； 2.符合中华人民共和国国家和履约地相关安全质量标准、行业技术规范标准； 3.符合采购文件和响应承诺中各方共同认可的合理要求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1.最高限价，5,200,000.00元。</w:t>
            </w:r>
          </w:p>
          <w:p>
            <w:pPr>
              <w:pStyle w:val="null3"/>
            </w:pPr>
            <w:r>
              <w:rPr/>
              <w:t>2.★报价要求，（1）有效报价范围：投标人须以有效折扣率形式对本项目进行投标报价【投标人的折扣率的有效报价范围：0%＜折扣率≤30%。投标人所报的折扣率须在有效的报价范围内，否则视为无效投标。折扣率必须为固定的报价（如30%），不得存在区间值（如20～30%）】。中标人的折扣率为中标折扣率，中标后实际结算金额=项目物价收费标准×对应中标折扣率×项目检测数量。 注：项目物价收费标准必须为江门市发展和改革局发布从2023年8月1日起执行的《江门市市公立医院基本医疗服务项目和价格》标准价格（如遇政策变动，则按政策的要求进行调整，折扣率不变）对于服务期内若增加目录以外的检验+病理项目，约定的内容及方式与原合同条款一致。折扣率需与目录内的检验+病理项目一致。如因违反相关收费规定，对采购人造成的经济损失，由中标人承担相应责任。 （2）报价方式为以折扣率进行报价。 （3）投标人的报价包括但不限于检验费用、标本运输、保险、装卸、雇员费用、耗材费用、出具报告费用、技术服务支持、系统改造升级、系统对接费用、培训费、合格有效发票、其他伴随服务费用及合同实施过程中的应预见和不可预见费用等完成本招标内容所需的一切费用。投标人在投标时必须将以上费用全面考虑。采购人不支付其他任何费用，不改变中标折扣率。</w:t>
            </w:r>
          </w:p>
          <w:p>
            <w:pPr>
              <w:pStyle w:val="null3"/>
            </w:pPr>
            <w:r>
              <w:rPr/>
              <w:t>3.投标人在填报“折扣率”时，应根据企业自身的成本核算情况，充分考虑市场价格的波动风险。一经投标，即认为该投标人已充分考虑有关风险，愿意承担因这些风险所造成的一切经济损失，并放弃因此造成的损失求偿权。中标后，折扣率在合同有效期限内不得调整。</w:t>
            </w:r>
          </w:p>
          <w:p>
            <w:pPr>
              <w:pStyle w:val="null3"/>
            </w:pPr>
            <w:r>
              <w:rPr/>
              <w:t>4.保密要求，（1）采购人和投标人双方都有为受检者保密的义务，双方保证对于受检者所有信息保密，除非该信息已经由受检者主动公开。（2）在合作期内及以后，双方相关资料（包括但不限于各类数据、检测报告、商业信息等）皆为保密资料，不得向未经授权非职责所需的其他人员透露相关信息。（3）违反上述保密义务，违约方应承担相应的法律责任。</w:t>
            </w:r>
          </w:p>
          <w:p>
            <w:pPr>
              <w:pStyle w:val="null3"/>
            </w:pPr>
            <w:r>
              <w:rPr/>
              <w:t>5.为保障项目实施，投标人需结合以往同类项目经验，在充分理解项目需求的基础上制定项目实施方案（包括但不限于委托外送流程、质量标准与保障、售前培训、问题反馈响应机制等）、运送服务方案包括人员及车辆安排及上门收取标本时间以及投标人物流样本保存箱具备定位和温度监控功能可实现全程实时监测、突发事件的处理措施和应急预案、服务便利性等相关内容根据采购项目服务要求进行说明或描述。</w:t>
            </w:r>
          </w:p>
          <w:p>
            <w:pPr>
              <w:pStyle w:val="null3"/>
            </w:pPr>
            <w:r>
              <w:rPr/>
              <w:t>6.投标人须对本项目整体服务内容进行响应，任何只对其中一部分服务内容进行的响应都被视为无效响应。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检验及病理外送检测服务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5,200,000.00</w:t>
            </w:r>
          </w:p>
        </w:tc>
        <w:tc>
          <w:tcPr>
            <w:tcW w:type="dxa" w:w="831"/>
          </w:tcPr>
          <w:p>
            <w:pPr>
              <w:pStyle w:val="null3"/>
              <w:jc w:val="right"/>
            </w:pPr>
            <w:r>
              <w:rPr/>
              <w:t>5,200,000.00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检验及病理外送检测服务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- 30%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计算基数，代理服务费参照国家发展计划委员会颁发的[2002]1980号文《招标代理服务收费管理暂行办法》规定执行（服务类）,下浮20%收取。若单个项目服务费少于￥6000元，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请按公告附件格式填写《中标服务费开票信息确认函》，以便我司向中标人开具中标服务费发票。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采购包1(检验及病理外送检测服务)：综合评分法,是指投标文件满足招标文件全部实质性要求，且按照评审因素的量化指标评审得分最高的投标人为中标候选人的评标方法。（最低报价不是中标的唯一依据。）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采购包1（检验及病理外送检测服务）：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投标（响应）供应商报价给予C1的价格扣除（C1的取值范围见价格扣除比例），即：评标（评审）价＝核实价－小微企业产品核实价×C1</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采购包1（检验及病理外送检测服务）：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供应商必须具有良好的商业信誉和健全的财务会计制度（提供2022年至2024年财务状况报告或基本开户行出具的资信证明）。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 (提供投标（报价） 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供应商具有卫生部门核发的且在有效期内的医疗机构执业许可证，诊疗科目包含医学检验科。</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采购包1（检验及病理外送检测服务）：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采购包1(检验及病理外送检测服务):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商务部分48.0分</w:t>
            </w:r>
          </w:p>
          <w:p>
            <w:pPr>
              <w:pStyle w:val="null3"/>
            </w:pPr>
            <w:r>
              <w:rPr/>
              <w:t>技术部分32.0分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项目实施服务方案 (10.0分)</w:t>
            </w:r>
          </w:p>
        </w:tc>
        <w:tc>
          <w:tcPr>
            <w:tcW w:type="dxa" w:w="5076"/>
          </w:tcPr>
          <w:p>
            <w:pPr>
              <w:pStyle w:val="null3"/>
              <w:jc w:val="left"/>
            </w:pPr>
            <w:r>
              <w:rPr/>
              <w:t>组织实施服务方案应当包含但不限于对本项目的组织实施、标本收取、人员分工、检测的流程、结果送达等方面是否满足用户需求，完善可行、具体合理： （1）服务方案合理，可操作性强，对本项目的分析和整体、重难点分析到位，检测流程检测细则完善，且完全符合项目需求的，得10分； （2）服务方案合理，具有可操作性，对本项目的分析和整体思路、重难点分析基本到位，检测流程操作细则完整，部分符合项目需求，得7分； （3）服务方案欠缺合理性或可操作性，对本项目的分析和整体思路、重难点分析基本到位但有偏差，检测流程有操作细则不完整但不影响整体操作，部分符合项目需求，得3分； （4）服务方案欠缺合理性与可操作性，对本项目的分析和整体思路、重难点分析不到位，检测流程不完善，或没有提供相关方案的，不符合项目需求的，不得分。</w:t>
            </w:r>
          </w:p>
        </w:tc>
      </w:tr>
      <w:tr>
        <w:tc>
          <w:tcPr>
            <w:tcW w:type="dxa" w:w="922"/>
            <w:gridSpan w:val="2"/>
            <w:vMerge/>
          </w:tcPr>
          <w:p/>
        </w:tc>
        <w:tc>
          <w:tcPr>
            <w:tcW w:type="dxa" w:w="2307"/>
          </w:tcPr>
          <w:p>
            <w:pPr>
              <w:pStyle w:val="null3"/>
              <w:jc w:val="left"/>
            </w:pPr>
            <w:r>
              <w:rPr/>
              <w:t>质控保障服务措施 (6.0分)</w:t>
            </w:r>
          </w:p>
        </w:tc>
        <w:tc>
          <w:tcPr>
            <w:tcW w:type="dxa" w:w="5076"/>
          </w:tcPr>
          <w:p>
            <w:pPr>
              <w:pStyle w:val="null3"/>
              <w:jc w:val="left"/>
            </w:pPr>
            <w:r>
              <w:rPr/>
              <w:t>根据投标人所提供质控服务方案的整体质量、可行性进行打分： （1）服务方案的整体质量方案清晰、完善，可行性高，且完全符合项目需求，得6分； （2）服务方案的整体质量方案不清晰或不完善，具备可行性，部分符合项目需求，得4分； （3）服务方案的整体质量方案不清晰不完善，缺乏可行性，部分符合项目需求，得2分； （4）服务方案的整体质量方案不清晰不完善，且缺乏可行性，不符合项目需求，或无提供方案，得0分。</w:t>
            </w:r>
          </w:p>
        </w:tc>
      </w:tr>
      <w:tr>
        <w:tc>
          <w:tcPr>
            <w:tcW w:type="dxa" w:w="922"/>
            <w:gridSpan w:val="2"/>
            <w:vMerge/>
          </w:tcPr>
          <w:p/>
        </w:tc>
        <w:tc>
          <w:tcPr>
            <w:tcW w:type="dxa" w:w="2307"/>
          </w:tcPr>
          <w:p>
            <w:pPr>
              <w:pStyle w:val="null3"/>
              <w:jc w:val="left"/>
            </w:pPr>
            <w:r>
              <w:rPr/>
              <w:t>冷链物流能力情况 (4.0分)</w:t>
            </w:r>
          </w:p>
        </w:tc>
        <w:tc>
          <w:tcPr>
            <w:tcW w:type="dxa" w:w="5076"/>
          </w:tcPr>
          <w:p>
            <w:pPr>
              <w:pStyle w:val="null3"/>
              <w:jc w:val="left"/>
            </w:pPr>
            <w:r>
              <w:rPr/>
              <w:t>根据投标人物流运输方案及冷链情况：①能否做到专人专车到采购人指定地点收检标本，做好样本登记、物流服务，并负责将检测报告交付给采购人（提供相关承诺函）；②能否保证样本运输安全，样本运输冷链是否完整，是否做到全程直立、冷藏、封闭进行评分。 （1）物流运输方案及冷链情况全部满足招标文件用户需求及上述要求得4分； （2）物流运输方案及冷链情况部分满足招标文件用户需求及上述要求得2分； （4）没有提供相关方案或者说明的，不符合项目需求不得分。 （注：投标文件需提供相关方案的介绍说明，提供运输专用容器实物图片、提供运输全程电子监控系统的截图及介绍，未提供或资料不全者不得分）</w:t>
            </w:r>
          </w:p>
        </w:tc>
      </w:tr>
      <w:tr>
        <w:tc>
          <w:tcPr>
            <w:tcW w:type="dxa" w:w="922"/>
            <w:gridSpan w:val="2"/>
            <w:vMerge/>
          </w:tcPr>
          <w:p/>
        </w:tc>
        <w:tc>
          <w:tcPr>
            <w:tcW w:type="dxa" w:w="2307"/>
          </w:tcPr>
          <w:p>
            <w:pPr>
              <w:pStyle w:val="null3"/>
              <w:jc w:val="left"/>
            </w:pPr>
            <w:r>
              <w:rPr/>
              <w:t>检验项目及检测方法 (4.0分)</w:t>
            </w:r>
          </w:p>
        </w:tc>
        <w:tc>
          <w:tcPr>
            <w:tcW w:type="dxa" w:w="5076"/>
          </w:tcPr>
          <w:p>
            <w:pPr>
              <w:pStyle w:val="null3"/>
              <w:jc w:val="left"/>
            </w:pPr>
            <w:r>
              <w:rPr/>
              <w:t>能够按用户指定方法检测对应的检查项目，投标文件须根据采购文件第二章采购需求附件表格《检验、病理项目目录需求清单》逐项列出响应情况： （1）全部满足招标文件用户需求及上述要求，得4分； （2）基本满足用户需求及上述要求但有少量偏离（偏离不多于5项（含5项）项目明细的检验项目及检测方法），得2分； （3）其他情况不得分。</w:t>
            </w:r>
          </w:p>
        </w:tc>
      </w:tr>
      <w:tr>
        <w:tc>
          <w:tcPr>
            <w:tcW w:type="dxa" w:w="922"/>
            <w:gridSpan w:val="2"/>
            <w:vMerge/>
          </w:tcPr>
          <w:p/>
        </w:tc>
        <w:tc>
          <w:tcPr>
            <w:tcW w:type="dxa" w:w="2307"/>
          </w:tcPr>
          <w:p>
            <w:pPr>
              <w:pStyle w:val="null3"/>
              <w:jc w:val="left"/>
            </w:pPr>
            <w:r>
              <w:rPr/>
              <w:t>技术平台质量保障 (4.0分)</w:t>
            </w:r>
          </w:p>
        </w:tc>
        <w:tc>
          <w:tcPr>
            <w:tcW w:type="dxa" w:w="5076"/>
          </w:tcPr>
          <w:p>
            <w:pPr>
              <w:pStyle w:val="null3"/>
              <w:jc w:val="left"/>
            </w:pPr>
            <w:r>
              <w:rPr/>
              <w:t>投标人开展外送检验及病理服务项目与委托客户有既往平台技术合作项目经验并提供协议书等相关证明资料复印件加盖公章，得4分。</w:t>
            </w:r>
          </w:p>
        </w:tc>
      </w:tr>
      <w:tr>
        <w:tc>
          <w:tcPr>
            <w:tcW w:type="dxa" w:w="922"/>
            <w:gridSpan w:val="2"/>
            <w:vMerge/>
          </w:tcPr>
          <w:p/>
        </w:tc>
        <w:tc>
          <w:tcPr>
            <w:tcW w:type="dxa" w:w="2307"/>
          </w:tcPr>
          <w:p>
            <w:pPr>
              <w:pStyle w:val="null3"/>
              <w:jc w:val="left"/>
            </w:pPr>
            <w:r>
              <w:rPr/>
              <w:t>检验信息化服务情况 (4.0分)</w:t>
            </w:r>
          </w:p>
        </w:tc>
        <w:tc>
          <w:tcPr>
            <w:tcW w:type="dxa" w:w="5076"/>
          </w:tcPr>
          <w:p>
            <w:pPr>
              <w:pStyle w:val="null3"/>
              <w:jc w:val="left"/>
            </w:pPr>
            <w:r>
              <w:rPr/>
              <w:t>投标人具备医学信息化服务能力，可与医疗LIS系统对接，配合支持信息系统对接，实现检验项目结果传输(含数据对接、PDF结果报告对接)，检验报告的多终端查询，并提供业务报表功能，得4分。 注：须提供相关证明材料复印件并加盖投标人公章；提供不全或不提供的不得分。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检验结果互认 (4.0分)</w:t>
            </w:r>
          </w:p>
        </w:tc>
        <w:tc>
          <w:tcPr>
            <w:tcW w:type="dxa" w:w="5076"/>
          </w:tcPr>
          <w:p>
            <w:pPr>
              <w:pStyle w:val="null3"/>
              <w:jc w:val="left"/>
            </w:pPr>
            <w:r>
              <w:rPr/>
              <w:t>投标人为医疗机构及医学检验所检验结果互认单位，得4分。提供相关有效证明文件复印件并加盖投标人公章，不提供不得分。</w:t>
            </w:r>
          </w:p>
        </w:tc>
      </w:tr>
      <w:tr>
        <w:tc>
          <w:tcPr>
            <w:tcW w:type="dxa" w:w="922"/>
            <w:gridSpan w:val="2"/>
            <w:vMerge/>
          </w:tcPr>
          <w:p/>
        </w:tc>
        <w:tc>
          <w:tcPr>
            <w:tcW w:type="dxa" w:w="2307"/>
          </w:tcPr>
          <w:p>
            <w:pPr>
              <w:pStyle w:val="null3"/>
              <w:jc w:val="left"/>
            </w:pPr>
            <w:r>
              <w:rPr/>
              <w:t>实验室认证情况 (10.0分)</w:t>
            </w:r>
          </w:p>
        </w:tc>
        <w:tc>
          <w:tcPr>
            <w:tcW w:type="dxa" w:w="5076"/>
          </w:tcPr>
          <w:p>
            <w:pPr>
              <w:pStyle w:val="null3"/>
              <w:jc w:val="left"/>
            </w:pPr>
            <w:r>
              <w:rPr/>
              <w:t>1.投标人通过ISO15189实验室认可项目，得5分；提供在有效期内的证书及附件的复印件，未提供证书或证书有效期过期的不得分。 2.自2022年1月1日至投标截止时间，投标人实验室通过室间质评认证，得5分；提供上述证书复印件并加盖投标人公章，未提供或提供的资料不符合要求的则不得分。</w:t>
            </w:r>
          </w:p>
        </w:tc>
      </w:tr>
      <w:tr>
        <w:tc>
          <w:tcPr>
            <w:tcW w:type="dxa" w:w="922"/>
            <w:gridSpan w:val="2"/>
            <w:vMerge/>
          </w:tcPr>
          <w:p/>
        </w:tc>
        <w:tc>
          <w:tcPr>
            <w:tcW w:type="dxa" w:w="2307"/>
          </w:tcPr>
          <w:p>
            <w:pPr>
              <w:pStyle w:val="null3"/>
              <w:jc w:val="left"/>
            </w:pPr>
            <w:r>
              <w:rPr/>
              <w:t>技术平台设备 (6.0分)</w:t>
            </w:r>
          </w:p>
        </w:tc>
        <w:tc>
          <w:tcPr>
            <w:tcW w:type="dxa" w:w="5076"/>
          </w:tcPr>
          <w:p>
            <w:pPr>
              <w:pStyle w:val="null3"/>
              <w:jc w:val="left"/>
            </w:pPr>
            <w:r>
              <w:rPr/>
              <w:t>投标人需拥有完善的检测设备平台，配置包括以下6类设备：定性PCR、定量PCR、核型分析、二代测序技术平台、荧光原位杂交平台、流式细胞仪平台，每提供1类得1分，满分得6分。提供平台设备的实验室设备实物图片及购置发票复印件，或实验室设备实物图片及租赁合同；不提供不得分。</w:t>
            </w:r>
          </w:p>
        </w:tc>
      </w:tr>
      <w:tr>
        <w:tc>
          <w:tcPr>
            <w:tcW w:type="dxa" w:w="922"/>
            <w:gridSpan w:val="2"/>
            <w:vMerge/>
          </w:tcPr>
          <w:p/>
        </w:tc>
        <w:tc>
          <w:tcPr>
            <w:tcW w:type="dxa" w:w="2307"/>
          </w:tcPr>
          <w:p>
            <w:pPr>
              <w:pStyle w:val="null3"/>
              <w:jc w:val="left"/>
            </w:pPr>
            <w:r>
              <w:rPr/>
              <w:t>团队人员情况 (10.0分)</w:t>
            </w:r>
          </w:p>
        </w:tc>
        <w:tc>
          <w:tcPr>
            <w:tcW w:type="dxa" w:w="5076"/>
          </w:tcPr>
          <w:p>
            <w:pPr>
              <w:pStyle w:val="null3"/>
              <w:jc w:val="left"/>
            </w:pPr>
            <w:r>
              <w:rPr/>
              <w:t>1.投标人拟派团队具备检验专业职称技术人员：每名高级（副高及以上）人员得2分，中级职称专业人员得1分，本单项最高得5分。 2.投标人拟派团队具备病理专业职称技术人员：每名高级（副高及以上）人员得2分，中级职称专业人员得1分，本单项最高得5分。 以上两项总共最高得10分。同一人取得多个证书不重复计分；提供人员证书复印件和近6个月任意一个月的投标人为其购买社保的证明文件复印件加盖投标人公章。</w:t>
            </w:r>
          </w:p>
        </w:tc>
      </w:tr>
      <w:tr>
        <w:tc>
          <w:tcPr>
            <w:tcW w:type="dxa" w:w="922"/>
            <w:gridSpan w:val="2"/>
            <w:vMerge/>
          </w:tcPr>
          <w:p/>
        </w:tc>
        <w:tc>
          <w:tcPr>
            <w:tcW w:type="dxa" w:w="2307"/>
          </w:tcPr>
          <w:p>
            <w:pPr>
              <w:pStyle w:val="null3"/>
              <w:jc w:val="left"/>
            </w:pPr>
            <w:r>
              <w:rPr/>
              <w:t>业绩经验情况 (12.0分)</w:t>
            </w:r>
          </w:p>
        </w:tc>
        <w:tc>
          <w:tcPr>
            <w:tcW w:type="dxa" w:w="5076"/>
          </w:tcPr>
          <w:p>
            <w:pPr>
              <w:pStyle w:val="null3"/>
              <w:jc w:val="left"/>
            </w:pPr>
            <w:r>
              <w:rPr/>
              <w:t>根据投标人自2022年1月1日至今具有同类型检测检验服务项目的业绩，每提供一份有效合同得1分，最多得12分。 注：同一家委托单位的合同只计算一个有效业绩，不重复计分；需提供合同关键页（含签订合同双方的单位名称、合同项目名称与含签订合同双方的落款盖章、签订日期的关键页）复印件并加盖投标人公章作为证明材料，计算时间以合同签订日期为准。不提供的不得分。</w:t>
            </w:r>
          </w:p>
        </w:tc>
      </w:tr>
      <w:tr>
        <w:tc>
          <w:tcPr>
            <w:tcW w:type="dxa" w:w="922"/>
            <w:gridSpan w:val="2"/>
            <w:vMerge/>
          </w:tcPr>
          <w:p/>
        </w:tc>
        <w:tc>
          <w:tcPr>
            <w:tcW w:type="dxa" w:w="2307"/>
          </w:tcPr>
          <w:p>
            <w:pPr>
              <w:pStyle w:val="null3"/>
              <w:jc w:val="left"/>
            </w:pPr>
            <w:r>
              <w:rPr/>
              <w:t>认证情况 (6.0分)</w:t>
            </w:r>
          </w:p>
        </w:tc>
        <w:tc>
          <w:tcPr>
            <w:tcW w:type="dxa" w:w="5076"/>
          </w:tcPr>
          <w:p>
            <w:pPr>
              <w:pStyle w:val="null3"/>
              <w:jc w:val="left"/>
            </w:pPr>
            <w:r>
              <w:rPr/>
              <w:t>1.投标人具有质量管理体系认证；环境管理体系认证；职业健康安全管理体系认证；每获得一项认证得2分，最高得6分。注：提供有效证书复印件及网上（国家认证认可监督监督管理委员会：http://www.cnca.gov.cn/）查询截图加盖投标人公章。提供不全或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0"/>
          <w:b/>
        </w:rPr>
        <w:t>政府采购项目</w:t>
      </w:r>
    </w:p>
    <w:p>
      <w:pPr>
        <w:pStyle w:val="null3"/>
        <w:jc w:val="center"/>
      </w:pPr>
      <w:r>
        <w:rPr>
          <w:sz w:val="39"/>
          <w:b/>
        </w:rPr>
        <w:t>合同书</w:t>
      </w:r>
    </w:p>
    <w:p>
      <w:pPr>
        <w:pStyle w:val="null3"/>
        <w:jc w:val="center"/>
      </w:pPr>
      <w:r>
        <w:rPr>
          <w:sz w:val="28"/>
          <w:b/>
        </w:rPr>
        <w:t>（</w:t>
      </w:r>
      <w:r>
        <w:rPr>
          <w:sz w:val="24"/>
          <w:b/>
        </w:rPr>
        <w:t>服务类</w:t>
      </w:r>
      <w:r>
        <w:rPr>
          <w:sz w:val="28"/>
          <w:b/>
        </w:rPr>
        <w:t>）</w:t>
      </w:r>
    </w:p>
    <w:p>
      <w:pPr>
        <w:pStyle w:val="null3"/>
        <w:jc w:val="center"/>
      </w:pPr>
      <w:r>
        <w:rPr>
          <w:sz w:val="28"/>
          <w:b/>
        </w:rPr>
        <w:t>项目名称：</w:t>
      </w:r>
      <w:r>
        <w:rPr>
          <w:sz w:val="21"/>
          <w:b/>
          <w:u w:val="single"/>
        </w:rPr>
        <w:t xml:space="preserve"> </w:t>
      </w:r>
      <w:r>
        <w:rPr>
          <w:sz w:val="21"/>
          <w:b/>
          <w:u w:val="single"/>
        </w:rPr>
        <w:t xml:space="preserve">                              </w:t>
      </w:r>
    </w:p>
    <w:p>
      <w:pPr>
        <w:pStyle w:val="null3"/>
        <w:jc w:val="both"/>
      </w:pPr>
      <w:r>
        <w:rPr>
          <w:sz w:val="28"/>
          <w:b/>
        </w:rPr>
        <w:t>项目编号：</w:t>
      </w:r>
      <w:r>
        <w:rPr>
          <w:sz w:val="21"/>
          <w:b/>
          <w:u w:val="single"/>
        </w:rPr>
        <w:t xml:space="preserve"> </w:t>
      </w:r>
      <w:r>
        <w:rPr>
          <w:sz w:val="21"/>
          <w:b/>
          <w:u w:val="single"/>
        </w:rPr>
        <w:t xml:space="preserve">                              </w:t>
      </w:r>
    </w:p>
    <w:p>
      <w:pPr>
        <w:pStyle w:val="null3"/>
        <w:jc w:val="both"/>
      </w:pPr>
      <w:r>
        <w:rPr>
          <w:sz w:val="28"/>
          <w:b/>
        </w:rPr>
        <w:t>签约地点：</w:t>
      </w:r>
      <w:r>
        <w:rPr>
          <w:sz w:val="21"/>
          <w:b/>
          <w:u w:val="single"/>
        </w:rPr>
        <w:t xml:space="preserve">                         </w:t>
      </w:r>
    </w:p>
    <w:p>
      <w:pPr>
        <w:pStyle w:val="null3"/>
        <w:jc w:val="both"/>
      </w:pPr>
      <w:r>
        <w:rPr>
          <w:sz w:val="28"/>
          <w:b/>
        </w:rPr>
        <w:t>签订日期：</w:t>
      </w:r>
      <w:r>
        <w:rPr>
          <w:sz w:val="21"/>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center"/>
      </w:pPr>
      <w:r>
        <w:rPr>
          <w:sz w:val="21"/>
          <w:b/>
        </w:rPr>
        <w:t>注：本合同仅为合同的参考文本，合同签订双方应根据招标文件及投标响应文件的内容确定本合同相关具体内容。</w:t>
      </w:r>
    </w:p>
    <w:p>
      <w:pPr>
        <w:pStyle w:val="null3"/>
        <w:jc w:val="center"/>
      </w:pPr>
      <w:r>
        <w:rPr/>
        <w:t xml:space="preserve"> </w:t>
      </w:r>
    </w:p>
    <w:p>
      <w:pPr>
        <w:pStyle w:val="null3"/>
        <w:ind w:firstLine="420"/>
        <w:jc w:val="left"/>
      </w:pPr>
      <w:r>
        <w:rPr>
          <w:sz w:val="21"/>
          <w:color w:val="000000"/>
        </w:rPr>
        <w:t>甲方：</w:t>
      </w:r>
    </w:p>
    <w:p>
      <w:pPr>
        <w:pStyle w:val="null3"/>
        <w:ind w:firstLine="420"/>
        <w:jc w:val="left"/>
      </w:pPr>
      <w:r>
        <w:rPr>
          <w:sz w:val="21"/>
          <w:color w:val="000000"/>
        </w:rPr>
        <w:t>电话：</w:t>
      </w:r>
      <w:r>
        <w:rPr>
          <w:sz w:val="21"/>
          <w:color w:val="000000"/>
        </w:rPr>
        <w:t>传真：</w:t>
      </w:r>
      <w:r>
        <w:rPr>
          <w:sz w:val="21"/>
          <w:color w:val="000000"/>
        </w:rPr>
        <w:t>地址：</w:t>
      </w:r>
    </w:p>
    <w:p>
      <w:pPr>
        <w:pStyle w:val="null3"/>
        <w:ind w:firstLine="420"/>
        <w:jc w:val="left"/>
      </w:pPr>
      <w:r>
        <w:rPr>
          <w:sz w:val="21"/>
          <w:color w:val="000000"/>
        </w:rPr>
        <w:t>乙方：</w:t>
      </w:r>
    </w:p>
    <w:p>
      <w:pPr>
        <w:pStyle w:val="null3"/>
        <w:ind w:firstLine="420"/>
        <w:jc w:val="left"/>
      </w:pPr>
      <w:r>
        <w:rPr>
          <w:sz w:val="21"/>
          <w:color w:val="000000"/>
        </w:rPr>
        <w:t>电话：</w:t>
      </w:r>
      <w:r>
        <w:rPr>
          <w:sz w:val="21"/>
          <w:color w:val="000000"/>
        </w:rPr>
        <w:t>传真：</w:t>
      </w:r>
      <w:r>
        <w:rPr>
          <w:sz w:val="21"/>
          <w:color w:val="000000"/>
        </w:rPr>
        <w:t>地址：</w:t>
      </w:r>
    </w:p>
    <w:p>
      <w:pPr>
        <w:pStyle w:val="null3"/>
        <w:ind w:firstLine="420"/>
        <w:jc w:val="left"/>
      </w:pPr>
      <w:r>
        <w:rPr>
          <w:sz w:val="21"/>
          <w:color w:val="000000"/>
        </w:rPr>
        <w:t>项目名称：</w:t>
      </w:r>
      <w:r>
        <w:rPr>
          <w:sz w:val="21"/>
          <w:color w:val="000000"/>
        </w:rPr>
        <w:t>采购编号：</w:t>
      </w:r>
    </w:p>
    <w:p>
      <w:pPr>
        <w:pStyle w:val="null3"/>
        <w:ind w:firstLine="420"/>
        <w:jc w:val="left"/>
      </w:pPr>
      <w:r>
        <w:rPr>
          <w:sz w:val="21"/>
          <w:color w:val="000000"/>
        </w:rPr>
        <w:t>根据</w:t>
      </w:r>
      <w:r>
        <w:rPr>
          <w:sz w:val="21"/>
          <w:color w:val="000000"/>
          <w:u w:val="single"/>
        </w:rPr>
        <w:t>（项目名称）（项目编号</w:t>
      </w:r>
      <w:r>
        <w:rPr>
          <w:sz w:val="21"/>
          <w:color w:val="000000"/>
          <w:u w:val="single"/>
        </w:rPr>
        <w:t>）</w:t>
      </w:r>
      <w:r>
        <w:rPr>
          <w:sz w:val="21"/>
          <w:color w:val="000000"/>
        </w:rPr>
        <w:t>的采购结果，按照《中华人民共和国政府采购法》、《中华人民共和国民法典》的规定，</w:t>
      </w:r>
      <w:r>
        <w:rPr>
          <w:sz w:val="21"/>
          <w:color w:val="000000"/>
        </w:rPr>
        <w:t>经双方协商，本着平等互利和诚实信用的原则，一致同意签订本合同如下。</w:t>
      </w:r>
    </w:p>
    <w:p>
      <w:pPr>
        <w:pStyle w:val="null3"/>
        <w:jc w:val="left"/>
      </w:pPr>
      <w:r>
        <w:rPr>
          <w:sz w:val="21"/>
          <w:b/>
          <w:color w:val="000000"/>
        </w:rPr>
        <w:t>一、合同金额（中标折扣）</w:t>
      </w:r>
    </w:p>
    <w:p>
      <w:pPr>
        <w:pStyle w:val="null3"/>
        <w:ind w:firstLine="420"/>
        <w:jc w:val="left"/>
      </w:pPr>
      <w:r>
        <w:rPr>
          <w:sz w:val="21"/>
          <w:color w:val="000000"/>
        </w:rPr>
        <w:t>中标折扣为（大写）：百分之</w:t>
      </w:r>
      <w:r>
        <w:rPr>
          <w:sz w:val="21"/>
          <w:color w:val="000000"/>
        </w:rPr>
        <w:t>_________________</w:t>
      </w:r>
      <w:r>
        <w:rPr>
          <w:sz w:val="21"/>
          <w:color w:val="000000"/>
        </w:rPr>
        <w:t>（</w:t>
      </w:r>
      <w:r>
        <w:rPr>
          <w:sz w:val="21"/>
          <w:color w:val="000000"/>
        </w:rPr>
        <w:t>_______________%</w:t>
      </w:r>
      <w:r>
        <w:rPr>
          <w:sz w:val="21"/>
          <w:color w:val="000000"/>
        </w:rPr>
        <w:t>）</w:t>
      </w:r>
    </w:p>
    <w:p>
      <w:pPr>
        <w:pStyle w:val="null3"/>
        <w:jc w:val="left"/>
      </w:pPr>
      <w:r>
        <w:rPr>
          <w:sz w:val="21"/>
          <w:b/>
          <w:color w:val="000000"/>
        </w:rPr>
        <w:t>二、服务</w:t>
      </w:r>
      <w:r>
        <w:rPr>
          <w:sz w:val="21"/>
          <w:b/>
          <w:color w:val="000000"/>
        </w:rPr>
        <w:t>要求</w:t>
      </w:r>
      <w:r>
        <w:rPr>
          <w:sz w:val="21"/>
          <w:b/>
        </w:rPr>
        <w:t xml:space="preserve"> </w:t>
      </w:r>
    </w:p>
    <w:p>
      <w:pPr>
        <w:pStyle w:val="null3"/>
        <w:ind w:firstLine="420"/>
        <w:jc w:val="left"/>
      </w:pPr>
      <w:r>
        <w:rPr>
          <w:sz w:val="21"/>
          <w:color w:val="000000"/>
        </w:rPr>
        <w:t>甲方聘请乙方提供以下服务：</w:t>
      </w:r>
    </w:p>
    <w:p>
      <w:pPr>
        <w:pStyle w:val="null3"/>
        <w:ind w:firstLine="420"/>
        <w:jc w:val="left"/>
      </w:pPr>
      <w:r>
        <w:rPr>
          <w:sz w:val="21"/>
          <w:color w:val="000000"/>
        </w:rPr>
        <w:t>1.本合同项下的服务指 。</w:t>
      </w:r>
    </w:p>
    <w:p>
      <w:pPr>
        <w:pStyle w:val="null3"/>
        <w:ind w:firstLine="420"/>
        <w:jc w:val="left"/>
      </w:pPr>
      <w:r>
        <w:rPr>
          <w:sz w:val="21"/>
          <w:color w:val="000000"/>
        </w:rPr>
        <w:t>2．......</w:t>
      </w:r>
    </w:p>
    <w:p>
      <w:pPr>
        <w:pStyle w:val="null3"/>
        <w:ind w:firstLine="420"/>
        <w:jc w:val="left"/>
      </w:pPr>
      <w:r>
        <w:rPr>
          <w:sz w:val="21"/>
          <w:color w:val="000000"/>
        </w:rPr>
        <w:t>3．......</w:t>
      </w:r>
    </w:p>
    <w:p>
      <w:pPr>
        <w:pStyle w:val="null3"/>
        <w:jc w:val="left"/>
      </w:pPr>
      <w:r>
        <w:rPr>
          <w:sz w:val="21"/>
          <w:b/>
          <w:color w:val="000000"/>
        </w:rPr>
        <w:t>三、甲方乙方的权利和义务</w:t>
      </w:r>
    </w:p>
    <w:p>
      <w:pPr>
        <w:pStyle w:val="null3"/>
        <w:ind w:firstLine="420"/>
        <w:jc w:val="left"/>
      </w:pPr>
      <w:r>
        <w:rPr>
          <w:sz w:val="21"/>
          <w:color w:val="000000"/>
        </w:rPr>
        <w:t>（一）</w:t>
      </w:r>
      <w:r>
        <w:rPr>
          <w:sz w:val="21"/>
          <w:color w:val="000000"/>
        </w:rPr>
        <w:t>甲方的权利和义务</w:t>
      </w:r>
    </w:p>
    <w:p>
      <w:pPr>
        <w:pStyle w:val="null3"/>
        <w:ind w:firstLine="420"/>
        <w:jc w:val="left"/>
      </w:pPr>
      <w:r>
        <w:rPr>
          <w:sz w:val="21"/>
          <w:color w:val="000000"/>
        </w:rPr>
        <w:t>（二）</w:t>
      </w:r>
      <w:r>
        <w:rPr>
          <w:sz w:val="21"/>
          <w:color w:val="000000"/>
        </w:rPr>
        <w:t>乙方的权利和义务</w:t>
      </w:r>
    </w:p>
    <w:p>
      <w:pPr>
        <w:pStyle w:val="null3"/>
        <w:jc w:val="left"/>
      </w:pPr>
      <w:r>
        <w:rPr>
          <w:sz w:val="21"/>
          <w:b/>
          <w:color w:val="000000"/>
        </w:rPr>
        <w:t>四、服务期间（项目完成期限）</w:t>
      </w:r>
    </w:p>
    <w:p>
      <w:pPr>
        <w:pStyle w:val="null3"/>
        <w:ind w:firstLine="420"/>
        <w:jc w:val="left"/>
      </w:pPr>
      <w:r>
        <w:rPr>
          <w:sz w:val="21"/>
          <w:color w:val="000000"/>
        </w:rPr>
        <w:t>委托服务期间自</w:t>
      </w:r>
      <w:r>
        <w:rPr>
          <w:sz w:val="21"/>
          <w:color w:val="000000"/>
        </w:rPr>
        <w:t>______</w:t>
      </w:r>
      <w:r>
        <w:rPr>
          <w:sz w:val="21"/>
          <w:color w:val="000000"/>
        </w:rPr>
        <w:t>年</w:t>
      </w:r>
      <w:r>
        <w:rPr>
          <w:sz w:val="21"/>
          <w:color w:val="000000"/>
        </w:rPr>
        <w:t>______</w:t>
      </w:r>
      <w:r>
        <w:rPr>
          <w:sz w:val="21"/>
          <w:color w:val="000000"/>
        </w:rPr>
        <w:t>月至</w:t>
      </w:r>
      <w:r>
        <w:rPr>
          <w:sz w:val="21"/>
          <w:color w:val="000000"/>
        </w:rPr>
        <w:t>______</w:t>
      </w:r>
      <w:r>
        <w:rPr>
          <w:sz w:val="21"/>
          <w:color w:val="000000"/>
        </w:rPr>
        <w:t>年</w:t>
      </w:r>
      <w:r>
        <w:rPr>
          <w:sz w:val="21"/>
          <w:color w:val="000000"/>
        </w:rPr>
        <w:t>______</w:t>
      </w:r>
      <w:r>
        <w:rPr>
          <w:sz w:val="21"/>
          <w:color w:val="000000"/>
        </w:rPr>
        <w:t>月止。</w:t>
      </w:r>
    </w:p>
    <w:p>
      <w:pPr>
        <w:pStyle w:val="null3"/>
        <w:jc w:val="left"/>
      </w:pPr>
      <w:r>
        <w:rPr>
          <w:sz w:val="21"/>
          <w:b/>
          <w:color w:val="000000"/>
        </w:rPr>
        <w:t>五、付款方式</w:t>
      </w:r>
    </w:p>
    <w:p>
      <w:pPr>
        <w:pStyle w:val="null3"/>
        <w:ind w:firstLine="420"/>
        <w:jc w:val="left"/>
      </w:pPr>
      <w:r>
        <w:rPr>
          <w:sz w:val="21"/>
          <w:color w:val="000000"/>
        </w:rPr>
        <w:t>由甲方按下列程序在</w:t>
      </w:r>
      <w:r>
        <w:rPr>
          <w:sz w:val="21"/>
          <w:u w:val="single"/>
        </w:rPr>
        <w:t xml:space="preserve">        </w:t>
      </w:r>
      <w:r>
        <w:rPr>
          <w:sz w:val="21"/>
          <w:color w:val="000000"/>
        </w:rPr>
        <w:t>内付款：</w:t>
      </w:r>
    </w:p>
    <w:p>
      <w:pPr>
        <w:pStyle w:val="null3"/>
        <w:ind w:firstLine="420"/>
        <w:jc w:val="left"/>
      </w:pPr>
      <w:r>
        <w:rPr>
          <w:sz w:val="21"/>
          <w:color w:val="000000"/>
        </w:rPr>
        <w:t>1）在合同实施及服务人员到达服务地后</w:t>
      </w:r>
      <w:r>
        <w:rPr>
          <w:sz w:val="21"/>
          <w:u w:val="single"/>
        </w:rPr>
        <w:t xml:space="preserve">  </w:t>
      </w:r>
      <w:r>
        <w:rPr>
          <w:sz w:val="21"/>
          <w:color w:val="000000"/>
        </w:rPr>
        <w:t>天内，甲方应将第一次付</w:t>
      </w:r>
      <w:r>
        <w:rPr>
          <w:sz w:val="21"/>
          <w:color w:val="000000"/>
        </w:rPr>
        <w:t xml:space="preserve">   </w:t>
      </w:r>
      <w:r>
        <w:rPr>
          <w:sz w:val="21"/>
          <w:color w:val="000000"/>
        </w:rPr>
        <w:t>款总服务费的</w:t>
      </w:r>
      <w:r>
        <w:rPr>
          <w:sz w:val="21"/>
          <w:u w:val="single"/>
        </w:rPr>
        <w:t xml:space="preserve">  </w:t>
      </w:r>
      <w:r>
        <w:rPr>
          <w:sz w:val="21"/>
          <w:color w:val="000000"/>
        </w:rPr>
        <w:t>(-%)付给乙方。</w:t>
      </w:r>
    </w:p>
    <w:p>
      <w:pPr>
        <w:pStyle w:val="null3"/>
        <w:ind w:firstLine="420"/>
        <w:jc w:val="left"/>
      </w:pPr>
      <w:r>
        <w:rPr>
          <w:sz w:val="21"/>
          <w:color w:val="000000"/>
        </w:rPr>
        <w:t>2）第二次付款额应为总服务费的</w:t>
      </w:r>
      <w:r>
        <w:rPr>
          <w:sz w:val="21"/>
          <w:u w:val="single"/>
        </w:rPr>
        <w:t xml:space="preserve">   </w:t>
      </w:r>
      <w:r>
        <w:rPr>
          <w:sz w:val="21"/>
          <w:color w:val="000000"/>
        </w:rPr>
        <w:t>(-%)，甲方应在乙方已经准备好，并递交了服务报告及其它相关文件，而这些报告和文件符合合同附件上的要求并被甲方验收后付给乙方。</w:t>
      </w:r>
    </w:p>
    <w:p>
      <w:pPr>
        <w:pStyle w:val="null3"/>
        <w:ind w:firstLine="420"/>
        <w:jc w:val="left"/>
      </w:pPr>
      <w:r>
        <w:rPr>
          <w:sz w:val="21"/>
          <w:color w:val="000000"/>
        </w:rPr>
        <w:t>3）最后一次付款额应为总服务费的</w:t>
      </w:r>
      <w:r>
        <w:rPr>
          <w:sz w:val="21"/>
          <w:u w:val="single"/>
        </w:rPr>
        <w:t xml:space="preserve">   </w:t>
      </w:r>
      <w:r>
        <w:rPr>
          <w:sz w:val="21"/>
          <w:color w:val="000000"/>
        </w:rPr>
        <w:t>(-%)，甲方应在乙方递交了服务总结报告和说明并完全履行合同完毕</w:t>
      </w:r>
      <w:r>
        <w:rPr>
          <w:sz w:val="21"/>
          <w:u w:val="single"/>
        </w:rPr>
        <w:t xml:space="preserve">    </w:t>
      </w:r>
      <w:r>
        <w:rPr>
          <w:sz w:val="21"/>
          <w:color w:val="000000"/>
        </w:rPr>
        <w:t>日内付给乙方，同时无息退还乙方的合同履约保证金。</w:t>
      </w:r>
    </w:p>
    <w:p>
      <w:pPr>
        <w:pStyle w:val="null3"/>
        <w:ind w:firstLine="420"/>
        <w:jc w:val="left"/>
      </w:pPr>
      <w:r>
        <w:rPr>
          <w:sz w:val="21"/>
          <w:color w:val="000000"/>
        </w:rPr>
        <w:t>4）因甲方使用的是财政资金，甲方在前款规定的付款时间为向政府采购支付部门提出办理财政支付申请手续的时间（不含政府财政支付部门审核的时间），在规定时间内提出支付申请手续后即视为甲方已 经按期支付。</w:t>
      </w:r>
    </w:p>
    <w:p>
      <w:pPr>
        <w:pStyle w:val="null3"/>
        <w:ind w:firstLine="420"/>
        <w:jc w:val="left"/>
      </w:pPr>
      <w:r>
        <w:rPr>
          <w:sz w:val="21"/>
          <w:color w:val="000000"/>
        </w:rPr>
        <w:t>5）履约保证金金额为合同金额的</w:t>
      </w:r>
      <w:r>
        <w:rPr>
          <w:sz w:val="21"/>
          <w:u w:val="single"/>
        </w:rPr>
        <w:t xml:space="preserve">   </w:t>
      </w:r>
      <w:r>
        <w:rPr>
          <w:sz w:val="21"/>
          <w:color w:val="000000"/>
        </w:rPr>
        <w:t>%，合同签订后</w:t>
      </w:r>
      <w:r>
        <w:rPr>
          <w:sz w:val="21"/>
          <w:u w:val="single"/>
        </w:rPr>
        <w:t xml:space="preserve">   </w:t>
      </w:r>
      <w:r>
        <w:rPr>
          <w:sz w:val="21"/>
          <w:color w:val="000000"/>
        </w:rPr>
        <w:t>天内乙方支付给甲方。支付方式为转账</w:t>
      </w:r>
      <w:r>
        <w:rPr>
          <w:sz w:val="21"/>
          <w:color w:val="000000"/>
        </w:rPr>
        <w:t>/信用担保形式。</w:t>
      </w:r>
      <w:r>
        <w:rPr>
          <w:sz w:val="21"/>
        </w:rPr>
        <w:t xml:space="preserve"> </w:t>
      </w:r>
    </w:p>
    <w:p>
      <w:pPr>
        <w:pStyle w:val="null3"/>
        <w:ind w:firstLine="420"/>
        <w:jc w:val="left"/>
      </w:pPr>
      <w:r>
        <w:rPr>
          <w:sz w:val="21"/>
          <w:color w:val="000000"/>
        </w:rPr>
        <w:t>6）履约保证金不予退还的情形；</w:t>
      </w:r>
    </w:p>
    <w:p>
      <w:pPr>
        <w:pStyle w:val="null3"/>
        <w:ind w:firstLine="420"/>
        <w:jc w:val="left"/>
      </w:pPr>
      <w:r>
        <w:rPr>
          <w:sz w:val="21"/>
          <w:color w:val="000000"/>
        </w:rPr>
        <w:t>7）逾期退还履约保证金的违约责任；</w:t>
      </w:r>
    </w:p>
    <w:p>
      <w:pPr>
        <w:pStyle w:val="null3"/>
        <w:jc w:val="left"/>
      </w:pPr>
      <w:r>
        <w:rPr>
          <w:sz w:val="21"/>
          <w:b/>
          <w:color w:val="000000"/>
        </w:rPr>
        <w:t>六、知识产权产权归属</w:t>
      </w:r>
    </w:p>
    <w:p>
      <w:pPr>
        <w:pStyle w:val="null3"/>
        <w:ind w:firstLine="420"/>
        <w:jc w:val="left"/>
      </w:pPr>
      <w:r>
        <w:rPr>
          <w:sz w:val="21"/>
          <w:color w:val="000000"/>
        </w:rPr>
        <w:t>乙方应保证本项目的投标技术、服务或其任何一部分不会产生因第三方提出侵犯其专利权、商标权或</w:t>
      </w:r>
      <w:r>
        <w:rPr>
          <w:sz w:val="21"/>
          <w:color w:val="000000"/>
        </w:rPr>
        <w:t>其他知识产权而引起的法律和经济纠纷；如因第三方提出其专利权、商标权或其他知识产权的侵权之诉，</w:t>
      </w:r>
      <w:r>
        <w:rPr>
          <w:sz w:val="21"/>
          <w:color w:val="000000"/>
        </w:rPr>
        <w:t>则一切法律责任由乙方承担。</w:t>
      </w:r>
    </w:p>
    <w:p>
      <w:pPr>
        <w:pStyle w:val="null3"/>
        <w:jc w:val="left"/>
      </w:pPr>
      <w:r>
        <w:rPr>
          <w:sz w:val="21"/>
          <w:b/>
          <w:color w:val="000000"/>
        </w:rPr>
        <w:t>七、保密</w:t>
      </w:r>
    </w:p>
    <w:p>
      <w:pPr>
        <w:pStyle w:val="null3"/>
        <w:ind w:firstLine="420"/>
        <w:jc w:val="left"/>
      </w:pPr>
      <w:r>
        <w:rPr>
          <w:sz w:val="21"/>
          <w:color w:val="000000"/>
        </w:rPr>
        <w:t>项目实施过程中至乙方正式向甲方交付技术文档资料时止，乙方必须采取措施对本项目实施过程中的</w:t>
      </w:r>
      <w:r>
        <w:rPr>
          <w:sz w:val="21"/>
          <w:color w:val="000000"/>
        </w:rPr>
        <w:t>数据、源代码、技术文档等资料保密，否则，由于乙方过错导致的上述资料泄密的，乙方必须承担一切责</w:t>
      </w:r>
      <w:r>
        <w:rPr>
          <w:sz w:val="21"/>
          <w:color w:val="000000"/>
        </w:rPr>
        <w:t>任。项目完成后，甲、乙双方均有责任对本项目的技术保密承担责任。</w:t>
      </w:r>
    </w:p>
    <w:p>
      <w:pPr>
        <w:pStyle w:val="null3"/>
        <w:ind w:firstLine="420"/>
        <w:jc w:val="left"/>
      </w:pPr>
      <w:r>
        <w:rPr>
          <w:sz w:val="21"/>
          <w:color w:val="000000"/>
        </w:rPr>
        <w:t>1）未经乙方事先书面同意，甲方不得将由乙方为本合同提供的条文、规格、计划、图纸、模型、样品或 资料等提供给与本合同无关的任何第三方，不得将其用于履行本合同之外的其它用途。即使向与履行本合同有关的人员提供，也应注意保密并限于履行合同所必需的范围。</w:t>
      </w:r>
    </w:p>
    <w:p>
      <w:pPr>
        <w:pStyle w:val="null3"/>
        <w:ind w:firstLine="420"/>
        <w:jc w:val="left"/>
      </w:pPr>
      <w:r>
        <w:rPr>
          <w:sz w:val="21"/>
          <w:color w:val="000000"/>
        </w:rPr>
        <w:t>2）除了合同本身之外，上款所列举的任何物件均是乙方的财产。如果乙方有要求，甲方在完成合同后应将这些物件及全部复制件还给乙方。</w:t>
      </w:r>
    </w:p>
    <w:p>
      <w:pPr>
        <w:pStyle w:val="null3"/>
        <w:jc w:val="left"/>
      </w:pPr>
      <w:r>
        <w:rPr>
          <w:sz w:val="21"/>
          <w:b/>
          <w:color w:val="000000"/>
        </w:rPr>
        <w:t>八、违约责任与赔偿损失</w:t>
      </w:r>
    </w:p>
    <w:p>
      <w:pPr>
        <w:pStyle w:val="null3"/>
        <w:ind w:firstLine="420"/>
        <w:jc w:val="left"/>
      </w:pPr>
      <w:r>
        <w:rPr>
          <w:sz w:val="21"/>
          <w:color w:val="000000"/>
        </w:rPr>
        <w:t>1) 乙方提供的服务不符合招标文件、报价文件或本合同规定的，甲方有权拒收，并且乙方须向甲方方支付本合同总价 5%的违约金。</w:t>
      </w:r>
    </w:p>
    <w:p>
      <w:pPr>
        <w:pStyle w:val="null3"/>
        <w:ind w:firstLine="420"/>
        <w:jc w:val="left"/>
      </w:pPr>
      <w:r>
        <w:rPr>
          <w:sz w:val="21"/>
          <w:color w:val="000000"/>
        </w:rPr>
        <w:t>2) 乙方未能按本合同规定的交货时间提供服务，从逾期之日起每日按本合同总价 3‰的数额向甲方支付违约金；逾期半个月以上的，甲方有权终止合同，由此造成的甲方经济损失由乙方承担。</w:t>
      </w:r>
    </w:p>
    <w:p>
      <w:pPr>
        <w:pStyle w:val="null3"/>
        <w:ind w:firstLine="420"/>
        <w:jc w:val="left"/>
      </w:pPr>
      <w:r>
        <w:rPr>
          <w:sz w:val="21"/>
          <w:color w:val="000000"/>
        </w:rPr>
        <w:t>3) 甲方无正当理由拒收接受服务，到期拒付服务款项的，甲方向乙方偿付本合同总的 5%的违约金。甲方 人逾期付款，则每日按本合同总价的3‰向乙方偿付违约金。</w:t>
      </w:r>
    </w:p>
    <w:p>
      <w:pPr>
        <w:pStyle w:val="null3"/>
        <w:ind w:firstLine="420"/>
        <w:jc w:val="left"/>
      </w:pPr>
      <w:r>
        <w:rPr>
          <w:sz w:val="21"/>
          <w:color w:val="000000"/>
        </w:rPr>
        <w:t>4) 其它违约责任按《中华人民共和国</w:t>
      </w:r>
      <w:r>
        <w:rPr>
          <w:sz w:val="21"/>
          <w:color w:val="000000"/>
        </w:rPr>
        <w:t>民法典</w:t>
      </w:r>
      <w:r>
        <w:rPr>
          <w:sz w:val="21"/>
          <w:color w:val="000000"/>
        </w:rPr>
        <w:t>》处理。</w:t>
      </w:r>
    </w:p>
    <w:p>
      <w:pPr>
        <w:pStyle w:val="null3"/>
        <w:jc w:val="left"/>
      </w:pPr>
      <w:r>
        <w:rPr>
          <w:sz w:val="21"/>
          <w:b/>
          <w:color w:val="000000"/>
        </w:rPr>
        <w:t>九、争端的解决</w:t>
      </w:r>
    </w:p>
    <w:p>
      <w:pPr>
        <w:pStyle w:val="null3"/>
        <w:ind w:firstLine="420"/>
        <w:jc w:val="left"/>
      </w:pPr>
      <w:r>
        <w:rPr>
          <w:sz w:val="21"/>
          <w:color w:val="000000"/>
        </w:rPr>
        <w:t>1)合同执行过程中发生的任何争议，如双方不能通过友好协商解决，按相关法律法规处理。</w:t>
      </w:r>
    </w:p>
    <w:p>
      <w:pPr>
        <w:pStyle w:val="null3"/>
        <w:jc w:val="left"/>
      </w:pPr>
      <w:r>
        <w:rPr>
          <w:sz w:val="21"/>
          <w:b/>
          <w:color w:val="000000"/>
        </w:rPr>
        <w:t>十一、不可抗力</w:t>
      </w:r>
    </w:p>
    <w:p>
      <w:pPr>
        <w:pStyle w:val="null3"/>
        <w:ind w:firstLine="420"/>
        <w:jc w:val="left"/>
      </w:pPr>
      <w:r>
        <w:rPr>
          <w:sz w:val="21"/>
          <w:color w:val="000000"/>
        </w:rPr>
        <w:t>任何一方由于不可抗力原因不能履行合同时，应在不可抗力事件结束后</w:t>
      </w:r>
      <w:r>
        <w:rPr>
          <w:sz w:val="21"/>
          <w:color w:val="000000"/>
        </w:rPr>
        <w:t>1日内向对方通报，以减轻可 能给对方造成的损失，在取得有关机构的不可抗力证明或双方谅解确认后，允许延期履行或修订合同，并 根据情况可部分或全部免于承担违约责任。</w:t>
      </w:r>
    </w:p>
    <w:p>
      <w:pPr>
        <w:pStyle w:val="null3"/>
        <w:jc w:val="left"/>
      </w:pPr>
      <w:r>
        <w:rPr>
          <w:sz w:val="21"/>
          <w:b/>
          <w:color w:val="000000"/>
        </w:rPr>
        <w:t>十二、税费</w:t>
      </w:r>
    </w:p>
    <w:p>
      <w:pPr>
        <w:pStyle w:val="null3"/>
        <w:ind w:firstLine="420"/>
        <w:jc w:val="left"/>
      </w:pPr>
      <w:r>
        <w:rPr>
          <w:sz w:val="21"/>
          <w:color w:val="000000"/>
        </w:rPr>
        <w:t>在中国境内、外发生的与本合同执行有关的一切税费均由乙方负担。</w:t>
      </w:r>
    </w:p>
    <w:p>
      <w:pPr>
        <w:pStyle w:val="null3"/>
        <w:jc w:val="left"/>
      </w:pPr>
      <w:r>
        <w:rPr>
          <w:sz w:val="21"/>
          <w:b/>
          <w:color w:val="000000"/>
        </w:rPr>
        <w:t>十三、其它</w:t>
      </w:r>
    </w:p>
    <w:p>
      <w:pPr>
        <w:pStyle w:val="null3"/>
        <w:ind w:firstLine="420"/>
        <w:jc w:val="left"/>
      </w:pPr>
      <w:r>
        <w:rPr>
          <w:sz w:val="21"/>
          <w:color w:val="000000"/>
        </w:rPr>
        <w:t>1) 本合同所有附件、招标文件、投标文件、中标通知书通知书均为合同的有效组成部分，与本合同具有同等法律效力。</w:t>
      </w:r>
      <w:r>
        <w:rPr>
          <w:sz w:val="21"/>
          <w:b/>
        </w:rPr>
        <w:t xml:space="preserve"> </w:t>
      </w:r>
    </w:p>
    <w:p>
      <w:pPr>
        <w:pStyle w:val="null3"/>
        <w:ind w:firstLine="420"/>
        <w:jc w:val="left"/>
      </w:pPr>
      <w:r>
        <w:rPr>
          <w:sz w:val="21"/>
          <w:color w:val="000000"/>
        </w:rPr>
        <w:t>2) 在执行本合同的过程中，所有经双方签署确认的文件（包括会议纪要、补充协议、往来信函）即成为本合同的有效组成部分。</w:t>
      </w:r>
    </w:p>
    <w:p>
      <w:pPr>
        <w:pStyle w:val="null3"/>
        <w:ind w:firstLine="420"/>
        <w:jc w:val="left"/>
      </w:pPr>
      <w:r>
        <w:rPr>
          <w:sz w:val="21"/>
          <w:color w:val="000000"/>
        </w:rPr>
        <w:t>3) 如一方地址、电话、传真号码有变更，应在变更当日内书面通知对方，否则，应承担相应责任。</w:t>
      </w:r>
    </w:p>
    <w:p>
      <w:pPr>
        <w:pStyle w:val="null3"/>
        <w:ind w:firstLine="420"/>
        <w:jc w:val="left"/>
      </w:pPr>
      <w:r>
        <w:rPr>
          <w:sz w:val="21"/>
          <w:color w:val="000000"/>
        </w:rPr>
        <w:t>4) 除甲方事先书面同意外，乙方不得部分或全部转让其应履行的合同项下的义务。</w:t>
      </w:r>
    </w:p>
    <w:p>
      <w:pPr>
        <w:pStyle w:val="null3"/>
        <w:jc w:val="left"/>
      </w:pPr>
      <w:r>
        <w:rPr>
          <w:sz w:val="21"/>
          <w:b/>
          <w:color w:val="000000"/>
        </w:rPr>
        <w:t>十四、合同生效：</w:t>
      </w:r>
    </w:p>
    <w:p>
      <w:pPr>
        <w:pStyle w:val="null3"/>
        <w:ind w:firstLine="420"/>
        <w:jc w:val="left"/>
      </w:pPr>
      <w:r>
        <w:rPr>
          <w:sz w:val="21"/>
          <w:color w:val="000000"/>
        </w:rPr>
        <w:t>1）本合同在甲乙双方法人代表或其授权代表签字盖章后生效。</w:t>
      </w:r>
    </w:p>
    <w:p>
      <w:pPr>
        <w:pStyle w:val="null3"/>
        <w:ind w:firstLine="420"/>
        <w:jc w:val="left"/>
      </w:pPr>
      <w:r>
        <w:rPr>
          <w:sz w:val="21"/>
          <w:color w:val="000000"/>
        </w:rPr>
        <w:t>2）合同一式</w:t>
      </w:r>
      <w:r>
        <w:rPr>
          <w:sz w:val="21"/>
          <w:u w:val="single"/>
        </w:rPr>
        <w:t xml:space="preserve">      </w:t>
      </w:r>
      <w:r>
        <w:rPr>
          <w:sz w:val="21"/>
          <w:color w:val="000000"/>
        </w:rPr>
        <w:t>份。</w:t>
      </w:r>
    </w:p>
    <w:p>
      <w:pPr>
        <w:pStyle w:val="null3"/>
        <w:jc w:val="left"/>
      </w:pPr>
      <w:r>
        <w:rPr>
          <w:sz w:val="21"/>
          <w:color w:val="000000"/>
        </w:rPr>
        <w:t>甲方（盖章）：</w:t>
      </w:r>
      <w:r>
        <w:rPr>
          <w:sz w:val="21"/>
          <w:color w:val="000000"/>
        </w:rPr>
        <w:t xml:space="preserve">                                                                       </w:t>
      </w:r>
      <w:r>
        <w:rPr>
          <w:sz w:val="21"/>
          <w:color w:val="000000"/>
        </w:rPr>
        <w:t>乙方（盖章）：</w:t>
      </w:r>
    </w:p>
    <w:p>
      <w:pPr>
        <w:pStyle w:val="null3"/>
        <w:jc w:val="left"/>
      </w:pPr>
      <w:r>
        <w:rPr>
          <w:sz w:val="21"/>
          <w:color w:val="000000"/>
        </w:rPr>
        <w:t>代表：</w:t>
      </w:r>
      <w:r>
        <w:rPr>
          <w:sz w:val="21"/>
        </w:rPr>
        <w:t xml:space="preserve">                                                                                    </w:t>
      </w:r>
      <w:r>
        <w:rPr>
          <w:sz w:val="21"/>
          <w:color w:val="000000"/>
        </w:rPr>
        <w:t>代表：</w:t>
      </w:r>
    </w:p>
    <w:p>
      <w:pPr>
        <w:pStyle w:val="null3"/>
        <w:jc w:val="left"/>
      </w:pPr>
      <w:r>
        <w:rPr>
          <w:sz w:val="21"/>
          <w:color w:val="000000"/>
        </w:rPr>
        <w:t>签定地点：</w:t>
      </w:r>
      <w:r>
        <w:rPr>
          <w:sz w:val="21"/>
          <w:color w:val="000000"/>
        </w:rPr>
        <w:t xml:space="preserve">                                                                             </w:t>
      </w:r>
      <w:r>
        <w:rPr>
          <w:sz w:val="21"/>
          <w:color w:val="000000"/>
        </w:rPr>
        <w:t>签定地点：</w:t>
      </w:r>
    </w:p>
    <w:p>
      <w:pPr>
        <w:pStyle w:val="null3"/>
        <w:jc w:val="left"/>
      </w:pPr>
      <w:r>
        <w:rPr>
          <w:sz w:val="21"/>
          <w:color w:val="000000"/>
        </w:rPr>
        <w:t>签定日期：</w:t>
      </w:r>
      <w:r>
        <w:rPr>
          <w:sz w:val="21"/>
          <w:color w:val="000000"/>
        </w:rPr>
        <w:t>______</w:t>
      </w:r>
      <w:r>
        <w:rPr>
          <w:sz w:val="21"/>
          <w:color w:val="000000"/>
        </w:rPr>
        <w:t>年</w:t>
      </w:r>
      <w:r>
        <w:rPr>
          <w:sz w:val="21"/>
          <w:color w:val="000000"/>
        </w:rPr>
        <w:t>___</w:t>
      </w:r>
      <w:r>
        <w:rPr>
          <w:sz w:val="21"/>
          <w:color w:val="000000"/>
        </w:rPr>
        <w:t>月</w:t>
      </w:r>
      <w:r>
        <w:rPr>
          <w:sz w:val="21"/>
          <w:color w:val="000000"/>
        </w:rPr>
        <w:t>___</w:t>
      </w:r>
      <w:r>
        <w:rPr>
          <w:sz w:val="21"/>
          <w:color w:val="000000"/>
        </w:rPr>
        <w:t>日</w:t>
      </w:r>
      <w:r>
        <w:rPr>
          <w:sz w:val="21"/>
        </w:rPr>
        <w:t xml:space="preserve">                                                 </w:t>
      </w:r>
      <w:r>
        <w:rPr>
          <w:sz w:val="21"/>
          <w:color w:val="000000"/>
        </w:rPr>
        <w:t>签定日期：</w:t>
      </w:r>
      <w:r>
        <w:rPr>
          <w:sz w:val="21"/>
          <w:color w:val="000000"/>
        </w:rPr>
        <w:t>______</w:t>
      </w:r>
      <w:r>
        <w:rPr>
          <w:sz w:val="21"/>
          <w:color w:val="000000"/>
        </w:rPr>
        <w:t>年</w:t>
      </w:r>
      <w:r>
        <w:rPr>
          <w:sz w:val="21"/>
          <w:color w:val="000000"/>
        </w:rPr>
        <w:t>___</w:t>
      </w:r>
      <w:r>
        <w:rPr>
          <w:sz w:val="21"/>
          <w:color w:val="000000"/>
        </w:rPr>
        <w:t>月</w:t>
      </w:r>
      <w:r>
        <w:rPr>
          <w:sz w:val="21"/>
          <w:color w:val="000000"/>
        </w:rPr>
        <w:t>___</w:t>
      </w:r>
      <w:r>
        <w:rPr>
          <w:sz w:val="21"/>
          <w:color w:val="000000"/>
        </w:rPr>
        <w:t>日</w:t>
      </w:r>
    </w:p>
    <w:p>
      <w:pPr>
        <w:pStyle w:val="null3"/>
        <w:ind w:left="5460" w:firstLine="420"/>
        <w:jc w:val="left"/>
      </w:pPr>
      <w:r>
        <w:rPr>
          <w:sz w:val="21"/>
          <w:color w:val="000000"/>
        </w:rPr>
        <w:t>开户名称：</w:t>
      </w:r>
    </w:p>
    <w:p>
      <w:pPr>
        <w:pStyle w:val="null3"/>
        <w:ind w:left="5460" w:firstLine="420"/>
        <w:jc w:val="left"/>
      </w:pPr>
      <w:r>
        <w:rPr>
          <w:sz w:val="21"/>
          <w:color w:val="000000"/>
        </w:rPr>
        <w:t>银行帐号：</w:t>
      </w:r>
    </w:p>
    <w:p>
      <w:pPr>
        <w:pStyle w:val="null3"/>
        <w:ind w:left="5460" w:firstLine="420"/>
        <w:jc w:val="left"/>
      </w:pPr>
      <w:r>
        <w:rPr>
          <w:sz w:val="21"/>
          <w:color w:val="000000"/>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440705-2025-01266</w:t>
      </w:r>
    </w:p>
    <w:p>
      <w:pPr>
        <w:pStyle w:val="null3"/>
        <w:jc w:val="center"/>
        <w:outlineLvl w:val="3"/>
      </w:pPr>
      <w:r>
        <w:rPr>
          <w:sz w:val="24"/>
          <w:b/>
        </w:rPr>
        <w:t>采购项目编号：</w:t>
      </w:r>
      <w:r>
        <w:rPr>
          <w:sz w:val="24"/>
          <w:b/>
        </w:rPr>
        <w:t>0724-2511Z1615193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江门市新会区中医院检验及病理外送检测服务项目</w:t>
      </w:r>
      <w:r>
        <w:rPr>
          <w:u w:val="single"/>
        </w:rPr>
        <w:t>”</w:t>
      </w:r>
      <w:r>
        <w:rPr/>
        <w:t>项目的招标[采购项目编号为：</w:t>
      </w:r>
      <w:r>
        <w:rPr>
          <w:u w:val="single"/>
        </w:rPr>
        <w:t>0724-2511Z1615193</w:t>
      </w:r>
      <w:r>
        <w:rPr/>
        <w:t>]，我方愿参与投标。</w:t>
      </w:r>
    </w:p>
    <w:p>
      <w:pPr>
        <w:pStyle w:val="null3"/>
        <w:ind w:firstLine="480"/>
      </w:pPr>
      <w:r>
        <w:rPr/>
        <w:t>我方确认收到贵方提供的</w:t>
      </w:r>
      <w:r>
        <w:rPr>
          <w:u w:val="single"/>
        </w:rPr>
        <w:t>“</w:t>
      </w:r>
      <w:r>
        <w:rPr>
          <w:u w:val="single"/>
        </w:rPr>
        <w:t>江门市新会区中医院检验及病理外送检测服务项目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江门市新会区中医院检验及病理外送检测服务项目</w:t>
      </w:r>
      <w:r>
        <w:rPr/>
        <w:t>”项目采购[采购项目编号为</w:t>
      </w:r>
      <w:r>
        <w:rPr/>
        <w:t>0724-2511Z1615193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江门市新会区中医院检验及病理外送检测服务项目</w:t>
      </w:r>
      <w:r>
        <w:rPr/>
        <w:t>招标中获中标（采购项目编号：</w:t>
      </w:r>
      <w:r>
        <w:rPr/>
        <w:t>0724-2511Z1615193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江门市新会区中医院检验及病理外送检测服务项目</w:t>
      </w:r>
      <w:r>
        <w:rPr/>
        <w:t>”项目（采购项目编号：</w:t>
      </w:r>
      <w:r>
        <w:rPr/>
        <w:t>0724-2511Z1615193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