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440101-2026-05130</w:t>
      </w:r>
    </w:p>
    <w:p>
      <w:pPr>
        <w:pStyle w:val="null3"/>
        <w:jc w:val="center"/>
        <w:outlineLvl w:val="3"/>
      </w:pPr>
      <w:r>
        <w:rPr>
          <w:sz w:val="24"/>
          <w:b/>
        </w:rPr>
        <w:t>采购项目编号：</w:t>
      </w:r>
      <w:r>
        <w:rPr>
          <w:sz w:val="24"/>
          <w:b/>
        </w:rPr>
        <w:t>0724-2631ZI971815</w:t>
      </w:r>
    </w:p>
    <w:p>
      <w:pPr>
        <w:pStyle w:val="null3"/>
        <w:jc w:val="center"/>
        <w:outlineLvl w:val="3"/>
      </w:pPr>
      <w:r>
        <w:rPr>
          <w:sz w:val="24"/>
          <w:b/>
        </w:rPr>
        <w:t>项目名称：</w:t>
      </w:r>
      <w:r>
        <w:rPr>
          <w:sz w:val="24"/>
          <w:b/>
        </w:rPr>
        <w:t>广州市重点企业深度治理源头减排技术帮扶项目</w:t>
      </w:r>
    </w:p>
    <w:p>
      <w:pPr>
        <w:pStyle w:val="null3"/>
        <w:jc w:val="center"/>
        <w:outlineLvl w:val="3"/>
      </w:pPr>
      <w:r>
        <w:rPr>
          <w:sz w:val="24"/>
          <w:b/>
        </w:rPr>
        <w:t>采购人：</w:t>
      </w:r>
      <w:r>
        <w:rPr>
          <w:sz w:val="24"/>
          <w:b/>
        </w:rPr>
        <w:t>广州市生态环境局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广州市生态环境局</w:t>
      </w:r>
      <w:r>
        <w:rPr/>
        <w:t>的委托，采用</w:t>
      </w:r>
      <w:r>
        <w:rPr/>
        <w:t>公开招标</w:t>
      </w:r>
      <w:r>
        <w:rPr/>
        <w:t>方式组织采购</w:t>
      </w:r>
      <w:r>
        <w:rPr/>
        <w:t>广州市重点企业深度治理源头减排技术帮扶项目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广州市重点企业深度治理源头减排技术帮扶项目</w:t>
      </w:r>
    </w:p>
    <w:p>
      <w:pPr>
        <w:pStyle w:val="null3"/>
        <w:ind w:firstLine="480"/>
      </w:pPr>
      <w:r>
        <w:rPr/>
        <w:t>采购计划编号：</w:t>
      </w:r>
      <w:r>
        <w:rPr/>
        <w:t>440101-2026-05130</w:t>
      </w:r>
    </w:p>
    <w:p>
      <w:pPr>
        <w:pStyle w:val="null3"/>
        <w:ind w:firstLine="480"/>
      </w:pPr>
      <w:r>
        <w:rPr/>
        <w:t>采购项目编号：</w:t>
      </w:r>
      <w:r>
        <w:rPr/>
        <w:t>0724-2631ZI971815</w:t>
      </w:r>
    </w:p>
    <w:p>
      <w:pPr>
        <w:pStyle w:val="null3"/>
        <w:ind w:firstLine="480"/>
      </w:pPr>
      <w:r>
        <w:rPr/>
        <w:t>采购方式：</w:t>
      </w:r>
      <w:r>
        <w:rPr/>
        <w:t>公开招标</w:t>
      </w:r>
    </w:p>
    <w:p>
      <w:pPr>
        <w:pStyle w:val="null3"/>
        <w:ind w:firstLine="480"/>
      </w:pPr>
      <w:r>
        <w:rPr/>
        <w:t>预算金额：</w:t>
      </w:r>
      <w:r>
        <w:rPr/>
        <w:t>2,350,000.00</w:t>
      </w:r>
      <w:r>
        <w:rPr/>
        <w:t>元</w:t>
      </w:r>
    </w:p>
    <w:p>
      <w:pPr>
        <w:pStyle w:val="null3"/>
        <w:outlineLvl w:val="3"/>
      </w:pPr>
      <w:r>
        <w:rPr>
          <w:sz w:val="24"/>
          <w:b/>
        </w:rPr>
        <w:t>2.项目内容及需求情况（采购项目技术规格、参数及要求）</w:t>
      </w:r>
    </w:p>
    <w:p>
      <w:pPr>
        <w:pStyle w:val="null3"/>
      </w:pPr>
      <w:r>
        <w:rPr/>
        <w:t>采购包1(广州市重点企业深度治理源头减排技术帮扶项目):</w:t>
      </w:r>
    </w:p>
    <w:p>
      <w:pPr>
        <w:pStyle w:val="null3"/>
      </w:pPr>
      <w:r>
        <w:rPr/>
        <w:t>采购包预算金额：2,350,000.00元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其他生态环境保护服务</w:t>
            </w:r>
          </w:p>
        </w:tc>
        <w:tc>
          <w:tcPr>
            <w:tcW w:type="dxa" w:w="2136"/>
          </w:tcPr>
          <w:p>
            <w:pPr>
              <w:pStyle w:val="null3"/>
            </w:pPr>
            <w:r>
              <w:rPr/>
              <w:t>广州市重点企业深度治理源头减排技术帮扶项目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以联合体形式投标，则联合体各方均须满足要求，并提供上述材料）。</w:t>
      </w:r>
    </w:p>
    <w:p>
      <w:pPr>
        <w:pStyle w:val="null3"/>
      </w:pPr>
      <w:r>
        <w:rPr/>
        <w:t>2）有依法缴纳税收和社会保障资金的良好记录：提供《资格条件承诺函》（以联合体形式投标，则联合体各方均须满足要求，并提供上述材料），格式详见公告附件。</w:t>
      </w:r>
    </w:p>
    <w:p>
      <w:pPr>
        <w:pStyle w:val="null3"/>
      </w:pPr>
      <w:r>
        <w:rPr/>
        <w:t>3）具有良好的商业信誉和健全的财务会计制度：提供《资格条件承诺函》（以联合体形式投标，则联合体各方均须满足要求，并提供上述材料），格式详见公告附件。</w:t>
      </w:r>
    </w:p>
    <w:p>
      <w:pPr>
        <w:pStyle w:val="null3"/>
      </w:pPr>
      <w:r>
        <w:rPr/>
        <w:t>4）履行合同所必需的设备和专业技术能力：提供《资格条件承诺函》（以联合体形式投标，则联合体各方均须满足要求，并提供上述材料），格式详见公告附件。</w:t>
      </w:r>
    </w:p>
    <w:p>
      <w:pPr>
        <w:pStyle w:val="null3"/>
      </w:pPr>
      <w:r>
        <w:rPr/>
        <w:t>5）参加采购活动前3年内，在经营活动中没有重大违法记录：提供《资格条件承诺函》（以联合体形式投标，则联合体各方均须满足要求，并提供上述材料），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采购包1（广州市重点企业深度治理源头减排技术帮扶项目）：</w:t>
      </w:r>
      <w:r>
        <w:rPr/>
        <w:t>本采购包专门面向中小企业采购，投标人（以联合体形式投标，则为联合体各方）必须为符合本采购包采购标的所属行业划分标准的中小企业。 【注：本项目采购标的所属行业为其他未列明行业。投标人须按采购文件中规定的格式提供《中小企业声明函（工程、服务）》或《残疾人福利性单位声明函》或由监狱管理局、戒毒管理局（含新疆生产建设兵团）出具的属于监狱企业的证明文件；以联合体形式参与投标的，提供上述文件外，同时提供《联合体共同投标协议书》，并在协议中明确中小微企业承担的合同份额】</w:t>
      </w:r>
    </w:p>
    <w:p>
      <w:pPr>
        <w:pStyle w:val="null3"/>
        <w:outlineLvl w:val="3"/>
      </w:pPr>
      <w:r>
        <w:rPr>
          <w:sz w:val="24"/>
          <w:b/>
        </w:rPr>
        <w:t>3.本项目特定的资格要求：</w:t>
      </w:r>
    </w:p>
    <w:p>
      <w:pPr>
        <w:pStyle w:val="null3"/>
      </w:pPr>
      <w:r>
        <w:rPr/>
        <w:t>采购包1（广州市重点企业深度治理源头减排技术帮扶项目）：</w:t>
      </w:r>
    </w:p>
    <w:p>
      <w:pPr>
        <w:pStyle w:val="null3"/>
      </w:pPr>
      <w:r>
        <w:rPr/>
        <w:t>1)供应商（以联合体形式投标，则为联合体各方）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4)本项目接受联合体投标，组成联合体的单位不得超过5家。以联合体形式投标的，联合体各方应按招标文件提供的格式签订《联合体共同投标协议书》，明确联合体牵头人，载明联合体各方承担的工作和义务。</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广州市生态环境局</w:t>
      </w:r>
    </w:p>
    <w:p>
      <w:pPr>
        <w:pStyle w:val="null3"/>
        <w:ind w:firstLine="480"/>
      </w:pPr>
      <w:r>
        <w:rPr/>
        <w:t xml:space="preserve"> 地址：</w:t>
      </w:r>
      <w:r>
        <w:rPr/>
        <w:t>广州市越秀区环市中路311号</w:t>
      </w:r>
    </w:p>
    <w:p>
      <w:pPr>
        <w:pStyle w:val="null3"/>
        <w:ind w:firstLine="480"/>
      </w:pPr>
      <w:r>
        <w:rPr/>
        <w:t xml:space="preserve"> 联系方式：</w:t>
      </w:r>
      <w:r>
        <w:rPr/>
        <w:t>020-83203095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2024年11月，广东省人民政府印发《广东省空气质量持续改善行动方案的通知》（粤府〔2024〕85号），要求“全面推广使用低（无）VOCs含量原辅材料，实施源头替代工程，加大工业涂装、包装印刷和电子行业低（无）VOCs含量原辅材料替代力度”。</w:t>
      </w:r>
    </w:p>
    <w:p>
      <w:pPr>
        <w:pStyle w:val="null3"/>
        <w:ind w:firstLine="420"/>
        <w:jc w:val="both"/>
      </w:pPr>
      <w:r>
        <w:rPr>
          <w:sz w:val="21"/>
          <w:shd w:fill="FFFFFF" w:val="clear"/>
        </w:rPr>
        <w:t>2025年，广州市空气质量全面达标，优良天数比例达93.4%，连续三年超九成</w:t>
      </w:r>
      <w:r>
        <w:rPr>
          <w:sz w:val="21"/>
          <w:shd w:fill="FFFFFF" w:val="clear"/>
        </w:rPr>
        <w:t>；</w:t>
      </w:r>
      <w:r>
        <w:rPr>
          <w:sz w:val="21"/>
          <w:shd w:fill="FFFFFF" w:val="clear"/>
        </w:rPr>
        <w:t>PM</w:t>
      </w:r>
      <w:r>
        <w:rPr>
          <w:sz w:val="21"/>
          <w:vertAlign w:val="subscript"/>
          <w:shd w:fill="FFFFFF" w:val="clear"/>
        </w:rPr>
        <w:t>2.5</w:t>
      </w:r>
      <w:r>
        <w:rPr>
          <w:sz w:val="21"/>
          <w:shd w:fill="FFFFFF" w:val="clear"/>
        </w:rPr>
        <w:t>浓度均值为</w:t>
      </w:r>
      <w:r>
        <w:rPr>
          <w:sz w:val="21"/>
          <w:shd w:fill="FFFFFF" w:val="clear"/>
        </w:rPr>
        <w:t>21.5微克/立方米，连续6年达到世卫组织第二阶段标准，在国家中心城市保持最优。</w:t>
      </w:r>
      <w:r>
        <w:rPr>
          <w:sz w:val="21"/>
          <w:shd w:fill="FFFFFF" w:val="clear"/>
        </w:rPr>
        <w:t>广州市以打造美丽中国城市样板为统领，</w:t>
      </w:r>
      <w:r>
        <w:rPr>
          <w:sz w:val="21"/>
          <w:shd w:fill="FFFFFF" w:val="clear"/>
        </w:rPr>
        <w:t>2025年12月，广州市人民政府印发《美丽广州建设规划纲要（2025—2035年）》（穗府〔2025〕6号），提出“强化重点行业污染深度治理。推进VOCs全过程综合治理，加大低VOCs含量原辅材料替代力度，推动重点领域VOCs深度治理，开展重点行业涉VOCs排放专项整治，实施涉VOCs重点企业分级管控和低效失效治理设施升级改造”等具体大气环境管理要求，因此，开展广州市重点企业深度治理源头减排技术帮扶项目，聚焦广州市重点企业源头减量深度治理存在的主要困难，对重点企业开展“一站式”技术帮扶工作，通过源头减量、工艺提升等路径减少VOCs排放量，为广州市在低浓度PM</w:t>
      </w:r>
      <w:r>
        <w:rPr>
          <w:sz w:val="21"/>
          <w:vertAlign w:val="subscript"/>
          <w:shd w:fill="FFFFFF" w:val="clear"/>
        </w:rPr>
        <w:t>2.5</w:t>
      </w:r>
      <w:r>
        <w:rPr>
          <w:sz w:val="21"/>
          <w:shd w:fill="FFFFFF" w:val="clear"/>
        </w:rPr>
        <w:t>阶段下的持续提升环境空气质量，强化</w:t>
      </w:r>
      <w:r>
        <w:rPr>
          <w:sz w:val="21"/>
          <w:shd w:fill="FFFFFF" w:val="clear"/>
        </w:rPr>
        <w:t>VOCs等多污染物协同减排及重点企业的深度治理减排，实现“十五五”良好开局提供基础支撑和重要抓手。</w:t>
      </w:r>
    </w:p>
    <w:p>
      <w:pPr>
        <w:pStyle w:val="null3"/>
        <w:ind w:firstLine="422"/>
        <w:jc w:val="both"/>
      </w:pPr>
      <w:r>
        <w:rPr>
          <w:sz w:val="21"/>
          <w:b/>
        </w:rPr>
        <w:t>二、工作目标</w:t>
      </w:r>
    </w:p>
    <w:p>
      <w:pPr>
        <w:pStyle w:val="null3"/>
        <w:ind w:firstLine="420"/>
        <w:jc w:val="both"/>
      </w:pPr>
      <w:r>
        <w:rPr>
          <w:sz w:val="21"/>
          <w:shd w:fill="FFFFFF" w:val="clear"/>
        </w:rPr>
        <w:t>基于已有的工作基础，对接不少于</w:t>
      </w:r>
      <w:r>
        <w:rPr>
          <w:sz w:val="21"/>
          <w:shd w:fill="FFFFFF" w:val="clear"/>
        </w:rPr>
        <w:t>60家重点企业深度治理需求，建立深度治理改造的项目储备库，形成30家“一站式”源头减量深度治理企业技术帮扶方案和动态推动清单；建立企业源头减量深度治理经验及难点案例库和重点行业技术改造推荐目录，搭建信息交流渠道，促进VOCs优秀治理技术和治理经验的推广宣传。</w:t>
      </w:r>
    </w:p>
    <w:p>
      <w:pPr>
        <w:pStyle w:val="null3"/>
        <w:ind w:firstLine="422"/>
        <w:jc w:val="both"/>
      </w:pPr>
      <w:r>
        <w:rPr>
          <w:sz w:val="21"/>
          <w:b/>
        </w:rPr>
        <w:t>三、项目</w:t>
      </w:r>
      <w:r>
        <w:rPr>
          <w:sz w:val="21"/>
          <w:b/>
        </w:rPr>
        <w:t>技术</w:t>
      </w:r>
      <w:r>
        <w:rPr>
          <w:sz w:val="21"/>
          <w:b/>
        </w:rPr>
        <w:t>需求</w:t>
      </w:r>
    </w:p>
    <w:p>
      <w:pPr>
        <w:pStyle w:val="null3"/>
        <w:ind w:firstLine="422"/>
        <w:jc w:val="both"/>
      </w:pPr>
      <w:r>
        <w:rPr>
          <w:sz w:val="21"/>
          <w:b/>
        </w:rPr>
        <w:t>（一）建立帮扶企业清单库筛选重点帮扶名单</w:t>
      </w:r>
    </w:p>
    <w:p>
      <w:pPr>
        <w:pStyle w:val="null3"/>
        <w:ind w:firstLine="422"/>
        <w:jc w:val="both"/>
      </w:pPr>
      <w:r>
        <w:rPr>
          <w:sz w:val="21"/>
          <w:b/>
        </w:rPr>
        <w:t>1.行业范围筛选</w:t>
      </w:r>
    </w:p>
    <w:p>
      <w:pPr>
        <w:pStyle w:val="null3"/>
        <w:ind w:firstLine="420"/>
        <w:jc w:val="both"/>
      </w:pPr>
      <w:r>
        <w:rPr>
          <w:sz w:val="21"/>
          <w:shd w:fill="FFFFFF" w:val="clear"/>
        </w:rPr>
        <w:t>根据广州市</w:t>
      </w:r>
      <w:r>
        <w:rPr>
          <w:sz w:val="21"/>
          <w:shd w:fill="FFFFFF" w:val="clear"/>
        </w:rPr>
        <w:t>VOCs排放源基础数据，分析全市的VOCs主要来源行业，结合排放特征，确定帮扶对象的重点行业范围，包括但不限于电子、包装印刷、家具制造、表面涂装等行业。</w:t>
      </w:r>
    </w:p>
    <w:p>
      <w:pPr>
        <w:pStyle w:val="null3"/>
        <w:ind w:firstLine="422"/>
        <w:jc w:val="both"/>
      </w:pPr>
      <w:r>
        <w:rPr>
          <w:sz w:val="21"/>
          <w:b/>
        </w:rPr>
        <w:t>2.空间范围确定</w:t>
      </w:r>
    </w:p>
    <w:p>
      <w:pPr>
        <w:pStyle w:val="null3"/>
        <w:ind w:firstLine="420"/>
        <w:jc w:val="both"/>
      </w:pPr>
      <w:r>
        <w:rPr>
          <w:sz w:val="21"/>
          <w:shd w:fill="FFFFFF" w:val="clear"/>
        </w:rPr>
        <w:t>使用扩散轨迹快速溯源模型，分析对空气质量数据产生关键影响的敏感区域，评估在</w:t>
      </w:r>
      <w:r>
        <w:rPr>
          <w:sz w:val="21"/>
          <w:shd w:fill="FFFFFF" w:val="clear"/>
        </w:rPr>
        <w:t>PM</w:t>
      </w:r>
      <w:r>
        <w:rPr>
          <w:sz w:val="21"/>
          <w:vertAlign w:val="subscript"/>
          <w:shd w:fill="FFFFFF" w:val="clear"/>
        </w:rPr>
        <w:t>2.5</w:t>
      </w:r>
      <w:r>
        <w:rPr>
          <w:sz w:val="21"/>
          <w:shd w:fill="FFFFFF" w:val="clear"/>
        </w:rPr>
        <w:t>污染物浓度高值阶段的污染来源区域，为后续重点企业名单库的筛选提供空间范围确定条件。</w:t>
      </w:r>
    </w:p>
    <w:p>
      <w:pPr>
        <w:pStyle w:val="null3"/>
        <w:ind w:firstLine="422"/>
        <w:jc w:val="both"/>
      </w:pPr>
      <w:r>
        <w:rPr>
          <w:sz w:val="21"/>
          <w:b/>
        </w:rPr>
        <w:t>3.帮扶企业清单库建立</w:t>
      </w:r>
    </w:p>
    <w:p>
      <w:pPr>
        <w:pStyle w:val="null3"/>
        <w:ind w:firstLine="420"/>
        <w:jc w:val="both"/>
      </w:pPr>
      <w:r>
        <w:rPr>
          <w:sz w:val="21"/>
          <w:shd w:fill="FFFFFF" w:val="clear"/>
        </w:rPr>
        <w:t>在重点行业和空间范围分析结果上，结合广州市企业绩效分级名单，推动</w:t>
      </w:r>
      <w:r>
        <w:rPr>
          <w:sz w:val="21"/>
          <w:shd w:fill="FFFFFF" w:val="clear"/>
        </w:rPr>
        <w:t>C级企业深度治理、B级企业持续优化升级，建立需帮扶的企业清单库。从清单库中综合筛选不少于60家重点企业，对照《广东省涉挥发性有机物（VOCs）重点行业治理指引》，全面摸清企业关键环节，了解企业深度治理改造意愿、产品质量约束及技术壁垒等原因，分析VOCs减排途径，形成共性需求清单。</w:t>
      </w:r>
    </w:p>
    <w:p>
      <w:pPr>
        <w:pStyle w:val="null3"/>
        <w:ind w:firstLine="422"/>
        <w:jc w:val="both"/>
      </w:pPr>
      <w:r>
        <w:rPr>
          <w:sz w:val="21"/>
          <w:b/>
        </w:rPr>
        <w:t>（二）重点企业源头减量深度治理</w:t>
      </w:r>
      <w:r>
        <w:rPr>
          <w:sz w:val="21"/>
          <w:b/>
        </w:rPr>
        <w:t>“一站式”帮扶</w:t>
      </w:r>
    </w:p>
    <w:p>
      <w:pPr>
        <w:pStyle w:val="null3"/>
        <w:ind w:firstLine="422"/>
        <w:jc w:val="both"/>
      </w:pPr>
      <w:r>
        <w:rPr>
          <w:sz w:val="21"/>
          <w:b/>
        </w:rPr>
        <w:t>1.“一对一”源头减量帮扶企业确定</w:t>
      </w:r>
    </w:p>
    <w:p>
      <w:pPr>
        <w:pStyle w:val="null3"/>
        <w:ind w:firstLine="420"/>
        <w:jc w:val="both"/>
      </w:pPr>
      <w:r>
        <w:rPr>
          <w:sz w:val="21"/>
          <w:shd w:fill="FFFFFF" w:val="clear"/>
        </w:rPr>
        <w:t>综合考量帮扶企业的深度治理潜力、深度治理提升路径及企业自身难点，从中筛选</w:t>
      </w:r>
      <w:r>
        <w:rPr>
          <w:sz w:val="21"/>
          <w:shd w:fill="FFFFFF" w:val="clear"/>
        </w:rPr>
        <w:t>30家具备高VOCs源头减量潜力、深度治理提升路径可行性较高、案例较典型且具备较高可复制性的企业作为重点核查企业，进一步开展企业深度治理“一对一”技术帮扶。</w:t>
      </w:r>
    </w:p>
    <w:p>
      <w:pPr>
        <w:pStyle w:val="null3"/>
        <w:ind w:firstLine="422"/>
        <w:jc w:val="both"/>
      </w:pPr>
      <w:r>
        <w:rPr>
          <w:sz w:val="21"/>
          <w:b/>
        </w:rPr>
        <w:t>2.企业深度治理“一对一”技术帮扶</w:t>
      </w:r>
    </w:p>
    <w:p>
      <w:pPr>
        <w:pStyle w:val="null3"/>
        <w:ind w:firstLine="420"/>
        <w:jc w:val="both"/>
      </w:pPr>
      <w:r>
        <w:rPr>
          <w:sz w:val="21"/>
          <w:shd w:fill="FFFFFF" w:val="clear"/>
        </w:rPr>
        <w:t>逐家企业</w:t>
      </w:r>
      <w:r>
        <w:rPr>
          <w:sz w:val="21"/>
          <w:shd w:fill="FFFFFF" w:val="clear"/>
        </w:rPr>
        <w:t>“一对一”梳理源头减量替代具体改造难点，从原辅料替代、减量化工艺技术等方面，定制精准可行的企业VOCs减排路径，协助企业量身定做减量深度治理方案，并对减排量进行初步测算。组织开展不少于1次重点行业交流研讨会，形成“一站式”减量深度治理企业技术帮扶方案。</w:t>
      </w:r>
    </w:p>
    <w:p>
      <w:pPr>
        <w:pStyle w:val="null3"/>
        <w:ind w:firstLine="422"/>
        <w:jc w:val="both"/>
      </w:pPr>
      <w:r>
        <w:rPr>
          <w:sz w:val="21"/>
          <w:b/>
        </w:rPr>
        <w:t>3.动态跟踪评估企业深度治理成效</w:t>
      </w:r>
    </w:p>
    <w:p>
      <w:pPr>
        <w:pStyle w:val="null3"/>
        <w:ind w:firstLine="420"/>
        <w:jc w:val="both"/>
      </w:pPr>
      <w:r>
        <w:rPr>
          <w:sz w:val="21"/>
          <w:shd w:fill="FFFFFF" w:val="clear"/>
        </w:rPr>
        <w:t>针对以上重点帮扶企业，建立企业</w:t>
      </w:r>
      <w:r>
        <w:rPr>
          <w:sz w:val="21"/>
          <w:shd w:fill="FFFFFF" w:val="clear"/>
        </w:rPr>
        <w:t>VOCs治理任务进度表，及时对相关企业难点</w:t>
      </w:r>
      <w:r>
        <w:rPr>
          <w:sz w:val="21"/>
          <w:shd w:fill="FFFFFF" w:val="clear"/>
        </w:rPr>
        <w:t>诉求</w:t>
      </w:r>
      <w:r>
        <w:rPr>
          <w:sz w:val="21"/>
          <w:shd w:fill="FFFFFF" w:val="clear"/>
        </w:rPr>
        <w:t>给予帮扶指导。针对改造过程中企业关键时间节点，对企业开展跟踪帮扶工作，并开展企业深度治理效率评估，及时提出调整改进建议，提供企业深度治理跟踪帮扶动态推进清单。</w:t>
      </w:r>
    </w:p>
    <w:p>
      <w:pPr>
        <w:pStyle w:val="null3"/>
        <w:ind w:firstLine="422"/>
        <w:jc w:val="both"/>
      </w:pPr>
      <w:r>
        <w:rPr>
          <w:sz w:val="21"/>
          <w:b/>
        </w:rPr>
        <w:t>4.评估深度治理费效比</w:t>
      </w:r>
    </w:p>
    <w:p>
      <w:pPr>
        <w:pStyle w:val="null3"/>
        <w:ind w:firstLine="420"/>
        <w:jc w:val="both"/>
      </w:pPr>
      <w:r>
        <w:rPr>
          <w:sz w:val="21"/>
          <w:shd w:fill="FFFFFF" w:val="clear"/>
        </w:rPr>
        <w:t>评估企业深度治理的目标完成情况和测算治理减排效果，形成企业深度治理费效比评估报告。根据企业深度治理设施的经济投入情况，筛选出代表性好、减排效益好的企业作为推广案例。</w:t>
      </w:r>
    </w:p>
    <w:p>
      <w:pPr>
        <w:pStyle w:val="null3"/>
        <w:ind w:firstLine="422"/>
        <w:jc w:val="both"/>
      </w:pPr>
      <w:r>
        <w:rPr>
          <w:sz w:val="21"/>
          <w:b/>
        </w:rPr>
        <w:t>（三）</w:t>
      </w:r>
      <w:r>
        <w:rPr>
          <w:sz w:val="21"/>
          <w:b/>
        </w:rPr>
        <w:t>“一站式”帮扶成果转化应用与宣传</w:t>
      </w:r>
    </w:p>
    <w:p>
      <w:pPr>
        <w:pStyle w:val="null3"/>
        <w:ind w:firstLine="422"/>
        <w:jc w:val="both"/>
      </w:pPr>
      <w:r>
        <w:rPr>
          <w:sz w:val="21"/>
          <w:b/>
        </w:rPr>
        <w:t>1.帮扶成果转化应用</w:t>
      </w:r>
    </w:p>
    <w:p>
      <w:pPr>
        <w:pStyle w:val="null3"/>
        <w:ind w:firstLine="420"/>
        <w:jc w:val="both"/>
      </w:pPr>
      <w:r>
        <w:rPr>
          <w:sz w:val="21"/>
          <w:shd w:fill="FFFFFF" w:val="clear"/>
        </w:rPr>
        <w:t>梳理企业在深度治理过程的成功经验及所遇到的困难，形成广州市</w:t>
      </w:r>
      <w:r>
        <w:rPr>
          <w:sz w:val="21"/>
          <w:shd w:fill="FFFFFF" w:val="clear"/>
        </w:rPr>
        <w:t>VOCs企业深度治理经验及难点案例库，建立VOCs重点行业技术改造推荐目录。</w:t>
      </w:r>
    </w:p>
    <w:p>
      <w:pPr>
        <w:pStyle w:val="null3"/>
        <w:ind w:firstLine="422"/>
        <w:jc w:val="both"/>
      </w:pPr>
      <w:r>
        <w:rPr>
          <w:sz w:val="21"/>
          <w:b/>
        </w:rPr>
        <w:t>2.帮扶成果推广与宣贯</w:t>
      </w:r>
    </w:p>
    <w:p>
      <w:pPr>
        <w:pStyle w:val="null3"/>
        <w:ind w:firstLine="420"/>
        <w:jc w:val="both"/>
      </w:pPr>
      <w:r>
        <w:rPr>
          <w:sz w:val="21"/>
          <w:shd w:fill="FFFFFF" w:val="clear"/>
        </w:rPr>
        <w:t>举办行业交流研讨会（不少于</w:t>
      </w:r>
      <w:r>
        <w:rPr>
          <w:sz w:val="21"/>
          <w:shd w:fill="FFFFFF" w:val="clear"/>
        </w:rPr>
        <w:t>1次），展示治理经验，开展补助资金宣传，协助推动同行业的VOCs污染防治水平的提升。</w:t>
      </w:r>
    </w:p>
    <w:p>
      <w:pPr>
        <w:pStyle w:val="null3"/>
        <w:ind w:firstLine="420"/>
        <w:jc w:val="both"/>
      </w:pPr>
      <w:r>
        <w:rPr>
          <w:sz w:val="21"/>
          <w:shd w:fill="FFFFFF" w:val="clear"/>
        </w:rPr>
        <w:t>收集、梳理</w:t>
      </w:r>
      <w:r>
        <w:rPr>
          <w:sz w:val="21"/>
          <w:shd w:fill="FFFFFF" w:val="clear"/>
        </w:rPr>
        <w:t>VOCs深度治理帮扶成效数据及素材，在媒体发布不少于1篇企业减排案例，协助推广扩大VOCs整治工作成效宣传。</w:t>
      </w:r>
    </w:p>
    <w:p>
      <w:pPr>
        <w:pStyle w:val="null3"/>
        <w:ind w:firstLine="422"/>
        <w:jc w:val="both"/>
      </w:pPr>
      <w:r>
        <w:rPr>
          <w:sz w:val="21"/>
          <w:b/>
        </w:rPr>
        <w:t>四、项目服务要求</w:t>
      </w:r>
    </w:p>
    <w:p>
      <w:pPr>
        <w:pStyle w:val="null3"/>
        <w:ind w:firstLine="420"/>
        <w:jc w:val="both"/>
      </w:pPr>
      <w:r>
        <w:rPr>
          <w:sz w:val="21"/>
        </w:rPr>
        <w:t>（一）中标人必须对项目实施过程中采用、引用和接触到的所有数据进行严格保密，不能用作与本项目无关的其它用途。</w:t>
      </w:r>
    </w:p>
    <w:p>
      <w:pPr>
        <w:pStyle w:val="null3"/>
        <w:ind w:firstLine="420"/>
        <w:jc w:val="both"/>
      </w:pPr>
      <w:r>
        <w:rPr>
          <w:sz w:val="21"/>
        </w:rPr>
        <w:t>（二）中标人必须对项目实施过程中产生的结论、成果进行严格保密，不得向其它任何第三方透露。</w:t>
      </w:r>
    </w:p>
    <w:p>
      <w:pPr>
        <w:pStyle w:val="null3"/>
        <w:ind w:firstLine="420"/>
        <w:jc w:val="both"/>
      </w:pPr>
      <w:r>
        <w:rPr>
          <w:sz w:val="21"/>
        </w:rPr>
        <w:t>（三）根据采购人安排，中标人需定期组织工作会议并提交进度简报，配合项目综合绩效审核等工作。</w:t>
      </w:r>
    </w:p>
    <w:p>
      <w:pPr>
        <w:pStyle w:val="null3"/>
        <w:ind w:firstLine="420"/>
        <w:jc w:val="both"/>
      </w:pPr>
      <w:r>
        <w:rPr>
          <w:sz w:val="21"/>
        </w:rPr>
        <w:t>（四）项目完成后，中标人应向采购人提供以下成果：</w:t>
      </w:r>
    </w:p>
    <w:p>
      <w:pPr>
        <w:pStyle w:val="null3"/>
        <w:ind w:firstLine="420"/>
        <w:jc w:val="both"/>
      </w:pPr>
      <w:r>
        <w:rPr>
          <w:sz w:val="21"/>
        </w:rPr>
        <w:t>1</w:t>
      </w:r>
      <w:r>
        <w:rPr>
          <w:sz w:val="21"/>
        </w:rPr>
        <w:t>.《</w:t>
      </w:r>
      <w:r>
        <w:rPr>
          <w:sz w:val="21"/>
        </w:rPr>
        <w:t>VOCs深度治理需求清单库（不少于60家企业）</w:t>
      </w:r>
      <w:r>
        <w:rPr>
          <w:sz w:val="21"/>
        </w:rPr>
        <w:t>》，</w:t>
      </w:r>
      <w:r>
        <w:rPr>
          <w:sz w:val="21"/>
        </w:rPr>
        <w:t>1份</w:t>
      </w:r>
      <w:r>
        <w:rPr>
          <w:sz w:val="21"/>
        </w:rPr>
        <w:t>；</w:t>
      </w:r>
    </w:p>
    <w:p>
      <w:pPr>
        <w:pStyle w:val="null3"/>
        <w:ind w:firstLine="420"/>
        <w:jc w:val="both"/>
      </w:pPr>
      <w:r>
        <w:rPr>
          <w:sz w:val="21"/>
        </w:rPr>
        <w:t>2</w:t>
      </w:r>
      <w:r>
        <w:rPr>
          <w:sz w:val="21"/>
        </w:rPr>
        <w:t>.《广州市</w:t>
      </w:r>
      <w:r>
        <w:rPr>
          <w:sz w:val="21"/>
        </w:rPr>
        <w:t>“一站式”源头减量深度治理企业技术帮扶方案和动态推动清单</w:t>
      </w:r>
      <w:r>
        <w:rPr>
          <w:sz w:val="21"/>
        </w:rPr>
        <w:t>（不少于</w:t>
      </w:r>
      <w:r>
        <w:rPr>
          <w:sz w:val="21"/>
        </w:rPr>
        <w:t>30家，含减排量测算评估）》，1份</w:t>
      </w:r>
      <w:r>
        <w:rPr>
          <w:sz w:val="21"/>
        </w:rPr>
        <w:t>；</w:t>
      </w:r>
    </w:p>
    <w:p>
      <w:pPr>
        <w:pStyle w:val="null3"/>
        <w:ind w:firstLine="420"/>
        <w:jc w:val="both"/>
      </w:pPr>
      <w:r>
        <w:rPr>
          <w:sz w:val="21"/>
        </w:rPr>
        <w:t>3</w:t>
      </w:r>
      <w:r>
        <w:rPr>
          <w:sz w:val="21"/>
        </w:rPr>
        <w:t>.《</w:t>
      </w:r>
      <w:r>
        <w:rPr>
          <w:sz w:val="21"/>
        </w:rPr>
        <w:t>广州市</w:t>
      </w:r>
      <w:r>
        <w:rPr>
          <w:sz w:val="21"/>
        </w:rPr>
        <w:t>VOCs企业源头减量深度治理经验及难点案例库</w:t>
      </w:r>
      <w:r>
        <w:rPr>
          <w:sz w:val="21"/>
        </w:rPr>
        <w:t>》，</w:t>
      </w:r>
      <w:r>
        <w:rPr>
          <w:sz w:val="21"/>
        </w:rPr>
        <w:t>1份；</w:t>
      </w:r>
    </w:p>
    <w:p>
      <w:pPr>
        <w:pStyle w:val="null3"/>
        <w:ind w:firstLine="420"/>
        <w:jc w:val="both"/>
      </w:pPr>
      <w:r>
        <w:rPr>
          <w:sz w:val="21"/>
        </w:rPr>
        <w:t>4</w:t>
      </w:r>
      <w:r>
        <w:rPr>
          <w:sz w:val="21"/>
        </w:rPr>
        <w:t>.《</w:t>
      </w:r>
      <w:r>
        <w:rPr>
          <w:sz w:val="21"/>
        </w:rPr>
        <w:t>广州市</w:t>
      </w:r>
      <w:r>
        <w:rPr>
          <w:sz w:val="21"/>
        </w:rPr>
        <w:t>VOCs重点行业技术改造推荐目录</w:t>
      </w:r>
      <w:r>
        <w:rPr>
          <w:sz w:val="21"/>
        </w:rPr>
        <w:t>》，</w:t>
      </w:r>
      <w:r>
        <w:rPr>
          <w:sz w:val="21"/>
        </w:rPr>
        <w:t>1份；</w:t>
      </w:r>
    </w:p>
    <w:p>
      <w:pPr>
        <w:pStyle w:val="null3"/>
        <w:ind w:firstLine="420"/>
        <w:jc w:val="both"/>
      </w:pPr>
      <w:r>
        <w:rPr>
          <w:sz w:val="21"/>
        </w:rPr>
        <w:t>5</w:t>
      </w:r>
      <w:r>
        <w:rPr>
          <w:sz w:val="21"/>
        </w:rPr>
        <w:t>.《广州市重点企业深度治理源头减排技术帮扶</w:t>
      </w:r>
      <w:r>
        <w:rPr>
          <w:sz w:val="21"/>
        </w:rPr>
        <w:t>项目总结报告</w:t>
      </w:r>
      <w:r>
        <w:rPr>
          <w:sz w:val="21"/>
        </w:rPr>
        <w:t>》</w:t>
      </w:r>
      <w:r>
        <w:rPr>
          <w:sz w:val="21"/>
        </w:rPr>
        <w:t>,</w:t>
      </w:r>
      <w:r>
        <w:rPr>
          <w:sz w:val="21"/>
        </w:rPr>
        <w:t>1份；</w:t>
      </w:r>
    </w:p>
    <w:p>
      <w:pPr>
        <w:pStyle w:val="null3"/>
        <w:ind w:firstLine="420"/>
        <w:jc w:val="both"/>
      </w:pPr>
      <w:r>
        <w:rPr>
          <w:sz w:val="21"/>
        </w:rPr>
        <w:t>6.《广州市</w:t>
      </w:r>
      <w:r>
        <w:rPr>
          <w:sz w:val="21"/>
        </w:rPr>
        <w:t>企业减排效果和治理标杆</w:t>
      </w:r>
      <w:r>
        <w:rPr>
          <w:sz w:val="21"/>
        </w:rPr>
        <w:t>宣传</w:t>
      </w:r>
      <w:r>
        <w:rPr>
          <w:sz w:val="21"/>
        </w:rPr>
        <w:t>案例</w:t>
      </w:r>
      <w:r>
        <w:rPr>
          <w:sz w:val="21"/>
        </w:rPr>
        <w:t>》，</w:t>
      </w:r>
      <w:r>
        <w:rPr>
          <w:sz w:val="21"/>
        </w:rPr>
        <w:t>1篇</w:t>
      </w:r>
      <w:r>
        <w:rPr>
          <w:sz w:val="21"/>
        </w:rPr>
        <w:t>。</w:t>
      </w:r>
    </w:p>
    <w:p>
      <w:pPr>
        <w:pStyle w:val="null3"/>
        <w:ind w:firstLine="420"/>
        <w:jc w:val="both"/>
      </w:pPr>
      <w:r>
        <w:rPr>
          <w:sz w:val="21"/>
        </w:rPr>
        <w:t>7</w:t>
      </w:r>
      <w:r>
        <w:rPr>
          <w:sz w:val="21"/>
        </w:rPr>
        <w:t>.需根据采购人既有的数据传输规范，将项目服务产生的成果及数据汇聚至采购人</w:t>
      </w:r>
      <w:r>
        <w:rPr>
          <w:sz w:val="21"/>
        </w:rPr>
        <w:t>数据中心，并按采购人要求配合开展数据梳理等</w:t>
      </w:r>
      <w:r>
        <w:rPr>
          <w:sz w:val="21"/>
        </w:rPr>
        <w:t>。</w:t>
      </w:r>
    </w:p>
    <w:p>
      <w:pPr>
        <w:pStyle w:val="null3"/>
        <w:ind w:firstLine="422"/>
        <w:jc w:val="both"/>
      </w:pPr>
      <w:r>
        <w:rPr>
          <w:sz w:val="21"/>
          <w:b/>
        </w:rPr>
        <w:t>五、项目管理要求</w:t>
      </w:r>
    </w:p>
    <w:p>
      <w:pPr>
        <w:pStyle w:val="null3"/>
        <w:ind w:firstLine="420"/>
        <w:jc w:val="both"/>
      </w:pPr>
      <w:r>
        <w:rPr>
          <w:sz w:val="21"/>
        </w:rPr>
        <w:t>（一）组织实施要求。</w:t>
      </w:r>
    </w:p>
    <w:p>
      <w:pPr>
        <w:pStyle w:val="null3"/>
        <w:ind w:firstLine="420"/>
        <w:jc w:val="both"/>
      </w:pPr>
      <w:r>
        <w:rPr>
          <w:sz w:val="21"/>
        </w:rPr>
        <w:t>中标人应合理安排成果报告及相关材料编写等工作安排和时间节点，并进行精心的组织实施。</w:t>
      </w:r>
    </w:p>
    <w:p>
      <w:pPr>
        <w:pStyle w:val="null3"/>
        <w:ind w:firstLine="420"/>
        <w:jc w:val="both"/>
      </w:pPr>
      <w:r>
        <w:rPr>
          <w:sz w:val="21"/>
        </w:rPr>
        <w:t>（二）项目人员安排要求。</w:t>
      </w:r>
    </w:p>
    <w:p>
      <w:pPr>
        <w:pStyle w:val="null3"/>
        <w:ind w:firstLine="420"/>
        <w:jc w:val="both"/>
      </w:pPr>
      <w:r>
        <w:rPr>
          <w:sz w:val="21"/>
        </w:rPr>
        <w:t>中标人应配备专业团队，参与本工作的主要人员不少于</w:t>
      </w:r>
      <w:r>
        <w:rPr>
          <w:sz w:val="21"/>
        </w:rPr>
        <w:t>8</w:t>
      </w:r>
      <w:r>
        <w:rPr>
          <w:sz w:val="21"/>
        </w:rPr>
        <w:t>名的专业技术人员。（提供主要人员在投标人近半年任意一个月的社保证明文件）</w:t>
      </w:r>
    </w:p>
    <w:p>
      <w:pPr>
        <w:pStyle w:val="null3"/>
        <w:ind w:firstLine="420"/>
        <w:jc w:val="both"/>
      </w:pPr>
      <w:r>
        <w:rPr>
          <w:sz w:val="21"/>
        </w:rPr>
        <w:t>中标人应结合工作需要派员至广州市生态环境局参与技术服务及管理工作。</w:t>
      </w:r>
    </w:p>
    <w:p>
      <w:pPr>
        <w:pStyle w:val="null3"/>
        <w:ind w:firstLine="420"/>
        <w:jc w:val="both"/>
      </w:pPr>
      <w:r>
        <w:rPr>
          <w:sz w:val="21"/>
        </w:rPr>
        <w:t>（三）项目验收要求。</w:t>
      </w:r>
    </w:p>
    <w:p>
      <w:pPr>
        <w:pStyle w:val="null3"/>
        <w:ind w:firstLine="420"/>
        <w:jc w:val="both"/>
      </w:pPr>
      <w:r>
        <w:rPr>
          <w:sz w:val="21"/>
        </w:rPr>
        <w:t>中标人提交的项目成果应通过采购人组织的专家验收。</w:t>
      </w:r>
    </w:p>
    <w:p>
      <w:pPr>
        <w:pStyle w:val="null3"/>
        <w:ind w:firstLine="422"/>
        <w:jc w:val="both"/>
      </w:pPr>
      <w:r>
        <w:rPr>
          <w:sz w:val="21"/>
          <w:b/>
          <w:color w:val="000000"/>
        </w:rPr>
        <w:t>六</w:t>
      </w:r>
      <w:r>
        <w:rPr>
          <w:sz w:val="21"/>
          <w:b/>
          <w:color w:val="000000"/>
        </w:rPr>
        <w:t>、</w:t>
      </w:r>
      <w:r>
        <w:rPr>
          <w:sz w:val="21"/>
          <w:b/>
        </w:rPr>
        <w:t>项目进度要求</w:t>
      </w:r>
    </w:p>
    <w:p>
      <w:pPr>
        <w:pStyle w:val="null3"/>
        <w:ind w:firstLine="420"/>
        <w:jc w:val="both"/>
      </w:pPr>
      <w:r>
        <w:rPr>
          <w:sz w:val="21"/>
        </w:rPr>
        <w:t>（一）</w:t>
      </w:r>
      <w:r>
        <w:rPr>
          <w:sz w:val="21"/>
        </w:rPr>
        <w:t>2026年11月底前，完成不少于60家重点企业的全面摸排，编写不少于30家“一站式”源头减量深度治理企业技术帮扶方案，并提交《</w:t>
      </w:r>
      <w:r>
        <w:rPr>
          <w:sz w:val="21"/>
        </w:rPr>
        <w:t>VOCs深度治理需求清单库（不少于60家企业）</w:t>
      </w:r>
      <w:r>
        <w:rPr>
          <w:sz w:val="21"/>
        </w:rPr>
        <w:t>》。</w:t>
      </w:r>
    </w:p>
    <w:p>
      <w:pPr>
        <w:pStyle w:val="null3"/>
        <w:ind w:firstLine="420"/>
        <w:jc w:val="both"/>
      </w:pPr>
      <w:r>
        <w:rPr>
          <w:sz w:val="21"/>
        </w:rPr>
        <w:t>（</w:t>
      </w:r>
      <w:r>
        <w:rPr>
          <w:sz w:val="21"/>
        </w:rPr>
        <w:t>二</w:t>
      </w:r>
      <w:r>
        <w:rPr>
          <w:sz w:val="21"/>
        </w:rPr>
        <w:t>）</w:t>
      </w:r>
      <w:r>
        <w:rPr>
          <w:sz w:val="21"/>
        </w:rPr>
        <w:t>2027年4月底前，完成不少于30家</w:t>
      </w:r>
      <w:r>
        <w:rPr>
          <w:sz w:val="21"/>
        </w:rPr>
        <w:t>“一站式”源头减量深度治理企业</w:t>
      </w:r>
      <w:r>
        <w:rPr>
          <w:sz w:val="21"/>
        </w:rPr>
        <w:t>的</w:t>
      </w:r>
      <w:r>
        <w:rPr>
          <w:sz w:val="21"/>
        </w:rPr>
        <w:t>动态跟踪评估，</w:t>
      </w:r>
      <w:r>
        <w:rPr>
          <w:sz w:val="21"/>
        </w:rPr>
        <w:t>并提交《</w:t>
      </w:r>
      <w:r>
        <w:rPr>
          <w:sz w:val="21"/>
        </w:rPr>
        <w:t>广州市</w:t>
      </w:r>
      <w:r>
        <w:rPr>
          <w:sz w:val="21"/>
        </w:rPr>
        <w:t>VOCs企业源头减量深度治理经验及难点案例库</w:t>
      </w:r>
      <w:r>
        <w:rPr>
          <w:sz w:val="21"/>
        </w:rPr>
        <w:t>》</w:t>
      </w:r>
      <w:r>
        <w:rPr>
          <w:sz w:val="21"/>
        </w:rPr>
        <w:t>《</w:t>
      </w:r>
      <w:r>
        <w:rPr>
          <w:sz w:val="21"/>
        </w:rPr>
        <w:t>广州市</w:t>
      </w:r>
      <w:r>
        <w:rPr>
          <w:sz w:val="21"/>
        </w:rPr>
        <w:t>VOCs重点行业技术改造推荐目录</w:t>
      </w:r>
      <w:r>
        <w:rPr>
          <w:sz w:val="21"/>
        </w:rPr>
        <w:t>》</w:t>
      </w:r>
      <w:r>
        <w:rPr>
          <w:sz w:val="21"/>
        </w:rPr>
        <w:t>《</w:t>
      </w:r>
      <w:r>
        <w:rPr>
          <w:sz w:val="21"/>
        </w:rPr>
        <w:t>广州市</w:t>
      </w:r>
      <w:r>
        <w:rPr>
          <w:sz w:val="21"/>
        </w:rPr>
        <w:t>企业减排效果和治理标杆</w:t>
      </w:r>
      <w:r>
        <w:rPr>
          <w:sz w:val="21"/>
        </w:rPr>
        <w:t>宣传</w:t>
      </w:r>
      <w:r>
        <w:rPr>
          <w:sz w:val="21"/>
        </w:rPr>
        <w:t>案例</w:t>
      </w:r>
      <w:r>
        <w:rPr>
          <w:sz w:val="21"/>
        </w:rPr>
        <w:t>》</w:t>
      </w:r>
      <w:r>
        <w:rPr>
          <w:sz w:val="21"/>
        </w:rPr>
        <w:t>《</w:t>
      </w:r>
      <w:r>
        <w:rPr>
          <w:sz w:val="21"/>
        </w:rPr>
        <w:t>广州市重点企业深度治理源头减排技术帮扶</w:t>
      </w:r>
      <w:r>
        <w:rPr>
          <w:sz w:val="21"/>
        </w:rPr>
        <w:t>项目总结报告</w:t>
      </w:r>
      <w:r>
        <w:rPr>
          <w:sz w:val="21"/>
        </w:rPr>
        <w:t>》</w:t>
      </w:r>
      <w:r>
        <w:rPr>
          <w:sz w:val="21"/>
          <w:color w:val="000000"/>
        </w:rPr>
        <w:t>等项目全部成果，并通过甲方组织的专家验收。</w:t>
      </w:r>
    </w:p>
    <w:p>
      <w:pPr>
        <w:pStyle w:val="null3"/>
        <w:ind w:firstLine="422"/>
        <w:jc w:val="both"/>
      </w:pPr>
      <w:r>
        <w:rPr>
          <w:sz w:val="21"/>
          <w:b/>
        </w:rPr>
        <w:t>七</w:t>
      </w:r>
      <w:r>
        <w:rPr>
          <w:sz w:val="21"/>
          <w:b/>
        </w:rPr>
        <w:t>、项目依据</w:t>
      </w:r>
    </w:p>
    <w:p>
      <w:pPr>
        <w:pStyle w:val="null3"/>
        <w:ind w:firstLine="420"/>
        <w:jc w:val="both"/>
      </w:pPr>
      <w:r>
        <w:rPr>
          <w:sz w:val="21"/>
        </w:rPr>
        <w:t>1.</w:t>
      </w:r>
      <w:r>
        <w:rPr>
          <w:sz w:val="21"/>
        </w:rPr>
        <w:t>《关于印发</w:t>
      </w:r>
      <w:r>
        <w:rPr>
          <w:sz w:val="21"/>
        </w:rPr>
        <w:t>&lt;广东省臭氧污染防治（氮氧化物和挥发性有机物协同减排）实施方案（2023-2025年）&gt;的通知》（粤环函〔2023〕45号）；</w:t>
      </w:r>
    </w:p>
    <w:p>
      <w:pPr>
        <w:pStyle w:val="null3"/>
        <w:ind w:firstLine="420"/>
        <w:jc w:val="both"/>
      </w:pPr>
      <w:r>
        <w:rPr>
          <w:sz w:val="21"/>
        </w:rPr>
        <w:t>2.</w:t>
      </w:r>
      <w:r>
        <w:rPr>
          <w:sz w:val="21"/>
        </w:rPr>
        <w:t>《广东省人民政府关于印发广东省空气质量持续改善行动方案的通知》（粤府〔</w:t>
      </w:r>
      <w:r>
        <w:rPr>
          <w:sz w:val="21"/>
        </w:rPr>
        <w:t>2024〕85号）；</w:t>
      </w:r>
    </w:p>
    <w:p>
      <w:pPr>
        <w:pStyle w:val="null3"/>
        <w:ind w:firstLine="420"/>
        <w:jc w:val="both"/>
      </w:pPr>
      <w:r>
        <w:rPr>
          <w:sz w:val="21"/>
        </w:rPr>
        <w:t>3.</w:t>
      </w:r>
      <w:r>
        <w:rPr>
          <w:sz w:val="21"/>
        </w:rPr>
        <w:t>《广州市生态环境局关于贯彻落实广东省空气质量持续改善行动方案重点任务分工的通知》（</w:t>
      </w:r>
      <w:r>
        <w:rPr>
          <w:sz w:val="21"/>
        </w:rPr>
        <w:t>穗</w:t>
      </w:r>
      <w:r>
        <w:rPr>
          <w:sz w:val="21"/>
        </w:rPr>
        <w:t>环〔</w:t>
      </w:r>
      <w:r>
        <w:rPr>
          <w:sz w:val="21"/>
        </w:rPr>
        <w:t>2025〕27 号）</w:t>
      </w:r>
      <w:r>
        <w:rPr>
          <w:sz w:val="21"/>
        </w:rPr>
        <w:t>；</w:t>
      </w:r>
    </w:p>
    <w:p>
      <w:pPr>
        <w:pStyle w:val="null3"/>
        <w:ind w:firstLine="420"/>
        <w:jc w:val="both"/>
      </w:pPr>
      <w:r>
        <w:rPr>
          <w:sz w:val="21"/>
        </w:rPr>
        <w:t>4.</w:t>
      </w:r>
      <w:r>
        <w:rPr>
          <w:sz w:val="21"/>
          <w:shd w:fill="FFFFFF" w:val="clear"/>
        </w:rPr>
        <w:t>《美丽广州建设规划纲要（</w:t>
      </w:r>
      <w:r>
        <w:rPr>
          <w:sz w:val="21"/>
          <w:shd w:fill="FFFFFF" w:val="clear"/>
        </w:rPr>
        <w:t>2025—2035年）》（穗府〔2025〕6号）</w:t>
      </w:r>
    </w:p>
    <w:p>
      <w:pPr>
        <w:pStyle w:val="null3"/>
        <w:ind w:firstLine="420"/>
        <w:jc w:val="both"/>
      </w:pPr>
      <w:r>
        <w:rPr>
          <w:sz w:val="21"/>
        </w:rPr>
        <w:t>5.广州市财政局相关批复。</w:t>
      </w:r>
    </w:p>
    <w:p>
      <w:pPr>
        <w:pStyle w:val="null3"/>
        <w:ind w:firstLine="422"/>
        <w:jc w:val="both"/>
      </w:pPr>
      <w:r>
        <w:rPr>
          <w:sz w:val="21"/>
          <w:b/>
          <w:color w:val="000000"/>
        </w:rPr>
        <w:t>八、</w:t>
      </w:r>
      <w:r>
        <w:rPr>
          <w:sz w:val="21"/>
          <w:b/>
          <w:color w:val="000000"/>
        </w:rPr>
        <w:t>项目限价</w:t>
      </w:r>
      <w:r>
        <w:rPr>
          <w:sz w:val="21"/>
          <w:b/>
          <w:color w:val="000000"/>
        </w:rPr>
        <w:t>（</w:t>
      </w:r>
      <w:r>
        <w:rPr>
          <w:sz w:val="21"/>
          <w:b/>
          <w:color w:val="000000"/>
        </w:rPr>
        <w:t>预算金额</w:t>
      </w:r>
      <w:r>
        <w:rPr>
          <w:sz w:val="21"/>
          <w:b/>
          <w:color w:val="000000"/>
        </w:rPr>
        <w:t>）</w:t>
      </w:r>
      <w:r>
        <w:rPr>
          <w:sz w:val="21"/>
          <w:b/>
          <w:color w:val="000000"/>
        </w:rPr>
        <w:t>和付款方式</w:t>
      </w:r>
    </w:p>
    <w:p>
      <w:pPr>
        <w:pStyle w:val="null3"/>
        <w:ind w:firstLine="420"/>
        <w:jc w:val="both"/>
      </w:pPr>
      <w:r>
        <w:rPr>
          <w:sz w:val="21"/>
          <w:color w:val="000000"/>
        </w:rPr>
        <w:t>（</w:t>
      </w:r>
      <w:r>
        <w:rPr>
          <w:sz w:val="21"/>
          <w:color w:val="000000"/>
        </w:rPr>
        <w:t>一</w:t>
      </w:r>
      <w:r>
        <w:rPr>
          <w:sz w:val="21"/>
          <w:color w:val="000000"/>
        </w:rPr>
        <w:t>）</w:t>
      </w:r>
      <w:r>
        <w:rPr>
          <w:sz w:val="21"/>
          <w:color w:val="000000"/>
        </w:rPr>
        <w:t>项目</w:t>
      </w:r>
      <w:r>
        <w:rPr>
          <w:sz w:val="21"/>
          <w:color w:val="000000"/>
        </w:rPr>
        <w:t>限价（预算金额）为</w:t>
      </w:r>
      <w:r>
        <w:rPr>
          <w:sz w:val="21"/>
          <w:color w:val="000000"/>
        </w:rPr>
        <w:t>235</w:t>
      </w:r>
      <w:r>
        <w:rPr>
          <w:sz w:val="21"/>
          <w:color w:val="000000"/>
        </w:rPr>
        <w:t>万元。</w:t>
      </w:r>
    </w:p>
    <w:p>
      <w:pPr>
        <w:pStyle w:val="null3"/>
        <w:ind w:firstLine="420"/>
        <w:jc w:val="both"/>
      </w:pPr>
      <w:r>
        <w:rPr>
          <w:sz w:val="21"/>
          <w:color w:val="000000"/>
        </w:rPr>
        <w:t>本项目分</w:t>
      </w:r>
      <w:r>
        <w:rPr>
          <w:sz w:val="21"/>
          <w:color w:val="000000"/>
        </w:rPr>
        <w:t>3次支付。支出计划</w:t>
      </w:r>
      <w:r>
        <w:rPr>
          <w:sz w:val="21"/>
          <w:color w:val="000000"/>
        </w:rPr>
        <w:t>如下</w:t>
      </w:r>
      <w:r>
        <w:rPr>
          <w:sz w:val="21"/>
          <w:color w:val="000000"/>
        </w:rPr>
        <w:t>：</w:t>
      </w:r>
    </w:p>
    <w:p>
      <w:pPr>
        <w:pStyle w:val="null3"/>
        <w:ind w:firstLine="420"/>
        <w:jc w:val="both"/>
      </w:pPr>
      <w:r>
        <w:rPr>
          <w:sz w:val="21"/>
          <w:color w:val="000000"/>
        </w:rPr>
        <w:t>第一期：项目签合同后</w:t>
      </w:r>
      <w:r>
        <w:rPr>
          <w:sz w:val="21"/>
          <w:color w:val="000000"/>
        </w:rPr>
        <w:t>5个工作日内支付</w:t>
      </w:r>
      <w:r>
        <w:rPr>
          <w:sz w:val="22"/>
          <w:color w:val="000000"/>
        </w:rPr>
        <w:t>合同总额的</w:t>
      </w:r>
      <w:r>
        <w:rPr>
          <w:sz w:val="21"/>
          <w:color w:val="000000"/>
        </w:rPr>
        <w:t>40%；</w:t>
      </w:r>
    </w:p>
    <w:p>
      <w:pPr>
        <w:pStyle w:val="null3"/>
        <w:ind w:firstLine="420"/>
        <w:jc w:val="both"/>
      </w:pPr>
      <w:r>
        <w:rPr>
          <w:sz w:val="21"/>
          <w:color w:val="000000"/>
        </w:rPr>
        <w:t>第二期：预计</w:t>
      </w:r>
      <w:r>
        <w:rPr>
          <w:sz w:val="21"/>
          <w:color w:val="000000"/>
        </w:rPr>
        <w:t>2026年11月</w:t>
      </w:r>
      <w:r>
        <w:rPr>
          <w:sz w:val="21"/>
          <w:color w:val="000000"/>
        </w:rPr>
        <w:t>，</w:t>
      </w:r>
      <w:r>
        <w:rPr>
          <w:sz w:val="21"/>
          <w:color w:val="000000"/>
        </w:rPr>
        <w:t>提交阶段成果后支付</w:t>
      </w:r>
      <w:r>
        <w:rPr>
          <w:sz w:val="22"/>
          <w:color w:val="000000"/>
        </w:rPr>
        <w:t>合同总额的</w:t>
      </w:r>
      <w:r>
        <w:rPr>
          <w:sz w:val="21"/>
          <w:color w:val="000000"/>
        </w:rPr>
        <w:t>50%；</w:t>
      </w:r>
    </w:p>
    <w:p>
      <w:pPr>
        <w:pStyle w:val="null3"/>
        <w:ind w:firstLine="420"/>
        <w:jc w:val="both"/>
      </w:pPr>
      <w:r>
        <w:rPr>
          <w:sz w:val="21"/>
          <w:color w:val="000000"/>
        </w:rPr>
        <w:t>第三期：预计</w:t>
      </w:r>
      <w:r>
        <w:rPr>
          <w:sz w:val="21"/>
          <w:color w:val="000000"/>
        </w:rPr>
        <w:t>2027年4月</w:t>
      </w:r>
      <w:r>
        <w:rPr>
          <w:sz w:val="21"/>
          <w:color w:val="000000"/>
        </w:rPr>
        <w:t>，</w:t>
      </w:r>
      <w:r>
        <w:rPr>
          <w:sz w:val="21"/>
          <w:color w:val="000000"/>
        </w:rPr>
        <w:t>项目验收通过后支付</w:t>
      </w:r>
      <w:r>
        <w:rPr>
          <w:sz w:val="22"/>
          <w:color w:val="000000"/>
        </w:rPr>
        <w:t>合同总额的</w:t>
      </w:r>
      <w:r>
        <w:rPr>
          <w:sz w:val="21"/>
          <w:color w:val="000000"/>
        </w:rPr>
        <w:t>10%。</w:t>
      </w:r>
    </w:p>
    <w:p>
      <w:pPr>
        <w:pStyle w:val="null3"/>
        <w:ind w:firstLine="420"/>
        <w:jc w:val="both"/>
      </w:pPr>
      <w:r>
        <w:rPr>
          <w:sz w:val="21"/>
          <w:color w:val="000000"/>
        </w:rPr>
        <w:t>如相关经费受财政部门拨款进度影响，付款时间顺延。</w:t>
      </w:r>
    </w:p>
    <w:p>
      <w:pPr>
        <w:pStyle w:val="null3"/>
      </w:pPr>
      <w:r>
        <w:rPr/>
        <w:t>采购包1（广州市重点企业深度治理源头减排技术帮扶项目）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1期：支付比例40%,项目签合同后5个工作日内支付合同总额的40%。</w:t>
            </w:r>
          </w:p>
          <w:p>
            <w:pPr>
              <w:pStyle w:val="null3"/>
            </w:pPr>
            <w:r>
              <w:rPr/>
              <w:t>2期：支付比例50%,预计2026年11月，提交阶段成果后支付合同总额的50%。</w:t>
            </w:r>
          </w:p>
          <w:p>
            <w:pPr>
              <w:pStyle w:val="null3"/>
            </w:pPr>
            <w:r>
              <w:rPr/>
              <w:t>3期：支付比例10%,预计2027年4月，项目验收通过后支付合同总额的10%。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1期：中标人提交的项目成果应通过采购人组织的专家验收。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其他未尽事宜详见合同版本。</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其他生态环境保护服务</w:t>
            </w:r>
          </w:p>
        </w:tc>
        <w:tc>
          <w:tcPr>
            <w:tcW w:type="dxa" w:w="933"/>
          </w:tcPr>
          <w:p>
            <w:pPr>
              <w:pStyle w:val="null3"/>
              <w:jc w:val="left"/>
            </w:pPr>
            <w:r>
              <w:rPr/>
              <w:t>广州市重点企业深度治理源头减排技术帮扶项目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2,350,000.00</w:t>
            </w:r>
          </w:p>
        </w:tc>
        <w:tc>
          <w:tcPr>
            <w:tcW w:type="dxa" w:w="933"/>
          </w:tcPr>
          <w:p>
            <w:pPr>
              <w:pStyle w:val="null3"/>
              <w:jc w:val="right"/>
            </w:pPr>
            <w:r>
              <w:rPr/>
              <w:t>2,350,000.00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广州市重点企业深度治理源头减排技术帮扶项目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广州市生态环境局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中标金额作为计算基数，参照原国家计委计价格〔2002〕1980号文《招标代理服务收费管理暂行办法》及国家发展改革委原发改价格〔2011〕534号文《国家发展改革委关于降低部分建设项目收费标准规范收费行为等有关问题的通知》的有关规定执行（服务类），按差额定率累进法计算（按前述收费标准计算不足6000元人民币的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其他，请按公告附件格式填写《中标服务费开票信息确认函》，以便代理机构向中标人开具中标服务费发票。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重点企业深度治理源头减排技术帮扶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采购包1（广州市重点企业深度治理源头减排技术帮扶项目）：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采购包1（广州市重点企业深度治理源头减排技术帮扶项目）：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以联合体形式投标，则联合体各方均须满足要求，并提供上述材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提供《资格条件承诺函》（以联合体形式投标，则联合体各方均须满足要求，并提供上述材料），格式详见公告附件。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提供《资格条件承诺函》（以联合体形式投标，则联合体各方均须满足要求，并提供上述材料），格式详见公告附件。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提供《资格条件承诺函》（以联合体形式投标，则联合体各方均须满足要求，并提供上述材料），格式详见公告附件。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以联合体形式投标，则联合体各方均须满足要求，并提供上述材料），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以联合体形式投标，则为联合体各方）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联合体投标要求</w:t>
            </w:r>
          </w:p>
        </w:tc>
        <w:tc>
          <w:tcPr>
            <w:tcW w:type="dxa" w:w="4238"/>
          </w:tcPr>
          <w:p>
            <w:pPr>
              <w:pStyle w:val="null3"/>
            </w:pPr>
            <w:r>
              <w:rPr/>
              <w:t>本项目接受联合体投标，组成联合体的单位不得超过5家。以联合体形式投标的，联合体各方应按招标文件提供的格式签订《联合体共同投标协议书》，明确联合体牵头人，载明联合体各方承担的工作和义务。</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本采购包专门面向中小企业采购，投标人（以联合体形式投标，则为联合体各方）必须为符合本采购包采购标的所属行业划分标准的中小企业。 【注：本项目采购标的所属行业为其他未列明行业。投标人须按采购文件中规定的格式提供《中小企业声明函（工程、服务）》或《残疾人福利性单位声明函》或由监狱管理局、戒毒管理局（含新疆生产建设兵团）出具的属于监狱企业的证明文件；以联合体形式参与投标的，提供上述文件外，同时提供《联合体共同投标协议书》，并在协议中明确中小微企业承担的合同份额】</w:t>
            </w:r>
          </w:p>
        </w:tc>
      </w:tr>
    </w:tbl>
    <w:p>
      <w:pPr>
        <w:pStyle w:val="null3"/>
        <w:ind w:firstLine="480"/>
      </w:pPr>
      <w:r>
        <w:rPr/>
        <w:t>表二符合性审查表：</w:t>
      </w:r>
    </w:p>
    <w:p>
      <w:pPr>
        <w:pStyle w:val="null3"/>
      </w:pPr>
      <w:r>
        <w:rPr/>
        <w:t>采购包1（广州市重点企业深度治理源头减排技术帮扶项目）：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（1）对本采购包全部内容进行报价；（2）投标报价是唯一确定的；（3）投标报价不超过项目限价和采购预算。</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采购包1(广州市重点企业深度治理源头减排技术帮扶项目):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对项目需求理解程度 (10.0分)</w:t>
            </w:r>
          </w:p>
        </w:tc>
        <w:tc>
          <w:tcPr>
            <w:tcW w:type="dxa" w:w="5076"/>
          </w:tcPr>
          <w:p>
            <w:pPr>
              <w:pStyle w:val="null3"/>
              <w:jc w:val="left"/>
            </w:pPr>
            <w:r>
              <w:rPr/>
              <w:t>根据投标人对项目整体背景、工作需求、现状基础等内容的熟悉和理解程度进行评审： 1、对项目背景、工作需求、现状基础等有充分理解、熟悉，完全满足或优于项目需求的，得10分； 2、对项目背景、工作需求、现状基础等的了解程度和熟悉程度有待提高，仍满足项目需求的，得6分； 3、对项目背景、工作需求、现状基础等有不了解、不熟悉的，存在不满足项目需求的，得2分； 4、无提供或其他情况得0分。</w:t>
            </w:r>
          </w:p>
        </w:tc>
      </w:tr>
      <w:tr>
        <w:tc>
          <w:tcPr>
            <w:tcW w:type="dxa" w:w="922"/>
            <w:gridSpan w:val="2"/>
            <w:vMerge/>
          </w:tcPr>
          <w:p/>
        </w:tc>
        <w:tc>
          <w:tcPr>
            <w:tcW w:type="dxa" w:w="2307"/>
          </w:tcPr>
          <w:p>
            <w:pPr>
              <w:pStyle w:val="null3"/>
              <w:jc w:val="left"/>
            </w:pPr>
            <w:r>
              <w:rPr/>
              <w:t>项目实施方案 (10.0分)</w:t>
            </w:r>
            <w:r>
              <w:rPr/>
              <w:t>）</w:t>
            </w:r>
          </w:p>
        </w:tc>
        <w:tc>
          <w:tcPr>
            <w:tcW w:type="dxa" w:w="5076"/>
          </w:tcPr>
          <w:p>
            <w:pPr>
              <w:pStyle w:val="null3"/>
              <w:jc w:val="left"/>
            </w:pPr>
            <w:r>
              <w:rPr/>
              <w:t>根据投标人的研究思路、技术路线以及具体实施方案的科学性、可操作性、合理性等进行评审： 1、研究思路清晰，技术路线可行，提供的实施方案设计科学合理、可操作性强，完全满足或优于项目需求的，得10分； 2、研究思路不够清晰，技术路线相对可行，提供的实施方案设计不够科学，但仍具备可操作性，满足项目需求的，得6分； 3、研究思路模糊，技术路线可行性不高，提供的实施方案设计不具备可操作性，存在不满足项目需求的，得2分； 4、无提供或其他情况得0分。</w:t>
            </w:r>
          </w:p>
        </w:tc>
      </w:tr>
      <w:tr>
        <w:tc>
          <w:tcPr>
            <w:tcW w:type="dxa" w:w="922"/>
            <w:gridSpan w:val="2"/>
            <w:vMerge/>
          </w:tcPr>
          <w:p/>
        </w:tc>
        <w:tc>
          <w:tcPr>
            <w:tcW w:type="dxa" w:w="2307"/>
          </w:tcPr>
          <w:p>
            <w:pPr>
              <w:pStyle w:val="null3"/>
              <w:jc w:val="left"/>
            </w:pPr>
            <w:r>
              <w:rPr/>
              <w:t>项目进度控制计划 (5.0分)</w:t>
            </w:r>
            <w:r>
              <w:rPr/>
              <w:t>）</w:t>
            </w:r>
          </w:p>
        </w:tc>
        <w:tc>
          <w:tcPr>
            <w:tcW w:type="dxa" w:w="5076"/>
          </w:tcPr>
          <w:p>
            <w:pPr>
              <w:pStyle w:val="null3"/>
              <w:jc w:val="left"/>
            </w:pPr>
            <w:r>
              <w:rPr/>
              <w:t>投标人是否有针对本项目制定的进度控制计划，进度控制计划是否详细可行、合理，是否以严谨且可执行的保障措施实现本项目对时间的要求等方面进行评审： 1、项目进度控制计划详细可行、合理，完全满足或优于项目需求的，得5分； 2、项目进度控制计划可行性和合理性有待提高，仍满足项目需求的，得3分； 3、项目进度控制计划可行性低、合理性差，存在不满足项目需求的，得1分； 4、无提供或其他情况得0分。</w:t>
            </w:r>
          </w:p>
        </w:tc>
      </w:tr>
      <w:tr>
        <w:tc>
          <w:tcPr>
            <w:tcW w:type="dxa" w:w="922"/>
            <w:gridSpan w:val="2"/>
            <w:vMerge/>
          </w:tcPr>
          <w:p/>
        </w:tc>
        <w:tc>
          <w:tcPr>
            <w:tcW w:type="dxa" w:w="2307"/>
          </w:tcPr>
          <w:p>
            <w:pPr>
              <w:pStyle w:val="null3"/>
              <w:jc w:val="left"/>
            </w:pPr>
            <w:r>
              <w:rPr/>
              <w:t>管理制度 (5.0分)</w:t>
            </w:r>
            <w:r>
              <w:rPr/>
              <w:t>）</w:t>
            </w:r>
          </w:p>
        </w:tc>
        <w:tc>
          <w:tcPr>
            <w:tcW w:type="dxa" w:w="5076"/>
          </w:tcPr>
          <w:p>
            <w:pPr>
              <w:pStyle w:val="null3"/>
              <w:jc w:val="left"/>
            </w:pPr>
            <w:r>
              <w:rPr/>
              <w:t>根据投标人提供的管理制度（包含但不限于项目或业务管理）等方面进行评审： 1、投标人的管理制度完善，具有很强的可行性和合理性高，完全满足或优于项目需求的，得5分； 2、投标人的管理制度不够完善，可行性和合理性有待提高，仍满足项目需求的，得3分； 3、投标人的管理制度有缺陷，可行性和合理性低，存在不满足项目需求的，得1分； 4、无提供或其他情况得0分。</w:t>
            </w:r>
          </w:p>
        </w:tc>
      </w:tr>
      <w:tr>
        <w:tc>
          <w:tcPr>
            <w:tcW w:type="dxa" w:w="922"/>
            <w:gridSpan w:val="2"/>
            <w:vMerge/>
          </w:tcPr>
          <w:p/>
        </w:tc>
        <w:tc>
          <w:tcPr>
            <w:tcW w:type="dxa" w:w="2307"/>
          </w:tcPr>
          <w:p>
            <w:pPr>
              <w:pStyle w:val="null3"/>
              <w:jc w:val="left"/>
            </w:pPr>
            <w:r>
              <w:rPr/>
              <w:t>质量控制保障方案措施和方法 (5.0分)</w:t>
            </w:r>
            <w:r>
              <w:rPr/>
              <w:t>）</w:t>
            </w:r>
          </w:p>
        </w:tc>
        <w:tc>
          <w:tcPr>
            <w:tcW w:type="dxa" w:w="5076"/>
          </w:tcPr>
          <w:p>
            <w:pPr>
              <w:pStyle w:val="null3"/>
              <w:jc w:val="left"/>
            </w:pPr>
            <w:r>
              <w:rPr/>
              <w:t>根据投标人针对本项目提出的质量控制、保障措施和方法、组织管理结构等情况进行评审： 1、方案详尽、措施得当，能解决实际问题的，完全满足或优于项目需求的，得5分； 2、方案不够详尽但措施得当，能基本解决实际问题的，仍满足项目需求的，得3分； 3、方案不够完整，无法解决部分实际问题的，存在不满足项目需求的，得1分； 4、无提供或其他情况得0分。</w:t>
            </w:r>
          </w:p>
        </w:tc>
      </w:tr>
      <w:tr>
        <w:tc>
          <w:tcPr>
            <w:tcW w:type="dxa" w:w="922"/>
            <w:gridSpan w:val="2"/>
            <w:vMerge/>
          </w:tcPr>
          <w:p/>
        </w:tc>
        <w:tc>
          <w:tcPr>
            <w:tcW w:type="dxa" w:w="2307"/>
          </w:tcPr>
          <w:p>
            <w:pPr>
              <w:pStyle w:val="null3"/>
              <w:jc w:val="left"/>
            </w:pPr>
            <w:r>
              <w:rPr/>
              <w:t>防止信息泄露制度和措施 (5.0分)</w:t>
            </w:r>
            <w:r>
              <w:rPr/>
              <w:t>）</w:t>
            </w:r>
          </w:p>
        </w:tc>
        <w:tc>
          <w:tcPr>
            <w:tcW w:type="dxa" w:w="5076"/>
          </w:tcPr>
          <w:p>
            <w:pPr>
              <w:pStyle w:val="null3"/>
              <w:jc w:val="left"/>
            </w:pPr>
            <w:r>
              <w:rPr/>
              <w:t>根据投标人提供的防止信息泄露制度和措施可行性等情况进行评审： 1、投标人的制度详细具体、措施可行性高，完全满足或优于项目需求的，得5分； 2、投标人的制度不够详细具体、保措施可行性有待提高，仍满足项目需求的，得3分 3、投标人的制度简单粗略、措施可行性低，存在不满足项目需求的，得1分； 4、无提供或其他情况得0分。</w:t>
            </w:r>
          </w:p>
        </w:tc>
      </w:tr>
      <w:tr>
        <w:tc>
          <w:tcPr>
            <w:tcW w:type="dxa" w:w="922"/>
            <w:gridSpan w:val="2"/>
            <w:vMerge/>
          </w:tcPr>
          <w:p/>
        </w:tc>
        <w:tc>
          <w:tcPr>
            <w:tcW w:type="dxa" w:w="2307"/>
          </w:tcPr>
          <w:p>
            <w:pPr>
              <w:pStyle w:val="null3"/>
              <w:jc w:val="left"/>
            </w:pPr>
            <w:r>
              <w:rPr/>
              <w:t>项目技术成熟程度 (5.0分)</w:t>
            </w:r>
          </w:p>
        </w:tc>
        <w:tc>
          <w:tcPr>
            <w:tcW w:type="dxa" w:w="5076"/>
          </w:tcPr>
          <w:p>
            <w:pPr>
              <w:pStyle w:val="null3"/>
              <w:jc w:val="left"/>
            </w:pPr>
            <w:r>
              <w:rPr/>
              <w:t>投标人具有成熟的技术，具有挥发性有机物相关的软件著作权登记证书或授权专利证明的，每提供1项得1分，本项最高得5分。 【注：提供相关证明材料，无提供不得分。如投标人为联合体，则联合体任何一方提供均可】</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投标人提供2023年1月1日以来承担过同类项目，每提供1个，得1分，最多得10分， 【注：①同类项目一般指：企业深度治理、企业技术帮扶或企业挥发性有机物减排核定等相关项目。②提供合同关键页，日期以合同签订之日为准，无提供不得分，如投标人为联合体，则联合体任何一方提供均可】</w:t>
            </w:r>
          </w:p>
        </w:tc>
      </w:tr>
      <w:tr>
        <w:tc>
          <w:tcPr>
            <w:tcW w:type="dxa" w:w="922"/>
            <w:gridSpan w:val="2"/>
            <w:vMerge/>
          </w:tcPr>
          <w:p/>
        </w:tc>
        <w:tc>
          <w:tcPr>
            <w:tcW w:type="dxa" w:w="2307"/>
          </w:tcPr>
          <w:p>
            <w:pPr>
              <w:pStyle w:val="null3"/>
              <w:jc w:val="left"/>
            </w:pPr>
            <w:r>
              <w:rPr/>
              <w:t>项目团队实力1 (5.0分)</w:t>
            </w:r>
          </w:p>
        </w:tc>
        <w:tc>
          <w:tcPr>
            <w:tcW w:type="dxa" w:w="5076"/>
          </w:tcPr>
          <w:p>
            <w:pPr>
              <w:pStyle w:val="null3"/>
              <w:jc w:val="left"/>
            </w:pPr>
            <w:r>
              <w:rPr/>
              <w:t>1.项目负责人： （1）具有环境类教授或研究员或正高级工程师职称的，得3分；具有环境类副教授或副研究员或高级工程师职称的，得2分；具有环境类讲师或助理研究员或工程师职称的，得1分，其它不得分。本项最高得3分，项目负责人具有多个职称的，按最高级别进行计分。 （2）自2023年1月1日至今获得环境保护科学技术、环境保护技术奖，每个得1分，最高得2分。 【注：提供项目负责人的职称证书、获奖证书及投标截止时间半年内任意一个月投标人为其缴纳的社保证明，提供不全或无提供不得分。如投标人为联合体，则联合体任何一方提供均可】</w:t>
            </w:r>
          </w:p>
        </w:tc>
      </w:tr>
      <w:tr>
        <w:tc>
          <w:tcPr>
            <w:tcW w:type="dxa" w:w="922"/>
            <w:gridSpan w:val="2"/>
            <w:vMerge/>
          </w:tcPr>
          <w:p/>
        </w:tc>
        <w:tc>
          <w:tcPr>
            <w:tcW w:type="dxa" w:w="2307"/>
          </w:tcPr>
          <w:p>
            <w:pPr>
              <w:pStyle w:val="null3"/>
              <w:jc w:val="left"/>
            </w:pPr>
            <w:r>
              <w:rPr/>
              <w:t>项目团队实力2 (10.0分)</w:t>
            </w:r>
          </w:p>
        </w:tc>
        <w:tc>
          <w:tcPr>
            <w:tcW w:type="dxa" w:w="5076"/>
          </w:tcPr>
          <w:p>
            <w:pPr>
              <w:pStyle w:val="null3"/>
              <w:jc w:val="left"/>
            </w:pPr>
            <w:r>
              <w:rPr/>
              <w:t>2.参与本项目的团队成员（不含项目负责人）：具有环境类副教授或副研究员或高级工程师职称或更高级别职称，每提供一个符合要求的人员得1分，最高得10分。 【注：上述成员同时提供相关人员职称证书及投标截止时间半年内任意一个月投标人为其缴纳的社保证明，提供不全或无提供不得分。如投标人为联合体，则联合体任何一方提供均可】</w:t>
            </w:r>
          </w:p>
        </w:tc>
      </w:tr>
      <w:tr>
        <w:tc>
          <w:tcPr>
            <w:tcW w:type="dxa" w:w="922"/>
            <w:gridSpan w:val="2"/>
            <w:vMerge/>
          </w:tcPr>
          <w:p/>
        </w:tc>
        <w:tc>
          <w:tcPr>
            <w:tcW w:type="dxa" w:w="2307"/>
          </w:tcPr>
          <w:p>
            <w:pPr>
              <w:pStyle w:val="null3"/>
              <w:jc w:val="left"/>
            </w:pPr>
            <w:r>
              <w:rPr/>
              <w:t>项目团队实力3 (4.0分)</w:t>
            </w:r>
          </w:p>
        </w:tc>
        <w:tc>
          <w:tcPr>
            <w:tcW w:type="dxa" w:w="5076"/>
          </w:tcPr>
          <w:p>
            <w:pPr>
              <w:pStyle w:val="null3"/>
              <w:jc w:val="left"/>
            </w:pPr>
            <w:r>
              <w:rPr/>
              <w:t>3.项目负责人或参与本项目相关团队成员在大气污染防治相关工作受到表扬或好评的，每个得1分，最高得4分。 【注：提供客户满意度评价或相关证明材料，同一客户的满意度评价证明材料只计算一次，同时提供相关人员投标截止时间半年内任意一个月的社保证明，提供不全或无提供不得分。如投标人为联合体，则联合体任何一方提供均可】</w:t>
            </w:r>
          </w:p>
        </w:tc>
      </w:tr>
      <w:tr>
        <w:tc>
          <w:tcPr>
            <w:tcW w:type="dxa" w:w="922"/>
            <w:gridSpan w:val="2"/>
            <w:vMerge/>
          </w:tcPr>
          <w:p/>
        </w:tc>
        <w:tc>
          <w:tcPr>
            <w:tcW w:type="dxa" w:w="2307"/>
          </w:tcPr>
          <w:p>
            <w:pPr>
              <w:pStyle w:val="null3"/>
              <w:jc w:val="left"/>
            </w:pPr>
            <w:r>
              <w:rPr/>
              <w:t>履约能力 (6.0分)</w:t>
            </w:r>
          </w:p>
        </w:tc>
        <w:tc>
          <w:tcPr>
            <w:tcW w:type="dxa" w:w="5076"/>
          </w:tcPr>
          <w:p>
            <w:pPr>
              <w:pStyle w:val="null3"/>
              <w:jc w:val="left"/>
            </w:pPr>
            <w:r>
              <w:rPr/>
              <w:t>投标人具有有效期内的环境管理体系认证证书、质量管理体系认证证书、职业健康安全管理体系认证证书（三个认证证书的认证范围与环境科研方向相关），每具有一项有效认证的得2分，最高得6分，不提供不得分。 【注：提供有效期内的相关证明材料，无提供不得分，如投标人为联合体，则联合体任何一方提供均可】</w:t>
            </w:r>
          </w:p>
        </w:tc>
      </w:tr>
      <w:tr>
        <w:tc>
          <w:tcPr>
            <w:tcW w:type="dxa" w:w="922"/>
            <w:gridSpan w:val="2"/>
            <w:vMerge/>
          </w:tcPr>
          <w:p/>
        </w:tc>
        <w:tc>
          <w:tcPr>
            <w:tcW w:type="dxa" w:w="2307"/>
          </w:tcPr>
          <w:p>
            <w:pPr>
              <w:pStyle w:val="null3"/>
              <w:jc w:val="left"/>
            </w:pPr>
            <w:r>
              <w:rPr/>
              <w:t>服务响应情况 (5.0分)</w:t>
            </w:r>
          </w:p>
        </w:tc>
        <w:tc>
          <w:tcPr>
            <w:tcW w:type="dxa" w:w="5076"/>
          </w:tcPr>
          <w:p>
            <w:pPr>
              <w:pStyle w:val="null3"/>
              <w:jc w:val="left"/>
            </w:pPr>
            <w:r>
              <w:rPr/>
              <w:t>根据投标人提供的服务响应承诺进行评审： 1.服务响应时间为1小时（含）以内的，得5分； 2.服务响应时间为1小时（不含）至2小时（含）的，得3分； 3.服务响应时间大于2小时（不含）的，得1分； 4.其他不得分。 【注：提供服务响应承诺或相关证明材料并加盖投标人公章，不提供承诺或证明材料评审专家无法认定的不得分（如投标人为联合体，则联合体任何一方提供均可）】</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委会采取随机抽取的方式确定。排名第一的投标供应商为第一中标候选人，排名第二的投标供应商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广州市生态环境局</w:t>
      </w:r>
    </w:p>
    <w:p>
      <w:pPr>
        <w:pStyle w:val="null3"/>
        <w:jc w:val="center"/>
      </w:pPr>
      <w:r>
        <w:rPr>
          <w:sz w:val="52"/>
          <w:b/>
        </w:rPr>
        <w:t>采购合同</w:t>
      </w:r>
    </w:p>
    <w:p>
      <w:pPr>
        <w:pStyle w:val="null3"/>
        <w:ind w:firstLine="560"/>
        <w:jc w:val="both"/>
      </w:pPr>
      <w:r>
        <w:rPr>
          <w:sz w:val="32"/>
        </w:rPr>
        <w:t>甲</w:t>
      </w:r>
      <w:r>
        <w:rPr>
          <w:sz w:val="32"/>
        </w:rPr>
        <w:t xml:space="preserve">   </w:t>
      </w:r>
      <w:r>
        <w:rPr>
          <w:sz w:val="32"/>
        </w:rPr>
        <w:t>方：</w:t>
      </w:r>
      <w:r>
        <w:rPr>
          <w:sz w:val="32"/>
          <w:u w:val="single"/>
        </w:rPr>
        <w:t>广州市生态环境局</w:t>
      </w:r>
      <w:r>
        <w:rPr>
          <w:sz w:val="32"/>
          <w:u w:val="single"/>
        </w:rPr>
        <w:t xml:space="preserve">       </w:t>
      </w:r>
    </w:p>
    <w:p>
      <w:pPr>
        <w:pStyle w:val="null3"/>
        <w:jc w:val="both"/>
      </w:pPr>
      <w:r>
        <w:rPr>
          <w:sz w:val="32"/>
        </w:rPr>
        <w:t>乙</w:t>
      </w:r>
      <w:r>
        <w:rPr>
          <w:sz w:val="32"/>
        </w:rPr>
        <w:t xml:space="preserve">   </w:t>
      </w:r>
      <w:r>
        <w:rPr>
          <w:sz w:val="32"/>
        </w:rPr>
        <w:t>方：</w:t>
      </w:r>
      <w:r>
        <w:rPr>
          <w:u w:val="single"/>
        </w:rPr>
        <w:t xml:space="preserve">                                  </w:t>
      </w:r>
    </w:p>
    <w:p>
      <w:pPr>
        <w:pStyle w:val="null3"/>
        <w:ind w:firstLine="560"/>
        <w:jc w:val="both"/>
      </w:pPr>
      <w:r>
        <w:rPr/>
        <w:t xml:space="preserve"> </w:t>
      </w:r>
    </w:p>
    <w:p>
      <w:pPr>
        <w:pStyle w:val="null3"/>
        <w:jc w:val="both"/>
      </w:pPr>
      <w:r>
        <w:rPr>
          <w:sz w:val="21"/>
        </w:rPr>
        <w:t>委托方（甲方）：</w:t>
      </w:r>
    </w:p>
    <w:p>
      <w:pPr>
        <w:pStyle w:val="null3"/>
        <w:ind w:left="-15"/>
        <w:jc w:val="both"/>
      </w:pPr>
      <w:r>
        <w:rPr>
          <w:sz w:val="21"/>
        </w:rPr>
        <w:t>项目联系人：</w:t>
      </w:r>
    </w:p>
    <w:p>
      <w:pPr>
        <w:pStyle w:val="null3"/>
        <w:ind w:left="-15"/>
        <w:jc w:val="both"/>
      </w:pPr>
      <w:r>
        <w:rPr>
          <w:sz w:val="21"/>
        </w:rPr>
        <w:t>通讯地址：</w:t>
      </w:r>
    </w:p>
    <w:p>
      <w:pPr>
        <w:pStyle w:val="null3"/>
        <w:ind w:left="-15"/>
        <w:jc w:val="both"/>
      </w:pPr>
      <w:r>
        <w:rPr>
          <w:sz w:val="21"/>
        </w:rPr>
        <w:t>电话：</w:t>
      </w:r>
    </w:p>
    <w:p>
      <w:pPr>
        <w:pStyle w:val="null3"/>
        <w:ind w:left="-15"/>
        <w:jc w:val="both"/>
      </w:pPr>
      <w:r>
        <w:rPr>
          <w:sz w:val="21"/>
        </w:rPr>
        <w:t>传真：</w:t>
      </w:r>
    </w:p>
    <w:p>
      <w:pPr>
        <w:pStyle w:val="null3"/>
        <w:ind w:left="-15"/>
        <w:jc w:val="both"/>
      </w:pPr>
      <w:r>
        <w:rPr>
          <w:sz w:val="21"/>
        </w:rPr>
        <w:t>受托方（乙方）：</w:t>
      </w:r>
    </w:p>
    <w:p>
      <w:pPr>
        <w:pStyle w:val="null3"/>
        <w:jc w:val="both"/>
      </w:pPr>
      <w:r>
        <w:rPr>
          <w:sz w:val="21"/>
        </w:rPr>
        <w:t>项目联系人：</w:t>
      </w:r>
    </w:p>
    <w:p>
      <w:pPr>
        <w:pStyle w:val="null3"/>
        <w:jc w:val="both"/>
      </w:pPr>
      <w:r>
        <w:rPr>
          <w:sz w:val="21"/>
        </w:rPr>
        <w:t>通讯地址：</w:t>
      </w:r>
    </w:p>
    <w:p>
      <w:pPr>
        <w:pStyle w:val="null3"/>
        <w:jc w:val="both"/>
      </w:pPr>
      <w:r>
        <w:rPr>
          <w:sz w:val="21"/>
        </w:rPr>
        <w:t>电话：</w:t>
      </w:r>
    </w:p>
    <w:p>
      <w:pPr>
        <w:pStyle w:val="null3"/>
        <w:jc w:val="both"/>
      </w:pPr>
      <w:r>
        <w:rPr>
          <w:sz w:val="21"/>
        </w:rPr>
        <w:t>传真：</w:t>
      </w:r>
    </w:p>
    <w:p>
      <w:pPr>
        <w:pStyle w:val="null3"/>
        <w:jc w:val="both"/>
      </w:pPr>
      <w:r>
        <w:rPr>
          <w:sz w:val="21"/>
        </w:rPr>
        <w:t>根据《中华人民共和国民法典（合同编）》《中华人民共和国政府采购法》及</w:t>
      </w:r>
      <w:r>
        <w:rPr>
          <w:sz w:val="21"/>
        </w:rPr>
        <w:t>广州市重点企业深度治理源头减排技术帮扶项目</w:t>
      </w:r>
      <w:r>
        <w:rPr>
          <w:sz w:val="21"/>
        </w:rPr>
        <w:t>（项目编号：</w:t>
      </w:r>
      <w:r>
        <w:rPr>
          <w:sz w:val="21"/>
        </w:rPr>
        <w:t>0724-2631ZI971815</w:t>
      </w:r>
      <w:r>
        <w:rPr>
          <w:sz w:val="21"/>
        </w:rPr>
        <w:t>），经双方协商一致，签订本合同。</w:t>
      </w:r>
    </w:p>
    <w:p>
      <w:pPr>
        <w:pStyle w:val="null3"/>
        <w:ind w:firstLine="422"/>
        <w:jc w:val="both"/>
      </w:pPr>
      <w:r>
        <w:rPr>
          <w:sz w:val="21"/>
          <w:b/>
        </w:rPr>
        <w:t>一、服务内容</w:t>
      </w:r>
    </w:p>
    <w:p>
      <w:pPr>
        <w:pStyle w:val="null3"/>
        <w:ind w:firstLine="420"/>
        <w:jc w:val="both"/>
      </w:pPr>
      <w:r>
        <w:rPr>
          <w:sz w:val="21"/>
          <w:u w:val="single"/>
        </w:rPr>
        <w:t>详见第二章采购需求</w:t>
      </w:r>
    </w:p>
    <w:p>
      <w:pPr>
        <w:pStyle w:val="null3"/>
        <w:ind w:firstLine="422"/>
        <w:jc w:val="both"/>
      </w:pPr>
      <w:r>
        <w:rPr>
          <w:sz w:val="21"/>
          <w:b/>
        </w:rPr>
        <w:t>二、甲方向乙方支付技术服务报酬及支付方式：</w:t>
      </w:r>
    </w:p>
    <w:p>
      <w:pPr>
        <w:pStyle w:val="null3"/>
        <w:ind w:firstLine="420"/>
        <w:jc w:val="both"/>
      </w:pPr>
      <w:r>
        <w:rPr>
          <w:sz w:val="21"/>
        </w:rPr>
        <w:t>1.技术服务费总额：人民币</w:t>
      </w:r>
      <w:r>
        <w:rPr>
          <w:sz w:val="21"/>
          <w:u w:val="single"/>
        </w:rPr>
        <w:t xml:space="preserve">         </w:t>
      </w:r>
      <w:r>
        <w:rPr>
          <w:sz w:val="21"/>
        </w:rPr>
        <w:t>元整（￥</w:t>
      </w:r>
      <w:r>
        <w:rPr>
          <w:sz w:val="21"/>
          <w:u w:val="single"/>
        </w:rPr>
        <w:t xml:space="preserve">         </w:t>
      </w:r>
      <w:r>
        <w:rPr>
          <w:sz w:val="21"/>
        </w:rPr>
        <w:t xml:space="preserve"> </w:t>
      </w:r>
      <w:r>
        <w:rPr>
          <w:sz w:val="21"/>
        </w:rPr>
        <w:t>元）</w:t>
      </w:r>
    </w:p>
    <w:p>
      <w:pPr>
        <w:pStyle w:val="null3"/>
        <w:ind w:firstLine="420"/>
        <w:jc w:val="both"/>
      </w:pPr>
      <w:r>
        <w:rPr>
          <w:sz w:val="21"/>
        </w:rPr>
        <w:t>2.结算方式：</w:t>
      </w:r>
    </w:p>
    <w:p>
      <w:pPr>
        <w:pStyle w:val="null3"/>
        <w:ind w:firstLine="420"/>
        <w:jc w:val="both"/>
      </w:pPr>
      <w:r>
        <w:rPr>
          <w:sz w:val="21"/>
        </w:rPr>
        <w:t>2.1分期付款。具体详见第二章采购需求。</w:t>
      </w:r>
    </w:p>
    <w:p>
      <w:pPr>
        <w:pStyle w:val="null3"/>
        <w:ind w:firstLine="420"/>
        <w:jc w:val="both"/>
      </w:pPr>
      <w:r>
        <w:rPr>
          <w:sz w:val="21"/>
        </w:rPr>
        <w:t>乙方开户银行名称、地址和帐号为：</w:t>
      </w:r>
    </w:p>
    <w:p>
      <w:pPr>
        <w:pStyle w:val="null3"/>
        <w:ind w:firstLine="420"/>
        <w:jc w:val="both"/>
      </w:pPr>
      <w:r>
        <w:rPr>
          <w:sz w:val="21"/>
        </w:rPr>
        <w:t>开户银行：</w:t>
      </w:r>
      <w:r>
        <w:rPr>
          <w:sz w:val="21"/>
          <w:u w:val="single"/>
        </w:rPr>
        <w:t xml:space="preserve">                               </w:t>
      </w:r>
    </w:p>
    <w:p>
      <w:pPr>
        <w:pStyle w:val="null3"/>
        <w:ind w:firstLine="420"/>
        <w:jc w:val="both"/>
      </w:pPr>
      <w:r>
        <w:rPr>
          <w:sz w:val="21"/>
        </w:rPr>
        <w:t>地址：</w:t>
      </w:r>
      <w:r>
        <w:rPr>
          <w:sz w:val="21"/>
          <w:u w:val="single"/>
        </w:rPr>
        <w:t xml:space="preserve">                                   </w:t>
      </w:r>
    </w:p>
    <w:p>
      <w:pPr>
        <w:pStyle w:val="null3"/>
        <w:ind w:firstLine="420"/>
        <w:jc w:val="both"/>
      </w:pPr>
      <w:r>
        <w:rPr>
          <w:sz w:val="21"/>
        </w:rPr>
        <w:t>帐号：</w:t>
      </w:r>
      <w:r>
        <w:rPr>
          <w:sz w:val="21"/>
          <w:u w:val="single"/>
        </w:rPr>
        <w:t xml:space="preserve">                                   </w:t>
      </w:r>
    </w:p>
    <w:p>
      <w:pPr>
        <w:pStyle w:val="null3"/>
        <w:ind w:firstLine="420"/>
        <w:jc w:val="both"/>
      </w:pPr>
      <w:r>
        <w:rPr>
          <w:sz w:val="21"/>
        </w:rPr>
        <w:t>2.2支付款项时，乙方同时向甲方提供：</w:t>
      </w:r>
    </w:p>
    <w:p>
      <w:pPr>
        <w:pStyle w:val="null3"/>
        <w:ind w:firstLine="420"/>
        <w:jc w:val="both"/>
      </w:pPr>
      <w:r>
        <w:rPr>
          <w:sz w:val="21"/>
        </w:rPr>
        <w:t>2.2.1合同；</w:t>
      </w:r>
    </w:p>
    <w:p>
      <w:pPr>
        <w:pStyle w:val="null3"/>
        <w:ind w:firstLine="420"/>
        <w:jc w:val="both"/>
      </w:pPr>
      <w:r>
        <w:rPr>
          <w:sz w:val="21"/>
        </w:rPr>
        <w:t>2.2.2乙方开具相应金额的正式发票；</w:t>
      </w:r>
    </w:p>
    <w:p>
      <w:pPr>
        <w:pStyle w:val="null3"/>
        <w:ind w:firstLine="420"/>
        <w:jc w:val="both"/>
      </w:pPr>
      <w:r>
        <w:rPr>
          <w:sz w:val="21"/>
        </w:rPr>
        <w:t>2.2.3中标/成交通知书。</w:t>
      </w:r>
    </w:p>
    <w:p>
      <w:pPr>
        <w:pStyle w:val="null3"/>
        <w:ind w:firstLine="422"/>
        <w:jc w:val="both"/>
      </w:pPr>
      <w:r>
        <w:rPr>
          <w:sz w:val="21"/>
          <w:b/>
        </w:rPr>
        <w:t>三、合同组成</w:t>
      </w:r>
    </w:p>
    <w:p>
      <w:pPr>
        <w:pStyle w:val="null3"/>
        <w:ind w:firstLine="420"/>
        <w:jc w:val="both"/>
      </w:pPr>
      <w:r>
        <w:rPr>
          <w:sz w:val="21"/>
        </w:rPr>
        <w:t>详细价格、服务细则及其它有关合同的特定信息由合同附件说明。所有附件及本项目的招标文件、投标文件、会议纪要、协议等均为本合同不可分割之一部分。</w:t>
      </w:r>
    </w:p>
    <w:p>
      <w:pPr>
        <w:pStyle w:val="null3"/>
        <w:ind w:firstLine="422"/>
        <w:jc w:val="both"/>
      </w:pPr>
      <w:r>
        <w:rPr>
          <w:sz w:val="21"/>
          <w:b/>
        </w:rPr>
        <w:t>四、双方的权利和义务</w:t>
      </w:r>
    </w:p>
    <w:p>
      <w:pPr>
        <w:pStyle w:val="null3"/>
        <w:ind w:firstLine="420"/>
        <w:jc w:val="both"/>
      </w:pPr>
      <w:r>
        <w:rPr>
          <w:sz w:val="21"/>
        </w:rPr>
        <w:t>1.甲方的权利和义务</w:t>
      </w:r>
    </w:p>
    <w:p>
      <w:pPr>
        <w:pStyle w:val="null3"/>
        <w:ind w:firstLine="420"/>
        <w:jc w:val="both"/>
      </w:pPr>
      <w:r>
        <w:rPr>
          <w:sz w:val="21"/>
        </w:rPr>
        <w:t>1.1甲方有权随时检查乙方的服务履行情况，并向乙方提出修改。</w:t>
      </w:r>
    </w:p>
    <w:p>
      <w:pPr>
        <w:pStyle w:val="null3"/>
        <w:ind w:firstLine="420"/>
        <w:jc w:val="both"/>
      </w:pPr>
      <w:r>
        <w:rPr>
          <w:sz w:val="21"/>
        </w:rPr>
        <w:t>1.2当发生服务违约时，则甲方有权要求乙方赔偿。</w:t>
      </w:r>
    </w:p>
    <w:p>
      <w:pPr>
        <w:pStyle w:val="null3"/>
        <w:ind w:firstLine="420"/>
        <w:jc w:val="both"/>
      </w:pPr>
      <w:r>
        <w:rPr>
          <w:sz w:val="21"/>
        </w:rPr>
        <w:t>1.3在乙方提供服务时，如对甲方的设备造成了损坏，甲方有权要求乙方赔偿。</w:t>
      </w:r>
    </w:p>
    <w:p>
      <w:pPr>
        <w:pStyle w:val="null3"/>
        <w:ind w:firstLine="420"/>
        <w:jc w:val="both"/>
      </w:pPr>
      <w:r>
        <w:rPr>
          <w:sz w:val="21"/>
        </w:rPr>
        <w:t>1.4甲方应按合同规定向乙方支付服务费用。</w:t>
      </w:r>
    </w:p>
    <w:p>
      <w:pPr>
        <w:pStyle w:val="null3"/>
        <w:ind w:firstLine="420"/>
        <w:jc w:val="both"/>
      </w:pPr>
      <w:r>
        <w:rPr>
          <w:sz w:val="21"/>
        </w:rPr>
        <w:t>2.乙方的权利和义务</w:t>
      </w:r>
    </w:p>
    <w:p>
      <w:pPr>
        <w:pStyle w:val="null3"/>
        <w:ind w:firstLine="420"/>
        <w:jc w:val="both"/>
      </w:pPr>
      <w:r>
        <w:rPr>
          <w:sz w:val="21"/>
        </w:rPr>
        <w:t>2.1乙方应按招标文件的要求、投标文件的承诺和和本合同维护细则要求执行进行服务，发生任何服务的变更均须向甲方提出交书面报审报告。</w:t>
      </w:r>
    </w:p>
    <w:p>
      <w:pPr>
        <w:pStyle w:val="null3"/>
        <w:ind w:firstLine="420"/>
        <w:jc w:val="both"/>
      </w:pPr>
      <w:r>
        <w:rPr>
          <w:sz w:val="21"/>
        </w:rPr>
        <w:t>2.2乙方有权要求甲方按时支付服务费用。如甲方不按时支付乙方有权要求甲方支付滞纳金。</w:t>
      </w:r>
    </w:p>
    <w:p>
      <w:pPr>
        <w:pStyle w:val="null3"/>
        <w:ind w:firstLine="420"/>
        <w:jc w:val="both"/>
      </w:pPr>
      <w:r>
        <w:rPr>
          <w:sz w:val="21"/>
        </w:rPr>
        <w:t>2.3乙方在提供服务时如损坏了甲方的设备，乙方应照价赔偿或更换同等设备。若因设备的损坏而引起其它损失的，乙方应作出合理赔偿（以甲乙双方协商或行政仲裁的结果赔偿）。</w:t>
      </w:r>
    </w:p>
    <w:p>
      <w:pPr>
        <w:pStyle w:val="null3"/>
        <w:ind w:firstLine="422"/>
        <w:jc w:val="both"/>
      </w:pPr>
      <w:r>
        <w:rPr>
          <w:sz w:val="21"/>
          <w:b/>
        </w:rPr>
        <w:t>五、双方确定</w:t>
      </w:r>
    </w:p>
    <w:p>
      <w:pPr>
        <w:pStyle w:val="null3"/>
        <w:ind w:firstLine="420"/>
        <w:jc w:val="both"/>
      </w:pPr>
      <w:r>
        <w:rPr>
          <w:sz w:val="21"/>
        </w:rPr>
        <w:t>1.在本合同有效期内，甲方利用乙方提交的技术服务工作成果完成的新的技术成果，归</w:t>
      </w:r>
      <w:r>
        <w:rPr>
          <w:sz w:val="21"/>
          <w:u w:val="single"/>
        </w:rPr>
        <w:t xml:space="preserve"> </w:t>
      </w:r>
      <w:r>
        <w:rPr>
          <w:sz w:val="21"/>
          <w:u w:val="single"/>
        </w:rPr>
        <w:t>甲</w:t>
      </w:r>
      <w:r>
        <w:rPr>
          <w:sz w:val="21"/>
          <w:u w:val="single"/>
        </w:rPr>
        <w:t xml:space="preserve">  </w:t>
      </w:r>
      <w:r>
        <w:rPr>
          <w:sz w:val="21"/>
        </w:rPr>
        <w:t>（甲、双）方所有。</w:t>
      </w:r>
    </w:p>
    <w:p>
      <w:pPr>
        <w:pStyle w:val="null3"/>
        <w:ind w:firstLine="420"/>
        <w:jc w:val="both"/>
      </w:pPr>
      <w:r>
        <w:rPr>
          <w:sz w:val="21"/>
        </w:rPr>
        <w:t>2.在本合同有效期内，乙方利用甲方提供的技术资料和工作条件所完成的新的技术成果，归</w:t>
      </w:r>
      <w:r>
        <w:rPr>
          <w:sz w:val="21"/>
          <w:u w:val="single"/>
        </w:rPr>
        <w:t xml:space="preserve">  </w:t>
      </w:r>
      <w:r>
        <w:rPr>
          <w:sz w:val="21"/>
          <w:u w:val="single"/>
        </w:rPr>
        <w:t>双</w:t>
      </w:r>
      <w:r>
        <w:rPr>
          <w:sz w:val="21"/>
          <w:u w:val="single"/>
        </w:rPr>
        <w:t xml:space="preserve">  </w:t>
      </w:r>
      <w:r>
        <w:rPr>
          <w:sz w:val="21"/>
        </w:rPr>
        <w:t>（乙、双）方所有。</w:t>
      </w:r>
    </w:p>
    <w:p>
      <w:pPr>
        <w:pStyle w:val="null3"/>
        <w:ind w:firstLine="420"/>
        <w:jc w:val="both"/>
      </w:pPr>
      <w:r>
        <w:rPr>
          <w:sz w:val="21"/>
        </w:rPr>
        <w:t>3.在本项目的工作成果所产生知识产权归甲方所有。乙方保证其向甲方提交的成果报告（包括且不限于阶段性成果和最终成果）及乙方为实现该成果所使用的必要方法不侵犯第三人的合法权益。甲方因使用乙方提交的成果被第三人指控侵权、提出异议或权利主张的，乙方应负责解决，并承担由此给甲方造成的一切损失。</w:t>
      </w:r>
    </w:p>
    <w:p>
      <w:pPr>
        <w:pStyle w:val="null3"/>
        <w:ind w:firstLine="422"/>
        <w:jc w:val="both"/>
      </w:pPr>
      <w:r>
        <w:rPr>
          <w:sz w:val="21"/>
          <w:b/>
        </w:rPr>
        <w:t>六、双方确定，按以下约定承担各自的违约责任</w:t>
      </w:r>
    </w:p>
    <w:p>
      <w:pPr>
        <w:pStyle w:val="null3"/>
        <w:ind w:firstLine="420"/>
        <w:jc w:val="both"/>
      </w:pPr>
      <w:r>
        <w:rPr>
          <w:sz w:val="21"/>
        </w:rPr>
        <w:t>1.乙方违反本合同约定，逾期向甲方交付工作成果的，应当以最短时间完成服务内容，每迟延一日乙方应当向甲方支付合同金额0.1%的违约金；逾期超过30日的，甲方有权解除本合同。乙方违反本合同约定，工作成果经甲方验收不合格的，甲方有权选择立即解除本合同或选择要求乙方返工。若甲方要求返工的，工期按甲方要求顺延，乙方承担由此而增加的费用。</w:t>
      </w:r>
    </w:p>
    <w:p>
      <w:pPr>
        <w:pStyle w:val="null3"/>
        <w:ind w:firstLine="420"/>
        <w:jc w:val="both"/>
      </w:pPr>
      <w:r>
        <w:rPr>
          <w:sz w:val="21"/>
        </w:rPr>
        <w:t>2.甲方违反本合同第四条约定，应当调整项目进度，并根据进度调整付费。</w:t>
      </w:r>
    </w:p>
    <w:p>
      <w:pPr>
        <w:pStyle w:val="null3"/>
        <w:ind w:firstLine="422"/>
        <w:jc w:val="both"/>
      </w:pPr>
      <w:r>
        <w:rPr>
          <w:sz w:val="21"/>
          <w:b/>
        </w:rPr>
        <w:t>七、</w:t>
      </w:r>
      <w:r>
        <w:rPr>
          <w:sz w:val="21"/>
        </w:rPr>
        <w:t>双方确定，在本合同有效期内，甲方指定</w:t>
      </w:r>
      <w:r>
        <w:rPr>
          <w:sz w:val="21"/>
          <w:u w:val="single"/>
        </w:rPr>
        <w:t xml:space="preserve">   </w:t>
      </w:r>
      <w:r>
        <w:rPr>
          <w:sz w:val="21"/>
        </w:rPr>
        <w:t>为甲方项目联系人，乙方指定</w:t>
      </w:r>
      <w:r>
        <w:rPr>
          <w:sz w:val="21"/>
          <w:u w:val="single"/>
        </w:rPr>
        <w:t xml:space="preserve">   </w:t>
      </w:r>
      <w:r>
        <w:rPr>
          <w:sz w:val="21"/>
        </w:rPr>
        <w:t>为乙方项目联系人。项目联系人承担以下责任：</w:t>
      </w:r>
    </w:p>
    <w:p>
      <w:pPr>
        <w:pStyle w:val="null3"/>
        <w:ind w:firstLine="420"/>
        <w:jc w:val="both"/>
      </w:pPr>
      <w:r>
        <w:rPr>
          <w:sz w:val="21"/>
        </w:rPr>
        <w:t>1.甲方联系人需要配合技术服务进度，提供项目相关资料，确认阶段性成果。</w:t>
      </w:r>
    </w:p>
    <w:p>
      <w:pPr>
        <w:pStyle w:val="null3"/>
        <w:ind w:firstLine="420"/>
        <w:jc w:val="both"/>
      </w:pPr>
      <w:r>
        <w:rPr>
          <w:sz w:val="21"/>
        </w:rPr>
        <w:t>2.乙方联系人需要定期向甲方报告技术服务完成情况，代表乙方签收甲方的书面文件。</w:t>
      </w:r>
    </w:p>
    <w:p>
      <w:pPr>
        <w:pStyle w:val="null3"/>
        <w:ind w:firstLine="420"/>
        <w:jc w:val="both"/>
      </w:pPr>
      <w:r>
        <w:rPr>
          <w:sz w:val="21"/>
        </w:rPr>
        <w:t>一方变更项目联系人的，应当及时以书面形式通知另一方。未及时通知并影响本合同履行或造成损失的，应承担相应的责任。</w:t>
      </w:r>
    </w:p>
    <w:p>
      <w:pPr>
        <w:pStyle w:val="null3"/>
        <w:ind w:firstLine="422"/>
        <w:jc w:val="both"/>
      </w:pPr>
      <w:r>
        <w:rPr>
          <w:sz w:val="21"/>
          <w:b/>
        </w:rPr>
        <w:t>八、合同转让与分包</w:t>
      </w:r>
    </w:p>
    <w:p>
      <w:pPr>
        <w:pStyle w:val="null3"/>
        <w:ind w:firstLine="420"/>
        <w:jc w:val="both"/>
      </w:pPr>
      <w:r>
        <w:rPr>
          <w:sz w:val="21"/>
        </w:rPr>
        <w:t>本合同乙方在任何情况下都不得转让其应履行的合同义务。在征得甲方同意的情况下，允许将非主体部分分包给其他供应商。</w:t>
      </w:r>
    </w:p>
    <w:p>
      <w:pPr>
        <w:pStyle w:val="null3"/>
        <w:ind w:firstLine="422"/>
        <w:jc w:val="both"/>
      </w:pPr>
      <w:r>
        <w:rPr>
          <w:sz w:val="21"/>
          <w:b/>
        </w:rPr>
        <w:t>九、合同终止</w:t>
      </w:r>
    </w:p>
    <w:p>
      <w:pPr>
        <w:pStyle w:val="null3"/>
        <w:ind w:firstLine="420"/>
        <w:jc w:val="both"/>
      </w:pPr>
      <w:r>
        <w:rPr>
          <w:sz w:val="21"/>
        </w:rPr>
        <w:t>1.如果一方严重违反合同，并在收到对方违约通知书后在</w:t>
      </w:r>
      <w:r>
        <w:rPr>
          <w:sz w:val="21"/>
          <w:shd w:fill="FFFFFF" w:val="clear"/>
        </w:rPr>
        <w:t>30</w:t>
      </w:r>
      <w:r>
        <w:rPr>
          <w:sz w:val="21"/>
        </w:rPr>
        <w:t>天内仍未能改正违约的，另一方可立即终止本合同。</w:t>
      </w:r>
    </w:p>
    <w:p>
      <w:pPr>
        <w:pStyle w:val="null3"/>
        <w:ind w:firstLine="420"/>
        <w:jc w:val="both"/>
      </w:pPr>
      <w:r>
        <w:rPr>
          <w:sz w:val="21"/>
        </w:rPr>
        <w:t>2.合同解除后，没有履行的，终止履行，未付款不再支付；已经履行的，根据合同第二条约定的工作进度或实际已完成工作量衡量，乙方按比例退回已付款。（具体比例由双方协商决定或委托第三方审计机构核算）</w:t>
      </w:r>
    </w:p>
    <w:p>
      <w:pPr>
        <w:pStyle w:val="null3"/>
        <w:ind w:firstLine="422"/>
        <w:jc w:val="both"/>
      </w:pPr>
      <w:r>
        <w:rPr>
          <w:sz w:val="21"/>
          <w:b/>
        </w:rPr>
        <w:t>十、不可抗力</w:t>
      </w:r>
    </w:p>
    <w:p>
      <w:pPr>
        <w:pStyle w:val="null3"/>
        <w:ind w:firstLine="420"/>
        <w:jc w:val="both"/>
      </w:pPr>
      <w:r>
        <w:rPr>
          <w:sz w:val="21"/>
        </w:rPr>
        <w:t>1.不可抗力指战争、严重火灾、洪水、台风、地震等或其它双方认定的不可抗力事件。</w:t>
      </w:r>
    </w:p>
    <w:p>
      <w:pPr>
        <w:pStyle w:val="null3"/>
        <w:ind w:firstLine="420"/>
        <w:jc w:val="both"/>
      </w:pPr>
      <w:r>
        <w:rPr>
          <w:sz w:val="21"/>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jc w:val="both"/>
      </w:pPr>
      <w:r>
        <w:rPr>
          <w:sz w:val="21"/>
          <w:b/>
        </w:rPr>
        <w:t>十一、法律诉讼</w:t>
      </w:r>
    </w:p>
    <w:p>
      <w:pPr>
        <w:pStyle w:val="null3"/>
        <w:ind w:firstLine="420"/>
        <w:jc w:val="both"/>
      </w:pPr>
      <w:r>
        <w:rPr>
          <w:sz w:val="21"/>
        </w:rPr>
        <w:t>签约双方在履约中发生争执和分歧，双方应通过友好协商解决，若经协商不能达成协议时，则向甲方所在地人民法院提起诉讼。受理期间，双方应继续执行合同其余部分。</w:t>
      </w:r>
    </w:p>
    <w:p>
      <w:pPr>
        <w:pStyle w:val="null3"/>
        <w:ind w:firstLine="422"/>
        <w:jc w:val="both"/>
      </w:pPr>
      <w:r>
        <w:rPr>
          <w:sz w:val="21"/>
          <w:b/>
        </w:rPr>
        <w:t>十二、合同生效</w:t>
      </w:r>
    </w:p>
    <w:p>
      <w:pPr>
        <w:pStyle w:val="null3"/>
        <w:ind w:firstLine="420"/>
        <w:jc w:val="both"/>
      </w:pPr>
      <w:r>
        <w:rPr>
          <w:sz w:val="21"/>
        </w:rPr>
        <w:t>本合同由双方法定代表人或委托代理人签字盖章后立即生效，具有同等法律效力，服务期由</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日，合同有效期随服务期结束而自然终止。</w:t>
      </w:r>
    </w:p>
    <w:p>
      <w:pPr>
        <w:pStyle w:val="null3"/>
        <w:ind w:firstLine="420"/>
        <w:jc w:val="both"/>
      </w:pPr>
      <w:r>
        <w:rPr>
          <w:sz w:val="21"/>
        </w:rPr>
        <w:t>本合同正本一式九份，甲方五份、乙方三份、委托代理机构一份。合同自签字之日起即时生效。</w:t>
      </w:r>
    </w:p>
    <w:p>
      <w:pPr>
        <w:pStyle w:val="null3"/>
        <w:ind w:firstLine="422"/>
        <w:jc w:val="both"/>
      </w:pPr>
      <w:r>
        <w:rPr>
          <w:sz w:val="21"/>
          <w:b/>
        </w:rPr>
        <w:t>十三、其它</w:t>
      </w:r>
    </w:p>
    <w:p>
      <w:pPr>
        <w:pStyle w:val="null3"/>
        <w:ind w:firstLine="420"/>
        <w:jc w:val="both"/>
      </w:pPr>
      <w:r>
        <w:rPr>
          <w:sz w:val="21"/>
        </w:rPr>
        <w:t>1.本合同未尽事宜，经双方协商一致可书面签订补充协议，补充协议与本合同具有同等法律效力。</w:t>
      </w:r>
    </w:p>
    <w:p>
      <w:pPr>
        <w:pStyle w:val="null3"/>
        <w:ind w:firstLine="420"/>
        <w:jc w:val="both"/>
      </w:pPr>
      <w:r>
        <w:rPr>
          <w:sz w:val="21"/>
        </w:rPr>
        <w:t>2.本项目招标文件及澄清文件，乙方的投标文件和各种书面承诺均作为本合同的附件，具有同等的法律效力。</w:t>
      </w:r>
    </w:p>
    <w:p>
      <w:pPr>
        <w:pStyle w:val="null3"/>
        <w:ind w:firstLine="420"/>
        <w:jc w:val="both"/>
      </w:pPr>
      <w:r>
        <w:rPr>
          <w:sz w:val="21"/>
        </w:rPr>
        <w:t>以下无正文。</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125"/>
        <w:gridCol w:w="4125"/>
      </w:tblGrid>
      <w:tr>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p>
        </w:tc>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u w:val="single"/>
              </w:rPr>
              <w:t>广州市生态环境局</w:t>
            </w:r>
          </w:p>
        </w:tc>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签约代表：（签字）</w:t>
            </w:r>
          </w:p>
        </w:tc>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签约代表：（签字）</w:t>
            </w:r>
          </w:p>
        </w:tc>
      </w:tr>
      <w:tr>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w:t>
            </w:r>
            <w:r>
              <w:rPr>
                <w:sz w:val="21"/>
              </w:rPr>
              <w:t>26</w:t>
            </w:r>
            <w:r>
              <w:rPr>
                <w:sz w:val="21"/>
              </w:rPr>
              <w:t>年</w:t>
            </w:r>
            <w:r>
              <w:rPr>
                <w:sz w:val="21"/>
                <w:u w:val="single"/>
              </w:rPr>
              <w:t xml:space="preserve">   </w:t>
            </w:r>
            <w:r>
              <w:rPr>
                <w:sz w:val="21"/>
              </w:rPr>
              <w:t>月</w:t>
            </w:r>
            <w:r>
              <w:rPr>
                <w:sz w:val="21"/>
                <w:u w:val="single"/>
              </w:rPr>
              <w:t xml:space="preserve">   </w:t>
            </w:r>
            <w:r>
              <w:rPr>
                <w:sz w:val="21"/>
              </w:rPr>
              <w:t>日</w:t>
            </w:r>
          </w:p>
        </w:tc>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w:t>
            </w:r>
            <w:r>
              <w:rPr>
                <w:sz w:val="21"/>
              </w:rPr>
              <w:t>26</w:t>
            </w:r>
            <w:r>
              <w:rPr>
                <w:sz w:val="21"/>
              </w:rPr>
              <w:t>年</w:t>
            </w:r>
            <w:r>
              <w:rPr>
                <w:sz w:val="21"/>
                <w:u w:val="single"/>
              </w:rPr>
              <w:t xml:space="preserve">   </w:t>
            </w:r>
            <w:r>
              <w:rPr>
                <w:sz w:val="21"/>
              </w:rPr>
              <w:t>月</w:t>
            </w:r>
            <w:r>
              <w:rPr>
                <w:sz w:val="21"/>
                <w:u w:val="single"/>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440101-2026-05130</w:t>
      </w:r>
    </w:p>
    <w:p>
      <w:pPr>
        <w:pStyle w:val="null3"/>
        <w:jc w:val="center"/>
        <w:outlineLvl w:val="3"/>
      </w:pPr>
      <w:r>
        <w:rPr>
          <w:sz w:val="24"/>
          <w:b/>
        </w:rPr>
        <w:t>采购项目编号：</w:t>
      </w:r>
      <w:r>
        <w:rPr>
          <w:sz w:val="24"/>
          <w:b/>
        </w:rPr>
        <w:t>0724-2631ZI971815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广州市重点企业深度治理源头减排技术帮扶项目</w:t>
      </w:r>
      <w:r>
        <w:rPr>
          <w:u w:val="single"/>
        </w:rPr>
        <w:t>”</w:t>
      </w:r>
      <w:r>
        <w:rPr/>
        <w:t>项目的招标[采购项目编号为：</w:t>
      </w:r>
      <w:r>
        <w:rPr>
          <w:u w:val="single"/>
        </w:rPr>
        <w:t>0724-2631ZI971815</w:t>
      </w:r>
      <w:r>
        <w:rPr/>
        <w:t>]，我方愿参与投标。</w:t>
      </w:r>
    </w:p>
    <w:p>
      <w:pPr>
        <w:pStyle w:val="null3"/>
        <w:ind w:firstLine="480"/>
      </w:pPr>
      <w:r>
        <w:rPr/>
        <w:t>我方确认收到贵方提供的</w:t>
      </w:r>
      <w:r>
        <w:rPr>
          <w:u w:val="single"/>
        </w:rPr>
        <w:t>“</w:t>
      </w:r>
      <w:r>
        <w:rPr>
          <w:u w:val="single"/>
        </w:rPr>
        <w:t>广州市重点企业深度治理源头减排技术帮扶项目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广州市重点企业深度治理源头减排技术帮扶项目</w:t>
      </w:r>
      <w:r>
        <w:rPr/>
        <w:t>”项目采购[采购项目编号为</w:t>
      </w:r>
      <w:r>
        <w:rPr/>
        <w:t>0724-2631ZI971815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广州市生态环境局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广州市重点企业深度治理源头减排技术帮扶项目</w:t>
      </w:r>
      <w:r>
        <w:rPr/>
        <w:t>招标中获中标（采购项目编号：</w:t>
      </w:r>
      <w:r>
        <w:rPr/>
        <w:t>0724-2631ZI971815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