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440101-2025-15403</w:t>
      </w:r>
    </w:p>
    <w:p>
      <w:pPr>
        <w:pStyle w:val="null3"/>
        <w:jc w:val="center"/>
        <w:outlineLvl w:val="3"/>
      </w:pPr>
      <w:r>
        <w:rPr>
          <w:sz w:val="24"/>
          <w:b/>
        </w:rPr>
        <w:t>采购项目编号：</w:t>
      </w:r>
      <w:r>
        <w:rPr>
          <w:sz w:val="24"/>
          <w:b/>
        </w:rPr>
        <w:t>0724-2531Z2635012</w:t>
      </w:r>
    </w:p>
    <w:p>
      <w:pPr>
        <w:pStyle w:val="null3"/>
        <w:jc w:val="center"/>
        <w:outlineLvl w:val="3"/>
      </w:pPr>
      <w:r>
        <w:rPr>
          <w:sz w:val="24"/>
          <w:b/>
        </w:rPr>
        <w:t>项目名称：</w:t>
      </w:r>
      <w:r>
        <w:rPr>
          <w:sz w:val="24"/>
          <w:b/>
        </w:rPr>
        <w:t>广州市第一人民医院采购医疗设备货物项目（2025年第18批）(二次)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广州市第一人民医院采购医疗设备货物项目（2025年第18批）(二次)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广州市第一人民医院采购医疗设备货物项目（2025年第18批）(二次)</w:t>
      </w:r>
    </w:p>
    <w:p>
      <w:pPr>
        <w:pStyle w:val="null3"/>
        <w:ind w:firstLine="480"/>
      </w:pPr>
      <w:r>
        <w:rPr/>
        <w:t>采购计划编号：</w:t>
      </w:r>
      <w:r>
        <w:rPr/>
        <w:t>440101-2025-15403</w:t>
      </w:r>
    </w:p>
    <w:p>
      <w:pPr>
        <w:pStyle w:val="null3"/>
        <w:ind w:firstLine="480"/>
      </w:pPr>
      <w:r>
        <w:rPr/>
        <w:t>采购项目编号：</w:t>
      </w:r>
      <w:r>
        <w:rPr/>
        <w:t>0724-2531Z2635012</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采购包1(流式细胞仪及全自动加样样品处理系统):</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流式细胞仪及全自动加样样品处理系统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采购包1（流式细胞仪及全自动加样样品处理系统）：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采购包1（流式细胞仪及全自动加样样品处理系统）：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5442"/>
        <w:gridCol w:w="974"/>
        <w:gridCol w:w="1859"/>
      </w:tblGrid>
      <w:tr>
        <w:tc>
          <w:tcPr>
            <w:tcW w:type="dxa" w:w="5442"/>
            <w:tcBorders>
              <w:top w:val="singl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b/>
                <w:color w:val="000000"/>
              </w:rPr>
              <w:t>标的名称</w:t>
            </w:r>
          </w:p>
        </w:tc>
        <w:tc>
          <w:tcPr>
            <w:tcW w:type="dxa" w:w="974"/>
            <w:tcBorders>
              <w:top w:val="singl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b/>
                <w:color w:val="000000"/>
              </w:rPr>
              <w:t>数量</w:t>
            </w:r>
          </w:p>
        </w:tc>
        <w:tc>
          <w:tcPr>
            <w:tcW w:type="dxa" w:w="1859"/>
            <w:tcBorders>
              <w:top w:val="singl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b/>
                <w:color w:val="000000"/>
              </w:rPr>
              <w:t>采购预算</w:t>
            </w:r>
          </w:p>
        </w:tc>
      </w:tr>
      <w:tr>
        <w:tc>
          <w:tcPr>
            <w:tcW w:type="dxa" w:w="5442"/>
            <w:tcBorders>
              <w:top w:val="non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color w:val="000000"/>
              </w:rPr>
              <w:t>流式细胞仪及全自动加样样品处理系统</w:t>
            </w:r>
          </w:p>
        </w:tc>
        <w:tc>
          <w:tcPr>
            <w:tcW w:type="dxa" w:w="974"/>
            <w:tcBorders>
              <w:top w:val="non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color w:val="000000"/>
              </w:rPr>
              <w:t>1套</w:t>
            </w:r>
          </w:p>
        </w:tc>
        <w:tc>
          <w:tcPr>
            <w:tcW w:type="dxa" w:w="1859"/>
            <w:tcBorders>
              <w:top w:val="none" w:color="000000" w:sz="4"/>
              <w:left w:val="single" w:color="000000" w:sz="4"/>
              <w:bottom w:val="single" w:color="000000" w:sz="4"/>
              <w:right w:val="single" w:color="000000" w:sz="4"/>
            </w:tcBorders>
            <w:tcMar>
              <w:top w:type="dxa" w:w="75"/>
              <w:left w:type="dxa" w:w="135"/>
              <w:bottom w:type="dxa" w:w="75"/>
              <w:right w:type="dxa" w:w="135"/>
            </w:tcMar>
            <w:vAlign w:val="top"/>
          </w:tcPr>
          <w:p>
            <w:pPr>
              <w:pStyle w:val="null3"/>
              <w:jc w:val="center"/>
            </w:pPr>
            <w:r>
              <w:rPr>
                <w:sz w:val="21"/>
                <w:color w:val="000000"/>
              </w:rPr>
              <w:t>¥500,000.00</w:t>
            </w:r>
          </w:p>
        </w:tc>
      </w:tr>
    </w:tbl>
    <w:p>
      <w:pPr>
        <w:pStyle w:val="null3"/>
        <w:ind w:firstLine="420"/>
        <w:jc w:val="both"/>
      </w:pPr>
      <w:r>
        <w:rPr>
          <w:sz w:val="21"/>
          <w:color w:val="000000"/>
        </w:rPr>
        <w:t>本项目采购本国产品。</w:t>
      </w:r>
    </w:p>
    <w:p>
      <w:pPr>
        <w:pStyle w:val="null3"/>
        <w:jc w:val="center"/>
      </w:pPr>
      <w:r>
        <w:rPr>
          <w:sz w:val="21"/>
          <w:b/>
          <w:color w:val="000000"/>
        </w:rPr>
        <w:t>用户需求书</w:t>
      </w:r>
    </w:p>
    <w:p>
      <w:pPr>
        <w:pStyle w:val="null3"/>
        <w:jc w:val="both"/>
      </w:pPr>
      <w:r>
        <w:rPr>
          <w:sz w:val="21"/>
          <w:b/>
          <w:color w:val="000000"/>
        </w:rPr>
        <w:t>说明</w:t>
      </w:r>
      <w:r>
        <w:rPr>
          <w:sz w:val="21"/>
          <w:b/>
          <w:color w:val="000000"/>
        </w:rPr>
        <w:t>：</w:t>
      </w:r>
    </w:p>
    <w:p>
      <w:pPr>
        <w:pStyle w:val="null3"/>
        <w:jc w:val="both"/>
      </w:pPr>
      <w:r>
        <w:rPr>
          <w:sz w:val="21"/>
          <w:b/>
          <w:color w:val="000000"/>
        </w:rPr>
        <w:t>（一）打</w:t>
      </w:r>
      <w:r>
        <w:rPr>
          <w:sz w:val="21"/>
          <w:b/>
          <w:color w:val="000000"/>
        </w:rPr>
        <w:t>“★”号条款为实质性条款，若有任何一条负偏离或不满足则导致投标（响应）无效。</w:t>
      </w:r>
    </w:p>
    <w:p>
      <w:pPr>
        <w:pStyle w:val="null3"/>
        <w:jc w:val="both"/>
      </w:pPr>
      <w:r>
        <w:rPr>
          <w:sz w:val="21"/>
          <w:b/>
          <w:color w:val="000000"/>
        </w:rPr>
        <w:t>（二）打</w:t>
      </w:r>
      <w:r>
        <w:rPr>
          <w:sz w:val="21"/>
          <w:b/>
          <w:color w:val="000000"/>
        </w:rPr>
        <w:t>“▲”号条款为重要技术参数（如有），若有部分“▲”条款未响应或不满足，将根据评审要求影响其得分，但不作为无效投标（响应）条款。</w:t>
      </w:r>
    </w:p>
    <w:p>
      <w:pPr>
        <w:pStyle w:val="null3"/>
        <w:jc w:val="both"/>
      </w:pPr>
      <w:r>
        <w:rPr>
          <w:sz w:val="21"/>
          <w:b/>
          <w:color w:val="000000"/>
        </w:rPr>
        <w:t>（三）供应商应对以下采购需求中</w:t>
      </w:r>
      <w:r>
        <w:rPr>
          <w:sz w:val="21"/>
          <w:b/>
          <w:color w:val="000000"/>
        </w:rPr>
        <w:t>“一、采购需求”的全部内容，逐条响应并填写《技术条款响应表》，如仅对其中部分技术或服务内容响应的，评审小组有权视为无效响应。</w:t>
      </w:r>
    </w:p>
    <w:p>
      <w:pPr>
        <w:pStyle w:val="null3"/>
        <w:jc w:val="both"/>
      </w:pPr>
      <w:r>
        <w:rPr>
          <w:sz w:val="21"/>
          <w:b/>
          <w:color w:val="000000"/>
        </w:rPr>
        <w:t>（四）供应商应对以下采购需求中</w:t>
      </w:r>
      <w:r>
        <w:rPr>
          <w:sz w:val="21"/>
          <w:b/>
          <w:color w:val="000000"/>
        </w:rPr>
        <w:t>“二、交货要求；三、包装、运输及到货检验；四、安装调试要求；五、验收要求和验收标准；六、培训要求；七、付款方式”的全部内容，逐条响应并填写《商务条款响应表》，如仅对其中部分商务内容响应的，评审小组有权视为无效响应。</w:t>
      </w:r>
    </w:p>
    <w:p>
      <w:pPr>
        <w:pStyle w:val="null3"/>
        <w:jc w:val="center"/>
      </w:pPr>
      <w:r>
        <w:rPr>
          <w:sz w:val="21"/>
          <w:b/>
          <w:color w:val="000000"/>
        </w:rPr>
        <w:t>流式细胞仪及全自动加样样品处理系统</w:t>
      </w:r>
    </w:p>
    <w:p>
      <w:pPr>
        <w:pStyle w:val="null3"/>
        <w:jc w:val="both"/>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490"/>
        <w:gridCol w:w="855"/>
        <w:gridCol w:w="750"/>
        <w:gridCol w:w="2010"/>
        <w:gridCol w:w="1725"/>
      </w:tblGrid>
      <w:tr>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流式细胞仪及全自动加样样品处理系统</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jc w:val="both"/>
      </w:pPr>
      <w:r>
        <w:rPr>
          <w:sz w:val="21"/>
          <w:color w:val="000000"/>
        </w:rPr>
        <w:t>本项目设备用于</w:t>
      </w:r>
      <w:r>
        <w:rPr>
          <w:sz w:val="21"/>
          <w:color w:val="000000"/>
        </w:rPr>
        <w:t>流体动力学原理对细胞进行聚焦，再通过激光激发产生散射光荧光等信号，实现对细胞已标记信号的定量分析，用于包括细胞凋亡、周期、免疫分型、淋巴细胞亚群、细胞因子检测等分析。设备需配备样本前处理，用于常规加样、细胞孵育、离心等上机前处理。</w:t>
      </w:r>
    </w:p>
    <w:p>
      <w:pPr>
        <w:pStyle w:val="null3"/>
        <w:jc w:val="both"/>
      </w:pPr>
      <w:r>
        <w:rPr>
          <w:sz w:val="21"/>
          <w:b/>
          <w:color w:val="000000"/>
        </w:rPr>
        <w:t>（三）参数要求</w:t>
      </w:r>
    </w:p>
    <w:p>
      <w:pPr>
        <w:pStyle w:val="null3"/>
        <w:jc w:val="both"/>
      </w:pPr>
      <w:r>
        <w:rPr>
          <w:sz w:val="21"/>
          <w:color w:val="000000"/>
        </w:rPr>
        <w:t>1.配置488±5nm和638±5nm，全固体激光器，功率均≤40mw</w:t>
      </w:r>
    </w:p>
    <w:p>
      <w:pPr>
        <w:pStyle w:val="null3"/>
        <w:jc w:val="both"/>
      </w:pPr>
      <w:r>
        <w:rPr>
          <w:sz w:val="21"/>
          <w:color w:val="000000"/>
        </w:rPr>
        <w:t>2.荧光检测通道≥6，蓝激光下≥4，红激光下≥2，每一个荧光检测通道对应独立的检测器及带通滤光片，非共用。</w:t>
      </w:r>
    </w:p>
    <w:p>
      <w:pPr>
        <w:pStyle w:val="null3"/>
        <w:jc w:val="both"/>
      </w:pPr>
      <w:r>
        <w:rPr>
          <w:sz w:val="21"/>
          <w:color w:val="000000"/>
        </w:rPr>
        <w:t>▲3.采用PMT检测器非APD，检测器可通过操作软件进行电压调节。（投标文件中提供产品说明书或产品官方彩页或检测报告作为证明材料）</w:t>
      </w:r>
    </w:p>
    <w:p>
      <w:pPr>
        <w:pStyle w:val="null3"/>
        <w:jc w:val="both"/>
      </w:pPr>
      <w:r>
        <w:rPr>
          <w:sz w:val="21"/>
          <w:color w:val="000000"/>
        </w:rPr>
        <w:t>4.荧光灵敏度：FITC的荧光灵敏度少于85 MESF，PE的荧光灵敏度少于20 MESF（投标文件中提供显示相应数据的官网截图或检测机构证明材料）</w:t>
      </w:r>
    </w:p>
    <w:p>
      <w:pPr>
        <w:pStyle w:val="null3"/>
        <w:jc w:val="both"/>
      </w:pPr>
      <w:r>
        <w:rPr>
          <w:sz w:val="21"/>
          <w:color w:val="000000"/>
        </w:rPr>
        <w:t>▲5. 进样方式采用压力空气泵进样（非蠕动泵、柱塞泵或注射泵进样方式，投标文件中提供显示相应功能的官网截图或彩页作为证明材料）</w:t>
      </w:r>
    </w:p>
    <w:p>
      <w:pPr>
        <w:pStyle w:val="null3"/>
        <w:jc w:val="both"/>
      </w:pPr>
      <w:r>
        <w:rPr>
          <w:sz w:val="21"/>
          <w:color w:val="000000"/>
        </w:rPr>
        <w:t>▲6.自动进样器一个，单独安装：配置≥40管的自动上样器，上样模式为流式管架自动进样，样品涡旋震荡混匀，非整盘混匀或搅拌混匀（</w:t>
      </w:r>
      <w:r>
        <w:rPr>
          <w:sz w:val="21"/>
          <w:color w:val="000000"/>
        </w:rPr>
        <w:t>投标文件中提供官网截图或彩页，及配置清单作为证明材料</w:t>
      </w:r>
      <w:r>
        <w:rPr>
          <w:sz w:val="21"/>
          <w:color w:val="000000"/>
        </w:rPr>
        <w:t>）</w:t>
      </w:r>
    </w:p>
    <w:p>
      <w:pPr>
        <w:pStyle w:val="null3"/>
        <w:jc w:val="both"/>
      </w:pPr>
      <w:r>
        <w:rPr>
          <w:sz w:val="21"/>
          <w:color w:val="000000"/>
        </w:rPr>
        <w:t>7.光路设计：固定一体化光路，数值孔径≧1.2NA。</w:t>
      </w:r>
    </w:p>
    <w:p>
      <w:pPr>
        <w:pStyle w:val="null3"/>
        <w:jc w:val="both"/>
      </w:pPr>
      <w:r>
        <w:rPr>
          <w:sz w:val="21"/>
          <w:color w:val="000000"/>
        </w:rPr>
        <w:t>8. 补偿调节：全矩阵荧光补偿，可脱机补偿，自动补偿。支持补偿库功能，可以存储多色实验中荧光染料的溢出值。调节电压后补偿矩阵自动计算。</w:t>
      </w:r>
    </w:p>
    <w:p>
      <w:pPr>
        <w:pStyle w:val="null3"/>
        <w:jc w:val="both"/>
      </w:pPr>
      <w:r>
        <w:rPr>
          <w:sz w:val="21"/>
          <w:color w:val="000000"/>
        </w:rPr>
        <w:t>9. 配套分析软件2套。</w:t>
      </w:r>
    </w:p>
    <w:p>
      <w:pPr>
        <w:pStyle w:val="null3"/>
        <w:jc w:val="both"/>
      </w:pPr>
      <w:r>
        <w:rPr>
          <w:sz w:val="21"/>
          <w:color w:val="000000"/>
        </w:rPr>
        <w:t>▲10.投标品牌在国家卫健委临检中心已开展室间质评的项目应具备独立仪器分组，且同一样本编码下通过室间质评实验室家数≥100家（投标文件中提供2024年国家卫健委临检中心网站截图或2024年室间质评结果报告证明）。</w:t>
      </w:r>
    </w:p>
    <w:p>
      <w:pPr>
        <w:pStyle w:val="null3"/>
        <w:jc w:val="both"/>
      </w:pPr>
      <w:r>
        <w:rPr>
          <w:sz w:val="21"/>
          <w:color w:val="000000"/>
        </w:rPr>
        <w:t>▲11.投标品牌需具备淋巴亚群相关检测医疗器械注册证，同时具有其他相关临床检测注册试剂盒，单抗类具有100种以上医疗器械注册证或医疗器械备案凭证。</w:t>
      </w:r>
    </w:p>
    <w:p>
      <w:pPr>
        <w:pStyle w:val="null3"/>
        <w:jc w:val="both"/>
      </w:pPr>
      <w:r>
        <w:rPr>
          <w:sz w:val="21"/>
          <w:color w:val="000000"/>
        </w:rPr>
        <w:t>12.</w:t>
      </w:r>
      <w:r>
        <w:rPr>
          <w:sz w:val="21"/>
          <w:color w:val="000000"/>
        </w:rPr>
        <w:t>样本处理系统加样精度血样</w:t>
      </w:r>
      <w:r>
        <w:rPr>
          <w:sz w:val="21"/>
          <w:color w:val="000000"/>
        </w:rPr>
        <w:t>≤3%,试剂≤2%</w:t>
      </w:r>
    </w:p>
    <w:p>
      <w:pPr>
        <w:pStyle w:val="null3"/>
        <w:jc w:val="both"/>
      </w:pPr>
      <w:r>
        <w:rPr>
          <w:sz w:val="21"/>
          <w:color w:val="000000"/>
        </w:rPr>
        <w:t>13.样本处理系统携带污染率≤0.1%</w:t>
      </w:r>
    </w:p>
    <w:p>
      <w:pPr>
        <w:pStyle w:val="null3"/>
        <w:jc w:val="both"/>
      </w:pPr>
      <w:r>
        <w:rPr>
          <w:sz w:val="21"/>
          <w:color w:val="000000"/>
        </w:rPr>
        <w:t>14.样本处理系统样本混匀时间1s-180s可调。</w:t>
      </w:r>
    </w:p>
    <w:p>
      <w:pPr>
        <w:pStyle w:val="null3"/>
        <w:jc w:val="both"/>
      </w:pPr>
      <w:r>
        <w:rPr>
          <w:sz w:val="21"/>
          <w:color w:val="000000"/>
        </w:rPr>
        <w:t>15.样本处理系统样本混匀速度100-1000rpm可调</w:t>
      </w:r>
    </w:p>
    <w:p>
      <w:pPr>
        <w:pStyle w:val="null3"/>
        <w:jc w:val="both"/>
      </w:pPr>
      <w:r>
        <w:rPr>
          <w:sz w:val="21"/>
          <w:color w:val="000000"/>
        </w:rPr>
        <w:t>▲16.样本处理系统适配项目：淋巴细胞亚群、细胞因子，具有双实验位，支持双实验同时进行。（投标文件中提供产品说明书或产品官方彩页作为证明材料）</w:t>
      </w:r>
    </w:p>
    <w:p>
      <w:pPr>
        <w:pStyle w:val="null3"/>
        <w:jc w:val="both"/>
      </w:pPr>
      <w:r>
        <w:rPr>
          <w:sz w:val="21"/>
          <w:color w:val="000000"/>
        </w:rPr>
        <w:t>17.样本处理系统内置紫外消毒系统</w:t>
      </w:r>
    </w:p>
    <w:p>
      <w:pPr>
        <w:pStyle w:val="null3"/>
        <w:jc w:val="both"/>
      </w:pPr>
      <w:r>
        <w:rPr>
          <w:sz w:val="21"/>
          <w:color w:val="000000"/>
        </w:rPr>
        <w:t>18.样本处理系统仪器故障要求12小时内应答，24小时形成解决方案。</w:t>
      </w:r>
    </w:p>
    <w:p>
      <w:pPr>
        <w:pStyle w:val="null3"/>
        <w:jc w:val="both"/>
      </w:pPr>
      <w:r>
        <w:rPr>
          <w:sz w:val="21"/>
          <w:color w:val="000000"/>
        </w:rPr>
        <w:t>19.样本处理系统设备软件免费升级</w:t>
      </w:r>
    </w:p>
    <w:p>
      <w:pPr>
        <w:pStyle w:val="null3"/>
        <w:jc w:val="both"/>
      </w:pPr>
      <w:r>
        <w:rPr>
          <w:sz w:val="21"/>
          <w:color w:val="000000"/>
        </w:rPr>
        <w:t>▲20. 样本处理系统试剂位：试剂位≥18位，辅助试剂位≥4位。试剂位支持相应玻璃试剂瓶，试剂位支持1.5mL规格EP管。（投标文件中提供产品说明书或产品官方彩页作为证明材料）</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906"/>
        <w:gridCol w:w="5588"/>
        <w:gridCol w:w="906"/>
        <w:gridCol w:w="906"/>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流式细胞仪主机</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系统工作站</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自动进样器</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鞘液</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质控荧光微球</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补偿荧光微球</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碱性清洗液</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流式细胞仪清洗液</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数据采集及分析软件</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全矩阵、全自动颜色补偿、补偿库</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≥20L鞘液容器, ≥5L废液容器，以及容器座</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密码狗</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流式管</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样本处理及孵育系统</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前处理清洗液</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r>
    </w:tbl>
    <w:p>
      <w:pPr>
        <w:pStyle w:val="null3"/>
        <w:jc w:val="both"/>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★1.所投设备具有有效的医疗器械注册证明（如国家有相关规定）。流式细胞仪必须具备医疗器械所必须的国内审批。</w:t>
      </w:r>
    </w:p>
    <w:p>
      <w:pPr>
        <w:pStyle w:val="null3"/>
        <w:jc w:val="both"/>
      </w:pPr>
      <w:r>
        <w:rPr>
          <w:sz w:val="21"/>
          <w:color w:val="000000"/>
        </w:rPr>
        <w:t>2.生产厂家需与注册证一致，且支持原机≥12个以上荧光检测通道。（提供第三方检测报告作为证明材料，复印件加盖投标人公章）</w:t>
      </w:r>
    </w:p>
    <w:p>
      <w:pPr>
        <w:pStyle w:val="null3"/>
        <w:jc w:val="both"/>
      </w:pPr>
      <w:r>
        <w:rPr>
          <w:sz w:val="21"/>
          <w:color w:val="000000"/>
        </w:rPr>
        <w:t>▲3.如投标人为代理经销商，应提供制造商对所投产品的合法授权函。</w:t>
      </w:r>
    </w:p>
    <w:p>
      <w:pPr>
        <w:pStyle w:val="null3"/>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both"/>
      </w:pPr>
      <w:r>
        <w:rPr>
          <w:sz w:val="21"/>
          <w:b/>
          <w:color w:val="000000"/>
        </w:rPr>
        <w:t>二、交货要求</w:t>
      </w:r>
    </w:p>
    <w:p>
      <w:pPr>
        <w:pStyle w:val="null3"/>
        <w:jc w:val="both"/>
      </w:pPr>
      <w:r>
        <w:rPr>
          <w:sz w:val="21"/>
          <w:color w:val="000000"/>
        </w:rPr>
        <w:t>（一）交货期：合同签订后收到采购人供货通知后</w:t>
      </w:r>
      <w:r>
        <w:rPr>
          <w:sz w:val="21"/>
          <w:color w:val="000000"/>
        </w:rPr>
        <w:t>30日历天内交货、安装、调试。</w:t>
      </w:r>
    </w:p>
    <w:p>
      <w:pPr>
        <w:pStyle w:val="null3"/>
        <w:jc w:val="both"/>
      </w:pPr>
      <w:r>
        <w:rPr>
          <w:sz w:val="21"/>
          <w:color w:val="000000"/>
        </w:rPr>
        <w:t>（二）交货地点：广州市第一人民医院（采购人指定地点）。中标人需按有关标准提供货物的包装，并采用恰当的方式将货物运抵交货地点。</w:t>
      </w:r>
    </w:p>
    <w:p>
      <w:pPr>
        <w:pStyle w:val="null3"/>
        <w:jc w:val="both"/>
      </w:pPr>
      <w:r>
        <w:rPr>
          <w:sz w:val="21"/>
          <w:b/>
          <w:color w:val="000000"/>
        </w:rPr>
        <w:t>三、包装、运输及到货检验</w:t>
      </w:r>
    </w:p>
    <w:p>
      <w:pPr>
        <w:pStyle w:val="null3"/>
        <w:jc w:val="both"/>
      </w:pPr>
      <w:r>
        <w:rPr>
          <w:sz w:val="21"/>
          <w:color w:val="000000"/>
        </w:rPr>
        <w:t>1.设备需由原厂包装，包装箱内需有下列随箱资料：产品合格证（包括出厂试验数据）、产品使用说明书、随箱清单等。</w:t>
      </w:r>
    </w:p>
    <w:p>
      <w:pPr>
        <w:pStyle w:val="null3"/>
        <w:jc w:val="both"/>
      </w:pPr>
      <w:r>
        <w:rPr>
          <w:sz w:val="21"/>
          <w:color w:val="000000"/>
        </w:rPr>
        <w:t>2.中标人负责所有设备从出厂到安装现场的运输。</w:t>
      </w:r>
    </w:p>
    <w:p>
      <w:pPr>
        <w:pStyle w:val="null3"/>
        <w:jc w:val="both"/>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both"/>
      </w:pPr>
      <w:r>
        <w:rPr>
          <w:sz w:val="21"/>
          <w:b/>
          <w:color w:val="000000"/>
        </w:rPr>
        <w:t>四、安装调试要求</w:t>
      </w:r>
    </w:p>
    <w:p>
      <w:pPr>
        <w:pStyle w:val="null3"/>
        <w:jc w:val="both"/>
      </w:pPr>
      <w:r>
        <w:rPr>
          <w:sz w:val="21"/>
          <w:color w:val="000000"/>
        </w:rPr>
        <w:t>1.安装和调试应由具备相应资质和能力的专业技术人员执行，确保设备的正确安装和功能的正常发挥。</w:t>
      </w:r>
    </w:p>
    <w:p>
      <w:pPr>
        <w:pStyle w:val="null3"/>
        <w:jc w:val="both"/>
      </w:pPr>
      <w:r>
        <w:rPr>
          <w:sz w:val="21"/>
          <w:color w:val="000000"/>
        </w:rPr>
        <w:t>2.安装前应确保产品名称、型号、规格、生产企业信息、医疗器械注册证编号等信息明确无误。</w:t>
      </w:r>
    </w:p>
    <w:p>
      <w:pPr>
        <w:pStyle w:val="null3"/>
        <w:jc w:val="both"/>
      </w:pPr>
      <w:r>
        <w:rPr>
          <w:sz w:val="21"/>
          <w:color w:val="000000"/>
        </w:rPr>
        <w:t>3.在安装和调试过程中，必须遵守相应的操作规程和标准，以确保过程的准确性和可靠性。</w:t>
      </w:r>
    </w:p>
    <w:p>
      <w:pPr>
        <w:pStyle w:val="null3"/>
        <w:jc w:val="both"/>
      </w:pPr>
      <w:r>
        <w:rPr>
          <w:sz w:val="21"/>
          <w:color w:val="000000"/>
        </w:rPr>
        <w:t>4.在验收过程中，应有详细的报告记录测试和调试的结果，确保所有功能都符合规定的要求。</w:t>
      </w:r>
    </w:p>
    <w:p>
      <w:pPr>
        <w:pStyle w:val="null3"/>
        <w:jc w:val="both"/>
      </w:pPr>
      <w:r>
        <w:rPr>
          <w:sz w:val="21"/>
          <w:b/>
          <w:color w:val="000000"/>
        </w:rPr>
        <w:t>五、验收要求和验收标准</w:t>
      </w:r>
    </w:p>
    <w:p>
      <w:pPr>
        <w:pStyle w:val="null3"/>
        <w:jc w:val="both"/>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both"/>
      </w:pPr>
      <w:r>
        <w:rPr>
          <w:sz w:val="21"/>
          <w:b/>
          <w:color w:val="000000"/>
        </w:rPr>
        <w:t>六、培训要求</w:t>
      </w:r>
    </w:p>
    <w:p>
      <w:pPr>
        <w:pStyle w:val="null3"/>
        <w:jc w:val="both"/>
      </w:pPr>
      <w:r>
        <w:rPr>
          <w:sz w:val="21"/>
          <w:color w:val="000000"/>
        </w:rPr>
        <w:t>1.须提供设备使用维护培训，使采购人使用人员能掌握设备的结构原理、检修方法与操作要点。</w:t>
      </w:r>
    </w:p>
    <w:p>
      <w:pPr>
        <w:pStyle w:val="null3"/>
        <w:jc w:val="both"/>
      </w:pPr>
      <w:r>
        <w:rPr>
          <w:sz w:val="21"/>
          <w:color w:val="000000"/>
        </w:rPr>
        <w:t>2.培训应包括医疗设备的安全使用知识，包括设备的使用期限、禁忌、注意事项等。</w:t>
      </w:r>
    </w:p>
    <w:p>
      <w:pPr>
        <w:pStyle w:val="null3"/>
        <w:jc w:val="both"/>
      </w:pPr>
      <w:r>
        <w:rPr>
          <w:sz w:val="21"/>
          <w:color w:val="000000"/>
        </w:rPr>
        <w:t>3.培训内容应涵盖设备的维护和保养方法，以及特殊运输、贮存的条件和方法。</w:t>
      </w:r>
    </w:p>
    <w:p>
      <w:pPr>
        <w:pStyle w:val="null3"/>
        <w:jc w:val="both"/>
      </w:pPr>
      <w:r>
        <w:rPr>
          <w:sz w:val="21"/>
          <w:color w:val="000000"/>
        </w:rPr>
        <w:t>4.培训应包括设备故障和问题应急处理，以便在紧急情况下能够迅速有效地采取措施。</w:t>
      </w:r>
    </w:p>
    <w:p>
      <w:pPr>
        <w:pStyle w:val="null3"/>
        <w:jc w:val="both"/>
      </w:pPr>
      <w:r>
        <w:rPr>
          <w:sz w:val="21"/>
          <w:color w:val="000000"/>
        </w:rPr>
        <w:t>5.培训应包括对医疗器械质量控制的理解和实践，确保设备在使用过程中的质量和性能。</w:t>
      </w:r>
    </w:p>
    <w:p>
      <w:pPr>
        <w:pStyle w:val="null3"/>
        <w:jc w:val="both"/>
      </w:pPr>
      <w:r>
        <w:rPr>
          <w:sz w:val="21"/>
          <w:b/>
          <w:color w:val="000000"/>
        </w:rPr>
        <w:t>七、付款方式</w:t>
      </w:r>
    </w:p>
    <w:p>
      <w:pPr>
        <w:pStyle w:val="null3"/>
        <w:jc w:val="both"/>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采购包1（流式细胞仪及全自动加样样品处理系统）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流式细胞仪及全自动加样样品处理系统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流式细胞仪及全自动加样样品处理系统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流式细胞仪及全自动加样样品处理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有1条带“▲”号的重要技术条款负偏离，得21分； 有2条带“▲”号的重要技术条款负偏离，得18分； 有3条带“▲”号的重要技术条款负偏离，得15分； 有4条带“▲”号的重要技术条款负偏离，得12分； 有5条带“▲”号的重要技术条款负偏离，得9分；有6条带“▲”号的重要技术条款负偏离，得6分；有7条带“▲”号的重要技术条款负偏离，得3分；有8条带“▲”号的重要技术条款负偏离，得0分。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有6条一般技术参数负偏离，得20分； 有7条一般技术参数负偏离，得19分；···以此类推有24条一般技术参数负偏离，得2分。有25条或以上一般技术参数负偏离，得1分。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b/>
          <w:color w:val="000000"/>
          <w:u w:val="single"/>
        </w:rPr>
        <w:t>广州市第一人民医院采购医疗设备货物项目（</w:t>
      </w:r>
      <w:r>
        <w:rPr>
          <w:sz w:val="24"/>
          <w:b/>
          <w:color w:val="000000"/>
          <w:u w:val="single"/>
        </w:rPr>
        <w:t>2025</w:t>
      </w:r>
      <w:r>
        <w:rPr>
          <w:sz w:val="24"/>
          <w:b/>
          <w:color w:val="000000"/>
          <w:u w:val="single"/>
        </w:rPr>
        <w:t>年第</w:t>
      </w:r>
      <w:r>
        <w:rPr>
          <w:sz w:val="24"/>
          <w:b/>
          <w:color w:val="000000"/>
          <w:u w:val="single"/>
        </w:rPr>
        <w:t>18</w:t>
      </w:r>
      <w:r>
        <w:rPr>
          <w:sz w:val="24"/>
          <w:b/>
          <w:color w:val="000000"/>
          <w:u w:val="single"/>
        </w:rPr>
        <w:t>批）（二次）</w:t>
      </w:r>
      <w:r>
        <w:rPr>
          <w:b/>
          <w:u w:val="single"/>
        </w:rPr>
        <w:t xml:space="preserve"> </w:t>
      </w:r>
      <w:r>
        <w:rPr>
          <w:sz w:val="24"/>
          <w:color w:val="000000"/>
        </w:rPr>
        <w:t>包组</w:t>
      </w:r>
      <w:r>
        <w:rPr>
          <w:b/>
          <w:u w:val="single"/>
        </w:rPr>
        <w:t xml:space="preserve">                </w:t>
      </w:r>
      <w:r>
        <w:rPr>
          <w:sz w:val="24"/>
          <w:color w:val="000000"/>
        </w:rPr>
        <w:t>（项目编号：</w:t>
      </w:r>
      <w:r>
        <w:rPr>
          <w:sz w:val="24"/>
          <w:b/>
          <w:color w:val="000000"/>
          <w:u w:val="single"/>
        </w:rPr>
        <w:t xml:space="preserve"> </w:t>
      </w:r>
      <w:r>
        <w:rPr>
          <w:sz w:val="24"/>
          <w:b/>
          <w:color w:val="000000"/>
          <w:u w:val="single"/>
        </w:rPr>
        <w:t xml:space="preserve">0724-2531Z2635012 </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77"/>
        <w:gridCol w:w="947"/>
        <w:gridCol w:w="947"/>
        <w:gridCol w:w="577"/>
        <w:gridCol w:w="577"/>
        <w:gridCol w:w="1120"/>
        <w:gridCol w:w="1120"/>
        <w:gridCol w:w="1201"/>
        <w:gridCol w:w="1201"/>
      </w:tblGrid>
      <w:tr>
        <w:tc>
          <w:tcPr>
            <w:tcW w:type="dxa" w:w="577"/>
            <w:tcBorders>
              <w:top w:val="single" w:color="000000" w:sz="4"/>
              <w:left w:val="singl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品名</w:t>
            </w:r>
          </w:p>
        </w:tc>
        <w:tc>
          <w:tcPr>
            <w:tcW w:type="dxa" w:w="947"/>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规格型号</w:t>
            </w:r>
          </w:p>
        </w:tc>
        <w:tc>
          <w:tcPr>
            <w:tcW w:type="dxa" w:w="947"/>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产地厂家</w:t>
            </w:r>
          </w:p>
        </w:tc>
        <w:tc>
          <w:tcPr>
            <w:tcW w:type="dxa" w:w="577"/>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单位</w:t>
            </w:r>
          </w:p>
        </w:tc>
        <w:tc>
          <w:tcPr>
            <w:tcW w:type="dxa" w:w="577"/>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数量</w:t>
            </w:r>
          </w:p>
        </w:tc>
        <w:tc>
          <w:tcPr>
            <w:tcW w:type="dxa" w:w="1120"/>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单价（元）</w:t>
            </w:r>
          </w:p>
        </w:tc>
        <w:tc>
          <w:tcPr>
            <w:tcW w:type="dxa" w:w="1120"/>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总价（元）</w:t>
            </w:r>
          </w:p>
        </w:tc>
        <w:tc>
          <w:tcPr>
            <w:tcW w:type="dxa" w:w="1201"/>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随机配件</w:t>
            </w:r>
          </w:p>
        </w:tc>
        <w:tc>
          <w:tcPr>
            <w:tcW w:type="dxa" w:w="1201"/>
            <w:tcBorders>
              <w:top w:val="singl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b/>
                <w:color w:val="000000"/>
              </w:rPr>
              <w:t>交货地点</w:t>
            </w:r>
          </w:p>
        </w:tc>
      </w:tr>
      <w:tr>
        <w:tc>
          <w:tcPr>
            <w:tcW w:type="dxa" w:w="577"/>
            <w:tcBorders>
              <w:top w:val="none" w:color="000000" w:sz="4"/>
              <w:left w:val="single" w:color="000000" w:sz="4"/>
              <w:bottom w:val="single" w:color="000000" w:sz="4"/>
              <w:right w:val="single" w:color="000000" w:sz="4"/>
            </w:tcBorders>
            <w:tcMar>
              <w:top w:type="dxa" w:w="60"/>
              <w:left w:type="dxa" w:w="75"/>
              <w:bottom w:type="dxa" w:w="60"/>
              <w:right w:type="dxa" w:w="75"/>
            </w:tcMar>
            <w:vAlign w:val="top"/>
          </w:tcPr>
          <w:p>
            <w:pPr>
              <w:pStyle w:val="null3"/>
              <w:jc w:val="center"/>
            </w:pPr>
          </w:p>
        </w:tc>
        <w:tc>
          <w:tcPr>
            <w:tcW w:type="dxa" w:w="94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94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57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57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120"/>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120"/>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201"/>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color w:val="000000"/>
              </w:rPr>
              <w:t>详见配置清单</w:t>
            </w:r>
          </w:p>
        </w:tc>
        <w:tc>
          <w:tcPr>
            <w:tcW w:type="dxa" w:w="1201"/>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color w:val="000000"/>
              </w:rPr>
              <w:t>甲方</w:t>
            </w:r>
            <w:r>
              <w:rPr>
                <w:sz w:val="24"/>
                <w:color w:val="000000"/>
              </w:rPr>
              <w:t>指定地点</w:t>
            </w:r>
          </w:p>
        </w:tc>
      </w:tr>
      <w:tr>
        <w:tc>
          <w:tcPr>
            <w:tcW w:type="dxa" w:w="577"/>
            <w:tcBorders>
              <w:top w:val="none" w:color="000000" w:sz="4"/>
              <w:left w:val="single" w:color="000000" w:sz="4"/>
              <w:bottom w:val="single" w:color="000000" w:sz="4"/>
              <w:right w:val="single" w:color="000000" w:sz="4"/>
            </w:tcBorders>
            <w:tcMar>
              <w:top w:type="dxa" w:w="60"/>
              <w:left w:type="dxa" w:w="75"/>
              <w:bottom w:type="dxa" w:w="60"/>
              <w:right w:type="dxa" w:w="75"/>
            </w:tcMar>
            <w:vAlign w:val="top"/>
          </w:tcPr>
          <w:p>
            <w:pPr>
              <w:pStyle w:val="null3"/>
              <w:jc w:val="center"/>
            </w:pPr>
          </w:p>
        </w:tc>
        <w:tc>
          <w:tcPr>
            <w:tcW w:type="dxa" w:w="94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94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57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577"/>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120"/>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120"/>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tc>
        <w:tc>
          <w:tcPr>
            <w:tcW w:type="dxa" w:w="1201"/>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color w:val="000000"/>
              </w:rPr>
              <w:t>详见配置清单</w:t>
            </w:r>
          </w:p>
        </w:tc>
        <w:tc>
          <w:tcPr>
            <w:tcW w:type="dxa" w:w="1201"/>
            <w:tcBorders>
              <w:top w:val="none" w:color="000000" w:sz="4"/>
              <w:left w:val="none" w:color="000000" w:sz="4"/>
              <w:bottom w:val="single" w:color="000000" w:sz="4"/>
              <w:right w:val="single" w:color="000000" w:sz="4"/>
            </w:tcBorders>
            <w:tcMar>
              <w:top w:type="dxa" w:w="60"/>
              <w:left w:type="dxa" w:w="75"/>
              <w:bottom w:type="dxa" w:w="60"/>
              <w:right w:type="dxa" w:w="7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w:t>
      </w:r>
      <w:r>
        <w:rPr>
          <w:sz w:val="24"/>
          <w:color w:val="000000"/>
        </w:rPr>
        <w:t>或提供服务</w:t>
      </w:r>
      <w:r>
        <w:rPr>
          <w:sz w:val="24"/>
          <w:color w:val="000000"/>
        </w:rPr>
        <w:t>，每拖延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w:t>
      </w:r>
      <w:r>
        <w:rPr>
          <w:sz w:val="24"/>
          <w:color w:val="000000"/>
        </w:rPr>
        <w:t>的</w:t>
      </w:r>
      <w:r>
        <w:rPr>
          <w:sz w:val="24"/>
          <w:color w:val="000000"/>
        </w:rPr>
        <w:t>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769"/>
        <w:gridCol w:w="2986"/>
        <w:gridCol w:w="1769"/>
        <w:gridCol w:w="1769"/>
      </w:tblGrid>
      <w:tr>
        <w:tc>
          <w:tcPr>
            <w:tcW w:type="dxa" w:w="1769"/>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986"/>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配置名称</w:t>
            </w:r>
          </w:p>
        </w:tc>
        <w:tc>
          <w:tcPr>
            <w:tcW w:type="dxa" w:w="1769"/>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数量</w:t>
            </w:r>
          </w:p>
        </w:tc>
        <w:tc>
          <w:tcPr>
            <w:tcW w:type="dxa" w:w="1769"/>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单位</w:t>
            </w: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r>
        <w:tc>
          <w:tcPr>
            <w:tcW w:type="dxa" w:w="17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tc>
        <w:tc>
          <w:tcPr>
            <w:tcW w:type="dxa" w:w="2986"/>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c>
          <w:tcPr>
            <w:tcW w:type="dxa" w:w="1769"/>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both"/>
      </w:pPr>
      <w:r>
        <w:rPr/>
        <w:t xml:space="preserve"> </w:t>
      </w:r>
    </w:p>
    <w:p>
      <w:pPr>
        <w:pStyle w:val="null3"/>
        <w:jc w:val="center"/>
      </w:pPr>
      <w:r>
        <w:rPr>
          <w:sz w:val="44"/>
          <w:b/>
        </w:rPr>
        <w:t>廉</w:t>
      </w:r>
      <w:r>
        <w:rPr>
          <w:sz w:val="44"/>
          <w:b/>
        </w:rPr>
        <w:t>洁</w:t>
      </w:r>
      <w:r>
        <w:rPr>
          <w:sz w:val="44"/>
          <w:b/>
        </w:rPr>
        <w:t>购</w:t>
      </w:r>
      <w:r>
        <w:rPr>
          <w:sz w:val="44"/>
          <w:b/>
        </w:rPr>
        <w:t>销</w:t>
      </w:r>
      <w:r>
        <w:rPr>
          <w:sz w:val="44"/>
          <w:b/>
        </w:rPr>
        <w:t>合</w:t>
      </w:r>
      <w:r>
        <w:rPr>
          <w:sz w:val="44"/>
          <w:b/>
        </w:rPr>
        <w:t>同</w:t>
      </w:r>
    </w:p>
    <w:p>
      <w:pPr>
        <w:pStyle w:val="null3"/>
        <w:jc w:val="center"/>
      </w:pPr>
      <w:r>
        <w:rPr>
          <w:sz w:val="21"/>
          <w:b/>
        </w:rPr>
        <w:t>甲方</w:t>
      </w:r>
      <w:r>
        <w:rPr>
          <w:sz w:val="21"/>
        </w:rPr>
        <w:t>：广州市第一人民医院</w:t>
      </w:r>
    </w:p>
    <w:p>
      <w:pPr>
        <w:pStyle w:val="null3"/>
        <w:jc w:val="both"/>
      </w:pPr>
      <w:r>
        <w:rPr>
          <w:sz w:val="21"/>
          <w:b/>
        </w:rPr>
        <w:t>乙方</w:t>
      </w:r>
      <w:r>
        <w:rPr>
          <w:sz w:val="21"/>
        </w:rPr>
        <w:t>：</w:t>
      </w:r>
    </w:p>
    <w:p>
      <w:pPr>
        <w:pStyle w:val="null3"/>
        <w:jc w:val="both"/>
      </w:pPr>
      <w:r>
        <w:rPr>
          <w:sz w:val="21"/>
        </w:rPr>
        <w:t xml:space="preserve"> </w:t>
      </w:r>
      <w:r>
        <w:rPr>
          <w:sz w:val="21"/>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一、甲乙双方按照《中华人民共和国民法典》及购销合同约定购销物资、服务、信息等产品。</w:t>
      </w:r>
    </w:p>
    <w:p>
      <w:pPr>
        <w:pStyle w:val="null3"/>
        <w:ind w:firstLine="420"/>
        <w:jc w:val="both"/>
      </w:pPr>
      <w:r>
        <w:rPr>
          <w:sz w:val="21"/>
        </w:rPr>
        <w:t>二、甲方应当严格执行购销合同验收、入库制度，对采购的产品及发票进行查验，不得违反有关规定合同外采购、违价采购或从非规定渠道采购。</w:t>
      </w:r>
    </w:p>
    <w:p>
      <w:pPr>
        <w:pStyle w:val="null3"/>
        <w:ind w:firstLine="420"/>
        <w:jc w:val="both"/>
      </w:pPr>
      <w:r>
        <w:rPr>
          <w:sz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四、乙方不得以回.扣、宴请等方式影响甲方工作人员采购或使用产品的选择权，不得在经济活动中提供旅游、超标准支付食宿费用。</w:t>
      </w:r>
    </w:p>
    <w:p>
      <w:pPr>
        <w:pStyle w:val="null3"/>
        <w:ind w:firstLine="420"/>
        <w:jc w:val="both"/>
      </w:pPr>
      <w:r>
        <w:rPr>
          <w:sz w:val="21"/>
        </w:rPr>
        <w:t>五、乙方指定</w:t>
      </w:r>
      <w:r>
        <w:rPr>
          <w:sz w:val="21"/>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rPr>
        <w:t>六、乙方如违反本合同，一经发现，甲方有权终止购销合同，并向有关卫生计生行政部门报告。如乙方被列入商业贿赂不良记录，则严格按照《国家</w:t>
      </w:r>
      <w:r>
        <w:rPr>
          <w:sz w:val="21"/>
        </w:rPr>
        <w:t>卫生计生委关于建立医药购销领域商业贿赂不良记录的规定</w:t>
      </w:r>
      <w:r>
        <w:rPr>
          <w:sz w:val="21"/>
        </w:rPr>
        <w:t>》</w:t>
      </w:r>
      <w:r>
        <w:rPr>
          <w:sz w:val="21"/>
          <w:color w:val="000000"/>
          <w:shd w:fill="FFFFFF" w:val="clear"/>
        </w:rPr>
        <w:t>（国卫法制发〔</w:t>
      </w:r>
      <w:r>
        <w:rPr>
          <w:sz w:val="21"/>
          <w:color w:val="000000"/>
          <w:shd w:fill="FFFFFF" w:val="clear"/>
        </w:rPr>
        <w:t>2013〕50号）</w:t>
      </w:r>
      <w:r>
        <w:rPr>
          <w:sz w:val="21"/>
        </w:rPr>
        <w:t>相关规定处理。</w:t>
      </w:r>
    </w:p>
    <w:p>
      <w:pPr>
        <w:pStyle w:val="null3"/>
        <w:ind w:firstLine="420"/>
        <w:jc w:val="both"/>
      </w:pPr>
      <w:r>
        <w:rPr>
          <w:sz w:val="21"/>
        </w:rPr>
        <w:t>七、本合同作为购销合同的重要组成部分，与购销合同一并执行，具有同等的法律效力。</w:t>
      </w:r>
    </w:p>
    <w:p>
      <w:pPr>
        <w:pStyle w:val="null3"/>
        <w:ind w:firstLine="420"/>
        <w:jc w:val="both"/>
      </w:pPr>
      <w:r>
        <w:rPr>
          <w:sz w:val="21"/>
        </w:rPr>
        <w:t>八、本合同一式伍份，其中甲方执叁份，乙方执壹份，甲方纪检监察部门执壹份，并从签订之日起生效。</w:t>
      </w:r>
    </w:p>
    <w:p>
      <w:pPr>
        <w:pStyle w:val="null3"/>
        <w:jc w:val="both"/>
      </w:pPr>
      <w:r>
        <w:rPr>
          <w:sz w:val="21"/>
          <w:b/>
        </w:rPr>
        <w:t>甲方（盖章）：</w:t>
      </w:r>
      <w:r>
        <w:rPr>
          <w:sz w:val="21"/>
          <w:b/>
        </w:rPr>
        <w:t xml:space="preserve">                                 </w:t>
      </w:r>
      <w:r>
        <w:rPr>
          <w:sz w:val="21"/>
          <w:b/>
        </w:rPr>
        <w:t>乙方（盖章）：</w:t>
      </w:r>
    </w:p>
    <w:p>
      <w:pPr>
        <w:pStyle w:val="null3"/>
        <w:jc w:val="both"/>
      </w:pPr>
      <w:r>
        <w:rPr>
          <w:sz w:val="21"/>
          <w:b/>
        </w:rPr>
        <w:t>单位负责人：</w:t>
      </w:r>
      <w:r>
        <w:rPr>
          <w:sz w:val="21"/>
          <w:b/>
        </w:rPr>
        <w:t xml:space="preserve">                      </w:t>
      </w:r>
      <w:r>
        <w:rPr>
          <w:sz w:val="21"/>
          <w:b/>
        </w:rPr>
        <w:t xml:space="preserve">         </w:t>
      </w:r>
      <w:r>
        <w:rPr>
          <w:sz w:val="21"/>
          <w:b/>
        </w:rPr>
        <w:t xml:space="preserve">   </w:t>
      </w:r>
      <w:r>
        <w:rPr>
          <w:sz w:val="21"/>
          <w:b/>
        </w:rPr>
        <w:t>单位负责人：</w:t>
      </w:r>
    </w:p>
    <w:p>
      <w:pPr>
        <w:pStyle w:val="null3"/>
        <w:jc w:val="both"/>
      </w:pPr>
      <w:r>
        <w:rPr>
          <w:sz w:val="21"/>
          <w:b/>
        </w:rPr>
        <w:t>经办人签名：</w:t>
      </w:r>
      <w:r>
        <w:rPr>
          <w:sz w:val="21"/>
          <w:b/>
        </w:rPr>
        <w:t xml:space="preserve">                                  </w:t>
      </w:r>
      <w:r>
        <w:rPr>
          <w:sz w:val="21"/>
          <w:b/>
        </w:rPr>
        <w:t>经办人签名：</w:t>
      </w:r>
    </w:p>
    <w:p>
      <w:pPr>
        <w:pStyle w:val="null3"/>
      </w:pP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440101-2025-15403</w:t>
      </w:r>
    </w:p>
    <w:p>
      <w:pPr>
        <w:pStyle w:val="null3"/>
        <w:jc w:val="center"/>
        <w:outlineLvl w:val="3"/>
      </w:pPr>
      <w:r>
        <w:rPr>
          <w:sz w:val="24"/>
          <w:b/>
        </w:rPr>
        <w:t>采购项目编号：</w:t>
      </w:r>
      <w:r>
        <w:rPr>
          <w:sz w:val="24"/>
          <w:b/>
        </w:rPr>
        <w:t>0724-2531Z2635012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广州市第一人民医院采购医疗设备货物项目（2025年第18批）(二次)</w:t>
      </w:r>
      <w:r>
        <w:rPr>
          <w:u w:val="single"/>
        </w:rPr>
        <w:t>”</w:t>
      </w:r>
      <w:r>
        <w:rPr/>
        <w:t>项目的招标[采购项目编号为：</w:t>
      </w:r>
      <w:r>
        <w:rPr>
          <w:u w:val="single"/>
        </w:rPr>
        <w:t>0724-2531Z2635012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广州市第一人民医院采购医疗设备货物项目（2025年第18批）(二次)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广州市第一人民医院采购医疗设备货物项目（2025年第18批）(二次)</w:t>
      </w:r>
      <w:r>
        <w:rPr/>
        <w:t>”项目采购[采购项目编号为</w:t>
      </w:r>
      <w:r>
        <w:rPr/>
        <w:t>0724-2531Z2635012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广州市第一人民医院采购医疗设备货物项目（2025年第18批）(二次)</w:t>
      </w:r>
      <w:r>
        <w:rPr/>
        <w:t>招标中获中标（采购项目编号：</w:t>
      </w:r>
      <w:r>
        <w:rPr/>
        <w:t>0724-2531Z2635012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