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5FE6F9">
      <w:pPr>
        <w:jc w:val="center"/>
        <w:outlineLvl w:val="0"/>
        <w:rPr>
          <w:rFonts w:ascii="Calibri" w:hAnsi="Calibri" w:eastAsia="宋体" w:cs="Times New Roman"/>
          <w:color w:val="auto"/>
          <w:lang w:eastAsia="zh-Hans"/>
        </w:rPr>
      </w:pPr>
      <w:r>
        <w:rPr>
          <w:rFonts w:hint="eastAsia" w:ascii="Calibri" w:hAnsi="Calibri" w:eastAsia="宋体" w:cs="Times New Roman"/>
          <w:b/>
          <w:color w:val="auto"/>
          <w:sz w:val="36"/>
          <w:lang w:eastAsia="zh-Hans"/>
        </w:rPr>
        <w:t>第二章 采购需求</w:t>
      </w:r>
    </w:p>
    <w:p w14:paraId="09DFE02F">
      <w:pPr>
        <w:pStyle w:val="2"/>
        <w:adjustRightInd w:val="0"/>
        <w:snapToGrid w:val="0"/>
        <w:spacing w:beforeAutospacing="0" w:afterAutospacing="0" w:line="360" w:lineRule="auto"/>
        <w:ind w:left="399" w:leftChars="190"/>
        <w:jc w:val="both"/>
        <w:rPr>
          <w:rFonts w:ascii="仿宋" w:hAnsi="仿宋" w:eastAsia="仿宋" w:cs="仿宋"/>
          <w:color w:val="auto"/>
          <w:sz w:val="24"/>
          <w:szCs w:val="24"/>
        </w:rPr>
      </w:pPr>
      <w:r>
        <w:rPr>
          <w:rFonts w:ascii="仿宋" w:hAnsi="仿宋" w:eastAsia="仿宋" w:cs="仿宋"/>
          <w:color w:val="auto"/>
          <w:sz w:val="24"/>
          <w:szCs w:val="24"/>
        </w:rPr>
        <w:t>项目说明：</w:t>
      </w:r>
    </w:p>
    <w:p w14:paraId="603FD768">
      <w:pPr>
        <w:pStyle w:val="6"/>
        <w:snapToGrid w:val="0"/>
        <w:spacing w:before="0" w:after="0" w:line="360" w:lineRule="auto"/>
        <w:ind w:firstLine="456" w:firstLineChars="190"/>
        <w:rPr>
          <w:rFonts w:hint="eastAsia" w:ascii="仿宋" w:hAnsi="仿宋" w:eastAsia="仿宋" w:cs="仿宋"/>
          <w:color w:val="auto"/>
        </w:rPr>
      </w:pPr>
      <w:r>
        <w:rPr>
          <w:rFonts w:hint="eastAsia" w:ascii="仿宋" w:hAnsi="仿宋" w:eastAsia="仿宋" w:cs="仿宋"/>
          <w:color w:val="auto"/>
        </w:rPr>
        <w:t>（一）本文件中标注「★」的条款为实质性条款，投标人任何负偏离或不满足将导致投标无效；</w:t>
      </w:r>
    </w:p>
    <w:p w14:paraId="42EF57B6">
      <w:pPr>
        <w:pStyle w:val="6"/>
        <w:snapToGrid w:val="0"/>
        <w:spacing w:before="0" w:after="0" w:line="360" w:lineRule="auto"/>
        <w:ind w:firstLine="456" w:firstLineChars="190"/>
        <w:rPr>
          <w:rFonts w:hint="eastAsia" w:ascii="仿宋" w:hAnsi="仿宋" w:eastAsia="仿宋" w:cs="仿宋"/>
          <w:color w:val="auto"/>
        </w:rPr>
      </w:pPr>
      <w:r>
        <w:rPr>
          <w:rFonts w:hint="eastAsia" w:ascii="仿宋" w:hAnsi="仿宋" w:eastAsia="仿宋" w:cs="仿宋"/>
          <w:color w:val="auto"/>
        </w:rPr>
        <w:t>（二）本文件中标注「</w:t>
      </w:r>
      <w:bookmarkStart w:id="14" w:name="_GoBack"/>
      <w:r>
        <w:rPr>
          <w:rFonts w:hint="eastAsia" w:ascii="仿宋" w:hAnsi="仿宋" w:eastAsia="仿宋" w:cs="仿宋"/>
          <w:color w:val="auto"/>
        </w:rPr>
        <w:t>▲</w:t>
      </w:r>
      <w:bookmarkEnd w:id="14"/>
      <w:r>
        <w:rPr>
          <w:rFonts w:hint="eastAsia" w:ascii="仿宋" w:hAnsi="仿宋" w:eastAsia="仿宋" w:cs="仿宋"/>
          <w:color w:val="auto"/>
        </w:rPr>
        <w:t>」的条款为重要技术参数条款，投标人未响应或不满足将在评审中不得分，不作为投标无效依据；</w:t>
      </w:r>
    </w:p>
    <w:p w14:paraId="18CBB6B2">
      <w:pPr>
        <w:pStyle w:val="6"/>
        <w:snapToGrid w:val="0"/>
        <w:spacing w:before="0" w:after="0" w:line="360" w:lineRule="auto"/>
        <w:ind w:firstLine="456" w:firstLineChars="190"/>
        <w:rPr>
          <w:rFonts w:hint="eastAsia" w:ascii="仿宋" w:hAnsi="仿宋" w:eastAsia="仿宋" w:cs="仿宋"/>
          <w:color w:val="auto"/>
          <w:highlight w:val="none"/>
        </w:rPr>
      </w:pPr>
      <w:r>
        <w:rPr>
          <w:rFonts w:hint="eastAsia" w:ascii="仿宋" w:hAnsi="仿宋" w:eastAsia="仿宋" w:cs="仿宋"/>
          <w:color w:val="auto"/>
        </w:rPr>
        <w:t>（三）</w:t>
      </w:r>
      <w:r>
        <w:rPr>
          <w:rFonts w:hint="eastAsia" w:ascii="仿宋" w:hAnsi="仿宋" w:eastAsia="仿宋" w:cs="仿宋"/>
          <w:color w:val="auto"/>
          <w:highlight w:val="none"/>
        </w:rPr>
        <w:t>本项目采用全流程全成本外包服务模式（食材采购+运营服务+管理全流程统一外包），所有运营相关成本、费用、风险、法律责任均由投标人全额承担。</w:t>
      </w:r>
    </w:p>
    <w:p w14:paraId="4811F0C7">
      <w:pPr>
        <w:pStyle w:val="7"/>
        <w:spacing w:after="0" w:line="360" w:lineRule="auto"/>
        <w:ind w:firstLine="480"/>
        <w:rPr>
          <w:rFonts w:hint="eastAsia" w:ascii="仿宋" w:hAnsi="仿宋" w:eastAsia="仿宋" w:cs="仿宋"/>
          <w:color w:val="auto"/>
          <w:sz w:val="24"/>
        </w:rPr>
      </w:pPr>
      <w:r>
        <w:rPr>
          <w:rFonts w:hint="eastAsia" w:ascii="仿宋" w:hAnsi="仿宋" w:eastAsia="仿宋" w:cs="仿宋"/>
          <w:color w:val="auto"/>
          <w:sz w:val="24"/>
        </w:rPr>
        <w:t>（四）本项目为医院食堂高风险项目，服务对象包含病人、医护人员等特殊群体，易发生食品安全事故、公众责任事故及相关民事诉讼，法律费用责任险与项目履约风险直接相关，属于项目履约必要保障，投标人须充分知晓并全面响应。</w:t>
      </w:r>
    </w:p>
    <w:p w14:paraId="00F73082">
      <w:pPr>
        <w:pStyle w:val="7"/>
        <w:spacing w:after="0" w:line="360" w:lineRule="auto"/>
        <w:ind w:firstLine="480"/>
        <w:rPr>
          <w:rFonts w:hint="eastAsia" w:ascii="仿宋" w:hAnsi="仿宋" w:eastAsia="仿宋" w:cs="仿宋"/>
          <w:color w:val="auto"/>
          <w:sz w:val="24"/>
        </w:rPr>
      </w:pPr>
      <w:r>
        <w:rPr>
          <w:rFonts w:hint="eastAsia" w:ascii="仿宋" w:hAnsi="仿宋" w:eastAsia="仿宋" w:cs="仿宋"/>
          <w:color w:val="auto"/>
          <w:sz w:val="24"/>
        </w:rPr>
        <w:t>（五）投标人须严格遵守《中华人民共和国食品安全法》《中华人民共和国劳动法》《中华人民共和国食品安全法实施条例》《食品生产许可管理办法》《食品添加剂新品种管理办法》《集中用餐单位落实食品安全主体责任监督管理规定》（国家市场监督管理总局令第98号）《市场监管总局关于发布餐饮服务食品安全操作规范的公告》（2018年第12号）《食品安全国家标准 食品添加剂使用标准》（GB 2760-2024）《食品安全国家标准 餐饮服务通用卫生规范》（GB 31654-2021）等国家及地方现行有效的相关法律法规、规章、规范性文件及标准，通过规范的管理流程和严格的内部监察机制，确保高标准的食品卫生安全、用工合规及服务质量。</w:t>
      </w:r>
    </w:p>
    <w:p w14:paraId="3207E59A">
      <w:pPr>
        <w:pStyle w:val="7"/>
        <w:spacing w:after="0" w:line="360" w:lineRule="auto"/>
        <w:ind w:firstLine="480"/>
        <w:rPr>
          <w:rFonts w:hint="eastAsia" w:ascii="仿宋" w:hAnsi="仿宋" w:eastAsia="仿宋" w:cs="仿宋"/>
          <w:color w:val="auto"/>
          <w:sz w:val="24"/>
        </w:rPr>
      </w:pPr>
      <w:r>
        <w:rPr>
          <w:rFonts w:hint="eastAsia" w:ascii="仿宋" w:hAnsi="仿宋" w:eastAsia="仿宋" w:cs="仿宋"/>
          <w:color w:val="auto"/>
          <w:sz w:val="24"/>
        </w:rPr>
        <w:t>（六）本项目实施、履约及服务全过程中，若涉及的国家法律法规、强制性标准、行业规范及食品安全要求发生更新、修订或废止，均以发布实施的最新有效版本为准；投标人须无条件按照最新标准、规范要求执行本项目各项技术、质量及服务内容，确保项目全程合规达标，无需采购人另行支付额外费用。</w:t>
      </w:r>
    </w:p>
    <w:p w14:paraId="41EFFDDE">
      <w:pPr>
        <w:rPr>
          <w:rFonts w:hint="eastAsia" w:ascii="仿宋" w:hAnsi="仿宋" w:eastAsia="仿宋" w:cs="仿宋"/>
          <w:color w:val="auto"/>
          <w:sz w:val="24"/>
        </w:rPr>
      </w:pPr>
    </w:p>
    <w:p w14:paraId="63245414">
      <w:pPr>
        <w:pStyle w:val="2"/>
        <w:widowControl/>
        <w:spacing w:beforeAutospacing="0" w:afterAutospacing="0" w:line="360" w:lineRule="auto"/>
        <w:jc w:val="center"/>
        <w:rPr>
          <w:rFonts w:ascii="仿宋" w:hAnsi="仿宋" w:eastAsia="仿宋" w:cs="仿宋"/>
          <w:color w:val="auto"/>
          <w:sz w:val="24"/>
          <w:szCs w:val="24"/>
        </w:rPr>
      </w:pPr>
      <w:r>
        <w:rPr>
          <w:rFonts w:ascii="仿宋" w:hAnsi="仿宋" w:eastAsia="仿宋" w:cs="仿宋"/>
          <w:color w:val="auto"/>
          <w:sz w:val="24"/>
          <w:szCs w:val="24"/>
        </w:rPr>
        <w:t>第一章  项目总览</w:t>
      </w:r>
    </w:p>
    <w:p w14:paraId="1F52DFC5">
      <w:pPr>
        <w:pStyle w:val="3"/>
        <w:adjustRightInd w:val="0"/>
        <w:snapToGrid w:val="0"/>
        <w:spacing w:beforeAutospacing="0" w:afterAutospacing="0" w:line="360" w:lineRule="auto"/>
        <w:ind w:left="399" w:leftChars="190" w:firstLine="166" w:firstLineChars="69"/>
        <w:rPr>
          <w:rFonts w:ascii="仿宋" w:hAnsi="仿宋" w:eastAsia="仿宋" w:cs="仿宋"/>
          <w:color w:val="auto"/>
          <w:sz w:val="24"/>
          <w:szCs w:val="24"/>
        </w:rPr>
      </w:pPr>
      <w:r>
        <w:rPr>
          <w:rFonts w:ascii="仿宋" w:hAnsi="仿宋" w:eastAsia="仿宋" w:cs="仿宋"/>
          <w:color w:val="auto"/>
          <w:sz w:val="24"/>
          <w:szCs w:val="24"/>
        </w:rPr>
        <w:t>一、项目概况</w:t>
      </w:r>
    </w:p>
    <w:p w14:paraId="785474FC">
      <w:pPr>
        <w:pStyle w:val="6"/>
        <w:snapToGrid w:val="0"/>
        <w:spacing w:before="0" w:after="0" w:line="360" w:lineRule="auto"/>
        <w:ind w:firstLine="456" w:firstLineChars="190"/>
        <w:rPr>
          <w:rFonts w:hint="eastAsia" w:ascii="仿宋" w:hAnsi="仿宋" w:eastAsia="仿宋" w:cs="仿宋"/>
          <w:color w:val="auto"/>
        </w:rPr>
      </w:pPr>
      <w:r>
        <w:rPr>
          <w:rFonts w:hint="eastAsia" w:ascii="仿宋" w:hAnsi="仿宋" w:eastAsia="仿宋" w:cs="仿宋"/>
          <w:color w:val="auto"/>
        </w:rPr>
        <w:t>（一）项目名称：广州医科大学附属中医医院2026-2029年食堂餐饮服务项目</w:t>
      </w:r>
    </w:p>
    <w:p w14:paraId="7E8C2B15">
      <w:pPr>
        <w:pStyle w:val="6"/>
        <w:snapToGrid w:val="0"/>
        <w:spacing w:before="0" w:after="0" w:line="360" w:lineRule="auto"/>
        <w:ind w:firstLine="456" w:firstLineChars="190"/>
        <w:rPr>
          <w:rFonts w:hint="eastAsia" w:ascii="仿宋" w:hAnsi="仿宋" w:eastAsia="仿宋" w:cs="仿宋"/>
          <w:color w:val="auto"/>
        </w:rPr>
      </w:pPr>
      <w:r>
        <w:rPr>
          <w:rFonts w:hint="eastAsia" w:ascii="仿宋" w:hAnsi="仿宋" w:eastAsia="仿宋" w:cs="仿宋"/>
          <w:color w:val="auto"/>
        </w:rPr>
        <w:t>（二）项目预算金额：人民币4500万元,为3年服务期内的最高采购预算上限，并非合同固定结算金额。本项目预算包含两部分内容：</w:t>
      </w:r>
    </w:p>
    <w:p w14:paraId="580D4FF1">
      <w:pPr>
        <w:pStyle w:val="6"/>
        <w:snapToGrid w:val="0"/>
        <w:spacing w:before="0" w:after="0" w:line="360" w:lineRule="auto"/>
        <w:ind w:firstLine="456" w:firstLineChars="190"/>
        <w:rPr>
          <w:rFonts w:hint="eastAsia" w:ascii="仿宋" w:hAnsi="仿宋" w:eastAsia="仿宋" w:cs="仿宋"/>
          <w:color w:val="auto"/>
        </w:rPr>
      </w:pPr>
      <w:r>
        <w:rPr>
          <w:rFonts w:hint="eastAsia" w:ascii="仿宋" w:hAnsi="仿宋" w:eastAsia="仿宋" w:cs="仿宋"/>
          <w:color w:val="auto"/>
        </w:rPr>
        <w:t>1.职工个人餐费（含采购人代职工从其个人餐卡核定额度内与中标人据实结算的部分）；</w:t>
      </w:r>
    </w:p>
    <w:p w14:paraId="4335D87B">
      <w:pPr>
        <w:pStyle w:val="6"/>
        <w:snapToGrid w:val="0"/>
        <w:spacing w:before="0" w:after="0" w:line="360" w:lineRule="auto"/>
        <w:ind w:firstLine="456" w:firstLineChars="190"/>
        <w:rPr>
          <w:rFonts w:hint="eastAsia" w:ascii="仿宋" w:hAnsi="仿宋" w:eastAsia="仿宋" w:cs="仿宋"/>
          <w:color w:val="auto"/>
        </w:rPr>
      </w:pPr>
      <w:r>
        <w:rPr>
          <w:rFonts w:hint="eastAsia" w:ascii="仿宋" w:hAnsi="仿宋" w:eastAsia="仿宋" w:cs="仿宋"/>
          <w:color w:val="auto"/>
        </w:rPr>
        <w:t>2.由采购人承担支付的学术活动餐、体检餐、会议培训餐、工作接待餐等费用。</w:t>
      </w:r>
    </w:p>
    <w:p w14:paraId="430277FC">
      <w:pPr>
        <w:pStyle w:val="6"/>
        <w:snapToGrid w:val="0"/>
        <w:spacing w:before="0" w:after="0" w:line="360" w:lineRule="auto"/>
        <w:ind w:firstLine="456" w:firstLineChars="190"/>
        <w:rPr>
          <w:rFonts w:hint="eastAsia" w:ascii="仿宋" w:hAnsi="仿宋" w:eastAsia="仿宋" w:cs="仿宋"/>
          <w:color w:val="auto"/>
        </w:rPr>
      </w:pPr>
      <w:r>
        <w:rPr>
          <w:rFonts w:hint="eastAsia" w:ascii="仿宋" w:hAnsi="仿宋" w:eastAsia="仿宋" w:cs="仿宋"/>
          <w:color w:val="auto"/>
        </w:rPr>
        <w:t>本项目为按实际交易量结算的无固定总价合同，所有结算严格执行本文件第十章约定的定价规则与结算公式。</w:t>
      </w:r>
    </w:p>
    <w:p w14:paraId="14F9C8BA">
      <w:pPr>
        <w:pStyle w:val="6"/>
        <w:snapToGrid w:val="0"/>
        <w:spacing w:before="0" w:after="0" w:line="360" w:lineRule="auto"/>
        <w:ind w:firstLine="456" w:firstLineChars="190"/>
        <w:rPr>
          <w:rFonts w:hint="eastAsia" w:ascii="仿宋" w:hAnsi="仿宋" w:eastAsia="仿宋" w:cs="仿宋"/>
          <w:color w:val="auto"/>
          <w:highlight w:val="none"/>
        </w:rPr>
      </w:pPr>
      <w:r>
        <w:rPr>
          <w:rFonts w:hint="eastAsia" w:ascii="仿宋" w:hAnsi="仿宋" w:eastAsia="仿宋" w:cs="仿宋"/>
          <w:color w:val="auto"/>
        </w:rPr>
        <w:t>（三）</w:t>
      </w:r>
      <w:r>
        <w:rPr>
          <w:rFonts w:hint="eastAsia" w:ascii="仿宋" w:hAnsi="仿宋" w:eastAsia="仿宋" w:cs="仿宋"/>
          <w:color w:val="auto"/>
          <w:highlight w:val="none"/>
        </w:rPr>
        <w:t>服务期限：总服务期36个月，合同采取一年一签方式（服务期第12个月、第24个月，满足年度续签条件的重新签订合同）；年度续签合同不得改变本采购文件及首年度合同的实质性条款，服务标准、定价规则、权责划分、安全要求等核心内容与原合同保持一致，仅可对非实质性服务细节进行优化调整；合同执行期满或累计实际交易金额达到三年最高采购预算上限4500万元，本项目合同自动终止，以先到者为准。</w:t>
      </w:r>
    </w:p>
    <w:p w14:paraId="35C38222">
      <w:pPr>
        <w:pStyle w:val="6"/>
        <w:snapToGrid w:val="0"/>
        <w:spacing w:before="0" w:after="0" w:line="360" w:lineRule="auto"/>
        <w:ind w:firstLine="456" w:firstLineChars="190"/>
        <w:rPr>
          <w:rFonts w:hint="eastAsia" w:ascii="仿宋" w:hAnsi="仿宋" w:eastAsia="仿宋" w:cs="仿宋"/>
          <w:color w:val="auto"/>
        </w:rPr>
      </w:pPr>
      <w:r>
        <w:rPr>
          <w:rFonts w:hint="eastAsia" w:ascii="仿宋" w:hAnsi="仿宋" w:eastAsia="仿宋" w:cs="仿宋"/>
          <w:color w:val="auto"/>
        </w:rPr>
        <w:t>（四）服务地址</w:t>
      </w:r>
    </w:p>
    <w:p w14:paraId="12E53554">
      <w:pPr>
        <w:pStyle w:val="6"/>
        <w:snapToGrid w:val="0"/>
        <w:spacing w:before="0" w:after="0" w:line="360" w:lineRule="auto"/>
        <w:ind w:firstLine="456" w:firstLineChars="190"/>
        <w:rPr>
          <w:rFonts w:hint="eastAsia" w:ascii="仿宋" w:hAnsi="仿宋" w:eastAsia="仿宋" w:cs="仿宋"/>
          <w:color w:val="auto"/>
        </w:rPr>
      </w:pPr>
      <w:r>
        <w:rPr>
          <w:rFonts w:hint="eastAsia" w:ascii="仿宋" w:hAnsi="仿宋" w:eastAsia="仿宋" w:cs="仿宋"/>
          <w:color w:val="auto"/>
        </w:rPr>
        <w:t>1.天河院区：广州市天河区天坤三路95号</w:t>
      </w:r>
    </w:p>
    <w:p w14:paraId="4A5B7A59">
      <w:pPr>
        <w:pStyle w:val="6"/>
        <w:snapToGrid w:val="0"/>
        <w:spacing w:before="0" w:after="0" w:line="360" w:lineRule="auto"/>
        <w:ind w:firstLine="456" w:firstLineChars="190"/>
        <w:rPr>
          <w:rFonts w:hint="eastAsia" w:ascii="仿宋" w:hAnsi="仿宋" w:eastAsia="仿宋" w:cs="仿宋"/>
          <w:color w:val="auto"/>
        </w:rPr>
      </w:pPr>
      <w:r>
        <w:rPr>
          <w:rFonts w:hint="eastAsia" w:ascii="仿宋" w:hAnsi="仿宋" w:eastAsia="仿宋" w:cs="仿宋"/>
          <w:color w:val="auto"/>
        </w:rPr>
        <w:t>2.珠玑院区：广州市荔湾区珠玑路16号</w:t>
      </w:r>
    </w:p>
    <w:p w14:paraId="7185D299">
      <w:pPr>
        <w:pStyle w:val="6"/>
        <w:snapToGrid w:val="0"/>
        <w:spacing w:before="0" w:after="0" w:line="360" w:lineRule="auto"/>
        <w:ind w:firstLine="456" w:firstLineChars="190"/>
        <w:rPr>
          <w:rFonts w:hint="eastAsia" w:ascii="仿宋" w:hAnsi="仿宋" w:eastAsia="仿宋" w:cs="仿宋"/>
          <w:color w:val="auto"/>
        </w:rPr>
      </w:pPr>
      <w:r>
        <w:rPr>
          <w:rFonts w:hint="eastAsia" w:ascii="仿宋" w:hAnsi="仿宋" w:eastAsia="仿宋" w:cs="仿宋"/>
          <w:color w:val="auto"/>
        </w:rPr>
        <w:t>3.同德院区：广州市白云区横滘二路81号</w:t>
      </w:r>
    </w:p>
    <w:p w14:paraId="2F99153A">
      <w:pPr>
        <w:pStyle w:val="6"/>
        <w:snapToGrid w:val="0"/>
        <w:spacing w:before="0" w:after="0" w:line="360" w:lineRule="auto"/>
        <w:ind w:firstLine="456" w:firstLineChars="190"/>
        <w:rPr>
          <w:color w:val="auto"/>
        </w:rPr>
      </w:pPr>
      <w:r>
        <w:rPr>
          <w:rFonts w:hint="eastAsia" w:ascii="仿宋" w:hAnsi="仿宋" w:eastAsia="仿宋" w:cs="仿宋"/>
          <w:color w:val="auto"/>
        </w:rPr>
        <w:t>4.同德综合门诊部：广州市白云区横滘二路</w:t>
      </w:r>
      <w:r>
        <w:rPr>
          <w:rFonts w:ascii="仿宋" w:hAnsi="仿宋" w:eastAsia="仿宋" w:cs="仿宋"/>
          <w:color w:val="auto"/>
        </w:rPr>
        <w:t>27</w:t>
      </w:r>
      <w:r>
        <w:rPr>
          <w:rFonts w:hint="eastAsia" w:ascii="仿宋" w:hAnsi="仿宋" w:eastAsia="仿宋" w:cs="仿宋"/>
          <w:color w:val="auto"/>
        </w:rPr>
        <w:t>号</w:t>
      </w:r>
    </w:p>
    <w:p w14:paraId="24A1CA73">
      <w:pPr>
        <w:widowControl/>
        <w:adjustRightInd w:val="0"/>
        <w:snapToGrid w:val="0"/>
        <w:spacing w:line="360" w:lineRule="auto"/>
        <w:ind w:left="10" w:firstLine="446" w:firstLineChars="186"/>
        <w:rPr>
          <w:rFonts w:hint="eastAsia" w:ascii="仿宋" w:hAnsi="仿宋" w:eastAsia="仿宋" w:cs="仿宋"/>
          <w:color w:val="auto"/>
          <w:sz w:val="24"/>
          <w:lang w:bidi="ar"/>
        </w:rPr>
      </w:pPr>
      <w:r>
        <w:rPr>
          <w:rFonts w:hint="eastAsia" w:ascii="仿宋" w:hAnsi="仿宋" w:eastAsia="仿宋" w:cs="仿宋"/>
          <w:color w:val="auto"/>
          <w:sz w:val="24"/>
          <w:lang w:bidi="ar"/>
        </w:rPr>
        <w:t>（五）服务概况</w:t>
      </w:r>
    </w:p>
    <w:p w14:paraId="4841FF78">
      <w:pPr>
        <w:pStyle w:val="6"/>
        <w:snapToGrid w:val="0"/>
        <w:spacing w:before="0" w:after="0" w:line="360" w:lineRule="auto"/>
        <w:ind w:firstLine="456" w:firstLineChars="190"/>
        <w:rPr>
          <w:rFonts w:hint="eastAsia" w:ascii="仿宋" w:hAnsi="仿宋" w:eastAsia="仿宋" w:cs="仿宋"/>
          <w:color w:val="auto"/>
          <w:lang w:bidi="ar"/>
        </w:rPr>
      </w:pPr>
      <w:r>
        <w:rPr>
          <w:rFonts w:hint="eastAsia" w:ascii="仿宋" w:hAnsi="仿宋" w:eastAsia="仿宋" w:cs="仿宋"/>
          <w:color w:val="auto"/>
          <w:lang w:bidi="ar"/>
        </w:rPr>
        <w:t>广州医科大学附属中医医院现有天河院区、珠玑院区、同德院区及下设门诊部，编制床位数共1522张；在职职工约2000人，第三方驻院工作人员约1000人。参考2025年数据，全年用餐总次数约96万次，其中职工用餐次数约40万次，占比约42%；病人用餐次数约56万次，占比约58%。</w:t>
      </w:r>
    </w:p>
    <w:p w14:paraId="04A5CAAE">
      <w:pPr>
        <w:pStyle w:val="3"/>
        <w:adjustRightInd w:val="0"/>
        <w:snapToGrid w:val="0"/>
        <w:spacing w:beforeAutospacing="0" w:afterAutospacing="0" w:line="360" w:lineRule="auto"/>
        <w:ind w:left="399" w:leftChars="190" w:firstLine="166" w:firstLineChars="69"/>
        <w:rPr>
          <w:rFonts w:ascii="仿宋" w:hAnsi="仿宋" w:eastAsia="仿宋" w:cs="仿宋"/>
          <w:color w:val="auto"/>
          <w:sz w:val="24"/>
          <w:szCs w:val="24"/>
        </w:rPr>
      </w:pPr>
      <w:r>
        <w:rPr>
          <w:rFonts w:ascii="仿宋" w:hAnsi="仿宋" w:eastAsia="仿宋" w:cs="仿宋"/>
          <w:color w:val="auto"/>
          <w:sz w:val="24"/>
          <w:szCs w:val="24"/>
        </w:rPr>
        <w:t>二、项目采购范围</w:t>
      </w:r>
    </w:p>
    <w:p w14:paraId="279B94C4">
      <w:pPr>
        <w:adjustRightInd w:val="0"/>
        <w:snapToGrid w:val="0"/>
        <w:spacing w:line="360" w:lineRule="auto"/>
        <w:ind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医院食堂全品类餐饮服务，包括但不限于职工餐、病人餐（含陪护家属）、体检餐、工作接待餐、会议培训餐等所有食堂经营场景的餐饮供应、运营管理、食品安全、场地设备等全流程服务，覆盖食堂经营全时段、全场景。</w:t>
      </w:r>
    </w:p>
    <w:p w14:paraId="77E844E0">
      <w:pPr>
        <w:pStyle w:val="3"/>
        <w:adjustRightInd w:val="0"/>
        <w:snapToGrid w:val="0"/>
        <w:spacing w:beforeAutospacing="0" w:afterAutospacing="0" w:line="360" w:lineRule="auto"/>
        <w:ind w:left="399" w:leftChars="190" w:firstLine="166" w:firstLineChars="69"/>
        <w:rPr>
          <w:rFonts w:ascii="仿宋" w:hAnsi="仿宋" w:eastAsia="仿宋" w:cs="仿宋"/>
          <w:color w:val="auto"/>
          <w:sz w:val="24"/>
          <w:szCs w:val="24"/>
        </w:rPr>
      </w:pPr>
      <w:bookmarkStart w:id="0" w:name="OLE_LINK3"/>
      <w:r>
        <w:rPr>
          <w:rFonts w:ascii="仿宋" w:hAnsi="仿宋" w:eastAsia="仿宋" w:cs="仿宋"/>
          <w:color w:val="auto"/>
          <w:sz w:val="24"/>
          <w:szCs w:val="24"/>
        </w:rPr>
        <w:t>三、投标人要求</w:t>
      </w:r>
    </w:p>
    <w:p w14:paraId="3AB5F0B0">
      <w:pPr>
        <w:pStyle w:val="7"/>
        <w:spacing w:line="360" w:lineRule="auto"/>
        <w:ind w:firstLine="480" w:firstLineChars="200"/>
        <w:rPr>
          <w:rFonts w:hint="eastAsia" w:ascii="仿宋" w:hAnsi="仿宋" w:eastAsia="仿宋" w:cs="仿宋"/>
          <w:color w:val="auto"/>
          <w:kern w:val="44"/>
          <w:sz w:val="24"/>
          <w:szCs w:val="48"/>
        </w:rPr>
      </w:pPr>
      <w:r>
        <w:rPr>
          <w:rFonts w:hint="eastAsia" w:ascii="仿宋" w:hAnsi="仿宋" w:eastAsia="仿宋" w:cs="仿宋"/>
          <w:color w:val="auto"/>
          <w:kern w:val="44"/>
          <w:sz w:val="24"/>
          <w:szCs w:val="48"/>
        </w:rPr>
        <w:t>（一）★投标人在合同履行期间，《食品经营许可证》始终保持合法有效状态；若该证书失效、发生变更或许可范围与本项目要求不符，采购人有权立即解除合同，投标人应承担由此给采购人造成的全部损失。（在投标文件中提供加盖投标人公章的承诺函，承诺函格式自拟）</w:t>
      </w:r>
    </w:p>
    <w:p w14:paraId="42CA2D7F">
      <w:pPr>
        <w:pStyle w:val="7"/>
        <w:spacing w:line="360" w:lineRule="auto"/>
        <w:ind w:firstLine="480" w:firstLineChars="200"/>
        <w:rPr>
          <w:color w:val="auto"/>
        </w:rPr>
      </w:pPr>
      <w:r>
        <w:rPr>
          <w:rFonts w:hint="eastAsia" w:ascii="仿宋" w:hAnsi="仿宋" w:eastAsia="仿宋" w:cs="仿宋"/>
          <w:color w:val="auto"/>
          <w:kern w:val="44"/>
          <w:sz w:val="24"/>
          <w:szCs w:val="48"/>
        </w:rPr>
        <w:t>（二）投标人的中央厨房须为自有或长期租赁的独立固定场所；如为租赁场地，则须产权明晰、租赁手续合规，且租赁期限须覆盖项目全部服务期限，不得设为临时加工点。（投标时须提供中央厨房资质证明、租赁合同）</w:t>
      </w:r>
    </w:p>
    <w:p w14:paraId="76B62769">
      <w:pPr>
        <w:pStyle w:val="6"/>
        <w:snapToGrid w:val="0"/>
        <w:spacing w:line="360" w:lineRule="auto"/>
        <w:ind w:firstLine="456" w:firstLineChars="190"/>
        <w:rPr>
          <w:rFonts w:hint="eastAsia" w:ascii="仿宋" w:hAnsi="仿宋" w:eastAsia="仿宋" w:cs="仿宋"/>
          <w:color w:val="auto"/>
          <w:kern w:val="44"/>
          <w:szCs w:val="48"/>
        </w:rPr>
      </w:pPr>
      <w:r>
        <w:rPr>
          <w:rFonts w:hint="eastAsia" w:ascii="仿宋" w:hAnsi="仿宋" w:eastAsia="仿宋" w:cs="仿宋"/>
          <w:color w:val="auto"/>
          <w:kern w:val="0"/>
          <w:lang w:bidi="ar"/>
        </w:rPr>
        <w:t>（三）投</w:t>
      </w:r>
      <w:r>
        <w:rPr>
          <w:rFonts w:hint="eastAsia" w:ascii="仿宋" w:hAnsi="仿宋" w:eastAsia="仿宋" w:cs="仿宋"/>
          <w:color w:val="auto"/>
          <w:kern w:val="44"/>
          <w:szCs w:val="48"/>
        </w:rPr>
        <w:t>标人宜建立健全覆盖项目全流程的管理体系，具备以下由国家认监委（CNCA）批准的合法认证机构颁发的有效管理体系认证，以证明其服务管理能力和食品安全管控水平：质量管理体系认证（ISO9001）、环境管理体系认证（ISO14001）、食品安全管理体系认证（ISO22000）、职业健康安全管理体系认证（ISO45001）、危害分析与关键控制点（HACCP）体系认证、供应链安全管理体系认证。</w:t>
      </w:r>
    </w:p>
    <w:p w14:paraId="1F1D5F56">
      <w:pPr>
        <w:pStyle w:val="6"/>
        <w:spacing w:line="360" w:lineRule="auto"/>
        <w:ind w:firstLine="480"/>
        <w:rPr>
          <w:color w:val="auto"/>
        </w:rPr>
      </w:pPr>
      <w:r>
        <w:rPr>
          <w:rFonts w:hint="eastAsia" w:ascii="仿宋" w:hAnsi="仿宋" w:eastAsia="仿宋" w:cs="仿宋"/>
          <w:color w:val="auto"/>
          <w:lang w:bidi="ar"/>
        </w:rPr>
        <w:t>（四）</w:t>
      </w:r>
      <w:r>
        <w:rPr>
          <w:rFonts w:hint="eastAsia" w:ascii="仿宋" w:hAnsi="仿宋" w:eastAsia="仿宋" w:cs="仿宋"/>
          <w:color w:val="auto"/>
          <w:kern w:val="0"/>
          <w:lang w:bidi="ar"/>
        </w:rPr>
        <w:t>投标人必须具备独立、常态化且可追溯的食品安全快速检测能力，配置独立的食品安全快检室及相应检测人员和检测设备，该快检室可设在项目现场或投标人自有的集中加工场所。快检数据应可追溯并可备查</w:t>
      </w:r>
      <w:r>
        <w:rPr>
          <w:rFonts w:hint="eastAsia" w:ascii="仿宋" w:hAnsi="仿宋" w:eastAsia="仿宋" w:cs="仿宋"/>
          <w:color w:val="auto"/>
          <w:lang w:bidi="ar"/>
        </w:rPr>
        <w:t>。</w:t>
      </w:r>
    </w:p>
    <w:bookmarkEnd w:id="0"/>
    <w:p w14:paraId="163AC2D7">
      <w:pPr>
        <w:pStyle w:val="6"/>
        <w:snapToGrid w:val="0"/>
        <w:spacing w:before="0" w:after="0" w:line="360" w:lineRule="auto"/>
        <w:ind w:firstLine="458" w:firstLineChars="190"/>
        <w:rPr>
          <w:rFonts w:hint="eastAsia" w:ascii="仿宋" w:hAnsi="仿宋" w:eastAsia="仿宋" w:cs="仿宋"/>
          <w:b/>
          <w:bCs/>
          <w:color w:val="auto"/>
          <w:lang w:bidi="ar"/>
        </w:rPr>
      </w:pPr>
      <w:r>
        <w:rPr>
          <w:rFonts w:hint="eastAsia" w:ascii="仿宋" w:hAnsi="仿宋" w:eastAsia="仿宋" w:cs="仿宋"/>
          <w:b/>
          <w:bCs/>
          <w:color w:val="auto"/>
          <w:lang w:bidi="ar"/>
        </w:rPr>
        <w:t>四、政府采购政策执行说明</w:t>
      </w:r>
    </w:p>
    <w:p w14:paraId="7335BC6F">
      <w:pPr>
        <w:pStyle w:val="6"/>
        <w:snapToGrid w:val="0"/>
        <w:spacing w:before="0" w:after="0" w:line="360" w:lineRule="auto"/>
        <w:ind w:firstLine="456" w:firstLineChars="190"/>
        <w:rPr>
          <w:rFonts w:hint="eastAsia" w:ascii="仿宋" w:hAnsi="仿宋" w:eastAsia="仿宋" w:cs="仿宋"/>
          <w:color w:val="auto"/>
          <w:lang w:bidi="ar"/>
        </w:rPr>
      </w:pPr>
      <w:r>
        <w:rPr>
          <w:rFonts w:hint="eastAsia" w:ascii="仿宋" w:hAnsi="仿宋" w:eastAsia="仿宋" w:cs="仿宋"/>
          <w:color w:val="auto"/>
          <w:lang w:bidi="ar"/>
        </w:rPr>
        <w:t>本项目严格执行《中华人民共和国政府采购法》及配套法规规定的政府采购政策，包括但不限于中小企业扶持、节约能源、保护环境、支持乡村产业发展等相关政策，具体落实规则、执行标准详见本项目正式招标文件。</w:t>
      </w:r>
    </w:p>
    <w:p w14:paraId="54532712">
      <w:pPr>
        <w:rPr>
          <w:rFonts w:hint="eastAsia" w:ascii="仿宋" w:hAnsi="仿宋" w:eastAsia="仿宋" w:cs="仿宋"/>
          <w:color w:val="auto"/>
          <w:sz w:val="24"/>
        </w:rPr>
      </w:pPr>
    </w:p>
    <w:p w14:paraId="5F7CD92E">
      <w:pPr>
        <w:pStyle w:val="2"/>
        <w:adjustRightInd w:val="0"/>
        <w:snapToGrid w:val="0"/>
        <w:spacing w:beforeAutospacing="0" w:afterAutospacing="0" w:line="360" w:lineRule="auto"/>
        <w:jc w:val="center"/>
        <w:rPr>
          <w:rFonts w:ascii="仿宋" w:hAnsi="仿宋" w:eastAsia="仿宋" w:cs="仿宋"/>
          <w:color w:val="auto"/>
          <w:sz w:val="24"/>
          <w:szCs w:val="24"/>
        </w:rPr>
      </w:pPr>
      <w:r>
        <w:rPr>
          <w:rFonts w:ascii="仿宋" w:hAnsi="仿宋" w:eastAsia="仿宋" w:cs="仿宋"/>
          <w:color w:val="auto"/>
          <w:sz w:val="24"/>
          <w:szCs w:val="24"/>
        </w:rPr>
        <w:t>第二章  服务模式与双方权责</w:t>
      </w:r>
    </w:p>
    <w:p w14:paraId="53FDBCD0">
      <w:pPr>
        <w:pStyle w:val="3"/>
        <w:widowControl/>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szCs w:val="24"/>
        </w:rPr>
        <w:t>一、服务模式</w:t>
      </w:r>
    </w:p>
    <w:p w14:paraId="0A31FE16">
      <w:pPr>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本项目采用全流程全成本外包服务模式（即食材采购、运营服务与管理全流程统一外包），</w:t>
      </w:r>
      <w:r>
        <w:rPr>
          <w:rFonts w:hint="eastAsia" w:ascii="仿宋" w:hAnsi="仿宋" w:eastAsia="仿宋" w:cs="仿宋"/>
          <w:color w:val="auto"/>
          <w:sz w:val="24"/>
          <w:highlight w:val="none"/>
        </w:rPr>
        <w:t>投标人须自行承担本项目运营全过程中的所有成本、费用、风险及法律责任，具体包括但不限于：食材采购、加工制作、一次性易耗品、人员薪酬福利、社保工伤、水电燃气、设备维护保养及更新、消杀检测、餐厨垃圾处理、系统运维、跨院区配送、日常运营办公所需费用、食品安全赔付、保险费、税费等一切与运营相关的费用；设备维护保养与修缮包括但不限于:厨房设备（含餐梯）、软硬件设施的采购、设计优化、安装、日常维修及维护保养费。</w:t>
      </w:r>
    </w:p>
    <w:p w14:paraId="65DEBBE8">
      <w:pPr>
        <w:pStyle w:val="3"/>
        <w:widowControl/>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szCs w:val="24"/>
        </w:rPr>
        <w:t>二、采购人权责</w:t>
      </w:r>
    </w:p>
    <w:p w14:paraId="4C21792F">
      <w:pPr>
        <w:widowControl/>
        <w:spacing w:line="360" w:lineRule="auto"/>
        <w:ind w:firstLine="480" w:firstLineChars="200"/>
        <w:rPr>
          <w:rFonts w:hint="eastAsia" w:ascii="仿宋" w:hAnsi="仿宋" w:eastAsia="仿宋" w:cs="仿宋"/>
          <w:color w:val="auto"/>
          <w:sz w:val="24"/>
        </w:rPr>
      </w:pPr>
      <w:r>
        <w:rPr>
          <w:rFonts w:ascii="仿宋" w:hAnsi="仿宋" w:eastAsia="仿宋" w:cs="仿宋"/>
          <w:color w:val="auto"/>
          <w:sz w:val="24"/>
        </w:rPr>
        <w:t>（一）采购人仅提供现有食堂经营场地及存量可正常使用的设备设施，不承担任何运营成本垫付、费用分摊、餐费补贴义务，本项目费用结算按采购文件的结算公式处理。</w:t>
      </w:r>
    </w:p>
    <w:p w14:paraId="35B28999">
      <w:pPr>
        <w:widowControl/>
        <w:spacing w:line="360" w:lineRule="auto"/>
        <w:ind w:firstLine="480" w:firstLineChars="200"/>
        <w:rPr>
          <w:rFonts w:hint="eastAsia" w:ascii="仿宋" w:hAnsi="仿宋" w:eastAsia="仿宋" w:cs="仿宋"/>
          <w:color w:val="auto"/>
          <w:sz w:val="24"/>
        </w:rPr>
      </w:pPr>
      <w:r>
        <w:rPr>
          <w:rFonts w:ascii="仿宋" w:hAnsi="仿宋" w:eastAsia="仿宋" w:cs="仿宋"/>
          <w:color w:val="auto"/>
          <w:sz w:val="24"/>
        </w:rPr>
        <w:t>（二）采购人有权对</w:t>
      </w:r>
      <w:r>
        <w:rPr>
          <w:rFonts w:hint="eastAsia" w:ascii="仿宋" w:hAnsi="仿宋" w:eastAsia="仿宋" w:cs="仿宋"/>
          <w:color w:val="auto"/>
          <w:sz w:val="24"/>
        </w:rPr>
        <w:t>投标人</w:t>
      </w:r>
      <w:r>
        <w:rPr>
          <w:rFonts w:ascii="仿宋" w:hAnsi="仿宋" w:eastAsia="仿宋" w:cs="仿宋"/>
          <w:color w:val="auto"/>
          <w:sz w:val="24"/>
        </w:rPr>
        <w:t>的服务质量、食品安全、运营管理、人员履职等进行监督、检查、考核，有权要求</w:t>
      </w:r>
      <w:r>
        <w:rPr>
          <w:rFonts w:hint="eastAsia" w:ascii="仿宋" w:hAnsi="仿宋" w:eastAsia="仿宋" w:cs="仿宋"/>
          <w:color w:val="auto"/>
          <w:sz w:val="24"/>
        </w:rPr>
        <w:t>投标人</w:t>
      </w:r>
      <w:r>
        <w:rPr>
          <w:rFonts w:ascii="仿宋" w:hAnsi="仿宋" w:eastAsia="仿宋" w:cs="仿宋"/>
          <w:color w:val="auto"/>
          <w:sz w:val="24"/>
        </w:rPr>
        <w:t>对不符合要求的事项限期整改。</w:t>
      </w:r>
    </w:p>
    <w:p w14:paraId="525E9B72">
      <w:pPr>
        <w:widowControl/>
        <w:spacing w:line="360" w:lineRule="auto"/>
        <w:ind w:firstLine="480" w:firstLineChars="200"/>
        <w:rPr>
          <w:rFonts w:hint="eastAsia" w:ascii="仿宋" w:hAnsi="仿宋" w:eastAsia="仿宋" w:cs="仿宋"/>
          <w:color w:val="auto"/>
          <w:sz w:val="24"/>
        </w:rPr>
      </w:pPr>
      <w:r>
        <w:rPr>
          <w:rFonts w:ascii="仿宋" w:hAnsi="仿宋" w:eastAsia="仿宋" w:cs="仿宋"/>
          <w:color w:val="auto"/>
          <w:sz w:val="24"/>
        </w:rPr>
        <w:t>（三）采购人有权按本项目采购文件要求，对</w:t>
      </w:r>
      <w:r>
        <w:rPr>
          <w:rFonts w:hint="eastAsia" w:ascii="仿宋" w:hAnsi="仿宋" w:eastAsia="仿宋" w:cs="仿宋"/>
          <w:color w:val="auto"/>
          <w:sz w:val="24"/>
        </w:rPr>
        <w:t>投标人</w:t>
      </w:r>
      <w:r>
        <w:rPr>
          <w:rFonts w:ascii="仿宋" w:hAnsi="仿宋" w:eastAsia="仿宋" w:cs="仿宋"/>
          <w:color w:val="auto"/>
          <w:sz w:val="24"/>
        </w:rPr>
        <w:t>的违约行为进行扣罚、追究违约责任，直至单方终止合同。</w:t>
      </w:r>
    </w:p>
    <w:p w14:paraId="4DF27ACA">
      <w:pPr>
        <w:widowControl/>
        <w:spacing w:line="360" w:lineRule="auto"/>
        <w:ind w:firstLine="480" w:firstLineChars="200"/>
        <w:rPr>
          <w:rFonts w:hint="eastAsia" w:ascii="仿宋" w:hAnsi="仿宋" w:eastAsia="仿宋" w:cs="仿宋"/>
          <w:color w:val="auto"/>
          <w:sz w:val="24"/>
        </w:rPr>
      </w:pPr>
      <w:r>
        <w:rPr>
          <w:rFonts w:ascii="仿宋" w:hAnsi="仿宋" w:eastAsia="仿宋" w:cs="仿宋"/>
          <w:color w:val="auto"/>
          <w:sz w:val="24"/>
        </w:rPr>
        <w:t>（四）采购人应按本项目采购文件要求，及时完成结算审核与款项支付。</w:t>
      </w:r>
    </w:p>
    <w:p w14:paraId="24C253DB">
      <w:pPr>
        <w:widowControl/>
        <w:spacing w:line="360" w:lineRule="auto"/>
        <w:ind w:firstLine="480" w:firstLineChars="200"/>
        <w:rPr>
          <w:rFonts w:hint="eastAsia" w:ascii="仿宋" w:hAnsi="仿宋" w:eastAsia="仿宋" w:cs="仿宋"/>
          <w:color w:val="auto"/>
          <w:sz w:val="24"/>
        </w:rPr>
      </w:pPr>
      <w:r>
        <w:rPr>
          <w:rFonts w:ascii="仿宋" w:hAnsi="仿宋" w:eastAsia="仿宋" w:cs="仿宋"/>
          <w:color w:val="auto"/>
          <w:sz w:val="24"/>
        </w:rPr>
        <w:t>（五）采购人协调院内相关科室，为</w:t>
      </w:r>
      <w:r>
        <w:rPr>
          <w:rFonts w:hint="eastAsia" w:ascii="仿宋" w:hAnsi="仿宋" w:eastAsia="仿宋" w:cs="仿宋"/>
          <w:color w:val="auto"/>
          <w:sz w:val="24"/>
        </w:rPr>
        <w:t>投标人</w:t>
      </w:r>
      <w:r>
        <w:rPr>
          <w:rFonts w:ascii="仿宋" w:hAnsi="仿宋" w:eastAsia="仿宋" w:cs="仿宋"/>
          <w:color w:val="auto"/>
          <w:sz w:val="24"/>
        </w:rPr>
        <w:t>正常运营提供必要的场地通行、系统对接等基础支持。</w:t>
      </w:r>
    </w:p>
    <w:p w14:paraId="7FC2E7F6">
      <w:pPr>
        <w:pStyle w:val="3"/>
        <w:widowControl/>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szCs w:val="24"/>
        </w:rPr>
        <w:t>三、投标人权责</w:t>
      </w:r>
    </w:p>
    <w:p w14:paraId="24FB4D70">
      <w:pPr>
        <w:widowControl/>
        <w:spacing w:line="360" w:lineRule="auto"/>
        <w:ind w:firstLine="480" w:firstLineChars="200"/>
        <w:rPr>
          <w:rFonts w:hint="eastAsia" w:ascii="仿宋" w:hAnsi="仿宋" w:eastAsia="仿宋" w:cs="仿宋"/>
          <w:color w:val="auto"/>
          <w:sz w:val="24"/>
        </w:rPr>
      </w:pPr>
      <w:r>
        <w:rPr>
          <w:rFonts w:ascii="仿宋" w:hAnsi="仿宋" w:eastAsia="仿宋" w:cs="仿宋"/>
          <w:color w:val="auto"/>
          <w:sz w:val="24"/>
        </w:rPr>
        <w:t>（一）</w:t>
      </w:r>
      <w:r>
        <w:rPr>
          <w:rFonts w:hint="eastAsia" w:ascii="仿宋" w:hAnsi="仿宋" w:eastAsia="仿宋" w:cs="仿宋"/>
          <w:color w:val="auto"/>
          <w:sz w:val="24"/>
        </w:rPr>
        <w:t>投标人</w:t>
      </w:r>
      <w:r>
        <w:rPr>
          <w:rFonts w:ascii="仿宋" w:hAnsi="仿宋" w:eastAsia="仿宋" w:cs="仿宋"/>
          <w:color w:val="auto"/>
          <w:sz w:val="24"/>
        </w:rPr>
        <w:t>须严格遵守《中华人民共和国食品安全法》《餐饮服务食品安全操作规范》等国家、省市相关法律法规及医院规章制度，全面履行本项目采购文件要求的全部服务内容，承担全部运营责任与风险。</w:t>
      </w:r>
    </w:p>
    <w:p w14:paraId="34DF6EBB">
      <w:pPr>
        <w:widowControl/>
        <w:spacing w:line="360" w:lineRule="auto"/>
        <w:ind w:firstLine="480" w:firstLineChars="200"/>
        <w:rPr>
          <w:rFonts w:hint="eastAsia" w:ascii="仿宋" w:hAnsi="仿宋" w:eastAsia="仿宋" w:cs="仿宋"/>
          <w:color w:val="auto"/>
          <w:sz w:val="24"/>
        </w:rPr>
      </w:pPr>
      <w:r>
        <w:rPr>
          <w:rFonts w:ascii="仿宋" w:hAnsi="仿宋" w:eastAsia="仿宋" w:cs="仿宋"/>
          <w:color w:val="auto"/>
          <w:sz w:val="24"/>
        </w:rPr>
        <w:t>（二）</w:t>
      </w:r>
      <w:r>
        <w:rPr>
          <w:rFonts w:hint="eastAsia" w:ascii="仿宋" w:hAnsi="仿宋" w:eastAsia="仿宋" w:cs="仿宋"/>
          <w:color w:val="auto"/>
          <w:kern w:val="44"/>
          <w:sz w:val="24"/>
          <w:szCs w:val="48"/>
        </w:rPr>
        <w:t>★投标人须按本项目采购文件要求完成食堂升级优化及设备投入，在服务期内接受并通过属地市场监督管理部门依据广东省食品安全相关法规开展的食品安全监督检查，确保各院区食堂在年度监督检查中无重大食品安全事故记录。</w:t>
      </w:r>
      <w:r>
        <w:rPr>
          <w:rFonts w:hint="eastAsia" w:ascii="仿宋" w:hAnsi="仿宋" w:eastAsia="仿宋" w:cs="仿宋"/>
          <w:color w:val="auto"/>
          <w:sz w:val="24"/>
        </w:rPr>
        <w:t>（在投标文件中提供加盖投标人公章的承诺函，承诺函格式自拟）</w:t>
      </w:r>
    </w:p>
    <w:p w14:paraId="1C639882">
      <w:pPr>
        <w:widowControl/>
        <w:spacing w:line="360" w:lineRule="auto"/>
        <w:ind w:firstLine="480" w:firstLineChars="200"/>
        <w:rPr>
          <w:rFonts w:hint="eastAsia" w:ascii="仿宋" w:hAnsi="仿宋" w:eastAsia="仿宋" w:cs="仿宋"/>
          <w:color w:val="auto"/>
          <w:sz w:val="24"/>
        </w:rPr>
      </w:pPr>
      <w:r>
        <w:rPr>
          <w:rFonts w:ascii="仿宋" w:hAnsi="仿宋" w:eastAsia="仿宋" w:cs="仿宋"/>
          <w:color w:val="auto"/>
          <w:sz w:val="24"/>
        </w:rPr>
        <w:t>（三）</w:t>
      </w:r>
      <w:r>
        <w:rPr>
          <w:rFonts w:hint="eastAsia" w:ascii="仿宋" w:hAnsi="仿宋" w:eastAsia="仿宋" w:cs="仿宋"/>
          <w:color w:val="auto"/>
          <w:sz w:val="24"/>
        </w:rPr>
        <w:t>投标人</w:t>
      </w:r>
      <w:r>
        <w:rPr>
          <w:rFonts w:ascii="仿宋" w:hAnsi="仿宋" w:eastAsia="仿宋" w:cs="仿宋"/>
          <w:color w:val="auto"/>
          <w:sz w:val="24"/>
        </w:rPr>
        <w:t>须按本项目采购文件要求，保质保量完成全场景供餐服务，保障职工、病人等各类人员的</w:t>
      </w:r>
      <w:r>
        <w:rPr>
          <w:rFonts w:hint="eastAsia" w:ascii="仿宋" w:hAnsi="仿宋" w:eastAsia="仿宋" w:cs="仿宋"/>
          <w:color w:val="auto"/>
          <w:sz w:val="24"/>
        </w:rPr>
        <w:t>用餐</w:t>
      </w:r>
      <w:r>
        <w:rPr>
          <w:rFonts w:ascii="仿宋" w:hAnsi="仿宋" w:eastAsia="仿宋" w:cs="仿宋"/>
          <w:color w:val="auto"/>
          <w:sz w:val="24"/>
        </w:rPr>
        <w:t>需求，承担食品安全主体责任。</w:t>
      </w:r>
    </w:p>
    <w:p w14:paraId="4DD99DA8">
      <w:pPr>
        <w:widowControl/>
        <w:spacing w:line="360" w:lineRule="auto"/>
        <w:ind w:firstLine="480" w:firstLineChars="200"/>
        <w:rPr>
          <w:rFonts w:hint="eastAsia" w:ascii="仿宋" w:hAnsi="仿宋" w:eastAsia="仿宋" w:cs="仿宋"/>
          <w:color w:val="auto"/>
          <w:sz w:val="24"/>
        </w:rPr>
      </w:pPr>
      <w:r>
        <w:rPr>
          <w:rFonts w:ascii="仿宋" w:hAnsi="仿宋" w:eastAsia="仿宋" w:cs="仿宋"/>
          <w:color w:val="auto"/>
          <w:sz w:val="24"/>
        </w:rPr>
        <w:t>（四）</w:t>
      </w:r>
      <w:r>
        <w:rPr>
          <w:rFonts w:hint="eastAsia" w:ascii="仿宋" w:hAnsi="仿宋" w:eastAsia="仿宋" w:cs="仿宋"/>
          <w:color w:val="auto"/>
          <w:sz w:val="24"/>
        </w:rPr>
        <w:t>投标人</w:t>
      </w:r>
      <w:r>
        <w:rPr>
          <w:rFonts w:ascii="仿宋" w:hAnsi="仿宋" w:eastAsia="仿宋" w:cs="仿宋"/>
          <w:color w:val="auto"/>
          <w:sz w:val="24"/>
        </w:rPr>
        <w:t>须按本项目采购文件要求，接受采购人的监督、考核，对整改要求须按时限完成整改。</w:t>
      </w:r>
    </w:p>
    <w:p w14:paraId="15207EBB">
      <w:pPr>
        <w:widowControl/>
        <w:spacing w:line="360" w:lineRule="auto"/>
        <w:ind w:firstLine="480" w:firstLineChars="200"/>
        <w:rPr>
          <w:rFonts w:hint="eastAsia" w:ascii="仿宋" w:hAnsi="仿宋" w:eastAsia="仿宋" w:cs="仿宋"/>
          <w:color w:val="auto"/>
          <w:sz w:val="24"/>
        </w:rPr>
      </w:pPr>
      <w:r>
        <w:rPr>
          <w:rFonts w:ascii="仿宋" w:hAnsi="仿宋" w:eastAsia="仿宋" w:cs="仿宋"/>
          <w:color w:val="auto"/>
          <w:sz w:val="24"/>
        </w:rPr>
        <w:t>（五）</w:t>
      </w:r>
      <w:r>
        <w:rPr>
          <w:rFonts w:hint="eastAsia" w:ascii="仿宋" w:hAnsi="仿宋" w:eastAsia="仿宋" w:cs="仿宋"/>
          <w:color w:val="auto"/>
          <w:sz w:val="24"/>
        </w:rPr>
        <w:t>投标人</w:t>
      </w:r>
      <w:r>
        <w:rPr>
          <w:rFonts w:ascii="仿宋" w:hAnsi="仿宋" w:eastAsia="仿宋" w:cs="仿宋"/>
          <w:color w:val="auto"/>
          <w:sz w:val="24"/>
        </w:rPr>
        <w:t>须自行处理与员工的劳动用工关系，承担全部用工责任；自行处理服务过程中产生的各类纠纷、投诉，承担相应的经济赔偿与法律责任。</w:t>
      </w:r>
      <w:r>
        <w:rPr>
          <w:rFonts w:hint="eastAsia" w:ascii="仿宋" w:hAnsi="仿宋" w:eastAsia="仿宋" w:cs="仿宋"/>
          <w:color w:val="auto"/>
          <w:sz w:val="24"/>
        </w:rPr>
        <w:t>所有派驻服务人员均须遵守采购人各项规章制度，严格执行采购人《第三方驻点服务人员管理办法》，服从现场管理。</w:t>
      </w:r>
    </w:p>
    <w:p w14:paraId="76C304E9">
      <w:pPr>
        <w:pStyle w:val="3"/>
        <w:widowControl/>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szCs w:val="24"/>
        </w:rPr>
        <w:t>四、禁止性约定</w:t>
      </w:r>
    </w:p>
    <w:p w14:paraId="397B953F">
      <w:pPr>
        <w:widowControl/>
        <w:spacing w:line="360" w:lineRule="auto"/>
        <w:ind w:firstLine="480" w:firstLineChars="200"/>
        <w:rPr>
          <w:rFonts w:hint="eastAsia" w:ascii="仿宋" w:hAnsi="仿宋" w:eastAsia="仿宋" w:cs="仿宋"/>
          <w:color w:val="auto"/>
          <w:sz w:val="24"/>
        </w:rPr>
      </w:pPr>
      <w:r>
        <w:rPr>
          <w:rFonts w:ascii="仿宋" w:hAnsi="仿宋" w:eastAsia="仿宋" w:cs="仿宋"/>
          <w:color w:val="auto"/>
          <w:sz w:val="24"/>
        </w:rPr>
        <w:t>★</w:t>
      </w:r>
      <w:r>
        <w:rPr>
          <w:rFonts w:hint="eastAsia" w:ascii="仿宋" w:hAnsi="仿宋" w:eastAsia="仿宋" w:cs="仿宋"/>
          <w:color w:val="auto"/>
          <w:sz w:val="24"/>
        </w:rPr>
        <w:t>本项目严禁任何转包、违法分包，一经发现，采购人有权立即单方终止合同，没收履约保证金，并要求投标人承担由此造成的全部损失。（在投标文件中提供加盖投标人公章的承诺函，承诺函格式自拟）</w:t>
      </w:r>
    </w:p>
    <w:p w14:paraId="5DF66957">
      <w:pPr>
        <w:widowControl/>
        <w:spacing w:line="360" w:lineRule="auto"/>
        <w:ind w:firstLine="480" w:firstLineChars="200"/>
        <w:rPr>
          <w:rFonts w:hint="eastAsia" w:ascii="仿宋" w:hAnsi="仿宋" w:eastAsia="仿宋" w:cs="仿宋"/>
          <w:color w:val="auto"/>
          <w:sz w:val="24"/>
        </w:rPr>
      </w:pPr>
    </w:p>
    <w:p w14:paraId="5C698DD9">
      <w:pPr>
        <w:pStyle w:val="2"/>
        <w:widowControl/>
        <w:spacing w:beforeAutospacing="0" w:afterAutospacing="0" w:line="360" w:lineRule="auto"/>
        <w:jc w:val="center"/>
        <w:rPr>
          <w:rFonts w:ascii="仿宋" w:hAnsi="仿宋" w:eastAsia="仿宋" w:cs="仿宋"/>
          <w:color w:val="auto"/>
          <w:sz w:val="24"/>
          <w:szCs w:val="24"/>
        </w:rPr>
      </w:pPr>
      <w:r>
        <w:rPr>
          <w:rFonts w:ascii="仿宋" w:hAnsi="仿宋" w:eastAsia="仿宋" w:cs="仿宋"/>
          <w:color w:val="auto"/>
          <w:sz w:val="24"/>
          <w:szCs w:val="24"/>
        </w:rPr>
        <w:t>第三章  服务范围与服务内容</w:t>
      </w:r>
    </w:p>
    <w:p w14:paraId="6AF1B5B0">
      <w:pPr>
        <w:pStyle w:val="3"/>
        <w:widowControl/>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szCs w:val="24"/>
        </w:rPr>
        <w:t>一、服务范围</w:t>
      </w:r>
    </w:p>
    <w:p w14:paraId="3ED798AD">
      <w:pPr>
        <w:widowControl/>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kern w:val="0"/>
          <w:sz w:val="24"/>
          <w:lang w:bidi="ar"/>
        </w:rPr>
        <w:t>投标人须承担医院食堂全品类、全时段、全场景餐饮服务，包括但不限于以下内容：</w:t>
      </w:r>
    </w:p>
    <w:p w14:paraId="4CF7A807">
      <w:pPr>
        <w:widowControl/>
        <w:spacing w:line="360" w:lineRule="auto"/>
        <w:ind w:firstLine="424" w:firstLineChars="177"/>
        <w:jc w:val="left"/>
        <w:rPr>
          <w:rFonts w:hint="eastAsia" w:ascii="仿宋" w:hAnsi="仿宋" w:eastAsia="仿宋" w:cs="仿宋"/>
          <w:color w:val="auto"/>
          <w:sz w:val="24"/>
        </w:rPr>
      </w:pPr>
      <w:r>
        <w:rPr>
          <w:rFonts w:hint="eastAsia" w:ascii="仿宋" w:hAnsi="仿宋" w:eastAsia="仿宋" w:cs="仿宋"/>
          <w:color w:val="auto"/>
          <w:sz w:val="24"/>
        </w:rPr>
        <w:t>（一）日常供餐服务：职工早餐、午餐、茶歇、晚餐、夜宵、过时餐、手术室餐等；病人及陪护家属的普通餐、医嘱治疗餐等；</w:t>
      </w:r>
    </w:p>
    <w:p w14:paraId="7FEFF466">
      <w:pPr>
        <w:widowControl/>
        <w:spacing w:line="360" w:lineRule="auto"/>
        <w:ind w:firstLine="424" w:firstLineChars="177"/>
        <w:jc w:val="left"/>
        <w:rPr>
          <w:rFonts w:hint="eastAsia" w:ascii="仿宋" w:hAnsi="仿宋" w:eastAsia="仿宋" w:cs="仿宋"/>
          <w:color w:val="auto"/>
          <w:sz w:val="24"/>
        </w:rPr>
      </w:pPr>
      <w:r>
        <w:rPr>
          <w:rFonts w:hint="eastAsia" w:ascii="仿宋" w:hAnsi="仿宋" w:eastAsia="仿宋" w:cs="仿宋"/>
          <w:color w:val="auto"/>
          <w:sz w:val="24"/>
        </w:rPr>
        <w:t>（二）专项供餐服务：工作接待餐、体检人员餐、会议培训餐、学术活动餐、科室团建餐等；</w:t>
      </w:r>
    </w:p>
    <w:p w14:paraId="69E841CD">
      <w:pPr>
        <w:widowControl/>
        <w:spacing w:line="360" w:lineRule="auto"/>
        <w:ind w:firstLine="424" w:firstLineChars="177"/>
        <w:jc w:val="left"/>
        <w:rPr>
          <w:rFonts w:hint="eastAsia" w:ascii="仿宋" w:hAnsi="仿宋" w:eastAsia="仿宋" w:cs="仿宋"/>
          <w:color w:val="auto"/>
          <w:sz w:val="24"/>
        </w:rPr>
      </w:pPr>
      <w:r>
        <w:rPr>
          <w:rFonts w:hint="eastAsia" w:ascii="仿宋" w:hAnsi="仿宋" w:eastAsia="仿宋" w:cs="仿宋"/>
          <w:color w:val="auto"/>
          <w:sz w:val="24"/>
        </w:rPr>
        <w:t>（三）全流程管理服务：食材采购与溯源、菜品研发与制作、餐饮配送、食堂环境卫生、设备管护、食品安全管控、投诉处理、智慧食堂运营等全流程管理；</w:t>
      </w:r>
    </w:p>
    <w:p w14:paraId="4857D48E">
      <w:pPr>
        <w:widowControl/>
        <w:spacing w:line="360" w:lineRule="auto"/>
        <w:ind w:firstLine="424" w:firstLineChars="177"/>
        <w:jc w:val="left"/>
        <w:rPr>
          <w:rFonts w:hint="eastAsia" w:ascii="仿宋" w:hAnsi="仿宋" w:eastAsia="仿宋" w:cs="仿宋"/>
          <w:color w:val="auto"/>
          <w:sz w:val="24"/>
        </w:rPr>
      </w:pPr>
      <w:r>
        <w:rPr>
          <w:rFonts w:hint="eastAsia" w:ascii="仿宋" w:hAnsi="仿宋" w:eastAsia="仿宋" w:cs="仿宋"/>
          <w:color w:val="auto"/>
          <w:sz w:val="24"/>
        </w:rPr>
        <w:t>（四）配套服务：食堂环境美化、节日氛围布置、美食文化活动举办、药食同源餐饮产品研发创制、食品售卖便民服务、特殊膳食配送服务等。</w:t>
      </w:r>
    </w:p>
    <w:p w14:paraId="16CE196F">
      <w:pPr>
        <w:widowControl/>
        <w:spacing w:line="360" w:lineRule="auto"/>
        <w:ind w:firstLine="424" w:firstLineChars="177"/>
        <w:jc w:val="left"/>
        <w:rPr>
          <w:rFonts w:hint="eastAsia" w:ascii="仿宋" w:hAnsi="仿宋" w:eastAsia="仿宋" w:cs="仿宋"/>
          <w:color w:val="auto"/>
          <w:sz w:val="24"/>
        </w:rPr>
      </w:pPr>
      <w:r>
        <w:rPr>
          <w:rFonts w:hint="eastAsia" w:ascii="仿宋" w:hAnsi="仿宋" w:eastAsia="仿宋" w:cs="仿宋"/>
          <w:color w:val="auto"/>
          <w:sz w:val="24"/>
        </w:rPr>
        <w:t>（五）其他配套服务：投标人须为采购人食堂管理的优化升级，配套投入相关智能化软硬件及设施设备。</w:t>
      </w:r>
    </w:p>
    <w:p w14:paraId="2DFA72B1">
      <w:pPr>
        <w:pStyle w:val="3"/>
        <w:widowControl/>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szCs w:val="24"/>
        </w:rPr>
        <w:t>二、跨区域配送服务要求</w:t>
      </w:r>
    </w:p>
    <w:p w14:paraId="601FA8B4">
      <w:pPr>
        <w:widowControl/>
        <w:numPr>
          <w:ilvl w:val="0"/>
          <w:numId w:val="1"/>
        </w:numPr>
        <w:spacing w:line="360" w:lineRule="auto"/>
        <w:jc w:val="left"/>
        <w:rPr>
          <w:rFonts w:hint="eastAsia" w:ascii="仿宋" w:hAnsi="仿宋" w:eastAsia="仿宋" w:cs="仿宋"/>
          <w:color w:val="auto"/>
          <w:sz w:val="24"/>
        </w:rPr>
      </w:pPr>
      <w:r>
        <w:rPr>
          <w:rFonts w:hint="eastAsia" w:ascii="仿宋" w:hAnsi="仿宋" w:eastAsia="仿宋" w:cs="仿宋"/>
          <w:color w:val="auto"/>
          <w:sz w:val="24"/>
        </w:rPr>
        <w:t>各院区食堂在现场条件无法正常供餐的情况下，由其他院区食堂或者投标人在服务期内配备符合要求的中央厨房完成所有餐饮的全流程制作及配送服务，</w:t>
      </w:r>
      <w:r>
        <w:rPr>
          <w:rFonts w:hint="eastAsia" w:ascii="仿宋" w:hAnsi="仿宋" w:eastAsia="仿宋" w:cs="仿宋"/>
          <w:b/>
          <w:bCs/>
          <w:color w:val="auto"/>
          <w:sz w:val="24"/>
        </w:rPr>
        <w:t>方案须经采购人审核同意后实施</w:t>
      </w:r>
      <w:r>
        <w:rPr>
          <w:rFonts w:hint="eastAsia" w:ascii="仿宋" w:hAnsi="仿宋" w:eastAsia="仿宋" w:cs="仿宋"/>
          <w:color w:val="auto"/>
          <w:sz w:val="24"/>
        </w:rPr>
        <w:t>。</w:t>
      </w:r>
    </w:p>
    <w:p w14:paraId="4EFAA282">
      <w:pPr>
        <w:widowControl/>
        <w:numPr>
          <w:ilvl w:val="0"/>
          <w:numId w:val="1"/>
        </w:numPr>
        <w:spacing w:line="360" w:lineRule="auto"/>
        <w:jc w:val="left"/>
        <w:rPr>
          <w:rFonts w:hint="eastAsia" w:ascii="仿宋" w:hAnsi="仿宋" w:eastAsia="仿宋" w:cs="仿宋"/>
          <w:color w:val="auto"/>
          <w:sz w:val="24"/>
        </w:rPr>
      </w:pPr>
      <w:r>
        <w:rPr>
          <w:rFonts w:hint="eastAsia" w:ascii="仿宋" w:hAnsi="仿宋" w:eastAsia="仿宋" w:cs="仿宋"/>
          <w:color w:val="auto"/>
          <w:sz w:val="24"/>
        </w:rPr>
        <w:t>严禁投标人外购成品或半成品餐食进行配送。</w:t>
      </w:r>
    </w:p>
    <w:p w14:paraId="108A9065">
      <w:pPr>
        <w:widowControl/>
        <w:numPr>
          <w:ilvl w:val="0"/>
          <w:numId w:val="1"/>
        </w:numPr>
        <w:spacing w:line="360" w:lineRule="auto"/>
        <w:jc w:val="left"/>
        <w:rPr>
          <w:rFonts w:hint="eastAsia" w:ascii="仿宋" w:hAnsi="仿宋" w:eastAsia="仿宋" w:cs="仿宋"/>
          <w:color w:val="auto"/>
          <w:sz w:val="24"/>
        </w:rPr>
      </w:pPr>
      <w:r>
        <w:rPr>
          <w:rFonts w:hint="eastAsia" w:ascii="仿宋" w:hAnsi="仿宋" w:eastAsia="仿宋" w:cs="仿宋"/>
          <w:color w:val="auto"/>
          <w:sz w:val="24"/>
        </w:rPr>
        <w:t>未经采购人同意，不得跨区域调配各岗位人员。</w:t>
      </w:r>
    </w:p>
    <w:p w14:paraId="68AC6290">
      <w:pPr>
        <w:widowControl/>
        <w:numPr>
          <w:ilvl w:val="0"/>
          <w:numId w:val="1"/>
        </w:numPr>
        <w:spacing w:line="360" w:lineRule="auto"/>
        <w:jc w:val="left"/>
        <w:rPr>
          <w:rFonts w:hint="eastAsia" w:ascii="仿宋" w:hAnsi="仿宋" w:eastAsia="仿宋" w:cs="仿宋"/>
          <w:color w:val="auto"/>
          <w:sz w:val="24"/>
        </w:rPr>
      </w:pPr>
      <w:r>
        <w:rPr>
          <w:rFonts w:hint="eastAsia" w:ascii="仿宋" w:hAnsi="仿宋" w:eastAsia="仿宋" w:cs="仿宋"/>
          <w:color w:val="auto"/>
          <w:sz w:val="24"/>
        </w:rPr>
        <w:t>跨区域配送必须使用专用封闭式保温配送车辆，配备全程温度监控设备，餐品中心温度全程不得低于60℃，从制作完成到送达用餐院区时长不得超过60分钟。</w:t>
      </w:r>
    </w:p>
    <w:p w14:paraId="38B30E9F">
      <w:pPr>
        <w:widowControl/>
        <w:numPr>
          <w:ilvl w:val="0"/>
          <w:numId w:val="1"/>
        </w:numPr>
        <w:spacing w:line="360" w:lineRule="auto"/>
        <w:jc w:val="left"/>
        <w:rPr>
          <w:rFonts w:hint="eastAsia" w:ascii="仿宋" w:hAnsi="仿宋" w:eastAsia="仿宋" w:cs="仿宋"/>
          <w:color w:val="auto"/>
          <w:sz w:val="24"/>
        </w:rPr>
      </w:pPr>
      <w:r>
        <w:rPr>
          <w:rFonts w:hint="eastAsia" w:ascii="仿宋" w:hAnsi="仿宋" w:eastAsia="仿宋" w:cs="仿宋"/>
          <w:color w:val="auto"/>
          <w:sz w:val="24"/>
        </w:rPr>
        <w:t>配送人员须持有效健康证，固定专人专车，配送车辆每日清洗消毒，做好配送工作全流程记录。</w:t>
      </w:r>
    </w:p>
    <w:p w14:paraId="2B7C3C85">
      <w:pPr>
        <w:widowControl/>
        <w:numPr>
          <w:ilvl w:val="0"/>
          <w:numId w:val="1"/>
        </w:numPr>
        <w:spacing w:line="360" w:lineRule="auto"/>
        <w:rPr>
          <w:rFonts w:hint="eastAsia" w:ascii="仿宋" w:hAnsi="仿宋" w:eastAsia="仿宋" w:cs="仿宋"/>
          <w:color w:val="auto"/>
          <w:sz w:val="24"/>
        </w:rPr>
      </w:pPr>
      <w:r>
        <w:rPr>
          <w:rFonts w:hint="eastAsia" w:ascii="仿宋" w:hAnsi="仿宋" w:eastAsia="仿宋" w:cs="仿宋"/>
          <w:color w:val="auto"/>
          <w:sz w:val="24"/>
        </w:rPr>
        <w:t>餐饮须按规定进行双份留样，分别在供餐院区、用餐院区按要求冷藏保存不少于48小时。</w:t>
      </w:r>
    </w:p>
    <w:p w14:paraId="1B717373">
      <w:pPr>
        <w:widowControl/>
        <w:numPr>
          <w:ilvl w:val="0"/>
          <w:numId w:val="1"/>
        </w:numPr>
        <w:spacing w:line="360" w:lineRule="auto"/>
        <w:rPr>
          <w:rFonts w:hint="eastAsia" w:ascii="仿宋" w:hAnsi="仿宋" w:eastAsia="仿宋" w:cs="仿宋"/>
          <w:color w:val="auto"/>
          <w:sz w:val="24"/>
        </w:rPr>
      </w:pPr>
      <w:r>
        <w:rPr>
          <w:rFonts w:hint="eastAsia" w:ascii="仿宋" w:hAnsi="仿宋" w:eastAsia="仿宋" w:cs="仿宋"/>
          <w:color w:val="auto"/>
          <w:sz w:val="24"/>
        </w:rPr>
        <w:t>跨区域配送的餐饮出现食品安全问题、配送延误、温度不达标等情况，全部责任由投标人承担，采购人有权按本文件考核条款进行扣罚，造成损失的，由投标人全额赔偿。</w:t>
      </w:r>
    </w:p>
    <w:p w14:paraId="025E6292">
      <w:pPr>
        <w:pStyle w:val="3"/>
        <w:widowControl/>
        <w:spacing w:beforeAutospacing="0" w:afterAutospacing="0" w:line="360" w:lineRule="auto"/>
        <w:ind w:firstLine="566" w:firstLineChars="235"/>
        <w:jc w:val="both"/>
        <w:rPr>
          <w:rFonts w:ascii="仿宋" w:hAnsi="仿宋" w:eastAsia="仿宋" w:cs="仿宋"/>
          <w:color w:val="auto"/>
          <w:sz w:val="24"/>
          <w:szCs w:val="24"/>
        </w:rPr>
      </w:pPr>
      <w:r>
        <w:rPr>
          <w:rFonts w:ascii="仿宋" w:hAnsi="仿宋" w:eastAsia="仿宋" w:cs="仿宋"/>
          <w:color w:val="auto"/>
          <w:sz w:val="24"/>
          <w:szCs w:val="24"/>
        </w:rPr>
        <w:t>三、配套其他服务要求</w:t>
      </w:r>
    </w:p>
    <w:p w14:paraId="1F9C7D6C">
      <w:pPr>
        <w:widowControl/>
        <w:numPr>
          <w:ilvl w:val="0"/>
          <w:numId w:val="2"/>
        </w:numPr>
        <w:spacing w:line="360" w:lineRule="auto"/>
        <w:rPr>
          <w:rFonts w:hint="eastAsia" w:ascii="仿宋" w:hAnsi="仿宋" w:eastAsia="仿宋" w:cs="仿宋"/>
          <w:color w:val="auto"/>
          <w:sz w:val="24"/>
        </w:rPr>
      </w:pPr>
      <w:r>
        <w:rPr>
          <w:rFonts w:hint="eastAsia" w:ascii="仿宋" w:hAnsi="仿宋" w:eastAsia="仿宋" w:cs="仿宋"/>
          <w:color w:val="auto"/>
          <w:sz w:val="24"/>
          <w:lang w:bidi="ar"/>
        </w:rPr>
        <w:t>投标人应主动根据传统节日、主题节日（护士节、医师节等）、节气、健康日主题设计举办美食活动、餐饮文化活动等相关方案提交采购人审核，经批准后方可执行。投标人应具有食堂布局设计服务经验或者案例，协助采购人优化食堂现场布局</w:t>
      </w:r>
      <w:bookmarkStart w:id="1" w:name="OLE_LINK15"/>
      <w:r>
        <w:rPr>
          <w:rFonts w:hint="eastAsia" w:ascii="仿宋" w:hAnsi="仿宋" w:eastAsia="仿宋" w:cs="仿宋"/>
          <w:color w:val="auto"/>
          <w:sz w:val="24"/>
          <w:lang w:bidi="ar"/>
        </w:rPr>
        <w:t>，并承担活动有关的全部费用。</w:t>
      </w:r>
      <w:bookmarkEnd w:id="1"/>
    </w:p>
    <w:p w14:paraId="12B8DCA4">
      <w:pPr>
        <w:widowControl/>
        <w:numPr>
          <w:ilvl w:val="0"/>
          <w:numId w:val="2"/>
        </w:num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bidi="ar"/>
        </w:rPr>
        <w:t>投标人配合采购人举办各类饮食文化、商业活动、义诊、茶歇等</w:t>
      </w:r>
      <w:r>
        <w:rPr>
          <w:rFonts w:hint="eastAsia" w:ascii="仿宋" w:hAnsi="仿宋" w:eastAsia="仿宋" w:cs="仿宋"/>
          <w:color w:val="auto"/>
          <w:sz w:val="24"/>
        </w:rPr>
        <w:t>供餐保障工作，</w:t>
      </w:r>
      <w:r>
        <w:rPr>
          <w:rFonts w:hint="eastAsia" w:ascii="仿宋" w:hAnsi="仿宋" w:eastAsia="仿宋" w:cs="仿宋"/>
          <w:color w:val="auto"/>
          <w:sz w:val="24"/>
          <w:lang w:bidi="ar"/>
        </w:rPr>
        <w:t>投标人应具有布置设计服务经验或者案例，协助采购人优化现场布置，</w:t>
      </w:r>
      <w:r>
        <w:rPr>
          <w:rFonts w:hint="eastAsia" w:ascii="仿宋" w:hAnsi="仿宋" w:eastAsia="仿宋" w:cs="仿宋"/>
          <w:color w:val="auto"/>
          <w:sz w:val="24"/>
        </w:rPr>
        <w:t>按采购人要求完成现场环境、节日氛围布置，</w:t>
      </w:r>
      <w:r>
        <w:rPr>
          <w:rFonts w:hint="eastAsia" w:ascii="仿宋" w:hAnsi="仿宋" w:eastAsia="仿宋" w:cs="仿宋"/>
          <w:color w:val="auto"/>
          <w:sz w:val="24"/>
          <w:lang w:bidi="ar"/>
        </w:rPr>
        <w:t>相关方案提交采购人审核，经批准后方可执行，并承担活动的有关费用。</w:t>
      </w:r>
    </w:p>
    <w:p w14:paraId="18592D23">
      <w:pPr>
        <w:widowControl/>
        <w:numPr>
          <w:ilvl w:val="0"/>
          <w:numId w:val="2"/>
        </w:numPr>
        <w:spacing w:line="360" w:lineRule="auto"/>
        <w:rPr>
          <w:rFonts w:hint="eastAsia" w:ascii="仿宋" w:hAnsi="仿宋" w:eastAsia="仿宋" w:cs="仿宋"/>
          <w:color w:val="auto"/>
          <w:sz w:val="24"/>
          <w:lang w:bidi="ar"/>
        </w:rPr>
      </w:pPr>
      <w:r>
        <w:rPr>
          <w:rFonts w:hint="eastAsia" w:ascii="仿宋" w:hAnsi="仿宋" w:eastAsia="仿宋" w:cs="仿宋"/>
          <w:color w:val="auto"/>
          <w:sz w:val="24"/>
        </w:rPr>
        <w:t>▲投标人须配合采购人开展“药食同源”等有关餐饮产品的研发、制作、宣传及推广工作，并配备专业人员</w:t>
      </w:r>
      <w:r>
        <w:rPr>
          <w:rFonts w:hint="eastAsia" w:ascii="仿宋" w:hAnsi="仿宋" w:eastAsia="仿宋" w:cs="仿宋"/>
          <w:color w:val="auto"/>
          <w:sz w:val="24"/>
          <w:lang w:bidi="ar"/>
        </w:rPr>
        <w:t>实施，投标人承担人员、食材等相关费用</w:t>
      </w:r>
      <w:bookmarkStart w:id="2" w:name="OLE_LINK6"/>
      <w:r>
        <w:rPr>
          <w:rFonts w:hint="eastAsia" w:ascii="仿宋" w:hAnsi="仿宋" w:eastAsia="仿宋" w:cs="仿宋"/>
          <w:color w:val="auto"/>
          <w:sz w:val="24"/>
          <w:lang w:bidi="ar"/>
        </w:rPr>
        <w:t>。</w:t>
      </w:r>
      <w:bookmarkEnd w:id="2"/>
      <w:r>
        <w:rPr>
          <w:rFonts w:hint="eastAsia" w:ascii="仿宋" w:hAnsi="仿宋" w:eastAsia="仿宋" w:cs="仿宋"/>
          <w:color w:val="auto"/>
          <w:sz w:val="24"/>
          <w:lang w:bidi="ar"/>
        </w:rPr>
        <w:t>由投标人依托本项目要求、利用项目资源、为履行本项目合同义务所研发、产出、优化的全部药食同源产品相关知识产权，全部归采购人单独所有。（在投标文件中提供加盖投标人公章的承诺函，承诺函格式自拟）</w:t>
      </w:r>
    </w:p>
    <w:p w14:paraId="708AA577">
      <w:pPr>
        <w:widowControl/>
        <w:numPr>
          <w:ilvl w:val="0"/>
          <w:numId w:val="2"/>
        </w:num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bidi="ar"/>
        </w:rPr>
        <w:t>投标人每季度至少更换一次食堂宣传栏、售卖窗口、售卖点位等宣传内容，包</w:t>
      </w:r>
      <w:r>
        <w:rPr>
          <w:rFonts w:hint="eastAsia" w:ascii="仿宋" w:hAnsi="仿宋" w:eastAsia="仿宋" w:cs="仿宋"/>
          <w:color w:val="auto"/>
          <w:sz w:val="24"/>
        </w:rPr>
        <w:t>括但不限于食堂文化、食品安全科普、营养膳食指南及菜品公示等，定期开展节假日、节气膳食专项更新，</w:t>
      </w:r>
      <w:r>
        <w:rPr>
          <w:rFonts w:hint="eastAsia" w:ascii="仿宋" w:hAnsi="仿宋" w:eastAsia="仿宋" w:cs="仿宋"/>
          <w:color w:val="auto"/>
          <w:sz w:val="24"/>
          <w:lang w:bidi="ar"/>
        </w:rPr>
        <w:t>宣传有关的硬件投入、更换的资料或者网络宣传资料的设计、印刷及相关费用由投标人承担，相关宣传内容需经采购人审核同意。</w:t>
      </w:r>
    </w:p>
    <w:p w14:paraId="7EBA0ED9">
      <w:pPr>
        <w:widowControl/>
        <w:numPr>
          <w:ilvl w:val="0"/>
          <w:numId w:val="2"/>
        </w:numPr>
        <w:spacing w:line="360" w:lineRule="auto"/>
        <w:rPr>
          <w:rFonts w:hint="eastAsia" w:ascii="仿宋" w:hAnsi="仿宋" w:eastAsia="仿宋" w:cs="仿宋"/>
          <w:color w:val="auto"/>
          <w:sz w:val="24"/>
        </w:rPr>
      </w:pPr>
      <w:r>
        <w:rPr>
          <w:rFonts w:hint="eastAsia" w:ascii="仿宋" w:hAnsi="仿宋" w:eastAsia="仿宋" w:cs="仿宋"/>
          <w:color w:val="auto"/>
          <w:sz w:val="24"/>
        </w:rPr>
        <w:t>工作接待餐服务符合相关文件规定和相应服务标准，安排专人全程对接和现场服务。</w:t>
      </w:r>
    </w:p>
    <w:p w14:paraId="349974A2">
      <w:pPr>
        <w:widowControl/>
        <w:numPr>
          <w:ilvl w:val="0"/>
          <w:numId w:val="2"/>
        </w:numPr>
        <w:spacing w:line="360" w:lineRule="auto"/>
        <w:rPr>
          <w:rFonts w:hint="eastAsia" w:ascii="仿宋" w:hAnsi="仿宋" w:eastAsia="仿宋" w:cs="仿宋"/>
          <w:color w:val="auto"/>
          <w:sz w:val="24"/>
        </w:rPr>
      </w:pPr>
      <w:r>
        <w:rPr>
          <w:rFonts w:hint="eastAsia" w:ascii="仿宋" w:hAnsi="仿宋" w:eastAsia="仿宋" w:cs="仿宋"/>
          <w:color w:val="auto"/>
          <w:sz w:val="24"/>
        </w:rPr>
        <w:t>投标人须提供线上商城便民服务，商品价格不高于</w:t>
      </w:r>
      <w:bookmarkStart w:id="3" w:name="OLE_LINK7"/>
      <w:r>
        <w:rPr>
          <w:rFonts w:hint="eastAsia" w:ascii="仿宋" w:hAnsi="仿宋" w:eastAsia="仿宋" w:cs="仿宋"/>
          <w:color w:val="auto"/>
          <w:sz w:val="24"/>
        </w:rPr>
        <w:t>采购人</w:t>
      </w:r>
      <w:bookmarkEnd w:id="3"/>
      <w:r>
        <w:rPr>
          <w:rFonts w:hint="eastAsia" w:ascii="仿宋" w:hAnsi="仿宋" w:eastAsia="仿宋" w:cs="仿宋"/>
          <w:color w:val="auto"/>
          <w:sz w:val="24"/>
        </w:rPr>
        <w:t>周边大型超市或京东商城同类产品，采购人</w:t>
      </w:r>
      <w:r>
        <w:rPr>
          <w:rFonts w:hint="eastAsia" w:ascii="仿宋" w:hAnsi="仿宋" w:eastAsia="仿宋" w:cs="仿宋"/>
          <w:color w:val="auto"/>
          <w:sz w:val="24"/>
          <w:lang w:bidi="ar"/>
        </w:rPr>
        <w:t>职工、进修生、实习生、学生、第三方驻院工作人员等</w:t>
      </w:r>
      <w:r>
        <w:rPr>
          <w:rFonts w:hint="eastAsia" w:ascii="仿宋" w:hAnsi="仿宋" w:eastAsia="仿宋" w:cs="仿宋"/>
          <w:color w:val="auto"/>
          <w:sz w:val="24"/>
        </w:rPr>
        <w:t>享受专属折扣价。线上商城商品价格</w:t>
      </w:r>
      <w:r>
        <w:rPr>
          <w:rFonts w:hint="eastAsia" w:ascii="仿宋" w:hAnsi="仿宋" w:eastAsia="仿宋" w:cs="仿宋"/>
          <w:color w:val="auto"/>
          <w:sz w:val="24"/>
          <w:lang w:val="en-US" w:eastAsia="zh-CN"/>
        </w:rPr>
        <w:t>浮动</w:t>
      </w:r>
      <w:r>
        <w:rPr>
          <w:rFonts w:hint="eastAsia" w:ascii="仿宋" w:hAnsi="仿宋" w:eastAsia="仿宋" w:cs="仿宋"/>
          <w:color w:val="auto"/>
          <w:sz w:val="24"/>
        </w:rPr>
        <w:t>超过10%</w:t>
      </w:r>
      <w:r>
        <w:rPr>
          <w:rFonts w:hint="eastAsia" w:ascii="仿宋" w:hAnsi="仿宋" w:eastAsia="仿宋" w:cs="仿宋"/>
          <w:color w:val="auto"/>
          <w:sz w:val="24"/>
          <w:lang w:val="en-US" w:eastAsia="zh-CN"/>
        </w:rPr>
        <w:t>的</w:t>
      </w:r>
      <w:r>
        <w:rPr>
          <w:rFonts w:hint="eastAsia" w:ascii="仿宋" w:hAnsi="仿宋" w:eastAsia="仿宋" w:cs="仿宋"/>
          <w:color w:val="auto"/>
          <w:sz w:val="24"/>
        </w:rPr>
        <w:t>，需提前7个工作日提交成本测算或周边价格证明等资料，经</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审核通过后方可执行。</w:t>
      </w:r>
    </w:p>
    <w:p w14:paraId="16C334AB">
      <w:pPr>
        <w:widowControl/>
        <w:numPr>
          <w:ilvl w:val="0"/>
          <w:numId w:val="2"/>
        </w:numPr>
        <w:spacing w:line="360" w:lineRule="auto"/>
        <w:rPr>
          <w:rFonts w:hint="eastAsia" w:ascii="仿宋" w:hAnsi="仿宋" w:eastAsia="仿宋" w:cs="仿宋"/>
          <w:color w:val="auto"/>
          <w:sz w:val="24"/>
        </w:rPr>
      </w:pPr>
      <w:r>
        <w:rPr>
          <w:rFonts w:hint="eastAsia" w:ascii="仿宋" w:hAnsi="仿宋" w:eastAsia="仿宋" w:cs="仿宋"/>
          <w:color w:val="auto"/>
          <w:sz w:val="24"/>
        </w:rPr>
        <w:t>突发公共卫生事件防控期间配送要求：配送人员依规进入防控区域，配送车辆、容器、人员每日消毒，须符合院感防控相关规定。</w:t>
      </w:r>
    </w:p>
    <w:p w14:paraId="7455F651">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outlineLvl w:val="9"/>
        <w:rPr>
          <w:rFonts w:ascii="仿宋" w:hAnsi="仿宋" w:eastAsia="仿宋" w:cs="仿宋"/>
          <w:color w:val="auto"/>
          <w:sz w:val="24"/>
          <w:szCs w:val="24"/>
        </w:rPr>
      </w:pPr>
    </w:p>
    <w:p w14:paraId="3E861B34">
      <w:pPr>
        <w:pStyle w:val="2"/>
        <w:widowControl/>
        <w:spacing w:beforeAutospacing="0" w:afterAutospacing="0" w:line="360" w:lineRule="auto"/>
        <w:jc w:val="center"/>
        <w:rPr>
          <w:rFonts w:ascii="仿宋" w:hAnsi="仿宋" w:eastAsia="仿宋" w:cs="仿宋"/>
          <w:color w:val="auto"/>
          <w:sz w:val="24"/>
          <w:szCs w:val="24"/>
        </w:rPr>
      </w:pPr>
      <w:r>
        <w:rPr>
          <w:rFonts w:ascii="仿宋" w:hAnsi="仿宋" w:eastAsia="仿宋" w:cs="仿宋"/>
          <w:color w:val="auto"/>
          <w:sz w:val="24"/>
          <w:szCs w:val="24"/>
        </w:rPr>
        <w:t>第四章  供餐服务标准</w:t>
      </w:r>
    </w:p>
    <w:p w14:paraId="1803C40F">
      <w:pPr>
        <w:pStyle w:val="3"/>
        <w:widowControl/>
        <w:spacing w:beforeAutospacing="0" w:afterAutospacing="0" w:line="360" w:lineRule="auto"/>
        <w:ind w:firstLine="282" w:firstLineChars="117"/>
        <w:rPr>
          <w:rFonts w:ascii="仿宋" w:hAnsi="仿宋" w:eastAsia="仿宋" w:cs="仿宋"/>
          <w:color w:val="auto"/>
          <w:sz w:val="24"/>
          <w:szCs w:val="24"/>
        </w:rPr>
      </w:pPr>
      <w:r>
        <w:rPr>
          <w:rFonts w:ascii="仿宋" w:hAnsi="仿宋" w:eastAsia="仿宋" w:cs="仿宋"/>
          <w:color w:val="auto"/>
          <w:sz w:val="24"/>
          <w:szCs w:val="24"/>
        </w:rPr>
        <w:t>一、供餐品类与菜单管理</w:t>
      </w:r>
    </w:p>
    <w:p w14:paraId="7028E52C">
      <w:pPr>
        <w:widowControl/>
        <w:spacing w:line="360" w:lineRule="auto"/>
        <w:ind w:left="-363"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（一）菜单设置</w:t>
      </w:r>
    </w:p>
    <w:p w14:paraId="23A2A7C8">
      <w:pPr>
        <w:widowControl/>
        <w:spacing w:line="360" w:lineRule="auto"/>
        <w:ind w:left="-363" w:firstLine="480" w:firstLineChars="200"/>
        <w:rPr>
          <w:rFonts w:hint="eastAsia" w:ascii="仿宋" w:hAnsi="仿宋" w:eastAsia="仿宋" w:cs="仿宋"/>
          <w:color w:val="auto"/>
          <w:sz w:val="24"/>
          <w:lang w:bidi="ar"/>
        </w:rPr>
      </w:pPr>
      <w:r>
        <w:rPr>
          <w:rFonts w:hint="eastAsia" w:ascii="仿宋" w:hAnsi="仿宋" w:eastAsia="仿宋" w:cs="仿宋"/>
          <w:color w:val="auto"/>
          <w:sz w:val="24"/>
        </w:rPr>
        <w:t>1.</w:t>
      </w:r>
      <w:r>
        <w:rPr>
          <w:rFonts w:hint="eastAsia" w:ascii="仿宋" w:hAnsi="仿宋" w:eastAsia="仿宋" w:cs="仿宋"/>
          <w:color w:val="auto"/>
          <w:sz w:val="24"/>
          <w:lang w:bidi="ar"/>
        </w:rPr>
        <w:t>精心搭配主、副食菜谱，每周1套菜单，菜式每2周重样不超过10%，菜单由采购人审核同意后方可执行。每月菜单及新菜式需在次月指定日期前交采购人审核，每月新增菜品和点心各不少于6款。</w:t>
      </w:r>
    </w:p>
    <w:p w14:paraId="0C57163D">
      <w:pPr>
        <w:widowControl/>
        <w:spacing w:line="360" w:lineRule="auto"/>
        <w:ind w:left="-363" w:firstLine="480" w:firstLineChars="200"/>
        <w:jc w:val="left"/>
        <w:rPr>
          <w:rFonts w:hint="eastAsia" w:ascii="仿宋" w:hAnsi="仿宋" w:eastAsia="仿宋" w:cs="仿宋"/>
          <w:color w:val="auto"/>
          <w:sz w:val="24"/>
          <w:lang w:bidi="ar"/>
        </w:rPr>
      </w:pPr>
      <w:r>
        <w:rPr>
          <w:rFonts w:hint="eastAsia" w:ascii="仿宋" w:hAnsi="仿宋" w:eastAsia="仿宋" w:cs="仿宋"/>
          <w:color w:val="auto"/>
          <w:sz w:val="24"/>
        </w:rPr>
        <w:t>2.</w:t>
      </w:r>
      <w:r>
        <w:rPr>
          <w:rFonts w:hint="eastAsia" w:ascii="仿宋" w:hAnsi="仿宋" w:eastAsia="仿宋" w:cs="仿宋"/>
          <w:color w:val="auto"/>
          <w:sz w:val="24"/>
          <w:lang w:bidi="ar"/>
        </w:rPr>
        <w:t>小餐厅围餐、托盘餐及药膳汤等菜单需每季度更换，于每季度末月指定日期前提交次季度菜单交采购人审核，药膳汤品菜单可由采购人提供、投标人自行提供，亦可由双方共同拟定提供。</w:t>
      </w:r>
    </w:p>
    <w:p w14:paraId="5A8452B0">
      <w:pPr>
        <w:widowControl/>
        <w:spacing w:line="360" w:lineRule="auto"/>
        <w:ind w:left="-363"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（二）供餐品种最低要求</w:t>
      </w:r>
    </w:p>
    <w:tbl>
      <w:tblPr>
        <w:tblStyle w:val="13"/>
        <w:tblW w:w="33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8"/>
        <w:gridCol w:w="1904"/>
        <w:gridCol w:w="1988"/>
      </w:tblGrid>
      <w:tr w14:paraId="2C608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8" w:hRule="atLeast"/>
          <w:jc w:val="center"/>
        </w:trPr>
        <w:tc>
          <w:tcPr>
            <w:tcW w:w="1591" w:type="pct"/>
            <w:shd w:val="clear" w:color="auto" w:fill="BEBEBE" w:themeFill="background1" w:themeFillShade="BF"/>
          </w:tcPr>
          <w:p w14:paraId="3DFDE9D6">
            <w:pPr>
              <w:widowControl/>
              <w:spacing w:line="360" w:lineRule="auto"/>
              <w:jc w:val="center"/>
              <w:rPr>
                <w:rFonts w:hint="eastAsia" w:ascii="仿宋" w:hAnsi="仿宋" w:eastAsia="仿宋" w:cs="仿宋"/>
                <w:b/>
                <w:bCs/>
                <w:color w:val="auto"/>
                <w:szCs w:val="21"/>
              </w:rPr>
            </w:pPr>
            <w:r>
              <w:rPr>
                <w:rFonts w:hint="eastAsia" w:ascii="宋体" w:hAnsi="宋体" w:eastAsia="宋体" w:cs="宋体"/>
                <w:b/>
                <w:bCs/>
                <w:color w:val="auto"/>
                <w:szCs w:val="21"/>
              </w:rPr>
              <w:t>时段</w:t>
            </w:r>
          </w:p>
        </w:tc>
        <w:tc>
          <w:tcPr>
            <w:tcW w:w="1667" w:type="pct"/>
            <w:shd w:val="clear" w:color="auto" w:fill="BEBEBE" w:themeFill="background1" w:themeFillShade="BF"/>
          </w:tcPr>
          <w:p w14:paraId="1B635A52">
            <w:pPr>
              <w:widowControl/>
              <w:spacing w:line="360" w:lineRule="auto"/>
              <w:jc w:val="center"/>
              <w:rPr>
                <w:rFonts w:hint="eastAsia" w:ascii="仿宋" w:hAnsi="仿宋" w:eastAsia="仿宋" w:cs="仿宋"/>
                <w:b/>
                <w:bCs/>
                <w:color w:val="auto"/>
                <w:szCs w:val="21"/>
              </w:rPr>
            </w:pPr>
            <w:r>
              <w:rPr>
                <w:rFonts w:hint="eastAsia" w:ascii="宋体" w:hAnsi="宋体" w:eastAsia="宋体" w:cs="宋体"/>
                <w:b/>
                <w:bCs/>
                <w:color w:val="auto"/>
                <w:szCs w:val="21"/>
              </w:rPr>
              <w:t>工作日最低品种数</w:t>
            </w:r>
          </w:p>
        </w:tc>
        <w:tc>
          <w:tcPr>
            <w:tcW w:w="1740" w:type="pct"/>
            <w:shd w:val="clear" w:color="auto" w:fill="BEBEBE" w:themeFill="background1" w:themeFillShade="BF"/>
          </w:tcPr>
          <w:p w14:paraId="3F898FEE">
            <w:pPr>
              <w:widowControl/>
              <w:spacing w:line="360" w:lineRule="auto"/>
              <w:jc w:val="center"/>
              <w:rPr>
                <w:rFonts w:hint="eastAsia" w:ascii="仿宋" w:hAnsi="仿宋" w:eastAsia="仿宋" w:cs="仿宋"/>
                <w:b/>
                <w:bCs/>
                <w:color w:val="auto"/>
                <w:szCs w:val="21"/>
              </w:rPr>
            </w:pPr>
            <w:r>
              <w:rPr>
                <w:rFonts w:hint="eastAsia" w:ascii="宋体" w:hAnsi="宋体" w:eastAsia="宋体" w:cs="宋体"/>
                <w:b/>
                <w:bCs/>
                <w:color w:val="auto"/>
                <w:szCs w:val="21"/>
              </w:rPr>
              <w:t>节假日最低品种数</w:t>
            </w:r>
          </w:p>
        </w:tc>
      </w:tr>
      <w:tr w14:paraId="39035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591" w:type="pct"/>
          </w:tcPr>
          <w:p w14:paraId="690E98F8">
            <w:pPr>
              <w:widowControl/>
              <w:spacing w:line="360" w:lineRule="auto"/>
              <w:ind w:left="-363" w:firstLine="420" w:firstLineChars="200"/>
              <w:jc w:val="center"/>
              <w:rPr>
                <w:rFonts w:hint="eastAsia" w:ascii="仿宋" w:hAnsi="仿宋" w:eastAsia="仿宋" w:cs="仿宋"/>
                <w:color w:val="auto"/>
                <w:szCs w:val="21"/>
              </w:rPr>
            </w:pPr>
            <w:r>
              <w:rPr>
                <w:rFonts w:hint="eastAsia" w:ascii="仿宋" w:hAnsi="仿宋" w:eastAsia="仿宋" w:cs="仿宋"/>
                <w:color w:val="auto"/>
                <w:szCs w:val="21"/>
              </w:rPr>
              <w:t>早餐</w:t>
            </w:r>
          </w:p>
        </w:tc>
        <w:tc>
          <w:tcPr>
            <w:tcW w:w="1667" w:type="pct"/>
          </w:tcPr>
          <w:p w14:paraId="2EFEB541">
            <w:pPr>
              <w:widowControl/>
              <w:spacing w:line="360" w:lineRule="auto"/>
              <w:ind w:left="-363" w:firstLine="420" w:firstLineChars="200"/>
              <w:jc w:val="center"/>
              <w:rPr>
                <w:rFonts w:hint="eastAsia" w:ascii="仿宋" w:hAnsi="仿宋" w:eastAsia="仿宋" w:cs="仿宋"/>
                <w:color w:val="auto"/>
                <w:szCs w:val="21"/>
              </w:rPr>
            </w:pPr>
            <w:r>
              <w:rPr>
                <w:rFonts w:hint="eastAsia" w:ascii="仿宋" w:hAnsi="仿宋" w:eastAsia="仿宋" w:cs="仿宋"/>
                <w:color w:val="auto"/>
                <w:szCs w:val="21"/>
              </w:rPr>
              <w:t>≥15个</w:t>
            </w:r>
          </w:p>
        </w:tc>
        <w:tc>
          <w:tcPr>
            <w:tcW w:w="1740" w:type="pct"/>
          </w:tcPr>
          <w:p w14:paraId="5C1965F0">
            <w:pPr>
              <w:widowControl/>
              <w:spacing w:line="360" w:lineRule="auto"/>
              <w:ind w:left="-363" w:firstLine="420" w:firstLineChars="200"/>
              <w:jc w:val="center"/>
              <w:rPr>
                <w:rFonts w:hint="eastAsia" w:ascii="仿宋" w:hAnsi="仿宋" w:eastAsia="仿宋" w:cs="仿宋"/>
                <w:color w:val="auto"/>
                <w:szCs w:val="21"/>
              </w:rPr>
            </w:pPr>
            <w:r>
              <w:rPr>
                <w:rFonts w:hint="eastAsia" w:ascii="仿宋" w:hAnsi="仿宋" w:eastAsia="仿宋" w:cs="仿宋"/>
                <w:color w:val="auto"/>
                <w:szCs w:val="21"/>
              </w:rPr>
              <w:t>≥12个</w:t>
            </w:r>
          </w:p>
        </w:tc>
      </w:tr>
      <w:tr w14:paraId="409E2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591" w:type="pct"/>
          </w:tcPr>
          <w:p w14:paraId="73D112F6">
            <w:pPr>
              <w:widowControl/>
              <w:spacing w:line="360" w:lineRule="auto"/>
              <w:ind w:left="-363" w:firstLine="420" w:firstLineChars="200"/>
              <w:jc w:val="center"/>
              <w:rPr>
                <w:rFonts w:hint="eastAsia" w:ascii="仿宋" w:hAnsi="仿宋" w:eastAsia="仿宋" w:cs="仿宋"/>
                <w:color w:val="auto"/>
                <w:szCs w:val="21"/>
              </w:rPr>
            </w:pPr>
            <w:r>
              <w:rPr>
                <w:rFonts w:hint="eastAsia" w:ascii="仿宋" w:hAnsi="仿宋" w:eastAsia="仿宋" w:cs="仿宋"/>
                <w:color w:val="auto"/>
                <w:szCs w:val="21"/>
              </w:rPr>
              <w:t>午餐</w:t>
            </w:r>
          </w:p>
        </w:tc>
        <w:tc>
          <w:tcPr>
            <w:tcW w:w="1667" w:type="pct"/>
          </w:tcPr>
          <w:p w14:paraId="073F98F7">
            <w:pPr>
              <w:widowControl/>
              <w:spacing w:line="360" w:lineRule="auto"/>
              <w:ind w:left="-363" w:firstLine="420" w:firstLineChars="200"/>
              <w:jc w:val="center"/>
              <w:rPr>
                <w:rFonts w:hint="eastAsia" w:ascii="仿宋" w:hAnsi="仿宋" w:eastAsia="仿宋" w:cs="仿宋"/>
                <w:color w:val="auto"/>
                <w:szCs w:val="21"/>
              </w:rPr>
            </w:pPr>
            <w:r>
              <w:rPr>
                <w:rFonts w:hint="eastAsia" w:ascii="仿宋" w:hAnsi="仿宋" w:eastAsia="仿宋" w:cs="仿宋"/>
                <w:color w:val="auto"/>
                <w:szCs w:val="21"/>
              </w:rPr>
              <w:t>≥20个</w:t>
            </w:r>
          </w:p>
        </w:tc>
        <w:tc>
          <w:tcPr>
            <w:tcW w:w="1740" w:type="pct"/>
          </w:tcPr>
          <w:p w14:paraId="4F7C4C7B">
            <w:pPr>
              <w:widowControl/>
              <w:spacing w:line="360" w:lineRule="auto"/>
              <w:ind w:left="-363" w:firstLine="420" w:firstLineChars="200"/>
              <w:jc w:val="center"/>
              <w:rPr>
                <w:rFonts w:hint="eastAsia" w:ascii="仿宋" w:hAnsi="仿宋" w:eastAsia="仿宋" w:cs="仿宋"/>
                <w:color w:val="auto"/>
                <w:szCs w:val="21"/>
              </w:rPr>
            </w:pPr>
            <w:r>
              <w:rPr>
                <w:rFonts w:hint="eastAsia" w:ascii="仿宋" w:hAnsi="仿宋" w:eastAsia="仿宋" w:cs="仿宋"/>
                <w:color w:val="auto"/>
                <w:szCs w:val="21"/>
              </w:rPr>
              <w:t>≥15个</w:t>
            </w:r>
          </w:p>
        </w:tc>
      </w:tr>
      <w:tr w14:paraId="60C53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591" w:type="pct"/>
          </w:tcPr>
          <w:p w14:paraId="7EF740A3">
            <w:pPr>
              <w:widowControl/>
              <w:spacing w:line="360" w:lineRule="auto"/>
              <w:ind w:left="-363" w:firstLine="420" w:firstLineChars="200"/>
              <w:jc w:val="center"/>
              <w:rPr>
                <w:rFonts w:hint="eastAsia" w:ascii="仿宋" w:hAnsi="仿宋" w:eastAsia="仿宋" w:cs="仿宋"/>
                <w:color w:val="auto"/>
                <w:szCs w:val="21"/>
              </w:rPr>
            </w:pPr>
            <w:r>
              <w:rPr>
                <w:rFonts w:hint="eastAsia" w:ascii="仿宋" w:hAnsi="仿宋" w:eastAsia="仿宋" w:cs="仿宋"/>
                <w:color w:val="auto"/>
                <w:szCs w:val="21"/>
              </w:rPr>
              <w:t>晚餐</w:t>
            </w:r>
          </w:p>
        </w:tc>
        <w:tc>
          <w:tcPr>
            <w:tcW w:w="1667" w:type="pct"/>
          </w:tcPr>
          <w:p w14:paraId="2D237A5F">
            <w:pPr>
              <w:widowControl/>
              <w:spacing w:line="360" w:lineRule="auto"/>
              <w:ind w:left="-363" w:firstLine="420" w:firstLineChars="200"/>
              <w:jc w:val="center"/>
              <w:rPr>
                <w:rFonts w:hint="eastAsia" w:ascii="仿宋" w:hAnsi="仿宋" w:eastAsia="仿宋" w:cs="仿宋"/>
                <w:color w:val="auto"/>
                <w:szCs w:val="21"/>
              </w:rPr>
            </w:pPr>
            <w:r>
              <w:rPr>
                <w:rFonts w:hint="eastAsia" w:ascii="仿宋" w:hAnsi="仿宋" w:eastAsia="仿宋" w:cs="仿宋"/>
                <w:color w:val="auto"/>
                <w:szCs w:val="21"/>
              </w:rPr>
              <w:t>≥15个</w:t>
            </w:r>
          </w:p>
        </w:tc>
        <w:tc>
          <w:tcPr>
            <w:tcW w:w="1740" w:type="pct"/>
          </w:tcPr>
          <w:p w14:paraId="203788C3">
            <w:pPr>
              <w:widowControl/>
              <w:spacing w:line="360" w:lineRule="auto"/>
              <w:ind w:left="-363" w:firstLine="420" w:firstLineChars="200"/>
              <w:jc w:val="center"/>
              <w:rPr>
                <w:rFonts w:hint="eastAsia" w:ascii="仿宋" w:hAnsi="仿宋" w:eastAsia="仿宋" w:cs="仿宋"/>
                <w:color w:val="auto"/>
                <w:szCs w:val="21"/>
              </w:rPr>
            </w:pPr>
            <w:r>
              <w:rPr>
                <w:rFonts w:hint="eastAsia" w:ascii="仿宋" w:hAnsi="仿宋" w:eastAsia="仿宋" w:cs="仿宋"/>
                <w:color w:val="auto"/>
                <w:szCs w:val="21"/>
              </w:rPr>
              <w:t>≥10个</w:t>
            </w:r>
          </w:p>
        </w:tc>
      </w:tr>
    </w:tbl>
    <w:p w14:paraId="40197365">
      <w:pPr>
        <w:widowControl/>
        <w:spacing w:line="360" w:lineRule="auto"/>
        <w:ind w:left="-363"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（三）</w:t>
      </w:r>
      <w:r>
        <w:rPr>
          <w:rFonts w:hint="eastAsia" w:ascii="仿宋" w:hAnsi="仿宋" w:eastAsia="仿宋" w:cs="仿宋"/>
          <w:color w:val="auto"/>
          <w:sz w:val="24"/>
          <w:lang w:bidi="ar"/>
        </w:rPr>
        <w:t>午餐</w:t>
      </w:r>
      <w:r>
        <w:rPr>
          <w:rFonts w:hint="eastAsia" w:ascii="仿宋" w:hAnsi="仿宋" w:eastAsia="仿宋" w:cs="仿宋"/>
          <w:color w:val="auto"/>
          <w:sz w:val="24"/>
        </w:rPr>
        <w:t>、晚餐菜式不得完全相同，饭堂堂食每餐次须免费提供例汤、小菜等，米饭可免费续添。</w:t>
      </w:r>
    </w:p>
    <w:p w14:paraId="40311CB3">
      <w:pPr>
        <w:widowControl/>
        <w:spacing w:line="360" w:lineRule="auto"/>
        <w:ind w:left="-363"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（四）供餐品类包括但不限于各式焖炒蒸炸炖类菜肴、特色风味餐、中西式（药膳）点心、茶饮、汤类（药膳汤）、糖水、面食类、工作餐、接待餐、围餐等。</w:t>
      </w:r>
    </w:p>
    <w:p w14:paraId="2B30B2F5">
      <w:pPr>
        <w:pStyle w:val="3"/>
        <w:widowControl/>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szCs w:val="24"/>
        </w:rPr>
        <w:t>二、病人餐服务要求</w:t>
      </w:r>
    </w:p>
    <w:p w14:paraId="461E3DAA">
      <w:pPr>
        <w:widowControl/>
        <w:spacing w:line="360" w:lineRule="auto"/>
        <w:ind w:left="-363"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（一）供餐人数参考编制床位数共1522张，服务对象含门诊病人、住院病人及陪护家属等，须配送至采购人指定点位；依规设置餐食售卖点位，满足病人自主选购就餐需求。</w:t>
      </w:r>
    </w:p>
    <w:p w14:paraId="7F7169E8">
      <w:pPr>
        <w:widowControl/>
        <w:spacing w:line="360" w:lineRule="auto"/>
        <w:ind w:left="-363"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（二）供餐范围：为采购人病人提供餐食制作与配送服务，治疗餐需根据医嘱治疗膳食要求的营养餐单制作、登记与配送。</w:t>
      </w:r>
    </w:p>
    <w:p w14:paraId="62742559">
      <w:pPr>
        <w:widowControl/>
        <w:spacing w:line="360" w:lineRule="auto"/>
        <w:ind w:left="-363"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三）日常订餐时间：早餐前一日18:00前，午餐为用餐当日9:40前，晚餐为用餐当日16:00前；配餐送达时间为：早餐7:00-7:30，午餐11:00-11:30，晚餐17:00-17:30，投标人须配合采购人实际需求，适时调整优化订餐时效及配送送达时间。</w:t>
      </w:r>
    </w:p>
    <w:p w14:paraId="1A58AE5A">
      <w:pPr>
        <w:widowControl/>
        <w:spacing w:line="360" w:lineRule="auto"/>
        <w:ind w:left="-363"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（四）</w:t>
      </w:r>
      <w:r>
        <w:rPr>
          <w:rFonts w:hint="eastAsia" w:ascii="仿宋" w:hAnsi="仿宋" w:eastAsia="仿宋" w:cs="仿宋"/>
          <w:color w:val="auto"/>
          <w:sz w:val="24"/>
          <w:lang w:bidi="ar"/>
        </w:rPr>
        <w:t>超时</w:t>
      </w:r>
      <w:r>
        <w:rPr>
          <w:rFonts w:hint="eastAsia" w:ascii="仿宋" w:hAnsi="仿宋" w:eastAsia="仿宋" w:cs="仿宋"/>
          <w:color w:val="auto"/>
          <w:sz w:val="24"/>
        </w:rPr>
        <w:t>餐供餐时间：早餐7:00-8:00，午餐11:30-12:00，晚餐17:30-18:00，投标人须配合采购人实际需求</w:t>
      </w:r>
      <w:r>
        <w:rPr>
          <w:rFonts w:hint="eastAsia" w:ascii="仿宋" w:hAnsi="仿宋" w:eastAsia="仿宋" w:cs="仿宋"/>
          <w:color w:val="auto"/>
          <w:sz w:val="24"/>
          <w:lang w:val="en-US" w:eastAsia="zh-CN"/>
        </w:rPr>
        <w:t>优化供餐时间。</w:t>
      </w:r>
    </w:p>
    <w:p w14:paraId="2DBE61A1">
      <w:pPr>
        <w:widowControl/>
        <w:spacing w:line="360" w:lineRule="auto"/>
        <w:ind w:left="-363"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（五）治疗餐服务要求</w:t>
      </w:r>
    </w:p>
    <w:p w14:paraId="251933FE">
      <w:pPr>
        <w:widowControl/>
        <w:spacing w:line="360" w:lineRule="auto"/>
        <w:ind w:left="-363" w:firstLine="480" w:firstLineChars="200"/>
        <w:jc w:val="left"/>
        <w:rPr>
          <w:rFonts w:hint="eastAsia" w:ascii="仿宋" w:hAnsi="仿宋" w:eastAsia="仿宋" w:cs="仿宋"/>
          <w:color w:val="auto"/>
          <w:sz w:val="24"/>
        </w:rPr>
      </w:pPr>
      <w:r>
        <w:rPr>
          <w:rFonts w:hint="eastAsia" w:ascii="仿宋" w:hAnsi="仿宋" w:eastAsia="仿宋" w:cs="仿宋"/>
          <w:color w:val="auto"/>
          <w:sz w:val="24"/>
          <w:lang w:bidi="ar"/>
        </w:rPr>
        <w:t>制作</w:t>
      </w:r>
      <w:r>
        <w:rPr>
          <w:rFonts w:hint="eastAsia" w:ascii="仿宋" w:hAnsi="仿宋" w:eastAsia="仿宋" w:cs="仿宋"/>
          <w:color w:val="auto"/>
          <w:sz w:val="24"/>
        </w:rPr>
        <w:t>要求须</w:t>
      </w:r>
      <w:r>
        <w:rPr>
          <w:rFonts w:hint="eastAsia" w:ascii="仿宋" w:hAnsi="仿宋" w:eastAsia="仿宋" w:cs="仿宋"/>
          <w:color w:val="auto"/>
          <w:sz w:val="24"/>
          <w:lang w:bidi="ar"/>
        </w:rPr>
        <w:t>严格</w:t>
      </w:r>
      <w:r>
        <w:rPr>
          <w:rFonts w:hint="eastAsia" w:ascii="仿宋" w:hAnsi="仿宋" w:eastAsia="仿宋" w:cs="仿宋"/>
          <w:color w:val="auto"/>
          <w:sz w:val="24"/>
        </w:rPr>
        <w:t>按临床膳食规范制作，流质、半流质、软食、普食、糖尿病餐、低盐餐、无碘餐、高蛋白餐等治疗餐膳食，需按医嘱精准配比、单独加工，杜绝交叉污染。质量要求应软烂适口、少油少盐，符合住院患者消化与营养需求，严禁使用变质、过期食材。</w:t>
      </w:r>
    </w:p>
    <w:p w14:paraId="6406D3D8">
      <w:pPr>
        <w:pStyle w:val="3"/>
        <w:widowControl/>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szCs w:val="24"/>
        </w:rPr>
        <w:t>三、职工餐服务要求</w:t>
      </w:r>
    </w:p>
    <w:p w14:paraId="4606FBFA">
      <w:pPr>
        <w:widowControl/>
        <w:spacing w:line="360" w:lineRule="auto"/>
        <w:ind w:left="-363" w:firstLine="480" w:firstLineChars="200"/>
        <w:rPr>
          <w:rFonts w:hint="eastAsia" w:ascii="仿宋" w:hAnsi="仿宋" w:eastAsia="仿宋" w:cs="仿宋"/>
          <w:color w:val="auto"/>
          <w:sz w:val="24"/>
        </w:rPr>
      </w:pPr>
      <w:r>
        <w:rPr>
          <w:rFonts w:hint="eastAsia" w:ascii="仿宋" w:hAnsi="仿宋" w:eastAsia="仿宋" w:cs="仿宋"/>
          <w:color w:val="auto"/>
          <w:sz w:val="24"/>
        </w:rPr>
        <w:t>（一）</w:t>
      </w:r>
      <w:r>
        <w:rPr>
          <w:rFonts w:hint="eastAsia" w:ascii="仿宋" w:hAnsi="仿宋" w:eastAsia="仿宋" w:cs="仿宋"/>
          <w:color w:val="auto"/>
          <w:sz w:val="24"/>
          <w:lang w:bidi="ar"/>
        </w:rPr>
        <w:t>职工</w:t>
      </w:r>
      <w:r>
        <w:rPr>
          <w:rFonts w:hint="eastAsia" w:ascii="仿宋" w:hAnsi="仿宋" w:eastAsia="仿宋" w:cs="仿宋"/>
          <w:color w:val="auto"/>
          <w:sz w:val="24"/>
        </w:rPr>
        <w:t>餐供餐人数约3000人，供餐服务对象涵盖职工、进修生、实习生、学生、第三方驻院工作人员、学术交流人员等，提供堂食就餐服务及按需配送至指定点位。</w:t>
      </w:r>
    </w:p>
    <w:p w14:paraId="7105AF09">
      <w:pPr>
        <w:widowControl/>
        <w:spacing w:line="360" w:lineRule="auto"/>
        <w:ind w:left="-363" w:firstLine="480" w:firstLineChars="200"/>
        <w:rPr>
          <w:rFonts w:hint="eastAsia" w:ascii="仿宋" w:hAnsi="仿宋" w:eastAsia="仿宋" w:cs="仿宋"/>
          <w:color w:val="auto"/>
          <w:sz w:val="24"/>
        </w:rPr>
      </w:pPr>
      <w:r>
        <w:rPr>
          <w:rFonts w:hint="eastAsia" w:ascii="仿宋" w:hAnsi="仿宋" w:eastAsia="仿宋" w:cs="仿宋"/>
          <w:color w:val="auto"/>
          <w:sz w:val="24"/>
        </w:rPr>
        <w:t>（二）供餐</w:t>
      </w:r>
      <w:r>
        <w:rPr>
          <w:rFonts w:hint="eastAsia" w:ascii="仿宋" w:hAnsi="仿宋" w:eastAsia="仿宋" w:cs="仿宋"/>
          <w:color w:val="auto"/>
          <w:sz w:val="24"/>
          <w:lang w:bidi="ar"/>
        </w:rPr>
        <w:t>服务</w:t>
      </w:r>
      <w:r>
        <w:rPr>
          <w:rFonts w:hint="eastAsia" w:ascii="仿宋" w:hAnsi="仿宋" w:eastAsia="仿宋" w:cs="仿宋"/>
          <w:color w:val="auto"/>
          <w:sz w:val="24"/>
        </w:rPr>
        <w:t>范围：为采购人职工等工作人员提供早餐、中餐、晚餐和宵夜等供餐服务，包含但不限于堂食、网络订餐、加时餐、手术室餐、工作（接待)餐、茶歇等。</w:t>
      </w:r>
    </w:p>
    <w:p w14:paraId="7D6B092F">
      <w:pPr>
        <w:widowControl/>
        <w:spacing w:line="360" w:lineRule="auto"/>
        <w:ind w:left="-363" w:firstLine="480" w:firstLineChars="200"/>
        <w:rPr>
          <w:rFonts w:hint="eastAsia" w:ascii="仿宋" w:hAnsi="仿宋" w:eastAsia="仿宋" w:cs="仿宋"/>
          <w:color w:val="auto"/>
          <w:sz w:val="24"/>
        </w:rPr>
      </w:pPr>
      <w:r>
        <w:rPr>
          <w:rFonts w:hint="eastAsia" w:ascii="仿宋" w:hAnsi="仿宋" w:eastAsia="仿宋" w:cs="仿宋"/>
          <w:color w:val="auto"/>
          <w:sz w:val="24"/>
        </w:rPr>
        <w:t>（三）职工餐（手术餐）订餐时间：早餐前一日18:00前，午餐为当日9:00前，晚餐为当日14:30前。供餐送达时间为早餐7:30、午餐11:00、下午茶15:00、晚餐17:00，工作（接待)餐和过时餐供餐送达时间按订餐需求时间执行，投标人须配合采购人实际需求，适时调整优化订餐时效及配送送达时间。</w:t>
      </w:r>
    </w:p>
    <w:p w14:paraId="4A91E77C">
      <w:pPr>
        <w:widowControl/>
        <w:spacing w:line="360" w:lineRule="auto"/>
        <w:ind w:left="-363"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（四）堂食供餐时间：早餐7:30-8:15，午餐11:30-13:30，晚餐17:00-18:00；投标人须配合采购人实际需求</w:t>
      </w:r>
      <w:r>
        <w:rPr>
          <w:rFonts w:hint="eastAsia" w:ascii="仿宋" w:hAnsi="仿宋" w:eastAsia="仿宋" w:cs="仿宋"/>
          <w:color w:val="auto"/>
          <w:sz w:val="24"/>
          <w:lang w:val="en-US" w:eastAsia="zh-CN"/>
        </w:rPr>
        <w:t>优化供餐时间。</w:t>
      </w:r>
    </w:p>
    <w:p w14:paraId="6B9BDA62">
      <w:pPr>
        <w:widowControl/>
        <w:spacing w:line="360" w:lineRule="auto"/>
        <w:ind w:left="-363" w:firstLine="480" w:firstLineChars="200"/>
        <w:rPr>
          <w:rFonts w:hint="eastAsia" w:ascii="仿宋" w:hAnsi="仿宋" w:eastAsia="仿宋" w:cs="仿宋"/>
          <w:color w:val="auto"/>
          <w:sz w:val="24"/>
        </w:rPr>
      </w:pPr>
      <w:r>
        <w:rPr>
          <w:rFonts w:hint="eastAsia" w:ascii="仿宋" w:hAnsi="仿宋" w:eastAsia="仿宋" w:cs="仿宋"/>
          <w:color w:val="auto"/>
          <w:sz w:val="24"/>
        </w:rPr>
        <w:t>（五）如采购人出现需要</w:t>
      </w:r>
      <w:bookmarkStart w:id="4" w:name="OLE_LINK8"/>
      <w:r>
        <w:rPr>
          <w:rFonts w:hint="eastAsia" w:ascii="仿宋" w:hAnsi="仿宋" w:eastAsia="仿宋" w:cs="仿宋"/>
          <w:color w:val="auto"/>
          <w:sz w:val="24"/>
        </w:rPr>
        <w:t>延时供餐</w:t>
      </w:r>
      <w:bookmarkEnd w:id="4"/>
      <w:r>
        <w:rPr>
          <w:rFonts w:hint="eastAsia" w:ascii="仿宋" w:hAnsi="仿宋" w:eastAsia="仿宋" w:cs="仿宋"/>
          <w:color w:val="auto"/>
          <w:sz w:val="24"/>
        </w:rPr>
        <w:t>的情况，投标人须提供延时供餐服务，包括但不限于职工餐厅运营、职工餐配送、职工过时用餐、职工过时餐配送、采购人层面的工作（接待）餐和院内学术活动用餐等。</w:t>
      </w:r>
    </w:p>
    <w:p w14:paraId="271EA776">
      <w:pPr>
        <w:widowControl/>
        <w:spacing w:line="360" w:lineRule="auto"/>
        <w:ind w:left="-363" w:firstLine="480" w:firstLineChars="200"/>
        <w:rPr>
          <w:rFonts w:hint="eastAsia" w:ascii="仿宋" w:hAnsi="仿宋" w:eastAsia="仿宋" w:cs="仿宋"/>
          <w:color w:val="auto"/>
          <w:sz w:val="24"/>
        </w:rPr>
      </w:pPr>
      <w:r>
        <w:rPr>
          <w:rFonts w:hint="eastAsia" w:ascii="仿宋" w:hAnsi="仿宋" w:eastAsia="仿宋" w:cs="仿宋"/>
          <w:color w:val="auto"/>
          <w:sz w:val="24"/>
        </w:rPr>
        <w:t>（六）投标人须根据手术餐需求，建立专属“过时餐”保障机制。提供营养均衡、口味多样的配餐；构建快速响应配送体系，承诺在接到需求后规定时间内完成出餐和送餐服务。</w:t>
      </w:r>
    </w:p>
    <w:p w14:paraId="45392F61">
      <w:pPr>
        <w:pStyle w:val="3"/>
        <w:widowControl/>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szCs w:val="24"/>
        </w:rPr>
        <w:t>四、餐品配比与价格管理</w:t>
      </w:r>
    </w:p>
    <w:p w14:paraId="25DF15E6">
      <w:pPr>
        <w:widowControl/>
        <w:spacing w:line="360" w:lineRule="auto"/>
        <w:ind w:left="-363" w:firstLine="480" w:firstLineChars="200"/>
        <w:rPr>
          <w:rFonts w:hint="eastAsia" w:ascii="仿宋" w:hAnsi="仿宋" w:eastAsia="仿宋" w:cs="仿宋"/>
          <w:color w:val="auto"/>
          <w:sz w:val="24"/>
        </w:rPr>
      </w:pPr>
      <w:r>
        <w:rPr>
          <w:rFonts w:hint="eastAsia" w:ascii="仿宋" w:hAnsi="仿宋" w:eastAsia="仿宋" w:cs="仿宋"/>
          <w:color w:val="auto"/>
          <w:sz w:val="24"/>
        </w:rPr>
        <w:t>（一）★餐品主料含量配比须严格遵循本文件《餐品主料最低重量及配比标准表》执行，不得低于表格中规定的每份最低重量或主料最低占比。新增菜式应由投标人提出方案，参照同类菜式的市场行情及主料配比标准，与采购人协商确定，并经采购人审核同意后方可执行。（在投标文件中提供加盖投标人公章的承诺函，承诺函格式自拟）</w:t>
      </w:r>
    </w:p>
    <w:p w14:paraId="397506CC">
      <w:pPr>
        <w:widowControl/>
        <w:spacing w:line="360" w:lineRule="auto"/>
        <w:jc w:val="center"/>
        <w:rPr>
          <w:rFonts w:hint="eastAsia" w:ascii="仿宋" w:hAnsi="仿宋" w:eastAsia="仿宋" w:cs="仿宋"/>
          <w:color w:val="auto"/>
          <w:sz w:val="24"/>
        </w:rPr>
      </w:pPr>
      <w:r>
        <w:rPr>
          <w:rFonts w:hint="eastAsia" w:ascii="仿宋" w:hAnsi="仿宋" w:eastAsia="仿宋" w:cs="仿宋"/>
          <w:b/>
          <w:bCs/>
          <w:color w:val="auto"/>
          <w:sz w:val="24"/>
        </w:rPr>
        <w:t>餐品主料最低重量及配比标准表</w:t>
      </w:r>
    </w:p>
    <w:tbl>
      <w:tblPr>
        <w:tblStyle w:val="12"/>
        <w:tblW w:w="4998" w:type="pct"/>
        <w:tblInd w:w="0" w:type="dxa"/>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autofit"/>
        <w:tblCellMar>
          <w:top w:w="0" w:type="dxa"/>
          <w:left w:w="108" w:type="dxa"/>
          <w:bottom w:w="0" w:type="dxa"/>
          <w:right w:w="108" w:type="dxa"/>
        </w:tblCellMar>
      </w:tblPr>
      <w:tblGrid>
        <w:gridCol w:w="1300"/>
        <w:gridCol w:w="791"/>
        <w:gridCol w:w="907"/>
        <w:gridCol w:w="972"/>
        <w:gridCol w:w="972"/>
        <w:gridCol w:w="3577"/>
      </w:tblGrid>
      <w:tr w14:paraId="47F5254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70" w:hRule="atLeast"/>
        </w:trPr>
        <w:tc>
          <w:tcPr>
            <w:tcW w:w="763" w:type="pct"/>
            <w:tcBorders>
              <w:top w:val="single" w:color="000000" w:sz="4" w:space="0"/>
              <w:left w:val="single" w:color="000000" w:sz="4" w:space="0"/>
              <w:bottom w:val="single" w:color="000000" w:sz="4" w:space="0"/>
              <w:right w:val="single" w:color="000000" w:sz="4" w:space="0"/>
            </w:tcBorders>
            <w:vAlign w:val="center"/>
          </w:tcPr>
          <w:p w14:paraId="131B6F42">
            <w:pPr>
              <w:widowControl/>
              <w:spacing w:line="360" w:lineRule="auto"/>
              <w:jc w:val="center"/>
              <w:textAlignment w:val="center"/>
              <w:rPr>
                <w:rFonts w:hint="eastAsia" w:ascii="仿宋" w:hAnsi="仿宋" w:eastAsia="仿宋" w:cs="仿宋"/>
                <w:b/>
                <w:bCs/>
                <w:color w:val="auto"/>
                <w:sz w:val="24"/>
              </w:rPr>
            </w:pPr>
            <w:r>
              <w:rPr>
                <w:rFonts w:hint="eastAsia" w:ascii="仿宋" w:hAnsi="仿宋" w:eastAsia="仿宋" w:cs="仿宋"/>
                <w:b/>
                <w:bCs/>
                <w:color w:val="auto"/>
                <w:sz w:val="24"/>
              </w:rPr>
              <w:t>类别</w:t>
            </w:r>
          </w:p>
        </w:tc>
        <w:tc>
          <w:tcPr>
            <w:tcW w:w="996" w:type="pct"/>
            <w:gridSpan w:val="2"/>
            <w:tcBorders>
              <w:top w:val="single" w:color="000000" w:sz="4" w:space="0"/>
              <w:left w:val="single" w:color="000000" w:sz="4" w:space="0"/>
              <w:bottom w:val="single" w:color="000000" w:sz="4" w:space="0"/>
              <w:right w:val="single" w:color="000000" w:sz="4" w:space="0"/>
            </w:tcBorders>
            <w:vAlign w:val="center"/>
          </w:tcPr>
          <w:p w14:paraId="6800F484">
            <w:pPr>
              <w:widowControl/>
              <w:spacing w:line="360" w:lineRule="auto"/>
              <w:jc w:val="center"/>
              <w:textAlignment w:val="center"/>
              <w:rPr>
                <w:rFonts w:hint="eastAsia" w:ascii="仿宋" w:hAnsi="仿宋" w:eastAsia="仿宋" w:cs="仿宋"/>
                <w:b/>
                <w:bCs/>
                <w:color w:val="auto"/>
                <w:sz w:val="24"/>
              </w:rPr>
            </w:pPr>
            <w:r>
              <w:rPr>
                <w:rFonts w:hint="eastAsia" w:ascii="仿宋" w:hAnsi="仿宋" w:eastAsia="仿宋" w:cs="仿宋"/>
                <w:b/>
                <w:bCs/>
                <w:color w:val="auto"/>
                <w:sz w:val="24"/>
              </w:rPr>
              <w:t>小类</w:t>
            </w:r>
          </w:p>
        </w:tc>
        <w:tc>
          <w:tcPr>
            <w:tcW w:w="570" w:type="pct"/>
            <w:tcBorders>
              <w:top w:val="single" w:color="000000" w:sz="4" w:space="0"/>
              <w:left w:val="single" w:color="000000" w:sz="4" w:space="0"/>
              <w:bottom w:val="single" w:color="000000" w:sz="4" w:space="0"/>
              <w:right w:val="single" w:color="000000" w:sz="4" w:space="0"/>
            </w:tcBorders>
            <w:vAlign w:val="center"/>
          </w:tcPr>
          <w:p w14:paraId="661A300D">
            <w:pPr>
              <w:widowControl/>
              <w:spacing w:line="360" w:lineRule="auto"/>
              <w:jc w:val="center"/>
              <w:textAlignment w:val="center"/>
              <w:rPr>
                <w:rFonts w:hint="eastAsia" w:ascii="仿宋" w:hAnsi="仿宋" w:eastAsia="仿宋" w:cs="仿宋"/>
                <w:b/>
                <w:bCs/>
                <w:color w:val="auto"/>
                <w:sz w:val="24"/>
              </w:rPr>
            </w:pPr>
            <w:r>
              <w:rPr>
                <w:rFonts w:hint="eastAsia" w:ascii="仿宋" w:hAnsi="仿宋" w:eastAsia="仿宋" w:cs="仿宋"/>
                <w:b/>
                <w:bCs/>
                <w:color w:val="auto"/>
                <w:sz w:val="24"/>
              </w:rPr>
              <w:t>每份</w:t>
            </w:r>
          </w:p>
          <w:p w14:paraId="7E873F3B">
            <w:pPr>
              <w:widowControl/>
              <w:spacing w:line="360" w:lineRule="auto"/>
              <w:jc w:val="center"/>
              <w:textAlignment w:val="center"/>
              <w:rPr>
                <w:rFonts w:hint="eastAsia" w:ascii="仿宋" w:hAnsi="仿宋" w:eastAsia="仿宋" w:cs="仿宋"/>
                <w:b/>
                <w:bCs/>
                <w:color w:val="auto"/>
                <w:sz w:val="24"/>
              </w:rPr>
            </w:pPr>
            <w:r>
              <w:rPr>
                <w:rFonts w:hint="eastAsia" w:ascii="仿宋" w:hAnsi="仿宋" w:eastAsia="仿宋" w:cs="仿宋"/>
                <w:b/>
                <w:bCs/>
                <w:color w:val="auto"/>
                <w:sz w:val="24"/>
              </w:rPr>
              <w:t>重量</w:t>
            </w:r>
          </w:p>
        </w:tc>
        <w:tc>
          <w:tcPr>
            <w:tcW w:w="570" w:type="pct"/>
            <w:tcBorders>
              <w:top w:val="single" w:color="000000" w:sz="4" w:space="0"/>
              <w:left w:val="single" w:color="000000" w:sz="4" w:space="0"/>
              <w:bottom w:val="single" w:color="000000" w:sz="4" w:space="0"/>
              <w:right w:val="single" w:color="000000" w:sz="4" w:space="0"/>
            </w:tcBorders>
            <w:vAlign w:val="center"/>
          </w:tcPr>
          <w:p w14:paraId="31F27DBA">
            <w:pPr>
              <w:widowControl/>
              <w:spacing w:line="360" w:lineRule="auto"/>
              <w:jc w:val="center"/>
              <w:textAlignment w:val="center"/>
              <w:rPr>
                <w:rFonts w:hint="eastAsia" w:ascii="仿宋" w:hAnsi="仿宋" w:eastAsia="仿宋" w:cs="仿宋"/>
                <w:b/>
                <w:bCs/>
                <w:color w:val="auto"/>
                <w:sz w:val="24"/>
              </w:rPr>
            </w:pPr>
            <w:r>
              <w:rPr>
                <w:rFonts w:hint="eastAsia" w:ascii="仿宋" w:hAnsi="仿宋" w:eastAsia="仿宋" w:cs="仿宋"/>
                <w:b/>
                <w:bCs/>
                <w:color w:val="auto"/>
                <w:sz w:val="24"/>
              </w:rPr>
              <w:t>每份</w:t>
            </w:r>
          </w:p>
          <w:p w14:paraId="2EB6D5BF">
            <w:pPr>
              <w:widowControl/>
              <w:spacing w:line="360" w:lineRule="auto"/>
              <w:jc w:val="center"/>
              <w:textAlignment w:val="center"/>
              <w:rPr>
                <w:rFonts w:hint="eastAsia" w:ascii="仿宋" w:hAnsi="仿宋" w:eastAsia="仿宋" w:cs="仿宋"/>
                <w:b/>
                <w:bCs/>
                <w:color w:val="auto"/>
                <w:sz w:val="24"/>
              </w:rPr>
            </w:pPr>
            <w:r>
              <w:rPr>
                <w:rFonts w:hint="eastAsia" w:ascii="仿宋" w:hAnsi="仿宋" w:eastAsia="仿宋" w:cs="仿宋"/>
                <w:b/>
                <w:bCs/>
                <w:color w:val="auto"/>
                <w:sz w:val="24"/>
              </w:rPr>
              <w:t>主料</w:t>
            </w:r>
          </w:p>
          <w:p w14:paraId="550C420C">
            <w:pPr>
              <w:widowControl/>
              <w:spacing w:line="360" w:lineRule="auto"/>
              <w:jc w:val="center"/>
              <w:textAlignment w:val="center"/>
              <w:rPr>
                <w:rFonts w:hint="eastAsia" w:ascii="仿宋" w:hAnsi="仿宋" w:eastAsia="仿宋" w:cs="仿宋"/>
                <w:b/>
                <w:bCs/>
                <w:color w:val="auto"/>
                <w:sz w:val="24"/>
              </w:rPr>
            </w:pPr>
            <w:r>
              <w:rPr>
                <w:rFonts w:hint="eastAsia" w:ascii="仿宋" w:hAnsi="仿宋" w:eastAsia="仿宋" w:cs="仿宋"/>
                <w:b/>
                <w:bCs/>
                <w:color w:val="auto"/>
                <w:sz w:val="24"/>
              </w:rPr>
              <w:t>占比</w:t>
            </w:r>
          </w:p>
        </w:tc>
        <w:tc>
          <w:tcPr>
            <w:tcW w:w="2098" w:type="pct"/>
            <w:tcBorders>
              <w:top w:val="single" w:color="000000" w:sz="4" w:space="0"/>
              <w:left w:val="single" w:color="000000" w:sz="4" w:space="0"/>
              <w:bottom w:val="single" w:color="000000" w:sz="4" w:space="0"/>
              <w:right w:val="single" w:color="000000" w:sz="4" w:space="0"/>
            </w:tcBorders>
            <w:vAlign w:val="center"/>
          </w:tcPr>
          <w:p w14:paraId="13CA2C95">
            <w:pPr>
              <w:widowControl/>
              <w:spacing w:line="360" w:lineRule="auto"/>
              <w:jc w:val="center"/>
              <w:textAlignment w:val="center"/>
              <w:rPr>
                <w:rFonts w:hint="eastAsia" w:ascii="仿宋" w:hAnsi="仿宋" w:eastAsia="仿宋" w:cs="仿宋"/>
                <w:b/>
                <w:bCs/>
                <w:color w:val="auto"/>
                <w:sz w:val="24"/>
              </w:rPr>
            </w:pPr>
            <w:r>
              <w:rPr>
                <w:rFonts w:hint="eastAsia" w:ascii="仿宋" w:hAnsi="仿宋" w:eastAsia="仿宋" w:cs="仿宋"/>
                <w:b/>
                <w:bCs/>
                <w:color w:val="auto"/>
                <w:sz w:val="24"/>
              </w:rPr>
              <w:t>备注</w:t>
            </w:r>
          </w:p>
        </w:tc>
      </w:tr>
      <w:tr w14:paraId="072117D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0" w:hRule="atLeast"/>
        </w:trPr>
        <w:tc>
          <w:tcPr>
            <w:tcW w:w="763" w:type="pct"/>
            <w:vMerge w:val="restart"/>
            <w:tcBorders>
              <w:top w:val="single" w:color="000000" w:sz="4" w:space="0"/>
              <w:left w:val="single" w:color="000000" w:sz="4" w:space="0"/>
              <w:bottom w:val="single" w:color="000000" w:sz="4" w:space="0"/>
              <w:right w:val="single" w:color="000000" w:sz="4" w:space="0"/>
            </w:tcBorders>
            <w:vAlign w:val="center"/>
          </w:tcPr>
          <w:p w14:paraId="46C919B3">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大荤</w:t>
            </w:r>
            <w:r>
              <w:rPr>
                <w:rFonts w:hint="eastAsia" w:ascii="仿宋" w:hAnsi="仿宋" w:eastAsia="仿宋" w:cs="仿宋"/>
                <w:color w:val="auto"/>
                <w:sz w:val="24"/>
              </w:rPr>
              <w:br w:type="textWrapping"/>
            </w:r>
          </w:p>
        </w:tc>
        <w:tc>
          <w:tcPr>
            <w:tcW w:w="464" w:type="pct"/>
            <w:vMerge w:val="restart"/>
            <w:tcBorders>
              <w:top w:val="single" w:color="000000" w:sz="4" w:space="0"/>
              <w:left w:val="single" w:color="000000" w:sz="4" w:space="0"/>
              <w:bottom w:val="single" w:color="000000" w:sz="4" w:space="0"/>
              <w:right w:val="single" w:color="000000" w:sz="4" w:space="0"/>
            </w:tcBorders>
            <w:vAlign w:val="center"/>
          </w:tcPr>
          <w:p w14:paraId="0E3820A6">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猪肉类</w:t>
            </w:r>
          </w:p>
        </w:tc>
        <w:tc>
          <w:tcPr>
            <w:tcW w:w="532" w:type="pct"/>
            <w:tcBorders>
              <w:top w:val="single" w:color="000000" w:sz="4" w:space="0"/>
              <w:left w:val="single" w:color="000000" w:sz="4" w:space="0"/>
              <w:bottom w:val="single" w:color="000000" w:sz="4" w:space="0"/>
              <w:right w:val="single" w:color="000000" w:sz="4" w:space="0"/>
            </w:tcBorders>
            <w:vAlign w:val="center"/>
          </w:tcPr>
          <w:p w14:paraId="661168BF">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排骨</w:t>
            </w:r>
          </w:p>
        </w:tc>
        <w:tc>
          <w:tcPr>
            <w:tcW w:w="570" w:type="pct"/>
            <w:vMerge w:val="restart"/>
            <w:tcBorders>
              <w:top w:val="single" w:color="000000" w:sz="4" w:space="0"/>
              <w:left w:val="single" w:color="000000" w:sz="4" w:space="0"/>
              <w:right w:val="single" w:color="000000" w:sz="4" w:space="0"/>
            </w:tcBorders>
            <w:vAlign w:val="center"/>
          </w:tcPr>
          <w:p w14:paraId="07363B94">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≥150克</w:t>
            </w:r>
          </w:p>
        </w:tc>
        <w:tc>
          <w:tcPr>
            <w:tcW w:w="570" w:type="pct"/>
            <w:vMerge w:val="restart"/>
            <w:tcBorders>
              <w:top w:val="single" w:color="000000" w:sz="4" w:space="0"/>
              <w:left w:val="single" w:color="000000" w:sz="4" w:space="0"/>
              <w:bottom w:val="single" w:color="000000" w:sz="4" w:space="0"/>
              <w:right w:val="single" w:color="000000" w:sz="4" w:space="0"/>
            </w:tcBorders>
            <w:vAlign w:val="center"/>
          </w:tcPr>
          <w:p w14:paraId="1F32FCB2">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≥90%</w:t>
            </w:r>
          </w:p>
        </w:tc>
        <w:tc>
          <w:tcPr>
            <w:tcW w:w="2098" w:type="pct"/>
            <w:vMerge w:val="restart"/>
            <w:tcBorders>
              <w:top w:val="single" w:color="000000" w:sz="4" w:space="0"/>
              <w:left w:val="single" w:color="000000" w:sz="4" w:space="0"/>
              <w:bottom w:val="single" w:color="000000" w:sz="4" w:space="0"/>
              <w:right w:val="single" w:color="000000" w:sz="4" w:space="0"/>
            </w:tcBorders>
            <w:vAlign w:val="center"/>
          </w:tcPr>
          <w:p w14:paraId="2E17AAED">
            <w:pPr>
              <w:widowControl/>
              <w:spacing w:line="360" w:lineRule="auto"/>
              <w:jc w:val="left"/>
              <w:textAlignment w:val="center"/>
              <w:rPr>
                <w:rFonts w:hint="eastAsia" w:ascii="仿宋" w:hAnsi="仿宋" w:eastAsia="仿宋" w:cs="仿宋"/>
                <w:color w:val="auto"/>
                <w:sz w:val="24"/>
              </w:rPr>
            </w:pPr>
            <w:r>
              <w:rPr>
                <w:rFonts w:hint="eastAsia" w:ascii="仿宋" w:hAnsi="仿宋" w:eastAsia="仿宋" w:cs="仿宋"/>
                <w:color w:val="auto"/>
                <w:sz w:val="24"/>
              </w:rPr>
              <w:t>含五花肉、排骨等部位</w:t>
            </w:r>
          </w:p>
        </w:tc>
      </w:tr>
      <w:tr w14:paraId="323B55E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2" w:hRule="atLeast"/>
        </w:trPr>
        <w:tc>
          <w:tcPr>
            <w:tcW w:w="763" w:type="pct"/>
            <w:vMerge w:val="continue"/>
            <w:tcBorders>
              <w:top w:val="single" w:color="000000" w:sz="4" w:space="0"/>
              <w:left w:val="single" w:color="000000" w:sz="4" w:space="0"/>
              <w:bottom w:val="single" w:color="000000" w:sz="4" w:space="0"/>
              <w:right w:val="single" w:color="000000" w:sz="4" w:space="0"/>
            </w:tcBorders>
            <w:vAlign w:val="center"/>
          </w:tcPr>
          <w:p w14:paraId="46C27473">
            <w:pPr>
              <w:spacing w:line="360" w:lineRule="auto"/>
              <w:jc w:val="center"/>
              <w:rPr>
                <w:rFonts w:hint="eastAsia" w:ascii="仿宋" w:hAnsi="仿宋" w:eastAsia="仿宋" w:cs="仿宋"/>
                <w:color w:val="auto"/>
                <w:sz w:val="24"/>
              </w:rPr>
            </w:pPr>
          </w:p>
        </w:tc>
        <w:tc>
          <w:tcPr>
            <w:tcW w:w="464" w:type="pct"/>
            <w:vMerge w:val="continue"/>
            <w:tcBorders>
              <w:top w:val="single" w:color="000000" w:sz="4" w:space="0"/>
              <w:left w:val="single" w:color="000000" w:sz="4" w:space="0"/>
              <w:bottom w:val="single" w:color="000000" w:sz="4" w:space="0"/>
              <w:right w:val="single" w:color="000000" w:sz="4" w:space="0"/>
            </w:tcBorders>
            <w:vAlign w:val="center"/>
          </w:tcPr>
          <w:p w14:paraId="1B8DDE9F">
            <w:pPr>
              <w:spacing w:line="360" w:lineRule="auto"/>
              <w:jc w:val="center"/>
              <w:rPr>
                <w:rFonts w:hint="eastAsia" w:ascii="仿宋" w:hAnsi="仿宋" w:eastAsia="仿宋" w:cs="仿宋"/>
                <w:color w:val="auto"/>
                <w:sz w:val="24"/>
              </w:rPr>
            </w:pPr>
          </w:p>
        </w:tc>
        <w:tc>
          <w:tcPr>
            <w:tcW w:w="532" w:type="pct"/>
            <w:tcBorders>
              <w:top w:val="single" w:color="000000" w:sz="4" w:space="0"/>
              <w:left w:val="single" w:color="000000" w:sz="4" w:space="0"/>
              <w:bottom w:val="single" w:color="000000" w:sz="4" w:space="0"/>
              <w:right w:val="single" w:color="000000" w:sz="4" w:space="0"/>
            </w:tcBorders>
            <w:vAlign w:val="center"/>
          </w:tcPr>
          <w:p w14:paraId="6007006E">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瘦肉</w:t>
            </w:r>
          </w:p>
        </w:tc>
        <w:tc>
          <w:tcPr>
            <w:tcW w:w="570" w:type="pct"/>
            <w:vMerge w:val="continue"/>
            <w:tcBorders>
              <w:left w:val="single" w:color="000000" w:sz="4" w:space="0"/>
              <w:right w:val="single" w:color="000000" w:sz="4" w:space="0"/>
            </w:tcBorders>
            <w:vAlign w:val="center"/>
          </w:tcPr>
          <w:p w14:paraId="19D1AC75">
            <w:pPr>
              <w:spacing w:line="360" w:lineRule="auto"/>
              <w:jc w:val="center"/>
              <w:rPr>
                <w:rFonts w:hint="eastAsia" w:ascii="仿宋" w:hAnsi="仿宋" w:eastAsia="仿宋" w:cs="仿宋"/>
                <w:color w:val="auto"/>
                <w:sz w:val="24"/>
              </w:rPr>
            </w:pPr>
          </w:p>
        </w:tc>
        <w:tc>
          <w:tcPr>
            <w:tcW w:w="570" w:type="pct"/>
            <w:vMerge w:val="continue"/>
            <w:tcBorders>
              <w:top w:val="single" w:color="000000" w:sz="4" w:space="0"/>
              <w:left w:val="single" w:color="000000" w:sz="4" w:space="0"/>
              <w:bottom w:val="single" w:color="000000" w:sz="4" w:space="0"/>
              <w:right w:val="single" w:color="000000" w:sz="4" w:space="0"/>
            </w:tcBorders>
            <w:vAlign w:val="center"/>
          </w:tcPr>
          <w:p w14:paraId="56465FF6">
            <w:pPr>
              <w:spacing w:line="360" w:lineRule="auto"/>
              <w:jc w:val="center"/>
              <w:rPr>
                <w:rFonts w:hint="eastAsia" w:ascii="仿宋" w:hAnsi="仿宋" w:eastAsia="仿宋" w:cs="仿宋"/>
                <w:color w:val="auto"/>
                <w:sz w:val="24"/>
              </w:rPr>
            </w:pPr>
          </w:p>
        </w:tc>
        <w:tc>
          <w:tcPr>
            <w:tcW w:w="2098" w:type="pct"/>
            <w:vMerge w:val="continue"/>
            <w:tcBorders>
              <w:top w:val="single" w:color="000000" w:sz="4" w:space="0"/>
              <w:left w:val="single" w:color="000000" w:sz="4" w:space="0"/>
              <w:bottom w:val="single" w:color="000000" w:sz="4" w:space="0"/>
              <w:right w:val="single" w:color="000000" w:sz="4" w:space="0"/>
            </w:tcBorders>
            <w:vAlign w:val="center"/>
          </w:tcPr>
          <w:p w14:paraId="6466F453">
            <w:pPr>
              <w:spacing w:line="360" w:lineRule="auto"/>
              <w:jc w:val="left"/>
              <w:rPr>
                <w:rFonts w:hint="eastAsia" w:ascii="仿宋" w:hAnsi="仿宋" w:eastAsia="仿宋" w:cs="仿宋"/>
                <w:color w:val="auto"/>
                <w:sz w:val="24"/>
              </w:rPr>
            </w:pPr>
          </w:p>
        </w:tc>
      </w:tr>
      <w:tr w14:paraId="65EB8D7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0" w:hRule="atLeast"/>
        </w:trPr>
        <w:tc>
          <w:tcPr>
            <w:tcW w:w="763" w:type="pct"/>
            <w:vMerge w:val="continue"/>
            <w:tcBorders>
              <w:top w:val="single" w:color="000000" w:sz="4" w:space="0"/>
              <w:left w:val="single" w:color="000000" w:sz="4" w:space="0"/>
              <w:bottom w:val="single" w:color="000000" w:sz="4" w:space="0"/>
              <w:right w:val="single" w:color="000000" w:sz="4" w:space="0"/>
            </w:tcBorders>
            <w:vAlign w:val="center"/>
          </w:tcPr>
          <w:p w14:paraId="7026B539">
            <w:pPr>
              <w:spacing w:line="360" w:lineRule="auto"/>
              <w:jc w:val="center"/>
              <w:rPr>
                <w:rFonts w:hint="eastAsia" w:ascii="仿宋" w:hAnsi="仿宋" w:eastAsia="仿宋" w:cs="仿宋"/>
                <w:color w:val="auto"/>
                <w:sz w:val="24"/>
              </w:rPr>
            </w:pPr>
          </w:p>
        </w:tc>
        <w:tc>
          <w:tcPr>
            <w:tcW w:w="464" w:type="pct"/>
            <w:vMerge w:val="continue"/>
            <w:tcBorders>
              <w:top w:val="single" w:color="000000" w:sz="4" w:space="0"/>
              <w:left w:val="single" w:color="000000" w:sz="4" w:space="0"/>
              <w:bottom w:val="single" w:color="000000" w:sz="4" w:space="0"/>
              <w:right w:val="single" w:color="000000" w:sz="4" w:space="0"/>
            </w:tcBorders>
            <w:vAlign w:val="center"/>
          </w:tcPr>
          <w:p w14:paraId="08AF8E23">
            <w:pPr>
              <w:spacing w:line="360" w:lineRule="auto"/>
              <w:jc w:val="center"/>
              <w:rPr>
                <w:rFonts w:hint="eastAsia" w:ascii="仿宋" w:hAnsi="仿宋" w:eastAsia="仿宋" w:cs="仿宋"/>
                <w:color w:val="auto"/>
                <w:sz w:val="24"/>
              </w:rPr>
            </w:pPr>
          </w:p>
        </w:tc>
        <w:tc>
          <w:tcPr>
            <w:tcW w:w="532" w:type="pct"/>
            <w:tcBorders>
              <w:top w:val="single" w:color="000000" w:sz="4" w:space="0"/>
              <w:left w:val="single" w:color="000000" w:sz="4" w:space="0"/>
              <w:bottom w:val="single" w:color="000000" w:sz="4" w:space="0"/>
              <w:right w:val="single" w:color="000000" w:sz="4" w:space="0"/>
            </w:tcBorders>
            <w:vAlign w:val="center"/>
          </w:tcPr>
          <w:p w14:paraId="3F839AEB">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五花肉</w:t>
            </w:r>
          </w:p>
        </w:tc>
        <w:tc>
          <w:tcPr>
            <w:tcW w:w="570" w:type="pct"/>
            <w:vMerge w:val="continue"/>
            <w:tcBorders>
              <w:left w:val="single" w:color="000000" w:sz="4" w:space="0"/>
              <w:right w:val="single" w:color="000000" w:sz="4" w:space="0"/>
            </w:tcBorders>
            <w:vAlign w:val="center"/>
          </w:tcPr>
          <w:p w14:paraId="3E1E5F9E">
            <w:pPr>
              <w:spacing w:line="360" w:lineRule="auto"/>
              <w:jc w:val="center"/>
              <w:rPr>
                <w:rFonts w:hint="eastAsia" w:ascii="仿宋" w:hAnsi="仿宋" w:eastAsia="仿宋" w:cs="仿宋"/>
                <w:color w:val="auto"/>
                <w:sz w:val="24"/>
              </w:rPr>
            </w:pPr>
          </w:p>
        </w:tc>
        <w:tc>
          <w:tcPr>
            <w:tcW w:w="570" w:type="pct"/>
            <w:vMerge w:val="continue"/>
            <w:tcBorders>
              <w:top w:val="single" w:color="000000" w:sz="4" w:space="0"/>
              <w:left w:val="single" w:color="000000" w:sz="4" w:space="0"/>
              <w:bottom w:val="single" w:color="000000" w:sz="4" w:space="0"/>
              <w:right w:val="single" w:color="000000" w:sz="4" w:space="0"/>
            </w:tcBorders>
            <w:vAlign w:val="center"/>
          </w:tcPr>
          <w:p w14:paraId="0AAAA51D">
            <w:pPr>
              <w:spacing w:line="360" w:lineRule="auto"/>
              <w:jc w:val="center"/>
              <w:rPr>
                <w:rFonts w:hint="eastAsia" w:ascii="仿宋" w:hAnsi="仿宋" w:eastAsia="仿宋" w:cs="仿宋"/>
                <w:color w:val="auto"/>
                <w:sz w:val="24"/>
              </w:rPr>
            </w:pPr>
          </w:p>
        </w:tc>
        <w:tc>
          <w:tcPr>
            <w:tcW w:w="2098" w:type="pct"/>
            <w:vMerge w:val="continue"/>
            <w:tcBorders>
              <w:top w:val="single" w:color="000000" w:sz="4" w:space="0"/>
              <w:left w:val="single" w:color="000000" w:sz="4" w:space="0"/>
              <w:bottom w:val="single" w:color="000000" w:sz="4" w:space="0"/>
              <w:right w:val="single" w:color="000000" w:sz="4" w:space="0"/>
            </w:tcBorders>
            <w:vAlign w:val="center"/>
          </w:tcPr>
          <w:p w14:paraId="1BB8788D">
            <w:pPr>
              <w:spacing w:line="360" w:lineRule="auto"/>
              <w:jc w:val="left"/>
              <w:rPr>
                <w:rFonts w:hint="eastAsia" w:ascii="仿宋" w:hAnsi="仿宋" w:eastAsia="仿宋" w:cs="仿宋"/>
                <w:color w:val="auto"/>
                <w:sz w:val="24"/>
              </w:rPr>
            </w:pPr>
          </w:p>
        </w:tc>
      </w:tr>
      <w:tr w14:paraId="5C97C90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12" w:hRule="atLeast"/>
        </w:trPr>
        <w:tc>
          <w:tcPr>
            <w:tcW w:w="763" w:type="pct"/>
            <w:vMerge w:val="continue"/>
            <w:tcBorders>
              <w:top w:val="single" w:color="000000" w:sz="4" w:space="0"/>
              <w:left w:val="single" w:color="000000" w:sz="4" w:space="0"/>
              <w:bottom w:val="single" w:color="000000" w:sz="4" w:space="0"/>
              <w:right w:val="single" w:color="000000" w:sz="4" w:space="0"/>
            </w:tcBorders>
            <w:vAlign w:val="center"/>
          </w:tcPr>
          <w:p w14:paraId="6974405C">
            <w:pPr>
              <w:spacing w:line="360" w:lineRule="auto"/>
              <w:jc w:val="center"/>
              <w:rPr>
                <w:rFonts w:hint="eastAsia" w:ascii="仿宋" w:hAnsi="仿宋" w:eastAsia="仿宋" w:cs="仿宋"/>
                <w:color w:val="auto"/>
                <w:sz w:val="24"/>
              </w:rPr>
            </w:pPr>
          </w:p>
        </w:tc>
        <w:tc>
          <w:tcPr>
            <w:tcW w:w="464" w:type="pct"/>
            <w:vMerge w:val="restart"/>
            <w:tcBorders>
              <w:top w:val="single" w:color="000000" w:sz="4" w:space="0"/>
              <w:left w:val="single" w:color="000000" w:sz="4" w:space="0"/>
              <w:bottom w:val="single" w:color="000000" w:sz="4" w:space="0"/>
              <w:right w:val="single" w:color="000000" w:sz="4" w:space="0"/>
            </w:tcBorders>
            <w:vAlign w:val="center"/>
          </w:tcPr>
          <w:p w14:paraId="574FEE1E">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鱼类</w:t>
            </w:r>
          </w:p>
        </w:tc>
        <w:tc>
          <w:tcPr>
            <w:tcW w:w="532" w:type="pct"/>
            <w:tcBorders>
              <w:top w:val="single" w:color="000000" w:sz="4" w:space="0"/>
              <w:left w:val="single" w:color="000000" w:sz="4" w:space="0"/>
              <w:bottom w:val="single" w:color="000000" w:sz="4" w:space="0"/>
              <w:right w:val="single" w:color="000000" w:sz="4" w:space="0"/>
            </w:tcBorders>
            <w:vAlign w:val="center"/>
          </w:tcPr>
          <w:p w14:paraId="02CEC027">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淡水鱼</w:t>
            </w:r>
          </w:p>
        </w:tc>
        <w:tc>
          <w:tcPr>
            <w:tcW w:w="570" w:type="pct"/>
            <w:vMerge w:val="continue"/>
            <w:tcBorders>
              <w:left w:val="single" w:color="000000" w:sz="4" w:space="0"/>
              <w:right w:val="single" w:color="000000" w:sz="4" w:space="0"/>
            </w:tcBorders>
            <w:vAlign w:val="center"/>
          </w:tcPr>
          <w:p w14:paraId="5EE87ED1">
            <w:pPr>
              <w:widowControl/>
              <w:spacing w:line="360" w:lineRule="auto"/>
              <w:jc w:val="center"/>
              <w:textAlignment w:val="center"/>
              <w:rPr>
                <w:rFonts w:hint="eastAsia" w:ascii="仿宋" w:hAnsi="仿宋" w:eastAsia="仿宋" w:cs="仿宋"/>
                <w:color w:val="auto"/>
                <w:sz w:val="24"/>
              </w:rPr>
            </w:pPr>
          </w:p>
        </w:tc>
        <w:tc>
          <w:tcPr>
            <w:tcW w:w="570" w:type="pct"/>
            <w:vMerge w:val="restart"/>
            <w:tcBorders>
              <w:top w:val="single" w:color="000000" w:sz="4" w:space="0"/>
              <w:left w:val="single" w:color="000000" w:sz="4" w:space="0"/>
              <w:bottom w:val="single" w:color="000000" w:sz="4" w:space="0"/>
              <w:right w:val="single" w:color="000000" w:sz="4" w:space="0"/>
            </w:tcBorders>
            <w:vAlign w:val="center"/>
          </w:tcPr>
          <w:p w14:paraId="6DC41321">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≥90%</w:t>
            </w:r>
          </w:p>
        </w:tc>
        <w:tc>
          <w:tcPr>
            <w:tcW w:w="2098" w:type="pct"/>
            <w:vMerge w:val="restart"/>
            <w:tcBorders>
              <w:top w:val="single" w:color="000000" w:sz="4" w:space="0"/>
              <w:left w:val="single" w:color="000000" w:sz="4" w:space="0"/>
              <w:bottom w:val="single" w:color="000000" w:sz="4" w:space="0"/>
              <w:right w:val="single" w:color="000000" w:sz="4" w:space="0"/>
            </w:tcBorders>
            <w:vAlign w:val="center"/>
          </w:tcPr>
          <w:p w14:paraId="7009A54E">
            <w:pPr>
              <w:widowControl/>
              <w:spacing w:line="360" w:lineRule="auto"/>
              <w:jc w:val="left"/>
              <w:textAlignment w:val="center"/>
              <w:rPr>
                <w:rFonts w:hint="eastAsia" w:ascii="仿宋" w:hAnsi="仿宋" w:eastAsia="仿宋" w:cs="仿宋"/>
                <w:color w:val="auto"/>
                <w:sz w:val="24"/>
              </w:rPr>
            </w:pPr>
            <w:r>
              <w:rPr>
                <w:rFonts w:hint="eastAsia" w:ascii="仿宋" w:hAnsi="仿宋" w:eastAsia="仿宋" w:cs="仿宋"/>
                <w:color w:val="auto"/>
                <w:sz w:val="24"/>
              </w:rPr>
              <w:t>常见鱼类</w:t>
            </w:r>
          </w:p>
        </w:tc>
      </w:tr>
      <w:tr w14:paraId="4095A8C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0" w:hRule="atLeast"/>
        </w:trPr>
        <w:tc>
          <w:tcPr>
            <w:tcW w:w="763" w:type="pct"/>
            <w:vMerge w:val="continue"/>
            <w:tcBorders>
              <w:top w:val="single" w:color="000000" w:sz="4" w:space="0"/>
              <w:left w:val="single" w:color="000000" w:sz="4" w:space="0"/>
              <w:bottom w:val="single" w:color="000000" w:sz="4" w:space="0"/>
              <w:right w:val="single" w:color="000000" w:sz="4" w:space="0"/>
            </w:tcBorders>
            <w:vAlign w:val="center"/>
          </w:tcPr>
          <w:p w14:paraId="15942B4C">
            <w:pPr>
              <w:spacing w:line="360" w:lineRule="auto"/>
              <w:jc w:val="center"/>
              <w:rPr>
                <w:rFonts w:hint="eastAsia" w:ascii="仿宋" w:hAnsi="仿宋" w:eastAsia="仿宋" w:cs="仿宋"/>
                <w:color w:val="auto"/>
                <w:sz w:val="24"/>
              </w:rPr>
            </w:pPr>
          </w:p>
        </w:tc>
        <w:tc>
          <w:tcPr>
            <w:tcW w:w="464" w:type="pct"/>
            <w:vMerge w:val="continue"/>
            <w:tcBorders>
              <w:top w:val="single" w:color="000000" w:sz="4" w:space="0"/>
              <w:left w:val="single" w:color="000000" w:sz="4" w:space="0"/>
              <w:bottom w:val="single" w:color="000000" w:sz="4" w:space="0"/>
              <w:right w:val="single" w:color="000000" w:sz="4" w:space="0"/>
            </w:tcBorders>
            <w:vAlign w:val="center"/>
          </w:tcPr>
          <w:p w14:paraId="2E4D8935">
            <w:pPr>
              <w:spacing w:line="360" w:lineRule="auto"/>
              <w:jc w:val="center"/>
              <w:rPr>
                <w:rFonts w:hint="eastAsia" w:ascii="仿宋" w:hAnsi="仿宋" w:eastAsia="仿宋" w:cs="仿宋"/>
                <w:color w:val="auto"/>
                <w:sz w:val="24"/>
              </w:rPr>
            </w:pPr>
          </w:p>
        </w:tc>
        <w:tc>
          <w:tcPr>
            <w:tcW w:w="532" w:type="pct"/>
            <w:tcBorders>
              <w:top w:val="single" w:color="000000" w:sz="4" w:space="0"/>
              <w:left w:val="single" w:color="000000" w:sz="4" w:space="0"/>
              <w:bottom w:val="single" w:color="000000" w:sz="4" w:space="0"/>
              <w:right w:val="single" w:color="000000" w:sz="4" w:space="0"/>
            </w:tcBorders>
            <w:vAlign w:val="center"/>
          </w:tcPr>
          <w:p w14:paraId="3F3E74B5">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海鱼</w:t>
            </w:r>
          </w:p>
        </w:tc>
        <w:tc>
          <w:tcPr>
            <w:tcW w:w="570" w:type="pct"/>
            <w:vMerge w:val="continue"/>
            <w:tcBorders>
              <w:left w:val="single" w:color="000000" w:sz="4" w:space="0"/>
              <w:right w:val="single" w:color="000000" w:sz="4" w:space="0"/>
            </w:tcBorders>
            <w:vAlign w:val="center"/>
          </w:tcPr>
          <w:p w14:paraId="24FBDB49">
            <w:pPr>
              <w:spacing w:line="360" w:lineRule="auto"/>
              <w:jc w:val="center"/>
              <w:rPr>
                <w:rFonts w:hint="eastAsia" w:ascii="仿宋" w:hAnsi="仿宋" w:eastAsia="仿宋" w:cs="仿宋"/>
                <w:color w:val="auto"/>
                <w:sz w:val="24"/>
              </w:rPr>
            </w:pPr>
          </w:p>
        </w:tc>
        <w:tc>
          <w:tcPr>
            <w:tcW w:w="570" w:type="pct"/>
            <w:vMerge w:val="continue"/>
            <w:tcBorders>
              <w:top w:val="single" w:color="000000" w:sz="4" w:space="0"/>
              <w:left w:val="single" w:color="000000" w:sz="4" w:space="0"/>
              <w:bottom w:val="single" w:color="000000" w:sz="4" w:space="0"/>
              <w:right w:val="single" w:color="000000" w:sz="4" w:space="0"/>
            </w:tcBorders>
            <w:vAlign w:val="center"/>
          </w:tcPr>
          <w:p w14:paraId="06BC3778">
            <w:pPr>
              <w:spacing w:line="360" w:lineRule="auto"/>
              <w:jc w:val="center"/>
              <w:rPr>
                <w:rFonts w:hint="eastAsia" w:ascii="仿宋" w:hAnsi="仿宋" w:eastAsia="仿宋" w:cs="仿宋"/>
                <w:color w:val="auto"/>
                <w:sz w:val="24"/>
              </w:rPr>
            </w:pPr>
          </w:p>
        </w:tc>
        <w:tc>
          <w:tcPr>
            <w:tcW w:w="2098" w:type="pct"/>
            <w:vMerge w:val="continue"/>
            <w:tcBorders>
              <w:top w:val="single" w:color="000000" w:sz="4" w:space="0"/>
              <w:left w:val="single" w:color="000000" w:sz="4" w:space="0"/>
              <w:bottom w:val="single" w:color="000000" w:sz="4" w:space="0"/>
              <w:right w:val="single" w:color="000000" w:sz="4" w:space="0"/>
            </w:tcBorders>
            <w:vAlign w:val="center"/>
          </w:tcPr>
          <w:p w14:paraId="0DAA705E">
            <w:pPr>
              <w:spacing w:line="360" w:lineRule="auto"/>
              <w:jc w:val="left"/>
              <w:rPr>
                <w:rFonts w:hint="eastAsia" w:ascii="仿宋" w:hAnsi="仿宋" w:eastAsia="仿宋" w:cs="仿宋"/>
                <w:color w:val="auto"/>
                <w:sz w:val="24"/>
              </w:rPr>
            </w:pPr>
          </w:p>
        </w:tc>
      </w:tr>
      <w:tr w14:paraId="235098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20" w:hRule="atLeast"/>
        </w:trPr>
        <w:tc>
          <w:tcPr>
            <w:tcW w:w="763" w:type="pct"/>
            <w:vMerge w:val="continue"/>
            <w:tcBorders>
              <w:top w:val="single" w:color="000000" w:sz="4" w:space="0"/>
              <w:left w:val="single" w:color="000000" w:sz="4" w:space="0"/>
              <w:bottom w:val="single" w:color="000000" w:sz="4" w:space="0"/>
              <w:right w:val="single" w:color="000000" w:sz="4" w:space="0"/>
            </w:tcBorders>
            <w:vAlign w:val="center"/>
          </w:tcPr>
          <w:p w14:paraId="28D8C12A">
            <w:pPr>
              <w:spacing w:line="360" w:lineRule="auto"/>
              <w:jc w:val="center"/>
              <w:rPr>
                <w:rFonts w:hint="eastAsia" w:ascii="仿宋" w:hAnsi="仿宋" w:eastAsia="仿宋" w:cs="仿宋"/>
                <w:color w:val="auto"/>
                <w:sz w:val="24"/>
              </w:rPr>
            </w:pPr>
          </w:p>
        </w:tc>
        <w:tc>
          <w:tcPr>
            <w:tcW w:w="996" w:type="pct"/>
            <w:gridSpan w:val="2"/>
            <w:tcBorders>
              <w:top w:val="single" w:color="000000" w:sz="4" w:space="0"/>
              <w:left w:val="single" w:color="000000" w:sz="4" w:space="0"/>
              <w:bottom w:val="single" w:color="000000" w:sz="4" w:space="0"/>
              <w:right w:val="single" w:color="000000" w:sz="4" w:space="0"/>
            </w:tcBorders>
            <w:vAlign w:val="center"/>
          </w:tcPr>
          <w:p w14:paraId="207B6F69">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禽类</w:t>
            </w:r>
          </w:p>
        </w:tc>
        <w:tc>
          <w:tcPr>
            <w:tcW w:w="570" w:type="pct"/>
            <w:vMerge w:val="continue"/>
            <w:tcBorders>
              <w:left w:val="single" w:color="000000" w:sz="4" w:space="0"/>
              <w:right w:val="single" w:color="000000" w:sz="4" w:space="0"/>
            </w:tcBorders>
            <w:vAlign w:val="center"/>
          </w:tcPr>
          <w:p w14:paraId="6807696C">
            <w:pPr>
              <w:widowControl/>
              <w:spacing w:line="360" w:lineRule="auto"/>
              <w:jc w:val="center"/>
              <w:textAlignment w:val="center"/>
              <w:rPr>
                <w:rFonts w:hint="eastAsia" w:ascii="仿宋" w:hAnsi="仿宋" w:eastAsia="仿宋" w:cs="仿宋"/>
                <w:color w:val="auto"/>
                <w:sz w:val="24"/>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685B4435">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≥90%</w:t>
            </w:r>
          </w:p>
        </w:tc>
        <w:tc>
          <w:tcPr>
            <w:tcW w:w="2098" w:type="pct"/>
            <w:tcBorders>
              <w:top w:val="single" w:color="000000" w:sz="4" w:space="0"/>
              <w:left w:val="single" w:color="000000" w:sz="4" w:space="0"/>
              <w:bottom w:val="single" w:color="000000" w:sz="4" w:space="0"/>
              <w:right w:val="single" w:color="000000" w:sz="4" w:space="0"/>
            </w:tcBorders>
            <w:vAlign w:val="center"/>
          </w:tcPr>
          <w:p w14:paraId="74BEB6AD">
            <w:pPr>
              <w:widowControl/>
              <w:spacing w:line="360" w:lineRule="auto"/>
              <w:jc w:val="left"/>
              <w:textAlignment w:val="center"/>
              <w:rPr>
                <w:rFonts w:hint="eastAsia" w:ascii="仿宋" w:hAnsi="仿宋" w:eastAsia="仿宋" w:cs="仿宋"/>
                <w:color w:val="auto"/>
                <w:sz w:val="24"/>
              </w:rPr>
            </w:pPr>
            <w:r>
              <w:rPr>
                <w:rFonts w:hint="eastAsia" w:ascii="仿宋" w:hAnsi="仿宋" w:eastAsia="仿宋" w:cs="仿宋"/>
                <w:color w:val="auto"/>
                <w:sz w:val="24"/>
              </w:rPr>
              <w:t>鸡、鸭及附产品</w:t>
            </w:r>
          </w:p>
        </w:tc>
      </w:tr>
      <w:tr w14:paraId="722DD0F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70" w:hRule="atLeast"/>
        </w:trPr>
        <w:tc>
          <w:tcPr>
            <w:tcW w:w="763" w:type="pct"/>
            <w:vMerge w:val="continue"/>
            <w:tcBorders>
              <w:top w:val="single" w:color="000000" w:sz="4" w:space="0"/>
              <w:left w:val="single" w:color="000000" w:sz="4" w:space="0"/>
              <w:bottom w:val="single" w:color="000000" w:sz="4" w:space="0"/>
              <w:right w:val="single" w:color="000000" w:sz="4" w:space="0"/>
            </w:tcBorders>
            <w:vAlign w:val="center"/>
          </w:tcPr>
          <w:p w14:paraId="7F9E8215">
            <w:pPr>
              <w:spacing w:line="360" w:lineRule="auto"/>
              <w:jc w:val="center"/>
              <w:rPr>
                <w:rFonts w:hint="eastAsia" w:ascii="仿宋" w:hAnsi="仿宋" w:eastAsia="仿宋" w:cs="仿宋"/>
                <w:color w:val="auto"/>
                <w:sz w:val="24"/>
              </w:rPr>
            </w:pPr>
          </w:p>
        </w:tc>
        <w:tc>
          <w:tcPr>
            <w:tcW w:w="996" w:type="pct"/>
            <w:gridSpan w:val="2"/>
            <w:tcBorders>
              <w:top w:val="single" w:color="000000" w:sz="4" w:space="0"/>
              <w:left w:val="single" w:color="000000" w:sz="4" w:space="0"/>
              <w:bottom w:val="single" w:color="000000" w:sz="4" w:space="0"/>
              <w:right w:val="single" w:color="000000" w:sz="4" w:space="0"/>
            </w:tcBorders>
            <w:vAlign w:val="center"/>
          </w:tcPr>
          <w:p w14:paraId="289F9314">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牛羊肉</w:t>
            </w:r>
          </w:p>
        </w:tc>
        <w:tc>
          <w:tcPr>
            <w:tcW w:w="570" w:type="pct"/>
            <w:vMerge w:val="continue"/>
            <w:tcBorders>
              <w:left w:val="single" w:color="000000" w:sz="4" w:space="0"/>
              <w:right w:val="single" w:color="000000" w:sz="4" w:space="0"/>
            </w:tcBorders>
            <w:vAlign w:val="center"/>
          </w:tcPr>
          <w:p w14:paraId="4DF3E120">
            <w:pPr>
              <w:widowControl/>
              <w:spacing w:line="360" w:lineRule="auto"/>
              <w:jc w:val="center"/>
              <w:textAlignment w:val="center"/>
              <w:rPr>
                <w:rFonts w:hint="eastAsia" w:ascii="仿宋" w:hAnsi="仿宋" w:eastAsia="仿宋" w:cs="仿宋"/>
                <w:color w:val="auto"/>
                <w:sz w:val="24"/>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5F4EB2C7">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≥90%</w:t>
            </w:r>
          </w:p>
        </w:tc>
        <w:tc>
          <w:tcPr>
            <w:tcW w:w="2098" w:type="pct"/>
            <w:tcBorders>
              <w:top w:val="single" w:color="000000" w:sz="4" w:space="0"/>
              <w:left w:val="single" w:color="000000" w:sz="4" w:space="0"/>
              <w:bottom w:val="single" w:color="000000" w:sz="4" w:space="0"/>
              <w:right w:val="single" w:color="000000" w:sz="4" w:space="0"/>
            </w:tcBorders>
            <w:noWrap/>
            <w:vAlign w:val="center"/>
          </w:tcPr>
          <w:p w14:paraId="0D311C7B">
            <w:pPr>
              <w:spacing w:line="360" w:lineRule="auto"/>
              <w:jc w:val="left"/>
              <w:rPr>
                <w:rFonts w:hint="eastAsia" w:ascii="仿宋" w:hAnsi="仿宋" w:eastAsia="仿宋" w:cs="仿宋"/>
                <w:color w:val="auto"/>
                <w:sz w:val="24"/>
              </w:rPr>
            </w:pPr>
          </w:p>
        </w:tc>
      </w:tr>
      <w:tr w14:paraId="7BF2AB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32" w:hRule="atLeast"/>
        </w:trPr>
        <w:tc>
          <w:tcPr>
            <w:tcW w:w="763" w:type="pct"/>
            <w:vMerge w:val="restart"/>
            <w:tcBorders>
              <w:top w:val="single" w:color="000000" w:sz="4" w:space="0"/>
              <w:left w:val="single" w:color="000000" w:sz="4" w:space="0"/>
              <w:bottom w:val="single" w:color="000000" w:sz="4" w:space="0"/>
              <w:right w:val="single" w:color="000000" w:sz="4" w:space="0"/>
            </w:tcBorders>
            <w:vAlign w:val="center"/>
          </w:tcPr>
          <w:p w14:paraId="248D3297">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 xml:space="preserve">小荤 </w:t>
            </w:r>
            <w:r>
              <w:rPr>
                <w:rFonts w:hint="eastAsia" w:ascii="仿宋" w:hAnsi="仿宋" w:eastAsia="仿宋" w:cs="仿宋"/>
                <w:color w:val="auto"/>
                <w:sz w:val="24"/>
              </w:rPr>
              <w:br w:type="textWrapping"/>
            </w:r>
          </w:p>
        </w:tc>
        <w:tc>
          <w:tcPr>
            <w:tcW w:w="996" w:type="pct"/>
            <w:gridSpan w:val="2"/>
            <w:tcBorders>
              <w:top w:val="single" w:color="000000" w:sz="4" w:space="0"/>
              <w:left w:val="single" w:color="000000" w:sz="4" w:space="0"/>
              <w:bottom w:val="single" w:color="000000" w:sz="4" w:space="0"/>
              <w:right w:val="single" w:color="000000" w:sz="4" w:space="0"/>
            </w:tcBorders>
            <w:vAlign w:val="center"/>
          </w:tcPr>
          <w:p w14:paraId="0D5CB87C">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含肉类</w:t>
            </w:r>
          </w:p>
        </w:tc>
        <w:tc>
          <w:tcPr>
            <w:tcW w:w="570" w:type="pct"/>
            <w:vMerge w:val="continue"/>
            <w:tcBorders>
              <w:left w:val="single" w:color="000000" w:sz="4" w:space="0"/>
              <w:right w:val="single" w:color="000000" w:sz="4" w:space="0"/>
            </w:tcBorders>
            <w:vAlign w:val="center"/>
          </w:tcPr>
          <w:p w14:paraId="731551CD">
            <w:pPr>
              <w:widowControl/>
              <w:spacing w:line="360" w:lineRule="auto"/>
              <w:jc w:val="center"/>
              <w:textAlignment w:val="center"/>
              <w:rPr>
                <w:rFonts w:hint="eastAsia" w:ascii="仿宋" w:hAnsi="仿宋" w:eastAsia="仿宋" w:cs="仿宋"/>
                <w:color w:val="auto"/>
                <w:sz w:val="24"/>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6C7991F0">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≥30%</w:t>
            </w:r>
          </w:p>
        </w:tc>
        <w:tc>
          <w:tcPr>
            <w:tcW w:w="2098" w:type="pct"/>
            <w:tcBorders>
              <w:top w:val="single" w:color="000000" w:sz="4" w:space="0"/>
              <w:left w:val="single" w:color="000000" w:sz="4" w:space="0"/>
              <w:bottom w:val="single" w:color="000000" w:sz="4" w:space="0"/>
              <w:right w:val="single" w:color="000000" w:sz="4" w:space="0"/>
            </w:tcBorders>
            <w:vAlign w:val="center"/>
          </w:tcPr>
          <w:p w14:paraId="255CDC94">
            <w:pPr>
              <w:widowControl/>
              <w:spacing w:line="360" w:lineRule="auto"/>
              <w:jc w:val="left"/>
              <w:textAlignment w:val="center"/>
              <w:rPr>
                <w:rFonts w:hint="eastAsia" w:ascii="仿宋" w:hAnsi="仿宋" w:eastAsia="仿宋" w:cs="仿宋"/>
                <w:color w:val="auto"/>
                <w:sz w:val="24"/>
              </w:rPr>
            </w:pPr>
            <w:r>
              <w:rPr>
                <w:rFonts w:hint="eastAsia" w:ascii="仿宋" w:hAnsi="仿宋" w:eastAsia="仿宋" w:cs="仿宋"/>
                <w:color w:val="auto"/>
                <w:sz w:val="24"/>
              </w:rPr>
              <w:t>包含猪肉为主的肉配料</w:t>
            </w:r>
          </w:p>
        </w:tc>
      </w:tr>
      <w:tr w14:paraId="648C8E5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90" w:hRule="atLeast"/>
        </w:trPr>
        <w:tc>
          <w:tcPr>
            <w:tcW w:w="763" w:type="pct"/>
            <w:vMerge w:val="continue"/>
            <w:tcBorders>
              <w:top w:val="single" w:color="000000" w:sz="4" w:space="0"/>
              <w:left w:val="single" w:color="000000" w:sz="4" w:space="0"/>
              <w:bottom w:val="single" w:color="000000" w:sz="4" w:space="0"/>
              <w:right w:val="single" w:color="000000" w:sz="4" w:space="0"/>
            </w:tcBorders>
            <w:vAlign w:val="center"/>
          </w:tcPr>
          <w:p w14:paraId="2A46549D">
            <w:pPr>
              <w:spacing w:line="360" w:lineRule="auto"/>
              <w:jc w:val="center"/>
              <w:rPr>
                <w:rFonts w:hint="eastAsia" w:ascii="仿宋" w:hAnsi="仿宋" w:eastAsia="仿宋" w:cs="仿宋"/>
                <w:color w:val="auto"/>
                <w:sz w:val="24"/>
              </w:rPr>
            </w:pPr>
          </w:p>
        </w:tc>
        <w:tc>
          <w:tcPr>
            <w:tcW w:w="996" w:type="pct"/>
            <w:gridSpan w:val="2"/>
            <w:tcBorders>
              <w:top w:val="single" w:color="000000" w:sz="4" w:space="0"/>
              <w:left w:val="single" w:color="000000" w:sz="4" w:space="0"/>
              <w:bottom w:val="single" w:color="000000" w:sz="4" w:space="0"/>
              <w:right w:val="single" w:color="000000" w:sz="4" w:space="0"/>
            </w:tcBorders>
            <w:vAlign w:val="center"/>
          </w:tcPr>
          <w:p w14:paraId="768A4928">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含蛋类</w:t>
            </w:r>
          </w:p>
        </w:tc>
        <w:tc>
          <w:tcPr>
            <w:tcW w:w="570" w:type="pct"/>
            <w:vMerge w:val="continue"/>
            <w:tcBorders>
              <w:left w:val="single" w:color="000000" w:sz="4" w:space="0"/>
              <w:right w:val="single" w:color="000000" w:sz="4" w:space="0"/>
            </w:tcBorders>
            <w:vAlign w:val="center"/>
          </w:tcPr>
          <w:p w14:paraId="30BA857C">
            <w:pPr>
              <w:widowControl/>
              <w:spacing w:line="360" w:lineRule="auto"/>
              <w:jc w:val="center"/>
              <w:textAlignment w:val="center"/>
              <w:rPr>
                <w:rFonts w:hint="eastAsia" w:ascii="仿宋" w:hAnsi="仿宋" w:eastAsia="仿宋" w:cs="仿宋"/>
                <w:color w:val="auto"/>
                <w:sz w:val="24"/>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3BFE9279">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≥60%</w:t>
            </w:r>
          </w:p>
        </w:tc>
        <w:tc>
          <w:tcPr>
            <w:tcW w:w="2098" w:type="pct"/>
            <w:tcBorders>
              <w:top w:val="single" w:color="000000" w:sz="4" w:space="0"/>
              <w:left w:val="single" w:color="000000" w:sz="4" w:space="0"/>
              <w:bottom w:val="single" w:color="000000" w:sz="4" w:space="0"/>
              <w:right w:val="single" w:color="000000" w:sz="4" w:space="0"/>
            </w:tcBorders>
            <w:vAlign w:val="center"/>
          </w:tcPr>
          <w:p w14:paraId="2C778D62">
            <w:pPr>
              <w:widowControl/>
              <w:spacing w:line="360" w:lineRule="auto"/>
              <w:jc w:val="left"/>
              <w:textAlignment w:val="center"/>
              <w:rPr>
                <w:rFonts w:hint="eastAsia" w:ascii="仿宋" w:hAnsi="仿宋" w:eastAsia="仿宋" w:cs="仿宋"/>
                <w:color w:val="auto"/>
                <w:sz w:val="24"/>
              </w:rPr>
            </w:pPr>
            <w:r>
              <w:rPr>
                <w:rFonts w:hint="eastAsia" w:ascii="仿宋" w:hAnsi="仿宋" w:eastAsia="仿宋" w:cs="仿宋"/>
                <w:color w:val="auto"/>
                <w:sz w:val="24"/>
              </w:rPr>
              <w:t>含各种加工形式蛋类</w:t>
            </w:r>
          </w:p>
        </w:tc>
      </w:tr>
      <w:tr w14:paraId="71E8B0C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50" w:hRule="atLeast"/>
        </w:trPr>
        <w:tc>
          <w:tcPr>
            <w:tcW w:w="763" w:type="pct"/>
            <w:vMerge w:val="restart"/>
            <w:tcBorders>
              <w:top w:val="single" w:color="000000" w:sz="4" w:space="0"/>
              <w:left w:val="single" w:color="000000" w:sz="4" w:space="0"/>
              <w:bottom w:val="single" w:color="000000" w:sz="4" w:space="0"/>
              <w:right w:val="single" w:color="000000" w:sz="4" w:space="0"/>
            </w:tcBorders>
            <w:vAlign w:val="center"/>
          </w:tcPr>
          <w:p w14:paraId="090651F8">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素菜</w:t>
            </w:r>
            <w:r>
              <w:rPr>
                <w:rFonts w:hint="eastAsia" w:ascii="仿宋" w:hAnsi="仿宋" w:eastAsia="仿宋" w:cs="仿宋"/>
                <w:color w:val="auto"/>
                <w:sz w:val="24"/>
              </w:rPr>
              <w:br w:type="textWrapping"/>
            </w:r>
          </w:p>
        </w:tc>
        <w:tc>
          <w:tcPr>
            <w:tcW w:w="996" w:type="pct"/>
            <w:gridSpan w:val="2"/>
            <w:tcBorders>
              <w:top w:val="single" w:color="000000" w:sz="4" w:space="0"/>
              <w:left w:val="single" w:color="000000" w:sz="4" w:space="0"/>
              <w:bottom w:val="single" w:color="000000" w:sz="4" w:space="0"/>
              <w:right w:val="single" w:color="000000" w:sz="4" w:space="0"/>
            </w:tcBorders>
            <w:vAlign w:val="center"/>
          </w:tcPr>
          <w:p w14:paraId="6609BB26">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根茎类</w:t>
            </w:r>
          </w:p>
        </w:tc>
        <w:tc>
          <w:tcPr>
            <w:tcW w:w="570" w:type="pct"/>
            <w:vMerge w:val="continue"/>
            <w:tcBorders>
              <w:left w:val="single" w:color="000000" w:sz="4" w:space="0"/>
              <w:right w:val="single" w:color="000000" w:sz="4" w:space="0"/>
            </w:tcBorders>
            <w:vAlign w:val="center"/>
          </w:tcPr>
          <w:p w14:paraId="482D6215">
            <w:pPr>
              <w:widowControl/>
              <w:spacing w:line="360" w:lineRule="auto"/>
              <w:jc w:val="center"/>
              <w:textAlignment w:val="center"/>
              <w:rPr>
                <w:rFonts w:hint="eastAsia" w:ascii="仿宋" w:hAnsi="仿宋" w:eastAsia="仿宋" w:cs="仿宋"/>
                <w:color w:val="auto"/>
                <w:sz w:val="24"/>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098B022D">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≥90%</w:t>
            </w:r>
          </w:p>
        </w:tc>
        <w:tc>
          <w:tcPr>
            <w:tcW w:w="2098" w:type="pct"/>
            <w:tcBorders>
              <w:top w:val="single" w:color="000000" w:sz="4" w:space="0"/>
              <w:left w:val="single" w:color="000000" w:sz="4" w:space="0"/>
              <w:bottom w:val="single" w:color="000000" w:sz="4" w:space="0"/>
              <w:right w:val="single" w:color="000000" w:sz="4" w:space="0"/>
            </w:tcBorders>
            <w:vAlign w:val="center"/>
          </w:tcPr>
          <w:p w14:paraId="4358B414">
            <w:pPr>
              <w:widowControl/>
              <w:spacing w:line="360" w:lineRule="auto"/>
              <w:jc w:val="left"/>
              <w:textAlignment w:val="center"/>
              <w:rPr>
                <w:rFonts w:hint="eastAsia" w:ascii="仿宋" w:hAnsi="仿宋" w:eastAsia="仿宋" w:cs="仿宋"/>
                <w:color w:val="auto"/>
                <w:sz w:val="24"/>
              </w:rPr>
            </w:pPr>
            <w:r>
              <w:rPr>
                <w:rFonts w:hint="eastAsia" w:ascii="仿宋" w:hAnsi="仿宋" w:eastAsia="仿宋" w:cs="仿宋"/>
                <w:color w:val="auto"/>
                <w:sz w:val="24"/>
              </w:rPr>
              <w:t>莲藕、萝卜、甘薯、山药、马铃薯等</w:t>
            </w:r>
          </w:p>
        </w:tc>
      </w:tr>
      <w:tr w14:paraId="04D6F20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80" w:hRule="atLeast"/>
        </w:trPr>
        <w:tc>
          <w:tcPr>
            <w:tcW w:w="763" w:type="pct"/>
            <w:vMerge w:val="continue"/>
            <w:tcBorders>
              <w:top w:val="single" w:color="000000" w:sz="4" w:space="0"/>
              <w:left w:val="single" w:color="000000" w:sz="4" w:space="0"/>
              <w:bottom w:val="single" w:color="000000" w:sz="4" w:space="0"/>
              <w:right w:val="single" w:color="000000" w:sz="4" w:space="0"/>
            </w:tcBorders>
            <w:vAlign w:val="center"/>
          </w:tcPr>
          <w:p w14:paraId="22B515B1">
            <w:pPr>
              <w:spacing w:line="360" w:lineRule="auto"/>
              <w:jc w:val="center"/>
              <w:rPr>
                <w:rFonts w:hint="eastAsia" w:ascii="仿宋" w:hAnsi="仿宋" w:eastAsia="仿宋" w:cs="仿宋"/>
                <w:color w:val="auto"/>
                <w:sz w:val="24"/>
              </w:rPr>
            </w:pPr>
          </w:p>
        </w:tc>
        <w:tc>
          <w:tcPr>
            <w:tcW w:w="996" w:type="pct"/>
            <w:gridSpan w:val="2"/>
            <w:tcBorders>
              <w:top w:val="single" w:color="000000" w:sz="4" w:space="0"/>
              <w:left w:val="single" w:color="000000" w:sz="4" w:space="0"/>
              <w:bottom w:val="single" w:color="000000" w:sz="4" w:space="0"/>
              <w:right w:val="single" w:color="000000" w:sz="4" w:space="0"/>
            </w:tcBorders>
            <w:vAlign w:val="center"/>
          </w:tcPr>
          <w:p w14:paraId="4A6F2F7B">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叶菜类</w:t>
            </w:r>
          </w:p>
        </w:tc>
        <w:tc>
          <w:tcPr>
            <w:tcW w:w="570" w:type="pct"/>
            <w:vMerge w:val="continue"/>
            <w:tcBorders>
              <w:left w:val="single" w:color="000000" w:sz="4" w:space="0"/>
              <w:bottom w:val="single" w:color="000000" w:sz="4" w:space="0"/>
              <w:right w:val="single" w:color="000000" w:sz="4" w:space="0"/>
            </w:tcBorders>
            <w:vAlign w:val="center"/>
          </w:tcPr>
          <w:p w14:paraId="24CB71A1">
            <w:pPr>
              <w:widowControl/>
              <w:spacing w:line="360" w:lineRule="auto"/>
              <w:jc w:val="center"/>
              <w:textAlignment w:val="center"/>
              <w:rPr>
                <w:rFonts w:hint="eastAsia" w:ascii="仿宋" w:hAnsi="仿宋" w:eastAsia="仿宋" w:cs="仿宋"/>
                <w:color w:val="auto"/>
                <w:sz w:val="24"/>
              </w:rPr>
            </w:pPr>
          </w:p>
        </w:tc>
        <w:tc>
          <w:tcPr>
            <w:tcW w:w="570" w:type="pct"/>
            <w:tcBorders>
              <w:top w:val="single" w:color="000000" w:sz="4" w:space="0"/>
              <w:left w:val="single" w:color="000000" w:sz="4" w:space="0"/>
              <w:bottom w:val="single" w:color="000000" w:sz="4" w:space="0"/>
              <w:right w:val="single" w:color="000000" w:sz="4" w:space="0"/>
            </w:tcBorders>
            <w:vAlign w:val="center"/>
          </w:tcPr>
          <w:p w14:paraId="077F7381">
            <w:pPr>
              <w:widowControl/>
              <w:spacing w:line="360" w:lineRule="auto"/>
              <w:jc w:val="center"/>
              <w:textAlignment w:val="center"/>
              <w:rPr>
                <w:rFonts w:hint="eastAsia" w:ascii="仿宋" w:hAnsi="仿宋" w:eastAsia="仿宋" w:cs="仿宋"/>
                <w:color w:val="auto"/>
                <w:sz w:val="24"/>
              </w:rPr>
            </w:pPr>
            <w:r>
              <w:rPr>
                <w:rFonts w:hint="eastAsia" w:ascii="仿宋" w:hAnsi="仿宋" w:eastAsia="仿宋" w:cs="仿宋"/>
                <w:color w:val="auto"/>
                <w:sz w:val="24"/>
              </w:rPr>
              <w:t>100%</w:t>
            </w:r>
          </w:p>
        </w:tc>
        <w:tc>
          <w:tcPr>
            <w:tcW w:w="2098" w:type="pct"/>
            <w:tcBorders>
              <w:top w:val="single" w:color="000000" w:sz="4" w:space="0"/>
              <w:left w:val="single" w:color="000000" w:sz="4" w:space="0"/>
              <w:bottom w:val="single" w:color="000000" w:sz="4" w:space="0"/>
              <w:right w:val="single" w:color="000000" w:sz="4" w:space="0"/>
            </w:tcBorders>
            <w:noWrap/>
            <w:vAlign w:val="center"/>
          </w:tcPr>
          <w:p w14:paraId="19D62C71">
            <w:pPr>
              <w:spacing w:line="360" w:lineRule="auto"/>
              <w:jc w:val="left"/>
              <w:rPr>
                <w:rFonts w:hint="eastAsia" w:ascii="仿宋" w:hAnsi="仿宋" w:eastAsia="仿宋" w:cs="仿宋"/>
                <w:color w:val="auto"/>
                <w:sz w:val="24"/>
              </w:rPr>
            </w:pPr>
            <w:r>
              <w:rPr>
                <w:rFonts w:hint="eastAsia" w:ascii="仿宋" w:hAnsi="仿宋" w:eastAsia="仿宋" w:cs="仿宋"/>
                <w:color w:val="auto"/>
                <w:sz w:val="24"/>
              </w:rPr>
              <w:t>菜心、生菜、油麦菜、娃娃菜等</w:t>
            </w:r>
          </w:p>
        </w:tc>
      </w:tr>
    </w:tbl>
    <w:p w14:paraId="3F5B08D1">
      <w:pPr>
        <w:widowControl/>
        <w:spacing w:line="360" w:lineRule="auto"/>
        <w:ind w:left="-363" w:firstLine="480" w:firstLineChars="200"/>
        <w:rPr>
          <w:rFonts w:hint="eastAsia" w:ascii="仿宋" w:hAnsi="仿宋" w:eastAsia="仿宋" w:cs="仿宋"/>
          <w:color w:val="auto"/>
          <w:sz w:val="24"/>
          <w:lang w:bidi="ar"/>
        </w:rPr>
      </w:pPr>
      <w:r>
        <w:rPr>
          <w:rFonts w:hint="eastAsia" w:ascii="仿宋" w:hAnsi="仿宋" w:eastAsia="仿宋" w:cs="仿宋"/>
          <w:color w:val="auto"/>
          <w:sz w:val="24"/>
        </w:rPr>
        <w:t>（二）★本项目</w:t>
      </w:r>
      <w:r>
        <w:rPr>
          <w:rFonts w:hint="eastAsia" w:ascii="仿宋" w:hAnsi="仿宋" w:eastAsia="仿宋" w:cs="仿宋"/>
          <w:b/>
          <w:bCs/>
          <w:color w:val="auto"/>
          <w:sz w:val="24"/>
        </w:rPr>
        <w:t>职工餐实行统一固定折扣，</w:t>
      </w:r>
      <w:r>
        <w:rPr>
          <w:rFonts w:hint="eastAsia" w:ascii="仿宋" w:hAnsi="仿宋" w:eastAsia="仿宋" w:cs="仿宋"/>
          <w:color w:val="auto"/>
          <w:sz w:val="24"/>
        </w:rPr>
        <w:t>折扣率由投标人投标时自行填报，作为投标评审及合同履约核心价格依据；中标后合同期内固定不变，不得调整。采购人的职工、实习生、规培生及第三方驻院工作人员等享有同等折扣权益。职工餐价=病人餐基准价（该菜品面向病人的实时销售单价）×中标折扣率，相应品类折扣后价格不得高于《餐饮折扣后最高限价明细表》的最高限价，若中标折扣折算后的价格高于最高限价的，按最高限价执行；若折扣后价格低于最高限价的，按折扣后实际价格执行。新增菜式的病人餐基准价应由投标人提出方案，参照同类菜式的市场行情，与采购人协商确定，并经采购人审核同意后，按照职工餐价=病人餐基准价×中标折扣率的计算公式执行。（在投标文件中提供加盖投标人公章的承诺函，承诺函格式自拟）</w:t>
      </w:r>
    </w:p>
    <w:p w14:paraId="16E25079">
      <w:pPr>
        <w:widowControl/>
        <w:spacing w:line="360" w:lineRule="auto"/>
        <w:jc w:val="center"/>
        <w:rPr>
          <w:rFonts w:hint="eastAsia" w:cs="仿宋" w:asciiTheme="majorEastAsia" w:hAnsiTheme="majorEastAsia" w:eastAsiaTheme="majorEastAsia"/>
          <w:b/>
          <w:bCs/>
          <w:color w:val="auto"/>
          <w:sz w:val="24"/>
        </w:rPr>
      </w:pPr>
      <w:r>
        <w:rPr>
          <w:rFonts w:hint="eastAsia" w:cs="仿宋" w:asciiTheme="majorEastAsia" w:hAnsiTheme="majorEastAsia" w:eastAsiaTheme="majorEastAsia"/>
          <w:b/>
          <w:bCs/>
          <w:color w:val="auto"/>
          <w:sz w:val="24"/>
        </w:rPr>
        <w:t>餐饮</w:t>
      </w:r>
      <w:bookmarkStart w:id="5" w:name="OLE_LINK16"/>
      <w:r>
        <w:rPr>
          <w:rFonts w:hint="eastAsia" w:cs="仿宋" w:asciiTheme="majorEastAsia" w:hAnsiTheme="majorEastAsia" w:eastAsiaTheme="majorEastAsia"/>
          <w:b/>
          <w:bCs/>
          <w:color w:val="auto"/>
          <w:sz w:val="24"/>
        </w:rPr>
        <w:t>折扣后</w:t>
      </w:r>
      <w:bookmarkStart w:id="6" w:name="OLE_LINK9"/>
      <w:r>
        <w:rPr>
          <w:rFonts w:hint="eastAsia" w:cs="仿宋" w:asciiTheme="majorEastAsia" w:hAnsiTheme="majorEastAsia" w:eastAsiaTheme="majorEastAsia"/>
          <w:b/>
          <w:bCs/>
          <w:color w:val="auto"/>
          <w:sz w:val="24"/>
        </w:rPr>
        <w:t>最高</w:t>
      </w:r>
      <w:bookmarkEnd w:id="6"/>
      <w:r>
        <w:rPr>
          <w:rFonts w:hint="eastAsia" w:cs="仿宋" w:asciiTheme="majorEastAsia" w:hAnsiTheme="majorEastAsia" w:eastAsiaTheme="majorEastAsia"/>
          <w:b/>
          <w:bCs/>
          <w:color w:val="auto"/>
          <w:sz w:val="24"/>
        </w:rPr>
        <w:t>限价</w:t>
      </w:r>
      <w:bookmarkEnd w:id="5"/>
      <w:r>
        <w:rPr>
          <w:rFonts w:hint="eastAsia" w:cs="仿宋" w:asciiTheme="majorEastAsia" w:hAnsiTheme="majorEastAsia" w:eastAsiaTheme="majorEastAsia"/>
          <w:b/>
          <w:bCs/>
          <w:color w:val="auto"/>
          <w:sz w:val="24"/>
        </w:rPr>
        <w:t>明细表</w:t>
      </w:r>
    </w:p>
    <w:tbl>
      <w:tblPr>
        <w:tblStyle w:val="12"/>
        <w:tblW w:w="8375" w:type="dxa"/>
        <w:tblInd w:w="96" w:type="dxa"/>
        <w:tblLayout w:type="fixed"/>
        <w:tblCellMar>
          <w:top w:w="0" w:type="dxa"/>
          <w:left w:w="108" w:type="dxa"/>
          <w:bottom w:w="0" w:type="dxa"/>
          <w:right w:w="108" w:type="dxa"/>
        </w:tblCellMar>
      </w:tblPr>
      <w:tblGrid>
        <w:gridCol w:w="570"/>
        <w:gridCol w:w="1348"/>
        <w:gridCol w:w="1264"/>
        <w:gridCol w:w="5193"/>
      </w:tblGrid>
      <w:tr w14:paraId="6AB45283">
        <w:tblPrEx>
          <w:tblCellMar>
            <w:top w:w="0" w:type="dxa"/>
            <w:left w:w="108" w:type="dxa"/>
            <w:bottom w:w="0" w:type="dxa"/>
            <w:right w:w="108" w:type="dxa"/>
          </w:tblCellMar>
        </w:tblPrEx>
        <w:trPr>
          <w:trHeight w:val="1290" w:hRule="atLeast"/>
        </w:trPr>
        <w:tc>
          <w:tcPr>
            <w:tcW w:w="570" w:type="dxa"/>
            <w:tcBorders>
              <w:top w:val="single" w:color="000000" w:sz="4" w:space="0"/>
              <w:left w:val="single" w:color="000000" w:sz="4" w:space="0"/>
              <w:bottom w:val="single" w:color="000000" w:sz="4" w:space="0"/>
              <w:right w:val="single" w:color="000000" w:sz="4" w:space="0"/>
            </w:tcBorders>
            <w:vAlign w:val="center"/>
          </w:tcPr>
          <w:p w14:paraId="33243B45">
            <w:pPr>
              <w:widowControl/>
              <w:spacing w:line="360" w:lineRule="auto"/>
              <w:jc w:val="center"/>
              <w:textAlignment w:val="center"/>
              <w:rPr>
                <w:rFonts w:hint="eastAsia" w:ascii="方正仿宋_GBK" w:hAnsi="方正仿宋_GBK" w:eastAsia="方正仿宋_GBK" w:cs="方正仿宋_GBK"/>
                <w:b/>
                <w:bCs/>
                <w:color w:val="auto"/>
                <w:szCs w:val="21"/>
              </w:rPr>
            </w:pPr>
            <w:r>
              <w:rPr>
                <w:rFonts w:hint="eastAsia" w:ascii="方正仿宋_GBK" w:hAnsi="方正仿宋_GBK" w:eastAsia="方正仿宋_GBK" w:cs="方正仿宋_GBK"/>
                <w:b/>
                <w:bCs/>
                <w:color w:val="auto"/>
                <w:kern w:val="0"/>
                <w:szCs w:val="21"/>
                <w:lang w:bidi="ar"/>
              </w:rPr>
              <w:t>销售</w:t>
            </w:r>
            <w:r>
              <w:rPr>
                <w:rFonts w:ascii="方正仿宋_GBK" w:hAnsi="方正仿宋_GBK" w:eastAsia="方正仿宋_GBK" w:cs="方正仿宋_GBK"/>
                <w:b/>
                <w:bCs/>
                <w:color w:val="auto"/>
                <w:kern w:val="0"/>
                <w:szCs w:val="21"/>
                <w:lang w:bidi="ar"/>
              </w:rPr>
              <w:t>方式</w:t>
            </w:r>
          </w:p>
        </w:tc>
        <w:tc>
          <w:tcPr>
            <w:tcW w:w="1348" w:type="dxa"/>
            <w:tcBorders>
              <w:top w:val="single" w:color="000000" w:sz="4" w:space="0"/>
              <w:left w:val="single" w:color="000000" w:sz="4" w:space="0"/>
              <w:bottom w:val="single" w:color="000000" w:sz="4" w:space="0"/>
              <w:right w:val="single" w:color="000000" w:sz="4" w:space="0"/>
            </w:tcBorders>
            <w:vAlign w:val="center"/>
          </w:tcPr>
          <w:p w14:paraId="4C04574B">
            <w:pPr>
              <w:widowControl/>
              <w:spacing w:line="360" w:lineRule="auto"/>
              <w:jc w:val="center"/>
              <w:textAlignment w:val="center"/>
              <w:rPr>
                <w:rFonts w:hint="eastAsia" w:ascii="方正仿宋_GBK" w:hAnsi="方正仿宋_GBK" w:eastAsia="方正仿宋_GBK" w:cs="方正仿宋_GBK"/>
                <w:b/>
                <w:bCs/>
                <w:color w:val="auto"/>
                <w:szCs w:val="21"/>
              </w:rPr>
            </w:pPr>
            <w:r>
              <w:rPr>
                <w:rFonts w:ascii="方正仿宋_GBK" w:hAnsi="方正仿宋_GBK" w:eastAsia="方正仿宋_GBK" w:cs="方正仿宋_GBK"/>
                <w:b/>
                <w:bCs/>
                <w:color w:val="auto"/>
                <w:kern w:val="0"/>
                <w:szCs w:val="21"/>
                <w:lang w:bidi="ar"/>
              </w:rPr>
              <w:t>类别</w:t>
            </w:r>
          </w:p>
        </w:tc>
        <w:tc>
          <w:tcPr>
            <w:tcW w:w="1264" w:type="dxa"/>
            <w:tcBorders>
              <w:top w:val="single" w:color="000000" w:sz="4" w:space="0"/>
              <w:left w:val="single" w:color="000000" w:sz="4" w:space="0"/>
              <w:bottom w:val="single" w:color="000000" w:sz="4" w:space="0"/>
              <w:right w:val="single" w:color="000000" w:sz="4" w:space="0"/>
            </w:tcBorders>
            <w:vAlign w:val="center"/>
          </w:tcPr>
          <w:p w14:paraId="73799FAF">
            <w:pPr>
              <w:widowControl/>
              <w:spacing w:line="360" w:lineRule="auto"/>
              <w:jc w:val="center"/>
              <w:textAlignment w:val="center"/>
              <w:rPr>
                <w:rFonts w:hint="eastAsia" w:ascii="仿宋" w:hAnsi="仿宋" w:eastAsia="仿宋" w:cs="仿宋"/>
                <w:b/>
                <w:bCs/>
                <w:color w:val="auto"/>
                <w:szCs w:val="21"/>
              </w:rPr>
            </w:pPr>
            <w:r>
              <w:rPr>
                <w:rStyle w:val="27"/>
                <w:rFonts w:hint="default"/>
                <w:color w:val="auto"/>
                <w:sz w:val="21"/>
                <w:szCs w:val="21"/>
                <w:lang w:bidi="ar"/>
              </w:rPr>
              <w:t>折扣后</w:t>
            </w:r>
            <w:r>
              <w:rPr>
                <w:rStyle w:val="27"/>
                <w:rFonts w:hint="default"/>
                <w:color w:val="auto"/>
                <w:sz w:val="21"/>
                <w:szCs w:val="21"/>
                <w:lang w:bidi="ar"/>
              </w:rPr>
              <w:br w:type="textWrapping"/>
            </w:r>
            <w:r>
              <w:rPr>
                <w:rStyle w:val="27"/>
                <w:rFonts w:hint="default"/>
                <w:color w:val="auto"/>
                <w:sz w:val="21"/>
                <w:szCs w:val="21"/>
                <w:lang w:bidi="ar"/>
              </w:rPr>
              <w:t>最高限价</w:t>
            </w:r>
            <w:r>
              <w:rPr>
                <w:rStyle w:val="27"/>
                <w:rFonts w:hint="default"/>
                <w:color w:val="auto"/>
                <w:sz w:val="21"/>
                <w:szCs w:val="21"/>
                <w:lang w:bidi="ar"/>
              </w:rPr>
              <w:br w:type="textWrapping"/>
            </w:r>
            <w:r>
              <w:rPr>
                <w:rStyle w:val="28"/>
                <w:rFonts w:hint="default"/>
                <w:color w:val="auto"/>
                <w:sz w:val="21"/>
                <w:szCs w:val="21"/>
                <w:lang w:bidi="ar"/>
              </w:rPr>
              <w:t>（人民币/元）</w:t>
            </w:r>
          </w:p>
        </w:tc>
        <w:tc>
          <w:tcPr>
            <w:tcW w:w="5193" w:type="dxa"/>
            <w:tcBorders>
              <w:top w:val="single" w:color="000000" w:sz="4" w:space="0"/>
              <w:left w:val="single" w:color="000000" w:sz="4" w:space="0"/>
              <w:bottom w:val="single" w:color="000000" w:sz="4" w:space="0"/>
              <w:right w:val="single" w:color="000000" w:sz="4" w:space="0"/>
            </w:tcBorders>
            <w:vAlign w:val="center"/>
          </w:tcPr>
          <w:p w14:paraId="777831A7">
            <w:pPr>
              <w:widowControl/>
              <w:spacing w:line="360" w:lineRule="auto"/>
              <w:jc w:val="center"/>
              <w:textAlignment w:val="center"/>
              <w:rPr>
                <w:rFonts w:hint="eastAsia" w:ascii="方正仿宋_GBK" w:hAnsi="方正仿宋_GBK" w:eastAsia="方正仿宋_GBK" w:cs="方正仿宋_GBK"/>
                <w:b/>
                <w:bCs/>
                <w:color w:val="auto"/>
                <w:szCs w:val="21"/>
              </w:rPr>
            </w:pPr>
            <w:r>
              <w:rPr>
                <w:rFonts w:ascii="方正仿宋_GBK" w:hAnsi="方正仿宋_GBK" w:eastAsia="方正仿宋_GBK" w:cs="方正仿宋_GBK"/>
                <w:b/>
                <w:bCs/>
                <w:color w:val="auto"/>
                <w:kern w:val="0"/>
                <w:szCs w:val="21"/>
                <w:lang w:bidi="ar"/>
              </w:rPr>
              <w:t>每周可选种类及数量要求</w:t>
            </w:r>
          </w:p>
        </w:tc>
      </w:tr>
      <w:tr w14:paraId="61F1467D">
        <w:tblPrEx>
          <w:tblCellMar>
            <w:top w:w="0" w:type="dxa"/>
            <w:left w:w="108" w:type="dxa"/>
            <w:bottom w:w="0" w:type="dxa"/>
            <w:right w:w="108" w:type="dxa"/>
          </w:tblCellMar>
        </w:tblPrEx>
        <w:trPr>
          <w:trHeight w:val="585" w:hRule="atLeast"/>
        </w:trPr>
        <w:tc>
          <w:tcPr>
            <w:tcW w:w="570" w:type="dxa"/>
            <w:vMerge w:val="restart"/>
            <w:tcBorders>
              <w:top w:val="single" w:color="000000" w:sz="4" w:space="0"/>
              <w:left w:val="single" w:color="000000" w:sz="4" w:space="0"/>
              <w:bottom w:val="nil"/>
              <w:right w:val="single" w:color="000000" w:sz="4" w:space="0"/>
            </w:tcBorders>
            <w:vAlign w:val="center"/>
          </w:tcPr>
          <w:p w14:paraId="533513D6">
            <w:pPr>
              <w:widowControl/>
              <w:spacing w:line="360" w:lineRule="auto"/>
              <w:jc w:val="center"/>
              <w:textAlignment w:val="center"/>
              <w:rPr>
                <w:rFonts w:hint="eastAsia" w:ascii="方正仿宋_GBK" w:hAnsi="方正仿宋_GBK" w:eastAsia="方正仿宋_GBK" w:cs="方正仿宋_GBK"/>
                <w:color w:val="auto"/>
                <w:sz w:val="18"/>
                <w:szCs w:val="18"/>
              </w:rPr>
            </w:pPr>
            <w:r>
              <w:rPr>
                <w:rFonts w:hint="eastAsia" w:ascii="仿宋" w:hAnsi="仿宋" w:eastAsia="仿宋" w:cs="仿宋"/>
                <w:color w:val="auto"/>
                <w:sz w:val="24"/>
                <w:lang w:bidi="ar"/>
              </w:rPr>
              <w:t>零点自选</w:t>
            </w:r>
          </w:p>
        </w:tc>
        <w:tc>
          <w:tcPr>
            <w:tcW w:w="1348" w:type="dxa"/>
            <w:vMerge w:val="restart"/>
            <w:tcBorders>
              <w:top w:val="single" w:color="000000" w:sz="4" w:space="0"/>
              <w:left w:val="single" w:color="000000" w:sz="4" w:space="0"/>
              <w:bottom w:val="single" w:color="000000" w:sz="4" w:space="0"/>
              <w:right w:val="single" w:color="000000" w:sz="4" w:space="0"/>
            </w:tcBorders>
            <w:vAlign w:val="center"/>
          </w:tcPr>
          <w:p w14:paraId="63347FD7">
            <w:pPr>
              <w:widowControl/>
              <w:spacing w:line="360" w:lineRule="auto"/>
              <w:jc w:val="left"/>
              <w:textAlignment w:val="center"/>
              <w:rPr>
                <w:rFonts w:hint="eastAsia" w:ascii="仿宋" w:hAnsi="仿宋" w:eastAsia="仿宋" w:cs="仿宋"/>
                <w:color w:val="auto"/>
                <w:sz w:val="24"/>
              </w:rPr>
            </w:pPr>
            <w:r>
              <w:rPr>
                <w:rFonts w:hint="eastAsia" w:ascii="仿宋" w:hAnsi="仿宋" w:eastAsia="仿宋" w:cs="仿宋"/>
                <w:color w:val="auto"/>
                <w:sz w:val="24"/>
                <w:lang w:bidi="ar"/>
              </w:rPr>
              <w:t>早餐</w:t>
            </w:r>
          </w:p>
        </w:tc>
        <w:tc>
          <w:tcPr>
            <w:tcW w:w="1264" w:type="dxa"/>
            <w:tcBorders>
              <w:top w:val="single" w:color="000000" w:sz="4" w:space="0"/>
              <w:left w:val="single" w:color="000000" w:sz="4" w:space="0"/>
              <w:bottom w:val="single" w:color="000000" w:sz="4" w:space="0"/>
              <w:right w:val="single" w:color="000000" w:sz="4" w:space="0"/>
            </w:tcBorders>
            <w:vAlign w:val="center"/>
          </w:tcPr>
          <w:p w14:paraId="4A3B26D9">
            <w:pPr>
              <w:widowControl/>
              <w:spacing w:line="360" w:lineRule="auto"/>
              <w:jc w:val="center"/>
              <w:textAlignment w:val="center"/>
              <w:rPr>
                <w:rFonts w:hint="eastAsia" w:ascii="仿宋" w:hAnsi="仿宋" w:eastAsia="仿宋" w:cs="仿宋"/>
                <w:color w:val="auto"/>
                <w:szCs w:val="21"/>
              </w:rPr>
            </w:pPr>
            <w:r>
              <w:rPr>
                <w:rFonts w:hint="eastAsia" w:ascii="仿宋" w:hAnsi="仿宋" w:eastAsia="仿宋" w:cs="仿宋"/>
                <w:color w:val="auto"/>
                <w:szCs w:val="21"/>
                <w:lang w:bidi="ar"/>
              </w:rPr>
              <w:t>1.00</w:t>
            </w:r>
          </w:p>
        </w:tc>
        <w:tc>
          <w:tcPr>
            <w:tcW w:w="5193" w:type="dxa"/>
            <w:tcBorders>
              <w:top w:val="single" w:color="000000" w:sz="4" w:space="0"/>
              <w:left w:val="single" w:color="000000" w:sz="4" w:space="0"/>
              <w:bottom w:val="single" w:color="000000" w:sz="4" w:space="0"/>
              <w:right w:val="single" w:color="000000" w:sz="4" w:space="0"/>
            </w:tcBorders>
            <w:vAlign w:val="center"/>
          </w:tcPr>
          <w:p w14:paraId="1E7FBC34">
            <w:pPr>
              <w:widowControl/>
              <w:spacing w:line="360" w:lineRule="auto"/>
              <w:jc w:val="left"/>
              <w:textAlignment w:val="center"/>
              <w:rPr>
                <w:rFonts w:hint="eastAsia" w:ascii="仿宋" w:hAnsi="仿宋" w:eastAsia="仿宋" w:cs="仿宋"/>
                <w:color w:val="auto"/>
                <w:szCs w:val="21"/>
              </w:rPr>
            </w:pPr>
            <w:r>
              <w:rPr>
                <w:rFonts w:hint="eastAsia" w:ascii="仿宋" w:hAnsi="仿宋" w:eastAsia="仿宋" w:cs="仿宋"/>
                <w:color w:val="auto"/>
                <w:szCs w:val="21"/>
                <w:lang w:bidi="ar"/>
              </w:rPr>
              <w:t>打包盒、白粥等不少于2款</w:t>
            </w:r>
          </w:p>
        </w:tc>
      </w:tr>
      <w:tr w14:paraId="480A0CAF">
        <w:tblPrEx>
          <w:tblCellMar>
            <w:top w:w="0" w:type="dxa"/>
            <w:left w:w="108" w:type="dxa"/>
            <w:bottom w:w="0" w:type="dxa"/>
            <w:right w:w="108" w:type="dxa"/>
          </w:tblCellMar>
        </w:tblPrEx>
        <w:trPr>
          <w:trHeight w:val="585" w:hRule="atLeast"/>
        </w:trPr>
        <w:tc>
          <w:tcPr>
            <w:tcW w:w="570" w:type="dxa"/>
            <w:vMerge w:val="continue"/>
            <w:tcBorders>
              <w:top w:val="single" w:color="000000" w:sz="4" w:space="0"/>
              <w:left w:val="single" w:color="000000" w:sz="4" w:space="0"/>
              <w:bottom w:val="nil"/>
              <w:right w:val="single" w:color="000000" w:sz="4" w:space="0"/>
            </w:tcBorders>
            <w:vAlign w:val="center"/>
          </w:tcPr>
          <w:p w14:paraId="7CF46338">
            <w:pPr>
              <w:spacing w:line="360" w:lineRule="auto"/>
              <w:jc w:val="center"/>
              <w:rPr>
                <w:rFonts w:hint="eastAsia" w:ascii="方正仿宋_GBK" w:hAnsi="方正仿宋_GBK" w:eastAsia="方正仿宋_GBK" w:cs="方正仿宋_GBK"/>
                <w:color w:val="auto"/>
                <w:sz w:val="18"/>
                <w:szCs w:val="18"/>
              </w:rPr>
            </w:pPr>
          </w:p>
        </w:tc>
        <w:tc>
          <w:tcPr>
            <w:tcW w:w="1348" w:type="dxa"/>
            <w:vMerge w:val="continue"/>
            <w:tcBorders>
              <w:top w:val="single" w:color="000000" w:sz="4" w:space="0"/>
              <w:left w:val="single" w:color="000000" w:sz="4" w:space="0"/>
              <w:bottom w:val="single" w:color="000000" w:sz="4" w:space="0"/>
              <w:right w:val="single" w:color="000000" w:sz="4" w:space="0"/>
            </w:tcBorders>
            <w:vAlign w:val="center"/>
          </w:tcPr>
          <w:p w14:paraId="71F1E520">
            <w:pPr>
              <w:widowControl/>
              <w:spacing w:line="360" w:lineRule="auto"/>
              <w:jc w:val="left"/>
              <w:textAlignment w:val="center"/>
              <w:rPr>
                <w:rFonts w:hint="eastAsia" w:ascii="仿宋" w:hAnsi="仿宋" w:eastAsia="仿宋" w:cs="仿宋"/>
                <w:color w:val="auto"/>
                <w:sz w:val="24"/>
              </w:rPr>
            </w:pPr>
          </w:p>
        </w:tc>
        <w:tc>
          <w:tcPr>
            <w:tcW w:w="1264" w:type="dxa"/>
            <w:tcBorders>
              <w:top w:val="single" w:color="000000" w:sz="4" w:space="0"/>
              <w:left w:val="single" w:color="000000" w:sz="4" w:space="0"/>
              <w:bottom w:val="single" w:color="000000" w:sz="4" w:space="0"/>
              <w:right w:val="single" w:color="000000" w:sz="4" w:space="0"/>
            </w:tcBorders>
            <w:vAlign w:val="center"/>
          </w:tcPr>
          <w:p w14:paraId="6EE10CBD">
            <w:pPr>
              <w:widowControl/>
              <w:spacing w:line="360" w:lineRule="auto"/>
              <w:jc w:val="center"/>
              <w:textAlignment w:val="center"/>
              <w:rPr>
                <w:rFonts w:hint="eastAsia" w:ascii="仿宋" w:hAnsi="仿宋" w:eastAsia="仿宋" w:cs="仿宋"/>
                <w:color w:val="auto"/>
                <w:szCs w:val="21"/>
              </w:rPr>
            </w:pPr>
            <w:r>
              <w:rPr>
                <w:rFonts w:hint="eastAsia" w:ascii="仿宋" w:hAnsi="仿宋" w:eastAsia="仿宋" w:cs="仿宋"/>
                <w:color w:val="auto"/>
                <w:szCs w:val="21"/>
                <w:lang w:bidi="ar"/>
              </w:rPr>
              <w:t>1.50</w:t>
            </w:r>
          </w:p>
        </w:tc>
        <w:tc>
          <w:tcPr>
            <w:tcW w:w="5193" w:type="dxa"/>
            <w:tcBorders>
              <w:top w:val="single" w:color="000000" w:sz="4" w:space="0"/>
              <w:left w:val="single" w:color="000000" w:sz="4" w:space="0"/>
              <w:bottom w:val="single" w:color="000000" w:sz="4" w:space="0"/>
              <w:right w:val="single" w:color="000000" w:sz="4" w:space="0"/>
            </w:tcBorders>
            <w:vAlign w:val="center"/>
          </w:tcPr>
          <w:p w14:paraId="73323998">
            <w:pPr>
              <w:widowControl/>
              <w:spacing w:line="360" w:lineRule="auto"/>
              <w:jc w:val="left"/>
              <w:textAlignment w:val="center"/>
              <w:rPr>
                <w:rFonts w:hint="eastAsia" w:ascii="仿宋" w:hAnsi="仿宋" w:eastAsia="仿宋" w:cs="仿宋"/>
                <w:color w:val="auto"/>
                <w:szCs w:val="21"/>
              </w:rPr>
            </w:pPr>
            <w:r>
              <w:rPr>
                <w:rFonts w:hint="eastAsia" w:ascii="仿宋" w:hAnsi="仿宋" w:eastAsia="仿宋" w:cs="仿宋"/>
                <w:color w:val="auto"/>
                <w:szCs w:val="21"/>
                <w:lang w:bidi="ar"/>
              </w:rPr>
              <w:t>鸡蛋、粗粮类、白馒头、玉米（1节）等不少于4款</w:t>
            </w:r>
          </w:p>
        </w:tc>
      </w:tr>
      <w:tr w14:paraId="0F3AE240">
        <w:tblPrEx>
          <w:tblCellMar>
            <w:top w:w="0" w:type="dxa"/>
            <w:left w:w="108" w:type="dxa"/>
            <w:bottom w:w="0" w:type="dxa"/>
            <w:right w:w="108" w:type="dxa"/>
          </w:tblCellMar>
        </w:tblPrEx>
        <w:trPr>
          <w:trHeight w:val="650" w:hRule="atLeast"/>
        </w:trPr>
        <w:tc>
          <w:tcPr>
            <w:tcW w:w="570" w:type="dxa"/>
            <w:vMerge w:val="continue"/>
            <w:tcBorders>
              <w:top w:val="single" w:color="000000" w:sz="4" w:space="0"/>
              <w:left w:val="single" w:color="000000" w:sz="4" w:space="0"/>
              <w:bottom w:val="nil"/>
              <w:right w:val="single" w:color="000000" w:sz="4" w:space="0"/>
            </w:tcBorders>
            <w:vAlign w:val="center"/>
          </w:tcPr>
          <w:p w14:paraId="21944792">
            <w:pPr>
              <w:spacing w:line="360" w:lineRule="auto"/>
              <w:jc w:val="center"/>
              <w:rPr>
                <w:rFonts w:hint="eastAsia" w:ascii="方正仿宋_GBK" w:hAnsi="方正仿宋_GBK" w:eastAsia="方正仿宋_GBK" w:cs="方正仿宋_GBK"/>
                <w:color w:val="auto"/>
                <w:sz w:val="18"/>
                <w:szCs w:val="18"/>
              </w:rPr>
            </w:pPr>
          </w:p>
        </w:tc>
        <w:tc>
          <w:tcPr>
            <w:tcW w:w="1348" w:type="dxa"/>
            <w:vMerge w:val="continue"/>
            <w:tcBorders>
              <w:top w:val="single" w:color="000000" w:sz="4" w:space="0"/>
              <w:left w:val="single" w:color="000000" w:sz="4" w:space="0"/>
              <w:bottom w:val="single" w:color="000000" w:sz="4" w:space="0"/>
              <w:right w:val="single" w:color="000000" w:sz="4" w:space="0"/>
            </w:tcBorders>
            <w:vAlign w:val="center"/>
          </w:tcPr>
          <w:p w14:paraId="56A7EF44">
            <w:pPr>
              <w:widowControl/>
              <w:spacing w:line="360" w:lineRule="auto"/>
              <w:jc w:val="left"/>
              <w:textAlignment w:val="center"/>
              <w:rPr>
                <w:rFonts w:hint="eastAsia" w:ascii="仿宋" w:hAnsi="仿宋" w:eastAsia="仿宋" w:cs="仿宋"/>
                <w:color w:val="auto"/>
                <w:sz w:val="24"/>
              </w:rPr>
            </w:pPr>
          </w:p>
        </w:tc>
        <w:tc>
          <w:tcPr>
            <w:tcW w:w="1264" w:type="dxa"/>
            <w:tcBorders>
              <w:top w:val="single" w:color="000000" w:sz="4" w:space="0"/>
              <w:left w:val="single" w:color="000000" w:sz="4" w:space="0"/>
              <w:bottom w:val="single" w:color="000000" w:sz="4" w:space="0"/>
              <w:right w:val="single" w:color="000000" w:sz="4" w:space="0"/>
            </w:tcBorders>
            <w:vAlign w:val="center"/>
          </w:tcPr>
          <w:p w14:paraId="4BC1492C">
            <w:pPr>
              <w:widowControl/>
              <w:spacing w:line="360" w:lineRule="auto"/>
              <w:jc w:val="center"/>
              <w:textAlignment w:val="center"/>
              <w:rPr>
                <w:rFonts w:hint="eastAsia" w:ascii="仿宋" w:hAnsi="仿宋" w:eastAsia="仿宋" w:cs="仿宋"/>
                <w:color w:val="auto"/>
                <w:szCs w:val="21"/>
              </w:rPr>
            </w:pPr>
            <w:r>
              <w:rPr>
                <w:rFonts w:hint="eastAsia" w:ascii="仿宋" w:hAnsi="仿宋" w:eastAsia="仿宋" w:cs="仿宋"/>
                <w:color w:val="auto"/>
                <w:szCs w:val="21"/>
                <w:lang w:bidi="ar"/>
              </w:rPr>
              <w:t>2.00</w:t>
            </w:r>
          </w:p>
        </w:tc>
        <w:tc>
          <w:tcPr>
            <w:tcW w:w="5193" w:type="dxa"/>
            <w:tcBorders>
              <w:top w:val="single" w:color="000000" w:sz="4" w:space="0"/>
              <w:left w:val="single" w:color="000000" w:sz="4" w:space="0"/>
              <w:bottom w:val="single" w:color="000000" w:sz="4" w:space="0"/>
              <w:right w:val="single" w:color="000000" w:sz="4" w:space="0"/>
            </w:tcBorders>
            <w:vAlign w:val="center"/>
          </w:tcPr>
          <w:p w14:paraId="28BE408D">
            <w:pPr>
              <w:widowControl/>
              <w:spacing w:line="360" w:lineRule="auto"/>
              <w:jc w:val="left"/>
              <w:textAlignment w:val="center"/>
              <w:rPr>
                <w:rFonts w:hint="eastAsia" w:ascii="仿宋" w:hAnsi="仿宋" w:eastAsia="仿宋" w:cs="仿宋"/>
                <w:color w:val="auto"/>
                <w:szCs w:val="21"/>
              </w:rPr>
            </w:pPr>
            <w:r>
              <w:rPr>
                <w:rFonts w:hint="eastAsia" w:ascii="仿宋" w:hAnsi="仿宋" w:eastAsia="仿宋" w:cs="仿宋"/>
                <w:color w:val="auto"/>
                <w:szCs w:val="21"/>
                <w:lang w:bidi="ar"/>
              </w:rPr>
              <w:t>豆浆、粗粮馒头、春卷、花卷、小生肉包、烧麦、小米糕、鹌鹑蛋（5只）、肉类蒸饺、地瓜丸等不少于8款</w:t>
            </w:r>
          </w:p>
        </w:tc>
      </w:tr>
      <w:tr w14:paraId="154FED73">
        <w:tblPrEx>
          <w:tblCellMar>
            <w:top w:w="0" w:type="dxa"/>
            <w:left w:w="108" w:type="dxa"/>
            <w:bottom w:w="0" w:type="dxa"/>
            <w:right w:w="108" w:type="dxa"/>
          </w:tblCellMar>
        </w:tblPrEx>
        <w:trPr>
          <w:trHeight w:val="650" w:hRule="atLeast"/>
        </w:trPr>
        <w:tc>
          <w:tcPr>
            <w:tcW w:w="570" w:type="dxa"/>
            <w:vMerge w:val="continue"/>
            <w:tcBorders>
              <w:top w:val="single" w:color="000000" w:sz="4" w:space="0"/>
              <w:left w:val="single" w:color="000000" w:sz="4" w:space="0"/>
              <w:bottom w:val="nil"/>
              <w:right w:val="single" w:color="000000" w:sz="4" w:space="0"/>
            </w:tcBorders>
            <w:vAlign w:val="center"/>
          </w:tcPr>
          <w:p w14:paraId="705BEAF6">
            <w:pPr>
              <w:spacing w:line="360" w:lineRule="auto"/>
              <w:jc w:val="center"/>
              <w:rPr>
                <w:rFonts w:hint="eastAsia" w:ascii="方正仿宋_GBK" w:hAnsi="方正仿宋_GBK" w:eastAsia="方正仿宋_GBK" w:cs="方正仿宋_GBK"/>
                <w:color w:val="auto"/>
                <w:sz w:val="18"/>
                <w:szCs w:val="18"/>
              </w:rPr>
            </w:pPr>
          </w:p>
        </w:tc>
        <w:tc>
          <w:tcPr>
            <w:tcW w:w="1348" w:type="dxa"/>
            <w:vMerge w:val="continue"/>
            <w:tcBorders>
              <w:top w:val="single" w:color="000000" w:sz="4" w:space="0"/>
              <w:left w:val="single" w:color="000000" w:sz="4" w:space="0"/>
              <w:bottom w:val="single" w:color="000000" w:sz="4" w:space="0"/>
              <w:right w:val="single" w:color="000000" w:sz="4" w:space="0"/>
            </w:tcBorders>
            <w:vAlign w:val="center"/>
          </w:tcPr>
          <w:p w14:paraId="53D32C82">
            <w:pPr>
              <w:widowControl/>
              <w:spacing w:line="360" w:lineRule="auto"/>
              <w:jc w:val="left"/>
              <w:textAlignment w:val="center"/>
              <w:rPr>
                <w:rFonts w:hint="eastAsia" w:ascii="仿宋" w:hAnsi="仿宋" w:eastAsia="仿宋" w:cs="仿宋"/>
                <w:color w:val="auto"/>
                <w:sz w:val="24"/>
              </w:rPr>
            </w:pPr>
          </w:p>
        </w:tc>
        <w:tc>
          <w:tcPr>
            <w:tcW w:w="1264" w:type="dxa"/>
            <w:tcBorders>
              <w:top w:val="single" w:color="000000" w:sz="4" w:space="0"/>
              <w:left w:val="single" w:color="000000" w:sz="4" w:space="0"/>
              <w:bottom w:val="single" w:color="000000" w:sz="4" w:space="0"/>
              <w:right w:val="single" w:color="000000" w:sz="4" w:space="0"/>
            </w:tcBorders>
            <w:vAlign w:val="center"/>
          </w:tcPr>
          <w:p w14:paraId="12FEA10B">
            <w:pPr>
              <w:widowControl/>
              <w:spacing w:line="360" w:lineRule="auto"/>
              <w:jc w:val="center"/>
              <w:textAlignment w:val="center"/>
              <w:rPr>
                <w:rFonts w:hint="eastAsia" w:ascii="仿宋" w:hAnsi="仿宋" w:eastAsia="仿宋" w:cs="仿宋"/>
                <w:color w:val="auto"/>
                <w:szCs w:val="21"/>
              </w:rPr>
            </w:pPr>
            <w:r>
              <w:rPr>
                <w:rFonts w:hint="eastAsia" w:ascii="仿宋" w:hAnsi="仿宋" w:eastAsia="仿宋" w:cs="仿宋"/>
                <w:color w:val="auto"/>
                <w:szCs w:val="21"/>
                <w:lang w:bidi="ar"/>
              </w:rPr>
              <w:t>2.50</w:t>
            </w:r>
          </w:p>
        </w:tc>
        <w:tc>
          <w:tcPr>
            <w:tcW w:w="5193" w:type="dxa"/>
            <w:tcBorders>
              <w:top w:val="single" w:color="000000" w:sz="4" w:space="0"/>
              <w:left w:val="single" w:color="000000" w:sz="4" w:space="0"/>
              <w:bottom w:val="single" w:color="000000" w:sz="4" w:space="0"/>
              <w:right w:val="single" w:color="000000" w:sz="4" w:space="0"/>
            </w:tcBorders>
            <w:vAlign w:val="center"/>
          </w:tcPr>
          <w:p w14:paraId="6BCD74D3">
            <w:pPr>
              <w:widowControl/>
              <w:spacing w:line="360" w:lineRule="auto"/>
              <w:jc w:val="left"/>
              <w:textAlignment w:val="center"/>
              <w:rPr>
                <w:rFonts w:hint="eastAsia" w:ascii="仿宋" w:hAnsi="仿宋" w:eastAsia="仿宋" w:cs="仿宋"/>
                <w:color w:val="auto"/>
                <w:szCs w:val="21"/>
              </w:rPr>
            </w:pPr>
            <w:r>
              <w:rPr>
                <w:rFonts w:hint="eastAsia" w:ascii="仿宋" w:hAnsi="仿宋" w:eastAsia="仿宋" w:cs="仿宋"/>
                <w:color w:val="auto"/>
                <w:szCs w:val="21"/>
                <w:lang w:bidi="ar"/>
              </w:rPr>
              <w:t>黄金糕、马来糕、杂粮糕、流沙包、椰奶包、手工肉包、南瓜粥、小米粥等不少于8款</w:t>
            </w:r>
          </w:p>
        </w:tc>
      </w:tr>
      <w:tr w14:paraId="3A063C94">
        <w:tblPrEx>
          <w:tblCellMar>
            <w:top w:w="0" w:type="dxa"/>
            <w:left w:w="108" w:type="dxa"/>
            <w:bottom w:w="0" w:type="dxa"/>
            <w:right w:w="108" w:type="dxa"/>
          </w:tblCellMar>
        </w:tblPrEx>
        <w:trPr>
          <w:trHeight w:val="585" w:hRule="atLeast"/>
        </w:trPr>
        <w:tc>
          <w:tcPr>
            <w:tcW w:w="570" w:type="dxa"/>
            <w:vMerge w:val="continue"/>
            <w:tcBorders>
              <w:top w:val="single" w:color="000000" w:sz="4" w:space="0"/>
              <w:left w:val="single" w:color="000000" w:sz="4" w:space="0"/>
              <w:bottom w:val="nil"/>
              <w:right w:val="single" w:color="000000" w:sz="4" w:space="0"/>
            </w:tcBorders>
            <w:vAlign w:val="center"/>
          </w:tcPr>
          <w:p w14:paraId="7FE010F0">
            <w:pPr>
              <w:spacing w:line="360" w:lineRule="auto"/>
              <w:jc w:val="center"/>
              <w:rPr>
                <w:rFonts w:hint="eastAsia" w:ascii="方正仿宋_GBK" w:hAnsi="方正仿宋_GBK" w:eastAsia="方正仿宋_GBK" w:cs="方正仿宋_GBK"/>
                <w:color w:val="auto"/>
                <w:sz w:val="18"/>
                <w:szCs w:val="18"/>
              </w:rPr>
            </w:pPr>
          </w:p>
        </w:tc>
        <w:tc>
          <w:tcPr>
            <w:tcW w:w="1348" w:type="dxa"/>
            <w:vMerge w:val="continue"/>
            <w:tcBorders>
              <w:top w:val="single" w:color="000000" w:sz="4" w:space="0"/>
              <w:left w:val="single" w:color="000000" w:sz="4" w:space="0"/>
              <w:bottom w:val="single" w:color="000000" w:sz="4" w:space="0"/>
              <w:right w:val="single" w:color="000000" w:sz="4" w:space="0"/>
            </w:tcBorders>
            <w:vAlign w:val="center"/>
          </w:tcPr>
          <w:p w14:paraId="6FCE538E">
            <w:pPr>
              <w:widowControl/>
              <w:spacing w:line="360" w:lineRule="auto"/>
              <w:jc w:val="left"/>
              <w:textAlignment w:val="center"/>
              <w:rPr>
                <w:rFonts w:hint="eastAsia" w:ascii="仿宋" w:hAnsi="仿宋" w:eastAsia="仿宋" w:cs="仿宋"/>
                <w:color w:val="auto"/>
                <w:sz w:val="24"/>
              </w:rPr>
            </w:pPr>
          </w:p>
        </w:tc>
        <w:tc>
          <w:tcPr>
            <w:tcW w:w="1264" w:type="dxa"/>
            <w:tcBorders>
              <w:top w:val="single" w:color="000000" w:sz="4" w:space="0"/>
              <w:left w:val="single" w:color="000000" w:sz="4" w:space="0"/>
              <w:bottom w:val="single" w:color="000000" w:sz="4" w:space="0"/>
              <w:right w:val="single" w:color="000000" w:sz="4" w:space="0"/>
            </w:tcBorders>
            <w:vAlign w:val="center"/>
          </w:tcPr>
          <w:p w14:paraId="0C946823">
            <w:pPr>
              <w:widowControl/>
              <w:spacing w:line="360" w:lineRule="auto"/>
              <w:jc w:val="center"/>
              <w:textAlignment w:val="center"/>
              <w:rPr>
                <w:rFonts w:hint="eastAsia" w:ascii="仿宋" w:hAnsi="仿宋" w:eastAsia="仿宋" w:cs="仿宋"/>
                <w:color w:val="auto"/>
                <w:szCs w:val="21"/>
              </w:rPr>
            </w:pPr>
            <w:r>
              <w:rPr>
                <w:rFonts w:hint="eastAsia" w:ascii="仿宋" w:hAnsi="仿宋" w:eastAsia="仿宋" w:cs="仿宋"/>
                <w:color w:val="auto"/>
                <w:szCs w:val="21"/>
                <w:lang w:bidi="ar"/>
              </w:rPr>
              <w:t>3.00</w:t>
            </w:r>
          </w:p>
        </w:tc>
        <w:tc>
          <w:tcPr>
            <w:tcW w:w="5193" w:type="dxa"/>
            <w:tcBorders>
              <w:top w:val="single" w:color="000000" w:sz="4" w:space="0"/>
              <w:left w:val="single" w:color="000000" w:sz="4" w:space="0"/>
              <w:bottom w:val="single" w:color="000000" w:sz="4" w:space="0"/>
              <w:right w:val="single" w:color="000000" w:sz="4" w:space="0"/>
            </w:tcBorders>
            <w:vAlign w:val="center"/>
          </w:tcPr>
          <w:p w14:paraId="262C1541">
            <w:pPr>
              <w:widowControl/>
              <w:spacing w:line="360" w:lineRule="auto"/>
              <w:jc w:val="left"/>
              <w:textAlignment w:val="center"/>
              <w:rPr>
                <w:rFonts w:hint="eastAsia" w:ascii="仿宋" w:hAnsi="仿宋" w:eastAsia="仿宋" w:cs="仿宋"/>
                <w:color w:val="auto"/>
                <w:szCs w:val="21"/>
              </w:rPr>
            </w:pPr>
            <w:r>
              <w:rPr>
                <w:rFonts w:hint="eastAsia" w:ascii="仿宋" w:hAnsi="仿宋" w:eastAsia="仿宋" w:cs="仿宋"/>
                <w:color w:val="auto"/>
                <w:szCs w:val="21"/>
                <w:lang w:bidi="ar"/>
              </w:rPr>
              <w:t>粗粮类、肉粥、蔬菜类等不少于3款</w:t>
            </w:r>
          </w:p>
        </w:tc>
      </w:tr>
      <w:tr w14:paraId="4FDBE625">
        <w:tblPrEx>
          <w:tblCellMar>
            <w:top w:w="0" w:type="dxa"/>
            <w:left w:w="108" w:type="dxa"/>
            <w:bottom w:w="0" w:type="dxa"/>
            <w:right w:w="108" w:type="dxa"/>
          </w:tblCellMar>
        </w:tblPrEx>
        <w:trPr>
          <w:trHeight w:val="665" w:hRule="atLeast"/>
        </w:trPr>
        <w:tc>
          <w:tcPr>
            <w:tcW w:w="570" w:type="dxa"/>
            <w:vMerge w:val="continue"/>
            <w:tcBorders>
              <w:top w:val="single" w:color="000000" w:sz="4" w:space="0"/>
              <w:left w:val="single" w:color="000000" w:sz="4" w:space="0"/>
              <w:bottom w:val="nil"/>
              <w:right w:val="single" w:color="000000" w:sz="4" w:space="0"/>
            </w:tcBorders>
            <w:vAlign w:val="center"/>
          </w:tcPr>
          <w:p w14:paraId="733B8B22">
            <w:pPr>
              <w:spacing w:line="360" w:lineRule="auto"/>
              <w:jc w:val="center"/>
              <w:rPr>
                <w:rFonts w:hint="eastAsia" w:ascii="方正仿宋_GBK" w:hAnsi="方正仿宋_GBK" w:eastAsia="方正仿宋_GBK" w:cs="方正仿宋_GBK"/>
                <w:color w:val="auto"/>
                <w:sz w:val="18"/>
                <w:szCs w:val="18"/>
              </w:rPr>
            </w:pPr>
          </w:p>
        </w:tc>
        <w:tc>
          <w:tcPr>
            <w:tcW w:w="1348" w:type="dxa"/>
            <w:vMerge w:val="continue"/>
            <w:tcBorders>
              <w:top w:val="single" w:color="000000" w:sz="4" w:space="0"/>
              <w:left w:val="single" w:color="000000" w:sz="4" w:space="0"/>
              <w:bottom w:val="single" w:color="000000" w:sz="4" w:space="0"/>
              <w:right w:val="single" w:color="000000" w:sz="4" w:space="0"/>
            </w:tcBorders>
            <w:vAlign w:val="center"/>
          </w:tcPr>
          <w:p w14:paraId="23F5F327">
            <w:pPr>
              <w:widowControl/>
              <w:spacing w:line="360" w:lineRule="auto"/>
              <w:jc w:val="left"/>
              <w:textAlignment w:val="center"/>
              <w:rPr>
                <w:rFonts w:hint="eastAsia" w:ascii="仿宋" w:hAnsi="仿宋" w:eastAsia="仿宋" w:cs="仿宋"/>
                <w:color w:val="auto"/>
                <w:sz w:val="24"/>
              </w:rPr>
            </w:pPr>
          </w:p>
        </w:tc>
        <w:tc>
          <w:tcPr>
            <w:tcW w:w="1264" w:type="dxa"/>
            <w:tcBorders>
              <w:top w:val="single" w:color="000000" w:sz="4" w:space="0"/>
              <w:left w:val="single" w:color="000000" w:sz="4" w:space="0"/>
              <w:bottom w:val="single" w:color="000000" w:sz="4" w:space="0"/>
              <w:right w:val="single" w:color="000000" w:sz="4" w:space="0"/>
            </w:tcBorders>
            <w:vAlign w:val="center"/>
          </w:tcPr>
          <w:p w14:paraId="4471DBC2">
            <w:pPr>
              <w:widowControl/>
              <w:spacing w:line="360" w:lineRule="auto"/>
              <w:jc w:val="center"/>
              <w:textAlignment w:val="center"/>
              <w:rPr>
                <w:rFonts w:hint="eastAsia" w:ascii="仿宋" w:hAnsi="仿宋" w:eastAsia="仿宋" w:cs="仿宋"/>
                <w:color w:val="auto"/>
                <w:szCs w:val="21"/>
              </w:rPr>
            </w:pPr>
            <w:r>
              <w:rPr>
                <w:rFonts w:hint="eastAsia" w:ascii="仿宋" w:hAnsi="仿宋" w:eastAsia="仿宋" w:cs="仿宋"/>
                <w:color w:val="auto"/>
                <w:szCs w:val="21"/>
                <w:lang w:bidi="ar"/>
              </w:rPr>
              <w:t>3.50</w:t>
            </w:r>
          </w:p>
        </w:tc>
        <w:tc>
          <w:tcPr>
            <w:tcW w:w="5193" w:type="dxa"/>
            <w:tcBorders>
              <w:top w:val="single" w:color="000000" w:sz="4" w:space="0"/>
              <w:left w:val="single" w:color="000000" w:sz="4" w:space="0"/>
              <w:bottom w:val="single" w:color="000000" w:sz="4" w:space="0"/>
              <w:right w:val="single" w:color="000000" w:sz="4" w:space="0"/>
            </w:tcBorders>
            <w:vAlign w:val="center"/>
          </w:tcPr>
          <w:p w14:paraId="6036E541">
            <w:pPr>
              <w:widowControl/>
              <w:spacing w:line="360" w:lineRule="auto"/>
              <w:jc w:val="left"/>
              <w:textAlignment w:val="center"/>
              <w:rPr>
                <w:rFonts w:hint="eastAsia" w:ascii="仿宋" w:hAnsi="仿宋" w:eastAsia="仿宋" w:cs="仿宋"/>
                <w:color w:val="auto"/>
                <w:szCs w:val="21"/>
              </w:rPr>
            </w:pPr>
            <w:r>
              <w:rPr>
                <w:rFonts w:hint="eastAsia" w:ascii="仿宋" w:hAnsi="仿宋" w:eastAsia="仿宋" w:cs="仿宋"/>
                <w:color w:val="auto"/>
                <w:szCs w:val="21"/>
                <w:lang w:bidi="ar"/>
              </w:rPr>
              <w:t>纯牛奶、酸奶（含无糖）等不少于5款</w:t>
            </w:r>
          </w:p>
        </w:tc>
      </w:tr>
      <w:tr w14:paraId="3FB56A93">
        <w:tblPrEx>
          <w:tblCellMar>
            <w:top w:w="0" w:type="dxa"/>
            <w:left w:w="108" w:type="dxa"/>
            <w:bottom w:w="0" w:type="dxa"/>
            <w:right w:w="108" w:type="dxa"/>
          </w:tblCellMar>
        </w:tblPrEx>
        <w:trPr>
          <w:trHeight w:val="665" w:hRule="atLeast"/>
        </w:trPr>
        <w:tc>
          <w:tcPr>
            <w:tcW w:w="570" w:type="dxa"/>
            <w:vMerge w:val="continue"/>
            <w:tcBorders>
              <w:top w:val="single" w:color="000000" w:sz="4" w:space="0"/>
              <w:left w:val="single" w:color="000000" w:sz="4" w:space="0"/>
              <w:bottom w:val="nil"/>
              <w:right w:val="single" w:color="000000" w:sz="4" w:space="0"/>
            </w:tcBorders>
            <w:vAlign w:val="center"/>
          </w:tcPr>
          <w:p w14:paraId="6A8FB9FB">
            <w:pPr>
              <w:spacing w:line="360" w:lineRule="auto"/>
              <w:jc w:val="center"/>
              <w:rPr>
                <w:rFonts w:hint="eastAsia" w:ascii="方正仿宋_GBK" w:hAnsi="方正仿宋_GBK" w:eastAsia="方正仿宋_GBK" w:cs="方正仿宋_GBK"/>
                <w:color w:val="auto"/>
                <w:sz w:val="18"/>
                <w:szCs w:val="18"/>
              </w:rPr>
            </w:pPr>
          </w:p>
        </w:tc>
        <w:tc>
          <w:tcPr>
            <w:tcW w:w="1348" w:type="dxa"/>
            <w:vMerge w:val="continue"/>
            <w:tcBorders>
              <w:top w:val="single" w:color="000000" w:sz="4" w:space="0"/>
              <w:left w:val="single" w:color="000000" w:sz="4" w:space="0"/>
              <w:bottom w:val="single" w:color="000000" w:sz="4" w:space="0"/>
              <w:right w:val="single" w:color="000000" w:sz="4" w:space="0"/>
            </w:tcBorders>
            <w:vAlign w:val="center"/>
          </w:tcPr>
          <w:p w14:paraId="07A24F50">
            <w:pPr>
              <w:widowControl/>
              <w:spacing w:line="360" w:lineRule="auto"/>
              <w:jc w:val="left"/>
              <w:textAlignment w:val="center"/>
              <w:rPr>
                <w:rFonts w:hint="eastAsia" w:ascii="仿宋" w:hAnsi="仿宋" w:eastAsia="仿宋" w:cs="仿宋"/>
                <w:color w:val="auto"/>
                <w:sz w:val="24"/>
              </w:rPr>
            </w:pPr>
          </w:p>
        </w:tc>
        <w:tc>
          <w:tcPr>
            <w:tcW w:w="1264" w:type="dxa"/>
            <w:tcBorders>
              <w:top w:val="single" w:color="000000" w:sz="4" w:space="0"/>
              <w:left w:val="single" w:color="000000" w:sz="4" w:space="0"/>
              <w:bottom w:val="single" w:color="000000" w:sz="4" w:space="0"/>
              <w:right w:val="single" w:color="000000" w:sz="4" w:space="0"/>
            </w:tcBorders>
            <w:vAlign w:val="center"/>
          </w:tcPr>
          <w:p w14:paraId="674E1BEF">
            <w:pPr>
              <w:widowControl/>
              <w:spacing w:line="360" w:lineRule="auto"/>
              <w:jc w:val="center"/>
              <w:textAlignment w:val="center"/>
              <w:rPr>
                <w:rFonts w:hint="eastAsia" w:ascii="仿宋" w:hAnsi="仿宋" w:eastAsia="仿宋" w:cs="仿宋"/>
                <w:color w:val="auto"/>
                <w:szCs w:val="21"/>
              </w:rPr>
            </w:pPr>
            <w:r>
              <w:rPr>
                <w:rFonts w:hint="eastAsia" w:ascii="仿宋" w:hAnsi="仿宋" w:eastAsia="仿宋" w:cs="仿宋"/>
                <w:color w:val="auto"/>
                <w:szCs w:val="21"/>
                <w:lang w:bidi="ar"/>
              </w:rPr>
              <w:t>4.00</w:t>
            </w:r>
          </w:p>
        </w:tc>
        <w:tc>
          <w:tcPr>
            <w:tcW w:w="5193" w:type="dxa"/>
            <w:tcBorders>
              <w:top w:val="single" w:color="000000" w:sz="4" w:space="0"/>
              <w:left w:val="single" w:color="000000" w:sz="4" w:space="0"/>
              <w:bottom w:val="single" w:color="000000" w:sz="4" w:space="0"/>
              <w:right w:val="single" w:color="000000" w:sz="4" w:space="0"/>
            </w:tcBorders>
            <w:vAlign w:val="center"/>
          </w:tcPr>
          <w:p w14:paraId="27888815">
            <w:pPr>
              <w:widowControl/>
              <w:spacing w:line="360" w:lineRule="auto"/>
              <w:jc w:val="left"/>
              <w:textAlignment w:val="center"/>
              <w:rPr>
                <w:rFonts w:hint="eastAsia" w:ascii="仿宋" w:hAnsi="仿宋" w:eastAsia="仿宋" w:cs="仿宋"/>
                <w:color w:val="auto"/>
                <w:szCs w:val="21"/>
              </w:rPr>
            </w:pPr>
            <w:r>
              <w:rPr>
                <w:rFonts w:hint="eastAsia" w:ascii="仿宋" w:hAnsi="仿宋" w:eastAsia="仿宋" w:cs="仿宋"/>
                <w:color w:val="auto"/>
                <w:szCs w:val="21"/>
                <w:lang w:bidi="ar"/>
              </w:rPr>
              <w:t>三丝炒河粉、香葱鸡蛋炒面、鼓油皇炒面、含馅西式面包、抹茶蛋糕卷、三文治包等不少于8款</w:t>
            </w:r>
          </w:p>
        </w:tc>
      </w:tr>
      <w:tr w14:paraId="1B70326B">
        <w:tblPrEx>
          <w:tblCellMar>
            <w:top w:w="0" w:type="dxa"/>
            <w:left w:w="108" w:type="dxa"/>
            <w:bottom w:w="0" w:type="dxa"/>
            <w:right w:w="108" w:type="dxa"/>
          </w:tblCellMar>
        </w:tblPrEx>
        <w:trPr>
          <w:trHeight w:val="665" w:hRule="atLeast"/>
        </w:trPr>
        <w:tc>
          <w:tcPr>
            <w:tcW w:w="570" w:type="dxa"/>
            <w:vMerge w:val="continue"/>
            <w:tcBorders>
              <w:top w:val="single" w:color="000000" w:sz="4" w:space="0"/>
              <w:left w:val="single" w:color="000000" w:sz="4" w:space="0"/>
              <w:bottom w:val="nil"/>
              <w:right w:val="single" w:color="000000" w:sz="4" w:space="0"/>
            </w:tcBorders>
            <w:vAlign w:val="center"/>
          </w:tcPr>
          <w:p w14:paraId="5417C0B3">
            <w:pPr>
              <w:spacing w:line="360" w:lineRule="auto"/>
              <w:jc w:val="center"/>
              <w:rPr>
                <w:rFonts w:hint="eastAsia" w:ascii="方正仿宋_GBK" w:hAnsi="方正仿宋_GBK" w:eastAsia="方正仿宋_GBK" w:cs="方正仿宋_GBK"/>
                <w:color w:val="auto"/>
                <w:sz w:val="18"/>
                <w:szCs w:val="18"/>
              </w:rPr>
            </w:pPr>
          </w:p>
        </w:tc>
        <w:tc>
          <w:tcPr>
            <w:tcW w:w="1348" w:type="dxa"/>
            <w:vMerge w:val="continue"/>
            <w:tcBorders>
              <w:top w:val="single" w:color="000000" w:sz="4" w:space="0"/>
              <w:left w:val="single" w:color="000000" w:sz="4" w:space="0"/>
              <w:bottom w:val="single" w:color="000000" w:sz="4" w:space="0"/>
              <w:right w:val="single" w:color="000000" w:sz="4" w:space="0"/>
            </w:tcBorders>
            <w:vAlign w:val="center"/>
          </w:tcPr>
          <w:p w14:paraId="276C0FF4">
            <w:pPr>
              <w:widowControl/>
              <w:spacing w:line="360" w:lineRule="auto"/>
              <w:jc w:val="left"/>
              <w:textAlignment w:val="center"/>
              <w:rPr>
                <w:rFonts w:hint="eastAsia" w:ascii="仿宋" w:hAnsi="仿宋" w:eastAsia="仿宋" w:cs="仿宋"/>
                <w:color w:val="auto"/>
                <w:sz w:val="24"/>
              </w:rPr>
            </w:pPr>
          </w:p>
        </w:tc>
        <w:tc>
          <w:tcPr>
            <w:tcW w:w="1264" w:type="dxa"/>
            <w:tcBorders>
              <w:top w:val="single" w:color="000000" w:sz="4" w:space="0"/>
              <w:left w:val="single" w:color="000000" w:sz="4" w:space="0"/>
              <w:bottom w:val="single" w:color="000000" w:sz="4" w:space="0"/>
              <w:right w:val="single" w:color="000000" w:sz="4" w:space="0"/>
            </w:tcBorders>
            <w:vAlign w:val="center"/>
          </w:tcPr>
          <w:p w14:paraId="5A1D7F3D">
            <w:pPr>
              <w:widowControl/>
              <w:spacing w:line="360" w:lineRule="auto"/>
              <w:jc w:val="center"/>
              <w:textAlignment w:val="center"/>
              <w:rPr>
                <w:rFonts w:hint="eastAsia" w:ascii="仿宋" w:hAnsi="仿宋" w:eastAsia="仿宋" w:cs="仿宋"/>
                <w:color w:val="auto"/>
                <w:szCs w:val="21"/>
              </w:rPr>
            </w:pPr>
            <w:r>
              <w:rPr>
                <w:rFonts w:hint="eastAsia" w:ascii="仿宋" w:hAnsi="仿宋" w:eastAsia="仿宋" w:cs="仿宋"/>
                <w:color w:val="auto"/>
                <w:szCs w:val="21"/>
                <w:lang w:bidi="ar"/>
              </w:rPr>
              <w:t>8.00</w:t>
            </w:r>
          </w:p>
        </w:tc>
        <w:tc>
          <w:tcPr>
            <w:tcW w:w="5193" w:type="dxa"/>
            <w:tcBorders>
              <w:top w:val="single" w:color="000000" w:sz="4" w:space="0"/>
              <w:left w:val="single" w:color="000000" w:sz="4" w:space="0"/>
              <w:bottom w:val="single" w:color="000000" w:sz="4" w:space="0"/>
              <w:right w:val="single" w:color="000000" w:sz="4" w:space="0"/>
            </w:tcBorders>
            <w:vAlign w:val="center"/>
          </w:tcPr>
          <w:p w14:paraId="09FC72DB">
            <w:pPr>
              <w:widowControl/>
              <w:spacing w:line="360" w:lineRule="auto"/>
              <w:jc w:val="left"/>
              <w:textAlignment w:val="center"/>
              <w:rPr>
                <w:rFonts w:hint="eastAsia" w:ascii="仿宋" w:hAnsi="仿宋" w:eastAsia="仿宋" w:cs="仿宋"/>
                <w:color w:val="auto"/>
                <w:szCs w:val="21"/>
              </w:rPr>
            </w:pPr>
            <w:r>
              <w:rPr>
                <w:rFonts w:hint="eastAsia" w:ascii="仿宋" w:hAnsi="仿宋" w:eastAsia="仿宋" w:cs="仿宋"/>
                <w:color w:val="auto"/>
                <w:szCs w:val="21"/>
                <w:lang w:bidi="ar"/>
              </w:rPr>
              <w:t xml:space="preserve">斋肠5元，鸡蛋肠6元，肉肠7元，肉蛋肠8元等不少于4款 </w:t>
            </w:r>
          </w:p>
        </w:tc>
      </w:tr>
      <w:tr w14:paraId="256885F5">
        <w:tblPrEx>
          <w:tblCellMar>
            <w:top w:w="0" w:type="dxa"/>
            <w:left w:w="108" w:type="dxa"/>
            <w:bottom w:w="0" w:type="dxa"/>
            <w:right w:w="108" w:type="dxa"/>
          </w:tblCellMar>
        </w:tblPrEx>
        <w:trPr>
          <w:trHeight w:val="564" w:hRule="atLeast"/>
        </w:trPr>
        <w:tc>
          <w:tcPr>
            <w:tcW w:w="570" w:type="dxa"/>
            <w:vMerge w:val="continue"/>
            <w:tcBorders>
              <w:top w:val="single" w:color="000000" w:sz="4" w:space="0"/>
              <w:left w:val="single" w:color="000000" w:sz="4" w:space="0"/>
              <w:bottom w:val="nil"/>
              <w:right w:val="single" w:color="000000" w:sz="4" w:space="0"/>
            </w:tcBorders>
            <w:vAlign w:val="center"/>
          </w:tcPr>
          <w:p w14:paraId="0210FC82">
            <w:pPr>
              <w:spacing w:line="360" w:lineRule="auto"/>
              <w:jc w:val="center"/>
              <w:rPr>
                <w:rFonts w:hint="eastAsia" w:ascii="方正仿宋_GBK" w:hAnsi="方正仿宋_GBK" w:eastAsia="方正仿宋_GBK" w:cs="方正仿宋_GBK"/>
                <w:color w:val="auto"/>
                <w:sz w:val="18"/>
                <w:szCs w:val="18"/>
              </w:rPr>
            </w:pPr>
          </w:p>
        </w:tc>
        <w:tc>
          <w:tcPr>
            <w:tcW w:w="1348" w:type="dxa"/>
            <w:vMerge w:val="restart"/>
            <w:tcBorders>
              <w:top w:val="single" w:color="000000" w:sz="4" w:space="0"/>
              <w:left w:val="single" w:color="000000" w:sz="4" w:space="0"/>
              <w:bottom w:val="nil"/>
              <w:right w:val="single" w:color="000000" w:sz="4" w:space="0"/>
            </w:tcBorders>
            <w:noWrap/>
            <w:vAlign w:val="center"/>
          </w:tcPr>
          <w:p w14:paraId="3FD633B2">
            <w:pPr>
              <w:widowControl/>
              <w:spacing w:line="360" w:lineRule="auto"/>
              <w:jc w:val="left"/>
              <w:textAlignment w:val="center"/>
              <w:rPr>
                <w:rFonts w:hint="eastAsia" w:ascii="仿宋" w:hAnsi="仿宋" w:eastAsia="仿宋" w:cs="仿宋"/>
                <w:color w:val="auto"/>
                <w:sz w:val="24"/>
              </w:rPr>
            </w:pPr>
            <w:r>
              <w:rPr>
                <w:rFonts w:hint="eastAsia" w:ascii="仿宋" w:hAnsi="仿宋" w:eastAsia="仿宋" w:cs="仿宋"/>
                <w:color w:val="auto"/>
                <w:sz w:val="24"/>
                <w:lang w:bidi="ar"/>
              </w:rPr>
              <w:t>午餐/晚餐</w:t>
            </w:r>
          </w:p>
        </w:tc>
        <w:tc>
          <w:tcPr>
            <w:tcW w:w="1264" w:type="dxa"/>
            <w:tcBorders>
              <w:top w:val="single" w:color="000000" w:sz="4" w:space="0"/>
              <w:left w:val="single" w:color="000000" w:sz="4" w:space="0"/>
              <w:bottom w:val="single" w:color="000000" w:sz="4" w:space="0"/>
              <w:right w:val="single" w:color="000000" w:sz="4" w:space="0"/>
            </w:tcBorders>
            <w:vAlign w:val="center"/>
          </w:tcPr>
          <w:p w14:paraId="25FECBC4">
            <w:pPr>
              <w:widowControl/>
              <w:spacing w:line="360" w:lineRule="auto"/>
              <w:jc w:val="center"/>
              <w:textAlignment w:val="center"/>
              <w:rPr>
                <w:rFonts w:hint="eastAsia" w:ascii="仿宋" w:hAnsi="仿宋" w:eastAsia="仿宋" w:cs="仿宋"/>
                <w:color w:val="auto"/>
                <w:szCs w:val="21"/>
              </w:rPr>
            </w:pPr>
            <w:r>
              <w:rPr>
                <w:rFonts w:hint="eastAsia" w:ascii="仿宋" w:hAnsi="仿宋" w:eastAsia="仿宋" w:cs="仿宋"/>
                <w:color w:val="auto"/>
                <w:szCs w:val="21"/>
                <w:lang w:bidi="ar"/>
              </w:rPr>
              <w:t>1.00</w:t>
            </w:r>
          </w:p>
        </w:tc>
        <w:tc>
          <w:tcPr>
            <w:tcW w:w="5193" w:type="dxa"/>
            <w:tcBorders>
              <w:top w:val="single" w:color="000000" w:sz="4" w:space="0"/>
              <w:left w:val="single" w:color="000000" w:sz="4" w:space="0"/>
              <w:bottom w:val="single" w:color="000000" w:sz="4" w:space="0"/>
              <w:right w:val="single" w:color="000000" w:sz="4" w:space="0"/>
            </w:tcBorders>
            <w:vAlign w:val="center"/>
          </w:tcPr>
          <w:p w14:paraId="5BBDF187">
            <w:pPr>
              <w:widowControl/>
              <w:spacing w:line="360" w:lineRule="auto"/>
              <w:jc w:val="left"/>
              <w:textAlignment w:val="center"/>
              <w:rPr>
                <w:rFonts w:hint="eastAsia" w:ascii="仿宋" w:hAnsi="仿宋" w:eastAsia="仿宋" w:cs="仿宋"/>
                <w:color w:val="auto"/>
                <w:szCs w:val="21"/>
              </w:rPr>
            </w:pPr>
            <w:r>
              <w:rPr>
                <w:rFonts w:hint="eastAsia" w:ascii="仿宋" w:hAnsi="仿宋" w:eastAsia="仿宋" w:cs="仿宋"/>
                <w:color w:val="auto"/>
                <w:szCs w:val="21"/>
                <w:lang w:bidi="ar"/>
              </w:rPr>
              <w:t>打包盒、米饭半份150克等不少于2款</w:t>
            </w:r>
          </w:p>
        </w:tc>
      </w:tr>
      <w:tr w14:paraId="52C701AB">
        <w:tblPrEx>
          <w:tblCellMar>
            <w:top w:w="0" w:type="dxa"/>
            <w:left w:w="108" w:type="dxa"/>
            <w:bottom w:w="0" w:type="dxa"/>
            <w:right w:w="108" w:type="dxa"/>
          </w:tblCellMar>
        </w:tblPrEx>
        <w:trPr>
          <w:trHeight w:val="564" w:hRule="atLeast"/>
        </w:trPr>
        <w:tc>
          <w:tcPr>
            <w:tcW w:w="570" w:type="dxa"/>
            <w:vMerge w:val="continue"/>
            <w:tcBorders>
              <w:top w:val="single" w:color="000000" w:sz="4" w:space="0"/>
              <w:left w:val="single" w:color="000000" w:sz="4" w:space="0"/>
              <w:bottom w:val="nil"/>
              <w:right w:val="single" w:color="000000" w:sz="4" w:space="0"/>
            </w:tcBorders>
            <w:vAlign w:val="center"/>
          </w:tcPr>
          <w:p w14:paraId="1053970A">
            <w:pPr>
              <w:spacing w:line="360" w:lineRule="auto"/>
              <w:jc w:val="center"/>
              <w:rPr>
                <w:rFonts w:hint="eastAsia" w:ascii="方正仿宋_GBK" w:hAnsi="方正仿宋_GBK" w:eastAsia="方正仿宋_GBK" w:cs="方正仿宋_GBK"/>
                <w:color w:val="auto"/>
                <w:sz w:val="18"/>
                <w:szCs w:val="18"/>
              </w:rPr>
            </w:pPr>
          </w:p>
        </w:tc>
        <w:tc>
          <w:tcPr>
            <w:tcW w:w="1348" w:type="dxa"/>
            <w:vMerge w:val="continue"/>
            <w:tcBorders>
              <w:top w:val="single" w:color="000000" w:sz="4" w:space="0"/>
              <w:left w:val="single" w:color="000000" w:sz="4" w:space="0"/>
              <w:bottom w:val="nil"/>
              <w:right w:val="single" w:color="000000" w:sz="4" w:space="0"/>
            </w:tcBorders>
            <w:noWrap/>
            <w:vAlign w:val="center"/>
          </w:tcPr>
          <w:p w14:paraId="42A0752C">
            <w:pPr>
              <w:widowControl/>
              <w:spacing w:line="360" w:lineRule="auto"/>
              <w:jc w:val="left"/>
              <w:textAlignment w:val="center"/>
              <w:rPr>
                <w:rFonts w:hint="eastAsia" w:ascii="仿宋" w:hAnsi="仿宋" w:eastAsia="仿宋" w:cs="仿宋"/>
                <w:color w:val="auto"/>
                <w:sz w:val="24"/>
              </w:rPr>
            </w:pPr>
          </w:p>
        </w:tc>
        <w:tc>
          <w:tcPr>
            <w:tcW w:w="1264" w:type="dxa"/>
            <w:tcBorders>
              <w:top w:val="single" w:color="000000" w:sz="4" w:space="0"/>
              <w:left w:val="single" w:color="000000" w:sz="4" w:space="0"/>
              <w:bottom w:val="single" w:color="000000" w:sz="4" w:space="0"/>
              <w:right w:val="single" w:color="000000" w:sz="4" w:space="0"/>
            </w:tcBorders>
            <w:vAlign w:val="center"/>
          </w:tcPr>
          <w:p w14:paraId="745008F4">
            <w:pPr>
              <w:widowControl/>
              <w:spacing w:line="360" w:lineRule="auto"/>
              <w:jc w:val="center"/>
              <w:textAlignment w:val="center"/>
              <w:rPr>
                <w:rFonts w:hint="eastAsia" w:ascii="仿宋" w:hAnsi="仿宋" w:eastAsia="仿宋" w:cs="仿宋"/>
                <w:color w:val="auto"/>
                <w:szCs w:val="21"/>
              </w:rPr>
            </w:pPr>
            <w:r>
              <w:rPr>
                <w:rFonts w:hint="eastAsia" w:ascii="仿宋" w:hAnsi="仿宋" w:eastAsia="仿宋" w:cs="仿宋"/>
                <w:color w:val="auto"/>
                <w:szCs w:val="21"/>
                <w:lang w:bidi="ar"/>
              </w:rPr>
              <w:t>1.50</w:t>
            </w:r>
          </w:p>
        </w:tc>
        <w:tc>
          <w:tcPr>
            <w:tcW w:w="5193" w:type="dxa"/>
            <w:tcBorders>
              <w:top w:val="single" w:color="000000" w:sz="4" w:space="0"/>
              <w:left w:val="single" w:color="000000" w:sz="4" w:space="0"/>
              <w:bottom w:val="single" w:color="000000" w:sz="4" w:space="0"/>
              <w:right w:val="single" w:color="000000" w:sz="4" w:space="0"/>
            </w:tcBorders>
            <w:vAlign w:val="center"/>
          </w:tcPr>
          <w:p w14:paraId="0F65E254">
            <w:pPr>
              <w:widowControl/>
              <w:spacing w:line="360" w:lineRule="auto"/>
              <w:jc w:val="left"/>
              <w:textAlignment w:val="center"/>
              <w:rPr>
                <w:rFonts w:hint="eastAsia" w:ascii="仿宋" w:hAnsi="仿宋" w:eastAsia="仿宋" w:cs="仿宋"/>
                <w:color w:val="auto"/>
                <w:szCs w:val="21"/>
              </w:rPr>
            </w:pPr>
            <w:r>
              <w:rPr>
                <w:rFonts w:hint="eastAsia" w:ascii="仿宋" w:hAnsi="仿宋" w:eastAsia="仿宋" w:cs="仿宋"/>
                <w:color w:val="auto"/>
                <w:szCs w:val="21"/>
                <w:lang w:bidi="ar"/>
              </w:rPr>
              <w:t>粗粮饭半份、卤水蛋等不少于2款</w:t>
            </w:r>
          </w:p>
        </w:tc>
      </w:tr>
      <w:tr w14:paraId="31704846">
        <w:tblPrEx>
          <w:tblCellMar>
            <w:top w:w="0" w:type="dxa"/>
            <w:left w:w="108" w:type="dxa"/>
            <w:bottom w:w="0" w:type="dxa"/>
            <w:right w:w="108" w:type="dxa"/>
          </w:tblCellMar>
        </w:tblPrEx>
        <w:trPr>
          <w:trHeight w:val="564" w:hRule="atLeast"/>
        </w:trPr>
        <w:tc>
          <w:tcPr>
            <w:tcW w:w="570" w:type="dxa"/>
            <w:vMerge w:val="continue"/>
            <w:tcBorders>
              <w:top w:val="single" w:color="000000" w:sz="4" w:space="0"/>
              <w:left w:val="single" w:color="000000" w:sz="4" w:space="0"/>
              <w:bottom w:val="nil"/>
              <w:right w:val="single" w:color="000000" w:sz="4" w:space="0"/>
            </w:tcBorders>
            <w:vAlign w:val="center"/>
          </w:tcPr>
          <w:p w14:paraId="701A3224">
            <w:pPr>
              <w:spacing w:line="360" w:lineRule="auto"/>
              <w:jc w:val="center"/>
              <w:rPr>
                <w:rFonts w:hint="eastAsia" w:ascii="方正仿宋_GBK" w:hAnsi="方正仿宋_GBK" w:eastAsia="方正仿宋_GBK" w:cs="方正仿宋_GBK"/>
                <w:color w:val="auto"/>
                <w:sz w:val="18"/>
                <w:szCs w:val="18"/>
              </w:rPr>
            </w:pPr>
          </w:p>
        </w:tc>
        <w:tc>
          <w:tcPr>
            <w:tcW w:w="1348" w:type="dxa"/>
            <w:vMerge w:val="continue"/>
            <w:tcBorders>
              <w:top w:val="single" w:color="000000" w:sz="4" w:space="0"/>
              <w:left w:val="single" w:color="000000" w:sz="4" w:space="0"/>
              <w:bottom w:val="nil"/>
              <w:right w:val="single" w:color="000000" w:sz="4" w:space="0"/>
            </w:tcBorders>
            <w:noWrap/>
            <w:vAlign w:val="center"/>
          </w:tcPr>
          <w:p w14:paraId="0219B38C">
            <w:pPr>
              <w:widowControl/>
              <w:spacing w:line="360" w:lineRule="auto"/>
              <w:jc w:val="left"/>
              <w:textAlignment w:val="center"/>
              <w:rPr>
                <w:rFonts w:hint="eastAsia" w:ascii="仿宋" w:hAnsi="仿宋" w:eastAsia="仿宋" w:cs="仿宋"/>
                <w:color w:val="auto"/>
                <w:sz w:val="24"/>
              </w:rPr>
            </w:pPr>
          </w:p>
        </w:tc>
        <w:tc>
          <w:tcPr>
            <w:tcW w:w="1264" w:type="dxa"/>
            <w:tcBorders>
              <w:top w:val="single" w:color="000000" w:sz="4" w:space="0"/>
              <w:left w:val="single" w:color="000000" w:sz="4" w:space="0"/>
              <w:bottom w:val="single" w:color="000000" w:sz="4" w:space="0"/>
              <w:right w:val="single" w:color="000000" w:sz="4" w:space="0"/>
            </w:tcBorders>
            <w:vAlign w:val="center"/>
          </w:tcPr>
          <w:p w14:paraId="01A26E85">
            <w:pPr>
              <w:widowControl/>
              <w:spacing w:line="360" w:lineRule="auto"/>
              <w:jc w:val="center"/>
              <w:textAlignment w:val="center"/>
              <w:rPr>
                <w:rFonts w:hint="eastAsia" w:ascii="仿宋" w:hAnsi="仿宋" w:eastAsia="仿宋" w:cs="仿宋"/>
                <w:color w:val="auto"/>
                <w:szCs w:val="21"/>
              </w:rPr>
            </w:pPr>
            <w:r>
              <w:rPr>
                <w:rFonts w:hint="eastAsia" w:ascii="仿宋" w:hAnsi="仿宋" w:eastAsia="仿宋" w:cs="仿宋"/>
                <w:color w:val="auto"/>
                <w:szCs w:val="21"/>
                <w:lang w:bidi="ar"/>
              </w:rPr>
              <w:t>2.00</w:t>
            </w:r>
          </w:p>
        </w:tc>
        <w:tc>
          <w:tcPr>
            <w:tcW w:w="5193" w:type="dxa"/>
            <w:tcBorders>
              <w:top w:val="single" w:color="000000" w:sz="4" w:space="0"/>
              <w:left w:val="single" w:color="000000" w:sz="4" w:space="0"/>
              <w:bottom w:val="single" w:color="000000" w:sz="4" w:space="0"/>
              <w:right w:val="single" w:color="000000" w:sz="4" w:space="0"/>
            </w:tcBorders>
            <w:vAlign w:val="center"/>
          </w:tcPr>
          <w:p w14:paraId="12305B36">
            <w:pPr>
              <w:widowControl/>
              <w:spacing w:line="360" w:lineRule="auto"/>
              <w:jc w:val="left"/>
              <w:textAlignment w:val="center"/>
              <w:rPr>
                <w:rFonts w:hint="eastAsia" w:ascii="仿宋" w:hAnsi="仿宋" w:eastAsia="仿宋" w:cs="仿宋"/>
                <w:color w:val="auto"/>
                <w:szCs w:val="21"/>
              </w:rPr>
            </w:pPr>
            <w:r>
              <w:rPr>
                <w:rFonts w:hint="eastAsia" w:ascii="仿宋" w:hAnsi="仿宋" w:eastAsia="仿宋" w:cs="仿宋"/>
                <w:color w:val="auto"/>
                <w:szCs w:val="21"/>
                <w:lang w:bidi="ar"/>
              </w:rPr>
              <w:t>时蔬(瓜类、豆芽等)不少于6款</w:t>
            </w:r>
          </w:p>
        </w:tc>
      </w:tr>
      <w:tr w14:paraId="3EDA45E5">
        <w:tblPrEx>
          <w:tblCellMar>
            <w:top w:w="0" w:type="dxa"/>
            <w:left w:w="108" w:type="dxa"/>
            <w:bottom w:w="0" w:type="dxa"/>
            <w:right w:w="108" w:type="dxa"/>
          </w:tblCellMar>
        </w:tblPrEx>
        <w:trPr>
          <w:trHeight w:val="564" w:hRule="atLeast"/>
        </w:trPr>
        <w:tc>
          <w:tcPr>
            <w:tcW w:w="570" w:type="dxa"/>
            <w:vMerge w:val="continue"/>
            <w:tcBorders>
              <w:top w:val="single" w:color="000000" w:sz="4" w:space="0"/>
              <w:left w:val="single" w:color="000000" w:sz="4" w:space="0"/>
              <w:bottom w:val="nil"/>
              <w:right w:val="single" w:color="000000" w:sz="4" w:space="0"/>
            </w:tcBorders>
            <w:vAlign w:val="center"/>
          </w:tcPr>
          <w:p w14:paraId="4A6C1E75">
            <w:pPr>
              <w:spacing w:line="360" w:lineRule="auto"/>
              <w:jc w:val="center"/>
              <w:rPr>
                <w:rFonts w:hint="eastAsia" w:ascii="方正仿宋_GBK" w:hAnsi="方正仿宋_GBK" w:eastAsia="方正仿宋_GBK" w:cs="方正仿宋_GBK"/>
                <w:color w:val="auto"/>
                <w:sz w:val="18"/>
                <w:szCs w:val="18"/>
              </w:rPr>
            </w:pPr>
          </w:p>
        </w:tc>
        <w:tc>
          <w:tcPr>
            <w:tcW w:w="1348" w:type="dxa"/>
            <w:vMerge w:val="continue"/>
            <w:tcBorders>
              <w:top w:val="single" w:color="000000" w:sz="4" w:space="0"/>
              <w:left w:val="single" w:color="000000" w:sz="4" w:space="0"/>
              <w:bottom w:val="nil"/>
              <w:right w:val="single" w:color="000000" w:sz="4" w:space="0"/>
            </w:tcBorders>
            <w:noWrap/>
            <w:vAlign w:val="center"/>
          </w:tcPr>
          <w:p w14:paraId="066F35B6">
            <w:pPr>
              <w:widowControl/>
              <w:spacing w:line="360" w:lineRule="auto"/>
              <w:jc w:val="left"/>
              <w:textAlignment w:val="center"/>
              <w:rPr>
                <w:rFonts w:hint="eastAsia" w:ascii="仿宋" w:hAnsi="仿宋" w:eastAsia="仿宋" w:cs="仿宋"/>
                <w:color w:val="auto"/>
                <w:sz w:val="24"/>
              </w:rPr>
            </w:pPr>
          </w:p>
        </w:tc>
        <w:tc>
          <w:tcPr>
            <w:tcW w:w="1264" w:type="dxa"/>
            <w:tcBorders>
              <w:top w:val="single" w:color="000000" w:sz="4" w:space="0"/>
              <w:left w:val="single" w:color="000000" w:sz="4" w:space="0"/>
              <w:bottom w:val="single" w:color="000000" w:sz="4" w:space="0"/>
              <w:right w:val="single" w:color="000000" w:sz="4" w:space="0"/>
            </w:tcBorders>
            <w:vAlign w:val="center"/>
          </w:tcPr>
          <w:p w14:paraId="6F650359">
            <w:pPr>
              <w:widowControl/>
              <w:spacing w:line="360" w:lineRule="auto"/>
              <w:jc w:val="center"/>
              <w:textAlignment w:val="center"/>
              <w:rPr>
                <w:rFonts w:hint="eastAsia" w:ascii="仿宋" w:hAnsi="仿宋" w:eastAsia="仿宋" w:cs="仿宋"/>
                <w:color w:val="auto"/>
                <w:szCs w:val="21"/>
              </w:rPr>
            </w:pPr>
            <w:r>
              <w:rPr>
                <w:rFonts w:hint="eastAsia" w:ascii="仿宋" w:hAnsi="仿宋" w:eastAsia="仿宋" w:cs="仿宋"/>
                <w:color w:val="auto"/>
                <w:szCs w:val="21"/>
                <w:lang w:bidi="ar"/>
              </w:rPr>
              <w:t>3.00</w:t>
            </w:r>
          </w:p>
        </w:tc>
        <w:tc>
          <w:tcPr>
            <w:tcW w:w="5193" w:type="dxa"/>
            <w:tcBorders>
              <w:top w:val="single" w:color="000000" w:sz="4" w:space="0"/>
              <w:left w:val="single" w:color="000000" w:sz="4" w:space="0"/>
              <w:bottom w:val="single" w:color="000000" w:sz="4" w:space="0"/>
              <w:right w:val="single" w:color="000000" w:sz="4" w:space="0"/>
            </w:tcBorders>
            <w:vAlign w:val="center"/>
          </w:tcPr>
          <w:p w14:paraId="10AF8F02">
            <w:pPr>
              <w:widowControl/>
              <w:spacing w:line="360" w:lineRule="auto"/>
              <w:jc w:val="left"/>
              <w:textAlignment w:val="center"/>
              <w:rPr>
                <w:rFonts w:hint="eastAsia" w:ascii="仿宋" w:hAnsi="仿宋" w:eastAsia="仿宋" w:cs="仿宋"/>
                <w:color w:val="auto"/>
                <w:szCs w:val="21"/>
              </w:rPr>
            </w:pPr>
            <w:r>
              <w:rPr>
                <w:rFonts w:hint="eastAsia" w:ascii="仿宋" w:hAnsi="仿宋" w:eastAsia="仿宋" w:cs="仿宋"/>
                <w:color w:val="auto"/>
                <w:szCs w:val="21"/>
                <w:lang w:bidi="ar"/>
              </w:rPr>
              <w:t>粗粮饭1份、凉拌小菜、腊肠半条等不少于8款</w:t>
            </w:r>
          </w:p>
        </w:tc>
      </w:tr>
      <w:tr w14:paraId="448E5E3D">
        <w:tblPrEx>
          <w:tblCellMar>
            <w:top w:w="0" w:type="dxa"/>
            <w:left w:w="108" w:type="dxa"/>
            <w:bottom w:w="0" w:type="dxa"/>
            <w:right w:w="108" w:type="dxa"/>
          </w:tblCellMar>
        </w:tblPrEx>
        <w:trPr>
          <w:trHeight w:val="1077" w:hRule="atLeast"/>
        </w:trPr>
        <w:tc>
          <w:tcPr>
            <w:tcW w:w="570" w:type="dxa"/>
            <w:vMerge w:val="continue"/>
            <w:tcBorders>
              <w:top w:val="single" w:color="000000" w:sz="4" w:space="0"/>
              <w:left w:val="single" w:color="000000" w:sz="4" w:space="0"/>
              <w:bottom w:val="nil"/>
              <w:right w:val="single" w:color="000000" w:sz="4" w:space="0"/>
            </w:tcBorders>
            <w:vAlign w:val="center"/>
          </w:tcPr>
          <w:p w14:paraId="22889979">
            <w:pPr>
              <w:spacing w:line="360" w:lineRule="auto"/>
              <w:jc w:val="center"/>
              <w:rPr>
                <w:rFonts w:hint="eastAsia" w:ascii="方正仿宋_GBK" w:hAnsi="方正仿宋_GBK" w:eastAsia="方正仿宋_GBK" w:cs="方正仿宋_GBK"/>
                <w:color w:val="auto"/>
                <w:sz w:val="18"/>
                <w:szCs w:val="18"/>
              </w:rPr>
            </w:pPr>
          </w:p>
        </w:tc>
        <w:tc>
          <w:tcPr>
            <w:tcW w:w="1348" w:type="dxa"/>
            <w:vMerge w:val="continue"/>
            <w:tcBorders>
              <w:top w:val="single" w:color="000000" w:sz="4" w:space="0"/>
              <w:left w:val="single" w:color="000000" w:sz="4" w:space="0"/>
              <w:bottom w:val="nil"/>
              <w:right w:val="single" w:color="000000" w:sz="4" w:space="0"/>
            </w:tcBorders>
            <w:noWrap/>
            <w:vAlign w:val="center"/>
          </w:tcPr>
          <w:p w14:paraId="09147CB5">
            <w:pPr>
              <w:widowControl/>
              <w:spacing w:line="360" w:lineRule="auto"/>
              <w:jc w:val="left"/>
              <w:textAlignment w:val="center"/>
              <w:rPr>
                <w:rFonts w:hint="eastAsia" w:ascii="仿宋" w:hAnsi="仿宋" w:eastAsia="仿宋" w:cs="仿宋"/>
                <w:color w:val="auto"/>
                <w:sz w:val="24"/>
              </w:rPr>
            </w:pPr>
          </w:p>
        </w:tc>
        <w:tc>
          <w:tcPr>
            <w:tcW w:w="1264" w:type="dxa"/>
            <w:tcBorders>
              <w:top w:val="single" w:color="000000" w:sz="4" w:space="0"/>
              <w:left w:val="single" w:color="000000" w:sz="4" w:space="0"/>
              <w:bottom w:val="single" w:color="000000" w:sz="4" w:space="0"/>
              <w:right w:val="single" w:color="000000" w:sz="4" w:space="0"/>
            </w:tcBorders>
            <w:vAlign w:val="center"/>
          </w:tcPr>
          <w:p w14:paraId="310E61DB">
            <w:pPr>
              <w:widowControl/>
              <w:spacing w:line="360" w:lineRule="auto"/>
              <w:jc w:val="center"/>
              <w:textAlignment w:val="center"/>
              <w:rPr>
                <w:rFonts w:hint="eastAsia" w:ascii="仿宋" w:hAnsi="仿宋" w:eastAsia="仿宋" w:cs="仿宋"/>
                <w:color w:val="auto"/>
                <w:szCs w:val="21"/>
              </w:rPr>
            </w:pPr>
            <w:r>
              <w:rPr>
                <w:rFonts w:hint="eastAsia" w:ascii="仿宋" w:hAnsi="仿宋" w:eastAsia="仿宋" w:cs="仿宋"/>
                <w:color w:val="auto"/>
                <w:szCs w:val="21"/>
                <w:lang w:bidi="ar"/>
              </w:rPr>
              <w:t>4.00</w:t>
            </w:r>
          </w:p>
        </w:tc>
        <w:tc>
          <w:tcPr>
            <w:tcW w:w="5193" w:type="dxa"/>
            <w:tcBorders>
              <w:top w:val="single" w:color="000000" w:sz="4" w:space="0"/>
              <w:left w:val="single" w:color="000000" w:sz="4" w:space="0"/>
              <w:bottom w:val="single" w:color="000000" w:sz="4" w:space="0"/>
              <w:right w:val="single" w:color="000000" w:sz="4" w:space="0"/>
            </w:tcBorders>
            <w:vAlign w:val="center"/>
          </w:tcPr>
          <w:p w14:paraId="026EAC8F">
            <w:pPr>
              <w:widowControl/>
              <w:spacing w:line="360" w:lineRule="auto"/>
              <w:jc w:val="left"/>
              <w:textAlignment w:val="center"/>
              <w:rPr>
                <w:rFonts w:hint="eastAsia" w:ascii="仿宋" w:hAnsi="仿宋" w:eastAsia="仿宋" w:cs="仿宋"/>
                <w:color w:val="auto"/>
                <w:szCs w:val="21"/>
              </w:rPr>
            </w:pPr>
            <w:r>
              <w:rPr>
                <w:rFonts w:hint="eastAsia" w:ascii="仿宋" w:hAnsi="仿宋" w:eastAsia="仿宋" w:cs="仿宋"/>
                <w:color w:val="auto"/>
                <w:szCs w:val="21"/>
                <w:lang w:bidi="ar"/>
              </w:rPr>
              <w:t>小荤A：白洋葱炒蛋、蚝油肉沫豆腐、西红柿炒蛋、肉沫金针菇、麻辣海带、醋溜土豆丝、肉沫青笋、清爽小瓜、豆角炒蛋、青椒炒蛋、千张红萝卜丝、肉沫蒸南瓜、蚝油冬瓜等不少于16款</w:t>
            </w:r>
          </w:p>
        </w:tc>
      </w:tr>
      <w:tr w14:paraId="044B2137">
        <w:tblPrEx>
          <w:tblCellMar>
            <w:top w:w="0" w:type="dxa"/>
            <w:left w:w="108" w:type="dxa"/>
            <w:bottom w:w="0" w:type="dxa"/>
            <w:right w:w="108" w:type="dxa"/>
          </w:tblCellMar>
        </w:tblPrEx>
        <w:trPr>
          <w:trHeight w:val="665" w:hRule="atLeast"/>
        </w:trPr>
        <w:tc>
          <w:tcPr>
            <w:tcW w:w="570" w:type="dxa"/>
            <w:vMerge w:val="continue"/>
            <w:tcBorders>
              <w:top w:val="single" w:color="000000" w:sz="4" w:space="0"/>
              <w:left w:val="single" w:color="000000" w:sz="4" w:space="0"/>
              <w:bottom w:val="nil"/>
              <w:right w:val="single" w:color="000000" w:sz="4" w:space="0"/>
            </w:tcBorders>
            <w:vAlign w:val="center"/>
          </w:tcPr>
          <w:p w14:paraId="61E222C7">
            <w:pPr>
              <w:spacing w:line="360" w:lineRule="auto"/>
              <w:jc w:val="center"/>
              <w:rPr>
                <w:rFonts w:hint="eastAsia" w:ascii="方正仿宋_GBK" w:hAnsi="方正仿宋_GBK" w:eastAsia="方正仿宋_GBK" w:cs="方正仿宋_GBK"/>
                <w:color w:val="auto"/>
                <w:sz w:val="18"/>
                <w:szCs w:val="18"/>
              </w:rPr>
            </w:pPr>
          </w:p>
        </w:tc>
        <w:tc>
          <w:tcPr>
            <w:tcW w:w="1348" w:type="dxa"/>
            <w:vMerge w:val="continue"/>
            <w:tcBorders>
              <w:top w:val="single" w:color="000000" w:sz="4" w:space="0"/>
              <w:left w:val="single" w:color="000000" w:sz="4" w:space="0"/>
              <w:bottom w:val="nil"/>
              <w:right w:val="single" w:color="000000" w:sz="4" w:space="0"/>
            </w:tcBorders>
            <w:noWrap/>
            <w:vAlign w:val="center"/>
          </w:tcPr>
          <w:p w14:paraId="3E235C15">
            <w:pPr>
              <w:widowControl/>
              <w:spacing w:line="360" w:lineRule="auto"/>
              <w:jc w:val="left"/>
              <w:textAlignment w:val="center"/>
              <w:rPr>
                <w:rFonts w:hint="eastAsia" w:ascii="仿宋" w:hAnsi="仿宋" w:eastAsia="仿宋" w:cs="仿宋"/>
                <w:color w:val="auto"/>
                <w:sz w:val="24"/>
              </w:rPr>
            </w:pPr>
          </w:p>
        </w:tc>
        <w:tc>
          <w:tcPr>
            <w:tcW w:w="1264" w:type="dxa"/>
            <w:tcBorders>
              <w:top w:val="single" w:color="000000" w:sz="4" w:space="0"/>
              <w:left w:val="single" w:color="000000" w:sz="4" w:space="0"/>
              <w:bottom w:val="single" w:color="000000" w:sz="4" w:space="0"/>
              <w:right w:val="single" w:color="000000" w:sz="4" w:space="0"/>
            </w:tcBorders>
            <w:vAlign w:val="center"/>
          </w:tcPr>
          <w:p w14:paraId="5B6DC9AA">
            <w:pPr>
              <w:widowControl/>
              <w:spacing w:line="360" w:lineRule="auto"/>
              <w:jc w:val="center"/>
              <w:textAlignment w:val="center"/>
              <w:rPr>
                <w:rFonts w:hint="eastAsia" w:ascii="仿宋" w:hAnsi="仿宋" w:eastAsia="仿宋" w:cs="仿宋"/>
                <w:color w:val="auto"/>
                <w:szCs w:val="21"/>
              </w:rPr>
            </w:pPr>
            <w:r>
              <w:rPr>
                <w:rFonts w:hint="eastAsia" w:ascii="仿宋" w:hAnsi="仿宋" w:eastAsia="仿宋" w:cs="仿宋"/>
                <w:color w:val="auto"/>
                <w:szCs w:val="21"/>
                <w:lang w:bidi="ar"/>
              </w:rPr>
              <w:t>6.00</w:t>
            </w:r>
          </w:p>
        </w:tc>
        <w:tc>
          <w:tcPr>
            <w:tcW w:w="5193" w:type="dxa"/>
            <w:tcBorders>
              <w:top w:val="single" w:color="000000" w:sz="4" w:space="0"/>
              <w:left w:val="single" w:color="000000" w:sz="4" w:space="0"/>
              <w:bottom w:val="single" w:color="000000" w:sz="4" w:space="0"/>
              <w:right w:val="single" w:color="000000" w:sz="4" w:space="0"/>
            </w:tcBorders>
            <w:vAlign w:val="center"/>
          </w:tcPr>
          <w:p w14:paraId="18D4BEBF">
            <w:pPr>
              <w:widowControl/>
              <w:spacing w:line="360" w:lineRule="auto"/>
              <w:jc w:val="left"/>
              <w:textAlignment w:val="center"/>
              <w:rPr>
                <w:rFonts w:hint="eastAsia" w:ascii="仿宋" w:hAnsi="仿宋" w:eastAsia="仿宋" w:cs="仿宋"/>
                <w:color w:val="auto"/>
                <w:szCs w:val="21"/>
              </w:rPr>
            </w:pPr>
            <w:r>
              <w:rPr>
                <w:rFonts w:hint="eastAsia" w:ascii="仿宋" w:hAnsi="仿宋" w:eastAsia="仿宋" w:cs="仿宋"/>
                <w:color w:val="auto"/>
                <w:szCs w:val="21"/>
                <w:lang w:bidi="ar"/>
              </w:rPr>
              <w:t>小荤B：酸辣藕片炒肉、鱼香茄子、凉瓜肉片、菜花肉片、木须肉、西芹木耳炒肉片、干锅土豆片等不少于12款</w:t>
            </w:r>
          </w:p>
        </w:tc>
      </w:tr>
      <w:tr w14:paraId="5C86FA15">
        <w:tblPrEx>
          <w:tblCellMar>
            <w:top w:w="0" w:type="dxa"/>
            <w:left w:w="108" w:type="dxa"/>
            <w:bottom w:w="0" w:type="dxa"/>
            <w:right w:w="108" w:type="dxa"/>
          </w:tblCellMar>
        </w:tblPrEx>
        <w:trPr>
          <w:trHeight w:val="970" w:hRule="atLeast"/>
        </w:trPr>
        <w:tc>
          <w:tcPr>
            <w:tcW w:w="570" w:type="dxa"/>
            <w:vMerge w:val="continue"/>
            <w:tcBorders>
              <w:top w:val="single" w:color="000000" w:sz="4" w:space="0"/>
              <w:left w:val="single" w:color="000000" w:sz="4" w:space="0"/>
              <w:bottom w:val="nil"/>
              <w:right w:val="single" w:color="000000" w:sz="4" w:space="0"/>
            </w:tcBorders>
            <w:vAlign w:val="center"/>
          </w:tcPr>
          <w:p w14:paraId="7D7477BF">
            <w:pPr>
              <w:spacing w:line="360" w:lineRule="auto"/>
              <w:jc w:val="center"/>
              <w:rPr>
                <w:rFonts w:hint="eastAsia" w:ascii="方正仿宋_GBK" w:hAnsi="方正仿宋_GBK" w:eastAsia="方正仿宋_GBK" w:cs="方正仿宋_GBK"/>
                <w:color w:val="auto"/>
                <w:sz w:val="18"/>
                <w:szCs w:val="18"/>
              </w:rPr>
            </w:pPr>
          </w:p>
        </w:tc>
        <w:tc>
          <w:tcPr>
            <w:tcW w:w="1348" w:type="dxa"/>
            <w:vMerge w:val="continue"/>
            <w:tcBorders>
              <w:top w:val="single" w:color="000000" w:sz="4" w:space="0"/>
              <w:left w:val="single" w:color="000000" w:sz="4" w:space="0"/>
              <w:bottom w:val="nil"/>
              <w:right w:val="single" w:color="000000" w:sz="4" w:space="0"/>
            </w:tcBorders>
            <w:noWrap/>
            <w:vAlign w:val="center"/>
          </w:tcPr>
          <w:p w14:paraId="2416809E">
            <w:pPr>
              <w:widowControl/>
              <w:spacing w:line="360" w:lineRule="auto"/>
              <w:jc w:val="left"/>
              <w:textAlignment w:val="center"/>
              <w:rPr>
                <w:rFonts w:hint="eastAsia" w:ascii="仿宋" w:hAnsi="仿宋" w:eastAsia="仿宋" w:cs="仿宋"/>
                <w:color w:val="auto"/>
                <w:sz w:val="24"/>
              </w:rPr>
            </w:pPr>
          </w:p>
        </w:tc>
        <w:tc>
          <w:tcPr>
            <w:tcW w:w="1264" w:type="dxa"/>
            <w:tcBorders>
              <w:top w:val="single" w:color="000000" w:sz="4" w:space="0"/>
              <w:left w:val="single" w:color="000000" w:sz="4" w:space="0"/>
              <w:bottom w:val="single" w:color="000000" w:sz="4" w:space="0"/>
              <w:right w:val="single" w:color="000000" w:sz="4" w:space="0"/>
            </w:tcBorders>
            <w:vAlign w:val="center"/>
          </w:tcPr>
          <w:p w14:paraId="709EC0ED">
            <w:pPr>
              <w:widowControl/>
              <w:spacing w:line="360" w:lineRule="auto"/>
              <w:jc w:val="center"/>
              <w:textAlignment w:val="center"/>
              <w:rPr>
                <w:rFonts w:hint="eastAsia" w:ascii="仿宋" w:hAnsi="仿宋" w:eastAsia="仿宋" w:cs="仿宋"/>
                <w:color w:val="auto"/>
                <w:szCs w:val="21"/>
              </w:rPr>
            </w:pPr>
            <w:r>
              <w:rPr>
                <w:rFonts w:hint="eastAsia" w:ascii="仿宋" w:hAnsi="仿宋" w:eastAsia="仿宋" w:cs="仿宋"/>
                <w:color w:val="auto"/>
                <w:szCs w:val="21"/>
                <w:lang w:bidi="ar"/>
              </w:rPr>
              <w:t>8.00</w:t>
            </w:r>
          </w:p>
        </w:tc>
        <w:tc>
          <w:tcPr>
            <w:tcW w:w="5193" w:type="dxa"/>
            <w:tcBorders>
              <w:top w:val="single" w:color="000000" w:sz="4" w:space="0"/>
              <w:left w:val="single" w:color="000000" w:sz="4" w:space="0"/>
              <w:bottom w:val="single" w:color="000000" w:sz="4" w:space="0"/>
              <w:right w:val="single" w:color="000000" w:sz="4" w:space="0"/>
            </w:tcBorders>
            <w:vAlign w:val="center"/>
          </w:tcPr>
          <w:p w14:paraId="181B12FF">
            <w:pPr>
              <w:widowControl/>
              <w:spacing w:line="360" w:lineRule="auto"/>
              <w:jc w:val="left"/>
              <w:textAlignment w:val="center"/>
              <w:rPr>
                <w:rFonts w:hint="eastAsia" w:ascii="仿宋" w:hAnsi="仿宋" w:eastAsia="仿宋" w:cs="仿宋"/>
                <w:color w:val="auto"/>
                <w:szCs w:val="21"/>
              </w:rPr>
            </w:pPr>
            <w:r>
              <w:rPr>
                <w:rFonts w:hint="eastAsia" w:ascii="仿宋" w:hAnsi="仿宋" w:eastAsia="仿宋" w:cs="仿宋"/>
                <w:color w:val="auto"/>
                <w:szCs w:val="21"/>
                <w:lang w:bidi="ar"/>
              </w:rPr>
              <w:t>大荤：花生焖凤爪、剁椒蒸鱼块、酸菜红烧肉、回锅肉、菠萝咕噜肉、京葱爆花肉、秘制鸡中翅、干豆角红烧肉、青笋啤酒鸭、紫苏焖大鱼、清蒸太阳鱼、冬菜蒸鲈鱼等不少于12款</w:t>
            </w:r>
          </w:p>
        </w:tc>
      </w:tr>
      <w:tr w14:paraId="07BD50B2">
        <w:tblPrEx>
          <w:tblCellMar>
            <w:top w:w="0" w:type="dxa"/>
            <w:left w:w="108" w:type="dxa"/>
            <w:bottom w:w="0" w:type="dxa"/>
            <w:right w:w="108" w:type="dxa"/>
          </w:tblCellMar>
        </w:tblPrEx>
        <w:trPr>
          <w:trHeight w:val="954" w:hRule="atLeast"/>
        </w:trPr>
        <w:tc>
          <w:tcPr>
            <w:tcW w:w="570" w:type="dxa"/>
            <w:tcBorders>
              <w:top w:val="nil"/>
              <w:left w:val="single" w:color="000000" w:sz="4" w:space="0"/>
              <w:bottom w:val="nil"/>
              <w:right w:val="single" w:color="000000" w:sz="4" w:space="0"/>
            </w:tcBorders>
            <w:vAlign w:val="center"/>
          </w:tcPr>
          <w:p w14:paraId="04BBBB0C">
            <w:pPr>
              <w:spacing w:line="360" w:lineRule="auto"/>
              <w:jc w:val="center"/>
              <w:rPr>
                <w:rFonts w:hint="eastAsia" w:ascii="方正仿宋_GBK" w:hAnsi="方正仿宋_GBK" w:eastAsia="方正仿宋_GBK" w:cs="方正仿宋_GBK"/>
                <w:color w:val="auto"/>
                <w:sz w:val="18"/>
                <w:szCs w:val="18"/>
              </w:rPr>
            </w:pPr>
          </w:p>
        </w:tc>
        <w:tc>
          <w:tcPr>
            <w:tcW w:w="1348" w:type="dxa"/>
            <w:tcBorders>
              <w:top w:val="single" w:color="000000" w:sz="4" w:space="0"/>
              <w:left w:val="single" w:color="000000" w:sz="4" w:space="0"/>
              <w:bottom w:val="single" w:color="000000" w:sz="4" w:space="0"/>
              <w:right w:val="single" w:color="000000" w:sz="4" w:space="0"/>
            </w:tcBorders>
            <w:vAlign w:val="center"/>
          </w:tcPr>
          <w:p w14:paraId="2EE878FC">
            <w:pPr>
              <w:widowControl/>
              <w:spacing w:line="360" w:lineRule="auto"/>
              <w:jc w:val="left"/>
              <w:textAlignment w:val="center"/>
              <w:rPr>
                <w:rFonts w:hint="eastAsia" w:ascii="仿宋" w:hAnsi="仿宋" w:eastAsia="仿宋" w:cs="仿宋"/>
                <w:color w:val="auto"/>
                <w:sz w:val="24"/>
              </w:rPr>
            </w:pPr>
            <w:r>
              <w:rPr>
                <w:rFonts w:hint="eastAsia" w:ascii="仿宋" w:hAnsi="仿宋" w:eastAsia="仿宋" w:cs="仿宋"/>
                <w:color w:val="auto"/>
                <w:sz w:val="24"/>
                <w:lang w:bidi="ar"/>
              </w:rPr>
              <w:t>面食</w:t>
            </w:r>
          </w:p>
        </w:tc>
        <w:tc>
          <w:tcPr>
            <w:tcW w:w="1264" w:type="dxa"/>
            <w:tcBorders>
              <w:top w:val="single" w:color="000000" w:sz="4" w:space="0"/>
              <w:left w:val="single" w:color="000000" w:sz="4" w:space="0"/>
              <w:bottom w:val="single" w:color="000000" w:sz="4" w:space="0"/>
              <w:right w:val="single" w:color="000000" w:sz="4" w:space="0"/>
            </w:tcBorders>
            <w:vAlign w:val="center"/>
          </w:tcPr>
          <w:p w14:paraId="1BAD769B">
            <w:pPr>
              <w:widowControl/>
              <w:spacing w:line="360" w:lineRule="auto"/>
              <w:jc w:val="center"/>
              <w:textAlignment w:val="center"/>
              <w:rPr>
                <w:rFonts w:hint="eastAsia" w:ascii="仿宋" w:hAnsi="仿宋" w:eastAsia="仿宋" w:cs="仿宋"/>
                <w:color w:val="auto"/>
                <w:szCs w:val="21"/>
              </w:rPr>
            </w:pPr>
            <w:r>
              <w:rPr>
                <w:rFonts w:hint="eastAsia" w:ascii="仿宋" w:hAnsi="仿宋" w:eastAsia="仿宋" w:cs="仿宋"/>
                <w:color w:val="auto"/>
                <w:szCs w:val="21"/>
                <w:lang w:bidi="ar"/>
              </w:rPr>
              <w:t>15.00</w:t>
            </w:r>
          </w:p>
        </w:tc>
        <w:tc>
          <w:tcPr>
            <w:tcW w:w="5193" w:type="dxa"/>
            <w:tcBorders>
              <w:top w:val="single" w:color="000000" w:sz="4" w:space="0"/>
              <w:left w:val="single" w:color="000000" w:sz="4" w:space="0"/>
              <w:bottom w:val="single" w:color="000000" w:sz="4" w:space="0"/>
              <w:right w:val="single" w:color="000000" w:sz="4" w:space="0"/>
            </w:tcBorders>
            <w:vAlign w:val="center"/>
          </w:tcPr>
          <w:p w14:paraId="51BFB72D">
            <w:pPr>
              <w:widowControl/>
              <w:spacing w:line="360" w:lineRule="auto"/>
              <w:jc w:val="left"/>
              <w:textAlignment w:val="center"/>
              <w:rPr>
                <w:rFonts w:hint="eastAsia" w:ascii="仿宋" w:hAnsi="仿宋" w:eastAsia="仿宋" w:cs="仿宋"/>
                <w:color w:val="auto"/>
                <w:szCs w:val="21"/>
                <w:lang w:bidi="ar"/>
              </w:rPr>
            </w:pPr>
            <w:r>
              <w:rPr>
                <w:rFonts w:hint="eastAsia" w:ascii="仿宋" w:hAnsi="仿宋" w:eastAsia="仿宋" w:cs="仿宋"/>
                <w:color w:val="auto"/>
                <w:szCs w:val="21"/>
                <w:lang w:bidi="ar"/>
              </w:rPr>
              <w:t>红烧猪手汤粉/面、酱香烧肉粉/面、酸菜肥肠粉/面、香菇滑鸡粉/面、牛肉丸粉/面、土豆烧排骨粉/面、手工芹菜鲜肉水饺等不少于12款</w:t>
            </w:r>
          </w:p>
        </w:tc>
      </w:tr>
      <w:tr w14:paraId="11511980">
        <w:tblPrEx>
          <w:tblCellMar>
            <w:top w:w="0" w:type="dxa"/>
            <w:left w:w="108" w:type="dxa"/>
            <w:bottom w:w="0" w:type="dxa"/>
            <w:right w:w="108" w:type="dxa"/>
          </w:tblCellMar>
        </w:tblPrEx>
        <w:trPr>
          <w:trHeight w:val="502" w:hRule="atLeast"/>
        </w:trPr>
        <w:tc>
          <w:tcPr>
            <w:tcW w:w="570" w:type="dxa"/>
            <w:vMerge w:val="restart"/>
            <w:tcBorders>
              <w:top w:val="single" w:color="000000" w:sz="4" w:space="0"/>
              <w:left w:val="single" w:color="000000" w:sz="4" w:space="0"/>
              <w:bottom w:val="single" w:color="000000" w:sz="4" w:space="0"/>
              <w:right w:val="single" w:color="000000" w:sz="4" w:space="0"/>
            </w:tcBorders>
            <w:vAlign w:val="center"/>
          </w:tcPr>
          <w:p w14:paraId="1435A899">
            <w:pPr>
              <w:widowControl/>
              <w:spacing w:line="360" w:lineRule="auto"/>
              <w:jc w:val="center"/>
              <w:textAlignment w:val="center"/>
              <w:rPr>
                <w:rFonts w:hint="eastAsia" w:ascii="方正仿宋_GBK" w:hAnsi="方正仿宋_GBK" w:eastAsia="方正仿宋_GBK" w:cs="方正仿宋_GBK"/>
                <w:color w:val="auto"/>
                <w:sz w:val="18"/>
                <w:szCs w:val="18"/>
              </w:rPr>
            </w:pPr>
            <w:r>
              <w:rPr>
                <w:rFonts w:ascii="方正仿宋_GBK" w:hAnsi="方正仿宋_GBK" w:eastAsia="方正仿宋_GBK" w:cs="方正仿宋_GBK"/>
                <w:color w:val="auto"/>
                <w:kern w:val="0"/>
                <w:sz w:val="18"/>
                <w:szCs w:val="18"/>
                <w:lang w:bidi="ar"/>
              </w:rPr>
              <w:t>套餐</w:t>
            </w:r>
          </w:p>
        </w:tc>
        <w:tc>
          <w:tcPr>
            <w:tcW w:w="1348" w:type="dxa"/>
            <w:vMerge w:val="restart"/>
            <w:tcBorders>
              <w:top w:val="single" w:color="000000" w:sz="4" w:space="0"/>
              <w:left w:val="single" w:color="000000" w:sz="4" w:space="0"/>
              <w:bottom w:val="single" w:color="000000" w:sz="4" w:space="0"/>
              <w:right w:val="single" w:color="000000" w:sz="4" w:space="0"/>
            </w:tcBorders>
            <w:vAlign w:val="center"/>
          </w:tcPr>
          <w:p w14:paraId="32615C0D">
            <w:pPr>
              <w:widowControl/>
              <w:spacing w:line="360" w:lineRule="auto"/>
              <w:jc w:val="left"/>
              <w:textAlignment w:val="center"/>
              <w:rPr>
                <w:rFonts w:hint="eastAsia" w:ascii="仿宋" w:hAnsi="仿宋" w:eastAsia="仿宋" w:cs="仿宋"/>
                <w:color w:val="auto"/>
                <w:sz w:val="24"/>
              </w:rPr>
            </w:pPr>
            <w:r>
              <w:rPr>
                <w:rFonts w:hint="eastAsia" w:ascii="仿宋" w:hAnsi="仿宋" w:eastAsia="仿宋" w:cs="仿宋"/>
                <w:color w:val="auto"/>
                <w:sz w:val="24"/>
                <w:lang w:bidi="ar"/>
              </w:rPr>
              <w:t>超时餐</w:t>
            </w:r>
          </w:p>
        </w:tc>
        <w:tc>
          <w:tcPr>
            <w:tcW w:w="1264" w:type="dxa"/>
            <w:tcBorders>
              <w:top w:val="single" w:color="000000" w:sz="4" w:space="0"/>
              <w:left w:val="single" w:color="000000" w:sz="4" w:space="0"/>
              <w:bottom w:val="single" w:color="000000" w:sz="4" w:space="0"/>
              <w:right w:val="single" w:color="000000" w:sz="4" w:space="0"/>
            </w:tcBorders>
            <w:vAlign w:val="center"/>
          </w:tcPr>
          <w:p w14:paraId="52DEE210">
            <w:pPr>
              <w:widowControl/>
              <w:spacing w:line="360" w:lineRule="auto"/>
              <w:jc w:val="center"/>
              <w:textAlignment w:val="center"/>
              <w:rPr>
                <w:rFonts w:hint="eastAsia" w:ascii="仿宋" w:hAnsi="仿宋" w:eastAsia="仿宋" w:cs="仿宋"/>
                <w:color w:val="auto"/>
                <w:szCs w:val="21"/>
              </w:rPr>
            </w:pPr>
            <w:r>
              <w:rPr>
                <w:rFonts w:hint="eastAsia" w:ascii="仿宋" w:hAnsi="仿宋" w:eastAsia="仿宋" w:cs="仿宋"/>
                <w:color w:val="auto"/>
                <w:szCs w:val="21"/>
                <w:lang w:bidi="ar"/>
              </w:rPr>
              <w:t>18.00</w:t>
            </w:r>
          </w:p>
        </w:tc>
        <w:tc>
          <w:tcPr>
            <w:tcW w:w="5193" w:type="dxa"/>
            <w:tcBorders>
              <w:top w:val="single" w:color="000000" w:sz="4" w:space="0"/>
              <w:left w:val="single" w:color="000000" w:sz="4" w:space="0"/>
              <w:bottom w:val="single" w:color="000000" w:sz="4" w:space="0"/>
              <w:right w:val="single" w:color="000000" w:sz="4" w:space="0"/>
            </w:tcBorders>
            <w:vAlign w:val="center"/>
          </w:tcPr>
          <w:p w14:paraId="3D0E6565">
            <w:pPr>
              <w:widowControl/>
              <w:spacing w:line="360" w:lineRule="auto"/>
              <w:jc w:val="left"/>
              <w:textAlignment w:val="center"/>
              <w:rPr>
                <w:rFonts w:hint="eastAsia" w:ascii="仿宋" w:hAnsi="仿宋" w:eastAsia="仿宋" w:cs="仿宋"/>
                <w:color w:val="auto"/>
                <w:szCs w:val="21"/>
                <w:lang w:bidi="ar"/>
              </w:rPr>
            </w:pPr>
            <w:r>
              <w:rPr>
                <w:rFonts w:hint="eastAsia" w:ascii="仿宋" w:hAnsi="仿宋" w:eastAsia="仿宋" w:cs="仿宋"/>
                <w:color w:val="auto"/>
                <w:szCs w:val="21"/>
                <w:lang w:bidi="ar"/>
              </w:rPr>
              <w:t>小荤B+小荤A+小荤A+时蔬+米饭</w:t>
            </w:r>
          </w:p>
        </w:tc>
      </w:tr>
      <w:tr w14:paraId="0CDB9F80">
        <w:tblPrEx>
          <w:tblCellMar>
            <w:top w:w="0" w:type="dxa"/>
            <w:left w:w="108" w:type="dxa"/>
            <w:bottom w:w="0" w:type="dxa"/>
            <w:right w:w="108" w:type="dxa"/>
          </w:tblCellMar>
        </w:tblPrEx>
        <w:trPr>
          <w:trHeight w:val="502" w:hRule="atLeas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61FF4C94">
            <w:pPr>
              <w:spacing w:line="360" w:lineRule="auto"/>
              <w:jc w:val="center"/>
              <w:rPr>
                <w:rFonts w:hint="eastAsia" w:ascii="方正仿宋_GBK" w:hAnsi="方正仿宋_GBK" w:eastAsia="方正仿宋_GBK" w:cs="方正仿宋_GBK"/>
                <w:color w:val="auto"/>
                <w:sz w:val="18"/>
                <w:szCs w:val="18"/>
              </w:rPr>
            </w:pPr>
          </w:p>
        </w:tc>
        <w:tc>
          <w:tcPr>
            <w:tcW w:w="1348" w:type="dxa"/>
            <w:vMerge w:val="continue"/>
            <w:tcBorders>
              <w:top w:val="single" w:color="000000" w:sz="4" w:space="0"/>
              <w:left w:val="single" w:color="000000" w:sz="4" w:space="0"/>
              <w:bottom w:val="single" w:color="000000" w:sz="4" w:space="0"/>
              <w:right w:val="single" w:color="000000" w:sz="4" w:space="0"/>
            </w:tcBorders>
            <w:vAlign w:val="center"/>
          </w:tcPr>
          <w:p w14:paraId="76685BE3">
            <w:pPr>
              <w:widowControl/>
              <w:spacing w:line="360" w:lineRule="auto"/>
              <w:jc w:val="left"/>
              <w:textAlignment w:val="center"/>
              <w:rPr>
                <w:rFonts w:hint="eastAsia" w:ascii="仿宋" w:hAnsi="仿宋" w:eastAsia="仿宋" w:cs="仿宋"/>
                <w:color w:val="auto"/>
                <w:sz w:val="24"/>
              </w:rPr>
            </w:pPr>
          </w:p>
        </w:tc>
        <w:tc>
          <w:tcPr>
            <w:tcW w:w="1264" w:type="dxa"/>
            <w:tcBorders>
              <w:top w:val="single" w:color="000000" w:sz="4" w:space="0"/>
              <w:left w:val="single" w:color="000000" w:sz="4" w:space="0"/>
              <w:bottom w:val="single" w:color="000000" w:sz="4" w:space="0"/>
              <w:right w:val="single" w:color="000000" w:sz="4" w:space="0"/>
            </w:tcBorders>
            <w:noWrap/>
            <w:vAlign w:val="center"/>
          </w:tcPr>
          <w:p w14:paraId="293B11A3">
            <w:pPr>
              <w:widowControl/>
              <w:spacing w:line="360" w:lineRule="auto"/>
              <w:jc w:val="center"/>
              <w:textAlignment w:val="center"/>
              <w:rPr>
                <w:rFonts w:hint="eastAsia" w:ascii="仿宋" w:hAnsi="仿宋" w:eastAsia="仿宋" w:cs="仿宋"/>
                <w:color w:val="auto"/>
                <w:szCs w:val="21"/>
              </w:rPr>
            </w:pPr>
            <w:r>
              <w:rPr>
                <w:rFonts w:hint="eastAsia" w:ascii="仿宋" w:hAnsi="仿宋" w:eastAsia="仿宋" w:cs="仿宋"/>
                <w:color w:val="auto"/>
                <w:szCs w:val="21"/>
                <w:lang w:bidi="ar"/>
              </w:rPr>
              <w:t>26.00</w:t>
            </w:r>
          </w:p>
        </w:tc>
        <w:tc>
          <w:tcPr>
            <w:tcW w:w="5193" w:type="dxa"/>
            <w:tcBorders>
              <w:top w:val="single" w:color="000000" w:sz="4" w:space="0"/>
              <w:left w:val="single" w:color="000000" w:sz="4" w:space="0"/>
              <w:bottom w:val="single" w:color="000000" w:sz="4" w:space="0"/>
              <w:right w:val="single" w:color="000000" w:sz="4" w:space="0"/>
            </w:tcBorders>
            <w:noWrap/>
            <w:vAlign w:val="center"/>
          </w:tcPr>
          <w:p w14:paraId="0D349F1A">
            <w:pPr>
              <w:widowControl/>
              <w:spacing w:line="360" w:lineRule="auto"/>
              <w:jc w:val="left"/>
              <w:textAlignment w:val="center"/>
              <w:rPr>
                <w:rFonts w:hint="eastAsia" w:ascii="仿宋" w:hAnsi="仿宋" w:eastAsia="仿宋" w:cs="仿宋"/>
                <w:color w:val="auto"/>
                <w:szCs w:val="21"/>
                <w:lang w:bidi="ar"/>
              </w:rPr>
            </w:pPr>
            <w:r>
              <w:rPr>
                <w:rFonts w:hint="eastAsia" w:ascii="仿宋" w:hAnsi="仿宋" w:eastAsia="仿宋" w:cs="仿宋"/>
                <w:color w:val="auto"/>
                <w:szCs w:val="21"/>
                <w:lang w:bidi="ar"/>
              </w:rPr>
              <w:t>饭盒+例汤（大荤+小荤B+小荤B+青菜+米饭+例汤）</w:t>
            </w:r>
          </w:p>
        </w:tc>
      </w:tr>
      <w:tr w14:paraId="43BDAF46">
        <w:tblPrEx>
          <w:tblCellMar>
            <w:top w:w="0" w:type="dxa"/>
            <w:left w:w="108" w:type="dxa"/>
            <w:bottom w:w="0" w:type="dxa"/>
            <w:right w:w="108" w:type="dxa"/>
          </w:tblCellMar>
        </w:tblPrEx>
        <w:trPr>
          <w:trHeight w:val="502" w:hRule="atLeas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250E7D5B">
            <w:pPr>
              <w:spacing w:line="360" w:lineRule="auto"/>
              <w:jc w:val="center"/>
              <w:rPr>
                <w:rFonts w:hint="eastAsia" w:ascii="方正仿宋_GBK" w:hAnsi="方正仿宋_GBK" w:eastAsia="方正仿宋_GBK" w:cs="方正仿宋_GBK"/>
                <w:color w:val="auto"/>
                <w:sz w:val="18"/>
                <w:szCs w:val="18"/>
              </w:rPr>
            </w:pPr>
          </w:p>
        </w:tc>
        <w:tc>
          <w:tcPr>
            <w:tcW w:w="1348" w:type="dxa"/>
            <w:vMerge w:val="restart"/>
            <w:tcBorders>
              <w:top w:val="single" w:color="000000" w:sz="4" w:space="0"/>
              <w:left w:val="single" w:color="000000" w:sz="4" w:space="0"/>
              <w:bottom w:val="single" w:color="000000" w:sz="4" w:space="0"/>
              <w:right w:val="single" w:color="000000" w:sz="4" w:space="0"/>
            </w:tcBorders>
            <w:vAlign w:val="center"/>
          </w:tcPr>
          <w:p w14:paraId="00908CAE">
            <w:pPr>
              <w:widowControl/>
              <w:spacing w:line="360" w:lineRule="auto"/>
              <w:jc w:val="left"/>
              <w:textAlignment w:val="center"/>
              <w:rPr>
                <w:rFonts w:hint="eastAsia" w:ascii="仿宋" w:hAnsi="仿宋" w:eastAsia="仿宋" w:cs="仿宋"/>
                <w:color w:val="auto"/>
                <w:sz w:val="24"/>
              </w:rPr>
            </w:pPr>
            <w:r>
              <w:rPr>
                <w:rFonts w:hint="eastAsia" w:ascii="仿宋" w:hAnsi="仿宋" w:eastAsia="仿宋" w:cs="仿宋"/>
                <w:color w:val="auto"/>
                <w:sz w:val="24"/>
                <w:lang w:bidi="ar"/>
              </w:rPr>
              <w:t>工作（接待）餐或学术活动餐</w:t>
            </w:r>
          </w:p>
        </w:tc>
        <w:tc>
          <w:tcPr>
            <w:tcW w:w="1264" w:type="dxa"/>
            <w:tcBorders>
              <w:top w:val="single" w:color="000000" w:sz="4" w:space="0"/>
              <w:left w:val="single" w:color="000000" w:sz="4" w:space="0"/>
              <w:bottom w:val="single" w:color="000000" w:sz="4" w:space="0"/>
              <w:right w:val="single" w:color="000000" w:sz="4" w:space="0"/>
            </w:tcBorders>
            <w:noWrap/>
            <w:vAlign w:val="center"/>
          </w:tcPr>
          <w:p w14:paraId="775EA541">
            <w:pPr>
              <w:widowControl/>
              <w:spacing w:line="360" w:lineRule="auto"/>
              <w:jc w:val="center"/>
              <w:textAlignment w:val="center"/>
              <w:rPr>
                <w:rFonts w:hint="eastAsia" w:ascii="仿宋" w:hAnsi="仿宋" w:eastAsia="仿宋" w:cs="仿宋"/>
                <w:color w:val="auto"/>
                <w:szCs w:val="21"/>
              </w:rPr>
            </w:pPr>
            <w:r>
              <w:rPr>
                <w:rFonts w:hint="eastAsia" w:ascii="仿宋" w:hAnsi="仿宋" w:eastAsia="仿宋" w:cs="仿宋"/>
                <w:color w:val="auto"/>
                <w:szCs w:val="21"/>
                <w:lang w:bidi="ar"/>
              </w:rPr>
              <w:t>20.00</w:t>
            </w:r>
          </w:p>
        </w:tc>
        <w:tc>
          <w:tcPr>
            <w:tcW w:w="5193" w:type="dxa"/>
            <w:tcBorders>
              <w:top w:val="single" w:color="000000" w:sz="4" w:space="0"/>
              <w:left w:val="single" w:color="000000" w:sz="4" w:space="0"/>
              <w:bottom w:val="single" w:color="000000" w:sz="4" w:space="0"/>
              <w:right w:val="single" w:color="000000" w:sz="4" w:space="0"/>
            </w:tcBorders>
            <w:noWrap/>
            <w:vAlign w:val="center"/>
          </w:tcPr>
          <w:p w14:paraId="75F6D46D">
            <w:pPr>
              <w:widowControl/>
              <w:spacing w:line="360" w:lineRule="auto"/>
              <w:jc w:val="left"/>
              <w:textAlignment w:val="center"/>
              <w:rPr>
                <w:rFonts w:hint="eastAsia" w:ascii="仿宋" w:hAnsi="仿宋" w:eastAsia="仿宋" w:cs="仿宋"/>
                <w:color w:val="auto"/>
                <w:szCs w:val="21"/>
                <w:lang w:bidi="ar"/>
              </w:rPr>
            </w:pPr>
            <w:r>
              <w:rPr>
                <w:rFonts w:hint="eastAsia" w:ascii="仿宋" w:hAnsi="仿宋" w:eastAsia="仿宋" w:cs="仿宋"/>
                <w:color w:val="auto"/>
                <w:szCs w:val="21"/>
                <w:lang w:bidi="ar"/>
              </w:rPr>
              <w:t>饭盒+例汤（大荤+小荤B+青菜+米饭+例汤）</w:t>
            </w:r>
          </w:p>
        </w:tc>
      </w:tr>
      <w:tr w14:paraId="4170E4FF">
        <w:tblPrEx>
          <w:tblCellMar>
            <w:top w:w="0" w:type="dxa"/>
            <w:left w:w="108" w:type="dxa"/>
            <w:bottom w:w="0" w:type="dxa"/>
            <w:right w:w="108" w:type="dxa"/>
          </w:tblCellMar>
        </w:tblPrEx>
        <w:trPr>
          <w:trHeight w:val="502" w:hRule="atLeas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7C5BC60D">
            <w:pPr>
              <w:spacing w:line="360" w:lineRule="auto"/>
              <w:jc w:val="center"/>
              <w:rPr>
                <w:rFonts w:hint="eastAsia" w:ascii="方正仿宋_GBK" w:hAnsi="方正仿宋_GBK" w:eastAsia="方正仿宋_GBK" w:cs="方正仿宋_GBK"/>
                <w:color w:val="auto"/>
                <w:sz w:val="18"/>
                <w:szCs w:val="18"/>
              </w:rPr>
            </w:pPr>
          </w:p>
        </w:tc>
        <w:tc>
          <w:tcPr>
            <w:tcW w:w="1348" w:type="dxa"/>
            <w:vMerge w:val="continue"/>
            <w:tcBorders>
              <w:top w:val="single" w:color="000000" w:sz="4" w:space="0"/>
              <w:left w:val="single" w:color="000000" w:sz="4" w:space="0"/>
              <w:bottom w:val="single" w:color="000000" w:sz="4" w:space="0"/>
              <w:right w:val="single" w:color="000000" w:sz="4" w:space="0"/>
            </w:tcBorders>
            <w:vAlign w:val="center"/>
          </w:tcPr>
          <w:p w14:paraId="6E0D5BA3">
            <w:pPr>
              <w:widowControl/>
              <w:spacing w:line="360" w:lineRule="auto"/>
              <w:jc w:val="left"/>
              <w:textAlignment w:val="center"/>
              <w:rPr>
                <w:rFonts w:hint="eastAsia" w:ascii="仿宋" w:hAnsi="仿宋" w:eastAsia="仿宋" w:cs="仿宋"/>
                <w:color w:val="auto"/>
                <w:sz w:val="24"/>
              </w:rPr>
            </w:pPr>
          </w:p>
        </w:tc>
        <w:tc>
          <w:tcPr>
            <w:tcW w:w="1264" w:type="dxa"/>
            <w:tcBorders>
              <w:top w:val="single" w:color="000000" w:sz="4" w:space="0"/>
              <w:left w:val="single" w:color="000000" w:sz="4" w:space="0"/>
              <w:bottom w:val="single" w:color="000000" w:sz="4" w:space="0"/>
              <w:right w:val="single" w:color="000000" w:sz="4" w:space="0"/>
            </w:tcBorders>
            <w:noWrap/>
            <w:vAlign w:val="center"/>
          </w:tcPr>
          <w:p w14:paraId="7554EF17">
            <w:pPr>
              <w:widowControl/>
              <w:spacing w:line="360" w:lineRule="auto"/>
              <w:jc w:val="center"/>
              <w:textAlignment w:val="center"/>
              <w:rPr>
                <w:rFonts w:hint="eastAsia" w:ascii="仿宋" w:hAnsi="仿宋" w:eastAsia="仿宋" w:cs="仿宋"/>
                <w:color w:val="auto"/>
                <w:szCs w:val="21"/>
              </w:rPr>
            </w:pPr>
            <w:r>
              <w:rPr>
                <w:rFonts w:hint="eastAsia" w:ascii="仿宋" w:hAnsi="仿宋" w:eastAsia="仿宋" w:cs="仿宋"/>
                <w:color w:val="auto"/>
                <w:szCs w:val="21"/>
                <w:lang w:bidi="ar"/>
              </w:rPr>
              <w:t>30.00</w:t>
            </w:r>
          </w:p>
        </w:tc>
        <w:tc>
          <w:tcPr>
            <w:tcW w:w="5193" w:type="dxa"/>
            <w:tcBorders>
              <w:top w:val="single" w:color="000000" w:sz="4" w:space="0"/>
              <w:left w:val="single" w:color="000000" w:sz="4" w:space="0"/>
              <w:bottom w:val="single" w:color="000000" w:sz="4" w:space="0"/>
              <w:right w:val="single" w:color="000000" w:sz="4" w:space="0"/>
            </w:tcBorders>
            <w:noWrap/>
            <w:vAlign w:val="center"/>
          </w:tcPr>
          <w:p w14:paraId="7C14186B">
            <w:pPr>
              <w:widowControl/>
              <w:spacing w:line="360" w:lineRule="auto"/>
              <w:jc w:val="left"/>
              <w:textAlignment w:val="center"/>
              <w:rPr>
                <w:rFonts w:hint="eastAsia" w:ascii="仿宋" w:hAnsi="仿宋" w:eastAsia="仿宋" w:cs="仿宋"/>
                <w:color w:val="auto"/>
                <w:szCs w:val="21"/>
                <w:lang w:bidi="ar"/>
              </w:rPr>
            </w:pPr>
            <w:r>
              <w:rPr>
                <w:rFonts w:hint="eastAsia" w:ascii="仿宋" w:hAnsi="仿宋" w:eastAsia="仿宋" w:cs="仿宋"/>
                <w:color w:val="auto"/>
                <w:szCs w:val="21"/>
                <w:lang w:bidi="ar"/>
              </w:rPr>
              <w:t>饭盒+例汤（大荤+小荤B+小荤B+青菜+米饭+例汤）</w:t>
            </w:r>
          </w:p>
        </w:tc>
      </w:tr>
      <w:tr w14:paraId="29B1C98F">
        <w:tblPrEx>
          <w:tblCellMar>
            <w:top w:w="0" w:type="dxa"/>
            <w:left w:w="108" w:type="dxa"/>
            <w:bottom w:w="0" w:type="dxa"/>
            <w:right w:w="108" w:type="dxa"/>
          </w:tblCellMar>
        </w:tblPrEx>
        <w:trPr>
          <w:trHeight w:val="512" w:hRule="atLeast"/>
        </w:trPr>
        <w:tc>
          <w:tcPr>
            <w:tcW w:w="570" w:type="dxa"/>
            <w:vMerge w:val="continue"/>
            <w:tcBorders>
              <w:top w:val="single" w:color="000000" w:sz="4" w:space="0"/>
              <w:left w:val="single" w:color="000000" w:sz="4" w:space="0"/>
              <w:bottom w:val="single" w:color="000000" w:sz="4" w:space="0"/>
              <w:right w:val="single" w:color="000000" w:sz="4" w:space="0"/>
            </w:tcBorders>
            <w:vAlign w:val="center"/>
          </w:tcPr>
          <w:p w14:paraId="699D171C">
            <w:pPr>
              <w:spacing w:line="360" w:lineRule="auto"/>
              <w:jc w:val="center"/>
              <w:rPr>
                <w:rFonts w:hint="eastAsia" w:ascii="方正仿宋_GBK" w:hAnsi="方正仿宋_GBK" w:eastAsia="方正仿宋_GBK" w:cs="方正仿宋_GBK"/>
                <w:color w:val="auto"/>
                <w:sz w:val="18"/>
                <w:szCs w:val="18"/>
              </w:rPr>
            </w:pPr>
          </w:p>
        </w:tc>
        <w:tc>
          <w:tcPr>
            <w:tcW w:w="1348" w:type="dxa"/>
            <w:vMerge w:val="continue"/>
            <w:tcBorders>
              <w:top w:val="single" w:color="000000" w:sz="4" w:space="0"/>
              <w:left w:val="single" w:color="000000" w:sz="4" w:space="0"/>
              <w:bottom w:val="single" w:color="000000" w:sz="4" w:space="0"/>
              <w:right w:val="single" w:color="000000" w:sz="4" w:space="0"/>
            </w:tcBorders>
            <w:vAlign w:val="center"/>
          </w:tcPr>
          <w:p w14:paraId="2399998B">
            <w:pPr>
              <w:widowControl/>
              <w:spacing w:line="360" w:lineRule="auto"/>
              <w:jc w:val="left"/>
              <w:textAlignment w:val="center"/>
              <w:rPr>
                <w:rFonts w:hint="eastAsia" w:ascii="仿宋" w:hAnsi="仿宋" w:eastAsia="仿宋" w:cs="仿宋"/>
                <w:color w:val="auto"/>
                <w:sz w:val="24"/>
              </w:rPr>
            </w:pPr>
          </w:p>
        </w:tc>
        <w:tc>
          <w:tcPr>
            <w:tcW w:w="1264" w:type="dxa"/>
            <w:tcBorders>
              <w:top w:val="single" w:color="000000" w:sz="4" w:space="0"/>
              <w:left w:val="single" w:color="000000" w:sz="4" w:space="0"/>
              <w:bottom w:val="single" w:color="000000" w:sz="4" w:space="0"/>
              <w:right w:val="single" w:color="000000" w:sz="4" w:space="0"/>
            </w:tcBorders>
            <w:noWrap/>
            <w:vAlign w:val="center"/>
          </w:tcPr>
          <w:p w14:paraId="72B2BDB0">
            <w:pPr>
              <w:widowControl/>
              <w:spacing w:line="360" w:lineRule="auto"/>
              <w:jc w:val="center"/>
              <w:textAlignment w:val="center"/>
              <w:rPr>
                <w:rFonts w:hint="eastAsia" w:ascii="仿宋" w:hAnsi="仿宋" w:eastAsia="仿宋" w:cs="仿宋"/>
                <w:color w:val="auto"/>
                <w:szCs w:val="21"/>
              </w:rPr>
            </w:pPr>
            <w:r>
              <w:rPr>
                <w:rFonts w:hint="eastAsia" w:ascii="仿宋" w:hAnsi="仿宋" w:eastAsia="仿宋" w:cs="仿宋"/>
                <w:color w:val="auto"/>
                <w:szCs w:val="21"/>
                <w:lang w:bidi="ar"/>
              </w:rPr>
              <w:t>40.00</w:t>
            </w:r>
          </w:p>
        </w:tc>
        <w:tc>
          <w:tcPr>
            <w:tcW w:w="5193" w:type="dxa"/>
            <w:tcBorders>
              <w:top w:val="single" w:color="000000" w:sz="4" w:space="0"/>
              <w:left w:val="single" w:color="000000" w:sz="4" w:space="0"/>
              <w:bottom w:val="single" w:color="000000" w:sz="4" w:space="0"/>
              <w:right w:val="single" w:color="000000" w:sz="4" w:space="0"/>
            </w:tcBorders>
            <w:noWrap/>
            <w:vAlign w:val="center"/>
          </w:tcPr>
          <w:p w14:paraId="3C97CD22">
            <w:pPr>
              <w:widowControl/>
              <w:spacing w:line="360" w:lineRule="auto"/>
              <w:jc w:val="left"/>
              <w:textAlignment w:val="center"/>
              <w:rPr>
                <w:rFonts w:hint="eastAsia" w:ascii="仿宋" w:hAnsi="仿宋" w:eastAsia="仿宋" w:cs="仿宋"/>
                <w:color w:val="auto"/>
                <w:szCs w:val="21"/>
                <w:lang w:bidi="ar"/>
              </w:rPr>
            </w:pPr>
            <w:r>
              <w:rPr>
                <w:rFonts w:hint="eastAsia" w:ascii="仿宋" w:hAnsi="仿宋" w:eastAsia="仿宋" w:cs="仿宋"/>
                <w:color w:val="auto"/>
                <w:szCs w:val="21"/>
                <w:lang w:bidi="ar"/>
              </w:rPr>
              <w:t>托盘餐+药膳（大荤+小荤B+小荤B+青菜+米饭+药膳A）</w:t>
            </w:r>
          </w:p>
        </w:tc>
      </w:tr>
    </w:tbl>
    <w:p w14:paraId="560C5A32">
      <w:pPr>
        <w:widowControl/>
        <w:spacing w:line="360" w:lineRule="auto"/>
        <w:ind w:left="-363" w:firstLine="480" w:firstLineChars="200"/>
        <w:rPr>
          <w:rFonts w:hint="eastAsia" w:ascii="仿宋" w:hAnsi="仿宋" w:eastAsia="仿宋" w:cs="方正仿宋_GBK"/>
          <w:color w:val="auto"/>
          <w:kern w:val="0"/>
          <w:sz w:val="24"/>
          <w:lang w:bidi="ar"/>
        </w:rPr>
      </w:pPr>
      <w:r>
        <w:rPr>
          <w:rFonts w:hint="eastAsia" w:ascii="仿宋" w:hAnsi="仿宋" w:eastAsia="仿宋" w:cs="仿宋"/>
          <w:color w:val="auto"/>
          <w:sz w:val="24"/>
        </w:rPr>
        <w:t>（三）职工</w:t>
      </w:r>
      <w:r>
        <w:rPr>
          <w:rFonts w:hint="eastAsia" w:ascii="仿宋" w:hAnsi="仿宋" w:eastAsia="仿宋" w:cs="方正仿宋_GBK"/>
          <w:color w:val="auto"/>
          <w:kern w:val="0"/>
          <w:sz w:val="24"/>
          <w:lang w:bidi="ar"/>
        </w:rPr>
        <w:t>餐的定价与调价，须提前报送采购人审核同意后方可执行，</w:t>
      </w:r>
      <w:r>
        <w:rPr>
          <w:rFonts w:hint="eastAsia" w:ascii="仿宋" w:hAnsi="仿宋" w:eastAsia="仿宋" w:cs="方正仿宋_GBK"/>
          <w:b w:val="0"/>
          <w:bCs w:val="0"/>
          <w:color w:val="auto"/>
          <w:kern w:val="0"/>
          <w:sz w:val="24"/>
          <w:lang w:bidi="ar"/>
        </w:rPr>
        <w:t>投标人不得擅自定价或调价。</w:t>
      </w:r>
    </w:p>
    <w:p w14:paraId="0BBCB3DE">
      <w:pPr>
        <w:widowControl/>
        <w:spacing w:line="360" w:lineRule="auto"/>
        <w:ind w:left="-363" w:firstLine="480" w:firstLineChars="200"/>
        <w:rPr>
          <w:rFonts w:hint="eastAsia" w:ascii="仿宋" w:hAnsi="仿宋" w:eastAsia="仿宋" w:cs="方正仿宋_GBK"/>
          <w:color w:val="auto"/>
          <w:kern w:val="0"/>
          <w:sz w:val="24"/>
          <w:lang w:bidi="ar"/>
        </w:rPr>
      </w:pPr>
      <w:r>
        <w:rPr>
          <w:rFonts w:hint="eastAsia" w:ascii="仿宋" w:hAnsi="仿宋" w:eastAsia="仿宋" w:cs="方正仿宋_GBK"/>
          <w:color w:val="auto"/>
          <w:kern w:val="0"/>
          <w:sz w:val="24"/>
          <w:lang w:bidi="ar"/>
        </w:rPr>
        <w:t>（四）采购人的</w:t>
      </w:r>
      <w:r>
        <w:rPr>
          <w:rFonts w:hint="eastAsia" w:ascii="仿宋" w:hAnsi="仿宋" w:eastAsia="仿宋" w:cs="方正仿宋_GBK"/>
          <w:b w:val="0"/>
          <w:bCs w:val="0"/>
          <w:color w:val="auto"/>
          <w:kern w:val="0"/>
          <w:sz w:val="24"/>
          <w:lang w:bidi="ar"/>
        </w:rPr>
        <w:t>职工、实习生、规培生及第三方驻院工作人员等享有</w:t>
      </w:r>
      <w:r>
        <w:rPr>
          <w:rFonts w:hint="eastAsia" w:ascii="仿宋" w:hAnsi="仿宋" w:eastAsia="仿宋" w:cs="方正仿宋_GBK"/>
          <w:color w:val="auto"/>
          <w:kern w:val="0"/>
          <w:sz w:val="24"/>
          <w:lang w:bidi="ar"/>
        </w:rPr>
        <w:t>同等的餐饮消费折扣权益。该折扣适用于堂食、网络订餐、科室配送餐等所有职工餐饮类型，</w:t>
      </w:r>
      <w:r>
        <w:rPr>
          <w:rFonts w:hint="eastAsia" w:ascii="仿宋" w:hAnsi="仿宋" w:eastAsia="仿宋" w:cs="方正仿宋_GBK"/>
          <w:b w:val="0"/>
          <w:bCs w:val="0"/>
          <w:color w:val="auto"/>
          <w:kern w:val="0"/>
          <w:sz w:val="24"/>
          <w:lang w:bidi="ar"/>
        </w:rPr>
        <w:t>须统一标准、统一执行</w:t>
      </w:r>
      <w:r>
        <w:rPr>
          <w:rFonts w:hint="eastAsia" w:ascii="仿宋" w:hAnsi="仿宋" w:eastAsia="仿宋" w:cs="方正仿宋_GBK"/>
          <w:color w:val="auto"/>
          <w:kern w:val="0"/>
          <w:sz w:val="24"/>
          <w:lang w:bidi="ar"/>
        </w:rPr>
        <w:t>，不得设置差异化折扣。</w:t>
      </w:r>
    </w:p>
    <w:p w14:paraId="31E48DC6">
      <w:pPr>
        <w:widowControl/>
        <w:spacing w:line="360" w:lineRule="auto"/>
        <w:ind w:left="-363" w:firstLine="480" w:firstLineChars="200"/>
        <w:rPr>
          <w:rFonts w:ascii="仿宋" w:hAnsi="仿宋" w:eastAsia="仿宋" w:cs="方正仿宋_GBK"/>
          <w:color w:val="auto"/>
          <w:kern w:val="0"/>
          <w:sz w:val="24"/>
          <w:lang w:bidi="ar"/>
        </w:rPr>
      </w:pPr>
      <w:r>
        <w:rPr>
          <w:rFonts w:hint="eastAsia" w:ascii="仿宋" w:hAnsi="仿宋" w:eastAsia="仿宋" w:cs="方正仿宋_GBK"/>
          <w:color w:val="auto"/>
          <w:kern w:val="0"/>
          <w:sz w:val="24"/>
          <w:lang w:bidi="ar"/>
        </w:rPr>
        <w:t>（五）对于其他餐类（如特色餐、药食同源餐品、小餐厅围餐等），</w:t>
      </w:r>
      <w:r>
        <w:rPr>
          <w:rFonts w:hint="eastAsia" w:ascii="仿宋" w:hAnsi="仿宋" w:eastAsia="仿宋" w:cs="方正仿宋_GBK"/>
          <w:b w:val="0"/>
          <w:bCs w:val="0"/>
          <w:color w:val="auto"/>
          <w:kern w:val="0"/>
          <w:sz w:val="24"/>
          <w:lang w:bidi="ar"/>
        </w:rPr>
        <w:t>若属于采购人原有餐品清单内，其售价应保持与原售价平稳</w:t>
      </w:r>
      <w:r>
        <w:rPr>
          <w:rFonts w:hint="eastAsia" w:ascii="仿宋" w:hAnsi="仿宋" w:eastAsia="仿宋" w:cs="方正仿宋_GBK"/>
          <w:color w:val="auto"/>
          <w:kern w:val="0"/>
          <w:sz w:val="24"/>
          <w:lang w:bidi="ar"/>
        </w:rPr>
        <w:t>；新增菜式的定价，投标人须提交成本测算明细，经双方协商后确定。定价原则上应参考同类菜式的市场行情及中标折扣率，并须经采购人审核同意后方可执行。</w:t>
      </w:r>
    </w:p>
    <w:p w14:paraId="0D158BC7">
      <w:pPr>
        <w:widowControl/>
        <w:spacing w:line="360" w:lineRule="auto"/>
        <w:jc w:val="center"/>
        <w:rPr>
          <w:rFonts w:hint="eastAsia" w:ascii="宋体" w:hAnsi="宋体" w:eastAsia="宋体" w:cs="仿宋"/>
          <w:b/>
          <w:bCs/>
          <w:color w:val="auto"/>
          <w:sz w:val="24"/>
        </w:rPr>
      </w:pPr>
      <w:r>
        <w:rPr>
          <w:rFonts w:hint="eastAsia" w:ascii="宋体" w:hAnsi="宋体" w:eastAsia="宋体" w:cs="仿宋"/>
          <w:b/>
          <w:bCs/>
          <w:color w:val="auto"/>
          <w:sz w:val="24"/>
        </w:rPr>
        <w:t>具体其他餐类列表</w:t>
      </w:r>
    </w:p>
    <w:tbl>
      <w:tblPr>
        <w:tblStyle w:val="12"/>
        <w:tblW w:w="8379" w:type="dxa"/>
        <w:tblInd w:w="93" w:type="dxa"/>
        <w:tblLayout w:type="autofit"/>
        <w:tblCellMar>
          <w:top w:w="0" w:type="dxa"/>
          <w:left w:w="108" w:type="dxa"/>
          <w:bottom w:w="0" w:type="dxa"/>
          <w:right w:w="108" w:type="dxa"/>
        </w:tblCellMar>
      </w:tblPr>
      <w:tblGrid>
        <w:gridCol w:w="1433"/>
        <w:gridCol w:w="6946"/>
      </w:tblGrid>
      <w:tr w14:paraId="4116E933">
        <w:tblPrEx>
          <w:tblCellMar>
            <w:top w:w="0" w:type="dxa"/>
            <w:left w:w="108" w:type="dxa"/>
            <w:bottom w:w="0" w:type="dxa"/>
            <w:right w:w="108" w:type="dxa"/>
          </w:tblCellMar>
        </w:tblPrEx>
        <w:trPr>
          <w:trHeight w:val="467" w:hRule="atLeast"/>
        </w:trPr>
        <w:tc>
          <w:tcPr>
            <w:tcW w:w="1433" w:type="dxa"/>
            <w:tcBorders>
              <w:top w:val="single" w:color="000000" w:sz="4" w:space="0"/>
              <w:left w:val="single" w:color="000000" w:sz="4" w:space="0"/>
              <w:bottom w:val="single" w:color="000000" w:sz="4" w:space="0"/>
              <w:right w:val="single" w:color="000000" w:sz="4" w:space="0"/>
            </w:tcBorders>
            <w:vAlign w:val="center"/>
          </w:tcPr>
          <w:p w14:paraId="69E98597">
            <w:pPr>
              <w:widowControl/>
              <w:spacing w:line="360" w:lineRule="auto"/>
              <w:jc w:val="center"/>
              <w:textAlignment w:val="center"/>
              <w:rPr>
                <w:rFonts w:hint="eastAsia" w:ascii="仿宋" w:hAnsi="仿宋" w:eastAsia="仿宋" w:cs="方正仿宋_GBK"/>
                <w:b/>
                <w:bCs/>
                <w:color w:val="auto"/>
                <w:szCs w:val="21"/>
              </w:rPr>
            </w:pPr>
            <w:r>
              <w:rPr>
                <w:rFonts w:hint="eastAsia" w:ascii="仿宋" w:hAnsi="仿宋" w:eastAsia="仿宋" w:cs="方正仿宋_GBK"/>
                <w:b/>
                <w:bCs/>
                <w:color w:val="auto"/>
                <w:kern w:val="0"/>
                <w:szCs w:val="21"/>
                <w:lang w:bidi="ar"/>
              </w:rPr>
              <w:t>餐类</w:t>
            </w:r>
          </w:p>
        </w:tc>
        <w:tc>
          <w:tcPr>
            <w:tcW w:w="6946" w:type="dxa"/>
            <w:tcBorders>
              <w:top w:val="single" w:color="000000" w:sz="4" w:space="0"/>
              <w:left w:val="single" w:color="000000" w:sz="4" w:space="0"/>
              <w:bottom w:val="single" w:color="000000" w:sz="4" w:space="0"/>
              <w:right w:val="single" w:color="000000" w:sz="4" w:space="0"/>
            </w:tcBorders>
            <w:vAlign w:val="center"/>
          </w:tcPr>
          <w:p w14:paraId="2FE07587">
            <w:pPr>
              <w:widowControl/>
              <w:spacing w:line="360" w:lineRule="auto"/>
              <w:jc w:val="center"/>
              <w:textAlignment w:val="center"/>
              <w:rPr>
                <w:rFonts w:hint="eastAsia" w:ascii="仿宋" w:hAnsi="仿宋" w:eastAsia="仿宋" w:cs="方正仿宋_GBK"/>
                <w:b/>
                <w:bCs/>
                <w:color w:val="auto"/>
                <w:szCs w:val="21"/>
              </w:rPr>
            </w:pPr>
            <w:r>
              <w:rPr>
                <w:rFonts w:hint="eastAsia" w:ascii="仿宋" w:hAnsi="仿宋" w:eastAsia="仿宋" w:cs="方正仿宋_GBK"/>
                <w:b/>
                <w:bCs/>
                <w:color w:val="auto"/>
                <w:kern w:val="0"/>
                <w:szCs w:val="21"/>
                <w:lang w:bidi="ar"/>
              </w:rPr>
              <w:t>种类举例</w:t>
            </w:r>
          </w:p>
        </w:tc>
      </w:tr>
      <w:tr w14:paraId="23586607">
        <w:tblPrEx>
          <w:tblCellMar>
            <w:top w:w="0" w:type="dxa"/>
            <w:left w:w="108" w:type="dxa"/>
            <w:bottom w:w="0" w:type="dxa"/>
            <w:right w:w="108" w:type="dxa"/>
          </w:tblCellMar>
        </w:tblPrEx>
        <w:trPr>
          <w:trHeight w:val="513" w:hRule="atLeast"/>
        </w:trPr>
        <w:tc>
          <w:tcPr>
            <w:tcW w:w="1433" w:type="dxa"/>
            <w:tcBorders>
              <w:top w:val="single" w:color="000000" w:sz="4" w:space="0"/>
              <w:left w:val="single" w:color="000000" w:sz="4" w:space="0"/>
              <w:bottom w:val="single" w:color="000000" w:sz="4" w:space="0"/>
              <w:right w:val="single" w:color="000000" w:sz="4" w:space="0"/>
            </w:tcBorders>
            <w:vAlign w:val="center"/>
          </w:tcPr>
          <w:p w14:paraId="6816F4A8">
            <w:pPr>
              <w:widowControl/>
              <w:spacing w:line="360" w:lineRule="auto"/>
              <w:jc w:val="left"/>
              <w:textAlignment w:val="center"/>
              <w:rPr>
                <w:rFonts w:hint="eastAsia" w:ascii="仿宋" w:hAnsi="仿宋" w:eastAsia="仿宋" w:cs="仿宋"/>
                <w:color w:val="auto"/>
                <w:sz w:val="24"/>
                <w:lang w:bidi="ar"/>
              </w:rPr>
            </w:pPr>
            <w:r>
              <w:rPr>
                <w:rFonts w:ascii="仿宋" w:hAnsi="仿宋" w:eastAsia="仿宋" w:cs="仿宋"/>
                <w:color w:val="auto"/>
                <w:sz w:val="24"/>
                <w:lang w:bidi="ar"/>
              </w:rPr>
              <w:t>特色餐</w:t>
            </w:r>
          </w:p>
        </w:tc>
        <w:tc>
          <w:tcPr>
            <w:tcW w:w="6946" w:type="dxa"/>
            <w:tcBorders>
              <w:top w:val="single" w:color="000000" w:sz="4" w:space="0"/>
              <w:left w:val="single" w:color="000000" w:sz="4" w:space="0"/>
              <w:bottom w:val="single" w:color="000000" w:sz="4" w:space="0"/>
              <w:right w:val="single" w:color="000000" w:sz="4" w:space="0"/>
            </w:tcBorders>
            <w:vAlign w:val="center"/>
          </w:tcPr>
          <w:p w14:paraId="27754C7A">
            <w:pPr>
              <w:widowControl/>
              <w:spacing w:line="360" w:lineRule="auto"/>
              <w:jc w:val="left"/>
              <w:textAlignment w:val="center"/>
              <w:rPr>
                <w:rFonts w:hint="eastAsia" w:ascii="仿宋" w:hAnsi="仿宋" w:eastAsia="仿宋" w:cs="仿宋"/>
                <w:color w:val="auto"/>
                <w:sz w:val="24"/>
                <w:lang w:bidi="ar"/>
              </w:rPr>
            </w:pPr>
            <w:r>
              <w:rPr>
                <w:rFonts w:ascii="仿宋" w:hAnsi="仿宋" w:eastAsia="仿宋" w:cs="仿宋"/>
                <w:color w:val="auto"/>
                <w:sz w:val="24"/>
                <w:lang w:bidi="ar"/>
              </w:rPr>
              <w:t>汤饭、煲仔饭、焖饭、轻食餐、减重餐等</w:t>
            </w:r>
          </w:p>
        </w:tc>
      </w:tr>
      <w:tr w14:paraId="7D5C4EF7">
        <w:tblPrEx>
          <w:tblCellMar>
            <w:top w:w="0" w:type="dxa"/>
            <w:left w:w="108" w:type="dxa"/>
            <w:bottom w:w="0" w:type="dxa"/>
            <w:right w:w="108" w:type="dxa"/>
          </w:tblCellMar>
        </w:tblPrEx>
        <w:trPr>
          <w:trHeight w:val="960" w:hRule="atLeast"/>
        </w:trPr>
        <w:tc>
          <w:tcPr>
            <w:tcW w:w="1433" w:type="dxa"/>
            <w:tcBorders>
              <w:top w:val="single" w:color="000000" w:sz="4" w:space="0"/>
              <w:left w:val="single" w:color="000000" w:sz="4" w:space="0"/>
              <w:bottom w:val="single" w:color="000000" w:sz="4" w:space="0"/>
              <w:right w:val="single" w:color="000000" w:sz="4" w:space="0"/>
            </w:tcBorders>
            <w:vAlign w:val="center"/>
          </w:tcPr>
          <w:p w14:paraId="2C884787">
            <w:pPr>
              <w:widowControl/>
              <w:spacing w:line="360" w:lineRule="auto"/>
              <w:jc w:val="left"/>
              <w:textAlignment w:val="center"/>
              <w:rPr>
                <w:rFonts w:hint="eastAsia" w:ascii="仿宋" w:hAnsi="仿宋" w:eastAsia="仿宋" w:cs="仿宋"/>
                <w:color w:val="auto"/>
                <w:sz w:val="24"/>
                <w:lang w:bidi="ar"/>
              </w:rPr>
            </w:pPr>
            <w:bookmarkStart w:id="7" w:name="OLE_LINK17"/>
            <w:r>
              <w:rPr>
                <w:rFonts w:ascii="仿宋" w:hAnsi="仿宋" w:eastAsia="仿宋" w:cs="仿宋"/>
                <w:color w:val="auto"/>
                <w:sz w:val="24"/>
                <w:lang w:bidi="ar"/>
              </w:rPr>
              <w:t>药食同源餐品</w:t>
            </w:r>
            <w:bookmarkEnd w:id="7"/>
          </w:p>
        </w:tc>
        <w:tc>
          <w:tcPr>
            <w:tcW w:w="6946" w:type="dxa"/>
            <w:tcBorders>
              <w:top w:val="single" w:color="000000" w:sz="4" w:space="0"/>
              <w:left w:val="single" w:color="000000" w:sz="4" w:space="0"/>
              <w:bottom w:val="single" w:color="000000" w:sz="4" w:space="0"/>
              <w:right w:val="single" w:color="000000" w:sz="4" w:space="0"/>
            </w:tcBorders>
            <w:vAlign w:val="center"/>
          </w:tcPr>
          <w:p w14:paraId="1880DBAD">
            <w:pPr>
              <w:widowControl/>
              <w:spacing w:line="360" w:lineRule="auto"/>
              <w:jc w:val="left"/>
              <w:textAlignment w:val="center"/>
              <w:rPr>
                <w:rFonts w:hint="eastAsia" w:ascii="仿宋" w:hAnsi="仿宋" w:eastAsia="仿宋" w:cs="仿宋"/>
                <w:color w:val="auto"/>
                <w:sz w:val="24"/>
                <w:lang w:bidi="ar"/>
              </w:rPr>
            </w:pPr>
            <w:r>
              <w:rPr>
                <w:rFonts w:ascii="仿宋" w:hAnsi="仿宋" w:eastAsia="仿宋" w:cs="仿宋"/>
                <w:color w:val="auto"/>
                <w:sz w:val="24"/>
                <w:lang w:bidi="ar"/>
              </w:rPr>
              <w:t>1.药膳汤：药膳A（350ML）、药膳B（450ML）、药膳C（600ML）；陈皮瘦肉水、白茅根竹蔗炖瘦肉、虫草花淮杞党参炖排骨等</w:t>
            </w:r>
          </w:p>
          <w:p w14:paraId="66219287">
            <w:pPr>
              <w:widowControl/>
              <w:spacing w:line="360" w:lineRule="auto"/>
              <w:jc w:val="left"/>
              <w:textAlignment w:val="center"/>
              <w:rPr>
                <w:rFonts w:hint="eastAsia" w:ascii="仿宋" w:hAnsi="仿宋" w:eastAsia="仿宋" w:cs="仿宋"/>
                <w:color w:val="auto"/>
                <w:sz w:val="24"/>
                <w:lang w:bidi="ar"/>
              </w:rPr>
            </w:pPr>
            <w:r>
              <w:rPr>
                <w:rFonts w:ascii="仿宋" w:hAnsi="仿宋" w:eastAsia="仿宋" w:cs="仿宋"/>
                <w:color w:val="auto"/>
                <w:sz w:val="24"/>
                <w:lang w:bidi="ar"/>
              </w:rPr>
              <w:t>2.养生茶饮：清肝明目茶、荷叶清热茶等</w:t>
            </w:r>
          </w:p>
          <w:p w14:paraId="7F1E6C00">
            <w:pPr>
              <w:widowControl/>
              <w:spacing w:line="360" w:lineRule="auto"/>
              <w:jc w:val="left"/>
              <w:textAlignment w:val="center"/>
              <w:rPr>
                <w:rFonts w:hint="eastAsia" w:ascii="仿宋" w:hAnsi="仿宋" w:eastAsia="仿宋" w:cs="仿宋"/>
                <w:color w:val="auto"/>
                <w:sz w:val="24"/>
                <w:lang w:bidi="ar"/>
              </w:rPr>
            </w:pPr>
            <w:r>
              <w:rPr>
                <w:rFonts w:ascii="仿宋" w:hAnsi="仿宋" w:eastAsia="仿宋" w:cs="仿宋"/>
                <w:color w:val="auto"/>
                <w:sz w:val="24"/>
                <w:lang w:bidi="ar"/>
              </w:rPr>
              <w:t>3.药膳点心：枸杞黑芝麻蛋卷、养生红枣核桃面包等</w:t>
            </w:r>
          </w:p>
        </w:tc>
      </w:tr>
      <w:tr w14:paraId="3FC03E08">
        <w:tblPrEx>
          <w:tblCellMar>
            <w:top w:w="0" w:type="dxa"/>
            <w:left w:w="108" w:type="dxa"/>
            <w:bottom w:w="0" w:type="dxa"/>
            <w:right w:w="108" w:type="dxa"/>
          </w:tblCellMar>
        </w:tblPrEx>
        <w:trPr>
          <w:trHeight w:val="557" w:hRule="atLeast"/>
        </w:trPr>
        <w:tc>
          <w:tcPr>
            <w:tcW w:w="1433" w:type="dxa"/>
            <w:tcBorders>
              <w:top w:val="single" w:color="000000" w:sz="4" w:space="0"/>
              <w:left w:val="single" w:color="000000" w:sz="4" w:space="0"/>
              <w:bottom w:val="single" w:color="000000" w:sz="4" w:space="0"/>
              <w:right w:val="single" w:color="000000" w:sz="4" w:space="0"/>
            </w:tcBorders>
            <w:vAlign w:val="center"/>
          </w:tcPr>
          <w:p w14:paraId="3BBD90E5">
            <w:pPr>
              <w:widowControl/>
              <w:spacing w:line="360" w:lineRule="auto"/>
              <w:jc w:val="left"/>
              <w:textAlignment w:val="center"/>
              <w:rPr>
                <w:rFonts w:hint="eastAsia" w:ascii="仿宋" w:hAnsi="仿宋" w:eastAsia="仿宋" w:cs="仿宋"/>
                <w:color w:val="auto"/>
                <w:sz w:val="24"/>
                <w:lang w:bidi="ar"/>
              </w:rPr>
            </w:pPr>
            <w:r>
              <w:rPr>
                <w:rFonts w:ascii="仿宋" w:hAnsi="仿宋" w:eastAsia="仿宋" w:cs="仿宋"/>
                <w:color w:val="auto"/>
                <w:sz w:val="24"/>
                <w:lang w:bidi="ar"/>
              </w:rPr>
              <w:t>小餐厅围餐</w:t>
            </w:r>
          </w:p>
        </w:tc>
        <w:tc>
          <w:tcPr>
            <w:tcW w:w="6946" w:type="dxa"/>
            <w:tcBorders>
              <w:top w:val="single" w:color="000000" w:sz="4" w:space="0"/>
              <w:left w:val="single" w:color="000000" w:sz="4" w:space="0"/>
              <w:bottom w:val="single" w:color="000000" w:sz="4" w:space="0"/>
              <w:right w:val="single" w:color="000000" w:sz="4" w:space="0"/>
            </w:tcBorders>
            <w:vAlign w:val="center"/>
          </w:tcPr>
          <w:p w14:paraId="6FB7BBA2">
            <w:pPr>
              <w:widowControl/>
              <w:spacing w:line="360" w:lineRule="auto"/>
              <w:jc w:val="left"/>
              <w:textAlignment w:val="center"/>
              <w:rPr>
                <w:rFonts w:hint="eastAsia" w:ascii="仿宋" w:hAnsi="仿宋" w:eastAsia="仿宋" w:cs="仿宋"/>
                <w:color w:val="auto"/>
                <w:sz w:val="24"/>
                <w:lang w:bidi="ar"/>
              </w:rPr>
            </w:pPr>
            <w:r>
              <w:rPr>
                <w:rFonts w:ascii="仿宋" w:hAnsi="仿宋" w:eastAsia="仿宋" w:cs="仿宋"/>
                <w:color w:val="auto"/>
                <w:sz w:val="24"/>
                <w:lang w:bidi="ar"/>
              </w:rPr>
              <w:t>含肉禽类、海鲜类、蔬菜类、汤类、点心类、主食类等</w:t>
            </w:r>
          </w:p>
        </w:tc>
      </w:tr>
    </w:tbl>
    <w:p w14:paraId="3509F845">
      <w:pPr>
        <w:pStyle w:val="3"/>
        <w:widowControl/>
        <w:spacing w:beforeAutospacing="0" w:afterAutospacing="0" w:line="360" w:lineRule="auto"/>
        <w:ind w:firstLine="566" w:firstLineChars="235"/>
        <w:rPr>
          <w:rFonts w:ascii="仿宋" w:hAnsi="仿宋" w:eastAsia="仿宋" w:cs="仿宋"/>
          <w:color w:val="auto"/>
          <w:sz w:val="24"/>
          <w:szCs w:val="24"/>
        </w:rPr>
      </w:pPr>
      <w:r>
        <w:rPr>
          <w:rFonts w:ascii="仿宋" w:hAnsi="仿宋" w:eastAsia="仿宋" w:cs="仿宋"/>
          <w:color w:val="auto"/>
          <w:sz w:val="24"/>
          <w:szCs w:val="24"/>
        </w:rPr>
        <w:t>五、出品质量要求</w:t>
      </w:r>
    </w:p>
    <w:p w14:paraId="15EC0357">
      <w:pPr>
        <w:widowControl/>
        <w:numPr>
          <w:ilvl w:val="255"/>
          <w:numId w:val="0"/>
        </w:numPr>
        <w:spacing w:line="360" w:lineRule="auto"/>
        <w:ind w:left="-363"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（一）早、中、晚餐需营养搭配均衡、品种多样。饭菜兼顾南北方口味，以粤菜为主，搭配川菜、湘菜等，正餐确保新鲜鱼、肉、禽、蛋、蔬菜供应。响应采购人其他膳食要求。</w:t>
      </w:r>
    </w:p>
    <w:p w14:paraId="2335DDAB">
      <w:pPr>
        <w:widowControl/>
        <w:spacing w:line="360" w:lineRule="auto"/>
        <w:ind w:left="-363" w:firstLine="482" w:firstLineChars="200"/>
        <w:rPr>
          <w:b/>
          <w:bCs/>
          <w:color w:val="auto"/>
        </w:rPr>
      </w:pPr>
      <w:r>
        <w:rPr>
          <w:rFonts w:hint="eastAsia" w:ascii="仿宋" w:hAnsi="仿宋" w:eastAsia="仿宋" w:cs="仿宋"/>
          <w:b/>
          <w:bCs/>
          <w:color w:val="auto"/>
          <w:sz w:val="24"/>
        </w:rPr>
        <w:t>（二）须优先使用新鲜食材，当日供应的菜品应当日制作；严禁使用不合格、来源不可追溯、反复冻融或过期变质的冷冻食品及肉类。</w:t>
      </w:r>
    </w:p>
    <w:p w14:paraId="6C97083A">
      <w:pPr>
        <w:widowControl/>
        <w:spacing w:line="360" w:lineRule="auto"/>
        <w:ind w:left="-363" w:firstLine="480" w:firstLineChars="200"/>
        <w:rPr>
          <w:color w:val="auto"/>
        </w:rPr>
      </w:pPr>
      <w:r>
        <w:rPr>
          <w:rFonts w:hint="eastAsia" w:ascii="仿宋" w:hAnsi="仿宋" w:eastAsia="仿宋" w:cs="仿宋"/>
          <w:color w:val="auto"/>
          <w:sz w:val="24"/>
          <w:lang w:bidi="ar"/>
        </w:rPr>
        <w:t>（三）菜式营养健康，大米选用丝苗米中的新米和晚稻等，食用油采用非转基因产品。</w:t>
      </w:r>
    </w:p>
    <w:p w14:paraId="334C347D">
      <w:pPr>
        <w:widowControl/>
        <w:numPr>
          <w:ilvl w:val="255"/>
          <w:numId w:val="0"/>
        </w:numPr>
        <w:spacing w:line="360" w:lineRule="auto"/>
        <w:ind w:left="-363"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（四）▲</w:t>
      </w:r>
      <w:r>
        <w:rPr>
          <w:rFonts w:hint="eastAsia" w:ascii="仿宋" w:hAnsi="仿宋" w:eastAsia="仿宋" w:cs="仿宋"/>
          <w:color w:val="auto"/>
          <w:sz w:val="24"/>
        </w:rPr>
        <w:t>熟食类食品均为现场自制，确需使用预制半成品的，仅限米面制品、速冻果蔬、非菜肴类预制基础调料包，</w:t>
      </w:r>
      <w:r>
        <w:rPr>
          <w:rFonts w:hint="eastAsia" w:ascii="仿宋" w:hAnsi="仿宋" w:eastAsia="仿宋" w:cs="仿宋"/>
          <w:b/>
          <w:bCs/>
          <w:color w:val="auto"/>
          <w:sz w:val="24"/>
        </w:rPr>
        <w:t>严禁使用预制成品餐食、预制菜肴</w:t>
      </w:r>
      <w:r>
        <w:rPr>
          <w:rFonts w:hint="eastAsia" w:ascii="仿宋" w:hAnsi="仿宋" w:eastAsia="仿宋" w:cs="仿宋"/>
          <w:color w:val="auto"/>
          <w:sz w:val="24"/>
        </w:rPr>
        <w:t>、即食类菜肴调料包；</w:t>
      </w:r>
      <w:r>
        <w:rPr>
          <w:rFonts w:hint="eastAsia" w:ascii="仿宋" w:hAnsi="仿宋" w:eastAsia="仿宋" w:cs="仿宋"/>
          <w:b/>
          <w:bCs/>
          <w:color w:val="auto"/>
          <w:sz w:val="24"/>
        </w:rPr>
        <w:t>预制半成品使用量不得超过当月食材采购总量5%，</w:t>
      </w:r>
      <w:r>
        <w:rPr>
          <w:rFonts w:hint="eastAsia" w:ascii="仿宋" w:hAnsi="仿宋" w:eastAsia="仿宋" w:cs="仿宋"/>
          <w:color w:val="auto"/>
          <w:sz w:val="24"/>
        </w:rPr>
        <w:t>须从正规渠道采购，具备完整合格证明、溯源信息，提前报采购人书面审批后方可使用，单独储存、专区加工，杜绝交叉污染。</w:t>
      </w:r>
    </w:p>
    <w:p w14:paraId="6ECB29C3">
      <w:pPr>
        <w:widowControl/>
        <w:spacing w:line="360" w:lineRule="auto"/>
        <w:ind w:left="-363"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（五）原则上当天所有餐次的出品应是当餐次制作，保证新鲜，保证口感，因制作工艺所需的个别菜品经采购人审批同意后可放宽至提前12小时内制作。</w:t>
      </w:r>
    </w:p>
    <w:p w14:paraId="34FB237D">
      <w:pPr>
        <w:widowControl/>
        <w:spacing w:line="360" w:lineRule="auto"/>
        <w:ind w:left="-363"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（六）投标人须严格执行国家食品安全法以及食品加工、销售、饮食卫生“五四制”和有关部门对餐饮业的有关规定，合理经营和守法经营。</w:t>
      </w:r>
    </w:p>
    <w:p w14:paraId="06F34F45">
      <w:pPr>
        <w:widowControl/>
        <w:spacing w:line="360" w:lineRule="auto"/>
        <w:ind w:left="-363"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（七）</w:t>
      </w:r>
      <w:r>
        <w:rPr>
          <w:rFonts w:hint="eastAsia" w:ascii="微软雅黑" w:hAnsi="微软雅黑" w:eastAsia="微软雅黑" w:cs="微软雅黑"/>
          <w:color w:val="auto"/>
          <w:sz w:val="24"/>
          <w:lang w:bidi="ar"/>
        </w:rPr>
        <w:t>★</w:t>
      </w:r>
      <w:r>
        <w:rPr>
          <w:rFonts w:hint="eastAsia" w:ascii="仿宋" w:hAnsi="仿宋" w:eastAsia="仿宋" w:cs="仿宋"/>
          <w:color w:val="auto"/>
          <w:sz w:val="24"/>
          <w:lang w:bidi="ar"/>
        </w:rPr>
        <w:t>若因投标人经营管理不当等原因发生食物中毒、食品安全事故或其他安全事故，导致人员伤亡或财产损失的，</w:t>
      </w:r>
      <w:r>
        <w:rPr>
          <w:rFonts w:ascii="仿宋" w:hAnsi="仿宋" w:eastAsia="仿宋" w:cs="仿宋"/>
          <w:color w:val="auto"/>
          <w:kern w:val="0"/>
          <w:sz w:val="24"/>
          <w:szCs w:val="22"/>
        </w:rPr>
        <w:t>全部经济责任、法律责任由</w:t>
      </w:r>
      <w:r>
        <w:rPr>
          <w:rFonts w:hint="eastAsia" w:ascii="仿宋" w:hAnsi="仿宋" w:eastAsia="仿宋" w:cs="仿宋"/>
          <w:color w:val="auto"/>
          <w:kern w:val="0"/>
          <w:sz w:val="24"/>
          <w:szCs w:val="22"/>
        </w:rPr>
        <w:t>投标人</w:t>
      </w:r>
      <w:r>
        <w:rPr>
          <w:rFonts w:ascii="仿宋" w:hAnsi="仿宋" w:eastAsia="仿宋" w:cs="仿宋"/>
          <w:color w:val="auto"/>
          <w:kern w:val="0"/>
          <w:sz w:val="24"/>
          <w:szCs w:val="22"/>
        </w:rPr>
        <w:t>承担，包括但不限于人员医疗费、误工费、残疾赔偿金、死亡赔偿金、精神损害抚慰金、事故处理费，以及采购人因此支出的律师费、公证费、鉴定费、舆情处置费、商誉损失赔偿金等；</w:t>
      </w:r>
      <w:r>
        <w:rPr>
          <w:rFonts w:ascii="仿宋" w:hAnsi="仿宋" w:eastAsia="仿宋" w:cs="仿宋"/>
          <w:b/>
          <w:bCs/>
          <w:color w:val="auto"/>
          <w:kern w:val="0"/>
          <w:sz w:val="24"/>
          <w:szCs w:val="22"/>
        </w:rPr>
        <w:t>同时</w:t>
      </w:r>
      <w:r>
        <w:rPr>
          <w:rFonts w:hint="eastAsia" w:ascii="仿宋" w:hAnsi="仿宋" w:eastAsia="仿宋" w:cs="仿宋"/>
          <w:b/>
          <w:bCs/>
          <w:color w:val="auto"/>
          <w:kern w:val="0"/>
          <w:sz w:val="24"/>
          <w:szCs w:val="22"/>
        </w:rPr>
        <w:t>投标人</w:t>
      </w:r>
      <w:r>
        <w:rPr>
          <w:rFonts w:ascii="仿宋" w:hAnsi="仿宋" w:eastAsia="仿宋" w:cs="仿宋"/>
          <w:b/>
          <w:bCs/>
          <w:color w:val="auto"/>
          <w:kern w:val="0"/>
          <w:sz w:val="24"/>
          <w:szCs w:val="22"/>
        </w:rPr>
        <w:t>须向采购人支</w:t>
      </w:r>
      <w:r>
        <w:rPr>
          <w:rFonts w:hint="eastAsia" w:ascii="仿宋" w:hAnsi="仿宋" w:eastAsia="仿宋" w:cs="仿宋"/>
          <w:b/>
          <w:bCs/>
          <w:color w:val="auto"/>
          <w:kern w:val="0"/>
          <w:sz w:val="24"/>
          <w:szCs w:val="22"/>
        </w:rPr>
        <w:t>付75万元</w:t>
      </w:r>
      <w:r>
        <w:rPr>
          <w:rFonts w:ascii="仿宋" w:hAnsi="仿宋" w:eastAsia="仿宋" w:cs="仿宋"/>
          <w:b/>
          <w:bCs/>
          <w:color w:val="auto"/>
          <w:kern w:val="0"/>
          <w:sz w:val="24"/>
          <w:szCs w:val="22"/>
        </w:rPr>
        <w:t>的违约金，</w:t>
      </w:r>
      <w:r>
        <w:rPr>
          <w:rFonts w:ascii="仿宋" w:hAnsi="仿宋" w:eastAsia="仿宋" w:cs="仿宋"/>
          <w:color w:val="auto"/>
          <w:kern w:val="0"/>
          <w:sz w:val="24"/>
          <w:szCs w:val="22"/>
        </w:rPr>
        <w:t>违约金不足以弥补采购人全部损失的，</w:t>
      </w:r>
      <w:r>
        <w:rPr>
          <w:rFonts w:hint="eastAsia" w:ascii="仿宋" w:hAnsi="仿宋" w:eastAsia="仿宋" w:cs="仿宋"/>
          <w:color w:val="auto"/>
          <w:kern w:val="0"/>
          <w:sz w:val="24"/>
          <w:szCs w:val="22"/>
        </w:rPr>
        <w:t>投标人</w:t>
      </w:r>
      <w:r>
        <w:rPr>
          <w:rFonts w:ascii="仿宋" w:hAnsi="仿宋" w:eastAsia="仿宋" w:cs="仿宋"/>
          <w:color w:val="auto"/>
          <w:kern w:val="0"/>
          <w:sz w:val="24"/>
          <w:szCs w:val="22"/>
        </w:rPr>
        <w:t>须补足差额；采购人有权单方终止合同。</w:t>
      </w:r>
      <w:r>
        <w:rPr>
          <w:rFonts w:hint="eastAsia" w:ascii="仿宋" w:hAnsi="仿宋" w:eastAsia="仿宋" w:cs="仿宋"/>
          <w:color w:val="auto"/>
          <w:sz w:val="24"/>
        </w:rPr>
        <w:t>（在投标文件中提供加盖投标人公章的承诺函，承诺函格式自拟）</w:t>
      </w:r>
    </w:p>
    <w:p w14:paraId="075EFF97">
      <w:pPr>
        <w:widowControl/>
        <w:spacing w:line="360" w:lineRule="auto"/>
        <w:ind w:left="-363" w:firstLine="480" w:firstLineChars="200"/>
        <w:rPr>
          <w:color w:val="auto"/>
        </w:rPr>
      </w:pPr>
      <w:r>
        <w:rPr>
          <w:rFonts w:hint="eastAsia" w:ascii="仿宋" w:hAnsi="仿宋" w:eastAsia="仿宋" w:cs="仿宋"/>
          <w:color w:val="auto"/>
          <w:sz w:val="24"/>
          <w:lang w:bidi="ar"/>
        </w:rPr>
        <w:t>（八）▲投标人须指定专人负责食品留样工作，确保每餐食品严格按照相关规定，在分量、时间及保存条件等方面执行留样程序。留样样品应至少保存48小时，每样分量不少于150克，并存放于5℃以下的专用冷藏柜中。投标人还需按要求做好食品留样管理工作。</w:t>
      </w:r>
    </w:p>
    <w:p w14:paraId="13A99CA7">
      <w:pPr>
        <w:widowControl/>
        <w:spacing w:line="360" w:lineRule="auto"/>
        <w:ind w:left="-363"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（九）</w:t>
      </w:r>
      <w:r>
        <w:rPr>
          <w:rFonts w:hint="eastAsia" w:ascii="仿宋" w:hAnsi="仿宋" w:eastAsia="仿宋" w:cs="仿宋"/>
          <w:color w:val="auto"/>
          <w:sz w:val="24"/>
        </w:rPr>
        <w:t>▲</w:t>
      </w:r>
      <w:bookmarkStart w:id="8" w:name="OLE_LINK1"/>
      <w:r>
        <w:rPr>
          <w:rFonts w:hint="eastAsia" w:ascii="仿宋" w:hAnsi="仿宋" w:eastAsia="仿宋" w:cs="仿宋"/>
          <w:color w:val="auto"/>
          <w:sz w:val="24"/>
          <w:lang w:bidi="ar"/>
        </w:rPr>
        <w:t>投标人须每季度委托具备CMA或CNAS资质的第三方检测机构，对食堂成品菜肴开展微生物抽检。每次抽检的批次不少于5个，且必须涵盖菌落总数、大肠菌群、沙门氏菌、金黄色葡萄球菌等核心指标；若抽检样品中包含水产品或冷食，则须加测副溶血性弧菌或李斯特氏菌。检测报告须于采样后7个工作日内出具，并提交采购人存档备案。</w:t>
      </w:r>
    </w:p>
    <w:bookmarkEnd w:id="8"/>
    <w:p w14:paraId="2EF8208D">
      <w:pPr>
        <w:widowControl/>
        <w:numPr>
          <w:ilvl w:val="255"/>
          <w:numId w:val="0"/>
        </w:numPr>
        <w:spacing w:line="360" w:lineRule="auto"/>
        <w:ind w:left="-363"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（十）投标人使用加工的食材原料杜绝腐烂、变质、有异物；餐具必须经高温消毒，热菜装盘须预热，确保餐品送达时中心温度不低于60℃；严格卫生检查程序，坚持检查餐前、餐中、餐后卫生的情况。</w:t>
      </w:r>
    </w:p>
    <w:p w14:paraId="6B9DF023">
      <w:pPr>
        <w:keepNext w:val="0"/>
        <w:keepLines w:val="0"/>
        <w:pageBreakBefore w:val="0"/>
        <w:widowControl/>
        <w:kinsoku/>
        <w:wordWrap/>
        <w:overflowPunct/>
        <w:topLinePunct w:val="0"/>
        <w:autoSpaceDE/>
        <w:autoSpaceDN/>
        <w:bidi w:val="0"/>
        <w:adjustRightInd/>
        <w:snapToGrid/>
        <w:spacing w:beforeAutospacing="0" w:afterAutospacing="0" w:line="360" w:lineRule="auto"/>
        <w:jc w:val="center"/>
        <w:textAlignment w:val="auto"/>
        <w:outlineLvl w:val="9"/>
        <w:rPr>
          <w:rFonts w:ascii="仿宋" w:hAnsi="仿宋" w:eastAsia="仿宋" w:cs="仿宋"/>
          <w:color w:val="auto"/>
          <w:sz w:val="28"/>
          <w:szCs w:val="28"/>
        </w:rPr>
      </w:pPr>
    </w:p>
    <w:p w14:paraId="2A471A14">
      <w:pPr>
        <w:pStyle w:val="2"/>
        <w:widowControl/>
        <w:spacing w:beforeAutospacing="0" w:afterAutospacing="0" w:line="360" w:lineRule="auto"/>
        <w:jc w:val="center"/>
        <w:rPr>
          <w:rFonts w:ascii="仿宋" w:hAnsi="仿宋" w:eastAsia="仿宋" w:cs="仿宋"/>
          <w:color w:val="auto"/>
          <w:sz w:val="28"/>
          <w:szCs w:val="28"/>
        </w:rPr>
      </w:pPr>
      <w:r>
        <w:rPr>
          <w:rFonts w:ascii="仿宋" w:hAnsi="仿宋" w:eastAsia="仿宋" w:cs="仿宋"/>
          <w:color w:val="auto"/>
          <w:sz w:val="28"/>
          <w:szCs w:val="28"/>
        </w:rPr>
        <w:t>第五章  人员配置与服务管理规范</w:t>
      </w:r>
    </w:p>
    <w:p w14:paraId="3EAB00AF">
      <w:pPr>
        <w:pStyle w:val="3"/>
        <w:widowControl/>
        <w:spacing w:beforeAutospacing="0" w:afterAutospacing="0" w:line="360" w:lineRule="auto"/>
        <w:ind w:firstLine="282" w:firstLineChars="117"/>
        <w:rPr>
          <w:rFonts w:ascii="仿宋" w:hAnsi="仿宋" w:eastAsia="仿宋" w:cs="仿宋"/>
          <w:color w:val="auto"/>
          <w:sz w:val="24"/>
          <w:szCs w:val="24"/>
        </w:rPr>
      </w:pPr>
      <w:r>
        <w:rPr>
          <w:rFonts w:ascii="仿宋" w:hAnsi="仿宋" w:eastAsia="仿宋" w:cs="仿宋"/>
          <w:color w:val="auto"/>
          <w:sz w:val="24"/>
          <w:szCs w:val="24"/>
        </w:rPr>
        <w:t>一、管理团队人员配置及任职要求</w:t>
      </w:r>
    </w:p>
    <w:p w14:paraId="61513878">
      <w:pPr>
        <w:widowControl/>
        <w:numPr>
          <w:ilvl w:val="255"/>
          <w:numId w:val="0"/>
        </w:numPr>
        <w:spacing w:line="360" w:lineRule="auto"/>
        <w:ind w:left="-363" w:firstLine="480" w:firstLineChars="200"/>
        <w:rPr>
          <w:rFonts w:hint="eastAsia" w:ascii="仿宋" w:hAnsi="仿宋" w:eastAsia="仿宋" w:cs="仿宋"/>
          <w:color w:val="auto"/>
          <w:sz w:val="24"/>
          <w:lang w:bidi="ar"/>
        </w:rPr>
      </w:pPr>
      <w:r>
        <w:rPr>
          <w:rFonts w:hint="eastAsia" w:ascii="仿宋" w:hAnsi="仿宋" w:eastAsia="仿宋" w:cs="仿宋"/>
          <w:color w:val="auto"/>
          <w:sz w:val="24"/>
        </w:rPr>
        <w:t>本项目设驻场管理团队与非驻场管理团队。驻场管理团队</w:t>
      </w:r>
      <w:r>
        <w:rPr>
          <w:rFonts w:hint="eastAsia" w:ascii="仿宋" w:hAnsi="仿宋" w:eastAsia="仿宋" w:cs="仿宋"/>
          <w:color w:val="auto"/>
          <w:sz w:val="24"/>
          <w:lang w:bidi="ar"/>
        </w:rPr>
        <w:t>包括项目经理、食品安全总监、</w:t>
      </w:r>
      <w:r>
        <w:rPr>
          <w:rFonts w:hint="eastAsia" w:ascii="仿宋" w:hAnsi="仿宋" w:eastAsia="仿宋" w:cs="仿宋"/>
          <w:color w:val="auto"/>
          <w:sz w:val="24"/>
        </w:rPr>
        <w:t>院区经理、院区助理、厨师长、楼面经理、专职食品安全员、配送主管等岗位，其具体人员配置及任职要求详见《驻场管理团队人员配置及任职要求表》。非驻场管理团队则包括</w:t>
      </w:r>
      <w:r>
        <w:rPr>
          <w:rFonts w:hint="eastAsia" w:ascii="仿宋" w:hAnsi="仿宋" w:eastAsia="仿宋" w:cs="仿宋"/>
          <w:color w:val="auto"/>
          <w:sz w:val="24"/>
          <w:lang w:eastAsia="zh-CN"/>
        </w:rPr>
        <w:t>项目总监</w:t>
      </w:r>
      <w:r>
        <w:rPr>
          <w:rFonts w:hint="eastAsia" w:ascii="仿宋" w:hAnsi="仿宋" w:eastAsia="仿宋" w:cs="仿宋"/>
          <w:color w:val="auto"/>
          <w:sz w:val="24"/>
        </w:rPr>
        <w:t>、营养</w:t>
      </w:r>
      <w:r>
        <w:rPr>
          <w:rFonts w:hint="eastAsia" w:ascii="仿宋" w:hAnsi="仿宋" w:eastAsia="仿宋" w:cs="仿宋"/>
          <w:color w:val="auto"/>
          <w:sz w:val="24"/>
          <w:lang w:val="en-US" w:eastAsia="zh-CN"/>
        </w:rPr>
        <w:t>指导员</w:t>
      </w:r>
      <w:r>
        <w:rPr>
          <w:rFonts w:hint="eastAsia" w:ascii="仿宋" w:hAnsi="仿宋" w:eastAsia="仿宋" w:cs="仿宋"/>
          <w:color w:val="auto"/>
          <w:sz w:val="24"/>
        </w:rPr>
        <w:t>、</w:t>
      </w:r>
      <w:r>
        <w:rPr>
          <w:rFonts w:hint="eastAsia" w:ascii="仿宋" w:hAnsi="仿宋" w:eastAsia="仿宋" w:cs="仿宋"/>
          <w:color w:val="auto"/>
          <w:sz w:val="24"/>
          <w:lang w:eastAsia="zh-CN"/>
        </w:rPr>
        <w:t>行政总厨</w:t>
      </w:r>
      <w:r>
        <w:rPr>
          <w:rFonts w:hint="eastAsia" w:ascii="仿宋" w:hAnsi="仿宋" w:eastAsia="仿宋" w:cs="仿宋"/>
          <w:color w:val="auto"/>
          <w:sz w:val="24"/>
        </w:rPr>
        <w:t>，相应的人员配置及任职要求详见《非驻</w:t>
      </w:r>
      <w:r>
        <w:rPr>
          <w:rFonts w:hint="eastAsia" w:ascii="仿宋" w:hAnsi="仿宋" w:eastAsia="仿宋" w:cs="仿宋"/>
          <w:color w:val="auto"/>
          <w:sz w:val="24"/>
          <w:lang w:bidi="ar"/>
        </w:rPr>
        <w:t>场管理团队人员配置及任职要求表》。</w:t>
      </w:r>
    </w:p>
    <w:p w14:paraId="01BECFAA">
      <w:pPr>
        <w:widowControl/>
        <w:numPr>
          <w:ilvl w:val="255"/>
          <w:numId w:val="0"/>
        </w:numPr>
        <w:spacing w:line="360" w:lineRule="auto"/>
        <w:ind w:left="-363" w:firstLine="480" w:firstLineChars="200"/>
        <w:rPr>
          <w:rFonts w:hint="eastAsia" w:ascii="仿宋" w:hAnsi="仿宋" w:eastAsia="仿宋" w:cs="仿宋"/>
          <w:color w:val="auto"/>
          <w:sz w:val="24"/>
        </w:rPr>
      </w:pPr>
      <w:r>
        <w:rPr>
          <w:rFonts w:hint="eastAsia" w:ascii="仿宋" w:hAnsi="仿宋" w:eastAsia="仿宋" w:cs="仿宋"/>
          <w:color w:val="auto"/>
          <w:sz w:val="24"/>
        </w:rPr>
        <w:t>（一）驻场管理团队人员配置及任职要求表</w:t>
      </w:r>
    </w:p>
    <w:p w14:paraId="540229C5">
      <w:pPr>
        <w:numPr>
          <w:ilvl w:val="255"/>
          <w:numId w:val="0"/>
        </w:numPr>
        <w:spacing w:line="360" w:lineRule="auto"/>
        <w:jc w:val="center"/>
        <w:rPr>
          <w:rFonts w:hint="eastAsia" w:ascii="仿宋" w:hAnsi="仿宋" w:eastAsia="仿宋" w:cs="仿宋"/>
          <w:b/>
          <w:bCs/>
          <w:color w:val="auto"/>
          <w:sz w:val="24"/>
        </w:rPr>
      </w:pPr>
      <w:r>
        <w:rPr>
          <w:rFonts w:hint="eastAsia" w:ascii="仿宋" w:hAnsi="仿宋" w:eastAsia="仿宋" w:cs="仿宋"/>
          <w:b/>
          <w:bCs/>
          <w:color w:val="auto"/>
          <w:sz w:val="24"/>
        </w:rPr>
        <w:t>驻场管理团队人员配置及任职要求表</w:t>
      </w:r>
    </w:p>
    <w:tbl>
      <w:tblPr>
        <w:tblStyle w:val="12"/>
        <w:tblW w:w="4998"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05"/>
        <w:gridCol w:w="925"/>
        <w:gridCol w:w="353"/>
        <w:gridCol w:w="426"/>
        <w:gridCol w:w="429"/>
        <w:gridCol w:w="2491"/>
        <w:gridCol w:w="3190"/>
      </w:tblGrid>
      <w:tr w14:paraId="4E8D33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blHeader/>
        </w:trPr>
        <w:tc>
          <w:tcPr>
            <w:tcW w:w="414" w:type="pct"/>
            <w:tcBorders>
              <w:tl2br w:val="nil"/>
              <w:tr2bl w:val="nil"/>
            </w:tcBorders>
            <w:vAlign w:val="center"/>
          </w:tcPr>
          <w:p w14:paraId="4055AF1C">
            <w:pPr>
              <w:widowControl/>
              <w:jc w:val="center"/>
              <w:textAlignment w:val="center"/>
              <w:rPr>
                <w:rFonts w:hint="eastAsia" w:ascii="仿宋" w:hAnsi="仿宋" w:eastAsia="仿宋" w:cs="仿宋"/>
                <w:b/>
                <w:bCs/>
                <w:color w:val="auto"/>
                <w:szCs w:val="21"/>
              </w:rPr>
            </w:pPr>
            <w:r>
              <w:rPr>
                <w:rFonts w:hint="eastAsia" w:ascii="仿宋" w:hAnsi="仿宋" w:eastAsia="仿宋" w:cs="仿宋"/>
                <w:b/>
                <w:bCs/>
                <w:color w:val="auto"/>
                <w:kern w:val="0"/>
                <w:szCs w:val="21"/>
                <w:lang w:bidi="ar"/>
              </w:rPr>
              <w:t>序号</w:t>
            </w:r>
          </w:p>
        </w:tc>
        <w:tc>
          <w:tcPr>
            <w:tcW w:w="543" w:type="pct"/>
            <w:tcBorders>
              <w:tl2br w:val="nil"/>
              <w:tr2bl w:val="nil"/>
            </w:tcBorders>
            <w:vAlign w:val="center"/>
          </w:tcPr>
          <w:p w14:paraId="3D478C8E">
            <w:pPr>
              <w:widowControl/>
              <w:jc w:val="center"/>
              <w:textAlignment w:val="center"/>
              <w:rPr>
                <w:rFonts w:hint="eastAsia" w:ascii="仿宋" w:hAnsi="仿宋" w:eastAsia="仿宋" w:cs="仿宋"/>
                <w:b/>
                <w:bCs/>
                <w:color w:val="auto"/>
                <w:szCs w:val="21"/>
              </w:rPr>
            </w:pPr>
            <w:r>
              <w:rPr>
                <w:rFonts w:hint="eastAsia" w:ascii="仿宋" w:hAnsi="仿宋" w:eastAsia="仿宋" w:cs="仿宋"/>
                <w:b/>
                <w:bCs/>
                <w:color w:val="auto"/>
                <w:kern w:val="0"/>
                <w:szCs w:val="21"/>
                <w:lang w:bidi="ar"/>
              </w:rPr>
              <w:t>岗位</w:t>
            </w:r>
          </w:p>
        </w:tc>
        <w:tc>
          <w:tcPr>
            <w:tcW w:w="207" w:type="pct"/>
            <w:tcBorders>
              <w:tl2br w:val="nil"/>
              <w:tr2bl w:val="nil"/>
            </w:tcBorders>
            <w:vAlign w:val="center"/>
          </w:tcPr>
          <w:p w14:paraId="68C109EB">
            <w:pPr>
              <w:widowControl/>
              <w:jc w:val="center"/>
              <w:textAlignment w:val="center"/>
              <w:rPr>
                <w:rFonts w:hint="eastAsia" w:ascii="仿宋" w:hAnsi="仿宋" w:eastAsia="仿宋" w:cs="仿宋"/>
                <w:b/>
                <w:bCs/>
                <w:color w:val="auto"/>
                <w:szCs w:val="21"/>
              </w:rPr>
            </w:pPr>
            <w:r>
              <w:rPr>
                <w:rFonts w:hint="eastAsia" w:ascii="仿宋" w:hAnsi="仿宋" w:eastAsia="仿宋" w:cs="仿宋"/>
                <w:b/>
                <w:bCs/>
                <w:color w:val="auto"/>
                <w:kern w:val="0"/>
                <w:szCs w:val="21"/>
                <w:lang w:bidi="ar"/>
              </w:rPr>
              <w:t>天河人数</w:t>
            </w:r>
          </w:p>
        </w:tc>
        <w:tc>
          <w:tcPr>
            <w:tcW w:w="250" w:type="pct"/>
            <w:tcBorders>
              <w:tl2br w:val="nil"/>
              <w:tr2bl w:val="nil"/>
            </w:tcBorders>
            <w:vAlign w:val="center"/>
          </w:tcPr>
          <w:p w14:paraId="421B69CA">
            <w:pPr>
              <w:widowControl/>
              <w:jc w:val="center"/>
              <w:textAlignment w:val="center"/>
              <w:rPr>
                <w:rFonts w:hint="eastAsia" w:ascii="仿宋" w:hAnsi="仿宋" w:eastAsia="仿宋" w:cs="仿宋"/>
                <w:b/>
                <w:bCs/>
                <w:color w:val="auto"/>
                <w:szCs w:val="21"/>
              </w:rPr>
            </w:pPr>
            <w:r>
              <w:rPr>
                <w:rFonts w:hint="eastAsia" w:ascii="仿宋" w:hAnsi="仿宋" w:eastAsia="仿宋" w:cs="仿宋"/>
                <w:b/>
                <w:bCs/>
                <w:color w:val="auto"/>
                <w:kern w:val="0"/>
                <w:szCs w:val="21"/>
                <w:lang w:bidi="ar"/>
              </w:rPr>
              <w:t>珠玑人数</w:t>
            </w:r>
          </w:p>
        </w:tc>
        <w:tc>
          <w:tcPr>
            <w:tcW w:w="251" w:type="pct"/>
            <w:tcBorders>
              <w:tl2br w:val="nil"/>
              <w:tr2bl w:val="nil"/>
            </w:tcBorders>
            <w:vAlign w:val="center"/>
          </w:tcPr>
          <w:p w14:paraId="0EBA1AB3">
            <w:pPr>
              <w:widowControl/>
              <w:jc w:val="center"/>
              <w:textAlignment w:val="center"/>
              <w:rPr>
                <w:rFonts w:hint="eastAsia" w:ascii="仿宋" w:hAnsi="仿宋" w:eastAsia="仿宋" w:cs="仿宋"/>
                <w:b/>
                <w:bCs/>
                <w:color w:val="auto"/>
                <w:szCs w:val="21"/>
              </w:rPr>
            </w:pPr>
            <w:r>
              <w:rPr>
                <w:rFonts w:hint="eastAsia" w:ascii="仿宋" w:hAnsi="仿宋" w:eastAsia="仿宋" w:cs="仿宋"/>
                <w:b/>
                <w:bCs/>
                <w:color w:val="auto"/>
                <w:kern w:val="0"/>
                <w:szCs w:val="21"/>
                <w:lang w:bidi="ar"/>
              </w:rPr>
              <w:t>同德人数</w:t>
            </w:r>
          </w:p>
        </w:tc>
        <w:tc>
          <w:tcPr>
            <w:tcW w:w="1462" w:type="pct"/>
            <w:tcBorders>
              <w:tl2br w:val="nil"/>
              <w:tr2bl w:val="nil"/>
            </w:tcBorders>
            <w:vAlign w:val="center"/>
          </w:tcPr>
          <w:p w14:paraId="0402BFEF">
            <w:pPr>
              <w:widowControl/>
              <w:jc w:val="center"/>
              <w:textAlignment w:val="center"/>
              <w:rPr>
                <w:rFonts w:hint="eastAsia" w:ascii="仿宋" w:hAnsi="仿宋" w:eastAsia="仿宋" w:cs="仿宋"/>
                <w:b/>
                <w:bCs/>
                <w:color w:val="auto"/>
                <w:szCs w:val="21"/>
              </w:rPr>
            </w:pPr>
            <w:r>
              <w:rPr>
                <w:rFonts w:hint="eastAsia" w:ascii="仿宋" w:hAnsi="仿宋" w:eastAsia="仿宋" w:cs="仿宋"/>
                <w:b/>
                <w:bCs/>
                <w:color w:val="auto"/>
                <w:kern w:val="0"/>
                <w:szCs w:val="21"/>
                <w:lang w:bidi="ar"/>
              </w:rPr>
              <w:t>任职要求</w:t>
            </w:r>
          </w:p>
        </w:tc>
        <w:tc>
          <w:tcPr>
            <w:tcW w:w="1870" w:type="pct"/>
            <w:tcBorders>
              <w:tl2br w:val="nil"/>
              <w:tr2bl w:val="nil"/>
            </w:tcBorders>
            <w:vAlign w:val="center"/>
          </w:tcPr>
          <w:p w14:paraId="658A816C">
            <w:pPr>
              <w:widowControl/>
              <w:jc w:val="center"/>
              <w:textAlignment w:val="center"/>
              <w:rPr>
                <w:rFonts w:hint="eastAsia" w:ascii="仿宋" w:hAnsi="仿宋" w:eastAsia="仿宋" w:cs="仿宋"/>
                <w:b/>
                <w:bCs/>
                <w:color w:val="auto"/>
                <w:szCs w:val="21"/>
              </w:rPr>
            </w:pPr>
            <w:r>
              <w:rPr>
                <w:rFonts w:hint="eastAsia" w:ascii="仿宋" w:hAnsi="仿宋" w:eastAsia="仿宋" w:cs="仿宋"/>
                <w:b/>
                <w:bCs/>
                <w:color w:val="auto"/>
                <w:kern w:val="0"/>
                <w:szCs w:val="21"/>
                <w:lang w:bidi="ar"/>
              </w:rPr>
              <w:t>岗位职责</w:t>
            </w:r>
          </w:p>
        </w:tc>
      </w:tr>
      <w:tr w14:paraId="19556D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tcBorders>
              <w:tl2br w:val="nil"/>
              <w:tr2bl w:val="nil"/>
            </w:tcBorders>
            <w:vAlign w:val="center"/>
          </w:tcPr>
          <w:p w14:paraId="038B6540">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w:t>
            </w:r>
          </w:p>
        </w:tc>
        <w:tc>
          <w:tcPr>
            <w:tcW w:w="543" w:type="pct"/>
            <w:tcBorders>
              <w:tl2br w:val="nil"/>
              <w:tr2bl w:val="nil"/>
            </w:tcBorders>
            <w:vAlign w:val="center"/>
          </w:tcPr>
          <w:p w14:paraId="10887644">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项目</w:t>
            </w:r>
          </w:p>
          <w:p w14:paraId="3B0347B9">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经理</w:t>
            </w:r>
          </w:p>
        </w:tc>
        <w:tc>
          <w:tcPr>
            <w:tcW w:w="709" w:type="pct"/>
            <w:gridSpan w:val="3"/>
            <w:tcBorders>
              <w:tl2br w:val="nil"/>
              <w:tr2bl w:val="nil"/>
            </w:tcBorders>
            <w:vAlign w:val="center"/>
          </w:tcPr>
          <w:p w14:paraId="5594460B">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w:t>
            </w:r>
          </w:p>
        </w:tc>
        <w:tc>
          <w:tcPr>
            <w:tcW w:w="1462" w:type="pct"/>
            <w:tcBorders>
              <w:tl2br w:val="nil"/>
              <w:tr2bl w:val="nil"/>
            </w:tcBorders>
            <w:vAlign w:val="center"/>
          </w:tcPr>
          <w:p w14:paraId="2146CFCC">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学历：本科或以上</w:t>
            </w:r>
          </w:p>
          <w:p w14:paraId="1EF36235">
            <w:pPr>
              <w:widowControl/>
              <w:jc w:val="left"/>
              <w:textAlignment w:val="center"/>
              <w:rPr>
                <w:rFonts w:hint="eastAsia" w:ascii="仿宋" w:hAnsi="仿宋" w:eastAsia="仿宋" w:cs="仿宋"/>
                <w:color w:val="auto"/>
                <w:szCs w:val="21"/>
              </w:rPr>
            </w:pPr>
            <w:r>
              <w:rPr>
                <w:rStyle w:val="33"/>
                <w:rFonts w:hint="default"/>
                <w:color w:val="auto"/>
                <w:lang w:bidi="ar"/>
              </w:rPr>
              <w:t>经验：6年或以上医院/大型食堂餐饮管理经验，无从业禁止。</w:t>
            </w:r>
          </w:p>
          <w:p w14:paraId="15F376CE">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证书：有效健康证</w:t>
            </w:r>
          </w:p>
        </w:tc>
        <w:tc>
          <w:tcPr>
            <w:tcW w:w="1870" w:type="pct"/>
            <w:tcBorders>
              <w:tl2br w:val="nil"/>
              <w:tr2bl w:val="nil"/>
            </w:tcBorders>
            <w:vAlign w:val="center"/>
          </w:tcPr>
          <w:p w14:paraId="0B4675FB">
            <w:pPr>
              <w:widowControl/>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1.结合医院需求（患者膳食、职工用餐）制定饭堂运营目标，如用餐满意度、菜品性价比、运营成本控制等，分解目标并推动落实，定期复盘运营数据，优化运营策略。</w:t>
            </w:r>
            <w:r>
              <w:rPr>
                <w:rFonts w:hint="eastAsia" w:ascii="仿宋" w:hAnsi="仿宋" w:eastAsia="仿宋" w:cs="仿宋"/>
                <w:color w:val="auto"/>
                <w:kern w:val="0"/>
                <w:szCs w:val="21"/>
                <w:lang w:bidi="ar"/>
              </w:rPr>
              <w:br w:type="textWrapping"/>
            </w:r>
            <w:r>
              <w:rPr>
                <w:rFonts w:hint="eastAsia" w:ascii="仿宋" w:hAnsi="仿宋" w:eastAsia="仿宋" w:cs="仿宋"/>
                <w:color w:val="auto"/>
                <w:kern w:val="0"/>
                <w:szCs w:val="21"/>
                <w:lang w:bidi="ar"/>
              </w:rPr>
              <w:t>2.对接临床科室、行政部门，收集患者、医护人员的用餐意见（如菜品口味、营养搭配、用餐时段），协调投标人调整菜品结构、优化服务流程，例如针对术后患者推出定制化营养餐，针对医护人员错峰用餐需求调整供餐时间。</w:t>
            </w:r>
            <w:r>
              <w:rPr>
                <w:rFonts w:hint="eastAsia" w:ascii="仿宋" w:hAnsi="仿宋" w:eastAsia="仿宋" w:cs="仿宋"/>
                <w:color w:val="auto"/>
                <w:kern w:val="0"/>
                <w:szCs w:val="21"/>
                <w:lang w:bidi="ar"/>
              </w:rPr>
              <w:br w:type="textWrapping"/>
            </w:r>
            <w:r>
              <w:rPr>
                <w:rFonts w:hint="eastAsia" w:ascii="仿宋" w:hAnsi="仿宋" w:eastAsia="仿宋" w:cs="仿宋"/>
                <w:color w:val="auto"/>
                <w:kern w:val="0"/>
                <w:szCs w:val="21"/>
                <w:lang w:bidi="ar"/>
              </w:rPr>
              <w:t>3.统筹应对医院特殊场景的用餐需求，如突发公共卫生事件的应急供餐、大型会议或培训的集体供餐等，确保供餐稳定、有序。定期开展用餐满意度调研，监督投标人的服务态度、菜品质量、环境卫生等，建立服务质量台账，对投诉问题及时协调处理，提升用餐体验。</w:t>
            </w:r>
            <w:r>
              <w:rPr>
                <w:rFonts w:hint="eastAsia" w:ascii="仿宋" w:hAnsi="仿宋" w:eastAsia="仿宋" w:cs="仿宋"/>
                <w:color w:val="auto"/>
                <w:kern w:val="0"/>
                <w:szCs w:val="21"/>
                <w:lang w:bidi="ar"/>
              </w:rPr>
              <w:br w:type="textWrapping"/>
            </w:r>
            <w:r>
              <w:rPr>
                <w:rFonts w:hint="eastAsia" w:ascii="仿宋" w:hAnsi="仿宋" w:eastAsia="仿宋" w:cs="仿宋"/>
                <w:color w:val="auto"/>
                <w:kern w:val="0"/>
                <w:szCs w:val="21"/>
                <w:lang w:bidi="ar"/>
              </w:rPr>
              <w:t>4.根据饭堂运营需求，合理配置厨师、服务员、保洁员等岗位人员，确保人员充足、资质合规；组织团队开展服务技能、医院规章制度、应急处理等培训，提升团队专业素养和服务意识。</w:t>
            </w:r>
            <w:r>
              <w:rPr>
                <w:rFonts w:hint="eastAsia" w:ascii="仿宋" w:hAnsi="仿宋" w:eastAsia="仿宋" w:cs="仿宋"/>
                <w:color w:val="auto"/>
                <w:kern w:val="0"/>
                <w:szCs w:val="21"/>
                <w:lang w:bidi="ar"/>
              </w:rPr>
              <w:br w:type="textWrapping"/>
            </w:r>
            <w:r>
              <w:rPr>
                <w:rFonts w:hint="eastAsia" w:ascii="仿宋" w:hAnsi="仿宋" w:eastAsia="仿宋" w:cs="仿宋"/>
                <w:color w:val="auto"/>
                <w:kern w:val="0"/>
                <w:szCs w:val="21"/>
                <w:lang w:bidi="ar"/>
              </w:rPr>
              <w:t>5.制定团队日常工作规范和考核标准，监督员工遵守工作纪律、服务流程和操作规范，定期开展绩效考核。</w:t>
            </w:r>
            <w:r>
              <w:rPr>
                <w:rFonts w:hint="eastAsia" w:ascii="仿宋" w:hAnsi="仿宋" w:eastAsia="仿宋" w:cs="仿宋"/>
                <w:color w:val="auto"/>
                <w:kern w:val="0"/>
                <w:szCs w:val="21"/>
                <w:lang w:bidi="ar"/>
              </w:rPr>
              <w:br w:type="textWrapping"/>
            </w:r>
            <w:r>
              <w:rPr>
                <w:rFonts w:hint="eastAsia" w:ascii="仿宋" w:hAnsi="仿宋" w:eastAsia="仿宋" w:cs="仿宋"/>
                <w:color w:val="auto"/>
                <w:kern w:val="0"/>
                <w:szCs w:val="21"/>
                <w:lang w:bidi="ar"/>
              </w:rPr>
              <w:t>6.统筹饭堂的食材采购成本、人力成本、能耗成本、设备维护成本等，建立成本核算机制，定期分析成本构成，优化成本控制方案，避免浪费和成本超标，确保项目盈利目标达成。</w:t>
            </w:r>
            <w:r>
              <w:rPr>
                <w:rFonts w:hint="eastAsia" w:ascii="仿宋" w:hAnsi="仿宋" w:eastAsia="仿宋" w:cs="仿宋"/>
                <w:color w:val="auto"/>
                <w:kern w:val="0"/>
                <w:szCs w:val="21"/>
                <w:lang w:bidi="ar"/>
              </w:rPr>
              <w:br w:type="textWrapping"/>
            </w:r>
            <w:r>
              <w:rPr>
                <w:rFonts w:hint="eastAsia" w:ascii="仿宋" w:hAnsi="仿宋" w:eastAsia="仿宋" w:cs="仿宋"/>
                <w:color w:val="auto"/>
                <w:kern w:val="0"/>
                <w:szCs w:val="21"/>
                <w:lang w:bidi="ar"/>
              </w:rPr>
              <w:t>7.定期与医院相关负责人沟通运营情况，汇报整改落实情况，听取意见建议；配合医院及市场监管部门的食品安全检查、合规检查等工作，确保运营合规。</w:t>
            </w:r>
            <w:r>
              <w:rPr>
                <w:rFonts w:hint="eastAsia" w:ascii="仿宋" w:hAnsi="仿宋" w:eastAsia="仿宋" w:cs="仿宋"/>
                <w:color w:val="auto"/>
                <w:kern w:val="0"/>
                <w:szCs w:val="21"/>
                <w:lang w:bidi="ar"/>
              </w:rPr>
              <w:br w:type="textWrapping"/>
            </w:r>
            <w:r>
              <w:rPr>
                <w:rFonts w:hint="eastAsia" w:ascii="仿宋" w:hAnsi="仿宋" w:eastAsia="仿宋" w:cs="仿宋"/>
                <w:color w:val="auto"/>
                <w:kern w:val="0"/>
                <w:szCs w:val="21"/>
                <w:lang w:bidi="ar"/>
              </w:rPr>
              <w:t>8.配合食品安全总监开展食品安全风险排查和整改工作，同时统筹防控运营中的其他风险，如人员冲突、设备故障、供餐中断等，制定应急预案并组织演练，确保快速应对突发情况。</w:t>
            </w:r>
          </w:p>
        </w:tc>
      </w:tr>
      <w:tr w14:paraId="6151D1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tcBorders>
              <w:tl2br w:val="nil"/>
              <w:tr2bl w:val="nil"/>
            </w:tcBorders>
            <w:vAlign w:val="center"/>
          </w:tcPr>
          <w:p w14:paraId="0E2A8003">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2</w:t>
            </w:r>
          </w:p>
        </w:tc>
        <w:tc>
          <w:tcPr>
            <w:tcW w:w="543" w:type="pct"/>
            <w:tcBorders>
              <w:tl2br w:val="nil"/>
              <w:tr2bl w:val="nil"/>
            </w:tcBorders>
            <w:vAlign w:val="center"/>
          </w:tcPr>
          <w:p w14:paraId="697E3E46">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院区</w:t>
            </w:r>
          </w:p>
          <w:p w14:paraId="0125C9B7">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经理</w:t>
            </w:r>
          </w:p>
        </w:tc>
        <w:tc>
          <w:tcPr>
            <w:tcW w:w="207" w:type="pct"/>
            <w:tcBorders>
              <w:tl2br w:val="nil"/>
              <w:tr2bl w:val="nil"/>
            </w:tcBorders>
            <w:vAlign w:val="center"/>
          </w:tcPr>
          <w:p w14:paraId="3F364589">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w:t>
            </w:r>
          </w:p>
        </w:tc>
        <w:tc>
          <w:tcPr>
            <w:tcW w:w="250" w:type="pct"/>
            <w:tcBorders>
              <w:tl2br w:val="nil"/>
              <w:tr2bl w:val="nil"/>
            </w:tcBorders>
            <w:vAlign w:val="center"/>
          </w:tcPr>
          <w:p w14:paraId="238CA61D">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w:t>
            </w:r>
          </w:p>
        </w:tc>
        <w:tc>
          <w:tcPr>
            <w:tcW w:w="251" w:type="pct"/>
            <w:tcBorders>
              <w:tl2br w:val="nil"/>
              <w:tr2bl w:val="nil"/>
            </w:tcBorders>
            <w:vAlign w:val="center"/>
          </w:tcPr>
          <w:p w14:paraId="763FDFC4">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w:t>
            </w:r>
          </w:p>
        </w:tc>
        <w:tc>
          <w:tcPr>
            <w:tcW w:w="1462" w:type="pct"/>
            <w:tcBorders>
              <w:tl2br w:val="nil"/>
              <w:tr2bl w:val="nil"/>
            </w:tcBorders>
            <w:vAlign w:val="center"/>
          </w:tcPr>
          <w:p w14:paraId="54BA66B1">
            <w:pPr>
              <w:widowControl/>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学历：大专或以上</w:t>
            </w:r>
          </w:p>
          <w:p w14:paraId="0902B12E">
            <w:pPr>
              <w:widowControl/>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经验：6年或以上食堂现场管理经验</w:t>
            </w:r>
          </w:p>
          <w:p w14:paraId="3869759A">
            <w:pPr>
              <w:widowControl/>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证书：有效健康证、食品安全管理人员考试合格证明</w:t>
            </w:r>
          </w:p>
        </w:tc>
        <w:tc>
          <w:tcPr>
            <w:tcW w:w="1870" w:type="pct"/>
            <w:tcBorders>
              <w:tl2br w:val="nil"/>
              <w:tr2bl w:val="nil"/>
            </w:tcBorders>
            <w:vAlign w:val="center"/>
          </w:tcPr>
          <w:p w14:paraId="2866249D">
            <w:pPr>
              <w:widowControl/>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负责院区食堂项目日常运行管理。全面完成合同内容与采购人要求，负责监控项目点安全和卫生等。跟进用餐者投诉事件，工作内容包括但不限于：①院区月度汇报工作完成情况、工作计划、工作难点汇报等；②负责对接采购人各项服务需求；③其他食堂综合性协调管理工作。</w:t>
            </w:r>
          </w:p>
        </w:tc>
      </w:tr>
      <w:tr w14:paraId="47C381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vMerge w:val="restart"/>
            <w:tcBorders>
              <w:tl2br w:val="nil"/>
              <w:tr2bl w:val="nil"/>
            </w:tcBorders>
            <w:vAlign w:val="center"/>
          </w:tcPr>
          <w:p w14:paraId="79E447A0">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3</w:t>
            </w:r>
          </w:p>
        </w:tc>
        <w:tc>
          <w:tcPr>
            <w:tcW w:w="543" w:type="pct"/>
            <w:vMerge w:val="restart"/>
            <w:tcBorders>
              <w:tl2br w:val="nil"/>
              <w:tr2bl w:val="nil"/>
            </w:tcBorders>
            <w:vAlign w:val="center"/>
          </w:tcPr>
          <w:p w14:paraId="17DB2C3A">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院区</w:t>
            </w:r>
          </w:p>
          <w:p w14:paraId="5C603111">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助理</w:t>
            </w:r>
          </w:p>
        </w:tc>
        <w:tc>
          <w:tcPr>
            <w:tcW w:w="207" w:type="pct"/>
            <w:vMerge w:val="restart"/>
            <w:tcBorders>
              <w:tl2br w:val="nil"/>
              <w:tr2bl w:val="nil"/>
            </w:tcBorders>
            <w:vAlign w:val="center"/>
          </w:tcPr>
          <w:p w14:paraId="06F5B68F">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w:t>
            </w:r>
          </w:p>
        </w:tc>
        <w:tc>
          <w:tcPr>
            <w:tcW w:w="250" w:type="pct"/>
            <w:vMerge w:val="restart"/>
            <w:tcBorders>
              <w:tl2br w:val="nil"/>
              <w:tr2bl w:val="nil"/>
            </w:tcBorders>
            <w:vAlign w:val="center"/>
          </w:tcPr>
          <w:p w14:paraId="7D34BD93">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w:t>
            </w:r>
          </w:p>
        </w:tc>
        <w:tc>
          <w:tcPr>
            <w:tcW w:w="251" w:type="pct"/>
            <w:vMerge w:val="restart"/>
            <w:tcBorders>
              <w:tl2br w:val="nil"/>
              <w:tr2bl w:val="nil"/>
            </w:tcBorders>
            <w:vAlign w:val="center"/>
          </w:tcPr>
          <w:p w14:paraId="5D98EF88">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w:t>
            </w:r>
          </w:p>
        </w:tc>
        <w:tc>
          <w:tcPr>
            <w:tcW w:w="1462" w:type="pct"/>
            <w:vMerge w:val="restart"/>
            <w:tcBorders>
              <w:tl2br w:val="nil"/>
              <w:tr2bl w:val="nil"/>
            </w:tcBorders>
            <w:vAlign w:val="center"/>
          </w:tcPr>
          <w:p w14:paraId="46096C3B">
            <w:pPr>
              <w:widowControl/>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学历：不限</w:t>
            </w:r>
          </w:p>
          <w:p w14:paraId="0A1DA18E">
            <w:pPr>
              <w:widowControl/>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经验：熟悉粤语，3年或以上客服/后勤服务经验</w:t>
            </w:r>
          </w:p>
          <w:p w14:paraId="6276FC43">
            <w:pPr>
              <w:widowControl/>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证书：有效健康证</w:t>
            </w:r>
          </w:p>
        </w:tc>
        <w:tc>
          <w:tcPr>
            <w:tcW w:w="1870" w:type="pct"/>
            <w:vMerge w:val="restart"/>
            <w:tcBorders>
              <w:tl2br w:val="nil"/>
              <w:tr2bl w:val="nil"/>
            </w:tcBorders>
            <w:vAlign w:val="center"/>
          </w:tcPr>
          <w:p w14:paraId="7C923E09">
            <w:pPr>
              <w:widowControl/>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协助院区经理处理日常文书和院区人员人事手续相关工作，做好人员培训和工作会议相关记录。用餐者投诉事件跟踪与处理等。</w:t>
            </w:r>
          </w:p>
        </w:tc>
      </w:tr>
      <w:tr w14:paraId="35AB5F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vMerge w:val="continue"/>
            <w:tcBorders>
              <w:tl2br w:val="nil"/>
              <w:tr2bl w:val="nil"/>
            </w:tcBorders>
            <w:vAlign w:val="center"/>
          </w:tcPr>
          <w:p w14:paraId="7D196426">
            <w:pPr>
              <w:jc w:val="center"/>
              <w:rPr>
                <w:rFonts w:hint="eastAsia" w:ascii="仿宋" w:hAnsi="仿宋" w:eastAsia="仿宋" w:cs="仿宋"/>
                <w:color w:val="auto"/>
                <w:szCs w:val="21"/>
              </w:rPr>
            </w:pPr>
          </w:p>
        </w:tc>
        <w:tc>
          <w:tcPr>
            <w:tcW w:w="543" w:type="pct"/>
            <w:vMerge w:val="restart"/>
            <w:tcBorders>
              <w:tl2br w:val="nil"/>
              <w:tr2bl w:val="nil"/>
            </w:tcBorders>
            <w:vAlign w:val="center"/>
          </w:tcPr>
          <w:p w14:paraId="4DB4920D">
            <w:pPr>
              <w:widowControl/>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（客服人员）</w:t>
            </w:r>
          </w:p>
        </w:tc>
        <w:tc>
          <w:tcPr>
            <w:tcW w:w="207" w:type="pct"/>
            <w:vMerge w:val="continue"/>
            <w:tcBorders>
              <w:tl2br w:val="nil"/>
              <w:tr2bl w:val="nil"/>
            </w:tcBorders>
            <w:vAlign w:val="center"/>
          </w:tcPr>
          <w:p w14:paraId="065FC2EA">
            <w:pPr>
              <w:jc w:val="center"/>
              <w:rPr>
                <w:rFonts w:hint="eastAsia" w:ascii="仿宋" w:hAnsi="仿宋" w:eastAsia="仿宋" w:cs="仿宋"/>
                <w:color w:val="auto"/>
                <w:szCs w:val="21"/>
              </w:rPr>
            </w:pPr>
          </w:p>
        </w:tc>
        <w:tc>
          <w:tcPr>
            <w:tcW w:w="250" w:type="pct"/>
            <w:vMerge w:val="continue"/>
            <w:tcBorders>
              <w:tl2br w:val="nil"/>
              <w:tr2bl w:val="nil"/>
            </w:tcBorders>
            <w:vAlign w:val="center"/>
          </w:tcPr>
          <w:p w14:paraId="6F17015C">
            <w:pPr>
              <w:jc w:val="center"/>
              <w:rPr>
                <w:rFonts w:hint="eastAsia" w:ascii="仿宋" w:hAnsi="仿宋" w:eastAsia="仿宋" w:cs="仿宋"/>
                <w:color w:val="auto"/>
                <w:szCs w:val="21"/>
              </w:rPr>
            </w:pPr>
          </w:p>
        </w:tc>
        <w:tc>
          <w:tcPr>
            <w:tcW w:w="251" w:type="pct"/>
            <w:vMerge w:val="continue"/>
            <w:tcBorders>
              <w:tl2br w:val="nil"/>
              <w:tr2bl w:val="nil"/>
            </w:tcBorders>
            <w:vAlign w:val="center"/>
          </w:tcPr>
          <w:p w14:paraId="36DA1DA8">
            <w:pPr>
              <w:jc w:val="center"/>
              <w:rPr>
                <w:rFonts w:hint="eastAsia" w:ascii="仿宋" w:hAnsi="仿宋" w:eastAsia="仿宋" w:cs="仿宋"/>
                <w:color w:val="auto"/>
                <w:szCs w:val="21"/>
              </w:rPr>
            </w:pPr>
          </w:p>
        </w:tc>
        <w:tc>
          <w:tcPr>
            <w:tcW w:w="1462" w:type="pct"/>
            <w:vMerge w:val="continue"/>
            <w:tcBorders>
              <w:tl2br w:val="nil"/>
              <w:tr2bl w:val="nil"/>
            </w:tcBorders>
            <w:vAlign w:val="center"/>
          </w:tcPr>
          <w:p w14:paraId="431706A7">
            <w:pPr>
              <w:widowControl/>
              <w:textAlignment w:val="center"/>
              <w:rPr>
                <w:rFonts w:hint="eastAsia" w:ascii="仿宋" w:hAnsi="仿宋" w:eastAsia="仿宋" w:cs="仿宋"/>
                <w:color w:val="auto"/>
                <w:kern w:val="0"/>
                <w:szCs w:val="21"/>
                <w:lang w:bidi="ar"/>
              </w:rPr>
            </w:pPr>
          </w:p>
        </w:tc>
        <w:tc>
          <w:tcPr>
            <w:tcW w:w="1870" w:type="pct"/>
            <w:vMerge w:val="continue"/>
            <w:tcBorders>
              <w:tl2br w:val="nil"/>
              <w:tr2bl w:val="nil"/>
            </w:tcBorders>
            <w:vAlign w:val="center"/>
          </w:tcPr>
          <w:p w14:paraId="4BF0AC5C">
            <w:pPr>
              <w:jc w:val="left"/>
              <w:rPr>
                <w:rFonts w:hint="eastAsia" w:ascii="仿宋" w:hAnsi="仿宋" w:eastAsia="仿宋" w:cs="仿宋"/>
                <w:color w:val="auto"/>
                <w:szCs w:val="21"/>
              </w:rPr>
            </w:pPr>
          </w:p>
        </w:tc>
      </w:tr>
      <w:tr w14:paraId="3651A6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800" w:hRule="atLeast"/>
        </w:trPr>
        <w:tc>
          <w:tcPr>
            <w:tcW w:w="414" w:type="pct"/>
            <w:vMerge w:val="restart"/>
            <w:tcBorders>
              <w:tl2br w:val="nil"/>
              <w:tr2bl w:val="nil"/>
            </w:tcBorders>
            <w:vAlign w:val="center"/>
          </w:tcPr>
          <w:p w14:paraId="71064775">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4</w:t>
            </w:r>
          </w:p>
        </w:tc>
        <w:tc>
          <w:tcPr>
            <w:tcW w:w="543" w:type="pct"/>
            <w:vMerge w:val="restart"/>
            <w:tcBorders>
              <w:tl2br w:val="nil"/>
              <w:tr2bl w:val="nil"/>
            </w:tcBorders>
            <w:vAlign w:val="center"/>
          </w:tcPr>
          <w:p w14:paraId="0E3FBA64">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楼面</w:t>
            </w:r>
          </w:p>
          <w:p w14:paraId="52ABCF78">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经理</w:t>
            </w:r>
          </w:p>
        </w:tc>
        <w:tc>
          <w:tcPr>
            <w:tcW w:w="207" w:type="pct"/>
            <w:vMerge w:val="restart"/>
            <w:tcBorders>
              <w:tl2br w:val="nil"/>
              <w:tr2bl w:val="nil"/>
            </w:tcBorders>
            <w:vAlign w:val="center"/>
          </w:tcPr>
          <w:p w14:paraId="62A12BC9">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w:t>
            </w:r>
          </w:p>
        </w:tc>
        <w:tc>
          <w:tcPr>
            <w:tcW w:w="250" w:type="pct"/>
            <w:vMerge w:val="restart"/>
            <w:tcBorders>
              <w:tl2br w:val="nil"/>
              <w:tr2bl w:val="nil"/>
            </w:tcBorders>
            <w:vAlign w:val="center"/>
          </w:tcPr>
          <w:p w14:paraId="1F910F0C">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w:t>
            </w:r>
          </w:p>
        </w:tc>
        <w:tc>
          <w:tcPr>
            <w:tcW w:w="251" w:type="pct"/>
            <w:vMerge w:val="restart"/>
            <w:tcBorders>
              <w:tl2br w:val="nil"/>
              <w:tr2bl w:val="nil"/>
            </w:tcBorders>
            <w:vAlign w:val="center"/>
          </w:tcPr>
          <w:p w14:paraId="3F0E0793">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w:t>
            </w:r>
          </w:p>
        </w:tc>
        <w:tc>
          <w:tcPr>
            <w:tcW w:w="1462" w:type="pct"/>
            <w:tcBorders>
              <w:tl2br w:val="nil"/>
              <w:tr2bl w:val="nil"/>
            </w:tcBorders>
            <w:vAlign w:val="center"/>
          </w:tcPr>
          <w:p w14:paraId="34C9AC70">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学历：不限</w:t>
            </w:r>
          </w:p>
          <w:p w14:paraId="36388121">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经验：3年或以上食堂楼面管理经验</w:t>
            </w:r>
          </w:p>
          <w:p w14:paraId="7926655A">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证书：有效健康证</w:t>
            </w:r>
          </w:p>
        </w:tc>
        <w:tc>
          <w:tcPr>
            <w:tcW w:w="1870" w:type="pct"/>
            <w:vMerge w:val="restart"/>
            <w:tcBorders>
              <w:tl2br w:val="nil"/>
              <w:tr2bl w:val="nil"/>
            </w:tcBorders>
            <w:vAlign w:val="center"/>
          </w:tcPr>
          <w:p w14:paraId="67995491">
            <w:pPr>
              <w:widowControl/>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负责楼面（楼面）工作的统筹安排，服务管理及人员用餐沟通工作，包括餐前准备、餐中跟进、餐后协调检查，楼面卫生质控和环境装饰等工作，主动收集和解决用餐人员的意见反馈。</w:t>
            </w:r>
          </w:p>
        </w:tc>
      </w:tr>
      <w:tr w14:paraId="09976C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668" w:hRule="atLeast"/>
        </w:trPr>
        <w:tc>
          <w:tcPr>
            <w:tcW w:w="414" w:type="pct"/>
            <w:vMerge w:val="restart"/>
            <w:tcBorders>
              <w:tl2br w:val="nil"/>
              <w:tr2bl w:val="nil"/>
            </w:tcBorders>
            <w:vAlign w:val="center"/>
          </w:tcPr>
          <w:p w14:paraId="38455B7D">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5</w:t>
            </w:r>
          </w:p>
        </w:tc>
        <w:tc>
          <w:tcPr>
            <w:tcW w:w="543" w:type="pct"/>
            <w:vMerge w:val="restart"/>
            <w:tcBorders>
              <w:tl2br w:val="nil"/>
              <w:tr2bl w:val="nil"/>
            </w:tcBorders>
            <w:vAlign w:val="center"/>
          </w:tcPr>
          <w:p w14:paraId="54F05151">
            <w:pPr>
              <w:widowControl/>
              <w:jc w:val="center"/>
              <w:textAlignment w:val="center"/>
              <w:rPr>
                <w:rFonts w:hint="eastAsia" w:ascii="仿宋" w:hAnsi="仿宋" w:eastAsia="仿宋" w:cs="仿宋"/>
                <w:color w:val="auto"/>
                <w:szCs w:val="21"/>
              </w:rPr>
            </w:pPr>
            <w:r>
              <w:rPr>
                <w:rStyle w:val="33"/>
                <w:rFonts w:hint="default"/>
                <w:color w:val="auto"/>
                <w:lang w:bidi="ar"/>
              </w:rPr>
              <w:t>厨师长</w:t>
            </w:r>
          </w:p>
        </w:tc>
        <w:tc>
          <w:tcPr>
            <w:tcW w:w="207" w:type="pct"/>
            <w:vMerge w:val="restart"/>
            <w:tcBorders>
              <w:tl2br w:val="nil"/>
              <w:tr2bl w:val="nil"/>
            </w:tcBorders>
            <w:vAlign w:val="center"/>
          </w:tcPr>
          <w:p w14:paraId="1FBD55E5">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w:t>
            </w:r>
          </w:p>
        </w:tc>
        <w:tc>
          <w:tcPr>
            <w:tcW w:w="250" w:type="pct"/>
            <w:vMerge w:val="restart"/>
            <w:tcBorders>
              <w:tl2br w:val="nil"/>
              <w:tr2bl w:val="nil"/>
            </w:tcBorders>
            <w:vAlign w:val="center"/>
          </w:tcPr>
          <w:p w14:paraId="22BE39C0">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w:t>
            </w:r>
          </w:p>
        </w:tc>
        <w:tc>
          <w:tcPr>
            <w:tcW w:w="251" w:type="pct"/>
            <w:vMerge w:val="restart"/>
            <w:tcBorders>
              <w:tl2br w:val="nil"/>
              <w:tr2bl w:val="nil"/>
            </w:tcBorders>
            <w:vAlign w:val="center"/>
          </w:tcPr>
          <w:p w14:paraId="56DE5605">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w:t>
            </w:r>
          </w:p>
        </w:tc>
        <w:tc>
          <w:tcPr>
            <w:tcW w:w="1462" w:type="pct"/>
            <w:tcBorders>
              <w:tl2br w:val="nil"/>
              <w:tr2bl w:val="nil"/>
            </w:tcBorders>
            <w:vAlign w:val="center"/>
          </w:tcPr>
          <w:p w14:paraId="00059732">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学历：不限</w:t>
            </w:r>
          </w:p>
          <w:p w14:paraId="11B4F35C">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经验：5年或以上医院/餐饮管理项目经验</w:t>
            </w:r>
          </w:p>
          <w:p w14:paraId="71C511A4">
            <w:pPr>
              <w:widowControl/>
              <w:jc w:val="left"/>
              <w:textAlignment w:val="center"/>
              <w:rPr>
                <w:rFonts w:hint="eastAsia" w:ascii="仿宋" w:hAnsi="仿宋" w:eastAsia="仿宋" w:cs="仿宋"/>
                <w:color w:val="auto"/>
                <w:szCs w:val="21"/>
              </w:rPr>
            </w:pPr>
            <w:r>
              <w:rPr>
                <w:rStyle w:val="33"/>
                <w:rFonts w:hint="default"/>
                <w:color w:val="auto"/>
                <w:lang w:bidi="ar"/>
              </w:rPr>
              <w:t>证书</w:t>
            </w:r>
            <w:r>
              <w:rPr>
                <w:color w:val="auto"/>
                <w:kern w:val="0"/>
                <w:lang w:bidi="ar"/>
              </w:rPr>
              <w:t>：</w:t>
            </w:r>
            <w:r>
              <w:rPr>
                <w:rFonts w:hint="eastAsia" w:ascii="仿宋" w:hAnsi="仿宋" w:eastAsia="仿宋" w:cs="仿宋"/>
                <w:color w:val="auto"/>
                <w:kern w:val="0"/>
                <w:szCs w:val="21"/>
                <w:lang w:bidi="ar"/>
              </w:rPr>
              <w:t>中式烹调师职业技能等级证书（三级/高级工或以上）、有</w:t>
            </w:r>
            <w:r>
              <w:rPr>
                <w:rStyle w:val="33"/>
                <w:rFonts w:hint="default"/>
                <w:color w:val="auto"/>
                <w:lang w:bidi="ar"/>
              </w:rPr>
              <w:t>效健康证</w:t>
            </w:r>
          </w:p>
        </w:tc>
        <w:tc>
          <w:tcPr>
            <w:tcW w:w="1870" w:type="pct"/>
            <w:vMerge w:val="restart"/>
            <w:tcBorders>
              <w:tl2br w:val="nil"/>
              <w:tr2bl w:val="nil"/>
            </w:tcBorders>
            <w:vAlign w:val="center"/>
          </w:tcPr>
          <w:p w14:paraId="66DA0AA6">
            <w:pPr>
              <w:widowControl/>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负责厨房的各项事务统筹管理，食堂各类菜单的制定与审核、食堂及接待餐膳食的制作、食材及相关配料的验收、食材需求的初步统计、食材成本的控制等工作。负责院区项目的食品安全管控，定期检查项目点的食品安全风险，对现场员工进行食品安全、消防安全、操作安全等培训。</w:t>
            </w:r>
          </w:p>
        </w:tc>
      </w:tr>
      <w:tr w14:paraId="4A1349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848" w:hRule="atLeast"/>
        </w:trPr>
        <w:tc>
          <w:tcPr>
            <w:tcW w:w="414" w:type="pct"/>
            <w:vMerge w:val="restart"/>
            <w:tcBorders>
              <w:tl2br w:val="nil"/>
              <w:tr2bl w:val="nil"/>
            </w:tcBorders>
            <w:vAlign w:val="center"/>
          </w:tcPr>
          <w:p w14:paraId="5BADB471">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6</w:t>
            </w:r>
          </w:p>
        </w:tc>
        <w:tc>
          <w:tcPr>
            <w:tcW w:w="543" w:type="pct"/>
            <w:vMerge w:val="restart"/>
            <w:tcBorders>
              <w:tl2br w:val="nil"/>
              <w:tr2bl w:val="nil"/>
            </w:tcBorders>
            <w:vAlign w:val="center"/>
          </w:tcPr>
          <w:p w14:paraId="684E036E">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配送</w:t>
            </w:r>
          </w:p>
          <w:p w14:paraId="76CE0F61">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主管</w:t>
            </w:r>
          </w:p>
        </w:tc>
        <w:tc>
          <w:tcPr>
            <w:tcW w:w="207" w:type="pct"/>
            <w:tcBorders>
              <w:tl2br w:val="nil"/>
              <w:tr2bl w:val="nil"/>
            </w:tcBorders>
            <w:vAlign w:val="center"/>
          </w:tcPr>
          <w:p w14:paraId="0B3D6D43">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w:t>
            </w:r>
          </w:p>
        </w:tc>
        <w:tc>
          <w:tcPr>
            <w:tcW w:w="250" w:type="pct"/>
            <w:tcBorders>
              <w:tl2br w:val="nil"/>
              <w:tr2bl w:val="nil"/>
            </w:tcBorders>
            <w:vAlign w:val="center"/>
          </w:tcPr>
          <w:p w14:paraId="3A35704F">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w:t>
            </w:r>
          </w:p>
        </w:tc>
        <w:tc>
          <w:tcPr>
            <w:tcW w:w="251" w:type="pct"/>
            <w:tcBorders>
              <w:tl2br w:val="nil"/>
              <w:tr2bl w:val="nil"/>
            </w:tcBorders>
            <w:vAlign w:val="center"/>
          </w:tcPr>
          <w:p w14:paraId="2B4034A8">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w:t>
            </w:r>
          </w:p>
        </w:tc>
        <w:tc>
          <w:tcPr>
            <w:tcW w:w="1462" w:type="pct"/>
            <w:tcBorders>
              <w:tl2br w:val="nil"/>
              <w:tr2bl w:val="nil"/>
            </w:tcBorders>
            <w:vAlign w:val="center"/>
          </w:tcPr>
          <w:p w14:paraId="2E2AE723">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学历：不限</w:t>
            </w:r>
          </w:p>
          <w:p w14:paraId="1D31A8BC">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经验：3年或以上配送</w:t>
            </w:r>
            <w:r>
              <w:rPr>
                <w:rFonts w:ascii="仿宋" w:hAnsi="仿宋" w:eastAsia="仿宋" w:cs="仿宋"/>
                <w:color w:val="auto"/>
                <w:kern w:val="0"/>
                <w:szCs w:val="21"/>
                <w:lang w:bidi="ar"/>
              </w:rPr>
              <w:t>/</w:t>
            </w:r>
            <w:r>
              <w:rPr>
                <w:rFonts w:hint="eastAsia" w:ascii="仿宋" w:hAnsi="仿宋" w:eastAsia="仿宋" w:cs="仿宋"/>
                <w:color w:val="auto"/>
                <w:kern w:val="0"/>
                <w:szCs w:val="21"/>
                <w:lang w:bidi="ar"/>
              </w:rPr>
              <w:t>送餐管理经验</w:t>
            </w:r>
          </w:p>
          <w:p w14:paraId="7A6D07D3">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证书：有效健康证</w:t>
            </w:r>
          </w:p>
        </w:tc>
        <w:tc>
          <w:tcPr>
            <w:tcW w:w="1870" w:type="pct"/>
            <w:vMerge w:val="restart"/>
            <w:tcBorders>
              <w:tl2br w:val="nil"/>
              <w:tr2bl w:val="nil"/>
            </w:tcBorders>
            <w:vAlign w:val="center"/>
          </w:tcPr>
          <w:p w14:paraId="6F334B9F">
            <w:pPr>
              <w:widowControl/>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负责培训现场配送组人员与统筹排班，处理相关投诉问题。配合好院区经理进行服务提升工作。</w:t>
            </w:r>
          </w:p>
        </w:tc>
      </w:tr>
      <w:tr w14:paraId="3DDD2A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132" w:hRule="atLeast"/>
        </w:trPr>
        <w:tc>
          <w:tcPr>
            <w:tcW w:w="414" w:type="pct"/>
            <w:vMerge w:val="restart"/>
            <w:tcBorders>
              <w:tl2br w:val="nil"/>
              <w:tr2bl w:val="nil"/>
            </w:tcBorders>
            <w:vAlign w:val="center"/>
          </w:tcPr>
          <w:p w14:paraId="602F68C5">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7</w:t>
            </w:r>
          </w:p>
        </w:tc>
        <w:tc>
          <w:tcPr>
            <w:tcW w:w="543" w:type="pct"/>
            <w:vMerge w:val="restart"/>
            <w:tcBorders>
              <w:tl2br w:val="nil"/>
              <w:tr2bl w:val="nil"/>
            </w:tcBorders>
            <w:vAlign w:val="center"/>
          </w:tcPr>
          <w:p w14:paraId="7880DB8D">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营养师（特色厨师）</w:t>
            </w:r>
          </w:p>
        </w:tc>
        <w:tc>
          <w:tcPr>
            <w:tcW w:w="709" w:type="pct"/>
            <w:gridSpan w:val="3"/>
            <w:vMerge w:val="restart"/>
            <w:tcBorders>
              <w:tl2br w:val="nil"/>
              <w:tr2bl w:val="nil"/>
            </w:tcBorders>
            <w:vAlign w:val="center"/>
          </w:tcPr>
          <w:p w14:paraId="3311EB98">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w:t>
            </w:r>
          </w:p>
        </w:tc>
        <w:tc>
          <w:tcPr>
            <w:tcW w:w="1462" w:type="pct"/>
            <w:tcBorders>
              <w:tl2br w:val="nil"/>
              <w:tr2bl w:val="nil"/>
            </w:tcBorders>
            <w:vAlign w:val="center"/>
          </w:tcPr>
          <w:p w14:paraId="398583DA">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学历：大专或以上，食品</w:t>
            </w:r>
            <w:r>
              <w:rPr>
                <w:rFonts w:ascii="仿宋" w:hAnsi="仿宋" w:eastAsia="仿宋" w:cs="仿宋"/>
                <w:color w:val="auto"/>
                <w:kern w:val="0"/>
                <w:szCs w:val="21"/>
                <w:lang w:bidi="ar"/>
              </w:rPr>
              <w:t>/</w:t>
            </w:r>
            <w:r>
              <w:rPr>
                <w:rFonts w:hint="eastAsia" w:ascii="仿宋" w:hAnsi="仿宋" w:eastAsia="仿宋" w:cs="仿宋"/>
                <w:color w:val="auto"/>
                <w:kern w:val="0"/>
                <w:szCs w:val="21"/>
                <w:lang w:bidi="ar"/>
              </w:rPr>
              <w:t>营养相关专业</w:t>
            </w:r>
          </w:p>
          <w:p w14:paraId="25527963">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经验：3年或以上营养配餐/膳食指导经验</w:t>
            </w:r>
          </w:p>
          <w:p w14:paraId="0762AA77">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证书：注册营养技师</w:t>
            </w:r>
            <w:r>
              <w:rPr>
                <w:rFonts w:ascii="仿宋" w:hAnsi="仿宋" w:eastAsia="仿宋" w:cs="仿宋"/>
                <w:color w:val="auto"/>
                <w:kern w:val="0"/>
                <w:szCs w:val="21"/>
                <w:lang w:bidi="ar"/>
              </w:rPr>
              <w:t>/</w:t>
            </w:r>
            <w:r>
              <w:rPr>
                <w:rFonts w:hint="eastAsia" w:ascii="仿宋" w:hAnsi="仿宋" w:eastAsia="仿宋" w:cs="仿宋"/>
                <w:color w:val="auto"/>
                <w:kern w:val="0"/>
                <w:szCs w:val="21"/>
                <w:lang w:bidi="ar"/>
              </w:rPr>
              <w:t>注册营养师，有效健康证</w:t>
            </w:r>
          </w:p>
        </w:tc>
        <w:tc>
          <w:tcPr>
            <w:tcW w:w="1870" w:type="pct"/>
            <w:vMerge w:val="restart"/>
            <w:tcBorders>
              <w:tl2br w:val="nil"/>
              <w:tr2bl w:val="nil"/>
            </w:tcBorders>
            <w:vAlign w:val="center"/>
          </w:tcPr>
          <w:p w14:paraId="03F2AB53">
            <w:pPr>
              <w:widowControl/>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负责制定个性化治疗膳食营养食谱；</w:t>
            </w:r>
          </w:p>
          <w:p w14:paraId="4733CE24">
            <w:pPr>
              <w:widowControl/>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对食材搭配、营养配比进行专业指导，保障餐食营养均衡、符合医疗膳食规范；负责现场特色菜品营养评估和药膳茶点的规划与制定等。</w:t>
            </w:r>
          </w:p>
        </w:tc>
      </w:tr>
      <w:tr w14:paraId="234190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60" w:hRule="atLeast"/>
        </w:trPr>
        <w:tc>
          <w:tcPr>
            <w:tcW w:w="414" w:type="pct"/>
            <w:vMerge w:val="restart"/>
            <w:tcBorders>
              <w:tl2br w:val="nil"/>
              <w:tr2bl w:val="nil"/>
            </w:tcBorders>
            <w:vAlign w:val="center"/>
          </w:tcPr>
          <w:p w14:paraId="7E1410DC">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8</w:t>
            </w:r>
          </w:p>
        </w:tc>
        <w:tc>
          <w:tcPr>
            <w:tcW w:w="543" w:type="pct"/>
            <w:vMerge w:val="restart"/>
            <w:tcBorders>
              <w:tl2br w:val="nil"/>
              <w:tr2bl w:val="nil"/>
            </w:tcBorders>
            <w:vAlign w:val="center"/>
          </w:tcPr>
          <w:p w14:paraId="5093ADFF">
            <w:pPr>
              <w:widowControl/>
              <w:jc w:val="left"/>
              <w:textAlignment w:val="center"/>
              <w:rPr>
                <w:rFonts w:hint="eastAsia" w:ascii="宋体" w:hAnsi="宋体" w:eastAsia="宋体" w:cs="宋体"/>
                <w:color w:val="auto"/>
                <w:szCs w:val="21"/>
              </w:rPr>
            </w:pPr>
            <w:r>
              <w:rPr>
                <w:rFonts w:hint="eastAsia" w:ascii="仿宋" w:hAnsi="仿宋" w:eastAsia="仿宋" w:cs="仿宋"/>
                <w:color w:val="auto"/>
                <w:kern w:val="0"/>
                <w:szCs w:val="21"/>
                <w:lang w:bidi="ar"/>
              </w:rPr>
              <w:t>食品安全总监</w:t>
            </w:r>
          </w:p>
        </w:tc>
        <w:tc>
          <w:tcPr>
            <w:tcW w:w="709" w:type="pct"/>
            <w:gridSpan w:val="3"/>
            <w:vMerge w:val="restart"/>
            <w:tcBorders>
              <w:tl2br w:val="nil"/>
              <w:tr2bl w:val="nil"/>
            </w:tcBorders>
            <w:vAlign w:val="center"/>
          </w:tcPr>
          <w:p w14:paraId="2EF44347">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w:t>
            </w:r>
          </w:p>
        </w:tc>
        <w:tc>
          <w:tcPr>
            <w:tcW w:w="1462" w:type="pct"/>
            <w:tcBorders>
              <w:tl2br w:val="nil"/>
              <w:tr2bl w:val="nil"/>
            </w:tcBorders>
            <w:vAlign w:val="center"/>
          </w:tcPr>
          <w:p w14:paraId="6692A04B">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学历：大专或以上，食品相关专业优先</w:t>
            </w:r>
          </w:p>
          <w:p w14:paraId="41CF4DA0">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经验：6年或以上食品安全管理经验</w:t>
            </w:r>
          </w:p>
          <w:p w14:paraId="7D4179EB">
            <w:pPr>
              <w:widowControl/>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证书：有效健康证</w:t>
            </w:r>
            <w:r>
              <w:rPr>
                <w:rFonts w:hint="eastAsia" w:ascii="仿宋" w:hAnsi="仿宋" w:eastAsia="仿宋" w:cs="仿宋"/>
                <w:color w:val="auto"/>
                <w:szCs w:val="21"/>
              </w:rPr>
              <w:t>、食品安全管理人员合格证书或食品安全总监人员能力验证证书</w:t>
            </w:r>
          </w:p>
        </w:tc>
        <w:tc>
          <w:tcPr>
            <w:tcW w:w="1870" w:type="pct"/>
            <w:vMerge w:val="restart"/>
            <w:tcBorders>
              <w:tl2br w:val="nil"/>
              <w:tr2bl w:val="nil"/>
            </w:tcBorders>
            <w:vAlign w:val="center"/>
          </w:tcPr>
          <w:p w14:paraId="561D9D2C">
            <w:pPr>
              <w:widowControl/>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统筹管理三个院区食堂食品安全工作，履行总局令第98号规定的食品安全总监全部法定职责，包括但不限于：</w:t>
            </w:r>
            <w:r>
              <w:rPr>
                <w:rFonts w:hint="eastAsia" w:ascii="仿宋" w:hAnsi="仿宋" w:eastAsia="仿宋" w:cs="仿宋"/>
                <w:color w:val="auto"/>
                <w:kern w:val="0"/>
                <w:szCs w:val="21"/>
                <w:lang w:bidi="ar"/>
              </w:rPr>
              <w:br w:type="textWrapping"/>
            </w:r>
            <w:r>
              <w:rPr>
                <w:rFonts w:hint="eastAsia" w:ascii="仿宋" w:hAnsi="仿宋" w:eastAsia="仿宋" w:cs="仿宋"/>
                <w:color w:val="auto"/>
                <w:kern w:val="0"/>
                <w:szCs w:val="21"/>
                <w:lang w:bidi="ar"/>
              </w:rPr>
              <w:t>①组织拟定食品安全管理制度，督促落实食品安全责任制，明确从业人员健康管理、供货者管理、进货查验、餐饮服务过程控制、投诉举报处理等责任要求；</w:t>
            </w:r>
            <w:r>
              <w:rPr>
                <w:rFonts w:hint="eastAsia" w:ascii="仿宋" w:hAnsi="仿宋" w:eastAsia="仿宋" w:cs="仿宋"/>
                <w:color w:val="auto"/>
                <w:kern w:val="0"/>
                <w:szCs w:val="21"/>
                <w:lang w:bidi="ar"/>
              </w:rPr>
              <w:br w:type="textWrapping"/>
            </w:r>
            <w:r>
              <w:rPr>
                <w:rFonts w:hint="eastAsia" w:ascii="仿宋" w:hAnsi="仿宋" w:eastAsia="仿宋" w:cs="仿宋"/>
                <w:color w:val="auto"/>
                <w:kern w:val="0"/>
                <w:szCs w:val="21"/>
                <w:lang w:bidi="ar"/>
              </w:rPr>
              <w:t>②组织拟定并督促落实食品安全风险防控措施，定期组织食品安全自查，评估食品安全状况，及时向主要负责人报告并提出改进措施，阻止、纠正食品安全违法行为；</w:t>
            </w:r>
            <w:r>
              <w:rPr>
                <w:rFonts w:hint="eastAsia" w:ascii="仿宋" w:hAnsi="仿宋" w:eastAsia="仿宋" w:cs="仿宋"/>
                <w:color w:val="auto"/>
                <w:kern w:val="0"/>
                <w:szCs w:val="21"/>
                <w:lang w:bidi="ar"/>
              </w:rPr>
              <w:br w:type="textWrapping"/>
            </w:r>
            <w:r>
              <w:rPr>
                <w:rFonts w:hint="eastAsia" w:ascii="仿宋" w:hAnsi="仿宋" w:eastAsia="仿宋" w:cs="仿宋"/>
                <w:color w:val="auto"/>
                <w:kern w:val="0"/>
                <w:szCs w:val="21"/>
                <w:lang w:bidi="ar"/>
              </w:rPr>
              <w:t>③组织拟定食品安全事故处置方案，组织开展应急演练，落实食品安全事故报告义务，采取措施防止事故扩大；</w:t>
            </w:r>
            <w:r>
              <w:rPr>
                <w:rFonts w:hint="eastAsia" w:ascii="仿宋" w:hAnsi="仿宋" w:eastAsia="仿宋" w:cs="仿宋"/>
                <w:color w:val="auto"/>
                <w:kern w:val="0"/>
                <w:szCs w:val="21"/>
                <w:lang w:bidi="ar"/>
              </w:rPr>
              <w:br w:type="textWrapping"/>
            </w:r>
            <w:r>
              <w:rPr>
                <w:rFonts w:hint="eastAsia" w:ascii="仿宋" w:hAnsi="仿宋" w:eastAsia="仿宋" w:cs="仿宋"/>
                <w:color w:val="auto"/>
                <w:kern w:val="0"/>
                <w:szCs w:val="21"/>
                <w:lang w:bidi="ar"/>
              </w:rPr>
              <w:t>④负责管理、督促、指导食品安全员工作，组织开展职工食品安全教育、培训、考核；</w:t>
            </w:r>
            <w:r>
              <w:rPr>
                <w:rFonts w:hint="eastAsia" w:ascii="仿宋" w:hAnsi="仿宋" w:eastAsia="仿宋" w:cs="仿宋"/>
                <w:color w:val="auto"/>
                <w:kern w:val="0"/>
                <w:szCs w:val="21"/>
                <w:lang w:bidi="ar"/>
              </w:rPr>
              <w:br w:type="textWrapping"/>
            </w:r>
            <w:r>
              <w:rPr>
                <w:rFonts w:hint="eastAsia" w:ascii="仿宋" w:hAnsi="仿宋" w:eastAsia="仿宋" w:cs="仿宋"/>
                <w:color w:val="auto"/>
                <w:kern w:val="0"/>
                <w:szCs w:val="21"/>
                <w:lang w:bidi="ar"/>
              </w:rPr>
              <w:t>⑤接受和配合监督管理部门开展监督检查，如实提供有关情况，对检查发现的问题组织整改落实；</w:t>
            </w:r>
            <w:r>
              <w:rPr>
                <w:rFonts w:hint="eastAsia" w:ascii="仿宋" w:hAnsi="仿宋" w:eastAsia="仿宋" w:cs="仿宋"/>
                <w:color w:val="auto"/>
                <w:kern w:val="0"/>
                <w:szCs w:val="21"/>
                <w:lang w:bidi="ar"/>
              </w:rPr>
              <w:br w:type="textWrapping"/>
            </w:r>
            <w:r>
              <w:rPr>
                <w:rFonts w:hint="eastAsia" w:ascii="仿宋" w:hAnsi="仿宋" w:eastAsia="仿宋" w:cs="仿宋"/>
                <w:color w:val="auto"/>
                <w:kern w:val="0"/>
                <w:szCs w:val="21"/>
                <w:lang w:bidi="ar"/>
              </w:rPr>
              <w:t>⑥行使否决建议权：发现有食品安全事故潜在风险的，应当提出停止相关餐饮服务活动等否决建议，并督促立即分析研判、采取处置措施。</w:t>
            </w:r>
          </w:p>
        </w:tc>
      </w:tr>
      <w:tr w14:paraId="6130DB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vMerge w:val="continue"/>
            <w:tcBorders>
              <w:tl2br w:val="nil"/>
              <w:tr2bl w:val="nil"/>
            </w:tcBorders>
            <w:vAlign w:val="center"/>
          </w:tcPr>
          <w:p w14:paraId="54141EEA">
            <w:pPr>
              <w:jc w:val="center"/>
              <w:rPr>
                <w:rFonts w:hint="eastAsia" w:ascii="仿宋" w:hAnsi="仿宋" w:eastAsia="仿宋" w:cs="仿宋"/>
                <w:color w:val="auto"/>
                <w:szCs w:val="21"/>
              </w:rPr>
            </w:pPr>
          </w:p>
        </w:tc>
        <w:tc>
          <w:tcPr>
            <w:tcW w:w="543" w:type="pct"/>
            <w:vMerge w:val="continue"/>
            <w:tcBorders>
              <w:tl2br w:val="nil"/>
              <w:tr2bl w:val="nil"/>
            </w:tcBorders>
            <w:vAlign w:val="center"/>
          </w:tcPr>
          <w:p w14:paraId="2F0ED5C0">
            <w:pPr>
              <w:jc w:val="center"/>
              <w:rPr>
                <w:rFonts w:hint="eastAsia" w:ascii="宋体" w:hAnsi="宋体" w:eastAsia="宋体" w:cs="宋体"/>
                <w:color w:val="auto"/>
                <w:szCs w:val="21"/>
              </w:rPr>
            </w:pPr>
          </w:p>
        </w:tc>
        <w:tc>
          <w:tcPr>
            <w:tcW w:w="709" w:type="pct"/>
            <w:gridSpan w:val="3"/>
            <w:vMerge w:val="continue"/>
            <w:tcBorders>
              <w:tl2br w:val="nil"/>
              <w:tr2bl w:val="nil"/>
            </w:tcBorders>
            <w:vAlign w:val="center"/>
          </w:tcPr>
          <w:p w14:paraId="4F3B1869">
            <w:pPr>
              <w:jc w:val="center"/>
              <w:rPr>
                <w:rFonts w:hint="eastAsia" w:ascii="仿宋" w:hAnsi="仿宋" w:eastAsia="仿宋" w:cs="仿宋"/>
                <w:color w:val="auto"/>
                <w:szCs w:val="21"/>
              </w:rPr>
            </w:pPr>
          </w:p>
        </w:tc>
        <w:tc>
          <w:tcPr>
            <w:tcW w:w="1462" w:type="pct"/>
            <w:tcBorders>
              <w:tl2br w:val="nil"/>
              <w:tr2bl w:val="nil"/>
            </w:tcBorders>
            <w:vAlign w:val="center"/>
          </w:tcPr>
          <w:p w14:paraId="40563981">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具备统筹管理三个院区食堂食品安全工作的能力，能够履行《集中用餐单位落实食品安全主体责任监督管理规定》（总局令第98号）规定的食品安全总监全部法定职责，包括但不限于组织拟定食品安全管理制度、督促落实风险防控措施、定期组织食品安全自查、指导和管理食品安全员工作、组织食品安全培训考核等；</w:t>
            </w:r>
          </w:p>
        </w:tc>
        <w:tc>
          <w:tcPr>
            <w:tcW w:w="1870" w:type="pct"/>
            <w:vMerge w:val="continue"/>
            <w:tcBorders>
              <w:tl2br w:val="nil"/>
              <w:tr2bl w:val="nil"/>
            </w:tcBorders>
            <w:vAlign w:val="center"/>
          </w:tcPr>
          <w:p w14:paraId="12265323">
            <w:pPr>
              <w:jc w:val="left"/>
              <w:rPr>
                <w:rFonts w:hint="eastAsia" w:ascii="仿宋" w:hAnsi="仿宋" w:eastAsia="仿宋" w:cs="仿宋"/>
                <w:color w:val="auto"/>
                <w:szCs w:val="21"/>
              </w:rPr>
            </w:pPr>
          </w:p>
        </w:tc>
      </w:tr>
      <w:tr w14:paraId="35B551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vMerge w:val="continue"/>
            <w:tcBorders>
              <w:tl2br w:val="nil"/>
              <w:tr2bl w:val="nil"/>
            </w:tcBorders>
            <w:vAlign w:val="center"/>
          </w:tcPr>
          <w:p w14:paraId="1D916E32">
            <w:pPr>
              <w:jc w:val="center"/>
              <w:rPr>
                <w:rFonts w:hint="eastAsia" w:ascii="仿宋" w:hAnsi="仿宋" w:eastAsia="仿宋" w:cs="仿宋"/>
                <w:color w:val="auto"/>
                <w:szCs w:val="21"/>
              </w:rPr>
            </w:pPr>
          </w:p>
        </w:tc>
        <w:tc>
          <w:tcPr>
            <w:tcW w:w="543" w:type="pct"/>
            <w:vMerge w:val="continue"/>
            <w:tcBorders>
              <w:tl2br w:val="nil"/>
              <w:tr2bl w:val="nil"/>
            </w:tcBorders>
            <w:vAlign w:val="center"/>
          </w:tcPr>
          <w:p w14:paraId="7FD64CDF">
            <w:pPr>
              <w:jc w:val="center"/>
              <w:rPr>
                <w:rFonts w:hint="eastAsia" w:ascii="宋体" w:hAnsi="宋体" w:eastAsia="宋体" w:cs="宋体"/>
                <w:color w:val="auto"/>
                <w:szCs w:val="21"/>
              </w:rPr>
            </w:pPr>
          </w:p>
        </w:tc>
        <w:tc>
          <w:tcPr>
            <w:tcW w:w="709" w:type="pct"/>
            <w:gridSpan w:val="3"/>
            <w:vMerge w:val="continue"/>
            <w:tcBorders>
              <w:tl2br w:val="nil"/>
              <w:tr2bl w:val="nil"/>
            </w:tcBorders>
            <w:vAlign w:val="center"/>
          </w:tcPr>
          <w:p w14:paraId="6AA0C113">
            <w:pPr>
              <w:jc w:val="center"/>
              <w:rPr>
                <w:rFonts w:hint="eastAsia" w:ascii="仿宋" w:hAnsi="仿宋" w:eastAsia="仿宋" w:cs="仿宋"/>
                <w:color w:val="auto"/>
                <w:szCs w:val="21"/>
              </w:rPr>
            </w:pPr>
          </w:p>
        </w:tc>
        <w:tc>
          <w:tcPr>
            <w:tcW w:w="1462" w:type="pct"/>
            <w:tcBorders>
              <w:tl2br w:val="nil"/>
              <w:tr2bl w:val="nil"/>
            </w:tcBorders>
            <w:vAlign w:val="center"/>
          </w:tcPr>
          <w:p w14:paraId="01A05313">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须为投标人管理层人员（提供任职文件或情况说明），具有决策权限和资源调配能力；</w:t>
            </w:r>
          </w:p>
        </w:tc>
        <w:tc>
          <w:tcPr>
            <w:tcW w:w="1870" w:type="pct"/>
            <w:vMerge w:val="continue"/>
            <w:tcBorders>
              <w:tl2br w:val="nil"/>
              <w:tr2bl w:val="nil"/>
            </w:tcBorders>
            <w:vAlign w:val="center"/>
          </w:tcPr>
          <w:p w14:paraId="0DCF5A85">
            <w:pPr>
              <w:jc w:val="left"/>
              <w:rPr>
                <w:rFonts w:hint="eastAsia" w:ascii="仿宋" w:hAnsi="仿宋" w:eastAsia="仿宋" w:cs="仿宋"/>
                <w:color w:val="auto"/>
                <w:szCs w:val="21"/>
              </w:rPr>
            </w:pPr>
          </w:p>
        </w:tc>
      </w:tr>
      <w:tr w14:paraId="2B2BE6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vMerge w:val="continue"/>
            <w:tcBorders>
              <w:tl2br w:val="nil"/>
              <w:tr2bl w:val="nil"/>
            </w:tcBorders>
            <w:vAlign w:val="center"/>
          </w:tcPr>
          <w:p w14:paraId="066FDD1C">
            <w:pPr>
              <w:jc w:val="center"/>
              <w:rPr>
                <w:rFonts w:hint="eastAsia" w:ascii="仿宋" w:hAnsi="仿宋" w:eastAsia="仿宋" w:cs="仿宋"/>
                <w:color w:val="auto"/>
                <w:szCs w:val="21"/>
              </w:rPr>
            </w:pPr>
          </w:p>
        </w:tc>
        <w:tc>
          <w:tcPr>
            <w:tcW w:w="543" w:type="pct"/>
            <w:vMerge w:val="continue"/>
            <w:tcBorders>
              <w:tl2br w:val="nil"/>
              <w:tr2bl w:val="nil"/>
            </w:tcBorders>
            <w:vAlign w:val="center"/>
          </w:tcPr>
          <w:p w14:paraId="12B22AE9">
            <w:pPr>
              <w:jc w:val="center"/>
              <w:rPr>
                <w:rFonts w:hint="eastAsia" w:ascii="宋体" w:hAnsi="宋体" w:eastAsia="宋体" w:cs="宋体"/>
                <w:color w:val="auto"/>
                <w:szCs w:val="21"/>
              </w:rPr>
            </w:pPr>
          </w:p>
        </w:tc>
        <w:tc>
          <w:tcPr>
            <w:tcW w:w="709" w:type="pct"/>
            <w:gridSpan w:val="3"/>
            <w:vMerge w:val="continue"/>
            <w:tcBorders>
              <w:tl2br w:val="nil"/>
              <w:tr2bl w:val="nil"/>
            </w:tcBorders>
            <w:vAlign w:val="center"/>
          </w:tcPr>
          <w:p w14:paraId="5AD1E9B2">
            <w:pPr>
              <w:jc w:val="center"/>
              <w:rPr>
                <w:rFonts w:hint="eastAsia" w:ascii="仿宋" w:hAnsi="仿宋" w:eastAsia="仿宋" w:cs="仿宋"/>
                <w:color w:val="auto"/>
                <w:szCs w:val="21"/>
              </w:rPr>
            </w:pPr>
          </w:p>
        </w:tc>
        <w:tc>
          <w:tcPr>
            <w:tcW w:w="1462" w:type="pct"/>
            <w:tcBorders>
              <w:tl2br w:val="nil"/>
              <w:tr2bl w:val="nil"/>
            </w:tcBorders>
            <w:vAlign w:val="center"/>
          </w:tcPr>
          <w:p w14:paraId="5BBD8795">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不存在因食品安全违法被吊销许可证后五年内或因食品安全犯罪被判处有期徒刑以上刑罚终身不得担任食品安全总监的禁业情形；</w:t>
            </w:r>
          </w:p>
        </w:tc>
        <w:tc>
          <w:tcPr>
            <w:tcW w:w="1870" w:type="pct"/>
            <w:vMerge w:val="continue"/>
            <w:tcBorders>
              <w:tl2br w:val="nil"/>
              <w:tr2bl w:val="nil"/>
            </w:tcBorders>
            <w:vAlign w:val="center"/>
          </w:tcPr>
          <w:p w14:paraId="5C4F4AB3">
            <w:pPr>
              <w:jc w:val="left"/>
              <w:rPr>
                <w:rFonts w:hint="eastAsia" w:ascii="仿宋" w:hAnsi="仿宋" w:eastAsia="仿宋" w:cs="仿宋"/>
                <w:color w:val="auto"/>
                <w:szCs w:val="21"/>
              </w:rPr>
            </w:pPr>
          </w:p>
        </w:tc>
      </w:tr>
      <w:tr w14:paraId="42B531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vMerge w:val="continue"/>
            <w:tcBorders>
              <w:tl2br w:val="nil"/>
              <w:tr2bl w:val="nil"/>
            </w:tcBorders>
            <w:vAlign w:val="center"/>
          </w:tcPr>
          <w:p w14:paraId="54BE0BD3">
            <w:pPr>
              <w:jc w:val="center"/>
              <w:rPr>
                <w:rFonts w:hint="eastAsia" w:ascii="仿宋" w:hAnsi="仿宋" w:eastAsia="仿宋" w:cs="仿宋"/>
                <w:color w:val="auto"/>
                <w:szCs w:val="21"/>
              </w:rPr>
            </w:pPr>
          </w:p>
        </w:tc>
        <w:tc>
          <w:tcPr>
            <w:tcW w:w="543" w:type="pct"/>
            <w:vMerge w:val="continue"/>
            <w:tcBorders>
              <w:tl2br w:val="nil"/>
              <w:tr2bl w:val="nil"/>
            </w:tcBorders>
            <w:vAlign w:val="center"/>
          </w:tcPr>
          <w:p w14:paraId="7059F3C8">
            <w:pPr>
              <w:jc w:val="center"/>
              <w:rPr>
                <w:rFonts w:hint="eastAsia" w:ascii="宋体" w:hAnsi="宋体" w:eastAsia="宋体" w:cs="宋体"/>
                <w:color w:val="auto"/>
                <w:szCs w:val="21"/>
              </w:rPr>
            </w:pPr>
          </w:p>
        </w:tc>
        <w:tc>
          <w:tcPr>
            <w:tcW w:w="709" w:type="pct"/>
            <w:gridSpan w:val="3"/>
            <w:vMerge w:val="continue"/>
            <w:tcBorders>
              <w:tl2br w:val="nil"/>
              <w:tr2bl w:val="nil"/>
            </w:tcBorders>
            <w:vAlign w:val="center"/>
          </w:tcPr>
          <w:p w14:paraId="5B611096">
            <w:pPr>
              <w:jc w:val="center"/>
              <w:rPr>
                <w:rFonts w:hint="eastAsia" w:ascii="仿宋" w:hAnsi="仿宋" w:eastAsia="仿宋" w:cs="仿宋"/>
                <w:color w:val="auto"/>
                <w:szCs w:val="21"/>
              </w:rPr>
            </w:pPr>
          </w:p>
        </w:tc>
        <w:tc>
          <w:tcPr>
            <w:tcW w:w="1462" w:type="pct"/>
            <w:tcBorders>
              <w:tl2br w:val="nil"/>
              <w:tr2bl w:val="nil"/>
            </w:tcBorders>
            <w:vAlign w:val="center"/>
          </w:tcPr>
          <w:p w14:paraId="19AD9A38">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须按要求每年完成不少于40小时的食品安全专业培训，并通过监管部门组织的监督抽查考核（抽考）合格。</w:t>
            </w:r>
          </w:p>
        </w:tc>
        <w:tc>
          <w:tcPr>
            <w:tcW w:w="1870" w:type="pct"/>
            <w:vMerge w:val="continue"/>
            <w:tcBorders>
              <w:tl2br w:val="nil"/>
              <w:tr2bl w:val="nil"/>
            </w:tcBorders>
            <w:vAlign w:val="center"/>
          </w:tcPr>
          <w:p w14:paraId="7A3B946D">
            <w:pPr>
              <w:jc w:val="left"/>
              <w:rPr>
                <w:rFonts w:hint="eastAsia" w:ascii="仿宋" w:hAnsi="仿宋" w:eastAsia="仿宋" w:cs="仿宋"/>
                <w:color w:val="auto"/>
                <w:szCs w:val="21"/>
              </w:rPr>
            </w:pPr>
          </w:p>
        </w:tc>
      </w:tr>
      <w:tr w14:paraId="338F02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vMerge w:val="continue"/>
            <w:tcBorders>
              <w:tl2br w:val="nil"/>
              <w:tr2bl w:val="nil"/>
            </w:tcBorders>
            <w:vAlign w:val="center"/>
          </w:tcPr>
          <w:p w14:paraId="7A71C6DC">
            <w:pPr>
              <w:jc w:val="center"/>
              <w:rPr>
                <w:rFonts w:hint="eastAsia" w:ascii="仿宋" w:hAnsi="仿宋" w:eastAsia="仿宋" w:cs="仿宋"/>
                <w:color w:val="auto"/>
                <w:szCs w:val="21"/>
              </w:rPr>
            </w:pPr>
          </w:p>
        </w:tc>
        <w:tc>
          <w:tcPr>
            <w:tcW w:w="543" w:type="pct"/>
            <w:vMerge w:val="continue"/>
            <w:tcBorders>
              <w:tl2br w:val="nil"/>
              <w:tr2bl w:val="nil"/>
            </w:tcBorders>
            <w:vAlign w:val="center"/>
          </w:tcPr>
          <w:p w14:paraId="65C1FD58">
            <w:pPr>
              <w:jc w:val="center"/>
              <w:rPr>
                <w:rFonts w:hint="eastAsia" w:ascii="宋体" w:hAnsi="宋体" w:eastAsia="宋体" w:cs="宋体"/>
                <w:color w:val="auto"/>
                <w:szCs w:val="21"/>
              </w:rPr>
            </w:pPr>
          </w:p>
        </w:tc>
        <w:tc>
          <w:tcPr>
            <w:tcW w:w="709" w:type="pct"/>
            <w:gridSpan w:val="3"/>
            <w:vMerge w:val="continue"/>
            <w:tcBorders>
              <w:tl2br w:val="nil"/>
              <w:tr2bl w:val="nil"/>
            </w:tcBorders>
            <w:vAlign w:val="center"/>
          </w:tcPr>
          <w:p w14:paraId="3958F997">
            <w:pPr>
              <w:jc w:val="center"/>
              <w:rPr>
                <w:rFonts w:hint="eastAsia" w:ascii="仿宋" w:hAnsi="仿宋" w:eastAsia="仿宋" w:cs="仿宋"/>
                <w:color w:val="auto"/>
                <w:szCs w:val="21"/>
              </w:rPr>
            </w:pPr>
          </w:p>
        </w:tc>
        <w:tc>
          <w:tcPr>
            <w:tcW w:w="1462" w:type="pct"/>
            <w:tcBorders>
              <w:tl2br w:val="nil"/>
              <w:tr2bl w:val="nil"/>
            </w:tcBorders>
            <w:vAlign w:val="center"/>
          </w:tcPr>
          <w:p w14:paraId="61224D57">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须为投标人正式员工，持有投标截止前6个月内任意一个月的社保证明材料；</w:t>
            </w:r>
          </w:p>
        </w:tc>
        <w:tc>
          <w:tcPr>
            <w:tcW w:w="1870" w:type="pct"/>
            <w:vMerge w:val="continue"/>
            <w:tcBorders>
              <w:tl2br w:val="nil"/>
              <w:tr2bl w:val="nil"/>
            </w:tcBorders>
            <w:vAlign w:val="center"/>
          </w:tcPr>
          <w:p w14:paraId="5C82E38A">
            <w:pPr>
              <w:jc w:val="left"/>
              <w:rPr>
                <w:rFonts w:hint="eastAsia" w:ascii="仿宋" w:hAnsi="仿宋" w:eastAsia="仿宋" w:cs="仿宋"/>
                <w:color w:val="auto"/>
                <w:szCs w:val="21"/>
              </w:rPr>
            </w:pPr>
          </w:p>
        </w:tc>
      </w:tr>
      <w:tr w14:paraId="40763E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712" w:hRule="atLeast"/>
        </w:trPr>
        <w:tc>
          <w:tcPr>
            <w:tcW w:w="414" w:type="pct"/>
            <w:vMerge w:val="restart"/>
            <w:tcBorders>
              <w:tl2br w:val="nil"/>
              <w:tr2bl w:val="nil"/>
            </w:tcBorders>
            <w:vAlign w:val="center"/>
          </w:tcPr>
          <w:p w14:paraId="0D25AA61">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9</w:t>
            </w:r>
          </w:p>
        </w:tc>
        <w:tc>
          <w:tcPr>
            <w:tcW w:w="543" w:type="pct"/>
            <w:vMerge w:val="restart"/>
            <w:tcBorders>
              <w:tl2br w:val="nil"/>
              <w:tr2bl w:val="nil"/>
            </w:tcBorders>
            <w:vAlign w:val="center"/>
          </w:tcPr>
          <w:p w14:paraId="0CFEDAF1">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食品安全员（专职）</w:t>
            </w:r>
          </w:p>
        </w:tc>
        <w:tc>
          <w:tcPr>
            <w:tcW w:w="207" w:type="pct"/>
            <w:vMerge w:val="restart"/>
            <w:tcBorders>
              <w:tl2br w:val="nil"/>
              <w:tr2bl w:val="nil"/>
            </w:tcBorders>
            <w:vAlign w:val="center"/>
          </w:tcPr>
          <w:p w14:paraId="6A7C0867">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w:t>
            </w:r>
          </w:p>
        </w:tc>
        <w:tc>
          <w:tcPr>
            <w:tcW w:w="250" w:type="pct"/>
            <w:vMerge w:val="restart"/>
            <w:tcBorders>
              <w:tl2br w:val="nil"/>
              <w:tr2bl w:val="nil"/>
            </w:tcBorders>
            <w:vAlign w:val="center"/>
          </w:tcPr>
          <w:p w14:paraId="090D1EBC">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w:t>
            </w:r>
          </w:p>
        </w:tc>
        <w:tc>
          <w:tcPr>
            <w:tcW w:w="251" w:type="pct"/>
            <w:vMerge w:val="restart"/>
            <w:tcBorders>
              <w:tl2br w:val="nil"/>
              <w:tr2bl w:val="nil"/>
            </w:tcBorders>
            <w:vAlign w:val="center"/>
          </w:tcPr>
          <w:p w14:paraId="7DFC9441">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w:t>
            </w:r>
          </w:p>
        </w:tc>
        <w:tc>
          <w:tcPr>
            <w:tcW w:w="1462" w:type="pct"/>
            <w:tcBorders>
              <w:tl2br w:val="nil"/>
              <w:tr2bl w:val="nil"/>
            </w:tcBorders>
            <w:vAlign w:val="center"/>
          </w:tcPr>
          <w:p w14:paraId="60A973BC">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学历：大专或以上</w:t>
            </w:r>
          </w:p>
          <w:p w14:paraId="0A7A97B8">
            <w:pPr>
              <w:widowControl/>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经验：3年或以上食品安全管理经验</w:t>
            </w:r>
          </w:p>
          <w:p w14:paraId="0CB06F51">
            <w:pPr>
              <w:widowControl/>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证书：食品安全管理人员合格证书</w:t>
            </w:r>
          </w:p>
        </w:tc>
        <w:tc>
          <w:tcPr>
            <w:tcW w:w="1870" w:type="pct"/>
            <w:vMerge w:val="restart"/>
            <w:tcBorders>
              <w:tl2br w:val="nil"/>
              <w:tr2bl w:val="nil"/>
            </w:tcBorders>
            <w:vAlign w:val="center"/>
          </w:tcPr>
          <w:p w14:paraId="4D2C83B2">
            <w:pPr>
              <w:widowControl/>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食品安全员从事食品安全管理具体工作，在主要负责人或食品安全总监指导下，落实食品生产经营过程控制、制度执行、档案资料整理、日管控制度实施以及风险隐患排查和整改等工作。包括但不限于：</w:t>
            </w:r>
            <w:r>
              <w:rPr>
                <w:rFonts w:hint="eastAsia" w:ascii="仿宋" w:hAnsi="仿宋" w:eastAsia="仿宋" w:cs="仿宋"/>
                <w:color w:val="auto"/>
                <w:kern w:val="0"/>
                <w:szCs w:val="21"/>
                <w:lang w:bidi="ar"/>
              </w:rPr>
              <w:br w:type="textWrapping"/>
            </w:r>
            <w:r>
              <w:rPr>
                <w:rFonts w:hint="eastAsia" w:ascii="仿宋" w:hAnsi="仿宋" w:eastAsia="仿宋" w:cs="仿宋"/>
                <w:color w:val="auto"/>
                <w:kern w:val="0"/>
                <w:szCs w:val="21"/>
                <w:lang w:bidi="ar"/>
              </w:rPr>
              <w:t>①督促落实食品生产经营过程控制要求；②检查食品安全管理制度执行情况，管理维护食品安全生产经营过程记录材料，按照要求保存相关资料；③对不符合食品安全标准的食品或者有证据证明可能危害人体健康的食品以及发现的食品安全风险隐患，及时采取有效措施整改并报告；④记录和管理从业人员健康状况、卫生状况；⑤接受和配合监督管理部门开展食品安全监督检查等工作，如实提供有关情况，并对检查发现的问题组织整改落实。</w:t>
            </w:r>
          </w:p>
        </w:tc>
      </w:tr>
      <w:tr w14:paraId="00647F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vMerge w:val="continue"/>
            <w:tcBorders>
              <w:tl2br w:val="nil"/>
              <w:tr2bl w:val="nil"/>
            </w:tcBorders>
            <w:vAlign w:val="center"/>
          </w:tcPr>
          <w:p w14:paraId="2C28AD10">
            <w:pPr>
              <w:jc w:val="center"/>
              <w:rPr>
                <w:rFonts w:hint="eastAsia" w:ascii="仿宋" w:hAnsi="仿宋" w:eastAsia="仿宋" w:cs="仿宋"/>
                <w:color w:val="auto"/>
                <w:szCs w:val="21"/>
              </w:rPr>
            </w:pPr>
          </w:p>
        </w:tc>
        <w:tc>
          <w:tcPr>
            <w:tcW w:w="543" w:type="pct"/>
            <w:vMerge w:val="continue"/>
            <w:tcBorders>
              <w:tl2br w:val="nil"/>
              <w:tr2bl w:val="nil"/>
            </w:tcBorders>
            <w:vAlign w:val="center"/>
          </w:tcPr>
          <w:p w14:paraId="239159B2">
            <w:pPr>
              <w:jc w:val="center"/>
              <w:rPr>
                <w:rFonts w:hint="eastAsia" w:ascii="仿宋" w:hAnsi="仿宋" w:eastAsia="仿宋" w:cs="仿宋"/>
                <w:color w:val="auto"/>
                <w:szCs w:val="21"/>
              </w:rPr>
            </w:pPr>
          </w:p>
        </w:tc>
        <w:tc>
          <w:tcPr>
            <w:tcW w:w="207" w:type="pct"/>
            <w:vMerge w:val="continue"/>
            <w:tcBorders>
              <w:tl2br w:val="nil"/>
              <w:tr2bl w:val="nil"/>
            </w:tcBorders>
            <w:vAlign w:val="center"/>
          </w:tcPr>
          <w:p w14:paraId="737B7B08">
            <w:pPr>
              <w:jc w:val="center"/>
              <w:rPr>
                <w:rFonts w:hint="eastAsia" w:ascii="仿宋" w:hAnsi="仿宋" w:eastAsia="仿宋" w:cs="仿宋"/>
                <w:color w:val="auto"/>
                <w:szCs w:val="21"/>
              </w:rPr>
            </w:pPr>
          </w:p>
        </w:tc>
        <w:tc>
          <w:tcPr>
            <w:tcW w:w="250" w:type="pct"/>
            <w:vMerge w:val="continue"/>
            <w:tcBorders>
              <w:tl2br w:val="nil"/>
              <w:tr2bl w:val="nil"/>
            </w:tcBorders>
            <w:vAlign w:val="center"/>
          </w:tcPr>
          <w:p w14:paraId="5948DAAF">
            <w:pPr>
              <w:jc w:val="center"/>
              <w:rPr>
                <w:rFonts w:hint="eastAsia" w:ascii="仿宋" w:hAnsi="仿宋" w:eastAsia="仿宋" w:cs="仿宋"/>
                <w:color w:val="auto"/>
                <w:szCs w:val="21"/>
              </w:rPr>
            </w:pPr>
          </w:p>
        </w:tc>
        <w:tc>
          <w:tcPr>
            <w:tcW w:w="251" w:type="pct"/>
            <w:vMerge w:val="continue"/>
            <w:tcBorders>
              <w:tl2br w:val="nil"/>
              <w:tr2bl w:val="nil"/>
            </w:tcBorders>
            <w:vAlign w:val="center"/>
          </w:tcPr>
          <w:p w14:paraId="2BCCEC24">
            <w:pPr>
              <w:jc w:val="center"/>
              <w:rPr>
                <w:rFonts w:hint="eastAsia" w:ascii="仿宋" w:hAnsi="仿宋" w:eastAsia="仿宋" w:cs="仿宋"/>
                <w:color w:val="auto"/>
                <w:szCs w:val="21"/>
              </w:rPr>
            </w:pPr>
          </w:p>
        </w:tc>
        <w:tc>
          <w:tcPr>
            <w:tcW w:w="1462" w:type="pct"/>
            <w:tcBorders>
              <w:tl2br w:val="nil"/>
              <w:tr2bl w:val="nil"/>
            </w:tcBorders>
            <w:vAlign w:val="center"/>
          </w:tcPr>
          <w:p w14:paraId="088F3487">
            <w:pPr>
              <w:widowControl/>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须为投标人正式员工，持有投标截止前6个月内任意一个月的社保证明材料，不得同时在两家或以上食品生产经营主体从事食品安全管理工作；</w:t>
            </w:r>
          </w:p>
        </w:tc>
        <w:tc>
          <w:tcPr>
            <w:tcW w:w="1870" w:type="pct"/>
            <w:vMerge w:val="continue"/>
            <w:tcBorders>
              <w:tl2br w:val="nil"/>
              <w:tr2bl w:val="nil"/>
            </w:tcBorders>
            <w:vAlign w:val="center"/>
          </w:tcPr>
          <w:p w14:paraId="1DA9BAB0">
            <w:pPr>
              <w:jc w:val="left"/>
              <w:rPr>
                <w:rFonts w:hint="eastAsia" w:ascii="仿宋" w:hAnsi="仿宋" w:eastAsia="仿宋" w:cs="仿宋"/>
                <w:color w:val="auto"/>
                <w:szCs w:val="21"/>
              </w:rPr>
            </w:pPr>
          </w:p>
        </w:tc>
      </w:tr>
      <w:tr w14:paraId="1EAA13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vMerge w:val="continue"/>
            <w:tcBorders>
              <w:tl2br w:val="nil"/>
              <w:tr2bl w:val="nil"/>
            </w:tcBorders>
            <w:vAlign w:val="center"/>
          </w:tcPr>
          <w:p w14:paraId="2F652440">
            <w:pPr>
              <w:jc w:val="center"/>
              <w:rPr>
                <w:rFonts w:hint="eastAsia" w:ascii="仿宋" w:hAnsi="仿宋" w:eastAsia="仿宋" w:cs="仿宋"/>
                <w:color w:val="auto"/>
                <w:szCs w:val="21"/>
              </w:rPr>
            </w:pPr>
          </w:p>
        </w:tc>
        <w:tc>
          <w:tcPr>
            <w:tcW w:w="543" w:type="pct"/>
            <w:vMerge w:val="continue"/>
            <w:tcBorders>
              <w:tl2br w:val="nil"/>
              <w:tr2bl w:val="nil"/>
            </w:tcBorders>
            <w:vAlign w:val="center"/>
          </w:tcPr>
          <w:p w14:paraId="1066BD7C">
            <w:pPr>
              <w:jc w:val="center"/>
              <w:rPr>
                <w:rFonts w:hint="eastAsia" w:ascii="仿宋" w:hAnsi="仿宋" w:eastAsia="仿宋" w:cs="仿宋"/>
                <w:color w:val="auto"/>
                <w:szCs w:val="21"/>
              </w:rPr>
            </w:pPr>
          </w:p>
        </w:tc>
        <w:tc>
          <w:tcPr>
            <w:tcW w:w="207" w:type="pct"/>
            <w:vMerge w:val="continue"/>
            <w:tcBorders>
              <w:tl2br w:val="nil"/>
              <w:tr2bl w:val="nil"/>
            </w:tcBorders>
            <w:vAlign w:val="center"/>
          </w:tcPr>
          <w:p w14:paraId="7247BED0">
            <w:pPr>
              <w:jc w:val="center"/>
              <w:rPr>
                <w:rFonts w:hint="eastAsia" w:ascii="仿宋" w:hAnsi="仿宋" w:eastAsia="仿宋" w:cs="仿宋"/>
                <w:color w:val="auto"/>
                <w:szCs w:val="21"/>
              </w:rPr>
            </w:pPr>
          </w:p>
        </w:tc>
        <w:tc>
          <w:tcPr>
            <w:tcW w:w="250" w:type="pct"/>
            <w:vMerge w:val="continue"/>
            <w:tcBorders>
              <w:tl2br w:val="nil"/>
              <w:tr2bl w:val="nil"/>
            </w:tcBorders>
            <w:vAlign w:val="center"/>
          </w:tcPr>
          <w:p w14:paraId="29C0AC3E">
            <w:pPr>
              <w:jc w:val="center"/>
              <w:rPr>
                <w:rFonts w:hint="eastAsia" w:ascii="仿宋" w:hAnsi="仿宋" w:eastAsia="仿宋" w:cs="仿宋"/>
                <w:color w:val="auto"/>
                <w:szCs w:val="21"/>
              </w:rPr>
            </w:pPr>
          </w:p>
        </w:tc>
        <w:tc>
          <w:tcPr>
            <w:tcW w:w="251" w:type="pct"/>
            <w:vMerge w:val="continue"/>
            <w:tcBorders>
              <w:tl2br w:val="nil"/>
              <w:tr2bl w:val="nil"/>
            </w:tcBorders>
            <w:vAlign w:val="center"/>
          </w:tcPr>
          <w:p w14:paraId="4D5C480F">
            <w:pPr>
              <w:jc w:val="center"/>
              <w:rPr>
                <w:rFonts w:hint="eastAsia" w:ascii="仿宋" w:hAnsi="仿宋" w:eastAsia="仿宋" w:cs="仿宋"/>
                <w:color w:val="auto"/>
                <w:szCs w:val="21"/>
              </w:rPr>
            </w:pPr>
          </w:p>
        </w:tc>
        <w:tc>
          <w:tcPr>
            <w:tcW w:w="1462" w:type="pct"/>
            <w:tcBorders>
              <w:tl2br w:val="nil"/>
              <w:tr2bl w:val="nil"/>
            </w:tcBorders>
            <w:vAlign w:val="center"/>
          </w:tcPr>
          <w:p w14:paraId="664D05B7">
            <w:pPr>
              <w:widowControl/>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须具备食品安全日常管理能力，能够落实"日管控、周排查、月调度"制度要求，承担食品安全员法定职责，包括但不限于每日开展食品安全检查、形成每日食品安全检查记录等；</w:t>
            </w:r>
          </w:p>
        </w:tc>
        <w:tc>
          <w:tcPr>
            <w:tcW w:w="1870" w:type="pct"/>
            <w:vMerge w:val="continue"/>
            <w:tcBorders>
              <w:tl2br w:val="nil"/>
              <w:tr2bl w:val="nil"/>
            </w:tcBorders>
            <w:vAlign w:val="center"/>
          </w:tcPr>
          <w:p w14:paraId="526517AD">
            <w:pPr>
              <w:jc w:val="left"/>
              <w:rPr>
                <w:rFonts w:hint="eastAsia" w:ascii="仿宋" w:hAnsi="仿宋" w:eastAsia="仿宋" w:cs="仿宋"/>
                <w:color w:val="auto"/>
                <w:szCs w:val="21"/>
              </w:rPr>
            </w:pPr>
          </w:p>
        </w:tc>
      </w:tr>
      <w:tr w14:paraId="5C8E0E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vMerge w:val="continue"/>
            <w:tcBorders>
              <w:tl2br w:val="nil"/>
              <w:tr2bl w:val="nil"/>
            </w:tcBorders>
            <w:vAlign w:val="center"/>
          </w:tcPr>
          <w:p w14:paraId="74E4ADB0">
            <w:pPr>
              <w:jc w:val="center"/>
              <w:rPr>
                <w:rFonts w:hint="eastAsia" w:ascii="仿宋" w:hAnsi="仿宋" w:eastAsia="仿宋" w:cs="仿宋"/>
                <w:color w:val="auto"/>
                <w:szCs w:val="21"/>
              </w:rPr>
            </w:pPr>
          </w:p>
        </w:tc>
        <w:tc>
          <w:tcPr>
            <w:tcW w:w="543" w:type="pct"/>
            <w:vMerge w:val="continue"/>
            <w:tcBorders>
              <w:tl2br w:val="nil"/>
              <w:tr2bl w:val="nil"/>
            </w:tcBorders>
            <w:vAlign w:val="center"/>
          </w:tcPr>
          <w:p w14:paraId="3FC63526">
            <w:pPr>
              <w:jc w:val="center"/>
              <w:rPr>
                <w:rFonts w:hint="eastAsia" w:ascii="仿宋" w:hAnsi="仿宋" w:eastAsia="仿宋" w:cs="仿宋"/>
                <w:color w:val="auto"/>
                <w:szCs w:val="21"/>
              </w:rPr>
            </w:pPr>
          </w:p>
        </w:tc>
        <w:tc>
          <w:tcPr>
            <w:tcW w:w="207" w:type="pct"/>
            <w:vMerge w:val="continue"/>
            <w:tcBorders>
              <w:tl2br w:val="nil"/>
              <w:tr2bl w:val="nil"/>
            </w:tcBorders>
            <w:vAlign w:val="center"/>
          </w:tcPr>
          <w:p w14:paraId="1BE7EB8A">
            <w:pPr>
              <w:jc w:val="center"/>
              <w:rPr>
                <w:rFonts w:hint="eastAsia" w:ascii="仿宋" w:hAnsi="仿宋" w:eastAsia="仿宋" w:cs="仿宋"/>
                <w:color w:val="auto"/>
                <w:szCs w:val="21"/>
              </w:rPr>
            </w:pPr>
          </w:p>
        </w:tc>
        <w:tc>
          <w:tcPr>
            <w:tcW w:w="250" w:type="pct"/>
            <w:vMerge w:val="continue"/>
            <w:tcBorders>
              <w:tl2br w:val="nil"/>
              <w:tr2bl w:val="nil"/>
            </w:tcBorders>
            <w:vAlign w:val="center"/>
          </w:tcPr>
          <w:p w14:paraId="14A96EBB">
            <w:pPr>
              <w:jc w:val="center"/>
              <w:rPr>
                <w:rFonts w:hint="eastAsia" w:ascii="仿宋" w:hAnsi="仿宋" w:eastAsia="仿宋" w:cs="仿宋"/>
                <w:color w:val="auto"/>
                <w:szCs w:val="21"/>
              </w:rPr>
            </w:pPr>
          </w:p>
        </w:tc>
        <w:tc>
          <w:tcPr>
            <w:tcW w:w="251" w:type="pct"/>
            <w:vMerge w:val="continue"/>
            <w:tcBorders>
              <w:tl2br w:val="nil"/>
              <w:tr2bl w:val="nil"/>
            </w:tcBorders>
            <w:vAlign w:val="center"/>
          </w:tcPr>
          <w:p w14:paraId="1EB71AE6">
            <w:pPr>
              <w:jc w:val="center"/>
              <w:rPr>
                <w:rFonts w:hint="eastAsia" w:ascii="仿宋" w:hAnsi="仿宋" w:eastAsia="仿宋" w:cs="仿宋"/>
                <w:color w:val="auto"/>
                <w:szCs w:val="21"/>
              </w:rPr>
            </w:pPr>
          </w:p>
        </w:tc>
        <w:tc>
          <w:tcPr>
            <w:tcW w:w="1462" w:type="pct"/>
            <w:tcBorders>
              <w:tl2br w:val="nil"/>
              <w:tr2bl w:val="nil"/>
            </w:tcBorders>
            <w:vAlign w:val="center"/>
          </w:tcPr>
          <w:p w14:paraId="619F8EE6">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须按要求参加企业组织的食品安全管理人员培训并考核合格；</w:t>
            </w:r>
          </w:p>
        </w:tc>
        <w:tc>
          <w:tcPr>
            <w:tcW w:w="1870" w:type="pct"/>
            <w:vMerge w:val="continue"/>
            <w:tcBorders>
              <w:tl2br w:val="nil"/>
              <w:tr2bl w:val="nil"/>
            </w:tcBorders>
            <w:vAlign w:val="center"/>
          </w:tcPr>
          <w:p w14:paraId="036EF258">
            <w:pPr>
              <w:jc w:val="left"/>
              <w:rPr>
                <w:rFonts w:hint="eastAsia" w:ascii="仿宋" w:hAnsi="仿宋" w:eastAsia="仿宋" w:cs="仿宋"/>
                <w:color w:val="auto"/>
                <w:szCs w:val="21"/>
              </w:rPr>
            </w:pPr>
          </w:p>
        </w:tc>
      </w:tr>
      <w:tr w14:paraId="400108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vMerge w:val="continue"/>
            <w:tcBorders>
              <w:tl2br w:val="nil"/>
              <w:tr2bl w:val="nil"/>
            </w:tcBorders>
            <w:vAlign w:val="center"/>
          </w:tcPr>
          <w:p w14:paraId="105C6AE7">
            <w:pPr>
              <w:jc w:val="center"/>
              <w:rPr>
                <w:rFonts w:hint="eastAsia" w:ascii="仿宋" w:hAnsi="仿宋" w:eastAsia="仿宋" w:cs="仿宋"/>
                <w:color w:val="auto"/>
                <w:szCs w:val="21"/>
              </w:rPr>
            </w:pPr>
          </w:p>
        </w:tc>
        <w:tc>
          <w:tcPr>
            <w:tcW w:w="543" w:type="pct"/>
            <w:vMerge w:val="continue"/>
            <w:tcBorders>
              <w:tl2br w:val="nil"/>
              <w:tr2bl w:val="nil"/>
            </w:tcBorders>
            <w:vAlign w:val="center"/>
          </w:tcPr>
          <w:p w14:paraId="6023A669">
            <w:pPr>
              <w:jc w:val="center"/>
              <w:rPr>
                <w:rFonts w:hint="eastAsia" w:ascii="仿宋" w:hAnsi="仿宋" w:eastAsia="仿宋" w:cs="仿宋"/>
                <w:color w:val="auto"/>
                <w:szCs w:val="21"/>
              </w:rPr>
            </w:pPr>
          </w:p>
        </w:tc>
        <w:tc>
          <w:tcPr>
            <w:tcW w:w="207" w:type="pct"/>
            <w:vMerge w:val="continue"/>
            <w:tcBorders>
              <w:tl2br w:val="nil"/>
              <w:tr2bl w:val="nil"/>
            </w:tcBorders>
            <w:vAlign w:val="center"/>
          </w:tcPr>
          <w:p w14:paraId="3244DBB0">
            <w:pPr>
              <w:jc w:val="center"/>
              <w:rPr>
                <w:rFonts w:hint="eastAsia" w:ascii="仿宋" w:hAnsi="仿宋" w:eastAsia="仿宋" w:cs="仿宋"/>
                <w:color w:val="auto"/>
                <w:szCs w:val="21"/>
              </w:rPr>
            </w:pPr>
          </w:p>
        </w:tc>
        <w:tc>
          <w:tcPr>
            <w:tcW w:w="250" w:type="pct"/>
            <w:vMerge w:val="continue"/>
            <w:tcBorders>
              <w:tl2br w:val="nil"/>
              <w:tr2bl w:val="nil"/>
            </w:tcBorders>
            <w:vAlign w:val="center"/>
          </w:tcPr>
          <w:p w14:paraId="482A894E">
            <w:pPr>
              <w:jc w:val="center"/>
              <w:rPr>
                <w:rFonts w:hint="eastAsia" w:ascii="仿宋" w:hAnsi="仿宋" w:eastAsia="仿宋" w:cs="仿宋"/>
                <w:color w:val="auto"/>
                <w:szCs w:val="21"/>
              </w:rPr>
            </w:pPr>
          </w:p>
        </w:tc>
        <w:tc>
          <w:tcPr>
            <w:tcW w:w="251" w:type="pct"/>
            <w:vMerge w:val="continue"/>
            <w:tcBorders>
              <w:tl2br w:val="nil"/>
              <w:tr2bl w:val="nil"/>
            </w:tcBorders>
            <w:vAlign w:val="center"/>
          </w:tcPr>
          <w:p w14:paraId="3BE7FB11">
            <w:pPr>
              <w:jc w:val="center"/>
              <w:rPr>
                <w:rFonts w:hint="eastAsia" w:ascii="仿宋" w:hAnsi="仿宋" w:eastAsia="仿宋" w:cs="仿宋"/>
                <w:color w:val="auto"/>
                <w:szCs w:val="21"/>
              </w:rPr>
            </w:pPr>
          </w:p>
        </w:tc>
        <w:tc>
          <w:tcPr>
            <w:tcW w:w="1462" w:type="pct"/>
            <w:tcBorders>
              <w:tl2br w:val="nil"/>
              <w:tr2bl w:val="nil"/>
            </w:tcBorders>
            <w:vAlign w:val="center"/>
          </w:tcPr>
          <w:p w14:paraId="2C49B8D9">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不存在因食品安全违法被吊销许可证后五年内或因食品安全犯罪被判处有期徒刑以上刑罚终身不得担任食品安全员的禁业情形。</w:t>
            </w:r>
          </w:p>
        </w:tc>
        <w:tc>
          <w:tcPr>
            <w:tcW w:w="1870" w:type="pct"/>
            <w:vMerge w:val="continue"/>
            <w:tcBorders>
              <w:tl2br w:val="nil"/>
              <w:tr2bl w:val="nil"/>
            </w:tcBorders>
            <w:vAlign w:val="center"/>
          </w:tcPr>
          <w:p w14:paraId="12D9793D">
            <w:pPr>
              <w:jc w:val="left"/>
              <w:rPr>
                <w:rFonts w:hint="eastAsia" w:ascii="仿宋" w:hAnsi="仿宋" w:eastAsia="仿宋" w:cs="仿宋"/>
                <w:color w:val="auto"/>
                <w:szCs w:val="21"/>
              </w:rPr>
            </w:pPr>
          </w:p>
        </w:tc>
      </w:tr>
      <w:tr w14:paraId="1DF9A3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414" w:type="pct"/>
            <w:vMerge w:val="continue"/>
            <w:tcBorders>
              <w:tl2br w:val="nil"/>
              <w:tr2bl w:val="nil"/>
            </w:tcBorders>
            <w:vAlign w:val="center"/>
          </w:tcPr>
          <w:p w14:paraId="375824FE">
            <w:pPr>
              <w:jc w:val="center"/>
              <w:rPr>
                <w:rFonts w:hint="eastAsia" w:ascii="仿宋" w:hAnsi="仿宋" w:eastAsia="仿宋" w:cs="仿宋"/>
                <w:color w:val="auto"/>
                <w:szCs w:val="21"/>
              </w:rPr>
            </w:pPr>
          </w:p>
        </w:tc>
        <w:tc>
          <w:tcPr>
            <w:tcW w:w="543" w:type="pct"/>
            <w:vMerge w:val="continue"/>
            <w:tcBorders>
              <w:tl2br w:val="nil"/>
              <w:tr2bl w:val="nil"/>
            </w:tcBorders>
            <w:vAlign w:val="center"/>
          </w:tcPr>
          <w:p w14:paraId="3685C688">
            <w:pPr>
              <w:jc w:val="center"/>
              <w:rPr>
                <w:rFonts w:hint="eastAsia" w:ascii="仿宋" w:hAnsi="仿宋" w:eastAsia="仿宋" w:cs="仿宋"/>
                <w:color w:val="auto"/>
                <w:szCs w:val="21"/>
              </w:rPr>
            </w:pPr>
          </w:p>
        </w:tc>
        <w:tc>
          <w:tcPr>
            <w:tcW w:w="207" w:type="pct"/>
            <w:vMerge w:val="continue"/>
            <w:tcBorders>
              <w:tl2br w:val="nil"/>
              <w:tr2bl w:val="nil"/>
            </w:tcBorders>
            <w:vAlign w:val="center"/>
          </w:tcPr>
          <w:p w14:paraId="04BFE162">
            <w:pPr>
              <w:jc w:val="center"/>
              <w:rPr>
                <w:rFonts w:hint="eastAsia" w:ascii="仿宋" w:hAnsi="仿宋" w:eastAsia="仿宋" w:cs="仿宋"/>
                <w:color w:val="auto"/>
                <w:szCs w:val="21"/>
              </w:rPr>
            </w:pPr>
          </w:p>
        </w:tc>
        <w:tc>
          <w:tcPr>
            <w:tcW w:w="250" w:type="pct"/>
            <w:vMerge w:val="continue"/>
            <w:tcBorders>
              <w:tl2br w:val="nil"/>
              <w:tr2bl w:val="nil"/>
            </w:tcBorders>
            <w:vAlign w:val="center"/>
          </w:tcPr>
          <w:p w14:paraId="16570F6A">
            <w:pPr>
              <w:jc w:val="center"/>
              <w:rPr>
                <w:rFonts w:hint="eastAsia" w:ascii="仿宋" w:hAnsi="仿宋" w:eastAsia="仿宋" w:cs="仿宋"/>
                <w:color w:val="auto"/>
                <w:szCs w:val="21"/>
              </w:rPr>
            </w:pPr>
          </w:p>
        </w:tc>
        <w:tc>
          <w:tcPr>
            <w:tcW w:w="251" w:type="pct"/>
            <w:vMerge w:val="continue"/>
            <w:tcBorders>
              <w:tl2br w:val="nil"/>
              <w:tr2bl w:val="nil"/>
            </w:tcBorders>
            <w:vAlign w:val="center"/>
          </w:tcPr>
          <w:p w14:paraId="2C55FECE">
            <w:pPr>
              <w:jc w:val="center"/>
              <w:rPr>
                <w:rFonts w:hint="eastAsia" w:ascii="仿宋" w:hAnsi="仿宋" w:eastAsia="仿宋" w:cs="仿宋"/>
                <w:color w:val="auto"/>
                <w:szCs w:val="21"/>
              </w:rPr>
            </w:pPr>
          </w:p>
        </w:tc>
        <w:tc>
          <w:tcPr>
            <w:tcW w:w="1462" w:type="pct"/>
            <w:tcBorders>
              <w:tl2br w:val="nil"/>
              <w:tr2bl w:val="nil"/>
            </w:tcBorders>
            <w:vAlign w:val="center"/>
          </w:tcPr>
          <w:p w14:paraId="765A1A51">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有效健康证、农产品食品检验员（一级/高级技师或以上）</w:t>
            </w:r>
          </w:p>
        </w:tc>
        <w:tc>
          <w:tcPr>
            <w:tcW w:w="1870" w:type="pct"/>
            <w:vMerge w:val="continue"/>
            <w:tcBorders>
              <w:tl2br w:val="nil"/>
              <w:tr2bl w:val="nil"/>
            </w:tcBorders>
            <w:vAlign w:val="center"/>
          </w:tcPr>
          <w:p w14:paraId="627C8182">
            <w:pPr>
              <w:jc w:val="left"/>
              <w:rPr>
                <w:rFonts w:hint="eastAsia" w:ascii="仿宋" w:hAnsi="仿宋" w:eastAsia="仿宋" w:cs="仿宋"/>
                <w:color w:val="auto"/>
                <w:szCs w:val="21"/>
              </w:rPr>
            </w:pPr>
          </w:p>
        </w:tc>
      </w:tr>
      <w:tr w14:paraId="05F309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64" w:hRule="atLeast"/>
        </w:trPr>
        <w:tc>
          <w:tcPr>
            <w:tcW w:w="414" w:type="pct"/>
            <w:vMerge w:val="restart"/>
            <w:tcBorders>
              <w:tl2br w:val="nil"/>
              <w:tr2bl w:val="nil"/>
            </w:tcBorders>
            <w:vAlign w:val="center"/>
          </w:tcPr>
          <w:p w14:paraId="304CF8C7">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10</w:t>
            </w:r>
          </w:p>
        </w:tc>
        <w:tc>
          <w:tcPr>
            <w:tcW w:w="543" w:type="pct"/>
            <w:vMerge w:val="restart"/>
            <w:tcBorders>
              <w:tl2br w:val="nil"/>
              <w:tr2bl w:val="nil"/>
            </w:tcBorders>
            <w:vAlign w:val="center"/>
          </w:tcPr>
          <w:p w14:paraId="7C5CE8E8">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财务</w:t>
            </w:r>
          </w:p>
          <w:p w14:paraId="05C42165">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助理</w:t>
            </w:r>
          </w:p>
        </w:tc>
        <w:tc>
          <w:tcPr>
            <w:tcW w:w="709" w:type="pct"/>
            <w:gridSpan w:val="3"/>
            <w:vMerge w:val="restart"/>
            <w:tcBorders>
              <w:tl2br w:val="nil"/>
              <w:tr2bl w:val="nil"/>
            </w:tcBorders>
            <w:vAlign w:val="center"/>
          </w:tcPr>
          <w:p w14:paraId="4CDECF44">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若干</w:t>
            </w:r>
          </w:p>
        </w:tc>
        <w:tc>
          <w:tcPr>
            <w:tcW w:w="1462" w:type="pct"/>
            <w:tcBorders>
              <w:tl2br w:val="nil"/>
              <w:tr2bl w:val="nil"/>
            </w:tcBorders>
            <w:vAlign w:val="center"/>
          </w:tcPr>
          <w:p w14:paraId="21A2B9D3">
            <w:pPr>
              <w:widowControl/>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学历：大专或以上，财务/会计专业优先</w:t>
            </w:r>
          </w:p>
          <w:p w14:paraId="1CC5B040">
            <w:pPr>
              <w:widowControl/>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经验：3年或以上财务、出纳、统计经验</w:t>
            </w:r>
          </w:p>
          <w:p w14:paraId="5DF29540">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证书：有效健康证</w:t>
            </w:r>
          </w:p>
        </w:tc>
        <w:tc>
          <w:tcPr>
            <w:tcW w:w="1870" w:type="pct"/>
            <w:vMerge w:val="restart"/>
            <w:tcBorders>
              <w:tl2br w:val="nil"/>
              <w:tr2bl w:val="nil"/>
            </w:tcBorders>
            <w:vAlign w:val="center"/>
          </w:tcPr>
          <w:p w14:paraId="19628FB7">
            <w:pPr>
              <w:widowControl/>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负责食堂的台账、报表、食材、一次性易耗品出入库等数据整理。协助每日食材的验收。订餐系统日常维护工作等。</w:t>
            </w:r>
          </w:p>
        </w:tc>
      </w:tr>
      <w:tr w14:paraId="05A3CC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160" w:hRule="atLeast"/>
        </w:trPr>
        <w:tc>
          <w:tcPr>
            <w:tcW w:w="414" w:type="pct"/>
            <w:vMerge w:val="restart"/>
            <w:tcBorders>
              <w:tl2br w:val="nil"/>
              <w:tr2bl w:val="nil"/>
            </w:tcBorders>
            <w:vAlign w:val="center"/>
          </w:tcPr>
          <w:p w14:paraId="1A6CE6B2">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11</w:t>
            </w:r>
          </w:p>
        </w:tc>
        <w:tc>
          <w:tcPr>
            <w:tcW w:w="543" w:type="pct"/>
            <w:vMerge w:val="restart"/>
            <w:tcBorders>
              <w:tl2br w:val="nil"/>
              <w:tr2bl w:val="nil"/>
            </w:tcBorders>
            <w:vAlign w:val="center"/>
          </w:tcPr>
          <w:p w14:paraId="35EC8599">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厨师</w:t>
            </w:r>
          </w:p>
        </w:tc>
        <w:tc>
          <w:tcPr>
            <w:tcW w:w="709" w:type="pct"/>
            <w:gridSpan w:val="3"/>
            <w:vMerge w:val="restart"/>
            <w:tcBorders>
              <w:tl2br w:val="nil"/>
              <w:tr2bl w:val="nil"/>
            </w:tcBorders>
            <w:vAlign w:val="center"/>
          </w:tcPr>
          <w:p w14:paraId="07706F65">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若干</w:t>
            </w:r>
          </w:p>
        </w:tc>
        <w:tc>
          <w:tcPr>
            <w:tcW w:w="1462" w:type="pct"/>
            <w:tcBorders>
              <w:tl2br w:val="nil"/>
              <w:tr2bl w:val="nil"/>
            </w:tcBorders>
            <w:vAlign w:val="center"/>
          </w:tcPr>
          <w:p w14:paraId="36694749">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学历：不限</w:t>
            </w:r>
          </w:p>
          <w:p w14:paraId="50CF309D">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经验：3年或以上厨房烹饪经验</w:t>
            </w:r>
          </w:p>
          <w:p w14:paraId="76B547DE">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证书：中式烹调师职业技能等级证书（四级或以上）、有效健康证</w:t>
            </w:r>
          </w:p>
        </w:tc>
        <w:tc>
          <w:tcPr>
            <w:tcW w:w="1870" w:type="pct"/>
            <w:vMerge w:val="restart"/>
            <w:tcBorders>
              <w:tl2br w:val="nil"/>
              <w:tr2bl w:val="nil"/>
            </w:tcBorders>
            <w:vAlign w:val="center"/>
          </w:tcPr>
          <w:p w14:paraId="163AA33F">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服从厨师长工作调度安排，负责食堂菜品的烹饪制作等。</w:t>
            </w:r>
          </w:p>
        </w:tc>
      </w:tr>
      <w:tr w14:paraId="111ECA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784" w:hRule="atLeast"/>
        </w:trPr>
        <w:tc>
          <w:tcPr>
            <w:tcW w:w="414" w:type="pct"/>
            <w:vMerge w:val="restart"/>
            <w:tcBorders>
              <w:tl2br w:val="nil"/>
              <w:tr2bl w:val="nil"/>
            </w:tcBorders>
            <w:vAlign w:val="center"/>
          </w:tcPr>
          <w:p w14:paraId="399D45E2">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12</w:t>
            </w:r>
          </w:p>
        </w:tc>
        <w:tc>
          <w:tcPr>
            <w:tcW w:w="543" w:type="pct"/>
            <w:vMerge w:val="restart"/>
            <w:tcBorders>
              <w:tl2br w:val="nil"/>
              <w:tr2bl w:val="nil"/>
            </w:tcBorders>
            <w:vAlign w:val="center"/>
          </w:tcPr>
          <w:p w14:paraId="5A76FB11">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面档</w:t>
            </w:r>
          </w:p>
          <w:p w14:paraId="2B214D02">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厨师</w:t>
            </w:r>
          </w:p>
        </w:tc>
        <w:tc>
          <w:tcPr>
            <w:tcW w:w="709" w:type="pct"/>
            <w:gridSpan w:val="3"/>
            <w:vMerge w:val="restart"/>
            <w:tcBorders>
              <w:tl2br w:val="nil"/>
              <w:tr2bl w:val="nil"/>
            </w:tcBorders>
            <w:vAlign w:val="center"/>
          </w:tcPr>
          <w:p w14:paraId="427FDA95">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若干</w:t>
            </w:r>
          </w:p>
        </w:tc>
        <w:tc>
          <w:tcPr>
            <w:tcW w:w="1462" w:type="pct"/>
            <w:tcBorders>
              <w:tl2br w:val="nil"/>
              <w:tr2bl w:val="nil"/>
            </w:tcBorders>
            <w:vAlign w:val="center"/>
          </w:tcPr>
          <w:p w14:paraId="70AB6AC6">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学历：不限</w:t>
            </w:r>
          </w:p>
          <w:p w14:paraId="35097E55">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经验：3年或以上中式面点制作经验</w:t>
            </w:r>
          </w:p>
          <w:p w14:paraId="28BAE73F">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证书：中式面点师职业技能等级证书（四级或以上）或中式烹调师职业技能等级证书（四级或以上）、有效健康证</w:t>
            </w:r>
          </w:p>
        </w:tc>
        <w:tc>
          <w:tcPr>
            <w:tcW w:w="1870" w:type="pct"/>
            <w:vMerge w:val="restart"/>
            <w:tcBorders>
              <w:tl2br w:val="nil"/>
              <w:tr2bl w:val="nil"/>
            </w:tcBorders>
            <w:vAlign w:val="center"/>
          </w:tcPr>
          <w:p w14:paraId="6FE0B796">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负责现场面档窗口的菜品规划与制作等。</w:t>
            </w:r>
          </w:p>
        </w:tc>
      </w:tr>
      <w:tr w14:paraId="591CFC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180" w:hRule="atLeast"/>
        </w:trPr>
        <w:tc>
          <w:tcPr>
            <w:tcW w:w="414" w:type="pct"/>
            <w:vMerge w:val="restart"/>
            <w:tcBorders>
              <w:tl2br w:val="nil"/>
              <w:tr2bl w:val="nil"/>
            </w:tcBorders>
            <w:vAlign w:val="center"/>
          </w:tcPr>
          <w:p w14:paraId="396B4326">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13</w:t>
            </w:r>
          </w:p>
        </w:tc>
        <w:tc>
          <w:tcPr>
            <w:tcW w:w="543" w:type="pct"/>
            <w:vMerge w:val="restart"/>
            <w:tcBorders>
              <w:tl2br w:val="nil"/>
              <w:tr2bl w:val="nil"/>
            </w:tcBorders>
            <w:vAlign w:val="center"/>
          </w:tcPr>
          <w:p w14:paraId="7784E573">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点心师</w:t>
            </w:r>
          </w:p>
        </w:tc>
        <w:tc>
          <w:tcPr>
            <w:tcW w:w="709" w:type="pct"/>
            <w:gridSpan w:val="3"/>
            <w:vMerge w:val="restart"/>
            <w:tcBorders>
              <w:tl2br w:val="nil"/>
              <w:tr2bl w:val="nil"/>
            </w:tcBorders>
            <w:vAlign w:val="center"/>
          </w:tcPr>
          <w:p w14:paraId="3E5DCD13">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若干</w:t>
            </w:r>
          </w:p>
        </w:tc>
        <w:tc>
          <w:tcPr>
            <w:tcW w:w="1462" w:type="pct"/>
            <w:tcBorders>
              <w:tl2br w:val="nil"/>
              <w:tr2bl w:val="nil"/>
            </w:tcBorders>
            <w:vAlign w:val="center"/>
          </w:tcPr>
          <w:p w14:paraId="2FC0821F">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学历：不限</w:t>
            </w:r>
          </w:p>
          <w:p w14:paraId="58CB4556">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经验：5年或以上广式点心/西式点心经验</w:t>
            </w:r>
          </w:p>
          <w:p w14:paraId="46EC0BDC">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证书：中式面点师职业技能等级证书（四级或以上）或西式面点师职业技能等级证书（四级或以上）、有效健康证</w:t>
            </w:r>
          </w:p>
        </w:tc>
        <w:tc>
          <w:tcPr>
            <w:tcW w:w="1870" w:type="pct"/>
            <w:vMerge w:val="restart"/>
            <w:tcBorders>
              <w:tl2br w:val="nil"/>
              <w:tr2bl w:val="nil"/>
            </w:tcBorders>
            <w:vAlign w:val="center"/>
          </w:tcPr>
          <w:p w14:paraId="68C8B0B0">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负责现场早餐、下午茶点心、药膳点心出品的规划和烹饪制作等。</w:t>
            </w:r>
          </w:p>
        </w:tc>
      </w:tr>
      <w:tr w14:paraId="26FE66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20" w:hRule="atLeast"/>
        </w:trPr>
        <w:tc>
          <w:tcPr>
            <w:tcW w:w="414" w:type="pct"/>
            <w:vMerge w:val="restart"/>
            <w:tcBorders>
              <w:tl2br w:val="nil"/>
              <w:tr2bl w:val="nil"/>
            </w:tcBorders>
            <w:vAlign w:val="center"/>
          </w:tcPr>
          <w:p w14:paraId="652E7421">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14</w:t>
            </w:r>
          </w:p>
        </w:tc>
        <w:tc>
          <w:tcPr>
            <w:tcW w:w="543" w:type="pct"/>
            <w:vMerge w:val="restart"/>
            <w:tcBorders>
              <w:tl2br w:val="nil"/>
              <w:tr2bl w:val="nil"/>
            </w:tcBorders>
            <w:vAlign w:val="center"/>
          </w:tcPr>
          <w:p w14:paraId="7091C588">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切配</w:t>
            </w:r>
          </w:p>
          <w:p w14:paraId="2A420C1A">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主管</w:t>
            </w:r>
          </w:p>
        </w:tc>
        <w:tc>
          <w:tcPr>
            <w:tcW w:w="709" w:type="pct"/>
            <w:gridSpan w:val="3"/>
            <w:vMerge w:val="restart"/>
            <w:tcBorders>
              <w:tl2br w:val="nil"/>
              <w:tr2bl w:val="nil"/>
            </w:tcBorders>
            <w:vAlign w:val="center"/>
          </w:tcPr>
          <w:p w14:paraId="5B37C0A1">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若干</w:t>
            </w:r>
          </w:p>
        </w:tc>
        <w:tc>
          <w:tcPr>
            <w:tcW w:w="1462" w:type="pct"/>
            <w:tcBorders>
              <w:tl2br w:val="nil"/>
              <w:tr2bl w:val="nil"/>
            </w:tcBorders>
            <w:vAlign w:val="center"/>
          </w:tcPr>
          <w:p w14:paraId="0A4D9453">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学历：不限</w:t>
            </w:r>
          </w:p>
          <w:p w14:paraId="5D5F6195">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经验：3年或以上切配管理经验</w:t>
            </w:r>
          </w:p>
          <w:p w14:paraId="649A63A8">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证书：有效健康证</w:t>
            </w:r>
          </w:p>
        </w:tc>
        <w:tc>
          <w:tcPr>
            <w:tcW w:w="1870" w:type="pct"/>
            <w:vMerge w:val="restart"/>
            <w:tcBorders>
              <w:tl2br w:val="nil"/>
              <w:tr2bl w:val="nil"/>
            </w:tcBorders>
            <w:vAlign w:val="center"/>
          </w:tcPr>
          <w:p w14:paraId="01A22559">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负责切配组人员培训与统筹工作排班，并与厨师对接食材切配要求及工作安排等。</w:t>
            </w:r>
          </w:p>
        </w:tc>
      </w:tr>
      <w:tr w14:paraId="270789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848" w:hRule="atLeast"/>
        </w:trPr>
        <w:tc>
          <w:tcPr>
            <w:tcW w:w="414" w:type="pct"/>
            <w:vMerge w:val="restart"/>
            <w:tcBorders>
              <w:tl2br w:val="nil"/>
              <w:tr2bl w:val="nil"/>
            </w:tcBorders>
            <w:vAlign w:val="center"/>
          </w:tcPr>
          <w:p w14:paraId="5BC741D4">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15</w:t>
            </w:r>
          </w:p>
        </w:tc>
        <w:tc>
          <w:tcPr>
            <w:tcW w:w="543" w:type="pct"/>
            <w:vMerge w:val="restart"/>
            <w:tcBorders>
              <w:tl2br w:val="nil"/>
              <w:tr2bl w:val="nil"/>
            </w:tcBorders>
            <w:vAlign w:val="center"/>
          </w:tcPr>
          <w:p w14:paraId="2EAD0964">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切配</w:t>
            </w:r>
          </w:p>
        </w:tc>
        <w:tc>
          <w:tcPr>
            <w:tcW w:w="709" w:type="pct"/>
            <w:gridSpan w:val="3"/>
            <w:vMerge w:val="restart"/>
            <w:tcBorders>
              <w:tl2br w:val="nil"/>
              <w:tr2bl w:val="nil"/>
            </w:tcBorders>
            <w:vAlign w:val="center"/>
          </w:tcPr>
          <w:p w14:paraId="31A0DA85">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若干</w:t>
            </w:r>
          </w:p>
        </w:tc>
        <w:tc>
          <w:tcPr>
            <w:tcW w:w="1462" w:type="pct"/>
            <w:tcBorders>
              <w:tl2br w:val="nil"/>
              <w:tr2bl w:val="nil"/>
            </w:tcBorders>
            <w:vAlign w:val="center"/>
          </w:tcPr>
          <w:p w14:paraId="53AB1E49">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学历：不限</w:t>
            </w:r>
          </w:p>
          <w:p w14:paraId="06C50039">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经验：1年或以上厨房切配经验</w:t>
            </w:r>
          </w:p>
          <w:p w14:paraId="321B532F">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证书：有效健康证</w:t>
            </w:r>
          </w:p>
        </w:tc>
        <w:tc>
          <w:tcPr>
            <w:tcW w:w="1870" w:type="pct"/>
            <w:vMerge w:val="restart"/>
            <w:tcBorders>
              <w:tl2br w:val="nil"/>
              <w:tr2bl w:val="nil"/>
            </w:tcBorders>
            <w:vAlign w:val="center"/>
          </w:tcPr>
          <w:p w14:paraId="39B11AC9">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负责食品原材料粗加工和细加工的处理工作，餐厨用具的清洗和消毒等工作。</w:t>
            </w:r>
          </w:p>
        </w:tc>
      </w:tr>
      <w:tr w14:paraId="380A5B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64" w:hRule="atLeast"/>
        </w:trPr>
        <w:tc>
          <w:tcPr>
            <w:tcW w:w="414" w:type="pct"/>
            <w:vMerge w:val="restart"/>
            <w:tcBorders>
              <w:tl2br w:val="nil"/>
              <w:tr2bl w:val="nil"/>
            </w:tcBorders>
            <w:vAlign w:val="center"/>
          </w:tcPr>
          <w:p w14:paraId="744B8F96">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16</w:t>
            </w:r>
          </w:p>
        </w:tc>
        <w:tc>
          <w:tcPr>
            <w:tcW w:w="543" w:type="pct"/>
            <w:vMerge w:val="restart"/>
            <w:tcBorders>
              <w:tl2br w:val="nil"/>
              <w:tr2bl w:val="nil"/>
            </w:tcBorders>
            <w:vAlign w:val="center"/>
          </w:tcPr>
          <w:p w14:paraId="51E7E7B4">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打荷</w:t>
            </w:r>
          </w:p>
        </w:tc>
        <w:tc>
          <w:tcPr>
            <w:tcW w:w="709" w:type="pct"/>
            <w:gridSpan w:val="3"/>
            <w:vMerge w:val="restart"/>
            <w:tcBorders>
              <w:tl2br w:val="nil"/>
              <w:tr2bl w:val="nil"/>
            </w:tcBorders>
            <w:vAlign w:val="center"/>
          </w:tcPr>
          <w:p w14:paraId="6366D865">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若干</w:t>
            </w:r>
          </w:p>
        </w:tc>
        <w:tc>
          <w:tcPr>
            <w:tcW w:w="1462" w:type="pct"/>
            <w:tcBorders>
              <w:tl2br w:val="nil"/>
              <w:tr2bl w:val="nil"/>
            </w:tcBorders>
            <w:vAlign w:val="center"/>
          </w:tcPr>
          <w:p w14:paraId="6444496C">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学历：不限</w:t>
            </w:r>
          </w:p>
          <w:p w14:paraId="7258E215">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经验：1年或以上打荷工作经验</w:t>
            </w:r>
          </w:p>
          <w:p w14:paraId="5882413B">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证书：有效健康证</w:t>
            </w:r>
          </w:p>
        </w:tc>
        <w:tc>
          <w:tcPr>
            <w:tcW w:w="1870" w:type="pct"/>
            <w:vMerge w:val="restart"/>
            <w:tcBorders>
              <w:tl2br w:val="nil"/>
              <w:tr2bl w:val="nil"/>
            </w:tcBorders>
            <w:vAlign w:val="center"/>
          </w:tcPr>
          <w:p w14:paraId="7F7750D5">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根据各种原料订单计划，掌握各种肉类原料的刀章规格，餐前备足订单所需的各种料头、配料等，协助厨师做好执单工作。</w:t>
            </w:r>
          </w:p>
        </w:tc>
      </w:tr>
      <w:tr w14:paraId="5B19D3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64" w:hRule="atLeast"/>
        </w:trPr>
        <w:tc>
          <w:tcPr>
            <w:tcW w:w="414" w:type="pct"/>
            <w:vMerge w:val="restart"/>
            <w:tcBorders>
              <w:tl2br w:val="nil"/>
              <w:tr2bl w:val="nil"/>
            </w:tcBorders>
            <w:vAlign w:val="center"/>
          </w:tcPr>
          <w:p w14:paraId="63785202">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17</w:t>
            </w:r>
          </w:p>
        </w:tc>
        <w:tc>
          <w:tcPr>
            <w:tcW w:w="543" w:type="pct"/>
            <w:vMerge w:val="restart"/>
            <w:tcBorders>
              <w:tl2br w:val="nil"/>
              <w:tr2bl w:val="nil"/>
            </w:tcBorders>
            <w:vAlign w:val="center"/>
          </w:tcPr>
          <w:p w14:paraId="14C47D87">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上什</w:t>
            </w:r>
          </w:p>
        </w:tc>
        <w:tc>
          <w:tcPr>
            <w:tcW w:w="709" w:type="pct"/>
            <w:gridSpan w:val="3"/>
            <w:vMerge w:val="restart"/>
            <w:tcBorders>
              <w:tl2br w:val="nil"/>
              <w:tr2bl w:val="nil"/>
            </w:tcBorders>
            <w:vAlign w:val="center"/>
          </w:tcPr>
          <w:p w14:paraId="228CF094">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若干</w:t>
            </w:r>
          </w:p>
        </w:tc>
        <w:tc>
          <w:tcPr>
            <w:tcW w:w="1462" w:type="pct"/>
            <w:tcBorders>
              <w:tl2br w:val="nil"/>
              <w:tr2bl w:val="nil"/>
            </w:tcBorders>
            <w:vAlign w:val="center"/>
          </w:tcPr>
          <w:p w14:paraId="18B7CE65">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学历：不限</w:t>
            </w:r>
          </w:p>
          <w:p w14:paraId="5626ED9F">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经验：2年或以上上什/蒸灶/炖汤经验</w:t>
            </w:r>
          </w:p>
          <w:p w14:paraId="73C41350">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证书：有效健康证</w:t>
            </w:r>
          </w:p>
        </w:tc>
        <w:tc>
          <w:tcPr>
            <w:tcW w:w="1870" w:type="pct"/>
            <w:vMerge w:val="restart"/>
            <w:tcBorders>
              <w:tl2br w:val="nil"/>
              <w:tr2bl w:val="nil"/>
            </w:tcBorders>
            <w:vAlign w:val="center"/>
          </w:tcPr>
          <w:p w14:paraId="7676D2CF">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负责米饭、汤品、蒸菜的制作烹饪等。</w:t>
            </w:r>
          </w:p>
        </w:tc>
      </w:tr>
      <w:tr w14:paraId="110357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80" w:hRule="atLeast"/>
        </w:trPr>
        <w:tc>
          <w:tcPr>
            <w:tcW w:w="414" w:type="pct"/>
            <w:vMerge w:val="restart"/>
            <w:tcBorders>
              <w:tl2br w:val="nil"/>
              <w:tr2bl w:val="nil"/>
            </w:tcBorders>
            <w:vAlign w:val="center"/>
          </w:tcPr>
          <w:p w14:paraId="4DC83D1D">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18</w:t>
            </w:r>
          </w:p>
        </w:tc>
        <w:tc>
          <w:tcPr>
            <w:tcW w:w="543" w:type="pct"/>
            <w:vMerge w:val="restart"/>
            <w:tcBorders>
              <w:tl2br w:val="nil"/>
              <w:tr2bl w:val="nil"/>
            </w:tcBorders>
            <w:vAlign w:val="center"/>
          </w:tcPr>
          <w:p w14:paraId="5BFDCE13">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楼面服务员</w:t>
            </w:r>
          </w:p>
        </w:tc>
        <w:tc>
          <w:tcPr>
            <w:tcW w:w="709" w:type="pct"/>
            <w:gridSpan w:val="3"/>
            <w:vMerge w:val="restart"/>
            <w:tcBorders>
              <w:tl2br w:val="nil"/>
              <w:tr2bl w:val="nil"/>
            </w:tcBorders>
            <w:vAlign w:val="center"/>
          </w:tcPr>
          <w:p w14:paraId="485C061F">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若干</w:t>
            </w:r>
          </w:p>
        </w:tc>
        <w:tc>
          <w:tcPr>
            <w:tcW w:w="1462" w:type="pct"/>
            <w:tcBorders>
              <w:tl2br w:val="nil"/>
              <w:tr2bl w:val="nil"/>
            </w:tcBorders>
            <w:vAlign w:val="center"/>
          </w:tcPr>
          <w:p w14:paraId="66F0019A">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学历：不限</w:t>
            </w:r>
          </w:p>
          <w:p w14:paraId="2D1E263C">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经验：具备餐饮服务经验</w:t>
            </w:r>
          </w:p>
          <w:p w14:paraId="6925682D">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证书：有效健康证</w:t>
            </w:r>
          </w:p>
        </w:tc>
        <w:tc>
          <w:tcPr>
            <w:tcW w:w="1870" w:type="pct"/>
            <w:vMerge w:val="restart"/>
            <w:tcBorders>
              <w:tl2br w:val="nil"/>
              <w:tr2bl w:val="nil"/>
            </w:tcBorders>
            <w:vAlign w:val="center"/>
          </w:tcPr>
          <w:p w14:paraId="6D26A509">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负责餐线餐前准备、餐中分餐及餐后卫生清洁工作、食堂现场卫生清洁等。</w:t>
            </w:r>
          </w:p>
        </w:tc>
      </w:tr>
      <w:tr w14:paraId="6733F0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564" w:hRule="atLeast"/>
        </w:trPr>
        <w:tc>
          <w:tcPr>
            <w:tcW w:w="414" w:type="pct"/>
            <w:vMerge w:val="restart"/>
            <w:tcBorders>
              <w:tl2br w:val="nil"/>
              <w:tr2bl w:val="nil"/>
            </w:tcBorders>
            <w:vAlign w:val="center"/>
          </w:tcPr>
          <w:p w14:paraId="24256215">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19</w:t>
            </w:r>
          </w:p>
        </w:tc>
        <w:tc>
          <w:tcPr>
            <w:tcW w:w="543" w:type="pct"/>
            <w:vMerge w:val="restart"/>
            <w:tcBorders>
              <w:tl2br w:val="nil"/>
              <w:tr2bl w:val="nil"/>
            </w:tcBorders>
            <w:vAlign w:val="center"/>
          </w:tcPr>
          <w:p w14:paraId="5FD49ABB">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配餐员</w:t>
            </w:r>
          </w:p>
        </w:tc>
        <w:tc>
          <w:tcPr>
            <w:tcW w:w="709" w:type="pct"/>
            <w:gridSpan w:val="3"/>
            <w:vMerge w:val="restart"/>
            <w:tcBorders>
              <w:tl2br w:val="nil"/>
              <w:tr2bl w:val="nil"/>
            </w:tcBorders>
            <w:vAlign w:val="center"/>
          </w:tcPr>
          <w:p w14:paraId="050328BE">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若干</w:t>
            </w:r>
          </w:p>
        </w:tc>
        <w:tc>
          <w:tcPr>
            <w:tcW w:w="1462" w:type="pct"/>
            <w:tcBorders>
              <w:tl2br w:val="nil"/>
              <w:tr2bl w:val="nil"/>
            </w:tcBorders>
            <w:vAlign w:val="center"/>
          </w:tcPr>
          <w:p w14:paraId="1976D9AE">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学历：不限</w:t>
            </w:r>
          </w:p>
          <w:p w14:paraId="39555C1D">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经验：不限，熟悉粤语、具有配餐经验</w:t>
            </w:r>
          </w:p>
          <w:p w14:paraId="6F71558D">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证书：有效健康证</w:t>
            </w:r>
          </w:p>
        </w:tc>
        <w:tc>
          <w:tcPr>
            <w:tcW w:w="1870" w:type="pct"/>
            <w:vMerge w:val="restart"/>
            <w:tcBorders>
              <w:tl2br w:val="nil"/>
              <w:tr2bl w:val="nil"/>
            </w:tcBorders>
            <w:vAlign w:val="center"/>
          </w:tcPr>
          <w:p w14:paraId="54B69F69">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负责职工和病人订餐和配餐服务等。</w:t>
            </w:r>
          </w:p>
        </w:tc>
      </w:tr>
      <w:tr w14:paraId="25C3EF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80" w:hRule="atLeast"/>
        </w:trPr>
        <w:tc>
          <w:tcPr>
            <w:tcW w:w="414" w:type="pct"/>
            <w:vMerge w:val="restart"/>
            <w:tcBorders>
              <w:tl2br w:val="nil"/>
              <w:tr2bl w:val="nil"/>
            </w:tcBorders>
            <w:vAlign w:val="center"/>
          </w:tcPr>
          <w:p w14:paraId="4A3A96DF">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20</w:t>
            </w:r>
          </w:p>
        </w:tc>
        <w:tc>
          <w:tcPr>
            <w:tcW w:w="543" w:type="pct"/>
            <w:vMerge w:val="restart"/>
            <w:tcBorders>
              <w:tl2br w:val="nil"/>
              <w:tr2bl w:val="nil"/>
            </w:tcBorders>
            <w:vAlign w:val="center"/>
          </w:tcPr>
          <w:p w14:paraId="7B42B692">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洗碗工</w:t>
            </w:r>
          </w:p>
        </w:tc>
        <w:tc>
          <w:tcPr>
            <w:tcW w:w="709" w:type="pct"/>
            <w:gridSpan w:val="3"/>
            <w:vMerge w:val="restart"/>
            <w:tcBorders>
              <w:tl2br w:val="nil"/>
              <w:tr2bl w:val="nil"/>
            </w:tcBorders>
            <w:vAlign w:val="center"/>
          </w:tcPr>
          <w:p w14:paraId="60626AF5">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若干</w:t>
            </w:r>
          </w:p>
        </w:tc>
        <w:tc>
          <w:tcPr>
            <w:tcW w:w="1462" w:type="pct"/>
            <w:tcBorders>
              <w:tl2br w:val="nil"/>
              <w:tr2bl w:val="nil"/>
            </w:tcBorders>
            <w:vAlign w:val="center"/>
          </w:tcPr>
          <w:p w14:paraId="716A56FC">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学历：不限</w:t>
            </w:r>
          </w:p>
          <w:p w14:paraId="3661844F">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经验：不限</w:t>
            </w:r>
          </w:p>
          <w:p w14:paraId="2A33819D">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证书：有效健康证</w:t>
            </w:r>
          </w:p>
        </w:tc>
        <w:tc>
          <w:tcPr>
            <w:tcW w:w="1870" w:type="pct"/>
            <w:vMerge w:val="restart"/>
            <w:tcBorders>
              <w:tl2br w:val="nil"/>
              <w:tr2bl w:val="nil"/>
            </w:tcBorders>
            <w:vAlign w:val="center"/>
          </w:tcPr>
          <w:p w14:paraId="691DFFCB">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负责食堂所有餐厨用具、餐具的清洗和消毒工作等。</w:t>
            </w:r>
          </w:p>
        </w:tc>
      </w:tr>
      <w:tr w14:paraId="79E837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860" w:hRule="atLeast"/>
        </w:trPr>
        <w:tc>
          <w:tcPr>
            <w:tcW w:w="414" w:type="pct"/>
            <w:tcBorders>
              <w:tl2br w:val="nil"/>
              <w:tr2bl w:val="nil"/>
            </w:tcBorders>
            <w:vAlign w:val="center"/>
          </w:tcPr>
          <w:p w14:paraId="3D77C5BE">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21</w:t>
            </w:r>
          </w:p>
        </w:tc>
        <w:tc>
          <w:tcPr>
            <w:tcW w:w="543" w:type="pct"/>
            <w:tcBorders>
              <w:tl2br w:val="nil"/>
              <w:tr2bl w:val="nil"/>
            </w:tcBorders>
            <w:vAlign w:val="center"/>
          </w:tcPr>
          <w:p w14:paraId="64CCD7D0">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售卖点人员</w:t>
            </w:r>
          </w:p>
        </w:tc>
        <w:tc>
          <w:tcPr>
            <w:tcW w:w="709" w:type="pct"/>
            <w:gridSpan w:val="3"/>
            <w:tcBorders>
              <w:tl2br w:val="nil"/>
              <w:tr2bl w:val="nil"/>
            </w:tcBorders>
            <w:vAlign w:val="center"/>
          </w:tcPr>
          <w:p w14:paraId="60B0EA73">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若干</w:t>
            </w:r>
          </w:p>
        </w:tc>
        <w:tc>
          <w:tcPr>
            <w:tcW w:w="1462" w:type="pct"/>
            <w:tcBorders>
              <w:tl2br w:val="nil"/>
              <w:tr2bl w:val="nil"/>
            </w:tcBorders>
            <w:vAlign w:val="center"/>
          </w:tcPr>
          <w:p w14:paraId="32B5A016">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学历：不限</w:t>
            </w:r>
          </w:p>
          <w:p w14:paraId="309E1C6F">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经验：具有收银/售卖经验，熟悉粤语</w:t>
            </w:r>
          </w:p>
          <w:p w14:paraId="082F1760">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证书：有效健康证</w:t>
            </w:r>
          </w:p>
        </w:tc>
        <w:tc>
          <w:tcPr>
            <w:tcW w:w="1870" w:type="pct"/>
            <w:tcBorders>
              <w:tl2br w:val="nil"/>
              <w:tr2bl w:val="nil"/>
            </w:tcBorders>
            <w:vAlign w:val="center"/>
          </w:tcPr>
          <w:p w14:paraId="512F041A">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负责售卖点上货、售卖、收银、货品出入记帐等相关工作等。</w:t>
            </w:r>
          </w:p>
        </w:tc>
      </w:tr>
      <w:tr w14:paraId="75FB54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0" w:hRule="atLeast"/>
        </w:trPr>
        <w:tc>
          <w:tcPr>
            <w:tcW w:w="5000" w:type="pct"/>
            <w:gridSpan w:val="7"/>
            <w:tcBorders>
              <w:tl2br w:val="nil"/>
              <w:tr2bl w:val="nil"/>
            </w:tcBorders>
            <w:vAlign w:val="center"/>
          </w:tcPr>
          <w:p w14:paraId="26758305">
            <w:pPr>
              <w:widowControl/>
              <w:jc w:val="left"/>
              <w:textAlignment w:val="center"/>
              <w:rPr>
                <w:rFonts w:hint="eastAsia" w:ascii="宋体" w:hAnsi="宋体" w:eastAsia="宋体" w:cs="宋体"/>
                <w:color w:val="auto"/>
                <w:sz w:val="22"/>
                <w:szCs w:val="22"/>
              </w:rPr>
            </w:pPr>
            <w:r>
              <w:rPr>
                <w:rFonts w:hint="eastAsia" w:ascii="仿宋" w:hAnsi="仿宋" w:eastAsia="仿宋" w:cs="仿宋"/>
                <w:color w:val="auto"/>
                <w:kern w:val="0"/>
                <w:szCs w:val="21"/>
                <w:lang w:bidi="ar"/>
              </w:rPr>
              <w:t>注：本表所列人数为各院区各岗位的最低配置要求。标注“若干”的岗位，投标人须在投标文件中明确各院区的最低保障人数。各院区合计总人数不得少于63人，中标后可根据工作量增加人员，相关费用由投标人承担。</w:t>
            </w:r>
          </w:p>
        </w:tc>
      </w:tr>
    </w:tbl>
    <w:p w14:paraId="04A3805A">
      <w:pPr>
        <w:widowControl/>
        <w:numPr>
          <w:ilvl w:val="255"/>
          <w:numId w:val="0"/>
        </w:numPr>
        <w:ind w:firstLine="480" w:firstLineChars="200"/>
        <w:jc w:val="left"/>
        <w:textAlignment w:val="center"/>
        <w:rPr>
          <w:rFonts w:hint="eastAsia" w:ascii="仿宋" w:hAnsi="仿宋" w:eastAsia="仿宋" w:cs="仿宋"/>
          <w:color w:val="auto"/>
          <w:sz w:val="24"/>
        </w:rPr>
      </w:pPr>
    </w:p>
    <w:p w14:paraId="11947E24">
      <w:pPr>
        <w:widowControl/>
        <w:numPr>
          <w:ilvl w:val="255"/>
          <w:numId w:val="0"/>
        </w:numPr>
        <w:spacing w:line="360" w:lineRule="auto"/>
        <w:ind w:left="-363" w:firstLine="480" w:firstLineChars="200"/>
        <w:rPr>
          <w:rFonts w:hint="eastAsia" w:ascii="仿宋" w:hAnsi="仿宋" w:eastAsia="仿宋" w:cs="仿宋"/>
          <w:color w:val="auto"/>
          <w:sz w:val="24"/>
        </w:rPr>
      </w:pPr>
      <w:r>
        <w:rPr>
          <w:rFonts w:hint="eastAsia" w:ascii="仿宋" w:hAnsi="仿宋" w:eastAsia="仿宋" w:cs="仿宋"/>
          <w:color w:val="auto"/>
          <w:sz w:val="24"/>
        </w:rPr>
        <w:t>（二）</w:t>
      </w:r>
      <w:r>
        <w:rPr>
          <w:rFonts w:hint="eastAsia" w:ascii="仿宋" w:hAnsi="仿宋" w:eastAsia="仿宋" w:cs="仿宋"/>
          <w:color w:val="auto"/>
          <w:sz w:val="24"/>
          <w:lang w:bidi="ar"/>
        </w:rPr>
        <w:t>非驻场管理团队人员配置及任职要求表</w:t>
      </w:r>
    </w:p>
    <w:tbl>
      <w:tblPr>
        <w:tblStyle w:val="12"/>
        <w:tblW w:w="5000" w:type="pct"/>
        <w:tblInd w:w="0" w:type="dxa"/>
        <w:tblLayout w:type="fixed"/>
        <w:tblCellMar>
          <w:top w:w="0" w:type="dxa"/>
          <w:left w:w="108" w:type="dxa"/>
          <w:bottom w:w="0" w:type="dxa"/>
          <w:right w:w="108" w:type="dxa"/>
        </w:tblCellMar>
      </w:tblPr>
      <w:tblGrid>
        <w:gridCol w:w="671"/>
        <w:gridCol w:w="1245"/>
        <w:gridCol w:w="1168"/>
        <w:gridCol w:w="2252"/>
        <w:gridCol w:w="3186"/>
      </w:tblGrid>
      <w:tr w14:paraId="3AE5210E">
        <w:tblPrEx>
          <w:tblCellMar>
            <w:top w:w="0" w:type="dxa"/>
            <w:left w:w="108" w:type="dxa"/>
            <w:bottom w:w="0" w:type="dxa"/>
            <w:right w:w="108" w:type="dxa"/>
          </w:tblCellMar>
        </w:tblPrEx>
        <w:trPr>
          <w:trHeight w:val="340" w:hRule="atLeast"/>
        </w:trPr>
        <w:tc>
          <w:tcPr>
            <w:tcW w:w="393" w:type="pct"/>
            <w:tcBorders>
              <w:top w:val="single" w:color="000000" w:sz="8" w:space="0"/>
              <w:left w:val="single" w:color="000000" w:sz="8" w:space="0"/>
              <w:bottom w:val="single" w:color="000000" w:sz="8" w:space="0"/>
              <w:right w:val="single" w:color="000000" w:sz="8" w:space="0"/>
            </w:tcBorders>
            <w:vAlign w:val="center"/>
          </w:tcPr>
          <w:p w14:paraId="7B270FD8">
            <w:pPr>
              <w:widowControl/>
              <w:numPr>
                <w:ilvl w:val="255"/>
                <w:numId w:val="0"/>
              </w:numPr>
              <w:jc w:val="center"/>
              <w:textAlignment w:val="center"/>
              <w:rPr>
                <w:rFonts w:hint="eastAsia" w:ascii="仿宋" w:hAnsi="仿宋" w:eastAsia="仿宋" w:cs="仿宋"/>
                <w:b/>
                <w:bCs/>
                <w:color w:val="auto"/>
                <w:lang w:bidi="ar"/>
              </w:rPr>
            </w:pPr>
            <w:r>
              <w:rPr>
                <w:rFonts w:hint="eastAsia" w:ascii="仿宋" w:hAnsi="仿宋" w:eastAsia="仿宋" w:cs="仿宋"/>
                <w:b/>
                <w:bCs/>
                <w:color w:val="auto"/>
                <w:lang w:bidi="ar"/>
              </w:rPr>
              <w:t>序号</w:t>
            </w:r>
          </w:p>
        </w:tc>
        <w:tc>
          <w:tcPr>
            <w:tcW w:w="730" w:type="pct"/>
            <w:tcBorders>
              <w:top w:val="single" w:color="000000" w:sz="8" w:space="0"/>
              <w:left w:val="nil"/>
              <w:bottom w:val="single" w:color="000000" w:sz="8" w:space="0"/>
              <w:right w:val="single" w:color="000000" w:sz="8" w:space="0"/>
            </w:tcBorders>
            <w:vAlign w:val="center"/>
          </w:tcPr>
          <w:p w14:paraId="3498FA7F">
            <w:pPr>
              <w:widowControl/>
              <w:numPr>
                <w:ilvl w:val="255"/>
                <w:numId w:val="0"/>
              </w:numPr>
              <w:jc w:val="center"/>
              <w:textAlignment w:val="center"/>
              <w:rPr>
                <w:rFonts w:hint="eastAsia" w:ascii="仿宋" w:hAnsi="仿宋" w:eastAsia="仿宋" w:cs="仿宋"/>
                <w:b/>
                <w:bCs/>
                <w:color w:val="auto"/>
                <w:lang w:bidi="ar"/>
              </w:rPr>
            </w:pPr>
            <w:r>
              <w:rPr>
                <w:rFonts w:hint="eastAsia" w:ascii="仿宋" w:hAnsi="仿宋" w:eastAsia="仿宋" w:cs="仿宋"/>
                <w:b/>
                <w:bCs/>
                <w:color w:val="auto"/>
                <w:lang w:bidi="ar"/>
              </w:rPr>
              <w:t>岗位</w:t>
            </w:r>
          </w:p>
        </w:tc>
        <w:tc>
          <w:tcPr>
            <w:tcW w:w="685" w:type="pct"/>
            <w:tcBorders>
              <w:top w:val="single" w:color="000000" w:sz="8" w:space="0"/>
              <w:left w:val="single" w:color="000000" w:sz="8" w:space="0"/>
              <w:bottom w:val="single" w:color="000000" w:sz="8" w:space="0"/>
              <w:right w:val="single" w:color="000000" w:sz="8" w:space="0"/>
            </w:tcBorders>
            <w:vAlign w:val="center"/>
          </w:tcPr>
          <w:p w14:paraId="02335A42">
            <w:pPr>
              <w:widowControl/>
              <w:numPr>
                <w:ilvl w:val="255"/>
                <w:numId w:val="0"/>
              </w:numPr>
              <w:jc w:val="center"/>
              <w:textAlignment w:val="center"/>
              <w:rPr>
                <w:rFonts w:hint="eastAsia" w:ascii="仿宋" w:hAnsi="仿宋" w:eastAsia="仿宋" w:cs="仿宋"/>
                <w:b/>
                <w:bCs/>
                <w:color w:val="auto"/>
                <w:lang w:bidi="ar"/>
              </w:rPr>
            </w:pPr>
            <w:r>
              <w:rPr>
                <w:rFonts w:hint="eastAsia" w:ascii="仿宋" w:hAnsi="仿宋" w:eastAsia="仿宋" w:cs="仿宋"/>
                <w:b/>
                <w:bCs/>
                <w:color w:val="auto"/>
                <w:lang w:bidi="ar"/>
              </w:rPr>
              <w:t>人数要求</w:t>
            </w:r>
          </w:p>
        </w:tc>
        <w:tc>
          <w:tcPr>
            <w:tcW w:w="1321" w:type="pct"/>
            <w:tcBorders>
              <w:top w:val="single" w:color="000000" w:sz="8" w:space="0"/>
              <w:left w:val="nil"/>
              <w:bottom w:val="single" w:color="000000" w:sz="8" w:space="0"/>
              <w:right w:val="single" w:color="000000" w:sz="8" w:space="0"/>
            </w:tcBorders>
            <w:vAlign w:val="center"/>
          </w:tcPr>
          <w:p w14:paraId="035EE57B">
            <w:pPr>
              <w:widowControl/>
              <w:numPr>
                <w:ilvl w:val="255"/>
                <w:numId w:val="0"/>
              </w:numPr>
              <w:jc w:val="center"/>
              <w:textAlignment w:val="center"/>
              <w:rPr>
                <w:rFonts w:hint="eastAsia" w:ascii="仿宋" w:hAnsi="仿宋" w:eastAsia="仿宋" w:cs="仿宋"/>
                <w:b/>
                <w:bCs/>
                <w:color w:val="auto"/>
                <w:lang w:bidi="ar"/>
              </w:rPr>
            </w:pPr>
            <w:r>
              <w:rPr>
                <w:rFonts w:hint="eastAsia" w:ascii="仿宋" w:hAnsi="仿宋" w:eastAsia="仿宋" w:cs="仿宋"/>
                <w:b/>
                <w:bCs/>
                <w:color w:val="auto"/>
                <w:lang w:bidi="ar"/>
              </w:rPr>
              <w:t>任职要求</w:t>
            </w:r>
          </w:p>
        </w:tc>
        <w:tc>
          <w:tcPr>
            <w:tcW w:w="1869" w:type="pct"/>
            <w:tcBorders>
              <w:top w:val="single" w:color="000000" w:sz="8" w:space="0"/>
              <w:left w:val="nil"/>
              <w:bottom w:val="single" w:color="000000" w:sz="8" w:space="0"/>
              <w:right w:val="single" w:color="000000" w:sz="8" w:space="0"/>
            </w:tcBorders>
            <w:vAlign w:val="center"/>
          </w:tcPr>
          <w:p w14:paraId="64535650">
            <w:pPr>
              <w:widowControl/>
              <w:numPr>
                <w:ilvl w:val="255"/>
                <w:numId w:val="0"/>
              </w:numPr>
              <w:jc w:val="center"/>
              <w:textAlignment w:val="center"/>
              <w:rPr>
                <w:rFonts w:hint="eastAsia" w:ascii="仿宋" w:hAnsi="仿宋" w:eastAsia="仿宋" w:cs="仿宋"/>
                <w:b/>
                <w:bCs/>
                <w:color w:val="auto"/>
                <w:lang w:bidi="ar"/>
              </w:rPr>
            </w:pPr>
            <w:r>
              <w:rPr>
                <w:rFonts w:hint="eastAsia" w:ascii="仿宋" w:hAnsi="仿宋" w:eastAsia="仿宋" w:cs="仿宋"/>
                <w:b/>
                <w:bCs/>
                <w:color w:val="auto"/>
                <w:lang w:bidi="ar"/>
              </w:rPr>
              <w:t>岗位职责</w:t>
            </w:r>
          </w:p>
        </w:tc>
      </w:tr>
      <w:tr w14:paraId="2833CDEC">
        <w:tblPrEx>
          <w:tblCellMar>
            <w:top w:w="0" w:type="dxa"/>
            <w:left w:w="108" w:type="dxa"/>
            <w:bottom w:w="0" w:type="dxa"/>
            <w:right w:w="108" w:type="dxa"/>
          </w:tblCellMar>
        </w:tblPrEx>
        <w:trPr>
          <w:trHeight w:val="340" w:hRule="atLeast"/>
        </w:trPr>
        <w:tc>
          <w:tcPr>
            <w:tcW w:w="393" w:type="pct"/>
            <w:tcBorders>
              <w:top w:val="nil"/>
              <w:left w:val="single" w:color="000000" w:sz="4" w:space="0"/>
              <w:bottom w:val="single" w:color="000000" w:sz="4" w:space="0"/>
              <w:right w:val="single" w:color="000000" w:sz="4" w:space="0"/>
            </w:tcBorders>
            <w:noWrap/>
            <w:vAlign w:val="center"/>
          </w:tcPr>
          <w:p w14:paraId="3DB94281">
            <w:pPr>
              <w:widowControl/>
              <w:numPr>
                <w:ilvl w:val="255"/>
                <w:numId w:val="0"/>
              </w:numPr>
              <w:jc w:val="center"/>
              <w:textAlignment w:val="center"/>
              <w:rPr>
                <w:rFonts w:hint="eastAsia" w:ascii="仿宋" w:hAnsi="仿宋" w:eastAsia="仿宋" w:cs="仿宋"/>
                <w:color w:val="auto"/>
                <w:lang w:bidi="ar"/>
              </w:rPr>
            </w:pPr>
            <w:r>
              <w:rPr>
                <w:rFonts w:hint="eastAsia" w:ascii="仿宋" w:hAnsi="仿宋" w:eastAsia="仿宋" w:cs="仿宋"/>
                <w:color w:val="auto"/>
                <w:lang w:bidi="ar"/>
              </w:rPr>
              <w:t>1</w:t>
            </w:r>
          </w:p>
        </w:tc>
        <w:tc>
          <w:tcPr>
            <w:tcW w:w="730" w:type="pct"/>
            <w:tcBorders>
              <w:top w:val="nil"/>
              <w:left w:val="single" w:color="000000" w:sz="4" w:space="0"/>
              <w:bottom w:val="nil"/>
              <w:right w:val="single" w:color="000000" w:sz="4" w:space="0"/>
            </w:tcBorders>
            <w:noWrap/>
            <w:vAlign w:val="center"/>
          </w:tcPr>
          <w:p w14:paraId="58ABEDDE">
            <w:pPr>
              <w:widowControl/>
              <w:numPr>
                <w:ilvl w:val="255"/>
                <w:numId w:val="0"/>
              </w:numPr>
              <w:jc w:val="center"/>
              <w:textAlignment w:val="center"/>
              <w:rPr>
                <w:rFonts w:hint="eastAsia" w:ascii="仿宋" w:hAnsi="仿宋" w:eastAsia="仿宋" w:cs="仿宋"/>
                <w:color w:val="auto"/>
                <w:lang w:bidi="ar"/>
              </w:rPr>
            </w:pPr>
            <w:r>
              <w:rPr>
                <w:rFonts w:hint="eastAsia" w:ascii="仿宋" w:hAnsi="仿宋" w:eastAsia="仿宋" w:cs="仿宋"/>
                <w:color w:val="auto"/>
                <w:lang w:bidi="ar"/>
              </w:rPr>
              <w:t>项目总监</w:t>
            </w:r>
          </w:p>
        </w:tc>
        <w:tc>
          <w:tcPr>
            <w:tcW w:w="685" w:type="pct"/>
            <w:tcBorders>
              <w:top w:val="nil"/>
              <w:left w:val="single" w:color="000000" w:sz="4" w:space="0"/>
              <w:bottom w:val="single" w:color="000000" w:sz="4" w:space="0"/>
              <w:right w:val="single" w:color="000000" w:sz="4" w:space="0"/>
            </w:tcBorders>
            <w:noWrap/>
            <w:vAlign w:val="center"/>
          </w:tcPr>
          <w:p w14:paraId="72CE3368">
            <w:pPr>
              <w:widowControl/>
              <w:numPr>
                <w:ilvl w:val="255"/>
                <w:numId w:val="0"/>
              </w:numPr>
              <w:jc w:val="center"/>
              <w:textAlignment w:val="center"/>
              <w:rPr>
                <w:rFonts w:hint="eastAsia" w:ascii="仿宋" w:hAnsi="仿宋" w:eastAsia="仿宋" w:cs="仿宋"/>
                <w:color w:val="auto"/>
                <w:lang w:bidi="ar"/>
              </w:rPr>
            </w:pPr>
            <w:r>
              <w:rPr>
                <w:rFonts w:hint="eastAsia" w:ascii="仿宋" w:hAnsi="仿宋" w:eastAsia="仿宋" w:cs="仿宋"/>
                <w:color w:val="auto"/>
                <w:lang w:bidi="ar"/>
              </w:rPr>
              <w:t>1</w:t>
            </w:r>
          </w:p>
        </w:tc>
        <w:tc>
          <w:tcPr>
            <w:tcW w:w="1321" w:type="pct"/>
            <w:tcBorders>
              <w:top w:val="nil"/>
              <w:left w:val="single" w:color="000000" w:sz="4" w:space="0"/>
              <w:bottom w:val="single" w:color="000000" w:sz="4" w:space="0"/>
              <w:right w:val="single" w:color="000000" w:sz="4" w:space="0"/>
            </w:tcBorders>
            <w:vAlign w:val="center"/>
          </w:tcPr>
          <w:p w14:paraId="1F74EF21">
            <w:pPr>
              <w:widowControl/>
              <w:numPr>
                <w:ilvl w:val="255"/>
                <w:numId w:val="0"/>
              </w:numPr>
              <w:jc w:val="left"/>
              <w:textAlignment w:val="center"/>
              <w:rPr>
                <w:rFonts w:hint="eastAsia" w:ascii="仿宋" w:hAnsi="仿宋" w:eastAsia="仿宋" w:cs="仿宋"/>
                <w:color w:val="auto"/>
                <w:lang w:bidi="ar"/>
              </w:rPr>
            </w:pPr>
            <w:r>
              <w:rPr>
                <w:rFonts w:hint="eastAsia" w:ascii="仿宋" w:hAnsi="仿宋" w:eastAsia="仿宋" w:cs="仿宋"/>
                <w:color w:val="auto"/>
                <w:lang w:bidi="ar"/>
              </w:rPr>
              <w:t>学历：本科或以上</w:t>
            </w:r>
            <w:r>
              <w:rPr>
                <w:rFonts w:hint="eastAsia" w:ascii="仿宋" w:hAnsi="仿宋" w:eastAsia="仿宋" w:cs="仿宋"/>
                <w:color w:val="auto"/>
                <w:lang w:bidi="ar"/>
              </w:rPr>
              <w:br w:type="textWrapping"/>
            </w:r>
            <w:r>
              <w:rPr>
                <w:rFonts w:hint="eastAsia" w:ascii="仿宋" w:hAnsi="仿宋" w:eastAsia="仿宋" w:cs="仿宋"/>
                <w:color w:val="auto"/>
                <w:lang w:bidi="ar"/>
              </w:rPr>
              <w:t>经验：10年或以上食堂/团餐相关管理经验，无从业禁止；</w:t>
            </w:r>
          </w:p>
        </w:tc>
        <w:tc>
          <w:tcPr>
            <w:tcW w:w="1869" w:type="pct"/>
            <w:tcBorders>
              <w:top w:val="nil"/>
              <w:left w:val="single" w:color="000000" w:sz="4" w:space="0"/>
              <w:bottom w:val="single" w:color="000000" w:sz="4" w:space="0"/>
              <w:right w:val="single" w:color="000000" w:sz="4" w:space="0"/>
            </w:tcBorders>
            <w:vAlign w:val="center"/>
          </w:tcPr>
          <w:p w14:paraId="67C955CF">
            <w:pPr>
              <w:widowControl/>
              <w:numPr>
                <w:ilvl w:val="255"/>
                <w:numId w:val="0"/>
              </w:numPr>
              <w:jc w:val="left"/>
              <w:textAlignment w:val="center"/>
              <w:rPr>
                <w:rFonts w:hint="eastAsia" w:ascii="仿宋" w:hAnsi="仿宋" w:eastAsia="仿宋" w:cs="仿宋"/>
                <w:color w:val="auto"/>
                <w:lang w:bidi="ar"/>
              </w:rPr>
            </w:pPr>
            <w:r>
              <w:rPr>
                <w:rFonts w:hint="eastAsia" w:ascii="仿宋" w:hAnsi="仿宋" w:eastAsia="仿宋" w:cs="仿宋"/>
                <w:color w:val="auto"/>
                <w:lang w:bidi="ar"/>
              </w:rPr>
              <w:t>1.指导食堂项目运营管理。</w:t>
            </w:r>
            <w:r>
              <w:rPr>
                <w:rFonts w:hint="eastAsia" w:ascii="仿宋" w:hAnsi="仿宋" w:eastAsia="仿宋" w:cs="仿宋"/>
                <w:color w:val="auto"/>
                <w:lang w:bidi="ar"/>
              </w:rPr>
              <w:br w:type="textWrapping"/>
            </w:r>
            <w:r>
              <w:rPr>
                <w:rFonts w:hint="eastAsia" w:ascii="仿宋" w:hAnsi="仿宋" w:eastAsia="仿宋" w:cs="仿宋"/>
                <w:color w:val="auto"/>
                <w:lang w:bidi="ar"/>
              </w:rPr>
              <w:t>2.指导落实食品安全、卫生消杀、餐食制作、服务规范等工作，把控食品安全风险及各类突发应急处置。</w:t>
            </w:r>
            <w:r>
              <w:rPr>
                <w:rFonts w:hint="eastAsia" w:ascii="仿宋" w:hAnsi="仿宋" w:eastAsia="仿宋" w:cs="仿宋"/>
                <w:color w:val="auto"/>
                <w:lang w:bidi="ar"/>
              </w:rPr>
              <w:br w:type="textWrapping"/>
            </w:r>
            <w:r>
              <w:rPr>
                <w:rFonts w:hint="eastAsia" w:ascii="仿宋" w:hAnsi="仿宋" w:eastAsia="仿宋" w:cs="仿宋"/>
                <w:color w:val="auto"/>
                <w:lang w:bidi="ar"/>
              </w:rPr>
              <w:t>3.指导完善食堂管理制度、操作SOP及考核机制，推动运营标准化、规范化、信息化建设。</w:t>
            </w:r>
            <w:r>
              <w:rPr>
                <w:rFonts w:hint="eastAsia" w:ascii="仿宋" w:hAnsi="仿宋" w:eastAsia="仿宋" w:cs="仿宋"/>
                <w:color w:val="auto"/>
                <w:lang w:bidi="ar"/>
              </w:rPr>
              <w:br w:type="textWrapping"/>
            </w:r>
            <w:r>
              <w:rPr>
                <w:rFonts w:hint="eastAsia" w:ascii="仿宋" w:hAnsi="仿宋" w:eastAsia="仿宋" w:cs="仿宋"/>
                <w:color w:val="auto"/>
                <w:lang w:bidi="ar"/>
              </w:rPr>
              <w:t>4.指导食堂运营管理其他工作。</w:t>
            </w:r>
          </w:p>
        </w:tc>
      </w:tr>
      <w:tr w14:paraId="5FCF03D0">
        <w:tblPrEx>
          <w:tblCellMar>
            <w:top w:w="0" w:type="dxa"/>
            <w:left w:w="108" w:type="dxa"/>
            <w:bottom w:w="0" w:type="dxa"/>
            <w:right w:w="108" w:type="dxa"/>
          </w:tblCellMar>
        </w:tblPrEx>
        <w:trPr>
          <w:trHeight w:val="340" w:hRule="atLeast"/>
        </w:trPr>
        <w:tc>
          <w:tcPr>
            <w:tcW w:w="393" w:type="pct"/>
            <w:tcBorders>
              <w:top w:val="single" w:color="000000" w:sz="4" w:space="0"/>
              <w:left w:val="single" w:color="000000" w:sz="4" w:space="0"/>
              <w:bottom w:val="single" w:color="000000" w:sz="4" w:space="0"/>
              <w:right w:val="nil"/>
            </w:tcBorders>
            <w:noWrap/>
            <w:vAlign w:val="center"/>
          </w:tcPr>
          <w:p w14:paraId="79209223">
            <w:pPr>
              <w:widowControl/>
              <w:numPr>
                <w:ilvl w:val="255"/>
                <w:numId w:val="0"/>
              </w:numPr>
              <w:jc w:val="center"/>
              <w:textAlignment w:val="center"/>
              <w:rPr>
                <w:rFonts w:hint="eastAsia" w:ascii="仿宋" w:hAnsi="仿宋" w:eastAsia="仿宋" w:cs="仿宋"/>
                <w:color w:val="auto"/>
                <w:lang w:bidi="ar"/>
              </w:rPr>
            </w:pPr>
            <w:r>
              <w:rPr>
                <w:rFonts w:hint="eastAsia" w:ascii="仿宋" w:hAnsi="仿宋" w:eastAsia="仿宋" w:cs="仿宋"/>
                <w:color w:val="auto"/>
                <w:lang w:bidi="ar"/>
              </w:rPr>
              <w:t>2</w:t>
            </w:r>
          </w:p>
        </w:tc>
        <w:tc>
          <w:tcPr>
            <w:tcW w:w="730" w:type="pct"/>
            <w:tcBorders>
              <w:top w:val="single" w:color="000000" w:sz="4" w:space="0"/>
              <w:left w:val="single" w:color="000000" w:sz="4" w:space="0"/>
              <w:bottom w:val="single" w:color="000000" w:sz="4" w:space="0"/>
              <w:right w:val="single" w:color="000000" w:sz="4" w:space="0"/>
            </w:tcBorders>
            <w:noWrap/>
            <w:vAlign w:val="center"/>
          </w:tcPr>
          <w:p w14:paraId="7211617F">
            <w:pPr>
              <w:widowControl/>
              <w:numPr>
                <w:ilvl w:val="255"/>
                <w:numId w:val="0"/>
              </w:numPr>
              <w:jc w:val="center"/>
              <w:textAlignment w:val="center"/>
              <w:rPr>
                <w:rFonts w:hint="eastAsia" w:ascii="仿宋" w:hAnsi="仿宋" w:eastAsia="仿宋" w:cs="仿宋"/>
                <w:color w:val="auto"/>
                <w:lang w:bidi="ar"/>
              </w:rPr>
            </w:pPr>
            <w:r>
              <w:rPr>
                <w:rFonts w:hint="eastAsia" w:ascii="仿宋" w:hAnsi="仿宋" w:eastAsia="仿宋" w:cs="仿宋"/>
                <w:color w:val="auto"/>
                <w:lang w:bidi="ar"/>
              </w:rPr>
              <w:t>营养</w:t>
            </w:r>
            <w:r>
              <w:rPr>
                <w:rFonts w:hint="eastAsia" w:ascii="仿宋" w:hAnsi="仿宋" w:eastAsia="仿宋" w:cs="仿宋"/>
                <w:color w:val="auto"/>
                <w:lang w:val="en-US" w:eastAsia="zh-CN" w:bidi="ar"/>
              </w:rPr>
              <w:t>指导员</w:t>
            </w:r>
          </w:p>
        </w:tc>
        <w:tc>
          <w:tcPr>
            <w:tcW w:w="685" w:type="pct"/>
            <w:tcBorders>
              <w:top w:val="single" w:color="000000" w:sz="4" w:space="0"/>
              <w:left w:val="nil"/>
              <w:bottom w:val="single" w:color="000000" w:sz="4" w:space="0"/>
              <w:right w:val="single" w:color="000000" w:sz="4" w:space="0"/>
            </w:tcBorders>
            <w:noWrap/>
            <w:vAlign w:val="center"/>
          </w:tcPr>
          <w:p w14:paraId="6F8CD5DC">
            <w:pPr>
              <w:widowControl/>
              <w:numPr>
                <w:ilvl w:val="255"/>
                <w:numId w:val="0"/>
              </w:numPr>
              <w:jc w:val="center"/>
              <w:textAlignment w:val="center"/>
              <w:rPr>
                <w:rFonts w:hint="eastAsia" w:ascii="仿宋" w:hAnsi="仿宋" w:eastAsia="仿宋" w:cs="仿宋"/>
                <w:color w:val="auto"/>
                <w:lang w:bidi="ar"/>
              </w:rPr>
            </w:pPr>
            <w:r>
              <w:rPr>
                <w:rFonts w:hint="eastAsia" w:ascii="仿宋" w:hAnsi="仿宋" w:eastAsia="仿宋" w:cs="仿宋"/>
                <w:color w:val="auto"/>
                <w:lang w:bidi="ar"/>
              </w:rPr>
              <w:t>1</w:t>
            </w:r>
          </w:p>
        </w:tc>
        <w:tc>
          <w:tcPr>
            <w:tcW w:w="1321" w:type="pct"/>
            <w:tcBorders>
              <w:top w:val="nil"/>
              <w:left w:val="single" w:color="000000" w:sz="4" w:space="0"/>
              <w:bottom w:val="single" w:color="000000" w:sz="4" w:space="0"/>
              <w:right w:val="single" w:color="000000" w:sz="4" w:space="0"/>
            </w:tcBorders>
            <w:vAlign w:val="center"/>
          </w:tcPr>
          <w:p w14:paraId="1AB9D7BE">
            <w:pPr>
              <w:widowControl/>
              <w:numPr>
                <w:ilvl w:val="255"/>
                <w:numId w:val="0"/>
              </w:numPr>
              <w:jc w:val="left"/>
              <w:textAlignment w:val="center"/>
              <w:rPr>
                <w:rFonts w:hint="eastAsia" w:ascii="仿宋" w:hAnsi="仿宋" w:eastAsia="仿宋" w:cs="仿宋"/>
                <w:color w:val="auto"/>
                <w:lang w:bidi="ar"/>
              </w:rPr>
            </w:pPr>
            <w:r>
              <w:rPr>
                <w:rFonts w:hint="eastAsia" w:ascii="仿宋" w:hAnsi="仿宋" w:eastAsia="仿宋" w:cs="仿宋"/>
                <w:color w:val="auto"/>
                <w:lang w:bidi="ar"/>
              </w:rPr>
              <w:t>学历：大专或以上</w:t>
            </w:r>
            <w:r>
              <w:rPr>
                <w:rFonts w:hint="eastAsia" w:ascii="仿宋" w:hAnsi="仿宋" w:eastAsia="仿宋" w:cs="仿宋"/>
                <w:color w:val="auto"/>
                <w:lang w:bidi="ar"/>
              </w:rPr>
              <w:br w:type="textWrapping"/>
            </w:r>
            <w:r>
              <w:rPr>
                <w:rFonts w:hint="eastAsia" w:ascii="仿宋" w:hAnsi="仿宋" w:eastAsia="仿宋" w:cs="仿宋"/>
                <w:color w:val="auto"/>
                <w:lang w:bidi="ar"/>
              </w:rPr>
              <w:t>经验：8年或以上食堂/团餐相关管理经验，无从业禁止；</w:t>
            </w:r>
            <w:r>
              <w:rPr>
                <w:rFonts w:hint="eastAsia" w:ascii="仿宋" w:hAnsi="仿宋" w:eastAsia="仿宋" w:cs="仿宋"/>
                <w:color w:val="auto"/>
                <w:lang w:bidi="ar"/>
              </w:rPr>
              <w:br w:type="textWrapping"/>
            </w:r>
            <w:r>
              <w:rPr>
                <w:rFonts w:hint="eastAsia" w:ascii="仿宋" w:hAnsi="仿宋" w:eastAsia="仿宋" w:cs="仿宋"/>
                <w:color w:val="auto"/>
                <w:lang w:bidi="ar"/>
              </w:rPr>
              <w:t>资质：注册营养技师或注册营养师</w:t>
            </w:r>
          </w:p>
        </w:tc>
        <w:tc>
          <w:tcPr>
            <w:tcW w:w="1869" w:type="pct"/>
            <w:tcBorders>
              <w:top w:val="single" w:color="000000" w:sz="4" w:space="0"/>
              <w:left w:val="single" w:color="000000" w:sz="4" w:space="0"/>
              <w:bottom w:val="single" w:color="000000" w:sz="4" w:space="0"/>
              <w:right w:val="single" w:color="000000" w:sz="4" w:space="0"/>
            </w:tcBorders>
            <w:vAlign w:val="center"/>
          </w:tcPr>
          <w:p w14:paraId="3911F701">
            <w:pPr>
              <w:widowControl/>
              <w:numPr>
                <w:ilvl w:val="255"/>
                <w:numId w:val="0"/>
              </w:numPr>
              <w:jc w:val="left"/>
              <w:textAlignment w:val="center"/>
              <w:rPr>
                <w:rFonts w:hint="eastAsia" w:ascii="仿宋" w:hAnsi="仿宋" w:eastAsia="仿宋" w:cs="仿宋"/>
                <w:color w:val="auto"/>
                <w:lang w:bidi="ar"/>
              </w:rPr>
            </w:pPr>
            <w:r>
              <w:rPr>
                <w:rFonts w:hint="eastAsia" w:ascii="仿宋" w:hAnsi="仿宋" w:eastAsia="仿宋" w:cs="仿宋"/>
                <w:color w:val="auto"/>
                <w:lang w:bidi="ar"/>
              </w:rPr>
              <w:t>1.指导食堂食谱营养搭配审核，控制热量、荤素配比、营养均衡，避免高油高盐高脂。</w:t>
            </w:r>
            <w:r>
              <w:rPr>
                <w:rFonts w:hint="eastAsia" w:ascii="仿宋" w:hAnsi="仿宋" w:eastAsia="仿宋" w:cs="仿宋"/>
                <w:color w:val="auto"/>
                <w:lang w:bidi="ar"/>
              </w:rPr>
              <w:br w:type="textWrapping"/>
            </w:r>
            <w:r>
              <w:rPr>
                <w:rFonts w:hint="eastAsia" w:ascii="仿宋" w:hAnsi="仿宋" w:eastAsia="仿宋" w:cs="仿宋"/>
                <w:color w:val="auto"/>
                <w:lang w:bidi="ar"/>
              </w:rPr>
              <w:t>2.指导制定个性化膳食建议与配餐方案。</w:t>
            </w:r>
            <w:r>
              <w:rPr>
                <w:rFonts w:hint="eastAsia" w:ascii="仿宋" w:hAnsi="仿宋" w:eastAsia="仿宋" w:cs="仿宋"/>
                <w:color w:val="auto"/>
                <w:lang w:bidi="ar"/>
              </w:rPr>
              <w:br w:type="textWrapping"/>
            </w:r>
            <w:r>
              <w:rPr>
                <w:rFonts w:hint="eastAsia" w:ascii="仿宋" w:hAnsi="仿宋" w:eastAsia="仿宋" w:cs="仿宋"/>
                <w:color w:val="auto"/>
                <w:lang w:bidi="ar"/>
              </w:rPr>
              <w:t>3.指导食堂菜品烹调方式优化，合理控油、控盐、控糖，推广健康烹饪模式。</w:t>
            </w:r>
            <w:r>
              <w:rPr>
                <w:rFonts w:hint="eastAsia" w:ascii="仿宋" w:hAnsi="仿宋" w:eastAsia="仿宋" w:cs="仿宋"/>
                <w:color w:val="auto"/>
                <w:lang w:bidi="ar"/>
              </w:rPr>
              <w:br w:type="textWrapping"/>
            </w:r>
            <w:r>
              <w:rPr>
                <w:rFonts w:hint="eastAsia" w:ascii="仿宋" w:hAnsi="仿宋" w:eastAsia="仿宋" w:cs="仿宋"/>
                <w:color w:val="auto"/>
                <w:lang w:bidi="ar"/>
              </w:rPr>
              <w:t>4.指导药食同源膳食营养相关工作。</w:t>
            </w:r>
          </w:p>
        </w:tc>
      </w:tr>
      <w:tr w14:paraId="787B6586">
        <w:tblPrEx>
          <w:tblCellMar>
            <w:top w:w="0" w:type="dxa"/>
            <w:left w:w="108" w:type="dxa"/>
            <w:bottom w:w="0" w:type="dxa"/>
            <w:right w:w="108" w:type="dxa"/>
          </w:tblCellMar>
        </w:tblPrEx>
        <w:trPr>
          <w:trHeight w:val="340" w:hRule="atLeast"/>
        </w:trPr>
        <w:tc>
          <w:tcPr>
            <w:tcW w:w="393" w:type="pct"/>
            <w:tcBorders>
              <w:top w:val="single" w:color="000000" w:sz="4" w:space="0"/>
              <w:left w:val="single" w:color="000000" w:sz="4" w:space="0"/>
              <w:bottom w:val="single" w:color="000000" w:sz="4" w:space="0"/>
              <w:right w:val="nil"/>
            </w:tcBorders>
            <w:noWrap/>
            <w:vAlign w:val="center"/>
          </w:tcPr>
          <w:p w14:paraId="0BB20887">
            <w:pPr>
              <w:widowControl/>
              <w:numPr>
                <w:ilvl w:val="255"/>
                <w:numId w:val="0"/>
              </w:numPr>
              <w:jc w:val="center"/>
              <w:textAlignment w:val="center"/>
              <w:rPr>
                <w:rFonts w:hint="eastAsia" w:ascii="仿宋" w:hAnsi="仿宋" w:eastAsia="仿宋" w:cs="仿宋"/>
                <w:color w:val="auto"/>
                <w:lang w:bidi="ar"/>
              </w:rPr>
            </w:pPr>
            <w:r>
              <w:rPr>
                <w:rFonts w:hint="eastAsia" w:ascii="仿宋" w:hAnsi="仿宋" w:eastAsia="仿宋" w:cs="仿宋"/>
                <w:color w:val="auto"/>
                <w:lang w:bidi="ar"/>
              </w:rPr>
              <w:t>3</w:t>
            </w:r>
          </w:p>
        </w:tc>
        <w:tc>
          <w:tcPr>
            <w:tcW w:w="730" w:type="pct"/>
            <w:tcBorders>
              <w:top w:val="nil"/>
              <w:left w:val="single" w:color="000000" w:sz="4" w:space="0"/>
              <w:bottom w:val="single" w:color="000000" w:sz="4" w:space="0"/>
              <w:right w:val="single" w:color="000000" w:sz="4" w:space="0"/>
            </w:tcBorders>
            <w:noWrap/>
            <w:vAlign w:val="center"/>
          </w:tcPr>
          <w:p w14:paraId="25F2A38A">
            <w:pPr>
              <w:widowControl/>
              <w:numPr>
                <w:ilvl w:val="255"/>
                <w:numId w:val="0"/>
              </w:numPr>
              <w:jc w:val="center"/>
              <w:textAlignment w:val="center"/>
              <w:rPr>
                <w:rFonts w:hint="eastAsia" w:ascii="仿宋" w:hAnsi="仿宋" w:eastAsia="仿宋" w:cs="仿宋"/>
                <w:color w:val="auto"/>
                <w:lang w:eastAsia="zh-CN" w:bidi="ar"/>
              </w:rPr>
            </w:pPr>
            <w:r>
              <w:rPr>
                <w:rFonts w:hint="eastAsia" w:ascii="仿宋" w:hAnsi="仿宋" w:eastAsia="仿宋" w:cs="仿宋"/>
                <w:color w:val="auto"/>
                <w:lang w:eastAsia="zh-CN" w:bidi="ar"/>
              </w:rPr>
              <w:t>行政总厨</w:t>
            </w:r>
          </w:p>
        </w:tc>
        <w:tc>
          <w:tcPr>
            <w:tcW w:w="685" w:type="pct"/>
            <w:tcBorders>
              <w:top w:val="nil"/>
              <w:left w:val="single" w:color="000000" w:sz="4" w:space="0"/>
              <w:bottom w:val="single" w:color="000000" w:sz="4" w:space="0"/>
              <w:right w:val="single" w:color="000000" w:sz="4" w:space="0"/>
            </w:tcBorders>
            <w:vAlign w:val="center"/>
          </w:tcPr>
          <w:p w14:paraId="245C1634">
            <w:pPr>
              <w:widowControl/>
              <w:numPr>
                <w:ilvl w:val="255"/>
                <w:numId w:val="0"/>
              </w:numPr>
              <w:jc w:val="center"/>
              <w:textAlignment w:val="center"/>
              <w:rPr>
                <w:rFonts w:hint="eastAsia" w:ascii="仿宋" w:hAnsi="仿宋" w:eastAsia="仿宋" w:cs="仿宋"/>
                <w:color w:val="auto"/>
                <w:lang w:bidi="ar"/>
              </w:rPr>
            </w:pPr>
            <w:r>
              <w:rPr>
                <w:rFonts w:hint="eastAsia" w:ascii="仿宋" w:hAnsi="仿宋" w:eastAsia="仿宋" w:cs="仿宋"/>
                <w:color w:val="auto"/>
                <w:lang w:bidi="ar"/>
              </w:rPr>
              <w:t>1</w:t>
            </w:r>
          </w:p>
        </w:tc>
        <w:tc>
          <w:tcPr>
            <w:tcW w:w="1321" w:type="pct"/>
            <w:tcBorders>
              <w:top w:val="nil"/>
              <w:left w:val="single" w:color="000000" w:sz="4" w:space="0"/>
              <w:bottom w:val="single" w:color="000000" w:sz="4" w:space="0"/>
              <w:right w:val="single" w:color="000000" w:sz="4" w:space="0"/>
            </w:tcBorders>
            <w:vAlign w:val="center"/>
          </w:tcPr>
          <w:p w14:paraId="667E31D3">
            <w:pPr>
              <w:widowControl/>
              <w:numPr>
                <w:ilvl w:val="255"/>
                <w:numId w:val="0"/>
              </w:numPr>
              <w:textAlignment w:val="center"/>
              <w:rPr>
                <w:rFonts w:hint="eastAsia" w:ascii="仿宋" w:hAnsi="仿宋" w:eastAsia="仿宋" w:cs="仿宋"/>
                <w:color w:val="auto"/>
                <w:lang w:bidi="ar"/>
              </w:rPr>
            </w:pPr>
            <w:r>
              <w:rPr>
                <w:rFonts w:hint="eastAsia" w:ascii="仿宋" w:hAnsi="仿宋" w:eastAsia="仿宋" w:cs="仿宋"/>
                <w:color w:val="auto"/>
                <w:lang w:bidi="ar"/>
              </w:rPr>
              <w:t>学历：不限</w:t>
            </w:r>
            <w:r>
              <w:rPr>
                <w:rFonts w:hint="eastAsia" w:ascii="仿宋" w:hAnsi="仿宋" w:eastAsia="仿宋" w:cs="仿宋"/>
                <w:color w:val="auto"/>
                <w:lang w:bidi="ar"/>
              </w:rPr>
              <w:br w:type="textWrapping"/>
            </w:r>
            <w:r>
              <w:rPr>
                <w:rFonts w:hint="eastAsia" w:ascii="仿宋" w:hAnsi="仿宋" w:eastAsia="仿宋" w:cs="仿宋"/>
                <w:color w:val="auto"/>
                <w:lang w:bidi="ar"/>
              </w:rPr>
              <w:t>经验：具备10年或以上大型食堂/团餐烹饪管理经验，有菜品研发、后厨技术培训从业经历。</w:t>
            </w:r>
            <w:r>
              <w:rPr>
                <w:rFonts w:hint="eastAsia" w:ascii="仿宋" w:hAnsi="仿宋" w:eastAsia="仿宋" w:cs="仿宋"/>
                <w:color w:val="auto"/>
                <w:lang w:bidi="ar"/>
              </w:rPr>
              <w:br w:type="textWrapping"/>
            </w:r>
            <w:r>
              <w:rPr>
                <w:rFonts w:hint="eastAsia" w:ascii="仿宋" w:hAnsi="仿宋" w:eastAsia="仿宋" w:cs="仿宋"/>
                <w:color w:val="auto"/>
                <w:lang w:bidi="ar"/>
              </w:rPr>
              <w:t>资质：中式烹调师职业技能等级证书（二级或以上）、有效健康证。</w:t>
            </w:r>
          </w:p>
        </w:tc>
        <w:tc>
          <w:tcPr>
            <w:tcW w:w="1869" w:type="pct"/>
            <w:tcBorders>
              <w:top w:val="single" w:color="000000" w:sz="4" w:space="0"/>
              <w:left w:val="single" w:color="000000" w:sz="4" w:space="0"/>
              <w:bottom w:val="single" w:color="000000" w:sz="4" w:space="0"/>
              <w:right w:val="single" w:color="000000" w:sz="4" w:space="0"/>
            </w:tcBorders>
            <w:vAlign w:val="center"/>
          </w:tcPr>
          <w:p w14:paraId="19F3E1F7">
            <w:pPr>
              <w:widowControl/>
              <w:numPr>
                <w:ilvl w:val="255"/>
                <w:numId w:val="0"/>
              </w:numPr>
              <w:jc w:val="left"/>
              <w:textAlignment w:val="center"/>
              <w:rPr>
                <w:rFonts w:hint="eastAsia" w:ascii="仿宋" w:hAnsi="仿宋" w:eastAsia="仿宋" w:cs="仿宋"/>
                <w:color w:val="auto"/>
                <w:lang w:bidi="ar"/>
              </w:rPr>
            </w:pPr>
            <w:r>
              <w:rPr>
                <w:rFonts w:hint="eastAsia" w:ascii="仿宋" w:hAnsi="仿宋" w:eastAsia="仿宋" w:cs="仿宋"/>
                <w:color w:val="auto"/>
                <w:lang w:bidi="ar"/>
              </w:rPr>
              <w:t>1.指导菜品研发、口味定型、四季菜单及特色菜式更新。</w:t>
            </w:r>
            <w:r>
              <w:rPr>
                <w:rFonts w:hint="eastAsia" w:ascii="仿宋" w:hAnsi="仿宋" w:eastAsia="仿宋" w:cs="仿宋"/>
                <w:color w:val="auto"/>
                <w:lang w:bidi="ar"/>
              </w:rPr>
              <w:br w:type="textWrapping"/>
            </w:r>
            <w:r>
              <w:rPr>
                <w:rFonts w:hint="eastAsia" w:ascii="仿宋" w:hAnsi="仿宋" w:eastAsia="仿宋" w:cs="仿宋"/>
                <w:color w:val="auto"/>
                <w:lang w:bidi="ar"/>
              </w:rPr>
              <w:t>2.指导标准化流程建设，适配医院健康膳食要求。</w:t>
            </w:r>
            <w:r>
              <w:rPr>
                <w:rFonts w:hint="eastAsia" w:ascii="仿宋" w:hAnsi="仿宋" w:eastAsia="仿宋" w:cs="仿宋"/>
                <w:color w:val="auto"/>
                <w:lang w:bidi="ar"/>
              </w:rPr>
              <w:br w:type="textWrapping"/>
            </w:r>
            <w:r>
              <w:rPr>
                <w:rFonts w:hint="eastAsia" w:ascii="仿宋" w:hAnsi="仿宋" w:eastAsia="仿宋" w:cs="仿宋"/>
                <w:color w:val="auto"/>
                <w:lang w:bidi="ar"/>
              </w:rPr>
              <w:t>3.指导厨师技能考核和提升等工作。</w:t>
            </w:r>
            <w:r>
              <w:rPr>
                <w:rFonts w:hint="eastAsia" w:ascii="仿宋" w:hAnsi="仿宋" w:eastAsia="仿宋" w:cs="仿宋"/>
                <w:color w:val="auto"/>
                <w:lang w:bidi="ar"/>
              </w:rPr>
              <w:br w:type="textWrapping"/>
            </w:r>
            <w:r>
              <w:rPr>
                <w:rFonts w:hint="eastAsia" w:ascii="仿宋" w:hAnsi="仿宋" w:eastAsia="仿宋" w:cs="仿宋"/>
                <w:color w:val="auto"/>
                <w:lang w:bidi="ar"/>
              </w:rPr>
              <w:t>4.指导其他品控管理相关工作。</w:t>
            </w:r>
          </w:p>
        </w:tc>
      </w:tr>
    </w:tbl>
    <w:p w14:paraId="6E7C21A9">
      <w:pPr>
        <w:widowControl/>
        <w:numPr>
          <w:ilvl w:val="255"/>
          <w:numId w:val="0"/>
        </w:numPr>
        <w:spacing w:line="360" w:lineRule="auto"/>
        <w:jc w:val="left"/>
        <w:rPr>
          <w:rFonts w:hint="eastAsia" w:ascii="仿宋" w:hAnsi="仿宋" w:eastAsia="仿宋" w:cs="仿宋"/>
          <w:color w:val="auto"/>
          <w:sz w:val="24"/>
        </w:rPr>
      </w:pPr>
    </w:p>
    <w:p w14:paraId="43BD3BFC">
      <w:pPr>
        <w:widowControl/>
        <w:numPr>
          <w:ilvl w:val="255"/>
          <w:numId w:val="0"/>
        </w:numPr>
        <w:spacing w:line="360" w:lineRule="auto"/>
        <w:ind w:firstLine="482" w:firstLineChars="200"/>
        <w:jc w:val="left"/>
        <w:outlineLvl w:val="1"/>
        <w:rPr>
          <w:rFonts w:hint="eastAsia" w:ascii="仿宋" w:hAnsi="仿宋" w:eastAsia="仿宋" w:cs="仿宋"/>
          <w:b/>
          <w:bCs/>
          <w:color w:val="auto"/>
          <w:sz w:val="24"/>
        </w:rPr>
      </w:pPr>
      <w:r>
        <w:rPr>
          <w:rFonts w:hint="eastAsia" w:ascii="仿宋" w:hAnsi="仿宋" w:eastAsia="仿宋" w:cs="仿宋"/>
          <w:b/>
          <w:bCs/>
          <w:color w:val="auto"/>
          <w:sz w:val="24"/>
        </w:rPr>
        <w:t>二、服务人员要求</w:t>
      </w:r>
    </w:p>
    <w:p w14:paraId="39E4BAA2">
      <w:pPr>
        <w:pStyle w:val="7"/>
        <w:numPr>
          <w:ilvl w:val="0"/>
          <w:numId w:val="3"/>
        </w:numPr>
        <w:spacing w:after="0"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bidi="ar"/>
        </w:rPr>
        <w:t>★项目经理、食品安全总监、</w:t>
      </w:r>
      <w:r>
        <w:rPr>
          <w:rFonts w:hint="eastAsia" w:ascii="仿宋" w:hAnsi="仿宋" w:eastAsia="仿宋" w:cs="仿宋"/>
          <w:color w:val="auto"/>
          <w:sz w:val="24"/>
        </w:rPr>
        <w:t>院区经理、院区助理、厨师长、楼面经理、专职食品安全员、配送主管为本项目驻场管理团队核心成员，须全职驻场，不得兼任本项目以外工作。除项目经理可以兼任食品安全总监外，其他核心成员不能相互兼职。若项目经理兼任食品安全总监，投标人须在投标文件中承诺确保食品安全总监能够独立履行总局令第98号《集中用餐单位落实食品安全主体责任监督管理规定》的全部法定职责，并建立相应的工作保障机制，报采购人备案。（在投标文件中提供加盖投标人公章的承诺函，承诺函格式自拟）</w:t>
      </w:r>
    </w:p>
    <w:p w14:paraId="2C703E02">
      <w:pPr>
        <w:pStyle w:val="7"/>
        <w:numPr>
          <w:ilvl w:val="0"/>
          <w:numId w:val="3"/>
        </w:numPr>
        <w:spacing w:after="0"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bidi="ar"/>
        </w:rPr>
        <w:t>★</w:t>
      </w:r>
      <w:r>
        <w:rPr>
          <w:rFonts w:hint="eastAsia" w:ascii="仿宋" w:hAnsi="仿宋" w:eastAsia="仿宋" w:cs="仿宋"/>
          <w:color w:val="auto"/>
          <w:sz w:val="24"/>
        </w:rPr>
        <w:t>本项目驻场管理团队核心成员需经采购人面试审核。采购人有权要求投标人调配或更换不合格人员，投标人应在收到书面通知后15个工作日内完成调配或更换工作。投标人如需主动调整或更换管理团队人员，须提前2个月向采购人提交书面申请，经采购人书面同意后方可更换。接替人员的学历、职称、工作经验、资格等所有条件，均不得低于原派驻人员的相应标准。</w:t>
      </w:r>
      <w:r>
        <w:rPr>
          <w:rFonts w:hint="eastAsia" w:ascii="仿宋" w:hAnsi="仿宋" w:eastAsia="仿宋" w:cs="仿宋"/>
          <w:b w:val="0"/>
          <w:bCs w:val="0"/>
          <w:color w:val="auto"/>
          <w:kern w:val="2"/>
          <w:sz w:val="24"/>
          <w:szCs w:val="24"/>
          <w:highlight w:val="none"/>
        </w:rPr>
        <w:t>未经</w:t>
      </w:r>
      <w:r>
        <w:rPr>
          <w:rFonts w:hint="eastAsia" w:ascii="仿宋" w:hAnsi="仿宋" w:eastAsia="仿宋" w:cs="仿宋"/>
          <w:b w:val="0"/>
          <w:bCs w:val="0"/>
          <w:color w:val="auto"/>
          <w:kern w:val="2"/>
          <w:sz w:val="24"/>
          <w:szCs w:val="24"/>
          <w:lang w:val="en-US" w:eastAsia="zh-CN"/>
        </w:rPr>
        <w:t>采购人</w:t>
      </w:r>
      <w:r>
        <w:rPr>
          <w:rFonts w:hint="eastAsia" w:ascii="仿宋" w:hAnsi="仿宋" w:eastAsia="仿宋" w:cs="仿宋"/>
          <w:b w:val="0"/>
          <w:bCs w:val="0"/>
          <w:color w:val="auto"/>
          <w:kern w:val="2"/>
          <w:sz w:val="24"/>
          <w:szCs w:val="24"/>
          <w:highlight w:val="none"/>
        </w:rPr>
        <w:t>同意擅自更换核心成员，</w:t>
      </w:r>
      <w:r>
        <w:rPr>
          <w:rFonts w:hint="eastAsia" w:ascii="仿宋" w:hAnsi="仿宋" w:eastAsia="仿宋" w:cs="仿宋"/>
          <w:b w:val="0"/>
          <w:bCs w:val="0"/>
          <w:color w:val="auto"/>
          <w:kern w:val="2"/>
          <w:sz w:val="24"/>
          <w:szCs w:val="24"/>
          <w:lang w:val="en-US" w:eastAsia="zh-CN"/>
        </w:rPr>
        <w:t>投标人</w:t>
      </w:r>
      <w:r>
        <w:rPr>
          <w:rFonts w:hint="eastAsia" w:ascii="仿宋" w:hAnsi="仿宋" w:eastAsia="仿宋" w:cs="仿宋"/>
          <w:b w:val="0"/>
          <w:bCs w:val="0"/>
          <w:color w:val="auto"/>
          <w:kern w:val="2"/>
          <w:sz w:val="24"/>
          <w:szCs w:val="24"/>
          <w:highlight w:val="none"/>
        </w:rPr>
        <w:t>每次支付违约金</w:t>
      </w:r>
      <w:r>
        <w:rPr>
          <w:rFonts w:hint="eastAsia" w:ascii="仿宋" w:hAnsi="仿宋" w:eastAsia="仿宋" w:cs="仿宋"/>
          <w:b w:val="0"/>
          <w:bCs w:val="0"/>
          <w:color w:val="auto"/>
          <w:kern w:val="2"/>
          <w:sz w:val="24"/>
          <w:szCs w:val="24"/>
          <w:highlight w:val="none"/>
          <w:lang w:val="en-US" w:eastAsia="zh-CN"/>
        </w:rPr>
        <w:t>2000</w:t>
      </w:r>
      <w:r>
        <w:rPr>
          <w:rFonts w:hint="eastAsia" w:ascii="仿宋" w:hAnsi="仿宋" w:eastAsia="仿宋" w:cs="仿宋"/>
          <w:b w:val="0"/>
          <w:bCs w:val="0"/>
          <w:color w:val="auto"/>
          <w:kern w:val="2"/>
          <w:sz w:val="24"/>
          <w:szCs w:val="24"/>
          <w:highlight w:val="none"/>
        </w:rPr>
        <w:t>元</w:t>
      </w:r>
      <w:r>
        <w:rPr>
          <w:rFonts w:hint="eastAsia" w:ascii="仿宋" w:hAnsi="仿宋" w:eastAsia="仿宋" w:cs="仿宋"/>
          <w:b w:val="0"/>
          <w:bCs w:val="0"/>
          <w:color w:val="auto"/>
          <w:kern w:val="2"/>
          <w:sz w:val="24"/>
          <w:szCs w:val="24"/>
          <w:highlight w:val="none"/>
          <w:lang w:eastAsia="zh-CN"/>
        </w:rPr>
        <w:t>。</w:t>
      </w:r>
      <w:r>
        <w:rPr>
          <w:rFonts w:hint="eastAsia" w:ascii="仿宋" w:hAnsi="仿宋" w:eastAsia="仿宋" w:cs="仿宋"/>
          <w:color w:val="auto"/>
          <w:sz w:val="24"/>
        </w:rPr>
        <w:t>（在投标文件中提供加盖投标人公章的承诺函，承诺函格式自拟）</w:t>
      </w:r>
    </w:p>
    <w:p w14:paraId="46E56FE0">
      <w:pPr>
        <w:widowControl/>
        <w:numPr>
          <w:ilvl w:val="0"/>
          <w:numId w:val="3"/>
        </w:num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项目总监、</w:t>
      </w:r>
      <w:r>
        <w:rPr>
          <w:rFonts w:hint="eastAsia" w:ascii="仿宋" w:hAnsi="仿宋" w:eastAsia="仿宋" w:cs="仿宋"/>
          <w:color w:val="auto"/>
          <w:sz w:val="24"/>
          <w:lang w:eastAsia="zh-CN"/>
        </w:rPr>
        <w:t>营养指导员</w:t>
      </w:r>
      <w:r>
        <w:rPr>
          <w:rFonts w:hint="eastAsia" w:ascii="仿宋" w:hAnsi="仿宋" w:eastAsia="仿宋" w:cs="仿宋"/>
          <w:color w:val="auto"/>
          <w:sz w:val="24"/>
        </w:rPr>
        <w:t>、</w:t>
      </w:r>
      <w:r>
        <w:rPr>
          <w:rFonts w:hint="eastAsia" w:ascii="仿宋" w:hAnsi="仿宋" w:eastAsia="仿宋" w:cs="仿宋"/>
          <w:color w:val="auto"/>
          <w:sz w:val="24"/>
          <w:lang w:eastAsia="zh-CN"/>
        </w:rPr>
        <w:t>行政总厨</w:t>
      </w:r>
      <w:r>
        <w:rPr>
          <w:rFonts w:hint="eastAsia" w:ascii="仿宋" w:hAnsi="仿宋" w:eastAsia="仿宋" w:cs="仿宋"/>
          <w:color w:val="auto"/>
          <w:sz w:val="24"/>
        </w:rPr>
        <w:t>为本项目</w:t>
      </w:r>
      <w:r>
        <w:rPr>
          <w:rFonts w:hint="eastAsia" w:ascii="仿宋" w:hAnsi="仿宋" w:eastAsia="仿宋" w:cs="仿宋"/>
          <w:color w:val="auto"/>
          <w:sz w:val="24"/>
          <w:lang w:val="en-US" w:eastAsia="zh-CN"/>
        </w:rPr>
        <w:t>非驻场管理团队</w:t>
      </w:r>
      <w:r>
        <w:rPr>
          <w:rFonts w:hint="eastAsia" w:ascii="仿宋" w:hAnsi="仿宋" w:eastAsia="仿宋" w:cs="仿宋"/>
          <w:color w:val="auto"/>
          <w:sz w:val="24"/>
        </w:rPr>
        <w:t>成员，根据采购人餐饮管理需求不定期到各项目点开展服务质量提升和技术指导工作。</w:t>
      </w:r>
    </w:p>
    <w:p w14:paraId="082E4E2B">
      <w:pPr>
        <w:widowControl/>
        <w:numPr>
          <w:ilvl w:val="0"/>
          <w:numId w:val="3"/>
        </w:num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采购人有权根据食堂的经营情况，动态调整驻场管理人员岗位及数量，投标人需服从调整。</w:t>
      </w:r>
    </w:p>
    <w:p w14:paraId="70CD7768">
      <w:pPr>
        <w:widowControl/>
        <w:numPr>
          <w:ilvl w:val="0"/>
          <w:numId w:val="3"/>
        </w:num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配合采购人做好治疗餐的需求，投标人应聘有营养师免费定期为本项目提供各类治疗餐等，治疗餐和营养餐的方案及菜单，并经采购人审核确认。</w:t>
      </w:r>
    </w:p>
    <w:p w14:paraId="70E8AAA1">
      <w:pPr>
        <w:widowControl/>
        <w:numPr>
          <w:ilvl w:val="0"/>
          <w:numId w:val="3"/>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★本项目投入各</w:t>
      </w:r>
      <w:r>
        <w:rPr>
          <w:rFonts w:hint="eastAsia" w:ascii="仿宋" w:hAnsi="仿宋" w:eastAsia="仿宋" w:cs="仿宋"/>
          <w:color w:val="auto"/>
          <w:sz w:val="24"/>
          <w:lang w:bidi="ar"/>
        </w:rPr>
        <w:t>院区驻场人员合计总人数不得少于63人，</w:t>
      </w:r>
      <w:r>
        <w:rPr>
          <w:rFonts w:hint="eastAsia" w:ascii="仿宋" w:hAnsi="仿宋" w:eastAsia="仿宋" w:cs="仿宋"/>
          <w:color w:val="auto"/>
          <w:sz w:val="24"/>
        </w:rPr>
        <w:t>各项目点的驻场人员，需持有在有效期内的健康证，且上岗前必须经培训合格，不得有违法犯罪记录，各岗位驻场人员的学历、经验等具体标准要求，必须符合《驻场管理团队人员配置及任职要求表》。</w:t>
      </w:r>
      <w:r>
        <w:rPr>
          <w:rFonts w:hint="eastAsia" w:ascii="仿宋" w:hAnsi="仿宋" w:eastAsia="仿宋" w:cs="仿宋"/>
          <w:color w:val="auto"/>
          <w:sz w:val="24"/>
          <w:lang w:val="en-US" w:eastAsia="zh-CN"/>
        </w:rPr>
        <w:t>投标人</w:t>
      </w:r>
      <w:r>
        <w:rPr>
          <w:rFonts w:hint="eastAsia" w:ascii="仿宋" w:hAnsi="仿宋" w:eastAsia="仿宋" w:cs="仿宋"/>
          <w:color w:val="auto"/>
          <w:sz w:val="24"/>
        </w:rPr>
        <w:t>须在进场后7日内提交全部人员花名册及资质证明，</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核验通过后方可上岗。（投标文件中提供加盖投标人公章的承诺函，承诺函格式自拟）</w:t>
      </w:r>
    </w:p>
    <w:p w14:paraId="4539BC32">
      <w:pPr>
        <w:pStyle w:val="6"/>
        <w:numPr>
          <w:ilvl w:val="0"/>
          <w:numId w:val="3"/>
        </w:numPr>
        <w:spacing w:before="0" w:after="0" w:line="360" w:lineRule="auto"/>
        <w:ind w:firstLine="480"/>
        <w:rPr>
          <w:rFonts w:hint="eastAsia" w:ascii="仿宋" w:hAnsi="仿宋" w:eastAsia="仿宋" w:cs="仿宋"/>
          <w:color w:val="auto"/>
        </w:rPr>
      </w:pPr>
      <w:r>
        <w:rPr>
          <w:rFonts w:hint="eastAsia" w:ascii="仿宋" w:hAnsi="仿宋" w:eastAsia="仿宋" w:cs="仿宋"/>
          <w:color w:val="auto"/>
        </w:rPr>
        <w:t>驻场人员应服从采购人的日常监管，并积极配合完成监督（安全）检查工作。严禁驻场人员在院内发生违规用电、食品安全违规、违法违纪、服务态度恶劣等行为，包括但不限于违规使用电梯、吵架斗殴、辱骂恐吓医护人员及病人等。对于此类不服从管理的不合格人员，采购人有权要求投标人立即更换，投标人须在24小时内安排符合要求的人员到岗接替。</w:t>
      </w:r>
    </w:p>
    <w:p w14:paraId="127B0C39">
      <w:pPr>
        <w:pStyle w:val="6"/>
        <w:widowControl/>
        <w:numPr>
          <w:ilvl w:val="0"/>
          <w:numId w:val="3"/>
        </w:numPr>
        <w:spacing w:before="0" w:after="0" w:line="360" w:lineRule="auto"/>
        <w:ind w:firstLine="480"/>
        <w:jc w:val="left"/>
        <w:rPr>
          <w:rFonts w:hint="eastAsia" w:ascii="仿宋" w:hAnsi="仿宋" w:eastAsia="仿宋" w:cs="仿宋"/>
          <w:color w:val="auto"/>
        </w:rPr>
      </w:pPr>
      <w:r>
        <w:rPr>
          <w:rFonts w:hint="eastAsia" w:ascii="仿宋" w:hAnsi="仿宋" w:eastAsia="仿宋" w:cs="仿宋"/>
          <w:color w:val="auto"/>
        </w:rPr>
        <w:t>驻场人员须统一着装，按规范佩戴胸卡、清洁帽、口罩、手套，穿防滑水鞋；食品加工人员工作期间不得佩戴首饰，不留长指甲、不涂指甲油。</w:t>
      </w:r>
    </w:p>
    <w:p w14:paraId="206D786A">
      <w:pPr>
        <w:pStyle w:val="6"/>
        <w:widowControl/>
        <w:numPr>
          <w:ilvl w:val="0"/>
          <w:numId w:val="3"/>
        </w:numPr>
        <w:spacing w:before="0" w:after="0" w:line="360" w:lineRule="auto"/>
        <w:ind w:firstLine="480"/>
        <w:rPr>
          <w:rFonts w:hint="eastAsia" w:ascii="仿宋" w:hAnsi="仿宋" w:eastAsia="仿宋" w:cs="仿宋"/>
          <w:color w:val="auto"/>
          <w:lang w:bidi="ar"/>
        </w:rPr>
      </w:pPr>
      <w:r>
        <w:rPr>
          <w:rFonts w:hint="eastAsia" w:ascii="仿宋" w:hAnsi="仿宋" w:eastAsia="仿宋" w:cs="仿宋"/>
          <w:color w:val="auto"/>
          <w:lang w:bidi="ar"/>
        </w:rPr>
        <w:t>做好日常运营人员排班工作，采购人不定期检查人员排班合理化及人数配置。法定节假日（如春节、国庆等）期间确保人力保障，避免影响服务质量。管理团队人员离岗，须取得采购人审批同意方可执行。</w:t>
      </w:r>
    </w:p>
    <w:p w14:paraId="1214DFB6">
      <w:pPr>
        <w:pStyle w:val="6"/>
        <w:widowControl/>
        <w:numPr>
          <w:ilvl w:val="0"/>
          <w:numId w:val="3"/>
        </w:numPr>
        <w:spacing w:before="0" w:after="0" w:line="360" w:lineRule="auto"/>
        <w:ind w:firstLine="480"/>
        <w:jc w:val="left"/>
        <w:rPr>
          <w:rFonts w:hint="eastAsia" w:ascii="仿宋" w:hAnsi="仿宋" w:eastAsia="仿宋" w:cs="仿宋"/>
          <w:color w:val="auto"/>
        </w:rPr>
      </w:pPr>
      <w:r>
        <w:rPr>
          <w:rFonts w:hint="eastAsia" w:ascii="仿宋" w:hAnsi="仿宋" w:eastAsia="仿宋" w:cs="仿宋"/>
          <w:color w:val="auto"/>
          <w:lang w:bidi="ar"/>
        </w:rPr>
        <w:t>投标人所有入场人员必须严格按照相关规定执行防疫政策，因隔离要求造成的人员空缺，应在12小时内调配人手补充。工作人员未严格落实防疫政策的，依法依纪从严追责问责。</w:t>
      </w:r>
    </w:p>
    <w:p w14:paraId="1ED0C6AC">
      <w:pPr>
        <w:pStyle w:val="6"/>
        <w:numPr>
          <w:ilvl w:val="0"/>
          <w:numId w:val="3"/>
        </w:numPr>
        <w:spacing w:before="0" w:after="0" w:line="360" w:lineRule="auto"/>
        <w:ind w:firstLine="480"/>
        <w:rPr>
          <w:rFonts w:hint="eastAsia" w:ascii="仿宋" w:hAnsi="仿宋" w:eastAsia="仿宋" w:cs="仿宋"/>
          <w:color w:val="auto"/>
          <w:lang w:bidi="ar"/>
        </w:rPr>
      </w:pPr>
      <w:r>
        <w:rPr>
          <w:rFonts w:hint="eastAsia" w:ascii="仿宋" w:hAnsi="仿宋" w:eastAsia="仿宋" w:cs="仿宋"/>
          <w:color w:val="auto"/>
          <w:lang w:bidi="ar"/>
        </w:rPr>
        <w:t>驻场员工的薪资、保险、加班费、奖惩、住宿费、培训费、健康证、工作服饰购置费、劳保用品及其他福利津贴待遇等费用均由投标人承担。</w:t>
      </w:r>
    </w:p>
    <w:p w14:paraId="0393A185">
      <w:pPr>
        <w:pStyle w:val="6"/>
        <w:widowControl/>
        <w:numPr>
          <w:ilvl w:val="0"/>
          <w:numId w:val="3"/>
        </w:numPr>
        <w:spacing w:before="0" w:after="0" w:line="360" w:lineRule="auto"/>
        <w:ind w:firstLine="480"/>
        <w:jc w:val="left"/>
        <w:rPr>
          <w:rFonts w:hint="eastAsia" w:ascii="仿宋" w:hAnsi="仿宋" w:eastAsia="仿宋" w:cs="仿宋"/>
          <w:color w:val="auto"/>
          <w:lang w:bidi="ar"/>
        </w:rPr>
      </w:pPr>
      <w:r>
        <w:rPr>
          <w:rFonts w:hint="eastAsia" w:ascii="仿宋" w:hAnsi="仿宋" w:eastAsia="仿宋" w:cs="仿宋"/>
          <w:color w:val="auto"/>
          <w:lang w:bidi="ar"/>
        </w:rPr>
        <w:t>▲投标人须承担驻场人员的全部用工责任，严格遵守劳动保障相关法律法规，并妥善处理相关劳动纠纷与用工争议。若因投标人用工问题引发人员罢工、讨薪、舆情事件或行政处罚等，全部责任由投标人承担；若给采购人造成声誉损失、运营影响或经济损失，采购人有权扣除履约保证金、单方终止合同，并要求投标人全额赔偿。</w:t>
      </w:r>
    </w:p>
    <w:p w14:paraId="06F290EE">
      <w:pPr>
        <w:pStyle w:val="6"/>
        <w:widowControl/>
        <w:numPr>
          <w:ilvl w:val="0"/>
          <w:numId w:val="3"/>
        </w:numPr>
        <w:spacing w:before="0" w:after="0" w:line="360" w:lineRule="auto"/>
        <w:ind w:firstLine="480"/>
        <w:jc w:val="left"/>
        <w:rPr>
          <w:rFonts w:hint="eastAsia" w:ascii="仿宋" w:hAnsi="仿宋" w:eastAsia="仿宋" w:cs="仿宋"/>
          <w:color w:val="auto"/>
          <w:lang w:bidi="ar"/>
        </w:rPr>
      </w:pPr>
      <w:r>
        <w:rPr>
          <w:rFonts w:hint="eastAsia" w:ascii="仿宋" w:hAnsi="仿宋" w:eastAsia="仿宋" w:cs="仿宋"/>
          <w:color w:val="auto"/>
          <w:lang w:bidi="ar"/>
        </w:rPr>
        <w:t>▲培训频次要求：每月开展不少于1次食品安全或安全生产或服务技能培训；每年核心管理团队专项培训不少于4次，留存培训记录、照片、签到表，提交采购人备案。</w:t>
      </w:r>
    </w:p>
    <w:p w14:paraId="191D57B0">
      <w:pPr>
        <w:pStyle w:val="6"/>
        <w:widowControl/>
        <w:numPr>
          <w:ilvl w:val="0"/>
          <w:numId w:val="3"/>
        </w:numPr>
        <w:spacing w:before="0" w:after="0" w:line="360" w:lineRule="auto"/>
        <w:ind w:firstLine="480"/>
        <w:jc w:val="left"/>
        <w:rPr>
          <w:rFonts w:hint="eastAsia" w:ascii="仿宋" w:hAnsi="仿宋" w:eastAsia="仿宋" w:cs="仿宋"/>
          <w:color w:val="auto"/>
          <w:lang w:bidi="ar"/>
        </w:rPr>
      </w:pPr>
      <w:r>
        <w:rPr>
          <w:rFonts w:hint="eastAsia" w:ascii="仿宋" w:hAnsi="仿宋" w:eastAsia="仿宋" w:cs="仿宋"/>
          <w:color w:val="auto"/>
          <w:lang w:bidi="ar"/>
        </w:rPr>
        <w:t>▲针对用餐人的投诉，投标人须在收到投诉后15分钟内联系投诉人并告知处理方案，1小时内反馈初步处理结果；同时应对投诉事件进行书面记录、分析原因并制定整改措施，于3个工作日内提交采购人备案。</w:t>
      </w:r>
    </w:p>
    <w:p w14:paraId="6E6B6558">
      <w:pPr>
        <w:pStyle w:val="6"/>
        <w:widowControl/>
        <w:numPr>
          <w:ilvl w:val="0"/>
          <w:numId w:val="3"/>
        </w:numPr>
        <w:spacing w:before="0" w:after="0" w:line="360" w:lineRule="auto"/>
        <w:ind w:firstLine="480"/>
        <w:jc w:val="left"/>
        <w:rPr>
          <w:rFonts w:hint="eastAsia" w:ascii="仿宋" w:hAnsi="仿宋" w:eastAsia="仿宋" w:cs="仿宋"/>
          <w:color w:val="auto"/>
          <w:lang w:bidi="ar"/>
        </w:rPr>
      </w:pPr>
      <w:r>
        <w:rPr>
          <w:rFonts w:hint="eastAsia" w:ascii="仿宋" w:hAnsi="仿宋" w:eastAsia="仿宋" w:cs="仿宋"/>
          <w:color w:val="auto"/>
          <w:lang w:bidi="ar"/>
        </w:rPr>
        <w:t>配送服务须使用专用保温餐车或保温箱，餐品中心温度全程不低于60℃，运输与配送期间应做足有效措施预防食物受污物或者环境的污染。配送人员穿戴专用工服及胸卡，轻拿轻放、文明用语，按要求配送到指定地点。</w:t>
      </w:r>
    </w:p>
    <w:p w14:paraId="28E274B8">
      <w:pPr>
        <w:pStyle w:val="6"/>
        <w:widowControl/>
        <w:numPr>
          <w:ilvl w:val="0"/>
          <w:numId w:val="3"/>
        </w:numPr>
        <w:spacing w:before="0" w:after="0" w:line="360" w:lineRule="auto"/>
        <w:ind w:firstLine="480"/>
        <w:jc w:val="left"/>
        <w:rPr>
          <w:rFonts w:hint="eastAsia" w:ascii="仿宋" w:hAnsi="仿宋" w:eastAsia="仿宋" w:cs="仿宋"/>
          <w:color w:val="auto"/>
          <w:lang w:bidi="ar"/>
        </w:rPr>
      </w:pPr>
      <w:r>
        <w:rPr>
          <w:rFonts w:hint="eastAsia" w:ascii="仿宋" w:hAnsi="仿宋" w:eastAsia="仿宋" w:cs="仿宋"/>
          <w:color w:val="auto"/>
          <w:lang w:bidi="ar"/>
        </w:rPr>
        <w:t>服务人员须礼貌待客、微笑服务，主动收集用餐人员的意见建议，对病人的饮食需求做好跟踪服务，严禁与用餐人发生争执。</w:t>
      </w:r>
    </w:p>
    <w:p w14:paraId="23DDCF47">
      <w:pPr>
        <w:pStyle w:val="6"/>
        <w:widowControl/>
        <w:numPr>
          <w:ilvl w:val="0"/>
          <w:numId w:val="3"/>
        </w:numPr>
        <w:spacing w:before="0" w:after="0" w:line="360" w:lineRule="auto"/>
        <w:ind w:firstLine="480"/>
        <w:rPr>
          <w:rFonts w:hint="eastAsia" w:ascii="仿宋" w:hAnsi="仿宋" w:eastAsia="仿宋" w:cs="仿宋"/>
          <w:color w:val="auto"/>
          <w:lang w:bidi="ar"/>
        </w:rPr>
      </w:pPr>
      <w:r>
        <w:rPr>
          <w:rFonts w:hint="eastAsia" w:ascii="仿宋" w:hAnsi="仿宋" w:eastAsia="仿宋" w:cs="仿宋"/>
          <w:color w:val="auto"/>
          <w:lang w:bidi="ar"/>
        </w:rPr>
        <w:t>投标人要加强环保节流管理，做到人离关水、关电、关气，杜绝发生长流水、长明灯、漏气等现象。爱护餐具、厨具、设备等减少人为或者自然损耗。投标人每月第一个工作日盘点餐具、厨具并做好记录，由采购人监督管理。</w:t>
      </w:r>
    </w:p>
    <w:p w14:paraId="680708D0">
      <w:pPr>
        <w:pStyle w:val="6"/>
        <w:widowControl/>
        <w:numPr>
          <w:ilvl w:val="0"/>
          <w:numId w:val="3"/>
        </w:numPr>
        <w:spacing w:before="0" w:after="0" w:line="360" w:lineRule="auto"/>
        <w:ind w:firstLine="480"/>
        <w:rPr>
          <w:rFonts w:hint="eastAsia" w:ascii="仿宋" w:hAnsi="仿宋" w:eastAsia="仿宋" w:cs="仿宋"/>
          <w:color w:val="auto"/>
          <w:lang w:bidi="ar"/>
        </w:rPr>
      </w:pPr>
      <w:r>
        <w:rPr>
          <w:rFonts w:hint="eastAsia" w:ascii="仿宋" w:hAnsi="仿宋" w:eastAsia="仿宋" w:cs="仿宋"/>
          <w:color w:val="auto"/>
          <w:lang w:bidi="ar"/>
        </w:rPr>
        <w:t>投标人管理团队需及时解决采购人营运中存在的问题，各岗位工作人员每日下班前自查本岗位区域是否无异常，发现问题立即向采购人汇报。</w:t>
      </w:r>
    </w:p>
    <w:p w14:paraId="154697AE">
      <w:pPr>
        <w:pStyle w:val="6"/>
        <w:widowControl/>
        <w:numPr>
          <w:ilvl w:val="0"/>
          <w:numId w:val="3"/>
        </w:numPr>
        <w:spacing w:before="0" w:after="0" w:line="360" w:lineRule="auto"/>
        <w:ind w:firstLine="480"/>
        <w:rPr>
          <w:rFonts w:hint="eastAsia" w:ascii="仿宋" w:hAnsi="仿宋" w:eastAsia="仿宋" w:cs="仿宋"/>
          <w:color w:val="auto"/>
          <w:lang w:bidi="ar"/>
        </w:rPr>
      </w:pPr>
      <w:r>
        <w:rPr>
          <w:rFonts w:hint="eastAsia" w:ascii="仿宋" w:hAnsi="仿宋" w:eastAsia="仿宋" w:cs="仿宋"/>
          <w:color w:val="auto"/>
          <w:lang w:bidi="ar"/>
        </w:rPr>
        <w:t>投标人各院区管理团队需定期召开工作例会，提交上月度工作总结、存在的问题及困难、次月工作计划及需要采购人协调的问题等。</w:t>
      </w:r>
    </w:p>
    <w:p w14:paraId="23941A04">
      <w:pPr>
        <w:rPr>
          <w:rFonts w:hint="eastAsia" w:ascii="仿宋" w:hAnsi="仿宋" w:eastAsia="仿宋" w:cs="仿宋"/>
          <w:color w:val="auto"/>
          <w:sz w:val="24"/>
        </w:rPr>
      </w:pPr>
      <w:r>
        <w:rPr>
          <w:rFonts w:ascii="仿宋" w:hAnsi="仿宋" w:eastAsia="仿宋" w:cs="仿宋"/>
          <w:color w:val="auto"/>
          <w:sz w:val="24"/>
        </w:rPr>
        <w:br w:type="page"/>
      </w:r>
    </w:p>
    <w:p w14:paraId="05B37CD0">
      <w:pPr>
        <w:pStyle w:val="2"/>
        <w:widowControl/>
        <w:spacing w:beforeAutospacing="0" w:afterAutospacing="0" w:line="360" w:lineRule="auto"/>
        <w:jc w:val="center"/>
        <w:rPr>
          <w:rFonts w:ascii="仿宋" w:hAnsi="仿宋" w:eastAsia="仿宋" w:cs="仿宋"/>
          <w:color w:val="auto"/>
          <w:sz w:val="24"/>
          <w:szCs w:val="24"/>
        </w:rPr>
      </w:pPr>
      <w:r>
        <w:rPr>
          <w:rFonts w:ascii="仿宋" w:hAnsi="仿宋" w:eastAsia="仿宋" w:cs="仿宋"/>
          <w:color w:val="auto"/>
          <w:sz w:val="24"/>
          <w:szCs w:val="24"/>
        </w:rPr>
        <w:t>第六章 食堂</w:t>
      </w:r>
      <w:r>
        <w:rPr>
          <w:rFonts w:ascii="仿宋" w:hAnsi="仿宋" w:eastAsia="仿宋" w:cs="仿宋"/>
          <w:color w:val="auto"/>
          <w:sz w:val="24"/>
        </w:rPr>
        <w:t>升级优化</w:t>
      </w:r>
      <w:r>
        <w:rPr>
          <w:rFonts w:ascii="仿宋" w:hAnsi="仿宋" w:eastAsia="仿宋" w:cs="仿宋"/>
          <w:color w:val="auto"/>
          <w:sz w:val="24"/>
          <w:szCs w:val="24"/>
        </w:rPr>
        <w:t>与设备设施管理</w:t>
      </w:r>
    </w:p>
    <w:p w14:paraId="457E20BB">
      <w:pPr>
        <w:pStyle w:val="3"/>
        <w:widowControl/>
        <w:numPr>
          <w:ilvl w:val="0"/>
          <w:numId w:val="4"/>
        </w:numPr>
        <w:spacing w:beforeAutospacing="0" w:afterAutospacing="0" w:line="360" w:lineRule="auto"/>
        <w:ind w:firstLine="482" w:firstLineChars="200"/>
        <w:rPr>
          <w:rFonts w:ascii="仿宋" w:hAnsi="仿宋" w:eastAsia="仿宋" w:cs="仿宋"/>
          <w:color w:val="auto"/>
          <w:sz w:val="24"/>
          <w:szCs w:val="24"/>
        </w:rPr>
      </w:pPr>
      <w:bookmarkStart w:id="9" w:name="OLE_LINK4"/>
      <w:r>
        <w:rPr>
          <w:rFonts w:ascii="仿宋" w:hAnsi="仿宋" w:eastAsia="仿宋" w:cs="仿宋"/>
          <w:color w:val="auto"/>
          <w:sz w:val="24"/>
          <w:szCs w:val="24"/>
        </w:rPr>
        <w:t>食堂升级优化核心要求</w:t>
      </w:r>
    </w:p>
    <w:p w14:paraId="47879E0B">
      <w:pPr>
        <w:widowControl/>
        <w:numPr>
          <w:ilvl w:val="0"/>
          <w:numId w:val="5"/>
        </w:numPr>
        <w:spacing w:line="360" w:lineRule="auto"/>
        <w:ind w:firstLine="482" w:firstLineChars="200"/>
        <w:jc w:val="left"/>
        <w:rPr>
          <w:rFonts w:hint="eastAsia" w:ascii="仿宋" w:hAnsi="仿宋" w:eastAsia="仿宋" w:cs="仿宋"/>
          <w:b/>
          <w:bCs/>
          <w:color w:val="auto"/>
          <w:sz w:val="24"/>
        </w:rPr>
      </w:pPr>
      <w:r>
        <w:rPr>
          <w:rFonts w:hint="eastAsia" w:ascii="仿宋" w:hAnsi="仿宋" w:eastAsia="仿宋" w:cs="仿宋"/>
          <w:b/>
          <w:bCs/>
          <w:color w:val="auto"/>
          <w:sz w:val="24"/>
        </w:rPr>
        <w:t>★本项目采购预算已包含食堂的升级</w:t>
      </w:r>
      <w:r>
        <w:rPr>
          <w:rFonts w:hint="eastAsia" w:ascii="仿宋" w:hAnsi="仿宋" w:eastAsia="仿宋" w:cs="仿宋"/>
          <w:b/>
          <w:bCs/>
          <w:color w:val="auto"/>
          <w:sz w:val="24"/>
          <w:lang w:eastAsia="zh-CN"/>
        </w:rPr>
        <w:t>优化</w:t>
      </w:r>
      <w:r>
        <w:rPr>
          <w:rFonts w:hint="eastAsia" w:ascii="仿宋" w:hAnsi="仿宋" w:eastAsia="仿宋" w:cs="仿宋"/>
          <w:b/>
          <w:bCs/>
          <w:color w:val="auto"/>
          <w:sz w:val="24"/>
        </w:rPr>
        <w:t>费用，投标人的报价折扣率应结合自身实际情况综合考虑该项费用，即投标人须全额承担三个院区食堂的</w:t>
      </w:r>
      <w:bookmarkStart w:id="10" w:name="OLE_LINK20"/>
      <w:r>
        <w:rPr>
          <w:rFonts w:hint="eastAsia" w:ascii="仿宋" w:hAnsi="仿宋" w:eastAsia="仿宋" w:cs="仿宋"/>
          <w:b/>
          <w:bCs/>
          <w:color w:val="auto"/>
          <w:sz w:val="24"/>
        </w:rPr>
        <w:t>升级优化</w:t>
      </w:r>
      <w:bookmarkEnd w:id="10"/>
      <w:r>
        <w:rPr>
          <w:rFonts w:hint="eastAsia" w:ascii="仿宋" w:hAnsi="仿宋" w:eastAsia="仿宋" w:cs="仿宋"/>
          <w:b/>
          <w:bCs/>
          <w:color w:val="auto"/>
          <w:sz w:val="24"/>
        </w:rPr>
        <w:t>费用及设施设备配置费用，</w:t>
      </w:r>
      <w:r>
        <w:rPr>
          <w:rStyle w:val="15"/>
          <w:rFonts w:hint="eastAsia" w:ascii="仿宋" w:hAnsi="仿宋" w:eastAsia="仿宋" w:cs="仿宋"/>
          <w:bCs/>
          <w:color w:val="auto"/>
          <w:sz w:val="24"/>
        </w:rPr>
        <w:t>总投入金额不得低于总收入的3.5%，且最低不少于人民币170万元，采购人在合同履行过程中不再额外支付。（在投标文件中提供加盖投标人公章的承诺函，承诺函格式自拟）</w:t>
      </w:r>
    </w:p>
    <w:p w14:paraId="2FABAC9F">
      <w:pPr>
        <w:widowControl/>
        <w:numPr>
          <w:ilvl w:val="0"/>
          <w:numId w:val="5"/>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升级优化须严格按照广东省食品安全管理食堂标准执行，设计方案、预算清单、设备清单、升级计划须经采购人审核批准后方可实施；进场时间以</w:t>
      </w:r>
      <w:r>
        <w:rPr>
          <w:rFonts w:hint="eastAsia" w:ascii="仿宋" w:hAnsi="仿宋" w:eastAsia="仿宋" w:cs="仿宋"/>
          <w:b/>
          <w:bCs/>
          <w:color w:val="auto"/>
          <w:sz w:val="24"/>
        </w:rPr>
        <w:t>采购人发出的书面进场通知为准，投标人须在进场后90天内完成，并通过采购人及第三方机构的联合验收。</w:t>
      </w:r>
    </w:p>
    <w:p w14:paraId="64D287A6">
      <w:pPr>
        <w:widowControl/>
        <w:numPr>
          <w:ilvl w:val="0"/>
          <w:numId w:val="5"/>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升级优化完成后15日内，投标人须提交完整的投入结算资料，由采购人指定的具备资质的第三方机构进行审计核算，审计结果作为投入是否达标的最终依据；若审计确认投入未达约定最低标准，</w:t>
      </w:r>
      <w:r>
        <w:rPr>
          <w:rFonts w:hint="eastAsia" w:ascii="仿宋" w:hAnsi="仿宋" w:eastAsia="仿宋" w:cs="仿宋"/>
          <w:b/>
          <w:bCs/>
          <w:color w:val="auto"/>
          <w:sz w:val="24"/>
        </w:rPr>
        <w:t>差额部分采购人有权从履约保证金中直接扣除，</w:t>
      </w:r>
      <w:r>
        <w:rPr>
          <w:rFonts w:hint="eastAsia" w:ascii="仿宋" w:hAnsi="仿宋" w:eastAsia="仿宋" w:cs="仿宋"/>
          <w:color w:val="auto"/>
          <w:sz w:val="24"/>
        </w:rPr>
        <w:t>不足部分有权继续向投标人追偿。</w:t>
      </w:r>
    </w:p>
    <w:p w14:paraId="11F33C91">
      <w:pPr>
        <w:widowControl/>
        <w:numPr>
          <w:ilvl w:val="0"/>
          <w:numId w:val="5"/>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经营期内，食堂运作需增加和维护的厨具、设备等，均由投标人自行添置、购买和维护，相关费用由投标人全额承担。</w:t>
      </w:r>
    </w:p>
    <w:p w14:paraId="6441830D">
      <w:pPr>
        <w:widowControl/>
        <w:numPr>
          <w:ilvl w:val="0"/>
          <w:numId w:val="5"/>
        </w:num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★珠玑院区食堂须同步</w:t>
      </w:r>
      <w:r>
        <w:rPr>
          <w:rFonts w:hint="eastAsia" w:ascii="仿宋" w:hAnsi="仿宋" w:eastAsia="仿宋" w:cs="仿宋"/>
          <w:b/>
          <w:bCs/>
          <w:color w:val="auto"/>
          <w:sz w:val="24"/>
        </w:rPr>
        <w:t>加装燃气报警装置，</w:t>
      </w:r>
      <w:r>
        <w:rPr>
          <w:rFonts w:hint="eastAsia" w:ascii="仿宋" w:hAnsi="仿宋" w:eastAsia="仿宋" w:cs="仿宋"/>
          <w:color w:val="auto"/>
          <w:sz w:val="24"/>
        </w:rPr>
        <w:t>包括探测器、主机和燃气紧急切断阀。安装调试完成后，须通过竣工验收并确保合格。同时，每年应委托具备CMA或CNAS 检测资质的第三方机构进行检测，并出具年度合规检测检验报告。（</w:t>
      </w:r>
      <w:r>
        <w:rPr>
          <w:rFonts w:hint="eastAsia" w:ascii="仿宋" w:hAnsi="仿宋" w:eastAsia="仿宋" w:cs="仿宋"/>
          <w:color w:val="auto"/>
          <w:sz w:val="24"/>
          <w:lang w:eastAsia="zh-CN"/>
        </w:rPr>
        <w:t>在</w:t>
      </w:r>
      <w:r>
        <w:rPr>
          <w:rFonts w:hint="eastAsia" w:ascii="仿宋" w:hAnsi="仿宋" w:eastAsia="仿宋" w:cs="仿宋"/>
          <w:color w:val="auto"/>
          <w:sz w:val="24"/>
        </w:rPr>
        <w:t>投标文件中提供加盖投标人公章的承诺函，承诺函格式自拟）</w:t>
      </w:r>
    </w:p>
    <w:p w14:paraId="1826AA26">
      <w:pPr>
        <w:widowControl/>
        <w:numPr>
          <w:ilvl w:val="0"/>
          <w:numId w:val="5"/>
        </w:numPr>
        <w:spacing w:line="360" w:lineRule="auto"/>
        <w:ind w:firstLineChars="200"/>
        <w:rPr>
          <w:rFonts w:hint="eastAsia" w:ascii="仿宋" w:hAnsi="仿宋" w:eastAsia="仿宋" w:cs="仿宋"/>
          <w:color w:val="auto"/>
          <w:sz w:val="24"/>
        </w:rPr>
      </w:pPr>
      <w:r>
        <w:rPr>
          <w:rFonts w:hint="eastAsia" w:ascii="仿宋" w:hAnsi="仿宋" w:eastAsia="仿宋" w:cs="仿宋"/>
          <w:color w:val="auto"/>
          <w:lang w:bidi="ar"/>
        </w:rPr>
        <w:t>▲</w:t>
      </w:r>
      <w:r>
        <w:rPr>
          <w:rFonts w:hint="eastAsia" w:ascii="仿宋" w:hAnsi="仿宋" w:eastAsia="仿宋" w:cs="仿宋"/>
          <w:color w:val="auto"/>
          <w:sz w:val="24"/>
        </w:rPr>
        <w:t>投标人须对医院食堂后厨全域布设高清监控设备，分辨率不低于1080P、存储时长不少于30天、画面实时可查，全覆盖粗加工间、切配区、烹饪区、面点间、洗消间、留样间、库房储物区、餐具存放区等全部关键作业区域，须符合采购人和属地市场监管部门明厨亮灶监管要求；监控画面可按要求接入采购人监管终端，监控区域张贴醒目提示标识。投标人承担设备采购、安装、调试、培训、质保、运维及故障抢修等一切相关费用，确保监控系统7×24小时稳定运行。</w:t>
      </w:r>
    </w:p>
    <w:p w14:paraId="55659779">
      <w:pPr>
        <w:pStyle w:val="3"/>
        <w:widowControl/>
        <w:numPr>
          <w:ilvl w:val="0"/>
          <w:numId w:val="4"/>
        </w:numPr>
        <w:spacing w:beforeAutospacing="0" w:afterAutospacing="0" w:line="360" w:lineRule="auto"/>
        <w:ind w:firstLine="482" w:firstLineChars="200"/>
        <w:jc w:val="both"/>
        <w:rPr>
          <w:rFonts w:ascii="仿宋" w:hAnsi="仿宋" w:eastAsia="仿宋" w:cs="仿宋"/>
          <w:color w:val="auto"/>
          <w:sz w:val="24"/>
          <w:szCs w:val="24"/>
        </w:rPr>
      </w:pPr>
      <w:r>
        <w:rPr>
          <w:rFonts w:ascii="仿宋" w:hAnsi="仿宋" w:eastAsia="仿宋" w:cs="仿宋"/>
          <w:color w:val="auto"/>
          <w:sz w:val="24"/>
          <w:szCs w:val="24"/>
        </w:rPr>
        <w:t>设备设施管护规则</w:t>
      </w:r>
    </w:p>
    <w:p w14:paraId="02239C1C">
      <w:pPr>
        <w:widowControl/>
        <w:numPr>
          <w:ilvl w:val="0"/>
          <w:numId w:val="6"/>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存量设备交接：投标人进场前3日内，采购人与投标人共同对食堂现有场地、存量设施设备进行全面盘点、账实核对、验收，形成《存量设备设施交接清单》，双方签字盖章确认，作为合同附件及采购人固定资产管理归档资料；清单明确设备名称、型号、数量、生产厂家、购置时间、原值、完好状态等信息，投标人进场后视为认可存量设备现状。</w:t>
      </w:r>
    </w:p>
    <w:p w14:paraId="4FF179C8">
      <w:pPr>
        <w:widowControl/>
        <w:numPr>
          <w:ilvl w:val="0"/>
          <w:numId w:val="6"/>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管护责任：投标人须合理使用、妥善保管、日常维护保养采购人提供的设施设备，维修保养、年检、耗材更换等全部费用由投标人承担；因投标人操作不当、保管不善导致的设备损坏、报废，由投标人按设备当前评估价值赔偿。</w:t>
      </w:r>
    </w:p>
    <w:p w14:paraId="0BBE1C62">
      <w:pPr>
        <w:widowControl/>
        <w:numPr>
          <w:ilvl w:val="0"/>
          <w:numId w:val="6"/>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资产归属与处置</w:t>
      </w:r>
    </w:p>
    <w:p w14:paraId="3166420F">
      <w:pPr>
        <w:widowControl/>
        <w:numPr>
          <w:ilvl w:val="0"/>
          <w:numId w:val="7"/>
        </w:numPr>
        <w:spacing w:line="360" w:lineRule="auto"/>
        <w:ind w:firstLine="482" w:firstLineChars="200"/>
        <w:jc w:val="left"/>
        <w:rPr>
          <w:rFonts w:hint="eastAsia" w:ascii="仿宋" w:hAnsi="仿宋" w:eastAsia="仿宋" w:cs="仿宋"/>
          <w:color w:val="auto"/>
          <w:sz w:val="24"/>
        </w:rPr>
      </w:pPr>
      <w:r>
        <w:rPr>
          <w:rFonts w:hint="eastAsia" w:ascii="仿宋" w:hAnsi="仿宋" w:eastAsia="仿宋" w:cs="仿宋"/>
          <w:b/>
          <w:bCs/>
          <w:color w:val="auto"/>
          <w:sz w:val="24"/>
        </w:rPr>
        <w:t>投标人投入的装修、地面墙面改造、不动产附属设施等不可移动资产，合同履行期满后，经采购人审核同意后，投标人投入的不可移动资产可拆除，但须承担拆除及复原等费用；</w:t>
      </w:r>
      <w:r>
        <w:rPr>
          <w:rFonts w:hint="eastAsia" w:ascii="仿宋" w:hAnsi="仿宋" w:eastAsia="仿宋" w:cs="仿宋"/>
          <w:color w:val="auto"/>
          <w:sz w:val="24"/>
        </w:rPr>
        <w:t>合同期内投标人擅自停止或退出经营的，所投入的所有固定资产及不动产全部无偿归采购人所有，同时采购人有权全额没收履约保证金，不足弥补损失的，有权继续向投标人追偿。</w:t>
      </w:r>
    </w:p>
    <w:p w14:paraId="4D7EBCA0">
      <w:pPr>
        <w:widowControl/>
        <w:numPr>
          <w:ilvl w:val="0"/>
          <w:numId w:val="7"/>
        </w:numPr>
        <w:spacing w:line="360" w:lineRule="auto"/>
        <w:ind w:firstLine="482" w:firstLineChars="200"/>
        <w:jc w:val="left"/>
        <w:rPr>
          <w:rFonts w:hint="eastAsia" w:ascii="仿宋" w:hAnsi="仿宋" w:eastAsia="仿宋" w:cs="仿宋"/>
          <w:color w:val="auto"/>
          <w:sz w:val="24"/>
        </w:rPr>
      </w:pPr>
      <w:r>
        <w:rPr>
          <w:rFonts w:hint="eastAsia" w:ascii="仿宋" w:hAnsi="仿宋" w:eastAsia="仿宋" w:cs="仿宋"/>
          <w:b/>
          <w:bCs/>
          <w:color w:val="auto"/>
          <w:sz w:val="24"/>
        </w:rPr>
        <w:t>投标人投入的可移动设备、餐具、桌椅等资产，所有权归投标人所有；</w:t>
      </w:r>
      <w:r>
        <w:rPr>
          <w:rFonts w:hint="eastAsia" w:ascii="仿宋" w:hAnsi="仿宋" w:eastAsia="仿宋" w:cs="仿宋"/>
          <w:color w:val="auto"/>
          <w:sz w:val="24"/>
        </w:rPr>
        <w:t>合同期满或双方协商一致终止合同的，投标人可在15日内自行处置，逾期未处置的，视为投标人抛弃，采购人有权自行处理。</w:t>
      </w:r>
    </w:p>
    <w:p w14:paraId="1E78B0E8">
      <w:pPr>
        <w:widowControl/>
        <w:numPr>
          <w:ilvl w:val="0"/>
          <w:numId w:val="7"/>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合同期满或终止时，投标人须将《存量设备设施交接清单》内的设备完好交回采购人，若有损坏、丢失，须按价赔偿。</w:t>
      </w:r>
    </w:p>
    <w:p w14:paraId="26F2A6EB">
      <w:pPr>
        <w:widowControl/>
        <w:numPr>
          <w:ilvl w:val="0"/>
          <w:numId w:val="6"/>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投标人不得私自改变厨房布局，不得擅自拆改场地原有结构、设施。</w:t>
      </w:r>
    </w:p>
    <w:p w14:paraId="5F93BEE7">
      <w:pPr>
        <w:pStyle w:val="3"/>
        <w:widowControl/>
        <w:numPr>
          <w:ilvl w:val="0"/>
          <w:numId w:val="4"/>
        </w:numPr>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szCs w:val="24"/>
        </w:rPr>
        <w:t>环境卫生与消杀要求</w:t>
      </w:r>
    </w:p>
    <w:p w14:paraId="3B3A34A7">
      <w:pPr>
        <w:widowControl/>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一）日常清洁要求：厨房、餐厅严格做到每餐保洁、每周深度清洁，保持墙壁、天花板、地面整洁干燥，炉灶、容器用具、案板等干净无油迹，操作台面、货架、调料台、设备等整洁无杂物、无污渍，通风、排烟、排水设备运行良好。</w:t>
      </w:r>
    </w:p>
    <w:p w14:paraId="6FEC7639">
      <w:pPr>
        <w:widowControl/>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（二）餐具消毒要求：设专人负责餐具的清洗、消毒、保洁，严格执行「一洗二清三消毒四保洁」流程，做好消毒登记，清洁用具专区专用，定期高温消毒。</w:t>
      </w:r>
    </w:p>
    <w:p w14:paraId="65D48CD9">
      <w:pPr>
        <w:widowControl/>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（三）虫害消杀要求：定期做好厨房、餐厅区域的蟑螂、老鼠等虫害消杀工作，选用合规消杀药剂，避免食品污染，做好消杀记录。</w:t>
      </w:r>
    </w:p>
    <w:p w14:paraId="13010EEB">
      <w:pPr>
        <w:widowControl/>
        <w:spacing w:line="360" w:lineRule="auto"/>
        <w:ind w:firstLine="480" w:firstLineChars="200"/>
        <w:jc w:val="left"/>
        <w:rPr>
          <w:rFonts w:hint="eastAsia" w:ascii="仿宋" w:hAnsi="仿宋" w:eastAsia="仿宋" w:cs="仿宋"/>
          <w:color w:val="auto"/>
          <w:sz w:val="24"/>
          <w:lang w:bidi="ar"/>
        </w:rPr>
      </w:pPr>
      <w:r>
        <w:rPr>
          <w:rFonts w:hint="eastAsia" w:ascii="仿宋" w:hAnsi="仿宋" w:eastAsia="仿宋" w:cs="仿宋"/>
          <w:color w:val="auto"/>
          <w:sz w:val="24"/>
          <w:lang w:bidi="ar"/>
        </w:rPr>
        <w:t>（四）</w:t>
      </w:r>
      <w:r>
        <w:rPr>
          <w:rFonts w:hint="eastAsia" w:ascii="仿宋" w:hAnsi="仿宋" w:eastAsia="仿宋" w:cs="仿宋"/>
          <w:color w:val="auto"/>
          <w:lang w:bidi="ar"/>
        </w:rPr>
        <w:t>▲</w:t>
      </w:r>
      <w:r>
        <w:rPr>
          <w:rFonts w:hint="eastAsia" w:ascii="仿宋" w:hAnsi="仿宋" w:eastAsia="仿宋" w:cs="仿宋"/>
          <w:color w:val="auto"/>
          <w:sz w:val="24"/>
        </w:rPr>
        <w:t>天河院区、珠玑院区、同德院区、同德综合门诊部的餐厨垃圾，由投标人严格按照国家及地方环保、市容环卫相关规定全权负责收集、运输与合规处置，做到日产日清；餐厨垃圾处置产生的全部费用均由投标人全额承担。若投标人未按要求合规处置，采购人可委托具备合法资质的第三方机构代为处理，相关全部费用由投标人承担。</w:t>
      </w:r>
    </w:p>
    <w:p w14:paraId="4DFCBCA3">
      <w:pPr>
        <w:widowControl/>
        <w:spacing w:line="360" w:lineRule="auto"/>
        <w:ind w:firstLine="480" w:firstLineChars="200"/>
        <w:jc w:val="left"/>
        <w:rPr>
          <w:rFonts w:hint="eastAsia" w:ascii="仿宋" w:hAnsi="仿宋" w:eastAsia="仿宋" w:cs="仿宋"/>
          <w:color w:val="auto"/>
          <w:sz w:val="24"/>
          <w:lang w:bidi="ar"/>
        </w:rPr>
      </w:pPr>
      <w:r>
        <w:rPr>
          <w:rFonts w:hint="eastAsia" w:ascii="仿宋" w:hAnsi="仿宋" w:eastAsia="仿宋" w:cs="仿宋"/>
          <w:color w:val="auto"/>
          <w:sz w:val="24"/>
          <w:lang w:bidi="ar"/>
        </w:rPr>
        <w:t>（五）</w:t>
      </w:r>
      <w:r>
        <w:rPr>
          <w:rFonts w:hint="eastAsia" w:ascii="仿宋" w:hAnsi="仿宋" w:eastAsia="仿宋" w:cs="仿宋"/>
          <w:color w:val="auto"/>
          <w:lang w:bidi="ar"/>
        </w:rPr>
        <w:t>▲</w:t>
      </w:r>
      <w:r>
        <w:rPr>
          <w:rFonts w:ascii="仿宋" w:hAnsi="仿宋" w:eastAsia="仿宋" w:cs="仿宋"/>
          <w:color w:val="auto"/>
          <w:sz w:val="24"/>
          <w:lang w:bidi="ar"/>
        </w:rPr>
        <w:t>油烟管道清洗</w:t>
      </w:r>
      <w:r>
        <w:rPr>
          <w:rFonts w:hint="eastAsia" w:ascii="仿宋" w:hAnsi="仿宋" w:eastAsia="仿宋" w:cs="仿宋"/>
          <w:color w:val="auto"/>
          <w:sz w:val="24"/>
          <w:lang w:bidi="ar"/>
        </w:rPr>
        <w:t>：</w:t>
      </w:r>
      <w:r>
        <w:rPr>
          <w:rFonts w:ascii="仿宋" w:hAnsi="仿宋" w:eastAsia="仿宋" w:cs="仿宋"/>
          <w:color w:val="auto"/>
          <w:sz w:val="24"/>
          <w:lang w:bidi="ar"/>
        </w:rPr>
        <w:t>三个院区每两个月完成</w:t>
      </w:r>
      <w:r>
        <w:rPr>
          <w:rFonts w:hint="eastAsia" w:ascii="仿宋" w:hAnsi="仿宋" w:eastAsia="仿宋" w:cs="仿宋"/>
          <w:color w:val="auto"/>
          <w:sz w:val="24"/>
          <w:lang w:bidi="ar"/>
        </w:rPr>
        <w:t>各</w:t>
      </w:r>
      <w:r>
        <w:rPr>
          <w:rFonts w:ascii="仿宋" w:hAnsi="仿宋" w:eastAsia="仿宋" w:cs="仿宋"/>
          <w:color w:val="auto"/>
          <w:sz w:val="24"/>
          <w:lang w:bidi="ar"/>
        </w:rPr>
        <w:t>不少于一次专业油烟管道清洗</w:t>
      </w:r>
      <w:r>
        <w:rPr>
          <w:rFonts w:hint="eastAsia" w:ascii="仿宋" w:hAnsi="仿宋" w:eastAsia="仿宋" w:cs="仿宋"/>
          <w:color w:val="auto"/>
          <w:sz w:val="24"/>
          <w:lang w:bidi="ar"/>
        </w:rPr>
        <w:t>，</w:t>
      </w:r>
      <w:r>
        <w:rPr>
          <w:rFonts w:ascii="仿宋" w:hAnsi="仿宋" w:eastAsia="仿宋" w:cs="仿宋"/>
          <w:color w:val="auto"/>
          <w:sz w:val="24"/>
          <w:lang w:bidi="ar"/>
        </w:rPr>
        <w:t>并提供检测报告，做好相关工作记录和照片记录并编辑成册</w:t>
      </w:r>
      <w:r>
        <w:rPr>
          <w:rFonts w:hint="eastAsia" w:ascii="仿宋" w:hAnsi="仿宋" w:eastAsia="仿宋" w:cs="仿宋"/>
          <w:color w:val="auto"/>
          <w:sz w:val="24"/>
          <w:lang w:bidi="ar"/>
        </w:rPr>
        <w:t>，清洗和检测的</w:t>
      </w:r>
      <w:r>
        <w:rPr>
          <w:rFonts w:hint="eastAsia" w:ascii="仿宋" w:hAnsi="仿宋" w:eastAsia="仿宋" w:cs="仿宋"/>
          <w:color w:val="auto"/>
          <w:sz w:val="24"/>
        </w:rPr>
        <w:t>全部费用由中标人承担</w:t>
      </w:r>
      <w:r>
        <w:rPr>
          <w:rFonts w:ascii="仿宋" w:hAnsi="仿宋" w:eastAsia="仿宋" w:cs="仿宋"/>
          <w:color w:val="auto"/>
          <w:sz w:val="24"/>
          <w:lang w:bidi="ar"/>
        </w:rPr>
        <w:t>。具体要求如下：</w:t>
      </w:r>
    </w:p>
    <w:p w14:paraId="0FA0E7F3">
      <w:pPr>
        <w:widowControl/>
        <w:spacing w:line="360" w:lineRule="auto"/>
        <w:ind w:firstLine="480" w:firstLineChars="200"/>
        <w:jc w:val="left"/>
        <w:rPr>
          <w:rFonts w:hint="eastAsia" w:ascii="仿宋" w:hAnsi="仿宋" w:eastAsia="仿宋" w:cs="仿宋"/>
          <w:color w:val="auto"/>
          <w:sz w:val="24"/>
          <w:lang w:bidi="ar"/>
        </w:rPr>
      </w:pPr>
      <w:r>
        <w:rPr>
          <w:rFonts w:hint="eastAsia" w:ascii="仿宋" w:hAnsi="仿宋" w:eastAsia="仿宋" w:cs="仿宋"/>
          <w:color w:val="auto"/>
          <w:sz w:val="24"/>
          <w:lang w:bidi="ar"/>
        </w:rPr>
        <w:t>1.</w:t>
      </w:r>
      <w:r>
        <w:rPr>
          <w:rFonts w:ascii="仿宋" w:hAnsi="仿宋" w:eastAsia="仿宋" w:cs="仿宋"/>
          <w:color w:val="auto"/>
          <w:sz w:val="24"/>
          <w:lang w:bidi="ar"/>
        </w:rPr>
        <w:t>炉具：铲除炉圈、挡板油渍；化油剂涂刷、高压水枪喷洗。</w:t>
      </w:r>
    </w:p>
    <w:p w14:paraId="599A5095">
      <w:pPr>
        <w:widowControl/>
        <w:spacing w:line="360" w:lineRule="auto"/>
        <w:ind w:firstLine="480" w:firstLineChars="200"/>
        <w:jc w:val="left"/>
        <w:rPr>
          <w:rFonts w:hint="eastAsia" w:ascii="仿宋" w:hAnsi="仿宋" w:eastAsia="仿宋" w:cs="仿宋"/>
          <w:color w:val="auto"/>
          <w:sz w:val="24"/>
          <w:lang w:bidi="ar"/>
        </w:rPr>
      </w:pPr>
      <w:r>
        <w:rPr>
          <w:rFonts w:hint="eastAsia" w:ascii="仿宋" w:hAnsi="仿宋" w:eastAsia="仿宋" w:cs="仿宋"/>
          <w:color w:val="auto"/>
          <w:sz w:val="24"/>
          <w:lang w:bidi="ar"/>
        </w:rPr>
        <w:t>2.</w:t>
      </w:r>
      <w:r>
        <w:rPr>
          <w:rFonts w:ascii="仿宋" w:hAnsi="仿宋" w:eastAsia="仿宋" w:cs="仿宋"/>
          <w:color w:val="auto"/>
          <w:sz w:val="24"/>
          <w:lang w:bidi="ar"/>
        </w:rPr>
        <w:t>厨房内横烟管：管径大的横烟管进入管内铲除积油（管内不用水洗），烟管外表除油、清洗。如需开工作口，完成后封闭。</w:t>
      </w:r>
    </w:p>
    <w:p w14:paraId="40D6571F">
      <w:pPr>
        <w:widowControl/>
        <w:spacing w:line="360" w:lineRule="auto"/>
        <w:ind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3.</w:t>
      </w:r>
      <w:r>
        <w:rPr>
          <w:rFonts w:ascii="仿宋" w:hAnsi="仿宋" w:eastAsia="仿宋" w:cs="仿宋"/>
          <w:color w:val="auto"/>
          <w:sz w:val="24"/>
          <w:lang w:bidi="ar"/>
        </w:rPr>
        <w:t>炉底;铲除炉底杂物，冲洗炉底。</w:t>
      </w:r>
    </w:p>
    <w:p w14:paraId="52DF6DD4">
      <w:pPr>
        <w:widowControl/>
        <w:spacing w:line="360" w:lineRule="auto"/>
        <w:ind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4.</w:t>
      </w:r>
      <w:r>
        <w:rPr>
          <w:rFonts w:ascii="仿宋" w:hAnsi="仿宋" w:eastAsia="仿宋" w:cs="仿宋"/>
          <w:color w:val="auto"/>
          <w:sz w:val="24"/>
          <w:lang w:bidi="ar"/>
        </w:rPr>
        <w:t>烟罩:铲除内外积油，再拆、装运水扇浸泡、通喷嘴、喷洗运水烟罩控制箱：清除箱内积油、清洗储水箱滤网。</w:t>
      </w:r>
    </w:p>
    <w:p w14:paraId="67C8F15E">
      <w:pPr>
        <w:widowControl/>
        <w:spacing w:line="360" w:lineRule="auto"/>
        <w:ind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5.</w:t>
      </w:r>
      <w:r>
        <w:rPr>
          <w:rFonts w:ascii="仿宋" w:hAnsi="仿宋" w:eastAsia="仿宋" w:cs="仿宋"/>
          <w:color w:val="auto"/>
          <w:sz w:val="24"/>
          <w:lang w:bidi="ar"/>
        </w:rPr>
        <w:t>抽油烟风机:离心风机或柜机；铲除内壳、风轮叶片、底部的积油，清理风机外表油垢。如需开工作口，完成后封闭。</w:t>
      </w:r>
    </w:p>
    <w:p w14:paraId="285BAA92">
      <w:pPr>
        <w:widowControl/>
        <w:spacing w:line="360" w:lineRule="auto"/>
        <w:ind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6.</w:t>
      </w:r>
      <w:r>
        <w:rPr>
          <w:rFonts w:ascii="仿宋" w:hAnsi="仿宋" w:eastAsia="仿宋" w:cs="仿宋"/>
          <w:color w:val="auto"/>
          <w:sz w:val="24"/>
          <w:lang w:bidi="ar"/>
        </w:rPr>
        <w:t>静电式油烟净化器：静电式油烟净化器：释放机内高压静电，取出电极板、格网浸泡、除油后清洗。清理机舱门导电触头的积碳。铲除机舱底部积油。完成后按顺序安装电极板、格网。</w:t>
      </w:r>
    </w:p>
    <w:p w14:paraId="264633B0">
      <w:pPr>
        <w:widowControl/>
        <w:spacing w:line="360" w:lineRule="auto"/>
        <w:ind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7.</w:t>
      </w:r>
      <w:r>
        <w:rPr>
          <w:rFonts w:ascii="仿宋" w:hAnsi="仿宋" w:eastAsia="仿宋" w:cs="仿宋"/>
          <w:color w:val="auto"/>
          <w:sz w:val="24"/>
          <w:lang w:bidi="ar"/>
        </w:rPr>
        <w:t>竖排烟管（天花板到楼顶）：管径大的烟管人员下吊进入管内铲除积油，使用使用清洗剂清洗，如需开工作口，完成后封闭，打胶密封接口位。</w:t>
      </w:r>
    </w:p>
    <w:p w14:paraId="65947DE8">
      <w:pPr>
        <w:widowControl/>
        <w:spacing w:line="360" w:lineRule="auto"/>
        <w:ind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8.</w:t>
      </w:r>
      <w:r>
        <w:rPr>
          <w:rFonts w:ascii="仿宋" w:hAnsi="仿宋" w:eastAsia="仿宋" w:cs="仿宋"/>
          <w:color w:val="auto"/>
          <w:sz w:val="24"/>
          <w:lang w:bidi="ar"/>
        </w:rPr>
        <w:t>新风管：铲除管外表及风口油渍、化油剂涂刷、高压水枪喷洗。</w:t>
      </w:r>
    </w:p>
    <w:p w14:paraId="2D064EFD">
      <w:pPr>
        <w:widowControl/>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（六）▲燃气报警装置年检要求：</w:t>
      </w:r>
      <w:r>
        <w:rPr>
          <w:rFonts w:hint="eastAsia" w:ascii="仿宋" w:hAnsi="仿宋" w:eastAsia="仿宋" w:cs="仿宋"/>
          <w:b/>
          <w:bCs/>
          <w:color w:val="auto"/>
          <w:sz w:val="24"/>
        </w:rPr>
        <w:t>每年对现用燃气报警装置</w:t>
      </w:r>
      <w:r>
        <w:rPr>
          <w:rFonts w:hint="eastAsia" w:ascii="仿宋" w:hAnsi="仿宋" w:eastAsia="仿宋" w:cs="仿宋"/>
          <w:color w:val="auto"/>
          <w:sz w:val="24"/>
        </w:rPr>
        <w:t>的探测器、主机和燃气紧急切断阀进行年检，委托具备 CMA或CNAS 检测资质的第三方机构进行检测，并出具年度合规检测检验报告；年检时间按采购人要求为准。</w:t>
      </w:r>
    </w:p>
    <w:p w14:paraId="44D3B7DB">
      <w:pPr>
        <w:widowControl/>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（七）▲投标人须在服务区域内按相关规定</w:t>
      </w:r>
      <w:r>
        <w:rPr>
          <w:rFonts w:hint="eastAsia" w:ascii="仿宋" w:hAnsi="仿宋" w:eastAsia="仿宋" w:cs="仿宋"/>
          <w:b/>
          <w:bCs/>
          <w:color w:val="auto"/>
          <w:sz w:val="24"/>
        </w:rPr>
        <w:t>配置消防器材</w:t>
      </w:r>
      <w:r>
        <w:rPr>
          <w:rFonts w:hint="eastAsia" w:ascii="仿宋" w:hAnsi="仿宋" w:eastAsia="仿宋" w:cs="仿宋"/>
          <w:color w:val="auto"/>
          <w:sz w:val="24"/>
        </w:rPr>
        <w:t>，负责消防器材的检查、维护和保养，确保其完好有效，承担消防管理主体责任。</w:t>
      </w:r>
    </w:p>
    <w:p w14:paraId="070F0EA6">
      <w:pPr>
        <w:widowControl/>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八）▲投标人须建立健全项目消防档案，档案包含消防安全基本情况、消防安全管理情况、消防器材维保记录、燃气报警装置年检报告、消防演练记录、应急演练、安全巡查记录、油烟管道清洗记录等，消防档案完整留存，保存期限不少于3年，接受采购人与消防监管部门的检查。</w:t>
      </w:r>
    </w:p>
    <w:p w14:paraId="62CAC812">
      <w:pPr>
        <w:widowControl/>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（九）燃气安全日常巡查制度：建立每日巡检、每周排查、每月全面检查机制，做好记录、隐患闭环整改；发现重大隐患立即停用、及时上报，采购人不定期抽查。</w:t>
      </w:r>
    </w:p>
    <w:bookmarkEnd w:id="9"/>
    <w:p w14:paraId="232A6EF3">
      <w:pPr>
        <w:widowControl/>
        <w:spacing w:line="360" w:lineRule="auto"/>
        <w:ind w:firstLine="420"/>
        <w:jc w:val="left"/>
        <w:rPr>
          <w:rFonts w:hint="eastAsia" w:ascii="仿宋" w:hAnsi="仿宋" w:eastAsia="仿宋" w:cs="仿宋"/>
          <w:color w:val="auto"/>
          <w:sz w:val="24"/>
        </w:rPr>
      </w:pPr>
    </w:p>
    <w:p w14:paraId="2192DBDA">
      <w:pPr>
        <w:pStyle w:val="2"/>
        <w:widowControl/>
        <w:spacing w:beforeAutospacing="0" w:afterAutospacing="0" w:line="360" w:lineRule="auto"/>
        <w:jc w:val="center"/>
        <w:rPr>
          <w:rStyle w:val="16"/>
          <w:rFonts w:ascii="仿宋" w:hAnsi="仿宋" w:eastAsia="仿宋" w:cs="仿宋"/>
          <w:color w:val="auto"/>
          <w:sz w:val="24"/>
          <w:szCs w:val="24"/>
        </w:rPr>
      </w:pPr>
      <w:r>
        <w:rPr>
          <w:rFonts w:ascii="仿宋" w:hAnsi="仿宋" w:eastAsia="仿宋" w:cs="仿宋"/>
          <w:color w:val="auto"/>
          <w:sz w:val="24"/>
          <w:szCs w:val="24"/>
        </w:rPr>
        <w:t>第七章 一次性用品、食材质量、食品及用品安全管理</w:t>
      </w:r>
    </w:p>
    <w:p w14:paraId="09749957">
      <w:pPr>
        <w:pStyle w:val="3"/>
        <w:widowControl/>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szCs w:val="24"/>
        </w:rPr>
        <w:t>一、食材质量要求</w:t>
      </w:r>
    </w:p>
    <w:p w14:paraId="49FAD701">
      <w:pPr>
        <w:pStyle w:val="18"/>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一）★所有食品、副食品及配料等均须从合法合规的渠道采购，确保食材安全，其农药残留等指标需符合国家食品安全标准；投标人应配备相应的食品安全快速检测设备。食品添加剂的使用不得超出规定范围和限量，严禁添加任何非食用物质；所用食品原料须按国家规定使用非转基因产品。投标人采购的粮油、肉蛋、禽类、水产、蔬菜、副食品、调味品、食品添加剂等所有原料及物品，均须符合《中华人民共和国食品安全法》《中华人民共和国动物防疫法》等相关法律法规、卫生标准及营养要求。（在投标文件中提供加盖投标人公章的承诺函，承诺函格式自拟）</w:t>
      </w:r>
    </w:p>
    <w:p w14:paraId="348EC6A5">
      <w:pPr>
        <w:pStyle w:val="18"/>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二）★投标人须严格落实进货查验与索证索票制度，规范建立采购台账、索证验收台账、供应商资质证明台账，完整索取并留存供应商有效资质文件及检验检测合格证明材料，包括但不限于：营业执照、食品经营许可证、食品生产许可证（SC）、产品质量检验报告、出厂检验报告、动物检疫合格证明、肉品品质检验合格证、送货清单、购货凭据；罐头及调味品等食品的检验合格证或检验单，蔬菜、鲜活水产等散装农副食品的检验合格证明，一次性餐具检验合格证明，食品用洗涤剂、消毒剂合格证明等。相关台账与证明材料须随时接受采购人及上级监管部门的监督检查。（在投标文件中提供加盖投标人公章的承诺函，承诺函格式自拟）</w:t>
      </w:r>
    </w:p>
    <w:p w14:paraId="622D344D">
      <w:pPr>
        <w:pStyle w:val="18"/>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（三）设专门人员负责留样，每餐食品按相关规定的份量、时间、保存条件等做好留样工作。至少保存48小时，留样份量每样至少150克，在5℃以下冷藏专柜专放并按要求做好食品留样管理工作等。</w:t>
      </w:r>
    </w:p>
    <w:p w14:paraId="55491F4F">
      <w:pPr>
        <w:pStyle w:val="18"/>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（四）从食品原材料入手，建立食品安全追溯体系。所有肉类、蔬菜类、粮油类等由具备供应资格、信誉良好的供应商提供可追溯食，不能采用散装原料，实行集中统一采购或分大类集中采购，采用无公害食材。</w:t>
      </w:r>
    </w:p>
    <w:p w14:paraId="648C7B59">
      <w:pPr>
        <w:pStyle w:val="18"/>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（五）对服务、供货质量等不能达到采购人要求的供应商，采购人有权提出更换，投标人必须配合执行。</w:t>
      </w:r>
    </w:p>
    <w:p w14:paraId="251C7D3E">
      <w:pPr>
        <w:pStyle w:val="18"/>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（六）设置食品安全信息公示栏，公示食品安全信息，员工健康信息、经营主体责任人、监管部门责任人及电话、微信服务满意度调查或意见箱等，接受员工监督。</w:t>
      </w:r>
    </w:p>
    <w:p w14:paraId="7CCB3251">
      <w:pPr>
        <w:pStyle w:val="3"/>
        <w:widowControl/>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szCs w:val="24"/>
        </w:rPr>
        <w:t>二、用品管理要求</w:t>
      </w:r>
    </w:p>
    <w:p w14:paraId="18B61FF4">
      <w:pPr>
        <w:pStyle w:val="18"/>
        <w:numPr>
          <w:ilvl w:val="255"/>
          <w:numId w:val="0"/>
        </w:num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（一）★投标人所供的食品接触材料及制品（如塑料包装、金属餐具等），应符合现行有效的国家食品安全标准及相关技术规范，包括但不限于《食品安全国家标准 食品接触材料及制品通用安全要求》（GB 4806.1-2016）《食品安全国家标准 食品接触材料及制品用添加剂使用标准》（GB 9685-2016，含第1号修改单 GB 9685-2016/XG1-2025），以及对应材质的现行专项标准（如塑料类GB 4806.7-2023、金属类GB 4806.9-2023、橡胶类GB 4806.11-2023）等，均应满足可直接接触食品用途，不得使用国家市场监督管理总局会同国家卫生健康委员会等部门发布的食品接触材料及制品停止使用名单内的产品。（在投标文件中提供加盖投标人公章的承诺函，承诺函格式自拟）</w:t>
      </w:r>
    </w:p>
    <w:p w14:paraId="18AE7708">
      <w:pPr>
        <w:widowControl/>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（二）★各类材质专项成品要求：（在投标文件中提供加盖投标人公章的承诺函，承诺函格式自拟）</w:t>
      </w:r>
    </w:p>
    <w:p w14:paraId="19A7BEC3">
      <w:pPr>
        <w:widowControl/>
        <w:numPr>
          <w:ilvl w:val="0"/>
          <w:numId w:val="8"/>
        </w:numPr>
        <w:spacing w:line="360" w:lineRule="auto"/>
        <w:ind w:firstLine="480" w:firstLineChars="200"/>
        <w:jc w:val="both"/>
        <w:rPr>
          <w:rFonts w:hint="eastAsia" w:ascii="仿宋" w:hAnsi="仿宋" w:eastAsia="仿宋" w:cs="仿宋"/>
          <w:color w:val="auto"/>
          <w:sz w:val="24"/>
        </w:rPr>
      </w:pPr>
      <w:r>
        <w:rPr>
          <w:rFonts w:hint="eastAsia" w:ascii="仿宋" w:hAnsi="仿宋" w:eastAsia="仿宋" w:cs="仿宋"/>
          <w:color w:val="auto"/>
          <w:sz w:val="24"/>
        </w:rPr>
        <w:t>可降解材质产品：符合国家标准 GB/T 18006.3-2020《一次性可降解餐饮具通用技术要求》。</w:t>
      </w:r>
    </w:p>
    <w:p w14:paraId="1A15CDF1">
      <w:pPr>
        <w:widowControl/>
        <w:numPr>
          <w:ilvl w:val="0"/>
          <w:numId w:val="8"/>
        </w:numPr>
        <w:spacing w:line="360" w:lineRule="auto"/>
        <w:ind w:firstLine="480" w:firstLineChars="200"/>
        <w:jc w:val="both"/>
        <w:rPr>
          <w:rFonts w:hint="eastAsia" w:ascii="仿宋" w:hAnsi="仿宋" w:eastAsia="仿宋" w:cs="仿宋"/>
          <w:color w:val="auto"/>
          <w:sz w:val="24"/>
        </w:rPr>
      </w:pPr>
      <w:r>
        <w:rPr>
          <w:rFonts w:hint="eastAsia" w:ascii="仿宋" w:hAnsi="仿宋" w:eastAsia="仿宋" w:cs="仿宋"/>
          <w:color w:val="auto"/>
          <w:sz w:val="24"/>
        </w:rPr>
        <w:t>竹材质筷子：符合国家标准 GB/T 19790.2-2005《一次性筷子 第 2 部分：竹筷》和《一次性竹木筷产品质量国家监督抽查实施细则（2021 版）》。</w:t>
      </w:r>
    </w:p>
    <w:p w14:paraId="3C078F05">
      <w:pPr>
        <w:widowControl/>
        <w:numPr>
          <w:ilvl w:val="0"/>
          <w:numId w:val="8"/>
        </w:numPr>
        <w:spacing w:line="360" w:lineRule="auto"/>
        <w:ind w:firstLine="480" w:firstLineChars="200"/>
        <w:jc w:val="both"/>
        <w:rPr>
          <w:rFonts w:hint="eastAsia" w:ascii="仿宋" w:hAnsi="仿宋" w:eastAsia="仿宋" w:cs="仿宋"/>
          <w:color w:val="auto"/>
          <w:sz w:val="24"/>
        </w:rPr>
      </w:pPr>
      <w:r>
        <w:rPr>
          <w:rFonts w:hint="eastAsia" w:ascii="仿宋" w:hAnsi="仿宋" w:eastAsia="仿宋" w:cs="仿宋"/>
          <w:color w:val="auto"/>
          <w:sz w:val="24"/>
        </w:rPr>
        <w:t>PP材质产品：符合国家标准 GB 4806.7-2023《食品安全国家标准 食品接触用塑料材料及制品》。</w:t>
      </w:r>
    </w:p>
    <w:p w14:paraId="1844E2FB">
      <w:pPr>
        <w:widowControl/>
        <w:numPr>
          <w:ilvl w:val="0"/>
          <w:numId w:val="8"/>
        </w:numPr>
        <w:spacing w:line="360" w:lineRule="auto"/>
        <w:ind w:firstLine="480" w:firstLineChars="200"/>
        <w:jc w:val="both"/>
        <w:rPr>
          <w:rFonts w:hint="eastAsia" w:ascii="仿宋" w:hAnsi="仿宋" w:eastAsia="仿宋" w:cs="仿宋"/>
          <w:color w:val="auto"/>
          <w:sz w:val="24"/>
        </w:rPr>
      </w:pPr>
      <w:r>
        <w:rPr>
          <w:rFonts w:hint="eastAsia" w:ascii="仿宋" w:hAnsi="仿宋" w:eastAsia="仿宋" w:cs="仿宋"/>
          <w:color w:val="auto"/>
          <w:sz w:val="24"/>
        </w:rPr>
        <w:t>铝箔纸材质产品：符合国家标准 GB 4806.9-2023《食品安全国家标准 食品接触用金属材料及制品》。</w:t>
      </w:r>
    </w:p>
    <w:p w14:paraId="13047165">
      <w:pPr>
        <w:widowControl/>
        <w:numPr>
          <w:ilvl w:val="0"/>
          <w:numId w:val="8"/>
        </w:numPr>
        <w:spacing w:line="360" w:lineRule="auto"/>
        <w:ind w:firstLine="480" w:firstLineChars="200"/>
        <w:jc w:val="both"/>
        <w:rPr>
          <w:rFonts w:hint="eastAsia" w:ascii="仿宋" w:hAnsi="仿宋" w:eastAsia="仿宋" w:cs="仿宋"/>
          <w:color w:val="auto"/>
          <w:sz w:val="24"/>
        </w:rPr>
      </w:pPr>
      <w:r>
        <w:rPr>
          <w:rFonts w:hint="eastAsia" w:ascii="仿宋" w:hAnsi="仿宋" w:eastAsia="仿宋" w:cs="仿宋"/>
          <w:color w:val="auto"/>
          <w:sz w:val="24"/>
        </w:rPr>
        <w:t>烘焙油纸材质产品：符合国家标准 GB/T 36392-2025《食品包装用淋膜纸和纸板》和 GB 30612-2014《食品安全国家标准 食品添加剂 聚二甲基硅氧烷及其乳液（含第1号修改单）》。</w:t>
      </w:r>
    </w:p>
    <w:p w14:paraId="54A3D984">
      <w:pPr>
        <w:widowControl/>
        <w:numPr>
          <w:ilvl w:val="0"/>
          <w:numId w:val="8"/>
        </w:numPr>
        <w:spacing w:line="360" w:lineRule="auto"/>
        <w:ind w:firstLine="480" w:firstLineChars="200"/>
        <w:jc w:val="both"/>
        <w:rPr>
          <w:rFonts w:hint="eastAsia" w:ascii="仿宋" w:hAnsi="仿宋" w:eastAsia="仿宋" w:cs="仿宋"/>
          <w:color w:val="auto"/>
          <w:sz w:val="24"/>
        </w:rPr>
      </w:pPr>
      <w:r>
        <w:rPr>
          <w:rFonts w:hint="eastAsia" w:ascii="仿宋" w:hAnsi="仿宋" w:eastAsia="仿宋" w:cs="仿宋"/>
          <w:color w:val="auto"/>
          <w:sz w:val="24"/>
        </w:rPr>
        <w:t>纸浆及淋膜纸材质产品：符合国家标准 GB/T 27590-2022《纸杯》、GB 4806.8-2022《食品安全国家标准 食品接触用纸和纸板材料及制品》以及 GB 4806.7-2023《食品安全国家标准 食品接触用塑料材料及制品》。</w:t>
      </w:r>
    </w:p>
    <w:p w14:paraId="6B6B72C4">
      <w:pPr>
        <w:widowControl/>
        <w:numPr>
          <w:ilvl w:val="0"/>
          <w:numId w:val="8"/>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投标人所供食品包装袋类产品（用于盛装和保护食品的薄膜容器）上应具有符合国家标准 GB/T 21661-2020《塑料购物袋》（或 GB/T 21660-2008《塑料购物袋的环保、安全和标识通用技术要求》）的信息。包装袋类产品外观应平整，无划伤、烫伤、气泡、破油和折皱，热封平整、无虚封。薄膜不得有裂纹、孔隙和复合层分离，无杂质、异物和油渍等污染。</w:t>
      </w:r>
    </w:p>
    <w:p w14:paraId="5587304B">
      <w:pPr>
        <w:widowControl/>
        <w:numPr>
          <w:ilvl w:val="0"/>
          <w:numId w:val="8"/>
        </w:numPr>
        <w:spacing w:line="360" w:lineRule="auto"/>
        <w:ind w:firstLine="480" w:firstLineChars="200"/>
        <w:jc w:val="both"/>
        <w:rPr>
          <w:rFonts w:hint="eastAsia" w:ascii="仿宋" w:hAnsi="仿宋" w:eastAsia="仿宋" w:cs="仿宋"/>
          <w:color w:val="auto"/>
          <w:sz w:val="24"/>
        </w:rPr>
      </w:pPr>
      <w:r>
        <w:rPr>
          <w:rFonts w:hint="eastAsia" w:ascii="仿宋" w:hAnsi="仿宋" w:eastAsia="仿宋" w:cs="仿宋"/>
          <w:color w:val="auto"/>
          <w:sz w:val="24"/>
        </w:rPr>
        <w:t>使用性能标准：一次性餐饮具的容积偏差、负重性能、跌落性能、盖体对折性能等方面应符合国家标准 GB/T 18006.3-2020《一次性可降解餐饮具通用技术要求》、GB/T 18006.1-2025《塑料一次性餐饮具通用技术要求》和 GB 4806.7-2023《食品安全国家标准 食品接触用塑料材料及制品》的规定，尤其是耐温性能（耐热水、耐热油等）应符合对应标准的具体指标要求。</w:t>
      </w:r>
    </w:p>
    <w:p w14:paraId="6091B4DB">
      <w:pPr>
        <w:pStyle w:val="3"/>
        <w:widowControl/>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szCs w:val="24"/>
        </w:rPr>
        <w:t>三、抽检与质量管控</w:t>
      </w:r>
    </w:p>
    <w:p w14:paraId="042F68D2">
      <w:pPr>
        <w:pStyle w:val="18"/>
        <w:widowControl/>
        <w:numPr>
          <w:ilvl w:val="-1"/>
          <w:numId w:val="0"/>
        </w:numPr>
        <w:spacing w:line="360" w:lineRule="auto"/>
        <w:ind w:leftChars="0" w:firstLine="480"/>
        <w:jc w:val="both"/>
        <w:rPr>
          <w:rFonts w:hint="eastAsia"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一</w:t>
      </w:r>
      <w:r>
        <w:rPr>
          <w:rFonts w:hint="eastAsia" w:ascii="仿宋" w:hAnsi="仿宋" w:eastAsia="仿宋" w:cs="仿宋"/>
          <w:color w:val="auto"/>
          <w:sz w:val="24"/>
          <w:lang w:eastAsia="zh-CN"/>
        </w:rPr>
        <w:t>）</w:t>
      </w:r>
      <w:r>
        <w:rPr>
          <w:rFonts w:hint="eastAsia" w:ascii="仿宋" w:hAnsi="仿宋" w:eastAsia="仿宋" w:cs="仿宋"/>
          <w:color w:val="auto"/>
          <w:sz w:val="24"/>
        </w:rPr>
        <w:t>投标人须实行货到现场逐批验收，不合格品当场拒收、24小时内无条件退换补货；</w:t>
      </w:r>
    </w:p>
    <w:p w14:paraId="102E3870">
      <w:pPr>
        <w:pStyle w:val="18"/>
        <w:widowControl/>
        <w:numPr>
          <w:ilvl w:val="-1"/>
          <w:numId w:val="0"/>
        </w:numPr>
        <w:spacing w:line="360" w:lineRule="auto"/>
        <w:ind w:leftChars="0" w:firstLine="480"/>
        <w:jc w:val="both"/>
        <w:rPr>
          <w:rFonts w:hint="eastAsia"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二</w:t>
      </w:r>
      <w:r>
        <w:rPr>
          <w:rFonts w:hint="eastAsia" w:ascii="仿宋" w:hAnsi="仿宋" w:eastAsia="仿宋" w:cs="仿宋"/>
          <w:color w:val="auto"/>
          <w:sz w:val="24"/>
          <w:lang w:eastAsia="zh-CN"/>
        </w:rPr>
        <w:t>）</w:t>
      </w:r>
      <w:r>
        <w:rPr>
          <w:rFonts w:hint="eastAsia" w:ascii="仿宋" w:hAnsi="仿宋" w:eastAsia="仿宋" w:cs="仿宋"/>
          <w:color w:val="auto"/>
          <w:sz w:val="24"/>
        </w:rPr>
        <w:t>采购人建立不定期抽检、周查、月复盘机制，接受采购人及行政机构监管部门不定期抽检；具体要求参考附件《广州医科大学附属中医医院食堂餐饮服务货物抽检标准》；</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抽检产生的检测费用由</w:t>
      </w:r>
      <w:r>
        <w:rPr>
          <w:rFonts w:hint="eastAsia" w:ascii="仿宋" w:hAnsi="仿宋" w:eastAsia="仿宋" w:cs="仿宋"/>
          <w:color w:val="auto"/>
          <w:sz w:val="24"/>
          <w:lang w:val="en-US" w:eastAsia="zh-CN"/>
        </w:rPr>
        <w:t>投标人</w:t>
      </w:r>
      <w:r>
        <w:rPr>
          <w:rFonts w:hint="eastAsia" w:ascii="仿宋" w:hAnsi="仿宋" w:eastAsia="仿宋" w:cs="仿宋"/>
          <w:color w:val="auto"/>
          <w:sz w:val="24"/>
        </w:rPr>
        <w:t>承担，若检测合格，费用由</w:t>
      </w:r>
      <w:r>
        <w:rPr>
          <w:rFonts w:hint="eastAsia" w:ascii="仿宋" w:hAnsi="仿宋" w:eastAsia="仿宋" w:cs="仿宋"/>
          <w:color w:val="auto"/>
          <w:sz w:val="24"/>
          <w:lang w:val="en-US" w:eastAsia="zh-CN"/>
        </w:rPr>
        <w:t>采购人</w:t>
      </w:r>
      <w:r>
        <w:rPr>
          <w:rFonts w:hint="eastAsia" w:ascii="仿宋" w:hAnsi="仿宋" w:eastAsia="仿宋" w:cs="仿宋"/>
          <w:color w:val="auto"/>
          <w:sz w:val="24"/>
        </w:rPr>
        <w:t>承担</w:t>
      </w:r>
      <w:r>
        <w:rPr>
          <w:rFonts w:hint="eastAsia" w:ascii="仿宋" w:hAnsi="仿宋" w:eastAsia="仿宋" w:cs="仿宋"/>
          <w:color w:val="auto"/>
          <w:sz w:val="24"/>
          <w:lang w:eastAsia="zh-CN"/>
        </w:rPr>
        <w:t>。</w:t>
      </w:r>
    </w:p>
    <w:p w14:paraId="006BA5D5">
      <w:pPr>
        <w:widowControl/>
        <w:numPr>
          <w:ilvl w:val="0"/>
          <w:numId w:val="0"/>
        </w:numPr>
        <w:spacing w:line="360" w:lineRule="auto"/>
        <w:ind w:leftChars="0" w:firstLine="480" w:firstLineChars="200"/>
        <w:jc w:val="left"/>
        <w:rPr>
          <w:rFonts w:hint="eastAsia"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三</w:t>
      </w:r>
      <w:r>
        <w:rPr>
          <w:rFonts w:hint="eastAsia" w:ascii="仿宋" w:hAnsi="仿宋" w:eastAsia="仿宋" w:cs="仿宋"/>
          <w:color w:val="auto"/>
          <w:sz w:val="24"/>
          <w:lang w:eastAsia="zh-CN"/>
        </w:rPr>
        <w:t>）</w:t>
      </w:r>
      <w:r>
        <w:rPr>
          <w:rFonts w:hint="eastAsia" w:ascii="仿宋" w:hAnsi="仿宋" w:eastAsia="仿宋" w:cs="仿宋"/>
          <w:color w:val="auto"/>
          <w:sz w:val="24"/>
        </w:rPr>
        <w:t>因货物质量问题引发食品安全事故，由投标人承担全部责任与损失。</w:t>
      </w:r>
    </w:p>
    <w:p w14:paraId="3BDBBD9C">
      <w:pPr>
        <w:widowControl/>
        <w:numPr>
          <w:ilvl w:val="0"/>
          <w:numId w:val="0"/>
        </w:numPr>
        <w:spacing w:line="360" w:lineRule="auto"/>
        <w:ind w:leftChars="0" w:firstLine="480" w:firstLineChars="200"/>
        <w:rPr>
          <w:rFonts w:hint="eastAsia"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四</w:t>
      </w:r>
      <w:r>
        <w:rPr>
          <w:rFonts w:hint="eastAsia" w:ascii="仿宋" w:hAnsi="仿宋" w:eastAsia="仿宋" w:cs="仿宋"/>
          <w:color w:val="auto"/>
          <w:sz w:val="24"/>
          <w:lang w:eastAsia="zh-CN"/>
        </w:rPr>
        <w:t>）</w:t>
      </w:r>
      <w:r>
        <w:rPr>
          <w:rFonts w:hint="eastAsia" w:ascii="仿宋" w:hAnsi="仿宋" w:eastAsia="仿宋" w:cs="仿宋"/>
          <w:color w:val="auto"/>
          <w:sz w:val="24"/>
        </w:rPr>
        <w:t>★采购人依据合同对投标人提供的货物进行不定期抽查。对于不符合要求的货物，投标人须无条件退货或换货。若投标人未能履行招标文件及合同约定事项，或供应不合格、假冒伪劣、以次充好的货物，每次扣罚投标人5000元。若发生3次或以上（设次数为N，N≥3），则每次扣罚金额为5000元乘以N，并额外加扣当月结算费用的5%。若年度累计次数达到6次及以上，采购人有权终止合同，且投标人须承担由此产生的一切损失和费用。（在投标文件中提供加盖投标人公章的承诺函，承诺函格式自拟）</w:t>
      </w:r>
    </w:p>
    <w:p w14:paraId="425488F3">
      <w:pPr>
        <w:pStyle w:val="3"/>
        <w:widowControl/>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szCs w:val="24"/>
        </w:rPr>
        <w:t>四、违约责任</w:t>
      </w:r>
    </w:p>
    <w:p w14:paraId="0A91165D">
      <w:pPr>
        <w:widowControl/>
        <w:spacing w:line="360" w:lineRule="auto"/>
        <w:ind w:firstLine="480" w:firstLineChars="200"/>
        <w:jc w:val="both"/>
        <w:rPr>
          <w:rFonts w:hint="eastAsia" w:ascii="仿宋" w:hAnsi="仿宋" w:eastAsia="仿宋" w:cs="仿宋"/>
          <w:color w:val="auto"/>
          <w:sz w:val="24"/>
        </w:rPr>
      </w:pPr>
      <w:r>
        <w:rPr>
          <w:rFonts w:hint="eastAsia" w:ascii="仿宋" w:hAnsi="仿宋" w:eastAsia="仿宋" w:cs="仿宋"/>
          <w:color w:val="auto"/>
          <w:sz w:val="24"/>
        </w:rPr>
        <w:t>出现供应不及时、质量不达标、以次充好、断供、造假等情形，采购人有权扣除履约保证金、暂停结算、终止合同，并追究相应法律责任。</w:t>
      </w:r>
    </w:p>
    <w:p w14:paraId="272BF363">
      <w:pPr>
        <w:widowControl/>
        <w:spacing w:line="360" w:lineRule="auto"/>
        <w:jc w:val="center"/>
        <w:rPr>
          <w:rFonts w:hint="eastAsia" w:ascii="仿宋" w:hAnsi="仿宋" w:eastAsia="仿宋" w:cs="仿宋"/>
          <w:color w:val="auto"/>
          <w:sz w:val="24"/>
        </w:rPr>
      </w:pPr>
    </w:p>
    <w:p w14:paraId="343AB12B">
      <w:pPr>
        <w:pStyle w:val="2"/>
        <w:widowControl/>
        <w:spacing w:beforeAutospacing="0" w:afterAutospacing="0" w:line="360" w:lineRule="auto"/>
        <w:jc w:val="center"/>
        <w:rPr>
          <w:rFonts w:ascii="仿宋" w:hAnsi="仿宋" w:eastAsia="仿宋" w:cs="仿宋"/>
          <w:color w:val="auto"/>
          <w:sz w:val="24"/>
          <w:szCs w:val="24"/>
        </w:rPr>
      </w:pPr>
      <w:r>
        <w:rPr>
          <w:rFonts w:ascii="仿宋" w:hAnsi="仿宋" w:eastAsia="仿宋" w:cs="仿宋"/>
          <w:color w:val="auto"/>
          <w:sz w:val="24"/>
          <w:szCs w:val="24"/>
        </w:rPr>
        <w:t>第八章 智能化餐饮系统服务要求</w:t>
      </w:r>
    </w:p>
    <w:p w14:paraId="3FD29D63">
      <w:pPr>
        <w:pStyle w:val="3"/>
        <w:widowControl/>
        <w:numPr>
          <w:ilvl w:val="0"/>
          <w:numId w:val="9"/>
        </w:numPr>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szCs w:val="24"/>
        </w:rPr>
        <w:t>系统核心功能要求</w:t>
      </w:r>
    </w:p>
    <w:p w14:paraId="4A6D7EF1">
      <w:pPr>
        <w:widowControl/>
        <w:numPr>
          <w:ilvl w:val="0"/>
          <w:numId w:val="1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投标人须免费为采购人提供智能化餐饮管理系统，并承担系统建设、对接、维护及升级的全部费用。该系统的管理后台须向采购人开放，且须在合同签订后即投入使用并确保安全、稳定运行；同时，投标人须提供与餐饮系统匹配的院内消费系统所需软硬件设备，并于中标通知书发出后，在采购人指定时限内完成所有软硬件设备的配置、安装、调试工作。智能化餐饮系统功能需求详见附件3。</w:t>
      </w:r>
    </w:p>
    <w:p w14:paraId="0D370C60">
      <w:pPr>
        <w:widowControl/>
        <w:numPr>
          <w:ilvl w:val="0"/>
          <w:numId w:val="1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智慧餐饮系统须具备以下核心功能：</w:t>
      </w:r>
    </w:p>
    <w:p w14:paraId="67B50AC8">
      <w:pPr>
        <w:widowControl/>
        <w:numPr>
          <w:ilvl w:val="-1"/>
          <w:numId w:val="0"/>
        </w:numPr>
        <w:spacing w:line="360" w:lineRule="auto"/>
        <w:ind w:leftChars="0" w:firstLine="480" w:firstLineChars="200"/>
        <w:jc w:val="left"/>
        <w:rPr>
          <w:rFonts w:hint="eastAsia" w:ascii="仿宋" w:hAnsi="仿宋" w:eastAsia="仿宋" w:cs="仿宋"/>
          <w:color w:val="auto"/>
          <w:sz w:val="24"/>
        </w:rPr>
      </w:pPr>
      <w:r>
        <w:rPr>
          <w:rFonts w:hint="eastAsia" w:ascii="仿宋" w:hAnsi="仿宋" w:eastAsia="仿宋" w:cs="仿宋"/>
          <w:color w:val="auto"/>
          <w:sz w:val="24"/>
          <w:lang w:val="en-US" w:eastAsia="zh-CN"/>
        </w:rPr>
        <w:t>1.</w:t>
      </w:r>
      <w:r>
        <w:rPr>
          <w:rFonts w:hint="eastAsia" w:ascii="仿宋" w:hAnsi="仿宋" w:eastAsia="仿宋" w:cs="仿宋"/>
          <w:color w:val="auto"/>
          <w:sz w:val="24"/>
        </w:rPr>
        <w:t>订餐管理功能：支持职工、病人等线上订餐，订餐截止时间、配送时间可灵活配置，订单全流程可追溯</w:t>
      </w:r>
      <w:r>
        <w:rPr>
          <w:rFonts w:hint="eastAsia" w:ascii="仿宋" w:hAnsi="仿宋" w:eastAsia="仿宋" w:cs="仿宋"/>
          <w:color w:val="auto"/>
          <w:sz w:val="24"/>
          <w:lang w:eastAsia="zh-CN"/>
        </w:rPr>
        <w:t>。</w:t>
      </w:r>
    </w:p>
    <w:p w14:paraId="673835C4">
      <w:pPr>
        <w:widowControl/>
        <w:numPr>
          <w:ilvl w:val="-1"/>
          <w:numId w:val="0"/>
        </w:numPr>
        <w:spacing w:line="360" w:lineRule="auto"/>
        <w:ind w:leftChars="0" w:firstLine="480" w:firstLineChars="200"/>
        <w:jc w:val="left"/>
        <w:rPr>
          <w:rFonts w:hint="eastAsia" w:ascii="仿宋" w:hAnsi="仿宋" w:eastAsia="仿宋" w:cs="仿宋"/>
          <w:color w:val="auto"/>
          <w:sz w:val="24"/>
        </w:rPr>
      </w:pPr>
      <w:r>
        <w:rPr>
          <w:rFonts w:hint="eastAsia" w:ascii="仿宋" w:hAnsi="仿宋" w:eastAsia="仿宋" w:cs="仿宋"/>
          <w:color w:val="auto"/>
          <w:sz w:val="24"/>
          <w:lang w:val="en-US" w:eastAsia="zh-CN"/>
        </w:rPr>
        <w:t>2.</w:t>
      </w:r>
      <w:r>
        <w:rPr>
          <w:rFonts w:hint="eastAsia" w:ascii="仿宋" w:hAnsi="仿宋" w:eastAsia="仿宋" w:cs="仿宋"/>
          <w:color w:val="auto"/>
          <w:sz w:val="24"/>
        </w:rPr>
        <w:t>充值消费功能：支持餐卡刷卡、扫码支付等多种支付方式，支持智能补贴配置（区分餐补与通用余额），交易明细可查。</w:t>
      </w:r>
    </w:p>
    <w:p w14:paraId="26D6B19E">
      <w:pPr>
        <w:widowControl/>
        <w:numPr>
          <w:ilvl w:val="-1"/>
          <w:numId w:val="0"/>
        </w:numPr>
        <w:spacing w:line="360" w:lineRule="auto"/>
        <w:ind w:leftChars="0" w:firstLine="480" w:firstLineChars="200"/>
        <w:jc w:val="left"/>
        <w:rPr>
          <w:rFonts w:hint="eastAsia" w:ascii="仿宋" w:hAnsi="仿宋" w:eastAsia="仿宋" w:cs="仿宋"/>
          <w:color w:val="auto"/>
          <w:sz w:val="24"/>
        </w:rPr>
      </w:pPr>
      <w:r>
        <w:rPr>
          <w:rFonts w:hint="eastAsia" w:ascii="仿宋" w:hAnsi="仿宋" w:eastAsia="仿宋" w:cs="仿宋"/>
          <w:color w:val="auto"/>
          <w:sz w:val="24"/>
          <w:lang w:val="en-US" w:eastAsia="zh-CN"/>
        </w:rPr>
        <w:t>3.一卡通用</w:t>
      </w:r>
      <w:r>
        <w:rPr>
          <w:rFonts w:hint="eastAsia" w:ascii="仿宋" w:hAnsi="仿宋" w:eastAsia="仿宋" w:cs="仿宋"/>
          <w:color w:val="auto"/>
          <w:sz w:val="24"/>
        </w:rPr>
        <w:t>功能：支持院内及周边合作商户入驻，商户独立结算后台，T+1自动分账，集成院内消费、门禁管控等多项应用场景，实现一卡通行通用，构建「智慧食堂+便利生活」一体化消费生态</w:t>
      </w:r>
      <w:r>
        <w:rPr>
          <w:rFonts w:hint="eastAsia" w:ascii="仿宋" w:hAnsi="仿宋" w:eastAsia="仿宋" w:cs="仿宋"/>
          <w:color w:val="auto"/>
          <w:sz w:val="24"/>
          <w:lang w:eastAsia="zh-CN"/>
        </w:rPr>
        <w:t>。</w:t>
      </w:r>
    </w:p>
    <w:p w14:paraId="2E592E89">
      <w:pPr>
        <w:widowControl/>
        <w:numPr>
          <w:ilvl w:val="-1"/>
          <w:numId w:val="0"/>
        </w:numPr>
        <w:spacing w:line="360" w:lineRule="auto"/>
        <w:ind w:leftChars="0" w:firstLine="480" w:firstLineChars="200"/>
        <w:jc w:val="left"/>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就餐统计功能：自动统计每日、每月就餐人数、订餐量、消费金额等核心数据，</w:t>
      </w:r>
      <w:r>
        <w:rPr>
          <w:rFonts w:hint="eastAsia" w:ascii="仿宋" w:hAnsi="仿宋" w:eastAsia="仿宋" w:cs="仿宋"/>
          <w:color w:val="auto"/>
          <w:sz w:val="24"/>
          <w:lang w:bidi="ar"/>
        </w:rPr>
        <w:t>支持多维度（如时段、餐品类型、消费人群等）数据统计分析，</w:t>
      </w:r>
      <w:r>
        <w:rPr>
          <w:rFonts w:hint="eastAsia" w:ascii="仿宋" w:hAnsi="仿宋" w:eastAsia="仿宋" w:cs="仿宋"/>
          <w:color w:val="auto"/>
          <w:sz w:val="24"/>
        </w:rPr>
        <w:t>并生成可视化可导出报表。</w:t>
      </w:r>
    </w:p>
    <w:p w14:paraId="18212446">
      <w:pPr>
        <w:widowControl/>
        <w:numPr>
          <w:ilvl w:val="-1"/>
          <w:numId w:val="0"/>
        </w:numPr>
        <w:spacing w:line="360" w:lineRule="auto"/>
        <w:ind w:left="0"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lang w:val="en-US" w:eastAsia="zh-CN"/>
        </w:rPr>
        <w:t>5.</w:t>
      </w:r>
      <w:r>
        <w:rPr>
          <w:rFonts w:hint="eastAsia" w:ascii="仿宋" w:hAnsi="仿宋" w:eastAsia="仿宋" w:cs="仿宋"/>
          <w:color w:val="auto"/>
          <w:sz w:val="24"/>
        </w:rPr>
        <w:t>线上商城功能：整合食堂特色餐品、半成品食材、生活用品等商品，支持线上下单、线下自提或配送到指定地点；支持商品分类、搜索、收藏，可设置优惠活动，关联餐卡余额支付，实现订餐与购物一体化，提升消费便捷度。</w:t>
      </w:r>
      <w:r>
        <w:rPr>
          <w:rFonts w:hint="eastAsia" w:ascii="仿宋" w:hAnsi="仿宋" w:eastAsia="仿宋" w:cs="仿宋"/>
          <w:color w:val="auto"/>
          <w:sz w:val="24"/>
          <w:highlight w:val="none"/>
          <w:lang w:val="en-US" w:eastAsia="zh-CN"/>
        </w:rPr>
        <w:t>线上商城</w:t>
      </w:r>
      <w:r>
        <w:rPr>
          <w:rFonts w:hint="eastAsia" w:ascii="仿宋" w:hAnsi="仿宋" w:eastAsia="仿宋" w:cs="仿宋"/>
          <w:color w:val="auto"/>
          <w:sz w:val="24"/>
          <w:lang w:val="en-US" w:eastAsia="zh-CN"/>
        </w:rPr>
        <w:t>商品价格</w:t>
      </w:r>
      <w:r>
        <w:rPr>
          <w:rFonts w:hint="eastAsia" w:ascii="仿宋" w:hAnsi="仿宋" w:eastAsia="仿宋" w:cs="仿宋"/>
          <w:color w:val="auto"/>
          <w:sz w:val="24"/>
          <w:highlight w:val="none"/>
          <w:lang w:val="en-US" w:eastAsia="zh-CN"/>
        </w:rPr>
        <w:t>浮动超过10%</w:t>
      </w:r>
      <w:r>
        <w:rPr>
          <w:rFonts w:hint="eastAsia" w:ascii="仿宋" w:hAnsi="仿宋" w:eastAsia="仿宋" w:cs="仿宋"/>
          <w:color w:val="auto"/>
          <w:sz w:val="24"/>
          <w:lang w:val="en-US" w:eastAsia="zh-CN"/>
        </w:rPr>
        <w:t>，</w:t>
      </w:r>
      <w:r>
        <w:rPr>
          <w:rFonts w:hint="eastAsia" w:ascii="仿宋" w:hAnsi="仿宋" w:eastAsia="仿宋" w:cs="仿宋"/>
          <w:color w:val="auto"/>
          <w:sz w:val="24"/>
          <w:highlight w:val="none"/>
        </w:rPr>
        <w:t>需提前7个工作日提交成本测算</w:t>
      </w:r>
      <w:r>
        <w:rPr>
          <w:rFonts w:hint="eastAsia" w:ascii="仿宋" w:hAnsi="仿宋" w:eastAsia="仿宋" w:cs="仿宋"/>
          <w:color w:val="auto"/>
          <w:sz w:val="24"/>
          <w:highlight w:val="none"/>
          <w:lang w:val="en-US" w:eastAsia="zh-CN"/>
        </w:rPr>
        <w:t>或</w:t>
      </w:r>
      <w:r>
        <w:rPr>
          <w:rFonts w:hint="eastAsia" w:ascii="仿宋" w:hAnsi="仿宋" w:eastAsia="仿宋" w:cs="仿宋"/>
          <w:color w:val="auto"/>
          <w:sz w:val="24"/>
          <w:highlight w:val="none"/>
        </w:rPr>
        <w:t>周边价格证明</w:t>
      </w:r>
      <w:r>
        <w:rPr>
          <w:rFonts w:hint="eastAsia" w:ascii="仿宋" w:hAnsi="仿宋" w:eastAsia="仿宋" w:cs="仿宋"/>
          <w:color w:val="auto"/>
          <w:sz w:val="24"/>
          <w:highlight w:val="none"/>
          <w:lang w:val="en-US" w:eastAsia="zh-CN"/>
        </w:rPr>
        <w:t>等资料</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经</w:t>
      </w:r>
      <w:r>
        <w:rPr>
          <w:rFonts w:hint="eastAsia" w:ascii="仿宋" w:hAnsi="仿宋" w:eastAsia="仿宋" w:cs="仿宋"/>
          <w:color w:val="auto"/>
          <w:sz w:val="24"/>
          <w:highlight w:val="none"/>
        </w:rPr>
        <w:t>甲方审核通过后方可执行</w:t>
      </w:r>
      <w:r>
        <w:rPr>
          <w:rFonts w:hint="eastAsia" w:ascii="仿宋" w:hAnsi="仿宋" w:eastAsia="仿宋" w:cs="仿宋"/>
          <w:color w:val="auto"/>
          <w:sz w:val="24"/>
          <w:highlight w:val="none"/>
          <w:lang w:eastAsia="zh-CN"/>
        </w:rPr>
        <w:t>。</w:t>
      </w:r>
    </w:p>
    <w:p w14:paraId="67AAA050">
      <w:pPr>
        <w:widowControl/>
        <w:numPr>
          <w:ilvl w:val="-1"/>
          <w:numId w:val="0"/>
        </w:numPr>
        <w:spacing w:line="360" w:lineRule="auto"/>
        <w:ind w:leftChars="0" w:firstLine="480" w:firstLineChars="200"/>
        <w:jc w:val="left"/>
        <w:rPr>
          <w:rFonts w:hint="eastAsia" w:ascii="仿宋" w:hAnsi="仿宋" w:eastAsia="仿宋" w:cs="仿宋"/>
          <w:color w:val="auto"/>
          <w:sz w:val="24"/>
        </w:rPr>
      </w:pPr>
      <w:r>
        <w:rPr>
          <w:rFonts w:hint="eastAsia" w:ascii="仿宋" w:hAnsi="仿宋" w:eastAsia="仿宋" w:cs="仿宋"/>
          <w:color w:val="auto"/>
          <w:sz w:val="24"/>
          <w:lang w:val="en-US" w:eastAsia="zh-CN"/>
        </w:rPr>
        <w:t>6.</w:t>
      </w:r>
      <w:r>
        <w:rPr>
          <w:rFonts w:hint="eastAsia" w:ascii="仿宋" w:hAnsi="仿宋" w:eastAsia="仿宋" w:cs="仿宋"/>
          <w:color w:val="auto"/>
          <w:sz w:val="24"/>
        </w:rPr>
        <w:t>营养查询功能：展示餐品的营养成分（热量、蛋白质、碳水化合物、脂肪、维生素等），为餐品适用人群提供个性化营养建议，贴合健康饮食需求。</w:t>
      </w:r>
    </w:p>
    <w:p w14:paraId="4B8300C7">
      <w:pPr>
        <w:widowControl/>
        <w:numPr>
          <w:ilvl w:val="0"/>
          <w:numId w:val="10"/>
        </w:numPr>
        <w:spacing w:line="360" w:lineRule="auto"/>
        <w:ind w:firstLine="480" w:firstLineChars="200"/>
        <w:jc w:val="both"/>
        <w:rPr>
          <w:rFonts w:hint="eastAsia" w:ascii="仿宋" w:hAnsi="仿宋" w:eastAsia="仿宋" w:cs="仿宋"/>
          <w:color w:val="auto"/>
          <w:sz w:val="24"/>
        </w:rPr>
      </w:pPr>
      <w:r>
        <w:rPr>
          <w:rFonts w:hint="eastAsia" w:ascii="仿宋" w:hAnsi="仿宋" w:eastAsia="仿宋" w:cs="仿宋"/>
          <w:color w:val="auto"/>
          <w:sz w:val="24"/>
        </w:rPr>
        <w:t>若使用采购人现有订餐系统，投标人须负责系统的维保、升级等工作，承担服务期内全部系统维护费用。</w:t>
      </w:r>
    </w:p>
    <w:p w14:paraId="0684C250">
      <w:pPr>
        <w:widowControl/>
        <w:numPr>
          <w:ilvl w:val="0"/>
          <w:numId w:val="10"/>
        </w:numPr>
        <w:spacing w:line="360" w:lineRule="auto"/>
        <w:ind w:firstLine="480" w:firstLineChars="200"/>
        <w:jc w:val="both"/>
        <w:rPr>
          <w:rFonts w:hint="eastAsia" w:ascii="仿宋" w:hAnsi="仿宋" w:eastAsia="仿宋" w:cs="仿宋"/>
          <w:color w:val="auto"/>
          <w:sz w:val="24"/>
        </w:rPr>
      </w:pPr>
      <w:r>
        <w:rPr>
          <w:rFonts w:hint="eastAsia" w:ascii="仿宋" w:hAnsi="仿宋" w:eastAsia="仿宋" w:cs="仿宋"/>
          <w:color w:val="auto"/>
          <w:sz w:val="24"/>
        </w:rPr>
        <w:t>★投标人须将订餐系统每日收款与医院对公账户进行免手续费的转账对接，转账产生的所有手续费由投标人全额承担。（在投标文件中提供加盖投标人公章的承诺函，承诺函格式自拟）</w:t>
      </w:r>
    </w:p>
    <w:p w14:paraId="3000EE7A">
      <w:pPr>
        <w:widowControl/>
        <w:numPr>
          <w:ilvl w:val="0"/>
          <w:numId w:val="1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系统须满足本文件附件《智能化餐饮系统功能需求》的全部要求。</w:t>
      </w:r>
    </w:p>
    <w:p w14:paraId="29D5503E">
      <w:pPr>
        <w:pStyle w:val="3"/>
        <w:widowControl/>
        <w:numPr>
          <w:ilvl w:val="0"/>
          <w:numId w:val="9"/>
        </w:numPr>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szCs w:val="24"/>
        </w:rPr>
        <w:t>系统资质与安全要求</w:t>
      </w:r>
    </w:p>
    <w:p w14:paraId="22CA28F8">
      <w:pPr>
        <w:widowControl/>
        <w:numPr>
          <w:ilvl w:val="0"/>
          <w:numId w:val="11"/>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▲投标人提供的订餐系统，须具备以下资质：软件著作权登记证书、ISO9001质量管理体系认证、ISO27001信息安全管理体系认证、ICP备案证明，相关资料复印件加盖公章提交采购人备案。</w:t>
      </w:r>
    </w:p>
    <w:p w14:paraId="0B9F9D3C">
      <w:pPr>
        <w:widowControl/>
        <w:numPr>
          <w:ilvl w:val="0"/>
          <w:numId w:val="11"/>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▲投标人须向采购人提交以下承诺书（加盖公章）：</w:t>
      </w:r>
    </w:p>
    <w:p w14:paraId="1B9B6FCC">
      <w:pPr>
        <w:widowControl/>
        <w:numPr>
          <w:ilvl w:val="0"/>
          <w:numId w:val="12"/>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数据安全与保密承诺：投标人与采购人签订保密协议，承诺严格保护医院病人信息、医护人员信息、订餐数据、医院知识产权信息等敏感数据，不泄露、不篡改、不滥用；明确数据存储、传输的加密标准，以及数据泄露后的赔偿责任；</w:t>
      </w:r>
    </w:p>
    <w:p w14:paraId="31D6D641">
      <w:pPr>
        <w:widowControl/>
        <w:numPr>
          <w:ilvl w:val="0"/>
          <w:numId w:val="12"/>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系统稳定性与运维承诺书：承诺系统全年平均无故障运行时间≥99.9%，紧急故障≤0.5小时响应、≤2小时解决，提供7×24小时运维服务，完善系统备份方案，避免数据丢失；</w:t>
      </w:r>
    </w:p>
    <w:p w14:paraId="1E31A85E">
      <w:pPr>
        <w:widowControl/>
        <w:numPr>
          <w:ilvl w:val="0"/>
          <w:numId w:val="12"/>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系统兼容性与对接承诺书：承诺订餐系统可与医院HIS系统、一卡通系统、财务系统无缝对接，承担对接过程中的全部技术适配工作，免费提供系统接口文档及技术支持；</w:t>
      </w:r>
    </w:p>
    <w:p w14:paraId="33986DA8">
      <w:pPr>
        <w:widowControl/>
        <w:numPr>
          <w:ilvl w:val="0"/>
          <w:numId w:val="12"/>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售后服务承诺书：承诺合同期内免费提供系统升级、维护、培训服务，确保医院工作人员熟练操作系统，全部费用自行承担；</w:t>
      </w:r>
    </w:p>
    <w:p w14:paraId="1F5571FC">
      <w:pPr>
        <w:widowControl/>
        <w:numPr>
          <w:ilvl w:val="0"/>
          <w:numId w:val="12"/>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合规经营承诺书：承诺系统及服务符合《网络安全法》《数据安全法》《个人信息保护法》等法律法规，无商业贿赂等不正当竞争行为。</w:t>
      </w:r>
    </w:p>
    <w:p w14:paraId="188F6E23">
      <w:pPr>
        <w:widowControl/>
        <w:numPr>
          <w:ilvl w:val="0"/>
          <w:numId w:val="11"/>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投标人须保证所提供的系统拥有合法的软件著作权或完整授权，不存在知识产权侵权风险，若产生侵权纠纷，全部责任由投标人承担，赔偿采购人因此遭受的全部损失。</w:t>
      </w:r>
    </w:p>
    <w:p w14:paraId="4390B4F7">
      <w:pPr>
        <w:pStyle w:val="3"/>
        <w:widowControl/>
        <w:numPr>
          <w:ilvl w:val="0"/>
          <w:numId w:val="9"/>
        </w:numPr>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szCs w:val="24"/>
        </w:rPr>
        <w:t>运维与责任划分</w:t>
      </w:r>
    </w:p>
    <w:p w14:paraId="02E8BDB7">
      <w:pPr>
        <w:widowControl/>
        <w:numPr>
          <w:ilvl w:val="0"/>
          <w:numId w:val="13"/>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合同期内，投标人须负责系统的日常运维、故障处理、版本升级，确保系统稳定运行；因系统故障导致的交易损失、结算差错，全部责任由投标人承担。</w:t>
      </w:r>
    </w:p>
    <w:p w14:paraId="2555C8A3">
      <w:pPr>
        <w:widowControl/>
        <w:numPr>
          <w:ilvl w:val="0"/>
          <w:numId w:val="13"/>
        </w:numPr>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若发生数据泄露事件，投标人须立即启动应急预案，第一时间通知采购人；因投标人原因导致数据泄露的，投标人承担全部责任，</w:t>
      </w:r>
      <w:r>
        <w:rPr>
          <w:rFonts w:hint="eastAsia" w:ascii="仿宋" w:hAnsi="仿宋" w:eastAsia="仿宋" w:cs="仿宋"/>
          <w:b/>
          <w:bCs/>
          <w:color w:val="auto"/>
          <w:sz w:val="24"/>
          <w:highlight w:val="none"/>
        </w:rPr>
        <w:t>单次须向采购人支付的违约金75万元，</w:t>
      </w:r>
      <w:r>
        <w:rPr>
          <w:rFonts w:hint="eastAsia" w:ascii="仿宋" w:hAnsi="仿宋" w:eastAsia="仿宋" w:cs="仿宋"/>
          <w:color w:val="auto"/>
          <w:sz w:val="24"/>
          <w:highlight w:val="none"/>
        </w:rPr>
        <w:t>违约金不足以弥补采购人损失的，投标人须补足差额；造成严重影响的，采购人有权单方终止合同。</w:t>
      </w:r>
    </w:p>
    <w:p w14:paraId="2F124C56">
      <w:pPr>
        <w:widowControl/>
        <w:numPr>
          <w:ilvl w:val="0"/>
          <w:numId w:val="13"/>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合同终止或解除时，投标人须在10个工作日内，将系统内全部用户数据、交易数据、财务数据完整、无损地移交采购人，不得泄露、篡改、删除任何数据；合同终止后，采购人拥有本项目部署的智慧餐饮系统的永久免费使用权，投标人须提供合同终止后不少于3个月的免费运维过渡期，过渡期内免费提供系统故障处理、基础运维服务；过渡期后系统升级、深度运维服务，由双方另行协商确定。</w:t>
      </w:r>
    </w:p>
    <w:p w14:paraId="4DAD5836">
      <w:pPr>
        <w:widowControl/>
        <w:numPr>
          <w:ilvl w:val="0"/>
          <w:numId w:val="13"/>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lang w:val="en-US" w:eastAsia="zh-CN"/>
        </w:rPr>
        <w:t>院内及</w:t>
      </w:r>
      <w:r>
        <w:rPr>
          <w:rFonts w:hint="eastAsia" w:ascii="仿宋" w:hAnsi="仿宋" w:eastAsia="仿宋" w:cs="仿宋"/>
          <w:color w:val="auto"/>
          <w:sz w:val="24"/>
        </w:rPr>
        <w:t>周边合作商户的准入、管理、结算、纠纷处理全部由投标人负责，投标人须严格审核商户的营业执照、食品经营许可证等法定资质，与商户签订合规经营协议，明确食品安全、消费者权益保护等核心责任；采购人不承担任何相关责任，因商户经营引发的全部损失，由投标人全额赔偿。</w:t>
      </w:r>
    </w:p>
    <w:p w14:paraId="4DF0BECB">
      <w:pPr>
        <w:widowControl/>
        <w:spacing w:line="360" w:lineRule="auto"/>
        <w:jc w:val="left"/>
        <w:rPr>
          <w:rFonts w:hint="eastAsia" w:ascii="仿宋" w:hAnsi="仿宋" w:eastAsia="仿宋" w:cs="仿宋"/>
          <w:color w:val="auto"/>
          <w:sz w:val="24"/>
        </w:rPr>
      </w:pPr>
    </w:p>
    <w:p w14:paraId="499CF334">
      <w:pPr>
        <w:pStyle w:val="2"/>
        <w:widowControl/>
        <w:spacing w:beforeAutospacing="0" w:afterAutospacing="0" w:line="360" w:lineRule="auto"/>
        <w:jc w:val="center"/>
        <w:rPr>
          <w:rFonts w:ascii="仿宋" w:hAnsi="仿宋" w:eastAsia="仿宋" w:cs="仿宋"/>
          <w:color w:val="auto"/>
          <w:sz w:val="24"/>
          <w:szCs w:val="24"/>
        </w:rPr>
      </w:pPr>
      <w:r>
        <w:rPr>
          <w:rFonts w:ascii="仿宋" w:hAnsi="仿宋" w:eastAsia="仿宋" w:cs="仿宋"/>
          <w:color w:val="auto"/>
          <w:sz w:val="24"/>
          <w:szCs w:val="24"/>
        </w:rPr>
        <w:t>第九章 履约监管与服务质量考评</w:t>
      </w:r>
    </w:p>
    <w:p w14:paraId="2B2D6B25">
      <w:pPr>
        <w:widowControl/>
        <w:spacing w:line="360" w:lineRule="auto"/>
        <w:ind w:firstLine="482" w:firstLineChars="200"/>
        <w:jc w:val="left"/>
        <w:outlineLvl w:val="1"/>
        <w:rPr>
          <w:rFonts w:hint="eastAsia" w:ascii="仿宋" w:hAnsi="仿宋" w:eastAsia="仿宋" w:cs="仿宋"/>
          <w:b/>
          <w:bCs/>
          <w:color w:val="auto"/>
          <w:kern w:val="0"/>
          <w:sz w:val="24"/>
          <w:lang w:bidi="ar"/>
        </w:rPr>
      </w:pPr>
      <w:r>
        <w:rPr>
          <w:rFonts w:hint="eastAsia" w:ascii="仿宋" w:hAnsi="仿宋" w:eastAsia="仿宋" w:cs="仿宋"/>
          <w:b/>
          <w:bCs/>
          <w:color w:val="auto"/>
          <w:kern w:val="0"/>
          <w:sz w:val="24"/>
          <w:lang w:bidi="ar"/>
        </w:rPr>
        <w:t>一、履约保证金管理</w:t>
      </w:r>
    </w:p>
    <w:p w14:paraId="1436D410">
      <w:pPr>
        <w:widowControl/>
        <w:spacing w:line="360" w:lineRule="auto"/>
        <w:ind w:firstLine="480" w:firstLineChars="200"/>
        <w:jc w:val="both"/>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（一）★投标人须在收到中标通知书后10个工作日内，向采购人提交履约保证金，履约保证金为三年最高采购预算金额4500万元的1%。（在投标文件中提供加盖投标人公章的承诺函，承诺函格式自拟）</w:t>
      </w:r>
    </w:p>
    <w:p w14:paraId="0BFB9DF6">
      <w:pPr>
        <w:widowControl/>
        <w:spacing w:line="360" w:lineRule="auto"/>
        <w:ind w:firstLine="480" w:firstLineChars="200"/>
        <w:jc w:val="both"/>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（二）履约保证金可以担保机构出具的保函、支票、电汇等采购人认可的非现金形式提交，其中担保机构出具的保函有效期须完整覆盖36个月的合同总服务期及服务期满后90天的质保期。</w:t>
      </w:r>
    </w:p>
    <w:p w14:paraId="74604963">
      <w:pPr>
        <w:widowControl/>
        <w:spacing w:line="360" w:lineRule="auto"/>
        <w:ind w:firstLine="480" w:firstLineChars="200"/>
        <w:jc w:val="both"/>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（三）履约保证金保证范围：投标人履行本合同约定的全部义务，包括但不限于食堂</w:t>
      </w:r>
      <w:r>
        <w:rPr>
          <w:rFonts w:hint="eastAsia" w:ascii="仿宋" w:hAnsi="仿宋" w:eastAsia="仿宋" w:cs="仿宋"/>
          <w:color w:val="auto"/>
          <w:kern w:val="0"/>
          <w:sz w:val="24"/>
          <w:lang w:eastAsia="zh-CN" w:bidi="ar"/>
        </w:rPr>
        <w:t>优化</w:t>
      </w:r>
      <w:r>
        <w:rPr>
          <w:rFonts w:hint="eastAsia" w:ascii="仿宋" w:hAnsi="仿宋" w:eastAsia="仿宋" w:cs="仿宋"/>
          <w:color w:val="auto"/>
          <w:kern w:val="0"/>
          <w:sz w:val="24"/>
          <w:lang w:bidi="ar"/>
        </w:rPr>
        <w:t>投入达标、食品安全履约、服务质量达标、人员配置合规、设备管护、违约责任承担、损失赔偿等。</w:t>
      </w:r>
    </w:p>
    <w:p w14:paraId="388F7E2B">
      <w:pPr>
        <w:widowControl/>
        <w:spacing w:line="360" w:lineRule="auto"/>
        <w:ind w:firstLine="480" w:firstLineChars="20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（四）履约保证金退还规则</w:t>
      </w:r>
    </w:p>
    <w:p w14:paraId="605F2ABD">
      <w:pPr>
        <w:widowControl/>
        <w:spacing w:line="360" w:lineRule="auto"/>
        <w:ind w:firstLine="480" w:firstLineChars="200"/>
        <w:jc w:val="both"/>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1.合同服务期满，投标人完成全部合同义务、无未结清违约扣罚、无未处理完毕的食品安全/用工/法律纠纷，且完成场地、设备、资料等全部交接后，采购人在30个工作日内，将履约保证金全额无息退还；</w:t>
      </w:r>
    </w:p>
    <w:p w14:paraId="4197889B">
      <w:pPr>
        <w:widowControl/>
        <w:spacing w:line="360" w:lineRule="auto"/>
        <w:ind w:firstLine="480" w:firstLineChars="200"/>
        <w:jc w:val="both"/>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2.合同履行期间，因投标人违约产生的扣罚、赔偿款，采购人有权直接从履约保证金中扣除，</w:t>
      </w:r>
      <w:r>
        <w:rPr>
          <w:rFonts w:hint="eastAsia" w:ascii="仿宋" w:hAnsi="仿宋" w:eastAsia="仿宋" w:cs="仿宋"/>
          <w:b/>
          <w:bCs/>
          <w:color w:val="auto"/>
          <w:kern w:val="0"/>
          <w:sz w:val="24"/>
          <w:lang w:bidi="ar"/>
        </w:rPr>
        <w:t>扣除后履约保证金不足采购预算金额4500万元的1%的，投标人须在7个工作日内补足，否则采购人有权暂停支付结算款项。</w:t>
      </w:r>
    </w:p>
    <w:p w14:paraId="21C98A04">
      <w:pPr>
        <w:widowControl/>
        <w:spacing w:line="360" w:lineRule="auto"/>
        <w:ind w:firstLine="482" w:firstLineChars="200"/>
        <w:jc w:val="left"/>
        <w:outlineLvl w:val="1"/>
        <w:rPr>
          <w:rFonts w:hint="eastAsia" w:ascii="仿宋" w:hAnsi="仿宋" w:eastAsia="仿宋" w:cs="仿宋"/>
          <w:b/>
          <w:bCs/>
          <w:color w:val="auto"/>
          <w:kern w:val="0"/>
          <w:sz w:val="24"/>
          <w:lang w:bidi="ar"/>
        </w:rPr>
      </w:pPr>
      <w:r>
        <w:rPr>
          <w:rFonts w:hint="eastAsia" w:ascii="仿宋" w:hAnsi="仿宋" w:eastAsia="仿宋" w:cs="仿宋"/>
          <w:b/>
          <w:bCs/>
          <w:color w:val="auto"/>
          <w:kern w:val="0"/>
          <w:sz w:val="24"/>
          <w:lang w:bidi="ar"/>
        </w:rPr>
        <w:t>二、月度服务质量综合考评</w:t>
      </w:r>
    </w:p>
    <w:p w14:paraId="1AC0BFBD">
      <w:pPr>
        <w:widowControl/>
        <w:numPr>
          <w:ilvl w:val="0"/>
          <w:numId w:val="14"/>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考评频次：</w:t>
      </w:r>
      <w:r>
        <w:rPr>
          <w:rFonts w:hint="eastAsia" w:ascii="仿宋" w:hAnsi="仿宋" w:eastAsia="仿宋" w:cs="仿宋"/>
          <w:b w:val="0"/>
          <w:bCs w:val="0"/>
          <w:color w:val="auto"/>
          <w:sz w:val="24"/>
        </w:rPr>
        <w:t>每月开展1次，由采购人组织，</w:t>
      </w:r>
      <w:r>
        <w:rPr>
          <w:rFonts w:hint="eastAsia" w:ascii="仿宋" w:hAnsi="仿宋" w:eastAsia="仿宋" w:cs="仿宋"/>
          <w:color w:val="auto"/>
          <w:sz w:val="24"/>
        </w:rPr>
        <w:t>中标人参与，按照本文件附件《</w:t>
      </w:r>
      <w:r>
        <w:rPr>
          <w:rFonts w:ascii="仿宋" w:hAnsi="仿宋" w:eastAsia="仿宋" w:cs="仿宋"/>
          <w:color w:val="auto"/>
          <w:sz w:val="24"/>
        </w:rPr>
        <w:t>食堂餐饮服务</w:t>
      </w:r>
      <w:r>
        <w:rPr>
          <w:rFonts w:hint="eastAsia" w:ascii="仿宋" w:hAnsi="仿宋" w:eastAsia="仿宋" w:cs="仿宋"/>
          <w:color w:val="auto"/>
          <w:sz w:val="24"/>
        </w:rPr>
        <w:t>月度质量综合考评表》执行。</w:t>
      </w:r>
    </w:p>
    <w:p w14:paraId="25850041">
      <w:pPr>
        <w:widowControl/>
        <w:numPr>
          <w:ilvl w:val="0"/>
          <w:numId w:val="14"/>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考评内容：安全管理（25分）、质量管理（25分）、日常运营评价（20分）、</w:t>
      </w:r>
      <w:r>
        <w:rPr>
          <w:rFonts w:ascii="仿宋" w:hAnsi="仿宋" w:eastAsia="仿宋" w:cs="仿宋"/>
          <w:color w:val="auto"/>
          <w:sz w:val="24"/>
        </w:rPr>
        <w:t>膳食服务评价（30分）</w:t>
      </w:r>
      <w:r>
        <w:rPr>
          <w:rFonts w:hint="eastAsia" w:ascii="仿宋" w:hAnsi="仿宋" w:eastAsia="仿宋" w:cs="仿宋"/>
          <w:color w:val="auto"/>
          <w:sz w:val="24"/>
        </w:rPr>
        <w:t>，总分100分。</w:t>
      </w:r>
    </w:p>
    <w:p w14:paraId="57850252">
      <w:pPr>
        <w:widowControl/>
        <w:numPr>
          <w:ilvl w:val="0"/>
          <w:numId w:val="14"/>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考评结果与扣罚规则：</w:t>
      </w:r>
    </w:p>
    <w:p w14:paraId="11D5FC84">
      <w:pPr>
        <w:widowControl/>
        <w:spacing w:line="360" w:lineRule="auto"/>
        <w:ind w:firstLine="480" w:firstLineChars="200"/>
        <w:jc w:val="left"/>
        <w:rPr>
          <w:rFonts w:hint="eastAsia" w:ascii="仿宋" w:hAnsi="仿宋" w:eastAsia="仿宋" w:cs="仿宋"/>
          <w:color w:val="auto"/>
          <w:sz w:val="24"/>
        </w:rPr>
      </w:pPr>
      <w:r>
        <w:rPr>
          <w:rFonts w:ascii="仿宋" w:hAnsi="仿宋" w:eastAsia="仿宋" w:cs="仿宋"/>
          <w:color w:val="auto"/>
          <w:sz w:val="24"/>
        </w:rPr>
        <w:t>1．</w:t>
      </w:r>
      <w:r>
        <w:rPr>
          <w:rFonts w:hint="eastAsia" w:ascii="仿宋" w:hAnsi="仿宋" w:eastAsia="仿宋" w:cs="仿宋"/>
          <w:color w:val="auto"/>
          <w:sz w:val="24"/>
        </w:rPr>
        <w:t>85分及以上（N≥85）：不扣费，全额返还当月考核保证金；</w:t>
      </w:r>
    </w:p>
    <w:p w14:paraId="2F9F2901">
      <w:pPr>
        <w:widowControl/>
        <w:spacing w:line="360" w:lineRule="auto"/>
        <w:ind w:firstLine="480" w:firstLineChars="200"/>
        <w:jc w:val="left"/>
        <w:rPr>
          <w:rFonts w:hint="eastAsia" w:ascii="仿宋" w:hAnsi="仿宋" w:eastAsia="仿宋" w:cs="仿宋"/>
          <w:color w:val="auto"/>
          <w:sz w:val="24"/>
        </w:rPr>
      </w:pPr>
      <w:r>
        <w:rPr>
          <w:rFonts w:ascii="仿宋" w:hAnsi="仿宋" w:eastAsia="仿宋" w:cs="仿宋"/>
          <w:color w:val="auto"/>
          <w:sz w:val="24"/>
        </w:rPr>
        <w:t>2．</w:t>
      </w:r>
      <w:r>
        <w:rPr>
          <w:rFonts w:hint="eastAsia" w:ascii="仿宋" w:hAnsi="仿宋" w:eastAsia="仿宋" w:cs="仿宋"/>
          <w:color w:val="auto"/>
          <w:sz w:val="24"/>
        </w:rPr>
        <w:t>80-85分（80≤N＜85）：（85-考评分值N）×1000元/分，从当月考核保证金中扣除；</w:t>
      </w:r>
    </w:p>
    <w:p w14:paraId="31F03E3D">
      <w:pPr>
        <w:widowControl/>
        <w:spacing w:line="360" w:lineRule="auto"/>
        <w:ind w:firstLine="480" w:firstLineChars="200"/>
        <w:jc w:val="left"/>
        <w:rPr>
          <w:rFonts w:hint="eastAsia" w:ascii="仿宋" w:hAnsi="仿宋" w:eastAsia="仿宋" w:cs="仿宋"/>
          <w:color w:val="auto"/>
          <w:sz w:val="24"/>
        </w:rPr>
      </w:pPr>
      <w:r>
        <w:rPr>
          <w:rFonts w:ascii="仿宋" w:hAnsi="仿宋" w:eastAsia="仿宋" w:cs="仿宋"/>
          <w:color w:val="auto"/>
          <w:sz w:val="24"/>
        </w:rPr>
        <w:t>3．</w:t>
      </w:r>
      <w:r>
        <w:rPr>
          <w:rFonts w:hint="eastAsia" w:ascii="仿宋" w:hAnsi="仿宋" w:eastAsia="仿宋" w:cs="仿宋"/>
          <w:color w:val="auto"/>
          <w:sz w:val="24"/>
        </w:rPr>
        <w:t>70-80分（70≤N＜80）：（85-考评分值N）×2000元/分，从当月考核保证金中扣除；</w:t>
      </w:r>
    </w:p>
    <w:p w14:paraId="6C2C0F9F">
      <w:pPr>
        <w:widowControl/>
        <w:spacing w:line="360" w:lineRule="auto"/>
        <w:ind w:firstLine="480" w:firstLineChars="200"/>
        <w:jc w:val="left"/>
        <w:rPr>
          <w:rFonts w:hint="eastAsia" w:ascii="仿宋" w:hAnsi="仿宋" w:eastAsia="仿宋" w:cs="仿宋"/>
          <w:color w:val="auto"/>
          <w:sz w:val="24"/>
        </w:rPr>
      </w:pPr>
      <w:r>
        <w:rPr>
          <w:rFonts w:ascii="仿宋" w:hAnsi="仿宋" w:eastAsia="仿宋" w:cs="仿宋"/>
          <w:color w:val="auto"/>
          <w:sz w:val="24"/>
        </w:rPr>
        <w:t>4．</w:t>
      </w:r>
      <w:r>
        <w:rPr>
          <w:rFonts w:hint="eastAsia" w:ascii="仿宋" w:hAnsi="仿宋" w:eastAsia="仿宋" w:cs="仿宋"/>
          <w:color w:val="auto"/>
          <w:sz w:val="24"/>
        </w:rPr>
        <w:t>70分及以下（N＜70）：（85-考评分值N）×3000元/分，从当月考核保证金中扣除；</w:t>
      </w:r>
    </w:p>
    <w:p w14:paraId="7F6EF39B">
      <w:pPr>
        <w:widowControl/>
        <w:spacing w:line="360" w:lineRule="auto"/>
        <w:ind w:firstLine="482" w:firstLineChars="200"/>
        <w:jc w:val="left"/>
        <w:rPr>
          <w:rFonts w:hint="eastAsia" w:ascii="仿宋" w:hAnsi="仿宋" w:eastAsia="仿宋" w:cs="仿宋"/>
          <w:b/>
          <w:bCs/>
          <w:color w:val="auto"/>
          <w:sz w:val="24"/>
        </w:rPr>
      </w:pPr>
      <w:r>
        <w:rPr>
          <w:rFonts w:ascii="仿宋" w:hAnsi="仿宋" w:eastAsia="仿宋" w:cs="仿宋"/>
          <w:b/>
          <w:bCs/>
          <w:color w:val="auto"/>
          <w:sz w:val="24"/>
        </w:rPr>
        <w:t>5．</w:t>
      </w:r>
      <w:r>
        <w:rPr>
          <w:rFonts w:hint="eastAsia" w:ascii="仿宋" w:hAnsi="仿宋" w:eastAsia="仿宋" w:cs="仿宋"/>
          <w:b/>
          <w:bCs/>
          <w:color w:val="auto"/>
          <w:sz w:val="24"/>
        </w:rPr>
        <w:t>合同期内（12个月）累计</w:t>
      </w:r>
      <w:r>
        <w:rPr>
          <w:rFonts w:hint="eastAsia" w:ascii="仿宋" w:hAnsi="仿宋" w:eastAsia="仿宋" w:cs="仿宋"/>
          <w:b/>
          <w:bCs/>
          <w:color w:val="auto"/>
          <w:sz w:val="24"/>
          <w:lang w:val="en-US" w:eastAsia="zh-CN"/>
        </w:rPr>
        <w:t>3</w:t>
      </w:r>
      <w:r>
        <w:rPr>
          <w:rFonts w:hint="eastAsia" w:ascii="仿宋" w:hAnsi="仿宋" w:eastAsia="仿宋" w:cs="仿宋"/>
          <w:b/>
          <w:bCs/>
          <w:color w:val="auto"/>
          <w:sz w:val="24"/>
        </w:rPr>
        <w:t>次及以上考评分数低于70分，采购人有权单方终止合同；</w:t>
      </w:r>
    </w:p>
    <w:p w14:paraId="538FBF4B">
      <w:pPr>
        <w:widowControl/>
        <w:spacing w:line="360" w:lineRule="auto"/>
        <w:ind w:firstLine="480" w:firstLineChars="200"/>
        <w:jc w:val="left"/>
        <w:rPr>
          <w:rFonts w:hint="eastAsia" w:ascii="仿宋" w:hAnsi="仿宋" w:eastAsia="仿宋" w:cs="仿宋"/>
          <w:color w:val="auto"/>
          <w:sz w:val="24"/>
        </w:rPr>
      </w:pPr>
      <w:r>
        <w:rPr>
          <w:rFonts w:ascii="仿宋" w:hAnsi="仿宋" w:eastAsia="仿宋" w:cs="仿宋"/>
          <w:color w:val="auto"/>
          <w:sz w:val="24"/>
        </w:rPr>
        <w:t>6．</w:t>
      </w:r>
      <w:r>
        <w:rPr>
          <w:rFonts w:hint="eastAsia" w:ascii="仿宋" w:hAnsi="仿宋" w:eastAsia="仿宋" w:cs="仿宋"/>
          <w:color w:val="auto"/>
          <w:sz w:val="24"/>
        </w:rPr>
        <w:t>当月考核保证金不足以缴纳当月扣罚金额的，先从履约保证金中扣除相应差额，同时投标人应于7个工作日内将履约保证金补足至采购预算金额4500万元的1%。</w:t>
      </w:r>
    </w:p>
    <w:p w14:paraId="7EA946BF">
      <w:pPr>
        <w:widowControl/>
        <w:numPr>
          <w:ilvl w:val="0"/>
          <w:numId w:val="14"/>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异议处理：投标人对考评结果有异议的，可在收到考评报告3个工作日内提交书面申诉及佐证材料，采购人须在5个工作日内复核并出具最终复核结果；复核期间，不影响采购人按原考评结果执行扣罚，复核后调整的，多扣部分于次月结算时无息返还。</w:t>
      </w:r>
    </w:p>
    <w:p w14:paraId="1C73A1F3">
      <w:pPr>
        <w:widowControl/>
        <w:spacing w:line="360" w:lineRule="auto"/>
        <w:ind w:firstLine="482" w:firstLineChars="200"/>
        <w:jc w:val="left"/>
        <w:outlineLvl w:val="1"/>
        <w:rPr>
          <w:rFonts w:hint="eastAsia" w:ascii="仿宋" w:hAnsi="仿宋" w:eastAsia="仿宋" w:cs="仿宋"/>
          <w:b/>
          <w:bCs/>
          <w:color w:val="auto"/>
          <w:kern w:val="0"/>
          <w:sz w:val="24"/>
          <w:lang w:bidi="ar"/>
        </w:rPr>
      </w:pPr>
      <w:r>
        <w:rPr>
          <w:rFonts w:hint="eastAsia" w:ascii="仿宋" w:hAnsi="仿宋" w:eastAsia="仿宋" w:cs="仿宋"/>
          <w:b/>
          <w:bCs/>
          <w:color w:val="auto"/>
          <w:kern w:val="0"/>
          <w:sz w:val="24"/>
          <w:lang w:bidi="ar"/>
        </w:rPr>
        <w:t>三、季度膳食服务考评</w:t>
      </w:r>
    </w:p>
    <w:p w14:paraId="706A3785">
      <w:pPr>
        <w:widowControl/>
        <w:numPr>
          <w:ilvl w:val="-1"/>
          <w:numId w:val="0"/>
        </w:numPr>
        <w:spacing w:line="360" w:lineRule="auto"/>
        <w:ind w:leftChars="200" w:firstLine="0" w:firstLineChars="0"/>
        <w:jc w:val="left"/>
        <w:rPr>
          <w:rFonts w:hint="eastAsia" w:ascii="仿宋" w:hAnsi="仿宋" w:eastAsia="仿宋" w:cs="仿宋"/>
          <w:b w:val="0"/>
          <w:bCs w:val="0"/>
          <w:color w:val="auto"/>
          <w:sz w:val="24"/>
        </w:rPr>
      </w:pPr>
      <w:r>
        <w:rPr>
          <w:rFonts w:hint="eastAsia" w:ascii="仿宋" w:hAnsi="仿宋" w:eastAsia="仿宋" w:cs="仿宋"/>
          <w:b w:val="0"/>
          <w:bCs w:val="0"/>
          <w:color w:val="auto"/>
          <w:sz w:val="24"/>
          <w:lang w:eastAsia="zh-CN"/>
        </w:rPr>
        <w:t>（</w:t>
      </w:r>
      <w:r>
        <w:rPr>
          <w:rFonts w:hint="eastAsia" w:ascii="仿宋" w:hAnsi="仿宋" w:eastAsia="仿宋" w:cs="仿宋"/>
          <w:b w:val="0"/>
          <w:bCs w:val="0"/>
          <w:color w:val="auto"/>
          <w:sz w:val="24"/>
          <w:lang w:val="en-US" w:eastAsia="zh-CN"/>
        </w:rPr>
        <w:t>一</w:t>
      </w:r>
      <w:r>
        <w:rPr>
          <w:rFonts w:hint="eastAsia" w:ascii="仿宋" w:hAnsi="仿宋" w:eastAsia="仿宋" w:cs="仿宋"/>
          <w:b w:val="0"/>
          <w:bCs w:val="0"/>
          <w:color w:val="auto"/>
          <w:sz w:val="24"/>
          <w:lang w:eastAsia="zh-CN"/>
        </w:rPr>
        <w:t>）</w:t>
      </w:r>
      <w:r>
        <w:rPr>
          <w:rFonts w:hint="eastAsia" w:ascii="仿宋" w:hAnsi="仿宋" w:eastAsia="仿宋" w:cs="仿宋"/>
          <w:b w:val="0"/>
          <w:bCs w:val="0"/>
          <w:color w:val="auto"/>
          <w:sz w:val="24"/>
        </w:rPr>
        <w:t>考评频次：每季度开展</w:t>
      </w:r>
    </w:p>
    <w:p w14:paraId="153903C4">
      <w:pPr>
        <w:widowControl/>
        <w:numPr>
          <w:ilvl w:val="-1"/>
          <w:numId w:val="0"/>
        </w:numPr>
        <w:spacing w:line="360" w:lineRule="auto"/>
        <w:ind w:leftChars="200" w:firstLine="0" w:firstLineChars="0"/>
        <w:jc w:val="left"/>
        <w:rPr>
          <w:rFonts w:hint="eastAsia" w:ascii="仿宋" w:hAnsi="仿宋" w:eastAsia="仿宋" w:cs="仿宋"/>
          <w:color w:val="auto"/>
          <w:sz w:val="24"/>
        </w:rPr>
      </w:pPr>
      <w:r>
        <w:rPr>
          <w:rFonts w:hint="eastAsia" w:ascii="仿宋" w:hAnsi="仿宋" w:eastAsia="仿宋" w:cs="仿宋"/>
          <w:color w:val="auto"/>
          <w:sz w:val="24"/>
        </w:rPr>
        <w:t>（二）考评内容：由采购人启用季度标准化问卷。</w:t>
      </w:r>
    </w:p>
    <w:p w14:paraId="3A73FDD2">
      <w:pPr>
        <w:widowControl/>
        <w:numPr>
          <w:ilvl w:val="-1"/>
          <w:numId w:val="0"/>
        </w:numPr>
        <w:spacing w:line="360" w:lineRule="auto"/>
        <w:ind w:leftChars="200" w:firstLine="0" w:firstLineChars="0"/>
        <w:jc w:val="left"/>
        <w:rPr>
          <w:rFonts w:hint="eastAsia" w:ascii="仿宋" w:hAnsi="仿宋" w:eastAsia="仿宋" w:cs="仿宋"/>
          <w:color w:val="auto"/>
          <w:sz w:val="24"/>
        </w:rPr>
      </w:pPr>
      <w:r>
        <w:rPr>
          <w:rFonts w:hint="eastAsia" w:ascii="仿宋" w:hAnsi="仿宋" w:eastAsia="仿宋" w:cs="仿宋"/>
          <w:color w:val="auto"/>
          <w:sz w:val="24"/>
        </w:rPr>
        <w:t>（三）考评结果与扣罚规则：</w:t>
      </w:r>
    </w:p>
    <w:p w14:paraId="372BFB79">
      <w:pPr>
        <w:widowControl/>
        <w:numPr>
          <w:ilvl w:val="-1"/>
          <w:numId w:val="0"/>
        </w:numPr>
        <w:spacing w:line="360" w:lineRule="auto"/>
        <w:ind w:leftChars="0"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每季度组织专项膳食服务考评，中标人须达到平均标准值</w:t>
      </w:r>
      <w:r>
        <w:rPr>
          <w:rFonts w:hint="eastAsia" w:ascii="仿宋" w:hAnsi="仿宋" w:eastAsia="仿宋" w:cs="仿宋"/>
          <w:b/>
          <w:bCs/>
          <w:color w:val="auto"/>
          <w:sz w:val="24"/>
        </w:rPr>
        <w:t>（85分及以上）</w:t>
      </w:r>
      <w:r>
        <w:rPr>
          <w:rFonts w:hint="eastAsia" w:ascii="仿宋" w:hAnsi="仿宋" w:eastAsia="仿宋" w:cs="仿宋"/>
          <w:color w:val="auto"/>
          <w:sz w:val="24"/>
        </w:rPr>
        <w:t>：</w:t>
      </w:r>
    </w:p>
    <w:p w14:paraId="031ECBDA">
      <w:pPr>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①80-85分（80≤N＜85），出具整改方案提交采购人审核后实施，</w:t>
      </w:r>
      <w:r>
        <w:rPr>
          <w:rFonts w:hint="eastAsia" w:ascii="仿宋" w:hAnsi="仿宋" w:eastAsia="仿宋" w:cs="仿宋"/>
          <w:b/>
          <w:bCs/>
          <w:color w:val="auto"/>
          <w:sz w:val="24"/>
        </w:rPr>
        <w:t>并落实整改</w:t>
      </w:r>
      <w:r>
        <w:rPr>
          <w:rFonts w:hint="eastAsia" w:ascii="仿宋" w:hAnsi="仿宋" w:eastAsia="仿宋" w:cs="仿宋"/>
          <w:color w:val="auto"/>
          <w:sz w:val="24"/>
        </w:rPr>
        <w:t>，合同期（12个月）内累计达到3次及以上，自第3次起每次缴纳金额为（85-考评分值N）</w:t>
      </w:r>
      <w:r>
        <w:rPr>
          <w:rFonts w:hint="eastAsia" w:ascii="仿宋" w:hAnsi="仿宋" w:eastAsia="仿宋" w:cs="仿宋"/>
          <w:b/>
          <w:bCs/>
          <w:color w:val="auto"/>
          <w:sz w:val="24"/>
        </w:rPr>
        <w:t>×1000元/分。</w:t>
      </w:r>
    </w:p>
    <w:p w14:paraId="1373E4E3">
      <w:pPr>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②70-80分（70≤N＜80），缴纳金额为（85-考评分值N）×1000元/分；</w:t>
      </w:r>
    </w:p>
    <w:p w14:paraId="29AB13D6">
      <w:pPr>
        <w:widowControl/>
        <w:numPr>
          <w:ilvl w:val="255"/>
          <w:numId w:val="0"/>
        </w:numPr>
        <w:spacing w:line="360" w:lineRule="auto"/>
        <w:ind w:firstLine="480" w:firstLineChars="200"/>
        <w:jc w:val="left"/>
        <w:rPr>
          <w:rFonts w:hint="eastAsia" w:ascii="仿宋" w:hAnsi="仿宋" w:eastAsia="仿宋" w:cs="仿宋"/>
          <w:b/>
          <w:bCs/>
          <w:color w:val="auto"/>
          <w:sz w:val="24"/>
        </w:rPr>
      </w:pPr>
      <w:r>
        <w:rPr>
          <w:rFonts w:hint="eastAsia" w:ascii="仿宋" w:hAnsi="仿宋" w:eastAsia="仿宋" w:cs="仿宋"/>
          <w:color w:val="auto"/>
          <w:sz w:val="24"/>
        </w:rPr>
        <w:t>③70分以下（N＜70），缴纳金额为（85-考评分值N）×2000元/分元；合同期（12个月）内</w:t>
      </w:r>
      <w:r>
        <w:rPr>
          <w:rFonts w:hint="eastAsia" w:ascii="仿宋" w:hAnsi="仿宋" w:eastAsia="仿宋" w:cs="仿宋"/>
          <w:b/>
          <w:bCs/>
          <w:color w:val="auto"/>
          <w:sz w:val="24"/>
        </w:rPr>
        <w:t>累计3次及以上考评分数低于70分，采购人有权单方终止合同。</w:t>
      </w:r>
    </w:p>
    <w:p w14:paraId="7270A8C7">
      <w:pPr>
        <w:widowControl/>
        <w:numPr>
          <w:ilvl w:val="255"/>
          <w:numId w:val="0"/>
        </w:numPr>
        <w:spacing w:line="360" w:lineRule="auto"/>
        <w:ind w:left="0"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lang w:val="en-US" w:eastAsia="zh-CN"/>
        </w:rPr>
        <w:t>四、</w:t>
      </w:r>
      <w:r>
        <w:rPr>
          <w:rFonts w:hint="eastAsia" w:ascii="仿宋" w:hAnsi="仿宋" w:eastAsia="仿宋" w:cs="仿宋"/>
          <w:color w:val="auto"/>
          <w:sz w:val="24"/>
          <w:szCs w:val="24"/>
        </w:rPr>
        <w:t>餐饮服务实行</w:t>
      </w:r>
      <w:r>
        <w:rPr>
          <w:rStyle w:val="14"/>
          <w:rFonts w:hint="eastAsia" w:ascii="仿宋" w:hAnsi="仿宋" w:eastAsia="仿宋" w:cs="仿宋"/>
          <w:color w:val="auto"/>
          <w:sz w:val="24"/>
          <w:szCs w:val="24"/>
        </w:rPr>
        <w:t>月度</w:t>
      </w:r>
      <w:r>
        <w:rPr>
          <w:rFonts w:hint="eastAsia" w:ascii="仿宋" w:hAnsi="仿宋" w:eastAsia="仿宋" w:cs="仿宋"/>
          <w:b w:val="0"/>
          <w:bCs w:val="0"/>
          <w:color w:val="auto"/>
          <w:kern w:val="2"/>
          <w:sz w:val="24"/>
          <w:lang w:bidi="ar"/>
        </w:rPr>
        <w:t>服务质量综合</w:t>
      </w:r>
      <w:r>
        <w:rPr>
          <w:rStyle w:val="14"/>
          <w:rFonts w:hint="eastAsia" w:ascii="仿宋" w:hAnsi="仿宋" w:eastAsia="仿宋" w:cs="仿宋"/>
          <w:color w:val="auto"/>
          <w:sz w:val="24"/>
          <w:szCs w:val="24"/>
        </w:rPr>
        <w:t>考评、季</w:t>
      </w:r>
      <w:r>
        <w:rPr>
          <w:rStyle w:val="14"/>
          <w:rFonts w:hint="eastAsia" w:ascii="仿宋" w:hAnsi="仿宋" w:eastAsia="仿宋" w:cs="仿宋"/>
          <w:color w:val="auto"/>
          <w:sz w:val="24"/>
          <w:szCs w:val="24"/>
          <w:lang w:bidi="ar"/>
        </w:rPr>
        <w:t>度</w:t>
      </w:r>
      <w:r>
        <w:rPr>
          <w:rFonts w:hint="eastAsia" w:ascii="仿宋" w:hAnsi="仿宋" w:eastAsia="仿宋" w:cs="仿宋"/>
          <w:b w:val="0"/>
          <w:bCs w:val="0"/>
          <w:color w:val="auto"/>
          <w:kern w:val="2"/>
          <w:sz w:val="24"/>
          <w:lang w:bidi="ar"/>
        </w:rPr>
        <w:t>膳食服务</w:t>
      </w:r>
      <w:r>
        <w:rPr>
          <w:rStyle w:val="14"/>
          <w:rFonts w:hint="eastAsia" w:ascii="仿宋" w:hAnsi="仿宋" w:eastAsia="仿宋" w:cs="仿宋"/>
          <w:color w:val="auto"/>
          <w:sz w:val="24"/>
          <w:szCs w:val="24"/>
          <w:lang w:bidi="ar"/>
        </w:rPr>
        <w:t>考</w:t>
      </w:r>
      <w:r>
        <w:rPr>
          <w:rStyle w:val="14"/>
          <w:rFonts w:hint="eastAsia" w:ascii="仿宋" w:hAnsi="仿宋" w:eastAsia="仿宋" w:cs="仿宋"/>
          <w:color w:val="auto"/>
          <w:sz w:val="24"/>
          <w:szCs w:val="24"/>
        </w:rPr>
        <w:t>评</w:t>
      </w:r>
      <w:r>
        <w:rPr>
          <w:rFonts w:hint="eastAsia" w:ascii="仿宋" w:hAnsi="仿宋" w:eastAsia="仿宋" w:cs="仿宋"/>
          <w:color w:val="auto"/>
          <w:sz w:val="24"/>
          <w:szCs w:val="24"/>
        </w:rPr>
        <w:t>双重考核扣分罚则，两类考评扣罚措施</w:t>
      </w:r>
      <w:r>
        <w:rPr>
          <w:rStyle w:val="14"/>
          <w:rFonts w:hint="eastAsia" w:ascii="仿宋" w:hAnsi="仿宋" w:eastAsia="仿宋" w:cs="仿宋"/>
          <w:color w:val="auto"/>
          <w:sz w:val="24"/>
          <w:szCs w:val="24"/>
        </w:rPr>
        <w:t>同步并行、一并执行</w:t>
      </w:r>
      <w:r>
        <w:rPr>
          <w:rFonts w:hint="eastAsia" w:ascii="仿宋" w:hAnsi="仿宋" w:eastAsia="仿宋" w:cs="仿宋"/>
          <w:color w:val="auto"/>
          <w:sz w:val="24"/>
          <w:szCs w:val="24"/>
        </w:rPr>
        <w:t>。</w:t>
      </w:r>
    </w:p>
    <w:p w14:paraId="6A11B8ED">
      <w:pPr>
        <w:widowControl/>
        <w:numPr>
          <w:ilvl w:val="255"/>
          <w:numId w:val="0"/>
        </w:numPr>
        <w:spacing w:line="360" w:lineRule="auto"/>
        <w:ind w:left="0" w:firstLine="480" w:firstLineChars="200"/>
        <w:jc w:val="left"/>
        <w:rPr>
          <w:rFonts w:hint="eastAsia" w:ascii="仿宋" w:hAnsi="仿宋" w:eastAsia="仿宋" w:cs="仿宋"/>
          <w:color w:val="auto"/>
          <w:sz w:val="24"/>
          <w:szCs w:val="24"/>
        </w:rPr>
      </w:pPr>
    </w:p>
    <w:p w14:paraId="54003816">
      <w:pPr>
        <w:pStyle w:val="2"/>
        <w:widowControl/>
        <w:spacing w:beforeAutospacing="0" w:afterAutospacing="0" w:line="360" w:lineRule="auto"/>
        <w:jc w:val="center"/>
        <w:rPr>
          <w:rFonts w:ascii="仿宋" w:hAnsi="仿宋" w:eastAsia="仿宋" w:cs="仿宋"/>
          <w:color w:val="auto"/>
          <w:sz w:val="24"/>
          <w:szCs w:val="24"/>
        </w:rPr>
      </w:pPr>
      <w:r>
        <w:rPr>
          <w:rFonts w:ascii="仿宋" w:hAnsi="仿宋" w:eastAsia="仿宋" w:cs="仿宋"/>
          <w:color w:val="auto"/>
          <w:sz w:val="24"/>
          <w:szCs w:val="24"/>
        </w:rPr>
        <w:t>第十章 结算方式与支付规则</w:t>
      </w:r>
    </w:p>
    <w:p w14:paraId="083581D4">
      <w:pPr>
        <w:pStyle w:val="3"/>
        <w:widowControl/>
        <w:numPr>
          <w:ilvl w:val="0"/>
          <w:numId w:val="15"/>
        </w:numPr>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szCs w:val="24"/>
        </w:rPr>
        <w:t>结算核心公式</w:t>
      </w:r>
    </w:p>
    <w:p w14:paraId="3B599B74">
      <w:pPr>
        <w:widowControl/>
        <w:spacing w:line="360" w:lineRule="auto"/>
        <w:ind w:firstLine="480" w:firstLineChars="200"/>
        <w:jc w:val="left"/>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本项目所有年度合同均不约定固定结算总价，结算金额仅与实际供应的餐品数量、中标折扣率及双方确认的基准价挂钩。采购人不承担任何保底消费义务，亦不承诺最低结算金额。</w:t>
      </w:r>
    </w:p>
    <w:p w14:paraId="33E0C744">
      <w:pPr>
        <w:widowControl/>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kern w:val="0"/>
          <w:sz w:val="24"/>
          <w:lang w:bidi="ar"/>
        </w:rPr>
        <w:t>本项目无任何餐费补贴，所有结算严格按以下公式执行：</w:t>
      </w:r>
    </w:p>
    <w:p w14:paraId="79CAB297">
      <w:pPr>
        <w:widowControl/>
        <w:numPr>
          <w:ilvl w:val="0"/>
          <w:numId w:val="16"/>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采购人承担费用：学术活动餐、体检餐、会议培训餐等，按</w:t>
      </w:r>
      <w:r>
        <w:rPr>
          <w:rStyle w:val="15"/>
          <w:rFonts w:hint="eastAsia" w:ascii="仿宋" w:hAnsi="仿宋" w:eastAsia="仿宋" w:cs="仿宋"/>
          <w:bCs/>
          <w:color w:val="auto"/>
          <w:sz w:val="24"/>
        </w:rPr>
        <w:t>双方确认的基准价×中标折扣率×实际供应数量</w:t>
      </w:r>
      <w:r>
        <w:rPr>
          <w:rFonts w:hint="eastAsia" w:ascii="仿宋" w:hAnsi="仿宋" w:eastAsia="仿宋" w:cs="仿宋"/>
          <w:color w:val="auto"/>
          <w:sz w:val="24"/>
        </w:rPr>
        <w:t>结算；</w:t>
      </w:r>
    </w:p>
    <w:p w14:paraId="0B5A7F07">
      <w:pPr>
        <w:widowControl/>
        <w:numPr>
          <w:ilvl w:val="0"/>
          <w:numId w:val="16"/>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采购人职工用餐：</w:t>
      </w:r>
      <w:r>
        <w:rPr>
          <w:rStyle w:val="15"/>
          <w:rFonts w:hint="eastAsia" w:ascii="仿宋" w:hAnsi="仿宋" w:eastAsia="仿宋" w:cs="仿宋"/>
          <w:bCs/>
          <w:color w:val="auto"/>
          <w:sz w:val="24"/>
        </w:rPr>
        <w:t>病人餐基准价×中标折扣率-职工自付部分</w:t>
      </w:r>
      <w:r>
        <w:rPr>
          <w:rFonts w:hint="eastAsia" w:ascii="仿宋" w:hAnsi="仿宋" w:eastAsia="仿宋" w:cs="仿宋"/>
          <w:color w:val="auto"/>
          <w:sz w:val="24"/>
        </w:rPr>
        <w:t>；本条款所称职工用餐结算，仅指采购人代职工从其个人餐卡核定额度内，与投标人据实结算，采购人不承担任何餐费补贴、差额补足义务，超出额度部分由职工个人全额自行支付。</w:t>
      </w:r>
    </w:p>
    <w:p w14:paraId="2C3BFA1B">
      <w:pPr>
        <w:widowControl/>
        <w:numPr>
          <w:ilvl w:val="0"/>
          <w:numId w:val="16"/>
        </w:numPr>
        <w:spacing w:line="360" w:lineRule="auto"/>
        <w:ind w:firstLine="480" w:firstLineChars="200"/>
        <w:jc w:val="left"/>
        <w:rPr>
          <w:rFonts w:hint="eastAsia" w:ascii="仿宋" w:hAnsi="仿宋" w:eastAsia="仿宋" w:cs="仿宋"/>
          <w:b/>
          <w:bCs/>
          <w:color w:val="auto"/>
          <w:sz w:val="24"/>
        </w:rPr>
      </w:pPr>
      <w:r>
        <w:rPr>
          <w:rFonts w:hint="eastAsia" w:ascii="仿宋" w:hAnsi="仿宋" w:eastAsia="仿宋" w:cs="仿宋"/>
          <w:color w:val="auto"/>
          <w:sz w:val="24"/>
        </w:rPr>
        <w:t>病人及陪护家属用餐</w:t>
      </w:r>
      <w:r>
        <w:rPr>
          <w:rFonts w:hint="eastAsia" w:ascii="仿宋" w:hAnsi="仿宋" w:eastAsia="仿宋" w:cs="仿宋"/>
          <w:b/>
          <w:bCs/>
          <w:color w:val="auto"/>
          <w:sz w:val="24"/>
        </w:rPr>
        <w:t>：投标人直接向用餐人员收取餐费，不与采购人结算。</w:t>
      </w:r>
    </w:p>
    <w:p w14:paraId="73675CB8">
      <w:pPr>
        <w:pStyle w:val="3"/>
        <w:widowControl/>
        <w:numPr>
          <w:ilvl w:val="0"/>
          <w:numId w:val="15"/>
        </w:numPr>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szCs w:val="24"/>
        </w:rPr>
        <w:t>对账与支付流程</w:t>
      </w:r>
    </w:p>
    <w:p w14:paraId="02A386FE">
      <w:pPr>
        <w:widowControl/>
        <w:numPr>
          <w:ilvl w:val="0"/>
          <w:numId w:val="17"/>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每月投标人向采购人提交上月完整结算资料，包括结算明细、验收单、送货单、培训签到表、合法合规的增值税发票等；</w:t>
      </w:r>
    </w:p>
    <w:p w14:paraId="38A0FB88">
      <w:pPr>
        <w:widowControl/>
        <w:numPr>
          <w:ilvl w:val="0"/>
          <w:numId w:val="17"/>
        </w:numPr>
        <w:spacing w:line="360" w:lineRule="auto"/>
        <w:ind w:firstLine="480" w:firstLineChars="200"/>
        <w:jc w:val="left"/>
        <w:rPr>
          <w:rFonts w:hint="eastAsia" w:ascii="仿宋" w:hAnsi="仿宋" w:eastAsia="仿宋" w:cs="仿宋"/>
          <w:b/>
          <w:bCs/>
          <w:color w:val="auto"/>
          <w:sz w:val="24"/>
        </w:rPr>
      </w:pPr>
      <w:r>
        <w:rPr>
          <w:rFonts w:hint="eastAsia" w:ascii="仿宋" w:hAnsi="仿宋" w:eastAsia="仿宋" w:cs="仿宋"/>
          <w:color w:val="auto"/>
          <w:sz w:val="24"/>
        </w:rPr>
        <w:t>采购人在收到结算资料后10个工作日内完成审核，审核无误的，先行支付上月结算金额的95%，</w:t>
      </w:r>
      <w:r>
        <w:rPr>
          <w:rFonts w:hint="eastAsia" w:ascii="仿宋" w:hAnsi="仿宋" w:eastAsia="仿宋" w:cs="仿宋"/>
          <w:b/>
          <w:bCs/>
          <w:color w:val="auto"/>
          <w:sz w:val="24"/>
        </w:rPr>
        <w:t>暂扣上月结算金额的5%作为</w:t>
      </w:r>
      <w:bookmarkStart w:id="11" w:name="OLE_LINK21"/>
      <w:r>
        <w:rPr>
          <w:rFonts w:hint="eastAsia" w:ascii="仿宋" w:hAnsi="仿宋" w:eastAsia="仿宋" w:cs="仿宋"/>
          <w:b/>
          <w:bCs/>
          <w:color w:val="auto"/>
          <w:sz w:val="24"/>
        </w:rPr>
        <w:t>服务质量考核保证金</w:t>
      </w:r>
      <w:bookmarkEnd w:id="11"/>
      <w:r>
        <w:rPr>
          <w:rFonts w:hint="eastAsia" w:ascii="仿宋" w:hAnsi="仿宋" w:eastAsia="仿宋" w:cs="仿宋"/>
          <w:b/>
          <w:bCs/>
          <w:color w:val="auto"/>
          <w:sz w:val="24"/>
        </w:rPr>
        <w:t>；</w:t>
      </w:r>
    </w:p>
    <w:p w14:paraId="0D58DDF9">
      <w:pPr>
        <w:widowControl/>
        <w:numPr>
          <w:ilvl w:val="0"/>
          <w:numId w:val="17"/>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暂扣的服务质量考核保证金，完成</w:t>
      </w:r>
      <w:r>
        <w:rPr>
          <w:rFonts w:ascii="仿宋" w:hAnsi="仿宋" w:eastAsia="仿宋" w:cs="仿宋"/>
          <w:color w:val="auto"/>
          <w:sz w:val="24"/>
        </w:rPr>
        <w:t>《食堂餐饮服务月度质量综合考评表》</w:t>
      </w:r>
      <w:r>
        <w:rPr>
          <w:rFonts w:hint="eastAsia" w:ascii="仿宋" w:hAnsi="仿宋" w:eastAsia="仿宋" w:cs="仿宋"/>
          <w:color w:val="auto"/>
          <w:sz w:val="24"/>
        </w:rPr>
        <w:t>和</w:t>
      </w:r>
      <w:r>
        <w:rPr>
          <w:rFonts w:ascii="仿宋" w:hAnsi="仿宋" w:eastAsia="仿宋" w:cs="仿宋"/>
          <w:color w:val="auto"/>
          <w:sz w:val="24"/>
        </w:rPr>
        <w:t>《食堂餐饮服务月度综合满意度考评》</w:t>
      </w:r>
      <w:r>
        <w:rPr>
          <w:rFonts w:hint="eastAsia" w:ascii="仿宋" w:hAnsi="仿宋" w:eastAsia="仿宋" w:cs="仿宋"/>
          <w:color w:val="auto"/>
          <w:sz w:val="24"/>
        </w:rPr>
        <w:t>后，根据考核结果及扣罚约定，于次月结算时将剩余金额无息返还；</w:t>
      </w:r>
    </w:p>
    <w:p w14:paraId="2DF40613">
      <w:pPr>
        <w:widowControl/>
        <w:numPr>
          <w:ilvl w:val="0"/>
          <w:numId w:val="17"/>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所有款项支付前，投标人须开具合法合规的发票，否则采购人有权顺延支付，不承担任何违约责任。</w:t>
      </w:r>
    </w:p>
    <w:p w14:paraId="3935E43D">
      <w:pPr>
        <w:widowControl/>
        <w:spacing w:line="360" w:lineRule="auto"/>
        <w:jc w:val="left"/>
        <w:rPr>
          <w:rFonts w:hint="eastAsia" w:ascii="仿宋" w:hAnsi="仿宋" w:eastAsia="仿宋" w:cs="仿宋"/>
          <w:color w:val="auto"/>
          <w:sz w:val="24"/>
        </w:rPr>
      </w:pPr>
    </w:p>
    <w:p w14:paraId="7A2F16AF">
      <w:pPr>
        <w:pStyle w:val="2"/>
        <w:widowControl/>
        <w:spacing w:beforeAutospacing="0" w:afterAutospacing="0" w:line="360" w:lineRule="auto"/>
        <w:jc w:val="center"/>
        <w:rPr>
          <w:rFonts w:ascii="仿宋" w:hAnsi="仿宋" w:eastAsia="仿宋" w:cs="仿宋"/>
          <w:color w:val="auto"/>
          <w:sz w:val="24"/>
          <w:szCs w:val="24"/>
        </w:rPr>
      </w:pPr>
      <w:r>
        <w:rPr>
          <w:rFonts w:ascii="仿宋" w:hAnsi="仿宋" w:eastAsia="仿宋" w:cs="仿宋"/>
          <w:color w:val="auto"/>
          <w:sz w:val="24"/>
          <w:szCs w:val="24"/>
        </w:rPr>
        <w:t>第十一章 保险与应急管理</w:t>
      </w:r>
    </w:p>
    <w:p w14:paraId="19D4B9F4">
      <w:pPr>
        <w:pStyle w:val="3"/>
        <w:widowControl/>
        <w:numPr>
          <w:ilvl w:val="0"/>
          <w:numId w:val="18"/>
        </w:numPr>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rPr>
        <w:t>★</w:t>
      </w:r>
      <w:r>
        <w:rPr>
          <w:rFonts w:ascii="仿宋" w:hAnsi="仿宋" w:eastAsia="仿宋" w:cs="仿宋"/>
          <w:color w:val="auto"/>
          <w:sz w:val="24"/>
          <w:szCs w:val="24"/>
        </w:rPr>
        <w:t>投保要求（在投标文件中提供加盖投标人公章的承诺函，承诺函格式自拟）</w:t>
      </w:r>
    </w:p>
    <w:p w14:paraId="75BF831F">
      <w:pPr>
        <w:widowControl/>
        <w:numPr>
          <w:ilvl w:val="0"/>
          <w:numId w:val="19"/>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投标人须在本项目服务期内，持续投保以下险种，保费由投标人全额承担，保险有效期须完整覆盖项目服务期限，不得脱保、断保：</w:t>
      </w:r>
    </w:p>
    <w:tbl>
      <w:tblPr>
        <w:tblStyle w:val="12"/>
        <w:tblW w:w="5000" w:type="pct"/>
        <w:tblInd w:w="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ayout w:type="autofit"/>
        <w:tblCellMar>
          <w:top w:w="15" w:type="dxa"/>
          <w:left w:w="15" w:type="dxa"/>
          <w:bottom w:w="15" w:type="dxa"/>
          <w:right w:w="15" w:type="dxa"/>
        </w:tblCellMar>
      </w:tblPr>
      <w:tblGrid>
        <w:gridCol w:w="1291"/>
        <w:gridCol w:w="3090"/>
        <w:gridCol w:w="4045"/>
      </w:tblGrid>
      <w:tr w14:paraId="350F147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rPr>
          <w:trHeight w:val="489" w:hRule="atLeast"/>
          <w:tblHeader/>
        </w:trPr>
        <w:tc>
          <w:tcPr>
            <w:tcW w:w="766" w:type="pct"/>
            <w:tcBorders>
              <w:tl2br w:val="nil"/>
              <w:tr2bl w:val="nil"/>
            </w:tcBorders>
            <w:shd w:val="clear" w:color="auto" w:fill="BEBEBE" w:themeFill="background1" w:themeFillShade="BF"/>
            <w:tcMar>
              <w:top w:w="60" w:type="dxa"/>
              <w:left w:w="60" w:type="dxa"/>
              <w:bottom w:w="60" w:type="dxa"/>
              <w:right w:w="60" w:type="dxa"/>
            </w:tcMar>
            <w:vAlign w:val="center"/>
          </w:tcPr>
          <w:p w14:paraId="04121159">
            <w:pPr>
              <w:widowControl/>
              <w:spacing w:line="360" w:lineRule="auto"/>
              <w:jc w:val="center"/>
              <w:rPr>
                <w:rFonts w:hint="eastAsia" w:ascii="仿宋" w:hAnsi="仿宋" w:eastAsia="仿宋" w:cs="仿宋"/>
                <w:b/>
                <w:bCs/>
                <w:color w:val="auto"/>
              </w:rPr>
            </w:pPr>
            <w:r>
              <w:rPr>
                <w:rFonts w:hint="eastAsia" w:ascii="仿宋" w:hAnsi="仿宋" w:eastAsia="仿宋" w:cs="仿宋"/>
                <w:b/>
                <w:bCs/>
                <w:color w:val="auto"/>
                <w:kern w:val="0"/>
                <w:sz w:val="24"/>
                <w:lang w:bidi="ar"/>
              </w:rPr>
              <w:t>投保险种</w:t>
            </w:r>
          </w:p>
        </w:tc>
        <w:tc>
          <w:tcPr>
            <w:tcW w:w="1833" w:type="pct"/>
            <w:tcBorders>
              <w:tl2br w:val="nil"/>
              <w:tr2bl w:val="nil"/>
            </w:tcBorders>
            <w:shd w:val="clear" w:color="auto" w:fill="BEBEBE" w:themeFill="background1" w:themeFillShade="BF"/>
            <w:tcMar>
              <w:top w:w="60" w:type="dxa"/>
              <w:left w:w="60" w:type="dxa"/>
              <w:bottom w:w="60" w:type="dxa"/>
              <w:right w:w="60" w:type="dxa"/>
            </w:tcMar>
            <w:vAlign w:val="center"/>
          </w:tcPr>
          <w:p w14:paraId="7DB96273">
            <w:pPr>
              <w:widowControl/>
              <w:spacing w:line="360" w:lineRule="auto"/>
              <w:jc w:val="center"/>
              <w:rPr>
                <w:rFonts w:hint="eastAsia" w:ascii="仿宋" w:hAnsi="仿宋" w:eastAsia="仿宋" w:cs="仿宋"/>
                <w:b/>
                <w:bCs/>
                <w:color w:val="auto"/>
              </w:rPr>
            </w:pPr>
            <w:r>
              <w:rPr>
                <w:rFonts w:hint="eastAsia" w:ascii="仿宋" w:hAnsi="仿宋" w:eastAsia="仿宋" w:cs="仿宋"/>
                <w:b/>
                <w:bCs/>
                <w:color w:val="auto"/>
                <w:kern w:val="0"/>
                <w:sz w:val="24"/>
                <w:lang w:bidi="ar"/>
              </w:rPr>
              <w:t>最低保额要求</w:t>
            </w:r>
          </w:p>
        </w:tc>
        <w:tc>
          <w:tcPr>
            <w:tcW w:w="2400" w:type="pct"/>
            <w:tcBorders>
              <w:tl2br w:val="nil"/>
              <w:tr2bl w:val="nil"/>
            </w:tcBorders>
            <w:shd w:val="clear" w:color="auto" w:fill="BEBEBE" w:themeFill="background1" w:themeFillShade="BF"/>
            <w:tcMar>
              <w:top w:w="60" w:type="dxa"/>
              <w:left w:w="60" w:type="dxa"/>
              <w:bottom w:w="60" w:type="dxa"/>
              <w:right w:w="60" w:type="dxa"/>
            </w:tcMar>
            <w:vAlign w:val="center"/>
          </w:tcPr>
          <w:p w14:paraId="7CE3C403">
            <w:pPr>
              <w:widowControl/>
              <w:spacing w:line="360" w:lineRule="auto"/>
              <w:jc w:val="center"/>
              <w:rPr>
                <w:rFonts w:hint="eastAsia" w:ascii="仿宋" w:hAnsi="仿宋" w:eastAsia="仿宋" w:cs="仿宋"/>
                <w:b/>
                <w:bCs/>
                <w:color w:val="auto"/>
              </w:rPr>
            </w:pPr>
            <w:r>
              <w:rPr>
                <w:rFonts w:hint="eastAsia" w:ascii="仿宋" w:hAnsi="仿宋" w:eastAsia="仿宋" w:cs="仿宋"/>
                <w:b/>
                <w:bCs/>
                <w:color w:val="auto"/>
                <w:kern w:val="0"/>
                <w:sz w:val="24"/>
                <w:lang w:bidi="ar"/>
              </w:rPr>
              <w:t>核心保障要求</w:t>
            </w:r>
          </w:p>
        </w:tc>
      </w:tr>
      <w:tr w14:paraId="7BBD852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c>
          <w:tcPr>
            <w:tcW w:w="766" w:type="pct"/>
            <w:tcBorders>
              <w:tl2br w:val="nil"/>
              <w:tr2bl w:val="nil"/>
            </w:tcBorders>
            <w:tcMar>
              <w:top w:w="60" w:type="dxa"/>
              <w:left w:w="60" w:type="dxa"/>
              <w:bottom w:w="60" w:type="dxa"/>
              <w:right w:w="60" w:type="dxa"/>
            </w:tcMar>
            <w:vAlign w:val="center"/>
          </w:tcPr>
          <w:p w14:paraId="55035899">
            <w:pPr>
              <w:widowControl/>
              <w:spacing w:line="240" w:lineRule="auto"/>
              <w:jc w:val="center"/>
              <w:rPr>
                <w:rFonts w:hint="eastAsia" w:ascii="仿宋" w:hAnsi="仿宋" w:eastAsia="仿宋" w:cs="仿宋"/>
                <w:color w:val="auto"/>
              </w:rPr>
            </w:pPr>
            <w:r>
              <w:rPr>
                <w:rFonts w:hint="eastAsia" w:ascii="仿宋" w:hAnsi="仿宋" w:eastAsia="仿宋" w:cs="仿宋"/>
                <w:color w:val="auto"/>
                <w:sz w:val="24"/>
              </w:rPr>
              <w:t>食品安全责任险</w:t>
            </w:r>
          </w:p>
        </w:tc>
        <w:tc>
          <w:tcPr>
            <w:tcW w:w="1833" w:type="pct"/>
            <w:tcBorders>
              <w:tl2br w:val="nil"/>
              <w:tr2bl w:val="nil"/>
            </w:tcBorders>
            <w:tcMar>
              <w:top w:w="60" w:type="dxa"/>
              <w:left w:w="60" w:type="dxa"/>
              <w:bottom w:w="60" w:type="dxa"/>
              <w:right w:w="60" w:type="dxa"/>
            </w:tcMar>
            <w:vAlign w:val="center"/>
          </w:tcPr>
          <w:p w14:paraId="722FB3CA">
            <w:pPr>
              <w:widowControl/>
              <w:spacing w:line="240" w:lineRule="auto"/>
              <w:jc w:val="center"/>
              <w:rPr>
                <w:rFonts w:hint="eastAsia" w:ascii="仿宋" w:hAnsi="仿宋" w:eastAsia="仿宋" w:cs="仿宋"/>
                <w:color w:val="auto"/>
              </w:rPr>
            </w:pPr>
            <w:r>
              <w:rPr>
                <w:rFonts w:hint="eastAsia" w:ascii="仿宋" w:hAnsi="仿宋" w:eastAsia="仿宋" w:cs="仿宋"/>
                <w:color w:val="auto"/>
                <w:sz w:val="24"/>
              </w:rPr>
              <w:t>每次事故赔偿限额≥500万元，累计赔偿限额≥2000万元，每人赔偿限额≥60万元</w:t>
            </w:r>
          </w:p>
        </w:tc>
        <w:tc>
          <w:tcPr>
            <w:tcW w:w="2400" w:type="pct"/>
            <w:tcBorders>
              <w:tl2br w:val="nil"/>
              <w:tr2bl w:val="nil"/>
            </w:tcBorders>
            <w:tcMar>
              <w:top w:w="60" w:type="dxa"/>
              <w:left w:w="60" w:type="dxa"/>
              <w:bottom w:w="60" w:type="dxa"/>
              <w:right w:w="60" w:type="dxa"/>
            </w:tcMar>
            <w:vAlign w:val="center"/>
          </w:tcPr>
          <w:p w14:paraId="4B73F9F0">
            <w:pPr>
              <w:widowControl/>
              <w:spacing w:line="240" w:lineRule="auto"/>
              <w:rPr>
                <w:rFonts w:hint="eastAsia" w:ascii="仿宋" w:hAnsi="仿宋" w:eastAsia="仿宋" w:cs="仿宋"/>
                <w:color w:val="auto"/>
              </w:rPr>
            </w:pPr>
            <w:r>
              <w:rPr>
                <w:rFonts w:hint="eastAsia" w:ascii="仿宋" w:hAnsi="仿宋" w:eastAsia="仿宋" w:cs="仿宋"/>
                <w:color w:val="auto"/>
                <w:sz w:val="24"/>
              </w:rPr>
              <w:t>覆盖食材采购、加工、配送全流程食品安全事故，含医疗费、残疾赔偿金、死亡赔偿金、精神损害抚慰金等；必须包含事故相关的法律费用赔付责任，覆盖诉讼费、律师费、仲裁费、鉴定费等，每次事故法律费用赔偿限额不低于50万元。</w:t>
            </w:r>
          </w:p>
        </w:tc>
      </w:tr>
      <w:tr w14:paraId="20E86A1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c>
          <w:tcPr>
            <w:tcW w:w="766" w:type="pct"/>
            <w:tcBorders>
              <w:tl2br w:val="nil"/>
              <w:tr2bl w:val="nil"/>
            </w:tcBorders>
            <w:tcMar>
              <w:top w:w="60" w:type="dxa"/>
              <w:left w:w="60" w:type="dxa"/>
              <w:bottom w:w="60" w:type="dxa"/>
              <w:right w:w="60" w:type="dxa"/>
            </w:tcMar>
            <w:vAlign w:val="center"/>
          </w:tcPr>
          <w:p w14:paraId="5529E06E">
            <w:pPr>
              <w:widowControl/>
              <w:spacing w:line="240" w:lineRule="auto"/>
              <w:jc w:val="center"/>
              <w:rPr>
                <w:rFonts w:hint="eastAsia" w:ascii="仿宋" w:hAnsi="仿宋" w:eastAsia="仿宋" w:cs="仿宋"/>
                <w:color w:val="auto"/>
                <w:sz w:val="24"/>
              </w:rPr>
            </w:pPr>
            <w:r>
              <w:rPr>
                <w:rFonts w:hint="eastAsia" w:ascii="仿宋" w:hAnsi="仿宋" w:eastAsia="仿宋" w:cs="仿宋"/>
                <w:color w:val="auto"/>
                <w:sz w:val="24"/>
              </w:rPr>
              <w:t>公众责任险</w:t>
            </w:r>
          </w:p>
        </w:tc>
        <w:tc>
          <w:tcPr>
            <w:tcW w:w="1833" w:type="pct"/>
            <w:tcBorders>
              <w:tl2br w:val="nil"/>
              <w:tr2bl w:val="nil"/>
            </w:tcBorders>
            <w:tcMar>
              <w:top w:w="60" w:type="dxa"/>
              <w:left w:w="60" w:type="dxa"/>
              <w:bottom w:w="60" w:type="dxa"/>
              <w:right w:w="60" w:type="dxa"/>
            </w:tcMar>
            <w:vAlign w:val="center"/>
          </w:tcPr>
          <w:p w14:paraId="32D3225B">
            <w:pPr>
              <w:widowControl/>
              <w:spacing w:line="240" w:lineRule="auto"/>
              <w:jc w:val="center"/>
              <w:rPr>
                <w:rFonts w:hint="eastAsia" w:ascii="仿宋" w:hAnsi="仿宋" w:eastAsia="仿宋" w:cs="仿宋"/>
                <w:color w:val="auto"/>
                <w:sz w:val="24"/>
              </w:rPr>
            </w:pPr>
            <w:r>
              <w:rPr>
                <w:rFonts w:hint="eastAsia" w:ascii="仿宋" w:hAnsi="仿宋" w:eastAsia="仿宋" w:cs="仿宋"/>
                <w:color w:val="auto"/>
                <w:sz w:val="24"/>
              </w:rPr>
              <w:t>每次事故赔偿限额≥500万元，累计赔偿限额≥1000万元，每人赔偿限额≥60万元</w:t>
            </w:r>
          </w:p>
        </w:tc>
        <w:tc>
          <w:tcPr>
            <w:tcW w:w="2400" w:type="pct"/>
            <w:tcBorders>
              <w:tl2br w:val="nil"/>
              <w:tr2bl w:val="nil"/>
            </w:tcBorders>
            <w:tcMar>
              <w:top w:w="60" w:type="dxa"/>
              <w:left w:w="60" w:type="dxa"/>
              <w:bottom w:w="60" w:type="dxa"/>
              <w:right w:w="60" w:type="dxa"/>
            </w:tcMar>
            <w:vAlign w:val="center"/>
          </w:tcPr>
          <w:p w14:paraId="205DA08C">
            <w:pPr>
              <w:widowControl/>
              <w:spacing w:line="240" w:lineRule="auto"/>
              <w:rPr>
                <w:rFonts w:hint="eastAsia" w:ascii="仿宋" w:hAnsi="仿宋" w:eastAsia="仿宋" w:cs="仿宋"/>
                <w:color w:val="auto"/>
                <w:sz w:val="24"/>
              </w:rPr>
            </w:pPr>
            <w:r>
              <w:rPr>
                <w:rFonts w:hint="eastAsia" w:ascii="仿宋" w:hAnsi="仿宋" w:eastAsia="仿宋" w:cs="仿宋"/>
                <w:color w:val="auto"/>
                <w:sz w:val="24"/>
              </w:rPr>
              <w:t>覆盖食堂经营场所内用餐人员滑倒、烫伤、设施致伤等公众安全责任；必须包含事故相关的法律费用赔付责任，覆盖诉讼费、律师费、仲裁费、鉴定费等，每次事故法律费用赔偿限额不低于50万元。</w:t>
            </w:r>
          </w:p>
        </w:tc>
      </w:tr>
    </w:tbl>
    <w:p w14:paraId="2CCB8F4B">
      <w:pPr>
        <w:widowControl/>
        <w:numPr>
          <w:ilvl w:val="0"/>
          <w:numId w:val="19"/>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保险单须将广州医科大学附属中医医院列为共同被保险人/附加被保险人，保障范围覆盖采购人、投标人、用餐职工、病人及其他第三方人员。</w:t>
      </w:r>
    </w:p>
    <w:p w14:paraId="66935946">
      <w:pPr>
        <w:widowControl/>
        <w:numPr>
          <w:ilvl w:val="0"/>
          <w:numId w:val="19"/>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投标人须在进场提供服务前完成全部保险投保手续，保险生效时间不得晚于进场服务起始日，并将保险单原件、保险费缴纳凭证、保险条款复印件提交采购人备案；保险到期前15天，须完成续保并提交新保单备案。自进场之日起，无论保险是否生效，所有食品安全事故、人员伤害、财产损失、法律费用、舆情损失均由投标人全额承担，保险未生效期间发生事故的，投标人赔偿责任不得低于保单保额，采购人有权从履约保证金直接扣除；投标人自收到中标通知书之日起1个月内仍未完成投保备案的，采购人有权单方终止合同并没收全部履约保证金。</w:t>
      </w:r>
    </w:p>
    <w:p w14:paraId="0A386A36">
      <w:pPr>
        <w:widowControl/>
        <w:numPr>
          <w:ilvl w:val="0"/>
          <w:numId w:val="19"/>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保险合同中约定的免赔额部分，全部由投标人承担；保险公司赔付后，仍不足以覆盖全部损失的，差额部分由投标人全额承担。</w:t>
      </w:r>
    </w:p>
    <w:p w14:paraId="49A43B08">
      <w:pPr>
        <w:widowControl/>
        <w:numPr>
          <w:ilvl w:val="0"/>
          <w:numId w:val="19"/>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投标人未按要求投保、保额不足、脱保断保或未按时提交保险凭证的，采购人有权暂停支付所有结算款项，责令7日内整改；逾期未整改的，采购人有权单方终止合同，没收全部服务质量考核保证金，由此造成的一切损失由投标人全额承担。</w:t>
      </w:r>
    </w:p>
    <w:p w14:paraId="487F2347">
      <w:pPr>
        <w:pStyle w:val="3"/>
        <w:widowControl/>
        <w:numPr>
          <w:ilvl w:val="0"/>
          <w:numId w:val="18"/>
        </w:numPr>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szCs w:val="24"/>
        </w:rPr>
        <w:t>应急预案与管理</w:t>
      </w:r>
    </w:p>
    <w:p w14:paraId="498C9C72">
      <w:pPr>
        <w:widowControl/>
        <w:numPr>
          <w:ilvl w:val="0"/>
          <w:numId w:val="2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投标人须在服务期内配备符合要求的中央厨房及配送保障能力，能够在突发状况下快速启动应急供餐机制。中央厨房须为自有或长期租赁的独立固定场所，如为租赁场地，须产权明晰、租赁合规且租赁期限须覆盖项目服务期限，不得为临时加工点。投标人应结合采购人实际服务规模与用餐需求，建立完善的应急供餐体系，确保在设备故障、食材短缺、交通受阻、公共卫生事件等各类突发情况下，仍可安全、稳定、有序提供餐饮保障服务，确保餐食配送到各院区的车程不超过60分钟。</w:t>
      </w:r>
    </w:p>
    <w:p w14:paraId="26473E79">
      <w:pPr>
        <w:widowControl/>
        <w:numPr>
          <w:ilvl w:val="0"/>
          <w:numId w:val="2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投标人须制定专项应急供餐保障方案，方案包括但不限于应急组织架构、应急响应流程、中央厨房资质、应急供餐渠道、应急餐饮系统、食材储备方式、配送路线规划及人员调配机制，确保突发供餐中断时，可在4小时内全面恢复正常供餐，最大限度降低对采购人日常运营与用餐秩序的影响。</w:t>
      </w:r>
    </w:p>
    <w:p w14:paraId="1FD389AE">
      <w:pPr>
        <w:widowControl/>
        <w:numPr>
          <w:ilvl w:val="0"/>
          <w:numId w:val="2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投标人须结合医院特性，</w:t>
      </w:r>
      <w:r>
        <w:rPr>
          <w:rFonts w:hint="eastAsia" w:ascii="仿宋" w:hAnsi="仿宋" w:eastAsia="仿宋" w:cs="仿宋"/>
          <w:b/>
          <w:bCs/>
          <w:color w:val="auto"/>
          <w:sz w:val="24"/>
        </w:rPr>
        <w:t>制定完善的专项应急预案，</w:t>
      </w:r>
      <w:r>
        <w:rPr>
          <w:rFonts w:hint="eastAsia" w:ascii="仿宋" w:hAnsi="仿宋" w:eastAsia="仿宋" w:cs="仿宋"/>
          <w:color w:val="auto"/>
          <w:sz w:val="24"/>
        </w:rPr>
        <w:t>包括但不限于：食品安全事故应急预案、突发公共卫生事件应急预案、停水停电停气应急预案、设备故障应急预案、极端天气应急预案、供餐中断应急预案、群体性投诉应急预案，报采购人审核批准后执行。</w:t>
      </w:r>
    </w:p>
    <w:p w14:paraId="4E72B07C">
      <w:pPr>
        <w:widowControl/>
        <w:numPr>
          <w:ilvl w:val="0"/>
          <w:numId w:val="2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应急预案须明确应急组织架构、处置流程、责任人员、保障措施，确保突发情况发生时可快速响应、有效处置。</w:t>
      </w:r>
    </w:p>
    <w:p w14:paraId="7B4CAB8D">
      <w:pPr>
        <w:widowControl/>
        <w:numPr>
          <w:ilvl w:val="0"/>
          <w:numId w:val="2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突发情况发生时，投标人须立即启动应急预案，15 分钟内响应，第一时间通知采购人，采取有效措施控制事态，确保供餐稳定、人员安全；因应急处置不当导致事态扩大、损失增加的，全部责任由投标人承担，采购人有权从重扣罚，直至终止合同。</w:t>
      </w:r>
    </w:p>
    <w:p w14:paraId="1FD2DCBC">
      <w:pPr>
        <w:widowControl/>
        <w:numPr>
          <w:ilvl w:val="0"/>
          <w:numId w:val="2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投标人须制定供餐中断专项兜底保障方案，明确临时供餐合作单位、应急供餐渠道，确保发生突发情况时4小时内恢复正常供餐；因投标人管理不当、准备不足、处置失误或其他可归责于投标人的原因导致供餐中断的，由此产生的全部应急供餐费用、临时采购费用、配送费用及相关成本均由投标人自行承担；若因此给采购人造成经济损失、声誉影响或其他不良后果的，投标人须按照实际损失金额承担全额赔偿责任，并依据合同及考核条款进行相应扣罚处理。</w:t>
      </w:r>
    </w:p>
    <w:p w14:paraId="706B4A13">
      <w:pPr>
        <w:widowControl/>
        <w:numPr>
          <w:ilvl w:val="-1"/>
          <w:numId w:val="0"/>
        </w:numPr>
        <w:spacing w:line="360" w:lineRule="auto"/>
        <w:ind w:leftChars="0" w:firstLine="480" w:firstLineChars="200"/>
        <w:jc w:val="left"/>
        <w:rPr>
          <w:rFonts w:hint="eastAsia"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七</w:t>
      </w:r>
      <w:r>
        <w:rPr>
          <w:rFonts w:hint="eastAsia" w:ascii="仿宋" w:hAnsi="仿宋" w:eastAsia="仿宋" w:cs="仿宋"/>
          <w:color w:val="auto"/>
          <w:sz w:val="24"/>
          <w:lang w:eastAsia="zh-CN"/>
        </w:rPr>
        <w:t>）</w:t>
      </w:r>
      <w:r>
        <w:rPr>
          <w:rFonts w:hint="eastAsia" w:ascii="仿宋" w:hAnsi="仿宋" w:eastAsia="仿宋" w:cs="仿宋"/>
          <w:color w:val="auto"/>
          <w:sz w:val="24"/>
        </w:rPr>
        <w:t>★对采购人应急用餐服务需求，要求在15分钟内响应，并在指定时间内完成供餐服务。如未能及时供餐保障，扣除当月结算费用的1%违约金。（在投标文件中提供加盖投标人公章的承诺函，承诺函格式自拟）</w:t>
      </w:r>
    </w:p>
    <w:p w14:paraId="61F43EF4">
      <w:pPr>
        <w:widowControl/>
        <w:numPr>
          <w:ilvl w:val="-1"/>
          <w:numId w:val="0"/>
        </w:numPr>
        <w:spacing w:line="360" w:lineRule="auto"/>
        <w:ind w:leftChars="0" w:firstLine="480" w:firstLineChars="200"/>
        <w:jc w:val="left"/>
        <w:rPr>
          <w:rFonts w:hint="eastAsia"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八</w:t>
      </w:r>
      <w:r>
        <w:rPr>
          <w:rFonts w:hint="eastAsia" w:ascii="仿宋" w:hAnsi="仿宋" w:eastAsia="仿宋" w:cs="仿宋"/>
          <w:color w:val="auto"/>
          <w:sz w:val="24"/>
          <w:lang w:eastAsia="zh-CN"/>
        </w:rPr>
        <w:t>）</w:t>
      </w:r>
      <w:r>
        <w:rPr>
          <w:rFonts w:hint="eastAsia" w:ascii="仿宋" w:hAnsi="仿宋" w:eastAsia="仿宋" w:cs="仿宋"/>
          <w:color w:val="auto"/>
          <w:sz w:val="24"/>
        </w:rPr>
        <w:t>★投标人须在收到中标通知书后，立即与采购人对接供餐安排，须与原供餐单位配合做好场地、人员、设备及系统等各项交接工作，并承担相应费用，确保采购人各院区供餐服务顺利衔接无断档；若投标人在衔接期内出现供餐中断、食品质量问题、安全事故等，应启动专项应急供餐保障方案，相关费用由投标人承担。（在投标文件中提供加盖投标人公章的承诺函，承诺函格式自拟）</w:t>
      </w:r>
    </w:p>
    <w:p w14:paraId="6B0A04DE">
      <w:pPr>
        <w:widowControl/>
        <w:numPr>
          <w:ilvl w:val="-1"/>
          <w:numId w:val="0"/>
        </w:numPr>
        <w:spacing w:line="360" w:lineRule="auto"/>
        <w:ind w:left="0" w:leftChars="0" w:firstLine="480" w:firstLineChars="200"/>
        <w:jc w:val="left"/>
        <w:rPr>
          <w:rFonts w:hint="eastAsia"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九</w:t>
      </w:r>
      <w:r>
        <w:rPr>
          <w:rFonts w:hint="eastAsia" w:ascii="仿宋" w:hAnsi="仿宋" w:eastAsia="仿宋" w:cs="仿宋"/>
          <w:color w:val="auto"/>
          <w:sz w:val="24"/>
          <w:lang w:eastAsia="zh-CN"/>
        </w:rPr>
        <w:t>）</w:t>
      </w:r>
      <w:r>
        <w:rPr>
          <w:rFonts w:hint="eastAsia" w:ascii="仿宋" w:hAnsi="仿宋" w:eastAsia="仿宋" w:cs="仿宋"/>
          <w:color w:val="auto"/>
          <w:sz w:val="24"/>
        </w:rPr>
        <w:t>★投标人在收到中标通知书后，须在采购人指定日期内完成餐饮系统的部署、对接、培训全流程工作，确保供餐服务顺利衔接无断档，由投标人承担全部系统建设、维护、升级费用，不得向采购人收取任何费用。若投标人在衔接期内出现系统中断、流程不畅等情况，应启动专项应急供餐保障方案，相关费用由投标人承担。（在投标文件中提供加盖投标人公章的承诺函，承诺函格式自拟）</w:t>
      </w:r>
    </w:p>
    <w:p w14:paraId="3118B5CE">
      <w:pPr>
        <w:widowControl/>
        <w:spacing w:line="360" w:lineRule="auto"/>
        <w:jc w:val="left"/>
        <w:rPr>
          <w:rFonts w:hint="eastAsia" w:ascii="仿宋" w:hAnsi="仿宋" w:eastAsia="仿宋" w:cs="仿宋"/>
          <w:color w:val="auto"/>
          <w:sz w:val="24"/>
        </w:rPr>
      </w:pPr>
    </w:p>
    <w:p w14:paraId="276AA75A">
      <w:pPr>
        <w:pStyle w:val="2"/>
        <w:widowControl/>
        <w:spacing w:beforeAutospacing="0" w:afterAutospacing="0" w:line="360" w:lineRule="auto"/>
        <w:jc w:val="center"/>
        <w:rPr>
          <w:rFonts w:ascii="仿宋" w:hAnsi="仿宋" w:eastAsia="仿宋" w:cs="仿宋"/>
          <w:color w:val="auto"/>
          <w:sz w:val="24"/>
          <w:szCs w:val="24"/>
        </w:rPr>
      </w:pPr>
      <w:r>
        <w:rPr>
          <w:rFonts w:ascii="仿宋" w:hAnsi="仿宋" w:eastAsia="仿宋" w:cs="仿宋"/>
          <w:color w:val="auto"/>
          <w:sz w:val="24"/>
          <w:szCs w:val="24"/>
        </w:rPr>
        <w:t>第十二章 违约责任与合同终止</w:t>
      </w:r>
    </w:p>
    <w:p w14:paraId="5AFC0E7E">
      <w:pPr>
        <w:pStyle w:val="3"/>
        <w:widowControl/>
        <w:numPr>
          <w:ilvl w:val="0"/>
          <w:numId w:val="21"/>
        </w:numPr>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szCs w:val="24"/>
        </w:rPr>
        <w:t>违约情形与责任承担</w:t>
      </w:r>
    </w:p>
    <w:p w14:paraId="51735C7A">
      <w:pPr>
        <w:widowControl/>
        <w:numPr>
          <w:ilvl w:val="0"/>
          <w:numId w:val="22"/>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投标人出现以下</w:t>
      </w:r>
      <w:r>
        <w:rPr>
          <w:rFonts w:hint="eastAsia" w:ascii="仿宋" w:hAnsi="仿宋" w:eastAsia="仿宋" w:cs="仿宋"/>
          <w:b/>
          <w:bCs/>
          <w:color w:val="auto"/>
          <w:sz w:val="24"/>
        </w:rPr>
        <w:t>实质性违约情形的，采购人有权单方立即终止合同，全额没收履约保证金及未返还的服务质量考核保证金，</w:t>
      </w:r>
      <w:r>
        <w:rPr>
          <w:rFonts w:hint="eastAsia" w:ascii="仿宋" w:hAnsi="仿宋" w:eastAsia="仿宋" w:cs="仿宋"/>
          <w:color w:val="auto"/>
          <w:sz w:val="24"/>
        </w:rPr>
        <w:t>投标人须赔偿采购人因此遭受的全部损失：</w:t>
      </w:r>
    </w:p>
    <w:p w14:paraId="1F46C18A">
      <w:pPr>
        <w:widowControl/>
        <w:numPr>
          <w:ilvl w:val="0"/>
          <w:numId w:val="23"/>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发生转包、违法分包行为的；</w:t>
      </w:r>
    </w:p>
    <w:p w14:paraId="0D09E0A1">
      <w:pPr>
        <w:widowControl/>
        <w:numPr>
          <w:ilvl w:val="0"/>
          <w:numId w:val="23"/>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发生重大食品安全事故，造成重大经济损失的；</w:t>
      </w:r>
    </w:p>
    <w:p w14:paraId="06D59873">
      <w:pPr>
        <w:widowControl/>
        <w:numPr>
          <w:ilvl w:val="0"/>
          <w:numId w:val="23"/>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年度合同中食材存在2次及以上农药残留、污染物超标等具有食品安全风险，或违规供应转基因食用油、售卖过期变质食材等且情节严重的；</w:t>
      </w:r>
    </w:p>
    <w:p w14:paraId="75FFC8AE">
      <w:pPr>
        <w:widowControl/>
        <w:numPr>
          <w:ilvl w:val="0"/>
          <w:numId w:val="23"/>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服务考评分数低于相应数值的，</w:t>
      </w:r>
      <w:r>
        <w:rPr>
          <w:rFonts w:hint="eastAsia" w:ascii="宋体" w:hAnsi="宋体" w:eastAsia="宋体" w:cs="宋体"/>
          <w:color w:val="auto"/>
          <w:sz w:val="24"/>
        </w:rPr>
        <w:t>①</w:t>
      </w:r>
      <w:r>
        <w:rPr>
          <w:rFonts w:hint="eastAsia" w:ascii="仿宋" w:hAnsi="仿宋" w:eastAsia="仿宋" w:cs="仿宋"/>
          <w:color w:val="auto"/>
          <w:sz w:val="24"/>
        </w:rPr>
        <w:t>月度质量综合考评：合同期（12个月）内累计3次及以上考评分数低于70分的；</w:t>
      </w:r>
      <w:r>
        <w:rPr>
          <w:rFonts w:hint="eastAsia" w:ascii="微软雅黑" w:hAnsi="微软雅黑" w:eastAsia="微软雅黑" w:cs="微软雅黑"/>
          <w:color w:val="auto"/>
          <w:sz w:val="24"/>
        </w:rPr>
        <w:t>②</w:t>
      </w:r>
      <w:r>
        <w:rPr>
          <w:rFonts w:hint="eastAsia" w:ascii="仿宋" w:hAnsi="仿宋" w:eastAsia="仿宋" w:cs="仿宋"/>
          <w:color w:val="auto"/>
          <w:sz w:val="24"/>
        </w:rPr>
        <w:t>季度膳食服务考评：合同期（12个月）内累计3次及以上考评分数低于70分的；</w:t>
      </w:r>
    </w:p>
    <w:p w14:paraId="627C17A3">
      <w:pPr>
        <w:widowControl/>
        <w:numPr>
          <w:ilvl w:val="0"/>
          <w:numId w:val="23"/>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未按要求完成食堂升级优化，或投入未达约定最低标准的；</w:t>
      </w:r>
    </w:p>
    <w:p w14:paraId="0C5E03C9">
      <w:pPr>
        <w:widowControl/>
        <w:numPr>
          <w:ilvl w:val="0"/>
          <w:numId w:val="23"/>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发生信息数据泄露等安全管理事故，造成严重影响的；</w:t>
      </w:r>
    </w:p>
    <w:p w14:paraId="7D97A865">
      <w:pPr>
        <w:widowControl/>
        <w:numPr>
          <w:ilvl w:val="0"/>
          <w:numId w:val="23"/>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利用该经营场所进行违法活动、存放危险（或违禁）物品，或进行其它损害公共利益的活动的；</w:t>
      </w:r>
    </w:p>
    <w:p w14:paraId="28FB98BB">
      <w:pPr>
        <w:widowControl/>
        <w:numPr>
          <w:ilvl w:val="0"/>
          <w:numId w:val="23"/>
        </w:numPr>
        <w:spacing w:line="360" w:lineRule="auto"/>
        <w:ind w:firstLine="480" w:firstLineChars="200"/>
        <w:jc w:val="left"/>
        <w:rPr>
          <w:rFonts w:hint="eastAsia" w:ascii="仿宋" w:hAnsi="仿宋" w:eastAsia="仿宋" w:cs="仿宋"/>
          <w:color w:val="auto"/>
          <w:sz w:val="24"/>
        </w:rPr>
      </w:pPr>
      <w:r>
        <w:rPr>
          <w:rFonts w:ascii="仿宋" w:hAnsi="仿宋" w:eastAsia="仿宋" w:cs="仿宋"/>
          <w:color w:val="auto"/>
          <w:sz w:val="24"/>
        </w:rPr>
        <w:t>供应不合格的、假冒伪劣、以次充好的货物，年度累计六次及以上的</w:t>
      </w:r>
      <w:r>
        <w:rPr>
          <w:rFonts w:hint="eastAsia" w:ascii="仿宋" w:hAnsi="仿宋" w:eastAsia="仿宋" w:cs="仿宋"/>
          <w:color w:val="auto"/>
          <w:sz w:val="24"/>
        </w:rPr>
        <w:t>；</w:t>
      </w:r>
    </w:p>
    <w:p w14:paraId="2CEFD4BE">
      <w:pPr>
        <w:widowControl/>
        <w:numPr>
          <w:ilvl w:val="0"/>
          <w:numId w:val="23"/>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其他严重违反本项目采购文件要求及损害采购人合法权益的行为。</w:t>
      </w:r>
    </w:p>
    <w:p w14:paraId="4561606F">
      <w:pPr>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（二）违约金与赔偿金抵扣顺序</w:t>
      </w:r>
    </w:p>
    <w:p w14:paraId="21E5CBB5">
      <w:pPr>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因中标人违约产生的上述违约金、赔偿金及扣罚款项，采购人有权按照以下顺序优先抵扣：</w:t>
      </w:r>
    </w:p>
    <w:p w14:paraId="31CE6776">
      <w:pPr>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1.优先从当期服务质量考核保证金中扣除；</w:t>
      </w:r>
    </w:p>
    <w:p w14:paraId="2CA600DE">
      <w:pPr>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2.服务质量考核保证金不足的，从履约保证金中扣除；</w:t>
      </w:r>
    </w:p>
    <w:p w14:paraId="2B098C81">
      <w:pPr>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3.履约保证金仍不足的，有权从任意未结算的应付款项中直接扣除；</w:t>
      </w:r>
    </w:p>
    <w:p w14:paraId="6D2C6137">
      <w:pPr>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4.上述款项均不足以覆盖损失的，采购人有权另行向中标人追偿。</w:t>
      </w:r>
    </w:p>
    <w:p w14:paraId="681842EE">
      <w:pPr>
        <w:pStyle w:val="3"/>
        <w:widowControl/>
        <w:numPr>
          <w:ilvl w:val="0"/>
          <w:numId w:val="21"/>
        </w:numPr>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szCs w:val="24"/>
        </w:rPr>
        <w:t>合同终止规则</w:t>
      </w:r>
    </w:p>
    <w:p w14:paraId="1F62EBC1">
      <w:pPr>
        <w:widowControl/>
        <w:numPr>
          <w:ilvl w:val="0"/>
          <w:numId w:val="24"/>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合同期满续签：本项目总服务期36个月，合同执行期满或累计实际交易金额达到三年最高采购预算上限4500万元，本项目合同自动终止，以先到者为准。合同采取一年一签方式（服务期第12个月、第24个月）年度合同期满，投标人满足续签条件的，双方续签年度合同，不满足的，合同终止。年度合同续签条件：</w:t>
      </w:r>
    </w:p>
    <w:p w14:paraId="660134EB">
      <w:pPr>
        <w:widowControl/>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1. 前一个合同年度内，</w:t>
      </w:r>
      <w:r>
        <w:rPr>
          <w:rFonts w:ascii="仿宋" w:hAnsi="仿宋" w:eastAsia="仿宋" w:cs="仿宋"/>
          <w:color w:val="auto"/>
          <w:sz w:val="24"/>
        </w:rPr>
        <w:t>月度质量综合考评</w:t>
      </w:r>
      <w:r>
        <w:rPr>
          <w:rFonts w:hint="eastAsia" w:ascii="仿宋" w:hAnsi="仿宋" w:eastAsia="仿宋" w:cs="仿宋"/>
          <w:color w:val="auto"/>
          <w:sz w:val="24"/>
        </w:rPr>
        <w:t>平均得分不低于80分，无</w:t>
      </w:r>
      <w:r>
        <w:rPr>
          <w:rFonts w:hint="eastAsia" w:ascii="仿宋" w:hAnsi="仿宋" w:eastAsia="仿宋" w:cs="仿宋"/>
          <w:b/>
          <w:bCs/>
          <w:color w:val="auto"/>
          <w:sz w:val="24"/>
        </w:rPr>
        <w:t>实质性违约情形。</w:t>
      </w:r>
    </w:p>
    <w:p w14:paraId="30402552">
      <w:pPr>
        <w:widowControl/>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2. 续签合同严格遵循本采购文件约定的实质性条款，不改变核心服务标准、定价规则、权责划分、安全要求等核心内容。</w:t>
      </w:r>
    </w:p>
    <w:p w14:paraId="34667B09">
      <w:pPr>
        <w:widowControl/>
        <w:numPr>
          <w:ilvl w:val="0"/>
          <w:numId w:val="24"/>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协商终止：合同履行期间，经双方协商一致，可提前终止合同。</w:t>
      </w:r>
    </w:p>
    <w:p w14:paraId="748A3203">
      <w:pPr>
        <w:widowControl/>
        <w:numPr>
          <w:ilvl w:val="0"/>
          <w:numId w:val="24"/>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采购人单方终止：</w:t>
      </w:r>
    </w:p>
    <w:p w14:paraId="4F6576B8">
      <w:pPr>
        <w:widowControl/>
        <w:numPr>
          <w:ilvl w:val="0"/>
          <w:numId w:val="25"/>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投标人出现本项目采购文件要求的实质性违约情形的，采购人有权单方立即终止合同；</w:t>
      </w:r>
      <w:r>
        <w:rPr>
          <w:rFonts w:hint="eastAsia" w:ascii="仿宋" w:hAnsi="仿宋" w:eastAsia="仿宋" w:cs="仿宋"/>
          <w:b/>
          <w:bCs/>
          <w:color w:val="auto"/>
          <w:sz w:val="24"/>
        </w:rPr>
        <w:t>所投入的所有固定资产及不动产无偿归采购人所有，采购人有权全额没收履约保证金，投标人须赔偿采购人因此遭受的全部损失。</w:t>
      </w:r>
    </w:p>
    <w:p w14:paraId="32EB824A">
      <w:pPr>
        <w:widowControl/>
        <w:numPr>
          <w:ilvl w:val="0"/>
          <w:numId w:val="25"/>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采购人有权根据医院发展规划调整经营模式，确需提前终止合同的，须提前3个月以书面形式告知投标人，投标人须配合完成交接工作；</w:t>
      </w:r>
    </w:p>
    <w:p w14:paraId="0D0E5F1D">
      <w:pPr>
        <w:widowControl/>
        <w:numPr>
          <w:ilvl w:val="0"/>
          <w:numId w:val="24"/>
        </w:numPr>
        <w:spacing w:line="360" w:lineRule="auto"/>
        <w:ind w:firstLine="480" w:firstLineChars="200"/>
        <w:jc w:val="left"/>
        <w:rPr>
          <w:rFonts w:hint="eastAsia" w:ascii="仿宋" w:hAnsi="仿宋" w:eastAsia="仿宋" w:cs="仿宋"/>
          <w:b/>
          <w:bCs/>
          <w:color w:val="auto"/>
          <w:sz w:val="24"/>
        </w:rPr>
      </w:pPr>
      <w:r>
        <w:rPr>
          <w:rFonts w:hint="eastAsia" w:ascii="仿宋" w:hAnsi="仿宋" w:eastAsia="仿宋" w:cs="仿宋"/>
          <w:color w:val="auto"/>
          <w:sz w:val="24"/>
        </w:rPr>
        <w:t>投标人单方终止：投标人不得擅自提前终止合同，擅自停止或退出经营的，</w:t>
      </w:r>
      <w:r>
        <w:rPr>
          <w:rFonts w:hint="eastAsia" w:ascii="仿宋" w:hAnsi="仿宋" w:eastAsia="仿宋" w:cs="仿宋"/>
          <w:b/>
          <w:bCs/>
          <w:color w:val="auto"/>
          <w:sz w:val="24"/>
        </w:rPr>
        <w:t>所投入的所有固定资产及不动产无偿归采购人所有，采购人有权全额没收履约保证金，投标人须赔偿采购人因此遭受的全部损失。</w:t>
      </w:r>
    </w:p>
    <w:p w14:paraId="09B79B77">
      <w:pPr>
        <w:pStyle w:val="3"/>
        <w:widowControl/>
        <w:numPr>
          <w:ilvl w:val="0"/>
          <w:numId w:val="21"/>
        </w:numPr>
        <w:spacing w:beforeAutospacing="0" w:afterAutospacing="0" w:line="360" w:lineRule="auto"/>
        <w:ind w:firstLine="482" w:firstLineChars="200"/>
        <w:rPr>
          <w:rFonts w:ascii="仿宋" w:hAnsi="仿宋" w:eastAsia="仿宋" w:cs="仿宋"/>
          <w:color w:val="auto"/>
          <w:sz w:val="24"/>
          <w:szCs w:val="24"/>
        </w:rPr>
      </w:pPr>
      <w:r>
        <w:rPr>
          <w:rFonts w:ascii="仿宋" w:hAnsi="仿宋" w:eastAsia="仿宋" w:cs="仿宋"/>
          <w:color w:val="auto"/>
          <w:sz w:val="24"/>
          <w:szCs w:val="24"/>
        </w:rPr>
        <w:t>合同终止交接要求</w:t>
      </w:r>
    </w:p>
    <w:p w14:paraId="078BCAFD">
      <w:pPr>
        <w:widowControl/>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（一）合同终止前30日，双方启动交接工作，投标人须配合采购人完成场地、设备、食材、系统数据、台账资料的全面盘点交接。</w:t>
      </w:r>
    </w:p>
    <w:p w14:paraId="2E7AC811">
      <w:pPr>
        <w:widowControl/>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（二）合同终止后，投标人须提供不少于15天的过渡期供餐服务，确保医院食堂供餐平稳过渡，过渡期供餐按本项目采购文件要求的标准、价格执行。</w:t>
      </w:r>
    </w:p>
    <w:p w14:paraId="46B3555F">
      <w:pPr>
        <w:widowControl/>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（三）投标人须在合同终止后15日内，完成场地清场、人员撤离，不可移动资产无偿归采购人所有，可移动资产按本项目采购文件要求处置；逾期未处置的物品，视为投标人抛弃，采购人有权自行处理。</w:t>
      </w:r>
    </w:p>
    <w:p w14:paraId="560E6403">
      <w:pPr>
        <w:widowControl/>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（四）合同终止后，投标人仍须对合同履行期间的食品安全、用工责任等承担全部法律责任。</w:t>
      </w:r>
    </w:p>
    <w:p w14:paraId="7B6BF446">
      <w:pPr>
        <w:spacing w:line="360" w:lineRule="auto"/>
        <w:rPr>
          <w:rFonts w:hint="eastAsia" w:ascii="仿宋" w:hAnsi="仿宋" w:eastAsia="仿宋" w:cs="仿宋"/>
          <w:color w:val="auto"/>
          <w:sz w:val="24"/>
        </w:rPr>
      </w:pPr>
      <w:r>
        <w:rPr>
          <w:rFonts w:hint="eastAsia" w:ascii="仿宋" w:hAnsi="仿宋" w:eastAsia="仿宋" w:cs="仿宋"/>
          <w:color w:val="auto"/>
          <w:sz w:val="24"/>
        </w:rPr>
        <w:br w:type="page"/>
      </w:r>
    </w:p>
    <w:p w14:paraId="674E35BA">
      <w:pPr>
        <w:pStyle w:val="2"/>
        <w:widowControl/>
        <w:spacing w:beforeAutospacing="0" w:afterAutospacing="0" w:line="360" w:lineRule="auto"/>
        <w:rPr>
          <w:rFonts w:ascii="仿宋" w:hAnsi="仿宋" w:eastAsia="仿宋" w:cs="仿宋"/>
          <w:color w:val="auto"/>
          <w:sz w:val="24"/>
          <w:szCs w:val="24"/>
        </w:rPr>
      </w:pPr>
      <w:r>
        <w:rPr>
          <w:rFonts w:ascii="仿宋" w:hAnsi="仿宋" w:eastAsia="仿宋" w:cs="仿宋"/>
          <w:color w:val="auto"/>
          <w:sz w:val="24"/>
          <w:szCs w:val="24"/>
        </w:rPr>
        <w:t>附件1</w:t>
      </w:r>
    </w:p>
    <w:tbl>
      <w:tblPr>
        <w:tblStyle w:val="12"/>
        <w:tblW w:w="5600" w:type="pct"/>
        <w:jc w:val="center"/>
        <w:tblLayout w:type="autofit"/>
        <w:tblCellMar>
          <w:top w:w="0" w:type="dxa"/>
          <w:left w:w="108" w:type="dxa"/>
          <w:bottom w:w="0" w:type="dxa"/>
          <w:right w:w="108" w:type="dxa"/>
        </w:tblCellMar>
      </w:tblPr>
      <w:tblGrid>
        <w:gridCol w:w="1208"/>
        <w:gridCol w:w="809"/>
        <w:gridCol w:w="5748"/>
        <w:gridCol w:w="460"/>
        <w:gridCol w:w="542"/>
        <w:gridCol w:w="778"/>
      </w:tblGrid>
      <w:tr w14:paraId="0EA53AA5">
        <w:tblPrEx>
          <w:tblCellMar>
            <w:top w:w="0" w:type="dxa"/>
            <w:left w:w="108" w:type="dxa"/>
            <w:bottom w:w="0" w:type="dxa"/>
            <w:right w:w="108" w:type="dxa"/>
          </w:tblCellMar>
        </w:tblPrEx>
        <w:trPr>
          <w:trHeight w:val="340" w:hRule="atLeast"/>
          <w:tblHeader/>
          <w:jc w:val="center"/>
        </w:trPr>
        <w:tc>
          <w:tcPr>
            <w:tcW w:w="5000" w:type="pct"/>
            <w:gridSpan w:val="6"/>
            <w:tcBorders>
              <w:top w:val="single" w:color="auto" w:sz="4" w:space="0"/>
              <w:left w:val="single" w:color="auto" w:sz="4" w:space="0"/>
              <w:bottom w:val="nil"/>
              <w:right w:val="single" w:color="auto" w:sz="4" w:space="0"/>
            </w:tcBorders>
            <w:tcMar>
              <w:top w:w="-1" w:type="dxa"/>
              <w:left w:w="-1" w:type="dxa"/>
              <w:bottom w:w="-1" w:type="dxa"/>
              <w:right w:w="-1" w:type="dxa"/>
            </w:tcMar>
            <w:vAlign w:val="center"/>
          </w:tcPr>
          <w:p w14:paraId="4640267C">
            <w:pPr>
              <w:widowControl/>
              <w:snapToGrid w:val="0"/>
              <w:jc w:val="center"/>
              <w:textAlignment w:val="center"/>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lang w:bidi="ar"/>
              </w:rPr>
              <w:t>广州医科大学附属中医医院食堂餐饮服务月度质量综合考评表（参考）</w:t>
            </w:r>
          </w:p>
        </w:tc>
      </w:tr>
      <w:tr w14:paraId="160D2304">
        <w:tblPrEx>
          <w:tblCellMar>
            <w:top w:w="0" w:type="dxa"/>
            <w:left w:w="108" w:type="dxa"/>
            <w:bottom w:w="0" w:type="dxa"/>
            <w:right w:w="108" w:type="dxa"/>
          </w:tblCellMar>
        </w:tblPrEx>
        <w:trPr>
          <w:trHeight w:val="340" w:hRule="atLeast"/>
          <w:tblHeader/>
          <w:jc w:val="center"/>
        </w:trPr>
        <w:tc>
          <w:tcPr>
            <w:tcW w:w="633" w:type="pct"/>
            <w:tcBorders>
              <w:top w:val="single" w:color="000000" w:sz="4" w:space="0"/>
              <w:left w:val="single" w:color="000000" w:sz="4" w:space="0"/>
              <w:bottom w:val="nil"/>
              <w:right w:val="nil"/>
            </w:tcBorders>
            <w:tcMar>
              <w:top w:w="-1" w:type="dxa"/>
              <w:left w:w="-1" w:type="dxa"/>
              <w:bottom w:w="-1" w:type="dxa"/>
              <w:right w:w="-1" w:type="dxa"/>
            </w:tcMar>
            <w:vAlign w:val="center"/>
          </w:tcPr>
          <w:p w14:paraId="5331FCF4">
            <w:pPr>
              <w:widowControl/>
              <w:snapToGrid w:val="0"/>
              <w:jc w:val="center"/>
              <w:textAlignment w:val="center"/>
              <w:rPr>
                <w:rFonts w:hint="eastAsia" w:ascii="宋体" w:hAnsi="宋体" w:eastAsia="宋体" w:cs="宋体"/>
                <w:b/>
                <w:bCs/>
                <w:color w:val="auto"/>
                <w:sz w:val="20"/>
                <w:szCs w:val="20"/>
              </w:rPr>
            </w:pPr>
            <w:r>
              <w:rPr>
                <w:rFonts w:hint="eastAsia" w:ascii="宋体" w:hAnsi="宋体" w:eastAsia="宋体" w:cs="宋体"/>
                <w:b/>
                <w:bCs/>
                <w:color w:val="auto"/>
                <w:kern w:val="0"/>
                <w:sz w:val="20"/>
                <w:szCs w:val="20"/>
                <w:lang w:bidi="ar"/>
              </w:rPr>
              <w:t>考核模块</w:t>
            </w: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3F1B02C0">
            <w:pPr>
              <w:widowControl/>
              <w:snapToGrid w:val="0"/>
              <w:jc w:val="center"/>
              <w:textAlignment w:val="center"/>
              <w:rPr>
                <w:rFonts w:hint="eastAsia" w:ascii="宋体" w:hAnsi="宋体" w:eastAsia="宋体" w:cs="宋体"/>
                <w:b/>
                <w:bCs/>
                <w:color w:val="auto"/>
                <w:sz w:val="20"/>
                <w:szCs w:val="20"/>
              </w:rPr>
            </w:pPr>
            <w:r>
              <w:rPr>
                <w:rFonts w:hint="eastAsia" w:ascii="宋体" w:hAnsi="宋体" w:eastAsia="宋体" w:cs="宋体"/>
                <w:b/>
                <w:bCs/>
                <w:color w:val="auto"/>
                <w:kern w:val="0"/>
                <w:sz w:val="20"/>
                <w:szCs w:val="20"/>
                <w:lang w:bidi="ar"/>
              </w:rPr>
              <w:t>评价指标</w:t>
            </w:r>
          </w:p>
        </w:tc>
        <w:tc>
          <w:tcPr>
            <w:tcW w:w="3011" w:type="pct"/>
            <w:tcBorders>
              <w:top w:val="single" w:color="000000" w:sz="4" w:space="0"/>
              <w:left w:val="single" w:color="000000" w:sz="4" w:space="0"/>
              <w:bottom w:val="nil"/>
              <w:right w:val="nil"/>
            </w:tcBorders>
            <w:tcMar>
              <w:top w:w="-1" w:type="dxa"/>
              <w:left w:w="-1" w:type="dxa"/>
              <w:bottom w:w="-1" w:type="dxa"/>
              <w:right w:w="-1" w:type="dxa"/>
            </w:tcMar>
            <w:vAlign w:val="center"/>
          </w:tcPr>
          <w:p w14:paraId="34B4CFD4">
            <w:pPr>
              <w:widowControl/>
              <w:snapToGrid w:val="0"/>
              <w:jc w:val="center"/>
              <w:textAlignment w:val="center"/>
              <w:rPr>
                <w:rFonts w:hint="eastAsia" w:ascii="宋体" w:hAnsi="宋体" w:eastAsia="宋体" w:cs="宋体"/>
                <w:b/>
                <w:bCs/>
                <w:color w:val="auto"/>
                <w:sz w:val="18"/>
                <w:szCs w:val="18"/>
              </w:rPr>
            </w:pPr>
            <w:r>
              <w:rPr>
                <w:rFonts w:hint="eastAsia" w:ascii="宋体" w:hAnsi="宋体" w:eastAsia="宋体" w:cs="宋体"/>
                <w:b/>
                <w:bCs/>
                <w:color w:val="auto"/>
                <w:kern w:val="0"/>
                <w:sz w:val="18"/>
                <w:szCs w:val="18"/>
                <w:lang w:bidi="ar"/>
              </w:rPr>
              <w:t>考核标准</w:t>
            </w:r>
          </w:p>
        </w:tc>
        <w:tc>
          <w:tcPr>
            <w:tcW w:w="241" w:type="pct"/>
            <w:tcBorders>
              <w:top w:val="single" w:color="000000" w:sz="4" w:space="0"/>
              <w:left w:val="single" w:color="000000" w:sz="4" w:space="0"/>
              <w:bottom w:val="nil"/>
              <w:right w:val="nil"/>
            </w:tcBorders>
            <w:tcMar>
              <w:top w:w="-1" w:type="dxa"/>
              <w:left w:w="-1" w:type="dxa"/>
              <w:bottom w:w="-1" w:type="dxa"/>
              <w:right w:w="-1" w:type="dxa"/>
            </w:tcMar>
            <w:vAlign w:val="center"/>
          </w:tcPr>
          <w:p w14:paraId="0389E660">
            <w:pPr>
              <w:widowControl/>
              <w:snapToGrid w:val="0"/>
              <w:jc w:val="center"/>
              <w:textAlignment w:val="center"/>
              <w:rPr>
                <w:rFonts w:hint="eastAsia" w:ascii="宋体" w:hAnsi="宋体" w:eastAsia="宋体" w:cs="宋体"/>
                <w:b/>
                <w:bCs/>
                <w:color w:val="auto"/>
                <w:sz w:val="20"/>
                <w:szCs w:val="20"/>
              </w:rPr>
            </w:pPr>
            <w:r>
              <w:rPr>
                <w:rFonts w:hint="eastAsia" w:ascii="宋体" w:hAnsi="宋体" w:eastAsia="宋体" w:cs="宋体"/>
                <w:b/>
                <w:bCs/>
                <w:color w:val="auto"/>
                <w:kern w:val="0"/>
                <w:sz w:val="20"/>
                <w:szCs w:val="20"/>
                <w:lang w:bidi="ar"/>
              </w:rPr>
              <w:t>分值</w:t>
            </w:r>
          </w:p>
        </w:tc>
        <w:tc>
          <w:tcPr>
            <w:tcW w:w="284" w:type="pct"/>
            <w:tcBorders>
              <w:top w:val="single" w:color="000000" w:sz="4" w:space="0"/>
              <w:left w:val="single" w:color="000000" w:sz="4" w:space="0"/>
              <w:bottom w:val="nil"/>
              <w:right w:val="nil"/>
            </w:tcBorders>
            <w:tcMar>
              <w:top w:w="-1" w:type="dxa"/>
              <w:left w:w="-1" w:type="dxa"/>
              <w:bottom w:w="-1" w:type="dxa"/>
              <w:right w:w="-1" w:type="dxa"/>
            </w:tcMar>
            <w:vAlign w:val="center"/>
          </w:tcPr>
          <w:p w14:paraId="7F8CF503">
            <w:pPr>
              <w:widowControl/>
              <w:snapToGrid w:val="0"/>
              <w:jc w:val="center"/>
              <w:textAlignment w:val="center"/>
              <w:rPr>
                <w:rFonts w:hint="eastAsia" w:ascii="宋体" w:hAnsi="宋体" w:eastAsia="宋体" w:cs="宋体"/>
                <w:b/>
                <w:bCs/>
                <w:color w:val="auto"/>
                <w:sz w:val="20"/>
                <w:szCs w:val="20"/>
              </w:rPr>
            </w:pPr>
            <w:r>
              <w:rPr>
                <w:rFonts w:hint="eastAsia" w:ascii="宋体" w:hAnsi="宋体" w:eastAsia="宋体" w:cs="宋体"/>
                <w:b/>
                <w:bCs/>
                <w:color w:val="auto"/>
                <w:kern w:val="0"/>
                <w:sz w:val="20"/>
                <w:szCs w:val="20"/>
                <w:lang w:bidi="ar"/>
              </w:rPr>
              <w:t>得分</w:t>
            </w: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14D22C7A">
            <w:pPr>
              <w:widowControl/>
              <w:snapToGrid w:val="0"/>
              <w:jc w:val="center"/>
              <w:textAlignment w:val="center"/>
              <w:rPr>
                <w:rFonts w:hint="eastAsia" w:ascii="宋体" w:hAnsi="宋体" w:eastAsia="宋体" w:cs="宋体"/>
                <w:b/>
                <w:bCs/>
                <w:color w:val="auto"/>
                <w:sz w:val="20"/>
                <w:szCs w:val="20"/>
              </w:rPr>
            </w:pPr>
            <w:r>
              <w:rPr>
                <w:rFonts w:hint="eastAsia" w:ascii="宋体" w:hAnsi="宋体" w:eastAsia="宋体" w:cs="宋体"/>
                <w:b/>
                <w:bCs/>
                <w:color w:val="auto"/>
                <w:kern w:val="0"/>
                <w:sz w:val="20"/>
                <w:szCs w:val="20"/>
                <w:lang w:bidi="ar"/>
              </w:rPr>
              <w:t>扣罚条款</w:t>
            </w:r>
          </w:p>
        </w:tc>
      </w:tr>
      <w:tr w14:paraId="55CE78D7">
        <w:tblPrEx>
          <w:tblCellMar>
            <w:top w:w="0" w:type="dxa"/>
            <w:left w:w="108" w:type="dxa"/>
            <w:bottom w:w="0" w:type="dxa"/>
            <w:right w:w="108" w:type="dxa"/>
          </w:tblCellMar>
        </w:tblPrEx>
        <w:trPr>
          <w:trHeight w:val="340" w:hRule="atLeast"/>
          <w:jc w:val="center"/>
        </w:trPr>
        <w:tc>
          <w:tcPr>
            <w:tcW w:w="633" w:type="pct"/>
            <w:vMerge w:val="restart"/>
            <w:tcBorders>
              <w:top w:val="single" w:color="000000" w:sz="4" w:space="0"/>
              <w:left w:val="single" w:color="000000" w:sz="4" w:space="0"/>
              <w:bottom w:val="nil"/>
              <w:right w:val="nil"/>
            </w:tcBorders>
            <w:tcMar>
              <w:top w:w="-1" w:type="dxa"/>
              <w:left w:w="-1" w:type="dxa"/>
              <w:bottom w:w="-1" w:type="dxa"/>
              <w:right w:w="-1" w:type="dxa"/>
            </w:tcMar>
            <w:vAlign w:val="center"/>
          </w:tcPr>
          <w:p w14:paraId="569C182A">
            <w:pPr>
              <w:widowControl/>
              <w:snapToGrid w:val="0"/>
              <w:jc w:val="center"/>
              <w:textAlignment w:val="center"/>
              <w:rPr>
                <w:rFonts w:hint="eastAsia" w:ascii="宋体" w:hAnsi="宋体" w:eastAsia="宋体" w:cs="宋体"/>
                <w:color w:val="auto"/>
                <w:sz w:val="18"/>
                <w:szCs w:val="20"/>
              </w:rPr>
            </w:pPr>
            <w:r>
              <w:rPr>
                <w:rStyle w:val="31"/>
                <w:rFonts w:hint="default"/>
                <w:color w:val="auto"/>
                <w:sz w:val="18"/>
                <w:lang w:bidi="ar"/>
              </w:rPr>
              <w:t>安全管理（25分）</w:t>
            </w: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6F1A98D6">
            <w:pPr>
              <w:widowControl/>
              <w:snapToGrid w:val="0"/>
              <w:jc w:val="center"/>
              <w:textAlignment w:val="center"/>
              <w:rPr>
                <w:rFonts w:hint="eastAsia" w:ascii="宋体" w:hAnsi="宋体" w:eastAsia="宋体" w:cs="宋体"/>
                <w:color w:val="auto"/>
                <w:kern w:val="0"/>
                <w:sz w:val="18"/>
                <w:szCs w:val="20"/>
                <w:lang w:bidi="ar"/>
              </w:rPr>
            </w:pPr>
            <w:r>
              <w:rPr>
                <w:rFonts w:hint="eastAsia" w:ascii="宋体" w:hAnsi="宋体" w:eastAsia="宋体" w:cs="宋体"/>
                <w:color w:val="auto"/>
                <w:kern w:val="0"/>
                <w:sz w:val="18"/>
                <w:szCs w:val="20"/>
                <w:lang w:bidi="ar"/>
              </w:rPr>
              <w:t>生产</w:t>
            </w:r>
          </w:p>
          <w:p w14:paraId="32F8A37E">
            <w:pPr>
              <w:widowControl/>
              <w:snapToGrid w:val="0"/>
              <w:jc w:val="center"/>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安全</w:t>
            </w:r>
          </w:p>
        </w:tc>
        <w:tc>
          <w:tcPr>
            <w:tcW w:w="3011" w:type="pct"/>
            <w:tcBorders>
              <w:top w:val="single" w:color="000000" w:sz="4" w:space="0"/>
              <w:left w:val="single" w:color="000000" w:sz="4" w:space="0"/>
              <w:bottom w:val="nil"/>
              <w:right w:val="nil"/>
            </w:tcBorders>
            <w:tcMar>
              <w:top w:w="-1" w:type="dxa"/>
              <w:left w:w="-1" w:type="dxa"/>
              <w:bottom w:w="-1" w:type="dxa"/>
              <w:right w:w="-1" w:type="dxa"/>
            </w:tcMar>
            <w:vAlign w:val="center"/>
          </w:tcPr>
          <w:p w14:paraId="1B1B1AC9">
            <w:pPr>
              <w:widowControl/>
              <w:snapToGrid w:val="0"/>
              <w:jc w:val="left"/>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投标人须建立全套食品安全及运营管理台账，所有关键记录必须实时、完整、真实、可追溯，包含但不限于：日常巡查、餐具器具消毒、食品48小时留样、食品添加剂采购及使用、燃气/用电安全、全域卫生检查、外来人员出入登记、冷库/冷藏设备温度监测、消毒药剂配制与使用、食材农残及安全检测、全员每日健康晨检、安全及食品安全培训等台账资料；严禁缺项漏填、事后补录、虚假编造、篡改台账记录，一经发现从严扣分。</w:t>
            </w:r>
          </w:p>
          <w:p w14:paraId="74E52ADE">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2.严格落实食材入库验收全流程管理，安排专人双人验收，严禁验收及使用腐烂变质、异味霉变、包装破损、过期临期、来源不明、资质不全、感官异常的不合格食材；严禁采购、储存、使用任何非食用物质、违禁添加剂、过期原辅材料及三无产品，杜绝不合格食材流入加工环节。</w:t>
            </w:r>
          </w:p>
          <w:p w14:paraId="65F9182F">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3.食品添加剂采购、储存、领用、配比、使用全过程严格遵循《食品安全国家标准 食品添加剂使用标准》（GB2760）规范要求，实行专人专管、专柜上锁、限量领用、精准配比；严禁超范围、超限量使用食品添加剂，严禁违规使用非食品类添加剂、工业原料及违禁化学品。</w:t>
            </w:r>
          </w:p>
          <w:p w14:paraId="388BCC0A">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4.严格查验原料、半成品感官状态，凡存在腐烂、变质、异味、霉变、虫蛀、污染等异常问题，一律禁止清洗、加工、烹制及售卖，严防问题食品流入餐桌。</w:t>
            </w:r>
          </w:p>
          <w:p w14:paraId="1EBD82A7">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5.熟制食品需按规范快速冷却、分区密闭冷藏储存，严格管控储存温度与存放时限；待用食材、半成品、成品、厨具器具须全覆盖密闭防护，杜绝裸露存放、交叉污染、蚊虫粉尘污染。</w:t>
            </w:r>
          </w:p>
          <w:p w14:paraId="5CEFCA4A">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6.严格执行食品留样管理制度，每餐每品种必须规范留样，留样量不少于150g，冷藏密闭存放满48小时，留样标签信息完整（品名、日期、餐次、制作人），专人管理、台账清晰，杜绝少留、漏留、不留、混放、超时丢弃等违规行为。</w:t>
            </w:r>
          </w:p>
          <w:p w14:paraId="61639AA1">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7.全域开展安全风险常态化排查，库房挂架、储物货架严禁超重堆放、违规置物；物品分类分区规范存放，全面防范高空坠物、地面湿滑摔倒、尖锐器械碰撞、密闭空间锁闭、设备漏电等各类安全隐患。</w:t>
            </w:r>
          </w:p>
          <w:p w14:paraId="3E014459">
            <w:pPr>
              <w:widowControl/>
              <w:snapToGrid w:val="0"/>
              <w:jc w:val="left"/>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8.厨房设备、烹调器具、砧板刀具、餐具器皿、运输容器等须定期维护检修，确保完好合规、正常运行；严格执行“一洗、二清、三消毒、四保洁”流程，全员规范落实清洗消毒操作，杜绝清洗不彻底、消毒不到位、器具混放混用问题，严防加工、清洗、存放环节交叉污染，保洁后器具定点密闭存放，保持洁净干燥。</w:t>
            </w:r>
          </w:p>
          <w:p w14:paraId="59BB4891">
            <w:pPr>
              <w:widowControl/>
              <w:snapToGrid w:val="0"/>
              <w:jc w:val="left"/>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9.未按合同消防安全条款执行，年度燃气报警装置第三方年检CMA/CNAS资质检测报告未完成，消防器材配备不全、维护不善无法正常使用；未建立完整消防档案、资料缺失或留存不足三年；未落实燃气分级巡查制度，巡查记录不实、隐患未闭环整改、重大隐患未及时上报。</w:t>
            </w:r>
            <w:r>
              <w:rPr>
                <w:rFonts w:hint="eastAsia" w:ascii="宋体" w:hAnsi="宋体" w:eastAsia="宋体" w:cs="宋体"/>
                <w:color w:val="auto"/>
                <w:kern w:val="0"/>
                <w:sz w:val="18"/>
                <w:szCs w:val="18"/>
                <w:lang w:bidi="ar"/>
              </w:rPr>
              <w:br w:type="textWrapping"/>
            </w:r>
            <w:r>
              <w:rPr>
                <w:rFonts w:hint="eastAsia" w:ascii="宋体" w:hAnsi="宋体" w:eastAsia="宋体" w:cs="宋体"/>
                <w:b/>
                <w:bCs/>
                <w:color w:val="auto"/>
                <w:kern w:val="0"/>
                <w:sz w:val="18"/>
                <w:szCs w:val="18"/>
                <w:lang w:bidi="ar"/>
              </w:rPr>
              <w:t>（发现违反上述规定，每项每次扣0.5分，扣完该项分值为止）</w:t>
            </w:r>
          </w:p>
        </w:tc>
        <w:tc>
          <w:tcPr>
            <w:tcW w:w="241" w:type="pct"/>
            <w:tcBorders>
              <w:top w:val="single" w:color="000000" w:sz="4" w:space="0"/>
              <w:left w:val="single" w:color="auto" w:sz="4" w:space="0"/>
              <w:bottom w:val="nil"/>
              <w:right w:val="nil"/>
            </w:tcBorders>
            <w:tcMar>
              <w:top w:w="-1" w:type="dxa"/>
              <w:left w:w="-1" w:type="dxa"/>
              <w:bottom w:w="-1" w:type="dxa"/>
              <w:right w:w="-1" w:type="dxa"/>
            </w:tcMar>
            <w:vAlign w:val="center"/>
          </w:tcPr>
          <w:p w14:paraId="1A43FD0D">
            <w:pPr>
              <w:widowControl/>
              <w:snapToGrid w:val="0"/>
              <w:jc w:val="center"/>
              <w:textAlignment w:val="center"/>
              <w:rPr>
                <w:rFonts w:ascii="宋体" w:hAnsi="Calibri" w:eastAsia="宋体" w:cs="Calibri"/>
                <w:color w:val="auto"/>
                <w:sz w:val="18"/>
                <w:szCs w:val="20"/>
              </w:rPr>
            </w:pPr>
            <w:r>
              <w:rPr>
                <w:rFonts w:ascii="宋体" w:hAnsi="Calibri" w:eastAsia="宋体" w:cs="Calibri"/>
                <w:color w:val="auto"/>
                <w:kern w:val="0"/>
                <w:sz w:val="18"/>
                <w:szCs w:val="20"/>
                <w:lang w:bidi="ar"/>
              </w:rPr>
              <w:t>6</w:t>
            </w:r>
          </w:p>
        </w:tc>
        <w:tc>
          <w:tcPr>
            <w:tcW w:w="284" w:type="pct"/>
            <w:tcBorders>
              <w:top w:val="single" w:color="000000" w:sz="4" w:space="0"/>
              <w:left w:val="single" w:color="000000" w:sz="4" w:space="0"/>
              <w:bottom w:val="nil"/>
              <w:right w:val="nil"/>
            </w:tcBorders>
            <w:tcMar>
              <w:top w:w="-1" w:type="dxa"/>
              <w:left w:w="-1" w:type="dxa"/>
              <w:bottom w:w="-1" w:type="dxa"/>
              <w:right w:w="-1" w:type="dxa"/>
            </w:tcMar>
            <w:vAlign w:val="center"/>
          </w:tcPr>
          <w:p w14:paraId="6C611D6F">
            <w:pPr>
              <w:snapToGrid w:val="0"/>
              <w:jc w:val="right"/>
              <w:rPr>
                <w:rFonts w:ascii="宋体" w:hAnsi="Calibri" w:eastAsia="宋体" w:cs="Calibri"/>
                <w:color w:val="auto"/>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4582EEE4">
            <w:pPr>
              <w:snapToGrid w:val="0"/>
              <w:jc w:val="right"/>
              <w:rPr>
                <w:rFonts w:ascii="宋体" w:hAnsi="Calibri" w:eastAsia="宋体" w:cs="Calibri"/>
                <w:color w:val="auto"/>
                <w:sz w:val="18"/>
                <w:szCs w:val="20"/>
              </w:rPr>
            </w:pPr>
          </w:p>
        </w:tc>
      </w:tr>
      <w:tr w14:paraId="5650BBB2">
        <w:tblPrEx>
          <w:tblCellMar>
            <w:top w:w="0" w:type="dxa"/>
            <w:left w:w="108" w:type="dxa"/>
            <w:bottom w:w="0" w:type="dxa"/>
            <w:right w:w="108" w:type="dxa"/>
          </w:tblCellMar>
        </w:tblPrEx>
        <w:trPr>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07A11644">
            <w:pPr>
              <w:snapToGrid w:val="0"/>
              <w:jc w:val="center"/>
              <w:rPr>
                <w:rFonts w:hint="eastAsia" w:ascii="宋体" w:hAnsi="宋体" w:eastAsia="宋体" w:cs="宋体"/>
                <w:color w:val="auto"/>
                <w:sz w:val="18"/>
                <w:szCs w:val="20"/>
              </w:rPr>
            </w:pP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78EAA290">
            <w:pPr>
              <w:widowControl/>
              <w:snapToGrid w:val="0"/>
              <w:jc w:val="center"/>
              <w:textAlignment w:val="center"/>
              <w:rPr>
                <w:rFonts w:hint="eastAsia" w:ascii="宋体" w:hAnsi="宋体" w:eastAsia="宋体" w:cs="宋体"/>
                <w:color w:val="auto"/>
                <w:kern w:val="0"/>
                <w:sz w:val="18"/>
                <w:szCs w:val="20"/>
                <w:lang w:bidi="ar"/>
              </w:rPr>
            </w:pPr>
            <w:r>
              <w:rPr>
                <w:rFonts w:hint="eastAsia" w:ascii="宋体" w:hAnsi="宋体" w:eastAsia="宋体" w:cs="宋体"/>
                <w:color w:val="auto"/>
                <w:kern w:val="0"/>
                <w:sz w:val="18"/>
                <w:szCs w:val="20"/>
                <w:lang w:bidi="ar"/>
              </w:rPr>
              <w:t>操作</w:t>
            </w:r>
          </w:p>
          <w:p w14:paraId="5C0EEE3A">
            <w:pPr>
              <w:widowControl/>
              <w:snapToGrid w:val="0"/>
              <w:jc w:val="center"/>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规范</w:t>
            </w:r>
          </w:p>
        </w:tc>
        <w:tc>
          <w:tcPr>
            <w:tcW w:w="3011" w:type="pct"/>
            <w:tcBorders>
              <w:top w:val="single" w:color="000000" w:sz="4" w:space="0"/>
              <w:left w:val="single" w:color="000000" w:sz="4" w:space="0"/>
              <w:bottom w:val="nil"/>
              <w:right w:val="nil"/>
            </w:tcBorders>
            <w:tcMar>
              <w:top w:w="-1" w:type="dxa"/>
              <w:left w:w="-1" w:type="dxa"/>
              <w:bottom w:w="-1" w:type="dxa"/>
              <w:right w:w="-1" w:type="dxa"/>
            </w:tcMar>
            <w:vAlign w:val="center"/>
          </w:tcPr>
          <w:p w14:paraId="46C51215">
            <w:pPr>
              <w:widowControl/>
              <w:snapToGrid w:val="0"/>
              <w:jc w:val="left"/>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所有食材须按加工标准深度清洗、精细化处理，彻底清除泥沙、杂物、虫卵、杂质；水产、禽畜、肉类、蔬果等食材严格落实预处理工序，杜绝残留绒毛、鱼鳞、内脏、泥沙、虫体等异物杂质，保障食材洁净安全。</w:t>
            </w:r>
          </w:p>
          <w:p w14:paraId="4AFBCFC7">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2.根茎类蔬果按要求统一去皮处理（煲汤类特殊食材除外），所有切配食材大小均匀、厚薄一致、规格统一，符合菜式出品标准；严禁粗放加工、随意切配、粗细混杂。</w:t>
            </w:r>
          </w:p>
          <w:p w14:paraId="25469D7E">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3.食品原料储存、半成品加工、成品制作全流程严格遵循食品安全操作规范，分区作业、温控达标、时效合规，杜绝违规加工、超时存放、温区超标等问题。</w:t>
            </w:r>
          </w:p>
          <w:p w14:paraId="13F12ED9">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4.食材解冻严格执行低温冷藏、流水解冻等合规方式，严控解冻温度与时长，严禁反复冷冻、二次解冻、常温长时间裸露解冻，防止食材变质滋生细菌。</w:t>
            </w:r>
          </w:p>
          <w:p w14:paraId="40789DA8">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5.实行分区加工、分类存放管理，原料区、半成品区、成品区、清洁区、污染区严格分离；所有食材、原辅材料、包装物料必须离地、隔墙、密闭存放，生熟、荤素、干湿、散装食品、蛋类及高危食材分类隔离存放，杜绝混放、串味、交叉污染。</w:t>
            </w:r>
          </w:p>
          <w:p w14:paraId="0DD00CE6">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6.食品容器、砧板、刀具、抹布实行色标分区、标识管理，生熟专用、分类使用；配送车辆、周转容器定期清洗消毒，全程密闭运输，严防运输途中污染、混装串货。</w:t>
            </w:r>
          </w:p>
          <w:p w14:paraId="359B891C">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7.全体在岗人员严禁在营业及作业区域从事与工作无关行为，严禁吸烟、嬉戏打闹、擅自串岗、私自进入医院办公区域；在岗期间未按规范佩戴帽子、口罩、发网、围裙，擅自摘除防护用具，一律按违规处理。</w:t>
            </w:r>
          </w:p>
          <w:p w14:paraId="3A53E81C">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8.清洁工具分类专用、分区使用，严禁混用抹布、钢丝球等硬质磨损工具加工及清洁食品接触面，防止器具破损、杂质残留。</w:t>
            </w:r>
          </w:p>
          <w:p w14:paraId="2E0284C4">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9.完善健全食堂全域管理制度、设备安全操作规程、消防安全管理制度、突发事件（食品安全事故、公共卫生事件、停水停电等）应急处置预案、食品安全管控制度等全套制度，全部上墙公示、全员熟知、常态化执行。</w:t>
            </w:r>
          </w:p>
          <w:p w14:paraId="6A2F1466">
            <w:pPr>
              <w:widowControl/>
              <w:snapToGrid w:val="0"/>
              <w:jc w:val="left"/>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10.各类生产设备、电气设施、消防器材、防护装置标识清晰完整，安全警示标识、操作提示标识完好有效；电气线路、接头、开关定期排查，每日收工后切断非必要电源、气源，常态化排查整改各类安全隐患。</w:t>
            </w:r>
          </w:p>
          <w:p w14:paraId="4D799BA3">
            <w:pPr>
              <w:widowControl/>
              <w:snapToGrid w:val="0"/>
              <w:jc w:val="left"/>
              <w:textAlignment w:val="center"/>
              <w:rPr>
                <w:rFonts w:hint="eastAsia" w:ascii="宋体" w:hAnsi="宋体" w:eastAsia="宋体" w:cs="宋体"/>
                <w:b/>
                <w:bCs/>
                <w:color w:val="auto"/>
                <w:kern w:val="0"/>
                <w:sz w:val="18"/>
                <w:szCs w:val="18"/>
                <w:lang w:bidi="ar"/>
              </w:rPr>
            </w:pPr>
            <w:r>
              <w:rPr>
                <w:rFonts w:hint="eastAsia" w:ascii="宋体" w:hAnsi="宋体" w:eastAsia="宋体" w:cs="宋体"/>
                <w:b/>
                <w:bCs/>
                <w:color w:val="auto"/>
                <w:kern w:val="0"/>
                <w:sz w:val="18"/>
                <w:szCs w:val="18"/>
                <w:lang w:bidi="ar"/>
              </w:rPr>
              <w:t>（发现违反上述规定，每项每次扣0.5分，扣完该项分值为止）</w:t>
            </w:r>
          </w:p>
        </w:tc>
        <w:tc>
          <w:tcPr>
            <w:tcW w:w="241" w:type="pct"/>
            <w:tcBorders>
              <w:top w:val="single" w:color="000000" w:sz="4" w:space="0"/>
              <w:left w:val="single" w:color="auto" w:sz="4" w:space="0"/>
              <w:bottom w:val="nil"/>
              <w:right w:val="nil"/>
            </w:tcBorders>
            <w:tcMar>
              <w:top w:w="-1" w:type="dxa"/>
              <w:left w:w="-1" w:type="dxa"/>
              <w:bottom w:w="-1" w:type="dxa"/>
              <w:right w:w="-1" w:type="dxa"/>
            </w:tcMar>
            <w:vAlign w:val="center"/>
          </w:tcPr>
          <w:p w14:paraId="3C280BE5">
            <w:pPr>
              <w:widowControl/>
              <w:snapToGrid w:val="0"/>
              <w:jc w:val="center"/>
              <w:textAlignment w:val="center"/>
              <w:rPr>
                <w:rFonts w:ascii="宋体" w:hAnsi="Calibri" w:eastAsia="宋体" w:cs="Calibri"/>
                <w:color w:val="auto"/>
                <w:sz w:val="18"/>
                <w:szCs w:val="20"/>
              </w:rPr>
            </w:pPr>
            <w:r>
              <w:rPr>
                <w:rFonts w:ascii="宋体" w:hAnsi="Calibri" w:eastAsia="宋体" w:cs="Calibri"/>
                <w:color w:val="auto"/>
                <w:kern w:val="0"/>
                <w:sz w:val="18"/>
                <w:szCs w:val="20"/>
                <w:lang w:bidi="ar"/>
              </w:rPr>
              <w:t>5</w:t>
            </w:r>
          </w:p>
        </w:tc>
        <w:tc>
          <w:tcPr>
            <w:tcW w:w="284" w:type="pct"/>
            <w:tcBorders>
              <w:top w:val="single" w:color="000000" w:sz="4" w:space="0"/>
              <w:left w:val="single" w:color="000000" w:sz="4" w:space="0"/>
              <w:bottom w:val="nil"/>
              <w:right w:val="nil"/>
            </w:tcBorders>
            <w:tcMar>
              <w:top w:w="-1" w:type="dxa"/>
              <w:left w:w="-1" w:type="dxa"/>
              <w:bottom w:w="-1" w:type="dxa"/>
              <w:right w:w="-1" w:type="dxa"/>
            </w:tcMar>
            <w:vAlign w:val="center"/>
          </w:tcPr>
          <w:p w14:paraId="7A5D8086">
            <w:pPr>
              <w:snapToGrid w:val="0"/>
              <w:jc w:val="right"/>
              <w:rPr>
                <w:rFonts w:ascii="宋体" w:hAnsi="Calibri" w:eastAsia="宋体" w:cs="Calibri"/>
                <w:color w:val="auto"/>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416E3615">
            <w:pPr>
              <w:snapToGrid w:val="0"/>
              <w:jc w:val="right"/>
              <w:rPr>
                <w:rFonts w:ascii="宋体" w:hAnsi="Calibri" w:eastAsia="宋体" w:cs="Calibri"/>
                <w:color w:val="auto"/>
                <w:sz w:val="18"/>
                <w:szCs w:val="20"/>
              </w:rPr>
            </w:pPr>
          </w:p>
        </w:tc>
      </w:tr>
      <w:tr w14:paraId="455C01AD">
        <w:tblPrEx>
          <w:tblCellMar>
            <w:top w:w="0" w:type="dxa"/>
            <w:left w:w="108" w:type="dxa"/>
            <w:bottom w:w="0" w:type="dxa"/>
            <w:right w:w="108" w:type="dxa"/>
          </w:tblCellMar>
        </w:tblPrEx>
        <w:trPr>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061CA2B6">
            <w:pPr>
              <w:snapToGrid w:val="0"/>
              <w:jc w:val="center"/>
              <w:rPr>
                <w:rFonts w:hint="eastAsia" w:ascii="宋体" w:hAnsi="宋体" w:eastAsia="宋体" w:cs="宋体"/>
                <w:color w:val="auto"/>
                <w:sz w:val="18"/>
                <w:szCs w:val="20"/>
              </w:rPr>
            </w:pP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0D7A6846">
            <w:pPr>
              <w:widowControl/>
              <w:snapToGrid w:val="0"/>
              <w:jc w:val="center"/>
              <w:textAlignment w:val="center"/>
              <w:rPr>
                <w:rFonts w:hint="eastAsia" w:ascii="宋体" w:hAnsi="宋体" w:eastAsia="宋体" w:cs="宋体"/>
                <w:color w:val="auto"/>
                <w:kern w:val="0"/>
                <w:sz w:val="18"/>
                <w:szCs w:val="20"/>
                <w:lang w:bidi="ar"/>
              </w:rPr>
            </w:pPr>
            <w:r>
              <w:rPr>
                <w:rFonts w:hint="eastAsia" w:ascii="宋体" w:hAnsi="宋体" w:eastAsia="宋体" w:cs="宋体"/>
                <w:color w:val="auto"/>
                <w:kern w:val="0"/>
                <w:sz w:val="18"/>
                <w:szCs w:val="20"/>
                <w:lang w:bidi="ar"/>
              </w:rPr>
              <w:t>异物</w:t>
            </w:r>
          </w:p>
          <w:p w14:paraId="05F07F5C">
            <w:pPr>
              <w:widowControl/>
              <w:snapToGrid w:val="0"/>
              <w:jc w:val="center"/>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概率</w:t>
            </w:r>
          </w:p>
        </w:tc>
        <w:tc>
          <w:tcPr>
            <w:tcW w:w="3011" w:type="pct"/>
            <w:tcBorders>
              <w:top w:val="single" w:color="000000" w:sz="4" w:space="0"/>
              <w:left w:val="single" w:color="000000" w:sz="4" w:space="0"/>
              <w:bottom w:val="nil"/>
              <w:right w:val="nil"/>
            </w:tcBorders>
            <w:tcMar>
              <w:top w:w="-1" w:type="dxa"/>
              <w:left w:w="-1" w:type="dxa"/>
              <w:bottom w:w="-1" w:type="dxa"/>
              <w:right w:w="-1" w:type="dxa"/>
            </w:tcMar>
            <w:vAlign w:val="center"/>
          </w:tcPr>
          <w:p w14:paraId="53E9C8E6">
            <w:pPr>
              <w:widowControl/>
              <w:snapToGrid w:val="0"/>
              <w:jc w:val="left"/>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1.因清洗不到位、预处理不规范导致菜品出现毛发、沙粒、虫体、杂物、包装碎片、残留杂质等一般性异物</w:t>
            </w:r>
          </w:p>
          <w:p w14:paraId="4830243C">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2.因加工操作不规范、人员管理疏漏，混入一次性用品、保鲜膜、标签、指甲、创可贴、铁丝、玻璃、塑料制品等人为及加工类异物</w:t>
            </w:r>
          </w:p>
          <w:p w14:paraId="5F8130AE">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3.餐品及加工区域发现蟑螂、老鼠、苍蝇、蚂蚁、爬虫等病媒生物及恶性有害异物，属于重大食品安全隐患，同步限期停业整改。</w:t>
            </w:r>
          </w:p>
          <w:p w14:paraId="1AA227ED">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4.建立异物防控长效机制，从食材验收、清洗加工、出品检查、餐品核验全环节严格管控，杜绝各类异物问题反复发生。</w:t>
            </w:r>
            <w:r>
              <w:rPr>
                <w:rFonts w:hint="eastAsia" w:ascii="宋体" w:hAnsi="宋体" w:eastAsia="宋体" w:cs="宋体"/>
                <w:color w:val="auto"/>
                <w:kern w:val="0"/>
                <w:sz w:val="18"/>
                <w:szCs w:val="18"/>
                <w:lang w:bidi="ar"/>
              </w:rPr>
              <w:br w:type="textWrapping"/>
            </w:r>
            <w:r>
              <w:rPr>
                <w:rFonts w:hint="eastAsia" w:ascii="宋体" w:hAnsi="宋体" w:eastAsia="宋体" w:cs="宋体"/>
                <w:b/>
                <w:bCs/>
                <w:color w:val="auto"/>
                <w:kern w:val="2"/>
                <w:sz w:val="18"/>
                <w:szCs w:val="18"/>
                <w:lang w:bidi="ar-SA"/>
              </w:rPr>
              <w:t>（发现违反上述规定，每项每次扣1分，扣完该项分值为止）</w:t>
            </w:r>
          </w:p>
        </w:tc>
        <w:tc>
          <w:tcPr>
            <w:tcW w:w="241" w:type="pct"/>
            <w:tcBorders>
              <w:top w:val="single" w:color="000000" w:sz="4" w:space="0"/>
              <w:left w:val="single" w:color="auto" w:sz="4" w:space="0"/>
              <w:bottom w:val="nil"/>
              <w:right w:val="nil"/>
            </w:tcBorders>
            <w:tcMar>
              <w:top w:w="-1" w:type="dxa"/>
              <w:left w:w="-1" w:type="dxa"/>
              <w:bottom w:w="-1" w:type="dxa"/>
              <w:right w:w="-1" w:type="dxa"/>
            </w:tcMar>
            <w:vAlign w:val="center"/>
          </w:tcPr>
          <w:p w14:paraId="13BAD1CA">
            <w:pPr>
              <w:widowControl/>
              <w:snapToGrid w:val="0"/>
              <w:jc w:val="left"/>
              <w:textAlignment w:val="center"/>
              <w:rPr>
                <w:rFonts w:ascii="宋体" w:hAnsi="Calibri" w:eastAsia="宋体" w:cs="Calibri"/>
                <w:color w:val="auto"/>
                <w:sz w:val="18"/>
                <w:szCs w:val="20"/>
              </w:rPr>
            </w:pPr>
            <w:r>
              <w:rPr>
                <w:rFonts w:ascii="宋体" w:hAnsi="Calibri" w:eastAsia="宋体" w:cs="Calibri"/>
                <w:color w:val="auto"/>
                <w:kern w:val="0"/>
                <w:sz w:val="18"/>
                <w:szCs w:val="20"/>
                <w:lang w:bidi="ar"/>
              </w:rPr>
              <w:t>4</w:t>
            </w:r>
          </w:p>
        </w:tc>
        <w:tc>
          <w:tcPr>
            <w:tcW w:w="284" w:type="pct"/>
            <w:tcBorders>
              <w:top w:val="single" w:color="000000" w:sz="4" w:space="0"/>
              <w:left w:val="single" w:color="000000" w:sz="4" w:space="0"/>
              <w:bottom w:val="nil"/>
              <w:right w:val="nil"/>
            </w:tcBorders>
            <w:tcMar>
              <w:top w:w="-1" w:type="dxa"/>
              <w:left w:w="-1" w:type="dxa"/>
              <w:bottom w:w="-1" w:type="dxa"/>
              <w:right w:w="-1" w:type="dxa"/>
            </w:tcMar>
            <w:vAlign w:val="center"/>
          </w:tcPr>
          <w:p w14:paraId="46F9A597">
            <w:pPr>
              <w:snapToGrid w:val="0"/>
              <w:jc w:val="right"/>
              <w:rPr>
                <w:rFonts w:ascii="宋体" w:hAnsi="Calibri" w:eastAsia="宋体" w:cs="Calibri"/>
                <w:color w:val="auto"/>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5D42987A">
            <w:pPr>
              <w:snapToGrid w:val="0"/>
              <w:jc w:val="right"/>
              <w:rPr>
                <w:rFonts w:ascii="宋体" w:hAnsi="Calibri" w:eastAsia="宋体" w:cs="Calibri"/>
                <w:color w:val="auto"/>
                <w:sz w:val="18"/>
                <w:szCs w:val="20"/>
              </w:rPr>
            </w:pPr>
          </w:p>
        </w:tc>
      </w:tr>
      <w:tr w14:paraId="3124C167">
        <w:tblPrEx>
          <w:tblCellMar>
            <w:top w:w="0" w:type="dxa"/>
            <w:left w:w="108" w:type="dxa"/>
            <w:bottom w:w="0" w:type="dxa"/>
            <w:right w:w="108" w:type="dxa"/>
          </w:tblCellMar>
        </w:tblPrEx>
        <w:trPr>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308F27F4">
            <w:pPr>
              <w:snapToGrid w:val="0"/>
              <w:jc w:val="center"/>
              <w:rPr>
                <w:rFonts w:hint="eastAsia" w:ascii="宋体" w:hAnsi="宋体" w:eastAsia="宋体" w:cs="宋体"/>
                <w:color w:val="auto"/>
                <w:sz w:val="18"/>
                <w:szCs w:val="20"/>
              </w:rPr>
            </w:pP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056AF03D">
            <w:pPr>
              <w:widowControl/>
              <w:snapToGrid w:val="0"/>
              <w:jc w:val="center"/>
              <w:textAlignment w:val="center"/>
              <w:rPr>
                <w:rFonts w:hint="eastAsia" w:ascii="宋体" w:hAnsi="宋体" w:eastAsia="宋体" w:cs="宋体"/>
                <w:color w:val="auto"/>
                <w:kern w:val="0"/>
                <w:sz w:val="18"/>
                <w:szCs w:val="20"/>
                <w:lang w:bidi="ar"/>
              </w:rPr>
            </w:pPr>
            <w:r>
              <w:rPr>
                <w:rFonts w:hint="eastAsia" w:ascii="宋体" w:hAnsi="宋体" w:eastAsia="宋体" w:cs="宋体"/>
                <w:color w:val="auto"/>
                <w:kern w:val="0"/>
                <w:sz w:val="18"/>
                <w:szCs w:val="20"/>
                <w:lang w:bidi="ar"/>
              </w:rPr>
              <w:t>环境</w:t>
            </w:r>
          </w:p>
          <w:p w14:paraId="7C4F67CE">
            <w:pPr>
              <w:widowControl/>
              <w:snapToGrid w:val="0"/>
              <w:jc w:val="center"/>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卫生</w:t>
            </w:r>
          </w:p>
        </w:tc>
        <w:tc>
          <w:tcPr>
            <w:tcW w:w="3011" w:type="pct"/>
            <w:tcBorders>
              <w:top w:val="single" w:color="000000" w:sz="4" w:space="0"/>
              <w:left w:val="single" w:color="000000" w:sz="4" w:space="0"/>
              <w:bottom w:val="nil"/>
              <w:right w:val="nil"/>
            </w:tcBorders>
            <w:tcMar>
              <w:top w:w="-1" w:type="dxa"/>
              <w:left w:w="-1" w:type="dxa"/>
              <w:bottom w:w="-1" w:type="dxa"/>
              <w:right w:w="-1" w:type="dxa"/>
            </w:tcMar>
            <w:vAlign w:val="center"/>
          </w:tcPr>
          <w:p w14:paraId="2968708A">
            <w:pPr>
              <w:widowControl/>
              <w:snapToGrid w:val="0"/>
              <w:jc w:val="left"/>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垃圾容器全覆盖密闭加盖，选用脚踏式无接触垃圾桶，餐厨垃圾、生活垃圾、有害垃圾分类存放、及时清运，日产日清，杜绝垃圾堆积、异味滋生。作业区域严禁随意挪动地漏盖板、堆放厨余残渣、杂物垃圾，定期疏通排水管道、清理油污淤积，确保下水道畅通无堵塞、无异味、无积水。</w:t>
            </w:r>
          </w:p>
          <w:p w14:paraId="26351D07">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2.食堂全域实行无死角保洁，墙面、地面、门窗、天花、照明、操作台、库房、排水沟、设备表面、刀具砧板等区域每日清洁、定期消杀，持续保持干净整洁、通风良好、无油污、无霉斑、无积尘。</w:t>
            </w:r>
          </w:p>
          <w:p w14:paraId="08C26523">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3.废弃物收集设施、清洁工具、消杀用品定期清洗、消毒、保养，破损工具及时更换，避免二次污染。</w:t>
            </w:r>
          </w:p>
          <w:p w14:paraId="66E386C8">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4.建筑设施、给排水系统、排烟排风、餐厨设备、仓储设施定期维保检修，保持完好合规，全面满足食品卫生及院感管理要求。</w:t>
            </w:r>
          </w:p>
          <w:p w14:paraId="6CC1D048">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5.商超展售食品、自制餐品、特殊膳食须规范张贴标签，品名、配料、生产日期、保质期、食用提示等信息准确完整，严禁标签缺失、信息错误、过期售卖。</w:t>
            </w:r>
            <w:r>
              <w:rPr>
                <w:rFonts w:hint="eastAsia" w:ascii="宋体" w:hAnsi="宋体" w:eastAsia="宋体" w:cs="宋体"/>
                <w:color w:val="auto"/>
                <w:kern w:val="0"/>
                <w:sz w:val="18"/>
                <w:szCs w:val="18"/>
                <w:lang w:bidi="ar"/>
              </w:rPr>
              <w:br w:type="textWrapping"/>
            </w:r>
            <w:r>
              <w:rPr>
                <w:rFonts w:hint="eastAsia" w:ascii="宋体" w:hAnsi="宋体" w:eastAsia="宋体" w:cs="宋体"/>
                <w:b/>
                <w:bCs/>
                <w:color w:val="auto"/>
                <w:sz w:val="18"/>
                <w:szCs w:val="18"/>
              </w:rPr>
              <w:t>（发现违反上述规定，每项每次扣1分，扣完该项分值为止）</w:t>
            </w:r>
          </w:p>
        </w:tc>
        <w:tc>
          <w:tcPr>
            <w:tcW w:w="241" w:type="pct"/>
            <w:tcBorders>
              <w:top w:val="single" w:color="000000" w:sz="4" w:space="0"/>
              <w:left w:val="single" w:color="auto" w:sz="4" w:space="0"/>
              <w:bottom w:val="nil"/>
              <w:right w:val="nil"/>
            </w:tcBorders>
            <w:tcMar>
              <w:top w:w="-1" w:type="dxa"/>
              <w:left w:w="-1" w:type="dxa"/>
              <w:bottom w:w="-1" w:type="dxa"/>
              <w:right w:w="-1" w:type="dxa"/>
            </w:tcMar>
            <w:vAlign w:val="center"/>
          </w:tcPr>
          <w:p w14:paraId="2531A01B">
            <w:pPr>
              <w:widowControl/>
              <w:snapToGrid w:val="0"/>
              <w:jc w:val="left"/>
              <w:textAlignment w:val="center"/>
              <w:rPr>
                <w:rFonts w:ascii="宋体" w:hAnsi="Calibri" w:eastAsia="宋体" w:cs="Calibri"/>
                <w:color w:val="auto"/>
                <w:sz w:val="18"/>
                <w:szCs w:val="20"/>
              </w:rPr>
            </w:pPr>
            <w:r>
              <w:rPr>
                <w:rFonts w:ascii="宋体" w:hAnsi="Calibri" w:eastAsia="宋体" w:cs="Calibri"/>
                <w:color w:val="auto"/>
                <w:kern w:val="0"/>
                <w:sz w:val="18"/>
                <w:szCs w:val="20"/>
                <w:lang w:bidi="ar"/>
              </w:rPr>
              <w:t>5</w:t>
            </w:r>
          </w:p>
        </w:tc>
        <w:tc>
          <w:tcPr>
            <w:tcW w:w="284" w:type="pct"/>
            <w:tcBorders>
              <w:top w:val="single" w:color="000000" w:sz="4" w:space="0"/>
              <w:left w:val="single" w:color="000000" w:sz="4" w:space="0"/>
              <w:bottom w:val="nil"/>
              <w:right w:val="nil"/>
            </w:tcBorders>
            <w:tcMar>
              <w:top w:w="-1" w:type="dxa"/>
              <w:left w:w="-1" w:type="dxa"/>
              <w:bottom w:w="-1" w:type="dxa"/>
              <w:right w:w="-1" w:type="dxa"/>
            </w:tcMar>
            <w:vAlign w:val="center"/>
          </w:tcPr>
          <w:p w14:paraId="476D4EDD">
            <w:pPr>
              <w:snapToGrid w:val="0"/>
              <w:jc w:val="right"/>
              <w:rPr>
                <w:rFonts w:ascii="宋体" w:hAnsi="Calibri" w:eastAsia="宋体" w:cs="Calibri"/>
                <w:color w:val="auto"/>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451A0DD7">
            <w:pPr>
              <w:snapToGrid w:val="0"/>
              <w:jc w:val="right"/>
              <w:rPr>
                <w:rFonts w:ascii="宋体" w:hAnsi="Calibri" w:eastAsia="宋体" w:cs="Calibri"/>
                <w:color w:val="auto"/>
                <w:sz w:val="18"/>
                <w:szCs w:val="20"/>
              </w:rPr>
            </w:pPr>
          </w:p>
        </w:tc>
      </w:tr>
      <w:tr w14:paraId="2E3BC593">
        <w:tblPrEx>
          <w:tblCellMar>
            <w:top w:w="0" w:type="dxa"/>
            <w:left w:w="108" w:type="dxa"/>
            <w:bottom w:w="0" w:type="dxa"/>
            <w:right w:w="108" w:type="dxa"/>
          </w:tblCellMar>
        </w:tblPrEx>
        <w:trPr>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44B3A816">
            <w:pPr>
              <w:snapToGrid w:val="0"/>
              <w:jc w:val="center"/>
              <w:rPr>
                <w:rFonts w:hint="eastAsia" w:ascii="宋体" w:hAnsi="宋体" w:eastAsia="宋体" w:cs="宋体"/>
                <w:color w:val="auto"/>
                <w:sz w:val="18"/>
                <w:szCs w:val="20"/>
              </w:rPr>
            </w:pP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73E08348">
            <w:pPr>
              <w:widowControl/>
              <w:snapToGrid w:val="0"/>
              <w:jc w:val="center"/>
              <w:textAlignment w:val="center"/>
              <w:rPr>
                <w:rFonts w:hint="eastAsia" w:ascii="宋体" w:hAnsi="宋体" w:eastAsia="宋体" w:cs="宋体"/>
                <w:color w:val="auto"/>
                <w:kern w:val="0"/>
                <w:sz w:val="18"/>
                <w:szCs w:val="20"/>
                <w:lang w:bidi="ar"/>
              </w:rPr>
            </w:pPr>
            <w:r>
              <w:rPr>
                <w:rFonts w:hint="eastAsia" w:ascii="宋体" w:hAnsi="宋体" w:eastAsia="宋体" w:cs="宋体"/>
                <w:color w:val="auto"/>
                <w:kern w:val="0"/>
                <w:sz w:val="18"/>
                <w:szCs w:val="20"/>
                <w:lang w:bidi="ar"/>
              </w:rPr>
              <w:t>防范</w:t>
            </w:r>
          </w:p>
          <w:p w14:paraId="3AAD6BA2">
            <w:pPr>
              <w:widowControl/>
              <w:snapToGrid w:val="0"/>
              <w:jc w:val="center"/>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措施</w:t>
            </w:r>
          </w:p>
        </w:tc>
        <w:tc>
          <w:tcPr>
            <w:tcW w:w="3011" w:type="pct"/>
            <w:tcBorders>
              <w:top w:val="single" w:color="000000" w:sz="4" w:space="0"/>
              <w:left w:val="single" w:color="000000" w:sz="4" w:space="0"/>
              <w:bottom w:val="nil"/>
              <w:right w:val="nil"/>
            </w:tcBorders>
            <w:tcMar>
              <w:top w:w="-1" w:type="dxa"/>
              <w:left w:w="-1" w:type="dxa"/>
              <w:bottom w:w="-1" w:type="dxa"/>
              <w:right w:w="-1" w:type="dxa"/>
            </w:tcMar>
            <w:vAlign w:val="center"/>
          </w:tcPr>
          <w:p w14:paraId="335E6D5C">
            <w:pPr>
              <w:widowControl/>
              <w:snapToGrid w:val="0"/>
              <w:jc w:val="left"/>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严格落实每日全员晨检、健康排查制度，凡存在发热、咳嗽、腹泻、皮肤化脓伤口、传染性疾病及其他影响食品安全症状人员，立即调离食品岗位，治愈并体检合格后方可复岗；所有在岗人员必须持有效健康证上岗，证件过期、无证人员一律禁止从业。</w:t>
            </w:r>
          </w:p>
          <w:p w14:paraId="749DCFF8">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2.新入职员工须在入职前办理有效健康证明，未取得合规证件前，不得接触食品加工、配餐、售卖等一线岗位。</w:t>
            </w:r>
          </w:p>
          <w:p w14:paraId="4B3EE664">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3.全员规范统一着装，工服、工帽、发网、口罩、围裙穿戴齐全规范，食品加工区域严禁佩戴首饰、手表、美甲、饰品等物品，严控人员携带污染风险。</w:t>
            </w:r>
          </w:p>
          <w:p w14:paraId="7531C27D">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4.食品加工专区、洁净区域统一张贴人员操作规范、洗手流程、卫生管理制度，强化全员合规操作意识。</w:t>
            </w:r>
          </w:p>
          <w:p w14:paraId="3B385399">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5.专间实行二次更衣、专人值守管理，进入专间必须更换专用衣帽、口罩，专间器具独立专用；紫外线消杀设备规范使用，每次消杀时长不少于30分钟，做好消杀记录。</w:t>
            </w:r>
          </w:p>
          <w:p w14:paraId="4A1CC80F">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6.严禁在厨房、加工间、备餐间等食品管控区域进食、饮水、嚼食、吸烟；私人物品、药品、水杯、零食等严禁带入作业区域，统一集中存放。</w:t>
            </w:r>
          </w:p>
          <w:p w14:paraId="14C30832">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7.非作业人员、外来人员进入食品加工区域，必须严格遵守院感及食堂管理规定，全套穿戴防护用具，登记备案，严禁随意出入。</w:t>
            </w:r>
          </w:p>
          <w:p w14:paraId="471A6724">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8.全域配齐足量洗手液、消毒用品、干手设施，洗手流程图示上墙，督促员工严格执行洗手消毒流程。</w:t>
            </w:r>
          </w:p>
          <w:p w14:paraId="40DCC369">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9.明确专职虫害防控管理员，常态化对接消杀外包单位，定期开展鼠害、虫害消杀排查，检查灭鼠、灭蝇、防虫设施运行状态，建立虫害防控台账，及时处置病媒生物隐患。</w:t>
            </w:r>
          </w:p>
          <w:p w14:paraId="14D98C42">
            <w:pPr>
              <w:widowControl/>
              <w:snapToGrid w:val="0"/>
              <w:jc w:val="left"/>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10.消毒药剂、清洁化学品、消杀用品实行专区、专柜、上锁、独立存放，与食品、食材、工器具完全物理隔离，严禁混放、同区存放、交叉接触，杜绝化学品污染食品风险。</w:t>
            </w:r>
          </w:p>
          <w:p w14:paraId="09314CC3">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b/>
                <w:bCs/>
                <w:color w:val="auto"/>
                <w:kern w:val="0"/>
                <w:sz w:val="18"/>
                <w:szCs w:val="18"/>
                <w:lang w:bidi="ar"/>
              </w:rPr>
              <w:t>（发现违反上述规定，每项每次扣0.5分，扣完该项分值为止）</w:t>
            </w:r>
          </w:p>
        </w:tc>
        <w:tc>
          <w:tcPr>
            <w:tcW w:w="241" w:type="pct"/>
            <w:tcBorders>
              <w:top w:val="single" w:color="000000" w:sz="4" w:space="0"/>
              <w:left w:val="single" w:color="auto" w:sz="4" w:space="0"/>
              <w:bottom w:val="nil"/>
              <w:right w:val="nil"/>
            </w:tcBorders>
            <w:tcMar>
              <w:top w:w="-1" w:type="dxa"/>
              <w:left w:w="-1" w:type="dxa"/>
              <w:bottom w:w="-1" w:type="dxa"/>
              <w:right w:w="-1" w:type="dxa"/>
            </w:tcMar>
            <w:vAlign w:val="center"/>
          </w:tcPr>
          <w:p w14:paraId="19FAE2FA">
            <w:pPr>
              <w:widowControl/>
              <w:snapToGrid w:val="0"/>
              <w:jc w:val="left"/>
              <w:textAlignment w:val="center"/>
              <w:rPr>
                <w:rFonts w:ascii="宋体" w:hAnsi="Calibri" w:eastAsia="宋体" w:cs="Calibri"/>
                <w:color w:val="auto"/>
                <w:sz w:val="18"/>
                <w:szCs w:val="20"/>
              </w:rPr>
            </w:pPr>
            <w:r>
              <w:rPr>
                <w:rFonts w:ascii="宋体" w:hAnsi="Calibri" w:eastAsia="宋体" w:cs="Calibri"/>
                <w:color w:val="auto"/>
                <w:kern w:val="0"/>
                <w:sz w:val="18"/>
                <w:szCs w:val="20"/>
                <w:lang w:bidi="ar"/>
              </w:rPr>
              <w:t>5</w:t>
            </w:r>
          </w:p>
        </w:tc>
        <w:tc>
          <w:tcPr>
            <w:tcW w:w="284" w:type="pct"/>
            <w:tcBorders>
              <w:top w:val="single" w:color="000000" w:sz="4" w:space="0"/>
              <w:left w:val="single" w:color="000000" w:sz="4" w:space="0"/>
              <w:bottom w:val="nil"/>
              <w:right w:val="nil"/>
            </w:tcBorders>
            <w:tcMar>
              <w:top w:w="-1" w:type="dxa"/>
              <w:left w:w="-1" w:type="dxa"/>
              <w:bottom w:w="-1" w:type="dxa"/>
              <w:right w:w="-1" w:type="dxa"/>
            </w:tcMar>
            <w:vAlign w:val="center"/>
          </w:tcPr>
          <w:p w14:paraId="16BE038F">
            <w:pPr>
              <w:snapToGrid w:val="0"/>
              <w:jc w:val="right"/>
              <w:rPr>
                <w:rFonts w:ascii="宋体" w:hAnsi="Calibri" w:eastAsia="宋体" w:cs="Calibri"/>
                <w:color w:val="auto"/>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4DFFD8BB">
            <w:pPr>
              <w:snapToGrid w:val="0"/>
              <w:jc w:val="right"/>
              <w:rPr>
                <w:rFonts w:ascii="宋体" w:hAnsi="Calibri" w:eastAsia="宋体" w:cs="Calibri"/>
                <w:color w:val="auto"/>
                <w:sz w:val="18"/>
                <w:szCs w:val="20"/>
              </w:rPr>
            </w:pPr>
          </w:p>
        </w:tc>
      </w:tr>
      <w:tr w14:paraId="0E92E192">
        <w:tblPrEx>
          <w:tblCellMar>
            <w:top w:w="0" w:type="dxa"/>
            <w:left w:w="108" w:type="dxa"/>
            <w:bottom w:w="0" w:type="dxa"/>
            <w:right w:w="108" w:type="dxa"/>
          </w:tblCellMar>
        </w:tblPrEx>
        <w:trPr>
          <w:trHeight w:val="340" w:hRule="atLeast"/>
          <w:jc w:val="center"/>
        </w:trPr>
        <w:tc>
          <w:tcPr>
            <w:tcW w:w="633" w:type="pct"/>
            <w:vMerge w:val="restart"/>
            <w:tcBorders>
              <w:top w:val="single" w:color="000000" w:sz="4" w:space="0"/>
              <w:left w:val="single" w:color="000000" w:sz="4" w:space="0"/>
              <w:bottom w:val="nil"/>
              <w:right w:val="nil"/>
            </w:tcBorders>
            <w:tcMar>
              <w:top w:w="-1" w:type="dxa"/>
              <w:left w:w="-1" w:type="dxa"/>
              <w:bottom w:w="-1" w:type="dxa"/>
              <w:right w:w="-1" w:type="dxa"/>
            </w:tcMar>
            <w:vAlign w:val="center"/>
          </w:tcPr>
          <w:p w14:paraId="737F180B">
            <w:pPr>
              <w:widowControl/>
              <w:snapToGrid w:val="0"/>
              <w:jc w:val="center"/>
              <w:textAlignment w:val="center"/>
              <w:rPr>
                <w:rFonts w:hint="eastAsia" w:ascii="宋体" w:hAnsi="宋体" w:eastAsia="宋体" w:cs="宋体"/>
                <w:color w:val="auto"/>
                <w:sz w:val="18"/>
                <w:szCs w:val="20"/>
              </w:rPr>
            </w:pPr>
            <w:r>
              <w:rPr>
                <w:rStyle w:val="31"/>
                <w:rFonts w:hint="default"/>
                <w:color w:val="auto"/>
                <w:sz w:val="18"/>
                <w:lang w:bidi="ar"/>
              </w:rPr>
              <w:t>质量标准（25分）</w:t>
            </w: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651614DC">
            <w:pPr>
              <w:widowControl/>
              <w:snapToGrid w:val="0"/>
              <w:jc w:val="center"/>
              <w:textAlignment w:val="center"/>
              <w:rPr>
                <w:rFonts w:hint="eastAsia" w:ascii="宋体" w:hAnsi="宋体" w:eastAsia="宋体" w:cs="宋体"/>
                <w:color w:val="auto"/>
                <w:kern w:val="0"/>
                <w:sz w:val="18"/>
                <w:szCs w:val="20"/>
                <w:lang w:bidi="ar"/>
              </w:rPr>
            </w:pPr>
            <w:r>
              <w:rPr>
                <w:rFonts w:hint="eastAsia" w:ascii="宋体" w:hAnsi="宋体" w:eastAsia="宋体" w:cs="宋体"/>
                <w:color w:val="auto"/>
                <w:kern w:val="0"/>
                <w:sz w:val="18"/>
                <w:szCs w:val="20"/>
                <w:lang w:bidi="ar"/>
              </w:rPr>
              <w:t>出品</w:t>
            </w:r>
          </w:p>
          <w:p w14:paraId="37A1B6DC">
            <w:pPr>
              <w:widowControl/>
              <w:snapToGrid w:val="0"/>
              <w:jc w:val="center"/>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质量</w:t>
            </w:r>
          </w:p>
        </w:tc>
        <w:tc>
          <w:tcPr>
            <w:tcW w:w="3011" w:type="pct"/>
            <w:tcBorders>
              <w:top w:val="single" w:color="000000" w:sz="4" w:space="0"/>
              <w:left w:val="single" w:color="000000" w:sz="4" w:space="0"/>
              <w:bottom w:val="nil"/>
              <w:right w:val="nil"/>
            </w:tcBorders>
            <w:tcMar>
              <w:top w:w="-1" w:type="dxa"/>
              <w:left w:w="-1" w:type="dxa"/>
              <w:bottom w:w="-1" w:type="dxa"/>
              <w:right w:w="-1" w:type="dxa"/>
            </w:tcMar>
            <w:vAlign w:val="center"/>
          </w:tcPr>
          <w:p w14:paraId="6DD68BC0">
            <w:pPr>
              <w:widowControl/>
              <w:snapToGrid w:val="0"/>
              <w:jc w:val="left"/>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1.早</w:t>
            </w:r>
            <w:r>
              <w:rPr>
                <w:rFonts w:hint="eastAsia" w:ascii="宋体" w:hAnsi="宋体" w:eastAsia="宋体" w:cs="宋体"/>
                <w:color w:val="auto"/>
                <w:kern w:val="0"/>
                <w:sz w:val="18"/>
                <w:szCs w:val="18"/>
                <w:lang w:val="en-US" w:eastAsia="zh-CN" w:bidi="ar"/>
              </w:rPr>
              <w:t>餐</w:t>
            </w:r>
            <w:r>
              <w:rPr>
                <w:rFonts w:hint="eastAsia" w:ascii="宋体" w:hAnsi="宋体" w:eastAsia="宋体" w:cs="宋体"/>
                <w:color w:val="auto"/>
                <w:kern w:val="0"/>
                <w:sz w:val="18"/>
                <w:szCs w:val="18"/>
                <w:lang w:bidi="ar"/>
              </w:rPr>
              <w:t>、中</w:t>
            </w:r>
            <w:r>
              <w:rPr>
                <w:rFonts w:hint="eastAsia" w:ascii="宋体" w:hAnsi="宋体" w:eastAsia="宋体" w:cs="宋体"/>
                <w:color w:val="auto"/>
                <w:kern w:val="0"/>
                <w:sz w:val="18"/>
                <w:szCs w:val="18"/>
                <w:lang w:val="en-US" w:eastAsia="zh-CN" w:bidi="ar"/>
              </w:rPr>
              <w:t>餐</w:t>
            </w:r>
            <w:r>
              <w:rPr>
                <w:rFonts w:hint="eastAsia" w:ascii="宋体" w:hAnsi="宋体" w:eastAsia="宋体" w:cs="宋体"/>
                <w:color w:val="auto"/>
                <w:kern w:val="0"/>
                <w:sz w:val="18"/>
                <w:szCs w:val="18"/>
                <w:lang w:bidi="ar"/>
              </w:rPr>
              <w:t>、晚餐及加餐菜式供应充足，严格按菜单标准足额供应，缺少1款品类扣分。</w:t>
            </w:r>
          </w:p>
          <w:p w14:paraId="765B067C">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2.严格执行菜单定期轮换制度，每周更新常规菜单，每月更新病患膳食菜单，不得无故延迟更换、长期菜单固化、无更新优化。保障餐品多元化，每月须完成不少于6款创新菜式研发，点心每月须完成不少于6款新式面点、特色点心研发。</w:t>
            </w:r>
          </w:p>
          <w:p w14:paraId="4F7631B0">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3.所有新菜式、新点心须提前一周制作样品，报送采购人审核品鉴，获批后方可常态化售卖；不得未经审批自行上线、违规出品。</w:t>
            </w:r>
          </w:p>
          <w:p w14:paraId="0D6543E5">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4.菜品烹制火候合规，杜绝夹生、焦糊、过烂、过硬等问题，严控出品口感与品质。</w:t>
            </w:r>
          </w:p>
          <w:p w14:paraId="4B96DA90">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5.肉类、水产、禽畜等食材须完全熟透，严禁半生、未熟、火候不足的餐品出品，严防食源性疾病。</w:t>
            </w:r>
          </w:p>
          <w:p w14:paraId="45F8877A">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6.所有餐品要求食材新鲜、色泽正常、香气纯正、口味适中，杜绝过重调味掩盖食材变质异味；同一菜品累计5人及以上就餐人员反馈口味异常、异味、腥膻、酸涩等问题。</w:t>
            </w:r>
          </w:p>
          <w:p w14:paraId="06BDEF1E">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7.严控食品加工助剂使用，规范限量使用食品改良剂，严禁违规使用亚硝酸钠等违禁化工原料及有毒有害添加剂，一经发现追责处罚。</w:t>
            </w:r>
          </w:p>
          <w:p w14:paraId="7708CAE6">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8.切配加工标准化，同类食材规格、重量、形态统一，同品类食材重量差异不得超过30%，切配粗糙、规格混乱扣分</w:t>
            </w:r>
          </w:p>
          <w:p w14:paraId="2F2F40C2">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9.绿叶蔬菜严格执行先洗后切、浸泡净化30分钟的操作规范，违规操作、流程倒置。</w:t>
            </w:r>
          </w:p>
          <w:p w14:paraId="07881C3A">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10.严禁采购、加工、使用腐烂、变质、过期、变质原辅材料。</w:t>
            </w:r>
          </w:p>
          <w:p w14:paraId="5BC11CF0">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11.餐品出现变质、异味、霉变等质量问题，立即下架召回。</w:t>
            </w:r>
          </w:p>
          <w:p w14:paraId="08CB7E12">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12.严禁私自更改餐品品类、调整售卖价格、缩减供应品类。</w:t>
            </w:r>
          </w:p>
          <w:p w14:paraId="330CB436">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13.严格落实病患膳食管理要求，月度病患菜单按时编制、报送采购人审核，未经审核擅自执行。</w:t>
            </w:r>
          </w:p>
          <w:p w14:paraId="0AFA981D">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14.病</w:t>
            </w:r>
            <w:r>
              <w:rPr>
                <w:rFonts w:hint="eastAsia" w:ascii="宋体" w:hAnsi="宋体" w:eastAsia="宋体" w:cs="宋体"/>
                <w:color w:val="auto"/>
                <w:kern w:val="0"/>
                <w:sz w:val="18"/>
                <w:szCs w:val="18"/>
                <w:lang w:val="en-US" w:eastAsia="zh-CN" w:bidi="ar"/>
              </w:rPr>
              <w:t>人</w:t>
            </w:r>
            <w:r>
              <w:rPr>
                <w:rFonts w:hint="eastAsia" w:ascii="宋体" w:hAnsi="宋体" w:eastAsia="宋体" w:cs="宋体"/>
                <w:color w:val="auto"/>
                <w:kern w:val="0"/>
                <w:sz w:val="18"/>
                <w:szCs w:val="18"/>
                <w:lang w:bidi="ar"/>
              </w:rPr>
              <w:t>餐营养搭配科学健康，全覆盖提供清淡餐、重口餐、蒸制餐、特色餐、低盐餐等多元选择，按要求保障供应。</w:t>
            </w:r>
          </w:p>
          <w:p w14:paraId="417E9119">
            <w:pPr>
              <w:widowControl/>
              <w:snapToGrid w:val="0"/>
              <w:jc w:val="left"/>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15.全面适配临床需求，常态化提供流质餐、半流质餐、糖尿病膳食、无盐膳食、高蛋白膳食等特殊定制膳食，按需动态调整，落实好特殊膳食保障。</w:t>
            </w:r>
          </w:p>
          <w:p w14:paraId="2BC716C9">
            <w:pPr>
              <w:widowControl/>
              <w:snapToGrid w:val="0"/>
              <w:jc w:val="left"/>
              <w:textAlignment w:val="center"/>
              <w:rPr>
                <w:rFonts w:hint="eastAsia" w:ascii="宋体" w:hAnsi="宋体" w:eastAsia="宋体" w:cs="宋体"/>
                <w:color w:val="auto"/>
                <w:sz w:val="18"/>
                <w:szCs w:val="18"/>
              </w:rPr>
            </w:pPr>
            <w:r>
              <w:rPr>
                <w:rFonts w:ascii="宋体" w:hAnsi="宋体" w:eastAsia="宋体" w:cs="宋体"/>
                <w:b/>
                <w:bCs/>
                <w:color w:val="auto"/>
                <w:sz w:val="18"/>
                <w:szCs w:val="18"/>
              </w:rPr>
              <w:t>（发现违反上述规定，每项每次扣</w:t>
            </w:r>
            <w:r>
              <w:rPr>
                <w:rFonts w:hint="eastAsia" w:ascii="宋体" w:hAnsi="宋体" w:eastAsia="宋体" w:cs="宋体"/>
                <w:b/>
                <w:bCs/>
                <w:color w:val="auto"/>
                <w:sz w:val="18"/>
                <w:szCs w:val="18"/>
              </w:rPr>
              <w:t>1</w:t>
            </w:r>
            <w:r>
              <w:rPr>
                <w:rFonts w:ascii="宋体" w:hAnsi="宋体" w:eastAsia="宋体" w:cs="宋体"/>
                <w:b/>
                <w:bCs/>
                <w:color w:val="auto"/>
                <w:sz w:val="18"/>
                <w:szCs w:val="18"/>
              </w:rPr>
              <w:t>分，扣完该项分值为止）</w:t>
            </w:r>
          </w:p>
        </w:tc>
        <w:tc>
          <w:tcPr>
            <w:tcW w:w="241" w:type="pct"/>
            <w:tcBorders>
              <w:top w:val="single" w:color="000000" w:sz="4" w:space="0"/>
              <w:left w:val="single" w:color="auto" w:sz="4" w:space="0"/>
              <w:bottom w:val="nil"/>
              <w:right w:val="nil"/>
            </w:tcBorders>
            <w:tcMar>
              <w:top w:w="-1" w:type="dxa"/>
              <w:left w:w="-1" w:type="dxa"/>
              <w:bottom w:w="-1" w:type="dxa"/>
              <w:right w:w="-1" w:type="dxa"/>
            </w:tcMar>
            <w:vAlign w:val="center"/>
          </w:tcPr>
          <w:p w14:paraId="37C62980">
            <w:pPr>
              <w:widowControl/>
              <w:snapToGrid w:val="0"/>
              <w:jc w:val="left"/>
              <w:textAlignment w:val="center"/>
              <w:rPr>
                <w:rFonts w:ascii="宋体" w:hAnsi="Calibri" w:eastAsia="宋体" w:cs="Calibri"/>
                <w:color w:val="auto"/>
                <w:sz w:val="18"/>
                <w:szCs w:val="20"/>
              </w:rPr>
            </w:pPr>
            <w:r>
              <w:rPr>
                <w:rFonts w:ascii="宋体" w:hAnsi="Calibri" w:eastAsia="宋体" w:cs="Calibri"/>
                <w:color w:val="auto"/>
                <w:kern w:val="0"/>
                <w:sz w:val="18"/>
                <w:szCs w:val="20"/>
                <w:lang w:bidi="ar"/>
              </w:rPr>
              <w:t>15</w:t>
            </w:r>
          </w:p>
        </w:tc>
        <w:tc>
          <w:tcPr>
            <w:tcW w:w="284" w:type="pct"/>
            <w:tcBorders>
              <w:top w:val="single" w:color="000000" w:sz="4" w:space="0"/>
              <w:left w:val="single" w:color="000000" w:sz="4" w:space="0"/>
              <w:bottom w:val="nil"/>
              <w:right w:val="nil"/>
            </w:tcBorders>
            <w:tcMar>
              <w:top w:w="-1" w:type="dxa"/>
              <w:left w:w="-1" w:type="dxa"/>
              <w:bottom w:w="-1" w:type="dxa"/>
              <w:right w:w="-1" w:type="dxa"/>
            </w:tcMar>
            <w:vAlign w:val="center"/>
          </w:tcPr>
          <w:p w14:paraId="32F2F9A7">
            <w:pPr>
              <w:snapToGrid w:val="0"/>
              <w:jc w:val="right"/>
              <w:rPr>
                <w:rFonts w:ascii="宋体" w:hAnsi="Calibri" w:eastAsia="宋体" w:cs="Calibri"/>
                <w:color w:val="auto"/>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390391BA">
            <w:pPr>
              <w:snapToGrid w:val="0"/>
              <w:jc w:val="right"/>
              <w:rPr>
                <w:rFonts w:ascii="宋体" w:hAnsi="Calibri" w:eastAsia="宋体" w:cs="Calibri"/>
                <w:color w:val="auto"/>
                <w:sz w:val="18"/>
                <w:szCs w:val="20"/>
              </w:rPr>
            </w:pPr>
          </w:p>
        </w:tc>
      </w:tr>
      <w:tr w14:paraId="69A87DE4">
        <w:tblPrEx>
          <w:tblCellMar>
            <w:top w:w="0" w:type="dxa"/>
            <w:left w:w="108" w:type="dxa"/>
            <w:bottom w:w="0" w:type="dxa"/>
            <w:right w:w="108" w:type="dxa"/>
          </w:tblCellMar>
        </w:tblPrEx>
        <w:trPr>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6F281897">
            <w:pPr>
              <w:snapToGrid w:val="0"/>
              <w:jc w:val="center"/>
              <w:rPr>
                <w:rFonts w:hint="eastAsia" w:ascii="宋体" w:hAnsi="宋体" w:eastAsia="宋体" w:cs="宋体"/>
                <w:color w:val="auto"/>
                <w:sz w:val="18"/>
                <w:szCs w:val="20"/>
              </w:rPr>
            </w:pP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7EB077C9">
            <w:pPr>
              <w:widowControl/>
              <w:snapToGrid w:val="0"/>
              <w:jc w:val="center"/>
              <w:textAlignment w:val="center"/>
              <w:rPr>
                <w:rFonts w:hint="eastAsia" w:ascii="宋体" w:hAnsi="宋体" w:eastAsia="宋体" w:cs="宋体"/>
                <w:color w:val="auto"/>
                <w:kern w:val="0"/>
                <w:sz w:val="18"/>
                <w:szCs w:val="20"/>
                <w:lang w:bidi="ar"/>
              </w:rPr>
            </w:pPr>
            <w:r>
              <w:rPr>
                <w:rFonts w:hint="eastAsia" w:ascii="宋体" w:hAnsi="宋体" w:eastAsia="宋体" w:cs="宋体"/>
                <w:color w:val="auto"/>
                <w:kern w:val="0"/>
                <w:sz w:val="18"/>
                <w:szCs w:val="20"/>
                <w:lang w:bidi="ar"/>
              </w:rPr>
              <w:t>服务</w:t>
            </w:r>
          </w:p>
          <w:p w14:paraId="72E9E824">
            <w:pPr>
              <w:widowControl/>
              <w:snapToGrid w:val="0"/>
              <w:jc w:val="center"/>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质量</w:t>
            </w:r>
          </w:p>
        </w:tc>
        <w:tc>
          <w:tcPr>
            <w:tcW w:w="3011" w:type="pct"/>
            <w:tcBorders>
              <w:top w:val="single" w:color="000000" w:sz="4" w:space="0"/>
              <w:left w:val="single" w:color="000000" w:sz="4" w:space="0"/>
              <w:bottom w:val="nil"/>
              <w:right w:val="nil"/>
            </w:tcBorders>
            <w:tcMar>
              <w:top w:w="-1" w:type="dxa"/>
              <w:left w:w="-1" w:type="dxa"/>
              <w:bottom w:w="-1" w:type="dxa"/>
              <w:right w:w="-1" w:type="dxa"/>
            </w:tcMar>
            <w:vAlign w:val="center"/>
          </w:tcPr>
          <w:p w14:paraId="19A24704">
            <w:pPr>
              <w:widowControl/>
              <w:snapToGrid w:val="0"/>
              <w:jc w:val="left"/>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1.投标人未按本项目采购文件要求的供餐时间、品种、质量完成供餐的，发生配送延误、漏餐、错餐需扣分。因供餐延误、断供影响医院正常运营的，须赔偿采购人因此造成的全部损失。</w:t>
            </w:r>
          </w:p>
          <w:p w14:paraId="2E4CFB6C">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2.未经采购人书面同意，严禁私自调整食品加工流程、缩减餐线、更改场地布局、改造设备设施。</w:t>
            </w:r>
          </w:p>
          <w:p w14:paraId="22767A0C">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3.健全食品召回、食物中毒、突发供餐中断等应急管理制度及处置预案，定期演练；明知食品存在安全隐患仍强行出品、拒绝召回、拖延处置，进行经济处罚，承担全部事故责任及损失。</w:t>
            </w:r>
          </w:p>
          <w:p w14:paraId="68E0B287">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4.接待餐、专项保障餐须对标高品质服务标准，配备专属服务人员、完善服务流程，保障接待服务质量。</w:t>
            </w:r>
          </w:p>
          <w:p w14:paraId="3C41A3A7">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5.积极配合医院开展美食节、膳食科普、餐饮文化、健康宣教等各类主题活动，无故推诿、消极配合、拒不执行。</w:t>
            </w:r>
          </w:p>
          <w:p w14:paraId="1C6F3855">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6.全面负责食堂宣传运营、订餐系统、收费系统、外卖点位系统的日常运维管理，保障系统稳定运行、数据准确，管理缺位、运维得力。</w:t>
            </w:r>
          </w:p>
          <w:p w14:paraId="74C29660">
            <w:pPr>
              <w:widowControl/>
              <w:snapToGrid w:val="0"/>
              <w:jc w:val="left"/>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7.驻场人员出现违规操作、服务态度差、院内违规行为等将扣分。</w:t>
            </w:r>
          </w:p>
          <w:p w14:paraId="0A1B5778">
            <w:pPr>
              <w:widowControl/>
              <w:snapToGrid w:val="0"/>
              <w:jc w:val="left"/>
              <w:textAlignment w:val="center"/>
              <w:rPr>
                <w:rFonts w:hint="eastAsia" w:ascii="宋体" w:hAnsi="宋体" w:eastAsia="宋体" w:cs="宋体"/>
                <w:color w:val="auto"/>
                <w:sz w:val="18"/>
                <w:szCs w:val="18"/>
              </w:rPr>
            </w:pPr>
            <w:r>
              <w:rPr>
                <w:rFonts w:ascii="宋体" w:hAnsi="宋体" w:eastAsia="宋体" w:cs="宋体"/>
                <w:b/>
                <w:bCs/>
                <w:color w:val="auto"/>
                <w:sz w:val="18"/>
                <w:szCs w:val="18"/>
              </w:rPr>
              <w:t>（发现违反上述规定，每项每次扣</w:t>
            </w:r>
            <w:r>
              <w:rPr>
                <w:rFonts w:hint="eastAsia" w:ascii="宋体" w:hAnsi="宋体" w:eastAsia="宋体" w:cs="宋体"/>
                <w:b/>
                <w:bCs/>
                <w:color w:val="auto"/>
                <w:sz w:val="18"/>
                <w:szCs w:val="18"/>
              </w:rPr>
              <w:t>1</w:t>
            </w:r>
            <w:r>
              <w:rPr>
                <w:rFonts w:ascii="宋体" w:hAnsi="宋体" w:eastAsia="宋体" w:cs="宋体"/>
                <w:b/>
                <w:bCs/>
                <w:color w:val="auto"/>
                <w:sz w:val="18"/>
                <w:szCs w:val="18"/>
              </w:rPr>
              <w:t>分，扣完该项分值为止）</w:t>
            </w:r>
          </w:p>
        </w:tc>
        <w:tc>
          <w:tcPr>
            <w:tcW w:w="241" w:type="pct"/>
            <w:tcBorders>
              <w:top w:val="single" w:color="000000" w:sz="4" w:space="0"/>
              <w:left w:val="single" w:color="auto" w:sz="4" w:space="0"/>
              <w:bottom w:val="nil"/>
              <w:right w:val="nil"/>
            </w:tcBorders>
            <w:tcMar>
              <w:top w:w="-1" w:type="dxa"/>
              <w:left w:w="-1" w:type="dxa"/>
              <w:bottom w:w="-1" w:type="dxa"/>
              <w:right w:w="-1" w:type="dxa"/>
            </w:tcMar>
            <w:vAlign w:val="center"/>
          </w:tcPr>
          <w:p w14:paraId="7F2D8DC3">
            <w:pPr>
              <w:widowControl/>
              <w:snapToGrid w:val="0"/>
              <w:jc w:val="left"/>
              <w:textAlignment w:val="center"/>
              <w:rPr>
                <w:rFonts w:ascii="宋体" w:hAnsi="Calibri" w:eastAsia="宋体" w:cs="Calibri"/>
                <w:color w:val="auto"/>
                <w:sz w:val="18"/>
                <w:szCs w:val="20"/>
              </w:rPr>
            </w:pPr>
            <w:r>
              <w:rPr>
                <w:rFonts w:ascii="宋体" w:hAnsi="Calibri" w:eastAsia="宋体" w:cs="Calibri"/>
                <w:color w:val="auto"/>
                <w:kern w:val="0"/>
                <w:sz w:val="18"/>
                <w:szCs w:val="20"/>
                <w:lang w:bidi="ar"/>
              </w:rPr>
              <w:t>10</w:t>
            </w:r>
          </w:p>
        </w:tc>
        <w:tc>
          <w:tcPr>
            <w:tcW w:w="284" w:type="pct"/>
            <w:tcBorders>
              <w:top w:val="single" w:color="000000" w:sz="4" w:space="0"/>
              <w:left w:val="single" w:color="000000" w:sz="4" w:space="0"/>
              <w:bottom w:val="nil"/>
              <w:right w:val="nil"/>
            </w:tcBorders>
            <w:tcMar>
              <w:top w:w="-1" w:type="dxa"/>
              <w:left w:w="-1" w:type="dxa"/>
              <w:bottom w:w="-1" w:type="dxa"/>
              <w:right w:w="-1" w:type="dxa"/>
            </w:tcMar>
            <w:vAlign w:val="center"/>
          </w:tcPr>
          <w:p w14:paraId="09CD7116">
            <w:pPr>
              <w:snapToGrid w:val="0"/>
              <w:jc w:val="right"/>
              <w:rPr>
                <w:rFonts w:ascii="宋体" w:hAnsi="Calibri" w:eastAsia="宋体" w:cs="Calibri"/>
                <w:color w:val="auto"/>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556856E9">
            <w:pPr>
              <w:snapToGrid w:val="0"/>
              <w:jc w:val="right"/>
              <w:rPr>
                <w:rFonts w:ascii="宋体" w:hAnsi="Calibri" w:eastAsia="宋体" w:cs="Calibri"/>
                <w:color w:val="auto"/>
                <w:sz w:val="18"/>
                <w:szCs w:val="20"/>
              </w:rPr>
            </w:pPr>
          </w:p>
        </w:tc>
      </w:tr>
      <w:tr w14:paraId="424C14BC">
        <w:tblPrEx>
          <w:tblCellMar>
            <w:top w:w="0" w:type="dxa"/>
            <w:left w:w="108" w:type="dxa"/>
            <w:bottom w:w="0" w:type="dxa"/>
            <w:right w:w="108" w:type="dxa"/>
          </w:tblCellMar>
        </w:tblPrEx>
        <w:trPr>
          <w:trHeight w:val="340" w:hRule="atLeast"/>
          <w:jc w:val="center"/>
        </w:trPr>
        <w:tc>
          <w:tcPr>
            <w:tcW w:w="633" w:type="pct"/>
            <w:vMerge w:val="restart"/>
            <w:tcBorders>
              <w:top w:val="single" w:color="000000" w:sz="4" w:space="0"/>
              <w:left w:val="single" w:color="000000" w:sz="4" w:space="0"/>
              <w:bottom w:val="nil"/>
              <w:right w:val="nil"/>
            </w:tcBorders>
            <w:tcMar>
              <w:top w:w="-1" w:type="dxa"/>
              <w:left w:w="-1" w:type="dxa"/>
              <w:bottom w:w="-1" w:type="dxa"/>
              <w:right w:w="-1" w:type="dxa"/>
            </w:tcMar>
            <w:vAlign w:val="center"/>
          </w:tcPr>
          <w:p w14:paraId="1E9EDF9B">
            <w:pPr>
              <w:widowControl/>
              <w:snapToGrid w:val="0"/>
              <w:jc w:val="center"/>
              <w:textAlignment w:val="center"/>
              <w:rPr>
                <w:rFonts w:hint="eastAsia" w:ascii="宋体" w:hAnsi="宋体" w:eastAsia="宋体" w:cs="宋体"/>
                <w:color w:val="auto"/>
                <w:sz w:val="18"/>
                <w:szCs w:val="20"/>
              </w:rPr>
            </w:pPr>
            <w:r>
              <w:rPr>
                <w:rStyle w:val="31"/>
                <w:rFonts w:hint="default"/>
                <w:color w:val="auto"/>
                <w:sz w:val="18"/>
                <w:lang w:bidi="ar"/>
              </w:rPr>
              <w:t>日常运营评价</w:t>
            </w:r>
            <w:r>
              <w:rPr>
                <w:rStyle w:val="31"/>
                <w:rFonts w:hint="default"/>
                <w:color w:val="auto"/>
                <w:sz w:val="18"/>
                <w:lang w:bidi="ar"/>
              </w:rPr>
              <w:br w:type="textWrapping"/>
            </w:r>
            <w:r>
              <w:rPr>
                <w:rStyle w:val="31"/>
                <w:rFonts w:hint="default"/>
                <w:color w:val="auto"/>
                <w:sz w:val="18"/>
                <w:lang w:bidi="ar"/>
              </w:rPr>
              <w:t>（</w:t>
            </w:r>
            <w:r>
              <w:rPr>
                <w:rFonts w:ascii="宋体" w:hAnsi="Calibri" w:eastAsia="宋体" w:cs="Calibri"/>
                <w:color w:val="auto"/>
                <w:kern w:val="0"/>
                <w:sz w:val="18"/>
                <w:szCs w:val="20"/>
                <w:lang w:bidi="ar"/>
              </w:rPr>
              <w:t>20</w:t>
            </w:r>
            <w:r>
              <w:rPr>
                <w:rStyle w:val="31"/>
                <w:rFonts w:hint="default"/>
                <w:color w:val="auto"/>
                <w:sz w:val="18"/>
                <w:lang w:bidi="ar"/>
              </w:rPr>
              <w:t>分）</w:t>
            </w: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5E672ABE">
            <w:pPr>
              <w:widowControl/>
              <w:snapToGrid w:val="0"/>
              <w:jc w:val="center"/>
              <w:textAlignment w:val="center"/>
              <w:rPr>
                <w:rFonts w:hint="eastAsia" w:ascii="宋体" w:hAnsi="宋体" w:eastAsia="宋体" w:cs="宋体"/>
                <w:color w:val="auto"/>
                <w:kern w:val="0"/>
                <w:sz w:val="18"/>
                <w:szCs w:val="20"/>
                <w:lang w:bidi="ar"/>
              </w:rPr>
            </w:pPr>
            <w:r>
              <w:rPr>
                <w:rFonts w:hint="eastAsia" w:ascii="宋体" w:hAnsi="宋体" w:eastAsia="宋体" w:cs="宋体"/>
                <w:color w:val="auto"/>
                <w:kern w:val="0"/>
                <w:sz w:val="18"/>
                <w:szCs w:val="20"/>
                <w:lang w:bidi="ar"/>
              </w:rPr>
              <w:t>岗位</w:t>
            </w:r>
          </w:p>
          <w:p w14:paraId="6AB3D830">
            <w:pPr>
              <w:widowControl/>
              <w:snapToGrid w:val="0"/>
              <w:jc w:val="center"/>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考核</w:t>
            </w:r>
          </w:p>
        </w:tc>
        <w:tc>
          <w:tcPr>
            <w:tcW w:w="3011" w:type="pct"/>
            <w:tcBorders>
              <w:top w:val="single" w:color="000000" w:sz="4" w:space="0"/>
              <w:left w:val="single" w:color="auto" w:sz="4" w:space="0"/>
              <w:bottom w:val="nil"/>
              <w:right w:val="nil"/>
            </w:tcBorders>
            <w:tcMar>
              <w:top w:w="-1" w:type="dxa"/>
              <w:left w:w="-1" w:type="dxa"/>
              <w:bottom w:w="-1" w:type="dxa"/>
              <w:right w:w="-1" w:type="dxa"/>
            </w:tcMar>
            <w:vAlign w:val="center"/>
          </w:tcPr>
          <w:p w14:paraId="0760ABB6">
            <w:pPr>
              <w:widowControl/>
              <w:snapToGrid w:val="0"/>
              <w:jc w:val="left"/>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1.对项目经理、院区经理、</w:t>
            </w:r>
            <w:r>
              <w:rPr>
                <w:rFonts w:hint="eastAsia" w:ascii="宋体" w:hAnsi="宋体" w:eastAsia="宋体" w:cs="宋体"/>
                <w:color w:val="auto"/>
                <w:kern w:val="0"/>
                <w:sz w:val="18"/>
                <w:szCs w:val="18"/>
                <w:lang w:eastAsia="zh-CN" w:bidi="ar"/>
              </w:rPr>
              <w:t>厨师长</w:t>
            </w:r>
            <w:r>
              <w:rPr>
                <w:rFonts w:hint="eastAsia" w:ascii="宋体" w:hAnsi="宋体" w:eastAsia="宋体" w:cs="宋体"/>
                <w:color w:val="auto"/>
                <w:kern w:val="0"/>
                <w:sz w:val="18"/>
                <w:szCs w:val="18"/>
                <w:lang w:bidi="ar"/>
              </w:rPr>
              <w:t>、楼面经理、配送主管、食品安全员等关键岗位履职情况进行评价。</w:t>
            </w:r>
          </w:p>
          <w:p w14:paraId="2AE59575">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2.驻场人员严格规范员工仪容仪表管理，男性员工发型合规、不留长发；女性员工长发全部盘入工作帽，杜绝碎发外露、仪容不规范</w:t>
            </w:r>
            <w:r>
              <w:rPr>
                <w:rFonts w:hint="eastAsia" w:ascii="宋体" w:hAnsi="宋体" w:eastAsia="宋体" w:cs="宋体"/>
                <w:color w:val="auto"/>
                <w:kern w:val="0"/>
                <w:sz w:val="18"/>
                <w:szCs w:val="18"/>
                <w:lang w:val="en-US" w:eastAsia="zh-CN" w:bidi="ar"/>
              </w:rPr>
              <w:t>等</w:t>
            </w:r>
            <w:r>
              <w:rPr>
                <w:rFonts w:hint="eastAsia" w:ascii="宋体" w:hAnsi="宋体" w:eastAsia="宋体" w:cs="宋体"/>
                <w:color w:val="auto"/>
                <w:kern w:val="0"/>
                <w:sz w:val="18"/>
                <w:szCs w:val="18"/>
                <w:lang w:bidi="ar"/>
              </w:rPr>
              <w:t>问题。</w:t>
            </w:r>
          </w:p>
          <w:p w14:paraId="44A38225">
            <w:pPr>
              <w:widowControl/>
              <w:snapToGrid w:val="0"/>
              <w:jc w:val="left"/>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3.全员严禁留长指甲、涂抹指甲油、佩戴假指甲，保持手部清洁卫生，降低交叉感染风险。</w:t>
            </w:r>
          </w:p>
          <w:p w14:paraId="2B4C1CA3">
            <w:pPr>
              <w:widowControl/>
              <w:snapToGrid w:val="0"/>
              <w:jc w:val="left"/>
              <w:textAlignment w:val="center"/>
              <w:rPr>
                <w:rFonts w:hint="eastAsia" w:ascii="宋体" w:hAnsi="宋体" w:eastAsia="宋体" w:cs="宋体"/>
                <w:color w:val="auto"/>
                <w:sz w:val="18"/>
                <w:szCs w:val="18"/>
              </w:rPr>
            </w:pPr>
            <w:r>
              <w:rPr>
                <w:rFonts w:ascii="宋体" w:hAnsi="宋体" w:eastAsia="宋体" w:cs="宋体"/>
                <w:b/>
                <w:bCs/>
                <w:color w:val="auto"/>
                <w:sz w:val="18"/>
                <w:szCs w:val="18"/>
              </w:rPr>
              <w:t>（发现违反上述规定，每项每次扣</w:t>
            </w:r>
            <w:r>
              <w:rPr>
                <w:rFonts w:hint="eastAsia" w:ascii="宋体" w:hAnsi="宋体" w:eastAsia="宋体" w:cs="宋体"/>
                <w:b/>
                <w:bCs/>
                <w:color w:val="auto"/>
                <w:sz w:val="18"/>
                <w:szCs w:val="18"/>
              </w:rPr>
              <w:t>2</w:t>
            </w:r>
            <w:r>
              <w:rPr>
                <w:rFonts w:ascii="宋体" w:hAnsi="宋体" w:eastAsia="宋体" w:cs="宋体"/>
                <w:b/>
                <w:bCs/>
                <w:color w:val="auto"/>
                <w:sz w:val="18"/>
                <w:szCs w:val="18"/>
              </w:rPr>
              <w:t>分，扣完该项分值为止）</w:t>
            </w:r>
          </w:p>
        </w:tc>
        <w:tc>
          <w:tcPr>
            <w:tcW w:w="241" w:type="pct"/>
            <w:tcBorders>
              <w:top w:val="single" w:color="000000" w:sz="4" w:space="0"/>
              <w:left w:val="single" w:color="000000" w:sz="4" w:space="0"/>
              <w:bottom w:val="nil"/>
              <w:right w:val="nil"/>
            </w:tcBorders>
            <w:tcMar>
              <w:top w:w="-1" w:type="dxa"/>
              <w:left w:w="-1" w:type="dxa"/>
              <w:bottom w:w="-1" w:type="dxa"/>
              <w:right w:w="-1" w:type="dxa"/>
            </w:tcMar>
            <w:vAlign w:val="center"/>
          </w:tcPr>
          <w:p w14:paraId="4E6A5835">
            <w:pPr>
              <w:widowControl/>
              <w:snapToGrid w:val="0"/>
              <w:jc w:val="center"/>
              <w:textAlignment w:val="center"/>
              <w:rPr>
                <w:rFonts w:ascii="宋体" w:hAnsi="Calibri" w:eastAsia="宋体" w:cs="Calibri"/>
                <w:color w:val="auto"/>
                <w:sz w:val="18"/>
                <w:szCs w:val="20"/>
              </w:rPr>
            </w:pPr>
            <w:r>
              <w:rPr>
                <w:rFonts w:hint="eastAsia" w:ascii="宋体" w:hAnsi="Calibri" w:eastAsia="宋体" w:cs="Calibri"/>
                <w:color w:val="auto"/>
                <w:kern w:val="0"/>
                <w:sz w:val="18"/>
                <w:szCs w:val="20"/>
                <w:lang w:bidi="ar"/>
              </w:rPr>
              <w:t>6</w:t>
            </w:r>
          </w:p>
        </w:tc>
        <w:tc>
          <w:tcPr>
            <w:tcW w:w="284" w:type="pct"/>
            <w:tcBorders>
              <w:top w:val="single" w:color="000000" w:sz="4" w:space="0"/>
              <w:left w:val="single" w:color="000000" w:sz="4" w:space="0"/>
              <w:bottom w:val="nil"/>
              <w:right w:val="nil"/>
            </w:tcBorders>
            <w:tcMar>
              <w:top w:w="-1" w:type="dxa"/>
              <w:left w:w="-1" w:type="dxa"/>
              <w:bottom w:w="-1" w:type="dxa"/>
              <w:right w:w="-1" w:type="dxa"/>
            </w:tcMar>
            <w:vAlign w:val="center"/>
          </w:tcPr>
          <w:p w14:paraId="2EB020A3">
            <w:pPr>
              <w:snapToGrid w:val="0"/>
              <w:jc w:val="right"/>
              <w:rPr>
                <w:rFonts w:ascii="宋体" w:hAnsi="Calibri" w:eastAsia="宋体" w:cs="Calibri"/>
                <w:color w:val="auto"/>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0E782F10">
            <w:pPr>
              <w:snapToGrid w:val="0"/>
              <w:jc w:val="right"/>
              <w:rPr>
                <w:rFonts w:ascii="宋体" w:hAnsi="Calibri" w:eastAsia="宋体" w:cs="Calibri"/>
                <w:color w:val="auto"/>
                <w:sz w:val="18"/>
                <w:szCs w:val="20"/>
              </w:rPr>
            </w:pPr>
          </w:p>
        </w:tc>
      </w:tr>
      <w:tr w14:paraId="72DD0E01">
        <w:tblPrEx>
          <w:tblCellMar>
            <w:top w:w="0" w:type="dxa"/>
            <w:left w:w="108" w:type="dxa"/>
            <w:bottom w:w="0" w:type="dxa"/>
            <w:right w:w="108" w:type="dxa"/>
          </w:tblCellMar>
        </w:tblPrEx>
        <w:trPr>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0C9C1F43">
            <w:pPr>
              <w:snapToGrid w:val="0"/>
              <w:jc w:val="center"/>
              <w:rPr>
                <w:rFonts w:hint="eastAsia" w:ascii="宋体" w:hAnsi="宋体" w:eastAsia="宋体" w:cs="宋体"/>
                <w:color w:val="auto"/>
                <w:sz w:val="18"/>
                <w:szCs w:val="20"/>
              </w:rPr>
            </w:pP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4609C839">
            <w:pPr>
              <w:widowControl/>
              <w:snapToGrid w:val="0"/>
              <w:jc w:val="center"/>
              <w:textAlignment w:val="center"/>
              <w:rPr>
                <w:rFonts w:hint="eastAsia" w:ascii="宋体" w:hAnsi="宋体" w:eastAsia="宋体" w:cs="宋体"/>
                <w:color w:val="auto"/>
                <w:kern w:val="0"/>
                <w:sz w:val="18"/>
                <w:szCs w:val="20"/>
                <w:lang w:bidi="ar"/>
              </w:rPr>
            </w:pPr>
            <w:r>
              <w:rPr>
                <w:rFonts w:hint="eastAsia" w:ascii="宋体" w:hAnsi="宋体" w:eastAsia="宋体" w:cs="宋体"/>
                <w:color w:val="auto"/>
                <w:kern w:val="0"/>
                <w:sz w:val="18"/>
                <w:szCs w:val="20"/>
                <w:lang w:bidi="ar"/>
              </w:rPr>
              <w:t>日常</w:t>
            </w:r>
          </w:p>
          <w:p w14:paraId="19A13A7F">
            <w:pPr>
              <w:widowControl/>
              <w:snapToGrid w:val="0"/>
              <w:jc w:val="center"/>
              <w:textAlignment w:val="center"/>
              <w:rPr>
                <w:rFonts w:hint="eastAsia" w:ascii="宋体" w:hAnsi="宋体" w:eastAsia="宋体" w:cs="宋体"/>
                <w:color w:val="auto"/>
                <w:kern w:val="0"/>
                <w:sz w:val="18"/>
                <w:szCs w:val="20"/>
                <w:lang w:bidi="ar"/>
              </w:rPr>
            </w:pPr>
            <w:r>
              <w:rPr>
                <w:rFonts w:hint="eastAsia" w:ascii="宋体" w:hAnsi="宋体" w:eastAsia="宋体" w:cs="宋体"/>
                <w:color w:val="auto"/>
                <w:kern w:val="0"/>
                <w:sz w:val="18"/>
                <w:szCs w:val="20"/>
                <w:lang w:bidi="ar"/>
              </w:rPr>
              <w:t>履约</w:t>
            </w:r>
          </w:p>
          <w:p w14:paraId="11740570">
            <w:pPr>
              <w:widowControl/>
              <w:snapToGrid w:val="0"/>
              <w:jc w:val="center"/>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监管</w:t>
            </w:r>
          </w:p>
        </w:tc>
        <w:tc>
          <w:tcPr>
            <w:tcW w:w="3011" w:type="pct"/>
            <w:tcBorders>
              <w:top w:val="single" w:color="000000" w:sz="4" w:space="0"/>
              <w:left w:val="single" w:color="000000" w:sz="4" w:space="0"/>
              <w:bottom w:val="nil"/>
              <w:right w:val="nil"/>
            </w:tcBorders>
            <w:tcMar>
              <w:top w:w="-1" w:type="dxa"/>
              <w:left w:w="-1" w:type="dxa"/>
              <w:bottom w:w="-1" w:type="dxa"/>
              <w:right w:w="-1" w:type="dxa"/>
            </w:tcMar>
            <w:vAlign w:val="center"/>
          </w:tcPr>
          <w:p w14:paraId="5BAF8842">
            <w:pPr>
              <w:widowControl/>
              <w:snapToGrid w:val="0"/>
              <w:jc w:val="both"/>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1.投标人须每季度组织不少于1次综合应急演练，每半年至少开展1次专项消防应急演练，演练内容覆盖火灾处置、人员疏散、燃气泄漏应急处置等，留存完整演练记录、照片、视频，报采购人备案；按要求制定应急预案、开展应急演练的。</w:t>
            </w:r>
          </w:p>
          <w:p w14:paraId="31F9344E">
            <w:pPr>
              <w:widowControl/>
              <w:snapToGrid w:val="0"/>
              <w:jc w:val="both"/>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2.投标人的人员管理、服务规范、环境卫生未达本文件要求的，采购人有权责令限期整改。</w:t>
            </w:r>
          </w:p>
          <w:p w14:paraId="3B0304CB">
            <w:pPr>
              <w:widowControl/>
              <w:snapToGrid w:val="0"/>
              <w:jc w:val="both"/>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3.投标人未按本项目采购文件要求完成食材配送、抽检不合格的；一个月内累计3次及以上的，采购人有权暂停支付结算款项，情节严重的，有权终止合同。</w:t>
            </w:r>
          </w:p>
          <w:p w14:paraId="673D973C">
            <w:pPr>
              <w:widowControl/>
              <w:snapToGrid w:val="0"/>
              <w:jc w:val="both"/>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4.投标人未按要求配备中央厨房及应急配送保障能力、未制定专项应急供餐保障方案，或突发供餐中断后未在4小时内恢复正常供餐的，采购人有权责令限期整改；情节严重影响医院正常运营的，采购人有权单方终止合同，全额没收履约保证金。</w:t>
            </w:r>
          </w:p>
          <w:p w14:paraId="39DAEB04">
            <w:pPr>
              <w:widowControl/>
              <w:snapToGrid w:val="0"/>
              <w:jc w:val="both"/>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5.因投标人违约导致采购人被监管部门处罚、或被第三方索赔的，全部罚款、赔偿、律师费等费用均由投标人承担。</w:t>
            </w:r>
          </w:p>
          <w:p w14:paraId="4D31A057">
            <w:pPr>
              <w:widowControl/>
              <w:snapToGrid w:val="0"/>
              <w:jc w:val="both"/>
              <w:textAlignment w:val="center"/>
              <w:rPr>
                <w:rFonts w:hint="eastAsia" w:ascii="宋体" w:hAnsi="宋体" w:eastAsia="宋体" w:cs="宋体"/>
                <w:color w:val="auto"/>
                <w:sz w:val="18"/>
                <w:szCs w:val="18"/>
              </w:rPr>
            </w:pPr>
            <w:r>
              <w:rPr>
                <w:rFonts w:hint="eastAsia" w:ascii="宋体" w:hAnsi="宋体" w:eastAsia="宋体" w:cs="宋体"/>
                <w:color w:val="auto"/>
                <w:kern w:val="0"/>
                <w:sz w:val="18"/>
                <w:szCs w:val="18"/>
                <w:lang w:bidi="ar"/>
              </w:rPr>
              <w:t>6.员工不服从管理、辱骂恐吓殴打管理人员、医护人员、病人及其家属的，立即调离项目，涉及违法的移交公安机关。</w:t>
            </w:r>
          </w:p>
          <w:p w14:paraId="4809F359">
            <w:pPr>
              <w:widowControl/>
              <w:snapToGrid w:val="0"/>
              <w:jc w:val="both"/>
              <w:textAlignment w:val="center"/>
              <w:rPr>
                <w:rFonts w:hint="eastAsia" w:ascii="宋体" w:hAnsi="宋体" w:eastAsia="宋体" w:cs="宋体"/>
                <w:color w:val="auto"/>
                <w:kern w:val="0"/>
                <w:sz w:val="18"/>
                <w:szCs w:val="18"/>
                <w:lang w:bidi="ar"/>
              </w:rPr>
            </w:pPr>
            <w:r>
              <w:rPr>
                <w:rFonts w:hint="eastAsia" w:ascii="宋体" w:hAnsi="宋体" w:eastAsia="宋体" w:cs="宋体"/>
                <w:color w:val="auto"/>
                <w:kern w:val="0"/>
                <w:sz w:val="18"/>
                <w:szCs w:val="18"/>
                <w:lang w:bidi="ar"/>
              </w:rPr>
              <w:t>7.违规操作引发安全事件、不良事件，影响医院正常工作与声誉的投诉（被媒体曝光、市级及以上行政部门通报、市场监管局立案调查、10人及以上集体投诉、引发网络舆情等）；情节严重的，承担全部后果并移交公安机关；</w:t>
            </w:r>
          </w:p>
          <w:p w14:paraId="77911B0F">
            <w:pPr>
              <w:widowControl/>
              <w:snapToGrid w:val="0"/>
              <w:jc w:val="left"/>
              <w:textAlignment w:val="center"/>
              <w:rPr>
                <w:rFonts w:hint="eastAsia" w:ascii="宋体" w:hAnsi="宋体" w:eastAsia="宋体" w:cs="宋体"/>
                <w:color w:val="auto"/>
                <w:sz w:val="18"/>
                <w:szCs w:val="18"/>
              </w:rPr>
            </w:pPr>
            <w:r>
              <w:rPr>
                <w:rFonts w:ascii="宋体" w:hAnsi="宋体" w:eastAsia="宋体" w:cs="宋体"/>
                <w:b/>
                <w:bCs/>
                <w:color w:val="auto"/>
                <w:sz w:val="18"/>
                <w:szCs w:val="18"/>
              </w:rPr>
              <w:t>（发现违反上述规定，每项每次扣</w:t>
            </w:r>
            <w:r>
              <w:rPr>
                <w:rFonts w:hint="eastAsia" w:ascii="宋体" w:hAnsi="宋体" w:eastAsia="宋体" w:cs="宋体"/>
                <w:b/>
                <w:bCs/>
                <w:color w:val="auto"/>
                <w:sz w:val="18"/>
                <w:szCs w:val="18"/>
              </w:rPr>
              <w:t>2</w:t>
            </w:r>
            <w:r>
              <w:rPr>
                <w:rFonts w:ascii="宋体" w:hAnsi="宋体" w:eastAsia="宋体" w:cs="宋体"/>
                <w:b/>
                <w:bCs/>
                <w:color w:val="auto"/>
                <w:sz w:val="18"/>
                <w:szCs w:val="18"/>
              </w:rPr>
              <w:t>分，扣完该项分值为止）</w:t>
            </w:r>
          </w:p>
        </w:tc>
        <w:tc>
          <w:tcPr>
            <w:tcW w:w="241" w:type="pct"/>
            <w:tcBorders>
              <w:top w:val="single" w:color="auto" w:sz="4" w:space="0"/>
              <w:left w:val="single" w:color="auto" w:sz="4" w:space="0"/>
              <w:bottom w:val="nil"/>
              <w:right w:val="nil"/>
            </w:tcBorders>
            <w:tcMar>
              <w:top w:w="-1" w:type="dxa"/>
              <w:left w:w="-1" w:type="dxa"/>
              <w:bottom w:w="-1" w:type="dxa"/>
              <w:right w:w="-1" w:type="dxa"/>
            </w:tcMar>
            <w:vAlign w:val="center"/>
          </w:tcPr>
          <w:p w14:paraId="69E60BA5">
            <w:pPr>
              <w:widowControl/>
              <w:snapToGrid w:val="0"/>
              <w:jc w:val="center"/>
              <w:textAlignment w:val="center"/>
              <w:rPr>
                <w:rFonts w:ascii="宋体" w:hAnsi="Calibri" w:eastAsia="宋体" w:cs="Calibri"/>
                <w:color w:val="auto"/>
                <w:sz w:val="18"/>
                <w:szCs w:val="20"/>
              </w:rPr>
            </w:pPr>
            <w:r>
              <w:rPr>
                <w:rFonts w:ascii="宋体" w:hAnsi="Calibri" w:eastAsia="宋体" w:cs="Calibri"/>
                <w:color w:val="auto"/>
                <w:kern w:val="0"/>
                <w:sz w:val="18"/>
                <w:szCs w:val="20"/>
                <w:lang w:bidi="ar"/>
              </w:rPr>
              <w:t>1</w:t>
            </w:r>
            <w:r>
              <w:rPr>
                <w:rFonts w:hint="eastAsia" w:ascii="宋体" w:hAnsi="Calibri" w:eastAsia="宋体" w:cs="Calibri"/>
                <w:color w:val="auto"/>
                <w:kern w:val="0"/>
                <w:sz w:val="18"/>
                <w:szCs w:val="20"/>
                <w:lang w:bidi="ar"/>
              </w:rPr>
              <w:t>4</w:t>
            </w:r>
          </w:p>
        </w:tc>
        <w:tc>
          <w:tcPr>
            <w:tcW w:w="284" w:type="pct"/>
            <w:tcBorders>
              <w:top w:val="single" w:color="auto" w:sz="4" w:space="0"/>
              <w:left w:val="single" w:color="auto" w:sz="4" w:space="0"/>
              <w:bottom w:val="nil"/>
              <w:right w:val="nil"/>
            </w:tcBorders>
            <w:tcMar>
              <w:top w:w="-1" w:type="dxa"/>
              <w:left w:w="-1" w:type="dxa"/>
              <w:bottom w:w="-1" w:type="dxa"/>
              <w:right w:w="-1" w:type="dxa"/>
            </w:tcMar>
            <w:vAlign w:val="center"/>
          </w:tcPr>
          <w:p w14:paraId="23341734">
            <w:pPr>
              <w:snapToGrid w:val="0"/>
              <w:jc w:val="right"/>
              <w:rPr>
                <w:rFonts w:ascii="宋体" w:hAnsi="Calibri" w:eastAsia="宋体" w:cs="Calibri"/>
                <w:color w:val="auto"/>
                <w:sz w:val="18"/>
                <w:szCs w:val="20"/>
              </w:rPr>
            </w:pPr>
          </w:p>
        </w:tc>
        <w:tc>
          <w:tcPr>
            <w:tcW w:w="407" w:type="pct"/>
            <w:tcBorders>
              <w:top w:val="single" w:color="auto" w:sz="4" w:space="0"/>
              <w:left w:val="single" w:color="auto" w:sz="4" w:space="0"/>
              <w:bottom w:val="nil"/>
              <w:right w:val="single" w:color="000000" w:sz="4" w:space="0"/>
            </w:tcBorders>
            <w:tcMar>
              <w:top w:w="-1" w:type="dxa"/>
              <w:left w:w="-1" w:type="dxa"/>
              <w:bottom w:w="-1" w:type="dxa"/>
              <w:right w:w="-1" w:type="dxa"/>
            </w:tcMar>
            <w:vAlign w:val="center"/>
          </w:tcPr>
          <w:p w14:paraId="74E94F2F">
            <w:pPr>
              <w:snapToGrid w:val="0"/>
              <w:jc w:val="right"/>
              <w:rPr>
                <w:rFonts w:ascii="宋体" w:hAnsi="Calibri" w:eastAsia="宋体" w:cs="Calibri"/>
                <w:color w:val="auto"/>
                <w:sz w:val="18"/>
                <w:szCs w:val="20"/>
              </w:rPr>
            </w:pPr>
          </w:p>
        </w:tc>
      </w:tr>
      <w:tr w14:paraId="5166DA57">
        <w:tblPrEx>
          <w:tblCellMar>
            <w:top w:w="0" w:type="dxa"/>
            <w:left w:w="108" w:type="dxa"/>
            <w:bottom w:w="0" w:type="dxa"/>
            <w:right w:w="108" w:type="dxa"/>
          </w:tblCellMar>
        </w:tblPrEx>
        <w:trPr>
          <w:trHeight w:val="340" w:hRule="atLeast"/>
          <w:jc w:val="center"/>
        </w:trPr>
        <w:tc>
          <w:tcPr>
            <w:tcW w:w="633" w:type="pct"/>
            <w:vMerge w:val="restart"/>
            <w:tcBorders>
              <w:top w:val="single" w:color="000000" w:sz="4" w:space="0"/>
              <w:left w:val="single" w:color="000000" w:sz="4" w:space="0"/>
              <w:bottom w:val="nil"/>
              <w:right w:val="nil"/>
            </w:tcBorders>
            <w:tcMar>
              <w:top w:w="-1" w:type="dxa"/>
              <w:left w:w="-1" w:type="dxa"/>
              <w:bottom w:w="-1" w:type="dxa"/>
              <w:right w:w="-1" w:type="dxa"/>
            </w:tcMar>
            <w:vAlign w:val="center"/>
          </w:tcPr>
          <w:p w14:paraId="3ACBF4CE">
            <w:pPr>
              <w:widowControl/>
              <w:snapToGrid w:val="0"/>
              <w:jc w:val="center"/>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膳食服务评价</w:t>
            </w:r>
            <w:r>
              <w:rPr>
                <w:rStyle w:val="31"/>
                <w:rFonts w:hint="default"/>
                <w:color w:val="auto"/>
                <w:sz w:val="18"/>
                <w:lang w:bidi="ar"/>
              </w:rPr>
              <w:t>（3</w:t>
            </w:r>
            <w:r>
              <w:rPr>
                <w:rFonts w:ascii="宋体" w:hAnsi="Calibri" w:eastAsia="宋体" w:cs="Calibri"/>
                <w:color w:val="auto"/>
                <w:kern w:val="0"/>
                <w:sz w:val="18"/>
                <w:szCs w:val="20"/>
                <w:lang w:bidi="ar"/>
              </w:rPr>
              <w:t>0</w:t>
            </w:r>
            <w:r>
              <w:rPr>
                <w:rStyle w:val="31"/>
                <w:rFonts w:hint="default"/>
                <w:color w:val="auto"/>
                <w:sz w:val="18"/>
                <w:lang w:bidi="ar"/>
              </w:rPr>
              <w:t>分）</w:t>
            </w:r>
          </w:p>
        </w:tc>
        <w:tc>
          <w:tcPr>
            <w:tcW w:w="424" w:type="pct"/>
            <w:tcBorders>
              <w:top w:val="single" w:color="auto" w:sz="4" w:space="0"/>
              <w:left w:val="single" w:color="000000" w:sz="4" w:space="0"/>
              <w:bottom w:val="nil"/>
              <w:right w:val="nil"/>
            </w:tcBorders>
            <w:shd w:val="clear" w:color="auto" w:fill="FFFFFF"/>
            <w:tcMar>
              <w:top w:w="-1" w:type="dxa"/>
              <w:left w:w="-1" w:type="dxa"/>
              <w:bottom w:w="-1" w:type="dxa"/>
              <w:right w:w="-1" w:type="dxa"/>
            </w:tcMar>
            <w:vAlign w:val="center"/>
          </w:tcPr>
          <w:p w14:paraId="7CCC194F">
            <w:pPr>
              <w:widowControl/>
              <w:snapToGrid w:val="0"/>
              <w:jc w:val="center"/>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病人膳食服务评价</w:t>
            </w:r>
          </w:p>
        </w:tc>
        <w:tc>
          <w:tcPr>
            <w:tcW w:w="3011" w:type="pct"/>
            <w:tcBorders>
              <w:top w:val="single" w:color="000000" w:sz="4" w:space="0"/>
              <w:left w:val="single" w:color="000000" w:sz="4" w:space="0"/>
              <w:bottom w:val="nil"/>
              <w:right w:val="nil"/>
            </w:tcBorders>
            <w:shd w:val="clear" w:color="auto" w:fill="FFFFFF"/>
            <w:tcMar>
              <w:top w:w="-1" w:type="dxa"/>
              <w:left w:w="-1" w:type="dxa"/>
              <w:bottom w:w="-1" w:type="dxa"/>
              <w:right w:w="-1" w:type="dxa"/>
            </w:tcMar>
            <w:vAlign w:val="center"/>
          </w:tcPr>
          <w:p w14:paraId="16DC9830">
            <w:pPr>
              <w:widowControl/>
              <w:snapToGrid w:val="0"/>
              <w:jc w:val="left"/>
              <w:textAlignment w:val="center"/>
              <w:rPr>
                <w:rFonts w:hint="eastAsia" w:ascii="宋体" w:hAnsi="宋体" w:eastAsia="宋体" w:cs="宋体"/>
                <w:color w:val="auto"/>
                <w:kern w:val="0"/>
                <w:sz w:val="18"/>
                <w:szCs w:val="20"/>
                <w:lang w:bidi="ar"/>
              </w:rPr>
            </w:pPr>
            <w:r>
              <w:rPr>
                <w:rFonts w:hint="eastAsia" w:ascii="宋体" w:hAnsi="宋体" w:eastAsia="宋体" w:cs="宋体"/>
                <w:color w:val="auto"/>
                <w:kern w:val="0"/>
                <w:sz w:val="18"/>
                <w:szCs w:val="20"/>
                <w:lang w:bidi="ar"/>
              </w:rPr>
              <w:t>1.入场后第1-3个月为过渡期，根据采购人《食堂餐饮服务月度膳食服务评价表》（参考）考核结果，实现逐月递增，进行病人膳食服务评价考核：</w:t>
            </w:r>
          </w:p>
          <w:p w14:paraId="7CB55A0E">
            <w:pPr>
              <w:widowControl/>
              <w:snapToGrid w:val="0"/>
              <w:jc w:val="left"/>
              <w:textAlignment w:val="center"/>
              <w:rPr>
                <w:rFonts w:hint="eastAsia" w:ascii="宋体" w:hAnsi="宋体" w:eastAsia="宋体" w:cs="宋体"/>
                <w:color w:val="auto"/>
                <w:kern w:val="0"/>
                <w:sz w:val="18"/>
                <w:szCs w:val="20"/>
                <w:lang w:bidi="ar"/>
              </w:rPr>
            </w:pPr>
            <w:r>
              <w:rPr>
                <w:rFonts w:hint="eastAsia" w:ascii="宋体" w:hAnsi="宋体" w:eastAsia="宋体" w:cs="宋体"/>
                <w:color w:val="auto"/>
                <w:kern w:val="0"/>
                <w:sz w:val="18"/>
                <w:szCs w:val="20"/>
                <w:lang w:bidi="ar"/>
              </w:rPr>
              <w:t>①第1个月不得低于70分，否则扣5分；</w:t>
            </w:r>
          </w:p>
          <w:p w14:paraId="47DF1524">
            <w:pPr>
              <w:widowControl/>
              <w:snapToGrid w:val="0"/>
              <w:jc w:val="left"/>
              <w:textAlignment w:val="center"/>
              <w:rPr>
                <w:rFonts w:hint="eastAsia" w:ascii="宋体" w:hAnsi="宋体" w:eastAsia="宋体" w:cs="宋体"/>
                <w:color w:val="auto"/>
                <w:kern w:val="0"/>
                <w:sz w:val="18"/>
                <w:szCs w:val="20"/>
                <w:lang w:bidi="ar"/>
              </w:rPr>
            </w:pPr>
            <w:r>
              <w:rPr>
                <w:rFonts w:hint="eastAsia" w:ascii="宋体" w:hAnsi="宋体" w:eastAsia="宋体" w:cs="宋体"/>
                <w:color w:val="auto"/>
                <w:kern w:val="0"/>
                <w:sz w:val="18"/>
                <w:szCs w:val="20"/>
                <w:lang w:bidi="ar"/>
              </w:rPr>
              <w:t>②第2个月不得低于75分，否则扣5分；</w:t>
            </w:r>
          </w:p>
          <w:p w14:paraId="0DE79068">
            <w:pPr>
              <w:widowControl/>
              <w:snapToGrid w:val="0"/>
              <w:jc w:val="left"/>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③第3个月不得低于80分，否则扣5分；</w:t>
            </w:r>
          </w:p>
          <w:p w14:paraId="136957CF">
            <w:pPr>
              <w:widowControl/>
              <w:snapToGrid w:val="0"/>
              <w:jc w:val="left"/>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2.第4个月起正式考核，每月根据采购人《食堂餐饮服务月度膳食服务评价表》（参考）考核结果，进行病人膳食服务评价考核：</w:t>
            </w:r>
            <w:r>
              <w:rPr>
                <w:rFonts w:hint="eastAsia" w:ascii="宋体" w:hAnsi="宋体" w:eastAsia="宋体" w:cs="宋体"/>
                <w:color w:val="auto"/>
                <w:kern w:val="0"/>
                <w:sz w:val="18"/>
                <w:szCs w:val="20"/>
                <w:lang w:bidi="ar"/>
              </w:rPr>
              <w:br w:type="textWrapping"/>
            </w:r>
            <w:r>
              <w:rPr>
                <w:rFonts w:hint="eastAsia" w:ascii="宋体" w:hAnsi="宋体" w:eastAsia="宋体" w:cs="宋体"/>
                <w:color w:val="auto"/>
                <w:kern w:val="0"/>
                <w:sz w:val="18"/>
                <w:szCs w:val="20"/>
                <w:lang w:bidi="ar"/>
              </w:rPr>
              <w:t>1.85分及以上，不扣分</w:t>
            </w:r>
            <w:r>
              <w:rPr>
                <w:rFonts w:hint="eastAsia" w:ascii="宋体" w:hAnsi="宋体" w:eastAsia="宋体" w:cs="宋体"/>
                <w:color w:val="auto"/>
                <w:kern w:val="0"/>
                <w:sz w:val="18"/>
                <w:szCs w:val="20"/>
                <w:lang w:bidi="ar"/>
              </w:rPr>
              <w:br w:type="textWrapping"/>
            </w:r>
            <w:r>
              <w:rPr>
                <w:rFonts w:hint="eastAsia" w:ascii="宋体" w:hAnsi="宋体" w:eastAsia="宋体" w:cs="宋体"/>
                <w:color w:val="auto"/>
                <w:kern w:val="0"/>
                <w:sz w:val="18"/>
                <w:szCs w:val="20"/>
                <w:lang w:bidi="ar"/>
              </w:rPr>
              <w:t>2.80-85分（80≤N＜85），扣5分</w:t>
            </w:r>
            <w:r>
              <w:rPr>
                <w:rFonts w:hint="eastAsia" w:ascii="宋体" w:hAnsi="宋体" w:eastAsia="宋体" w:cs="宋体"/>
                <w:color w:val="auto"/>
                <w:kern w:val="0"/>
                <w:sz w:val="18"/>
                <w:szCs w:val="20"/>
                <w:lang w:bidi="ar"/>
              </w:rPr>
              <w:br w:type="textWrapping"/>
            </w:r>
            <w:r>
              <w:rPr>
                <w:rFonts w:hint="eastAsia" w:ascii="宋体" w:hAnsi="宋体" w:eastAsia="宋体" w:cs="宋体"/>
                <w:color w:val="auto"/>
                <w:kern w:val="0"/>
                <w:sz w:val="18"/>
                <w:szCs w:val="20"/>
                <w:lang w:bidi="ar"/>
              </w:rPr>
              <w:t>3.70-80分（70≤N＜80），扣10分</w:t>
            </w:r>
            <w:r>
              <w:rPr>
                <w:rFonts w:hint="eastAsia" w:ascii="宋体" w:hAnsi="宋体" w:eastAsia="宋体" w:cs="宋体"/>
                <w:color w:val="auto"/>
                <w:kern w:val="0"/>
                <w:sz w:val="18"/>
                <w:szCs w:val="20"/>
                <w:lang w:bidi="ar"/>
              </w:rPr>
              <w:br w:type="textWrapping"/>
            </w:r>
            <w:r>
              <w:rPr>
                <w:rFonts w:hint="eastAsia" w:ascii="宋体" w:hAnsi="宋体" w:eastAsia="宋体" w:cs="宋体"/>
                <w:color w:val="auto"/>
                <w:kern w:val="0"/>
                <w:sz w:val="18"/>
                <w:szCs w:val="20"/>
                <w:lang w:bidi="ar"/>
              </w:rPr>
              <w:t>4.70分以下（N＜70），扣20分</w:t>
            </w:r>
          </w:p>
        </w:tc>
        <w:tc>
          <w:tcPr>
            <w:tcW w:w="241" w:type="pct"/>
            <w:tcBorders>
              <w:top w:val="single" w:color="000000" w:sz="4" w:space="0"/>
              <w:left w:val="single" w:color="auto" w:sz="4" w:space="0"/>
              <w:bottom w:val="nil"/>
              <w:right w:val="nil"/>
            </w:tcBorders>
            <w:tcMar>
              <w:top w:w="-1" w:type="dxa"/>
              <w:left w:w="-1" w:type="dxa"/>
              <w:bottom w:w="-1" w:type="dxa"/>
              <w:right w:w="-1" w:type="dxa"/>
            </w:tcMar>
            <w:vAlign w:val="center"/>
          </w:tcPr>
          <w:p w14:paraId="1646C67B">
            <w:pPr>
              <w:widowControl/>
              <w:snapToGrid w:val="0"/>
              <w:jc w:val="left"/>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20</w:t>
            </w:r>
          </w:p>
        </w:tc>
        <w:tc>
          <w:tcPr>
            <w:tcW w:w="284" w:type="pct"/>
            <w:tcBorders>
              <w:top w:val="single" w:color="000000" w:sz="4" w:space="0"/>
              <w:left w:val="single" w:color="000000" w:sz="4" w:space="0"/>
              <w:bottom w:val="nil"/>
              <w:right w:val="nil"/>
            </w:tcBorders>
            <w:tcMar>
              <w:top w:w="-1" w:type="dxa"/>
              <w:left w:w="-1" w:type="dxa"/>
              <w:bottom w:w="-1" w:type="dxa"/>
              <w:right w:w="-1" w:type="dxa"/>
            </w:tcMar>
            <w:vAlign w:val="center"/>
          </w:tcPr>
          <w:p w14:paraId="5D10CD8C">
            <w:pPr>
              <w:snapToGrid w:val="0"/>
              <w:jc w:val="right"/>
              <w:rPr>
                <w:rFonts w:hint="eastAsia" w:ascii="宋体" w:hAnsi="宋体" w:eastAsia="宋体" w:cs="宋体"/>
                <w:color w:val="auto"/>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335256B9">
            <w:pPr>
              <w:snapToGrid w:val="0"/>
              <w:jc w:val="right"/>
              <w:rPr>
                <w:rFonts w:hint="eastAsia" w:ascii="宋体" w:hAnsi="宋体" w:eastAsia="宋体" w:cs="宋体"/>
                <w:color w:val="auto"/>
                <w:sz w:val="18"/>
                <w:szCs w:val="20"/>
              </w:rPr>
            </w:pPr>
          </w:p>
        </w:tc>
      </w:tr>
      <w:tr w14:paraId="3A96D261">
        <w:tblPrEx>
          <w:tblCellMar>
            <w:top w:w="0" w:type="dxa"/>
            <w:left w:w="108" w:type="dxa"/>
            <w:bottom w:w="0" w:type="dxa"/>
            <w:right w:w="108" w:type="dxa"/>
          </w:tblCellMar>
        </w:tblPrEx>
        <w:trPr>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0CD1BA02">
            <w:pPr>
              <w:snapToGrid w:val="0"/>
              <w:jc w:val="center"/>
              <w:rPr>
                <w:rFonts w:hint="eastAsia" w:ascii="宋体" w:hAnsi="宋体" w:eastAsia="宋体" w:cs="宋体"/>
                <w:color w:val="auto"/>
                <w:sz w:val="18"/>
                <w:szCs w:val="20"/>
              </w:rPr>
            </w:pPr>
          </w:p>
        </w:tc>
        <w:tc>
          <w:tcPr>
            <w:tcW w:w="424" w:type="pct"/>
            <w:tcBorders>
              <w:top w:val="single" w:color="000000" w:sz="4" w:space="0"/>
              <w:left w:val="single" w:color="000000" w:sz="4" w:space="0"/>
              <w:bottom w:val="nil"/>
              <w:right w:val="nil"/>
            </w:tcBorders>
            <w:shd w:val="clear" w:color="auto" w:fill="FFFFFF"/>
            <w:tcMar>
              <w:top w:w="-1" w:type="dxa"/>
              <w:left w:w="-1" w:type="dxa"/>
              <w:bottom w:w="-1" w:type="dxa"/>
              <w:right w:w="-1" w:type="dxa"/>
            </w:tcMar>
            <w:vAlign w:val="center"/>
          </w:tcPr>
          <w:p w14:paraId="0E9CB1B1">
            <w:pPr>
              <w:widowControl/>
              <w:snapToGrid w:val="0"/>
              <w:jc w:val="center"/>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职工膳食服务评价</w:t>
            </w:r>
          </w:p>
        </w:tc>
        <w:tc>
          <w:tcPr>
            <w:tcW w:w="3011" w:type="pct"/>
            <w:tcBorders>
              <w:top w:val="single" w:color="000000" w:sz="4" w:space="0"/>
              <w:left w:val="single" w:color="000000" w:sz="4" w:space="0"/>
              <w:bottom w:val="nil"/>
              <w:right w:val="nil"/>
            </w:tcBorders>
            <w:shd w:val="clear" w:color="auto" w:fill="FFFFFF"/>
            <w:tcMar>
              <w:top w:w="-1" w:type="dxa"/>
              <w:left w:w="-1" w:type="dxa"/>
              <w:bottom w:w="-1" w:type="dxa"/>
              <w:right w:w="-1" w:type="dxa"/>
            </w:tcMar>
            <w:vAlign w:val="center"/>
          </w:tcPr>
          <w:p w14:paraId="5B1476A6">
            <w:pPr>
              <w:widowControl/>
              <w:snapToGrid w:val="0"/>
              <w:jc w:val="left"/>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每月根据采购人《食堂餐饮服务月度膳食服务评价表》（参考）考核结果，进行病人膳食服务评价考核：</w:t>
            </w:r>
            <w:r>
              <w:rPr>
                <w:rFonts w:hint="eastAsia" w:ascii="宋体" w:hAnsi="宋体" w:eastAsia="宋体" w:cs="宋体"/>
                <w:color w:val="auto"/>
                <w:kern w:val="0"/>
                <w:sz w:val="18"/>
                <w:szCs w:val="20"/>
                <w:lang w:bidi="ar"/>
              </w:rPr>
              <w:br w:type="textWrapping"/>
            </w:r>
            <w:r>
              <w:rPr>
                <w:rFonts w:hint="eastAsia" w:ascii="宋体" w:hAnsi="宋体" w:eastAsia="宋体" w:cs="宋体"/>
                <w:color w:val="auto"/>
                <w:kern w:val="0"/>
                <w:sz w:val="18"/>
                <w:szCs w:val="20"/>
                <w:lang w:bidi="ar"/>
              </w:rPr>
              <w:t>1.85分及以上，不扣分</w:t>
            </w:r>
            <w:r>
              <w:rPr>
                <w:rFonts w:hint="eastAsia" w:ascii="宋体" w:hAnsi="宋体" w:eastAsia="宋体" w:cs="宋体"/>
                <w:color w:val="auto"/>
                <w:kern w:val="0"/>
                <w:sz w:val="18"/>
                <w:szCs w:val="20"/>
                <w:lang w:bidi="ar"/>
              </w:rPr>
              <w:br w:type="textWrapping"/>
            </w:r>
            <w:r>
              <w:rPr>
                <w:rFonts w:hint="eastAsia" w:ascii="宋体" w:hAnsi="宋体" w:eastAsia="宋体" w:cs="宋体"/>
                <w:color w:val="auto"/>
                <w:kern w:val="0"/>
                <w:sz w:val="18"/>
                <w:szCs w:val="20"/>
                <w:lang w:bidi="ar"/>
              </w:rPr>
              <w:t>2.80-85分（80≤N＜85），扣3分</w:t>
            </w:r>
            <w:r>
              <w:rPr>
                <w:rFonts w:hint="eastAsia" w:ascii="宋体" w:hAnsi="宋体" w:eastAsia="宋体" w:cs="宋体"/>
                <w:color w:val="auto"/>
                <w:kern w:val="0"/>
                <w:sz w:val="18"/>
                <w:szCs w:val="20"/>
                <w:lang w:bidi="ar"/>
              </w:rPr>
              <w:br w:type="textWrapping"/>
            </w:r>
            <w:r>
              <w:rPr>
                <w:rFonts w:hint="eastAsia" w:ascii="宋体" w:hAnsi="宋体" w:eastAsia="宋体" w:cs="宋体"/>
                <w:color w:val="auto"/>
                <w:kern w:val="0"/>
                <w:sz w:val="18"/>
                <w:szCs w:val="20"/>
                <w:lang w:bidi="ar"/>
              </w:rPr>
              <w:t>3.70-80分（70≤N＜80），扣6分</w:t>
            </w:r>
            <w:r>
              <w:rPr>
                <w:rFonts w:hint="eastAsia" w:ascii="宋体" w:hAnsi="宋体" w:eastAsia="宋体" w:cs="宋体"/>
                <w:color w:val="auto"/>
                <w:kern w:val="0"/>
                <w:sz w:val="18"/>
                <w:szCs w:val="20"/>
                <w:lang w:bidi="ar"/>
              </w:rPr>
              <w:br w:type="textWrapping"/>
            </w:r>
            <w:r>
              <w:rPr>
                <w:rFonts w:hint="eastAsia" w:ascii="宋体" w:hAnsi="宋体" w:eastAsia="宋体" w:cs="宋体"/>
                <w:color w:val="auto"/>
                <w:kern w:val="0"/>
                <w:sz w:val="18"/>
                <w:szCs w:val="20"/>
                <w:lang w:bidi="ar"/>
              </w:rPr>
              <w:t>4.70分以下（N＜70），扣10分</w:t>
            </w:r>
          </w:p>
        </w:tc>
        <w:tc>
          <w:tcPr>
            <w:tcW w:w="241" w:type="pct"/>
            <w:tcBorders>
              <w:top w:val="single" w:color="000000" w:sz="4" w:space="0"/>
              <w:left w:val="single" w:color="auto" w:sz="4" w:space="0"/>
              <w:bottom w:val="nil"/>
              <w:right w:val="nil"/>
            </w:tcBorders>
            <w:tcMar>
              <w:top w:w="-1" w:type="dxa"/>
              <w:left w:w="-1" w:type="dxa"/>
              <w:bottom w:w="-1" w:type="dxa"/>
              <w:right w:w="-1" w:type="dxa"/>
            </w:tcMar>
            <w:vAlign w:val="center"/>
          </w:tcPr>
          <w:p w14:paraId="0624A205">
            <w:pPr>
              <w:widowControl/>
              <w:snapToGrid w:val="0"/>
              <w:jc w:val="left"/>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10</w:t>
            </w:r>
          </w:p>
        </w:tc>
        <w:tc>
          <w:tcPr>
            <w:tcW w:w="284" w:type="pct"/>
            <w:tcBorders>
              <w:top w:val="single" w:color="000000" w:sz="4" w:space="0"/>
              <w:left w:val="single" w:color="000000" w:sz="4" w:space="0"/>
              <w:bottom w:val="nil"/>
              <w:right w:val="nil"/>
            </w:tcBorders>
            <w:tcMar>
              <w:top w:w="-1" w:type="dxa"/>
              <w:left w:w="-1" w:type="dxa"/>
              <w:bottom w:w="-1" w:type="dxa"/>
              <w:right w:w="-1" w:type="dxa"/>
            </w:tcMar>
            <w:vAlign w:val="center"/>
          </w:tcPr>
          <w:p w14:paraId="6E200974">
            <w:pPr>
              <w:snapToGrid w:val="0"/>
              <w:jc w:val="right"/>
              <w:rPr>
                <w:rFonts w:hint="eastAsia" w:ascii="宋体" w:hAnsi="宋体" w:eastAsia="宋体" w:cs="宋体"/>
                <w:color w:val="auto"/>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5F2CCD30">
            <w:pPr>
              <w:snapToGrid w:val="0"/>
              <w:jc w:val="right"/>
              <w:rPr>
                <w:rFonts w:hint="eastAsia" w:ascii="宋体" w:hAnsi="宋体" w:eastAsia="宋体" w:cs="宋体"/>
                <w:color w:val="auto"/>
                <w:sz w:val="18"/>
                <w:szCs w:val="20"/>
              </w:rPr>
            </w:pPr>
          </w:p>
        </w:tc>
      </w:tr>
      <w:tr w14:paraId="7B4C6757">
        <w:tblPrEx>
          <w:tblCellMar>
            <w:top w:w="0" w:type="dxa"/>
            <w:left w:w="108" w:type="dxa"/>
            <w:bottom w:w="0" w:type="dxa"/>
            <w:right w:w="108" w:type="dxa"/>
          </w:tblCellMar>
        </w:tblPrEx>
        <w:trPr>
          <w:trHeight w:val="340" w:hRule="atLeast"/>
          <w:jc w:val="center"/>
        </w:trPr>
        <w:tc>
          <w:tcPr>
            <w:tcW w:w="633" w:type="pct"/>
            <w:vMerge w:val="restart"/>
            <w:tcBorders>
              <w:top w:val="single" w:color="000000" w:sz="4" w:space="0"/>
              <w:left w:val="single" w:color="000000" w:sz="4" w:space="0"/>
              <w:bottom w:val="nil"/>
              <w:right w:val="nil"/>
            </w:tcBorders>
            <w:tcMar>
              <w:top w:w="-1" w:type="dxa"/>
              <w:left w:w="-1" w:type="dxa"/>
              <w:bottom w:w="-1" w:type="dxa"/>
              <w:right w:w="-1" w:type="dxa"/>
            </w:tcMar>
            <w:vAlign w:val="center"/>
          </w:tcPr>
          <w:p w14:paraId="2A691287">
            <w:pPr>
              <w:widowControl/>
              <w:snapToGrid w:val="0"/>
              <w:jc w:val="center"/>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附加项</w:t>
            </w: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1FDE35A3">
            <w:pPr>
              <w:widowControl/>
              <w:snapToGrid w:val="0"/>
              <w:jc w:val="center"/>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运营类</w:t>
            </w:r>
          </w:p>
        </w:tc>
        <w:tc>
          <w:tcPr>
            <w:tcW w:w="3011" w:type="pct"/>
            <w:tcBorders>
              <w:top w:val="single" w:color="000000" w:sz="4" w:space="0"/>
              <w:left w:val="single" w:color="000000" w:sz="4" w:space="0"/>
              <w:bottom w:val="nil"/>
              <w:right w:val="nil"/>
            </w:tcBorders>
            <w:tcMar>
              <w:top w:w="-1" w:type="dxa"/>
              <w:left w:w="-1" w:type="dxa"/>
              <w:bottom w:w="-1" w:type="dxa"/>
              <w:right w:w="-1" w:type="dxa"/>
            </w:tcMar>
            <w:vAlign w:val="center"/>
          </w:tcPr>
          <w:p w14:paraId="288579F5">
            <w:pPr>
              <w:widowControl/>
              <w:snapToGrid w:val="0"/>
              <w:jc w:val="left"/>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推进餐饮产品研发与成果转化，助力社会效益和经济效益提升。举例：编撰饮食养生著作、药食同源餐饮研发及市场推广等</w:t>
            </w:r>
          </w:p>
        </w:tc>
        <w:tc>
          <w:tcPr>
            <w:tcW w:w="241" w:type="pct"/>
            <w:tcBorders>
              <w:top w:val="single" w:color="000000" w:sz="4" w:space="0"/>
              <w:left w:val="single" w:color="000000" w:sz="4" w:space="0"/>
              <w:bottom w:val="nil"/>
              <w:right w:val="nil"/>
            </w:tcBorders>
            <w:tcMar>
              <w:top w:w="-1" w:type="dxa"/>
              <w:left w:w="-1" w:type="dxa"/>
              <w:bottom w:w="-1" w:type="dxa"/>
              <w:right w:w="-1" w:type="dxa"/>
            </w:tcMar>
            <w:vAlign w:val="center"/>
          </w:tcPr>
          <w:p w14:paraId="50A7AF72">
            <w:pPr>
              <w:widowControl/>
              <w:snapToGrid w:val="0"/>
              <w:jc w:val="left"/>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10</w:t>
            </w:r>
          </w:p>
        </w:tc>
        <w:tc>
          <w:tcPr>
            <w:tcW w:w="284" w:type="pct"/>
            <w:tcBorders>
              <w:top w:val="single" w:color="000000" w:sz="4" w:space="0"/>
              <w:left w:val="single" w:color="000000" w:sz="4" w:space="0"/>
              <w:bottom w:val="nil"/>
              <w:right w:val="nil"/>
            </w:tcBorders>
            <w:tcMar>
              <w:top w:w="-1" w:type="dxa"/>
              <w:left w:w="-1" w:type="dxa"/>
              <w:bottom w:w="-1" w:type="dxa"/>
              <w:right w:w="-1" w:type="dxa"/>
            </w:tcMar>
            <w:vAlign w:val="center"/>
          </w:tcPr>
          <w:p w14:paraId="445D57F5">
            <w:pPr>
              <w:snapToGrid w:val="0"/>
              <w:jc w:val="right"/>
              <w:rPr>
                <w:rFonts w:hint="eastAsia" w:ascii="宋体" w:hAnsi="宋体" w:eastAsia="宋体" w:cs="宋体"/>
                <w:color w:val="auto"/>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7E89C5BD">
            <w:pPr>
              <w:snapToGrid w:val="0"/>
              <w:jc w:val="right"/>
              <w:rPr>
                <w:rFonts w:hint="eastAsia" w:ascii="宋体" w:hAnsi="宋体" w:eastAsia="宋体" w:cs="宋体"/>
                <w:color w:val="auto"/>
                <w:sz w:val="18"/>
                <w:szCs w:val="20"/>
              </w:rPr>
            </w:pPr>
          </w:p>
        </w:tc>
      </w:tr>
      <w:tr w14:paraId="74D7CA37">
        <w:tblPrEx>
          <w:tblCellMar>
            <w:top w:w="0" w:type="dxa"/>
            <w:left w:w="108" w:type="dxa"/>
            <w:bottom w:w="0" w:type="dxa"/>
            <w:right w:w="108" w:type="dxa"/>
          </w:tblCellMar>
        </w:tblPrEx>
        <w:trPr>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2F66B8AD">
            <w:pPr>
              <w:snapToGrid w:val="0"/>
              <w:jc w:val="center"/>
              <w:rPr>
                <w:rFonts w:hint="eastAsia" w:ascii="宋体" w:hAnsi="宋体" w:eastAsia="宋体" w:cs="宋体"/>
                <w:color w:val="auto"/>
                <w:sz w:val="18"/>
                <w:szCs w:val="20"/>
              </w:rPr>
            </w:pPr>
          </w:p>
        </w:tc>
        <w:tc>
          <w:tcPr>
            <w:tcW w:w="424" w:type="pct"/>
            <w:tcBorders>
              <w:top w:val="single" w:color="000000" w:sz="4" w:space="0"/>
              <w:left w:val="single" w:color="000000" w:sz="4" w:space="0"/>
              <w:bottom w:val="nil"/>
              <w:right w:val="nil"/>
            </w:tcBorders>
            <w:tcMar>
              <w:top w:w="-1" w:type="dxa"/>
              <w:left w:w="-1" w:type="dxa"/>
              <w:bottom w:w="-1" w:type="dxa"/>
              <w:right w:w="-1" w:type="dxa"/>
            </w:tcMar>
            <w:vAlign w:val="center"/>
          </w:tcPr>
          <w:p w14:paraId="6CE15536">
            <w:pPr>
              <w:widowControl/>
              <w:snapToGrid w:val="0"/>
              <w:jc w:val="center"/>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创新类</w:t>
            </w:r>
          </w:p>
        </w:tc>
        <w:tc>
          <w:tcPr>
            <w:tcW w:w="3011" w:type="pct"/>
            <w:tcBorders>
              <w:top w:val="single" w:color="000000" w:sz="4" w:space="0"/>
              <w:left w:val="single" w:color="000000" w:sz="4" w:space="0"/>
              <w:bottom w:val="nil"/>
              <w:right w:val="nil"/>
            </w:tcBorders>
            <w:tcMar>
              <w:top w:w="-1" w:type="dxa"/>
              <w:left w:w="-1" w:type="dxa"/>
              <w:bottom w:w="-1" w:type="dxa"/>
              <w:right w:w="-1" w:type="dxa"/>
            </w:tcMar>
            <w:vAlign w:val="center"/>
          </w:tcPr>
          <w:p w14:paraId="10C0B62B">
            <w:pPr>
              <w:widowControl/>
              <w:snapToGrid w:val="0"/>
              <w:jc w:val="left"/>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充分展现医院标准化、高品质服务建设成果。举例：代表医院参加省市级专项竞赛评选，获得省市级行政部门颁发荣誉等。</w:t>
            </w:r>
          </w:p>
        </w:tc>
        <w:tc>
          <w:tcPr>
            <w:tcW w:w="241" w:type="pct"/>
            <w:tcBorders>
              <w:top w:val="single" w:color="000000" w:sz="4" w:space="0"/>
              <w:left w:val="single" w:color="000000" w:sz="4" w:space="0"/>
              <w:bottom w:val="nil"/>
              <w:right w:val="nil"/>
            </w:tcBorders>
            <w:tcMar>
              <w:top w:w="-1" w:type="dxa"/>
              <w:left w:w="-1" w:type="dxa"/>
              <w:bottom w:w="-1" w:type="dxa"/>
              <w:right w:w="-1" w:type="dxa"/>
            </w:tcMar>
            <w:vAlign w:val="center"/>
          </w:tcPr>
          <w:p w14:paraId="27AD75F2">
            <w:pPr>
              <w:widowControl/>
              <w:snapToGrid w:val="0"/>
              <w:jc w:val="left"/>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10</w:t>
            </w:r>
          </w:p>
        </w:tc>
        <w:tc>
          <w:tcPr>
            <w:tcW w:w="284" w:type="pct"/>
            <w:tcBorders>
              <w:top w:val="single" w:color="000000" w:sz="4" w:space="0"/>
              <w:left w:val="single" w:color="000000" w:sz="4" w:space="0"/>
              <w:bottom w:val="nil"/>
              <w:right w:val="nil"/>
            </w:tcBorders>
            <w:tcMar>
              <w:top w:w="-1" w:type="dxa"/>
              <w:left w:w="-1" w:type="dxa"/>
              <w:bottom w:w="-1" w:type="dxa"/>
              <w:right w:w="-1" w:type="dxa"/>
            </w:tcMar>
            <w:vAlign w:val="center"/>
          </w:tcPr>
          <w:p w14:paraId="47FF9526">
            <w:pPr>
              <w:snapToGrid w:val="0"/>
              <w:jc w:val="right"/>
              <w:rPr>
                <w:rFonts w:hint="eastAsia" w:ascii="宋体" w:hAnsi="宋体" w:eastAsia="宋体" w:cs="宋体"/>
                <w:color w:val="auto"/>
                <w:sz w:val="18"/>
                <w:szCs w:val="20"/>
              </w:rPr>
            </w:pPr>
          </w:p>
        </w:tc>
        <w:tc>
          <w:tcPr>
            <w:tcW w:w="407" w:type="pct"/>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36717200">
            <w:pPr>
              <w:snapToGrid w:val="0"/>
              <w:jc w:val="right"/>
              <w:rPr>
                <w:rFonts w:hint="eastAsia" w:ascii="宋体" w:hAnsi="宋体" w:eastAsia="宋体" w:cs="宋体"/>
                <w:color w:val="auto"/>
                <w:sz w:val="18"/>
                <w:szCs w:val="20"/>
              </w:rPr>
            </w:pPr>
          </w:p>
        </w:tc>
      </w:tr>
      <w:tr w14:paraId="4B473458">
        <w:tblPrEx>
          <w:tblCellMar>
            <w:top w:w="0" w:type="dxa"/>
            <w:left w:w="108" w:type="dxa"/>
            <w:bottom w:w="0" w:type="dxa"/>
            <w:right w:w="108" w:type="dxa"/>
          </w:tblCellMar>
        </w:tblPrEx>
        <w:trPr>
          <w:trHeight w:val="340" w:hRule="atLeast"/>
          <w:jc w:val="center"/>
        </w:trPr>
        <w:tc>
          <w:tcPr>
            <w:tcW w:w="633" w:type="pct"/>
            <w:tcBorders>
              <w:top w:val="single" w:color="000000" w:sz="4" w:space="0"/>
              <w:left w:val="single" w:color="000000" w:sz="4" w:space="0"/>
              <w:bottom w:val="nil"/>
              <w:right w:val="nil"/>
            </w:tcBorders>
            <w:tcMar>
              <w:top w:w="-1" w:type="dxa"/>
              <w:left w:w="-1" w:type="dxa"/>
              <w:bottom w:w="-1" w:type="dxa"/>
              <w:right w:w="-1" w:type="dxa"/>
            </w:tcMar>
            <w:vAlign w:val="center"/>
          </w:tcPr>
          <w:p w14:paraId="67C4B32E">
            <w:pPr>
              <w:widowControl/>
              <w:snapToGrid w:val="0"/>
              <w:jc w:val="center"/>
              <w:textAlignment w:val="center"/>
              <w:rPr>
                <w:rFonts w:hint="eastAsia" w:ascii="宋体" w:hAnsi="宋体" w:eastAsia="宋体" w:cs="宋体"/>
                <w:color w:val="auto"/>
                <w:sz w:val="20"/>
                <w:szCs w:val="20"/>
              </w:rPr>
            </w:pPr>
            <w:r>
              <w:rPr>
                <w:rFonts w:hint="eastAsia" w:ascii="宋体" w:hAnsi="宋体" w:eastAsia="宋体" w:cs="宋体"/>
                <w:color w:val="auto"/>
                <w:kern w:val="0"/>
                <w:sz w:val="20"/>
                <w:szCs w:val="20"/>
                <w:lang w:bidi="ar"/>
              </w:rPr>
              <w:t>考核得分</w:t>
            </w:r>
          </w:p>
        </w:tc>
        <w:tc>
          <w:tcPr>
            <w:tcW w:w="4367" w:type="pct"/>
            <w:gridSpan w:val="5"/>
            <w:tcBorders>
              <w:top w:val="single" w:color="auto" w:sz="4" w:space="0"/>
              <w:left w:val="single" w:color="000000" w:sz="4" w:space="0"/>
              <w:bottom w:val="nil"/>
              <w:right w:val="single" w:color="000000" w:sz="4" w:space="0"/>
            </w:tcBorders>
            <w:tcMar>
              <w:top w:w="-1" w:type="dxa"/>
              <w:left w:w="-1" w:type="dxa"/>
              <w:bottom w:w="-1" w:type="dxa"/>
              <w:right w:w="-1" w:type="dxa"/>
            </w:tcMar>
            <w:vAlign w:val="center"/>
          </w:tcPr>
          <w:p w14:paraId="0665B5BD">
            <w:pPr>
              <w:widowControl/>
              <w:snapToGrid w:val="0"/>
              <w:jc w:val="center"/>
              <w:textAlignment w:val="center"/>
              <w:rPr>
                <w:rFonts w:hint="eastAsia" w:ascii="宋体" w:hAnsi="宋体" w:eastAsia="宋体" w:cs="宋体"/>
                <w:color w:val="auto"/>
                <w:sz w:val="20"/>
                <w:szCs w:val="20"/>
              </w:rPr>
            </w:pPr>
            <w:r>
              <w:rPr>
                <w:rFonts w:hint="eastAsia" w:ascii="宋体" w:hAnsi="宋体" w:eastAsia="宋体" w:cs="宋体"/>
                <w:color w:val="auto"/>
                <w:kern w:val="0"/>
                <w:sz w:val="20"/>
                <w:szCs w:val="20"/>
                <w:lang w:bidi="ar"/>
              </w:rPr>
              <w:t>分</w:t>
            </w:r>
          </w:p>
        </w:tc>
      </w:tr>
      <w:tr w14:paraId="6CE8C7C0">
        <w:tblPrEx>
          <w:tblCellMar>
            <w:top w:w="0" w:type="dxa"/>
            <w:left w:w="108" w:type="dxa"/>
            <w:bottom w:w="0" w:type="dxa"/>
            <w:right w:w="108" w:type="dxa"/>
          </w:tblCellMar>
        </w:tblPrEx>
        <w:trPr>
          <w:trHeight w:val="340" w:hRule="atLeast"/>
          <w:jc w:val="center"/>
        </w:trPr>
        <w:tc>
          <w:tcPr>
            <w:tcW w:w="633" w:type="pct"/>
            <w:vMerge w:val="restart"/>
            <w:tcBorders>
              <w:top w:val="single" w:color="000000" w:sz="4" w:space="0"/>
              <w:left w:val="single" w:color="000000" w:sz="4" w:space="0"/>
              <w:bottom w:val="nil"/>
              <w:right w:val="nil"/>
            </w:tcBorders>
            <w:tcMar>
              <w:top w:w="-1" w:type="dxa"/>
              <w:left w:w="-1" w:type="dxa"/>
              <w:bottom w:w="-1" w:type="dxa"/>
              <w:right w:w="-1" w:type="dxa"/>
            </w:tcMar>
            <w:vAlign w:val="center"/>
          </w:tcPr>
          <w:p w14:paraId="45959797">
            <w:pPr>
              <w:widowControl/>
              <w:snapToGrid w:val="0"/>
              <w:jc w:val="center"/>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扣罚规则</w:t>
            </w:r>
          </w:p>
        </w:tc>
        <w:tc>
          <w:tcPr>
            <w:tcW w:w="4367" w:type="pct"/>
            <w:gridSpan w:val="5"/>
            <w:tcBorders>
              <w:top w:val="single" w:color="000000" w:sz="4" w:space="0"/>
              <w:left w:val="single" w:color="000000" w:sz="4" w:space="0"/>
              <w:bottom w:val="nil"/>
              <w:right w:val="single" w:color="000000" w:sz="4" w:space="0"/>
            </w:tcBorders>
            <w:tcMar>
              <w:top w:w="-1" w:type="dxa"/>
              <w:left w:w="-1" w:type="dxa"/>
              <w:bottom w:w="-1" w:type="dxa"/>
              <w:right w:w="-1" w:type="dxa"/>
            </w:tcMar>
            <w:vAlign w:val="center"/>
          </w:tcPr>
          <w:p w14:paraId="718D5080">
            <w:pPr>
              <w:widowControl/>
              <w:snapToGrid w:val="0"/>
              <w:jc w:val="left"/>
              <w:textAlignment w:val="center"/>
              <w:rPr>
                <w:rFonts w:hint="eastAsia" w:ascii="宋体" w:hAnsi="仿宋" w:eastAsia="宋体" w:cs="仿宋"/>
                <w:color w:val="auto"/>
                <w:sz w:val="18"/>
              </w:rPr>
            </w:pPr>
            <w:r>
              <w:rPr>
                <w:rFonts w:hint="eastAsia" w:ascii="宋体" w:hAnsi="仿宋" w:eastAsia="宋体" w:cs="仿宋"/>
                <w:color w:val="auto"/>
                <w:kern w:val="0"/>
                <w:sz w:val="18"/>
                <w:lang w:bidi="ar"/>
              </w:rPr>
              <w:t>1．85分及以上（N≥85）：不扣费，全额返还当月考核保证金；</w:t>
            </w:r>
          </w:p>
        </w:tc>
      </w:tr>
      <w:tr w14:paraId="00425545">
        <w:tblPrEx>
          <w:tblCellMar>
            <w:top w:w="0" w:type="dxa"/>
            <w:left w:w="108" w:type="dxa"/>
            <w:bottom w:w="0" w:type="dxa"/>
            <w:right w:w="108" w:type="dxa"/>
          </w:tblCellMar>
        </w:tblPrEx>
        <w:trPr>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017E89CA">
            <w:pPr>
              <w:snapToGrid w:val="0"/>
              <w:jc w:val="center"/>
              <w:rPr>
                <w:rFonts w:hint="eastAsia" w:ascii="宋体" w:hAnsi="宋体" w:eastAsia="宋体" w:cs="宋体"/>
                <w:color w:val="auto"/>
                <w:sz w:val="18"/>
                <w:szCs w:val="20"/>
              </w:rPr>
            </w:pPr>
          </w:p>
        </w:tc>
        <w:tc>
          <w:tcPr>
            <w:tcW w:w="4367" w:type="pct"/>
            <w:gridSpan w:val="5"/>
            <w:tcBorders>
              <w:top w:val="single" w:color="auto" w:sz="4" w:space="0"/>
              <w:left w:val="single" w:color="000000" w:sz="4" w:space="0"/>
              <w:bottom w:val="nil"/>
              <w:right w:val="single" w:color="000000" w:sz="4" w:space="0"/>
            </w:tcBorders>
            <w:tcMar>
              <w:top w:w="-1" w:type="dxa"/>
              <w:left w:w="-1" w:type="dxa"/>
              <w:bottom w:w="-1" w:type="dxa"/>
              <w:right w:w="-1" w:type="dxa"/>
            </w:tcMar>
            <w:vAlign w:val="center"/>
          </w:tcPr>
          <w:p w14:paraId="7EDE6B3A">
            <w:pPr>
              <w:widowControl/>
              <w:snapToGrid w:val="0"/>
              <w:jc w:val="left"/>
              <w:textAlignment w:val="center"/>
              <w:rPr>
                <w:rFonts w:hint="eastAsia" w:ascii="宋体" w:hAnsi="仿宋" w:eastAsia="宋体" w:cs="仿宋"/>
                <w:color w:val="auto"/>
                <w:sz w:val="18"/>
              </w:rPr>
            </w:pPr>
            <w:r>
              <w:rPr>
                <w:rFonts w:hint="eastAsia" w:ascii="宋体" w:hAnsi="仿宋" w:eastAsia="宋体" w:cs="仿宋"/>
                <w:color w:val="auto"/>
                <w:kern w:val="0"/>
                <w:sz w:val="18"/>
                <w:lang w:bidi="ar"/>
              </w:rPr>
              <w:t>2．80-85分（80≤N＜85）：（85-考评分值N）×1000元/分，从当月考核保证金中扣除；</w:t>
            </w:r>
          </w:p>
        </w:tc>
      </w:tr>
      <w:tr w14:paraId="63F9928B">
        <w:tblPrEx>
          <w:tblCellMar>
            <w:top w:w="0" w:type="dxa"/>
            <w:left w:w="108" w:type="dxa"/>
            <w:bottom w:w="0" w:type="dxa"/>
            <w:right w:w="108" w:type="dxa"/>
          </w:tblCellMar>
        </w:tblPrEx>
        <w:trPr>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698A429B">
            <w:pPr>
              <w:snapToGrid w:val="0"/>
              <w:jc w:val="center"/>
              <w:rPr>
                <w:rFonts w:hint="eastAsia" w:ascii="宋体" w:hAnsi="宋体" w:eastAsia="宋体" w:cs="宋体"/>
                <w:color w:val="auto"/>
                <w:sz w:val="18"/>
                <w:szCs w:val="20"/>
              </w:rPr>
            </w:pPr>
          </w:p>
        </w:tc>
        <w:tc>
          <w:tcPr>
            <w:tcW w:w="4367" w:type="pct"/>
            <w:gridSpan w:val="5"/>
            <w:tcBorders>
              <w:top w:val="single" w:color="auto" w:sz="4" w:space="0"/>
              <w:left w:val="single" w:color="000000" w:sz="4" w:space="0"/>
              <w:bottom w:val="nil"/>
              <w:right w:val="single" w:color="000000" w:sz="4" w:space="0"/>
            </w:tcBorders>
            <w:tcMar>
              <w:top w:w="-1" w:type="dxa"/>
              <w:left w:w="-1" w:type="dxa"/>
              <w:bottom w:w="-1" w:type="dxa"/>
              <w:right w:w="-1" w:type="dxa"/>
            </w:tcMar>
            <w:vAlign w:val="center"/>
          </w:tcPr>
          <w:p w14:paraId="59F5FE3A">
            <w:pPr>
              <w:widowControl/>
              <w:snapToGrid w:val="0"/>
              <w:jc w:val="left"/>
              <w:textAlignment w:val="center"/>
              <w:rPr>
                <w:rFonts w:hint="eastAsia" w:ascii="宋体" w:hAnsi="仿宋" w:eastAsia="宋体" w:cs="仿宋"/>
                <w:color w:val="auto"/>
                <w:sz w:val="18"/>
              </w:rPr>
            </w:pPr>
            <w:r>
              <w:rPr>
                <w:rFonts w:hint="eastAsia" w:ascii="宋体" w:hAnsi="仿宋" w:eastAsia="宋体" w:cs="仿宋"/>
                <w:color w:val="auto"/>
                <w:kern w:val="0"/>
                <w:sz w:val="18"/>
                <w:lang w:bidi="ar"/>
              </w:rPr>
              <w:t>3．70-80分（70≤N＜80）：（85-考评分值N）×2000元/分，从当月考核保证金中扣除；</w:t>
            </w:r>
          </w:p>
        </w:tc>
      </w:tr>
      <w:tr w14:paraId="1A9519D2">
        <w:tblPrEx>
          <w:tblCellMar>
            <w:top w:w="0" w:type="dxa"/>
            <w:left w:w="108" w:type="dxa"/>
            <w:bottom w:w="0" w:type="dxa"/>
            <w:right w:w="108" w:type="dxa"/>
          </w:tblCellMar>
        </w:tblPrEx>
        <w:trPr>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1D6A44FF">
            <w:pPr>
              <w:snapToGrid w:val="0"/>
              <w:jc w:val="center"/>
              <w:rPr>
                <w:rFonts w:hint="eastAsia" w:ascii="宋体" w:hAnsi="宋体" w:eastAsia="宋体" w:cs="宋体"/>
                <w:color w:val="auto"/>
                <w:sz w:val="18"/>
                <w:szCs w:val="20"/>
              </w:rPr>
            </w:pPr>
          </w:p>
        </w:tc>
        <w:tc>
          <w:tcPr>
            <w:tcW w:w="4367" w:type="pct"/>
            <w:gridSpan w:val="5"/>
            <w:tcBorders>
              <w:top w:val="single" w:color="auto" w:sz="4" w:space="0"/>
              <w:left w:val="single" w:color="000000" w:sz="4" w:space="0"/>
              <w:bottom w:val="nil"/>
              <w:right w:val="single" w:color="000000" w:sz="4" w:space="0"/>
            </w:tcBorders>
            <w:tcMar>
              <w:top w:w="-1" w:type="dxa"/>
              <w:left w:w="-1" w:type="dxa"/>
              <w:bottom w:w="-1" w:type="dxa"/>
              <w:right w:w="-1" w:type="dxa"/>
            </w:tcMar>
            <w:vAlign w:val="center"/>
          </w:tcPr>
          <w:p w14:paraId="78E87E92">
            <w:pPr>
              <w:widowControl/>
              <w:snapToGrid w:val="0"/>
              <w:jc w:val="left"/>
              <w:textAlignment w:val="center"/>
              <w:rPr>
                <w:rFonts w:hint="eastAsia" w:ascii="宋体" w:hAnsi="仿宋" w:eastAsia="宋体" w:cs="仿宋"/>
                <w:color w:val="auto"/>
                <w:sz w:val="18"/>
              </w:rPr>
            </w:pPr>
            <w:r>
              <w:rPr>
                <w:rFonts w:hint="eastAsia" w:ascii="宋体" w:hAnsi="仿宋" w:eastAsia="宋体" w:cs="仿宋"/>
                <w:color w:val="auto"/>
                <w:kern w:val="0"/>
                <w:sz w:val="18"/>
                <w:lang w:bidi="ar"/>
              </w:rPr>
              <w:t>4．70分及以下（N＜70）；（85-考评分值N）×3000元/分，从当月考核保证金中扣除；</w:t>
            </w:r>
          </w:p>
        </w:tc>
      </w:tr>
      <w:tr w14:paraId="6FDDD432">
        <w:tblPrEx>
          <w:tblCellMar>
            <w:top w:w="0" w:type="dxa"/>
            <w:left w:w="108" w:type="dxa"/>
            <w:bottom w:w="0" w:type="dxa"/>
            <w:right w:w="108" w:type="dxa"/>
          </w:tblCellMar>
        </w:tblPrEx>
        <w:trPr>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36221553">
            <w:pPr>
              <w:snapToGrid w:val="0"/>
              <w:jc w:val="center"/>
              <w:rPr>
                <w:rFonts w:hint="eastAsia" w:ascii="宋体" w:hAnsi="宋体" w:eastAsia="宋体" w:cs="宋体"/>
                <w:color w:val="auto"/>
                <w:sz w:val="18"/>
                <w:szCs w:val="20"/>
              </w:rPr>
            </w:pPr>
          </w:p>
        </w:tc>
        <w:tc>
          <w:tcPr>
            <w:tcW w:w="4367" w:type="pct"/>
            <w:gridSpan w:val="5"/>
            <w:tcBorders>
              <w:top w:val="single" w:color="auto" w:sz="4" w:space="0"/>
              <w:left w:val="single" w:color="000000" w:sz="4" w:space="0"/>
              <w:bottom w:val="nil"/>
              <w:right w:val="single" w:color="000000" w:sz="4" w:space="0"/>
            </w:tcBorders>
            <w:tcMar>
              <w:top w:w="-1" w:type="dxa"/>
              <w:left w:w="-1" w:type="dxa"/>
              <w:bottom w:w="-1" w:type="dxa"/>
              <w:right w:w="-1" w:type="dxa"/>
            </w:tcMar>
            <w:vAlign w:val="center"/>
          </w:tcPr>
          <w:p w14:paraId="3CBE78CB">
            <w:pPr>
              <w:widowControl/>
              <w:snapToGrid w:val="0"/>
              <w:jc w:val="left"/>
              <w:textAlignment w:val="center"/>
              <w:rPr>
                <w:rFonts w:hint="eastAsia" w:ascii="宋体" w:hAnsi="仿宋" w:eastAsia="宋体" w:cs="仿宋"/>
                <w:color w:val="auto"/>
                <w:sz w:val="18"/>
              </w:rPr>
            </w:pPr>
            <w:r>
              <w:rPr>
                <w:rFonts w:hint="eastAsia" w:ascii="宋体" w:hAnsi="仿宋" w:eastAsia="宋体" w:cs="仿宋"/>
                <w:color w:val="auto"/>
                <w:kern w:val="0"/>
                <w:sz w:val="18"/>
                <w:lang w:bidi="ar"/>
              </w:rPr>
              <w:t>5．合同期内（12个月）累计三次及以上考评分数低于70分，采购人有权单方终止合同；</w:t>
            </w:r>
          </w:p>
        </w:tc>
      </w:tr>
      <w:tr w14:paraId="0F8FC1F5">
        <w:tblPrEx>
          <w:tblCellMar>
            <w:top w:w="0" w:type="dxa"/>
            <w:left w:w="108" w:type="dxa"/>
            <w:bottom w:w="0" w:type="dxa"/>
            <w:right w:w="108" w:type="dxa"/>
          </w:tblCellMar>
        </w:tblPrEx>
        <w:trPr>
          <w:trHeight w:val="340" w:hRule="atLeast"/>
          <w:jc w:val="center"/>
        </w:trPr>
        <w:tc>
          <w:tcPr>
            <w:tcW w:w="633" w:type="pct"/>
            <w:vMerge w:val="continue"/>
            <w:tcBorders>
              <w:top w:val="single" w:color="000000" w:sz="4" w:space="0"/>
              <w:left w:val="single" w:color="000000" w:sz="4" w:space="0"/>
              <w:bottom w:val="nil"/>
              <w:right w:val="nil"/>
            </w:tcBorders>
            <w:tcMar>
              <w:top w:w="-1" w:type="dxa"/>
              <w:left w:w="-1" w:type="dxa"/>
              <w:bottom w:w="-1" w:type="dxa"/>
              <w:right w:w="-1" w:type="dxa"/>
            </w:tcMar>
            <w:vAlign w:val="center"/>
          </w:tcPr>
          <w:p w14:paraId="752CC5D1">
            <w:pPr>
              <w:snapToGrid w:val="0"/>
              <w:jc w:val="center"/>
              <w:rPr>
                <w:rFonts w:hint="eastAsia" w:ascii="宋体" w:hAnsi="宋体" w:eastAsia="宋体" w:cs="宋体"/>
                <w:color w:val="auto"/>
                <w:sz w:val="18"/>
                <w:szCs w:val="20"/>
              </w:rPr>
            </w:pPr>
          </w:p>
        </w:tc>
        <w:tc>
          <w:tcPr>
            <w:tcW w:w="4367" w:type="pct"/>
            <w:gridSpan w:val="5"/>
            <w:tcBorders>
              <w:top w:val="single" w:color="auto" w:sz="4" w:space="0"/>
              <w:left w:val="single" w:color="000000" w:sz="4" w:space="0"/>
              <w:bottom w:val="nil"/>
              <w:right w:val="single" w:color="000000" w:sz="4" w:space="0"/>
            </w:tcBorders>
            <w:tcMar>
              <w:top w:w="-1" w:type="dxa"/>
              <w:left w:w="-1" w:type="dxa"/>
              <w:bottom w:w="-1" w:type="dxa"/>
              <w:right w:w="-1" w:type="dxa"/>
            </w:tcMar>
            <w:vAlign w:val="center"/>
          </w:tcPr>
          <w:p w14:paraId="0550486B">
            <w:pPr>
              <w:widowControl/>
              <w:snapToGrid w:val="0"/>
              <w:jc w:val="left"/>
              <w:textAlignment w:val="center"/>
              <w:rPr>
                <w:rFonts w:hint="eastAsia" w:ascii="宋体" w:hAnsi="仿宋" w:eastAsia="宋体" w:cs="仿宋"/>
                <w:color w:val="auto"/>
                <w:sz w:val="18"/>
              </w:rPr>
            </w:pPr>
            <w:r>
              <w:rPr>
                <w:rFonts w:hint="eastAsia" w:ascii="宋体" w:hAnsi="仿宋" w:eastAsia="宋体" w:cs="仿宋"/>
                <w:color w:val="auto"/>
                <w:kern w:val="0"/>
                <w:sz w:val="18"/>
                <w:lang w:bidi="ar"/>
              </w:rPr>
              <w:t>6．当月考核保证金不足以缴纳当月扣罚金额的，先从履约保证金中扣除相应差额，同时投标人应于7个工作日内将履约保证金补足至项目预算金额的1%。</w:t>
            </w:r>
          </w:p>
        </w:tc>
      </w:tr>
      <w:tr w14:paraId="166EC56C">
        <w:tblPrEx>
          <w:tblCellMar>
            <w:top w:w="0" w:type="dxa"/>
            <w:left w:w="108" w:type="dxa"/>
            <w:bottom w:w="0" w:type="dxa"/>
            <w:right w:w="108" w:type="dxa"/>
          </w:tblCellMar>
        </w:tblPrEx>
        <w:trPr>
          <w:trHeight w:val="340" w:hRule="atLeast"/>
          <w:jc w:val="center"/>
        </w:trPr>
        <w:tc>
          <w:tcPr>
            <w:tcW w:w="633" w:type="pct"/>
            <w:tcBorders>
              <w:top w:val="single" w:color="000000" w:sz="4" w:space="0"/>
              <w:left w:val="single" w:color="000000" w:sz="4" w:space="0"/>
              <w:bottom w:val="single" w:color="000000" w:sz="4" w:space="0"/>
              <w:right w:val="nil"/>
            </w:tcBorders>
            <w:tcMar>
              <w:top w:w="-1" w:type="dxa"/>
              <w:left w:w="-1" w:type="dxa"/>
              <w:bottom w:w="-1" w:type="dxa"/>
              <w:right w:w="-1" w:type="dxa"/>
            </w:tcMar>
            <w:vAlign w:val="center"/>
          </w:tcPr>
          <w:p w14:paraId="64733027">
            <w:pPr>
              <w:widowControl/>
              <w:snapToGrid w:val="0"/>
              <w:jc w:val="center"/>
              <w:textAlignment w:val="center"/>
              <w:rPr>
                <w:rFonts w:hint="eastAsia" w:ascii="宋体" w:hAnsi="宋体" w:eastAsia="宋体" w:cs="宋体"/>
                <w:color w:val="auto"/>
                <w:sz w:val="18"/>
                <w:szCs w:val="20"/>
              </w:rPr>
            </w:pPr>
            <w:r>
              <w:rPr>
                <w:rFonts w:hint="eastAsia" w:ascii="宋体" w:hAnsi="宋体" w:eastAsia="宋体" w:cs="宋体"/>
                <w:color w:val="auto"/>
                <w:kern w:val="0"/>
                <w:sz w:val="18"/>
                <w:szCs w:val="20"/>
                <w:lang w:bidi="ar"/>
              </w:rPr>
              <w:t>评审专家签名</w:t>
            </w:r>
          </w:p>
        </w:tc>
        <w:tc>
          <w:tcPr>
            <w:tcW w:w="4367" w:type="pct"/>
            <w:gridSpan w:val="5"/>
            <w:tcBorders>
              <w:top w:val="single" w:color="auto" w:sz="4" w:space="0"/>
              <w:left w:val="single" w:color="000000" w:sz="4" w:space="0"/>
              <w:bottom w:val="single" w:color="000000" w:sz="4" w:space="0"/>
              <w:right w:val="single" w:color="000000" w:sz="4" w:space="0"/>
            </w:tcBorders>
            <w:tcMar>
              <w:top w:w="-1" w:type="dxa"/>
              <w:left w:w="-1" w:type="dxa"/>
              <w:bottom w:w="-1" w:type="dxa"/>
              <w:right w:w="-1" w:type="dxa"/>
            </w:tcMar>
            <w:vAlign w:val="center"/>
          </w:tcPr>
          <w:p w14:paraId="79E6587E">
            <w:pPr>
              <w:snapToGrid w:val="0"/>
              <w:jc w:val="center"/>
              <w:rPr>
                <w:rFonts w:hint="eastAsia" w:ascii="宋体" w:hAnsi="宋体" w:eastAsia="宋体" w:cs="宋体"/>
                <w:color w:val="auto"/>
                <w:sz w:val="18"/>
                <w:szCs w:val="20"/>
              </w:rPr>
            </w:pPr>
          </w:p>
        </w:tc>
      </w:tr>
    </w:tbl>
    <w:p w14:paraId="2A4272C3">
      <w:pPr>
        <w:widowControl/>
        <w:spacing w:line="360" w:lineRule="auto"/>
        <w:jc w:val="left"/>
        <w:rPr>
          <w:rFonts w:hint="eastAsia" w:ascii="仿宋" w:hAnsi="仿宋" w:eastAsia="仿宋" w:cs="仿宋"/>
          <w:color w:val="auto"/>
          <w:sz w:val="24"/>
        </w:rPr>
      </w:pPr>
      <w:r>
        <w:rPr>
          <w:rFonts w:hint="eastAsia" w:ascii="仿宋" w:hAnsi="仿宋" w:eastAsia="仿宋" w:cs="仿宋"/>
          <w:color w:val="auto"/>
          <w:sz w:val="24"/>
        </w:rPr>
        <w:t>注：附加项为奖励加分，月度考评最终得分最高不超过100分。</w:t>
      </w:r>
    </w:p>
    <w:p w14:paraId="6FC4FB1E">
      <w:pPr>
        <w:widowControl/>
        <w:spacing w:line="360" w:lineRule="auto"/>
        <w:jc w:val="left"/>
        <w:rPr>
          <w:rFonts w:hint="eastAsia" w:ascii="仿宋" w:hAnsi="仿宋" w:eastAsia="仿宋" w:cs="仿宋"/>
          <w:color w:val="auto"/>
          <w:sz w:val="24"/>
        </w:rPr>
      </w:pPr>
      <w:r>
        <w:rPr>
          <w:rFonts w:hint="eastAsia" w:ascii="仿宋" w:hAnsi="仿宋" w:eastAsia="仿宋" w:cs="仿宋"/>
          <w:color w:val="auto"/>
          <w:sz w:val="24"/>
        </w:rPr>
        <w:br w:type="page"/>
      </w:r>
    </w:p>
    <w:p w14:paraId="47A1A987">
      <w:pPr>
        <w:pStyle w:val="2"/>
        <w:widowControl/>
        <w:spacing w:beforeAutospacing="0" w:afterAutospacing="0" w:line="360" w:lineRule="auto"/>
        <w:rPr>
          <w:rFonts w:ascii="仿宋" w:hAnsi="仿宋" w:eastAsia="仿宋" w:cs="仿宋"/>
          <w:color w:val="auto"/>
          <w:sz w:val="24"/>
          <w:szCs w:val="24"/>
        </w:rPr>
      </w:pPr>
      <w:r>
        <w:rPr>
          <w:rFonts w:ascii="仿宋" w:hAnsi="仿宋" w:eastAsia="仿宋" w:cs="仿宋"/>
          <w:color w:val="auto"/>
          <w:sz w:val="24"/>
          <w:szCs w:val="24"/>
        </w:rPr>
        <w:t>附件2</w:t>
      </w:r>
    </w:p>
    <w:tbl>
      <w:tblPr>
        <w:tblStyle w:val="12"/>
        <w:tblW w:w="4998" w:type="pct"/>
        <w:tblInd w:w="0" w:type="dxa"/>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autofit"/>
        <w:tblCellMar>
          <w:top w:w="0" w:type="dxa"/>
          <w:left w:w="108" w:type="dxa"/>
          <w:bottom w:w="0" w:type="dxa"/>
          <w:right w:w="108" w:type="dxa"/>
        </w:tblCellMar>
      </w:tblPr>
      <w:tblGrid>
        <w:gridCol w:w="658"/>
        <w:gridCol w:w="3095"/>
        <w:gridCol w:w="468"/>
        <w:gridCol w:w="469"/>
        <w:gridCol w:w="472"/>
        <w:gridCol w:w="467"/>
        <w:gridCol w:w="472"/>
        <w:gridCol w:w="474"/>
        <w:gridCol w:w="472"/>
        <w:gridCol w:w="472"/>
        <w:gridCol w:w="491"/>
        <w:gridCol w:w="509"/>
      </w:tblGrid>
      <w:tr w14:paraId="43588E3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247" w:hRule="atLeast"/>
        </w:trPr>
        <w:tc>
          <w:tcPr>
            <w:tcW w:w="5000" w:type="pct"/>
            <w:gridSpan w:val="12"/>
            <w:tcBorders>
              <w:top w:val="nil"/>
              <w:left w:val="nil"/>
              <w:bottom w:val="nil"/>
              <w:right w:val="nil"/>
            </w:tcBorders>
            <w:vAlign w:val="center"/>
          </w:tcPr>
          <w:p w14:paraId="0AC30997">
            <w:pPr>
              <w:widowControl/>
              <w:jc w:val="center"/>
              <w:textAlignment w:val="center"/>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lang w:bidi="ar"/>
              </w:rPr>
              <w:t>广州医科大学附属中医医院食堂餐饮服务</w:t>
            </w:r>
            <w:r>
              <w:rPr>
                <w:rFonts w:hint="eastAsia" w:ascii="宋体" w:hAnsi="宋体" w:eastAsia="宋体" w:cs="宋体"/>
                <w:b/>
                <w:bCs/>
                <w:color w:val="auto"/>
                <w:kern w:val="0"/>
                <w:sz w:val="28"/>
                <w:szCs w:val="28"/>
                <w:lang w:bidi="ar"/>
              </w:rPr>
              <w:br w:type="textWrapping"/>
            </w:r>
            <w:r>
              <w:rPr>
                <w:rFonts w:hint="eastAsia" w:ascii="宋体" w:hAnsi="宋体" w:eastAsia="宋体" w:cs="宋体"/>
                <w:b/>
                <w:bCs/>
                <w:color w:val="auto"/>
                <w:kern w:val="0"/>
                <w:sz w:val="28"/>
                <w:szCs w:val="28"/>
                <w:lang w:bidi="ar"/>
              </w:rPr>
              <w:t>月度膳食服务评价表</w:t>
            </w:r>
          </w:p>
        </w:tc>
      </w:tr>
      <w:tr w14:paraId="52D7141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50" w:hRule="atLeast"/>
        </w:trPr>
        <w:tc>
          <w:tcPr>
            <w:tcW w:w="386" w:type="pct"/>
            <w:vMerge w:val="restart"/>
            <w:tcBorders>
              <w:top w:val="single" w:color="000000" w:sz="4" w:space="0"/>
              <w:left w:val="single" w:color="000000" w:sz="4" w:space="0"/>
              <w:bottom w:val="single" w:color="000000" w:sz="4" w:space="0"/>
              <w:right w:val="single" w:color="000000" w:sz="4" w:space="0"/>
            </w:tcBorders>
            <w:noWrap/>
            <w:vAlign w:val="center"/>
          </w:tcPr>
          <w:p w14:paraId="41E48DCA">
            <w:pPr>
              <w:widowControl/>
              <w:jc w:val="center"/>
              <w:textAlignment w:val="center"/>
              <w:rPr>
                <w:rFonts w:hint="eastAsia" w:ascii="宋体" w:hAnsi="宋体" w:eastAsia="宋体" w:cs="宋体"/>
                <w:b/>
                <w:bCs/>
                <w:color w:val="auto"/>
                <w:sz w:val="22"/>
                <w:szCs w:val="22"/>
              </w:rPr>
            </w:pPr>
            <w:r>
              <w:rPr>
                <w:rFonts w:hint="eastAsia" w:ascii="宋体" w:hAnsi="宋体" w:eastAsia="宋体" w:cs="宋体"/>
                <w:b/>
                <w:bCs/>
                <w:color w:val="auto"/>
                <w:kern w:val="0"/>
                <w:sz w:val="22"/>
                <w:szCs w:val="22"/>
                <w:lang w:bidi="ar"/>
              </w:rPr>
              <w:t>序号</w:t>
            </w:r>
          </w:p>
        </w:tc>
        <w:tc>
          <w:tcPr>
            <w:tcW w:w="1817" w:type="pct"/>
            <w:vMerge w:val="restart"/>
            <w:tcBorders>
              <w:top w:val="single" w:color="000000" w:sz="4" w:space="0"/>
              <w:left w:val="single" w:color="000000" w:sz="4" w:space="0"/>
              <w:bottom w:val="single" w:color="000000" w:sz="4" w:space="0"/>
              <w:right w:val="single" w:color="000000" w:sz="4" w:space="0"/>
            </w:tcBorders>
            <w:noWrap/>
            <w:vAlign w:val="center"/>
          </w:tcPr>
          <w:p w14:paraId="5B7DF72A">
            <w:pPr>
              <w:widowControl/>
              <w:jc w:val="center"/>
              <w:textAlignment w:val="center"/>
              <w:rPr>
                <w:rFonts w:hint="eastAsia" w:ascii="宋体" w:hAnsi="宋体" w:eastAsia="宋体" w:cs="宋体"/>
                <w:b/>
                <w:bCs/>
                <w:color w:val="auto"/>
                <w:sz w:val="22"/>
                <w:szCs w:val="22"/>
              </w:rPr>
            </w:pPr>
            <w:r>
              <w:rPr>
                <w:rFonts w:hint="eastAsia" w:ascii="宋体" w:hAnsi="宋体" w:eastAsia="宋体" w:cs="宋体"/>
                <w:b/>
                <w:bCs/>
                <w:color w:val="auto"/>
                <w:kern w:val="0"/>
                <w:sz w:val="22"/>
                <w:szCs w:val="22"/>
                <w:lang w:bidi="ar"/>
              </w:rPr>
              <w:t>项       目</w:t>
            </w:r>
          </w:p>
        </w:tc>
        <w:tc>
          <w:tcPr>
            <w:tcW w:w="2796" w:type="pct"/>
            <w:gridSpan w:val="10"/>
            <w:tcBorders>
              <w:top w:val="single" w:color="000000" w:sz="4" w:space="0"/>
              <w:left w:val="single" w:color="000000" w:sz="4" w:space="0"/>
              <w:bottom w:val="single" w:color="000000" w:sz="4" w:space="0"/>
              <w:right w:val="single" w:color="000000" w:sz="4" w:space="0"/>
            </w:tcBorders>
          </w:tcPr>
          <w:p w14:paraId="6DC0BF4F">
            <w:pPr>
              <w:widowControl/>
              <w:jc w:val="center"/>
              <w:textAlignment w:val="top"/>
              <w:rPr>
                <w:rFonts w:hint="eastAsia" w:ascii="仿宋" w:hAnsi="仿宋" w:eastAsia="仿宋" w:cs="仿宋"/>
                <w:b/>
                <w:bCs/>
                <w:color w:val="auto"/>
                <w:sz w:val="24"/>
              </w:rPr>
            </w:pPr>
            <w:r>
              <w:rPr>
                <w:rFonts w:hint="eastAsia" w:ascii="仿宋" w:hAnsi="仿宋" w:eastAsia="仿宋" w:cs="仿宋"/>
                <w:b/>
                <w:bCs/>
                <w:color w:val="auto"/>
                <w:kern w:val="0"/>
                <w:sz w:val="24"/>
                <w:lang w:bidi="ar"/>
              </w:rPr>
              <w:t>评分</w:t>
            </w:r>
            <w:r>
              <w:rPr>
                <w:rFonts w:hint="eastAsia" w:ascii="仿宋" w:hAnsi="仿宋" w:eastAsia="仿宋" w:cs="仿宋"/>
                <w:b/>
                <w:bCs/>
                <w:color w:val="auto"/>
                <w:kern w:val="0"/>
                <w:sz w:val="24"/>
                <w:lang w:bidi="ar"/>
              </w:rPr>
              <w:br w:type="textWrapping"/>
            </w:r>
            <w:r>
              <w:rPr>
                <w:rFonts w:hint="eastAsia" w:ascii="仿宋" w:hAnsi="仿宋" w:eastAsia="仿宋" w:cs="仿宋"/>
                <w:b/>
                <w:bCs/>
                <w:color w:val="auto"/>
                <w:kern w:val="0"/>
                <w:sz w:val="24"/>
                <w:lang w:bidi="ar"/>
              </w:rPr>
              <w:t>（请在相关分值“√”）</w:t>
            </w:r>
          </w:p>
        </w:tc>
      </w:tr>
      <w:tr w14:paraId="124EAB3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50" w:hRule="atLeast"/>
        </w:trPr>
        <w:tc>
          <w:tcPr>
            <w:tcW w:w="386" w:type="pct"/>
            <w:vMerge w:val="continue"/>
            <w:tcBorders>
              <w:top w:val="single" w:color="000000" w:sz="4" w:space="0"/>
              <w:left w:val="single" w:color="000000" w:sz="4" w:space="0"/>
              <w:bottom w:val="single" w:color="000000" w:sz="4" w:space="0"/>
              <w:right w:val="single" w:color="000000" w:sz="4" w:space="0"/>
            </w:tcBorders>
            <w:noWrap/>
            <w:vAlign w:val="center"/>
          </w:tcPr>
          <w:p w14:paraId="38DE4B7A">
            <w:pPr>
              <w:jc w:val="center"/>
              <w:rPr>
                <w:rFonts w:hint="eastAsia" w:ascii="宋体" w:hAnsi="宋体" w:eastAsia="宋体" w:cs="宋体"/>
                <w:b/>
                <w:bCs/>
                <w:color w:val="auto"/>
                <w:sz w:val="22"/>
                <w:szCs w:val="22"/>
              </w:rPr>
            </w:pPr>
          </w:p>
        </w:tc>
        <w:tc>
          <w:tcPr>
            <w:tcW w:w="1817" w:type="pct"/>
            <w:vMerge w:val="continue"/>
            <w:tcBorders>
              <w:top w:val="single" w:color="000000" w:sz="4" w:space="0"/>
              <w:left w:val="single" w:color="000000" w:sz="4" w:space="0"/>
              <w:bottom w:val="single" w:color="000000" w:sz="4" w:space="0"/>
              <w:right w:val="single" w:color="000000" w:sz="4" w:space="0"/>
            </w:tcBorders>
            <w:noWrap/>
            <w:vAlign w:val="center"/>
          </w:tcPr>
          <w:p w14:paraId="7FAB0DBD">
            <w:pPr>
              <w:jc w:val="center"/>
              <w:rPr>
                <w:rFonts w:hint="eastAsia" w:ascii="宋体" w:hAnsi="宋体" w:eastAsia="宋体" w:cs="宋体"/>
                <w:b/>
                <w:bCs/>
                <w:color w:val="auto"/>
                <w:sz w:val="22"/>
                <w:szCs w:val="22"/>
              </w:rPr>
            </w:pPr>
          </w:p>
        </w:tc>
        <w:tc>
          <w:tcPr>
            <w:tcW w:w="275" w:type="pct"/>
            <w:tcBorders>
              <w:top w:val="single" w:color="000000" w:sz="4" w:space="0"/>
              <w:left w:val="single" w:color="000000" w:sz="4" w:space="0"/>
              <w:bottom w:val="single" w:color="000000" w:sz="4" w:space="0"/>
              <w:right w:val="single" w:color="000000" w:sz="4" w:space="0"/>
            </w:tcBorders>
            <w:vAlign w:val="center"/>
          </w:tcPr>
          <w:p w14:paraId="7EAB2F56">
            <w:pPr>
              <w:widowControl/>
              <w:jc w:val="center"/>
              <w:textAlignment w:val="center"/>
              <w:rPr>
                <w:rFonts w:hint="eastAsia" w:ascii="仿宋" w:hAnsi="仿宋" w:eastAsia="仿宋" w:cs="仿宋"/>
                <w:b/>
                <w:bCs/>
                <w:color w:val="auto"/>
                <w:sz w:val="24"/>
              </w:rPr>
            </w:pPr>
            <w:r>
              <w:rPr>
                <w:rFonts w:hint="eastAsia" w:ascii="仿宋" w:hAnsi="仿宋" w:eastAsia="仿宋" w:cs="仿宋"/>
                <w:b/>
                <w:bCs/>
                <w:color w:val="auto"/>
                <w:kern w:val="0"/>
                <w:sz w:val="24"/>
                <w:lang w:bidi="ar"/>
              </w:rPr>
              <w:t>10</w:t>
            </w:r>
          </w:p>
        </w:tc>
        <w:tc>
          <w:tcPr>
            <w:tcW w:w="275" w:type="pct"/>
            <w:tcBorders>
              <w:top w:val="single" w:color="000000" w:sz="4" w:space="0"/>
              <w:left w:val="single" w:color="000000" w:sz="4" w:space="0"/>
              <w:bottom w:val="single" w:color="000000" w:sz="4" w:space="0"/>
              <w:right w:val="single" w:color="000000" w:sz="4" w:space="0"/>
            </w:tcBorders>
            <w:vAlign w:val="center"/>
          </w:tcPr>
          <w:p w14:paraId="32309BD8">
            <w:pPr>
              <w:widowControl/>
              <w:jc w:val="center"/>
              <w:textAlignment w:val="center"/>
              <w:rPr>
                <w:rFonts w:hint="eastAsia" w:ascii="仿宋" w:hAnsi="仿宋" w:eastAsia="仿宋" w:cs="仿宋"/>
                <w:b/>
                <w:bCs/>
                <w:color w:val="auto"/>
                <w:sz w:val="24"/>
              </w:rPr>
            </w:pPr>
            <w:r>
              <w:rPr>
                <w:rFonts w:hint="eastAsia" w:ascii="仿宋" w:hAnsi="仿宋" w:eastAsia="仿宋" w:cs="仿宋"/>
                <w:b/>
                <w:bCs/>
                <w:color w:val="auto"/>
                <w:kern w:val="0"/>
                <w:sz w:val="24"/>
                <w:lang w:bidi="ar"/>
              </w:rPr>
              <w:t>9</w:t>
            </w:r>
          </w:p>
        </w:tc>
        <w:tc>
          <w:tcPr>
            <w:tcW w:w="277" w:type="pct"/>
            <w:tcBorders>
              <w:top w:val="single" w:color="000000" w:sz="4" w:space="0"/>
              <w:left w:val="single" w:color="000000" w:sz="4" w:space="0"/>
              <w:bottom w:val="single" w:color="000000" w:sz="4" w:space="0"/>
              <w:right w:val="single" w:color="000000" w:sz="4" w:space="0"/>
            </w:tcBorders>
            <w:vAlign w:val="center"/>
          </w:tcPr>
          <w:p w14:paraId="04906672">
            <w:pPr>
              <w:widowControl/>
              <w:jc w:val="center"/>
              <w:textAlignment w:val="center"/>
              <w:rPr>
                <w:rFonts w:hint="eastAsia" w:ascii="仿宋" w:hAnsi="仿宋" w:eastAsia="仿宋" w:cs="仿宋"/>
                <w:b/>
                <w:bCs/>
                <w:color w:val="auto"/>
                <w:sz w:val="24"/>
              </w:rPr>
            </w:pPr>
            <w:r>
              <w:rPr>
                <w:rFonts w:hint="eastAsia" w:ascii="仿宋" w:hAnsi="仿宋" w:eastAsia="仿宋" w:cs="仿宋"/>
                <w:b/>
                <w:bCs/>
                <w:color w:val="auto"/>
                <w:kern w:val="0"/>
                <w:sz w:val="24"/>
                <w:lang w:bidi="ar"/>
              </w:rPr>
              <w:t>8</w:t>
            </w:r>
          </w:p>
        </w:tc>
        <w:tc>
          <w:tcPr>
            <w:tcW w:w="274" w:type="pct"/>
            <w:tcBorders>
              <w:top w:val="single" w:color="000000" w:sz="4" w:space="0"/>
              <w:left w:val="single" w:color="000000" w:sz="4" w:space="0"/>
              <w:bottom w:val="single" w:color="000000" w:sz="4" w:space="0"/>
              <w:right w:val="single" w:color="000000" w:sz="4" w:space="0"/>
            </w:tcBorders>
            <w:vAlign w:val="center"/>
          </w:tcPr>
          <w:p w14:paraId="1D93D6FB">
            <w:pPr>
              <w:widowControl/>
              <w:jc w:val="center"/>
              <w:textAlignment w:val="center"/>
              <w:rPr>
                <w:rFonts w:hint="eastAsia" w:ascii="仿宋" w:hAnsi="仿宋" w:eastAsia="仿宋" w:cs="仿宋"/>
                <w:b/>
                <w:bCs/>
                <w:color w:val="auto"/>
                <w:sz w:val="24"/>
              </w:rPr>
            </w:pPr>
            <w:r>
              <w:rPr>
                <w:rFonts w:hint="eastAsia" w:ascii="仿宋" w:hAnsi="仿宋" w:eastAsia="仿宋" w:cs="仿宋"/>
                <w:b/>
                <w:bCs/>
                <w:color w:val="auto"/>
                <w:kern w:val="0"/>
                <w:sz w:val="24"/>
                <w:lang w:bidi="ar"/>
              </w:rPr>
              <w:t>7</w:t>
            </w:r>
          </w:p>
        </w:tc>
        <w:tc>
          <w:tcPr>
            <w:tcW w:w="277" w:type="pct"/>
            <w:tcBorders>
              <w:top w:val="single" w:color="000000" w:sz="4" w:space="0"/>
              <w:left w:val="single" w:color="000000" w:sz="4" w:space="0"/>
              <w:bottom w:val="single" w:color="000000" w:sz="4" w:space="0"/>
              <w:right w:val="single" w:color="000000" w:sz="4" w:space="0"/>
            </w:tcBorders>
            <w:vAlign w:val="center"/>
          </w:tcPr>
          <w:p w14:paraId="2D82EC42">
            <w:pPr>
              <w:widowControl/>
              <w:jc w:val="center"/>
              <w:textAlignment w:val="center"/>
              <w:rPr>
                <w:rFonts w:hint="eastAsia" w:ascii="仿宋" w:hAnsi="仿宋" w:eastAsia="仿宋" w:cs="仿宋"/>
                <w:b/>
                <w:bCs/>
                <w:color w:val="auto"/>
                <w:sz w:val="24"/>
              </w:rPr>
            </w:pPr>
            <w:r>
              <w:rPr>
                <w:rFonts w:hint="eastAsia" w:ascii="仿宋" w:hAnsi="仿宋" w:eastAsia="仿宋" w:cs="仿宋"/>
                <w:b/>
                <w:bCs/>
                <w:color w:val="auto"/>
                <w:kern w:val="0"/>
                <w:sz w:val="24"/>
                <w:lang w:bidi="ar"/>
              </w:rPr>
              <w:t>6</w:t>
            </w:r>
          </w:p>
        </w:tc>
        <w:tc>
          <w:tcPr>
            <w:tcW w:w="278" w:type="pct"/>
            <w:tcBorders>
              <w:top w:val="single" w:color="000000" w:sz="4" w:space="0"/>
              <w:left w:val="single" w:color="000000" w:sz="4" w:space="0"/>
              <w:bottom w:val="single" w:color="000000" w:sz="4" w:space="0"/>
              <w:right w:val="single" w:color="000000" w:sz="4" w:space="0"/>
            </w:tcBorders>
            <w:vAlign w:val="center"/>
          </w:tcPr>
          <w:p w14:paraId="1198DFBC">
            <w:pPr>
              <w:widowControl/>
              <w:jc w:val="center"/>
              <w:textAlignment w:val="center"/>
              <w:rPr>
                <w:rFonts w:hint="eastAsia" w:ascii="仿宋" w:hAnsi="仿宋" w:eastAsia="仿宋" w:cs="仿宋"/>
                <w:b/>
                <w:bCs/>
                <w:color w:val="auto"/>
                <w:sz w:val="24"/>
              </w:rPr>
            </w:pPr>
            <w:r>
              <w:rPr>
                <w:rFonts w:hint="eastAsia" w:ascii="仿宋" w:hAnsi="仿宋" w:eastAsia="仿宋" w:cs="仿宋"/>
                <w:b/>
                <w:bCs/>
                <w:color w:val="auto"/>
                <w:kern w:val="0"/>
                <w:sz w:val="24"/>
                <w:lang w:bidi="ar"/>
              </w:rPr>
              <w:t>5</w:t>
            </w:r>
          </w:p>
        </w:tc>
        <w:tc>
          <w:tcPr>
            <w:tcW w:w="277" w:type="pct"/>
            <w:tcBorders>
              <w:top w:val="single" w:color="000000" w:sz="4" w:space="0"/>
              <w:left w:val="single" w:color="000000" w:sz="4" w:space="0"/>
              <w:bottom w:val="single" w:color="000000" w:sz="4" w:space="0"/>
              <w:right w:val="single" w:color="000000" w:sz="4" w:space="0"/>
            </w:tcBorders>
            <w:vAlign w:val="center"/>
          </w:tcPr>
          <w:p w14:paraId="596D8978">
            <w:pPr>
              <w:widowControl/>
              <w:jc w:val="center"/>
              <w:textAlignment w:val="center"/>
              <w:rPr>
                <w:rFonts w:hint="eastAsia" w:ascii="仿宋" w:hAnsi="仿宋" w:eastAsia="仿宋" w:cs="仿宋"/>
                <w:b/>
                <w:bCs/>
                <w:color w:val="auto"/>
                <w:sz w:val="24"/>
              </w:rPr>
            </w:pPr>
            <w:r>
              <w:rPr>
                <w:rFonts w:hint="eastAsia" w:ascii="仿宋" w:hAnsi="仿宋" w:eastAsia="仿宋" w:cs="仿宋"/>
                <w:b/>
                <w:bCs/>
                <w:color w:val="auto"/>
                <w:kern w:val="0"/>
                <w:sz w:val="24"/>
                <w:lang w:bidi="ar"/>
              </w:rPr>
              <w:t>4</w:t>
            </w:r>
          </w:p>
        </w:tc>
        <w:tc>
          <w:tcPr>
            <w:tcW w:w="277" w:type="pct"/>
            <w:tcBorders>
              <w:top w:val="single" w:color="000000" w:sz="4" w:space="0"/>
              <w:left w:val="single" w:color="000000" w:sz="4" w:space="0"/>
              <w:bottom w:val="single" w:color="000000" w:sz="4" w:space="0"/>
              <w:right w:val="single" w:color="000000" w:sz="4" w:space="0"/>
            </w:tcBorders>
            <w:vAlign w:val="center"/>
          </w:tcPr>
          <w:p w14:paraId="791A340E">
            <w:pPr>
              <w:widowControl/>
              <w:jc w:val="center"/>
              <w:textAlignment w:val="center"/>
              <w:rPr>
                <w:rFonts w:hint="eastAsia" w:ascii="仿宋" w:hAnsi="仿宋" w:eastAsia="仿宋" w:cs="仿宋"/>
                <w:b/>
                <w:bCs/>
                <w:color w:val="auto"/>
                <w:sz w:val="24"/>
              </w:rPr>
            </w:pPr>
            <w:r>
              <w:rPr>
                <w:rFonts w:hint="eastAsia" w:ascii="仿宋" w:hAnsi="仿宋" w:eastAsia="仿宋" w:cs="仿宋"/>
                <w:b/>
                <w:bCs/>
                <w:color w:val="auto"/>
                <w:kern w:val="0"/>
                <w:sz w:val="24"/>
                <w:lang w:bidi="ar"/>
              </w:rPr>
              <w:t>3</w:t>
            </w:r>
          </w:p>
        </w:tc>
        <w:tc>
          <w:tcPr>
            <w:tcW w:w="288" w:type="pct"/>
            <w:tcBorders>
              <w:top w:val="single" w:color="000000" w:sz="4" w:space="0"/>
              <w:left w:val="single" w:color="000000" w:sz="4" w:space="0"/>
              <w:bottom w:val="single" w:color="000000" w:sz="4" w:space="0"/>
              <w:right w:val="single" w:color="000000" w:sz="4" w:space="0"/>
            </w:tcBorders>
            <w:vAlign w:val="center"/>
          </w:tcPr>
          <w:p w14:paraId="1965EF91">
            <w:pPr>
              <w:widowControl/>
              <w:jc w:val="center"/>
              <w:textAlignment w:val="center"/>
              <w:rPr>
                <w:rFonts w:hint="eastAsia" w:ascii="仿宋" w:hAnsi="仿宋" w:eastAsia="仿宋" w:cs="仿宋"/>
                <w:b/>
                <w:bCs/>
                <w:color w:val="auto"/>
                <w:sz w:val="24"/>
              </w:rPr>
            </w:pPr>
            <w:r>
              <w:rPr>
                <w:rFonts w:hint="eastAsia" w:ascii="仿宋" w:hAnsi="仿宋" w:eastAsia="仿宋" w:cs="仿宋"/>
                <w:b/>
                <w:bCs/>
                <w:color w:val="auto"/>
                <w:kern w:val="0"/>
                <w:sz w:val="24"/>
                <w:lang w:bidi="ar"/>
              </w:rPr>
              <w:t>2</w:t>
            </w:r>
          </w:p>
        </w:tc>
        <w:tc>
          <w:tcPr>
            <w:tcW w:w="296" w:type="pct"/>
            <w:tcBorders>
              <w:top w:val="single" w:color="000000" w:sz="4" w:space="0"/>
              <w:left w:val="single" w:color="000000" w:sz="4" w:space="0"/>
              <w:bottom w:val="single" w:color="000000" w:sz="4" w:space="0"/>
              <w:right w:val="single" w:color="000000" w:sz="4" w:space="0"/>
            </w:tcBorders>
            <w:vAlign w:val="center"/>
          </w:tcPr>
          <w:p w14:paraId="4BB9896C">
            <w:pPr>
              <w:widowControl/>
              <w:jc w:val="center"/>
              <w:textAlignment w:val="center"/>
              <w:rPr>
                <w:rFonts w:hint="eastAsia" w:ascii="仿宋" w:hAnsi="仿宋" w:eastAsia="仿宋" w:cs="仿宋"/>
                <w:b/>
                <w:bCs/>
                <w:color w:val="auto"/>
                <w:sz w:val="24"/>
              </w:rPr>
            </w:pPr>
            <w:r>
              <w:rPr>
                <w:rFonts w:hint="eastAsia" w:ascii="仿宋" w:hAnsi="仿宋" w:eastAsia="仿宋" w:cs="仿宋"/>
                <w:b/>
                <w:bCs/>
                <w:color w:val="auto"/>
                <w:kern w:val="0"/>
                <w:sz w:val="24"/>
                <w:lang w:bidi="ar"/>
              </w:rPr>
              <w:t>1</w:t>
            </w:r>
          </w:p>
        </w:tc>
      </w:tr>
      <w:tr w14:paraId="564FECC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49" w:hRule="atLeast"/>
        </w:trPr>
        <w:tc>
          <w:tcPr>
            <w:tcW w:w="386" w:type="pct"/>
            <w:tcBorders>
              <w:top w:val="single" w:color="000000" w:sz="4" w:space="0"/>
              <w:left w:val="single" w:color="000000" w:sz="4" w:space="0"/>
              <w:bottom w:val="single" w:color="000000" w:sz="4" w:space="0"/>
              <w:right w:val="single" w:color="000000" w:sz="4" w:space="0"/>
            </w:tcBorders>
            <w:noWrap/>
            <w:vAlign w:val="center"/>
          </w:tcPr>
          <w:p w14:paraId="5B4298D4">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kern w:val="0"/>
                <w:sz w:val="22"/>
                <w:szCs w:val="22"/>
                <w:lang w:bidi="ar"/>
              </w:rPr>
              <w:t>1</w:t>
            </w:r>
          </w:p>
        </w:tc>
        <w:tc>
          <w:tcPr>
            <w:tcW w:w="1817" w:type="pct"/>
            <w:tcBorders>
              <w:top w:val="single" w:color="000000" w:sz="4" w:space="0"/>
              <w:left w:val="single" w:color="000000" w:sz="4" w:space="0"/>
              <w:bottom w:val="single" w:color="000000" w:sz="4" w:space="0"/>
              <w:right w:val="single" w:color="000000" w:sz="4" w:space="0"/>
            </w:tcBorders>
            <w:vAlign w:val="center"/>
          </w:tcPr>
          <w:p w14:paraId="08E97BA2">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食堂工作人员服务态度</w:t>
            </w:r>
          </w:p>
        </w:tc>
        <w:tc>
          <w:tcPr>
            <w:tcW w:w="275" w:type="pct"/>
            <w:tcBorders>
              <w:top w:val="single" w:color="000000" w:sz="4" w:space="0"/>
              <w:left w:val="single" w:color="000000" w:sz="4" w:space="0"/>
              <w:bottom w:val="single" w:color="000000" w:sz="4" w:space="0"/>
              <w:right w:val="single" w:color="000000" w:sz="4" w:space="0"/>
            </w:tcBorders>
          </w:tcPr>
          <w:p w14:paraId="62B04E7A">
            <w:pPr>
              <w:jc w:val="center"/>
              <w:rPr>
                <w:rFonts w:hint="eastAsia" w:ascii="仿宋" w:hAnsi="仿宋" w:eastAsia="仿宋" w:cs="仿宋"/>
                <w:color w:val="auto"/>
                <w:sz w:val="24"/>
              </w:rPr>
            </w:pPr>
          </w:p>
        </w:tc>
        <w:tc>
          <w:tcPr>
            <w:tcW w:w="275" w:type="pct"/>
            <w:tcBorders>
              <w:top w:val="single" w:color="000000" w:sz="4" w:space="0"/>
              <w:left w:val="single" w:color="000000" w:sz="4" w:space="0"/>
              <w:bottom w:val="single" w:color="000000" w:sz="4" w:space="0"/>
              <w:right w:val="single" w:color="000000" w:sz="4" w:space="0"/>
            </w:tcBorders>
          </w:tcPr>
          <w:p w14:paraId="7F0FCC4E">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5FED7FD2">
            <w:pPr>
              <w:jc w:val="center"/>
              <w:rPr>
                <w:rFonts w:hint="eastAsia" w:ascii="仿宋" w:hAnsi="仿宋" w:eastAsia="仿宋" w:cs="仿宋"/>
                <w:color w:val="auto"/>
                <w:sz w:val="24"/>
              </w:rPr>
            </w:pPr>
          </w:p>
        </w:tc>
        <w:tc>
          <w:tcPr>
            <w:tcW w:w="274" w:type="pct"/>
            <w:tcBorders>
              <w:top w:val="single" w:color="000000" w:sz="4" w:space="0"/>
              <w:left w:val="single" w:color="000000" w:sz="4" w:space="0"/>
              <w:bottom w:val="single" w:color="000000" w:sz="4" w:space="0"/>
              <w:right w:val="single" w:color="000000" w:sz="4" w:space="0"/>
            </w:tcBorders>
          </w:tcPr>
          <w:p w14:paraId="26CD6F0F">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6E77C9DD">
            <w:pPr>
              <w:jc w:val="center"/>
              <w:rPr>
                <w:rFonts w:hint="eastAsia" w:ascii="仿宋" w:hAnsi="仿宋" w:eastAsia="仿宋" w:cs="仿宋"/>
                <w:color w:val="auto"/>
                <w:sz w:val="24"/>
              </w:rPr>
            </w:pPr>
          </w:p>
        </w:tc>
        <w:tc>
          <w:tcPr>
            <w:tcW w:w="278" w:type="pct"/>
            <w:tcBorders>
              <w:top w:val="single" w:color="000000" w:sz="4" w:space="0"/>
              <w:left w:val="single" w:color="000000" w:sz="4" w:space="0"/>
              <w:bottom w:val="single" w:color="000000" w:sz="4" w:space="0"/>
              <w:right w:val="single" w:color="000000" w:sz="4" w:space="0"/>
            </w:tcBorders>
          </w:tcPr>
          <w:p w14:paraId="74AE515C">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6535E01E">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25F27AF0">
            <w:pPr>
              <w:jc w:val="center"/>
              <w:rPr>
                <w:rFonts w:hint="eastAsia" w:ascii="仿宋" w:hAnsi="仿宋" w:eastAsia="仿宋" w:cs="仿宋"/>
                <w:color w:val="auto"/>
                <w:sz w:val="24"/>
              </w:rPr>
            </w:pPr>
          </w:p>
        </w:tc>
        <w:tc>
          <w:tcPr>
            <w:tcW w:w="288" w:type="pct"/>
            <w:tcBorders>
              <w:top w:val="single" w:color="000000" w:sz="4" w:space="0"/>
              <w:left w:val="single" w:color="000000" w:sz="4" w:space="0"/>
              <w:bottom w:val="single" w:color="000000" w:sz="4" w:space="0"/>
              <w:right w:val="single" w:color="000000" w:sz="4" w:space="0"/>
            </w:tcBorders>
          </w:tcPr>
          <w:p w14:paraId="77103B38">
            <w:pPr>
              <w:jc w:val="center"/>
              <w:rPr>
                <w:rFonts w:hint="eastAsia" w:ascii="仿宋" w:hAnsi="仿宋" w:eastAsia="仿宋" w:cs="仿宋"/>
                <w:color w:val="auto"/>
                <w:sz w:val="24"/>
              </w:rPr>
            </w:pPr>
          </w:p>
        </w:tc>
        <w:tc>
          <w:tcPr>
            <w:tcW w:w="296" w:type="pct"/>
            <w:tcBorders>
              <w:top w:val="single" w:color="000000" w:sz="4" w:space="0"/>
              <w:left w:val="single" w:color="000000" w:sz="4" w:space="0"/>
              <w:bottom w:val="single" w:color="000000" w:sz="4" w:space="0"/>
              <w:right w:val="single" w:color="000000" w:sz="4" w:space="0"/>
            </w:tcBorders>
          </w:tcPr>
          <w:p w14:paraId="5BA1ACB5">
            <w:pPr>
              <w:jc w:val="center"/>
              <w:rPr>
                <w:rFonts w:hint="eastAsia" w:ascii="仿宋" w:hAnsi="仿宋" w:eastAsia="仿宋" w:cs="仿宋"/>
                <w:color w:val="auto"/>
                <w:sz w:val="24"/>
              </w:rPr>
            </w:pPr>
          </w:p>
        </w:tc>
      </w:tr>
      <w:tr w14:paraId="6A5E962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49" w:hRule="atLeast"/>
        </w:trPr>
        <w:tc>
          <w:tcPr>
            <w:tcW w:w="386" w:type="pct"/>
            <w:tcBorders>
              <w:top w:val="single" w:color="000000" w:sz="4" w:space="0"/>
              <w:left w:val="single" w:color="000000" w:sz="4" w:space="0"/>
              <w:bottom w:val="single" w:color="000000" w:sz="4" w:space="0"/>
              <w:right w:val="single" w:color="000000" w:sz="4" w:space="0"/>
            </w:tcBorders>
            <w:noWrap/>
            <w:vAlign w:val="center"/>
          </w:tcPr>
          <w:p w14:paraId="1635A3E3">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kern w:val="0"/>
                <w:sz w:val="22"/>
                <w:szCs w:val="22"/>
                <w:lang w:bidi="ar"/>
              </w:rPr>
              <w:t>2</w:t>
            </w:r>
          </w:p>
        </w:tc>
        <w:tc>
          <w:tcPr>
            <w:tcW w:w="1817" w:type="pct"/>
            <w:tcBorders>
              <w:top w:val="single" w:color="000000" w:sz="4" w:space="0"/>
              <w:left w:val="single" w:color="000000" w:sz="4" w:space="0"/>
              <w:bottom w:val="single" w:color="000000" w:sz="4" w:space="0"/>
              <w:right w:val="single" w:color="000000" w:sz="4" w:space="0"/>
            </w:tcBorders>
            <w:vAlign w:val="center"/>
          </w:tcPr>
          <w:p w14:paraId="61C74BE4">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餐品温度的评价</w:t>
            </w:r>
          </w:p>
        </w:tc>
        <w:tc>
          <w:tcPr>
            <w:tcW w:w="275" w:type="pct"/>
            <w:tcBorders>
              <w:top w:val="single" w:color="000000" w:sz="4" w:space="0"/>
              <w:left w:val="single" w:color="000000" w:sz="4" w:space="0"/>
              <w:bottom w:val="single" w:color="000000" w:sz="4" w:space="0"/>
              <w:right w:val="single" w:color="000000" w:sz="4" w:space="0"/>
            </w:tcBorders>
          </w:tcPr>
          <w:p w14:paraId="3BB46D7E">
            <w:pPr>
              <w:jc w:val="center"/>
              <w:rPr>
                <w:rFonts w:hint="eastAsia" w:ascii="仿宋" w:hAnsi="仿宋" w:eastAsia="仿宋" w:cs="仿宋"/>
                <w:color w:val="auto"/>
                <w:sz w:val="24"/>
              </w:rPr>
            </w:pPr>
          </w:p>
        </w:tc>
        <w:tc>
          <w:tcPr>
            <w:tcW w:w="275" w:type="pct"/>
            <w:tcBorders>
              <w:top w:val="single" w:color="000000" w:sz="4" w:space="0"/>
              <w:left w:val="single" w:color="000000" w:sz="4" w:space="0"/>
              <w:bottom w:val="single" w:color="000000" w:sz="4" w:space="0"/>
              <w:right w:val="single" w:color="000000" w:sz="4" w:space="0"/>
            </w:tcBorders>
          </w:tcPr>
          <w:p w14:paraId="162CA578">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66ED203F">
            <w:pPr>
              <w:jc w:val="center"/>
              <w:rPr>
                <w:rFonts w:hint="eastAsia" w:ascii="仿宋" w:hAnsi="仿宋" w:eastAsia="仿宋" w:cs="仿宋"/>
                <w:color w:val="auto"/>
                <w:sz w:val="24"/>
              </w:rPr>
            </w:pPr>
          </w:p>
        </w:tc>
        <w:tc>
          <w:tcPr>
            <w:tcW w:w="274" w:type="pct"/>
            <w:tcBorders>
              <w:top w:val="single" w:color="000000" w:sz="4" w:space="0"/>
              <w:left w:val="single" w:color="000000" w:sz="4" w:space="0"/>
              <w:bottom w:val="single" w:color="000000" w:sz="4" w:space="0"/>
              <w:right w:val="single" w:color="000000" w:sz="4" w:space="0"/>
            </w:tcBorders>
          </w:tcPr>
          <w:p w14:paraId="6F2E694F">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29B541C8">
            <w:pPr>
              <w:jc w:val="center"/>
              <w:rPr>
                <w:rFonts w:hint="eastAsia" w:ascii="仿宋" w:hAnsi="仿宋" w:eastAsia="仿宋" w:cs="仿宋"/>
                <w:color w:val="auto"/>
                <w:sz w:val="24"/>
              </w:rPr>
            </w:pPr>
          </w:p>
        </w:tc>
        <w:tc>
          <w:tcPr>
            <w:tcW w:w="278" w:type="pct"/>
            <w:tcBorders>
              <w:top w:val="single" w:color="000000" w:sz="4" w:space="0"/>
              <w:left w:val="single" w:color="000000" w:sz="4" w:space="0"/>
              <w:bottom w:val="single" w:color="000000" w:sz="4" w:space="0"/>
              <w:right w:val="single" w:color="000000" w:sz="4" w:space="0"/>
            </w:tcBorders>
          </w:tcPr>
          <w:p w14:paraId="5B06F918">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363FDA7F">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59F8009C">
            <w:pPr>
              <w:jc w:val="center"/>
              <w:rPr>
                <w:rFonts w:hint="eastAsia" w:ascii="仿宋" w:hAnsi="仿宋" w:eastAsia="仿宋" w:cs="仿宋"/>
                <w:color w:val="auto"/>
                <w:sz w:val="24"/>
              </w:rPr>
            </w:pPr>
          </w:p>
        </w:tc>
        <w:tc>
          <w:tcPr>
            <w:tcW w:w="288" w:type="pct"/>
            <w:tcBorders>
              <w:top w:val="single" w:color="000000" w:sz="4" w:space="0"/>
              <w:left w:val="single" w:color="000000" w:sz="4" w:space="0"/>
              <w:bottom w:val="single" w:color="000000" w:sz="4" w:space="0"/>
              <w:right w:val="single" w:color="000000" w:sz="4" w:space="0"/>
            </w:tcBorders>
          </w:tcPr>
          <w:p w14:paraId="0736919E">
            <w:pPr>
              <w:jc w:val="center"/>
              <w:rPr>
                <w:rFonts w:hint="eastAsia" w:ascii="仿宋" w:hAnsi="仿宋" w:eastAsia="仿宋" w:cs="仿宋"/>
                <w:color w:val="auto"/>
                <w:sz w:val="24"/>
              </w:rPr>
            </w:pPr>
          </w:p>
        </w:tc>
        <w:tc>
          <w:tcPr>
            <w:tcW w:w="296" w:type="pct"/>
            <w:tcBorders>
              <w:top w:val="single" w:color="000000" w:sz="4" w:space="0"/>
              <w:left w:val="single" w:color="000000" w:sz="4" w:space="0"/>
              <w:bottom w:val="single" w:color="000000" w:sz="4" w:space="0"/>
              <w:right w:val="single" w:color="000000" w:sz="4" w:space="0"/>
            </w:tcBorders>
          </w:tcPr>
          <w:p w14:paraId="6A33CF33">
            <w:pPr>
              <w:jc w:val="center"/>
              <w:rPr>
                <w:rFonts w:hint="eastAsia" w:ascii="仿宋" w:hAnsi="仿宋" w:eastAsia="仿宋" w:cs="仿宋"/>
                <w:color w:val="auto"/>
                <w:sz w:val="24"/>
              </w:rPr>
            </w:pPr>
          </w:p>
        </w:tc>
      </w:tr>
      <w:tr w14:paraId="6DCF4A5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49" w:hRule="atLeast"/>
        </w:trPr>
        <w:tc>
          <w:tcPr>
            <w:tcW w:w="386" w:type="pct"/>
            <w:tcBorders>
              <w:top w:val="single" w:color="000000" w:sz="4" w:space="0"/>
              <w:left w:val="single" w:color="000000" w:sz="4" w:space="0"/>
              <w:bottom w:val="single" w:color="000000" w:sz="4" w:space="0"/>
              <w:right w:val="single" w:color="000000" w:sz="4" w:space="0"/>
            </w:tcBorders>
            <w:noWrap/>
            <w:vAlign w:val="center"/>
          </w:tcPr>
          <w:p w14:paraId="58F2B2D8">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kern w:val="0"/>
                <w:sz w:val="22"/>
                <w:szCs w:val="22"/>
                <w:lang w:bidi="ar"/>
              </w:rPr>
              <w:t>3</w:t>
            </w:r>
          </w:p>
        </w:tc>
        <w:tc>
          <w:tcPr>
            <w:tcW w:w="1817" w:type="pct"/>
            <w:tcBorders>
              <w:top w:val="single" w:color="000000" w:sz="4" w:space="0"/>
              <w:left w:val="single" w:color="000000" w:sz="4" w:space="0"/>
              <w:bottom w:val="single" w:color="000000" w:sz="4" w:space="0"/>
              <w:right w:val="single" w:color="000000" w:sz="4" w:space="0"/>
            </w:tcBorders>
            <w:vAlign w:val="center"/>
          </w:tcPr>
          <w:p w14:paraId="2348C02E">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提供餐具卫生状况</w:t>
            </w:r>
          </w:p>
        </w:tc>
        <w:tc>
          <w:tcPr>
            <w:tcW w:w="275" w:type="pct"/>
            <w:tcBorders>
              <w:top w:val="single" w:color="000000" w:sz="4" w:space="0"/>
              <w:left w:val="single" w:color="000000" w:sz="4" w:space="0"/>
              <w:bottom w:val="single" w:color="000000" w:sz="4" w:space="0"/>
              <w:right w:val="single" w:color="000000" w:sz="4" w:space="0"/>
            </w:tcBorders>
          </w:tcPr>
          <w:p w14:paraId="40248AC1">
            <w:pPr>
              <w:jc w:val="center"/>
              <w:rPr>
                <w:rFonts w:hint="eastAsia" w:ascii="仿宋" w:hAnsi="仿宋" w:eastAsia="仿宋" w:cs="仿宋"/>
                <w:color w:val="auto"/>
                <w:sz w:val="24"/>
              </w:rPr>
            </w:pPr>
          </w:p>
        </w:tc>
        <w:tc>
          <w:tcPr>
            <w:tcW w:w="275" w:type="pct"/>
            <w:tcBorders>
              <w:top w:val="single" w:color="000000" w:sz="4" w:space="0"/>
              <w:left w:val="single" w:color="000000" w:sz="4" w:space="0"/>
              <w:bottom w:val="single" w:color="000000" w:sz="4" w:space="0"/>
              <w:right w:val="single" w:color="000000" w:sz="4" w:space="0"/>
            </w:tcBorders>
          </w:tcPr>
          <w:p w14:paraId="773DFDF3">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7D6ECAC8">
            <w:pPr>
              <w:jc w:val="center"/>
              <w:rPr>
                <w:rFonts w:hint="eastAsia" w:ascii="仿宋" w:hAnsi="仿宋" w:eastAsia="仿宋" w:cs="仿宋"/>
                <w:color w:val="auto"/>
                <w:sz w:val="24"/>
              </w:rPr>
            </w:pPr>
          </w:p>
        </w:tc>
        <w:tc>
          <w:tcPr>
            <w:tcW w:w="274" w:type="pct"/>
            <w:tcBorders>
              <w:top w:val="single" w:color="000000" w:sz="4" w:space="0"/>
              <w:left w:val="single" w:color="000000" w:sz="4" w:space="0"/>
              <w:bottom w:val="single" w:color="000000" w:sz="4" w:space="0"/>
              <w:right w:val="single" w:color="000000" w:sz="4" w:space="0"/>
            </w:tcBorders>
          </w:tcPr>
          <w:p w14:paraId="3AE82993">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0EE0C7C9">
            <w:pPr>
              <w:jc w:val="center"/>
              <w:rPr>
                <w:rFonts w:hint="eastAsia" w:ascii="仿宋" w:hAnsi="仿宋" w:eastAsia="仿宋" w:cs="仿宋"/>
                <w:color w:val="auto"/>
                <w:sz w:val="24"/>
              </w:rPr>
            </w:pPr>
          </w:p>
        </w:tc>
        <w:tc>
          <w:tcPr>
            <w:tcW w:w="278" w:type="pct"/>
            <w:tcBorders>
              <w:top w:val="single" w:color="000000" w:sz="4" w:space="0"/>
              <w:left w:val="single" w:color="000000" w:sz="4" w:space="0"/>
              <w:bottom w:val="single" w:color="000000" w:sz="4" w:space="0"/>
              <w:right w:val="single" w:color="000000" w:sz="4" w:space="0"/>
            </w:tcBorders>
          </w:tcPr>
          <w:p w14:paraId="650F36E2">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033FF23E">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272EAC46">
            <w:pPr>
              <w:jc w:val="center"/>
              <w:rPr>
                <w:rFonts w:hint="eastAsia" w:ascii="仿宋" w:hAnsi="仿宋" w:eastAsia="仿宋" w:cs="仿宋"/>
                <w:color w:val="auto"/>
                <w:sz w:val="24"/>
              </w:rPr>
            </w:pPr>
          </w:p>
        </w:tc>
        <w:tc>
          <w:tcPr>
            <w:tcW w:w="288" w:type="pct"/>
            <w:tcBorders>
              <w:top w:val="single" w:color="000000" w:sz="4" w:space="0"/>
              <w:left w:val="single" w:color="000000" w:sz="4" w:space="0"/>
              <w:bottom w:val="single" w:color="000000" w:sz="4" w:space="0"/>
              <w:right w:val="single" w:color="000000" w:sz="4" w:space="0"/>
            </w:tcBorders>
          </w:tcPr>
          <w:p w14:paraId="00794434">
            <w:pPr>
              <w:jc w:val="center"/>
              <w:rPr>
                <w:rFonts w:hint="eastAsia" w:ascii="仿宋" w:hAnsi="仿宋" w:eastAsia="仿宋" w:cs="仿宋"/>
                <w:color w:val="auto"/>
                <w:sz w:val="24"/>
              </w:rPr>
            </w:pPr>
          </w:p>
        </w:tc>
        <w:tc>
          <w:tcPr>
            <w:tcW w:w="296" w:type="pct"/>
            <w:tcBorders>
              <w:top w:val="single" w:color="000000" w:sz="4" w:space="0"/>
              <w:left w:val="single" w:color="000000" w:sz="4" w:space="0"/>
              <w:bottom w:val="single" w:color="000000" w:sz="4" w:space="0"/>
              <w:right w:val="single" w:color="000000" w:sz="4" w:space="0"/>
            </w:tcBorders>
          </w:tcPr>
          <w:p w14:paraId="737C878C">
            <w:pPr>
              <w:jc w:val="center"/>
              <w:rPr>
                <w:rFonts w:hint="eastAsia" w:ascii="仿宋" w:hAnsi="仿宋" w:eastAsia="仿宋" w:cs="仿宋"/>
                <w:color w:val="auto"/>
                <w:sz w:val="24"/>
              </w:rPr>
            </w:pPr>
          </w:p>
        </w:tc>
      </w:tr>
      <w:tr w14:paraId="14D2FDF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49" w:hRule="atLeast"/>
        </w:trPr>
        <w:tc>
          <w:tcPr>
            <w:tcW w:w="386" w:type="pct"/>
            <w:tcBorders>
              <w:top w:val="single" w:color="000000" w:sz="4" w:space="0"/>
              <w:left w:val="single" w:color="000000" w:sz="4" w:space="0"/>
              <w:bottom w:val="single" w:color="000000" w:sz="4" w:space="0"/>
              <w:right w:val="single" w:color="000000" w:sz="4" w:space="0"/>
            </w:tcBorders>
            <w:noWrap/>
            <w:vAlign w:val="center"/>
          </w:tcPr>
          <w:p w14:paraId="7136A300">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kern w:val="0"/>
                <w:sz w:val="22"/>
                <w:szCs w:val="22"/>
                <w:lang w:bidi="ar"/>
              </w:rPr>
              <w:t>4</w:t>
            </w:r>
          </w:p>
        </w:tc>
        <w:tc>
          <w:tcPr>
            <w:tcW w:w="1817" w:type="pct"/>
            <w:tcBorders>
              <w:top w:val="single" w:color="000000" w:sz="4" w:space="0"/>
              <w:left w:val="single" w:color="000000" w:sz="4" w:space="0"/>
              <w:bottom w:val="single" w:color="000000" w:sz="4" w:space="0"/>
              <w:right w:val="single" w:color="000000" w:sz="4" w:space="0"/>
            </w:tcBorders>
            <w:vAlign w:val="center"/>
          </w:tcPr>
          <w:p w14:paraId="7F466B60">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供应的菜式种类及更新的评价</w:t>
            </w:r>
          </w:p>
        </w:tc>
        <w:tc>
          <w:tcPr>
            <w:tcW w:w="275" w:type="pct"/>
            <w:tcBorders>
              <w:top w:val="single" w:color="000000" w:sz="4" w:space="0"/>
              <w:left w:val="single" w:color="000000" w:sz="4" w:space="0"/>
              <w:bottom w:val="single" w:color="000000" w:sz="4" w:space="0"/>
              <w:right w:val="single" w:color="000000" w:sz="4" w:space="0"/>
            </w:tcBorders>
          </w:tcPr>
          <w:p w14:paraId="378976A9">
            <w:pPr>
              <w:jc w:val="center"/>
              <w:rPr>
                <w:rFonts w:hint="eastAsia" w:ascii="仿宋" w:hAnsi="仿宋" w:eastAsia="仿宋" w:cs="仿宋"/>
                <w:color w:val="auto"/>
                <w:sz w:val="24"/>
              </w:rPr>
            </w:pPr>
          </w:p>
        </w:tc>
        <w:tc>
          <w:tcPr>
            <w:tcW w:w="275" w:type="pct"/>
            <w:tcBorders>
              <w:top w:val="single" w:color="000000" w:sz="4" w:space="0"/>
              <w:left w:val="single" w:color="000000" w:sz="4" w:space="0"/>
              <w:bottom w:val="single" w:color="000000" w:sz="4" w:space="0"/>
              <w:right w:val="single" w:color="000000" w:sz="4" w:space="0"/>
            </w:tcBorders>
          </w:tcPr>
          <w:p w14:paraId="2CDE418E">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0BBFC9F9">
            <w:pPr>
              <w:jc w:val="center"/>
              <w:rPr>
                <w:rFonts w:hint="eastAsia" w:ascii="仿宋" w:hAnsi="仿宋" w:eastAsia="仿宋" w:cs="仿宋"/>
                <w:color w:val="auto"/>
                <w:sz w:val="24"/>
              </w:rPr>
            </w:pPr>
          </w:p>
        </w:tc>
        <w:tc>
          <w:tcPr>
            <w:tcW w:w="274" w:type="pct"/>
            <w:tcBorders>
              <w:top w:val="single" w:color="000000" w:sz="4" w:space="0"/>
              <w:left w:val="single" w:color="000000" w:sz="4" w:space="0"/>
              <w:bottom w:val="single" w:color="000000" w:sz="4" w:space="0"/>
              <w:right w:val="single" w:color="000000" w:sz="4" w:space="0"/>
            </w:tcBorders>
          </w:tcPr>
          <w:p w14:paraId="10C6E207">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0F714DB3">
            <w:pPr>
              <w:jc w:val="center"/>
              <w:rPr>
                <w:rFonts w:hint="eastAsia" w:ascii="仿宋" w:hAnsi="仿宋" w:eastAsia="仿宋" w:cs="仿宋"/>
                <w:color w:val="auto"/>
                <w:sz w:val="24"/>
              </w:rPr>
            </w:pPr>
          </w:p>
        </w:tc>
        <w:tc>
          <w:tcPr>
            <w:tcW w:w="278" w:type="pct"/>
            <w:tcBorders>
              <w:top w:val="single" w:color="000000" w:sz="4" w:space="0"/>
              <w:left w:val="single" w:color="000000" w:sz="4" w:space="0"/>
              <w:bottom w:val="single" w:color="000000" w:sz="4" w:space="0"/>
              <w:right w:val="single" w:color="000000" w:sz="4" w:space="0"/>
            </w:tcBorders>
          </w:tcPr>
          <w:p w14:paraId="78E445E9">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40A0893D">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6F40AEBC">
            <w:pPr>
              <w:jc w:val="center"/>
              <w:rPr>
                <w:rFonts w:hint="eastAsia" w:ascii="仿宋" w:hAnsi="仿宋" w:eastAsia="仿宋" w:cs="仿宋"/>
                <w:color w:val="auto"/>
                <w:sz w:val="24"/>
              </w:rPr>
            </w:pPr>
          </w:p>
        </w:tc>
        <w:tc>
          <w:tcPr>
            <w:tcW w:w="288" w:type="pct"/>
            <w:tcBorders>
              <w:top w:val="single" w:color="000000" w:sz="4" w:space="0"/>
              <w:left w:val="single" w:color="000000" w:sz="4" w:space="0"/>
              <w:bottom w:val="single" w:color="000000" w:sz="4" w:space="0"/>
              <w:right w:val="single" w:color="000000" w:sz="4" w:space="0"/>
            </w:tcBorders>
          </w:tcPr>
          <w:p w14:paraId="1AFB257F">
            <w:pPr>
              <w:jc w:val="center"/>
              <w:rPr>
                <w:rFonts w:hint="eastAsia" w:ascii="仿宋" w:hAnsi="仿宋" w:eastAsia="仿宋" w:cs="仿宋"/>
                <w:color w:val="auto"/>
                <w:sz w:val="24"/>
              </w:rPr>
            </w:pPr>
          </w:p>
        </w:tc>
        <w:tc>
          <w:tcPr>
            <w:tcW w:w="296" w:type="pct"/>
            <w:tcBorders>
              <w:top w:val="single" w:color="000000" w:sz="4" w:space="0"/>
              <w:left w:val="single" w:color="000000" w:sz="4" w:space="0"/>
              <w:bottom w:val="single" w:color="000000" w:sz="4" w:space="0"/>
              <w:right w:val="single" w:color="000000" w:sz="4" w:space="0"/>
            </w:tcBorders>
          </w:tcPr>
          <w:p w14:paraId="55B026A1">
            <w:pPr>
              <w:jc w:val="center"/>
              <w:rPr>
                <w:rFonts w:hint="eastAsia" w:ascii="仿宋" w:hAnsi="仿宋" w:eastAsia="仿宋" w:cs="仿宋"/>
                <w:color w:val="auto"/>
                <w:sz w:val="24"/>
              </w:rPr>
            </w:pPr>
          </w:p>
        </w:tc>
      </w:tr>
      <w:tr w14:paraId="0A0DDCC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49" w:hRule="atLeast"/>
        </w:trPr>
        <w:tc>
          <w:tcPr>
            <w:tcW w:w="386" w:type="pct"/>
            <w:tcBorders>
              <w:top w:val="single" w:color="000000" w:sz="4" w:space="0"/>
              <w:left w:val="single" w:color="000000" w:sz="4" w:space="0"/>
              <w:bottom w:val="single" w:color="000000" w:sz="4" w:space="0"/>
              <w:right w:val="single" w:color="000000" w:sz="4" w:space="0"/>
            </w:tcBorders>
            <w:noWrap/>
            <w:vAlign w:val="center"/>
          </w:tcPr>
          <w:p w14:paraId="1B7AE10B">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kern w:val="0"/>
                <w:sz w:val="22"/>
                <w:szCs w:val="22"/>
                <w:lang w:bidi="ar"/>
              </w:rPr>
              <w:t>5</w:t>
            </w:r>
          </w:p>
        </w:tc>
        <w:tc>
          <w:tcPr>
            <w:tcW w:w="1817" w:type="pct"/>
            <w:tcBorders>
              <w:top w:val="single" w:color="000000" w:sz="4" w:space="0"/>
              <w:left w:val="single" w:color="000000" w:sz="4" w:space="0"/>
              <w:bottom w:val="single" w:color="000000" w:sz="4" w:space="0"/>
              <w:right w:val="single" w:color="000000" w:sz="4" w:space="0"/>
            </w:tcBorders>
            <w:vAlign w:val="center"/>
          </w:tcPr>
          <w:p w14:paraId="5A0B8D57">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膳食供应的营养搭配评价</w:t>
            </w:r>
          </w:p>
        </w:tc>
        <w:tc>
          <w:tcPr>
            <w:tcW w:w="275" w:type="pct"/>
            <w:tcBorders>
              <w:top w:val="single" w:color="000000" w:sz="4" w:space="0"/>
              <w:left w:val="single" w:color="000000" w:sz="4" w:space="0"/>
              <w:bottom w:val="single" w:color="000000" w:sz="4" w:space="0"/>
              <w:right w:val="single" w:color="000000" w:sz="4" w:space="0"/>
            </w:tcBorders>
          </w:tcPr>
          <w:p w14:paraId="2534AE1B">
            <w:pPr>
              <w:jc w:val="center"/>
              <w:rPr>
                <w:rFonts w:hint="eastAsia" w:ascii="仿宋" w:hAnsi="仿宋" w:eastAsia="仿宋" w:cs="仿宋"/>
                <w:color w:val="auto"/>
                <w:sz w:val="24"/>
              </w:rPr>
            </w:pPr>
          </w:p>
        </w:tc>
        <w:tc>
          <w:tcPr>
            <w:tcW w:w="275" w:type="pct"/>
            <w:tcBorders>
              <w:top w:val="single" w:color="000000" w:sz="4" w:space="0"/>
              <w:left w:val="single" w:color="000000" w:sz="4" w:space="0"/>
              <w:bottom w:val="single" w:color="000000" w:sz="4" w:space="0"/>
              <w:right w:val="single" w:color="000000" w:sz="4" w:space="0"/>
            </w:tcBorders>
          </w:tcPr>
          <w:p w14:paraId="66589175">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66EEA7D8">
            <w:pPr>
              <w:jc w:val="center"/>
              <w:rPr>
                <w:rFonts w:hint="eastAsia" w:ascii="仿宋" w:hAnsi="仿宋" w:eastAsia="仿宋" w:cs="仿宋"/>
                <w:color w:val="auto"/>
                <w:sz w:val="24"/>
              </w:rPr>
            </w:pPr>
          </w:p>
        </w:tc>
        <w:tc>
          <w:tcPr>
            <w:tcW w:w="274" w:type="pct"/>
            <w:tcBorders>
              <w:top w:val="single" w:color="000000" w:sz="4" w:space="0"/>
              <w:left w:val="single" w:color="000000" w:sz="4" w:space="0"/>
              <w:bottom w:val="single" w:color="000000" w:sz="4" w:space="0"/>
              <w:right w:val="single" w:color="000000" w:sz="4" w:space="0"/>
            </w:tcBorders>
          </w:tcPr>
          <w:p w14:paraId="068AFC59">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51205B99">
            <w:pPr>
              <w:jc w:val="center"/>
              <w:rPr>
                <w:rFonts w:hint="eastAsia" w:ascii="仿宋" w:hAnsi="仿宋" w:eastAsia="仿宋" w:cs="仿宋"/>
                <w:color w:val="auto"/>
                <w:sz w:val="24"/>
              </w:rPr>
            </w:pPr>
          </w:p>
        </w:tc>
        <w:tc>
          <w:tcPr>
            <w:tcW w:w="278" w:type="pct"/>
            <w:tcBorders>
              <w:top w:val="single" w:color="000000" w:sz="4" w:space="0"/>
              <w:left w:val="single" w:color="000000" w:sz="4" w:space="0"/>
              <w:bottom w:val="single" w:color="000000" w:sz="4" w:space="0"/>
              <w:right w:val="single" w:color="000000" w:sz="4" w:space="0"/>
            </w:tcBorders>
          </w:tcPr>
          <w:p w14:paraId="308192C4">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3FD9DDB6">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72982267">
            <w:pPr>
              <w:jc w:val="center"/>
              <w:rPr>
                <w:rFonts w:hint="eastAsia" w:ascii="仿宋" w:hAnsi="仿宋" w:eastAsia="仿宋" w:cs="仿宋"/>
                <w:color w:val="auto"/>
                <w:sz w:val="24"/>
              </w:rPr>
            </w:pPr>
          </w:p>
        </w:tc>
        <w:tc>
          <w:tcPr>
            <w:tcW w:w="288" w:type="pct"/>
            <w:tcBorders>
              <w:top w:val="single" w:color="000000" w:sz="4" w:space="0"/>
              <w:left w:val="single" w:color="000000" w:sz="4" w:space="0"/>
              <w:bottom w:val="single" w:color="000000" w:sz="4" w:space="0"/>
              <w:right w:val="single" w:color="000000" w:sz="4" w:space="0"/>
            </w:tcBorders>
          </w:tcPr>
          <w:p w14:paraId="194CA458">
            <w:pPr>
              <w:jc w:val="center"/>
              <w:rPr>
                <w:rFonts w:hint="eastAsia" w:ascii="仿宋" w:hAnsi="仿宋" w:eastAsia="仿宋" w:cs="仿宋"/>
                <w:color w:val="auto"/>
                <w:sz w:val="24"/>
              </w:rPr>
            </w:pPr>
          </w:p>
        </w:tc>
        <w:tc>
          <w:tcPr>
            <w:tcW w:w="296" w:type="pct"/>
            <w:tcBorders>
              <w:top w:val="single" w:color="000000" w:sz="4" w:space="0"/>
              <w:left w:val="single" w:color="000000" w:sz="4" w:space="0"/>
              <w:bottom w:val="single" w:color="000000" w:sz="4" w:space="0"/>
              <w:right w:val="single" w:color="000000" w:sz="4" w:space="0"/>
            </w:tcBorders>
          </w:tcPr>
          <w:p w14:paraId="02469AEB">
            <w:pPr>
              <w:jc w:val="center"/>
              <w:rPr>
                <w:rFonts w:hint="eastAsia" w:ascii="仿宋" w:hAnsi="仿宋" w:eastAsia="仿宋" w:cs="仿宋"/>
                <w:color w:val="auto"/>
                <w:sz w:val="24"/>
              </w:rPr>
            </w:pPr>
          </w:p>
        </w:tc>
      </w:tr>
      <w:tr w14:paraId="3CBF6D5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49" w:hRule="atLeast"/>
        </w:trPr>
        <w:tc>
          <w:tcPr>
            <w:tcW w:w="386" w:type="pct"/>
            <w:tcBorders>
              <w:top w:val="single" w:color="000000" w:sz="4" w:space="0"/>
              <w:left w:val="single" w:color="000000" w:sz="4" w:space="0"/>
              <w:bottom w:val="single" w:color="000000" w:sz="4" w:space="0"/>
              <w:right w:val="single" w:color="000000" w:sz="4" w:space="0"/>
            </w:tcBorders>
            <w:noWrap/>
            <w:vAlign w:val="center"/>
          </w:tcPr>
          <w:p w14:paraId="2028B154">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kern w:val="0"/>
                <w:sz w:val="22"/>
                <w:szCs w:val="22"/>
                <w:lang w:bidi="ar"/>
              </w:rPr>
              <w:t>6</w:t>
            </w:r>
          </w:p>
        </w:tc>
        <w:tc>
          <w:tcPr>
            <w:tcW w:w="1817" w:type="pct"/>
            <w:tcBorders>
              <w:top w:val="single" w:color="000000" w:sz="4" w:space="0"/>
              <w:left w:val="single" w:color="000000" w:sz="4" w:space="0"/>
              <w:bottom w:val="single" w:color="000000" w:sz="4" w:space="0"/>
              <w:right w:val="single" w:color="000000" w:sz="4" w:space="0"/>
            </w:tcBorders>
            <w:vAlign w:val="center"/>
          </w:tcPr>
          <w:p w14:paraId="56F8B732">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餐品配送准时性的评价</w:t>
            </w:r>
          </w:p>
        </w:tc>
        <w:tc>
          <w:tcPr>
            <w:tcW w:w="275" w:type="pct"/>
            <w:tcBorders>
              <w:top w:val="single" w:color="000000" w:sz="4" w:space="0"/>
              <w:left w:val="single" w:color="000000" w:sz="4" w:space="0"/>
              <w:bottom w:val="single" w:color="000000" w:sz="4" w:space="0"/>
              <w:right w:val="single" w:color="000000" w:sz="4" w:space="0"/>
            </w:tcBorders>
          </w:tcPr>
          <w:p w14:paraId="110F7FAC">
            <w:pPr>
              <w:jc w:val="center"/>
              <w:rPr>
                <w:rFonts w:hint="eastAsia" w:ascii="仿宋" w:hAnsi="仿宋" w:eastAsia="仿宋" w:cs="仿宋"/>
                <w:color w:val="auto"/>
                <w:sz w:val="24"/>
              </w:rPr>
            </w:pPr>
          </w:p>
        </w:tc>
        <w:tc>
          <w:tcPr>
            <w:tcW w:w="275" w:type="pct"/>
            <w:tcBorders>
              <w:top w:val="single" w:color="000000" w:sz="4" w:space="0"/>
              <w:left w:val="single" w:color="000000" w:sz="4" w:space="0"/>
              <w:bottom w:val="single" w:color="000000" w:sz="4" w:space="0"/>
              <w:right w:val="single" w:color="000000" w:sz="4" w:space="0"/>
            </w:tcBorders>
          </w:tcPr>
          <w:p w14:paraId="52D8FF89">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065D3619">
            <w:pPr>
              <w:jc w:val="center"/>
              <w:rPr>
                <w:rFonts w:hint="eastAsia" w:ascii="仿宋" w:hAnsi="仿宋" w:eastAsia="仿宋" w:cs="仿宋"/>
                <w:color w:val="auto"/>
                <w:sz w:val="24"/>
              </w:rPr>
            </w:pPr>
          </w:p>
        </w:tc>
        <w:tc>
          <w:tcPr>
            <w:tcW w:w="274" w:type="pct"/>
            <w:tcBorders>
              <w:top w:val="single" w:color="000000" w:sz="4" w:space="0"/>
              <w:left w:val="single" w:color="000000" w:sz="4" w:space="0"/>
              <w:bottom w:val="single" w:color="000000" w:sz="4" w:space="0"/>
              <w:right w:val="single" w:color="000000" w:sz="4" w:space="0"/>
            </w:tcBorders>
          </w:tcPr>
          <w:p w14:paraId="783EBEEC">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39D2766A">
            <w:pPr>
              <w:jc w:val="center"/>
              <w:rPr>
                <w:rFonts w:hint="eastAsia" w:ascii="仿宋" w:hAnsi="仿宋" w:eastAsia="仿宋" w:cs="仿宋"/>
                <w:color w:val="auto"/>
                <w:sz w:val="24"/>
              </w:rPr>
            </w:pPr>
          </w:p>
        </w:tc>
        <w:tc>
          <w:tcPr>
            <w:tcW w:w="278" w:type="pct"/>
            <w:tcBorders>
              <w:top w:val="single" w:color="000000" w:sz="4" w:space="0"/>
              <w:left w:val="single" w:color="000000" w:sz="4" w:space="0"/>
              <w:bottom w:val="single" w:color="000000" w:sz="4" w:space="0"/>
              <w:right w:val="single" w:color="000000" w:sz="4" w:space="0"/>
            </w:tcBorders>
          </w:tcPr>
          <w:p w14:paraId="26E90299">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1C391014">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7E6CE2B5">
            <w:pPr>
              <w:jc w:val="center"/>
              <w:rPr>
                <w:rFonts w:hint="eastAsia" w:ascii="仿宋" w:hAnsi="仿宋" w:eastAsia="仿宋" w:cs="仿宋"/>
                <w:color w:val="auto"/>
                <w:sz w:val="24"/>
              </w:rPr>
            </w:pPr>
          </w:p>
        </w:tc>
        <w:tc>
          <w:tcPr>
            <w:tcW w:w="288" w:type="pct"/>
            <w:tcBorders>
              <w:top w:val="single" w:color="000000" w:sz="4" w:space="0"/>
              <w:left w:val="single" w:color="000000" w:sz="4" w:space="0"/>
              <w:bottom w:val="single" w:color="000000" w:sz="4" w:space="0"/>
              <w:right w:val="single" w:color="000000" w:sz="4" w:space="0"/>
            </w:tcBorders>
          </w:tcPr>
          <w:p w14:paraId="17A2B9AA">
            <w:pPr>
              <w:jc w:val="center"/>
              <w:rPr>
                <w:rFonts w:hint="eastAsia" w:ascii="仿宋" w:hAnsi="仿宋" w:eastAsia="仿宋" w:cs="仿宋"/>
                <w:color w:val="auto"/>
                <w:sz w:val="24"/>
              </w:rPr>
            </w:pPr>
          </w:p>
        </w:tc>
        <w:tc>
          <w:tcPr>
            <w:tcW w:w="296" w:type="pct"/>
            <w:tcBorders>
              <w:top w:val="single" w:color="000000" w:sz="4" w:space="0"/>
              <w:left w:val="single" w:color="000000" w:sz="4" w:space="0"/>
              <w:bottom w:val="single" w:color="000000" w:sz="4" w:space="0"/>
              <w:right w:val="single" w:color="000000" w:sz="4" w:space="0"/>
            </w:tcBorders>
          </w:tcPr>
          <w:p w14:paraId="5922390A">
            <w:pPr>
              <w:jc w:val="center"/>
              <w:rPr>
                <w:rFonts w:hint="eastAsia" w:ascii="仿宋" w:hAnsi="仿宋" w:eastAsia="仿宋" w:cs="仿宋"/>
                <w:color w:val="auto"/>
                <w:sz w:val="24"/>
              </w:rPr>
            </w:pPr>
          </w:p>
        </w:tc>
      </w:tr>
      <w:tr w14:paraId="0611095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49" w:hRule="atLeast"/>
        </w:trPr>
        <w:tc>
          <w:tcPr>
            <w:tcW w:w="386" w:type="pct"/>
            <w:tcBorders>
              <w:top w:val="single" w:color="000000" w:sz="4" w:space="0"/>
              <w:left w:val="single" w:color="000000" w:sz="4" w:space="0"/>
              <w:bottom w:val="single" w:color="000000" w:sz="4" w:space="0"/>
              <w:right w:val="single" w:color="000000" w:sz="4" w:space="0"/>
            </w:tcBorders>
            <w:noWrap/>
            <w:vAlign w:val="center"/>
          </w:tcPr>
          <w:p w14:paraId="00F65CB5">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kern w:val="0"/>
                <w:sz w:val="22"/>
                <w:szCs w:val="22"/>
                <w:lang w:bidi="ar"/>
              </w:rPr>
              <w:t>7</w:t>
            </w:r>
          </w:p>
        </w:tc>
        <w:tc>
          <w:tcPr>
            <w:tcW w:w="1817" w:type="pct"/>
            <w:tcBorders>
              <w:top w:val="single" w:color="000000" w:sz="4" w:space="0"/>
              <w:left w:val="single" w:color="000000" w:sz="4" w:space="0"/>
              <w:bottom w:val="single" w:color="000000" w:sz="4" w:space="0"/>
              <w:right w:val="single" w:color="000000" w:sz="4" w:space="0"/>
            </w:tcBorders>
            <w:vAlign w:val="center"/>
          </w:tcPr>
          <w:p w14:paraId="3A650874">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餐品味道和品种丰富度</w:t>
            </w:r>
          </w:p>
        </w:tc>
        <w:tc>
          <w:tcPr>
            <w:tcW w:w="275" w:type="pct"/>
            <w:tcBorders>
              <w:top w:val="single" w:color="000000" w:sz="4" w:space="0"/>
              <w:left w:val="single" w:color="000000" w:sz="4" w:space="0"/>
              <w:bottom w:val="single" w:color="000000" w:sz="4" w:space="0"/>
              <w:right w:val="single" w:color="000000" w:sz="4" w:space="0"/>
            </w:tcBorders>
          </w:tcPr>
          <w:p w14:paraId="3A9765C7">
            <w:pPr>
              <w:jc w:val="center"/>
              <w:rPr>
                <w:rFonts w:hint="eastAsia" w:ascii="仿宋" w:hAnsi="仿宋" w:eastAsia="仿宋" w:cs="仿宋"/>
                <w:color w:val="auto"/>
                <w:sz w:val="24"/>
              </w:rPr>
            </w:pPr>
          </w:p>
        </w:tc>
        <w:tc>
          <w:tcPr>
            <w:tcW w:w="275" w:type="pct"/>
            <w:tcBorders>
              <w:top w:val="single" w:color="000000" w:sz="4" w:space="0"/>
              <w:left w:val="single" w:color="000000" w:sz="4" w:space="0"/>
              <w:bottom w:val="single" w:color="000000" w:sz="4" w:space="0"/>
              <w:right w:val="single" w:color="000000" w:sz="4" w:space="0"/>
            </w:tcBorders>
          </w:tcPr>
          <w:p w14:paraId="53BC2CAE">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4848EED5">
            <w:pPr>
              <w:jc w:val="center"/>
              <w:rPr>
                <w:rFonts w:hint="eastAsia" w:ascii="仿宋" w:hAnsi="仿宋" w:eastAsia="仿宋" w:cs="仿宋"/>
                <w:color w:val="auto"/>
                <w:sz w:val="24"/>
              </w:rPr>
            </w:pPr>
          </w:p>
        </w:tc>
        <w:tc>
          <w:tcPr>
            <w:tcW w:w="274" w:type="pct"/>
            <w:tcBorders>
              <w:top w:val="single" w:color="000000" w:sz="4" w:space="0"/>
              <w:left w:val="single" w:color="000000" w:sz="4" w:space="0"/>
              <w:bottom w:val="single" w:color="000000" w:sz="4" w:space="0"/>
              <w:right w:val="single" w:color="000000" w:sz="4" w:space="0"/>
            </w:tcBorders>
          </w:tcPr>
          <w:p w14:paraId="3513DE38">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67D9146F">
            <w:pPr>
              <w:jc w:val="center"/>
              <w:rPr>
                <w:rFonts w:hint="eastAsia" w:ascii="仿宋" w:hAnsi="仿宋" w:eastAsia="仿宋" w:cs="仿宋"/>
                <w:color w:val="auto"/>
                <w:sz w:val="24"/>
              </w:rPr>
            </w:pPr>
          </w:p>
        </w:tc>
        <w:tc>
          <w:tcPr>
            <w:tcW w:w="278" w:type="pct"/>
            <w:tcBorders>
              <w:top w:val="single" w:color="000000" w:sz="4" w:space="0"/>
              <w:left w:val="single" w:color="000000" w:sz="4" w:space="0"/>
              <w:bottom w:val="single" w:color="000000" w:sz="4" w:space="0"/>
              <w:right w:val="single" w:color="000000" w:sz="4" w:space="0"/>
            </w:tcBorders>
          </w:tcPr>
          <w:p w14:paraId="4398B209">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7CFF049A">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547797BD">
            <w:pPr>
              <w:jc w:val="center"/>
              <w:rPr>
                <w:rFonts w:hint="eastAsia" w:ascii="仿宋" w:hAnsi="仿宋" w:eastAsia="仿宋" w:cs="仿宋"/>
                <w:color w:val="auto"/>
                <w:sz w:val="24"/>
              </w:rPr>
            </w:pPr>
          </w:p>
        </w:tc>
        <w:tc>
          <w:tcPr>
            <w:tcW w:w="288" w:type="pct"/>
            <w:tcBorders>
              <w:top w:val="single" w:color="000000" w:sz="4" w:space="0"/>
              <w:left w:val="single" w:color="000000" w:sz="4" w:space="0"/>
              <w:bottom w:val="single" w:color="000000" w:sz="4" w:space="0"/>
              <w:right w:val="single" w:color="000000" w:sz="4" w:space="0"/>
            </w:tcBorders>
          </w:tcPr>
          <w:p w14:paraId="2EC4605F">
            <w:pPr>
              <w:jc w:val="center"/>
              <w:rPr>
                <w:rFonts w:hint="eastAsia" w:ascii="仿宋" w:hAnsi="仿宋" w:eastAsia="仿宋" w:cs="仿宋"/>
                <w:color w:val="auto"/>
                <w:sz w:val="24"/>
              </w:rPr>
            </w:pPr>
          </w:p>
        </w:tc>
        <w:tc>
          <w:tcPr>
            <w:tcW w:w="296" w:type="pct"/>
            <w:tcBorders>
              <w:top w:val="single" w:color="000000" w:sz="4" w:space="0"/>
              <w:left w:val="single" w:color="000000" w:sz="4" w:space="0"/>
              <w:bottom w:val="single" w:color="000000" w:sz="4" w:space="0"/>
              <w:right w:val="single" w:color="000000" w:sz="4" w:space="0"/>
            </w:tcBorders>
          </w:tcPr>
          <w:p w14:paraId="570DC189">
            <w:pPr>
              <w:jc w:val="center"/>
              <w:rPr>
                <w:rFonts w:hint="eastAsia" w:ascii="仿宋" w:hAnsi="仿宋" w:eastAsia="仿宋" w:cs="仿宋"/>
                <w:color w:val="auto"/>
                <w:sz w:val="24"/>
              </w:rPr>
            </w:pPr>
          </w:p>
        </w:tc>
      </w:tr>
      <w:tr w14:paraId="3C48AB0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49" w:hRule="atLeast"/>
        </w:trPr>
        <w:tc>
          <w:tcPr>
            <w:tcW w:w="386" w:type="pct"/>
            <w:tcBorders>
              <w:top w:val="single" w:color="000000" w:sz="4" w:space="0"/>
              <w:left w:val="single" w:color="000000" w:sz="4" w:space="0"/>
              <w:bottom w:val="single" w:color="000000" w:sz="4" w:space="0"/>
              <w:right w:val="single" w:color="000000" w:sz="4" w:space="0"/>
            </w:tcBorders>
            <w:noWrap/>
            <w:vAlign w:val="center"/>
          </w:tcPr>
          <w:p w14:paraId="13257147">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kern w:val="0"/>
                <w:sz w:val="22"/>
                <w:szCs w:val="22"/>
                <w:lang w:bidi="ar"/>
              </w:rPr>
              <w:t>8</w:t>
            </w:r>
          </w:p>
        </w:tc>
        <w:tc>
          <w:tcPr>
            <w:tcW w:w="1817" w:type="pct"/>
            <w:tcBorders>
              <w:top w:val="single" w:color="000000" w:sz="4" w:space="0"/>
              <w:left w:val="single" w:color="000000" w:sz="4" w:space="0"/>
              <w:bottom w:val="single" w:color="000000" w:sz="4" w:space="0"/>
              <w:right w:val="single" w:color="000000" w:sz="4" w:space="0"/>
            </w:tcBorders>
            <w:vAlign w:val="center"/>
          </w:tcPr>
          <w:p w14:paraId="24403FAA">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供应餐品份量评价</w:t>
            </w:r>
          </w:p>
        </w:tc>
        <w:tc>
          <w:tcPr>
            <w:tcW w:w="275" w:type="pct"/>
            <w:tcBorders>
              <w:top w:val="single" w:color="000000" w:sz="4" w:space="0"/>
              <w:left w:val="single" w:color="000000" w:sz="4" w:space="0"/>
              <w:bottom w:val="single" w:color="000000" w:sz="4" w:space="0"/>
              <w:right w:val="single" w:color="000000" w:sz="4" w:space="0"/>
            </w:tcBorders>
          </w:tcPr>
          <w:p w14:paraId="18504264">
            <w:pPr>
              <w:jc w:val="center"/>
              <w:rPr>
                <w:rFonts w:hint="eastAsia" w:ascii="仿宋" w:hAnsi="仿宋" w:eastAsia="仿宋" w:cs="仿宋"/>
                <w:color w:val="auto"/>
                <w:sz w:val="24"/>
              </w:rPr>
            </w:pPr>
          </w:p>
        </w:tc>
        <w:tc>
          <w:tcPr>
            <w:tcW w:w="275" w:type="pct"/>
            <w:tcBorders>
              <w:top w:val="single" w:color="000000" w:sz="4" w:space="0"/>
              <w:left w:val="single" w:color="000000" w:sz="4" w:space="0"/>
              <w:bottom w:val="single" w:color="000000" w:sz="4" w:space="0"/>
              <w:right w:val="single" w:color="000000" w:sz="4" w:space="0"/>
            </w:tcBorders>
          </w:tcPr>
          <w:p w14:paraId="6ADC2ED1">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602E2813">
            <w:pPr>
              <w:jc w:val="center"/>
              <w:rPr>
                <w:rFonts w:hint="eastAsia" w:ascii="仿宋" w:hAnsi="仿宋" w:eastAsia="仿宋" w:cs="仿宋"/>
                <w:color w:val="auto"/>
                <w:sz w:val="24"/>
              </w:rPr>
            </w:pPr>
          </w:p>
        </w:tc>
        <w:tc>
          <w:tcPr>
            <w:tcW w:w="274" w:type="pct"/>
            <w:tcBorders>
              <w:top w:val="single" w:color="000000" w:sz="4" w:space="0"/>
              <w:left w:val="single" w:color="000000" w:sz="4" w:space="0"/>
              <w:bottom w:val="single" w:color="000000" w:sz="4" w:space="0"/>
              <w:right w:val="single" w:color="000000" w:sz="4" w:space="0"/>
            </w:tcBorders>
          </w:tcPr>
          <w:p w14:paraId="1DE57F46">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34C0A05E">
            <w:pPr>
              <w:jc w:val="center"/>
              <w:rPr>
                <w:rFonts w:hint="eastAsia" w:ascii="仿宋" w:hAnsi="仿宋" w:eastAsia="仿宋" w:cs="仿宋"/>
                <w:color w:val="auto"/>
                <w:sz w:val="24"/>
              </w:rPr>
            </w:pPr>
          </w:p>
        </w:tc>
        <w:tc>
          <w:tcPr>
            <w:tcW w:w="278" w:type="pct"/>
            <w:tcBorders>
              <w:top w:val="single" w:color="000000" w:sz="4" w:space="0"/>
              <w:left w:val="single" w:color="000000" w:sz="4" w:space="0"/>
              <w:bottom w:val="single" w:color="000000" w:sz="4" w:space="0"/>
              <w:right w:val="single" w:color="000000" w:sz="4" w:space="0"/>
            </w:tcBorders>
          </w:tcPr>
          <w:p w14:paraId="07CDEBC2">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032F7E53">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0A04EA19">
            <w:pPr>
              <w:jc w:val="center"/>
              <w:rPr>
                <w:rFonts w:hint="eastAsia" w:ascii="仿宋" w:hAnsi="仿宋" w:eastAsia="仿宋" w:cs="仿宋"/>
                <w:color w:val="auto"/>
                <w:sz w:val="24"/>
              </w:rPr>
            </w:pPr>
          </w:p>
        </w:tc>
        <w:tc>
          <w:tcPr>
            <w:tcW w:w="288" w:type="pct"/>
            <w:tcBorders>
              <w:top w:val="single" w:color="000000" w:sz="4" w:space="0"/>
              <w:left w:val="single" w:color="000000" w:sz="4" w:space="0"/>
              <w:bottom w:val="single" w:color="000000" w:sz="4" w:space="0"/>
              <w:right w:val="single" w:color="000000" w:sz="4" w:space="0"/>
            </w:tcBorders>
          </w:tcPr>
          <w:p w14:paraId="56A71A5C">
            <w:pPr>
              <w:jc w:val="center"/>
              <w:rPr>
                <w:rFonts w:hint="eastAsia" w:ascii="仿宋" w:hAnsi="仿宋" w:eastAsia="仿宋" w:cs="仿宋"/>
                <w:color w:val="auto"/>
                <w:sz w:val="24"/>
              </w:rPr>
            </w:pPr>
          </w:p>
        </w:tc>
        <w:tc>
          <w:tcPr>
            <w:tcW w:w="296" w:type="pct"/>
            <w:tcBorders>
              <w:top w:val="single" w:color="000000" w:sz="4" w:space="0"/>
              <w:left w:val="single" w:color="000000" w:sz="4" w:space="0"/>
              <w:bottom w:val="single" w:color="000000" w:sz="4" w:space="0"/>
              <w:right w:val="single" w:color="000000" w:sz="4" w:space="0"/>
            </w:tcBorders>
          </w:tcPr>
          <w:p w14:paraId="677C9117">
            <w:pPr>
              <w:jc w:val="center"/>
              <w:rPr>
                <w:rFonts w:hint="eastAsia" w:ascii="仿宋" w:hAnsi="仿宋" w:eastAsia="仿宋" w:cs="仿宋"/>
                <w:color w:val="auto"/>
                <w:sz w:val="24"/>
              </w:rPr>
            </w:pPr>
          </w:p>
        </w:tc>
      </w:tr>
      <w:tr w14:paraId="3F7A16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49" w:hRule="atLeast"/>
        </w:trPr>
        <w:tc>
          <w:tcPr>
            <w:tcW w:w="386" w:type="pct"/>
            <w:tcBorders>
              <w:top w:val="single" w:color="000000" w:sz="4" w:space="0"/>
              <w:left w:val="single" w:color="000000" w:sz="4" w:space="0"/>
              <w:bottom w:val="single" w:color="000000" w:sz="4" w:space="0"/>
              <w:right w:val="single" w:color="000000" w:sz="4" w:space="0"/>
            </w:tcBorders>
            <w:noWrap/>
            <w:vAlign w:val="center"/>
          </w:tcPr>
          <w:p w14:paraId="301858CC">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kern w:val="0"/>
                <w:sz w:val="22"/>
                <w:szCs w:val="22"/>
                <w:lang w:bidi="ar"/>
              </w:rPr>
              <w:t>9</w:t>
            </w:r>
          </w:p>
        </w:tc>
        <w:tc>
          <w:tcPr>
            <w:tcW w:w="1817" w:type="pct"/>
            <w:tcBorders>
              <w:top w:val="single" w:color="000000" w:sz="4" w:space="0"/>
              <w:left w:val="single" w:color="000000" w:sz="4" w:space="0"/>
              <w:bottom w:val="single" w:color="000000" w:sz="4" w:space="0"/>
              <w:right w:val="single" w:color="000000" w:sz="4" w:space="0"/>
            </w:tcBorders>
            <w:vAlign w:val="center"/>
          </w:tcPr>
          <w:p w14:paraId="1FB1B57B">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餐品价格评价</w:t>
            </w:r>
          </w:p>
        </w:tc>
        <w:tc>
          <w:tcPr>
            <w:tcW w:w="275" w:type="pct"/>
            <w:tcBorders>
              <w:top w:val="single" w:color="000000" w:sz="4" w:space="0"/>
              <w:left w:val="single" w:color="000000" w:sz="4" w:space="0"/>
              <w:bottom w:val="single" w:color="000000" w:sz="4" w:space="0"/>
              <w:right w:val="single" w:color="000000" w:sz="4" w:space="0"/>
            </w:tcBorders>
          </w:tcPr>
          <w:p w14:paraId="50EB6CC4">
            <w:pPr>
              <w:jc w:val="center"/>
              <w:rPr>
                <w:rFonts w:hint="eastAsia" w:ascii="仿宋" w:hAnsi="仿宋" w:eastAsia="仿宋" w:cs="仿宋"/>
                <w:color w:val="auto"/>
                <w:sz w:val="24"/>
              </w:rPr>
            </w:pPr>
          </w:p>
        </w:tc>
        <w:tc>
          <w:tcPr>
            <w:tcW w:w="275" w:type="pct"/>
            <w:tcBorders>
              <w:top w:val="single" w:color="000000" w:sz="4" w:space="0"/>
              <w:left w:val="single" w:color="000000" w:sz="4" w:space="0"/>
              <w:bottom w:val="single" w:color="000000" w:sz="4" w:space="0"/>
              <w:right w:val="single" w:color="000000" w:sz="4" w:space="0"/>
            </w:tcBorders>
          </w:tcPr>
          <w:p w14:paraId="06B3E522">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28031E6D">
            <w:pPr>
              <w:jc w:val="center"/>
              <w:rPr>
                <w:rFonts w:hint="eastAsia" w:ascii="仿宋" w:hAnsi="仿宋" w:eastAsia="仿宋" w:cs="仿宋"/>
                <w:color w:val="auto"/>
                <w:sz w:val="24"/>
              </w:rPr>
            </w:pPr>
          </w:p>
        </w:tc>
        <w:tc>
          <w:tcPr>
            <w:tcW w:w="274" w:type="pct"/>
            <w:tcBorders>
              <w:top w:val="single" w:color="000000" w:sz="4" w:space="0"/>
              <w:left w:val="single" w:color="000000" w:sz="4" w:space="0"/>
              <w:bottom w:val="single" w:color="000000" w:sz="4" w:space="0"/>
              <w:right w:val="single" w:color="000000" w:sz="4" w:space="0"/>
            </w:tcBorders>
          </w:tcPr>
          <w:p w14:paraId="3C6A0D90">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451F2B38">
            <w:pPr>
              <w:jc w:val="center"/>
              <w:rPr>
                <w:rFonts w:hint="eastAsia" w:ascii="仿宋" w:hAnsi="仿宋" w:eastAsia="仿宋" w:cs="仿宋"/>
                <w:color w:val="auto"/>
                <w:sz w:val="24"/>
              </w:rPr>
            </w:pPr>
          </w:p>
        </w:tc>
        <w:tc>
          <w:tcPr>
            <w:tcW w:w="278" w:type="pct"/>
            <w:tcBorders>
              <w:top w:val="single" w:color="000000" w:sz="4" w:space="0"/>
              <w:left w:val="single" w:color="000000" w:sz="4" w:space="0"/>
              <w:bottom w:val="single" w:color="000000" w:sz="4" w:space="0"/>
              <w:right w:val="single" w:color="000000" w:sz="4" w:space="0"/>
            </w:tcBorders>
          </w:tcPr>
          <w:p w14:paraId="61671518">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668E4C0A">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35444A0A">
            <w:pPr>
              <w:jc w:val="center"/>
              <w:rPr>
                <w:rFonts w:hint="eastAsia" w:ascii="仿宋" w:hAnsi="仿宋" w:eastAsia="仿宋" w:cs="仿宋"/>
                <w:color w:val="auto"/>
                <w:sz w:val="24"/>
              </w:rPr>
            </w:pPr>
          </w:p>
        </w:tc>
        <w:tc>
          <w:tcPr>
            <w:tcW w:w="288" w:type="pct"/>
            <w:tcBorders>
              <w:top w:val="single" w:color="000000" w:sz="4" w:space="0"/>
              <w:left w:val="single" w:color="000000" w:sz="4" w:space="0"/>
              <w:bottom w:val="single" w:color="000000" w:sz="4" w:space="0"/>
              <w:right w:val="single" w:color="000000" w:sz="4" w:space="0"/>
            </w:tcBorders>
          </w:tcPr>
          <w:p w14:paraId="2EC0925E">
            <w:pPr>
              <w:jc w:val="center"/>
              <w:rPr>
                <w:rFonts w:hint="eastAsia" w:ascii="仿宋" w:hAnsi="仿宋" w:eastAsia="仿宋" w:cs="仿宋"/>
                <w:color w:val="auto"/>
                <w:sz w:val="24"/>
              </w:rPr>
            </w:pPr>
          </w:p>
        </w:tc>
        <w:tc>
          <w:tcPr>
            <w:tcW w:w="296" w:type="pct"/>
            <w:tcBorders>
              <w:top w:val="single" w:color="000000" w:sz="4" w:space="0"/>
              <w:left w:val="single" w:color="000000" w:sz="4" w:space="0"/>
              <w:bottom w:val="single" w:color="000000" w:sz="4" w:space="0"/>
              <w:right w:val="single" w:color="000000" w:sz="4" w:space="0"/>
            </w:tcBorders>
          </w:tcPr>
          <w:p w14:paraId="61A634AC">
            <w:pPr>
              <w:jc w:val="center"/>
              <w:rPr>
                <w:rFonts w:hint="eastAsia" w:ascii="仿宋" w:hAnsi="仿宋" w:eastAsia="仿宋" w:cs="仿宋"/>
                <w:color w:val="auto"/>
                <w:sz w:val="24"/>
              </w:rPr>
            </w:pPr>
          </w:p>
        </w:tc>
      </w:tr>
      <w:tr w14:paraId="7E4B1F6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49" w:hRule="atLeast"/>
        </w:trPr>
        <w:tc>
          <w:tcPr>
            <w:tcW w:w="386" w:type="pct"/>
            <w:tcBorders>
              <w:top w:val="single" w:color="000000" w:sz="4" w:space="0"/>
              <w:left w:val="single" w:color="000000" w:sz="4" w:space="0"/>
              <w:bottom w:val="single" w:color="000000" w:sz="4" w:space="0"/>
              <w:right w:val="single" w:color="000000" w:sz="4" w:space="0"/>
            </w:tcBorders>
            <w:noWrap/>
            <w:vAlign w:val="center"/>
          </w:tcPr>
          <w:p w14:paraId="3577AD4E">
            <w:pPr>
              <w:widowControl/>
              <w:jc w:val="center"/>
              <w:textAlignment w:val="center"/>
              <w:rPr>
                <w:rFonts w:hint="eastAsia" w:ascii="宋体" w:hAnsi="宋体" w:eastAsia="宋体" w:cs="宋体"/>
                <w:color w:val="auto"/>
                <w:sz w:val="22"/>
                <w:szCs w:val="22"/>
              </w:rPr>
            </w:pPr>
            <w:r>
              <w:rPr>
                <w:rFonts w:hint="eastAsia" w:ascii="宋体" w:hAnsi="宋体" w:eastAsia="宋体" w:cs="宋体"/>
                <w:color w:val="auto"/>
                <w:kern w:val="0"/>
                <w:sz w:val="22"/>
                <w:szCs w:val="22"/>
                <w:lang w:bidi="ar"/>
              </w:rPr>
              <w:t>10</w:t>
            </w:r>
          </w:p>
        </w:tc>
        <w:tc>
          <w:tcPr>
            <w:tcW w:w="1817" w:type="pct"/>
            <w:tcBorders>
              <w:top w:val="single" w:color="000000" w:sz="4" w:space="0"/>
              <w:left w:val="single" w:color="000000" w:sz="4" w:space="0"/>
              <w:bottom w:val="single" w:color="000000" w:sz="4" w:space="0"/>
              <w:right w:val="single" w:color="000000" w:sz="4" w:space="0"/>
            </w:tcBorders>
            <w:vAlign w:val="center"/>
          </w:tcPr>
          <w:p w14:paraId="0A335CC4">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投诉处理反应及时性的评价</w:t>
            </w:r>
          </w:p>
        </w:tc>
        <w:tc>
          <w:tcPr>
            <w:tcW w:w="275" w:type="pct"/>
            <w:tcBorders>
              <w:top w:val="single" w:color="000000" w:sz="4" w:space="0"/>
              <w:left w:val="single" w:color="000000" w:sz="4" w:space="0"/>
              <w:bottom w:val="single" w:color="000000" w:sz="4" w:space="0"/>
              <w:right w:val="single" w:color="000000" w:sz="4" w:space="0"/>
            </w:tcBorders>
          </w:tcPr>
          <w:p w14:paraId="3A40CC13">
            <w:pPr>
              <w:jc w:val="center"/>
              <w:rPr>
                <w:rFonts w:hint="eastAsia" w:ascii="仿宋" w:hAnsi="仿宋" w:eastAsia="仿宋" w:cs="仿宋"/>
                <w:color w:val="auto"/>
                <w:sz w:val="24"/>
              </w:rPr>
            </w:pPr>
          </w:p>
        </w:tc>
        <w:tc>
          <w:tcPr>
            <w:tcW w:w="275" w:type="pct"/>
            <w:tcBorders>
              <w:top w:val="single" w:color="000000" w:sz="4" w:space="0"/>
              <w:left w:val="single" w:color="000000" w:sz="4" w:space="0"/>
              <w:bottom w:val="single" w:color="000000" w:sz="4" w:space="0"/>
              <w:right w:val="single" w:color="000000" w:sz="4" w:space="0"/>
            </w:tcBorders>
          </w:tcPr>
          <w:p w14:paraId="072E7A45">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1464DD07">
            <w:pPr>
              <w:jc w:val="center"/>
              <w:rPr>
                <w:rFonts w:hint="eastAsia" w:ascii="仿宋" w:hAnsi="仿宋" w:eastAsia="仿宋" w:cs="仿宋"/>
                <w:color w:val="auto"/>
                <w:sz w:val="24"/>
              </w:rPr>
            </w:pPr>
          </w:p>
        </w:tc>
        <w:tc>
          <w:tcPr>
            <w:tcW w:w="274" w:type="pct"/>
            <w:tcBorders>
              <w:top w:val="single" w:color="000000" w:sz="4" w:space="0"/>
              <w:left w:val="single" w:color="000000" w:sz="4" w:space="0"/>
              <w:bottom w:val="single" w:color="000000" w:sz="4" w:space="0"/>
              <w:right w:val="single" w:color="000000" w:sz="4" w:space="0"/>
            </w:tcBorders>
          </w:tcPr>
          <w:p w14:paraId="552D7327">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09D563D9">
            <w:pPr>
              <w:jc w:val="center"/>
              <w:rPr>
                <w:rFonts w:hint="eastAsia" w:ascii="仿宋" w:hAnsi="仿宋" w:eastAsia="仿宋" w:cs="仿宋"/>
                <w:color w:val="auto"/>
                <w:sz w:val="24"/>
              </w:rPr>
            </w:pPr>
          </w:p>
        </w:tc>
        <w:tc>
          <w:tcPr>
            <w:tcW w:w="278" w:type="pct"/>
            <w:tcBorders>
              <w:top w:val="single" w:color="000000" w:sz="4" w:space="0"/>
              <w:left w:val="single" w:color="000000" w:sz="4" w:space="0"/>
              <w:bottom w:val="single" w:color="000000" w:sz="4" w:space="0"/>
              <w:right w:val="single" w:color="000000" w:sz="4" w:space="0"/>
            </w:tcBorders>
          </w:tcPr>
          <w:p w14:paraId="497AA6C9">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7F8BCC17">
            <w:pPr>
              <w:jc w:val="center"/>
              <w:rPr>
                <w:rFonts w:hint="eastAsia" w:ascii="仿宋" w:hAnsi="仿宋" w:eastAsia="仿宋" w:cs="仿宋"/>
                <w:color w:val="auto"/>
                <w:sz w:val="24"/>
              </w:rPr>
            </w:pPr>
          </w:p>
        </w:tc>
        <w:tc>
          <w:tcPr>
            <w:tcW w:w="277" w:type="pct"/>
            <w:tcBorders>
              <w:top w:val="single" w:color="000000" w:sz="4" w:space="0"/>
              <w:left w:val="single" w:color="000000" w:sz="4" w:space="0"/>
              <w:bottom w:val="single" w:color="000000" w:sz="4" w:space="0"/>
              <w:right w:val="single" w:color="000000" w:sz="4" w:space="0"/>
            </w:tcBorders>
          </w:tcPr>
          <w:p w14:paraId="1B66EB78">
            <w:pPr>
              <w:jc w:val="center"/>
              <w:rPr>
                <w:rFonts w:hint="eastAsia" w:ascii="仿宋" w:hAnsi="仿宋" w:eastAsia="仿宋" w:cs="仿宋"/>
                <w:color w:val="auto"/>
                <w:sz w:val="24"/>
              </w:rPr>
            </w:pPr>
          </w:p>
        </w:tc>
        <w:tc>
          <w:tcPr>
            <w:tcW w:w="288" w:type="pct"/>
            <w:tcBorders>
              <w:top w:val="single" w:color="000000" w:sz="4" w:space="0"/>
              <w:left w:val="single" w:color="000000" w:sz="4" w:space="0"/>
              <w:bottom w:val="single" w:color="000000" w:sz="4" w:space="0"/>
              <w:right w:val="single" w:color="000000" w:sz="4" w:space="0"/>
            </w:tcBorders>
          </w:tcPr>
          <w:p w14:paraId="22F90F71">
            <w:pPr>
              <w:jc w:val="center"/>
              <w:rPr>
                <w:rFonts w:hint="eastAsia" w:ascii="仿宋" w:hAnsi="仿宋" w:eastAsia="仿宋" w:cs="仿宋"/>
                <w:color w:val="auto"/>
                <w:sz w:val="24"/>
              </w:rPr>
            </w:pPr>
          </w:p>
        </w:tc>
        <w:tc>
          <w:tcPr>
            <w:tcW w:w="296" w:type="pct"/>
            <w:tcBorders>
              <w:top w:val="single" w:color="000000" w:sz="4" w:space="0"/>
              <w:left w:val="single" w:color="000000" w:sz="4" w:space="0"/>
              <w:bottom w:val="single" w:color="000000" w:sz="4" w:space="0"/>
              <w:right w:val="single" w:color="000000" w:sz="4" w:space="0"/>
            </w:tcBorders>
          </w:tcPr>
          <w:p w14:paraId="77988D4D">
            <w:pPr>
              <w:jc w:val="center"/>
              <w:rPr>
                <w:rFonts w:hint="eastAsia" w:ascii="仿宋" w:hAnsi="仿宋" w:eastAsia="仿宋" w:cs="仿宋"/>
                <w:color w:val="auto"/>
                <w:sz w:val="24"/>
              </w:rPr>
            </w:pPr>
          </w:p>
        </w:tc>
      </w:tr>
      <w:tr w14:paraId="5D029ED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50" w:hRule="atLeast"/>
        </w:trPr>
        <w:tc>
          <w:tcPr>
            <w:tcW w:w="5000" w:type="pct"/>
            <w:gridSpan w:val="12"/>
            <w:vMerge w:val="restart"/>
            <w:tcBorders>
              <w:top w:val="single" w:color="000000" w:sz="4" w:space="0"/>
              <w:left w:val="single" w:color="000000" w:sz="4" w:space="0"/>
              <w:bottom w:val="single" w:color="000000" w:sz="4" w:space="0"/>
              <w:right w:val="single" w:color="000000" w:sz="4" w:space="0"/>
            </w:tcBorders>
          </w:tcPr>
          <w:p w14:paraId="123A1216">
            <w:pPr>
              <w:widowControl/>
              <w:jc w:val="left"/>
              <w:textAlignment w:val="top"/>
              <w:rPr>
                <w:rFonts w:hint="eastAsia" w:ascii="仿宋" w:hAnsi="仿宋" w:eastAsia="仿宋" w:cs="仿宋"/>
                <w:color w:val="auto"/>
                <w:sz w:val="24"/>
              </w:rPr>
            </w:pPr>
            <w:r>
              <w:rPr>
                <w:rFonts w:hint="eastAsia" w:ascii="仿宋" w:hAnsi="仿宋" w:eastAsia="仿宋" w:cs="仿宋"/>
                <w:color w:val="auto"/>
                <w:kern w:val="0"/>
                <w:sz w:val="24"/>
                <w:lang w:bidi="ar"/>
              </w:rPr>
              <w:t>您的建议：</w:t>
            </w:r>
          </w:p>
        </w:tc>
      </w:tr>
      <w:tr w14:paraId="2C5F1EC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157" w:hRule="atLeast"/>
        </w:trPr>
        <w:tc>
          <w:tcPr>
            <w:tcW w:w="5000" w:type="pct"/>
            <w:gridSpan w:val="12"/>
            <w:vMerge w:val="continue"/>
            <w:tcBorders>
              <w:top w:val="single" w:color="000000" w:sz="4" w:space="0"/>
              <w:left w:val="single" w:color="000000" w:sz="4" w:space="0"/>
              <w:bottom w:val="single" w:color="000000" w:sz="4" w:space="0"/>
              <w:right w:val="single" w:color="000000" w:sz="4" w:space="0"/>
            </w:tcBorders>
          </w:tcPr>
          <w:p w14:paraId="53F5CE45">
            <w:pPr>
              <w:jc w:val="left"/>
              <w:rPr>
                <w:rFonts w:hint="eastAsia" w:ascii="仿宋" w:hAnsi="仿宋" w:eastAsia="仿宋" w:cs="仿宋"/>
                <w:color w:val="auto"/>
                <w:sz w:val="24"/>
              </w:rPr>
            </w:pPr>
          </w:p>
        </w:tc>
      </w:tr>
    </w:tbl>
    <w:p w14:paraId="2AC739A7">
      <w:pPr>
        <w:widowControl/>
        <w:spacing w:line="360" w:lineRule="auto"/>
        <w:jc w:val="center"/>
        <w:rPr>
          <w:rFonts w:hint="eastAsia" w:ascii="宋体" w:hAnsi="宋体" w:eastAsia="宋体" w:cs="仿宋"/>
          <w:color w:val="auto"/>
          <w:sz w:val="28"/>
          <w:szCs w:val="28"/>
        </w:rPr>
      </w:pPr>
    </w:p>
    <w:p w14:paraId="7E325B3D">
      <w:pPr>
        <w:widowControl/>
        <w:spacing w:line="360" w:lineRule="auto"/>
        <w:rPr>
          <w:rFonts w:hint="eastAsia" w:ascii="仿宋" w:hAnsi="仿宋" w:eastAsia="仿宋" w:cs="仿宋"/>
          <w:color w:val="auto"/>
          <w:sz w:val="24"/>
        </w:rPr>
      </w:pPr>
    </w:p>
    <w:p w14:paraId="0962C53B">
      <w:pPr>
        <w:widowControl/>
        <w:spacing w:line="360" w:lineRule="auto"/>
        <w:rPr>
          <w:rFonts w:hint="eastAsia" w:ascii="仿宋" w:hAnsi="仿宋" w:eastAsia="仿宋" w:cs="仿宋"/>
          <w:color w:val="auto"/>
          <w:sz w:val="24"/>
        </w:rPr>
      </w:pPr>
    </w:p>
    <w:p w14:paraId="7B625925">
      <w:pPr>
        <w:pStyle w:val="2"/>
        <w:widowControl/>
        <w:spacing w:beforeAutospacing="0" w:afterAutospacing="0" w:line="360" w:lineRule="auto"/>
        <w:rPr>
          <w:rFonts w:ascii="仿宋" w:hAnsi="仿宋" w:eastAsia="仿宋" w:cs="仿宋"/>
          <w:color w:val="auto"/>
          <w:sz w:val="24"/>
          <w:szCs w:val="24"/>
        </w:rPr>
      </w:pPr>
      <w:r>
        <w:rPr>
          <w:rFonts w:ascii="仿宋" w:hAnsi="仿宋" w:eastAsia="仿宋" w:cs="仿宋"/>
          <w:color w:val="auto"/>
          <w:sz w:val="24"/>
          <w:szCs w:val="24"/>
        </w:rPr>
        <w:t>附件3</w:t>
      </w:r>
    </w:p>
    <w:p w14:paraId="4C6EF6EC">
      <w:pPr>
        <w:widowControl/>
        <w:spacing w:line="360" w:lineRule="auto"/>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智能化餐饮系统功能需求</w:t>
      </w:r>
    </w:p>
    <w:p w14:paraId="776AA21A">
      <w:pPr>
        <w:widowControl/>
        <w:numPr>
          <w:ilvl w:val="255"/>
          <w:numId w:val="0"/>
        </w:numPr>
        <w:spacing w:line="360" w:lineRule="auto"/>
        <w:ind w:firstLine="482" w:firstLineChars="200"/>
        <w:jc w:val="left"/>
        <w:outlineLvl w:val="1"/>
        <w:rPr>
          <w:rFonts w:hint="eastAsia" w:ascii="仿宋" w:hAnsi="仿宋" w:eastAsia="仿宋" w:cs="仿宋"/>
          <w:b/>
          <w:bCs/>
          <w:color w:val="auto"/>
          <w:sz w:val="24"/>
        </w:rPr>
      </w:pPr>
      <w:r>
        <w:rPr>
          <w:rFonts w:hint="eastAsia" w:ascii="仿宋" w:hAnsi="仿宋" w:eastAsia="仿宋" w:cs="仿宋"/>
          <w:b/>
          <w:bCs/>
          <w:color w:val="auto"/>
          <w:sz w:val="24"/>
        </w:rPr>
        <w:t>一、系统信息管理要求</w:t>
      </w:r>
    </w:p>
    <w:p w14:paraId="141FB7B5">
      <w:pPr>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1. 收银员信息管理：支持医院餐饮收银员工号、姓名、登录密码、联系电话等基础信息的新增、编辑、查询、删除操作，权限划分清晰，可追溯操作记录，确保收银岗位管理规范、可管控。</w:t>
      </w:r>
    </w:p>
    <w:p w14:paraId="4EA7FB31">
      <w:pPr>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2. 订餐人员信息管理：支持订餐人姓名、联系电话、发卡日期、失效日期等信息的全流程管理，可查询职工余额及消费记录，适配医院职工福利管理需求。</w:t>
      </w:r>
    </w:p>
    <w:p w14:paraId="64DA95F5">
      <w:pPr>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3. 商品信息管理：支持医院食堂及线上商城内商品条码、名称、单价、会员价、库存等信息的新增、编辑、查询、调整，具备库存预警、补货提醒功能，可设置预警阈值，避免商品缺货或积压，保障医院餐饮及便民服务有序开展。</w:t>
      </w:r>
    </w:p>
    <w:p w14:paraId="121F4F99">
      <w:pPr>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4. 销售信息管理：自动记录医院餐饮及商城内商品销售全部明细，包括商品条码、名称、数量、单价、售出时间、经手人等核心信息，支持按时间、商品类型、经手人等多维度查询、统计，便于医院进行账务核对、成本管控及绩效考核。</w:t>
      </w:r>
    </w:p>
    <w:p w14:paraId="0429428E">
      <w:pPr>
        <w:widowControl/>
        <w:numPr>
          <w:ilvl w:val="255"/>
          <w:numId w:val="0"/>
        </w:numPr>
        <w:spacing w:line="360" w:lineRule="auto"/>
        <w:ind w:firstLine="482" w:firstLineChars="200"/>
        <w:jc w:val="left"/>
        <w:outlineLvl w:val="1"/>
        <w:rPr>
          <w:rFonts w:hint="eastAsia" w:ascii="仿宋" w:hAnsi="仿宋" w:eastAsia="仿宋" w:cs="仿宋"/>
          <w:b/>
          <w:bCs/>
          <w:color w:val="auto"/>
          <w:sz w:val="24"/>
        </w:rPr>
      </w:pPr>
      <w:r>
        <w:rPr>
          <w:rFonts w:hint="eastAsia" w:ascii="仿宋" w:hAnsi="仿宋" w:eastAsia="仿宋" w:cs="仿宋"/>
          <w:b/>
          <w:bCs/>
          <w:color w:val="auto"/>
          <w:sz w:val="24"/>
        </w:rPr>
        <w:t>二、核心功能模块</w:t>
      </w:r>
    </w:p>
    <w:p w14:paraId="2A5E578C">
      <w:pPr>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1. 订餐管理功能：支持医院职工、就诊病人及陪护人员线上订餐，订餐截止时间、餐品配送时间可由医院根据就诊患者就餐规律、职工作息灵活配置、实时调整；订单从提交、确认、配送到核销的全流程可追溯，留存完整操作记录及数据，便于医院核查管理，保障患者及职工就餐便捷、可追溯。</w:t>
      </w:r>
    </w:p>
    <w:p w14:paraId="48F8D92A">
      <w:pPr>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2. 充值消费功能：支持餐卡刷卡、手机扫码支付等多种便捷支付方式，适配医院患者、职工等不同人群使用需求；支持智能补贴配置功能，可精准区分职工餐补余额与通用消费余额；所有交易明细实时记录、可随时查询，确保消费数据透明、可追溯，便于医院进行账务核对与管理。</w:t>
      </w:r>
    </w:p>
    <w:p w14:paraId="1418DC13">
      <w:pPr>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 xml:space="preserve">3. </w:t>
      </w:r>
      <w:r>
        <w:rPr>
          <w:rFonts w:hint="eastAsia" w:ascii="仿宋" w:hAnsi="仿宋" w:eastAsia="仿宋" w:cs="仿宋"/>
          <w:color w:val="auto"/>
          <w:sz w:val="24"/>
          <w:lang w:val="en-US" w:eastAsia="zh-CN"/>
        </w:rPr>
        <w:t>一卡通用</w:t>
      </w:r>
      <w:r>
        <w:rPr>
          <w:rFonts w:hint="eastAsia" w:ascii="仿宋" w:hAnsi="仿宋" w:eastAsia="仿宋" w:cs="仿宋"/>
          <w:color w:val="auto"/>
          <w:sz w:val="24"/>
        </w:rPr>
        <w:t>功能：支持院内及周边合作商户入驻，商户独立结算后台，T+1自动分账，集成院内消费、门禁管控等多项应用场景，实现一卡通行通用，构建「智慧食堂+便利生活」一体化消费生态；</w:t>
      </w:r>
    </w:p>
    <w:p w14:paraId="36D9051D">
      <w:pPr>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4. 就餐统计功能：系统可自动统计每日、每月医院职工、患者及陪护人员就餐人数、订餐量、消费金额等核心数据，支持多维度（如时段、餐品类型、消费人群、科室等）数据统计分析，并生成可视化报表，报表支持导出、打印，为医院优化餐饮运营方案、管控餐饮成本、制定服务决策提供精准、可靠的数据支撑。</w:t>
      </w:r>
    </w:p>
    <w:p w14:paraId="6E227959">
      <w:pPr>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5. 线上商城功能：整合医院食堂特色餐品、半成品食材等各类商品，搭建线上商城模块；支持医院职工、患者及陪护人员线上下单，可选择线下自提或配送到医院指定地点，适配医院特殊场景需求；具备商品分类、搜索、收藏、评价等功能，可灵活设置满减、折扣等优惠活动，支持关联餐卡余额支付，实现订餐与购物一体化衔接，进一步提升用户消费便捷度与体验感。</w:t>
      </w:r>
    </w:p>
    <w:p w14:paraId="171222AE">
      <w:pPr>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6. 服务管理与权限管控功能：具备完善的医院餐饮服务品质管理及流程岗位配置功能，可根据医院餐饮运营流程，灵活设置各岗位（如收银、配餐、管理）操作权限、工作流程及服务标准，实现服务规范化、管理精细化；医院拥有系统最高管理权限，可随时查询系统内所有数据信息，包括但不限于订单数据、消费数据、补贴数据、商户数据等，确保管理主动权。</w:t>
      </w:r>
    </w:p>
    <w:p w14:paraId="45E1A097">
      <w:pPr>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7. 营养查询功能：系统内每款餐品须详细展示其营养成分信息，包括但不限于热量、蛋白质、碳水化合物、脂肪、维生素、矿物质等核心指标；结合医院患者康复饮食需求、职工健康饮食理念，为不同适用人群（如糖尿病患者、术后患者、老年人、健身职工等）提供个性化营养建议，贴合健康饮食需求，助力医院健康服务延伸。</w:t>
      </w:r>
    </w:p>
    <w:p w14:paraId="2D34280B">
      <w:pPr>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8.其他配套功能</w:t>
      </w:r>
    </w:p>
    <w:p w14:paraId="6EEE0AF6">
      <w:pPr>
        <w:widowControl/>
        <w:numPr>
          <w:ilvl w:val="255"/>
          <w:numId w:val="0"/>
        </w:numPr>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rPr>
        <w:t>根据医院后续餐饮运营及服务升级需求，灵活新增、优化系统功能模块，无需额外向医院收取任何费用；提供7×24小时技术支持服务，及时响应系统使用过程中的各类问题，确保问题快速解决，保障医院餐饮服务及消费系统正常运行，不影响患者及职工正常就餐、消费。</w:t>
      </w:r>
    </w:p>
    <w:p w14:paraId="5CD7E330">
      <w:pPr>
        <w:widowControl/>
        <w:numPr>
          <w:ilvl w:val="255"/>
          <w:numId w:val="0"/>
        </w:numPr>
        <w:spacing w:line="360" w:lineRule="auto"/>
        <w:ind w:firstLine="482" w:firstLineChars="200"/>
        <w:jc w:val="left"/>
        <w:outlineLvl w:val="1"/>
        <w:rPr>
          <w:rFonts w:hint="eastAsia" w:ascii="仿宋" w:hAnsi="仿宋" w:eastAsia="仿宋" w:cs="仿宋"/>
          <w:b/>
          <w:bCs/>
          <w:color w:val="auto"/>
          <w:sz w:val="24"/>
        </w:rPr>
      </w:pPr>
      <w:r>
        <w:rPr>
          <w:rFonts w:hint="eastAsia" w:ascii="仿宋" w:hAnsi="仿宋" w:eastAsia="仿宋" w:cs="仿宋"/>
          <w:b/>
          <w:bCs/>
          <w:color w:val="auto"/>
          <w:sz w:val="24"/>
        </w:rPr>
        <w:t>三、安全要求</w:t>
      </w:r>
    </w:p>
    <w:p w14:paraId="77B5D511">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系统须具备完善的安全防护体系，支持用户身份认证（如账号密码、权限校验），用户密码采用加密存储方式，防止密码泄露；严格设置不同岗位用户的访问权限、数据操作级别，实现权限分级管控，杜绝越权操作；保障系统数据（包括用户信息、消费数据、订单数据、商品数据等）安全，防止数据泄露、篡改、丢失，符合医院信息安全管理相关规定，保障患者及职工个人信息安全。</w:t>
      </w:r>
    </w:p>
    <w:p w14:paraId="010702A2">
      <w:pPr>
        <w:rPr>
          <w:rFonts w:hint="eastAsia" w:ascii="仿宋" w:hAnsi="仿宋" w:eastAsia="仿宋" w:cs="仿宋"/>
          <w:b/>
          <w:color w:val="auto"/>
          <w:kern w:val="0"/>
          <w:sz w:val="24"/>
        </w:rPr>
      </w:pPr>
      <w:bookmarkStart w:id="12" w:name="OLE_LINK11"/>
      <w:r>
        <w:rPr>
          <w:rFonts w:ascii="仿宋" w:hAnsi="仿宋" w:eastAsia="仿宋" w:cs="仿宋"/>
          <w:b/>
          <w:color w:val="auto"/>
          <w:kern w:val="0"/>
          <w:sz w:val="24"/>
        </w:rPr>
        <w:br w:type="page"/>
      </w:r>
    </w:p>
    <w:p w14:paraId="1C0AEF2D">
      <w:pPr>
        <w:spacing w:line="360" w:lineRule="auto"/>
        <w:outlineLvl w:val="0"/>
        <w:rPr>
          <w:rFonts w:hint="eastAsia" w:ascii="华文中宋" w:hAnsi="华文中宋" w:eastAsia="华文中宋" w:cs="华文中宋"/>
          <w:b/>
          <w:bCs/>
          <w:color w:val="auto"/>
          <w:sz w:val="32"/>
          <w:szCs w:val="32"/>
        </w:rPr>
      </w:pPr>
      <w:r>
        <w:rPr>
          <w:rFonts w:ascii="仿宋" w:hAnsi="仿宋" w:eastAsia="仿宋" w:cs="仿宋"/>
          <w:b/>
          <w:color w:val="auto"/>
          <w:kern w:val="0"/>
          <w:sz w:val="24"/>
        </w:rPr>
        <w:t>附件</w:t>
      </w:r>
      <w:r>
        <w:rPr>
          <w:rFonts w:hint="eastAsia" w:ascii="仿宋" w:hAnsi="仿宋" w:eastAsia="仿宋" w:cs="仿宋"/>
          <w:b/>
          <w:color w:val="auto"/>
          <w:kern w:val="0"/>
          <w:sz w:val="24"/>
        </w:rPr>
        <w:t>4</w:t>
      </w:r>
    </w:p>
    <w:p w14:paraId="4E54A43D">
      <w:pPr>
        <w:adjustRightInd w:val="0"/>
        <w:snapToGrid w:val="0"/>
        <w:spacing w:before="100" w:after="100" w:line="360" w:lineRule="auto"/>
        <w:jc w:val="center"/>
        <w:rPr>
          <w:rFonts w:hint="eastAsia" w:ascii="华文中宋" w:hAnsi="华文中宋" w:eastAsia="华文中宋" w:cs="华文中宋"/>
          <w:b/>
          <w:bCs/>
          <w:color w:val="auto"/>
          <w:sz w:val="32"/>
          <w:szCs w:val="32"/>
        </w:rPr>
      </w:pPr>
      <w:r>
        <w:rPr>
          <w:rFonts w:hint="eastAsia" w:ascii="华文中宋" w:hAnsi="华文中宋" w:eastAsia="华文中宋" w:cs="华文中宋"/>
          <w:b/>
          <w:bCs/>
          <w:color w:val="auto"/>
          <w:sz w:val="32"/>
          <w:szCs w:val="32"/>
        </w:rPr>
        <w:t>广州医科大学附属中医医院食堂餐饮服务货物</w:t>
      </w:r>
      <w:r>
        <w:rPr>
          <w:rFonts w:hint="eastAsia" w:ascii="华文中宋" w:hAnsi="华文中宋" w:eastAsia="华文中宋" w:cs="华文中宋"/>
          <w:b/>
          <w:bCs/>
          <w:color w:val="auto"/>
          <w:sz w:val="32"/>
          <w:szCs w:val="32"/>
        </w:rPr>
        <w:br w:type="textWrapping"/>
      </w:r>
      <w:r>
        <w:rPr>
          <w:rFonts w:hint="eastAsia" w:ascii="华文中宋" w:hAnsi="华文中宋" w:eastAsia="华文中宋" w:cs="华文中宋"/>
          <w:b/>
          <w:bCs/>
          <w:color w:val="auto"/>
          <w:sz w:val="32"/>
          <w:szCs w:val="32"/>
        </w:rPr>
        <w:t>抽检标准（参考）</w:t>
      </w:r>
    </w:p>
    <w:bookmarkEnd w:id="12"/>
    <w:p w14:paraId="5C76D2F0">
      <w:pPr>
        <w:widowControl/>
        <w:spacing w:line="360" w:lineRule="auto"/>
        <w:ind w:firstLine="482" w:firstLineChars="200"/>
        <w:jc w:val="left"/>
        <w:outlineLvl w:val="1"/>
        <w:rPr>
          <w:rFonts w:hint="eastAsia" w:ascii="仿宋" w:hAnsi="仿宋" w:eastAsia="仿宋" w:cs="仿宋"/>
          <w:b/>
          <w:bCs/>
          <w:color w:val="auto"/>
          <w:sz w:val="24"/>
          <w:lang w:bidi="ar"/>
        </w:rPr>
      </w:pPr>
      <w:r>
        <w:rPr>
          <w:rFonts w:ascii="仿宋" w:hAnsi="仿宋" w:eastAsia="仿宋" w:cs="仿宋"/>
          <w:b/>
          <w:bCs/>
          <w:color w:val="auto"/>
          <w:sz w:val="24"/>
          <w:lang w:bidi="ar"/>
        </w:rPr>
        <w:t>一、农副食品、动植物油制品质量要求</w:t>
      </w:r>
    </w:p>
    <w:p w14:paraId="04726694">
      <w:pPr>
        <w:widowControl/>
        <w:spacing w:line="360" w:lineRule="auto"/>
        <w:ind w:firstLine="482" w:firstLineChars="200"/>
        <w:rPr>
          <w:rFonts w:hint="eastAsia" w:ascii="仿宋" w:hAnsi="仿宋" w:eastAsia="仿宋" w:cs="仿宋"/>
          <w:b/>
          <w:bCs/>
          <w:color w:val="auto"/>
          <w:sz w:val="24"/>
          <w:lang w:bidi="ar"/>
        </w:rPr>
      </w:pPr>
      <w:r>
        <w:rPr>
          <w:rFonts w:ascii="仿宋" w:hAnsi="仿宋" w:eastAsia="仿宋" w:cs="仿宋"/>
          <w:b/>
          <w:bCs/>
          <w:color w:val="auto"/>
          <w:sz w:val="24"/>
          <w:lang w:bidi="ar"/>
        </w:rPr>
        <w:t>（一）瓜果、蔬菜类</w:t>
      </w:r>
    </w:p>
    <w:p w14:paraId="693D8DA1">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1.供应产品质量要求：瓜果、蔬菜应为优质货品，不得含有残留农药或污染物。</w:t>
      </w:r>
      <w:r>
        <w:rPr>
          <w:rFonts w:hint="eastAsia" w:ascii="仿宋" w:hAnsi="仿宋" w:eastAsia="仿宋" w:cs="仿宋"/>
          <w:color w:val="auto"/>
          <w:sz w:val="24"/>
          <w:lang w:bidi="ar"/>
        </w:rPr>
        <w:t>投标人</w:t>
      </w:r>
      <w:r>
        <w:rPr>
          <w:rFonts w:ascii="仿宋" w:hAnsi="仿宋" w:eastAsia="仿宋" w:cs="仿宋"/>
          <w:color w:val="auto"/>
          <w:sz w:val="24"/>
          <w:lang w:bidi="ar"/>
        </w:rPr>
        <w:t>应保证所供应的瓜果蔬菜符合卫生质量标准，并承担因所供产品问题引起的一切事故后果。卫生质量指标应符合我国无公害蔬菜、水果的卫生指标规定。</w:t>
      </w:r>
    </w:p>
    <w:p w14:paraId="28168AFE">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2.具体感观要求：瓜果蔬菜应具有本品种原有的颜色，大多数有发亮的光泽，以此显示其成熟度及鲜嫩程度；具有清香、甘辛香、甜酸香等气味，可凭嗅觉识别不同品种的质量，不允许有腐烂变质的亚硝酸盐味和其他异常气味；因品种不同而滋味各异，多数瓜果蔬菜滋味甘淡、甜酸、清爽鲜美，少数具有辛酸、苦涩等特殊风味以刺激食欲，如失去本品种原有的滋味即为异常；尽量避免由于客观因素而造成的各种非正常、不新鲜的瓜果蔬菜，例如萎蔫、枯塌、损伤、病变、虫害侵蚀等引起的形态异常等。</w:t>
      </w:r>
    </w:p>
    <w:p w14:paraId="17370652">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3.食品供应链要求：所有食品的来源必须清晰。瓜果蔬菜来源应当受到地方政府部门监管的自有基地、商品菜基地或蔬菜专业流通市场，严禁收购散户农民的瓜果蔬菜供应。当天供应的瓜果蔬菜类产品需提供当批次的农药残留检测报告。</w:t>
      </w:r>
    </w:p>
    <w:p w14:paraId="5C43ACE8">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4.卫生质量指标：卫生质量指标应符合我国无公害蔬菜、水果的卫生指标规定。</w:t>
      </w:r>
    </w:p>
    <w:tbl>
      <w:tblPr>
        <w:tblStyle w:val="12"/>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3030"/>
        <w:gridCol w:w="3959"/>
      </w:tblGrid>
      <w:tr w14:paraId="73F82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blCellSpacing w:w="15" w:type="dxa"/>
          <w:jc w:val="center"/>
        </w:trPr>
        <w:tc>
          <w:tcPr>
            <w:tcW w:w="2985" w:type="dxa"/>
            <w:vAlign w:val="center"/>
          </w:tcPr>
          <w:p w14:paraId="74568858">
            <w:pPr>
              <w:widowControl/>
              <w:spacing w:line="360" w:lineRule="auto"/>
              <w:jc w:val="center"/>
              <w:rPr>
                <w:rFonts w:hint="eastAsia" w:ascii="宋体" w:hAnsi="宋体" w:cs="宋体"/>
                <w:b/>
                <w:bCs/>
                <w:color w:val="auto"/>
                <w:sz w:val="24"/>
              </w:rPr>
            </w:pPr>
            <w:r>
              <w:rPr>
                <w:rFonts w:ascii="宋体" w:hAnsi="宋体" w:cs="宋体"/>
                <w:b/>
                <w:bCs/>
                <w:color w:val="auto"/>
                <w:sz w:val="24"/>
              </w:rPr>
              <w:t>项目</w:t>
            </w:r>
          </w:p>
        </w:tc>
        <w:tc>
          <w:tcPr>
            <w:tcW w:w="3914" w:type="dxa"/>
            <w:vAlign w:val="center"/>
          </w:tcPr>
          <w:p w14:paraId="61E8A2F8">
            <w:pPr>
              <w:widowControl/>
              <w:spacing w:line="360" w:lineRule="auto"/>
              <w:jc w:val="center"/>
              <w:rPr>
                <w:rFonts w:hint="eastAsia" w:ascii="宋体" w:hAnsi="宋体" w:cs="宋体"/>
                <w:b/>
                <w:bCs/>
                <w:color w:val="auto"/>
                <w:sz w:val="24"/>
              </w:rPr>
            </w:pPr>
            <w:r>
              <w:rPr>
                <w:rFonts w:ascii="宋体" w:hAnsi="宋体" w:cs="宋体"/>
                <w:b/>
                <w:bCs/>
                <w:color w:val="auto"/>
                <w:sz w:val="24"/>
              </w:rPr>
              <w:t>指标（mg/kg）</w:t>
            </w:r>
          </w:p>
        </w:tc>
      </w:tr>
      <w:tr w14:paraId="0CFA4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2985" w:type="dxa"/>
            <w:vAlign w:val="center"/>
          </w:tcPr>
          <w:p w14:paraId="6467A70B">
            <w:pPr>
              <w:widowControl/>
              <w:spacing w:line="360" w:lineRule="auto"/>
              <w:ind w:firstLine="480" w:firstLineChars="200"/>
              <w:jc w:val="left"/>
              <w:rPr>
                <w:rFonts w:hint="default" w:ascii="仿宋" w:hAnsi="仿宋" w:eastAsia="仿宋" w:cs="仿宋"/>
                <w:color w:val="auto"/>
                <w:sz w:val="24"/>
                <w:lang w:bidi="ar"/>
              </w:rPr>
            </w:pPr>
            <w:r>
              <w:rPr>
                <w:rFonts w:ascii="仿宋" w:hAnsi="仿宋" w:eastAsia="仿宋" w:cs="仿宋"/>
                <w:color w:val="auto"/>
                <w:sz w:val="24"/>
                <w:lang w:bidi="ar"/>
              </w:rPr>
              <w:t>甲胺磷</w:t>
            </w:r>
          </w:p>
        </w:tc>
        <w:tc>
          <w:tcPr>
            <w:tcW w:w="3914" w:type="dxa"/>
            <w:vAlign w:val="center"/>
          </w:tcPr>
          <w:p w14:paraId="22BEB35B">
            <w:pPr>
              <w:widowControl/>
              <w:spacing w:line="360" w:lineRule="auto"/>
              <w:ind w:firstLine="480" w:firstLineChars="200"/>
              <w:jc w:val="left"/>
              <w:rPr>
                <w:rFonts w:hint="default" w:ascii="仿宋" w:hAnsi="仿宋" w:eastAsia="仿宋" w:cs="仿宋"/>
                <w:color w:val="auto"/>
                <w:sz w:val="24"/>
                <w:lang w:bidi="ar"/>
              </w:rPr>
            </w:pPr>
            <w:r>
              <w:rPr>
                <w:rFonts w:ascii="仿宋" w:hAnsi="仿宋" w:eastAsia="仿宋" w:cs="仿宋"/>
                <w:color w:val="auto"/>
                <w:sz w:val="24"/>
                <w:lang w:bidi="ar"/>
              </w:rPr>
              <w:t>不得检出</w:t>
            </w:r>
          </w:p>
        </w:tc>
      </w:tr>
      <w:tr w14:paraId="0E62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2985" w:type="dxa"/>
            <w:vAlign w:val="center"/>
          </w:tcPr>
          <w:p w14:paraId="22765BC1">
            <w:pPr>
              <w:widowControl/>
              <w:spacing w:line="360" w:lineRule="auto"/>
              <w:ind w:firstLine="480" w:firstLineChars="200"/>
              <w:jc w:val="left"/>
              <w:rPr>
                <w:rFonts w:hint="default" w:ascii="仿宋" w:hAnsi="仿宋" w:eastAsia="仿宋" w:cs="仿宋"/>
                <w:color w:val="auto"/>
                <w:sz w:val="24"/>
                <w:lang w:bidi="ar"/>
              </w:rPr>
            </w:pPr>
            <w:r>
              <w:rPr>
                <w:rFonts w:ascii="仿宋" w:hAnsi="仿宋" w:eastAsia="仿宋" w:cs="仿宋"/>
                <w:color w:val="auto"/>
                <w:sz w:val="24"/>
                <w:lang w:bidi="ar"/>
              </w:rPr>
              <w:t>甲拌磷</w:t>
            </w:r>
          </w:p>
        </w:tc>
        <w:tc>
          <w:tcPr>
            <w:tcW w:w="3914" w:type="dxa"/>
            <w:vAlign w:val="center"/>
          </w:tcPr>
          <w:p w14:paraId="4E6A06B2">
            <w:pPr>
              <w:widowControl/>
              <w:spacing w:line="360" w:lineRule="auto"/>
              <w:ind w:firstLine="480" w:firstLineChars="200"/>
              <w:jc w:val="left"/>
              <w:rPr>
                <w:rFonts w:hint="default" w:ascii="仿宋" w:hAnsi="仿宋" w:eastAsia="仿宋" w:cs="仿宋"/>
                <w:color w:val="auto"/>
                <w:sz w:val="24"/>
                <w:lang w:bidi="ar"/>
              </w:rPr>
            </w:pPr>
            <w:r>
              <w:rPr>
                <w:rFonts w:ascii="仿宋" w:hAnsi="仿宋" w:eastAsia="仿宋" w:cs="仿宋"/>
                <w:color w:val="auto"/>
                <w:sz w:val="24"/>
                <w:lang w:bidi="ar"/>
              </w:rPr>
              <w:t>不得检出</w:t>
            </w:r>
          </w:p>
        </w:tc>
      </w:tr>
      <w:tr w14:paraId="0F925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2985" w:type="dxa"/>
            <w:vAlign w:val="center"/>
          </w:tcPr>
          <w:p w14:paraId="4688185D">
            <w:pPr>
              <w:widowControl/>
              <w:spacing w:line="360" w:lineRule="auto"/>
              <w:ind w:firstLine="480" w:firstLineChars="200"/>
              <w:jc w:val="left"/>
              <w:rPr>
                <w:rFonts w:hint="default" w:ascii="仿宋" w:hAnsi="仿宋" w:eastAsia="仿宋" w:cs="仿宋"/>
                <w:color w:val="auto"/>
                <w:sz w:val="24"/>
                <w:lang w:bidi="ar"/>
              </w:rPr>
            </w:pPr>
            <w:r>
              <w:rPr>
                <w:rFonts w:ascii="仿宋" w:hAnsi="仿宋" w:eastAsia="仿宋" w:cs="仿宋"/>
                <w:color w:val="auto"/>
                <w:sz w:val="24"/>
                <w:lang w:bidi="ar"/>
              </w:rPr>
              <w:t>氧化乐果</w:t>
            </w:r>
          </w:p>
        </w:tc>
        <w:tc>
          <w:tcPr>
            <w:tcW w:w="3914" w:type="dxa"/>
            <w:vAlign w:val="center"/>
          </w:tcPr>
          <w:p w14:paraId="3B9C2E4A">
            <w:pPr>
              <w:widowControl/>
              <w:spacing w:line="360" w:lineRule="auto"/>
              <w:ind w:firstLine="480" w:firstLineChars="200"/>
              <w:jc w:val="left"/>
              <w:rPr>
                <w:rFonts w:hint="default" w:ascii="仿宋" w:hAnsi="仿宋" w:eastAsia="仿宋" w:cs="仿宋"/>
                <w:color w:val="auto"/>
                <w:sz w:val="24"/>
                <w:lang w:bidi="ar"/>
              </w:rPr>
            </w:pPr>
            <w:r>
              <w:rPr>
                <w:rFonts w:ascii="仿宋" w:hAnsi="仿宋" w:eastAsia="仿宋" w:cs="仿宋"/>
                <w:color w:val="auto"/>
                <w:sz w:val="24"/>
                <w:lang w:bidi="ar"/>
              </w:rPr>
              <w:t>不得检出</w:t>
            </w:r>
          </w:p>
        </w:tc>
      </w:tr>
      <w:tr w14:paraId="32CD1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2985" w:type="dxa"/>
            <w:vAlign w:val="center"/>
          </w:tcPr>
          <w:p w14:paraId="29E8D99E">
            <w:pPr>
              <w:widowControl/>
              <w:spacing w:line="360" w:lineRule="auto"/>
              <w:ind w:firstLine="480" w:firstLineChars="200"/>
              <w:jc w:val="left"/>
              <w:rPr>
                <w:rFonts w:hint="default" w:ascii="仿宋" w:hAnsi="仿宋" w:eastAsia="仿宋" w:cs="仿宋"/>
                <w:color w:val="auto"/>
                <w:sz w:val="24"/>
                <w:lang w:bidi="ar"/>
              </w:rPr>
            </w:pPr>
            <w:r>
              <w:rPr>
                <w:rFonts w:ascii="仿宋" w:hAnsi="仿宋" w:eastAsia="仿宋" w:cs="仿宋"/>
                <w:color w:val="auto"/>
                <w:sz w:val="24"/>
                <w:lang w:bidi="ar"/>
              </w:rPr>
              <w:t>甲基对硫磷</w:t>
            </w:r>
          </w:p>
        </w:tc>
        <w:tc>
          <w:tcPr>
            <w:tcW w:w="3914" w:type="dxa"/>
            <w:vAlign w:val="center"/>
          </w:tcPr>
          <w:p w14:paraId="37BD2958">
            <w:pPr>
              <w:widowControl/>
              <w:spacing w:line="360" w:lineRule="auto"/>
              <w:ind w:firstLine="480" w:firstLineChars="200"/>
              <w:jc w:val="left"/>
              <w:rPr>
                <w:rFonts w:hint="default" w:ascii="仿宋" w:hAnsi="仿宋" w:eastAsia="仿宋" w:cs="仿宋"/>
                <w:color w:val="auto"/>
                <w:sz w:val="24"/>
                <w:lang w:bidi="ar"/>
              </w:rPr>
            </w:pPr>
            <w:r>
              <w:rPr>
                <w:rFonts w:ascii="仿宋" w:hAnsi="仿宋" w:eastAsia="仿宋" w:cs="仿宋"/>
                <w:color w:val="auto"/>
                <w:sz w:val="24"/>
                <w:lang w:bidi="ar"/>
              </w:rPr>
              <w:t>不得检出</w:t>
            </w:r>
          </w:p>
        </w:tc>
      </w:tr>
      <w:tr w14:paraId="1486E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2985" w:type="dxa"/>
            <w:vAlign w:val="center"/>
          </w:tcPr>
          <w:p w14:paraId="048A8BBE">
            <w:pPr>
              <w:widowControl/>
              <w:spacing w:line="360" w:lineRule="auto"/>
              <w:ind w:firstLine="480" w:firstLineChars="200"/>
              <w:jc w:val="left"/>
              <w:rPr>
                <w:rFonts w:hint="default" w:ascii="仿宋" w:hAnsi="仿宋" w:eastAsia="仿宋" w:cs="仿宋"/>
                <w:color w:val="auto"/>
                <w:sz w:val="24"/>
                <w:lang w:bidi="ar"/>
              </w:rPr>
            </w:pPr>
            <w:r>
              <w:rPr>
                <w:rFonts w:ascii="仿宋" w:hAnsi="仿宋" w:eastAsia="仿宋" w:cs="仿宋"/>
                <w:color w:val="auto"/>
                <w:sz w:val="24"/>
                <w:lang w:bidi="ar"/>
              </w:rPr>
              <w:t>呋喃丹</w:t>
            </w:r>
          </w:p>
        </w:tc>
        <w:tc>
          <w:tcPr>
            <w:tcW w:w="3914" w:type="dxa"/>
            <w:vAlign w:val="center"/>
          </w:tcPr>
          <w:p w14:paraId="62D96907">
            <w:pPr>
              <w:widowControl/>
              <w:spacing w:line="360" w:lineRule="auto"/>
              <w:ind w:firstLine="480" w:firstLineChars="200"/>
              <w:jc w:val="left"/>
              <w:rPr>
                <w:rFonts w:hint="default" w:ascii="仿宋" w:hAnsi="仿宋" w:eastAsia="仿宋" w:cs="仿宋"/>
                <w:color w:val="auto"/>
                <w:sz w:val="24"/>
                <w:lang w:bidi="ar"/>
              </w:rPr>
            </w:pPr>
            <w:r>
              <w:rPr>
                <w:rFonts w:ascii="仿宋" w:hAnsi="仿宋" w:eastAsia="仿宋" w:cs="仿宋"/>
                <w:color w:val="auto"/>
                <w:sz w:val="24"/>
                <w:lang w:bidi="ar"/>
              </w:rPr>
              <w:t>不得检出</w:t>
            </w:r>
          </w:p>
        </w:tc>
      </w:tr>
      <w:tr w14:paraId="4513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2985" w:type="dxa"/>
            <w:vAlign w:val="center"/>
          </w:tcPr>
          <w:p w14:paraId="1AFBA5E4">
            <w:pPr>
              <w:widowControl/>
              <w:spacing w:line="360" w:lineRule="auto"/>
              <w:jc w:val="center"/>
              <w:rPr>
                <w:rFonts w:hint="eastAsia" w:ascii="宋体" w:hAnsi="宋体" w:cs="宋体"/>
                <w:color w:val="auto"/>
                <w:sz w:val="24"/>
              </w:rPr>
            </w:pPr>
            <w:r>
              <w:rPr>
                <w:rFonts w:ascii="宋体" w:hAnsi="宋体" w:cs="宋体"/>
                <w:color w:val="auto"/>
                <w:sz w:val="24"/>
              </w:rPr>
              <w:t>百菌清</w:t>
            </w:r>
          </w:p>
        </w:tc>
        <w:tc>
          <w:tcPr>
            <w:tcW w:w="3914" w:type="dxa"/>
            <w:vAlign w:val="center"/>
          </w:tcPr>
          <w:p w14:paraId="7EC85ECD">
            <w:pPr>
              <w:widowControl/>
              <w:spacing w:line="360" w:lineRule="auto"/>
              <w:jc w:val="center"/>
              <w:rPr>
                <w:rFonts w:hint="eastAsia" w:ascii="宋体" w:hAnsi="宋体" w:cs="宋体"/>
                <w:color w:val="auto"/>
                <w:sz w:val="24"/>
              </w:rPr>
            </w:pPr>
            <w:r>
              <w:rPr>
                <w:rFonts w:ascii="宋体" w:hAnsi="宋体" w:cs="宋体"/>
                <w:color w:val="auto"/>
                <w:sz w:val="24"/>
              </w:rPr>
              <w:t>≤1.0</w:t>
            </w:r>
          </w:p>
        </w:tc>
      </w:tr>
      <w:tr w14:paraId="5CA13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2985" w:type="dxa"/>
            <w:vAlign w:val="center"/>
          </w:tcPr>
          <w:p w14:paraId="6876BC5B">
            <w:pPr>
              <w:widowControl/>
              <w:spacing w:line="360" w:lineRule="auto"/>
              <w:jc w:val="center"/>
              <w:rPr>
                <w:rFonts w:hint="eastAsia" w:ascii="宋体" w:hAnsi="宋体" w:cs="宋体"/>
                <w:color w:val="auto"/>
                <w:sz w:val="24"/>
              </w:rPr>
            </w:pPr>
            <w:r>
              <w:rPr>
                <w:rFonts w:ascii="宋体" w:hAnsi="宋体" w:cs="宋体"/>
                <w:color w:val="auto"/>
                <w:sz w:val="24"/>
              </w:rPr>
              <w:t>多菌灵</w:t>
            </w:r>
          </w:p>
        </w:tc>
        <w:tc>
          <w:tcPr>
            <w:tcW w:w="3914" w:type="dxa"/>
            <w:vAlign w:val="center"/>
          </w:tcPr>
          <w:p w14:paraId="44AD9768">
            <w:pPr>
              <w:widowControl/>
              <w:spacing w:line="360" w:lineRule="auto"/>
              <w:jc w:val="center"/>
              <w:rPr>
                <w:rFonts w:hint="eastAsia" w:ascii="宋体" w:hAnsi="宋体" w:cs="宋体"/>
                <w:color w:val="auto"/>
                <w:sz w:val="24"/>
              </w:rPr>
            </w:pPr>
            <w:r>
              <w:rPr>
                <w:rFonts w:ascii="宋体" w:hAnsi="宋体" w:cs="宋体"/>
                <w:color w:val="auto"/>
                <w:sz w:val="24"/>
              </w:rPr>
              <w:t>≤0.5</w:t>
            </w:r>
          </w:p>
        </w:tc>
      </w:tr>
      <w:tr w14:paraId="5B16F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2985" w:type="dxa"/>
            <w:vAlign w:val="center"/>
          </w:tcPr>
          <w:p w14:paraId="4181F6BA">
            <w:pPr>
              <w:widowControl/>
              <w:spacing w:line="360" w:lineRule="auto"/>
              <w:jc w:val="center"/>
              <w:rPr>
                <w:rFonts w:hint="eastAsia" w:ascii="宋体" w:hAnsi="宋体" w:cs="宋体"/>
                <w:color w:val="auto"/>
                <w:sz w:val="24"/>
              </w:rPr>
            </w:pPr>
            <w:r>
              <w:rPr>
                <w:rFonts w:ascii="宋体" w:hAnsi="宋体" w:cs="宋体"/>
                <w:color w:val="auto"/>
                <w:sz w:val="24"/>
              </w:rPr>
              <w:t>汞（以Hg计）</w:t>
            </w:r>
          </w:p>
        </w:tc>
        <w:tc>
          <w:tcPr>
            <w:tcW w:w="3914" w:type="dxa"/>
            <w:vAlign w:val="center"/>
          </w:tcPr>
          <w:p w14:paraId="28D3F7CE">
            <w:pPr>
              <w:widowControl/>
              <w:spacing w:line="360" w:lineRule="auto"/>
              <w:jc w:val="center"/>
              <w:rPr>
                <w:rFonts w:hint="eastAsia" w:ascii="宋体" w:hAnsi="宋体" w:cs="宋体"/>
                <w:color w:val="auto"/>
                <w:sz w:val="24"/>
              </w:rPr>
            </w:pPr>
            <w:r>
              <w:rPr>
                <w:rFonts w:ascii="宋体" w:hAnsi="宋体" w:cs="宋体"/>
                <w:color w:val="auto"/>
                <w:sz w:val="24"/>
              </w:rPr>
              <w:t>≤0.01</w:t>
            </w:r>
          </w:p>
        </w:tc>
      </w:tr>
      <w:tr w14:paraId="6E4A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2985" w:type="dxa"/>
            <w:vAlign w:val="center"/>
          </w:tcPr>
          <w:p w14:paraId="40545CE0">
            <w:pPr>
              <w:widowControl/>
              <w:spacing w:line="360" w:lineRule="auto"/>
              <w:jc w:val="center"/>
              <w:rPr>
                <w:rFonts w:hint="eastAsia" w:ascii="宋体" w:hAnsi="宋体" w:cs="宋体"/>
                <w:color w:val="auto"/>
                <w:sz w:val="24"/>
              </w:rPr>
            </w:pPr>
            <w:r>
              <w:rPr>
                <w:rFonts w:ascii="宋体" w:hAnsi="宋体" w:cs="宋体"/>
                <w:color w:val="auto"/>
                <w:sz w:val="24"/>
              </w:rPr>
              <w:t>铅（以Pb计）</w:t>
            </w:r>
          </w:p>
        </w:tc>
        <w:tc>
          <w:tcPr>
            <w:tcW w:w="3914" w:type="dxa"/>
            <w:vAlign w:val="center"/>
          </w:tcPr>
          <w:p w14:paraId="76DF7164">
            <w:pPr>
              <w:widowControl/>
              <w:spacing w:line="360" w:lineRule="auto"/>
              <w:jc w:val="center"/>
              <w:rPr>
                <w:rFonts w:hint="eastAsia" w:ascii="宋体" w:hAnsi="宋体" w:cs="宋体"/>
                <w:color w:val="auto"/>
                <w:sz w:val="24"/>
              </w:rPr>
            </w:pPr>
            <w:r>
              <w:rPr>
                <w:rFonts w:ascii="宋体" w:hAnsi="宋体" w:cs="宋体"/>
                <w:color w:val="auto"/>
                <w:sz w:val="24"/>
              </w:rPr>
              <w:t>≤0.2</w:t>
            </w:r>
          </w:p>
        </w:tc>
      </w:tr>
      <w:tr w14:paraId="5F852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2985" w:type="dxa"/>
            <w:vAlign w:val="center"/>
          </w:tcPr>
          <w:p w14:paraId="2E11E6DC">
            <w:pPr>
              <w:widowControl/>
              <w:spacing w:line="360" w:lineRule="auto"/>
              <w:jc w:val="center"/>
              <w:rPr>
                <w:rFonts w:hint="eastAsia" w:ascii="宋体" w:hAnsi="宋体" w:cs="宋体"/>
                <w:color w:val="auto"/>
                <w:sz w:val="24"/>
              </w:rPr>
            </w:pPr>
            <w:r>
              <w:rPr>
                <w:rFonts w:ascii="宋体" w:hAnsi="宋体" w:cs="宋体"/>
                <w:color w:val="auto"/>
                <w:sz w:val="24"/>
              </w:rPr>
              <w:t>砷（以As计）</w:t>
            </w:r>
          </w:p>
        </w:tc>
        <w:tc>
          <w:tcPr>
            <w:tcW w:w="3914" w:type="dxa"/>
            <w:vAlign w:val="center"/>
          </w:tcPr>
          <w:p w14:paraId="44F48D0C">
            <w:pPr>
              <w:widowControl/>
              <w:spacing w:line="360" w:lineRule="auto"/>
              <w:jc w:val="center"/>
              <w:rPr>
                <w:rFonts w:hint="eastAsia" w:ascii="宋体" w:hAnsi="宋体" w:cs="宋体"/>
                <w:color w:val="auto"/>
                <w:sz w:val="24"/>
              </w:rPr>
            </w:pPr>
            <w:r>
              <w:rPr>
                <w:rFonts w:ascii="宋体" w:hAnsi="宋体" w:cs="宋体"/>
                <w:color w:val="auto"/>
                <w:sz w:val="24"/>
              </w:rPr>
              <w:t>≤0.5</w:t>
            </w:r>
          </w:p>
        </w:tc>
      </w:tr>
      <w:tr w14:paraId="5B26E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2985" w:type="dxa"/>
            <w:vAlign w:val="center"/>
          </w:tcPr>
          <w:p w14:paraId="75AE42D2">
            <w:pPr>
              <w:widowControl/>
              <w:spacing w:line="360" w:lineRule="auto"/>
              <w:jc w:val="center"/>
              <w:rPr>
                <w:rFonts w:hint="eastAsia" w:ascii="宋体" w:hAnsi="宋体" w:cs="宋体"/>
                <w:color w:val="auto"/>
                <w:sz w:val="24"/>
              </w:rPr>
            </w:pPr>
            <w:r>
              <w:rPr>
                <w:rFonts w:ascii="宋体" w:hAnsi="宋体" w:cs="宋体"/>
                <w:color w:val="auto"/>
                <w:sz w:val="24"/>
              </w:rPr>
              <w:t>氟（以F计）</w:t>
            </w:r>
          </w:p>
        </w:tc>
        <w:tc>
          <w:tcPr>
            <w:tcW w:w="3914" w:type="dxa"/>
            <w:vAlign w:val="center"/>
          </w:tcPr>
          <w:p w14:paraId="4949A402">
            <w:pPr>
              <w:widowControl/>
              <w:spacing w:line="360" w:lineRule="auto"/>
              <w:jc w:val="center"/>
              <w:rPr>
                <w:rFonts w:hint="eastAsia" w:ascii="宋体" w:hAnsi="宋体" w:cs="宋体"/>
                <w:color w:val="auto"/>
                <w:sz w:val="24"/>
              </w:rPr>
            </w:pPr>
            <w:r>
              <w:rPr>
                <w:rFonts w:ascii="宋体" w:hAnsi="宋体" w:cs="宋体"/>
                <w:color w:val="auto"/>
                <w:sz w:val="24"/>
              </w:rPr>
              <w:t>≤0.5</w:t>
            </w:r>
          </w:p>
        </w:tc>
      </w:tr>
      <w:tr w14:paraId="6087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2985" w:type="dxa"/>
            <w:vAlign w:val="center"/>
          </w:tcPr>
          <w:p w14:paraId="0BC2AA58">
            <w:pPr>
              <w:widowControl/>
              <w:spacing w:line="360" w:lineRule="auto"/>
              <w:jc w:val="center"/>
              <w:rPr>
                <w:rFonts w:hint="eastAsia" w:ascii="宋体" w:hAnsi="宋体" w:cs="宋体"/>
                <w:color w:val="auto"/>
                <w:sz w:val="24"/>
              </w:rPr>
            </w:pPr>
            <w:r>
              <w:rPr>
                <w:rFonts w:ascii="宋体" w:hAnsi="宋体" w:cs="宋体"/>
                <w:color w:val="auto"/>
                <w:sz w:val="24"/>
              </w:rPr>
              <w:t>硝酸盐（以NaNO3计）</w:t>
            </w:r>
          </w:p>
        </w:tc>
        <w:tc>
          <w:tcPr>
            <w:tcW w:w="3914" w:type="dxa"/>
            <w:vAlign w:val="center"/>
          </w:tcPr>
          <w:p w14:paraId="67E5FDBC">
            <w:pPr>
              <w:widowControl/>
              <w:spacing w:line="360" w:lineRule="auto"/>
              <w:jc w:val="center"/>
              <w:rPr>
                <w:rFonts w:hint="eastAsia" w:ascii="宋体" w:hAnsi="宋体" w:cs="宋体"/>
                <w:color w:val="auto"/>
                <w:sz w:val="24"/>
              </w:rPr>
            </w:pPr>
            <w:r>
              <w:rPr>
                <w:rFonts w:ascii="宋体" w:hAnsi="宋体" w:cs="宋体"/>
                <w:color w:val="auto"/>
                <w:sz w:val="24"/>
              </w:rPr>
              <w:t>瓜果类≤600；叶菜根茎类≤1200</w:t>
            </w:r>
          </w:p>
        </w:tc>
      </w:tr>
      <w:tr w14:paraId="131C8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2985" w:type="dxa"/>
            <w:vAlign w:val="center"/>
          </w:tcPr>
          <w:p w14:paraId="004075A5">
            <w:pPr>
              <w:widowControl/>
              <w:spacing w:line="360" w:lineRule="auto"/>
              <w:jc w:val="center"/>
              <w:rPr>
                <w:rFonts w:hint="eastAsia" w:ascii="宋体" w:hAnsi="宋体" w:cs="宋体"/>
                <w:color w:val="auto"/>
                <w:sz w:val="24"/>
              </w:rPr>
            </w:pPr>
            <w:r>
              <w:rPr>
                <w:rFonts w:ascii="宋体" w:hAnsi="宋体" w:cs="宋体"/>
                <w:color w:val="auto"/>
                <w:sz w:val="24"/>
              </w:rPr>
              <w:t>亚硝酸盐（以NaNO2计）</w:t>
            </w:r>
          </w:p>
        </w:tc>
        <w:tc>
          <w:tcPr>
            <w:tcW w:w="3914" w:type="dxa"/>
            <w:vAlign w:val="center"/>
          </w:tcPr>
          <w:p w14:paraId="69C61712">
            <w:pPr>
              <w:widowControl/>
              <w:spacing w:line="360" w:lineRule="auto"/>
              <w:jc w:val="center"/>
              <w:rPr>
                <w:rFonts w:hint="eastAsia" w:ascii="宋体" w:hAnsi="宋体" w:cs="宋体"/>
                <w:color w:val="auto"/>
                <w:sz w:val="24"/>
              </w:rPr>
            </w:pPr>
            <w:r>
              <w:rPr>
                <w:rFonts w:ascii="宋体" w:hAnsi="宋体" w:cs="宋体"/>
                <w:color w:val="auto"/>
                <w:sz w:val="24"/>
              </w:rPr>
              <w:t>≤4</w:t>
            </w:r>
          </w:p>
        </w:tc>
      </w:tr>
    </w:tbl>
    <w:p w14:paraId="750DA444">
      <w:pPr>
        <w:widowControl/>
        <w:spacing w:line="360" w:lineRule="auto"/>
        <w:ind w:firstLine="482" w:firstLineChars="200"/>
        <w:rPr>
          <w:rFonts w:hint="eastAsia" w:ascii="仿宋" w:hAnsi="仿宋" w:eastAsia="仿宋" w:cs="仿宋"/>
          <w:b/>
          <w:bCs/>
          <w:color w:val="auto"/>
          <w:sz w:val="24"/>
          <w:lang w:bidi="ar"/>
        </w:rPr>
      </w:pPr>
      <w:r>
        <w:rPr>
          <w:rFonts w:ascii="仿宋" w:hAnsi="仿宋" w:eastAsia="仿宋" w:cs="仿宋"/>
          <w:b/>
          <w:bCs/>
          <w:color w:val="auto"/>
          <w:sz w:val="24"/>
          <w:lang w:bidi="ar"/>
        </w:rPr>
        <w:t>（二）鲜肉类</w:t>
      </w:r>
    </w:p>
    <w:p w14:paraId="137B59E1">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1.质量要求：所提供的产品应保持较好的外观和质量等级，符合国家食品安全标准，应是当天活杀、无淤血、无病死、无瘟疫、不含瘦肉精、无注水等的健康肉类产品。</w:t>
      </w:r>
    </w:p>
    <w:p w14:paraId="1971364B">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2.具体感观要求：</w:t>
      </w:r>
    </w:p>
    <w:p w14:paraId="6F48A3C4">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（1）猪肉类：产品应保持较好的外观和质量等级，符合国家食品安全标准，应是当天活杀、无淤血、无病死、无瘟疫、不含瘦肉精、无注水等的健康猪类产品。</w:t>
      </w:r>
    </w:p>
    <w:p w14:paraId="7E3AD3DC">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2）牛肉类：产品应保持较好的外观和质量等级，符合国家食品安全标准，应是当天活杀、无淤血、无异味、无注水、无病死的健康牛类产品。呈均匀的红色，有光泽，脂肪洁白或乳黄色，有牛肉正常的气味，肉表面不粘手，肉质有弹性，指压后凹陷立即恢复，无多余的脂肪和血管。</w:t>
      </w:r>
    </w:p>
    <w:p w14:paraId="714DFC31">
      <w:pPr>
        <w:widowControl/>
        <w:spacing w:line="360" w:lineRule="auto"/>
        <w:ind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w:t>
      </w:r>
      <w:r>
        <w:rPr>
          <w:rFonts w:ascii="仿宋" w:hAnsi="仿宋" w:eastAsia="仿宋" w:cs="仿宋"/>
          <w:color w:val="auto"/>
          <w:sz w:val="24"/>
          <w:lang w:bidi="ar"/>
        </w:rPr>
        <w:t>3）禽鸟类：产品应保持较好的外观和质量等级，符合国家食品安全标准，应是当天活杀、无瘀血、无病死、无瘟疫的禽鸟类。眼球饱满，角膜有光泽；皮肤呈淡黄色或淡白色、表面干燥、具有鸡肉正常的气味；脂肪稍带有淡黄色，有光泽；肌肉结实而有弹性。</w:t>
      </w:r>
    </w:p>
    <w:p w14:paraId="10847CFB">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(4）鱼类：产品应保持较好的外观和质量等级，符合国家食品安全标准，不能检测出有毒有害的、违反《中华人民共和国食品安全法》规定的化学制剂及添加剂，应是当天活杀的去头、无异味的鲜鱼。体表有透明黏液，鳞片完整并紧附在鱼体上、不易脱落；肌肉坚硬肉实，手感富有弹性，挺而不软，弯度小，用手压之有凹陷，抬手后立即复原，肉的横断面紧密。</w:t>
      </w:r>
    </w:p>
    <w:p w14:paraId="6D41A890">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（三）冻品类</w:t>
      </w:r>
    </w:p>
    <w:p w14:paraId="3A569B33">
      <w:pPr>
        <w:widowControl/>
        <w:numPr>
          <w:ilvl w:val="255"/>
          <w:numId w:val="0"/>
        </w:numPr>
        <w:spacing w:line="360" w:lineRule="auto"/>
        <w:ind w:firstLine="420" w:firstLineChars="175"/>
        <w:jc w:val="left"/>
        <w:rPr>
          <w:rFonts w:hint="eastAsia" w:ascii="仿宋" w:hAnsi="仿宋" w:eastAsia="仿宋" w:cs="仿宋"/>
          <w:color w:val="auto"/>
          <w:sz w:val="24"/>
          <w:lang w:bidi="ar"/>
        </w:rPr>
      </w:pPr>
      <w:r>
        <w:rPr>
          <w:rFonts w:ascii="仿宋" w:hAnsi="仿宋" w:eastAsia="仿宋" w:cs="仿宋"/>
          <w:color w:val="auto"/>
          <w:sz w:val="24"/>
          <w:lang w:bidi="ar"/>
        </w:rPr>
        <w:t>1.食品供应链要求：所有冻品食品来源必须清晰可追溯，</w:t>
      </w:r>
      <w:r>
        <w:rPr>
          <w:rFonts w:hint="eastAsia" w:ascii="仿宋" w:hAnsi="仿宋" w:eastAsia="仿宋" w:cs="仿宋"/>
          <w:color w:val="auto"/>
          <w:sz w:val="24"/>
          <w:lang w:bidi="ar"/>
        </w:rPr>
        <w:t>投标人</w:t>
      </w:r>
      <w:r>
        <w:rPr>
          <w:rFonts w:ascii="仿宋" w:hAnsi="仿宋" w:eastAsia="仿宋" w:cs="仿宋"/>
          <w:color w:val="auto"/>
          <w:sz w:val="24"/>
          <w:lang w:bidi="ar"/>
        </w:rPr>
        <w:t>需具备合法经营资质，供货时须提供当批次有效的《动物检疫合格证》原件或复印件（复印件需加盖公章，原件备查）、产品合格证及第三方检测机构出具的当批次检验报告。严禁采购来源不明、无合法手续的冻品，</w:t>
      </w:r>
      <w:r>
        <w:rPr>
          <w:rFonts w:hint="eastAsia" w:ascii="仿宋" w:hAnsi="仿宋" w:eastAsia="仿宋" w:cs="仿宋"/>
          <w:color w:val="auto"/>
          <w:sz w:val="24"/>
          <w:lang w:bidi="ar"/>
        </w:rPr>
        <w:t>投标人</w:t>
      </w:r>
      <w:r>
        <w:rPr>
          <w:rFonts w:ascii="仿宋" w:hAnsi="仿宋" w:eastAsia="仿宋" w:cs="仿宋"/>
          <w:color w:val="auto"/>
          <w:sz w:val="24"/>
          <w:lang w:bidi="ar"/>
        </w:rPr>
        <w:t>需建立完善的进货查验、索证索票和进货台账制度，确保食材各环节记录完整可查。</w:t>
      </w:r>
    </w:p>
    <w:p w14:paraId="5796096F">
      <w:pPr>
        <w:widowControl/>
        <w:numPr>
          <w:ilvl w:val="255"/>
          <w:numId w:val="0"/>
        </w:numPr>
        <w:spacing w:line="360" w:lineRule="auto"/>
        <w:ind w:firstLine="420" w:firstLineChars="175"/>
        <w:jc w:val="left"/>
        <w:rPr>
          <w:rFonts w:hint="eastAsia" w:ascii="仿宋" w:hAnsi="仿宋" w:eastAsia="仿宋" w:cs="仿宋"/>
          <w:color w:val="auto"/>
          <w:kern w:val="0"/>
          <w:sz w:val="24"/>
        </w:rPr>
      </w:pPr>
      <w:r>
        <w:rPr>
          <w:rFonts w:ascii="仿宋" w:hAnsi="仿宋" w:eastAsia="仿宋" w:cs="仿宋"/>
          <w:color w:val="auto"/>
          <w:kern w:val="0"/>
          <w:sz w:val="24"/>
        </w:rPr>
        <w:t>2. 冻品冻肉使用量</w:t>
      </w:r>
      <w:r>
        <w:rPr>
          <w:rFonts w:ascii="仿宋" w:hAnsi="仿宋" w:eastAsia="仿宋" w:cs="仿宋"/>
          <w:color w:val="auto"/>
          <w:kern w:val="0"/>
          <w:sz w:val="24"/>
          <w:lang w:bidi="ar"/>
        </w:rPr>
        <w:t>每餐次供应冻品冻肉不得超过总食材比例5%</w:t>
      </w:r>
      <w:r>
        <w:rPr>
          <w:rFonts w:ascii="仿宋" w:hAnsi="仿宋" w:eastAsia="仿宋" w:cs="仿宋"/>
          <w:color w:val="auto"/>
          <w:kern w:val="0"/>
          <w:sz w:val="24"/>
        </w:rPr>
        <w:t>，使用前须提前报采购人书面审批；</w:t>
      </w:r>
      <w:r>
        <w:rPr>
          <w:rFonts w:hint="eastAsia" w:ascii="仿宋" w:hAnsi="仿宋" w:eastAsia="仿宋" w:cs="仿宋"/>
          <w:color w:val="auto"/>
          <w:kern w:val="0"/>
          <w:sz w:val="24"/>
        </w:rPr>
        <w:t>投标人</w:t>
      </w:r>
      <w:r>
        <w:rPr>
          <w:rFonts w:ascii="仿宋" w:hAnsi="仿宋" w:eastAsia="仿宋" w:cs="仿宋"/>
          <w:color w:val="auto"/>
          <w:kern w:val="0"/>
          <w:sz w:val="24"/>
        </w:rPr>
        <w:t>须每月 5 日前向采购人提交上月冻品冻肉采购、使用台账及对应票证，接受采购人核验。</w:t>
      </w:r>
    </w:p>
    <w:p w14:paraId="4F3ED2B5">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kern w:val="0"/>
          <w:sz w:val="24"/>
        </w:rPr>
        <w:t>3.</w:t>
      </w:r>
      <w:r>
        <w:rPr>
          <w:rFonts w:ascii="仿宋" w:hAnsi="仿宋" w:eastAsia="仿宋" w:cs="仿宋"/>
          <w:color w:val="auto"/>
          <w:sz w:val="24"/>
          <w:lang w:bidi="ar"/>
        </w:rPr>
        <w:t xml:space="preserve"> 净重量要求：冷冻禽类食品解冻后净重量不少于92%，冷冻肉类食品解冻后净重量不少于95%，冷冻水产类食品解冻后净重量不少于85%，解冻时间为4小时以内（室温20℃）。</w:t>
      </w:r>
      <w:r>
        <w:rPr>
          <w:rFonts w:hint="eastAsia" w:ascii="仿宋" w:hAnsi="仿宋" w:eastAsia="仿宋" w:cs="仿宋"/>
          <w:color w:val="auto"/>
          <w:sz w:val="24"/>
          <w:lang w:bidi="ar"/>
        </w:rPr>
        <w:t>投标人</w:t>
      </w:r>
      <w:r>
        <w:rPr>
          <w:rFonts w:ascii="仿宋" w:hAnsi="仿宋" w:eastAsia="仿宋" w:cs="仿宋"/>
          <w:color w:val="auto"/>
          <w:sz w:val="24"/>
          <w:lang w:bidi="ar"/>
        </w:rPr>
        <w:t>需确保产品包装完整，标签清晰标注生产厂家、生产日期、保质期、贮存条件等信息，严禁提供过度包冰、缺斤少两的产品。</w:t>
      </w:r>
    </w:p>
    <w:p w14:paraId="062E9B65">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4.感官与质量要求：冻品应色泽正常，具有本品种固有的气味，无异味、无酸败味、无腐臭气味；组织状态紧密有弹性，无冰晶异常增多、无解冻后软烂、无黏液渗出；表面无霉斑、无杂质，包装无破损、无泄漏。冷冻禽类应肉体饱满，皮肤完整无破损；冷冻肉类应肉质紧密，脂肪洁白；冷冻水产类应体表清洁，鳞片完整（如有），眼睛明亮（如有）。</w:t>
      </w:r>
    </w:p>
    <w:p w14:paraId="0AD90DDF">
      <w:pPr>
        <w:widowControl/>
        <w:spacing w:line="360" w:lineRule="auto"/>
        <w:ind w:firstLine="480" w:firstLineChars="200"/>
        <w:jc w:val="left"/>
        <w:rPr>
          <w:rFonts w:hint="eastAsia" w:ascii="仿宋" w:hAnsi="仿宋" w:eastAsia="仿宋" w:cs="仿宋"/>
          <w:color w:val="auto"/>
          <w:kern w:val="0"/>
          <w:sz w:val="24"/>
        </w:rPr>
      </w:pPr>
      <w:r>
        <w:rPr>
          <w:rFonts w:ascii="仿宋" w:hAnsi="仿宋" w:eastAsia="仿宋" w:cs="仿宋"/>
          <w:color w:val="auto"/>
          <w:sz w:val="24"/>
          <w:lang w:bidi="ar"/>
        </w:rPr>
        <w:t>5.贮存与运输要求：冻品需全程冷链运输，运输温度需符合产品贮存要求（冷冻产品≤-18℃），运输车辆需配备温度监控设备，到货时需提供运输过程温度记录。</w:t>
      </w:r>
      <w:r>
        <w:rPr>
          <w:rFonts w:hint="eastAsia" w:ascii="仿宋" w:hAnsi="仿宋" w:eastAsia="仿宋" w:cs="仿宋"/>
          <w:color w:val="auto"/>
          <w:sz w:val="24"/>
          <w:lang w:bidi="ar"/>
        </w:rPr>
        <w:t>投标人</w:t>
      </w:r>
      <w:r>
        <w:rPr>
          <w:rFonts w:ascii="仿宋" w:hAnsi="仿宋" w:eastAsia="仿宋" w:cs="仿宋"/>
          <w:color w:val="auto"/>
          <w:sz w:val="24"/>
          <w:lang w:bidi="ar"/>
        </w:rPr>
        <w:t>需具备符合食品安全标准的冷藏冷冻仓储设施，贮存过程中需定期检查产品状态，杜绝反复冻融，</w:t>
      </w:r>
      <w:r>
        <w:rPr>
          <w:rFonts w:ascii="仿宋" w:hAnsi="仿宋" w:eastAsia="仿宋" w:cs="仿宋"/>
          <w:color w:val="auto"/>
          <w:kern w:val="0"/>
          <w:sz w:val="24"/>
        </w:rPr>
        <w:t>包装完整、标签清晰，解冻后净重量符合本文件要求。</w:t>
      </w:r>
    </w:p>
    <w:p w14:paraId="3342CCE0">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6.食品安全责任：</w:t>
      </w:r>
      <w:r>
        <w:rPr>
          <w:rFonts w:hint="eastAsia" w:ascii="仿宋" w:hAnsi="仿宋" w:eastAsia="仿宋" w:cs="仿宋"/>
          <w:color w:val="auto"/>
          <w:sz w:val="24"/>
          <w:lang w:bidi="ar"/>
        </w:rPr>
        <w:t>投标人</w:t>
      </w:r>
      <w:r>
        <w:rPr>
          <w:rFonts w:ascii="仿宋" w:hAnsi="仿宋" w:eastAsia="仿宋" w:cs="仿宋"/>
          <w:color w:val="auto"/>
          <w:sz w:val="24"/>
          <w:lang w:bidi="ar"/>
        </w:rPr>
        <w:t>需保证所供冻品符合国家食品安全标准，无兽药残留、重金属超标、微生物污染等问题，承担因所供冻品质量问题引起的一切食品安全事故后果。如产品抽检不合格，需立即启动溯源整改机制，无条件配合医院及监管部门的调查处理。</w:t>
      </w:r>
    </w:p>
    <w:p w14:paraId="0E5A28F4">
      <w:pPr>
        <w:widowControl/>
        <w:spacing w:line="360" w:lineRule="auto"/>
        <w:ind w:firstLine="482" w:firstLineChars="200"/>
        <w:rPr>
          <w:rFonts w:hint="eastAsia" w:ascii="仿宋" w:hAnsi="仿宋" w:eastAsia="仿宋" w:cs="仿宋"/>
          <w:b/>
          <w:bCs/>
          <w:color w:val="auto"/>
          <w:sz w:val="24"/>
          <w:lang w:bidi="ar"/>
        </w:rPr>
      </w:pPr>
      <w:r>
        <w:rPr>
          <w:rFonts w:ascii="仿宋" w:hAnsi="仿宋" w:eastAsia="仿宋" w:cs="仿宋"/>
          <w:b/>
          <w:bCs/>
          <w:color w:val="auto"/>
          <w:sz w:val="24"/>
          <w:lang w:bidi="ar"/>
        </w:rPr>
        <w:t>（四）豆制品类</w:t>
      </w:r>
    </w:p>
    <w:p w14:paraId="6D9880B4">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1.供货产品的质量要求：辅料、佐料类必须为优质货品，选用具有正常香气和口味、颗粒鲜艳饱满、富有光泽、无虫害霉变、无杂质的非转基因豆类，所加入食品添加剂、调味品应符合食品安全法的规定。</w:t>
      </w:r>
    </w:p>
    <w:p w14:paraId="36473F9A">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2.具体感官要求：从色泽看，表面光滑、色泽明亮；从形态看，具有豆制品本身所固有的形态，要求外形整齐、大小均匀一致、不散碎；从气味和滋味闻，具有特有的豆香味，不应有苦味、涩味、酸味及其它异味；经加入调味品的豆制品还应具有咸淡适口的滋味与香气。</w:t>
      </w:r>
    </w:p>
    <w:p w14:paraId="73F9E974">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3.食品供应链要求：豆制品来源应清晰，提供生产加工</w:t>
      </w:r>
      <w:r>
        <w:rPr>
          <w:rFonts w:hint="eastAsia" w:ascii="仿宋" w:hAnsi="仿宋" w:eastAsia="仿宋" w:cs="仿宋"/>
          <w:color w:val="auto"/>
          <w:sz w:val="24"/>
          <w:lang w:bidi="ar"/>
        </w:rPr>
        <w:t>/销售</w:t>
      </w:r>
      <w:r>
        <w:rPr>
          <w:rFonts w:ascii="仿宋" w:hAnsi="仿宋" w:eastAsia="仿宋" w:cs="仿宋"/>
          <w:color w:val="auto"/>
          <w:sz w:val="24"/>
          <w:lang w:bidi="ar"/>
        </w:rPr>
        <w:t>单位的营业执照和食品</w:t>
      </w:r>
      <w:r>
        <w:rPr>
          <w:rFonts w:hint="eastAsia" w:ascii="仿宋" w:hAnsi="仿宋" w:eastAsia="仿宋" w:cs="仿宋"/>
          <w:color w:val="auto"/>
          <w:sz w:val="24"/>
          <w:lang w:bidi="ar"/>
        </w:rPr>
        <w:t>生产/</w:t>
      </w:r>
      <w:r>
        <w:rPr>
          <w:rFonts w:ascii="仿宋" w:hAnsi="仿宋" w:eastAsia="仿宋" w:cs="仿宋"/>
          <w:color w:val="auto"/>
          <w:sz w:val="24"/>
          <w:lang w:bidi="ar"/>
        </w:rPr>
        <w:t>经营许可证的复印件并加盖公章以备留存。</w:t>
      </w:r>
    </w:p>
    <w:p w14:paraId="3692A477">
      <w:pPr>
        <w:widowControl/>
        <w:spacing w:line="360" w:lineRule="auto"/>
        <w:ind w:firstLine="482" w:firstLineChars="200"/>
        <w:rPr>
          <w:rFonts w:hint="eastAsia" w:ascii="仿宋" w:hAnsi="仿宋" w:eastAsia="仿宋" w:cs="仿宋"/>
          <w:b/>
          <w:bCs/>
          <w:color w:val="auto"/>
          <w:sz w:val="24"/>
          <w:lang w:bidi="ar"/>
        </w:rPr>
      </w:pPr>
      <w:r>
        <w:rPr>
          <w:rFonts w:ascii="仿宋" w:hAnsi="仿宋" w:eastAsia="仿宋" w:cs="仿宋"/>
          <w:b/>
          <w:bCs/>
          <w:color w:val="auto"/>
          <w:sz w:val="24"/>
          <w:lang w:bidi="ar"/>
        </w:rPr>
        <w:t>（五）奶制品</w:t>
      </w:r>
    </w:p>
    <w:p w14:paraId="57B8FA46">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医院使用的所有奶制品必须符合国家强制性食品安全标准。</w:t>
      </w:r>
    </w:p>
    <w:p w14:paraId="212BCB78">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1.基础产品标准：</w:t>
      </w:r>
    </w:p>
    <w:p w14:paraId="29785541">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乳粉与调制乳粉：必须符合 GB 19644-2024《食品安全国家标准 乳粉和调制乳粉》。该标准规定了各类乳粉（牛、羊、牦牛、骆驼等）的蛋白质、脂肪等理化指标，并明确要求产品标签必须标明“乳粉”或“调制乳粉”，以及奶畜品种，以防掺假和误导。</w:t>
      </w:r>
    </w:p>
    <w:p w14:paraId="289E7832">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液体乳：巴氏杀菌乳、灭菌乳、调制乳等需分别符合 GB 19645、GB 25190、GB 25191 等相应标准。</w:t>
      </w:r>
    </w:p>
    <w:p w14:paraId="6EE53AD4">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发酵乳：需符合 GB 19302 标准。</w:t>
      </w:r>
    </w:p>
    <w:p w14:paraId="67AA2D18">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2.通用安全标准：</w:t>
      </w:r>
    </w:p>
    <w:p w14:paraId="7A99DF30">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污染物与真菌毒素：需符合 GB 2762 和 GB 2761 的规定。</w:t>
      </w:r>
    </w:p>
    <w:p w14:paraId="351408C5">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微生物限量：致病菌限量需符合 GB 29921 的规定。</w:t>
      </w:r>
    </w:p>
    <w:p w14:paraId="0CC4E34D">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食品添加剂：使用范围和用量需符合 GB 2760 的规定。</w:t>
      </w:r>
    </w:p>
    <w:p w14:paraId="26381AAA">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3.采购与供应链规范</w:t>
      </w:r>
    </w:p>
    <w:p w14:paraId="01B65E5E">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医院的奶制品采购应遵循公开、透明、可追溯的原则，确保源头安全。</w:t>
      </w:r>
    </w:p>
    <w:p w14:paraId="2C11E78C">
      <w:pPr>
        <w:widowControl/>
        <w:spacing w:line="360" w:lineRule="auto"/>
        <w:ind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投标人</w:t>
      </w:r>
      <w:r>
        <w:rPr>
          <w:rFonts w:ascii="仿宋" w:hAnsi="仿宋" w:eastAsia="仿宋" w:cs="仿宋"/>
          <w:color w:val="auto"/>
          <w:sz w:val="24"/>
          <w:lang w:bidi="ar"/>
        </w:rPr>
        <w:t>资质：</w:t>
      </w:r>
      <w:r>
        <w:rPr>
          <w:rFonts w:hint="eastAsia" w:ascii="仿宋" w:hAnsi="仿宋" w:eastAsia="仿宋" w:cs="仿宋"/>
          <w:color w:val="auto"/>
          <w:sz w:val="24"/>
          <w:lang w:bidi="ar"/>
        </w:rPr>
        <w:t>投标人</w:t>
      </w:r>
      <w:r>
        <w:rPr>
          <w:rFonts w:ascii="仿宋" w:hAnsi="仿宋" w:eastAsia="仿宋" w:cs="仿宋"/>
          <w:color w:val="auto"/>
          <w:sz w:val="24"/>
          <w:lang w:bidi="ar"/>
        </w:rPr>
        <w:t>必须具备合法的经营资质，并能提供完整的产品合格证明、生产许可证（SC编码）和每批次产品的检验报告。</w:t>
      </w:r>
    </w:p>
    <w:p w14:paraId="47D854B2">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索证索票：严格执行《餐饮服务食品采购索证索票管理规定》，建立采购台账，确保所有奶制品来源清晰、可追溯。</w:t>
      </w:r>
    </w:p>
    <w:p w14:paraId="4C4DA703">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4.临床使用与管理要求</w:t>
      </w:r>
    </w:p>
    <w:p w14:paraId="3558863E">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医院环境下的奶制品管理，需特别关注临床应用的规范性和安全性。</w:t>
      </w:r>
    </w:p>
    <w:p w14:paraId="1195608D">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特殊医学用途配方食品的规范使用：对于确需使用特医食品的患儿，应在医生或临床营养师指导下，根据具体病情选择相应的配方（如乳蛋白深度水解配方、氨基酸配方等）。</w:t>
      </w:r>
    </w:p>
    <w:p w14:paraId="1F15B34E">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5.专业储存管理</w:t>
      </w:r>
    </w:p>
    <w:p w14:paraId="087FC109">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冷链产品：巴氏杀菌乳、发酵乳等需冷藏的奶制品，必须全程冷链运输和储存，入库后应立即放入冰箱冷藏（通常为2-6℃）。</w:t>
      </w:r>
    </w:p>
    <w:p w14:paraId="7D2907AB">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常温产品：灭菌乳、乳粉等可常温保存，但应存放于阴凉、干燥、通风良好的库房中，避免阳光直射和高温。</w:t>
      </w:r>
    </w:p>
    <w:p w14:paraId="77833AE6">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6.关键安全风险控制</w:t>
      </w:r>
    </w:p>
    <w:p w14:paraId="158359F1">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针对奶制品易出现的风险点，</w:t>
      </w:r>
      <w:r>
        <w:rPr>
          <w:rFonts w:hint="eastAsia" w:ascii="仿宋" w:hAnsi="仿宋" w:eastAsia="仿宋" w:cs="仿宋"/>
          <w:color w:val="auto"/>
          <w:sz w:val="24"/>
          <w:lang w:bidi="ar"/>
        </w:rPr>
        <w:t>投标人</w:t>
      </w:r>
      <w:r>
        <w:rPr>
          <w:rFonts w:ascii="仿宋" w:hAnsi="仿宋" w:eastAsia="仿宋" w:cs="仿宋"/>
          <w:color w:val="auto"/>
          <w:sz w:val="24"/>
          <w:lang w:bidi="ar"/>
        </w:rPr>
        <w:t>应建立专项控制措施。</w:t>
      </w:r>
    </w:p>
    <w:tbl>
      <w:tblPr>
        <w:tblStyle w:val="12"/>
        <w:tblW w:w="4999" w:type="pct"/>
        <w:tblCellSpacing w:w="15" w:type="dxa"/>
        <w:tblInd w:w="133" w:type="dxa"/>
        <w:tblLayout w:type="autofit"/>
        <w:tblCellMar>
          <w:top w:w="0" w:type="dxa"/>
          <w:left w:w="108" w:type="dxa"/>
          <w:bottom w:w="0" w:type="dxa"/>
          <w:right w:w="108" w:type="dxa"/>
        </w:tblCellMar>
      </w:tblPr>
      <w:tblGrid>
        <w:gridCol w:w="1266"/>
        <w:gridCol w:w="2920"/>
        <w:gridCol w:w="4434"/>
      </w:tblGrid>
      <w:tr w14:paraId="430F46BE">
        <w:tblPrEx>
          <w:tblCellMar>
            <w:top w:w="0" w:type="dxa"/>
            <w:left w:w="108" w:type="dxa"/>
            <w:bottom w:w="0" w:type="dxa"/>
            <w:right w:w="108" w:type="dxa"/>
          </w:tblCellMar>
        </w:tblPrEx>
        <w:trPr>
          <w:trHeight w:val="477" w:hRule="atLeast"/>
          <w:tblCellSpacing w:w="15" w:type="dxa"/>
        </w:trPr>
        <w:tc>
          <w:tcPr>
            <w:tcW w:w="708" w:type="pct"/>
            <w:tcBorders>
              <w:top w:val="single" w:color="000000" w:sz="8" w:space="0"/>
              <w:left w:val="single" w:color="000000" w:sz="8" w:space="0"/>
              <w:bottom w:val="single" w:color="000000" w:sz="8" w:space="0"/>
              <w:right w:val="single" w:color="000000" w:sz="8" w:space="0"/>
            </w:tcBorders>
            <w:vAlign w:val="center"/>
          </w:tcPr>
          <w:p w14:paraId="7C3D0C3B">
            <w:pPr>
              <w:widowControl/>
              <w:jc w:val="center"/>
              <w:textAlignment w:val="center"/>
              <w:rPr>
                <w:rFonts w:hint="eastAsia" w:ascii="仿宋" w:hAnsi="仿宋" w:eastAsia="仿宋" w:cs="仿宋"/>
                <w:b/>
                <w:bCs/>
                <w:color w:val="auto"/>
                <w:sz w:val="24"/>
              </w:rPr>
            </w:pPr>
            <w:r>
              <w:rPr>
                <w:rFonts w:hint="eastAsia" w:ascii="仿宋" w:hAnsi="仿宋" w:eastAsia="仿宋" w:cs="仿宋"/>
                <w:b/>
                <w:bCs/>
                <w:color w:val="auto"/>
                <w:kern w:val="0"/>
                <w:sz w:val="24"/>
                <w:lang w:bidi="ar"/>
              </w:rPr>
              <w:t>风险类别</w:t>
            </w:r>
          </w:p>
        </w:tc>
        <w:tc>
          <w:tcPr>
            <w:tcW w:w="1675" w:type="pct"/>
            <w:tcBorders>
              <w:top w:val="single" w:color="000000" w:sz="8" w:space="0"/>
              <w:left w:val="single" w:color="000000" w:sz="8" w:space="0"/>
              <w:bottom w:val="single" w:color="000000" w:sz="8" w:space="0"/>
              <w:right w:val="single" w:color="000000" w:sz="8" w:space="0"/>
            </w:tcBorders>
            <w:vAlign w:val="center"/>
          </w:tcPr>
          <w:p w14:paraId="3227342A">
            <w:pPr>
              <w:widowControl/>
              <w:ind w:firstLine="482" w:firstLineChars="200"/>
              <w:textAlignment w:val="center"/>
              <w:rPr>
                <w:rFonts w:hint="eastAsia" w:ascii="仿宋" w:hAnsi="仿宋" w:eastAsia="仿宋" w:cs="仿宋"/>
                <w:b/>
                <w:bCs/>
                <w:color w:val="auto"/>
                <w:sz w:val="24"/>
              </w:rPr>
            </w:pPr>
            <w:r>
              <w:rPr>
                <w:rFonts w:hint="eastAsia" w:ascii="仿宋" w:hAnsi="仿宋" w:eastAsia="仿宋" w:cs="仿宋"/>
                <w:b/>
                <w:bCs/>
                <w:color w:val="auto"/>
                <w:kern w:val="0"/>
                <w:sz w:val="24"/>
                <w:lang w:bidi="ar"/>
              </w:rPr>
              <w:t>具体表现</w:t>
            </w:r>
          </w:p>
        </w:tc>
        <w:tc>
          <w:tcPr>
            <w:tcW w:w="2544" w:type="pct"/>
            <w:tcBorders>
              <w:top w:val="single" w:color="000000" w:sz="8" w:space="0"/>
              <w:left w:val="single" w:color="000000" w:sz="8" w:space="0"/>
              <w:bottom w:val="single" w:color="000000" w:sz="8" w:space="0"/>
              <w:right w:val="single" w:color="000000" w:sz="8" w:space="0"/>
            </w:tcBorders>
            <w:vAlign w:val="center"/>
          </w:tcPr>
          <w:p w14:paraId="5B646074">
            <w:pPr>
              <w:widowControl/>
              <w:ind w:firstLine="482" w:firstLineChars="200"/>
              <w:jc w:val="center"/>
              <w:textAlignment w:val="center"/>
              <w:rPr>
                <w:rFonts w:hint="eastAsia" w:ascii="仿宋" w:hAnsi="仿宋" w:eastAsia="仿宋" w:cs="仿宋"/>
                <w:b/>
                <w:bCs/>
                <w:color w:val="auto"/>
                <w:sz w:val="24"/>
              </w:rPr>
            </w:pPr>
            <w:r>
              <w:rPr>
                <w:rFonts w:hint="eastAsia" w:ascii="仿宋" w:hAnsi="仿宋" w:eastAsia="仿宋" w:cs="仿宋"/>
                <w:b/>
                <w:bCs/>
                <w:color w:val="auto"/>
                <w:kern w:val="0"/>
                <w:sz w:val="24"/>
                <w:lang w:bidi="ar"/>
              </w:rPr>
              <w:t>控制措施</w:t>
            </w:r>
          </w:p>
        </w:tc>
      </w:tr>
      <w:tr w14:paraId="625CA36A">
        <w:tblPrEx>
          <w:tblCellMar>
            <w:top w:w="0" w:type="dxa"/>
            <w:left w:w="108" w:type="dxa"/>
            <w:bottom w:w="0" w:type="dxa"/>
            <w:right w:w="108" w:type="dxa"/>
          </w:tblCellMar>
        </w:tblPrEx>
        <w:trPr>
          <w:trHeight w:val="1341" w:hRule="atLeast"/>
          <w:tblCellSpacing w:w="15" w:type="dxa"/>
        </w:trPr>
        <w:tc>
          <w:tcPr>
            <w:tcW w:w="708" w:type="pct"/>
            <w:tcBorders>
              <w:top w:val="single" w:color="000000" w:sz="8" w:space="0"/>
              <w:left w:val="single" w:color="000000" w:sz="8" w:space="0"/>
              <w:bottom w:val="single" w:color="000000" w:sz="8" w:space="0"/>
              <w:right w:val="single" w:color="000000" w:sz="8" w:space="0"/>
            </w:tcBorders>
            <w:vAlign w:val="center"/>
          </w:tcPr>
          <w:p w14:paraId="4782B7F4">
            <w:pPr>
              <w:widowControl/>
              <w:jc w:val="center"/>
              <w:textAlignment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微生物</w:t>
            </w:r>
          </w:p>
          <w:p w14:paraId="7DC1A8D8">
            <w:pPr>
              <w:widowControl/>
              <w:jc w:val="center"/>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污染</w:t>
            </w:r>
          </w:p>
        </w:tc>
        <w:tc>
          <w:tcPr>
            <w:tcW w:w="1675" w:type="pct"/>
            <w:tcBorders>
              <w:top w:val="single" w:color="000000" w:sz="8" w:space="0"/>
              <w:left w:val="single" w:color="000000" w:sz="8" w:space="0"/>
              <w:bottom w:val="single" w:color="000000" w:sz="8" w:space="0"/>
              <w:right w:val="single" w:color="000000" w:sz="8" w:space="0"/>
            </w:tcBorders>
            <w:vAlign w:val="center"/>
          </w:tcPr>
          <w:p w14:paraId="052EE0EA">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菌落总数、大肠菌群超标，可能导致腹泻等食源性疾病。</w:t>
            </w:r>
          </w:p>
        </w:tc>
        <w:tc>
          <w:tcPr>
            <w:tcW w:w="2544" w:type="pct"/>
            <w:tcBorders>
              <w:top w:val="single" w:color="000000" w:sz="8" w:space="0"/>
              <w:left w:val="single" w:color="000000" w:sz="8" w:space="0"/>
              <w:bottom w:val="single" w:color="000000" w:sz="8" w:space="0"/>
              <w:right w:val="single" w:color="000000" w:sz="8" w:space="0"/>
            </w:tcBorders>
            <w:vAlign w:val="center"/>
          </w:tcPr>
          <w:p w14:paraId="36AFA16C">
            <w:pPr>
              <w:widowControl/>
              <w:ind w:firstLine="480" w:firstLineChars="200"/>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严格验收冷链产品的温度，检查包装是否完整，杜绝胀袋、破损产品入库。</w:t>
            </w:r>
          </w:p>
        </w:tc>
      </w:tr>
      <w:tr w14:paraId="4D9A270E">
        <w:tblPrEx>
          <w:tblCellMar>
            <w:top w:w="0" w:type="dxa"/>
            <w:left w:w="108" w:type="dxa"/>
            <w:bottom w:w="0" w:type="dxa"/>
            <w:right w:w="108" w:type="dxa"/>
          </w:tblCellMar>
        </w:tblPrEx>
        <w:trPr>
          <w:trHeight w:val="1241" w:hRule="atLeast"/>
          <w:tblCellSpacing w:w="15" w:type="dxa"/>
        </w:trPr>
        <w:tc>
          <w:tcPr>
            <w:tcW w:w="708" w:type="pct"/>
            <w:tcBorders>
              <w:top w:val="single" w:color="000000" w:sz="8" w:space="0"/>
              <w:left w:val="single" w:color="000000" w:sz="8" w:space="0"/>
              <w:bottom w:val="single" w:color="000000" w:sz="8" w:space="0"/>
              <w:right w:val="single" w:color="000000" w:sz="8" w:space="0"/>
            </w:tcBorders>
            <w:vAlign w:val="center"/>
          </w:tcPr>
          <w:p w14:paraId="48A0C6E5">
            <w:pPr>
              <w:widowControl/>
              <w:jc w:val="center"/>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掺杂掺假</w:t>
            </w:r>
          </w:p>
        </w:tc>
        <w:tc>
          <w:tcPr>
            <w:tcW w:w="1675" w:type="pct"/>
            <w:tcBorders>
              <w:top w:val="single" w:color="000000" w:sz="8" w:space="0"/>
              <w:left w:val="single" w:color="000000" w:sz="8" w:space="0"/>
              <w:bottom w:val="single" w:color="000000" w:sz="8" w:space="0"/>
              <w:right w:val="single" w:color="000000" w:sz="8" w:space="0"/>
            </w:tcBorders>
            <w:vAlign w:val="center"/>
          </w:tcPr>
          <w:p w14:paraId="4F21DCD2">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用廉价动物奶（如部分水牛奶）冒充牛奶，或非法添加物。</w:t>
            </w:r>
          </w:p>
        </w:tc>
        <w:tc>
          <w:tcPr>
            <w:tcW w:w="2544" w:type="pct"/>
            <w:tcBorders>
              <w:top w:val="single" w:color="000000" w:sz="8" w:space="0"/>
              <w:left w:val="single" w:color="000000" w:sz="8" w:space="0"/>
              <w:bottom w:val="single" w:color="000000" w:sz="8" w:space="0"/>
              <w:right w:val="single" w:color="000000" w:sz="8" w:space="0"/>
            </w:tcBorders>
            <w:vAlign w:val="center"/>
          </w:tcPr>
          <w:p w14:paraId="78965989">
            <w:pPr>
              <w:widowControl/>
              <w:ind w:firstLine="480" w:firstLineChars="200"/>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核对产品标签、配料表和执行标准，优先选择信誉良好的大品牌，必要时可抽样送检。</w:t>
            </w:r>
          </w:p>
        </w:tc>
      </w:tr>
      <w:tr w14:paraId="77021BD1">
        <w:tblPrEx>
          <w:tblCellMar>
            <w:top w:w="0" w:type="dxa"/>
            <w:left w:w="108" w:type="dxa"/>
            <w:bottom w:w="0" w:type="dxa"/>
            <w:right w:w="108" w:type="dxa"/>
          </w:tblCellMar>
        </w:tblPrEx>
        <w:trPr>
          <w:trHeight w:val="1383" w:hRule="atLeast"/>
          <w:tblCellSpacing w:w="15" w:type="dxa"/>
        </w:trPr>
        <w:tc>
          <w:tcPr>
            <w:tcW w:w="708" w:type="pct"/>
            <w:tcBorders>
              <w:top w:val="single" w:color="000000" w:sz="8" w:space="0"/>
              <w:left w:val="single" w:color="000000" w:sz="8" w:space="0"/>
              <w:bottom w:val="single" w:color="000000" w:sz="8" w:space="0"/>
              <w:right w:val="single" w:color="000000" w:sz="8" w:space="0"/>
            </w:tcBorders>
            <w:vAlign w:val="center"/>
          </w:tcPr>
          <w:p w14:paraId="52D1019F">
            <w:pPr>
              <w:widowControl/>
              <w:jc w:val="center"/>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品质劣变</w:t>
            </w:r>
          </w:p>
        </w:tc>
        <w:tc>
          <w:tcPr>
            <w:tcW w:w="1675" w:type="pct"/>
            <w:tcBorders>
              <w:top w:val="single" w:color="000000" w:sz="8" w:space="0"/>
              <w:left w:val="single" w:color="000000" w:sz="8" w:space="0"/>
              <w:bottom w:val="single" w:color="000000" w:sz="8" w:space="0"/>
              <w:right w:val="single" w:color="000000" w:sz="8" w:space="0"/>
            </w:tcBorders>
            <w:vAlign w:val="center"/>
          </w:tcPr>
          <w:p w14:paraId="585AD5C4">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脂肪氧化导致酸败、结块、异味，营养价值降低。</w:t>
            </w:r>
          </w:p>
        </w:tc>
        <w:tc>
          <w:tcPr>
            <w:tcW w:w="2544" w:type="pct"/>
            <w:tcBorders>
              <w:top w:val="single" w:color="000000" w:sz="8" w:space="0"/>
              <w:left w:val="single" w:color="000000" w:sz="8" w:space="0"/>
              <w:bottom w:val="single" w:color="000000" w:sz="8" w:space="0"/>
              <w:right w:val="single" w:color="000000" w:sz="8" w:space="0"/>
            </w:tcBorders>
            <w:vAlign w:val="center"/>
          </w:tcPr>
          <w:p w14:paraId="64C2B8BC">
            <w:pPr>
              <w:widowControl/>
              <w:ind w:firstLine="480" w:firstLineChars="200"/>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遵循“先进先出”原则，定期检查库存产品，开封后尽快使用完毕。</w:t>
            </w:r>
          </w:p>
        </w:tc>
      </w:tr>
      <w:tr w14:paraId="7A830E3F">
        <w:tblPrEx>
          <w:tblCellMar>
            <w:top w:w="0" w:type="dxa"/>
            <w:left w:w="108" w:type="dxa"/>
            <w:bottom w:w="0" w:type="dxa"/>
            <w:right w:w="108" w:type="dxa"/>
          </w:tblCellMar>
        </w:tblPrEx>
        <w:trPr>
          <w:trHeight w:val="1226" w:hRule="atLeast"/>
          <w:tblCellSpacing w:w="15" w:type="dxa"/>
        </w:trPr>
        <w:tc>
          <w:tcPr>
            <w:tcW w:w="708" w:type="pct"/>
            <w:tcBorders>
              <w:top w:val="single" w:color="000000" w:sz="8" w:space="0"/>
              <w:left w:val="single" w:color="000000" w:sz="8" w:space="0"/>
              <w:bottom w:val="single" w:color="000000" w:sz="8" w:space="0"/>
              <w:right w:val="single" w:color="000000" w:sz="8" w:space="0"/>
            </w:tcBorders>
            <w:vAlign w:val="center"/>
          </w:tcPr>
          <w:p w14:paraId="717567C9">
            <w:pPr>
              <w:widowControl/>
              <w:jc w:val="center"/>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标签误导</w:t>
            </w:r>
          </w:p>
        </w:tc>
        <w:tc>
          <w:tcPr>
            <w:tcW w:w="1675" w:type="pct"/>
            <w:tcBorders>
              <w:top w:val="single" w:color="000000" w:sz="8" w:space="0"/>
              <w:left w:val="single" w:color="000000" w:sz="8" w:space="0"/>
              <w:bottom w:val="single" w:color="000000" w:sz="8" w:space="0"/>
              <w:right w:val="single" w:color="000000" w:sz="8" w:space="0"/>
            </w:tcBorders>
            <w:vAlign w:val="center"/>
          </w:tcPr>
          <w:p w14:paraId="0D6920DE">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将“含乳饮料”（执行标准GB/T 21732）误认为“液体乳”。</w:t>
            </w:r>
          </w:p>
        </w:tc>
        <w:tc>
          <w:tcPr>
            <w:tcW w:w="2544" w:type="pct"/>
            <w:tcBorders>
              <w:top w:val="single" w:color="000000" w:sz="8" w:space="0"/>
              <w:left w:val="single" w:color="000000" w:sz="8" w:space="0"/>
              <w:bottom w:val="single" w:color="000000" w:sz="8" w:space="0"/>
              <w:right w:val="single" w:color="000000" w:sz="8" w:space="0"/>
            </w:tcBorders>
            <w:vAlign w:val="center"/>
          </w:tcPr>
          <w:p w14:paraId="4FF8ACA5">
            <w:pPr>
              <w:widowControl/>
              <w:ind w:firstLine="480" w:firstLineChars="200"/>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培训采购和营养科人员，学会通过产品名称、配料表（生牛乳应排在第一位）和蛋白质含量（液体乳通常≥2.3g/100g）来区分。</w:t>
            </w:r>
          </w:p>
        </w:tc>
      </w:tr>
    </w:tbl>
    <w:p w14:paraId="1C9E679B">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7.感官与标签验收标准</w:t>
      </w:r>
    </w:p>
    <w:p w14:paraId="5F2EC3AB">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在日常验收中，可通过感官和标签检查进行快速筛查。</w:t>
      </w:r>
    </w:p>
    <w:p w14:paraId="40DDD88F">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（1）标签检查：</w:t>
      </w:r>
    </w:p>
    <w:p w14:paraId="551DA5A1">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完整性：必须有食品名称、配料表、生产日期、保质期、生产者信息、SC编号等。</w:t>
      </w:r>
    </w:p>
    <w:p w14:paraId="31D251D6">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真实性：产品名称应反映真实属性，如“全脂乳粉”、“调制羊乳粉”。</w:t>
      </w:r>
    </w:p>
    <w:p w14:paraId="12F9224E">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合规性：进口产品必须有中文标签。</w:t>
      </w:r>
    </w:p>
    <w:p w14:paraId="3C0AC983">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（2）感官检查：</w:t>
      </w:r>
    </w:p>
    <w:p w14:paraId="6BF1A1F7">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液体乳/发酵乳：包装无破损、无泄漏、无胀气。色泽均匀，呈乳白色或乳黄色。组织状态均匀，无凝块、无絮状沉淀。气味正常，无酸败味、霉味或其他异味。</w:t>
      </w:r>
    </w:p>
    <w:p w14:paraId="4E9E44C8">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乳粉：包装完好。粉质干燥、细腻、色泽均匀。冲调后无结块，气味和滋味正常。</w:t>
      </w:r>
    </w:p>
    <w:p w14:paraId="34F80BEA">
      <w:pPr>
        <w:widowControl/>
        <w:spacing w:line="360" w:lineRule="auto"/>
        <w:ind w:firstLine="482" w:firstLineChars="200"/>
        <w:rPr>
          <w:rFonts w:hint="eastAsia" w:ascii="仿宋" w:hAnsi="仿宋" w:eastAsia="仿宋" w:cs="仿宋"/>
          <w:b/>
          <w:bCs/>
          <w:color w:val="auto"/>
          <w:sz w:val="24"/>
          <w:lang w:bidi="ar"/>
        </w:rPr>
      </w:pPr>
      <w:r>
        <w:rPr>
          <w:rFonts w:ascii="仿宋" w:hAnsi="仿宋" w:eastAsia="仿宋" w:cs="仿宋"/>
          <w:b/>
          <w:bCs/>
          <w:color w:val="auto"/>
          <w:sz w:val="24"/>
          <w:lang w:bidi="ar"/>
        </w:rPr>
        <w:t>（六）熟食类</w:t>
      </w:r>
    </w:p>
    <w:p w14:paraId="395D259B">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1.供应产品的质量要求：所提供的产品应保持较好的外观和质量等级，符合国家食品安全标准，不能检测出有毒有害的、违反《中华人民共和国食品安全法》规定的化学制剂/添加剂，原料保证来源于正规肉联厂/地方政府相关部门监管的供应场。</w:t>
      </w:r>
    </w:p>
    <w:p w14:paraId="36977454">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2.具体感官要求：从肉眼看，符合熟食本身应有的颜色和外观；从嗅觉闻，符合熟食本身特有的肉脂香味和烧腊本身的香料味。</w:t>
      </w:r>
    </w:p>
    <w:p w14:paraId="7AC77A8A">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3.食品供应链要求：所有食品的来源应清晰，提供熟食</w:t>
      </w:r>
      <w:r>
        <w:rPr>
          <w:rFonts w:hint="eastAsia" w:ascii="仿宋" w:hAnsi="仿宋" w:eastAsia="仿宋" w:cs="仿宋"/>
          <w:color w:val="auto"/>
          <w:sz w:val="24"/>
          <w:lang w:bidi="ar"/>
        </w:rPr>
        <w:t>投标人</w:t>
      </w:r>
      <w:r>
        <w:rPr>
          <w:rFonts w:ascii="仿宋" w:hAnsi="仿宋" w:eastAsia="仿宋" w:cs="仿宋"/>
          <w:color w:val="auto"/>
          <w:sz w:val="24"/>
          <w:lang w:bidi="ar"/>
        </w:rPr>
        <w:t>的营业执照和《食品经营许可证》复印件并加盖公章。</w:t>
      </w:r>
    </w:p>
    <w:p w14:paraId="3894EB54">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（七）</w:t>
      </w:r>
      <w:r>
        <w:rPr>
          <w:rFonts w:hint="eastAsia" w:ascii="仿宋" w:hAnsi="仿宋" w:eastAsia="仿宋" w:cs="仿宋"/>
          <w:color w:val="auto"/>
          <w:sz w:val="24"/>
          <w:lang w:bidi="ar"/>
        </w:rPr>
        <w:t>投标人</w:t>
      </w:r>
      <w:r>
        <w:rPr>
          <w:rFonts w:ascii="仿宋" w:hAnsi="仿宋" w:eastAsia="仿宋" w:cs="仿宋"/>
          <w:color w:val="auto"/>
          <w:sz w:val="24"/>
          <w:lang w:bidi="ar"/>
        </w:rPr>
        <w:t>提供货物时应符合下列的《生产（供应）企业资质证明》</w:t>
      </w:r>
    </w:p>
    <w:p w14:paraId="18866373">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1.</w:t>
      </w:r>
      <w:r>
        <w:rPr>
          <w:rFonts w:hint="eastAsia" w:ascii="仿宋" w:hAnsi="仿宋" w:eastAsia="仿宋" w:cs="仿宋"/>
          <w:color w:val="auto"/>
          <w:sz w:val="24"/>
          <w:lang w:bidi="ar"/>
        </w:rPr>
        <w:t>投标人</w:t>
      </w:r>
      <w:r>
        <w:rPr>
          <w:rFonts w:ascii="仿宋" w:hAnsi="仿宋" w:eastAsia="仿宋" w:cs="仿宋"/>
          <w:color w:val="auto"/>
          <w:sz w:val="24"/>
          <w:lang w:bidi="ar"/>
        </w:rPr>
        <w:t>准入资质（首次签约/供货时提供）</w:t>
      </w:r>
    </w:p>
    <w:p w14:paraId="4CE53DEC">
      <w:pPr>
        <w:widowControl/>
        <w:spacing w:line="360" w:lineRule="auto"/>
        <w:ind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投标人</w:t>
      </w:r>
      <w:r>
        <w:rPr>
          <w:rFonts w:ascii="仿宋" w:hAnsi="仿宋" w:eastAsia="仿宋" w:cs="仿宋"/>
          <w:color w:val="auto"/>
          <w:sz w:val="24"/>
          <w:lang w:bidi="ar"/>
        </w:rPr>
        <w:t>必须提供以下基础资质，且必须在有效期内：</w:t>
      </w:r>
    </w:p>
    <w:tbl>
      <w:tblPr>
        <w:tblStyle w:val="12"/>
        <w:tblW w:w="4999" w:type="pct"/>
        <w:tblInd w:w="0" w:type="dxa"/>
        <w:tblLayout w:type="autofit"/>
        <w:tblCellMar>
          <w:top w:w="0" w:type="dxa"/>
          <w:left w:w="108" w:type="dxa"/>
          <w:bottom w:w="0" w:type="dxa"/>
          <w:right w:w="108" w:type="dxa"/>
        </w:tblCellMar>
      </w:tblPr>
      <w:tblGrid>
        <w:gridCol w:w="1368"/>
        <w:gridCol w:w="7152"/>
      </w:tblGrid>
      <w:tr w14:paraId="68FF99CA">
        <w:tblPrEx>
          <w:tblCellMar>
            <w:top w:w="0" w:type="dxa"/>
            <w:left w:w="108" w:type="dxa"/>
            <w:bottom w:w="0" w:type="dxa"/>
            <w:right w:w="108" w:type="dxa"/>
          </w:tblCellMar>
        </w:tblPrEx>
        <w:trPr>
          <w:trHeight w:val="300" w:hRule="atLeast"/>
        </w:trPr>
        <w:tc>
          <w:tcPr>
            <w:tcW w:w="803" w:type="pct"/>
            <w:tcBorders>
              <w:top w:val="single" w:color="000000" w:sz="8" w:space="0"/>
              <w:left w:val="single" w:color="000000" w:sz="8" w:space="0"/>
              <w:bottom w:val="single" w:color="000000" w:sz="8" w:space="0"/>
              <w:right w:val="single" w:color="000000" w:sz="8" w:space="0"/>
            </w:tcBorders>
            <w:vAlign w:val="center"/>
          </w:tcPr>
          <w:p w14:paraId="5B1BC2B9">
            <w:pPr>
              <w:widowControl/>
              <w:jc w:val="center"/>
              <w:textAlignment w:val="center"/>
              <w:rPr>
                <w:rFonts w:hint="eastAsia" w:ascii="仿宋" w:hAnsi="仿宋" w:eastAsia="仿宋" w:cs="仿宋"/>
                <w:b/>
                <w:bCs/>
                <w:color w:val="auto"/>
                <w:sz w:val="24"/>
              </w:rPr>
            </w:pPr>
            <w:r>
              <w:rPr>
                <w:rFonts w:hint="eastAsia" w:ascii="仿宋" w:hAnsi="仿宋" w:eastAsia="仿宋" w:cs="仿宋"/>
                <w:b/>
                <w:bCs/>
                <w:color w:val="auto"/>
                <w:kern w:val="0"/>
                <w:sz w:val="24"/>
                <w:lang w:bidi="ar"/>
              </w:rPr>
              <w:t>供应类别</w:t>
            </w:r>
          </w:p>
        </w:tc>
        <w:tc>
          <w:tcPr>
            <w:tcW w:w="4196" w:type="pct"/>
            <w:tcBorders>
              <w:top w:val="single" w:color="000000" w:sz="8" w:space="0"/>
              <w:left w:val="single" w:color="000000" w:sz="8" w:space="0"/>
              <w:bottom w:val="single" w:color="000000" w:sz="8" w:space="0"/>
              <w:right w:val="single" w:color="000000" w:sz="8" w:space="0"/>
            </w:tcBorders>
            <w:vAlign w:val="center"/>
          </w:tcPr>
          <w:p w14:paraId="3D354734">
            <w:pPr>
              <w:widowControl/>
              <w:jc w:val="center"/>
              <w:textAlignment w:val="center"/>
              <w:rPr>
                <w:rFonts w:hint="eastAsia" w:ascii="仿宋" w:hAnsi="仿宋" w:eastAsia="仿宋" w:cs="仿宋"/>
                <w:b/>
                <w:bCs/>
                <w:color w:val="auto"/>
                <w:sz w:val="24"/>
              </w:rPr>
            </w:pPr>
            <w:r>
              <w:rPr>
                <w:rFonts w:hint="eastAsia" w:ascii="仿宋" w:hAnsi="仿宋" w:eastAsia="仿宋" w:cs="仿宋"/>
                <w:b/>
                <w:bCs/>
                <w:color w:val="auto"/>
                <w:kern w:val="0"/>
                <w:sz w:val="24"/>
                <w:lang w:bidi="ar"/>
              </w:rPr>
              <w:t>必须具备的资质证明</w:t>
            </w:r>
          </w:p>
        </w:tc>
      </w:tr>
      <w:tr w14:paraId="2174F312">
        <w:tblPrEx>
          <w:tblCellMar>
            <w:top w:w="0" w:type="dxa"/>
            <w:left w:w="108" w:type="dxa"/>
            <w:bottom w:w="0" w:type="dxa"/>
            <w:right w:w="108" w:type="dxa"/>
          </w:tblCellMar>
        </w:tblPrEx>
        <w:trPr>
          <w:trHeight w:val="600" w:hRule="atLeast"/>
        </w:trPr>
        <w:tc>
          <w:tcPr>
            <w:tcW w:w="803" w:type="pct"/>
            <w:vMerge w:val="restart"/>
            <w:tcBorders>
              <w:top w:val="single" w:color="000000" w:sz="8" w:space="0"/>
              <w:left w:val="single" w:color="000000" w:sz="8" w:space="0"/>
              <w:bottom w:val="single" w:color="000000" w:sz="8" w:space="0"/>
              <w:right w:val="single" w:color="000000" w:sz="8" w:space="0"/>
            </w:tcBorders>
            <w:vAlign w:val="center"/>
          </w:tcPr>
          <w:p w14:paraId="605D67F5">
            <w:pPr>
              <w:widowControl/>
              <w:jc w:val="center"/>
              <w:textAlignment w:val="center"/>
              <w:rPr>
                <w:rFonts w:hint="eastAsia" w:ascii="仿宋" w:hAnsi="仿宋" w:eastAsia="仿宋" w:cs="仿宋"/>
                <w:b/>
                <w:bCs/>
                <w:color w:val="auto"/>
                <w:sz w:val="24"/>
              </w:rPr>
            </w:pPr>
            <w:r>
              <w:rPr>
                <w:rFonts w:hint="eastAsia" w:ascii="仿宋" w:hAnsi="仿宋" w:eastAsia="仿宋" w:cs="仿宋"/>
                <w:b/>
                <w:bCs/>
                <w:color w:val="auto"/>
                <w:kern w:val="0"/>
                <w:sz w:val="24"/>
                <w:lang w:bidi="ar"/>
              </w:rPr>
              <w:t>通用要求</w:t>
            </w:r>
          </w:p>
        </w:tc>
        <w:tc>
          <w:tcPr>
            <w:tcW w:w="4196" w:type="pct"/>
            <w:tcBorders>
              <w:top w:val="single" w:color="000000" w:sz="8" w:space="0"/>
              <w:left w:val="single" w:color="000000" w:sz="8" w:space="0"/>
              <w:bottom w:val="nil"/>
              <w:right w:val="single" w:color="000000" w:sz="8" w:space="0"/>
            </w:tcBorders>
            <w:vAlign w:val="center"/>
          </w:tcPr>
          <w:p w14:paraId="50FBA42D">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1. 《营业执照》（经营范围含相关品类）</w:t>
            </w:r>
          </w:p>
        </w:tc>
      </w:tr>
      <w:tr w14:paraId="12B90ED6">
        <w:tblPrEx>
          <w:tblCellMar>
            <w:top w:w="0" w:type="dxa"/>
            <w:left w:w="108" w:type="dxa"/>
            <w:bottom w:w="0" w:type="dxa"/>
            <w:right w:w="108" w:type="dxa"/>
          </w:tblCellMar>
        </w:tblPrEx>
        <w:trPr>
          <w:trHeight w:val="1155" w:hRule="atLeast"/>
        </w:trPr>
        <w:tc>
          <w:tcPr>
            <w:tcW w:w="803" w:type="pct"/>
            <w:vMerge w:val="continue"/>
            <w:tcBorders>
              <w:top w:val="single" w:color="000000" w:sz="8" w:space="0"/>
              <w:left w:val="single" w:color="000000" w:sz="8" w:space="0"/>
              <w:bottom w:val="single" w:color="000000" w:sz="8" w:space="0"/>
              <w:right w:val="single" w:color="000000" w:sz="8" w:space="0"/>
            </w:tcBorders>
            <w:vAlign w:val="center"/>
          </w:tcPr>
          <w:p w14:paraId="400EC1D3">
            <w:pPr>
              <w:jc w:val="center"/>
              <w:rPr>
                <w:rFonts w:hint="eastAsia" w:ascii="仿宋" w:hAnsi="仿宋" w:eastAsia="仿宋" w:cs="仿宋"/>
                <w:b/>
                <w:bCs/>
                <w:color w:val="auto"/>
                <w:sz w:val="24"/>
              </w:rPr>
            </w:pPr>
          </w:p>
        </w:tc>
        <w:tc>
          <w:tcPr>
            <w:tcW w:w="4196" w:type="pct"/>
            <w:tcBorders>
              <w:top w:val="nil"/>
              <w:left w:val="single" w:color="000000" w:sz="8" w:space="0"/>
              <w:bottom w:val="single" w:color="000000" w:sz="8" w:space="0"/>
              <w:right w:val="single" w:color="000000" w:sz="8" w:space="0"/>
            </w:tcBorders>
            <w:vAlign w:val="center"/>
          </w:tcPr>
          <w:p w14:paraId="397980EF">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2. 《食品经营许可证》或《食品生产许可证》（或仅销售预包装食品备案证明）</w:t>
            </w:r>
          </w:p>
        </w:tc>
      </w:tr>
      <w:tr w14:paraId="25468B71">
        <w:tblPrEx>
          <w:tblCellMar>
            <w:top w:w="0" w:type="dxa"/>
            <w:left w:w="108" w:type="dxa"/>
            <w:bottom w:w="0" w:type="dxa"/>
            <w:right w:w="108" w:type="dxa"/>
          </w:tblCellMar>
        </w:tblPrEx>
        <w:trPr>
          <w:trHeight w:val="1440" w:hRule="atLeast"/>
        </w:trPr>
        <w:tc>
          <w:tcPr>
            <w:tcW w:w="803" w:type="pct"/>
            <w:tcBorders>
              <w:top w:val="single" w:color="000000" w:sz="8" w:space="0"/>
              <w:left w:val="single" w:color="000000" w:sz="8" w:space="0"/>
              <w:bottom w:val="single" w:color="000000" w:sz="8" w:space="0"/>
              <w:right w:val="single" w:color="000000" w:sz="8" w:space="0"/>
            </w:tcBorders>
            <w:vAlign w:val="center"/>
          </w:tcPr>
          <w:p w14:paraId="0EAAC27D">
            <w:pPr>
              <w:widowControl/>
              <w:jc w:val="center"/>
              <w:textAlignment w:val="center"/>
              <w:rPr>
                <w:rFonts w:hint="eastAsia" w:ascii="仿宋" w:hAnsi="仿宋" w:eastAsia="仿宋" w:cs="仿宋"/>
                <w:b/>
                <w:bCs/>
                <w:color w:val="auto"/>
                <w:sz w:val="24"/>
              </w:rPr>
            </w:pPr>
            <w:r>
              <w:rPr>
                <w:rFonts w:hint="eastAsia" w:ascii="仿宋" w:hAnsi="仿宋" w:eastAsia="仿宋" w:cs="仿宋"/>
                <w:b/>
                <w:bCs/>
                <w:color w:val="auto"/>
                <w:kern w:val="0"/>
                <w:sz w:val="24"/>
                <w:lang w:bidi="ar"/>
              </w:rPr>
              <w:t>特殊补充</w:t>
            </w:r>
          </w:p>
        </w:tc>
        <w:tc>
          <w:tcPr>
            <w:tcW w:w="4196" w:type="pct"/>
            <w:tcBorders>
              <w:top w:val="single" w:color="000000" w:sz="8" w:space="0"/>
              <w:left w:val="single" w:color="000000" w:sz="8" w:space="0"/>
              <w:bottom w:val="single" w:color="000000" w:sz="8" w:space="0"/>
              <w:right w:val="single" w:color="000000" w:sz="8" w:space="0"/>
            </w:tcBorders>
            <w:vAlign w:val="center"/>
          </w:tcPr>
          <w:p w14:paraId="779E4D48">
            <w:pPr>
              <w:widowControl/>
              <w:jc w:val="left"/>
              <w:textAlignment w:val="center"/>
              <w:rPr>
                <w:rFonts w:hint="eastAsia" w:ascii="仿宋" w:hAnsi="仿宋" w:eastAsia="仿宋" w:cs="仿宋"/>
                <w:b/>
                <w:bCs/>
                <w:color w:val="auto"/>
                <w:sz w:val="24"/>
              </w:rPr>
            </w:pPr>
            <w:r>
              <w:rPr>
                <w:rFonts w:hint="eastAsia" w:ascii="仿宋" w:hAnsi="仿宋" w:eastAsia="仿宋" w:cs="仿宋"/>
                <w:b/>
                <w:bCs/>
                <w:color w:val="auto"/>
                <w:kern w:val="0"/>
                <w:sz w:val="24"/>
                <w:lang w:bidi="ar"/>
              </w:rPr>
              <w:t>畜禽/肉类乙方</w:t>
            </w:r>
            <w:r>
              <w:rPr>
                <w:rFonts w:hint="eastAsia" w:ascii="仿宋" w:hAnsi="仿宋" w:eastAsia="仿宋" w:cs="仿宋"/>
                <w:color w:val="auto"/>
                <w:kern w:val="0"/>
                <w:sz w:val="24"/>
                <w:lang w:bidi="ar"/>
              </w:rPr>
              <w:t>：若为屠宰场直供，需提供《动物防疫条件合格证》；若为贸易商，需确保上游来源具备此证。</w:t>
            </w:r>
          </w:p>
        </w:tc>
      </w:tr>
    </w:tbl>
    <w:p w14:paraId="6A6DF744">
      <w:pPr>
        <w:widowControl/>
        <w:spacing w:line="360" w:lineRule="auto"/>
        <w:ind w:firstLine="480" w:firstLineChars="200"/>
        <w:rPr>
          <w:rFonts w:hint="eastAsia" w:ascii="仿宋" w:hAnsi="仿宋" w:eastAsia="仿宋" w:cs="仿宋"/>
          <w:color w:val="auto"/>
          <w:sz w:val="24"/>
          <w:lang w:bidi="ar"/>
        </w:rPr>
      </w:pPr>
    </w:p>
    <w:p w14:paraId="4F9F97D7">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2.</w:t>
      </w:r>
      <w:r>
        <w:rPr>
          <w:rFonts w:hint="eastAsia" w:ascii="仿宋" w:hAnsi="仿宋" w:eastAsia="仿宋" w:cs="仿宋"/>
          <w:color w:val="auto"/>
          <w:sz w:val="24"/>
          <w:lang w:bidi="ar"/>
        </w:rPr>
        <w:t>票证要求</w:t>
      </w:r>
    </w:p>
    <w:tbl>
      <w:tblPr>
        <w:tblStyle w:val="12"/>
        <w:tblW w:w="4995" w:type="pct"/>
        <w:tblInd w:w="0" w:type="dxa"/>
        <w:tblLayout w:type="autofit"/>
        <w:tblCellMar>
          <w:top w:w="0" w:type="dxa"/>
          <w:left w:w="108" w:type="dxa"/>
          <w:bottom w:w="0" w:type="dxa"/>
          <w:right w:w="108" w:type="dxa"/>
        </w:tblCellMar>
      </w:tblPr>
      <w:tblGrid>
        <w:gridCol w:w="2404"/>
        <w:gridCol w:w="3076"/>
        <w:gridCol w:w="3033"/>
      </w:tblGrid>
      <w:tr w14:paraId="7D2BB21A">
        <w:tblPrEx>
          <w:tblCellMar>
            <w:top w:w="0" w:type="dxa"/>
            <w:left w:w="108" w:type="dxa"/>
            <w:bottom w:w="0" w:type="dxa"/>
            <w:right w:w="108" w:type="dxa"/>
          </w:tblCellMar>
        </w:tblPrEx>
        <w:trPr>
          <w:trHeight w:val="584" w:hRule="atLeast"/>
          <w:tblHeader/>
        </w:trPr>
        <w:tc>
          <w:tcPr>
            <w:tcW w:w="1412" w:type="pct"/>
            <w:tcBorders>
              <w:top w:val="single" w:color="000000" w:sz="8" w:space="0"/>
              <w:left w:val="single" w:color="000000" w:sz="8" w:space="0"/>
              <w:bottom w:val="single" w:color="000000" w:sz="8" w:space="0"/>
              <w:right w:val="single" w:color="000000" w:sz="8" w:space="0"/>
            </w:tcBorders>
            <w:vAlign w:val="center"/>
          </w:tcPr>
          <w:p w14:paraId="570A1C8A">
            <w:pPr>
              <w:widowControl/>
              <w:jc w:val="center"/>
              <w:textAlignment w:val="center"/>
              <w:rPr>
                <w:rFonts w:hint="eastAsia" w:ascii="仿宋" w:hAnsi="仿宋" w:eastAsia="仿宋" w:cs="仿宋"/>
                <w:b/>
                <w:bCs/>
                <w:color w:val="auto"/>
                <w:sz w:val="24"/>
              </w:rPr>
            </w:pPr>
            <w:r>
              <w:rPr>
                <w:rFonts w:hint="eastAsia" w:ascii="仿宋" w:hAnsi="仿宋" w:eastAsia="仿宋" w:cs="仿宋"/>
                <w:b/>
                <w:bCs/>
                <w:color w:val="auto"/>
                <w:kern w:val="0"/>
                <w:sz w:val="24"/>
                <w:lang w:bidi="ar"/>
              </w:rPr>
              <w:t>货物类别</w:t>
            </w:r>
          </w:p>
        </w:tc>
        <w:tc>
          <w:tcPr>
            <w:tcW w:w="1806" w:type="pct"/>
            <w:tcBorders>
              <w:top w:val="single" w:color="000000" w:sz="8" w:space="0"/>
              <w:left w:val="single" w:color="000000" w:sz="8" w:space="0"/>
              <w:bottom w:val="single" w:color="000000" w:sz="4" w:space="0"/>
              <w:right w:val="single" w:color="000000" w:sz="8" w:space="0"/>
            </w:tcBorders>
            <w:vAlign w:val="center"/>
          </w:tcPr>
          <w:p w14:paraId="4D05F3DD">
            <w:pPr>
              <w:widowControl/>
              <w:jc w:val="center"/>
              <w:textAlignment w:val="center"/>
              <w:rPr>
                <w:rFonts w:hint="eastAsia" w:ascii="仿宋" w:hAnsi="仿宋" w:eastAsia="仿宋" w:cs="仿宋"/>
                <w:b/>
                <w:bCs/>
                <w:color w:val="auto"/>
                <w:sz w:val="24"/>
              </w:rPr>
            </w:pPr>
            <w:r>
              <w:rPr>
                <w:rFonts w:hint="eastAsia" w:ascii="仿宋" w:hAnsi="仿宋" w:eastAsia="仿宋" w:cs="仿宋"/>
                <w:b/>
                <w:bCs/>
                <w:color w:val="auto"/>
                <w:kern w:val="0"/>
                <w:sz w:val="24"/>
                <w:lang w:bidi="ar"/>
              </w:rPr>
              <w:t>核心法定票证</w:t>
            </w:r>
          </w:p>
        </w:tc>
        <w:tc>
          <w:tcPr>
            <w:tcW w:w="1781" w:type="pct"/>
            <w:tcBorders>
              <w:top w:val="single" w:color="000000" w:sz="8" w:space="0"/>
              <w:left w:val="single" w:color="000000" w:sz="8" w:space="0"/>
              <w:bottom w:val="single" w:color="000000" w:sz="8" w:space="0"/>
              <w:right w:val="single" w:color="000000" w:sz="8" w:space="0"/>
            </w:tcBorders>
            <w:vAlign w:val="center"/>
          </w:tcPr>
          <w:p w14:paraId="3BDCE848">
            <w:pPr>
              <w:widowControl/>
              <w:jc w:val="center"/>
              <w:textAlignment w:val="center"/>
              <w:rPr>
                <w:rFonts w:hint="eastAsia" w:ascii="仿宋" w:hAnsi="仿宋" w:eastAsia="仿宋" w:cs="仿宋"/>
                <w:b/>
                <w:bCs/>
                <w:color w:val="auto"/>
                <w:sz w:val="24"/>
              </w:rPr>
            </w:pPr>
            <w:r>
              <w:rPr>
                <w:rFonts w:hint="eastAsia" w:ascii="仿宋" w:hAnsi="仿宋" w:eastAsia="仿宋" w:cs="仿宋"/>
                <w:b/>
                <w:bCs/>
                <w:color w:val="auto"/>
                <w:kern w:val="0"/>
                <w:sz w:val="24"/>
                <w:lang w:bidi="ar"/>
              </w:rPr>
              <w:t>具体要求</w:t>
            </w:r>
          </w:p>
        </w:tc>
      </w:tr>
      <w:tr w14:paraId="7C31B9D4">
        <w:tblPrEx>
          <w:tblCellMar>
            <w:top w:w="0" w:type="dxa"/>
            <w:left w:w="108" w:type="dxa"/>
            <w:bottom w:w="0" w:type="dxa"/>
            <w:right w:w="108" w:type="dxa"/>
          </w:tblCellMar>
        </w:tblPrEx>
        <w:trPr>
          <w:trHeight w:val="90" w:hRule="atLeast"/>
        </w:trPr>
        <w:tc>
          <w:tcPr>
            <w:tcW w:w="1412" w:type="pct"/>
            <w:tcBorders>
              <w:top w:val="single" w:color="000000" w:sz="8" w:space="0"/>
              <w:left w:val="single" w:color="000000" w:sz="8" w:space="0"/>
              <w:bottom w:val="single" w:color="000000" w:sz="8" w:space="0"/>
              <w:right w:val="single" w:color="000000" w:sz="4" w:space="0"/>
            </w:tcBorders>
            <w:vAlign w:val="center"/>
          </w:tcPr>
          <w:p w14:paraId="6BB91BC8">
            <w:pPr>
              <w:widowControl/>
              <w:jc w:val="center"/>
              <w:textAlignment w:val="center"/>
              <w:rPr>
                <w:rFonts w:hint="eastAsia" w:ascii="仿宋" w:hAnsi="仿宋" w:eastAsia="仿宋" w:cs="仿宋"/>
                <w:b/>
                <w:bCs/>
                <w:color w:val="auto"/>
                <w:sz w:val="24"/>
              </w:rPr>
            </w:pPr>
            <w:r>
              <w:rPr>
                <w:rFonts w:hint="eastAsia" w:ascii="仿宋" w:hAnsi="仿宋" w:eastAsia="仿宋" w:cs="仿宋"/>
                <w:b/>
                <w:bCs/>
                <w:color w:val="auto"/>
                <w:kern w:val="0"/>
                <w:sz w:val="24"/>
                <w:lang w:bidi="ar"/>
              </w:rPr>
              <w:t>猪肉类</w:t>
            </w:r>
          </w:p>
        </w:tc>
        <w:tc>
          <w:tcPr>
            <w:tcW w:w="1806" w:type="pct"/>
            <w:tcBorders>
              <w:top w:val="single" w:color="000000" w:sz="4" w:space="0"/>
              <w:left w:val="single" w:color="000000" w:sz="4" w:space="0"/>
              <w:right w:val="single" w:color="000000" w:sz="4" w:space="0"/>
            </w:tcBorders>
            <w:vAlign w:val="center"/>
          </w:tcPr>
          <w:p w14:paraId="57154870">
            <w:pPr>
              <w:widowControl/>
              <w:jc w:val="left"/>
              <w:textAlignment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 《动物检疫合格证明》（产品B证）</w:t>
            </w:r>
          </w:p>
          <w:p w14:paraId="76AE8464">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2. 《肉品品质检验合格证》</w:t>
            </w:r>
          </w:p>
        </w:tc>
        <w:tc>
          <w:tcPr>
            <w:tcW w:w="1781" w:type="pct"/>
            <w:tcBorders>
              <w:top w:val="single" w:color="000000" w:sz="8" w:space="0"/>
              <w:left w:val="single" w:color="000000" w:sz="4" w:space="0"/>
              <w:bottom w:val="single" w:color="000000" w:sz="8" w:space="0"/>
              <w:right w:val="single" w:color="000000" w:sz="8" w:space="0"/>
            </w:tcBorders>
            <w:vAlign w:val="center"/>
          </w:tcPr>
          <w:p w14:paraId="78ED73EE">
            <w:pPr>
              <w:widowControl/>
              <w:jc w:val="left"/>
              <w:textAlignment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 检疫证需有官方兽医签字、检疫专用章。</w:t>
            </w:r>
          </w:p>
          <w:p w14:paraId="0C399422">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2. 广州市内流通需提供 《广州市分割肉销售凭证》 （含经销商、品种、数量等信息）。</w:t>
            </w:r>
          </w:p>
        </w:tc>
      </w:tr>
      <w:tr w14:paraId="61FCB3E1">
        <w:tblPrEx>
          <w:tblCellMar>
            <w:top w:w="0" w:type="dxa"/>
            <w:left w:w="108" w:type="dxa"/>
            <w:bottom w:w="0" w:type="dxa"/>
            <w:right w:w="108" w:type="dxa"/>
          </w:tblCellMar>
        </w:tblPrEx>
        <w:trPr>
          <w:trHeight w:val="2025" w:hRule="atLeast"/>
        </w:trPr>
        <w:tc>
          <w:tcPr>
            <w:tcW w:w="1412" w:type="pct"/>
            <w:tcBorders>
              <w:top w:val="single" w:color="000000" w:sz="8" w:space="0"/>
              <w:left w:val="single" w:color="000000" w:sz="8" w:space="0"/>
              <w:right w:val="single" w:color="000000" w:sz="4" w:space="0"/>
            </w:tcBorders>
            <w:vAlign w:val="center"/>
          </w:tcPr>
          <w:p w14:paraId="6BD7463D">
            <w:pPr>
              <w:widowControl/>
              <w:jc w:val="center"/>
              <w:textAlignment w:val="center"/>
              <w:rPr>
                <w:rFonts w:hint="eastAsia" w:ascii="仿宋" w:hAnsi="仿宋" w:eastAsia="仿宋" w:cs="仿宋"/>
                <w:b/>
                <w:bCs/>
                <w:color w:val="auto"/>
                <w:kern w:val="0"/>
                <w:sz w:val="24"/>
                <w:lang w:bidi="ar"/>
              </w:rPr>
            </w:pPr>
            <w:r>
              <w:rPr>
                <w:rFonts w:hint="eastAsia" w:ascii="仿宋" w:hAnsi="仿宋" w:eastAsia="仿宋" w:cs="仿宋"/>
                <w:b/>
                <w:bCs/>
                <w:color w:val="auto"/>
                <w:kern w:val="0"/>
                <w:sz w:val="24"/>
                <w:lang w:bidi="ar"/>
              </w:rPr>
              <w:t>牛、羊、禽类</w:t>
            </w:r>
          </w:p>
          <w:p w14:paraId="63CEE062">
            <w:pPr>
              <w:widowControl/>
              <w:jc w:val="center"/>
              <w:textAlignment w:val="center"/>
              <w:rPr>
                <w:rFonts w:hint="eastAsia" w:ascii="仿宋" w:hAnsi="仿宋" w:eastAsia="仿宋" w:cs="仿宋"/>
                <w:i/>
                <w:iCs/>
                <w:color w:val="auto"/>
                <w:sz w:val="24"/>
              </w:rPr>
            </w:pPr>
            <w:r>
              <w:rPr>
                <w:rFonts w:hint="eastAsia" w:ascii="仿宋" w:hAnsi="仿宋" w:eastAsia="仿宋" w:cs="仿宋"/>
                <w:i w:val="0"/>
                <w:iCs w:val="0"/>
                <w:color w:val="auto"/>
                <w:kern w:val="0"/>
                <w:sz w:val="24"/>
                <w:lang w:bidi="ar"/>
              </w:rPr>
              <w:t>(含三鸟)</w:t>
            </w:r>
          </w:p>
        </w:tc>
        <w:tc>
          <w:tcPr>
            <w:tcW w:w="1806" w:type="pct"/>
            <w:tcBorders>
              <w:top w:val="single" w:color="000000" w:sz="8" w:space="0"/>
              <w:left w:val="single" w:color="000000" w:sz="4" w:space="0"/>
              <w:bottom w:val="single" w:color="000000" w:sz="8" w:space="0"/>
              <w:right w:val="single" w:color="000000" w:sz="4" w:space="0"/>
            </w:tcBorders>
            <w:vAlign w:val="center"/>
          </w:tcPr>
          <w:p w14:paraId="767429F1">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《动物检疫合格证明》</w:t>
            </w:r>
          </w:p>
        </w:tc>
        <w:tc>
          <w:tcPr>
            <w:tcW w:w="1781" w:type="pct"/>
            <w:tcBorders>
              <w:top w:val="single" w:color="000000" w:sz="8" w:space="0"/>
              <w:left w:val="single" w:color="000000" w:sz="4" w:space="0"/>
              <w:bottom w:val="single" w:color="000000" w:sz="8" w:space="0"/>
              <w:right w:val="single" w:color="000000" w:sz="8" w:space="0"/>
            </w:tcBorders>
            <w:vAlign w:val="center"/>
          </w:tcPr>
          <w:p w14:paraId="12154F0F">
            <w:pPr>
              <w:widowControl/>
              <w:jc w:val="left"/>
              <w:textAlignment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 内容需包含：生产/产地名称、产品名称、数量、目的地。</w:t>
            </w:r>
          </w:p>
          <w:p w14:paraId="2991EC63">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2. 必须有官方兽医签字、加盖检疫专用章。</w:t>
            </w:r>
          </w:p>
          <w:p w14:paraId="7CA33FAA">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3. 跨省调运需提供《出县境动物检疫合格证明》。</w:t>
            </w:r>
          </w:p>
        </w:tc>
      </w:tr>
      <w:tr w14:paraId="6509A095">
        <w:tblPrEx>
          <w:tblCellMar>
            <w:top w:w="0" w:type="dxa"/>
            <w:left w:w="108" w:type="dxa"/>
            <w:bottom w:w="0" w:type="dxa"/>
            <w:right w:w="108" w:type="dxa"/>
          </w:tblCellMar>
        </w:tblPrEx>
        <w:trPr>
          <w:trHeight w:val="1140" w:hRule="atLeast"/>
        </w:trPr>
        <w:tc>
          <w:tcPr>
            <w:tcW w:w="1412" w:type="pct"/>
            <w:tcBorders>
              <w:top w:val="single" w:color="000000" w:sz="8" w:space="0"/>
              <w:left w:val="single" w:color="000000" w:sz="8" w:space="0"/>
              <w:right w:val="single" w:color="000000" w:sz="4" w:space="0"/>
            </w:tcBorders>
            <w:vAlign w:val="center"/>
          </w:tcPr>
          <w:p w14:paraId="0FD56D19">
            <w:pPr>
              <w:widowControl/>
              <w:jc w:val="center"/>
              <w:textAlignment w:val="center"/>
              <w:rPr>
                <w:rFonts w:hint="eastAsia" w:ascii="仿宋" w:hAnsi="仿宋" w:eastAsia="仿宋" w:cs="仿宋"/>
                <w:b/>
                <w:bCs/>
                <w:color w:val="auto"/>
                <w:kern w:val="0"/>
                <w:sz w:val="24"/>
                <w:lang w:bidi="ar"/>
              </w:rPr>
            </w:pPr>
            <w:r>
              <w:rPr>
                <w:rFonts w:hint="eastAsia" w:ascii="仿宋" w:hAnsi="仿宋" w:eastAsia="仿宋" w:cs="仿宋"/>
                <w:b/>
                <w:bCs/>
                <w:color w:val="auto"/>
                <w:kern w:val="0"/>
                <w:sz w:val="24"/>
                <w:lang w:bidi="ar"/>
              </w:rPr>
              <w:t>肉制品</w:t>
            </w:r>
          </w:p>
          <w:p w14:paraId="2E5DA827">
            <w:pPr>
              <w:widowControl/>
              <w:jc w:val="center"/>
              <w:textAlignment w:val="center"/>
              <w:rPr>
                <w:rFonts w:hint="eastAsia" w:ascii="仿宋" w:hAnsi="仿宋" w:eastAsia="仿宋" w:cs="仿宋"/>
                <w:i/>
                <w:iCs/>
                <w:color w:val="auto"/>
                <w:sz w:val="24"/>
              </w:rPr>
            </w:pPr>
            <w:r>
              <w:rPr>
                <w:rFonts w:hint="eastAsia" w:ascii="仿宋" w:hAnsi="仿宋" w:eastAsia="仿宋" w:cs="仿宋"/>
                <w:i w:val="0"/>
                <w:iCs w:val="0"/>
                <w:color w:val="auto"/>
                <w:kern w:val="0"/>
                <w:sz w:val="24"/>
                <w:lang w:bidi="ar"/>
              </w:rPr>
              <w:t>(香肠/腊肉等)</w:t>
            </w:r>
          </w:p>
        </w:tc>
        <w:tc>
          <w:tcPr>
            <w:tcW w:w="1806" w:type="pct"/>
            <w:tcBorders>
              <w:top w:val="single" w:color="000000" w:sz="8" w:space="0"/>
              <w:left w:val="single" w:color="000000" w:sz="4" w:space="0"/>
              <w:right w:val="single" w:color="000000" w:sz="4" w:space="0"/>
            </w:tcBorders>
            <w:vAlign w:val="center"/>
          </w:tcPr>
          <w:p w14:paraId="6DE830A2">
            <w:pPr>
              <w:widowControl/>
              <w:jc w:val="left"/>
              <w:textAlignment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《出厂检验合格证》</w:t>
            </w:r>
          </w:p>
          <w:p w14:paraId="6A0C51ED">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（或质检报告）</w:t>
            </w:r>
          </w:p>
        </w:tc>
        <w:tc>
          <w:tcPr>
            <w:tcW w:w="1781" w:type="pct"/>
            <w:tcBorders>
              <w:top w:val="single" w:color="000000" w:sz="8" w:space="0"/>
              <w:left w:val="single" w:color="000000" w:sz="4" w:space="0"/>
              <w:bottom w:val="single" w:color="000000" w:sz="8" w:space="0"/>
              <w:right w:val="single" w:color="000000" w:sz="8" w:space="0"/>
            </w:tcBorders>
            <w:vAlign w:val="center"/>
          </w:tcPr>
          <w:p w14:paraId="25EFF58D">
            <w:pPr>
              <w:widowControl/>
              <w:jc w:val="left"/>
              <w:textAlignment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 需由厂家出具，随车同行。</w:t>
            </w:r>
          </w:p>
          <w:p w14:paraId="2B103F22">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2. 若为预包装食品，包装上应有SC编码。</w:t>
            </w:r>
          </w:p>
        </w:tc>
      </w:tr>
      <w:tr w14:paraId="0CD4E218">
        <w:tblPrEx>
          <w:tblCellMar>
            <w:top w:w="0" w:type="dxa"/>
            <w:left w:w="108" w:type="dxa"/>
            <w:bottom w:w="0" w:type="dxa"/>
            <w:right w:w="108" w:type="dxa"/>
          </w:tblCellMar>
        </w:tblPrEx>
        <w:trPr>
          <w:trHeight w:val="1879" w:hRule="atLeast"/>
        </w:trPr>
        <w:tc>
          <w:tcPr>
            <w:tcW w:w="1412" w:type="pct"/>
            <w:tcBorders>
              <w:top w:val="single" w:color="000000" w:sz="8" w:space="0"/>
              <w:left w:val="single" w:color="000000" w:sz="8" w:space="0"/>
              <w:bottom w:val="single" w:color="000000" w:sz="8" w:space="0"/>
              <w:right w:val="single" w:color="000000" w:sz="4" w:space="0"/>
            </w:tcBorders>
            <w:vAlign w:val="center"/>
          </w:tcPr>
          <w:p w14:paraId="7BE74833">
            <w:pPr>
              <w:widowControl/>
              <w:jc w:val="center"/>
              <w:textAlignment w:val="center"/>
              <w:rPr>
                <w:rFonts w:hint="eastAsia" w:ascii="仿宋" w:hAnsi="仿宋" w:eastAsia="仿宋" w:cs="仿宋"/>
                <w:b/>
                <w:bCs/>
                <w:color w:val="auto"/>
                <w:sz w:val="24"/>
              </w:rPr>
            </w:pPr>
            <w:r>
              <w:rPr>
                <w:rFonts w:hint="eastAsia" w:ascii="仿宋" w:hAnsi="仿宋" w:eastAsia="仿宋" w:cs="仿宋"/>
                <w:b/>
                <w:bCs/>
                <w:color w:val="auto"/>
                <w:kern w:val="0"/>
                <w:sz w:val="24"/>
                <w:lang w:bidi="ar"/>
              </w:rPr>
              <w:t>冷冻/水产品</w:t>
            </w:r>
          </w:p>
        </w:tc>
        <w:tc>
          <w:tcPr>
            <w:tcW w:w="1806" w:type="pct"/>
            <w:tcBorders>
              <w:top w:val="single" w:color="000000" w:sz="8" w:space="0"/>
              <w:left w:val="single" w:color="000000" w:sz="4" w:space="0"/>
              <w:bottom w:val="single" w:color="000000" w:sz="4" w:space="0"/>
              <w:right w:val="single" w:color="000000" w:sz="4" w:space="0"/>
            </w:tcBorders>
            <w:vAlign w:val="center"/>
          </w:tcPr>
          <w:p w14:paraId="6E6BF457">
            <w:pPr>
              <w:widowControl/>
              <w:jc w:val="left"/>
              <w:textAlignment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 《出厂检验合格证》</w:t>
            </w:r>
          </w:p>
          <w:p w14:paraId="589F8180">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2. 《入库/出库检疫证明》 (针对冻库)</w:t>
            </w:r>
          </w:p>
        </w:tc>
        <w:tc>
          <w:tcPr>
            <w:tcW w:w="1781" w:type="pct"/>
            <w:tcBorders>
              <w:top w:val="single" w:color="000000" w:sz="8" w:space="0"/>
              <w:left w:val="single" w:color="000000" w:sz="4" w:space="0"/>
              <w:bottom w:val="single" w:color="000000" w:sz="8" w:space="0"/>
              <w:right w:val="single" w:color="000000" w:sz="8" w:space="0"/>
            </w:tcBorders>
            <w:vAlign w:val="center"/>
          </w:tcPr>
          <w:p w14:paraId="7663902F">
            <w:pPr>
              <w:widowControl/>
              <w:jc w:val="left"/>
              <w:textAlignment w:val="center"/>
              <w:rPr>
                <w:rFonts w:hint="eastAsia" w:ascii="仿宋" w:hAnsi="仿宋" w:eastAsia="仿宋" w:cs="仿宋"/>
                <w:color w:val="auto"/>
                <w:kern w:val="0"/>
                <w:sz w:val="24"/>
                <w:lang w:bidi="ar"/>
              </w:rPr>
            </w:pPr>
            <w:r>
              <w:rPr>
                <w:rFonts w:hint="eastAsia" w:ascii="仿宋" w:hAnsi="仿宋" w:eastAsia="仿宋" w:cs="仿宋"/>
                <w:color w:val="auto"/>
                <w:kern w:val="0"/>
                <w:sz w:val="24"/>
                <w:lang w:bidi="ar"/>
              </w:rPr>
              <w:t>1. 冻品需标明解冻后净重标准（禽≥92%，肉≥95%，水产≥85%）。</w:t>
            </w:r>
          </w:p>
          <w:p w14:paraId="2B245947">
            <w:pPr>
              <w:widowControl/>
              <w:jc w:val="left"/>
              <w:textAlignment w:val="center"/>
              <w:rPr>
                <w:rFonts w:hint="eastAsia" w:ascii="仿宋" w:hAnsi="仿宋" w:eastAsia="仿宋" w:cs="仿宋"/>
                <w:color w:val="auto"/>
                <w:sz w:val="24"/>
              </w:rPr>
            </w:pPr>
            <w:r>
              <w:rPr>
                <w:rFonts w:hint="eastAsia" w:ascii="仿宋" w:hAnsi="仿宋" w:eastAsia="仿宋" w:cs="仿宋"/>
                <w:color w:val="auto"/>
                <w:kern w:val="0"/>
                <w:sz w:val="24"/>
                <w:lang w:bidi="ar"/>
              </w:rPr>
              <w:t>2. 水产品需符合个体单独冷冻成型标准。</w:t>
            </w:r>
          </w:p>
        </w:tc>
      </w:tr>
    </w:tbl>
    <w:p w14:paraId="5BBCF873">
      <w:pPr>
        <w:widowControl/>
        <w:spacing w:line="360" w:lineRule="auto"/>
        <w:ind w:firstLine="482" w:firstLineChars="200"/>
        <w:jc w:val="left"/>
        <w:outlineLvl w:val="1"/>
        <w:rPr>
          <w:rFonts w:hint="eastAsia" w:ascii="仿宋" w:hAnsi="仿宋" w:eastAsia="仿宋" w:cs="仿宋"/>
          <w:b/>
          <w:bCs/>
          <w:color w:val="auto"/>
          <w:sz w:val="24"/>
          <w:lang w:bidi="ar"/>
        </w:rPr>
      </w:pPr>
      <w:bookmarkStart w:id="13" w:name="OLE_LINK5"/>
      <w:r>
        <w:rPr>
          <w:rFonts w:ascii="仿宋" w:hAnsi="仿宋" w:eastAsia="仿宋" w:cs="仿宋"/>
          <w:b/>
          <w:bCs/>
          <w:color w:val="auto"/>
          <w:sz w:val="24"/>
          <w:lang w:bidi="ar"/>
        </w:rPr>
        <w:t>二、副食品要求</w:t>
      </w:r>
      <w:bookmarkEnd w:id="13"/>
    </w:p>
    <w:p w14:paraId="754F7266">
      <w:pPr>
        <w:widowControl/>
        <w:spacing w:line="360" w:lineRule="auto"/>
        <w:ind w:firstLine="482" w:firstLineChars="200"/>
        <w:rPr>
          <w:rFonts w:hint="eastAsia" w:ascii="仿宋" w:hAnsi="仿宋" w:eastAsia="仿宋" w:cs="仿宋"/>
          <w:b/>
          <w:bCs/>
          <w:color w:val="auto"/>
          <w:sz w:val="24"/>
          <w:lang w:bidi="ar"/>
        </w:rPr>
      </w:pPr>
      <w:r>
        <w:rPr>
          <w:rFonts w:ascii="仿宋" w:hAnsi="仿宋" w:eastAsia="仿宋" w:cs="仿宋"/>
          <w:b/>
          <w:bCs/>
          <w:color w:val="auto"/>
          <w:sz w:val="24"/>
          <w:lang w:bidi="ar"/>
        </w:rPr>
        <w:t>（一）面粉、调味料、咸杂、干货等</w:t>
      </w:r>
    </w:p>
    <w:p w14:paraId="7175A1C5">
      <w:pPr>
        <w:widowControl/>
        <w:spacing w:line="360" w:lineRule="auto"/>
        <w:ind w:firstLine="480" w:firstLineChars="200"/>
        <w:jc w:val="left"/>
        <w:rPr>
          <w:rFonts w:hint="eastAsia" w:ascii="仿宋" w:hAnsi="仿宋" w:eastAsia="仿宋" w:cs="仿宋"/>
          <w:b/>
          <w:bCs/>
          <w:color w:val="auto"/>
          <w:sz w:val="24"/>
        </w:rPr>
      </w:pPr>
      <w:r>
        <w:rPr>
          <w:rFonts w:ascii="仿宋" w:hAnsi="仿宋" w:eastAsia="仿宋" w:cs="仿宋"/>
          <w:color w:val="auto"/>
          <w:sz w:val="24"/>
          <w:lang w:bidi="ar"/>
        </w:rPr>
        <w:t>1.</w:t>
      </w:r>
      <w:r>
        <w:rPr>
          <w:rFonts w:hint="eastAsia" w:ascii="仿宋" w:hAnsi="仿宋" w:eastAsia="仿宋" w:cs="仿宋"/>
          <w:b/>
          <w:bCs/>
          <w:color w:val="auto"/>
          <w:sz w:val="24"/>
        </w:rPr>
        <w:t>执行标准</w:t>
      </w:r>
    </w:p>
    <w:tbl>
      <w:tblPr>
        <w:tblStyle w:val="12"/>
        <w:tblW w:w="4998" w:type="pct"/>
        <w:tblCellSpacing w:w="15" w:type="dxa"/>
        <w:tblInd w:w="133" w:type="dxa"/>
        <w:tblLayout w:type="autofit"/>
        <w:tblCellMar>
          <w:top w:w="0" w:type="dxa"/>
          <w:left w:w="108" w:type="dxa"/>
          <w:bottom w:w="0" w:type="dxa"/>
          <w:right w:w="108" w:type="dxa"/>
        </w:tblCellMar>
      </w:tblPr>
      <w:tblGrid>
        <w:gridCol w:w="1167"/>
        <w:gridCol w:w="59"/>
        <w:gridCol w:w="1505"/>
        <w:gridCol w:w="5888"/>
      </w:tblGrid>
      <w:tr w14:paraId="17F48D51">
        <w:tblPrEx>
          <w:tblCellMar>
            <w:top w:w="0" w:type="dxa"/>
            <w:left w:w="108" w:type="dxa"/>
            <w:bottom w:w="0" w:type="dxa"/>
            <w:right w:w="108" w:type="dxa"/>
          </w:tblCellMar>
        </w:tblPrEx>
        <w:trPr>
          <w:trHeight w:val="283" w:hRule="atLeast"/>
          <w:tblHeader/>
          <w:tblCellSpacing w:w="15" w:type="dxa"/>
        </w:trPr>
        <w:tc>
          <w:tcPr>
            <w:tcW w:w="651" w:type="pct"/>
            <w:tcBorders>
              <w:top w:val="single" w:color="000000" w:sz="8" w:space="0"/>
              <w:left w:val="single" w:color="000000" w:sz="8" w:space="0"/>
              <w:bottom w:val="single" w:color="000000" w:sz="8" w:space="0"/>
              <w:right w:val="single" w:color="000000" w:sz="8" w:space="0"/>
            </w:tcBorders>
            <w:vAlign w:val="center"/>
          </w:tcPr>
          <w:p w14:paraId="6267F693">
            <w:pPr>
              <w:widowControl/>
              <w:jc w:val="center"/>
              <w:textAlignment w:val="center"/>
              <w:rPr>
                <w:rFonts w:hint="eastAsia" w:ascii="仿宋" w:hAnsi="仿宋" w:eastAsia="仿宋" w:cs="仿宋"/>
                <w:b/>
                <w:bCs/>
                <w:color w:val="auto"/>
                <w:szCs w:val="21"/>
              </w:rPr>
            </w:pPr>
            <w:r>
              <w:rPr>
                <w:rFonts w:hint="eastAsia" w:ascii="仿宋" w:hAnsi="仿宋" w:eastAsia="仿宋" w:cs="仿宋"/>
                <w:b/>
                <w:bCs/>
                <w:color w:val="auto"/>
                <w:kern w:val="0"/>
                <w:szCs w:val="21"/>
                <w:lang w:bidi="ar"/>
              </w:rPr>
              <w:t>类别</w:t>
            </w:r>
          </w:p>
        </w:tc>
        <w:tc>
          <w:tcPr>
            <w:tcW w:w="888" w:type="pct"/>
            <w:gridSpan w:val="2"/>
            <w:tcBorders>
              <w:top w:val="single" w:color="000000" w:sz="8" w:space="0"/>
              <w:left w:val="single" w:color="000000" w:sz="8" w:space="0"/>
              <w:bottom w:val="single" w:color="000000" w:sz="8" w:space="0"/>
              <w:right w:val="single" w:color="000000" w:sz="8" w:space="0"/>
            </w:tcBorders>
            <w:vAlign w:val="center"/>
          </w:tcPr>
          <w:p w14:paraId="743A5770">
            <w:pPr>
              <w:widowControl/>
              <w:jc w:val="center"/>
              <w:textAlignment w:val="center"/>
              <w:rPr>
                <w:rFonts w:hint="eastAsia" w:ascii="仿宋" w:hAnsi="仿宋" w:eastAsia="仿宋" w:cs="仿宋"/>
                <w:b/>
                <w:bCs/>
                <w:color w:val="auto"/>
                <w:kern w:val="0"/>
                <w:szCs w:val="21"/>
                <w:lang w:bidi="ar"/>
              </w:rPr>
            </w:pPr>
            <w:r>
              <w:rPr>
                <w:rFonts w:hint="eastAsia" w:ascii="仿宋" w:hAnsi="仿宋" w:eastAsia="仿宋" w:cs="仿宋"/>
                <w:b/>
                <w:bCs/>
                <w:color w:val="auto"/>
                <w:kern w:val="0"/>
                <w:szCs w:val="21"/>
                <w:lang w:bidi="ar"/>
              </w:rPr>
              <w:t>推荐执行</w:t>
            </w:r>
          </w:p>
          <w:p w14:paraId="66B4DECA">
            <w:pPr>
              <w:widowControl/>
              <w:jc w:val="center"/>
              <w:textAlignment w:val="center"/>
              <w:rPr>
                <w:rFonts w:hint="eastAsia" w:ascii="仿宋" w:hAnsi="仿宋" w:eastAsia="仿宋" w:cs="仿宋"/>
                <w:b/>
                <w:bCs/>
                <w:color w:val="auto"/>
                <w:szCs w:val="21"/>
              </w:rPr>
            </w:pPr>
            <w:r>
              <w:rPr>
                <w:rFonts w:hint="eastAsia" w:ascii="仿宋" w:hAnsi="仿宋" w:eastAsia="仿宋" w:cs="仿宋"/>
                <w:b/>
                <w:bCs/>
                <w:color w:val="auto"/>
                <w:kern w:val="0"/>
                <w:szCs w:val="21"/>
                <w:lang w:bidi="ar"/>
              </w:rPr>
              <w:t>标准号</w:t>
            </w:r>
          </w:p>
        </w:tc>
        <w:tc>
          <w:tcPr>
            <w:tcW w:w="3388" w:type="pct"/>
            <w:tcBorders>
              <w:top w:val="single" w:color="000000" w:sz="8" w:space="0"/>
              <w:left w:val="single" w:color="000000" w:sz="8" w:space="0"/>
              <w:bottom w:val="single" w:color="000000" w:sz="8" w:space="0"/>
              <w:right w:val="single" w:color="000000" w:sz="8" w:space="0"/>
            </w:tcBorders>
            <w:vAlign w:val="center"/>
          </w:tcPr>
          <w:p w14:paraId="525EB422">
            <w:pPr>
              <w:widowControl/>
              <w:jc w:val="center"/>
              <w:textAlignment w:val="center"/>
              <w:rPr>
                <w:rFonts w:hint="eastAsia" w:ascii="仿宋" w:hAnsi="仿宋" w:eastAsia="仿宋" w:cs="仿宋"/>
                <w:b/>
                <w:bCs/>
                <w:color w:val="auto"/>
                <w:szCs w:val="21"/>
              </w:rPr>
            </w:pPr>
            <w:r>
              <w:rPr>
                <w:rFonts w:hint="eastAsia" w:ascii="仿宋" w:hAnsi="仿宋" w:eastAsia="仿宋" w:cs="仿宋"/>
                <w:b/>
                <w:bCs/>
                <w:color w:val="auto"/>
                <w:kern w:val="0"/>
                <w:szCs w:val="21"/>
                <w:lang w:bidi="ar"/>
              </w:rPr>
              <w:t>关键指标与要求</w:t>
            </w:r>
          </w:p>
        </w:tc>
      </w:tr>
      <w:tr w14:paraId="67C1171E">
        <w:tblPrEx>
          <w:tblCellMar>
            <w:top w:w="0" w:type="dxa"/>
            <w:left w:w="108" w:type="dxa"/>
            <w:bottom w:w="0" w:type="dxa"/>
            <w:right w:w="108" w:type="dxa"/>
          </w:tblCellMar>
        </w:tblPrEx>
        <w:trPr>
          <w:trHeight w:val="1495" w:hRule="atLeast"/>
          <w:tblCellSpacing w:w="15" w:type="dxa"/>
        </w:trPr>
        <w:tc>
          <w:tcPr>
            <w:tcW w:w="684" w:type="pct"/>
            <w:gridSpan w:val="2"/>
            <w:tcBorders>
              <w:top w:val="single" w:color="000000" w:sz="8" w:space="0"/>
              <w:left w:val="single" w:color="000000" w:sz="8" w:space="0"/>
              <w:bottom w:val="single" w:color="000000" w:sz="8" w:space="0"/>
              <w:right w:val="single" w:color="000000" w:sz="8" w:space="0"/>
            </w:tcBorders>
            <w:vAlign w:val="center"/>
          </w:tcPr>
          <w:p w14:paraId="02404627">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面粉类</w:t>
            </w:r>
          </w:p>
        </w:tc>
        <w:tc>
          <w:tcPr>
            <w:tcW w:w="855" w:type="pct"/>
            <w:tcBorders>
              <w:top w:val="single" w:color="000000" w:sz="8" w:space="0"/>
              <w:left w:val="single" w:color="000000" w:sz="8" w:space="0"/>
              <w:bottom w:val="single" w:color="000000" w:sz="8" w:space="0"/>
              <w:right w:val="single" w:color="000000" w:sz="8" w:space="0"/>
            </w:tcBorders>
            <w:vAlign w:val="center"/>
          </w:tcPr>
          <w:p w14:paraId="6710ECF9">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GB/T 1355-2021</w:t>
            </w:r>
          </w:p>
          <w:p w14:paraId="480F5603">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(小麦粉)</w:t>
            </w:r>
          </w:p>
        </w:tc>
        <w:tc>
          <w:tcPr>
            <w:tcW w:w="3388" w:type="pct"/>
            <w:tcBorders>
              <w:top w:val="single" w:color="000000" w:sz="8" w:space="0"/>
              <w:left w:val="single" w:color="000000" w:sz="8" w:space="0"/>
              <w:bottom w:val="single" w:color="000000" w:sz="8" w:space="0"/>
              <w:right w:val="single" w:color="000000" w:sz="8" w:space="0"/>
            </w:tcBorders>
            <w:vAlign w:val="center"/>
          </w:tcPr>
          <w:p w14:paraId="4F8C9CAF">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使用“特制一等”或“精制粉”。水分≤14.0%，面筋质符合等级要求，无霉变、无结块。小麦粉中不得添加过氧化苯甲酰（增白剂）和任何增筋剂。验收时需确认配料表只有“小麦”。真菌毒素GB 2761（真菌毒素限量），特别是黄曲霉毒素B1和呕吐毒素，这对免疫力低下的患者至关重要。</w:t>
            </w:r>
          </w:p>
        </w:tc>
      </w:tr>
      <w:tr w14:paraId="32629E89">
        <w:tblPrEx>
          <w:tblCellMar>
            <w:top w:w="0" w:type="dxa"/>
            <w:left w:w="108" w:type="dxa"/>
            <w:bottom w:w="0" w:type="dxa"/>
            <w:right w:w="108" w:type="dxa"/>
          </w:tblCellMar>
        </w:tblPrEx>
        <w:trPr>
          <w:trHeight w:val="1062" w:hRule="atLeast"/>
          <w:tblCellSpacing w:w="15" w:type="dxa"/>
        </w:trPr>
        <w:tc>
          <w:tcPr>
            <w:tcW w:w="684" w:type="pct"/>
            <w:gridSpan w:val="2"/>
            <w:tcBorders>
              <w:top w:val="single" w:color="000000" w:sz="8" w:space="0"/>
              <w:left w:val="single" w:color="000000" w:sz="8" w:space="0"/>
              <w:bottom w:val="single" w:color="000000" w:sz="8" w:space="0"/>
              <w:right w:val="single" w:color="000000" w:sz="8" w:space="0"/>
            </w:tcBorders>
            <w:vAlign w:val="center"/>
          </w:tcPr>
          <w:p w14:paraId="094881C2">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大米</w:t>
            </w:r>
          </w:p>
        </w:tc>
        <w:tc>
          <w:tcPr>
            <w:tcW w:w="855" w:type="pct"/>
            <w:tcBorders>
              <w:top w:val="single" w:color="000000" w:sz="8" w:space="0"/>
              <w:left w:val="single" w:color="000000" w:sz="8" w:space="0"/>
              <w:bottom w:val="single" w:color="000000" w:sz="8" w:space="0"/>
              <w:right w:val="single" w:color="000000" w:sz="8" w:space="0"/>
            </w:tcBorders>
            <w:vAlign w:val="center"/>
          </w:tcPr>
          <w:p w14:paraId="103CEABB">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GB/T 1354-2018</w:t>
            </w:r>
          </w:p>
          <w:p w14:paraId="25E598F6">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(大米)</w:t>
            </w:r>
          </w:p>
        </w:tc>
        <w:tc>
          <w:tcPr>
            <w:tcW w:w="3388" w:type="pct"/>
            <w:tcBorders>
              <w:top w:val="single" w:color="000000" w:sz="8" w:space="0"/>
              <w:left w:val="single" w:color="000000" w:sz="8" w:space="0"/>
              <w:bottom w:val="single" w:color="000000" w:sz="8" w:space="0"/>
              <w:right w:val="single" w:color="000000" w:sz="8" w:space="0"/>
            </w:tcBorders>
            <w:vAlign w:val="center"/>
          </w:tcPr>
          <w:p w14:paraId="7E5626BA">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使用一级或二级等级。碎米含量、杂质限量符合标准，无黄粒米，无霉变气味。</w:t>
            </w:r>
          </w:p>
        </w:tc>
      </w:tr>
      <w:tr w14:paraId="348A4F33">
        <w:tblPrEx>
          <w:tblCellMar>
            <w:top w:w="0" w:type="dxa"/>
            <w:left w:w="108" w:type="dxa"/>
            <w:bottom w:w="0" w:type="dxa"/>
            <w:right w:w="108" w:type="dxa"/>
          </w:tblCellMar>
        </w:tblPrEx>
        <w:trPr>
          <w:trHeight w:val="1317" w:hRule="atLeast"/>
          <w:tblCellSpacing w:w="15" w:type="dxa"/>
        </w:trPr>
        <w:tc>
          <w:tcPr>
            <w:tcW w:w="684" w:type="pct"/>
            <w:gridSpan w:val="2"/>
            <w:tcBorders>
              <w:top w:val="single" w:color="000000" w:sz="8" w:space="0"/>
              <w:left w:val="single" w:color="000000" w:sz="8" w:space="0"/>
              <w:bottom w:val="single" w:color="000000" w:sz="8" w:space="0"/>
              <w:right w:val="single" w:color="000000" w:sz="8" w:space="0"/>
            </w:tcBorders>
            <w:vAlign w:val="center"/>
          </w:tcPr>
          <w:p w14:paraId="0DF04FDA">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食用油</w:t>
            </w:r>
          </w:p>
        </w:tc>
        <w:tc>
          <w:tcPr>
            <w:tcW w:w="855" w:type="pct"/>
            <w:tcBorders>
              <w:top w:val="single" w:color="000000" w:sz="8" w:space="0"/>
              <w:left w:val="single" w:color="000000" w:sz="8" w:space="0"/>
              <w:bottom w:val="single" w:color="000000" w:sz="8" w:space="0"/>
              <w:right w:val="single" w:color="000000" w:sz="8" w:space="0"/>
            </w:tcBorders>
            <w:vAlign w:val="center"/>
          </w:tcPr>
          <w:p w14:paraId="53E162F8">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GB 2716-2018</w:t>
            </w:r>
          </w:p>
          <w:p w14:paraId="052569B3">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(植物油)</w:t>
            </w:r>
          </w:p>
        </w:tc>
        <w:tc>
          <w:tcPr>
            <w:tcW w:w="3388" w:type="pct"/>
            <w:tcBorders>
              <w:top w:val="single" w:color="000000" w:sz="8" w:space="0"/>
              <w:left w:val="single" w:color="000000" w:sz="8" w:space="0"/>
              <w:bottom w:val="single" w:color="000000" w:sz="8" w:space="0"/>
              <w:right w:val="single" w:color="000000" w:sz="8" w:space="0"/>
            </w:tcBorders>
            <w:vAlign w:val="center"/>
          </w:tcPr>
          <w:p w14:paraId="3D38111A">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酸价、过氧化值必须符合标准（防止哈喇味）。必须是非转基因（如采购大豆油/菜籽油），且标签清晰。</w:t>
            </w:r>
          </w:p>
        </w:tc>
      </w:tr>
      <w:tr w14:paraId="2785768D">
        <w:tblPrEx>
          <w:tblCellMar>
            <w:top w:w="0" w:type="dxa"/>
            <w:left w:w="108" w:type="dxa"/>
            <w:bottom w:w="0" w:type="dxa"/>
            <w:right w:w="108" w:type="dxa"/>
          </w:tblCellMar>
        </w:tblPrEx>
        <w:trPr>
          <w:trHeight w:val="1062" w:hRule="atLeast"/>
          <w:tblCellSpacing w:w="15" w:type="dxa"/>
        </w:trPr>
        <w:tc>
          <w:tcPr>
            <w:tcW w:w="684" w:type="pct"/>
            <w:gridSpan w:val="2"/>
            <w:tcBorders>
              <w:top w:val="single" w:color="000000" w:sz="8" w:space="0"/>
              <w:left w:val="single" w:color="000000" w:sz="8" w:space="0"/>
              <w:bottom w:val="single" w:color="000000" w:sz="8" w:space="0"/>
              <w:right w:val="single" w:color="000000" w:sz="8" w:space="0"/>
            </w:tcBorders>
            <w:vAlign w:val="center"/>
          </w:tcPr>
          <w:p w14:paraId="4841AEBC">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酱油</w:t>
            </w:r>
          </w:p>
        </w:tc>
        <w:tc>
          <w:tcPr>
            <w:tcW w:w="855" w:type="pct"/>
            <w:tcBorders>
              <w:top w:val="single" w:color="000000" w:sz="8" w:space="0"/>
              <w:left w:val="single" w:color="000000" w:sz="8" w:space="0"/>
              <w:bottom w:val="single" w:color="000000" w:sz="8" w:space="0"/>
              <w:right w:val="single" w:color="000000" w:sz="8" w:space="0"/>
            </w:tcBorders>
            <w:vAlign w:val="center"/>
          </w:tcPr>
          <w:p w14:paraId="2CEB42CA">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GB/T 18186</w:t>
            </w:r>
          </w:p>
          <w:p w14:paraId="628633B1">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(酿造酱油)</w:t>
            </w:r>
          </w:p>
        </w:tc>
        <w:tc>
          <w:tcPr>
            <w:tcW w:w="3388" w:type="pct"/>
            <w:tcBorders>
              <w:top w:val="single" w:color="000000" w:sz="8" w:space="0"/>
              <w:left w:val="single" w:color="000000" w:sz="8" w:space="0"/>
              <w:bottom w:val="single" w:color="000000" w:sz="8" w:space="0"/>
              <w:right w:val="single" w:color="000000" w:sz="8" w:space="0"/>
            </w:tcBorders>
            <w:vAlign w:val="center"/>
          </w:tcPr>
          <w:p w14:paraId="6BB663A4">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使用酿造酱油，严禁使用“配制酱油”。氨基酸态氮≥0.80g/100mL（特级），无异味。</w:t>
            </w:r>
          </w:p>
        </w:tc>
      </w:tr>
      <w:tr w14:paraId="494614B2">
        <w:tblPrEx>
          <w:tblCellMar>
            <w:top w:w="0" w:type="dxa"/>
            <w:left w:w="108" w:type="dxa"/>
            <w:bottom w:w="0" w:type="dxa"/>
            <w:right w:w="108" w:type="dxa"/>
          </w:tblCellMar>
        </w:tblPrEx>
        <w:trPr>
          <w:trHeight w:val="807" w:hRule="atLeast"/>
          <w:tblCellSpacing w:w="15" w:type="dxa"/>
        </w:trPr>
        <w:tc>
          <w:tcPr>
            <w:tcW w:w="684" w:type="pct"/>
            <w:gridSpan w:val="2"/>
            <w:tcBorders>
              <w:top w:val="single" w:color="000000" w:sz="8" w:space="0"/>
              <w:left w:val="single" w:color="000000" w:sz="8" w:space="0"/>
              <w:bottom w:val="single" w:color="000000" w:sz="8" w:space="0"/>
              <w:right w:val="single" w:color="000000" w:sz="8" w:space="0"/>
            </w:tcBorders>
            <w:vAlign w:val="center"/>
          </w:tcPr>
          <w:p w14:paraId="77F9502F">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食醋</w:t>
            </w:r>
          </w:p>
        </w:tc>
        <w:tc>
          <w:tcPr>
            <w:tcW w:w="855" w:type="pct"/>
            <w:tcBorders>
              <w:top w:val="single" w:color="000000" w:sz="8" w:space="0"/>
              <w:left w:val="single" w:color="000000" w:sz="8" w:space="0"/>
              <w:bottom w:val="single" w:color="000000" w:sz="8" w:space="0"/>
              <w:right w:val="single" w:color="000000" w:sz="8" w:space="0"/>
            </w:tcBorders>
            <w:vAlign w:val="center"/>
          </w:tcPr>
          <w:p w14:paraId="0E1D06D4">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GB/T 18187</w:t>
            </w:r>
          </w:p>
          <w:p w14:paraId="31D34DCA">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(酿造食醋)</w:t>
            </w:r>
          </w:p>
        </w:tc>
        <w:tc>
          <w:tcPr>
            <w:tcW w:w="3388" w:type="pct"/>
            <w:tcBorders>
              <w:top w:val="single" w:color="000000" w:sz="8" w:space="0"/>
              <w:left w:val="single" w:color="000000" w:sz="8" w:space="0"/>
              <w:bottom w:val="single" w:color="000000" w:sz="8" w:space="0"/>
              <w:right w:val="single" w:color="000000" w:sz="8" w:space="0"/>
            </w:tcBorders>
            <w:vAlign w:val="center"/>
          </w:tcPr>
          <w:p w14:paraId="2E622305">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使用是酿造食醋，严禁使用冰乙酸勾兑。总酸≥3.5g/100mL。</w:t>
            </w:r>
          </w:p>
        </w:tc>
      </w:tr>
      <w:tr w14:paraId="2C5862A2">
        <w:tblPrEx>
          <w:tblCellMar>
            <w:top w:w="0" w:type="dxa"/>
            <w:left w:w="108" w:type="dxa"/>
            <w:bottom w:w="0" w:type="dxa"/>
            <w:right w:w="108" w:type="dxa"/>
          </w:tblCellMar>
        </w:tblPrEx>
        <w:trPr>
          <w:trHeight w:val="90" w:hRule="atLeast"/>
          <w:tblCellSpacing w:w="15" w:type="dxa"/>
        </w:trPr>
        <w:tc>
          <w:tcPr>
            <w:tcW w:w="684" w:type="pct"/>
            <w:gridSpan w:val="2"/>
            <w:tcBorders>
              <w:top w:val="single" w:color="000000" w:sz="8" w:space="0"/>
              <w:left w:val="single" w:color="000000" w:sz="8" w:space="0"/>
              <w:bottom w:val="single" w:color="000000" w:sz="8" w:space="0"/>
              <w:right w:val="single" w:color="000000" w:sz="8" w:space="0"/>
            </w:tcBorders>
            <w:vAlign w:val="center"/>
          </w:tcPr>
          <w:p w14:paraId="2428DD48">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酱类</w:t>
            </w:r>
          </w:p>
        </w:tc>
        <w:tc>
          <w:tcPr>
            <w:tcW w:w="855" w:type="pct"/>
            <w:tcBorders>
              <w:top w:val="single" w:color="000000" w:sz="8" w:space="0"/>
              <w:left w:val="single" w:color="000000" w:sz="8" w:space="0"/>
              <w:bottom w:val="single" w:color="000000" w:sz="8" w:space="0"/>
              <w:right w:val="single" w:color="000000" w:sz="8" w:space="0"/>
            </w:tcBorders>
            <w:vAlign w:val="center"/>
          </w:tcPr>
          <w:p w14:paraId="2DDD22E5">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GB/T 24399</w:t>
            </w:r>
          </w:p>
          <w:p w14:paraId="79640ACE">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（豆瓣酱/黄豆酱）</w:t>
            </w:r>
          </w:p>
        </w:tc>
        <w:tc>
          <w:tcPr>
            <w:tcW w:w="3388" w:type="pct"/>
            <w:tcBorders>
              <w:top w:val="single" w:color="000000" w:sz="8" w:space="0"/>
              <w:left w:val="single" w:color="000000" w:sz="8" w:space="0"/>
              <w:bottom w:val="single" w:color="000000" w:sz="8" w:space="0"/>
              <w:right w:val="single" w:color="000000" w:sz="8" w:space="0"/>
            </w:tcBorders>
            <w:vAlign w:val="center"/>
          </w:tcPr>
          <w:p w14:paraId="245B2319">
            <w:pPr>
              <w:jc w:val="left"/>
              <w:rPr>
                <w:rFonts w:hint="eastAsia" w:ascii="仿宋" w:hAnsi="仿宋" w:eastAsia="仿宋" w:cs="仿宋"/>
                <w:color w:val="auto"/>
                <w:szCs w:val="21"/>
              </w:rPr>
            </w:pPr>
          </w:p>
        </w:tc>
      </w:tr>
      <w:tr w14:paraId="7603BB78">
        <w:tblPrEx>
          <w:tblCellMar>
            <w:top w:w="0" w:type="dxa"/>
            <w:left w:w="108" w:type="dxa"/>
            <w:bottom w:w="0" w:type="dxa"/>
            <w:right w:w="108" w:type="dxa"/>
          </w:tblCellMar>
        </w:tblPrEx>
        <w:trPr>
          <w:trHeight w:val="1062" w:hRule="atLeast"/>
          <w:tblCellSpacing w:w="15" w:type="dxa"/>
        </w:trPr>
        <w:tc>
          <w:tcPr>
            <w:tcW w:w="684" w:type="pct"/>
            <w:gridSpan w:val="2"/>
            <w:tcBorders>
              <w:top w:val="single" w:color="000000" w:sz="8" w:space="0"/>
              <w:left w:val="single" w:color="000000" w:sz="8" w:space="0"/>
              <w:bottom w:val="single" w:color="000000" w:sz="8" w:space="0"/>
              <w:right w:val="single" w:color="000000" w:sz="8" w:space="0"/>
            </w:tcBorders>
            <w:vAlign w:val="center"/>
          </w:tcPr>
          <w:p w14:paraId="5A9865A9">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食用盐</w:t>
            </w:r>
          </w:p>
        </w:tc>
        <w:tc>
          <w:tcPr>
            <w:tcW w:w="855" w:type="pct"/>
            <w:tcBorders>
              <w:top w:val="single" w:color="000000" w:sz="8" w:space="0"/>
              <w:left w:val="single" w:color="000000" w:sz="8" w:space="0"/>
              <w:bottom w:val="single" w:color="000000" w:sz="8" w:space="0"/>
              <w:right w:val="single" w:color="000000" w:sz="8" w:space="0"/>
            </w:tcBorders>
            <w:vAlign w:val="center"/>
          </w:tcPr>
          <w:p w14:paraId="19CA8FF1">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GB 2721-2015</w:t>
            </w:r>
          </w:p>
          <w:p w14:paraId="569274EF">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(食用盐)</w:t>
            </w:r>
          </w:p>
        </w:tc>
        <w:tc>
          <w:tcPr>
            <w:tcW w:w="3388" w:type="pct"/>
            <w:tcBorders>
              <w:top w:val="single" w:color="000000" w:sz="8" w:space="0"/>
              <w:left w:val="single" w:color="000000" w:sz="8" w:space="0"/>
              <w:bottom w:val="single" w:color="000000" w:sz="8" w:space="0"/>
              <w:right w:val="single" w:color="000000" w:sz="8" w:space="0"/>
            </w:tcBorders>
            <w:vAlign w:val="center"/>
          </w:tcPr>
          <w:p w14:paraId="6A62699A">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氯化钠含量、碘含量（建议使用加碘盐，除非特定科室要求）。铅、砷、钡等污染物符合限量。</w:t>
            </w:r>
          </w:p>
        </w:tc>
      </w:tr>
      <w:tr w14:paraId="56CBE02F">
        <w:tblPrEx>
          <w:tblCellMar>
            <w:top w:w="0" w:type="dxa"/>
            <w:left w:w="108" w:type="dxa"/>
            <w:bottom w:w="0" w:type="dxa"/>
            <w:right w:w="108" w:type="dxa"/>
          </w:tblCellMar>
        </w:tblPrEx>
        <w:trPr>
          <w:trHeight w:val="312" w:hRule="atLeast"/>
          <w:tblCellSpacing w:w="15" w:type="dxa"/>
        </w:trPr>
        <w:tc>
          <w:tcPr>
            <w:tcW w:w="684" w:type="pct"/>
            <w:gridSpan w:val="2"/>
            <w:tcBorders>
              <w:top w:val="single" w:color="000000" w:sz="8" w:space="0"/>
              <w:left w:val="single" w:color="000000" w:sz="8" w:space="0"/>
              <w:bottom w:val="single" w:color="000000" w:sz="8" w:space="0"/>
              <w:right w:val="single" w:color="000000" w:sz="8" w:space="0"/>
            </w:tcBorders>
            <w:vAlign w:val="center"/>
          </w:tcPr>
          <w:p w14:paraId="7CE4739E">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味精</w:t>
            </w:r>
          </w:p>
        </w:tc>
        <w:tc>
          <w:tcPr>
            <w:tcW w:w="855" w:type="pct"/>
            <w:tcBorders>
              <w:top w:val="single" w:color="000000" w:sz="8" w:space="0"/>
              <w:left w:val="single" w:color="000000" w:sz="8" w:space="0"/>
              <w:bottom w:val="single" w:color="000000" w:sz="8" w:space="0"/>
              <w:right w:val="single" w:color="000000" w:sz="8" w:space="0"/>
            </w:tcBorders>
            <w:vAlign w:val="center"/>
          </w:tcPr>
          <w:p w14:paraId="7872DD0A">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GB/T 8967-2007</w:t>
            </w:r>
          </w:p>
          <w:p w14:paraId="03270C91">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(味精)</w:t>
            </w:r>
          </w:p>
        </w:tc>
        <w:tc>
          <w:tcPr>
            <w:tcW w:w="3388" w:type="pct"/>
            <w:tcBorders>
              <w:top w:val="single" w:color="000000" w:sz="8" w:space="0"/>
              <w:left w:val="single" w:color="000000" w:sz="8" w:space="0"/>
              <w:bottom w:val="single" w:color="000000" w:sz="8" w:space="0"/>
              <w:right w:val="single" w:color="000000" w:sz="8" w:space="0"/>
            </w:tcBorders>
            <w:vAlign w:val="center"/>
          </w:tcPr>
          <w:p w14:paraId="692B946A">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谷氨酸钠≥99.0%。</w:t>
            </w:r>
          </w:p>
        </w:tc>
      </w:tr>
      <w:tr w14:paraId="4FA52614">
        <w:tblPrEx>
          <w:tblCellMar>
            <w:top w:w="0" w:type="dxa"/>
            <w:left w:w="108" w:type="dxa"/>
            <w:bottom w:w="0" w:type="dxa"/>
            <w:right w:w="108" w:type="dxa"/>
          </w:tblCellMar>
        </w:tblPrEx>
        <w:trPr>
          <w:trHeight w:val="1468" w:hRule="atLeast"/>
          <w:tblCellSpacing w:w="15" w:type="dxa"/>
        </w:trPr>
        <w:tc>
          <w:tcPr>
            <w:tcW w:w="684" w:type="pct"/>
            <w:gridSpan w:val="2"/>
            <w:tcBorders>
              <w:top w:val="single" w:color="000000" w:sz="8" w:space="0"/>
              <w:left w:val="single" w:color="000000" w:sz="8" w:space="0"/>
              <w:bottom w:val="single" w:color="000000" w:sz="8" w:space="0"/>
              <w:right w:val="single" w:color="000000" w:sz="8" w:space="0"/>
            </w:tcBorders>
            <w:vAlign w:val="center"/>
          </w:tcPr>
          <w:p w14:paraId="3D176A9B">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复合调味料</w:t>
            </w:r>
          </w:p>
        </w:tc>
        <w:tc>
          <w:tcPr>
            <w:tcW w:w="855" w:type="pct"/>
            <w:tcBorders>
              <w:top w:val="single" w:color="000000" w:sz="8" w:space="0"/>
              <w:left w:val="single" w:color="000000" w:sz="8" w:space="0"/>
              <w:bottom w:val="single" w:color="000000" w:sz="8" w:space="0"/>
              <w:right w:val="single" w:color="000000" w:sz="8" w:space="0"/>
            </w:tcBorders>
            <w:vAlign w:val="center"/>
          </w:tcPr>
          <w:p w14:paraId="772EABC1">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GB 31644-2018</w:t>
            </w:r>
          </w:p>
          <w:p w14:paraId="62DBB92A">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(复合调味料)</w:t>
            </w:r>
          </w:p>
        </w:tc>
        <w:tc>
          <w:tcPr>
            <w:tcW w:w="3388" w:type="pct"/>
            <w:tcBorders>
              <w:top w:val="single" w:color="000000" w:sz="8" w:space="0"/>
              <w:left w:val="single" w:color="000000" w:sz="8" w:space="0"/>
              <w:bottom w:val="single" w:color="000000" w:sz="8" w:space="0"/>
              <w:right w:val="single" w:color="000000" w:sz="8" w:space="0"/>
            </w:tcBorders>
            <w:vAlign w:val="center"/>
          </w:tcPr>
          <w:p w14:paraId="3BE5B7EF">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鸡精SB/T 10371（谷氨酸钠含量）、蚝油GB/T 21999（蚝汁含量）、火锅底料、腌料等。铅、砷限量，菌落总数符合标准。必须明确标注过敏原信息（如含有麸质、大豆、芝麻等），防止患者过敏。</w:t>
            </w:r>
          </w:p>
        </w:tc>
      </w:tr>
      <w:tr w14:paraId="36666972">
        <w:tblPrEx>
          <w:tblCellMar>
            <w:top w:w="0" w:type="dxa"/>
            <w:left w:w="108" w:type="dxa"/>
            <w:bottom w:w="0" w:type="dxa"/>
            <w:right w:w="108" w:type="dxa"/>
          </w:tblCellMar>
        </w:tblPrEx>
        <w:trPr>
          <w:trHeight w:val="1853" w:hRule="atLeast"/>
          <w:tblCellSpacing w:w="15" w:type="dxa"/>
        </w:trPr>
        <w:tc>
          <w:tcPr>
            <w:tcW w:w="684" w:type="pct"/>
            <w:gridSpan w:val="2"/>
            <w:tcBorders>
              <w:top w:val="single" w:color="000000" w:sz="8" w:space="0"/>
              <w:left w:val="single" w:color="000000" w:sz="8" w:space="0"/>
              <w:bottom w:val="single" w:color="000000" w:sz="8" w:space="0"/>
              <w:right w:val="single" w:color="000000" w:sz="8" w:space="0"/>
            </w:tcBorders>
            <w:vAlign w:val="center"/>
          </w:tcPr>
          <w:p w14:paraId="4B2B1226">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干货(菌藻)</w:t>
            </w:r>
          </w:p>
        </w:tc>
        <w:tc>
          <w:tcPr>
            <w:tcW w:w="855" w:type="pct"/>
            <w:tcBorders>
              <w:top w:val="single" w:color="000000" w:sz="8" w:space="0"/>
              <w:left w:val="single" w:color="000000" w:sz="8" w:space="0"/>
              <w:bottom w:val="single" w:color="000000" w:sz="8" w:space="0"/>
              <w:right w:val="single" w:color="000000" w:sz="8" w:space="0"/>
            </w:tcBorders>
            <w:vAlign w:val="center"/>
          </w:tcPr>
          <w:p w14:paraId="164CB43D">
            <w:pPr>
              <w:widowControl/>
              <w:jc w:val="center"/>
              <w:textAlignment w:val="center"/>
              <w:rPr>
                <w:rFonts w:hint="eastAsia" w:ascii="仿宋" w:hAnsi="仿宋" w:eastAsia="仿宋" w:cs="仿宋"/>
                <w:color w:val="auto"/>
                <w:kern w:val="0"/>
                <w:szCs w:val="21"/>
                <w:lang w:bidi="ar"/>
              </w:rPr>
            </w:pPr>
            <w:r>
              <w:rPr>
                <w:rFonts w:hint="eastAsia" w:ascii="仿宋" w:hAnsi="仿宋" w:eastAsia="仿宋" w:cs="仿宋"/>
                <w:color w:val="auto"/>
                <w:kern w:val="0"/>
                <w:szCs w:val="21"/>
                <w:lang w:bidi="ar"/>
              </w:rPr>
              <w:t>GB 7096-2014</w:t>
            </w:r>
          </w:p>
          <w:p w14:paraId="16FF058E">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(食用菌)</w:t>
            </w:r>
          </w:p>
        </w:tc>
        <w:tc>
          <w:tcPr>
            <w:tcW w:w="3388" w:type="pct"/>
            <w:tcBorders>
              <w:top w:val="single" w:color="000000" w:sz="8" w:space="0"/>
              <w:left w:val="single" w:color="000000" w:sz="8" w:space="0"/>
              <w:bottom w:val="single" w:color="000000" w:sz="8" w:space="0"/>
              <w:right w:val="single" w:color="000000" w:sz="8" w:space="0"/>
            </w:tcBorders>
            <w:vAlign w:val="center"/>
          </w:tcPr>
          <w:p w14:paraId="4F69A726">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严禁硫磺熏蒸过度（二氧化硫残留量达标）。感官为无霉变、无虫蛀、无杂质。食用菌（香菇、木耳）GB 7096、干海带(紫菜)：GB 19643、感官指标：木耳（耳瓣舒展，无卷曲，无霉烂，水发后肉质厚实）、香菇（菌盖厚实，色泽黄褐，无虫蛀）、腐竹（淡黄色有光泽，易折断，无霉斑，无酸味）</w:t>
            </w:r>
          </w:p>
        </w:tc>
      </w:tr>
      <w:tr w14:paraId="1E529344">
        <w:tblPrEx>
          <w:tblCellMar>
            <w:top w:w="0" w:type="dxa"/>
            <w:left w:w="108" w:type="dxa"/>
            <w:bottom w:w="0" w:type="dxa"/>
            <w:right w:w="108" w:type="dxa"/>
          </w:tblCellMar>
        </w:tblPrEx>
        <w:trPr>
          <w:trHeight w:val="1035" w:hRule="atLeast"/>
          <w:tblCellSpacing w:w="15" w:type="dxa"/>
        </w:trPr>
        <w:tc>
          <w:tcPr>
            <w:tcW w:w="684" w:type="pct"/>
            <w:gridSpan w:val="2"/>
            <w:tcBorders>
              <w:top w:val="single" w:color="000000" w:sz="8" w:space="0"/>
              <w:left w:val="single" w:color="000000" w:sz="8" w:space="0"/>
              <w:bottom w:val="single" w:color="000000" w:sz="8" w:space="0"/>
              <w:right w:val="single" w:color="000000" w:sz="8" w:space="0"/>
            </w:tcBorders>
            <w:vAlign w:val="center"/>
          </w:tcPr>
          <w:p w14:paraId="7E4BE1B9">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干菜/黄花菜</w:t>
            </w:r>
          </w:p>
        </w:tc>
        <w:tc>
          <w:tcPr>
            <w:tcW w:w="855" w:type="pct"/>
            <w:tcBorders>
              <w:top w:val="single" w:color="000000" w:sz="8" w:space="0"/>
              <w:left w:val="single" w:color="000000" w:sz="8" w:space="0"/>
              <w:bottom w:val="single" w:color="000000" w:sz="8" w:space="0"/>
              <w:right w:val="single" w:color="000000" w:sz="8" w:space="0"/>
            </w:tcBorders>
            <w:vAlign w:val="center"/>
          </w:tcPr>
          <w:p w14:paraId="37AC7BB5">
            <w:pPr>
              <w:widowControl/>
              <w:jc w:val="center"/>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GB 2762 / GB 2763</w:t>
            </w:r>
          </w:p>
        </w:tc>
        <w:tc>
          <w:tcPr>
            <w:tcW w:w="3388" w:type="pct"/>
            <w:tcBorders>
              <w:top w:val="single" w:color="000000" w:sz="8" w:space="0"/>
              <w:left w:val="single" w:color="000000" w:sz="8" w:space="0"/>
              <w:bottom w:val="single" w:color="000000" w:sz="8" w:space="0"/>
              <w:right w:val="single" w:color="000000" w:sz="8" w:space="0"/>
            </w:tcBorders>
            <w:vAlign w:val="center"/>
          </w:tcPr>
          <w:p w14:paraId="5D9791BF">
            <w:pPr>
              <w:widowControl/>
              <w:jc w:val="left"/>
              <w:textAlignment w:val="center"/>
              <w:rPr>
                <w:rFonts w:hint="eastAsia" w:ascii="仿宋" w:hAnsi="仿宋" w:eastAsia="仿宋" w:cs="仿宋"/>
                <w:color w:val="auto"/>
                <w:szCs w:val="21"/>
              </w:rPr>
            </w:pPr>
            <w:r>
              <w:rPr>
                <w:rFonts w:hint="eastAsia" w:ascii="仿宋" w:hAnsi="仿宋" w:eastAsia="仿宋" w:cs="仿宋"/>
                <w:color w:val="auto"/>
                <w:kern w:val="0"/>
                <w:szCs w:val="21"/>
                <w:lang w:bidi="ar"/>
              </w:rPr>
              <w:t>控制重金属（铅、镉）及农药残留。残留限量（通常≤0.2g/kg，具体视品种而定）。</w:t>
            </w:r>
          </w:p>
        </w:tc>
      </w:tr>
    </w:tbl>
    <w:p w14:paraId="1ECF7844">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2.采购与要求</w:t>
      </w:r>
    </w:p>
    <w:p w14:paraId="7F0C50B8">
      <w:pPr>
        <w:widowControl/>
        <w:spacing w:line="360" w:lineRule="auto"/>
        <w:ind w:firstLine="480" w:firstLineChars="200"/>
        <w:rPr>
          <w:rFonts w:hint="eastAsia" w:ascii="仿宋" w:hAnsi="仿宋" w:eastAsia="仿宋" w:cs="仿宋"/>
          <w:color w:val="auto"/>
          <w:sz w:val="24"/>
          <w:lang w:bidi="ar"/>
        </w:rPr>
      </w:pPr>
      <w:r>
        <w:rPr>
          <w:rFonts w:hint="eastAsia" w:ascii="仿宋" w:hAnsi="仿宋" w:eastAsia="仿宋" w:cs="仿宋"/>
          <w:color w:val="auto"/>
          <w:sz w:val="24"/>
          <w:lang w:bidi="ar"/>
        </w:rPr>
        <w:t>投标人</w:t>
      </w:r>
      <w:r>
        <w:rPr>
          <w:rFonts w:ascii="仿宋" w:hAnsi="仿宋" w:eastAsia="仿宋" w:cs="仿宋"/>
          <w:color w:val="auto"/>
          <w:sz w:val="24"/>
          <w:lang w:bidi="ar"/>
        </w:rPr>
        <w:t>在供货时必须提供《营业执照》、生产厂家的《食品生产许可证》（SC证）、批次票证。</w:t>
      </w:r>
    </w:p>
    <w:p w14:paraId="0725574A">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出厂检验报告：每批次必须提供，涵盖感官、理化指标（如水分、盐分、氨基酸态氮）。</w:t>
      </w:r>
    </w:p>
    <w:p w14:paraId="2F82F9D7">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第三方检测报告：建议每季度提供1次第三方全项检测报告（含重金属、真菌毒素、添加剂）。</w:t>
      </w:r>
    </w:p>
    <w:p w14:paraId="7FF4E680">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标签审核：所有预包装食品必须有中文标签（进口产品需有《入境货物检验检疫证明》）。</w:t>
      </w:r>
    </w:p>
    <w:p w14:paraId="7BFADA09">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标签需包含：产品名称、执行标准号、配料表、生产日期、保质期、生产商信息及SC编号。</w:t>
      </w:r>
    </w:p>
    <w:p w14:paraId="2113DE7C">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若发现</w:t>
      </w:r>
      <w:r>
        <w:rPr>
          <w:rFonts w:hint="eastAsia" w:ascii="仿宋" w:hAnsi="仿宋" w:eastAsia="仿宋" w:cs="仿宋"/>
          <w:color w:val="auto"/>
          <w:sz w:val="24"/>
          <w:lang w:bidi="ar"/>
        </w:rPr>
        <w:t>投标人</w:t>
      </w:r>
      <w:r>
        <w:rPr>
          <w:rFonts w:ascii="仿宋" w:hAnsi="仿宋" w:eastAsia="仿宋" w:cs="仿宋"/>
          <w:color w:val="auto"/>
          <w:sz w:val="24"/>
          <w:lang w:bidi="ar"/>
        </w:rPr>
        <w:t>提供不符合上述GB标准，特别是使用已废止标准如GB/T 1355-1986或含禁用添加剂的产品，医院有权退货并追究违约责任。</w:t>
      </w:r>
    </w:p>
    <w:p w14:paraId="20471F77">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3.质量要求</w:t>
      </w:r>
    </w:p>
    <w:p w14:paraId="6BD7FF51">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1）干货质量要求：干货制品的质量基本标准要求符合国家相关行业标准，干爽，不霉烂、整齐、均匀、完整，无虫蛀、无杂质，保持应有的色泽。确保产品质量稳定，保证营养丰富、绿色安全、海味浓郁、易存放、食用方便，保质期长。从加工、包装、运输、贮存到销售全部符合国家规定标准。尤其是二氧化硫残留量、总砷含量不超过国家卫生标准；木耳类的水分含量不能超过国家标准要求，采购方可根据实际情况对需要的干货制品进行品质抽检，对质量未达到国家标准的干货制品医院有权拒绝接受。</w:t>
      </w:r>
    </w:p>
    <w:p w14:paraId="2FF5BE60">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2）调味品、配料：产品包装要密封，无破损。标识说明完整详细包括：产品名称、净含量、配料表、制造者或经销者的名称和地址、产品标准号、生产日期、保质期，要注明生产日期和保质期。凡属于国家定义的食品添加剂产品必须在包装中注明“食品添加剂”字样，并标有国家规定使用量范围，每次供货需提供该批次食品添加剂的检测报告。</w:t>
      </w:r>
    </w:p>
    <w:p w14:paraId="06106871">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3）面粉的质量要求：面类货物必须符合卫生，不得有变质、霉变、生虫、污秽不洁、混有异物或者其他感官性状异常，并可能对人体健康有害的物质。包装要标明生产日期、保质期、厂名、厂址等，面粉不应加入增白剂；面粉颜色呈微黄或乳黄色，没有黑点；面粉闻起来要有麦香味，没有酸、霉等异味。</w:t>
      </w:r>
    </w:p>
    <w:p w14:paraId="19DC1F22">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（4）蛋类供货产品的质量要求：所提供的产品应保持较好的外观和质量等级，符合国家食品安全标准，必须是新鲜的蛋。食品供应链要求：必须来源于受地方政府相关部门监管的家禽供应场。</w:t>
      </w:r>
    </w:p>
    <w:p w14:paraId="20456F35">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5）腊味类供货产品的质量要求：所提供的产品应保持较好的外观和质量等级，符合国家食品安全标准，主流品牌，严禁“三无”产品。食品供应链要求：主流品牌，预包装食品有名称、规格、生产日期、保质期、成分表、厂家和SC认证等食品安全标准的标签。</w:t>
      </w:r>
    </w:p>
    <w:p w14:paraId="5827454E">
      <w:pPr>
        <w:widowControl/>
        <w:spacing w:line="360" w:lineRule="auto"/>
        <w:ind w:firstLine="482" w:firstLineChars="200"/>
        <w:rPr>
          <w:rFonts w:hint="eastAsia" w:ascii="仿宋" w:hAnsi="仿宋" w:eastAsia="仿宋" w:cs="仿宋"/>
          <w:b/>
          <w:bCs/>
          <w:color w:val="auto"/>
          <w:sz w:val="24"/>
          <w:lang w:bidi="ar"/>
        </w:rPr>
      </w:pPr>
      <w:r>
        <w:rPr>
          <w:rFonts w:ascii="仿宋" w:hAnsi="仿宋" w:eastAsia="仿宋" w:cs="仿宋"/>
          <w:b/>
          <w:bCs/>
          <w:color w:val="auto"/>
          <w:sz w:val="24"/>
          <w:lang w:bidi="ar"/>
        </w:rPr>
        <w:t>（二）米、油类</w:t>
      </w:r>
    </w:p>
    <w:p w14:paraId="5B85D1BC">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1.米类</w:t>
      </w:r>
    </w:p>
    <w:p w14:paraId="3B1675ED">
      <w:pPr>
        <w:widowControl/>
        <w:spacing w:line="360" w:lineRule="auto"/>
        <w:ind w:firstLine="480" w:firstLineChars="200"/>
        <w:rPr>
          <w:rFonts w:hint="eastAsia" w:ascii="仿宋" w:hAnsi="仿宋" w:eastAsia="仿宋" w:cs="仿宋"/>
          <w:color w:val="auto"/>
          <w:sz w:val="24"/>
          <w:lang w:bidi="ar"/>
        </w:rPr>
      </w:pPr>
      <w:r>
        <w:rPr>
          <w:rFonts w:ascii="微软雅黑" w:hAnsi="微软雅黑" w:eastAsia="微软雅黑" w:cs="微软雅黑"/>
          <w:color w:val="auto"/>
          <w:sz w:val="24"/>
          <w:lang w:bidi="ar"/>
        </w:rPr>
        <w:t>（1）</w:t>
      </w:r>
      <w:r>
        <w:rPr>
          <w:rFonts w:hint="eastAsia" w:ascii="仿宋" w:hAnsi="仿宋" w:eastAsia="仿宋" w:cs="仿宋"/>
          <w:color w:val="auto"/>
          <w:sz w:val="24"/>
          <w:lang w:bidi="ar"/>
        </w:rPr>
        <w:t>投标人</w:t>
      </w:r>
      <w:r>
        <w:rPr>
          <w:rFonts w:ascii="仿宋" w:hAnsi="仿宋" w:eastAsia="仿宋" w:cs="仿宋"/>
          <w:color w:val="auto"/>
          <w:sz w:val="24"/>
          <w:lang w:bidi="ar"/>
        </w:rPr>
        <w:t>中标后供应的米类满足标准：《大米》（GB1354-2018）灿米三级标准或以上，不含添加剂。</w:t>
      </w:r>
    </w:p>
    <w:p w14:paraId="5832BCAC">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（2）除符合标准灿米三级标准米外，同时要求：</w:t>
      </w:r>
    </w:p>
    <w:p w14:paraId="3A126676">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碎米总量≤15％　 （籼米三级国家标准：≤30％）</w:t>
      </w:r>
    </w:p>
    <w:p w14:paraId="48A732BD">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小碎米总量≤1％　（籼米三级国家标准：≤2.0％）</w:t>
      </w:r>
    </w:p>
    <w:p w14:paraId="7BA6D84B">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不完善粒≤3％　　（籼米三级国家标准：≤6％）</w:t>
      </w:r>
    </w:p>
    <w:p w14:paraId="04206EB6">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黄米粒按国家标准执行。</w:t>
      </w:r>
    </w:p>
    <w:p w14:paraId="5E0B9556">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（3）有食品生产许可证（“SC”标志），标明加工厂名称、品名、生产日期、保质期或保存期，供货时的剩余保质期不少于三分之二，质量等级、产品标准号、产品合格证，质量符合米类执行标准。</w:t>
      </w:r>
    </w:p>
    <w:p w14:paraId="3F708361">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（4）米的质量要求：具有固有色泽和香味，无污染、无虫害，色泽、气味、口味正常，无异味或霉味（霉变），无虫蛀结块挂丝或杂质异常，符合国家粮食卫生标准。</w:t>
      </w:r>
    </w:p>
    <w:p w14:paraId="165EBF3E">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（5）要求的资质证明：《产品质量检验报告》由政府产品质量监督部门出具，每批次一次。</w:t>
      </w:r>
    </w:p>
    <w:p w14:paraId="158DF74E">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（6）重量验收：医院对每批次的供货食材进行抽查，按抽查验收数量过磅，根据《定量包装商品计量监督管理办法》规定，大米包装重量和实际差1%属国家允许误差。</w:t>
      </w:r>
    </w:p>
    <w:p w14:paraId="2B364C7E">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2.油类</w:t>
      </w:r>
    </w:p>
    <w:p w14:paraId="46034C9C">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（1）</w:t>
      </w:r>
      <w:r>
        <w:rPr>
          <w:rFonts w:hint="eastAsia" w:ascii="仿宋" w:hAnsi="仿宋" w:eastAsia="仿宋" w:cs="仿宋"/>
          <w:color w:val="auto"/>
          <w:sz w:val="24"/>
          <w:lang w:bidi="ar"/>
        </w:rPr>
        <w:t>投标人</w:t>
      </w:r>
      <w:r>
        <w:rPr>
          <w:rFonts w:ascii="仿宋" w:hAnsi="仿宋" w:eastAsia="仿宋" w:cs="仿宋"/>
          <w:color w:val="auto"/>
          <w:sz w:val="24"/>
          <w:lang w:bidi="ar"/>
        </w:rPr>
        <w:t>中标后供应的油类满足标准：</w:t>
      </w:r>
    </w:p>
    <w:p w14:paraId="6008165D">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食用油（不含转基因成分的食用油）</w:t>
      </w:r>
    </w:p>
    <w:p w14:paraId="551B0742">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花生油：GB/T1534-2017、GB/T 1534-2017/XG1-2019</w:t>
      </w:r>
      <w:r>
        <w:rPr>
          <w:rFonts w:hint="eastAsia" w:ascii="仿宋" w:hAnsi="仿宋" w:eastAsia="仿宋" w:cs="仿宋"/>
          <w:color w:val="auto"/>
          <w:sz w:val="24"/>
          <w:lang w:bidi="ar"/>
        </w:rPr>
        <w:t>；</w:t>
      </w:r>
    </w:p>
    <w:p w14:paraId="7430AC48">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大豆油：GB/T1535-2017、GB/T 1535-2017/XG1-2019</w:t>
      </w:r>
      <w:r>
        <w:rPr>
          <w:rFonts w:hint="eastAsia" w:ascii="仿宋" w:hAnsi="仿宋" w:eastAsia="仿宋" w:cs="仿宋"/>
          <w:color w:val="auto"/>
          <w:sz w:val="24"/>
          <w:lang w:bidi="ar"/>
        </w:rPr>
        <w:t>；</w:t>
      </w:r>
    </w:p>
    <w:p w14:paraId="2FA479EA">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葵花籽油：GB/T10464-2017、GB/T 10464-2017/XG1-2019</w:t>
      </w:r>
      <w:r>
        <w:rPr>
          <w:rFonts w:hint="eastAsia" w:ascii="仿宋" w:hAnsi="仿宋" w:eastAsia="仿宋" w:cs="仿宋"/>
          <w:color w:val="auto"/>
          <w:sz w:val="24"/>
          <w:lang w:bidi="ar"/>
        </w:rPr>
        <w:t>；</w:t>
      </w:r>
    </w:p>
    <w:p w14:paraId="1D07749E">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棉籽油：GB/T 1537-2019</w:t>
      </w:r>
      <w:r>
        <w:rPr>
          <w:rFonts w:hint="eastAsia" w:ascii="仿宋" w:hAnsi="仿宋" w:eastAsia="仿宋" w:cs="仿宋"/>
          <w:color w:val="auto"/>
          <w:sz w:val="24"/>
          <w:lang w:bidi="ar"/>
        </w:rPr>
        <w:t>；</w:t>
      </w:r>
    </w:p>
    <w:p w14:paraId="5D8AFCC8">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油茶籽油：GB/T 11765-2018</w:t>
      </w:r>
      <w:r>
        <w:rPr>
          <w:rFonts w:hint="eastAsia" w:ascii="仿宋" w:hAnsi="仿宋" w:eastAsia="仿宋" w:cs="仿宋"/>
          <w:color w:val="auto"/>
          <w:sz w:val="24"/>
          <w:lang w:bidi="ar"/>
        </w:rPr>
        <w:t>；</w:t>
      </w:r>
    </w:p>
    <w:p w14:paraId="4DC13EB9">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玉米油：GB/T19111-2017、GB/T 19111-2017/XG1-2019</w:t>
      </w:r>
      <w:r>
        <w:rPr>
          <w:rFonts w:hint="eastAsia" w:ascii="仿宋" w:hAnsi="仿宋" w:eastAsia="仿宋" w:cs="仿宋"/>
          <w:color w:val="auto"/>
          <w:sz w:val="24"/>
          <w:lang w:bidi="ar"/>
        </w:rPr>
        <w:t>；</w:t>
      </w:r>
    </w:p>
    <w:p w14:paraId="337CACEA">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（2）油类质量要求：</w:t>
      </w:r>
    </w:p>
    <w:p w14:paraId="1123CEB2">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每个食用油品种必须色泽好，透明度高，无浑浊，无沉淀和悬浮物，黏度小，无分层现象，气味正常，无酸臭异味。严格执行国家质量标准及卫生安全标准，色泽、气味等严格控制在国家标准范围内，并根据医院需求的食用油等级保质保量完成供货。要求提供的食用油生产厂家信誉良好，有明确的商品标签，有生产日期、保质期、质量等级，并标明初制油的加工工艺（即用浸出法生产，还是用压榨法生产的）和是否用转基因油料生产，不许以次充好、以假充真。一经发现，</w:t>
      </w:r>
      <w:r>
        <w:rPr>
          <w:rFonts w:hint="eastAsia" w:ascii="仿宋" w:hAnsi="仿宋" w:eastAsia="仿宋" w:cs="仿宋"/>
          <w:color w:val="auto"/>
          <w:sz w:val="24"/>
          <w:lang w:bidi="ar"/>
        </w:rPr>
        <w:t>投标人</w:t>
      </w:r>
      <w:r>
        <w:rPr>
          <w:rFonts w:ascii="仿宋" w:hAnsi="仿宋" w:eastAsia="仿宋" w:cs="仿宋"/>
          <w:color w:val="auto"/>
          <w:sz w:val="24"/>
          <w:lang w:bidi="ar"/>
        </w:rPr>
        <w:t>将承担全部责任。</w:t>
      </w:r>
    </w:p>
    <w:p w14:paraId="7EE44671">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（3）提供的米、油要有食品生产许可证（“SC”标志），国家机关发出的产品检验合格证书。不得为转基因物品或转基因制成品，经查实所提供物品中具有转基因物品或转基因制成品立即终止合同，并由</w:t>
      </w:r>
      <w:r>
        <w:rPr>
          <w:rFonts w:hint="eastAsia" w:ascii="仿宋" w:hAnsi="仿宋" w:eastAsia="仿宋" w:cs="仿宋"/>
          <w:color w:val="auto"/>
          <w:sz w:val="24"/>
          <w:lang w:bidi="ar"/>
        </w:rPr>
        <w:t>投标人</w:t>
      </w:r>
      <w:r>
        <w:rPr>
          <w:rFonts w:ascii="仿宋" w:hAnsi="仿宋" w:eastAsia="仿宋" w:cs="仿宋"/>
          <w:color w:val="auto"/>
          <w:sz w:val="24"/>
          <w:lang w:bidi="ar"/>
        </w:rPr>
        <w:t>承担全部责任。</w:t>
      </w:r>
    </w:p>
    <w:p w14:paraId="27DD8858">
      <w:pPr>
        <w:widowControl/>
        <w:spacing w:line="360" w:lineRule="auto"/>
        <w:ind w:firstLine="480" w:firstLineChars="200"/>
        <w:rPr>
          <w:rFonts w:hint="eastAsia" w:ascii="仿宋" w:hAnsi="仿宋" w:eastAsia="仿宋" w:cs="仿宋"/>
          <w:color w:val="auto"/>
          <w:sz w:val="24"/>
          <w:lang w:bidi="ar"/>
        </w:rPr>
      </w:pPr>
      <w:r>
        <w:rPr>
          <w:rFonts w:ascii="仿宋" w:hAnsi="仿宋" w:eastAsia="仿宋" w:cs="仿宋"/>
          <w:color w:val="auto"/>
          <w:sz w:val="24"/>
          <w:lang w:bidi="ar"/>
        </w:rPr>
        <w:t>（4）包装箱完整，同时包装箱印有注册商标、生产厂家名称、厂址、出厂日期、产品合格证、保质期限、产品成分、厂家电话号码等信息，并标明初制油的加工工艺（即用浸出法生产，还是用压榨法生产的）和是否用转基因油料生产。不许以次充好、以假充真，牟取暴利，一经核实，</w:t>
      </w:r>
      <w:r>
        <w:rPr>
          <w:rFonts w:hint="eastAsia" w:ascii="仿宋" w:hAnsi="仿宋" w:eastAsia="仿宋" w:cs="仿宋"/>
          <w:color w:val="auto"/>
          <w:sz w:val="24"/>
          <w:lang w:bidi="ar"/>
        </w:rPr>
        <w:t>投标人</w:t>
      </w:r>
      <w:r>
        <w:rPr>
          <w:rFonts w:ascii="仿宋" w:hAnsi="仿宋" w:eastAsia="仿宋" w:cs="仿宋"/>
          <w:color w:val="auto"/>
          <w:sz w:val="24"/>
          <w:lang w:bidi="ar"/>
        </w:rPr>
        <w:t>除须无偿更换该批次同等数量的合格食用物品外，还应承担因此造成的食品安全等责任。</w:t>
      </w:r>
    </w:p>
    <w:p w14:paraId="1F1FAE19">
      <w:pPr>
        <w:widowControl/>
        <w:spacing w:line="360" w:lineRule="auto"/>
        <w:ind w:firstLine="482" w:firstLineChars="200"/>
        <w:outlineLvl w:val="1"/>
        <w:rPr>
          <w:rFonts w:hint="eastAsia" w:ascii="仿宋" w:hAnsi="仿宋" w:eastAsia="仿宋" w:cs="仿宋"/>
          <w:b/>
          <w:bCs/>
          <w:color w:val="auto"/>
          <w:sz w:val="24"/>
          <w:lang w:bidi="ar"/>
        </w:rPr>
      </w:pPr>
      <w:r>
        <w:rPr>
          <w:rFonts w:ascii="仿宋" w:hAnsi="仿宋" w:eastAsia="仿宋" w:cs="仿宋"/>
          <w:b/>
          <w:bCs/>
          <w:color w:val="auto"/>
          <w:sz w:val="24"/>
          <w:lang w:bidi="ar"/>
        </w:rPr>
        <w:t>三、一次性易耗品</w:t>
      </w:r>
    </w:p>
    <w:p w14:paraId="104D059D">
      <w:pPr>
        <w:widowControl/>
        <w:spacing w:line="360" w:lineRule="auto"/>
        <w:ind w:firstLine="480" w:firstLineChars="200"/>
        <w:jc w:val="both"/>
        <w:rPr>
          <w:rFonts w:hint="eastAsia" w:ascii="仿宋" w:hAnsi="仿宋" w:eastAsia="仿宋" w:cs="仿宋"/>
          <w:color w:val="auto"/>
          <w:sz w:val="24"/>
          <w:lang w:bidi="ar"/>
        </w:rPr>
      </w:pPr>
      <w:r>
        <w:rPr>
          <w:rFonts w:ascii="仿宋" w:hAnsi="仿宋" w:eastAsia="仿宋" w:cs="仿宋"/>
          <w:color w:val="auto"/>
          <w:sz w:val="24"/>
          <w:lang w:bidi="ar"/>
        </w:rPr>
        <w:t>（一）</w:t>
      </w:r>
      <w:r>
        <w:rPr>
          <w:rFonts w:hint="eastAsia" w:ascii="仿宋" w:hAnsi="仿宋" w:eastAsia="仿宋" w:cs="仿宋"/>
          <w:color w:val="auto"/>
          <w:sz w:val="24"/>
          <w:lang w:bidi="ar"/>
        </w:rPr>
        <w:t>投标人</w:t>
      </w:r>
      <w:r>
        <w:rPr>
          <w:rFonts w:ascii="仿宋" w:hAnsi="仿宋" w:eastAsia="仿宋" w:cs="仿宋"/>
          <w:color w:val="auto"/>
          <w:sz w:val="24"/>
          <w:lang w:bidi="ar"/>
        </w:rPr>
        <w:t>所供物品为食品接触材料及制品（或对应具体品类，如塑料包装、金属餐具等），应符合现行有效的国家食品安全标准及相关技术规范，包括但不限于《食品安全国家标准 食品接触材料及制品通用安全要求》（GB 4806.1-2016）、《食品安全国家标准 食品接触材料及制品用添加剂使用标准》（GB 9685-2016，含第 1 号修改单 GB 9685-2016/XG1-2025），以及对应材质的专项标准（如塑料类 GB 4806.7-2016、金属类 GB 4806.9-2016、橡胶类 GB 4806.11-2016 等）。物品需满足以下质量要求：感官上色泽正常、表面平整洁净，无异味、无霉烂变质，无油污、斑点、毛刺、破裂等缺陷；安全指标上，总迁移量、高锰酸钾消耗量、重金属（铅、镉、铬等）迁移量及微生物限量等均符合对应标准规定；添加剂使用严格遵循 GB 9685-2016 及修改单的限量与使用范围要求，不得添加禁用物质。</w:t>
      </w:r>
    </w:p>
    <w:p w14:paraId="0E6ACFCD">
      <w:pPr>
        <w:widowControl/>
        <w:spacing w:line="360" w:lineRule="auto"/>
        <w:ind w:firstLine="480" w:firstLineChars="200"/>
        <w:jc w:val="left"/>
        <w:rPr>
          <w:rFonts w:hint="eastAsia" w:ascii="仿宋" w:hAnsi="仿宋" w:eastAsia="仿宋" w:cs="仿宋"/>
          <w:color w:val="auto"/>
          <w:sz w:val="24"/>
          <w:lang w:bidi="ar"/>
        </w:rPr>
      </w:pPr>
      <w:r>
        <w:rPr>
          <w:rFonts w:ascii="仿宋" w:hAnsi="仿宋" w:eastAsia="仿宋" w:cs="仿宋"/>
          <w:color w:val="auto"/>
          <w:sz w:val="24"/>
          <w:lang w:bidi="ar"/>
        </w:rPr>
        <w:t>（二）</w:t>
      </w:r>
      <w:r>
        <w:rPr>
          <w:rFonts w:hint="eastAsia" w:ascii="仿宋" w:hAnsi="仿宋" w:eastAsia="仿宋" w:cs="仿宋"/>
          <w:color w:val="auto"/>
          <w:sz w:val="24"/>
          <w:lang w:bidi="ar"/>
        </w:rPr>
        <w:t>投标人</w:t>
      </w:r>
      <w:r>
        <w:rPr>
          <w:rFonts w:ascii="仿宋" w:hAnsi="仿宋" w:eastAsia="仿宋" w:cs="仿宋"/>
          <w:color w:val="auto"/>
          <w:sz w:val="24"/>
          <w:lang w:bidi="ar"/>
        </w:rPr>
        <w:t>所供物品均应满足可直接接触食品用途，不在国家市场监督管理总局（会同国家卫生健康委员会等相关部门）发布的食品接触材料及制品停止使用名单内。</w:t>
      </w:r>
    </w:p>
    <w:p w14:paraId="58F23461">
      <w:pPr>
        <w:widowControl/>
        <w:spacing w:line="360" w:lineRule="auto"/>
        <w:ind w:firstLine="480" w:firstLineChars="200"/>
        <w:jc w:val="left"/>
        <w:rPr>
          <w:rFonts w:hint="eastAsia" w:ascii="仿宋" w:hAnsi="仿宋" w:eastAsia="仿宋" w:cs="仿宋"/>
          <w:color w:val="auto"/>
          <w:sz w:val="24"/>
          <w:lang w:bidi="ar"/>
        </w:rPr>
      </w:pPr>
      <w:r>
        <w:rPr>
          <w:rFonts w:ascii="仿宋" w:hAnsi="仿宋" w:eastAsia="仿宋" w:cs="仿宋"/>
          <w:color w:val="auto"/>
          <w:sz w:val="24"/>
          <w:lang w:bidi="ar"/>
        </w:rPr>
        <w:t>（三）产品原材料及成品标准：</w:t>
      </w:r>
    </w:p>
    <w:p w14:paraId="488DE90D">
      <w:pPr>
        <w:widowControl/>
        <w:spacing w:line="360" w:lineRule="auto"/>
        <w:ind w:firstLine="480" w:firstLineChars="200"/>
        <w:jc w:val="left"/>
        <w:rPr>
          <w:rFonts w:hint="eastAsia" w:ascii="仿宋" w:hAnsi="仿宋" w:eastAsia="仿宋" w:cs="仿宋"/>
          <w:color w:val="auto"/>
          <w:sz w:val="24"/>
          <w:lang w:bidi="ar"/>
        </w:rPr>
      </w:pPr>
      <w:r>
        <w:rPr>
          <w:rFonts w:ascii="仿宋" w:hAnsi="仿宋" w:eastAsia="仿宋" w:cs="仿宋"/>
          <w:color w:val="auto"/>
          <w:sz w:val="24"/>
          <w:lang w:bidi="ar"/>
        </w:rPr>
        <w:t xml:space="preserve">1.可降解材质产品：符合国家标准GB/T 18006.3-2020《一次性可降解餐饮具通用技术要求》的标准。                                </w:t>
      </w:r>
    </w:p>
    <w:p w14:paraId="04541119">
      <w:pPr>
        <w:widowControl/>
        <w:spacing w:line="360" w:lineRule="auto"/>
        <w:ind w:firstLine="480" w:firstLineChars="200"/>
        <w:jc w:val="left"/>
        <w:rPr>
          <w:rFonts w:hint="eastAsia" w:ascii="仿宋" w:hAnsi="仿宋" w:eastAsia="仿宋" w:cs="仿宋"/>
          <w:color w:val="auto"/>
          <w:sz w:val="24"/>
          <w:lang w:bidi="ar"/>
        </w:rPr>
      </w:pPr>
      <w:r>
        <w:rPr>
          <w:rFonts w:ascii="仿宋" w:hAnsi="仿宋" w:eastAsia="仿宋" w:cs="仿宋"/>
          <w:color w:val="auto"/>
          <w:sz w:val="24"/>
          <w:lang w:bidi="ar"/>
        </w:rPr>
        <w:t>2.竹材质筷子：符合国家标准GB/T19790.2-2005《一次性筷子 第2部分：竹筷》和《一次性竹木筷产品质量国家监督抽查实施细则（2021版）》的标准。</w:t>
      </w:r>
    </w:p>
    <w:p w14:paraId="28AABFE8">
      <w:pPr>
        <w:widowControl/>
        <w:spacing w:line="360" w:lineRule="auto"/>
        <w:ind w:firstLine="480" w:firstLineChars="200"/>
        <w:jc w:val="left"/>
        <w:rPr>
          <w:rFonts w:hint="eastAsia" w:ascii="仿宋" w:hAnsi="仿宋" w:eastAsia="仿宋" w:cs="仿宋"/>
          <w:color w:val="auto"/>
          <w:sz w:val="24"/>
          <w:lang w:bidi="ar"/>
        </w:rPr>
      </w:pPr>
      <w:r>
        <w:rPr>
          <w:rFonts w:ascii="仿宋" w:hAnsi="仿宋" w:eastAsia="仿宋" w:cs="仿宋"/>
          <w:color w:val="auto"/>
          <w:sz w:val="24"/>
          <w:lang w:bidi="ar"/>
        </w:rPr>
        <w:t>3.PP材质产品：符合国家标准GB 4806.7-2023《食品安全国家标准食品接触用塑料材料及制品》的标准。</w:t>
      </w:r>
    </w:p>
    <w:p w14:paraId="72CD33A3">
      <w:pPr>
        <w:widowControl/>
        <w:spacing w:line="360" w:lineRule="auto"/>
        <w:ind w:firstLine="480" w:firstLineChars="200"/>
        <w:jc w:val="left"/>
        <w:rPr>
          <w:rFonts w:hint="eastAsia" w:ascii="仿宋" w:hAnsi="仿宋" w:eastAsia="仿宋" w:cs="仿宋"/>
          <w:color w:val="auto"/>
          <w:sz w:val="24"/>
          <w:lang w:bidi="ar"/>
        </w:rPr>
      </w:pPr>
      <w:r>
        <w:rPr>
          <w:rFonts w:ascii="仿宋" w:hAnsi="仿宋" w:eastAsia="仿宋" w:cs="仿宋"/>
          <w:color w:val="auto"/>
          <w:sz w:val="24"/>
          <w:lang w:bidi="ar"/>
        </w:rPr>
        <w:t>4.铝箔纸材质产品：符合国家标准GB 4806.9-2023《食品安全国家标准食品接触用金属材料及制品》标准。</w:t>
      </w:r>
    </w:p>
    <w:p w14:paraId="752732F9">
      <w:pPr>
        <w:widowControl/>
        <w:spacing w:line="360" w:lineRule="auto"/>
        <w:ind w:firstLine="480" w:firstLineChars="200"/>
        <w:jc w:val="left"/>
        <w:rPr>
          <w:rFonts w:hint="eastAsia" w:ascii="仿宋" w:hAnsi="仿宋" w:eastAsia="仿宋" w:cs="仿宋"/>
          <w:color w:val="auto"/>
          <w:sz w:val="24"/>
          <w:lang w:bidi="ar"/>
        </w:rPr>
      </w:pPr>
      <w:r>
        <w:rPr>
          <w:rFonts w:ascii="仿宋" w:hAnsi="仿宋" w:eastAsia="仿宋" w:cs="仿宋"/>
          <w:color w:val="auto"/>
          <w:sz w:val="24"/>
          <w:lang w:bidi="ar"/>
        </w:rPr>
        <w:t>5.烘焙油纸材质产品：烘焙油纸材质产品：符合国家标准GB/T 36392-2025《食品包装用淋膜纸和纸板》标准和 GB 30607-2024《食品安全国家标准食品添加剂聚二甲基硅氧烷及其乳液（含第1号修改单）》的标准。</w:t>
      </w:r>
    </w:p>
    <w:p w14:paraId="6982A741">
      <w:pPr>
        <w:widowControl/>
        <w:spacing w:line="360" w:lineRule="auto"/>
        <w:ind w:firstLine="480" w:firstLineChars="200"/>
        <w:jc w:val="left"/>
        <w:rPr>
          <w:rFonts w:hint="eastAsia" w:ascii="仿宋" w:hAnsi="仿宋" w:eastAsia="仿宋" w:cs="仿宋"/>
          <w:color w:val="auto"/>
          <w:sz w:val="24"/>
          <w:lang w:bidi="ar"/>
        </w:rPr>
      </w:pPr>
      <w:r>
        <w:rPr>
          <w:rFonts w:ascii="仿宋" w:hAnsi="仿宋" w:eastAsia="仿宋" w:cs="仿宋"/>
          <w:color w:val="auto"/>
          <w:sz w:val="24"/>
          <w:lang w:bidi="ar"/>
        </w:rPr>
        <w:t>6.纸浆及淋膜纸材质产品：符合国家标准GB/T 27590-2022《纸杯》标准和GB 4806.8-2022《食品安全国家标准食品接触用纸和纸板材料及制品》标准以及 GB 4806.7-2023《食品安全国家标准食品接触用塑料及制品》标准。</w:t>
      </w:r>
    </w:p>
    <w:p w14:paraId="6A739473">
      <w:pPr>
        <w:widowControl/>
        <w:spacing w:line="360" w:lineRule="auto"/>
        <w:ind w:firstLine="480" w:firstLineChars="200"/>
        <w:jc w:val="left"/>
        <w:rPr>
          <w:rFonts w:hint="eastAsia" w:ascii="仿宋" w:hAnsi="仿宋" w:eastAsia="仿宋" w:cs="仿宋"/>
          <w:color w:val="auto"/>
          <w:sz w:val="24"/>
          <w:lang w:bidi="ar"/>
        </w:rPr>
      </w:pPr>
      <w:r>
        <w:rPr>
          <w:rFonts w:ascii="仿宋" w:hAnsi="仿宋" w:eastAsia="仿宋" w:cs="仿宋"/>
          <w:color w:val="auto"/>
          <w:sz w:val="24"/>
          <w:lang w:bidi="ar"/>
        </w:rPr>
        <w:t>7.投标人所供食品包装袋类产品（用于盛装和保护食品的薄膜容器）上应具有符合国家标准GB/T21660-2008《塑料购物袋的环保、安全和标识通用技术要求》的信息。包装袋类产品外观应平整，无划伤、烫伤、气泡、破油和折皱，热封平整、无虚封。薄膜不得有裂纹、孔隙和复合层分离。无杂质、异物和油渍等污染。</w:t>
      </w:r>
    </w:p>
    <w:p w14:paraId="7190DEF2">
      <w:pPr>
        <w:widowControl/>
        <w:spacing w:line="360" w:lineRule="auto"/>
        <w:ind w:firstLine="480" w:firstLineChars="200"/>
        <w:jc w:val="left"/>
        <w:rPr>
          <w:rFonts w:hint="eastAsia" w:ascii="仿宋" w:hAnsi="仿宋" w:eastAsia="仿宋" w:cs="仿宋"/>
          <w:color w:val="auto"/>
          <w:sz w:val="24"/>
          <w:lang w:bidi="ar"/>
        </w:rPr>
      </w:pPr>
      <w:r>
        <w:rPr>
          <w:rFonts w:ascii="仿宋" w:hAnsi="仿宋" w:eastAsia="仿宋" w:cs="仿宋"/>
          <w:color w:val="auto"/>
          <w:sz w:val="24"/>
          <w:lang w:bidi="ar"/>
        </w:rPr>
        <w:t>8.使用性能标准：一次性餐饮具的容积偏差、负重性能、跌落性能、盖体对折性能等方面应符合国家标准GB/T 18006.3-2020《一次性可降解餐饮具通用技术要求》、GB/T 18006.1-2025《塑料一次性餐饮具通用技术要求》和GB 4806.7-2023《食品安全国家标准食品接触用塑料材料及制品》的规定，尤其是耐温性能，如耐热水、耐热油方面应达到具体的要求。</w:t>
      </w:r>
    </w:p>
    <w:p w14:paraId="22246816">
      <w:pPr>
        <w:widowControl/>
        <w:spacing w:line="360" w:lineRule="auto"/>
        <w:ind w:firstLine="480" w:firstLineChars="200"/>
        <w:jc w:val="left"/>
        <w:rPr>
          <w:rFonts w:hint="eastAsia" w:ascii="仿宋" w:hAnsi="仿宋" w:eastAsia="仿宋" w:cs="仿宋"/>
          <w:color w:val="auto"/>
          <w:sz w:val="24"/>
          <w:lang w:bidi="ar"/>
        </w:rPr>
      </w:pPr>
      <w:r>
        <w:rPr>
          <w:rFonts w:ascii="仿宋" w:hAnsi="仿宋" w:eastAsia="仿宋" w:cs="仿宋"/>
          <w:color w:val="auto"/>
          <w:sz w:val="24"/>
          <w:lang w:bidi="ar"/>
        </w:rPr>
        <w:t>9.供应产品的质量要求：</w:t>
      </w:r>
    </w:p>
    <w:p w14:paraId="6397A09D">
      <w:pPr>
        <w:widowControl/>
        <w:spacing w:line="360" w:lineRule="auto"/>
        <w:ind w:firstLine="480" w:firstLineChars="200"/>
        <w:jc w:val="left"/>
        <w:rPr>
          <w:rFonts w:hint="eastAsia" w:ascii="仿宋" w:hAnsi="仿宋" w:eastAsia="仿宋" w:cs="仿宋"/>
          <w:color w:val="auto"/>
          <w:sz w:val="24"/>
          <w:lang w:bidi="ar"/>
        </w:rPr>
      </w:pPr>
      <w:r>
        <w:rPr>
          <w:rFonts w:ascii="仿宋" w:hAnsi="仿宋" w:eastAsia="仿宋" w:cs="仿宋"/>
          <w:color w:val="auto"/>
          <w:sz w:val="24"/>
          <w:lang w:bidi="ar"/>
        </w:rPr>
        <w:t>（1）外观：在感官上不得有异嗅，色泽正常；成型品不能有裂缝口及填装缺陷；表面无油污、尘土、霉变及其他异物；表面平整洁净、质地均匀，无划痕，无皱褶，无剥离，无破裂，无穿孔等。不能有明显的异物、起泡、模型缺陷、毛刺、膨胀及其他缺陷。</w:t>
      </w:r>
    </w:p>
    <w:p w14:paraId="6C82283D">
      <w:pPr>
        <w:widowControl/>
        <w:tabs>
          <w:tab w:val="left" w:pos="8931"/>
        </w:tabs>
        <w:spacing w:line="360" w:lineRule="auto"/>
        <w:ind w:firstLine="480" w:firstLineChars="200"/>
        <w:jc w:val="left"/>
        <w:rPr>
          <w:rFonts w:hint="eastAsia" w:ascii="仿宋" w:hAnsi="仿宋" w:eastAsia="仿宋" w:cs="仿宋"/>
          <w:color w:val="auto"/>
          <w:sz w:val="24"/>
          <w:lang w:bidi="ar"/>
        </w:rPr>
      </w:pPr>
      <w:r>
        <w:rPr>
          <w:rFonts w:ascii="仿宋" w:hAnsi="仿宋" w:eastAsia="仿宋" w:cs="仿宋"/>
          <w:color w:val="auto"/>
          <w:sz w:val="24"/>
          <w:lang w:bidi="ar"/>
        </w:rPr>
        <w:t>（2）产品结构边缘光滑、规整，对具有容器功能的一次性餐饮具，应能放置稳</w:t>
      </w:r>
      <w:r>
        <w:rPr>
          <w:rFonts w:hint="eastAsia" w:ascii="仿宋" w:hAnsi="仿宋" w:eastAsia="仿宋" w:cs="仿宋"/>
          <w:color w:val="auto"/>
          <w:sz w:val="24"/>
          <w:lang w:bidi="ar"/>
        </w:rPr>
        <w:t>定</w:t>
      </w:r>
      <w:r>
        <w:rPr>
          <w:rFonts w:ascii="仿宋" w:hAnsi="仿宋" w:eastAsia="仿宋" w:cs="仿宋"/>
          <w:color w:val="auto"/>
          <w:sz w:val="24"/>
          <w:lang w:bidi="ar"/>
        </w:rPr>
        <w:t>。</w:t>
      </w:r>
    </w:p>
    <w:p w14:paraId="65A880AF">
      <w:pPr>
        <w:widowControl/>
        <w:tabs>
          <w:tab w:val="left" w:pos="8789"/>
        </w:tabs>
        <w:spacing w:line="360" w:lineRule="auto"/>
        <w:ind w:firstLine="480" w:firstLineChars="200"/>
        <w:jc w:val="left"/>
        <w:rPr>
          <w:rFonts w:hint="eastAsia" w:ascii="仿宋" w:hAnsi="仿宋" w:eastAsia="仿宋" w:cs="仿宋"/>
          <w:color w:val="auto"/>
          <w:sz w:val="24"/>
          <w:lang w:bidi="ar"/>
        </w:rPr>
      </w:pPr>
      <w:r>
        <w:rPr>
          <w:rFonts w:ascii="仿宋" w:hAnsi="仿宋" w:eastAsia="仿宋" w:cs="仿宋"/>
          <w:color w:val="auto"/>
          <w:sz w:val="24"/>
          <w:lang w:bidi="ar"/>
        </w:rPr>
        <w:t>（3）具有容器功能的一次性餐饮具容积偏差≤5%，餐饮具负重试验高度变化≤5%，产品跌落性能检测不得有任何裂损。</w:t>
      </w:r>
    </w:p>
    <w:p w14:paraId="5765F1AD">
      <w:pPr>
        <w:widowControl/>
        <w:spacing w:line="360" w:lineRule="auto"/>
        <w:ind w:firstLine="482" w:firstLineChars="200"/>
        <w:outlineLvl w:val="1"/>
        <w:rPr>
          <w:rFonts w:hint="eastAsia" w:ascii="仿宋" w:hAnsi="仿宋" w:eastAsia="仿宋" w:cs="仿宋"/>
          <w:b/>
          <w:bCs/>
          <w:color w:val="auto"/>
          <w:kern w:val="0"/>
          <w:sz w:val="24"/>
          <w:lang w:bidi="ar"/>
        </w:rPr>
      </w:pPr>
      <w:r>
        <w:rPr>
          <w:rFonts w:ascii="仿宋" w:hAnsi="仿宋" w:eastAsia="仿宋" w:cs="仿宋"/>
          <w:b/>
          <w:bCs/>
          <w:color w:val="auto"/>
          <w:sz w:val="24"/>
          <w:lang w:bidi="ar"/>
        </w:rPr>
        <w:t>四、</w:t>
      </w:r>
      <w:r>
        <w:rPr>
          <w:rFonts w:ascii="仿宋" w:hAnsi="仿宋" w:eastAsia="仿宋" w:cs="仿宋"/>
          <w:b/>
          <w:bCs/>
          <w:color w:val="auto"/>
          <w:kern w:val="0"/>
          <w:sz w:val="24"/>
          <w:lang w:bidi="ar"/>
        </w:rPr>
        <w:t>货物来源保障</w:t>
      </w:r>
    </w:p>
    <w:p w14:paraId="581D1C92">
      <w:pPr>
        <w:widowControl/>
        <w:spacing w:line="360" w:lineRule="auto"/>
        <w:ind w:firstLine="482" w:firstLineChars="200"/>
        <w:rPr>
          <w:rFonts w:hint="eastAsia" w:ascii="仿宋" w:hAnsi="仿宋" w:eastAsia="仿宋" w:cs="仿宋"/>
          <w:b/>
          <w:bCs/>
          <w:color w:val="auto"/>
          <w:kern w:val="0"/>
          <w:sz w:val="24"/>
          <w:lang w:bidi="ar"/>
        </w:rPr>
      </w:pPr>
      <w:r>
        <w:rPr>
          <w:rFonts w:ascii="仿宋" w:hAnsi="仿宋" w:eastAsia="仿宋" w:cs="仿宋"/>
          <w:b/>
          <w:bCs/>
          <w:color w:val="auto"/>
          <w:kern w:val="0"/>
          <w:sz w:val="24"/>
          <w:lang w:bidi="ar"/>
        </w:rPr>
        <w:t>（一）包装与标志要求</w:t>
      </w:r>
    </w:p>
    <w:p w14:paraId="03D71F06">
      <w:pPr>
        <w:widowControl/>
        <w:spacing w:line="360" w:lineRule="auto"/>
        <w:ind w:firstLine="480" w:firstLineChars="200"/>
        <w:rPr>
          <w:rFonts w:hint="eastAsia" w:ascii="仿宋" w:hAnsi="仿宋" w:eastAsia="仿宋" w:cs="仿宋"/>
          <w:color w:val="auto"/>
          <w:kern w:val="0"/>
          <w:sz w:val="24"/>
          <w:lang w:bidi="ar"/>
        </w:rPr>
      </w:pPr>
      <w:r>
        <w:rPr>
          <w:rFonts w:ascii="仿宋" w:hAnsi="仿宋" w:eastAsia="仿宋" w:cs="仿宋"/>
          <w:color w:val="auto"/>
          <w:kern w:val="0"/>
          <w:sz w:val="24"/>
          <w:lang w:bidi="ar"/>
        </w:rPr>
        <w:t>包装：容器（框、箱、袋）要求清洁、干燥、牢固、透气，无污染、无异味、无霉变现象。蔬菜瓜果类、肉类、水产品等不同类别按不同颜色分别盛装。</w:t>
      </w:r>
    </w:p>
    <w:p w14:paraId="41079BC9">
      <w:pPr>
        <w:widowControl/>
        <w:spacing w:line="360" w:lineRule="auto"/>
        <w:ind w:firstLine="480" w:firstLineChars="200"/>
        <w:rPr>
          <w:rFonts w:hint="eastAsia" w:ascii="仿宋" w:hAnsi="仿宋" w:eastAsia="仿宋" w:cs="仿宋"/>
          <w:color w:val="auto"/>
          <w:kern w:val="0"/>
          <w:sz w:val="24"/>
          <w:lang w:bidi="ar"/>
        </w:rPr>
      </w:pPr>
      <w:r>
        <w:rPr>
          <w:rFonts w:ascii="仿宋" w:hAnsi="仿宋" w:eastAsia="仿宋" w:cs="仿宋"/>
          <w:color w:val="auto"/>
          <w:kern w:val="0"/>
          <w:sz w:val="24"/>
          <w:lang w:bidi="ar"/>
        </w:rPr>
        <w:t>标志：每件包装应按《农产品包装和标识管理办法》《食品安全国家标准 预包装食品标签通则》（GB7718-2011）要求贴标签，并标明相关产品信息。</w:t>
      </w:r>
    </w:p>
    <w:p w14:paraId="20E1ED15">
      <w:pPr>
        <w:widowControl/>
        <w:spacing w:line="360" w:lineRule="auto"/>
        <w:ind w:firstLine="480" w:firstLineChars="200"/>
        <w:rPr>
          <w:rFonts w:hint="eastAsia" w:ascii="仿宋" w:hAnsi="仿宋" w:eastAsia="仿宋" w:cs="仿宋"/>
          <w:color w:val="auto"/>
          <w:kern w:val="0"/>
          <w:sz w:val="24"/>
          <w:lang w:bidi="ar"/>
        </w:rPr>
      </w:pPr>
      <w:r>
        <w:rPr>
          <w:rFonts w:ascii="仿宋" w:hAnsi="仿宋" w:eastAsia="仿宋" w:cs="仿宋"/>
          <w:color w:val="auto"/>
          <w:kern w:val="0"/>
          <w:sz w:val="24"/>
          <w:lang w:bidi="ar"/>
        </w:rPr>
        <w:t>（二）运输要求</w:t>
      </w:r>
    </w:p>
    <w:p w14:paraId="730DBA22">
      <w:pPr>
        <w:widowControl/>
        <w:spacing w:line="360" w:lineRule="auto"/>
        <w:ind w:firstLine="480" w:firstLineChars="200"/>
        <w:rPr>
          <w:rFonts w:hint="eastAsia" w:ascii="仿宋" w:hAnsi="仿宋" w:eastAsia="仿宋" w:cs="仿宋"/>
          <w:color w:val="auto"/>
          <w:kern w:val="0"/>
          <w:sz w:val="24"/>
          <w:lang w:bidi="ar"/>
        </w:rPr>
      </w:pPr>
      <w:r>
        <w:rPr>
          <w:rFonts w:ascii="仿宋" w:hAnsi="仿宋" w:eastAsia="仿宋" w:cs="仿宋"/>
          <w:color w:val="auto"/>
          <w:kern w:val="0"/>
          <w:sz w:val="24"/>
          <w:lang w:bidi="ar"/>
        </w:rPr>
        <w:t>运输工具应清洁卫生无污染：食品运输应采用符合卫生标准的外包装和运载工具，并且要保持清洁和定期消毒。所有散装食品，包括各类蔬菜瓜果及肉类等应分类包装并做好密封措施，不能直接外露，防止交叉污染及环境污染。盛装工具（如箩筐等）应保持洁净，无泥渍、污渍；盛装原材料的胶袋应使用食品胶袋。运输车厢的内仓，包括地面、墙面和顶，应使用抗腐蚀、防潮，易清洁消毒的材料。车厢内无不良气味、异味；运输途中严防日晒、雨淋，注意通风散热；蔬菜应小心轻卸，严防机械损伤。食品堆放科学合理，避免造成食品的交叉污染；如对温度有要求的食品应确定食品的温度，记录送货车辆温度，并记录随货交给医院食堂存档。</w:t>
      </w:r>
    </w:p>
    <w:p w14:paraId="0A8CEC1A">
      <w:pPr>
        <w:widowControl/>
        <w:spacing w:line="360" w:lineRule="auto"/>
        <w:ind w:firstLine="480" w:firstLineChars="200"/>
        <w:jc w:val="left"/>
        <w:rPr>
          <w:rFonts w:hint="eastAsia" w:ascii="仿宋" w:hAnsi="仿宋" w:eastAsia="仿宋" w:cs="仿宋"/>
          <w:color w:val="auto"/>
          <w:sz w:val="24"/>
          <w:lang w:bidi="ar"/>
        </w:rPr>
      </w:pPr>
      <w:r>
        <w:rPr>
          <w:rFonts w:ascii="仿宋" w:hAnsi="仿宋" w:eastAsia="仿宋" w:cs="仿宋"/>
          <w:color w:val="auto"/>
          <w:sz w:val="24"/>
          <w:lang w:bidi="ar"/>
        </w:rPr>
        <w:t>（三）仓储保障与供货规范</w:t>
      </w:r>
    </w:p>
    <w:p w14:paraId="2954811A">
      <w:pPr>
        <w:widowControl/>
        <w:spacing w:line="360" w:lineRule="auto"/>
        <w:ind w:firstLine="480" w:firstLineChars="200"/>
        <w:jc w:val="left"/>
        <w:rPr>
          <w:rFonts w:hint="eastAsia" w:ascii="仿宋" w:hAnsi="仿宋" w:eastAsia="仿宋" w:cs="仿宋"/>
          <w:color w:val="auto"/>
          <w:sz w:val="24"/>
          <w:lang w:bidi="ar"/>
        </w:rPr>
      </w:pPr>
      <w:r>
        <w:rPr>
          <w:rFonts w:hint="eastAsia" w:ascii="仿宋" w:hAnsi="仿宋" w:eastAsia="仿宋" w:cs="仿宋"/>
          <w:color w:val="auto"/>
          <w:sz w:val="24"/>
          <w:lang w:bidi="ar"/>
        </w:rPr>
        <w:t>投标人</w:t>
      </w:r>
      <w:r>
        <w:rPr>
          <w:rFonts w:ascii="仿宋" w:hAnsi="仿宋" w:eastAsia="仿宋" w:cs="仿宋"/>
          <w:color w:val="auto"/>
          <w:sz w:val="24"/>
          <w:lang w:bidi="ar"/>
        </w:rPr>
        <w:t>须具备与本项目规模相匹配的独立仓储能力，配备完善的防霉、防潮、防尘及防虫鼠设施，确保存储环境符合国家卫生标准，以满足医院日常运营及突发情况下的物资周转需求。在供货过程中，所有产品必须具备清晰、合规的外包装；对于无外包装箱的散装或拆包产品，必须在最小销售单元上清晰标注生产日期、保质期及生产厂家信息，否则医院有权拒绝验收。</w:t>
      </w:r>
      <w:r>
        <w:rPr>
          <w:rFonts w:hint="eastAsia" w:ascii="仿宋" w:hAnsi="仿宋" w:eastAsia="仿宋" w:cs="仿宋"/>
          <w:color w:val="auto"/>
          <w:sz w:val="24"/>
          <w:lang w:bidi="ar"/>
        </w:rPr>
        <w:t>投标人</w:t>
      </w:r>
      <w:r>
        <w:rPr>
          <w:rFonts w:ascii="仿宋" w:hAnsi="仿宋" w:eastAsia="仿宋" w:cs="仿宋"/>
          <w:color w:val="auto"/>
          <w:sz w:val="24"/>
          <w:lang w:bidi="ar"/>
        </w:rPr>
        <w:t>应严格履行采购日常使用需求，不得擅自供应标外货物（包括但不限于变更颜色、品名、材质、规格等）。如遇市场停产、升级等不可抗力因素确需变更品牌或型号时，</w:t>
      </w:r>
      <w:r>
        <w:rPr>
          <w:rFonts w:hint="eastAsia" w:ascii="仿宋" w:hAnsi="仿宋" w:eastAsia="仿宋" w:cs="仿宋"/>
          <w:color w:val="auto"/>
          <w:sz w:val="24"/>
          <w:lang w:bidi="ar"/>
        </w:rPr>
        <w:t>投标人</w:t>
      </w:r>
      <w:r>
        <w:rPr>
          <w:rFonts w:ascii="仿宋" w:hAnsi="仿宋" w:eastAsia="仿宋" w:cs="仿宋"/>
          <w:color w:val="auto"/>
          <w:sz w:val="24"/>
          <w:lang w:bidi="ar"/>
        </w:rPr>
        <w:t>须遵循“品质更优、性价比更高”的原则，提前向医院提交书面申请及实物样板，经医院书面确认同意后方可供货，且不得借机抬高价格。</w:t>
      </w:r>
    </w:p>
    <w:p w14:paraId="2A96716F">
      <w:pPr>
        <w:widowControl/>
        <w:spacing w:line="360" w:lineRule="auto"/>
        <w:ind w:firstLine="480" w:firstLineChars="200"/>
        <w:jc w:val="left"/>
        <w:rPr>
          <w:rFonts w:hint="eastAsia" w:ascii="仿宋" w:hAnsi="仿宋" w:eastAsia="仿宋" w:cs="仿宋"/>
          <w:color w:val="auto"/>
          <w:sz w:val="24"/>
          <w:lang w:bidi="ar"/>
        </w:rPr>
      </w:pPr>
      <w:r>
        <w:rPr>
          <w:rFonts w:ascii="仿宋" w:hAnsi="仿宋" w:eastAsia="仿宋" w:cs="仿宋"/>
          <w:color w:val="auto"/>
          <w:sz w:val="24"/>
          <w:lang w:bidi="ar"/>
        </w:rPr>
        <w:t>（四）应急响应与违约责任</w:t>
      </w:r>
    </w:p>
    <w:p w14:paraId="6E25D2C7">
      <w:pPr>
        <w:widowControl/>
        <w:spacing w:line="360" w:lineRule="auto"/>
        <w:ind w:firstLine="480" w:firstLineChars="200"/>
        <w:jc w:val="left"/>
        <w:rPr>
          <w:rFonts w:hint="eastAsia" w:ascii="仿宋" w:hAnsi="仿宋" w:eastAsia="仿宋" w:cs="仿宋"/>
          <w:color w:val="auto"/>
          <w:sz w:val="24"/>
          <w:lang w:bidi="ar"/>
        </w:rPr>
      </w:pPr>
      <w:r>
        <w:rPr>
          <w:rFonts w:ascii="仿宋" w:hAnsi="仿宋" w:eastAsia="仿宋" w:cs="仿宋"/>
          <w:color w:val="auto"/>
          <w:sz w:val="24"/>
          <w:lang w:bidi="ar"/>
        </w:rPr>
        <w:t>若</w:t>
      </w:r>
      <w:r>
        <w:rPr>
          <w:rFonts w:hint="eastAsia" w:ascii="仿宋" w:hAnsi="仿宋" w:eastAsia="仿宋" w:cs="仿宋"/>
          <w:color w:val="auto"/>
          <w:sz w:val="24"/>
          <w:lang w:bidi="ar"/>
        </w:rPr>
        <w:t>投标人</w:t>
      </w:r>
      <w:r>
        <w:rPr>
          <w:rFonts w:ascii="仿宋" w:hAnsi="仿宋" w:eastAsia="仿宋" w:cs="仿宋"/>
          <w:color w:val="auto"/>
          <w:sz w:val="24"/>
          <w:lang w:bidi="ar"/>
        </w:rPr>
        <w:t>送达的商品存在质量缺陷、假冒伪劣、以次充好或与合同不符等情况，医院将予以拒收并记录在案。</w:t>
      </w:r>
      <w:r>
        <w:rPr>
          <w:rFonts w:hint="eastAsia" w:ascii="仿宋" w:hAnsi="仿宋" w:eastAsia="仿宋" w:cs="仿宋"/>
          <w:color w:val="auto"/>
          <w:sz w:val="24"/>
          <w:lang w:bidi="ar"/>
        </w:rPr>
        <w:t>投标人</w:t>
      </w:r>
      <w:r>
        <w:rPr>
          <w:rFonts w:ascii="仿宋" w:hAnsi="仿宋" w:eastAsia="仿宋" w:cs="仿宋"/>
          <w:color w:val="auto"/>
          <w:sz w:val="24"/>
          <w:lang w:bidi="ar"/>
        </w:rPr>
        <w:t>须在接到通知后立即启动退换货程序，并承担由此产生的一切费用及损失。针对影响医院正常供餐的紧急情况，</w:t>
      </w:r>
      <w:r>
        <w:rPr>
          <w:rFonts w:hint="eastAsia" w:ascii="仿宋" w:hAnsi="仿宋" w:eastAsia="仿宋" w:cs="仿宋"/>
          <w:color w:val="auto"/>
          <w:sz w:val="24"/>
          <w:lang w:bidi="ar"/>
        </w:rPr>
        <w:t>投标人</w:t>
      </w:r>
      <w:r>
        <w:rPr>
          <w:rFonts w:ascii="仿宋" w:hAnsi="仿宋" w:eastAsia="仿宋" w:cs="仿宋"/>
          <w:color w:val="auto"/>
          <w:sz w:val="24"/>
          <w:lang w:bidi="ar"/>
        </w:rPr>
        <w:t>须承诺：对于存在质量问题的货物，或出现少送、错送导致无法使用的情况，必须在24小时内完成退换或补货到位。若</w:t>
      </w:r>
      <w:r>
        <w:rPr>
          <w:rFonts w:hint="eastAsia" w:ascii="仿宋" w:hAnsi="仿宋" w:eastAsia="仿宋" w:cs="仿宋"/>
          <w:color w:val="auto"/>
          <w:sz w:val="24"/>
          <w:lang w:bidi="ar"/>
        </w:rPr>
        <w:t>投标人</w:t>
      </w:r>
      <w:r>
        <w:rPr>
          <w:rFonts w:ascii="仿宋" w:hAnsi="仿宋" w:eastAsia="仿宋" w:cs="仿宋"/>
          <w:color w:val="auto"/>
          <w:sz w:val="24"/>
          <w:lang w:bidi="ar"/>
        </w:rPr>
        <w:t>未能履行上述义务，除承担相应经济处罚外，情节严重的，医院有权单方面解除合同，并将相关情况上报监管部门列入不良行为记录。</w:t>
      </w:r>
    </w:p>
    <w:p w14:paraId="5BDB6201">
      <w:pPr>
        <w:widowControl/>
        <w:spacing w:line="360" w:lineRule="auto"/>
        <w:ind w:firstLine="480" w:firstLineChars="200"/>
        <w:jc w:val="left"/>
        <w:rPr>
          <w:rFonts w:hint="eastAsia" w:ascii="仿宋" w:hAnsi="仿宋" w:eastAsia="仿宋" w:cs="仿宋"/>
          <w:color w:val="auto"/>
          <w:sz w:val="24"/>
          <w:lang w:bidi="ar"/>
        </w:rPr>
      </w:pPr>
      <w:r>
        <w:rPr>
          <w:rFonts w:ascii="仿宋" w:hAnsi="仿宋" w:eastAsia="仿宋" w:cs="仿宋"/>
          <w:color w:val="auto"/>
          <w:sz w:val="24"/>
          <w:lang w:bidi="ar"/>
        </w:rPr>
        <w:t>（五）人员管理与现场服务</w:t>
      </w:r>
    </w:p>
    <w:p w14:paraId="056E1ED8">
      <w:pPr>
        <w:widowControl/>
        <w:spacing w:line="360" w:lineRule="auto"/>
        <w:ind w:firstLine="480" w:firstLineChars="200"/>
        <w:jc w:val="left"/>
        <w:rPr>
          <w:rFonts w:hint="eastAsia" w:ascii="仿宋" w:hAnsi="仿宋" w:eastAsia="仿宋" w:cs="仿宋"/>
          <w:color w:val="auto"/>
          <w:sz w:val="24"/>
          <w:lang w:bidi="ar"/>
        </w:rPr>
      </w:pPr>
      <w:r>
        <w:rPr>
          <w:rFonts w:hint="eastAsia" w:ascii="仿宋" w:hAnsi="仿宋" w:eastAsia="仿宋" w:cs="仿宋"/>
          <w:color w:val="auto"/>
          <w:sz w:val="24"/>
          <w:lang w:bidi="ar"/>
        </w:rPr>
        <w:t>投标人</w:t>
      </w:r>
      <w:r>
        <w:rPr>
          <w:rFonts w:ascii="仿宋" w:hAnsi="仿宋" w:eastAsia="仿宋" w:cs="仿宋"/>
          <w:color w:val="auto"/>
          <w:sz w:val="24"/>
          <w:lang w:bidi="ar"/>
        </w:rPr>
        <w:t>须建立完善的配送人员培训与管理体系，确保所有服务人员了解医院的各项规章制度及感染控制要求。严禁在服务期间做出任何损害医院单位形象和利益的行为。特别是在遇到突发公共卫生事件或医院重大活动保障期间，</w:t>
      </w:r>
      <w:r>
        <w:rPr>
          <w:rFonts w:hint="eastAsia" w:ascii="仿宋" w:hAnsi="仿宋" w:eastAsia="仿宋" w:cs="仿宋"/>
          <w:color w:val="auto"/>
          <w:sz w:val="24"/>
          <w:lang w:bidi="ar"/>
        </w:rPr>
        <w:t>投标人</w:t>
      </w:r>
      <w:r>
        <w:rPr>
          <w:rFonts w:ascii="仿宋" w:hAnsi="仿宋" w:eastAsia="仿宋" w:cs="仿宋"/>
          <w:color w:val="auto"/>
          <w:sz w:val="24"/>
          <w:lang w:bidi="ar"/>
        </w:rPr>
        <w:t>及其工作人员须无条件配合医院的防控部署，严格执行相关防疫及管理措施。</w:t>
      </w:r>
    </w:p>
    <w:p w14:paraId="4491D8E9">
      <w:pPr>
        <w:widowControl/>
        <w:spacing w:line="360" w:lineRule="auto"/>
        <w:ind w:firstLine="480" w:firstLineChars="200"/>
        <w:jc w:val="left"/>
        <w:rPr>
          <w:rFonts w:hint="eastAsia" w:ascii="仿宋" w:hAnsi="仿宋" w:eastAsia="仿宋" w:cs="仿宋"/>
          <w:color w:val="auto"/>
          <w:sz w:val="24"/>
          <w:lang w:bidi="ar"/>
        </w:rPr>
      </w:pPr>
      <w:r>
        <w:rPr>
          <w:rFonts w:ascii="仿宋" w:hAnsi="仿宋" w:eastAsia="仿宋" w:cs="仿宋"/>
          <w:color w:val="auto"/>
          <w:sz w:val="24"/>
          <w:lang w:bidi="ar"/>
        </w:rPr>
        <w:t>（六）质量标准与质保售后</w:t>
      </w:r>
    </w:p>
    <w:p w14:paraId="5828A2D6">
      <w:pPr>
        <w:widowControl/>
        <w:spacing w:line="360" w:lineRule="auto"/>
        <w:ind w:firstLine="480" w:firstLineChars="200"/>
        <w:jc w:val="left"/>
        <w:rPr>
          <w:rFonts w:hint="eastAsia" w:ascii="仿宋" w:hAnsi="仿宋" w:eastAsia="仿宋" w:cs="仿宋"/>
          <w:color w:val="auto"/>
          <w:sz w:val="24"/>
          <w:lang w:bidi="ar"/>
        </w:rPr>
      </w:pPr>
      <w:r>
        <w:rPr>
          <w:rFonts w:hint="eastAsia" w:ascii="仿宋" w:hAnsi="仿宋" w:eastAsia="仿宋" w:cs="仿宋"/>
          <w:color w:val="auto"/>
          <w:sz w:val="24"/>
          <w:lang w:bidi="ar"/>
        </w:rPr>
        <w:t>投标人</w:t>
      </w:r>
      <w:r>
        <w:rPr>
          <w:rFonts w:ascii="仿宋" w:hAnsi="仿宋" w:eastAsia="仿宋" w:cs="仿宋"/>
          <w:color w:val="auto"/>
          <w:sz w:val="24"/>
          <w:lang w:bidi="ar"/>
        </w:rPr>
        <w:t>所供货物必须为正规制造商生产的全新、合格、无知识产权纠纷的产品。医院会不定期组织抽查验收，各项指标应符合中华人民共和国国家安全质量标准、环保标准及招标文件规定的技术参数。对于有明确有效期的产品（如一次性手套、餐盒等），其剩余有效期不得少于总有效期的2/3。本项目的质量保证期设定为：有明确有效期的货物，质保期至该货物有效期结束；在质保期内，凡因产品质量问题导致的损坏或不合格，</w:t>
      </w:r>
      <w:r>
        <w:rPr>
          <w:rFonts w:hint="eastAsia" w:ascii="仿宋" w:hAnsi="仿宋" w:eastAsia="仿宋" w:cs="仿宋"/>
          <w:color w:val="auto"/>
          <w:sz w:val="24"/>
          <w:lang w:bidi="ar"/>
        </w:rPr>
        <w:t>投标人</w:t>
      </w:r>
      <w:r>
        <w:rPr>
          <w:rFonts w:ascii="仿宋" w:hAnsi="仿宋" w:eastAsia="仿宋" w:cs="仿宋"/>
          <w:color w:val="auto"/>
          <w:sz w:val="24"/>
          <w:lang w:bidi="ar"/>
        </w:rPr>
        <w:t>均须负责免费上门包退、包换，并承担因此产生的所有物流及人工费用。</w:t>
      </w:r>
    </w:p>
    <w:p w14:paraId="15F901A5">
      <w:pPr>
        <w:widowControl/>
        <w:spacing w:line="360" w:lineRule="auto"/>
        <w:ind w:firstLine="482" w:firstLineChars="200"/>
        <w:outlineLvl w:val="1"/>
        <w:rPr>
          <w:rFonts w:hint="eastAsia" w:ascii="仿宋" w:hAnsi="仿宋" w:eastAsia="仿宋" w:cs="仿宋"/>
          <w:b/>
          <w:bCs/>
          <w:color w:val="auto"/>
          <w:sz w:val="24"/>
          <w:lang w:bidi="ar"/>
        </w:rPr>
      </w:pPr>
      <w:r>
        <w:rPr>
          <w:rFonts w:hint="eastAsia" w:ascii="仿宋" w:hAnsi="仿宋" w:eastAsia="仿宋" w:cs="仿宋"/>
          <w:b/>
          <w:bCs/>
          <w:color w:val="auto"/>
          <w:sz w:val="24"/>
          <w:lang w:bidi="ar"/>
        </w:rPr>
        <w:t>五、票证要求</w:t>
      </w:r>
      <w:r>
        <w:rPr>
          <w:rFonts w:ascii="仿宋" w:hAnsi="仿宋" w:eastAsia="仿宋" w:cs="仿宋"/>
          <w:b/>
          <w:bCs/>
          <w:color w:val="auto"/>
          <w:sz w:val="24"/>
          <w:lang w:bidi="ar"/>
        </w:rPr>
        <w:t>与溯源管理</w:t>
      </w:r>
    </w:p>
    <w:p w14:paraId="53436603">
      <w:pPr>
        <w:widowControl/>
        <w:numPr>
          <w:ilvl w:val="0"/>
          <w:numId w:val="26"/>
        </w:numPr>
        <w:spacing w:line="360" w:lineRule="auto"/>
        <w:ind w:firstLine="480" w:firstLineChars="200"/>
        <w:jc w:val="left"/>
        <w:rPr>
          <w:rFonts w:hint="eastAsia" w:ascii="仿宋" w:hAnsi="仿宋" w:eastAsia="仿宋" w:cs="仿宋"/>
          <w:color w:val="auto"/>
          <w:kern w:val="0"/>
          <w:sz w:val="24"/>
          <w:szCs w:val="22"/>
        </w:rPr>
      </w:pPr>
      <w:r>
        <w:rPr>
          <w:rFonts w:hint="eastAsia" w:ascii="仿宋" w:hAnsi="仿宋" w:eastAsia="仿宋" w:cs="仿宋"/>
          <w:color w:val="auto"/>
          <w:kern w:val="0"/>
          <w:sz w:val="24"/>
          <w:szCs w:val="22"/>
        </w:rPr>
        <w:t>投标人</w:t>
      </w:r>
      <w:r>
        <w:rPr>
          <w:rFonts w:ascii="仿宋" w:hAnsi="仿宋" w:eastAsia="仿宋" w:cs="仿宋"/>
          <w:color w:val="auto"/>
          <w:kern w:val="0"/>
          <w:sz w:val="24"/>
          <w:szCs w:val="22"/>
        </w:rPr>
        <w:t>须提供所有食材供应商的《营业执照》《食品经营许可证》，屠宰场直供的畜禽肉类须额外提供《动物防疫条件合格证》，复印件加盖公章备案，豆制品/熟食：生产厂家营业执照、食品经营许可证（加盖公章）。</w:t>
      </w:r>
    </w:p>
    <w:p w14:paraId="448B24C8">
      <w:pPr>
        <w:widowControl/>
        <w:numPr>
          <w:ilvl w:val="0"/>
          <w:numId w:val="26"/>
        </w:numPr>
        <w:spacing w:line="360" w:lineRule="auto"/>
        <w:ind w:firstLine="480" w:firstLineChars="200"/>
        <w:jc w:val="left"/>
        <w:rPr>
          <w:rFonts w:hint="eastAsia" w:ascii="仿宋" w:hAnsi="仿宋" w:eastAsia="仿宋" w:cs="仿宋"/>
          <w:color w:val="auto"/>
          <w:kern w:val="0"/>
          <w:sz w:val="24"/>
          <w:szCs w:val="22"/>
        </w:rPr>
      </w:pPr>
      <w:r>
        <w:rPr>
          <w:rFonts w:hint="eastAsia" w:ascii="仿宋" w:hAnsi="仿宋" w:eastAsia="仿宋" w:cs="仿宋"/>
          <w:color w:val="auto"/>
          <w:kern w:val="0"/>
          <w:sz w:val="24"/>
          <w:szCs w:val="22"/>
        </w:rPr>
        <w:t>投标人</w:t>
      </w:r>
      <w:r>
        <w:rPr>
          <w:rFonts w:ascii="仿宋" w:hAnsi="仿宋" w:eastAsia="仿宋" w:cs="仿宋"/>
          <w:color w:val="auto"/>
          <w:kern w:val="0"/>
          <w:sz w:val="24"/>
          <w:szCs w:val="22"/>
        </w:rPr>
        <w:t>须随货提供对应批次的法定票证：猪肉类提供《动物检疫合格证明》《肉品品质检验合格证》《广州市分割肉销售凭证》；牛、羊、禽类提供《动物检疫合格证明》；预包装食品、冻品提供出厂检验合格证以及入库检疫证明；蔬菜提供当批次农药残留检测报告。</w:t>
      </w:r>
    </w:p>
    <w:p w14:paraId="78F23A69">
      <w:pPr>
        <w:widowControl/>
        <w:numPr>
          <w:ilvl w:val="0"/>
          <w:numId w:val="26"/>
        </w:numPr>
        <w:spacing w:line="360" w:lineRule="auto"/>
        <w:ind w:firstLine="480" w:firstLineChars="200"/>
        <w:jc w:val="left"/>
        <w:rPr>
          <w:rFonts w:hint="eastAsia" w:ascii="仿宋" w:hAnsi="仿宋" w:eastAsia="仿宋" w:cs="仿宋"/>
          <w:color w:val="auto"/>
          <w:kern w:val="0"/>
          <w:sz w:val="24"/>
          <w:szCs w:val="22"/>
        </w:rPr>
      </w:pPr>
      <w:r>
        <w:rPr>
          <w:rFonts w:ascii="仿宋" w:hAnsi="仿宋" w:eastAsia="仿宋" w:cs="仿宋"/>
          <w:color w:val="auto"/>
          <w:kern w:val="0"/>
          <w:sz w:val="24"/>
          <w:szCs w:val="22"/>
        </w:rPr>
        <w:t>散装与临期食材管理：散装拆包食材：最小销售单元标注生产日期、保质期、生产厂家，否则拒收；临期食材：剩余保质期＜1/3 须提前报备，按规处置，严禁使用过期食材。</w:t>
      </w:r>
    </w:p>
    <w:p w14:paraId="6EAAC917">
      <w:pPr>
        <w:widowControl/>
        <w:numPr>
          <w:ilvl w:val="0"/>
          <w:numId w:val="26"/>
        </w:numPr>
        <w:spacing w:line="360" w:lineRule="auto"/>
        <w:ind w:firstLine="480" w:firstLineChars="200"/>
        <w:jc w:val="left"/>
        <w:rPr>
          <w:rFonts w:hint="eastAsia" w:ascii="仿宋" w:hAnsi="仿宋" w:eastAsia="仿宋" w:cs="仿宋"/>
          <w:color w:val="auto"/>
          <w:kern w:val="0"/>
          <w:sz w:val="24"/>
          <w:szCs w:val="22"/>
        </w:rPr>
      </w:pPr>
      <w:r>
        <w:rPr>
          <w:rFonts w:hint="eastAsia" w:ascii="仿宋" w:hAnsi="仿宋" w:eastAsia="仿宋" w:cs="仿宋"/>
          <w:color w:val="auto"/>
          <w:kern w:val="0"/>
          <w:sz w:val="24"/>
          <w:szCs w:val="22"/>
        </w:rPr>
        <w:t>投标人</w:t>
      </w:r>
      <w:r>
        <w:rPr>
          <w:rFonts w:ascii="仿宋" w:hAnsi="仿宋" w:eastAsia="仿宋" w:cs="仿宋"/>
          <w:color w:val="auto"/>
          <w:kern w:val="0"/>
          <w:sz w:val="24"/>
          <w:szCs w:val="22"/>
        </w:rPr>
        <w:t>须建立完善的进货查验、索证索票、进货台账制度，确保食材从采购、运输、储存、加工全流程记录完整、可追溯，台账资料保存期限不少于2年。</w:t>
      </w:r>
    </w:p>
    <w:p w14:paraId="751F64BB">
      <w:pPr>
        <w:widowControl/>
        <w:numPr>
          <w:ilvl w:val="0"/>
          <w:numId w:val="26"/>
        </w:numPr>
        <w:spacing w:line="360" w:lineRule="auto"/>
        <w:ind w:firstLine="480" w:firstLineChars="200"/>
        <w:jc w:val="left"/>
        <w:rPr>
          <w:rFonts w:hint="eastAsia" w:ascii="仿宋" w:hAnsi="仿宋" w:eastAsia="仿宋" w:cs="仿宋"/>
          <w:color w:val="auto"/>
          <w:kern w:val="0"/>
          <w:sz w:val="24"/>
          <w:szCs w:val="22"/>
        </w:rPr>
      </w:pPr>
      <w:r>
        <w:rPr>
          <w:rFonts w:ascii="仿宋" w:hAnsi="仿宋" w:eastAsia="仿宋" w:cs="仿宋"/>
          <w:color w:val="auto"/>
          <w:kern w:val="0"/>
          <w:sz w:val="24"/>
          <w:szCs w:val="22"/>
        </w:rPr>
        <w:t>采购人</w:t>
      </w:r>
      <w:r>
        <w:rPr>
          <w:rFonts w:hint="eastAsia" w:ascii="仿宋" w:hAnsi="仿宋" w:eastAsia="仿宋" w:cs="仿宋"/>
          <w:color w:val="auto"/>
          <w:kern w:val="0"/>
          <w:sz w:val="24"/>
          <w:szCs w:val="22"/>
        </w:rPr>
        <w:t>不定期</w:t>
      </w:r>
      <w:r>
        <w:rPr>
          <w:rFonts w:ascii="仿宋" w:hAnsi="仿宋" w:eastAsia="仿宋" w:cs="仿宋"/>
          <w:color w:val="auto"/>
          <w:kern w:val="0"/>
          <w:sz w:val="24"/>
          <w:szCs w:val="22"/>
        </w:rPr>
        <w:t>对蔬菜瓜果、肉类产品抽检，</w:t>
      </w:r>
      <w:r>
        <w:rPr>
          <w:rFonts w:hint="eastAsia" w:ascii="仿宋" w:hAnsi="仿宋" w:eastAsia="仿宋" w:cs="仿宋"/>
          <w:color w:val="auto"/>
          <w:kern w:val="0"/>
          <w:sz w:val="24"/>
          <w:szCs w:val="22"/>
        </w:rPr>
        <w:t>发现1次</w:t>
      </w:r>
      <w:r>
        <w:rPr>
          <w:rFonts w:ascii="仿宋" w:hAnsi="仿宋" w:eastAsia="仿宋" w:cs="仿宋"/>
          <w:color w:val="auto"/>
          <w:kern w:val="0"/>
          <w:sz w:val="24"/>
          <w:szCs w:val="22"/>
        </w:rPr>
        <w:t>检测农药、污染物超标</w:t>
      </w:r>
      <w:r>
        <w:rPr>
          <w:rFonts w:hint="eastAsia" w:ascii="仿宋" w:hAnsi="仿宋" w:eastAsia="仿宋" w:cs="仿宋"/>
          <w:color w:val="auto"/>
          <w:kern w:val="0"/>
          <w:sz w:val="24"/>
          <w:szCs w:val="22"/>
        </w:rPr>
        <w:t>，给予警告进行整改； 年度累计2</w:t>
      </w:r>
      <w:r>
        <w:rPr>
          <w:rFonts w:ascii="仿宋" w:hAnsi="仿宋" w:eastAsia="仿宋" w:cs="仿宋"/>
          <w:color w:val="auto"/>
          <w:kern w:val="0"/>
          <w:sz w:val="24"/>
          <w:szCs w:val="22"/>
        </w:rPr>
        <w:t>次</w:t>
      </w:r>
      <w:r>
        <w:rPr>
          <w:rFonts w:hint="eastAsia" w:ascii="仿宋" w:hAnsi="仿宋" w:eastAsia="仿宋" w:cs="仿宋"/>
          <w:color w:val="auto"/>
          <w:kern w:val="0"/>
          <w:sz w:val="24"/>
          <w:szCs w:val="22"/>
        </w:rPr>
        <w:t>及以上</w:t>
      </w:r>
      <w:r>
        <w:rPr>
          <w:rFonts w:ascii="仿宋" w:hAnsi="仿宋" w:eastAsia="仿宋" w:cs="仿宋"/>
          <w:color w:val="auto"/>
          <w:kern w:val="0"/>
          <w:sz w:val="24"/>
          <w:szCs w:val="22"/>
        </w:rPr>
        <w:t>检测农药、污染物超标，采购人有权终止合同，由</w:t>
      </w:r>
      <w:r>
        <w:rPr>
          <w:rFonts w:hint="eastAsia" w:ascii="仿宋" w:hAnsi="仿宋" w:eastAsia="仿宋" w:cs="仿宋"/>
          <w:color w:val="auto"/>
          <w:kern w:val="0"/>
          <w:sz w:val="24"/>
          <w:szCs w:val="22"/>
        </w:rPr>
        <w:t>投标人</w:t>
      </w:r>
      <w:r>
        <w:rPr>
          <w:rFonts w:ascii="仿宋" w:hAnsi="仿宋" w:eastAsia="仿宋" w:cs="仿宋"/>
          <w:color w:val="auto"/>
          <w:kern w:val="0"/>
          <w:sz w:val="24"/>
          <w:szCs w:val="22"/>
        </w:rPr>
        <w:t>承担相应处罚，并赔偿采购人因此造成的全部损失。</w:t>
      </w:r>
    </w:p>
    <w:p w14:paraId="0E6B9CA5">
      <w:pPr>
        <w:widowControl/>
        <w:spacing w:line="360" w:lineRule="auto"/>
        <w:ind w:firstLine="482" w:firstLineChars="200"/>
        <w:outlineLvl w:val="1"/>
        <w:rPr>
          <w:rFonts w:hint="eastAsia" w:ascii="仿宋" w:hAnsi="仿宋" w:eastAsia="仿宋" w:cs="仿宋"/>
          <w:b/>
          <w:bCs/>
          <w:color w:val="auto"/>
          <w:sz w:val="24"/>
          <w:lang w:bidi="ar"/>
        </w:rPr>
      </w:pPr>
      <w:r>
        <w:rPr>
          <w:rFonts w:hint="eastAsia" w:ascii="仿宋" w:hAnsi="仿宋" w:eastAsia="仿宋" w:cs="仿宋"/>
          <w:b/>
          <w:bCs/>
          <w:color w:val="auto"/>
          <w:sz w:val="24"/>
          <w:lang w:bidi="ar"/>
        </w:rPr>
        <w:t>六、食品安全全流程管控</w:t>
      </w:r>
    </w:p>
    <w:p w14:paraId="064E1261">
      <w:pPr>
        <w:widowControl/>
        <w:numPr>
          <w:ilvl w:val="0"/>
          <w:numId w:val="27"/>
        </w:numPr>
        <w:spacing w:line="360" w:lineRule="auto"/>
        <w:ind w:firstLine="480" w:firstLineChars="200"/>
        <w:jc w:val="left"/>
        <w:rPr>
          <w:rFonts w:hint="eastAsia" w:ascii="仿宋" w:hAnsi="仿宋" w:eastAsia="仿宋" w:cs="仿宋"/>
          <w:color w:val="auto"/>
          <w:kern w:val="0"/>
          <w:sz w:val="24"/>
          <w:szCs w:val="22"/>
        </w:rPr>
      </w:pPr>
      <w:r>
        <w:rPr>
          <w:rFonts w:hint="eastAsia" w:ascii="仿宋" w:hAnsi="仿宋" w:eastAsia="仿宋" w:cs="仿宋"/>
          <w:color w:val="auto"/>
          <w:kern w:val="0"/>
          <w:sz w:val="24"/>
          <w:szCs w:val="22"/>
        </w:rPr>
        <w:t>投标人</w:t>
      </w:r>
      <w:r>
        <w:rPr>
          <w:rFonts w:ascii="仿宋" w:hAnsi="仿宋" w:eastAsia="仿宋" w:cs="仿宋"/>
          <w:color w:val="auto"/>
          <w:kern w:val="0"/>
          <w:sz w:val="24"/>
          <w:szCs w:val="22"/>
        </w:rPr>
        <w:t>须严格执行《餐饮服务食品安全操作规范》，落实食品加工、销售，建立健全食品安全管理制度，明确各岗位食品安全责任。</w:t>
      </w:r>
    </w:p>
    <w:p w14:paraId="2432BDBC">
      <w:pPr>
        <w:widowControl/>
        <w:numPr>
          <w:ilvl w:val="0"/>
          <w:numId w:val="27"/>
        </w:numPr>
        <w:spacing w:line="360" w:lineRule="auto"/>
        <w:ind w:firstLine="480" w:firstLineChars="200"/>
        <w:jc w:val="left"/>
        <w:rPr>
          <w:rFonts w:hint="eastAsia" w:ascii="仿宋" w:hAnsi="仿宋" w:eastAsia="仿宋" w:cs="仿宋"/>
          <w:color w:val="auto"/>
          <w:kern w:val="0"/>
          <w:sz w:val="24"/>
          <w:szCs w:val="22"/>
        </w:rPr>
      </w:pPr>
      <w:r>
        <w:rPr>
          <w:rFonts w:hint="eastAsia" w:ascii="仿宋" w:hAnsi="仿宋" w:eastAsia="仿宋" w:cs="仿宋"/>
          <w:color w:val="auto"/>
          <w:kern w:val="0"/>
          <w:sz w:val="24"/>
          <w:szCs w:val="22"/>
        </w:rPr>
        <w:t>投标人</w:t>
      </w:r>
      <w:r>
        <w:rPr>
          <w:rFonts w:ascii="仿宋" w:hAnsi="仿宋" w:eastAsia="仿宋" w:cs="仿宋"/>
          <w:color w:val="auto"/>
          <w:kern w:val="0"/>
          <w:sz w:val="24"/>
          <w:szCs w:val="22"/>
        </w:rPr>
        <w:t>须配备专职食品安全总监（可由项目总负责人兼任，不得跨项目兼任），每个院区配备至少 1 名专职食品安全员，不得由</w:t>
      </w:r>
      <w:r>
        <w:rPr>
          <w:rFonts w:hint="eastAsia" w:ascii="仿宋" w:hAnsi="仿宋" w:eastAsia="仿宋" w:cs="仿宋"/>
          <w:color w:val="auto"/>
          <w:kern w:val="0"/>
          <w:sz w:val="24"/>
          <w:szCs w:val="22"/>
          <w:lang w:eastAsia="zh-CN"/>
        </w:rPr>
        <w:t>厨师长</w:t>
      </w:r>
      <w:r>
        <w:rPr>
          <w:rFonts w:ascii="仿宋" w:hAnsi="仿宋" w:eastAsia="仿宋" w:cs="仿宋"/>
          <w:color w:val="auto"/>
          <w:kern w:val="0"/>
          <w:sz w:val="24"/>
          <w:szCs w:val="22"/>
        </w:rPr>
        <w:t>、厨师等烹饪操作岗位人员兼任，须专职履行食品安全管控职责；食品安全总监须具备中级及以上食品安全管理人员培训考核合格证书，每年参加不少于40小时食品安全专项培训；食品安全员须具备有效食品安全管理人员培训考核合格证书，无食品安全行业从业禁止记录。</w:t>
      </w:r>
    </w:p>
    <w:p w14:paraId="3539E840">
      <w:pPr>
        <w:widowControl/>
        <w:numPr>
          <w:ilvl w:val="0"/>
          <w:numId w:val="27"/>
        </w:numPr>
        <w:spacing w:line="360" w:lineRule="auto"/>
        <w:ind w:firstLine="480" w:firstLineChars="200"/>
        <w:jc w:val="left"/>
        <w:rPr>
          <w:rFonts w:hint="eastAsia" w:ascii="仿宋" w:hAnsi="仿宋" w:eastAsia="仿宋" w:cs="仿宋"/>
          <w:color w:val="auto"/>
          <w:kern w:val="0"/>
          <w:sz w:val="24"/>
          <w:szCs w:val="22"/>
        </w:rPr>
      </w:pPr>
      <w:r>
        <w:rPr>
          <w:rFonts w:ascii="仿宋" w:hAnsi="仿宋" w:eastAsia="仿宋" w:cs="仿宋"/>
          <w:color w:val="auto"/>
          <w:kern w:val="0"/>
          <w:sz w:val="24"/>
          <w:szCs w:val="22"/>
        </w:rPr>
        <w:t>项目总负责人（食品安全总监）落实「月调度」机制，每月至少召开 1 次食品安全工作调度会议，对当月食品安全日管控、周排查发现的问题进行复盘整改，分析食品安全风险隐患，部署下月管控重点，形成完整的月度调度会议纪要，提交采购人备案，会议纪要留存期限不少于 2 年。</w:t>
      </w:r>
    </w:p>
    <w:p w14:paraId="542741CA">
      <w:pPr>
        <w:widowControl/>
        <w:numPr>
          <w:ilvl w:val="0"/>
          <w:numId w:val="27"/>
        </w:numPr>
        <w:spacing w:line="360" w:lineRule="auto"/>
        <w:ind w:firstLine="480" w:firstLineChars="200"/>
        <w:jc w:val="left"/>
        <w:rPr>
          <w:rFonts w:hint="eastAsia" w:ascii="仿宋" w:hAnsi="仿宋" w:eastAsia="仿宋" w:cs="仿宋"/>
          <w:color w:val="auto"/>
          <w:kern w:val="0"/>
          <w:sz w:val="24"/>
          <w:szCs w:val="22"/>
        </w:rPr>
      </w:pPr>
      <w:r>
        <w:rPr>
          <w:rFonts w:ascii="仿宋" w:hAnsi="仿宋" w:eastAsia="仿宋" w:cs="仿宋"/>
          <w:color w:val="auto"/>
          <w:kern w:val="0"/>
          <w:sz w:val="24"/>
          <w:szCs w:val="22"/>
        </w:rPr>
        <w:t>食品安全总监落实「周排查」机制，每周至少1次全面排查食品安全风险，形成排查报告并跟踪整改；食品安全员落实「日管控」机制，每日至少1次按风险管控清单开展检查，规范做好管控记录。</w:t>
      </w:r>
    </w:p>
    <w:p w14:paraId="1B52BF1B">
      <w:pPr>
        <w:widowControl/>
        <w:numPr>
          <w:ilvl w:val="0"/>
          <w:numId w:val="27"/>
        </w:numPr>
        <w:spacing w:line="360" w:lineRule="auto"/>
        <w:ind w:firstLine="480" w:firstLineChars="200"/>
        <w:jc w:val="left"/>
        <w:rPr>
          <w:rFonts w:hint="eastAsia" w:ascii="仿宋" w:hAnsi="仿宋" w:eastAsia="仿宋" w:cs="仿宋"/>
          <w:color w:val="auto"/>
          <w:kern w:val="0"/>
          <w:sz w:val="24"/>
          <w:szCs w:val="22"/>
        </w:rPr>
      </w:pPr>
      <w:r>
        <w:rPr>
          <w:rFonts w:ascii="仿宋" w:hAnsi="仿宋" w:eastAsia="仿宋" w:cs="仿宋"/>
          <w:color w:val="auto"/>
          <w:kern w:val="0"/>
          <w:sz w:val="24"/>
          <w:szCs w:val="22"/>
        </w:rPr>
        <w:t>如因</w:t>
      </w:r>
      <w:r>
        <w:rPr>
          <w:rFonts w:hint="eastAsia" w:ascii="仿宋" w:hAnsi="仿宋" w:eastAsia="仿宋" w:cs="仿宋"/>
          <w:color w:val="auto"/>
          <w:kern w:val="0"/>
          <w:sz w:val="24"/>
          <w:szCs w:val="22"/>
        </w:rPr>
        <w:t>投标人</w:t>
      </w:r>
      <w:r>
        <w:rPr>
          <w:rFonts w:ascii="仿宋" w:hAnsi="仿宋" w:eastAsia="仿宋" w:cs="仿宋"/>
          <w:color w:val="auto"/>
          <w:kern w:val="0"/>
          <w:sz w:val="24"/>
          <w:szCs w:val="22"/>
        </w:rPr>
        <w:t>食材采购、加工、配送等环节违规操作导致的食品安全事故、食物中毒事件，全部经济责任、法律责任由</w:t>
      </w:r>
      <w:r>
        <w:rPr>
          <w:rFonts w:hint="eastAsia" w:ascii="仿宋" w:hAnsi="仿宋" w:eastAsia="仿宋" w:cs="仿宋"/>
          <w:color w:val="auto"/>
          <w:kern w:val="0"/>
          <w:sz w:val="24"/>
          <w:szCs w:val="22"/>
        </w:rPr>
        <w:t>投标人</w:t>
      </w:r>
      <w:r>
        <w:rPr>
          <w:rFonts w:ascii="仿宋" w:hAnsi="仿宋" w:eastAsia="仿宋" w:cs="仿宋"/>
          <w:color w:val="auto"/>
          <w:kern w:val="0"/>
          <w:sz w:val="24"/>
          <w:szCs w:val="22"/>
        </w:rPr>
        <w:t>承担，包括但不限于人员医疗费、误工费、残疾赔偿金、死亡赔偿金、精神损害抚慰金、事故处理费，以及采购人因此支出的律师费、公证费、鉴定费、舆情处置费、商誉损失赔偿金等；</w:t>
      </w:r>
      <w:r>
        <w:rPr>
          <w:rFonts w:ascii="仿宋" w:hAnsi="仿宋" w:eastAsia="仿宋" w:cs="仿宋"/>
          <w:b/>
          <w:bCs/>
          <w:color w:val="auto"/>
          <w:kern w:val="0"/>
          <w:sz w:val="24"/>
          <w:szCs w:val="22"/>
        </w:rPr>
        <w:t>同时</w:t>
      </w:r>
      <w:r>
        <w:rPr>
          <w:rFonts w:hint="eastAsia" w:ascii="仿宋" w:hAnsi="仿宋" w:eastAsia="仿宋" w:cs="仿宋"/>
          <w:b/>
          <w:bCs/>
          <w:color w:val="auto"/>
          <w:kern w:val="0"/>
          <w:sz w:val="24"/>
          <w:szCs w:val="22"/>
        </w:rPr>
        <w:t>投标人</w:t>
      </w:r>
      <w:r>
        <w:rPr>
          <w:rFonts w:ascii="仿宋" w:hAnsi="仿宋" w:eastAsia="仿宋" w:cs="仿宋"/>
          <w:b/>
          <w:bCs/>
          <w:color w:val="auto"/>
          <w:kern w:val="0"/>
          <w:sz w:val="24"/>
          <w:szCs w:val="22"/>
        </w:rPr>
        <w:t>须向采购人支付</w:t>
      </w:r>
      <w:r>
        <w:rPr>
          <w:rFonts w:hint="eastAsia" w:ascii="仿宋" w:hAnsi="仿宋" w:eastAsia="仿宋" w:cs="仿宋"/>
          <w:b/>
          <w:bCs/>
          <w:color w:val="auto"/>
          <w:kern w:val="0"/>
          <w:sz w:val="24"/>
          <w:szCs w:val="22"/>
        </w:rPr>
        <w:t>75万元</w:t>
      </w:r>
      <w:r>
        <w:rPr>
          <w:rFonts w:ascii="仿宋" w:hAnsi="仿宋" w:eastAsia="仿宋" w:cs="仿宋"/>
          <w:b/>
          <w:bCs/>
          <w:color w:val="auto"/>
          <w:kern w:val="0"/>
          <w:sz w:val="24"/>
          <w:szCs w:val="22"/>
        </w:rPr>
        <w:t>的违约金，</w:t>
      </w:r>
      <w:r>
        <w:rPr>
          <w:rFonts w:ascii="仿宋" w:hAnsi="仿宋" w:eastAsia="仿宋" w:cs="仿宋"/>
          <w:color w:val="auto"/>
          <w:kern w:val="0"/>
          <w:sz w:val="24"/>
          <w:szCs w:val="22"/>
        </w:rPr>
        <w:t>违约金不足以弥补采购人全部损失的，</w:t>
      </w:r>
      <w:r>
        <w:rPr>
          <w:rFonts w:hint="eastAsia" w:ascii="仿宋" w:hAnsi="仿宋" w:eastAsia="仿宋" w:cs="仿宋"/>
          <w:color w:val="auto"/>
          <w:kern w:val="0"/>
          <w:sz w:val="24"/>
          <w:szCs w:val="22"/>
        </w:rPr>
        <w:t>投标人</w:t>
      </w:r>
      <w:r>
        <w:rPr>
          <w:rFonts w:ascii="仿宋" w:hAnsi="仿宋" w:eastAsia="仿宋" w:cs="仿宋"/>
          <w:color w:val="auto"/>
          <w:kern w:val="0"/>
          <w:sz w:val="24"/>
          <w:szCs w:val="22"/>
        </w:rPr>
        <w:t>须补足差额；采购人有权单方终止合同。</w:t>
      </w:r>
    </w:p>
    <w:p w14:paraId="6C0F50A7">
      <w:pPr>
        <w:widowControl/>
        <w:numPr>
          <w:ilvl w:val="0"/>
          <w:numId w:val="27"/>
        </w:numPr>
        <w:spacing w:line="360" w:lineRule="auto"/>
        <w:ind w:firstLine="480" w:firstLineChars="200"/>
        <w:jc w:val="left"/>
        <w:rPr>
          <w:rFonts w:hint="eastAsia" w:ascii="仿宋" w:hAnsi="仿宋" w:eastAsia="仿宋" w:cs="仿宋"/>
          <w:color w:val="auto"/>
          <w:kern w:val="0"/>
          <w:sz w:val="24"/>
          <w:szCs w:val="22"/>
        </w:rPr>
      </w:pPr>
      <w:r>
        <w:rPr>
          <w:rFonts w:ascii="仿宋" w:hAnsi="仿宋" w:eastAsia="仿宋" w:cs="仿宋"/>
          <w:color w:val="auto"/>
          <w:kern w:val="0"/>
          <w:sz w:val="24"/>
          <w:szCs w:val="22"/>
        </w:rPr>
        <w:t>食品添加剂须严格按照《食品安全国家标准食品添加剂使用标准》（GB2760-2024）执行，落实「专人采购、专人保管、专人领用、专人登记、专柜加锁」的五专管理制度，精准称量、规范记录，严禁超范围、超用量使用，严禁使用非食用物质。</w:t>
      </w:r>
    </w:p>
    <w:p w14:paraId="05DDB39D">
      <w:pPr>
        <w:widowControl/>
        <w:numPr>
          <w:ilvl w:val="0"/>
          <w:numId w:val="27"/>
        </w:numPr>
        <w:spacing w:line="360" w:lineRule="auto"/>
        <w:ind w:firstLine="480" w:firstLineChars="200"/>
        <w:jc w:val="left"/>
        <w:rPr>
          <w:rFonts w:hint="eastAsia" w:ascii="仿宋" w:hAnsi="仿宋" w:eastAsia="仿宋" w:cs="仿宋"/>
          <w:color w:val="auto"/>
          <w:kern w:val="0"/>
          <w:sz w:val="24"/>
          <w:szCs w:val="22"/>
        </w:rPr>
      </w:pPr>
      <w:r>
        <w:rPr>
          <w:rFonts w:ascii="仿宋" w:hAnsi="仿宋" w:eastAsia="仿宋" w:cs="仿宋"/>
          <w:color w:val="auto"/>
          <w:kern w:val="0"/>
          <w:sz w:val="24"/>
          <w:szCs w:val="22"/>
        </w:rPr>
        <w:t>生熟食品分开储存、分开加工，专用刀具、砧板、容器分区使用，杜绝交叉污染；冷藏冷冻设备定期清洁、维护，温度实时监控并记录。</w:t>
      </w:r>
    </w:p>
    <w:p w14:paraId="1F666E68">
      <w:pPr>
        <w:widowControl/>
        <w:numPr>
          <w:ilvl w:val="0"/>
          <w:numId w:val="27"/>
        </w:numPr>
        <w:spacing w:line="360" w:lineRule="auto"/>
        <w:ind w:firstLine="480" w:firstLineChars="200"/>
        <w:jc w:val="left"/>
        <w:rPr>
          <w:rFonts w:hint="eastAsia" w:ascii="仿宋" w:hAnsi="仿宋" w:eastAsia="仿宋" w:cs="仿宋"/>
          <w:color w:val="auto"/>
          <w:kern w:val="0"/>
          <w:sz w:val="24"/>
          <w:szCs w:val="22"/>
        </w:rPr>
      </w:pPr>
      <w:r>
        <w:rPr>
          <w:rFonts w:ascii="仿宋" w:hAnsi="仿宋" w:eastAsia="仿宋" w:cs="仿宋"/>
          <w:color w:val="auto"/>
          <w:kern w:val="0"/>
          <w:sz w:val="24"/>
          <w:szCs w:val="22"/>
        </w:rPr>
        <w:t>从业人员每日执行晨检制度，有发热、腹泻、皮肤伤口等有碍食品安全病症的，立即调离岗位，治愈后方可重新上岗，晨检记录规范留存，保存期限不少于 2 年；所有驻场人员须持有效健康证上岗，每年在具备法定资质的医疗机构进行健康体检，健康证留存备查。</w:t>
      </w:r>
    </w:p>
    <w:p w14:paraId="67E98F62">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七、</w:t>
      </w:r>
      <w:r>
        <w:rPr>
          <w:rFonts w:ascii="仿宋" w:hAnsi="仿宋" w:eastAsia="仿宋" w:cs="仿宋"/>
          <w:color w:val="auto"/>
          <w:sz w:val="24"/>
        </w:rPr>
        <w:t>食材验收与应急退换货</w:t>
      </w:r>
    </w:p>
    <w:p w14:paraId="153C6155">
      <w:pPr>
        <w:numPr>
          <w:ilvl w:val="0"/>
          <w:numId w:val="28"/>
        </w:numPr>
        <w:spacing w:line="360" w:lineRule="auto"/>
        <w:ind w:firstLine="480" w:firstLineChars="200"/>
        <w:rPr>
          <w:rFonts w:hint="eastAsia" w:ascii="仿宋" w:hAnsi="仿宋" w:eastAsia="仿宋" w:cs="仿宋"/>
          <w:color w:val="auto"/>
          <w:sz w:val="24"/>
        </w:rPr>
      </w:pPr>
      <w:r>
        <w:rPr>
          <w:rFonts w:ascii="仿宋" w:hAnsi="仿宋" w:eastAsia="仿宋" w:cs="仿宋"/>
          <w:color w:val="auto"/>
          <w:sz w:val="24"/>
        </w:rPr>
        <w:t>采购人有权全程参与食材</w:t>
      </w:r>
      <w:r>
        <w:rPr>
          <w:rFonts w:hint="eastAsia" w:ascii="仿宋" w:hAnsi="仿宋" w:eastAsia="仿宋" w:cs="仿宋"/>
          <w:color w:val="auto"/>
          <w:sz w:val="24"/>
        </w:rPr>
        <w:t>抽查</w:t>
      </w:r>
      <w:r>
        <w:rPr>
          <w:rFonts w:ascii="仿宋" w:hAnsi="仿宋" w:eastAsia="仿宋" w:cs="仿宋"/>
          <w:color w:val="auto"/>
          <w:sz w:val="24"/>
        </w:rPr>
        <w:t>；</w:t>
      </w:r>
      <w:r>
        <w:rPr>
          <w:rFonts w:hint="eastAsia" w:ascii="仿宋" w:hAnsi="仿宋" w:eastAsia="仿宋" w:cs="仿宋"/>
          <w:color w:val="auto"/>
          <w:sz w:val="24"/>
        </w:rPr>
        <w:t>投标人</w:t>
      </w:r>
      <w:r>
        <w:rPr>
          <w:rFonts w:ascii="仿宋" w:hAnsi="仿宋" w:eastAsia="仿宋" w:cs="仿宋"/>
          <w:color w:val="auto"/>
          <w:sz w:val="24"/>
        </w:rPr>
        <w:t>每次随货送上一式二份送货清单验货后签字确认，作为送、收货的凭证。</w:t>
      </w:r>
    </w:p>
    <w:p w14:paraId="5E2714DD">
      <w:pPr>
        <w:numPr>
          <w:ilvl w:val="0"/>
          <w:numId w:val="28"/>
        </w:numPr>
        <w:spacing w:line="360" w:lineRule="auto"/>
        <w:ind w:firstLine="480" w:firstLineChars="200"/>
        <w:rPr>
          <w:rFonts w:hint="eastAsia" w:ascii="仿宋" w:hAnsi="仿宋" w:eastAsia="仿宋" w:cs="仿宋"/>
          <w:color w:val="auto"/>
          <w:sz w:val="24"/>
        </w:rPr>
      </w:pPr>
      <w:r>
        <w:rPr>
          <w:rFonts w:ascii="仿宋" w:hAnsi="仿宋" w:eastAsia="仿宋" w:cs="仿宋"/>
          <w:color w:val="auto"/>
          <w:sz w:val="24"/>
        </w:rPr>
        <w:t>采购人按合同对</w:t>
      </w:r>
      <w:r>
        <w:rPr>
          <w:rFonts w:hint="eastAsia" w:ascii="仿宋" w:hAnsi="仿宋" w:eastAsia="仿宋" w:cs="仿宋"/>
          <w:color w:val="auto"/>
          <w:sz w:val="24"/>
        </w:rPr>
        <w:t>投标人</w:t>
      </w:r>
      <w:r>
        <w:rPr>
          <w:rFonts w:ascii="仿宋" w:hAnsi="仿宋" w:eastAsia="仿宋" w:cs="仿宋"/>
          <w:color w:val="auto"/>
          <w:sz w:val="24"/>
        </w:rPr>
        <w:t>提供的货物进行不定期</w:t>
      </w:r>
      <w:r>
        <w:rPr>
          <w:rFonts w:hint="eastAsia" w:ascii="仿宋" w:hAnsi="仿宋" w:eastAsia="仿宋" w:cs="仿宋"/>
          <w:color w:val="auto"/>
          <w:sz w:val="24"/>
        </w:rPr>
        <w:t>统一</w:t>
      </w:r>
      <w:r>
        <w:rPr>
          <w:rFonts w:ascii="仿宋" w:hAnsi="仿宋" w:eastAsia="仿宋" w:cs="仿宋"/>
          <w:color w:val="auto"/>
          <w:sz w:val="24"/>
        </w:rPr>
        <w:t>抽查，按照附件4《食堂餐饮服务监督标准》执行，对不符合规格要求的货物，</w:t>
      </w:r>
      <w:r>
        <w:rPr>
          <w:rFonts w:hint="eastAsia" w:ascii="仿宋" w:hAnsi="仿宋" w:eastAsia="仿宋" w:cs="仿宋"/>
          <w:color w:val="auto"/>
          <w:sz w:val="24"/>
        </w:rPr>
        <w:t>投标人</w:t>
      </w:r>
      <w:r>
        <w:rPr>
          <w:rFonts w:ascii="仿宋" w:hAnsi="仿宋" w:eastAsia="仿宋" w:cs="仿宋"/>
          <w:color w:val="auto"/>
          <w:sz w:val="24"/>
        </w:rPr>
        <w:t>应无条件退货、换货；</w:t>
      </w:r>
      <w:r>
        <w:rPr>
          <w:rFonts w:hint="eastAsia" w:ascii="仿宋" w:hAnsi="仿宋" w:eastAsia="仿宋" w:cs="仿宋"/>
          <w:color w:val="auto"/>
          <w:sz w:val="24"/>
        </w:rPr>
        <w:t>投标人</w:t>
      </w:r>
      <w:r>
        <w:rPr>
          <w:rFonts w:ascii="仿宋" w:hAnsi="仿宋" w:eastAsia="仿宋" w:cs="仿宋"/>
          <w:color w:val="auto"/>
          <w:sz w:val="24"/>
        </w:rPr>
        <w:t>未能履行招标文件和合同所定事项，或供应不合格的、假冒伪劣、以次充好的货物，每次扣罚</w:t>
      </w:r>
      <w:r>
        <w:rPr>
          <w:rFonts w:hint="eastAsia" w:ascii="仿宋" w:hAnsi="仿宋" w:eastAsia="仿宋" w:cs="仿宋"/>
          <w:color w:val="auto"/>
          <w:sz w:val="24"/>
        </w:rPr>
        <w:t>投标人</w:t>
      </w:r>
      <w:r>
        <w:rPr>
          <w:rFonts w:ascii="仿宋" w:hAnsi="仿宋" w:eastAsia="仿宋" w:cs="仿宋"/>
          <w:color w:val="auto"/>
          <w:sz w:val="24"/>
        </w:rPr>
        <w:t>5000元，发生</w:t>
      </w:r>
      <w:r>
        <w:rPr>
          <w:rFonts w:hint="eastAsia" w:ascii="仿宋" w:hAnsi="仿宋" w:eastAsia="仿宋" w:cs="仿宋"/>
          <w:color w:val="auto"/>
          <w:sz w:val="24"/>
          <w:lang w:val="en-US" w:eastAsia="zh-CN"/>
        </w:rPr>
        <w:t>3</w:t>
      </w:r>
      <w:r>
        <w:rPr>
          <w:rFonts w:ascii="仿宋" w:hAnsi="仿宋" w:eastAsia="仿宋" w:cs="仿宋"/>
          <w:color w:val="auto"/>
          <w:sz w:val="24"/>
        </w:rPr>
        <w:t>次或以上的</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N≥3</w:t>
      </w:r>
      <w:r>
        <w:rPr>
          <w:rFonts w:hint="eastAsia" w:ascii="仿宋" w:hAnsi="仿宋" w:eastAsia="仿宋" w:cs="仿宋"/>
          <w:color w:val="auto"/>
          <w:sz w:val="24"/>
          <w:lang w:eastAsia="zh-CN"/>
        </w:rPr>
        <w:t>）</w:t>
      </w:r>
      <w:r>
        <w:rPr>
          <w:rFonts w:ascii="仿宋" w:hAnsi="仿宋" w:eastAsia="仿宋" w:cs="仿宋"/>
          <w:color w:val="auto"/>
          <w:sz w:val="24"/>
        </w:rPr>
        <w:t>，</w:t>
      </w:r>
      <w:r>
        <w:rPr>
          <w:rFonts w:hint="eastAsia" w:ascii="仿宋" w:hAnsi="仿宋" w:eastAsia="仿宋" w:cs="仿宋"/>
          <w:color w:val="auto"/>
          <w:sz w:val="24"/>
        </w:rPr>
        <w:t>则每次扣罚金额为5000元乘以N，并额外加扣当月结算费用的5%。</w:t>
      </w:r>
      <w:r>
        <w:rPr>
          <w:rFonts w:ascii="仿宋" w:hAnsi="仿宋" w:eastAsia="仿宋" w:cs="仿宋"/>
          <w:color w:val="auto"/>
          <w:sz w:val="24"/>
        </w:rPr>
        <w:t>年度累计</w:t>
      </w:r>
      <w:r>
        <w:rPr>
          <w:rFonts w:hint="eastAsia" w:ascii="仿宋" w:hAnsi="仿宋" w:eastAsia="仿宋" w:cs="仿宋"/>
          <w:color w:val="auto"/>
          <w:sz w:val="24"/>
          <w:lang w:val="en-US" w:eastAsia="zh-CN"/>
        </w:rPr>
        <w:t>6</w:t>
      </w:r>
      <w:r>
        <w:rPr>
          <w:rFonts w:ascii="仿宋" w:hAnsi="仿宋" w:eastAsia="仿宋" w:cs="仿宋"/>
          <w:color w:val="auto"/>
          <w:sz w:val="24"/>
        </w:rPr>
        <w:t>次及以上的，采购人有权终止合同，</w:t>
      </w:r>
      <w:r>
        <w:rPr>
          <w:rFonts w:hint="eastAsia" w:ascii="仿宋" w:hAnsi="仿宋" w:eastAsia="仿宋" w:cs="仿宋"/>
          <w:color w:val="auto"/>
          <w:sz w:val="24"/>
        </w:rPr>
        <w:t>投标人</w:t>
      </w:r>
      <w:r>
        <w:rPr>
          <w:rFonts w:ascii="仿宋" w:hAnsi="仿宋" w:eastAsia="仿宋" w:cs="仿宋"/>
          <w:color w:val="auto"/>
          <w:sz w:val="24"/>
        </w:rPr>
        <w:t>需承担因此产生的一切损失和费用。</w:t>
      </w:r>
    </w:p>
    <w:p w14:paraId="04CDF12B">
      <w:pPr>
        <w:numPr>
          <w:ilvl w:val="0"/>
          <w:numId w:val="28"/>
        </w:numPr>
        <w:spacing w:line="360" w:lineRule="auto"/>
        <w:ind w:firstLine="480" w:firstLineChars="200"/>
        <w:rPr>
          <w:rFonts w:hint="eastAsia" w:ascii="仿宋" w:hAnsi="仿宋" w:eastAsia="仿宋" w:cs="仿宋"/>
          <w:color w:val="auto"/>
          <w:sz w:val="24"/>
        </w:rPr>
      </w:pPr>
      <w:r>
        <w:rPr>
          <w:rFonts w:ascii="仿宋" w:hAnsi="仿宋" w:eastAsia="仿宋" w:cs="仿宋"/>
          <w:color w:val="auto"/>
          <w:sz w:val="24"/>
        </w:rPr>
        <w:t>对采购人</w:t>
      </w:r>
      <w:r>
        <w:rPr>
          <w:rFonts w:hint="eastAsia" w:ascii="仿宋" w:hAnsi="仿宋" w:eastAsia="仿宋" w:cs="仿宋"/>
          <w:color w:val="auto"/>
          <w:sz w:val="24"/>
        </w:rPr>
        <w:t>应急</w:t>
      </w:r>
      <w:r>
        <w:rPr>
          <w:rFonts w:ascii="仿宋" w:hAnsi="仿宋" w:eastAsia="仿宋" w:cs="仿宋"/>
          <w:color w:val="auto"/>
          <w:sz w:val="24"/>
        </w:rPr>
        <w:t>用餐服务需求，要求在15分钟内响应，并在指定时间内完成供餐服务。如未能及时供餐保障，扣除当月结算费用的1%违约金。</w:t>
      </w:r>
    </w:p>
    <w:p w14:paraId="1AE47934">
      <w:pPr>
        <w:numPr>
          <w:ilvl w:val="0"/>
          <w:numId w:val="28"/>
        </w:numPr>
        <w:spacing w:line="360" w:lineRule="auto"/>
        <w:ind w:firstLine="480" w:firstLineChars="200"/>
        <w:rPr>
          <w:rFonts w:hint="eastAsia" w:ascii="仿宋" w:hAnsi="仿宋" w:eastAsia="仿宋" w:cs="仿宋"/>
          <w:color w:val="auto"/>
          <w:sz w:val="24"/>
        </w:rPr>
      </w:pPr>
      <w:r>
        <w:rPr>
          <w:rFonts w:ascii="仿宋" w:hAnsi="仿宋" w:eastAsia="仿宋" w:cs="仿宋"/>
          <w:color w:val="auto"/>
          <w:sz w:val="24"/>
        </w:rPr>
        <w:t>采购人根据送货单订购品种和数量验收过秤记录。对于不符合质量的品种采购人有权退货或换货。如因产品质量而造成采购人服务对象发生卫生安全事故，</w:t>
      </w:r>
      <w:r>
        <w:rPr>
          <w:rFonts w:hint="eastAsia" w:ascii="仿宋" w:hAnsi="仿宋" w:eastAsia="仿宋" w:cs="仿宋"/>
          <w:color w:val="auto"/>
          <w:sz w:val="24"/>
        </w:rPr>
        <w:t>投标人</w:t>
      </w:r>
      <w:r>
        <w:rPr>
          <w:rFonts w:ascii="仿宋" w:hAnsi="仿宋" w:eastAsia="仿宋" w:cs="仿宋"/>
          <w:color w:val="auto"/>
          <w:sz w:val="24"/>
        </w:rPr>
        <w:t>须承担全部责任。</w:t>
      </w:r>
    </w:p>
    <w:p w14:paraId="1F00BC9F">
      <w:pPr>
        <w:rPr>
          <w:rFonts w:hint="eastAsia" w:ascii="仿宋" w:hAnsi="仿宋" w:eastAsia="仿宋" w:cs="仿宋"/>
          <w:color w:val="auto"/>
          <w:sz w:val="24"/>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04945B81-C8A4-4CE4-B783-505320B4BD4E}"/>
  </w:font>
  <w:font w:name="方正仿宋_GBK">
    <w:panose1 w:val="02000000000000000000"/>
    <w:charset w:val="86"/>
    <w:family w:val="auto"/>
    <w:pitch w:val="default"/>
    <w:sig w:usb0="A00002BF" w:usb1="38CF7CFA" w:usb2="00082016" w:usb3="00000000" w:csb0="00040001" w:csb1="00000000"/>
    <w:embedRegular r:id="rId2" w:fontKey="{7362B301-6D09-4679-8CD2-898C726C4B88}"/>
  </w:font>
  <w:font w:name="仿宋">
    <w:panose1 w:val="02010609060101010101"/>
    <w:charset w:val="86"/>
    <w:family w:val="modern"/>
    <w:pitch w:val="default"/>
    <w:sig w:usb0="800002BF" w:usb1="38CF7CFA" w:usb2="00000016" w:usb3="00000000" w:csb0="00040001" w:csb1="00000000"/>
    <w:embedRegular r:id="rId3" w:fontKey="{2051597F-B945-49E4-B06C-D73072CA649B}"/>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swiss"/>
    <w:pitch w:val="default"/>
    <w:sig w:usb0="80000287" w:usb1="2ACF3C50" w:usb2="00000016" w:usb3="00000000" w:csb0="0004001F" w:csb1="00000000"/>
    <w:embedRegular r:id="rId4" w:fontKey="{99903320-DAA8-40D3-9454-CC241699E67F}"/>
  </w:font>
  <w:font w:name="华文中宋">
    <w:panose1 w:val="02010600040101010101"/>
    <w:charset w:val="86"/>
    <w:family w:val="auto"/>
    <w:pitch w:val="default"/>
    <w:sig w:usb0="00000287" w:usb1="080F0000" w:usb2="00000000" w:usb3="00000000" w:csb0="0004009F" w:csb1="DFD70000"/>
    <w:embedRegular r:id="rId5" w:fontKey="{275DFFDC-4993-405A-A1D0-1CA36838C784}"/>
  </w:font>
  <w:font w:name="WPSEMBED1">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CA7EB">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11B35B">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211B35B">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20590">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75D86">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825B8">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3806B">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64116">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4E2E02"/>
    <w:multiLevelType w:val="singleLevel"/>
    <w:tmpl w:val="804E2E02"/>
    <w:lvl w:ilvl="0" w:tentative="0">
      <w:start w:val="1"/>
      <w:numFmt w:val="chineseCounting"/>
      <w:suff w:val="nothing"/>
      <w:lvlText w:val="（%1）"/>
      <w:lvlJc w:val="left"/>
      <w:pPr>
        <w:ind w:left="0" w:firstLine="420"/>
      </w:pPr>
      <w:rPr>
        <w:rFonts w:hint="eastAsia"/>
      </w:rPr>
    </w:lvl>
  </w:abstractNum>
  <w:abstractNum w:abstractNumId="1">
    <w:nsid w:val="86A8E2C6"/>
    <w:multiLevelType w:val="singleLevel"/>
    <w:tmpl w:val="86A8E2C6"/>
    <w:lvl w:ilvl="0" w:tentative="0">
      <w:start w:val="1"/>
      <w:numFmt w:val="decimal"/>
      <w:suff w:val="nothing"/>
      <w:lvlText w:val="%1．"/>
      <w:lvlJc w:val="left"/>
      <w:pPr>
        <w:ind w:left="0" w:firstLine="400"/>
      </w:pPr>
      <w:rPr>
        <w:rFonts w:hint="default"/>
      </w:rPr>
    </w:lvl>
  </w:abstractNum>
  <w:abstractNum w:abstractNumId="2">
    <w:nsid w:val="8FC165CB"/>
    <w:multiLevelType w:val="singleLevel"/>
    <w:tmpl w:val="8FC165CB"/>
    <w:lvl w:ilvl="0" w:tentative="0">
      <w:start w:val="1"/>
      <w:numFmt w:val="chineseCounting"/>
      <w:suff w:val="nothing"/>
      <w:lvlText w:val="（%1）"/>
      <w:lvlJc w:val="left"/>
      <w:pPr>
        <w:ind w:left="0" w:firstLine="420"/>
      </w:pPr>
      <w:rPr>
        <w:rFonts w:hint="eastAsia"/>
      </w:rPr>
    </w:lvl>
  </w:abstractNum>
  <w:abstractNum w:abstractNumId="3">
    <w:nsid w:val="92775958"/>
    <w:multiLevelType w:val="singleLevel"/>
    <w:tmpl w:val="92775958"/>
    <w:lvl w:ilvl="0" w:tentative="0">
      <w:start w:val="1"/>
      <w:numFmt w:val="chineseCounting"/>
      <w:suff w:val="nothing"/>
      <w:lvlText w:val="（%1）"/>
      <w:lvlJc w:val="left"/>
      <w:pPr>
        <w:ind w:left="0" w:firstLine="420"/>
      </w:pPr>
      <w:rPr>
        <w:rFonts w:hint="eastAsia"/>
      </w:rPr>
    </w:lvl>
  </w:abstractNum>
  <w:abstractNum w:abstractNumId="4">
    <w:nsid w:val="93C58A4B"/>
    <w:multiLevelType w:val="singleLevel"/>
    <w:tmpl w:val="93C58A4B"/>
    <w:lvl w:ilvl="0" w:tentative="0">
      <w:start w:val="1"/>
      <w:numFmt w:val="chineseCounting"/>
      <w:suff w:val="nothing"/>
      <w:lvlText w:val="%1、"/>
      <w:lvlJc w:val="left"/>
      <w:pPr>
        <w:ind w:left="0" w:firstLine="420"/>
      </w:pPr>
      <w:rPr>
        <w:rFonts w:hint="eastAsia"/>
      </w:rPr>
    </w:lvl>
  </w:abstractNum>
  <w:abstractNum w:abstractNumId="5">
    <w:nsid w:val="9504A997"/>
    <w:multiLevelType w:val="singleLevel"/>
    <w:tmpl w:val="9504A997"/>
    <w:lvl w:ilvl="0" w:tentative="0">
      <w:start w:val="1"/>
      <w:numFmt w:val="decimal"/>
      <w:suff w:val="nothing"/>
      <w:lvlText w:val="%1．"/>
      <w:lvlJc w:val="left"/>
      <w:pPr>
        <w:ind w:left="0" w:firstLine="400"/>
      </w:pPr>
      <w:rPr>
        <w:rFonts w:hint="default"/>
      </w:rPr>
    </w:lvl>
  </w:abstractNum>
  <w:abstractNum w:abstractNumId="6">
    <w:nsid w:val="A0A0F527"/>
    <w:multiLevelType w:val="singleLevel"/>
    <w:tmpl w:val="A0A0F527"/>
    <w:lvl w:ilvl="0" w:tentative="0">
      <w:start w:val="1"/>
      <w:numFmt w:val="chineseCounting"/>
      <w:suff w:val="nothing"/>
      <w:lvlText w:val="%1、"/>
      <w:lvlJc w:val="left"/>
      <w:pPr>
        <w:ind w:left="0" w:firstLine="420"/>
      </w:pPr>
      <w:rPr>
        <w:rFonts w:hint="eastAsia"/>
      </w:rPr>
    </w:lvl>
  </w:abstractNum>
  <w:abstractNum w:abstractNumId="7">
    <w:nsid w:val="AB97D9B7"/>
    <w:multiLevelType w:val="multilevel"/>
    <w:tmpl w:val="AB97D9B7"/>
    <w:lvl w:ilvl="0" w:tentative="0">
      <w:start w:val="1"/>
      <w:numFmt w:val="chineseCounting"/>
      <w:suff w:val="nothing"/>
      <w:lvlText w:val="（%1）"/>
      <w:lvlJc w:val="left"/>
      <w:pPr>
        <w:ind w:left="0" w:firstLine="420"/>
      </w:pPr>
      <w:rPr>
        <w:rFonts w:hint="eastAsia"/>
      </w:rPr>
    </w:lvl>
    <w:lvl w:ilvl="1" w:tentative="0">
      <w:start w:val="1"/>
      <w:numFmt w:val="decimal"/>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8">
    <w:nsid w:val="B05BE3DF"/>
    <w:multiLevelType w:val="singleLevel"/>
    <w:tmpl w:val="B05BE3DF"/>
    <w:lvl w:ilvl="0" w:tentative="0">
      <w:start w:val="1"/>
      <w:numFmt w:val="chineseCounting"/>
      <w:suff w:val="nothing"/>
      <w:lvlText w:val="%1、"/>
      <w:lvlJc w:val="left"/>
      <w:pPr>
        <w:ind w:left="0" w:firstLine="420"/>
      </w:pPr>
      <w:rPr>
        <w:rFonts w:hint="eastAsia"/>
      </w:rPr>
    </w:lvl>
  </w:abstractNum>
  <w:abstractNum w:abstractNumId="9">
    <w:nsid w:val="BB40CC26"/>
    <w:multiLevelType w:val="singleLevel"/>
    <w:tmpl w:val="BB40CC26"/>
    <w:lvl w:ilvl="0" w:tentative="0">
      <w:start w:val="1"/>
      <w:numFmt w:val="decimal"/>
      <w:suff w:val="nothing"/>
      <w:lvlText w:val="%1．"/>
      <w:lvlJc w:val="left"/>
      <w:pPr>
        <w:ind w:left="0" w:firstLine="400"/>
      </w:pPr>
      <w:rPr>
        <w:rFonts w:hint="default"/>
      </w:rPr>
    </w:lvl>
  </w:abstractNum>
  <w:abstractNum w:abstractNumId="10">
    <w:nsid w:val="BC93FDB8"/>
    <w:multiLevelType w:val="singleLevel"/>
    <w:tmpl w:val="BC93FDB8"/>
    <w:lvl w:ilvl="0" w:tentative="0">
      <w:start w:val="1"/>
      <w:numFmt w:val="chineseCounting"/>
      <w:suff w:val="nothing"/>
      <w:lvlText w:val="（%1）"/>
      <w:lvlJc w:val="left"/>
      <w:pPr>
        <w:ind w:left="0" w:firstLine="420"/>
      </w:pPr>
      <w:rPr>
        <w:rFonts w:hint="eastAsia"/>
      </w:rPr>
    </w:lvl>
  </w:abstractNum>
  <w:abstractNum w:abstractNumId="11">
    <w:nsid w:val="D61E165F"/>
    <w:multiLevelType w:val="singleLevel"/>
    <w:tmpl w:val="D61E165F"/>
    <w:lvl w:ilvl="0" w:tentative="0">
      <w:start w:val="1"/>
      <w:numFmt w:val="chineseCounting"/>
      <w:suff w:val="nothing"/>
      <w:lvlText w:val="（%1）"/>
      <w:lvlJc w:val="left"/>
      <w:pPr>
        <w:ind w:left="0" w:firstLine="420"/>
      </w:pPr>
      <w:rPr>
        <w:rFonts w:hint="eastAsia"/>
      </w:rPr>
    </w:lvl>
  </w:abstractNum>
  <w:abstractNum w:abstractNumId="12">
    <w:nsid w:val="DE911FAF"/>
    <w:multiLevelType w:val="singleLevel"/>
    <w:tmpl w:val="DE911FAF"/>
    <w:lvl w:ilvl="0" w:tentative="0">
      <w:start w:val="1"/>
      <w:numFmt w:val="decimal"/>
      <w:suff w:val="nothing"/>
      <w:lvlText w:val="%1．"/>
      <w:lvlJc w:val="left"/>
      <w:pPr>
        <w:ind w:left="0" w:firstLine="400"/>
      </w:pPr>
      <w:rPr>
        <w:rFonts w:hint="default"/>
      </w:rPr>
    </w:lvl>
  </w:abstractNum>
  <w:abstractNum w:abstractNumId="13">
    <w:nsid w:val="EFF9EEA3"/>
    <w:multiLevelType w:val="singleLevel"/>
    <w:tmpl w:val="EFF9EEA3"/>
    <w:lvl w:ilvl="0" w:tentative="0">
      <w:start w:val="1"/>
      <w:numFmt w:val="chineseCounting"/>
      <w:suff w:val="nothing"/>
      <w:lvlText w:val="（%1）"/>
      <w:lvlJc w:val="left"/>
      <w:pPr>
        <w:ind w:left="0" w:firstLine="420"/>
      </w:pPr>
      <w:rPr>
        <w:rFonts w:hint="eastAsia"/>
      </w:rPr>
    </w:lvl>
  </w:abstractNum>
  <w:abstractNum w:abstractNumId="14">
    <w:nsid w:val="FB971D45"/>
    <w:multiLevelType w:val="singleLevel"/>
    <w:tmpl w:val="FB971D45"/>
    <w:lvl w:ilvl="0" w:tentative="0">
      <w:start w:val="1"/>
      <w:numFmt w:val="chineseCounting"/>
      <w:suff w:val="nothing"/>
      <w:lvlText w:val="%1、"/>
      <w:lvlJc w:val="left"/>
      <w:pPr>
        <w:ind w:left="0" w:firstLine="420"/>
      </w:pPr>
      <w:rPr>
        <w:rFonts w:hint="eastAsia"/>
      </w:rPr>
    </w:lvl>
  </w:abstractNum>
  <w:abstractNum w:abstractNumId="15">
    <w:nsid w:val="FDB674FB"/>
    <w:multiLevelType w:val="singleLevel"/>
    <w:tmpl w:val="FDB674FB"/>
    <w:lvl w:ilvl="0" w:tentative="0">
      <w:start w:val="1"/>
      <w:numFmt w:val="chineseCounting"/>
      <w:suff w:val="nothing"/>
      <w:lvlText w:val="（%1）"/>
      <w:lvlJc w:val="left"/>
      <w:pPr>
        <w:ind w:left="0" w:firstLine="420"/>
      </w:pPr>
      <w:rPr>
        <w:rFonts w:hint="eastAsia"/>
      </w:rPr>
    </w:lvl>
  </w:abstractNum>
  <w:abstractNum w:abstractNumId="16">
    <w:nsid w:val="035660FA"/>
    <w:multiLevelType w:val="singleLevel"/>
    <w:tmpl w:val="035660FA"/>
    <w:lvl w:ilvl="0" w:tentative="0">
      <w:start w:val="1"/>
      <w:numFmt w:val="chineseCounting"/>
      <w:suff w:val="nothing"/>
      <w:lvlText w:val="（%1）"/>
      <w:lvlJc w:val="left"/>
      <w:pPr>
        <w:ind w:left="0" w:firstLine="420"/>
      </w:pPr>
      <w:rPr>
        <w:rFonts w:hint="eastAsia"/>
      </w:rPr>
    </w:lvl>
  </w:abstractNum>
  <w:abstractNum w:abstractNumId="17">
    <w:nsid w:val="0A9BFD25"/>
    <w:multiLevelType w:val="singleLevel"/>
    <w:tmpl w:val="0A9BFD25"/>
    <w:lvl w:ilvl="0" w:tentative="0">
      <w:start w:val="1"/>
      <w:numFmt w:val="chineseCounting"/>
      <w:suff w:val="nothing"/>
      <w:lvlText w:val="（%1）"/>
      <w:lvlJc w:val="left"/>
      <w:pPr>
        <w:ind w:left="0" w:firstLine="420"/>
      </w:pPr>
      <w:rPr>
        <w:rFonts w:hint="eastAsia"/>
      </w:rPr>
    </w:lvl>
  </w:abstractNum>
  <w:abstractNum w:abstractNumId="18">
    <w:nsid w:val="206BBB96"/>
    <w:multiLevelType w:val="singleLevel"/>
    <w:tmpl w:val="206BBB96"/>
    <w:lvl w:ilvl="0" w:tentative="0">
      <w:start w:val="1"/>
      <w:numFmt w:val="chineseCounting"/>
      <w:suff w:val="nothing"/>
      <w:lvlText w:val="（%1）"/>
      <w:lvlJc w:val="left"/>
      <w:pPr>
        <w:ind w:left="0" w:firstLine="420"/>
      </w:pPr>
      <w:rPr>
        <w:rFonts w:hint="eastAsia"/>
      </w:rPr>
    </w:lvl>
  </w:abstractNum>
  <w:abstractNum w:abstractNumId="19">
    <w:nsid w:val="24863D7F"/>
    <w:multiLevelType w:val="singleLevel"/>
    <w:tmpl w:val="24863D7F"/>
    <w:lvl w:ilvl="0" w:tentative="0">
      <w:start w:val="1"/>
      <w:numFmt w:val="chineseCounting"/>
      <w:suff w:val="nothing"/>
      <w:lvlText w:val="（%1）"/>
      <w:lvlJc w:val="left"/>
      <w:pPr>
        <w:ind w:left="0" w:firstLine="420"/>
      </w:pPr>
      <w:rPr>
        <w:rFonts w:hint="eastAsia"/>
      </w:rPr>
    </w:lvl>
  </w:abstractNum>
  <w:abstractNum w:abstractNumId="20">
    <w:nsid w:val="36757400"/>
    <w:multiLevelType w:val="singleLevel"/>
    <w:tmpl w:val="36757400"/>
    <w:lvl w:ilvl="0" w:tentative="0">
      <w:start w:val="1"/>
      <w:numFmt w:val="chineseCounting"/>
      <w:suff w:val="nothing"/>
      <w:lvlText w:val="（%1）"/>
      <w:lvlJc w:val="left"/>
      <w:pPr>
        <w:ind w:left="0" w:firstLine="420"/>
      </w:pPr>
      <w:rPr>
        <w:rFonts w:hint="eastAsia"/>
      </w:rPr>
    </w:lvl>
  </w:abstractNum>
  <w:abstractNum w:abstractNumId="21">
    <w:nsid w:val="4042BA57"/>
    <w:multiLevelType w:val="singleLevel"/>
    <w:tmpl w:val="4042BA57"/>
    <w:lvl w:ilvl="0" w:tentative="0">
      <w:start w:val="1"/>
      <w:numFmt w:val="chineseCounting"/>
      <w:suff w:val="nothing"/>
      <w:lvlText w:val="（%1）"/>
      <w:lvlJc w:val="left"/>
      <w:pPr>
        <w:ind w:left="0" w:firstLine="420"/>
      </w:pPr>
      <w:rPr>
        <w:rFonts w:hint="eastAsia"/>
      </w:rPr>
    </w:lvl>
  </w:abstractNum>
  <w:abstractNum w:abstractNumId="22">
    <w:nsid w:val="46FCDFBA"/>
    <w:multiLevelType w:val="singleLevel"/>
    <w:tmpl w:val="46FCDFBA"/>
    <w:lvl w:ilvl="0" w:tentative="0">
      <w:start w:val="1"/>
      <w:numFmt w:val="chineseCounting"/>
      <w:suff w:val="nothing"/>
      <w:lvlText w:val="（%1）"/>
      <w:lvlJc w:val="left"/>
      <w:pPr>
        <w:ind w:left="0" w:firstLine="420"/>
      </w:pPr>
      <w:rPr>
        <w:rFonts w:hint="eastAsia"/>
      </w:rPr>
    </w:lvl>
  </w:abstractNum>
  <w:abstractNum w:abstractNumId="23">
    <w:nsid w:val="527D8A36"/>
    <w:multiLevelType w:val="singleLevel"/>
    <w:tmpl w:val="527D8A36"/>
    <w:lvl w:ilvl="0" w:tentative="0">
      <w:start w:val="1"/>
      <w:numFmt w:val="decimal"/>
      <w:suff w:val="nothing"/>
      <w:lvlText w:val="%1．"/>
      <w:lvlJc w:val="left"/>
      <w:pPr>
        <w:ind w:left="0" w:firstLine="400"/>
      </w:pPr>
      <w:rPr>
        <w:rFonts w:hint="default"/>
      </w:rPr>
    </w:lvl>
  </w:abstractNum>
  <w:abstractNum w:abstractNumId="24">
    <w:nsid w:val="62BE7406"/>
    <w:multiLevelType w:val="singleLevel"/>
    <w:tmpl w:val="62BE7406"/>
    <w:lvl w:ilvl="0" w:tentative="0">
      <w:start w:val="1"/>
      <w:numFmt w:val="chineseCounting"/>
      <w:suff w:val="nothing"/>
      <w:lvlText w:val="%1、"/>
      <w:lvlJc w:val="left"/>
      <w:pPr>
        <w:ind w:left="0" w:firstLine="420"/>
      </w:pPr>
      <w:rPr>
        <w:rFonts w:hint="eastAsia"/>
      </w:rPr>
    </w:lvl>
  </w:abstractNum>
  <w:abstractNum w:abstractNumId="25">
    <w:nsid w:val="64D0A07C"/>
    <w:multiLevelType w:val="singleLevel"/>
    <w:tmpl w:val="64D0A07C"/>
    <w:lvl w:ilvl="0" w:tentative="0">
      <w:start w:val="1"/>
      <w:numFmt w:val="chineseCounting"/>
      <w:suff w:val="nothing"/>
      <w:lvlText w:val="（%1）"/>
      <w:lvlJc w:val="left"/>
      <w:pPr>
        <w:ind w:left="0" w:firstLine="420"/>
      </w:pPr>
      <w:rPr>
        <w:rFonts w:hint="eastAsia"/>
      </w:rPr>
    </w:lvl>
  </w:abstractNum>
  <w:abstractNum w:abstractNumId="26">
    <w:nsid w:val="69B0FE2A"/>
    <w:multiLevelType w:val="singleLevel"/>
    <w:tmpl w:val="69B0FE2A"/>
    <w:lvl w:ilvl="0" w:tentative="0">
      <w:start w:val="1"/>
      <w:numFmt w:val="chineseCounting"/>
      <w:suff w:val="nothing"/>
      <w:lvlText w:val="（%1）"/>
      <w:lvlJc w:val="left"/>
      <w:pPr>
        <w:ind w:left="0" w:firstLine="420"/>
      </w:pPr>
      <w:rPr>
        <w:rFonts w:hint="eastAsia"/>
      </w:rPr>
    </w:lvl>
  </w:abstractNum>
  <w:abstractNum w:abstractNumId="27">
    <w:nsid w:val="782077E4"/>
    <w:multiLevelType w:val="singleLevel"/>
    <w:tmpl w:val="782077E4"/>
    <w:lvl w:ilvl="0" w:tentative="0">
      <w:start w:val="1"/>
      <w:numFmt w:val="chineseCounting"/>
      <w:suff w:val="nothing"/>
      <w:lvlText w:val="（%1）"/>
      <w:lvlJc w:val="left"/>
      <w:pPr>
        <w:ind w:left="0" w:firstLine="420"/>
      </w:pPr>
      <w:rPr>
        <w:rFonts w:hint="eastAsia"/>
      </w:rPr>
    </w:lvl>
  </w:abstractNum>
  <w:num w:numId="1">
    <w:abstractNumId w:val="11"/>
  </w:num>
  <w:num w:numId="2">
    <w:abstractNumId w:val="13"/>
  </w:num>
  <w:num w:numId="3">
    <w:abstractNumId w:val="15"/>
  </w:num>
  <w:num w:numId="4">
    <w:abstractNumId w:val="14"/>
  </w:num>
  <w:num w:numId="5">
    <w:abstractNumId w:val="16"/>
  </w:num>
  <w:num w:numId="6">
    <w:abstractNumId w:val="25"/>
  </w:num>
  <w:num w:numId="7">
    <w:abstractNumId w:val="5"/>
  </w:num>
  <w:num w:numId="8">
    <w:abstractNumId w:val="23"/>
  </w:num>
  <w:num w:numId="9">
    <w:abstractNumId w:val="4"/>
  </w:num>
  <w:num w:numId="10">
    <w:abstractNumId w:val="2"/>
  </w:num>
  <w:num w:numId="11">
    <w:abstractNumId w:val="26"/>
  </w:num>
  <w:num w:numId="12">
    <w:abstractNumId w:val="1"/>
  </w:num>
  <w:num w:numId="13">
    <w:abstractNumId w:val="19"/>
  </w:num>
  <w:num w:numId="14">
    <w:abstractNumId w:val="22"/>
  </w:num>
  <w:num w:numId="15">
    <w:abstractNumId w:val="6"/>
  </w:num>
  <w:num w:numId="16">
    <w:abstractNumId w:val="3"/>
  </w:num>
  <w:num w:numId="17">
    <w:abstractNumId w:val="0"/>
  </w:num>
  <w:num w:numId="18">
    <w:abstractNumId w:val="24"/>
  </w:num>
  <w:num w:numId="19">
    <w:abstractNumId w:val="7"/>
  </w:num>
  <w:num w:numId="20">
    <w:abstractNumId w:val="27"/>
  </w:num>
  <w:num w:numId="21">
    <w:abstractNumId w:val="8"/>
  </w:num>
  <w:num w:numId="22">
    <w:abstractNumId w:val="21"/>
  </w:num>
  <w:num w:numId="23">
    <w:abstractNumId w:val="12"/>
  </w:num>
  <w:num w:numId="24">
    <w:abstractNumId w:val="18"/>
  </w:num>
  <w:num w:numId="25">
    <w:abstractNumId w:val="9"/>
  </w:num>
  <w:num w:numId="26">
    <w:abstractNumId w:val="17"/>
  </w:num>
  <w:num w:numId="27">
    <w:abstractNumId w:val="10"/>
  </w:num>
  <w:num w:numId="28">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xZTNkYTE4MzcwZjBiNTE3ZTU5YTYxZWM3NjgzODMifQ=="/>
  </w:docVars>
  <w:rsids>
    <w:rsidRoot w:val="00172A27"/>
    <w:rsid w:val="00026014"/>
    <w:rsid w:val="00040663"/>
    <w:rsid w:val="00042D7B"/>
    <w:rsid w:val="000631CC"/>
    <w:rsid w:val="000E3F35"/>
    <w:rsid w:val="000F16F7"/>
    <w:rsid w:val="001034F8"/>
    <w:rsid w:val="00122706"/>
    <w:rsid w:val="001228AB"/>
    <w:rsid w:val="00172A27"/>
    <w:rsid w:val="00183603"/>
    <w:rsid w:val="00193939"/>
    <w:rsid w:val="0019520B"/>
    <w:rsid w:val="001C1DF0"/>
    <w:rsid w:val="001C2F1A"/>
    <w:rsid w:val="001E1CA9"/>
    <w:rsid w:val="001F2CBB"/>
    <w:rsid w:val="00244E80"/>
    <w:rsid w:val="003015FF"/>
    <w:rsid w:val="003C45C8"/>
    <w:rsid w:val="00400AB4"/>
    <w:rsid w:val="004650E7"/>
    <w:rsid w:val="0048489A"/>
    <w:rsid w:val="004B2D89"/>
    <w:rsid w:val="004C55BF"/>
    <w:rsid w:val="005262C8"/>
    <w:rsid w:val="00600ABB"/>
    <w:rsid w:val="00626E14"/>
    <w:rsid w:val="00641DE2"/>
    <w:rsid w:val="006645C7"/>
    <w:rsid w:val="006A25DE"/>
    <w:rsid w:val="00701046"/>
    <w:rsid w:val="008122D8"/>
    <w:rsid w:val="00845047"/>
    <w:rsid w:val="00873AAA"/>
    <w:rsid w:val="008A3A4F"/>
    <w:rsid w:val="008A3AA1"/>
    <w:rsid w:val="008B5CA4"/>
    <w:rsid w:val="008B7B16"/>
    <w:rsid w:val="008C2FA9"/>
    <w:rsid w:val="009F2794"/>
    <w:rsid w:val="009F3A2D"/>
    <w:rsid w:val="00A50988"/>
    <w:rsid w:val="00A6080B"/>
    <w:rsid w:val="00A7338C"/>
    <w:rsid w:val="00A97199"/>
    <w:rsid w:val="00AA3D3C"/>
    <w:rsid w:val="00AF2611"/>
    <w:rsid w:val="00B8469F"/>
    <w:rsid w:val="00B9006D"/>
    <w:rsid w:val="00BE742A"/>
    <w:rsid w:val="00C50A77"/>
    <w:rsid w:val="00C9439D"/>
    <w:rsid w:val="00CB5390"/>
    <w:rsid w:val="00D17D1C"/>
    <w:rsid w:val="00D33BD6"/>
    <w:rsid w:val="00D37AFD"/>
    <w:rsid w:val="00D41AFC"/>
    <w:rsid w:val="00D952D6"/>
    <w:rsid w:val="00DE7740"/>
    <w:rsid w:val="00DF537A"/>
    <w:rsid w:val="00E313B5"/>
    <w:rsid w:val="00E94591"/>
    <w:rsid w:val="00EA6DE8"/>
    <w:rsid w:val="00F055C4"/>
    <w:rsid w:val="00F11968"/>
    <w:rsid w:val="00F34B98"/>
    <w:rsid w:val="00F40E2D"/>
    <w:rsid w:val="00F7118D"/>
    <w:rsid w:val="00FB1C4D"/>
    <w:rsid w:val="00FC18FA"/>
    <w:rsid w:val="00FC702C"/>
    <w:rsid w:val="00FD501C"/>
    <w:rsid w:val="01037591"/>
    <w:rsid w:val="01040833"/>
    <w:rsid w:val="010F1DA1"/>
    <w:rsid w:val="011F0AC5"/>
    <w:rsid w:val="01457570"/>
    <w:rsid w:val="014852B3"/>
    <w:rsid w:val="01704002"/>
    <w:rsid w:val="01712D82"/>
    <w:rsid w:val="018A6FF4"/>
    <w:rsid w:val="01937C28"/>
    <w:rsid w:val="01A00C4B"/>
    <w:rsid w:val="01CE6639"/>
    <w:rsid w:val="01FC420F"/>
    <w:rsid w:val="01FD1632"/>
    <w:rsid w:val="020E7E2D"/>
    <w:rsid w:val="021639B2"/>
    <w:rsid w:val="0220040D"/>
    <w:rsid w:val="022B0E5C"/>
    <w:rsid w:val="022B2A65"/>
    <w:rsid w:val="023243D9"/>
    <w:rsid w:val="024261A6"/>
    <w:rsid w:val="02735D73"/>
    <w:rsid w:val="028D5DB7"/>
    <w:rsid w:val="028E2A24"/>
    <w:rsid w:val="02996E66"/>
    <w:rsid w:val="02BD34B1"/>
    <w:rsid w:val="02BD75DA"/>
    <w:rsid w:val="02CF7A3A"/>
    <w:rsid w:val="02F73DF3"/>
    <w:rsid w:val="0323389B"/>
    <w:rsid w:val="03296E81"/>
    <w:rsid w:val="032F2286"/>
    <w:rsid w:val="033C4C29"/>
    <w:rsid w:val="03577A2F"/>
    <w:rsid w:val="035E700F"/>
    <w:rsid w:val="0376100F"/>
    <w:rsid w:val="037A7E00"/>
    <w:rsid w:val="037C61D6"/>
    <w:rsid w:val="038066A7"/>
    <w:rsid w:val="038C1035"/>
    <w:rsid w:val="03B00E65"/>
    <w:rsid w:val="03D1158F"/>
    <w:rsid w:val="03D472D2"/>
    <w:rsid w:val="03D53D87"/>
    <w:rsid w:val="041651F4"/>
    <w:rsid w:val="04371904"/>
    <w:rsid w:val="043E189A"/>
    <w:rsid w:val="045234DC"/>
    <w:rsid w:val="045A13DE"/>
    <w:rsid w:val="04756378"/>
    <w:rsid w:val="047E7EEC"/>
    <w:rsid w:val="0485425D"/>
    <w:rsid w:val="04870671"/>
    <w:rsid w:val="048719B2"/>
    <w:rsid w:val="04C904B8"/>
    <w:rsid w:val="050B6631"/>
    <w:rsid w:val="054162A1"/>
    <w:rsid w:val="054D10EA"/>
    <w:rsid w:val="055A3CDD"/>
    <w:rsid w:val="05615F60"/>
    <w:rsid w:val="056F72B2"/>
    <w:rsid w:val="0575419C"/>
    <w:rsid w:val="05CC0260"/>
    <w:rsid w:val="05D62E8D"/>
    <w:rsid w:val="05F2378C"/>
    <w:rsid w:val="06281F2C"/>
    <w:rsid w:val="06460EC5"/>
    <w:rsid w:val="06563FCE"/>
    <w:rsid w:val="06587E4E"/>
    <w:rsid w:val="06693D01"/>
    <w:rsid w:val="066C37F1"/>
    <w:rsid w:val="06825903"/>
    <w:rsid w:val="068A0893"/>
    <w:rsid w:val="06B31420"/>
    <w:rsid w:val="06BD73FD"/>
    <w:rsid w:val="06D34861"/>
    <w:rsid w:val="06EA13B7"/>
    <w:rsid w:val="06F01EEF"/>
    <w:rsid w:val="06FC2DC7"/>
    <w:rsid w:val="072325B3"/>
    <w:rsid w:val="073F368F"/>
    <w:rsid w:val="07545496"/>
    <w:rsid w:val="077869E0"/>
    <w:rsid w:val="078302CB"/>
    <w:rsid w:val="08017F69"/>
    <w:rsid w:val="08362206"/>
    <w:rsid w:val="083C410F"/>
    <w:rsid w:val="08444D9F"/>
    <w:rsid w:val="08521F65"/>
    <w:rsid w:val="08654D6A"/>
    <w:rsid w:val="087354EA"/>
    <w:rsid w:val="087E03FC"/>
    <w:rsid w:val="08B1703D"/>
    <w:rsid w:val="08C94F2B"/>
    <w:rsid w:val="08D719D1"/>
    <w:rsid w:val="08F54642"/>
    <w:rsid w:val="08F667EB"/>
    <w:rsid w:val="08FA6E92"/>
    <w:rsid w:val="091031EE"/>
    <w:rsid w:val="0944714A"/>
    <w:rsid w:val="09534CAB"/>
    <w:rsid w:val="095C5C8F"/>
    <w:rsid w:val="09685EAB"/>
    <w:rsid w:val="09BE4364"/>
    <w:rsid w:val="09F27F5D"/>
    <w:rsid w:val="0A1E12A6"/>
    <w:rsid w:val="0A33204C"/>
    <w:rsid w:val="0A4505E1"/>
    <w:rsid w:val="0A481266"/>
    <w:rsid w:val="0A4C318E"/>
    <w:rsid w:val="0A8E01DA"/>
    <w:rsid w:val="0AA43F7D"/>
    <w:rsid w:val="0AB3629C"/>
    <w:rsid w:val="0AC260D6"/>
    <w:rsid w:val="0AC4440B"/>
    <w:rsid w:val="0AD10D8B"/>
    <w:rsid w:val="0AFA1C4E"/>
    <w:rsid w:val="0AFD7516"/>
    <w:rsid w:val="0B2D21CE"/>
    <w:rsid w:val="0B554854"/>
    <w:rsid w:val="0B6E3B68"/>
    <w:rsid w:val="0B701A53"/>
    <w:rsid w:val="0B7958BA"/>
    <w:rsid w:val="0B8B64C8"/>
    <w:rsid w:val="0BA064F9"/>
    <w:rsid w:val="0BBA6888"/>
    <w:rsid w:val="0BC160E5"/>
    <w:rsid w:val="0BD26275"/>
    <w:rsid w:val="0BD45F05"/>
    <w:rsid w:val="0BEC359B"/>
    <w:rsid w:val="0C004FC6"/>
    <w:rsid w:val="0C021908"/>
    <w:rsid w:val="0C236700"/>
    <w:rsid w:val="0C3E515F"/>
    <w:rsid w:val="0C5E0C94"/>
    <w:rsid w:val="0C5E1E2E"/>
    <w:rsid w:val="0C6D2071"/>
    <w:rsid w:val="0C7927C4"/>
    <w:rsid w:val="0C840344"/>
    <w:rsid w:val="0C9153AE"/>
    <w:rsid w:val="0CA6264C"/>
    <w:rsid w:val="0CAA0BCF"/>
    <w:rsid w:val="0CBB2DDD"/>
    <w:rsid w:val="0CD72AD2"/>
    <w:rsid w:val="0CE34898"/>
    <w:rsid w:val="0CEA1BC8"/>
    <w:rsid w:val="0D40644B"/>
    <w:rsid w:val="0D414C4D"/>
    <w:rsid w:val="0D5805BE"/>
    <w:rsid w:val="0D7B0A2D"/>
    <w:rsid w:val="0D9E6986"/>
    <w:rsid w:val="0DA475AD"/>
    <w:rsid w:val="0DE24882"/>
    <w:rsid w:val="0DEA2B82"/>
    <w:rsid w:val="0DED300D"/>
    <w:rsid w:val="0E1C0997"/>
    <w:rsid w:val="0E232E17"/>
    <w:rsid w:val="0E722040"/>
    <w:rsid w:val="0E796AAB"/>
    <w:rsid w:val="0E7E2314"/>
    <w:rsid w:val="0EA31D7A"/>
    <w:rsid w:val="0EBD33B9"/>
    <w:rsid w:val="0EDA0270"/>
    <w:rsid w:val="0EED3891"/>
    <w:rsid w:val="0F3975B3"/>
    <w:rsid w:val="0F3D3F7D"/>
    <w:rsid w:val="0F5A4B2F"/>
    <w:rsid w:val="0F7A2ADB"/>
    <w:rsid w:val="0F81030D"/>
    <w:rsid w:val="0F8A086D"/>
    <w:rsid w:val="0F922CF7"/>
    <w:rsid w:val="0F9301BE"/>
    <w:rsid w:val="0FA52B88"/>
    <w:rsid w:val="0FA61B22"/>
    <w:rsid w:val="0FAE2B7A"/>
    <w:rsid w:val="0FC964EC"/>
    <w:rsid w:val="0FD2032F"/>
    <w:rsid w:val="100F3B6B"/>
    <w:rsid w:val="101F3001"/>
    <w:rsid w:val="102313C5"/>
    <w:rsid w:val="10245B66"/>
    <w:rsid w:val="1062587D"/>
    <w:rsid w:val="106D0892"/>
    <w:rsid w:val="10705587"/>
    <w:rsid w:val="10A80BDB"/>
    <w:rsid w:val="10B7227A"/>
    <w:rsid w:val="10CF0F35"/>
    <w:rsid w:val="10E02E12"/>
    <w:rsid w:val="10E0510F"/>
    <w:rsid w:val="10FC5772"/>
    <w:rsid w:val="113A252E"/>
    <w:rsid w:val="113A4C18"/>
    <w:rsid w:val="117307B1"/>
    <w:rsid w:val="120D5E88"/>
    <w:rsid w:val="12130F69"/>
    <w:rsid w:val="124A05D9"/>
    <w:rsid w:val="125910CE"/>
    <w:rsid w:val="125A2B3F"/>
    <w:rsid w:val="126D4B3D"/>
    <w:rsid w:val="12755F92"/>
    <w:rsid w:val="128B1DF5"/>
    <w:rsid w:val="129D4699"/>
    <w:rsid w:val="12B91B6C"/>
    <w:rsid w:val="12B94EC3"/>
    <w:rsid w:val="12D96280"/>
    <w:rsid w:val="12EB221A"/>
    <w:rsid w:val="132B7658"/>
    <w:rsid w:val="13486FC4"/>
    <w:rsid w:val="13551FDE"/>
    <w:rsid w:val="135A0D50"/>
    <w:rsid w:val="136C3083"/>
    <w:rsid w:val="13702B73"/>
    <w:rsid w:val="137F256B"/>
    <w:rsid w:val="1381656F"/>
    <w:rsid w:val="138D61F8"/>
    <w:rsid w:val="138E2FF9"/>
    <w:rsid w:val="13B860EB"/>
    <w:rsid w:val="13BB7B66"/>
    <w:rsid w:val="13BC126E"/>
    <w:rsid w:val="13D50C28"/>
    <w:rsid w:val="13EA7AE0"/>
    <w:rsid w:val="14741DE5"/>
    <w:rsid w:val="147C212A"/>
    <w:rsid w:val="149612D5"/>
    <w:rsid w:val="14AD3953"/>
    <w:rsid w:val="14BA0BCF"/>
    <w:rsid w:val="14BA7969"/>
    <w:rsid w:val="15035456"/>
    <w:rsid w:val="152C0FBD"/>
    <w:rsid w:val="154E472D"/>
    <w:rsid w:val="1553293F"/>
    <w:rsid w:val="15687C43"/>
    <w:rsid w:val="158A0564"/>
    <w:rsid w:val="159B19FD"/>
    <w:rsid w:val="15DB043C"/>
    <w:rsid w:val="163A3342"/>
    <w:rsid w:val="163E73B6"/>
    <w:rsid w:val="16474A66"/>
    <w:rsid w:val="164F37A5"/>
    <w:rsid w:val="167A5AB7"/>
    <w:rsid w:val="16936818"/>
    <w:rsid w:val="16B807A0"/>
    <w:rsid w:val="16CA259A"/>
    <w:rsid w:val="16D004C4"/>
    <w:rsid w:val="16E3789C"/>
    <w:rsid w:val="16F91A40"/>
    <w:rsid w:val="1766702C"/>
    <w:rsid w:val="1781069F"/>
    <w:rsid w:val="179452BD"/>
    <w:rsid w:val="17A00489"/>
    <w:rsid w:val="17C214C3"/>
    <w:rsid w:val="17CE32DA"/>
    <w:rsid w:val="17D56400"/>
    <w:rsid w:val="17DF51B5"/>
    <w:rsid w:val="17F13A91"/>
    <w:rsid w:val="17FE6DF7"/>
    <w:rsid w:val="17FF2717"/>
    <w:rsid w:val="18001FC4"/>
    <w:rsid w:val="180655CB"/>
    <w:rsid w:val="18511C71"/>
    <w:rsid w:val="186E51A7"/>
    <w:rsid w:val="18700F1F"/>
    <w:rsid w:val="1871445C"/>
    <w:rsid w:val="18C63292"/>
    <w:rsid w:val="18E9147F"/>
    <w:rsid w:val="19093234"/>
    <w:rsid w:val="19103D94"/>
    <w:rsid w:val="192C09C8"/>
    <w:rsid w:val="19466842"/>
    <w:rsid w:val="19472785"/>
    <w:rsid w:val="19AC27AA"/>
    <w:rsid w:val="19B74BE3"/>
    <w:rsid w:val="19BE3F0C"/>
    <w:rsid w:val="19CC0292"/>
    <w:rsid w:val="19E41BC5"/>
    <w:rsid w:val="1A02029D"/>
    <w:rsid w:val="1A1576F4"/>
    <w:rsid w:val="1A1A0363"/>
    <w:rsid w:val="1A32226C"/>
    <w:rsid w:val="1A3C6319"/>
    <w:rsid w:val="1A41507B"/>
    <w:rsid w:val="1A7878EC"/>
    <w:rsid w:val="1A8B3B15"/>
    <w:rsid w:val="1A8F0322"/>
    <w:rsid w:val="1AB704C9"/>
    <w:rsid w:val="1AF000F5"/>
    <w:rsid w:val="1B0D0BF0"/>
    <w:rsid w:val="1B1E690C"/>
    <w:rsid w:val="1B903686"/>
    <w:rsid w:val="1B9C466C"/>
    <w:rsid w:val="1BA21E5F"/>
    <w:rsid w:val="1BD25A4D"/>
    <w:rsid w:val="1BD6553D"/>
    <w:rsid w:val="1BF754B3"/>
    <w:rsid w:val="1C0634AE"/>
    <w:rsid w:val="1C116575"/>
    <w:rsid w:val="1C1C4923"/>
    <w:rsid w:val="1C286784"/>
    <w:rsid w:val="1C2C1601"/>
    <w:rsid w:val="1C3F69E4"/>
    <w:rsid w:val="1C525A04"/>
    <w:rsid w:val="1C6840AB"/>
    <w:rsid w:val="1C7F34C7"/>
    <w:rsid w:val="1C857158"/>
    <w:rsid w:val="1CC93254"/>
    <w:rsid w:val="1CD966A1"/>
    <w:rsid w:val="1D1229BE"/>
    <w:rsid w:val="1D1D719C"/>
    <w:rsid w:val="1D7F1C04"/>
    <w:rsid w:val="1D9B6CA0"/>
    <w:rsid w:val="1DC241B1"/>
    <w:rsid w:val="1DE7265B"/>
    <w:rsid w:val="1E197963"/>
    <w:rsid w:val="1E1B5FC4"/>
    <w:rsid w:val="1E253F44"/>
    <w:rsid w:val="1E692697"/>
    <w:rsid w:val="1E7833D5"/>
    <w:rsid w:val="1E8C402A"/>
    <w:rsid w:val="1EAA105C"/>
    <w:rsid w:val="1ED02718"/>
    <w:rsid w:val="1ED33B30"/>
    <w:rsid w:val="1ED57D2E"/>
    <w:rsid w:val="1EDC635A"/>
    <w:rsid w:val="1EF26B32"/>
    <w:rsid w:val="1EF37E84"/>
    <w:rsid w:val="1F2F7577"/>
    <w:rsid w:val="1F324E20"/>
    <w:rsid w:val="1F403C04"/>
    <w:rsid w:val="1F460C2C"/>
    <w:rsid w:val="1F5A5177"/>
    <w:rsid w:val="1F910F0C"/>
    <w:rsid w:val="1F930A9A"/>
    <w:rsid w:val="1FBC33B3"/>
    <w:rsid w:val="1FC036F5"/>
    <w:rsid w:val="1FCA1455"/>
    <w:rsid w:val="1FF561AE"/>
    <w:rsid w:val="200E22A0"/>
    <w:rsid w:val="20191834"/>
    <w:rsid w:val="203A7297"/>
    <w:rsid w:val="203F2777"/>
    <w:rsid w:val="205B4263"/>
    <w:rsid w:val="205E1154"/>
    <w:rsid w:val="20615296"/>
    <w:rsid w:val="20C462AC"/>
    <w:rsid w:val="20C919E4"/>
    <w:rsid w:val="20D9162C"/>
    <w:rsid w:val="20E701EC"/>
    <w:rsid w:val="20F644A4"/>
    <w:rsid w:val="213752CF"/>
    <w:rsid w:val="218B0B78"/>
    <w:rsid w:val="219A525F"/>
    <w:rsid w:val="21B34857"/>
    <w:rsid w:val="21B60569"/>
    <w:rsid w:val="21C106D4"/>
    <w:rsid w:val="21C44D8F"/>
    <w:rsid w:val="22175855"/>
    <w:rsid w:val="22322BA7"/>
    <w:rsid w:val="224C3E87"/>
    <w:rsid w:val="22543660"/>
    <w:rsid w:val="22673393"/>
    <w:rsid w:val="227669A1"/>
    <w:rsid w:val="227E692E"/>
    <w:rsid w:val="229C0058"/>
    <w:rsid w:val="22B83BEE"/>
    <w:rsid w:val="22BB3B05"/>
    <w:rsid w:val="22F451A2"/>
    <w:rsid w:val="230A30D2"/>
    <w:rsid w:val="232079E6"/>
    <w:rsid w:val="23593283"/>
    <w:rsid w:val="23691642"/>
    <w:rsid w:val="238E0DF3"/>
    <w:rsid w:val="23A33094"/>
    <w:rsid w:val="23A93537"/>
    <w:rsid w:val="23F33055"/>
    <w:rsid w:val="23F8626D"/>
    <w:rsid w:val="24082FAE"/>
    <w:rsid w:val="241075AA"/>
    <w:rsid w:val="24190745"/>
    <w:rsid w:val="242572C0"/>
    <w:rsid w:val="242C74A1"/>
    <w:rsid w:val="246F263F"/>
    <w:rsid w:val="24A02B8C"/>
    <w:rsid w:val="24A0687F"/>
    <w:rsid w:val="24AF1021"/>
    <w:rsid w:val="24C277F1"/>
    <w:rsid w:val="24F033B3"/>
    <w:rsid w:val="24FB684C"/>
    <w:rsid w:val="251A0D7A"/>
    <w:rsid w:val="252C01BD"/>
    <w:rsid w:val="25402AA7"/>
    <w:rsid w:val="254C6EAC"/>
    <w:rsid w:val="256C2A6E"/>
    <w:rsid w:val="25727659"/>
    <w:rsid w:val="25963238"/>
    <w:rsid w:val="25A073CB"/>
    <w:rsid w:val="25BB4175"/>
    <w:rsid w:val="25C428AA"/>
    <w:rsid w:val="25CB2C8D"/>
    <w:rsid w:val="25DA0320"/>
    <w:rsid w:val="25FD1C98"/>
    <w:rsid w:val="2601406E"/>
    <w:rsid w:val="260158AC"/>
    <w:rsid w:val="261E09DD"/>
    <w:rsid w:val="26527EB6"/>
    <w:rsid w:val="266E38D2"/>
    <w:rsid w:val="26897B2F"/>
    <w:rsid w:val="26A8767C"/>
    <w:rsid w:val="26B66697"/>
    <w:rsid w:val="26D134D1"/>
    <w:rsid w:val="26DB7EAB"/>
    <w:rsid w:val="27107FD1"/>
    <w:rsid w:val="271838BD"/>
    <w:rsid w:val="275223C3"/>
    <w:rsid w:val="278A18D2"/>
    <w:rsid w:val="27B24862"/>
    <w:rsid w:val="27B51F34"/>
    <w:rsid w:val="27CB17E2"/>
    <w:rsid w:val="27CB6288"/>
    <w:rsid w:val="27D537E2"/>
    <w:rsid w:val="28125526"/>
    <w:rsid w:val="283359CE"/>
    <w:rsid w:val="2849175C"/>
    <w:rsid w:val="28795503"/>
    <w:rsid w:val="289E0FB2"/>
    <w:rsid w:val="28C93E58"/>
    <w:rsid w:val="29347086"/>
    <w:rsid w:val="29432782"/>
    <w:rsid w:val="294A756A"/>
    <w:rsid w:val="294F692F"/>
    <w:rsid w:val="29674FC6"/>
    <w:rsid w:val="2977041B"/>
    <w:rsid w:val="298A31A9"/>
    <w:rsid w:val="298E56A9"/>
    <w:rsid w:val="299F7B82"/>
    <w:rsid w:val="29A924E3"/>
    <w:rsid w:val="29C94933"/>
    <w:rsid w:val="29CE6FDF"/>
    <w:rsid w:val="29DC142C"/>
    <w:rsid w:val="2A1738F0"/>
    <w:rsid w:val="2A1A6FAA"/>
    <w:rsid w:val="2A7319B4"/>
    <w:rsid w:val="2A8A2E2B"/>
    <w:rsid w:val="2A9642F0"/>
    <w:rsid w:val="2AAD7DB1"/>
    <w:rsid w:val="2AC60D2F"/>
    <w:rsid w:val="2AD60B12"/>
    <w:rsid w:val="2AF802D2"/>
    <w:rsid w:val="2AF862F6"/>
    <w:rsid w:val="2AFF0B5D"/>
    <w:rsid w:val="2B3B187A"/>
    <w:rsid w:val="2B4E586A"/>
    <w:rsid w:val="2B676177"/>
    <w:rsid w:val="2B764612"/>
    <w:rsid w:val="2B782927"/>
    <w:rsid w:val="2B9A2F19"/>
    <w:rsid w:val="2BA1219C"/>
    <w:rsid w:val="2BA91D19"/>
    <w:rsid w:val="2BCE04BB"/>
    <w:rsid w:val="2C6E7C34"/>
    <w:rsid w:val="2C8348CD"/>
    <w:rsid w:val="2C8E338C"/>
    <w:rsid w:val="2C933131"/>
    <w:rsid w:val="2C974630"/>
    <w:rsid w:val="2CB95A14"/>
    <w:rsid w:val="2CC303D8"/>
    <w:rsid w:val="2CCD678E"/>
    <w:rsid w:val="2CD31625"/>
    <w:rsid w:val="2CF20F4C"/>
    <w:rsid w:val="2D03015C"/>
    <w:rsid w:val="2D0568E8"/>
    <w:rsid w:val="2D411324"/>
    <w:rsid w:val="2D6230D5"/>
    <w:rsid w:val="2D6730B5"/>
    <w:rsid w:val="2D683E3B"/>
    <w:rsid w:val="2D6A22D7"/>
    <w:rsid w:val="2D83304B"/>
    <w:rsid w:val="2D9B5722"/>
    <w:rsid w:val="2DB02474"/>
    <w:rsid w:val="2DB87198"/>
    <w:rsid w:val="2DF87595"/>
    <w:rsid w:val="2E2C3225"/>
    <w:rsid w:val="2E7014D8"/>
    <w:rsid w:val="2E894335"/>
    <w:rsid w:val="2EAF7625"/>
    <w:rsid w:val="2EC55F5D"/>
    <w:rsid w:val="2EE6563F"/>
    <w:rsid w:val="2EEE2746"/>
    <w:rsid w:val="2EFD53B0"/>
    <w:rsid w:val="2F043E2F"/>
    <w:rsid w:val="2F155F25"/>
    <w:rsid w:val="2F4552CD"/>
    <w:rsid w:val="2F4963D7"/>
    <w:rsid w:val="2F4A5096"/>
    <w:rsid w:val="2F541F2B"/>
    <w:rsid w:val="2F572D0F"/>
    <w:rsid w:val="2F5F3E8C"/>
    <w:rsid w:val="2F7400FC"/>
    <w:rsid w:val="2F7609EB"/>
    <w:rsid w:val="2F884C6F"/>
    <w:rsid w:val="2F8C6803"/>
    <w:rsid w:val="2F904366"/>
    <w:rsid w:val="2F964A23"/>
    <w:rsid w:val="2FB63D25"/>
    <w:rsid w:val="2FBC2844"/>
    <w:rsid w:val="2FCC6F2B"/>
    <w:rsid w:val="2FDF75FA"/>
    <w:rsid w:val="30034807"/>
    <w:rsid w:val="3015041B"/>
    <w:rsid w:val="303B0596"/>
    <w:rsid w:val="304765B2"/>
    <w:rsid w:val="306F129C"/>
    <w:rsid w:val="30890978"/>
    <w:rsid w:val="308C0433"/>
    <w:rsid w:val="30CB468F"/>
    <w:rsid w:val="30D11D91"/>
    <w:rsid w:val="30D17ADE"/>
    <w:rsid w:val="3102072B"/>
    <w:rsid w:val="312D7FBC"/>
    <w:rsid w:val="3141796D"/>
    <w:rsid w:val="315C24DC"/>
    <w:rsid w:val="315C51E2"/>
    <w:rsid w:val="31632895"/>
    <w:rsid w:val="31982EEE"/>
    <w:rsid w:val="31BF1AA9"/>
    <w:rsid w:val="31C559E0"/>
    <w:rsid w:val="31E47FFF"/>
    <w:rsid w:val="31EE7724"/>
    <w:rsid w:val="32063522"/>
    <w:rsid w:val="325810D5"/>
    <w:rsid w:val="325D1539"/>
    <w:rsid w:val="327E7808"/>
    <w:rsid w:val="329F4483"/>
    <w:rsid w:val="32A72B40"/>
    <w:rsid w:val="32BA39CF"/>
    <w:rsid w:val="32C959A4"/>
    <w:rsid w:val="32DF6F75"/>
    <w:rsid w:val="32E20814"/>
    <w:rsid w:val="32E4633A"/>
    <w:rsid w:val="331E3F7D"/>
    <w:rsid w:val="33291F9F"/>
    <w:rsid w:val="335E5CD2"/>
    <w:rsid w:val="339459F2"/>
    <w:rsid w:val="33CD6DCE"/>
    <w:rsid w:val="33D02E61"/>
    <w:rsid w:val="33EA3E24"/>
    <w:rsid w:val="33EE2C76"/>
    <w:rsid w:val="3409704A"/>
    <w:rsid w:val="344317E2"/>
    <w:rsid w:val="34582316"/>
    <w:rsid w:val="349618B6"/>
    <w:rsid w:val="34BC360E"/>
    <w:rsid w:val="34C75C72"/>
    <w:rsid w:val="34E24AFB"/>
    <w:rsid w:val="34F36D08"/>
    <w:rsid w:val="34F85693"/>
    <w:rsid w:val="35074561"/>
    <w:rsid w:val="352E7BC7"/>
    <w:rsid w:val="354D7E7A"/>
    <w:rsid w:val="35625367"/>
    <w:rsid w:val="35861753"/>
    <w:rsid w:val="358E69C6"/>
    <w:rsid w:val="35B75F88"/>
    <w:rsid w:val="35EA2D3F"/>
    <w:rsid w:val="364F5E53"/>
    <w:rsid w:val="365A7C39"/>
    <w:rsid w:val="367252E0"/>
    <w:rsid w:val="36881635"/>
    <w:rsid w:val="36A824D0"/>
    <w:rsid w:val="36A834FA"/>
    <w:rsid w:val="36C941C4"/>
    <w:rsid w:val="36CA1590"/>
    <w:rsid w:val="36D06DE0"/>
    <w:rsid w:val="36D52B69"/>
    <w:rsid w:val="36DB0B50"/>
    <w:rsid w:val="37066E9B"/>
    <w:rsid w:val="3711447D"/>
    <w:rsid w:val="372B28C9"/>
    <w:rsid w:val="375261B2"/>
    <w:rsid w:val="37737C8C"/>
    <w:rsid w:val="377F4883"/>
    <w:rsid w:val="37902480"/>
    <w:rsid w:val="37B444F6"/>
    <w:rsid w:val="380948D3"/>
    <w:rsid w:val="380D1E8F"/>
    <w:rsid w:val="381E1E61"/>
    <w:rsid w:val="38285990"/>
    <w:rsid w:val="382A4631"/>
    <w:rsid w:val="384B0206"/>
    <w:rsid w:val="386A108F"/>
    <w:rsid w:val="38865D51"/>
    <w:rsid w:val="38A735CF"/>
    <w:rsid w:val="38B72D32"/>
    <w:rsid w:val="38B907F8"/>
    <w:rsid w:val="3910317F"/>
    <w:rsid w:val="395064D7"/>
    <w:rsid w:val="396A4FBD"/>
    <w:rsid w:val="396B3C51"/>
    <w:rsid w:val="39753B47"/>
    <w:rsid w:val="39777F08"/>
    <w:rsid w:val="3987080F"/>
    <w:rsid w:val="398E5251"/>
    <w:rsid w:val="39902D86"/>
    <w:rsid w:val="39B20F40"/>
    <w:rsid w:val="39B36C87"/>
    <w:rsid w:val="3A2630EE"/>
    <w:rsid w:val="3A4C3AD8"/>
    <w:rsid w:val="3A5B1B53"/>
    <w:rsid w:val="3A622FD7"/>
    <w:rsid w:val="3A726088"/>
    <w:rsid w:val="3A744576"/>
    <w:rsid w:val="3A83350C"/>
    <w:rsid w:val="3A846FC3"/>
    <w:rsid w:val="3A8D0D1C"/>
    <w:rsid w:val="3A8D5A5A"/>
    <w:rsid w:val="3ACE7FFB"/>
    <w:rsid w:val="3AFF17A3"/>
    <w:rsid w:val="3B1662FE"/>
    <w:rsid w:val="3B2B6F6E"/>
    <w:rsid w:val="3B450A85"/>
    <w:rsid w:val="3B602C54"/>
    <w:rsid w:val="3B7420B1"/>
    <w:rsid w:val="3B790DE8"/>
    <w:rsid w:val="3B7C1525"/>
    <w:rsid w:val="3B842468"/>
    <w:rsid w:val="3B851508"/>
    <w:rsid w:val="3B9D3163"/>
    <w:rsid w:val="3BA15EE2"/>
    <w:rsid w:val="3BB24C42"/>
    <w:rsid w:val="3BBB6E14"/>
    <w:rsid w:val="3BF515B8"/>
    <w:rsid w:val="3C2D5AC6"/>
    <w:rsid w:val="3C44382F"/>
    <w:rsid w:val="3C97266F"/>
    <w:rsid w:val="3CC24098"/>
    <w:rsid w:val="3CDB671C"/>
    <w:rsid w:val="3CE45006"/>
    <w:rsid w:val="3D0E6439"/>
    <w:rsid w:val="3D167A38"/>
    <w:rsid w:val="3D1E4B3E"/>
    <w:rsid w:val="3D4A51A3"/>
    <w:rsid w:val="3D51281E"/>
    <w:rsid w:val="3D5B3AA6"/>
    <w:rsid w:val="3D7D00C7"/>
    <w:rsid w:val="3DA768E2"/>
    <w:rsid w:val="3DAA164F"/>
    <w:rsid w:val="3DBD2D59"/>
    <w:rsid w:val="3DD07BE6"/>
    <w:rsid w:val="3DE67131"/>
    <w:rsid w:val="3DEB0EC4"/>
    <w:rsid w:val="3DFB226A"/>
    <w:rsid w:val="3E0E50C0"/>
    <w:rsid w:val="3E6577EE"/>
    <w:rsid w:val="3E740EBA"/>
    <w:rsid w:val="3E74207E"/>
    <w:rsid w:val="3E8F782E"/>
    <w:rsid w:val="3EA03A5D"/>
    <w:rsid w:val="3F4975B1"/>
    <w:rsid w:val="3F7160AD"/>
    <w:rsid w:val="3F866BF1"/>
    <w:rsid w:val="3F8A45CE"/>
    <w:rsid w:val="3FBD5074"/>
    <w:rsid w:val="3FBF701F"/>
    <w:rsid w:val="3FE43E1D"/>
    <w:rsid w:val="40015512"/>
    <w:rsid w:val="40066116"/>
    <w:rsid w:val="400B4AA9"/>
    <w:rsid w:val="40167D4F"/>
    <w:rsid w:val="401A1DE7"/>
    <w:rsid w:val="403F72A5"/>
    <w:rsid w:val="404946C2"/>
    <w:rsid w:val="406C74DB"/>
    <w:rsid w:val="407B4804"/>
    <w:rsid w:val="408B6047"/>
    <w:rsid w:val="40E26143"/>
    <w:rsid w:val="40E439A9"/>
    <w:rsid w:val="40F24318"/>
    <w:rsid w:val="412D1D55"/>
    <w:rsid w:val="4140089D"/>
    <w:rsid w:val="418412BA"/>
    <w:rsid w:val="41923405"/>
    <w:rsid w:val="41BD61A2"/>
    <w:rsid w:val="41D03E27"/>
    <w:rsid w:val="41D806D2"/>
    <w:rsid w:val="42166091"/>
    <w:rsid w:val="422B5D33"/>
    <w:rsid w:val="42381D17"/>
    <w:rsid w:val="4258464E"/>
    <w:rsid w:val="42957651"/>
    <w:rsid w:val="429A1E2E"/>
    <w:rsid w:val="42D44187"/>
    <w:rsid w:val="42D504B3"/>
    <w:rsid w:val="43064E88"/>
    <w:rsid w:val="431439A6"/>
    <w:rsid w:val="431F4C7A"/>
    <w:rsid w:val="432B3B11"/>
    <w:rsid w:val="432D387E"/>
    <w:rsid w:val="435117C9"/>
    <w:rsid w:val="435A2177"/>
    <w:rsid w:val="43853221"/>
    <w:rsid w:val="43F97775"/>
    <w:rsid w:val="43FB2B0D"/>
    <w:rsid w:val="442570D8"/>
    <w:rsid w:val="445A1933"/>
    <w:rsid w:val="44775660"/>
    <w:rsid w:val="44EB5650"/>
    <w:rsid w:val="44ED759E"/>
    <w:rsid w:val="44F74ACF"/>
    <w:rsid w:val="44F94935"/>
    <w:rsid w:val="455A248C"/>
    <w:rsid w:val="45800144"/>
    <w:rsid w:val="45AD2F03"/>
    <w:rsid w:val="45D97B03"/>
    <w:rsid w:val="460E39A2"/>
    <w:rsid w:val="46115240"/>
    <w:rsid w:val="46245478"/>
    <w:rsid w:val="464473C4"/>
    <w:rsid w:val="464839B5"/>
    <w:rsid w:val="466729A4"/>
    <w:rsid w:val="467C6B42"/>
    <w:rsid w:val="46A02970"/>
    <w:rsid w:val="46B462E5"/>
    <w:rsid w:val="46B61BA1"/>
    <w:rsid w:val="46CC1565"/>
    <w:rsid w:val="46F25071"/>
    <w:rsid w:val="46FD6E99"/>
    <w:rsid w:val="47241DC7"/>
    <w:rsid w:val="475F50A3"/>
    <w:rsid w:val="47BB5E65"/>
    <w:rsid w:val="47F646ED"/>
    <w:rsid w:val="48000D06"/>
    <w:rsid w:val="48300895"/>
    <w:rsid w:val="48302173"/>
    <w:rsid w:val="484313CC"/>
    <w:rsid w:val="48457423"/>
    <w:rsid w:val="484F0157"/>
    <w:rsid w:val="48566BCE"/>
    <w:rsid w:val="48636ED0"/>
    <w:rsid w:val="48847F4B"/>
    <w:rsid w:val="48A7413B"/>
    <w:rsid w:val="48B00D40"/>
    <w:rsid w:val="48BE0C93"/>
    <w:rsid w:val="48CA464B"/>
    <w:rsid w:val="48D22B98"/>
    <w:rsid w:val="48EC13B2"/>
    <w:rsid w:val="48F6071D"/>
    <w:rsid w:val="490746D8"/>
    <w:rsid w:val="490B241B"/>
    <w:rsid w:val="4950744B"/>
    <w:rsid w:val="49532579"/>
    <w:rsid w:val="495D6746"/>
    <w:rsid w:val="496B1CD2"/>
    <w:rsid w:val="497A1DF2"/>
    <w:rsid w:val="498521CD"/>
    <w:rsid w:val="498937E6"/>
    <w:rsid w:val="49A32653"/>
    <w:rsid w:val="49CE5923"/>
    <w:rsid w:val="4A252ACF"/>
    <w:rsid w:val="4A253068"/>
    <w:rsid w:val="4A35264E"/>
    <w:rsid w:val="4A7144FF"/>
    <w:rsid w:val="4A906047"/>
    <w:rsid w:val="4AD629B0"/>
    <w:rsid w:val="4AEF1A7C"/>
    <w:rsid w:val="4AF56EDE"/>
    <w:rsid w:val="4B076C12"/>
    <w:rsid w:val="4B221C9D"/>
    <w:rsid w:val="4B6170BD"/>
    <w:rsid w:val="4B6B71A0"/>
    <w:rsid w:val="4B9428D8"/>
    <w:rsid w:val="4BD46308"/>
    <w:rsid w:val="4BD46CA0"/>
    <w:rsid w:val="4BDC67D7"/>
    <w:rsid w:val="4BE80E2D"/>
    <w:rsid w:val="4BE8122B"/>
    <w:rsid w:val="4C01447F"/>
    <w:rsid w:val="4C31118F"/>
    <w:rsid w:val="4C34778E"/>
    <w:rsid w:val="4C75114F"/>
    <w:rsid w:val="4C855413"/>
    <w:rsid w:val="4C92047A"/>
    <w:rsid w:val="4CBF247D"/>
    <w:rsid w:val="4CC42496"/>
    <w:rsid w:val="4D007DBC"/>
    <w:rsid w:val="4D0D1254"/>
    <w:rsid w:val="4D251C04"/>
    <w:rsid w:val="4D292E6F"/>
    <w:rsid w:val="4D334235"/>
    <w:rsid w:val="4D3558F3"/>
    <w:rsid w:val="4D36558C"/>
    <w:rsid w:val="4D45306C"/>
    <w:rsid w:val="4D6614CB"/>
    <w:rsid w:val="4DBE5CAD"/>
    <w:rsid w:val="4DD23507"/>
    <w:rsid w:val="4DE84AD8"/>
    <w:rsid w:val="4E252395"/>
    <w:rsid w:val="4E2875CB"/>
    <w:rsid w:val="4E2E5C98"/>
    <w:rsid w:val="4E52163B"/>
    <w:rsid w:val="4E566BD0"/>
    <w:rsid w:val="4E657B80"/>
    <w:rsid w:val="4E7A3601"/>
    <w:rsid w:val="4E8B2268"/>
    <w:rsid w:val="4E993DB0"/>
    <w:rsid w:val="4EC015B1"/>
    <w:rsid w:val="4EED40E4"/>
    <w:rsid w:val="4EFD472D"/>
    <w:rsid w:val="4F171F64"/>
    <w:rsid w:val="4F461D46"/>
    <w:rsid w:val="4F7E4CF7"/>
    <w:rsid w:val="4F9C3BC9"/>
    <w:rsid w:val="4FD25E02"/>
    <w:rsid w:val="4FD277EE"/>
    <w:rsid w:val="4FFC0D0F"/>
    <w:rsid w:val="50010825"/>
    <w:rsid w:val="501D29FE"/>
    <w:rsid w:val="5023004A"/>
    <w:rsid w:val="502C0172"/>
    <w:rsid w:val="503025A4"/>
    <w:rsid w:val="50396AAB"/>
    <w:rsid w:val="50792070"/>
    <w:rsid w:val="507E34D2"/>
    <w:rsid w:val="50AF14D1"/>
    <w:rsid w:val="50AF61DA"/>
    <w:rsid w:val="50C42272"/>
    <w:rsid w:val="50D255DA"/>
    <w:rsid w:val="50E449C6"/>
    <w:rsid w:val="50E64646"/>
    <w:rsid w:val="50EA0CAA"/>
    <w:rsid w:val="50FB2D75"/>
    <w:rsid w:val="510725D4"/>
    <w:rsid w:val="5124051D"/>
    <w:rsid w:val="51385D77"/>
    <w:rsid w:val="514E7027"/>
    <w:rsid w:val="51694182"/>
    <w:rsid w:val="516C38F3"/>
    <w:rsid w:val="51766380"/>
    <w:rsid w:val="51932FAD"/>
    <w:rsid w:val="51DA61D7"/>
    <w:rsid w:val="51EE01FE"/>
    <w:rsid w:val="51F34B83"/>
    <w:rsid w:val="51F92A85"/>
    <w:rsid w:val="520C66EB"/>
    <w:rsid w:val="524D2C93"/>
    <w:rsid w:val="524E3F98"/>
    <w:rsid w:val="52594D21"/>
    <w:rsid w:val="527C6137"/>
    <w:rsid w:val="528F1EA1"/>
    <w:rsid w:val="52A571CC"/>
    <w:rsid w:val="52A83D6D"/>
    <w:rsid w:val="52BE203F"/>
    <w:rsid w:val="52F15C3C"/>
    <w:rsid w:val="52FB705C"/>
    <w:rsid w:val="53035F03"/>
    <w:rsid w:val="530F23E4"/>
    <w:rsid w:val="531A1F99"/>
    <w:rsid w:val="53207405"/>
    <w:rsid w:val="53873BB1"/>
    <w:rsid w:val="53B61BA3"/>
    <w:rsid w:val="53D26312"/>
    <w:rsid w:val="53DD2C05"/>
    <w:rsid w:val="53E3733D"/>
    <w:rsid w:val="540D30CE"/>
    <w:rsid w:val="540D674C"/>
    <w:rsid w:val="544E58B1"/>
    <w:rsid w:val="545A2D73"/>
    <w:rsid w:val="54637DFF"/>
    <w:rsid w:val="54C811C0"/>
    <w:rsid w:val="54DA6B45"/>
    <w:rsid w:val="54DE77D2"/>
    <w:rsid w:val="54E65AEA"/>
    <w:rsid w:val="54EB6A7A"/>
    <w:rsid w:val="54FD62D4"/>
    <w:rsid w:val="550E3D93"/>
    <w:rsid w:val="551D59AF"/>
    <w:rsid w:val="55214D74"/>
    <w:rsid w:val="556164D7"/>
    <w:rsid w:val="55664827"/>
    <w:rsid w:val="55671C2C"/>
    <w:rsid w:val="559A1DFE"/>
    <w:rsid w:val="55F93865"/>
    <w:rsid w:val="562F0F30"/>
    <w:rsid w:val="56412C14"/>
    <w:rsid w:val="5666031A"/>
    <w:rsid w:val="566F58A1"/>
    <w:rsid w:val="568F1005"/>
    <w:rsid w:val="569C67A5"/>
    <w:rsid w:val="56A95ABB"/>
    <w:rsid w:val="56AD44C1"/>
    <w:rsid w:val="56B84570"/>
    <w:rsid w:val="56C05D00"/>
    <w:rsid w:val="56CD45FD"/>
    <w:rsid w:val="56D56CF0"/>
    <w:rsid w:val="5706103C"/>
    <w:rsid w:val="57182099"/>
    <w:rsid w:val="575823DC"/>
    <w:rsid w:val="575907F5"/>
    <w:rsid w:val="57686C8A"/>
    <w:rsid w:val="57717EC0"/>
    <w:rsid w:val="57A05D54"/>
    <w:rsid w:val="57BC1DF5"/>
    <w:rsid w:val="57E80B95"/>
    <w:rsid w:val="58022BAD"/>
    <w:rsid w:val="581D1822"/>
    <w:rsid w:val="585B2F03"/>
    <w:rsid w:val="586C6306"/>
    <w:rsid w:val="58A43CF2"/>
    <w:rsid w:val="58B058B2"/>
    <w:rsid w:val="58B73A25"/>
    <w:rsid w:val="58B77D99"/>
    <w:rsid w:val="58C625B2"/>
    <w:rsid w:val="58ED38EB"/>
    <w:rsid w:val="58F447DB"/>
    <w:rsid w:val="591D17C6"/>
    <w:rsid w:val="59463856"/>
    <w:rsid w:val="59737DC6"/>
    <w:rsid w:val="598629F0"/>
    <w:rsid w:val="59A94B9E"/>
    <w:rsid w:val="59B23DA0"/>
    <w:rsid w:val="59B744A0"/>
    <w:rsid w:val="59CF2FF0"/>
    <w:rsid w:val="59DC145C"/>
    <w:rsid w:val="59F67A65"/>
    <w:rsid w:val="5A072B0A"/>
    <w:rsid w:val="5A1B6236"/>
    <w:rsid w:val="5A2055FA"/>
    <w:rsid w:val="5A3A490E"/>
    <w:rsid w:val="5A533113"/>
    <w:rsid w:val="5A6A06E7"/>
    <w:rsid w:val="5A6C12D3"/>
    <w:rsid w:val="5A6E2809"/>
    <w:rsid w:val="5A714825"/>
    <w:rsid w:val="5A7857FC"/>
    <w:rsid w:val="5AAE70AA"/>
    <w:rsid w:val="5AC722E2"/>
    <w:rsid w:val="5AD07020"/>
    <w:rsid w:val="5AE353A3"/>
    <w:rsid w:val="5B0F614B"/>
    <w:rsid w:val="5B4410F1"/>
    <w:rsid w:val="5B5E63DA"/>
    <w:rsid w:val="5B7025B1"/>
    <w:rsid w:val="5B7377AF"/>
    <w:rsid w:val="5BB406F0"/>
    <w:rsid w:val="5BE91EAC"/>
    <w:rsid w:val="5BEF1517"/>
    <w:rsid w:val="5BFF72D5"/>
    <w:rsid w:val="5C2E62E7"/>
    <w:rsid w:val="5C3B139A"/>
    <w:rsid w:val="5C593EAF"/>
    <w:rsid w:val="5C6173BF"/>
    <w:rsid w:val="5C69210D"/>
    <w:rsid w:val="5CB37C8F"/>
    <w:rsid w:val="5CEE5E83"/>
    <w:rsid w:val="5D165F26"/>
    <w:rsid w:val="5D310A79"/>
    <w:rsid w:val="5D3F223B"/>
    <w:rsid w:val="5D4A34D8"/>
    <w:rsid w:val="5D5A0281"/>
    <w:rsid w:val="5D6903F9"/>
    <w:rsid w:val="5D727FC7"/>
    <w:rsid w:val="5D804D2D"/>
    <w:rsid w:val="5D972FAA"/>
    <w:rsid w:val="5DC2175C"/>
    <w:rsid w:val="5DCE143B"/>
    <w:rsid w:val="5E146C58"/>
    <w:rsid w:val="5E253D03"/>
    <w:rsid w:val="5E7F1E13"/>
    <w:rsid w:val="5E820631"/>
    <w:rsid w:val="5E9033B3"/>
    <w:rsid w:val="5E9601B1"/>
    <w:rsid w:val="5E9B7AF2"/>
    <w:rsid w:val="5EA507C4"/>
    <w:rsid w:val="5EC24ED2"/>
    <w:rsid w:val="5ED73A76"/>
    <w:rsid w:val="5EDA252D"/>
    <w:rsid w:val="5EF06C4F"/>
    <w:rsid w:val="5F141557"/>
    <w:rsid w:val="5F3A53B0"/>
    <w:rsid w:val="5F8068D2"/>
    <w:rsid w:val="5FCD1D80"/>
    <w:rsid w:val="5FD8443A"/>
    <w:rsid w:val="60182704"/>
    <w:rsid w:val="60210AA5"/>
    <w:rsid w:val="6086247B"/>
    <w:rsid w:val="60AC2B94"/>
    <w:rsid w:val="60B13100"/>
    <w:rsid w:val="60D22011"/>
    <w:rsid w:val="60D27622"/>
    <w:rsid w:val="60E229FC"/>
    <w:rsid w:val="60FF41BB"/>
    <w:rsid w:val="6108141F"/>
    <w:rsid w:val="610F72CE"/>
    <w:rsid w:val="6119000F"/>
    <w:rsid w:val="61193719"/>
    <w:rsid w:val="61652A89"/>
    <w:rsid w:val="6171346B"/>
    <w:rsid w:val="61736957"/>
    <w:rsid w:val="618446C0"/>
    <w:rsid w:val="61A12AA9"/>
    <w:rsid w:val="61BB1F59"/>
    <w:rsid w:val="61D56B81"/>
    <w:rsid w:val="61E73896"/>
    <w:rsid w:val="61F42DD9"/>
    <w:rsid w:val="61FC4B9F"/>
    <w:rsid w:val="621B5E82"/>
    <w:rsid w:val="624837BF"/>
    <w:rsid w:val="625A1031"/>
    <w:rsid w:val="625D4A96"/>
    <w:rsid w:val="626A5692"/>
    <w:rsid w:val="62755297"/>
    <w:rsid w:val="62B66AFB"/>
    <w:rsid w:val="63030933"/>
    <w:rsid w:val="6312641A"/>
    <w:rsid w:val="63352116"/>
    <w:rsid w:val="63442359"/>
    <w:rsid w:val="634A10FB"/>
    <w:rsid w:val="63500DAD"/>
    <w:rsid w:val="63974D16"/>
    <w:rsid w:val="63A64DC2"/>
    <w:rsid w:val="63AB789A"/>
    <w:rsid w:val="63D15554"/>
    <w:rsid w:val="6401502C"/>
    <w:rsid w:val="640444BC"/>
    <w:rsid w:val="641D078B"/>
    <w:rsid w:val="642B52C7"/>
    <w:rsid w:val="6443678C"/>
    <w:rsid w:val="644972CC"/>
    <w:rsid w:val="646A575D"/>
    <w:rsid w:val="647B68E6"/>
    <w:rsid w:val="648F5856"/>
    <w:rsid w:val="64C01EB3"/>
    <w:rsid w:val="64C115D9"/>
    <w:rsid w:val="653C2F90"/>
    <w:rsid w:val="654F6FCF"/>
    <w:rsid w:val="65510D5D"/>
    <w:rsid w:val="65622F6B"/>
    <w:rsid w:val="65646869"/>
    <w:rsid w:val="658B6C11"/>
    <w:rsid w:val="65901886"/>
    <w:rsid w:val="65922853"/>
    <w:rsid w:val="65D75FAE"/>
    <w:rsid w:val="65F07C88"/>
    <w:rsid w:val="65F93F17"/>
    <w:rsid w:val="661B0870"/>
    <w:rsid w:val="661F70AE"/>
    <w:rsid w:val="6626099C"/>
    <w:rsid w:val="6640216C"/>
    <w:rsid w:val="668533B4"/>
    <w:rsid w:val="669127DF"/>
    <w:rsid w:val="66AD46B9"/>
    <w:rsid w:val="66B21D89"/>
    <w:rsid w:val="66B934EE"/>
    <w:rsid w:val="6700378B"/>
    <w:rsid w:val="670C7632"/>
    <w:rsid w:val="671B5C85"/>
    <w:rsid w:val="671D35ED"/>
    <w:rsid w:val="672F4BD5"/>
    <w:rsid w:val="67655552"/>
    <w:rsid w:val="677243C5"/>
    <w:rsid w:val="67AD426A"/>
    <w:rsid w:val="67C749C6"/>
    <w:rsid w:val="67CA7D88"/>
    <w:rsid w:val="67D04C04"/>
    <w:rsid w:val="67FE3FA9"/>
    <w:rsid w:val="680E2F36"/>
    <w:rsid w:val="681A7259"/>
    <w:rsid w:val="6822727D"/>
    <w:rsid w:val="683F4431"/>
    <w:rsid w:val="6842782D"/>
    <w:rsid w:val="684D7F02"/>
    <w:rsid w:val="685B0A66"/>
    <w:rsid w:val="686B41EF"/>
    <w:rsid w:val="68B72045"/>
    <w:rsid w:val="68CD458D"/>
    <w:rsid w:val="692C6018"/>
    <w:rsid w:val="69A10F1F"/>
    <w:rsid w:val="69CA10DE"/>
    <w:rsid w:val="69E77EB4"/>
    <w:rsid w:val="6A077C02"/>
    <w:rsid w:val="6A0F7FB9"/>
    <w:rsid w:val="6A1707C7"/>
    <w:rsid w:val="6A1A3E14"/>
    <w:rsid w:val="6A394E17"/>
    <w:rsid w:val="6A4B15F0"/>
    <w:rsid w:val="6A773014"/>
    <w:rsid w:val="6A7D1EA0"/>
    <w:rsid w:val="6AB04778"/>
    <w:rsid w:val="6ABF1F6C"/>
    <w:rsid w:val="6AD12B4E"/>
    <w:rsid w:val="6AE52674"/>
    <w:rsid w:val="6AEA7C9F"/>
    <w:rsid w:val="6AEF34F2"/>
    <w:rsid w:val="6B12133F"/>
    <w:rsid w:val="6B276D3C"/>
    <w:rsid w:val="6B4355EC"/>
    <w:rsid w:val="6B563571"/>
    <w:rsid w:val="6B655563"/>
    <w:rsid w:val="6B9A71C2"/>
    <w:rsid w:val="6BA37F92"/>
    <w:rsid w:val="6BBE14D1"/>
    <w:rsid w:val="6BD21941"/>
    <w:rsid w:val="6BF6265F"/>
    <w:rsid w:val="6BFA7F30"/>
    <w:rsid w:val="6C05633C"/>
    <w:rsid w:val="6C1F0B83"/>
    <w:rsid w:val="6C226FA5"/>
    <w:rsid w:val="6C484923"/>
    <w:rsid w:val="6C493019"/>
    <w:rsid w:val="6C5E4626"/>
    <w:rsid w:val="6CB94BEC"/>
    <w:rsid w:val="6CBD325C"/>
    <w:rsid w:val="6CD209D6"/>
    <w:rsid w:val="6CD300CB"/>
    <w:rsid w:val="6CE777DA"/>
    <w:rsid w:val="6CF230C6"/>
    <w:rsid w:val="6D0B1D5B"/>
    <w:rsid w:val="6D1C78AA"/>
    <w:rsid w:val="6D4D5460"/>
    <w:rsid w:val="6D6550CD"/>
    <w:rsid w:val="6D655CEE"/>
    <w:rsid w:val="6D8C26BC"/>
    <w:rsid w:val="6DBE53FE"/>
    <w:rsid w:val="6DDE33AA"/>
    <w:rsid w:val="6DE141CD"/>
    <w:rsid w:val="6DEB00BB"/>
    <w:rsid w:val="6E060CD4"/>
    <w:rsid w:val="6E3F653F"/>
    <w:rsid w:val="6E4739D8"/>
    <w:rsid w:val="6E4E689C"/>
    <w:rsid w:val="6EA472A9"/>
    <w:rsid w:val="6EB87F35"/>
    <w:rsid w:val="6EBB0835"/>
    <w:rsid w:val="6ECF4607"/>
    <w:rsid w:val="6EDD56A0"/>
    <w:rsid w:val="6EFB5A89"/>
    <w:rsid w:val="6F401B5A"/>
    <w:rsid w:val="6F406F7B"/>
    <w:rsid w:val="6F47335F"/>
    <w:rsid w:val="6F837564"/>
    <w:rsid w:val="6F873B8C"/>
    <w:rsid w:val="6F8D32DA"/>
    <w:rsid w:val="6F947336"/>
    <w:rsid w:val="6F9C4C95"/>
    <w:rsid w:val="6FB42615"/>
    <w:rsid w:val="6FBE3493"/>
    <w:rsid w:val="6FDF0E94"/>
    <w:rsid w:val="6FE100AF"/>
    <w:rsid w:val="70074E3A"/>
    <w:rsid w:val="700853C0"/>
    <w:rsid w:val="702459EC"/>
    <w:rsid w:val="702F4391"/>
    <w:rsid w:val="705D3AD4"/>
    <w:rsid w:val="708351A3"/>
    <w:rsid w:val="708E3E56"/>
    <w:rsid w:val="70D21729"/>
    <w:rsid w:val="70E433CD"/>
    <w:rsid w:val="710F044A"/>
    <w:rsid w:val="7127261B"/>
    <w:rsid w:val="715B2707"/>
    <w:rsid w:val="71902C0D"/>
    <w:rsid w:val="71AD37BF"/>
    <w:rsid w:val="71B763EC"/>
    <w:rsid w:val="71B96608"/>
    <w:rsid w:val="71D032C9"/>
    <w:rsid w:val="71EA64B5"/>
    <w:rsid w:val="71EB1226"/>
    <w:rsid w:val="71EF2F7B"/>
    <w:rsid w:val="71F71B03"/>
    <w:rsid w:val="721D46E4"/>
    <w:rsid w:val="72996137"/>
    <w:rsid w:val="72BC4D27"/>
    <w:rsid w:val="72E476B5"/>
    <w:rsid w:val="72FA7BBE"/>
    <w:rsid w:val="73152BC1"/>
    <w:rsid w:val="73C208F7"/>
    <w:rsid w:val="73C96522"/>
    <w:rsid w:val="73CE56C6"/>
    <w:rsid w:val="73E81FED"/>
    <w:rsid w:val="73F03F5C"/>
    <w:rsid w:val="73FF52EA"/>
    <w:rsid w:val="740C0C71"/>
    <w:rsid w:val="742B3440"/>
    <w:rsid w:val="74501460"/>
    <w:rsid w:val="745B3074"/>
    <w:rsid w:val="74666E87"/>
    <w:rsid w:val="746C7962"/>
    <w:rsid w:val="74772804"/>
    <w:rsid w:val="74A72E85"/>
    <w:rsid w:val="74C755EA"/>
    <w:rsid w:val="74E331C9"/>
    <w:rsid w:val="74E41BEE"/>
    <w:rsid w:val="75090B5A"/>
    <w:rsid w:val="751C3136"/>
    <w:rsid w:val="753507D9"/>
    <w:rsid w:val="754C7BCD"/>
    <w:rsid w:val="7593125A"/>
    <w:rsid w:val="75BF54E7"/>
    <w:rsid w:val="75F714AD"/>
    <w:rsid w:val="760C122F"/>
    <w:rsid w:val="762133D1"/>
    <w:rsid w:val="763664AB"/>
    <w:rsid w:val="76417A12"/>
    <w:rsid w:val="76525D2E"/>
    <w:rsid w:val="766528BB"/>
    <w:rsid w:val="768A4C36"/>
    <w:rsid w:val="768D6ACD"/>
    <w:rsid w:val="76A271F5"/>
    <w:rsid w:val="77326787"/>
    <w:rsid w:val="773317AA"/>
    <w:rsid w:val="775708DD"/>
    <w:rsid w:val="77584D76"/>
    <w:rsid w:val="777F5BFE"/>
    <w:rsid w:val="77B52710"/>
    <w:rsid w:val="77DF4A03"/>
    <w:rsid w:val="77FF289B"/>
    <w:rsid w:val="78047FFF"/>
    <w:rsid w:val="780A1873"/>
    <w:rsid w:val="780A686C"/>
    <w:rsid w:val="78254B3E"/>
    <w:rsid w:val="78677D44"/>
    <w:rsid w:val="78857244"/>
    <w:rsid w:val="78F14A77"/>
    <w:rsid w:val="78F63C9E"/>
    <w:rsid w:val="790A6E39"/>
    <w:rsid w:val="79101DAE"/>
    <w:rsid w:val="79142376"/>
    <w:rsid w:val="793E615C"/>
    <w:rsid w:val="794669D3"/>
    <w:rsid w:val="79721169"/>
    <w:rsid w:val="7993773F"/>
    <w:rsid w:val="79AE1288"/>
    <w:rsid w:val="79C45B4A"/>
    <w:rsid w:val="79CB5F40"/>
    <w:rsid w:val="79D164E7"/>
    <w:rsid w:val="79D81362"/>
    <w:rsid w:val="79E65375"/>
    <w:rsid w:val="79F458A4"/>
    <w:rsid w:val="7A0114DA"/>
    <w:rsid w:val="7A2472DE"/>
    <w:rsid w:val="7A857153"/>
    <w:rsid w:val="7A995229"/>
    <w:rsid w:val="7AA80AB2"/>
    <w:rsid w:val="7AAD2A82"/>
    <w:rsid w:val="7AD6655A"/>
    <w:rsid w:val="7B02692A"/>
    <w:rsid w:val="7B2044E5"/>
    <w:rsid w:val="7B2E6632"/>
    <w:rsid w:val="7B617141"/>
    <w:rsid w:val="7B725D80"/>
    <w:rsid w:val="7B86107C"/>
    <w:rsid w:val="7BE65806"/>
    <w:rsid w:val="7BFC15CB"/>
    <w:rsid w:val="7C182BE5"/>
    <w:rsid w:val="7C232FFC"/>
    <w:rsid w:val="7C395444"/>
    <w:rsid w:val="7C572CA5"/>
    <w:rsid w:val="7C611ED0"/>
    <w:rsid w:val="7C6B4E62"/>
    <w:rsid w:val="7CA53A11"/>
    <w:rsid w:val="7CF81572"/>
    <w:rsid w:val="7CFC55FB"/>
    <w:rsid w:val="7D0A3AD2"/>
    <w:rsid w:val="7D1C7413"/>
    <w:rsid w:val="7D271EE3"/>
    <w:rsid w:val="7D2B75E2"/>
    <w:rsid w:val="7D6F401F"/>
    <w:rsid w:val="7D705B5B"/>
    <w:rsid w:val="7D741635"/>
    <w:rsid w:val="7DAC20BE"/>
    <w:rsid w:val="7DAE58B7"/>
    <w:rsid w:val="7DC266CD"/>
    <w:rsid w:val="7DD22D5B"/>
    <w:rsid w:val="7DD4587F"/>
    <w:rsid w:val="7DDA7B65"/>
    <w:rsid w:val="7DE13BCC"/>
    <w:rsid w:val="7DFB58B2"/>
    <w:rsid w:val="7E06136E"/>
    <w:rsid w:val="7E582D05"/>
    <w:rsid w:val="7E7D7BA8"/>
    <w:rsid w:val="7E9E3FA7"/>
    <w:rsid w:val="7EB76B5F"/>
    <w:rsid w:val="7EBB580E"/>
    <w:rsid w:val="7F1803F8"/>
    <w:rsid w:val="7F18397E"/>
    <w:rsid w:val="7F3C536E"/>
    <w:rsid w:val="7F4E1F44"/>
    <w:rsid w:val="7F6E77D4"/>
    <w:rsid w:val="7F7354F5"/>
    <w:rsid w:val="7F7678E7"/>
    <w:rsid w:val="7F7D3DC3"/>
    <w:rsid w:val="7FB34697"/>
    <w:rsid w:val="7FDD35A0"/>
    <w:rsid w:val="7FF07D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autoRedefine/>
    <w:qFormat/>
    <w:uiPriority w:val="0"/>
    <w:pPr>
      <w:jc w:val="left"/>
    </w:pPr>
  </w:style>
  <w:style w:type="paragraph" w:styleId="6">
    <w:name w:val="Body Text"/>
    <w:basedOn w:val="1"/>
    <w:next w:val="7"/>
    <w:autoRedefine/>
    <w:qFormat/>
    <w:uiPriority w:val="0"/>
    <w:pPr>
      <w:adjustRightInd w:val="0"/>
      <w:spacing w:before="100" w:after="100" w:line="300" w:lineRule="auto"/>
      <w:ind w:firstLine="1044" w:firstLineChars="200"/>
    </w:pPr>
    <w:rPr>
      <w:sz w:val="24"/>
    </w:rPr>
  </w:style>
  <w:style w:type="paragraph" w:styleId="7">
    <w:name w:val="Body Text 2"/>
    <w:basedOn w:val="1"/>
    <w:autoRedefine/>
    <w:qFormat/>
    <w:uiPriority w:val="0"/>
    <w:pPr>
      <w:spacing w:after="120" w:line="480" w:lineRule="auto"/>
    </w:pPr>
  </w:style>
  <w:style w:type="paragraph" w:styleId="8">
    <w:name w:val="footer"/>
    <w:basedOn w:val="1"/>
    <w:link w:val="26"/>
    <w:autoRedefine/>
    <w:qFormat/>
    <w:uiPriority w:val="0"/>
    <w:pPr>
      <w:tabs>
        <w:tab w:val="center" w:pos="4153"/>
        <w:tab w:val="right" w:pos="8306"/>
      </w:tabs>
      <w:snapToGrid w:val="0"/>
      <w:jc w:val="left"/>
    </w:pPr>
    <w:rPr>
      <w:sz w:val="18"/>
      <w:szCs w:val="18"/>
    </w:rPr>
  </w:style>
  <w:style w:type="paragraph" w:styleId="9">
    <w:name w:val="header"/>
    <w:basedOn w:val="1"/>
    <w:link w:val="25"/>
    <w:autoRedefine/>
    <w:qFormat/>
    <w:uiPriority w:val="0"/>
    <w:pPr>
      <w:tabs>
        <w:tab w:val="center" w:pos="4153"/>
        <w:tab w:val="right" w:pos="8306"/>
      </w:tabs>
      <w:snapToGrid w:val="0"/>
      <w:jc w:val="center"/>
    </w:pPr>
    <w:rPr>
      <w:sz w:val="18"/>
      <w:szCs w:val="18"/>
    </w:rPr>
  </w:style>
  <w:style w:type="paragraph" w:styleId="10">
    <w:name w:val="Title"/>
    <w:autoRedefine/>
    <w:qFormat/>
    <w:uiPriority w:val="0"/>
    <w:pPr>
      <w:widowControl w:val="0"/>
      <w:adjustRightInd w:val="0"/>
      <w:spacing w:before="100" w:after="100"/>
      <w:jc w:val="center"/>
    </w:pPr>
    <w:rPr>
      <w:rFonts w:ascii="Times New Roman" w:hAnsi="Times New Roman" w:eastAsia="黑体" w:cs="Times New Roman"/>
      <w:kern w:val="2"/>
      <w:sz w:val="36"/>
      <w:szCs w:val="24"/>
      <w:lang w:val="en-US" w:eastAsia="zh-CN" w:bidi="ar-SA"/>
    </w:rPr>
  </w:style>
  <w:style w:type="paragraph" w:styleId="11">
    <w:name w:val="annotation subject"/>
    <w:basedOn w:val="5"/>
    <w:next w:val="5"/>
    <w:link w:val="21"/>
    <w:autoRedefine/>
    <w:qFormat/>
    <w:uiPriority w:val="0"/>
    <w:rPr>
      <w:b/>
      <w:bCs/>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0"/>
    <w:rPr>
      <w:b/>
    </w:rPr>
  </w:style>
  <w:style w:type="character" w:styleId="16">
    <w:name w:val="annotation reference"/>
    <w:basedOn w:val="14"/>
    <w:autoRedefine/>
    <w:qFormat/>
    <w:uiPriority w:val="0"/>
    <w:rPr>
      <w:sz w:val="21"/>
      <w:szCs w:val="21"/>
    </w:rPr>
  </w:style>
  <w:style w:type="character" w:customStyle="1" w:styleId="17">
    <w:name w:val="font51"/>
    <w:basedOn w:val="14"/>
    <w:autoRedefine/>
    <w:qFormat/>
    <w:uiPriority w:val="0"/>
    <w:rPr>
      <w:rFonts w:hint="eastAsia" w:ascii="方正仿宋_GBK" w:hAnsi="方正仿宋_GBK" w:eastAsia="方正仿宋_GBK" w:cs="方正仿宋_GBK"/>
      <w:b/>
      <w:bCs/>
      <w:color w:val="000000"/>
      <w:sz w:val="16"/>
      <w:szCs w:val="16"/>
      <w:u w:val="none"/>
    </w:rPr>
  </w:style>
  <w:style w:type="paragraph" w:styleId="18">
    <w:name w:val="List Paragraph"/>
    <w:basedOn w:val="1"/>
    <w:autoRedefine/>
    <w:unhideWhenUsed/>
    <w:qFormat/>
    <w:uiPriority w:val="99"/>
    <w:pPr>
      <w:ind w:firstLine="420" w:firstLineChars="200"/>
    </w:pPr>
  </w:style>
  <w:style w:type="paragraph" w:customStyle="1" w:styleId="19">
    <w:name w:val="修订1"/>
    <w:autoRedefine/>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0">
    <w:name w:val="批注文字 字符"/>
    <w:basedOn w:val="14"/>
    <w:link w:val="5"/>
    <w:autoRedefine/>
    <w:qFormat/>
    <w:uiPriority w:val="0"/>
    <w:rPr>
      <w:rFonts w:asciiTheme="minorHAnsi" w:hAnsiTheme="minorHAnsi" w:eastAsiaTheme="minorEastAsia" w:cstheme="minorBidi"/>
      <w:kern w:val="2"/>
      <w:sz w:val="21"/>
      <w:szCs w:val="24"/>
    </w:rPr>
  </w:style>
  <w:style w:type="character" w:customStyle="1" w:styleId="21">
    <w:name w:val="批注主题 字符"/>
    <w:basedOn w:val="20"/>
    <w:link w:val="11"/>
    <w:autoRedefine/>
    <w:qFormat/>
    <w:uiPriority w:val="0"/>
    <w:rPr>
      <w:rFonts w:asciiTheme="minorHAnsi" w:hAnsiTheme="minorHAnsi" w:eastAsiaTheme="minorEastAsia" w:cstheme="minorBidi"/>
      <w:b/>
      <w:bCs/>
      <w:kern w:val="2"/>
      <w:sz w:val="21"/>
      <w:szCs w:val="24"/>
    </w:rPr>
  </w:style>
  <w:style w:type="character" w:customStyle="1" w:styleId="22">
    <w:name w:val="font41"/>
    <w:basedOn w:val="14"/>
    <w:autoRedefine/>
    <w:qFormat/>
    <w:uiPriority w:val="0"/>
    <w:rPr>
      <w:rFonts w:hint="eastAsia" w:ascii="宋体" w:hAnsi="宋体" w:eastAsia="宋体" w:cs="宋体"/>
      <w:color w:val="000000"/>
      <w:sz w:val="20"/>
      <w:szCs w:val="20"/>
      <w:u w:val="none"/>
    </w:rPr>
  </w:style>
  <w:style w:type="paragraph" w:customStyle="1" w:styleId="23">
    <w:name w:val="修订2"/>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24">
    <w:name w:val="修订3"/>
    <w:autoRedefine/>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5">
    <w:name w:val="页眉 字符"/>
    <w:basedOn w:val="14"/>
    <w:link w:val="9"/>
    <w:autoRedefine/>
    <w:qFormat/>
    <w:uiPriority w:val="0"/>
    <w:rPr>
      <w:rFonts w:asciiTheme="minorHAnsi" w:hAnsiTheme="minorHAnsi" w:eastAsiaTheme="minorEastAsia" w:cstheme="minorBidi"/>
      <w:kern w:val="2"/>
      <w:sz w:val="18"/>
      <w:szCs w:val="18"/>
    </w:rPr>
  </w:style>
  <w:style w:type="character" w:customStyle="1" w:styleId="26">
    <w:name w:val="页脚 字符"/>
    <w:basedOn w:val="14"/>
    <w:link w:val="8"/>
    <w:autoRedefine/>
    <w:qFormat/>
    <w:uiPriority w:val="0"/>
    <w:rPr>
      <w:rFonts w:asciiTheme="minorHAnsi" w:hAnsiTheme="minorHAnsi" w:eastAsiaTheme="minorEastAsia" w:cstheme="minorBidi"/>
      <w:kern w:val="2"/>
      <w:sz w:val="18"/>
      <w:szCs w:val="18"/>
    </w:rPr>
  </w:style>
  <w:style w:type="character" w:customStyle="1" w:styleId="27">
    <w:name w:val="font31"/>
    <w:basedOn w:val="14"/>
    <w:autoRedefine/>
    <w:qFormat/>
    <w:uiPriority w:val="0"/>
    <w:rPr>
      <w:rFonts w:hint="eastAsia" w:ascii="仿宋" w:hAnsi="仿宋" w:eastAsia="仿宋" w:cs="仿宋"/>
      <w:b/>
      <w:bCs/>
      <w:color w:val="000000"/>
      <w:sz w:val="20"/>
      <w:szCs w:val="20"/>
      <w:u w:val="none"/>
    </w:rPr>
  </w:style>
  <w:style w:type="character" w:customStyle="1" w:styleId="28">
    <w:name w:val="font81"/>
    <w:basedOn w:val="14"/>
    <w:autoRedefine/>
    <w:qFormat/>
    <w:uiPriority w:val="0"/>
    <w:rPr>
      <w:rFonts w:hint="eastAsia" w:ascii="仿宋" w:hAnsi="仿宋" w:eastAsia="仿宋" w:cs="仿宋"/>
      <w:b/>
      <w:bCs/>
      <w:color w:val="000000"/>
      <w:sz w:val="18"/>
      <w:szCs w:val="18"/>
      <w:u w:val="none"/>
    </w:rPr>
  </w:style>
  <w:style w:type="character" w:customStyle="1" w:styleId="29">
    <w:name w:val="font91"/>
    <w:basedOn w:val="14"/>
    <w:autoRedefine/>
    <w:qFormat/>
    <w:uiPriority w:val="0"/>
    <w:rPr>
      <w:rFonts w:ascii="Microsoft YaHei UI" w:hAnsi="Microsoft YaHei UI" w:eastAsia="Microsoft YaHei UI" w:cs="Microsoft YaHei UI"/>
      <w:color w:val="000000"/>
      <w:sz w:val="18"/>
      <w:szCs w:val="18"/>
      <w:u w:val="none"/>
    </w:rPr>
  </w:style>
  <w:style w:type="character" w:customStyle="1" w:styleId="30">
    <w:name w:val="font11"/>
    <w:basedOn w:val="14"/>
    <w:autoRedefine/>
    <w:qFormat/>
    <w:uiPriority w:val="0"/>
    <w:rPr>
      <w:rFonts w:hint="eastAsia" w:ascii="宋体" w:hAnsi="宋体" w:eastAsia="宋体" w:cs="宋体"/>
      <w:color w:val="000000"/>
      <w:sz w:val="20"/>
      <w:szCs w:val="20"/>
      <w:u w:val="none"/>
    </w:rPr>
  </w:style>
  <w:style w:type="character" w:customStyle="1" w:styleId="31">
    <w:name w:val="font12"/>
    <w:basedOn w:val="14"/>
    <w:autoRedefine/>
    <w:qFormat/>
    <w:uiPriority w:val="0"/>
    <w:rPr>
      <w:rFonts w:hint="eastAsia" w:ascii="宋体" w:hAnsi="宋体" w:eastAsia="宋体" w:cs="宋体"/>
      <w:color w:val="000000"/>
      <w:sz w:val="20"/>
      <w:szCs w:val="20"/>
      <w:u w:val="none"/>
    </w:rPr>
  </w:style>
  <w:style w:type="character" w:customStyle="1" w:styleId="32">
    <w:name w:val="font61"/>
    <w:basedOn w:val="14"/>
    <w:autoRedefine/>
    <w:qFormat/>
    <w:uiPriority w:val="0"/>
    <w:rPr>
      <w:rFonts w:hint="eastAsia" w:ascii="宋体" w:hAnsi="宋体" w:eastAsia="宋体" w:cs="宋体"/>
      <w:color w:val="000000"/>
      <w:sz w:val="16"/>
      <w:szCs w:val="16"/>
      <w:u w:val="none"/>
    </w:rPr>
  </w:style>
  <w:style w:type="character" w:customStyle="1" w:styleId="33">
    <w:name w:val="font21"/>
    <w:basedOn w:val="14"/>
    <w:autoRedefine/>
    <w:qFormat/>
    <w:uiPriority w:val="0"/>
    <w:rPr>
      <w:rFonts w:hint="eastAsia" w:ascii="仿宋" w:hAnsi="仿宋" w:eastAsia="仿宋" w:cs="仿宋"/>
      <w:color w:val="000000"/>
      <w:sz w:val="21"/>
      <w:szCs w:val="21"/>
      <w:u w:val="none"/>
    </w:rPr>
  </w:style>
  <w:style w:type="paragraph" w:customStyle="1" w:styleId="34">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C11EA7-E2CD-4C34-8E20-3D9C521DF597}">
  <ds:schemaRefs/>
</ds:datastoreItem>
</file>

<file path=docProps/app.xml><?xml version="1.0" encoding="utf-8"?>
<Properties xmlns="http://schemas.openxmlformats.org/officeDocument/2006/extended-properties" xmlns:vt="http://schemas.openxmlformats.org/officeDocument/2006/docPropsVTypes">
  <Template>Normal</Template>
  <Pages>65</Pages>
  <Words>7510</Words>
  <Characters>7860</Characters>
  <Lines>4617</Lines>
  <Paragraphs>3737</Paragraphs>
  <TotalTime>7</TotalTime>
  <ScaleCrop>false</ScaleCrop>
  <LinksUpToDate>false</LinksUpToDate>
  <CharactersWithSpaces>7875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2026-04-25T16:04:00Z</dcterms:created>
  <dc:creator>陈林昕</dc:creator>
  <cp:lastModifiedBy>xys</cp:lastModifiedBy>
  <cp:lastPrinted>2026-05-18T10:24:00Z</cp:lastPrinted>
  <dcterms:modified xsi:type="dcterms:W3CDTF">2026-05-20T08:56:58Z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955FA3EE37B94486BF617104C2B336E0_13</vt:lpwstr>
  </property>
  <property fmtid="{D5CDD505-2E9C-101B-9397-08002B2CF9AE}" pid="4" name="KSOTemplateDocerSaveRecord">
    <vt:lpwstr>eyJoZGlkIjoiMzg0YTQxMmM1Yzc0ODUyODg1ZDhlZDM0MWNhMDRlMDIiLCJ1c2VySWQiOiI0NTUwMzUzNDcifQ==</vt:lpwstr>
  </property>
</Properties>
</file>