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440001-2025-48942</w:t>
      </w:r>
    </w:p>
    <w:p>
      <w:pPr>
        <w:pStyle w:val="null3"/>
        <w:jc w:val="center"/>
        <w:outlineLvl w:val="3"/>
      </w:pPr>
      <w:r>
        <w:rPr>
          <w:sz w:val="24"/>
          <w:b/>
        </w:rPr>
        <w:t>采购项目编号：</w:t>
      </w:r>
      <w:r>
        <w:rPr>
          <w:sz w:val="24"/>
          <w:b/>
        </w:rPr>
        <w:t>0724-2511Z1617974</w:t>
      </w:r>
    </w:p>
    <w:p>
      <w:pPr>
        <w:pStyle w:val="null3"/>
        <w:jc w:val="center"/>
        <w:outlineLvl w:val="3"/>
      </w:pPr>
      <w:r>
        <w:rPr>
          <w:sz w:val="24"/>
          <w:b/>
        </w:rPr>
        <w:t>项目名称：</w:t>
      </w:r>
      <w:r>
        <w:rPr>
          <w:sz w:val="24"/>
          <w:b/>
        </w:rPr>
        <w:t>广东省生殖科学研究所（广东省生殖医院）门诊无纸化、自助入出院和电子签名建设采购项目</w:t>
      </w:r>
    </w:p>
    <w:p>
      <w:pPr>
        <w:pStyle w:val="null3"/>
        <w:jc w:val="center"/>
        <w:outlineLvl w:val="3"/>
      </w:pPr>
      <w:r>
        <w:rPr>
          <w:sz w:val="24"/>
          <w:b/>
        </w:rPr>
        <w:t>采购人：</w:t>
      </w:r>
      <w:r>
        <w:rPr>
          <w:sz w:val="24"/>
          <w:b/>
        </w:rPr>
        <w:t>广东省生殖科学研究所（广东省生殖医院）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广东省生殖科学研究所（广东省生殖医院）</w:t>
      </w:r>
      <w:r>
        <w:rPr/>
        <w:t>的委托，采用</w:t>
      </w:r>
      <w:r>
        <w:rPr/>
        <w:t>公开招标</w:t>
      </w:r>
      <w:r>
        <w:rPr/>
        <w:t>方式组织采购</w:t>
      </w:r>
      <w:r>
        <w:rPr/>
        <w:t>广东省生殖科学研究所（广东省生殖医院）门诊无纸化、自助入出院和电子签名建设采购项目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广东省生殖科学研究所（广东省生殖医院）门诊无纸化、自助入出院和电子签名建设采购项目</w:t>
      </w:r>
    </w:p>
    <w:p>
      <w:pPr>
        <w:pStyle w:val="null3"/>
        <w:ind w:firstLine="480"/>
      </w:pPr>
      <w:r>
        <w:rPr/>
        <w:t>采购计划编号：</w:t>
      </w:r>
      <w:r>
        <w:rPr/>
        <w:t>440001-2025-48942</w:t>
      </w:r>
    </w:p>
    <w:p>
      <w:pPr>
        <w:pStyle w:val="null3"/>
        <w:ind w:firstLine="480"/>
      </w:pPr>
      <w:r>
        <w:rPr/>
        <w:t>采购项目编号：</w:t>
      </w:r>
      <w:r>
        <w:rPr/>
        <w:t>0724-2511Z1617974</w:t>
      </w:r>
    </w:p>
    <w:p>
      <w:pPr>
        <w:pStyle w:val="null3"/>
        <w:ind w:firstLine="480"/>
      </w:pPr>
      <w:r>
        <w:rPr/>
        <w:t>采购方式：</w:t>
      </w:r>
      <w:r>
        <w:rPr/>
        <w:t>公开招标</w:t>
      </w:r>
    </w:p>
    <w:p>
      <w:pPr>
        <w:pStyle w:val="null3"/>
        <w:ind w:firstLine="480"/>
      </w:pPr>
      <w:r>
        <w:rPr/>
        <w:t>预算金额：</w:t>
      </w:r>
      <w:r>
        <w:rPr/>
        <w:t>2,600,000.00</w:t>
      </w:r>
      <w:r>
        <w:rPr/>
        <w:t>元</w:t>
      </w:r>
    </w:p>
    <w:p>
      <w:pPr>
        <w:pStyle w:val="null3"/>
        <w:outlineLvl w:val="3"/>
      </w:pPr>
      <w:r>
        <w:rPr>
          <w:sz w:val="24"/>
          <w:b/>
        </w:rPr>
        <w:t>2.项目内容及需求情况（采购项目技术规格、参数及要求）</w:t>
      </w:r>
    </w:p>
    <w:p>
      <w:pPr>
        <w:pStyle w:val="null3"/>
      </w:pPr>
      <w:r>
        <w:rPr/>
        <w:t>采购包1(门诊无纸化、自助入出院和电子签名建设):</w:t>
      </w:r>
    </w:p>
    <w:p>
      <w:pPr>
        <w:pStyle w:val="null3"/>
      </w:pPr>
      <w:r>
        <w:rPr/>
        <w:t>采购包预算金额：2,600,000.00元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行业应用软件开发服务</w:t>
            </w:r>
          </w:p>
        </w:tc>
        <w:tc>
          <w:tcPr>
            <w:tcW w:type="dxa" w:w="2052"/>
          </w:tcPr>
          <w:p>
            <w:pPr>
              <w:pStyle w:val="null3"/>
            </w:pPr>
            <w:r>
              <w:rPr/>
              <w:t>门诊无纸化、自助入出院和电子签名建设</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合同履行期限：自签订合同之日至合同约定的权利义务履行完毕。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4）履行合同所必需的设备和专业技术能力：履行合同所必需的设备和专业技术能力证明文件或书面声明。</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采购包1（门诊无纸化、自助入出院和电子签名建设）：</w:t>
      </w:r>
      <w:r>
        <w:rPr/>
        <w:t>本项目不属于专门面向中小微企业采购的项目。</w:t>
      </w:r>
    </w:p>
    <w:p>
      <w:pPr>
        <w:pStyle w:val="null3"/>
        <w:outlineLvl w:val="3"/>
      </w:pPr>
      <w:r>
        <w:rPr>
          <w:sz w:val="24"/>
          <w:b/>
        </w:rPr>
        <w:t>3.本项目特定的资格要求：</w:t>
      </w:r>
    </w:p>
    <w:p>
      <w:pPr>
        <w:pStyle w:val="null3"/>
      </w:pPr>
      <w:r>
        <w:rPr/>
        <w:t>采购包1（门诊无纸化、自助入出院和电子签名建设）：</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为采购项目提供整体设计、规范编制或者项目管理、监理、检测等服务的供应商，不得再参加该采购项目的其他采购活动。（提供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广东省生殖科学研究所（广东省生殖医院）</w:t>
      </w:r>
    </w:p>
    <w:p>
      <w:pPr>
        <w:pStyle w:val="null3"/>
        <w:ind w:firstLine="480"/>
      </w:pPr>
      <w:r>
        <w:rPr/>
        <w:t xml:space="preserve"> 地址：</w:t>
      </w:r>
      <w:r>
        <w:rPr/>
        <w:t>广州市越秀区梅东路17号</w:t>
      </w:r>
    </w:p>
    <w:p>
      <w:pPr>
        <w:pStyle w:val="null3"/>
        <w:ind w:firstLine="480"/>
      </w:pPr>
      <w:r>
        <w:rPr/>
        <w:t xml:space="preserve"> 联系方式：</w:t>
      </w:r>
      <w:r>
        <w:rPr/>
        <w:t>020-87693502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020-37860557/020-37861065</w:t>
      </w:r>
    </w:p>
    <w:p>
      <w:pPr>
        <w:pStyle w:val="null3"/>
        <w:outlineLvl w:val="3"/>
      </w:pPr>
      <w:r>
        <w:rPr>
          <w:sz w:val="24"/>
          <w:b/>
        </w:rPr>
        <w:t xml:space="preserve"> 3.项目联系方式</w:t>
      </w:r>
    </w:p>
    <w:p>
      <w:pPr>
        <w:pStyle w:val="null3"/>
        <w:ind w:firstLine="480"/>
      </w:pPr>
      <w:r>
        <w:rPr/>
        <w:t xml:space="preserve"> 项目联系人：</w:t>
      </w:r>
      <w:r>
        <w:rPr/>
        <w:t>陈超、林程宏、赵亮</w:t>
      </w:r>
    </w:p>
    <w:p>
      <w:pPr>
        <w:pStyle w:val="null3"/>
        <w:ind w:firstLine="480"/>
      </w:pPr>
      <w:r>
        <w:rPr/>
        <w:t xml:space="preserve"> 电话：</w:t>
      </w:r>
      <w:r>
        <w:rPr/>
        <w:t>020-37860557/020-37861065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345"/>
        <w:tblBorders>
          <w:top w:val="none" w:color="000000" w:sz="4"/>
          <w:left w:val="none" w:color="000000" w:sz="4"/>
          <w:bottom w:val="none" w:color="000000" w:sz="4"/>
          <w:right w:val="none" w:color="000000" w:sz="4"/>
          <w:insideH w:val="none"/>
          <w:insideV w:val="none"/>
        </w:tblBorders>
      </w:tblPr>
      <w:tblGrid>
        <w:gridCol w:w="3180"/>
        <w:gridCol w:w="1800"/>
        <w:gridCol w:w="2625"/>
      </w:tblGrid>
      <w:tr>
        <w:tc>
          <w:tcPr>
            <w:tcW w:type="dxa" w:w="3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r>
              <w:rPr>
                <w:sz w:val="21"/>
              </w:rPr>
              <w:t>(人民币/元)</w:t>
            </w:r>
          </w:p>
        </w:tc>
      </w:tr>
      <w:tr>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门诊无纸化、自助入出院和电子签名建设</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2,600,000.00</w:t>
            </w:r>
          </w:p>
        </w:tc>
      </w:tr>
    </w:tbl>
    <w:p>
      <w:pPr>
        <w:pStyle w:val="null3"/>
        <w:ind w:firstLine="480"/>
        <w:jc w:val="both"/>
      </w:pPr>
      <w:r>
        <w:rPr>
          <w:sz w:val="21"/>
        </w:rPr>
        <w:t>详细技术规范请参阅招标文件中的用户需求书。投标人必须对本项目内全部内容进行投标报价，如有缺漏，将导致投标无效。如投标报价超出最高限价，将导致投标无效。</w:t>
      </w:r>
    </w:p>
    <w:p>
      <w:pPr>
        <w:pStyle w:val="null3"/>
        <w:ind w:firstLine="480"/>
        <w:jc w:val="both"/>
      </w:pPr>
      <w:r>
        <w:rPr>
          <w:sz w:val="21"/>
        </w:rPr>
        <w:t>本项目采购本国服务。</w:t>
      </w:r>
    </w:p>
    <w:p>
      <w:pPr>
        <w:pStyle w:val="null3"/>
        <w:ind w:firstLine="480"/>
        <w:jc w:val="both"/>
      </w:pPr>
      <w:r>
        <w:rPr>
          <w:sz w:val="21"/>
        </w:rPr>
        <w:t>2</w:t>
      </w:r>
      <w:r>
        <w:rPr>
          <w:sz w:val="21"/>
        </w:rPr>
        <w:t>．需要落实的政府采购政策：《关于进一步加大政府采购支持中小企业力度的通知》（财库〔</w:t>
      </w:r>
      <w:r>
        <w:rPr>
          <w:sz w:val="21"/>
        </w:rPr>
        <w:t>2022</w:t>
      </w:r>
      <w:r>
        <w:rPr>
          <w:sz w:val="21"/>
        </w:rPr>
        <w:t>〕</w:t>
      </w:r>
      <w:r>
        <w:rPr>
          <w:sz w:val="21"/>
        </w:rPr>
        <w:t>19</w:t>
      </w:r>
      <w:r>
        <w:rPr>
          <w:sz w:val="21"/>
        </w:rPr>
        <w:t>号）、《政府采购促进中小企业发展管理办法》（财库〔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w:t>
      </w:r>
      <w:r>
        <w:rPr>
          <w:sz w:val="21"/>
        </w:rPr>
        <w:t>2014</w:t>
      </w:r>
      <w:r>
        <w:rPr>
          <w:sz w:val="21"/>
        </w:rPr>
        <w:t>〕</w:t>
      </w:r>
      <w:r>
        <w:rPr>
          <w:sz w:val="21"/>
        </w:rPr>
        <w:t>68</w:t>
      </w:r>
      <w:r>
        <w:rPr>
          <w:sz w:val="21"/>
        </w:rPr>
        <w:t>号</w:t>
      </w:r>
      <w:r>
        <w:rPr>
          <w:sz w:val="21"/>
        </w:rPr>
        <w:t>）、《关于促进残疾人就业政府采购政策的通知》（财库〔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采购包1（门诊无纸化、自助入出院和电子签名建设）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合同签订后8个月内完成系统的上线使用。</w:t>
            </w:r>
          </w:p>
        </w:tc>
      </w:tr>
      <w:tr>
        <w:tc>
          <w:tcPr>
            <w:tcW w:type="dxa" w:w="4153"/>
          </w:tcPr>
          <w:p>
            <w:pPr>
              <w:pStyle w:val="null3"/>
            </w:pPr>
            <w:r>
              <w:rPr/>
              <w:t>标的提供的地点</w:t>
            </w:r>
          </w:p>
        </w:tc>
        <w:tc>
          <w:tcPr>
            <w:tcW w:type="dxa" w:w="4153"/>
          </w:tcPr>
          <w:p>
            <w:pPr>
              <w:pStyle w:val="null3"/>
            </w:pPr>
            <w:r>
              <w:rPr/>
              <w:t>广东省生殖科学研究所（广东省生殖医院）</w:t>
            </w:r>
          </w:p>
        </w:tc>
      </w:tr>
      <w:tr>
        <w:tc>
          <w:tcPr>
            <w:tcW w:type="dxa" w:w="4153"/>
          </w:tcPr>
          <w:p>
            <w:pPr>
              <w:pStyle w:val="null3"/>
            </w:pPr>
            <w:r>
              <w:rPr/>
              <w:t>付款方式</w:t>
            </w:r>
          </w:p>
        </w:tc>
        <w:tc>
          <w:tcPr>
            <w:tcW w:type="dxa" w:w="4153"/>
          </w:tcPr>
          <w:p>
            <w:pPr>
              <w:pStyle w:val="null3"/>
            </w:pPr>
            <w:r>
              <w:rPr/>
              <w:t>1期：支付比例50%,合同签订生效后，采购人收到中标供应商开具的正式发票后15日内支付合同款的50%。</w:t>
            </w:r>
          </w:p>
          <w:p>
            <w:pPr>
              <w:pStyle w:val="null3"/>
            </w:pPr>
            <w:r>
              <w:rPr/>
              <w:t>2期：支付比例50%,项目验收合格后30个工作日内支付合同款的50%。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满足确保系统正常运行所需的管理、运营及维护有关的全套技术文件。技术文件交付电子版本，内容应包括但不限于以下文件：需求说明书、测试报告、用户手册、用户培训计划、会议记录和开发进度月报等。 （2）项目上线运行稳定后，中标人可向采购人申请验收，采购人应在收到中标人验收请求后7天内启动验收，成立验收小组，组织验收，出具验收报告。中标人应在验收过程中积极提供协助。</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 xml:space="preserve"> 招标文件附件，投标人应将招标公告的招标文件附件中“补充附件”内容填写好相关信息后附在投标文件。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门诊无纸化、自助入出院和电子签名建设</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2,600,000.00</w:t>
            </w:r>
          </w:p>
        </w:tc>
        <w:tc>
          <w:tcPr>
            <w:tcW w:type="dxa" w:w="933"/>
          </w:tcPr>
          <w:p>
            <w:pPr>
              <w:pStyle w:val="null3"/>
              <w:jc w:val="right"/>
            </w:pPr>
            <w:r>
              <w:rPr/>
              <w:t>2,600,000.00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门诊无纸化、自助入出院和电子签名建设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w:t>
            </w:r>
            <w:r>
              <w:rPr>
                <w:sz w:val="21"/>
              </w:rPr>
              <w:t>1、</w:t>
            </w:r>
            <w:r>
              <w:rPr>
                <w:sz w:val="21"/>
              </w:rPr>
              <w:t>总体要求：</w:t>
            </w:r>
            <w:r>
              <w:rPr>
                <w:sz w:val="21"/>
              </w:rPr>
              <w:t>投标人须</w:t>
            </w:r>
            <w:r>
              <w:rPr>
                <w:sz w:val="21"/>
              </w:rPr>
              <w:t>对采购人现有</w:t>
            </w:r>
            <w:r>
              <w:rPr>
                <w:sz w:val="21"/>
              </w:rPr>
              <w:t>HIS、EMR信息系统的数据进行充分利用、迁移，承诺本次建设内容在符合用户操作及使用习惯基础上对历史数据清洗、沿用、迁移。（投标人提供承诺函，格式自拟）</w:t>
            </w:r>
          </w:p>
        </w:tc>
      </w:tr>
      <w:tr>
        <w:tc>
          <w:tcPr>
            <w:tcW w:type="dxa" w:w="2076"/>
          </w:tcPr>
          <w:p/>
        </w:tc>
        <w:tc>
          <w:tcPr>
            <w:tcW w:type="dxa" w:w="415"/>
          </w:tcPr>
          <w:p>
            <w:pPr>
              <w:pStyle w:val="null3"/>
            </w:pPr>
            <w:r>
              <w:rPr/>
              <w:t>2</w:t>
            </w:r>
          </w:p>
        </w:tc>
        <w:tc>
          <w:tcPr>
            <w:tcW w:type="dxa" w:w="5814"/>
          </w:tcPr>
          <w:p>
            <w:pPr>
              <w:pStyle w:val="null3"/>
              <w:jc w:val="both"/>
            </w:pPr>
            <w:r>
              <w:rPr>
                <w:sz w:val="21"/>
              </w:rPr>
              <w:t>一、</w:t>
            </w:r>
            <w:r>
              <w:rPr>
                <w:sz w:val="21"/>
              </w:rPr>
              <w:t>服务要求</w:t>
            </w:r>
          </w:p>
        </w:tc>
      </w:tr>
      <w:tr>
        <w:tc>
          <w:tcPr>
            <w:tcW w:type="dxa" w:w="2076"/>
          </w:tcPr>
          <w:p/>
        </w:tc>
        <w:tc>
          <w:tcPr>
            <w:tcW w:type="dxa" w:w="415"/>
          </w:tcPr>
          <w:p>
            <w:pPr>
              <w:pStyle w:val="null3"/>
            </w:pPr>
            <w:r>
              <w:rPr/>
              <w:t>3</w:t>
            </w:r>
          </w:p>
        </w:tc>
        <w:tc>
          <w:tcPr>
            <w:tcW w:type="dxa" w:w="5814"/>
          </w:tcPr>
          <w:p>
            <w:pPr>
              <w:pStyle w:val="null3"/>
            </w:pPr>
            <w:r>
              <w:rPr/>
              <w:t>（一）门诊无纸化</w:t>
            </w:r>
          </w:p>
          <w:p>
            <w:pPr>
              <w:pStyle w:val="null3"/>
            </w:pPr>
            <w:r>
              <w:rPr/>
              <w:t>1.1.</w:t>
            </w:r>
            <w:r>
              <w:rPr/>
              <w:t>门诊无纸化改造</w:t>
            </w:r>
          </w:p>
          <w:p>
            <w:pPr>
              <w:pStyle w:val="null3"/>
            </w:pPr>
            <w:r>
              <w:rPr/>
              <w:t>1、</w:t>
            </w:r>
            <w:r>
              <w:rPr/>
              <w:t>门诊挂号系统</w:t>
            </w:r>
          </w:p>
          <w:tbl>
            <w:tblPr>
              <w:tblBorders>
                <w:top w:val="none" w:color="000000" w:sz="4"/>
                <w:left w:val="none" w:color="000000" w:sz="4"/>
                <w:bottom w:val="none" w:color="000000" w:sz="4"/>
                <w:right w:val="none" w:color="000000" w:sz="4"/>
                <w:insideH w:val="none"/>
                <w:insideV w:val="none"/>
              </w:tblBorders>
            </w:tblPr>
            <w:tblGrid>
              <w:gridCol w:w="721"/>
              <w:gridCol w:w="3193"/>
              <w:gridCol w:w="788"/>
              <w:gridCol w:w="868"/>
            </w:tblGrid>
            <w:tr>
              <w:tc>
                <w:tcPr>
                  <w:tcW w:type="dxa" w:w="721"/>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功能名称</w:t>
                  </w:r>
                </w:p>
              </w:tc>
              <w:tc>
                <w:tcPr>
                  <w:tcW w:type="dxa" w:w="3193"/>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功能描述</w:t>
                  </w:r>
                </w:p>
              </w:tc>
              <w:tc>
                <w:tcPr>
                  <w:tcW w:type="dxa" w:w="788"/>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参与角色</w:t>
                  </w:r>
                </w:p>
              </w:tc>
              <w:tc>
                <w:tcPr>
                  <w:tcW w:type="dxa" w:w="868"/>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备注</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资料登记</w:t>
                  </w:r>
                </w:p>
              </w:tc>
              <w:tc>
                <w:tcPr>
                  <w:tcW w:type="dxa" w:w="3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资料登记完成后，所打印的患者就诊标签是患者全院（门诊、住院）就诊的唯一身份</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挂号员</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7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患者挂号</w:t>
                  </w:r>
                </w:p>
              </w:tc>
              <w:tc>
                <w:tcPr>
                  <w:tcW w:type="dxa" w:w="3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完善门诊移动端全流程的就诊提醒，门诊就医全流程包括挂号、候诊、缴费、指引、取药环节功能，以时间轴在患者手机端展现各环节就医信息及待办事项，解决当前线上服务信息多、难以寻找、使用不便的问题。</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患者</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线上挂号患者</w:t>
                  </w:r>
                </w:p>
              </w:tc>
            </w:tr>
            <w:tr>
              <w:tc>
                <w:tcPr>
                  <w:tcW w:type="dxa" w:w="721"/>
                  <w:vMerge/>
                  <w:tcBorders>
                    <w:top w:val="none" w:color="000000" w:sz="4"/>
                    <w:left w:val="single" w:color="000000" w:sz="4"/>
                    <w:bottom w:val="single" w:color="000000" w:sz="4"/>
                    <w:right w:val="single" w:color="000000" w:sz="4"/>
                  </w:tcBorders>
                </w:tcPr>
                <w:p/>
              </w:tc>
              <w:tc>
                <w:tcPr>
                  <w:tcW w:type="dxa" w:w="3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线下挂号：收费处打印挂号小票指引患者就诊</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挂号处</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线下挂号患者</w:t>
                  </w:r>
                </w:p>
              </w:tc>
            </w:tr>
          </w:tbl>
          <w:p>
            <w:pPr>
              <w:pStyle w:val="null3"/>
            </w:pPr>
            <w:r>
              <w:rPr/>
              <w:t>2、门诊分诊系统</w:t>
            </w:r>
          </w:p>
          <w:tbl>
            <w:tblPr>
              <w:tblBorders>
                <w:top w:val="none" w:color="000000" w:sz="4"/>
                <w:left w:val="none" w:color="000000" w:sz="4"/>
                <w:bottom w:val="none" w:color="000000" w:sz="4"/>
                <w:right w:val="none" w:color="000000" w:sz="4"/>
                <w:insideH w:val="none"/>
                <w:insideV w:val="none"/>
              </w:tblBorders>
            </w:tblPr>
            <w:tblGrid>
              <w:gridCol w:w="766"/>
              <w:gridCol w:w="4037"/>
              <w:gridCol w:w="766"/>
            </w:tblGrid>
            <w:tr>
              <w:tc>
                <w:tcPr>
                  <w:tcW w:type="dxa" w:w="766"/>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功能名称</w:t>
                  </w:r>
                </w:p>
              </w:tc>
              <w:tc>
                <w:tcPr>
                  <w:tcW w:type="dxa" w:w="4037"/>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功能描述</w:t>
                  </w:r>
                </w:p>
              </w:tc>
              <w:tc>
                <w:tcPr>
                  <w:tcW w:type="dxa" w:w="766"/>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参与角色</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线下报到</w:t>
                  </w:r>
                </w:p>
              </w:tc>
              <w:tc>
                <w:tcPr>
                  <w:tcW w:type="dxa" w:w="4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报到机或分诊系统扫描患者就诊标签进行报到</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患者</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移动端候诊报到</w:t>
                  </w:r>
                </w:p>
              </w:tc>
              <w:tc>
                <w:tcPr>
                  <w:tcW w:type="dxa" w:w="4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就诊当天，患者到达距离医院规定范围内（根据微信</w:t>
                  </w:r>
                  <w:r>
                    <w:rPr>
                      <w:sz w:val="19"/>
                    </w:rPr>
                    <w:t>LBS定位判断），可在医院微信公众号上在线签到，签到后自动进入候诊排队队列</w:t>
                  </w:r>
                  <w:r>
                    <w:rPr>
                      <w:sz w:val="19"/>
                    </w:rPr>
                    <w:t>，</w:t>
                  </w:r>
                  <w:r>
                    <w:rPr>
                      <w:sz w:val="19"/>
                    </w:rPr>
                    <w:t>报到后需要推送内容为：您好</w:t>
                  </w:r>
                  <w:r>
                    <w:rPr>
                      <w:sz w:val="19"/>
                    </w:rPr>
                    <w:t>[姓名]！您预约的[科室] 门诊 [医生]医生 ([时间段] [排序号]) 已经报到成功！ 您的当前状态为：等候当前未就诊X人，正在等候人数XX人,报到时间为[当前时间]。</w:t>
                  </w:r>
                </w:p>
                <w:p>
                  <w:pPr>
                    <w:pStyle w:val="null3"/>
                  </w:pPr>
                  <w:r>
                    <w:rPr>
                      <w:sz w:val="19"/>
                    </w:rPr>
                    <w:t>例子：您好</w:t>
                  </w:r>
                  <w:r>
                    <w:rPr>
                      <w:sz w:val="19"/>
                    </w:rPr>
                    <w:t>XX！您预约的XX门诊XX教授(上午 29) 已经报到成功！您的当前状态为：等候当前未就诊3人，正在等候人数1人，报到时间为09:18:25。</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患者</w:t>
                  </w:r>
                </w:p>
              </w:tc>
            </w:tr>
            <w:tr>
              <w:tc>
                <w:tcPr>
                  <w:tcW w:type="dxa" w:w="7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分诊信息推送</w:t>
                  </w:r>
                </w:p>
              </w:tc>
              <w:tc>
                <w:tcPr>
                  <w:tcW w:type="dxa" w:w="4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完善移动端全流程的就诊提醒，患者可基于移动端查看分诊排队信息</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患者</w:t>
                  </w:r>
                </w:p>
              </w:tc>
            </w:tr>
            <w:tr>
              <w:tc>
                <w:tcPr>
                  <w:tcW w:type="dxa" w:w="766"/>
                  <w:vMerge/>
                  <w:tcBorders>
                    <w:top w:val="none" w:color="000000" w:sz="4"/>
                    <w:left w:val="single" w:color="000000" w:sz="4"/>
                    <w:bottom w:val="single" w:color="000000" w:sz="4"/>
                    <w:right w:val="single" w:color="000000" w:sz="4"/>
                  </w:tcBorders>
                </w:tcPr>
                <w:p/>
              </w:tc>
              <w:tc>
                <w:tcPr>
                  <w:tcW w:type="dxa" w:w="4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分诊大屏显示患者分诊排队信息</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分诊台</w:t>
                  </w:r>
                </w:p>
              </w:tc>
            </w:tr>
          </w:tbl>
          <w:p>
            <w:pPr>
              <w:pStyle w:val="null3"/>
            </w:pPr>
            <w:r>
              <w:rPr/>
              <w:t>3、门诊医生工作站</w:t>
            </w:r>
          </w:p>
          <w:tbl>
            <w:tblPr>
              <w:tblBorders>
                <w:top w:val="none" w:color="000000" w:sz="4"/>
                <w:left w:val="none" w:color="000000" w:sz="4"/>
                <w:bottom w:val="none" w:color="000000" w:sz="4"/>
                <w:right w:val="none" w:color="000000" w:sz="4"/>
                <w:insideH w:val="none"/>
                <w:insideV w:val="none"/>
              </w:tblBorders>
            </w:tblPr>
            <w:tblGrid>
              <w:gridCol w:w="447"/>
              <w:gridCol w:w="800"/>
              <w:gridCol w:w="3402"/>
              <w:gridCol w:w="949"/>
            </w:tblGrid>
            <w:tr>
              <w:tc>
                <w:tcPr>
                  <w:tcW w:type="dxa" w:w="447"/>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功能模块</w:t>
                  </w:r>
                </w:p>
              </w:tc>
              <w:tc>
                <w:tcPr>
                  <w:tcW w:type="dxa" w:w="800"/>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功能名称</w:t>
                  </w:r>
                </w:p>
              </w:tc>
              <w:tc>
                <w:tcPr>
                  <w:tcW w:type="dxa" w:w="3402"/>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功能描述</w:t>
                  </w:r>
                </w:p>
              </w:tc>
              <w:tc>
                <w:tcPr>
                  <w:tcW w:type="dxa" w:w="949"/>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备注</w:t>
                  </w:r>
                </w:p>
              </w:tc>
            </w:tr>
            <w:tr>
              <w:tc>
                <w:tcPr>
                  <w:tcW w:type="dxa" w:w="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门诊医生无纸化</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患者身份确认</w:t>
                  </w:r>
                </w:p>
              </w:tc>
              <w:tc>
                <w:tcPr>
                  <w:tcW w:type="dxa" w:w="3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患者到医生诊室时，医生通过扫码枪，扫描患者就诊标签确认患者身份</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医生诊室需配备扫码枪</w:t>
                  </w:r>
                </w:p>
              </w:tc>
            </w:tr>
            <w:tr>
              <w:tc>
                <w:tcPr>
                  <w:tcW w:type="dxa" w:w="447"/>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处方打印</w:t>
                  </w:r>
                </w:p>
              </w:tc>
              <w:tc>
                <w:tcPr>
                  <w:tcW w:type="dxa" w:w="3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取消处方、注射单、检验单、</w:t>
                  </w:r>
                  <w:r>
                    <w:rPr>
                      <w:sz w:val="19"/>
                    </w:rPr>
                    <w:t>电子</w:t>
                  </w:r>
                  <w:r>
                    <w:rPr>
                      <w:sz w:val="19"/>
                    </w:rPr>
                    <w:t>检查申请单、治疗单、病历等单据的打印</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医生工作站保留打印机，保留纸质打印单据如下：患者指引单、疾病谱</w:t>
                  </w:r>
                  <w:r>
                    <w:rPr>
                      <w:sz w:val="19"/>
                    </w:rPr>
                    <w:t>、门诊病历</w:t>
                  </w:r>
                </w:p>
              </w:tc>
            </w:tr>
            <w:tr>
              <w:tc>
                <w:tcPr>
                  <w:tcW w:type="dxa" w:w="447"/>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电子签名</w:t>
                  </w:r>
                </w:p>
              </w:tc>
              <w:tc>
                <w:tcPr>
                  <w:tcW w:type="dxa" w:w="3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CA签名是病历、处方无纸化的基础，在保存处方、注射单、检验单时需要进行个人CA认证，并在单据上通过手迹签名体现效果</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7"/>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诊间缴费</w:t>
                  </w:r>
                </w:p>
              </w:tc>
              <w:tc>
                <w:tcPr>
                  <w:tcW w:type="dxa" w:w="3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推送缴费通知到患者手机，缴费后手机获取电子指引单</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门诊医生工作站升级改造</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门诊医生首页</w:t>
                  </w:r>
                </w:p>
              </w:tc>
              <w:tc>
                <w:tcPr>
                  <w:tcW w:type="dxa" w:w="3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1、登录首页支持查看医生运营数据，如接诊数据（包括未接诊人数，已接诊人数，昨日已接诊人数，本周已接诊人数，本月已接诊人数）；工作统计（开具的处方数，申请单、治疗单等）药占比等。</w:t>
                  </w:r>
                  <w:r>
                    <w:br/>
                  </w:r>
                  <w:r>
                    <w:rPr>
                      <w:sz w:val="19"/>
                    </w:rPr>
                    <w:t>2、</w:t>
                  </w:r>
                  <w:r>
                    <w:rPr>
                      <w:sz w:val="19"/>
                    </w:rPr>
                    <w:t>支持一个医生同时接诊多个诊疗单元（科室），只需登录一次系统，可打开多个诊疗单元的接诊页签，满足医生快速接诊不同二级科室的业务需求。</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7"/>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分方设置</w:t>
                  </w:r>
                </w:p>
              </w:tc>
              <w:tc>
                <w:tcPr>
                  <w:tcW w:type="dxa" w:w="3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1、支持处方按结算方式、医保登记分方设置：一次就诊可同时开具多病种多</w:t>
                  </w:r>
                  <w:r>
                    <w:rPr>
                      <w:sz w:val="19"/>
                    </w:rPr>
                    <w:t>类</w:t>
                  </w:r>
                  <w:r>
                    <w:rPr>
                      <w:sz w:val="19"/>
                    </w:rPr>
                    <w:t>别的处方</w:t>
                  </w:r>
                  <w:r>
                    <w:rPr>
                      <w:sz w:val="19"/>
                    </w:rPr>
                    <w:t>/药品；</w:t>
                  </w:r>
                </w:p>
                <w:p>
                  <w:pPr>
                    <w:pStyle w:val="null3"/>
                  </w:pPr>
                  <w:r>
                    <w:rPr>
                      <w:sz w:val="19"/>
                    </w:rPr>
                    <w:t>2、处方自动分方规则：单张处方不超过5种药品、精毒麻处方独立成方等；</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7"/>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临床知识库（病历）</w:t>
                  </w:r>
                </w:p>
              </w:tc>
              <w:tc>
                <w:tcPr>
                  <w:tcW w:type="dxa" w:w="3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支持门诊自定义病历知识库设置，可设置控制时机，是在开立时就提示，还是在医生签名时弹出提示。</w:t>
                  </w:r>
                </w:p>
                <w:p>
                  <w:pPr>
                    <w:pStyle w:val="null3"/>
                  </w:pPr>
                  <w:r>
                    <w:rPr>
                      <w:sz w:val="19"/>
                    </w:rPr>
                    <w:t>2、支持控制弹窗的级别，是禁止后续操作，还是仅提示。</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7"/>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临床知识库（诊断）</w:t>
                  </w:r>
                </w:p>
              </w:tc>
              <w:tc>
                <w:tcPr>
                  <w:tcW w:type="dxa" w:w="3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1、支持门诊自定义诊断知识库设置，适用人群、诊断范围、规则提示、触发事件设置等。</w:t>
                  </w:r>
                  <w:r>
                    <w:br/>
                  </w:r>
                  <w:r>
                    <w:rPr>
                      <w:sz w:val="19"/>
                    </w:rPr>
                    <w:t>2、可设置控制时机，是在开立时就提示，还是在医生签名时弹出提示。</w:t>
                  </w:r>
                </w:p>
                <w:p>
                  <w:pPr>
                    <w:pStyle w:val="null3"/>
                  </w:pPr>
                  <w:r>
                    <w:rPr>
                      <w:sz w:val="19"/>
                    </w:rPr>
                    <w:t>2、支持控制弹窗的级别，是禁止后续操作，还是仅提示。</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7"/>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医嘱基础数据</w:t>
                  </w:r>
                </w:p>
              </w:tc>
              <w:tc>
                <w:tcPr>
                  <w:tcW w:type="dxa" w:w="3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1、支持医嘱执行地点自定义分配规则，可根据开单科室默认执行地点。</w:t>
                  </w:r>
                </w:p>
                <w:p>
                  <w:pPr>
                    <w:pStyle w:val="null3"/>
                  </w:pPr>
                  <w:r>
                    <w:rPr>
                      <w:sz w:val="19"/>
                    </w:rPr>
                    <w:t>2、可针对给药途径、皮试、中药代煎、检验合并标志等设置附加费用，并支持按照不同人群带出不同收费项目。</w:t>
                  </w:r>
                </w:p>
                <w:p>
                  <w:pPr>
                    <w:pStyle w:val="null3"/>
                  </w:pPr>
                  <w:r>
                    <w:rPr>
                      <w:sz w:val="19"/>
                    </w:rPr>
                    <w:t>3、支持</w:t>
                  </w:r>
                  <w:r>
                    <w:rPr>
                      <w:sz w:val="19"/>
                    </w:rPr>
                    <w:t>对医嘱的使用频次、给药途径、医嘱执行时间安排、中药煎煮方式、检查部位和检验标本字典进行维护，支持将系统外部的数据字典通过引入模版，直接引入到系统中，也支持将数据字典模版按引出模板引出为</w:t>
                  </w:r>
                  <w:r>
                    <w:rPr>
                      <w:sz w:val="19"/>
                    </w:rPr>
                    <w:t>Excel</w:t>
                  </w:r>
                  <w:r>
                    <w:rPr>
                      <w:sz w:val="19"/>
                    </w:rPr>
                    <w:t>。（此项需演示使用频次的引入、引出模板，可在引入引出的使用频次模版基础上，结合需求配置合适的引入引出字段，设置是否必录，实现数据的批量引入和引出；使用频次的模版可配置多个引入、引出模板，引入、引出时可根据实际需求选择模板。</w:t>
                  </w:r>
                </w:p>
                <w:p>
                  <w:pPr>
                    <w:pStyle w:val="null3"/>
                  </w:pPr>
                  <w:r>
                    <w:rPr>
                      <w:sz w:val="19"/>
                    </w:rPr>
                    <w:t>4</w:t>
                  </w:r>
                  <w:r>
                    <w:rPr>
                      <w:sz w:val="19"/>
                    </w:rPr>
                    <w:t>、中药协定方明细，支持直接从</w:t>
                  </w:r>
                  <w:r>
                    <w:rPr>
                      <w:sz w:val="19"/>
                    </w:rPr>
                    <w:t>EXCEL</w:t>
                  </w:r>
                  <w:r>
                    <w:rPr>
                      <w:sz w:val="19"/>
                    </w:rPr>
                    <w:t>中复制多行多列数据粘贴到中药协定方的项目明细中，包括医嘱明细、数量、单位、煎煮方式等。</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7"/>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医嘱服务</w:t>
                  </w:r>
                </w:p>
              </w:tc>
              <w:tc>
                <w:tcPr>
                  <w:tcW w:type="dxa" w:w="3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1、医嘱服务支持闭环管理，支持医嘱闭环服务支持自定义启动条件，直接配置，无需二次开发，支持具体执行环节的开关设置。</w:t>
                  </w:r>
                </w:p>
                <w:p>
                  <w:pPr>
                    <w:pStyle w:val="null3"/>
                  </w:pPr>
                  <w:r>
                    <w:rPr>
                      <w:sz w:val="19"/>
                    </w:rPr>
                    <w:t>2、支持业务日志审查（审计日志），可对关键</w:t>
                  </w:r>
                  <w:r>
                    <w:rPr>
                      <w:sz w:val="19"/>
                    </w:rPr>
                    <w:t>单据</w:t>
                  </w:r>
                  <w:r>
                    <w:rPr>
                      <w:sz w:val="19"/>
                    </w:rPr>
                    <w:t>设置业务操作日志。开启后，可查看到业务系统操作的增删改。</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7"/>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电子病历文书</w:t>
                  </w:r>
                </w:p>
              </w:tc>
              <w:tc>
                <w:tcPr>
                  <w:tcW w:type="dxa" w:w="3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1、病历树设置</w:t>
                  </w:r>
                  <w:r>
                    <w:rPr>
                      <w:sz w:val="19"/>
                    </w:rPr>
                    <w:t>：</w:t>
                  </w:r>
                  <w:r>
                    <w:rPr>
                      <w:sz w:val="19"/>
                    </w:rPr>
                    <w:t>根据不同的科室，配置不同的病历树，中医科默认中医病历</w:t>
                  </w:r>
                  <w:r>
                    <w:rPr>
                      <w:sz w:val="19"/>
                    </w:rPr>
                    <w:t>模板</w:t>
                  </w:r>
                  <w:r>
                    <w:rPr>
                      <w:sz w:val="19"/>
                    </w:rPr>
                    <w:t>，眼科默认眼科病历</w:t>
                  </w:r>
                  <w:r>
                    <w:rPr>
                      <w:sz w:val="19"/>
                    </w:rPr>
                    <w:t>模板</w:t>
                  </w:r>
                  <w:r>
                    <w:rPr>
                      <w:sz w:val="19"/>
                    </w:rPr>
                    <w:t>。</w:t>
                  </w:r>
                </w:p>
                <w:p>
                  <w:pPr>
                    <w:pStyle w:val="null3"/>
                  </w:pPr>
                  <w:r>
                    <w:rPr>
                      <w:sz w:val="19"/>
                    </w:rPr>
                    <w:t>▲</w:t>
                  </w:r>
                  <w:r>
                    <w:rPr>
                      <w:sz w:val="19"/>
                    </w:rPr>
                    <w:t>2、病历文书索引</w:t>
                  </w:r>
                  <w:r>
                    <w:rPr>
                      <w:sz w:val="19"/>
                    </w:rPr>
                    <w:t>：</w:t>
                  </w:r>
                  <w:r>
                    <w:rPr>
                      <w:sz w:val="19"/>
                    </w:rPr>
                    <w:t>支持根据病历的节点内容进行检索。</w:t>
                  </w:r>
                </w:p>
                <w:p>
                  <w:pPr>
                    <w:pStyle w:val="null3"/>
                  </w:pPr>
                  <w:r>
                    <w:rPr>
                      <w:sz w:val="19"/>
                    </w:rPr>
                    <w:t>3、支持病历留痕：对于已提交的病历能自动记录、保存病历记录所有修改的痕迹。</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7"/>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配置工具</w:t>
                  </w:r>
                </w:p>
              </w:tc>
              <w:tc>
                <w:tcPr>
                  <w:tcW w:type="dxa" w:w="3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1、打印模板设置：支持便捷设置/调整打印纸张、打印方向、数据源（增减打印内容、调整打印数据源等）、字段是否显示、字体大小、预置文案等打印模板内容；</w:t>
                  </w:r>
                </w:p>
                <w:p>
                  <w:pPr>
                    <w:pStyle w:val="null3"/>
                  </w:pPr>
                  <w:r>
                    <w:rPr>
                      <w:sz w:val="19"/>
                    </w:rPr>
                    <w:t>2、打印条件设置：支持多类型多规则的打印条件设置，如不同条件调用不同打印模板等（如普通药品使用普通处方打印模板，精麻类药品使用精麻处方打印模板）。</w:t>
                  </w:r>
                  <w:r>
                    <w:br/>
                  </w:r>
                  <w:r>
                    <w:rPr>
                      <w:sz w:val="19"/>
                    </w:rPr>
                    <w:t>▲</w:t>
                  </w:r>
                  <w:r>
                    <w:rPr>
                      <w:sz w:val="19"/>
                    </w:rPr>
                    <w:t>3、</w:t>
                  </w:r>
                  <w:r>
                    <w:rPr>
                      <w:sz w:val="19"/>
                    </w:rPr>
                    <w:t>支持打印</w:t>
                  </w:r>
                  <w:r>
                    <w:rPr>
                      <w:sz w:val="19"/>
                    </w:rPr>
                    <w:t>模板</w:t>
                  </w:r>
                  <w:r>
                    <w:rPr>
                      <w:sz w:val="19"/>
                    </w:rPr>
                    <w:t>自定义设置，系统自带通用控件及数据源，医院可根据需要，修改打印内容，调整后直接预览并发布使用。</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t>4、门诊收费系统</w:t>
            </w:r>
          </w:p>
          <w:tbl>
            <w:tblPr>
              <w:tblBorders>
                <w:top w:val="none" w:color="000000" w:sz="4"/>
                <w:left w:val="none" w:color="000000" w:sz="4"/>
                <w:bottom w:val="none" w:color="000000" w:sz="4"/>
                <w:right w:val="none" w:color="000000" w:sz="4"/>
                <w:insideH w:val="none"/>
                <w:insideV w:val="none"/>
              </w:tblBorders>
            </w:tblPr>
            <w:tblGrid>
              <w:gridCol w:w="825"/>
              <w:gridCol w:w="3056"/>
              <w:gridCol w:w="1717"/>
            </w:tblGrid>
            <w:tr>
              <w:tc>
                <w:tcPr>
                  <w:tcW w:type="dxa" w:w="825"/>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功能名称</w:t>
                  </w:r>
                </w:p>
              </w:tc>
              <w:tc>
                <w:tcPr>
                  <w:tcW w:type="dxa" w:w="3056"/>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功能描述</w:t>
                  </w:r>
                </w:p>
              </w:tc>
              <w:tc>
                <w:tcPr>
                  <w:tcW w:type="dxa" w:w="1717"/>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备注</w:t>
                  </w:r>
                </w:p>
              </w:tc>
            </w:tr>
            <w:tr>
              <w:tc>
                <w:tcPr>
                  <w:tcW w:type="dxa" w:w="38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窗口业务</w:t>
                  </w:r>
                </w:p>
              </w:tc>
              <w:tc>
                <w:tcPr>
                  <w:tcW w:type="dxa" w:w="1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指引单打印</w:t>
                  </w:r>
                </w:p>
              </w:tc>
              <w:tc>
                <w:tcPr>
                  <w:tcW w:type="dxa" w:w="3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收费处打印就诊指引单，明确指引患者检验、检查、取药、治疗项目的执行地点</w:t>
                  </w:r>
                </w:p>
              </w:tc>
              <w:tc>
                <w:tcPr>
                  <w:tcW w:type="dxa" w:w="1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指引单显示患者身份二维码、处方信息根据医院、科室需求自定义</w:t>
                  </w:r>
                </w:p>
              </w:tc>
            </w:tr>
            <w:tr>
              <w:tc>
                <w:tcPr>
                  <w:tcW w:type="dxa" w:w="38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自助业务</w:t>
                  </w:r>
                </w:p>
              </w:tc>
              <w:tc>
                <w:tcPr>
                  <w:tcW w:type="dxa" w:w="1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指引单</w:t>
                  </w:r>
                </w:p>
              </w:tc>
              <w:tc>
                <w:tcPr>
                  <w:tcW w:type="dxa" w:w="3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优化患者全流程就诊提示，患者缴费后，通过手机端推送电子指引单，明确指引患者检验、检查、取药、治疗项目的执行地点</w:t>
                  </w:r>
                </w:p>
              </w:tc>
              <w:tc>
                <w:tcPr>
                  <w:tcW w:type="dxa" w:w="1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患者移动服务平台改造</w:t>
                  </w:r>
                </w:p>
              </w:tc>
            </w:tr>
          </w:tbl>
          <w:p>
            <w:pPr>
              <w:pStyle w:val="null3"/>
            </w:pPr>
            <w:r>
              <w:rPr/>
              <w:t>5、门诊配发药</w:t>
            </w:r>
          </w:p>
          <w:tbl>
            <w:tblPr>
              <w:tblInd w:type="dxa" w:w="135"/>
              <w:tblBorders>
                <w:top w:val="none" w:color="000000" w:sz="4"/>
                <w:left w:val="none" w:color="000000" w:sz="4"/>
                <w:bottom w:val="none" w:color="000000" w:sz="4"/>
                <w:right w:val="none" w:color="000000" w:sz="4"/>
                <w:insideH w:val="none"/>
                <w:insideV w:val="none"/>
              </w:tblBorders>
            </w:tblPr>
            <w:tblGrid>
              <w:gridCol w:w="949"/>
              <w:gridCol w:w="2806"/>
              <w:gridCol w:w="1843"/>
            </w:tblGrid>
            <w:tr>
              <w:tc>
                <w:tcPr>
                  <w:tcW w:type="dxa" w:w="949"/>
                  <w:tcBorders>
                    <w:top w:val="single" w:color="000000" w:sz="4"/>
                    <w:left w:val="single" w:color="000000" w:sz="4"/>
                    <w:bottom w:val="single" w:color="000000" w:sz="4"/>
                    <w:right w:val="single" w:color="000000" w:sz="4"/>
                  </w:tcBorders>
                  <w:shd w:fill="DCE6F2"/>
                  <w:tcMar>
                    <w:top w:type="dxa" w:w="0"/>
                    <w:left w:type="dxa" w:w="105"/>
                    <w:bottom w:type="dxa" w:w="0"/>
                    <w:right w:type="dxa" w:w="105"/>
                  </w:tcMar>
                  <w:vAlign w:val="top"/>
                </w:tcPr>
                <w:p>
                  <w:pPr>
                    <w:pStyle w:val="null3"/>
                  </w:pPr>
                  <w:r>
                    <w:rPr>
                      <w:sz w:val="19"/>
                      <w:b/>
                    </w:rPr>
                    <w:t>功能名称</w:t>
                  </w:r>
                </w:p>
              </w:tc>
              <w:tc>
                <w:tcPr>
                  <w:tcW w:type="dxa" w:w="2806"/>
                  <w:tcBorders>
                    <w:top w:val="single" w:color="000000" w:sz="4"/>
                    <w:left w:val="single" w:color="000000" w:sz="4"/>
                    <w:bottom w:val="single" w:color="000000" w:sz="4"/>
                    <w:right w:val="single" w:color="000000" w:sz="4"/>
                  </w:tcBorders>
                  <w:shd w:fill="DCE6F2"/>
                  <w:tcMar>
                    <w:top w:type="dxa" w:w="0"/>
                    <w:left w:type="dxa" w:w="105"/>
                    <w:bottom w:type="dxa" w:w="0"/>
                    <w:right w:type="dxa" w:w="105"/>
                  </w:tcMar>
                  <w:vAlign w:val="top"/>
                </w:tcPr>
                <w:p>
                  <w:pPr>
                    <w:pStyle w:val="null3"/>
                  </w:pPr>
                  <w:r>
                    <w:rPr>
                      <w:sz w:val="19"/>
                      <w:b/>
                    </w:rPr>
                    <w:t>功能描述</w:t>
                  </w:r>
                </w:p>
              </w:tc>
              <w:tc>
                <w:tcPr>
                  <w:tcW w:type="dxa" w:w="1843"/>
                  <w:tcBorders>
                    <w:top w:val="single" w:color="000000" w:sz="4"/>
                    <w:left w:val="single" w:color="000000" w:sz="4"/>
                    <w:bottom w:val="single" w:color="000000" w:sz="4"/>
                    <w:right w:val="single" w:color="000000" w:sz="4"/>
                  </w:tcBorders>
                  <w:shd w:fill="DCE6F2"/>
                  <w:tcMar>
                    <w:top w:type="dxa" w:w="0"/>
                    <w:left w:type="dxa" w:w="105"/>
                    <w:bottom w:type="dxa" w:w="0"/>
                    <w:right w:type="dxa" w:w="105"/>
                  </w:tcMar>
                  <w:vAlign w:val="top"/>
                </w:tcPr>
                <w:p>
                  <w:pPr>
                    <w:pStyle w:val="null3"/>
                  </w:pPr>
                  <w:r>
                    <w:rPr>
                      <w:sz w:val="19"/>
                      <w:b/>
                    </w:rPr>
                    <w:t>备注</w:t>
                  </w:r>
                </w:p>
              </w:tc>
            </w:tr>
            <w:tr>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就诊标签识别</w:t>
                  </w:r>
                </w:p>
              </w:tc>
              <w:tc>
                <w:tcPr>
                  <w:tcW w:type="dxa" w:w="2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识别患者就诊标签实现发药</w:t>
                  </w:r>
                </w:p>
              </w:tc>
              <w:tc>
                <w:tcPr>
                  <w:tcW w:type="dxa" w:w="1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单据打印</w:t>
                  </w:r>
                </w:p>
              </w:tc>
              <w:tc>
                <w:tcPr>
                  <w:tcW w:type="dxa" w:w="2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注射室设置打印机，打印毒麻药单、注射单</w:t>
                  </w:r>
                </w:p>
                <w:p>
                  <w:pPr>
                    <w:pStyle w:val="null3"/>
                  </w:pPr>
                  <w:r>
                    <w:rPr>
                      <w:sz w:val="19"/>
                    </w:rPr>
                    <w:t>（需要考虑自带药患者的注射需求）</w:t>
                  </w:r>
                </w:p>
              </w:tc>
              <w:tc>
                <w:tcPr>
                  <w:tcW w:type="dxa" w:w="1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注射单暂时放在注射室自行打印，待医院确认最终流程</w:t>
                  </w:r>
                </w:p>
              </w:tc>
            </w:tr>
          </w:tbl>
          <w:p>
            <w:pPr>
              <w:pStyle w:val="null3"/>
            </w:pPr>
            <w:r>
              <w:rPr/>
              <w:t>6、门诊注射室系统</w:t>
            </w:r>
          </w:p>
          <w:tbl>
            <w:tblPr>
              <w:tblInd w:type="dxa" w:w="135"/>
              <w:tblBorders>
                <w:top w:val="none" w:color="000000" w:sz="4"/>
                <w:left w:val="none" w:color="000000" w:sz="4"/>
                <w:bottom w:val="none" w:color="000000" w:sz="4"/>
                <w:right w:val="none" w:color="000000" w:sz="4"/>
                <w:insideH w:val="none"/>
                <w:insideV w:val="none"/>
              </w:tblBorders>
            </w:tblPr>
            <w:tblGrid>
              <w:gridCol w:w="1055"/>
              <w:gridCol w:w="3583"/>
              <w:gridCol w:w="960"/>
            </w:tblGrid>
            <w:tr>
              <w:tc>
                <w:tcPr>
                  <w:tcW w:type="dxa" w:w="1055"/>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功能名称</w:t>
                  </w:r>
                </w:p>
              </w:tc>
              <w:tc>
                <w:tcPr>
                  <w:tcW w:type="dxa" w:w="3583"/>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功能描述</w:t>
                  </w:r>
                </w:p>
              </w:tc>
              <w:tc>
                <w:tcPr>
                  <w:tcW w:type="dxa" w:w="960"/>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备注</w:t>
                  </w:r>
                </w:p>
              </w:tc>
            </w:tr>
            <w:tr>
              <w:tc>
                <w:tcPr>
                  <w:tcW w:type="dxa" w:w="10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注射登记</w:t>
                  </w:r>
                </w:p>
              </w:tc>
              <w:tc>
                <w:tcPr>
                  <w:tcW w:type="dxa" w:w="35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19"/>
                    </w:rPr>
                    <w:t>提供接口给扫描枪，识别患者就诊标签实现注射登记打印患者标签贴瓶单</w:t>
                  </w:r>
                </w:p>
              </w:tc>
              <w:tc>
                <w:tcPr>
                  <w:tcW w:type="dxa" w:w="9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核对医嘱记录</w:t>
                  </w:r>
                </w:p>
              </w:tc>
              <w:tc>
                <w:tcPr>
                  <w:tcW w:type="dxa" w:w="3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通过贴瓶单增加核对医嘱执行记录</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执行医嘱记录</w:t>
                  </w:r>
                </w:p>
              </w:tc>
              <w:tc>
                <w:tcPr>
                  <w:tcW w:type="dxa" w:w="3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增加执行医嘱执行记录</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项目维护</w:t>
                  </w:r>
                </w:p>
              </w:tc>
              <w:tc>
                <w:tcPr>
                  <w:tcW w:type="dxa" w:w="3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维护皮试项目，根据用法带出费用</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注射室反馈单据</w:t>
                  </w:r>
                </w:p>
              </w:tc>
              <w:tc>
                <w:tcPr>
                  <w:tcW w:type="dxa" w:w="3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注射室在系统中记录、反馈皮试结果，医生在医生工作站中查看皮试结果</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t>7、门诊医技确认系统</w:t>
            </w:r>
          </w:p>
          <w:p>
            <w:pPr>
              <w:pStyle w:val="null3"/>
            </w:pPr>
            <w:r>
              <w:rPr/>
              <w:t>1）门诊检验</w:t>
            </w:r>
          </w:p>
          <w:tbl>
            <w:tblPr>
              <w:tblInd w:type="dxa" w:w="135"/>
              <w:tblBorders>
                <w:top w:val="none" w:color="000000" w:sz="4"/>
                <w:left w:val="none" w:color="000000" w:sz="4"/>
                <w:bottom w:val="none" w:color="000000" w:sz="4"/>
                <w:right w:val="none" w:color="000000" w:sz="4"/>
                <w:insideH w:val="none"/>
                <w:insideV w:val="none"/>
              </w:tblBorders>
            </w:tblPr>
            <w:tblGrid>
              <w:gridCol w:w="1057"/>
              <w:gridCol w:w="3592"/>
              <w:gridCol w:w="949"/>
            </w:tblGrid>
            <w:tr>
              <w:tc>
                <w:tcPr>
                  <w:tcW w:type="dxa" w:w="1057"/>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功能名称</w:t>
                  </w:r>
                </w:p>
              </w:tc>
              <w:tc>
                <w:tcPr>
                  <w:tcW w:type="dxa" w:w="3592"/>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功能描述</w:t>
                  </w:r>
                </w:p>
              </w:tc>
              <w:tc>
                <w:tcPr>
                  <w:tcW w:type="dxa" w:w="949"/>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备注</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扫描枪接口</w:t>
                  </w:r>
                </w:p>
              </w:tc>
              <w:tc>
                <w:tcPr>
                  <w:tcW w:type="dxa" w:w="3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提供接口给扫描枪，识别患者就诊标签实现标本签收</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检验电子申请单</w:t>
                  </w:r>
                </w:p>
              </w:tc>
              <w:tc>
                <w:tcPr>
                  <w:tcW w:type="dxa" w:w="3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完善检验电子申请单</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t>2）门诊检查</w:t>
            </w:r>
          </w:p>
          <w:tbl>
            <w:tblPr>
              <w:tblInd w:type="dxa" w:w="120"/>
              <w:tblBorders>
                <w:top w:val="none" w:color="000000" w:sz="4"/>
                <w:left w:val="none" w:color="000000" w:sz="4"/>
                <w:bottom w:val="none" w:color="000000" w:sz="4"/>
                <w:right w:val="none" w:color="000000" w:sz="4"/>
                <w:insideH w:val="none"/>
                <w:insideV w:val="none"/>
              </w:tblBorders>
            </w:tblPr>
            <w:tblGrid>
              <w:gridCol w:w="1044"/>
              <w:gridCol w:w="3605"/>
              <w:gridCol w:w="949"/>
            </w:tblGrid>
            <w:tr>
              <w:tc>
                <w:tcPr>
                  <w:tcW w:type="dxa" w:w="1044"/>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功能名称</w:t>
                  </w:r>
                </w:p>
              </w:tc>
              <w:tc>
                <w:tcPr>
                  <w:tcW w:type="dxa" w:w="3605"/>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功能描述</w:t>
                  </w:r>
                </w:p>
              </w:tc>
              <w:tc>
                <w:tcPr>
                  <w:tcW w:type="dxa" w:w="949"/>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备注</w:t>
                  </w:r>
                </w:p>
              </w:tc>
            </w:tr>
            <w:tr>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扫描枪接口</w:t>
                  </w:r>
                </w:p>
              </w:tc>
              <w:tc>
                <w:tcPr>
                  <w:tcW w:type="dxa" w:w="3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提供接口给扫描枪，识别患者就诊标签实现患者检查登记</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检查系统接口</w:t>
                  </w:r>
                </w:p>
              </w:tc>
              <w:tc>
                <w:tcPr>
                  <w:tcW w:type="dxa" w:w="3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满足医技科室医生能够查看电子检查申请单、知情同意书的需求。</w:t>
                  </w:r>
                </w:p>
                <w:p>
                  <w:pPr>
                    <w:pStyle w:val="null3"/>
                  </w:pPr>
                  <w:r>
                    <w:rPr>
                      <w:sz w:val="19"/>
                    </w:rPr>
                    <w:t>满足医生在医生工作站查看检查报告的需求（</w:t>
                  </w:r>
                  <w:r>
                    <w:rPr>
                      <w:sz w:val="19"/>
                    </w:rPr>
                    <w:t>B超、CT等）</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t>8、门诊手术室管理系统</w:t>
            </w:r>
          </w:p>
          <w:tbl>
            <w:tblPr>
              <w:tblBorders>
                <w:top w:val="none" w:color="000000" w:sz="4"/>
                <w:left w:val="none" w:color="000000" w:sz="4"/>
                <w:bottom w:val="none" w:color="000000" w:sz="4"/>
                <w:right w:val="none" w:color="000000" w:sz="4"/>
                <w:insideH w:val="none"/>
                <w:insideV w:val="none"/>
              </w:tblBorders>
            </w:tblPr>
            <w:tblGrid>
              <w:gridCol w:w="1247"/>
              <w:gridCol w:w="2264"/>
              <w:gridCol w:w="2087"/>
            </w:tblGrid>
            <w:tr>
              <w:tc>
                <w:tcPr>
                  <w:tcW w:type="dxa" w:w="1247"/>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功能名称</w:t>
                  </w:r>
                </w:p>
              </w:tc>
              <w:tc>
                <w:tcPr>
                  <w:tcW w:type="dxa" w:w="2264"/>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功能描述</w:t>
                  </w:r>
                </w:p>
              </w:tc>
              <w:tc>
                <w:tcPr>
                  <w:tcW w:type="dxa" w:w="2087"/>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pPr>
                  <w:r>
                    <w:rPr>
                      <w:sz w:val="19"/>
                      <w:b/>
                    </w:rPr>
                    <w:t>备注</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手术室管理系统</w:t>
                  </w:r>
                </w:p>
              </w:tc>
              <w:tc>
                <w:tcPr>
                  <w:tcW w:type="dxa" w:w="2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实现门诊手术申请单</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t>1.2患者移动服务平台改造</w:t>
            </w:r>
          </w:p>
          <w:p>
            <w:pPr>
              <w:pStyle w:val="null3"/>
            </w:pPr>
            <w:r>
              <w:rPr/>
              <w:t>1.2.1.排队查询</w:t>
            </w:r>
          </w:p>
          <w:p>
            <w:pPr>
              <w:pStyle w:val="null3"/>
            </w:pPr>
            <w:r>
              <w:rPr/>
              <w:t>实时同步医院线下排队系统数据，患者可以使用移动端实时查看就诊科室的候诊信息。</w:t>
            </w:r>
          </w:p>
          <w:p>
            <w:pPr>
              <w:pStyle w:val="null3"/>
            </w:pPr>
            <w:r>
              <w:rPr/>
              <w:t>1.2.2.在线病案复印</w:t>
            </w:r>
          </w:p>
          <w:p>
            <w:pPr>
              <w:pStyle w:val="null3"/>
            </w:pPr>
            <w:r>
              <w:rPr/>
              <w:t>在线病案复印是面向已出院患者或其家属在线申请病案复印的应用，包括病案复印申请、病案复印设置、病案复印管理功能。患者出院后，患者本人或家属可上传本人证件、患者证件、收件地址信息，并预缴复印费用，医院工作人员可在后台审核、复印、确认复印费用、打印快递面单、投递、确认签收，减少患者或家属病案复印申请的往返奔波之苦。</w:t>
            </w:r>
          </w:p>
          <w:p>
            <w:pPr>
              <w:pStyle w:val="null3"/>
            </w:pPr>
            <w:r>
              <w:rPr/>
              <w:t>(1)</w:t>
            </w:r>
            <w:r>
              <w:rPr/>
              <w:t>病案复印申请：支持已出院的患者本人或家属在手机端在线申请住院病历复印，申请时，需上传本人证件、患者证件、收件地址信息，并预缴复印费用；</w:t>
            </w:r>
          </w:p>
          <w:p>
            <w:pPr>
              <w:pStyle w:val="null3"/>
            </w:pPr>
            <w:r>
              <w:rPr/>
              <w:t>(2)</w:t>
            </w:r>
            <w:r>
              <w:rPr/>
              <w:t>病案设置：支持医院在管理端根据本院情况设置病案复印相关信息，包括病案复印用途、项目、用途与项目关联关系、是否支持到院自取等信息；</w:t>
            </w:r>
          </w:p>
          <w:p>
            <w:pPr>
              <w:pStyle w:val="null3"/>
            </w:pPr>
            <w:r>
              <w:rPr/>
              <w:t>(3)</w:t>
            </w:r>
            <w:r>
              <w:rPr/>
              <w:t>病案复印管理：支持医院管理员在管理端对已提交的病案复印申请进行审核、复印、确认复印费用、打印快递面单、投递、确认签收。</w:t>
            </w:r>
          </w:p>
          <w:p>
            <w:pPr>
              <w:pStyle w:val="null3"/>
            </w:pPr>
            <w:r>
              <w:rPr/>
              <w:t>▲1.2.3.门诊就医全流程</w:t>
            </w:r>
          </w:p>
          <w:p>
            <w:pPr>
              <w:pStyle w:val="null3"/>
            </w:pPr>
            <w:r>
              <w:rPr/>
              <w:t>建设门诊就诊流程树模型，更有效地引导门诊患者就诊，需要聚合挂号、候诊、缴费、指引、取药、检验、检查等就医环节</w:t>
            </w:r>
            <w:r>
              <w:rPr/>
              <w:t>的</w:t>
            </w:r>
            <w:r>
              <w:rPr/>
              <w:t>同一个可视化主页，实现门诊全流程可视化查询的服务。支持对就诊环节中有待就诊业务、事项处理的消息提醒和红点标记提醒，使患者快速定位诊疗环节。同时支持患者从各环节界面点击项目卡片跳转到对应的业务菜单进行更多的操作。</w:t>
            </w:r>
          </w:p>
          <w:p>
            <w:pPr>
              <w:pStyle w:val="null3"/>
            </w:pPr>
            <w:r>
              <w:rPr/>
              <w:t>（</w:t>
            </w:r>
            <w:r>
              <w:rPr/>
              <w:t>1）患者可以在一个可视化页面中查看个人挂号、候诊、缴费、指引、取药、检验、检查、治疗的相关信息。</w:t>
            </w:r>
          </w:p>
          <w:p>
            <w:pPr>
              <w:pStyle w:val="null3"/>
            </w:pPr>
            <w:r>
              <w:rPr/>
              <w:t>（</w:t>
            </w:r>
            <w:r>
              <w:rPr/>
              <w:t>2）在页面中，支持对有待就诊业务或事项消息的就诊环节标记红点作为提醒，使患者可快速定位就医环节。</w:t>
            </w:r>
          </w:p>
          <w:p>
            <w:pPr>
              <w:pStyle w:val="null3"/>
            </w:pPr>
            <w:r>
              <w:rPr/>
              <w:t>（</w:t>
            </w:r>
            <w:r>
              <w:rPr/>
              <w:t>3）在页面中，支持患者通过点击挂号、候诊、缴费、指引、取药、检验、检查、治疗环节中的项目卡片跳转到对应的业务菜单进行更多的操作。</w:t>
            </w:r>
          </w:p>
          <w:p>
            <w:pPr>
              <w:pStyle w:val="null3"/>
            </w:pPr>
            <w:r>
              <w:rPr/>
              <w:t>1.2.4.智能预问诊</w:t>
            </w:r>
          </w:p>
          <w:p>
            <w:pPr>
              <w:pStyle w:val="null3"/>
            </w:pPr>
            <w:r>
              <w:rPr/>
              <w:t>在智能线上预问诊过程中，系统可全程根据患者的主诉症状，模拟医生来展开相关的询问。如针对患病时间、诱因、症状位置、频率等方面进行交互，同时还会询问患者既往病史和过敏史等信息。支持与</w:t>
            </w:r>
            <w:r>
              <w:rPr/>
              <w:t>HIS和互联网医院打通，把患者预问诊信息通过接口的方式传送给HIS和互联网医院，协助医生提前获知患者病情，提升医生效率，节省书写病历时间，改善医患沟通。</w:t>
            </w:r>
          </w:p>
          <w:p>
            <w:pPr>
              <w:pStyle w:val="null3"/>
            </w:pPr>
            <w:r>
              <w:rPr/>
              <w:t>按患者主诉智能化提问：智能线上预问诊功能能根据用户的主诉和基本信息进行自动智能化提问，并记录和识别患者回复的内容；</w:t>
            </w:r>
          </w:p>
          <w:p>
            <w:pPr>
              <w:pStyle w:val="null3"/>
            </w:pPr>
            <w:r>
              <w:rPr/>
              <w:t>生成结构化病历文书便于医生查阅和开方：预问诊流程结束后，会自动生成对应的结构化病历文书。减少医生的重复提问和书写病历的操作成本。</w:t>
            </w:r>
          </w:p>
          <w:p>
            <w:pPr>
              <w:pStyle w:val="null3"/>
            </w:pPr>
            <w:r>
              <w:rPr/>
              <w:t>1.2.5.移动门户服务</w:t>
            </w:r>
          </w:p>
          <w:p>
            <w:pPr>
              <w:pStyle w:val="null3"/>
            </w:pPr>
            <w:r>
              <w:rPr/>
              <w:t>门户服务是医院互联网服务的首页，是医院各个线上服务统一入口。医院可自行配置首页页面元素及功能，打造个性化门户，支持设置首页主题色、功能及图标、模块顺序、模块名称、</w:t>
            </w:r>
            <w:r>
              <w:rPr/>
              <w:t>banner图片等，实现医院服务入口统一。</w:t>
            </w:r>
          </w:p>
          <w:p>
            <w:pPr>
              <w:pStyle w:val="null3"/>
            </w:pPr>
            <w:r>
              <w:rPr/>
              <w:t>1.根据当前医院的就诊流程，菜单按门诊、住院、体检、便民等分类展现，且满足医院自定义菜单，解决微信公众号只能放置15个菜单的局限，极大</w:t>
            </w:r>
            <w:r>
              <w:rPr/>
              <w:t>地</w:t>
            </w:r>
            <w:r>
              <w:rPr/>
              <w:t>丰富了当前就医服务的多样性，最大程度的提高了信息体验，医院微首页的宗旨是直达患者并让患者感受行云流水的医疗服务。</w:t>
            </w:r>
          </w:p>
          <w:p>
            <w:pPr>
              <w:pStyle w:val="null3"/>
            </w:pPr>
            <w:r>
              <w:rPr/>
              <w:t>2.医院介绍：支持展示医院的基本信息介绍、联系电话、详细地址、来院路线。</w:t>
            </w:r>
          </w:p>
          <w:p>
            <w:pPr>
              <w:pStyle w:val="null3"/>
            </w:pPr>
            <w:r>
              <w:rPr/>
              <w:t>3.医院公告：支持展示医院发布的公告信息，支持首页滚动播放宣传图片。</w:t>
            </w:r>
          </w:p>
          <w:p>
            <w:pPr>
              <w:pStyle w:val="null3"/>
            </w:pPr>
            <w:r>
              <w:rPr/>
              <w:t>4.我的消息：支持患者</w:t>
            </w:r>
            <w:r>
              <w:rPr/>
              <w:t>查询</w:t>
            </w:r>
            <w:r>
              <w:rPr/>
              <w:t>近三个月的所有业务消息通知记录。允许患者主动关闭非关键消息通知，关闭后，将不在微信公众号向患者推送消息，但需支持患者在</w:t>
            </w:r>
            <w:r>
              <w:rPr/>
              <w:t>“我的消息”中进行查看。提醒关闭设置可按门诊类、检验检查、互动、宣教、群发通知等进行分类设置。</w:t>
            </w:r>
          </w:p>
          <w:p>
            <w:pPr>
              <w:pStyle w:val="null3"/>
            </w:pPr>
            <w:r>
              <w:rPr/>
              <w:t>1.2.6.问卷管理</w:t>
            </w:r>
          </w:p>
          <w:p>
            <w:pPr>
              <w:pStyle w:val="null3"/>
            </w:pPr>
            <w:r>
              <w:rPr/>
              <w:t>支持问卷编辑、问卷管理、问卷</w:t>
            </w:r>
            <w:r>
              <w:rPr/>
              <w:t>统计</w:t>
            </w:r>
            <w:r>
              <w:rPr/>
              <w:t>。可应用于随访计划、问诊表、健康评测、满意度等多种场景，支持问卷内容与题目的灵活配置，且支持患者信息自动填报，答卷通知与问卷内容</w:t>
            </w:r>
            <w:r>
              <w:rPr/>
              <w:t>API对接。为医院建设男科生育能力评估和复发性流产评估。</w:t>
            </w:r>
          </w:p>
          <w:p>
            <w:pPr>
              <w:pStyle w:val="null3"/>
            </w:pPr>
            <w:r>
              <w:rPr/>
              <w:t>1.2.7.门诊处方在线查询</w:t>
            </w:r>
          </w:p>
          <w:p>
            <w:pPr>
              <w:pStyle w:val="null3"/>
            </w:pPr>
            <w:r>
              <w:rPr/>
              <w:t>支持在线</w:t>
            </w:r>
            <w:r>
              <w:rPr/>
              <w:t>查询</w:t>
            </w:r>
            <w:r>
              <w:rPr/>
              <w:t>个人本次及历史处方信息。包括电子处方列表、电子处方详情功能。可以极大</w:t>
            </w:r>
            <w:r>
              <w:rPr/>
              <w:t>地</w:t>
            </w:r>
            <w:r>
              <w:rPr/>
              <w:t>方便患者查询个人处方信息，实现无纸化就医。</w:t>
            </w:r>
          </w:p>
          <w:p>
            <w:pPr>
              <w:pStyle w:val="null3"/>
            </w:pPr>
            <w:r>
              <w:rPr/>
              <w:t>1.2.8.门诊电子病历在线查询</w:t>
            </w:r>
          </w:p>
          <w:p>
            <w:pPr>
              <w:pStyle w:val="null3"/>
            </w:pPr>
            <w:r>
              <w:rPr/>
              <w:t>与医院现有的</w:t>
            </w:r>
            <w:r>
              <w:rPr/>
              <w:t>HIS系统对接，给患者提供处方查询应用：</w:t>
            </w:r>
          </w:p>
          <w:p>
            <w:pPr>
              <w:pStyle w:val="null3"/>
            </w:pPr>
            <w:r>
              <w:rPr/>
              <w:t>1.默认查看个人6个月内的门诊病历列表及门诊病历主诉、诊断、处方、医嘱等内容信息。</w:t>
            </w:r>
          </w:p>
          <w:p>
            <w:pPr>
              <w:pStyle w:val="null3"/>
            </w:pPr>
            <w:r>
              <w:rPr/>
              <w:t>2.支持医院自行配置时间节点，支持1个月内、3个月内、半年内病历内容信息查询。</w:t>
            </w:r>
          </w:p>
          <w:p>
            <w:pPr>
              <w:pStyle w:val="null3"/>
            </w:pPr>
            <w:r>
              <w:rPr/>
              <w:t>3.支持门诊在线病历PDF查看及打印。</w:t>
            </w:r>
          </w:p>
          <w:p>
            <w:pPr>
              <w:pStyle w:val="null3"/>
            </w:pPr>
            <w:r>
              <w:rPr/>
              <w:t>▲1.2.9.候补挂号</w:t>
            </w:r>
          </w:p>
          <w:p>
            <w:pPr>
              <w:pStyle w:val="null3"/>
            </w:pPr>
            <w:r>
              <w:rPr/>
              <w:t>支持对接医院</w:t>
            </w:r>
            <w:r>
              <w:rPr/>
              <w:t>HIS系统，当号源约满时患者可选择候补挂号，当有号源释放时根据候补队列自动补约，并推送相关候补挂号相关通知消息。</w:t>
            </w:r>
          </w:p>
          <w:p>
            <w:pPr>
              <w:pStyle w:val="null3"/>
            </w:pPr>
            <w:r>
              <w:rPr/>
              <w:t>▲1.2.10.门诊加号</w:t>
            </w:r>
          </w:p>
          <w:p>
            <w:pPr>
              <w:pStyle w:val="null3"/>
            </w:pPr>
            <w:r>
              <w:rPr/>
              <w:t>患者在线上预约挂号，发现医生的号已被挂满，但又急需看医生，到医院现场直接与医生沟通加号，当医生同意后，会在</w:t>
            </w:r>
            <w:r>
              <w:rPr/>
              <w:t>his系统，然后生成一个随机码，患者在手机上输入随机码即可挂号并线上支付挂号费。</w:t>
            </w:r>
          </w:p>
          <w:p>
            <w:pPr>
              <w:pStyle w:val="null3"/>
            </w:pPr>
            <w:r>
              <w:rPr/>
              <w:t>1.2.11.通知服务（微信就医助手）</w:t>
            </w:r>
          </w:p>
          <w:p>
            <w:pPr>
              <w:pStyle w:val="null3"/>
            </w:pPr>
            <w:r>
              <w:rPr/>
              <w:t>对接微信就医助手，基于微信就医助手消息发送能力和对应的消息模板发送消息，并且不局限于患者是否关注医院微信公众号，每个消息对应微信就医助手唯一的消息模板。</w:t>
            </w:r>
          </w:p>
          <w:p>
            <w:pPr>
              <w:pStyle w:val="null3"/>
            </w:pPr>
            <w:r>
              <w:rPr/>
              <w:t>1.2.12.挂号报到</w:t>
            </w:r>
          </w:p>
          <w:p>
            <w:pPr>
              <w:pStyle w:val="null3"/>
            </w:pPr>
            <w:r>
              <w:rPr/>
              <w:t>就诊当天，患者到达距离医院规定范围内，可在线签到，签到后自动进入候诊排队队列。</w:t>
            </w:r>
          </w:p>
          <w:p>
            <w:pPr>
              <w:pStyle w:val="null3"/>
            </w:pPr>
            <w:r>
              <w:rPr/>
              <w:t>▲1.2.13.在线建卡绑卡（一卡多绑）</w:t>
            </w:r>
          </w:p>
          <w:p>
            <w:pPr>
              <w:pStyle w:val="null3"/>
              <w:jc w:val="both"/>
            </w:pPr>
            <w:r>
              <w:rPr>
                <w:sz w:val="21"/>
              </w:rPr>
              <w:t>支持在同一渠道下，一张就诊</w:t>
            </w:r>
            <w:r>
              <w:rPr>
                <w:sz w:val="21"/>
              </w:rPr>
              <w:t>卡</w:t>
            </w:r>
            <w:r>
              <w:rPr>
                <w:sz w:val="21"/>
              </w:rPr>
              <w:t>最多可被</w:t>
            </w:r>
            <w:r>
              <w:rPr>
                <w:sz w:val="21"/>
              </w:rPr>
              <w:t>5个用户绑定</w:t>
            </w:r>
            <w:r>
              <w:rPr>
                <w:sz w:val="21"/>
              </w:rPr>
              <w:t>，绑定后支持查看和使用就医服务。绑定同一张诊疗卡的多个用户的微信端，能同时接收到患者的各类推送消息，如就诊提醒，诊间支付提醒、停诊通知等。</w:t>
            </w:r>
          </w:p>
        </w:tc>
      </w:tr>
      <w:tr>
        <w:tc>
          <w:tcPr>
            <w:tcW w:type="dxa" w:w="2076"/>
          </w:tcPr>
          <w:p/>
        </w:tc>
        <w:tc>
          <w:tcPr>
            <w:tcW w:type="dxa" w:w="415"/>
          </w:tcPr>
          <w:p>
            <w:pPr>
              <w:pStyle w:val="null3"/>
            </w:pPr>
            <w:r>
              <w:rPr/>
              <w:t>4</w:t>
            </w:r>
          </w:p>
        </w:tc>
        <w:tc>
          <w:tcPr>
            <w:tcW w:type="dxa" w:w="5814"/>
          </w:tcPr>
          <w:p>
            <w:pPr>
              <w:pStyle w:val="null3"/>
            </w:pPr>
            <w:r>
              <w:rPr/>
              <w:t>（二）入出院无纸化</w:t>
            </w:r>
          </w:p>
          <w:p>
            <w:pPr>
              <w:pStyle w:val="null3"/>
            </w:pPr>
            <w:r>
              <w:rPr/>
              <w:t>2.1.</w:t>
            </w:r>
            <w:r>
              <w:rPr/>
              <w:t>患者移动服务平台（住院业务）</w:t>
            </w:r>
          </w:p>
          <w:tbl>
            <w:tblPr>
              <w:tblInd w:type="dxa" w:w="180"/>
              <w:tblBorders>
                <w:top w:val="none" w:color="000000" w:sz="4"/>
                <w:left w:val="none" w:color="000000" w:sz="4"/>
                <w:bottom w:val="none" w:color="000000" w:sz="4"/>
                <w:right w:val="none" w:color="000000" w:sz="4"/>
                <w:insideH w:val="none"/>
                <w:insideV w:val="none"/>
              </w:tblBorders>
            </w:tblPr>
            <w:tblGrid>
              <w:gridCol w:w="643"/>
              <w:gridCol w:w="383"/>
              <w:gridCol w:w="1163"/>
              <w:gridCol w:w="3380"/>
            </w:tblGrid>
            <w:tr>
              <w:tc>
                <w:tcPr>
                  <w:tcW w:type="dxa" w:w="643"/>
                  <w:tcBorders>
                    <w:top w:val="single" w:color="000000" w:sz="4"/>
                    <w:left w:val="single" w:color="000000" w:sz="4"/>
                    <w:bottom w:val="single" w:color="000000" w:sz="4"/>
                    <w:right w:val="single" w:color="000000" w:sz="4"/>
                  </w:tcBorders>
                  <w:shd w:fill="D9E2F3"/>
                  <w:tcMar>
                    <w:top w:type="dxa" w:w="15"/>
                    <w:left w:type="dxa" w:w="60"/>
                    <w:bottom w:type="dxa" w:w="15"/>
                    <w:right w:type="dxa" w:w="60"/>
                  </w:tcMar>
                  <w:vAlign w:val="top"/>
                </w:tcPr>
                <w:p>
                  <w:pPr>
                    <w:pStyle w:val="null3"/>
                    <w:jc w:val="center"/>
                  </w:pPr>
                  <w:r>
                    <w:rPr>
                      <w:sz w:val="20"/>
                      <w:b/>
                    </w:rPr>
                    <w:t>功能名称</w:t>
                  </w:r>
                </w:p>
              </w:tc>
              <w:tc>
                <w:tcPr>
                  <w:tcW w:type="dxa" w:w="383"/>
                  <w:tcBorders>
                    <w:top w:val="single" w:color="000000" w:sz="4"/>
                    <w:left w:val="single" w:color="000000" w:sz="4"/>
                    <w:bottom w:val="single" w:color="000000" w:sz="4"/>
                    <w:right w:val="single" w:color="000000" w:sz="4"/>
                  </w:tcBorders>
                  <w:shd w:fill="D9E2F3"/>
                  <w:tcMar>
                    <w:top w:type="dxa" w:w="15"/>
                    <w:left w:type="dxa" w:w="60"/>
                    <w:bottom w:type="dxa" w:w="15"/>
                    <w:right w:type="dxa" w:w="60"/>
                  </w:tcMar>
                  <w:vAlign w:val="top"/>
                </w:tcPr>
                <w:p>
                  <w:pPr>
                    <w:pStyle w:val="null3"/>
                    <w:jc w:val="center"/>
                  </w:pPr>
                  <w:r>
                    <w:rPr>
                      <w:sz w:val="20"/>
                      <w:b/>
                    </w:rPr>
                    <w:t>系统模块</w:t>
                  </w:r>
                </w:p>
              </w:tc>
              <w:tc>
                <w:tcPr>
                  <w:tcW w:type="dxa" w:w="1163"/>
                  <w:tcBorders>
                    <w:top w:val="single" w:color="000000" w:sz="4"/>
                    <w:left w:val="single" w:color="000000" w:sz="4"/>
                    <w:bottom w:val="single" w:color="000000" w:sz="4"/>
                    <w:right w:val="single" w:color="000000" w:sz="4"/>
                  </w:tcBorders>
                  <w:shd w:fill="D9E2F3"/>
                  <w:tcMar>
                    <w:top w:type="dxa" w:w="15"/>
                    <w:left w:type="dxa" w:w="60"/>
                    <w:bottom w:type="dxa" w:w="15"/>
                    <w:right w:type="dxa" w:w="60"/>
                  </w:tcMar>
                  <w:vAlign w:val="top"/>
                </w:tcPr>
                <w:p>
                  <w:pPr>
                    <w:pStyle w:val="null3"/>
                    <w:jc w:val="center"/>
                  </w:pPr>
                  <w:r>
                    <w:rPr>
                      <w:sz w:val="20"/>
                      <w:b/>
                    </w:rPr>
                    <w:t>相关功能</w:t>
                  </w:r>
                </w:p>
              </w:tc>
              <w:tc>
                <w:tcPr>
                  <w:tcW w:type="dxa" w:w="3380"/>
                  <w:tcBorders>
                    <w:top w:val="single" w:color="000000" w:sz="4"/>
                    <w:left w:val="single" w:color="000000" w:sz="4"/>
                    <w:bottom w:val="single" w:color="000000" w:sz="4"/>
                    <w:right w:val="single" w:color="000000" w:sz="4"/>
                  </w:tcBorders>
                  <w:shd w:fill="D9E2F3"/>
                  <w:tcMar>
                    <w:top w:type="dxa" w:w="15"/>
                    <w:left w:type="dxa" w:w="60"/>
                    <w:bottom w:type="dxa" w:w="15"/>
                    <w:right w:type="dxa" w:w="60"/>
                  </w:tcMar>
                  <w:vAlign w:val="top"/>
                </w:tcPr>
                <w:p>
                  <w:pPr>
                    <w:pStyle w:val="null3"/>
                    <w:jc w:val="center"/>
                  </w:pPr>
                  <w:r>
                    <w:rPr>
                      <w:sz w:val="20"/>
                      <w:b/>
                    </w:rPr>
                    <w:t>功能描述</w:t>
                  </w:r>
                </w:p>
              </w:tc>
            </w:tr>
            <w:tr>
              <w:tc>
                <w:tcPr>
                  <w:tcW w:type="dxa" w:w="643"/>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门诊医生工作站</w:t>
                  </w:r>
                </w:p>
              </w:tc>
              <w:tc>
                <w:tcPr>
                  <w:tcW w:type="dxa" w:w="383"/>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入院申请</w:t>
                  </w: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入院申请</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录入入院申请信息，含患者基本信息，入院外伤情况、入院途径、交纳按金金额、门（急）诊诊断，入院科室、入院时间、办理入院医生姓名、医生工号、结构化现居地址、联系人地址等。</w:t>
                  </w:r>
                </w:p>
                <w:p>
                  <w:pPr>
                    <w:pStyle w:val="null3"/>
                    <w:jc w:val="left"/>
                  </w:pPr>
                  <w:r>
                    <w:rPr>
                      <w:sz w:val="20"/>
                    </w:rPr>
                    <w:t>将入院申请信息推送给微信公众号</w:t>
                  </w:r>
                </w:p>
              </w:tc>
            </w:tr>
            <w:tr>
              <w:tc>
                <w:tcPr>
                  <w:tcW w:type="dxa" w:w="643"/>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入院申请记录查询</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提供入院申请记录的查看、修改与打印功能</w:t>
                  </w:r>
                </w:p>
              </w:tc>
            </w:tr>
            <w:tr>
              <w:tc>
                <w:tcPr>
                  <w:tcW w:type="dxa" w:w="643"/>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住院护士工作站</w:t>
                  </w:r>
                </w:p>
              </w:tc>
              <w:tc>
                <w:tcPr>
                  <w:tcW w:type="dxa" w:w="383"/>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办理入院</w:t>
                  </w: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打印入院登记卡</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办理入院时打印入院登记卡用于归档</w:t>
                  </w:r>
                </w:p>
              </w:tc>
            </w:tr>
            <w:tr>
              <w:tc>
                <w:tcPr>
                  <w:tcW w:type="dxa" w:w="643"/>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打印患者身份证件</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办理入院时打印患者身份证件用于归档</w:t>
                  </w:r>
                </w:p>
              </w:tc>
            </w:tr>
            <w:tr>
              <w:tc>
                <w:tcPr>
                  <w:tcW w:type="dxa" w:w="643"/>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住院收费系统</w:t>
                  </w:r>
                </w:p>
              </w:tc>
              <w:tc>
                <w:tcPr>
                  <w:tcW w:type="dxa" w:w="383"/>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住院押金</w:t>
                  </w: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缴纳押金</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可接收患者移动服务平台同步的押金缴纳信息</w:t>
                  </w:r>
                </w:p>
              </w:tc>
            </w:tr>
            <w:tr>
              <w:tc>
                <w:tcPr>
                  <w:tcW w:type="dxa" w:w="643"/>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退押金</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可退移动端缴纳的押金</w:t>
                  </w:r>
                </w:p>
              </w:tc>
            </w:tr>
            <w:tr>
              <w:tc>
                <w:tcPr>
                  <w:tcW w:type="dxa" w:w="643"/>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住院结算</w:t>
                  </w: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住院结算</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可接收患者移动端住院结算信息</w:t>
                  </w:r>
                </w:p>
              </w:tc>
            </w:tr>
            <w:tr>
              <w:tc>
                <w:tcPr>
                  <w:tcW w:type="dxa" w:w="643"/>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患者移动服务平台</w:t>
                  </w:r>
                </w:p>
              </w:tc>
              <w:tc>
                <w:tcPr>
                  <w:tcW w:type="dxa" w:w="38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我的住院</w:t>
                  </w: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住院服务首页</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住院服务页面增加</w:t>
                  </w:r>
                  <w:r>
                    <w:rPr>
                      <w:sz w:val="20"/>
                    </w:rPr>
                    <w:t>“入院登记”</w:t>
                  </w:r>
                </w:p>
              </w:tc>
            </w:tr>
            <w:tr>
              <w:tc>
                <w:tcPr>
                  <w:tcW w:type="dxa" w:w="643"/>
                  <w:vMerge/>
                  <w:tcBorders>
                    <w:top w:val="none" w:color="000000" w:sz="4"/>
                    <w:left w:val="single" w:color="000000" w:sz="4"/>
                    <w:bottom w:val="single" w:color="000000" w:sz="4"/>
                    <w:right w:val="single" w:color="000000" w:sz="4"/>
                  </w:tcBorders>
                </w:tcPr>
                <w:p/>
              </w:tc>
              <w:tc>
                <w:tcPr>
                  <w:tcW w:type="dxa" w:w="383"/>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入院登记</w:t>
                  </w: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选卡登记</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选择已绑定的就诊卡填写入院登记；</w:t>
                  </w:r>
                </w:p>
                <w:p>
                  <w:pPr>
                    <w:pStyle w:val="null3"/>
                    <w:jc w:val="left"/>
                  </w:pPr>
                  <w:r>
                    <w:rPr>
                      <w:sz w:val="20"/>
                    </w:rPr>
                    <w:t>可添加新的就诊卡</w:t>
                  </w:r>
                </w:p>
              </w:tc>
            </w:tr>
            <w:tr>
              <w:tc>
                <w:tcPr>
                  <w:tcW w:type="dxa" w:w="643"/>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入院须知</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入院登记前，查看</w:t>
                  </w:r>
                  <w:r>
                    <w:rPr>
                      <w:sz w:val="20"/>
                    </w:rPr>
                    <w:t>“入院须知”内容，点击“我已阅读并同意内容”进入入院登记填写信息；</w:t>
                  </w:r>
                </w:p>
                <w:p>
                  <w:pPr>
                    <w:pStyle w:val="null3"/>
                    <w:jc w:val="left"/>
                  </w:pPr>
                  <w:r>
                    <w:rPr>
                      <w:sz w:val="20"/>
                    </w:rPr>
                    <w:t>支持在管理端配置入院须知内容</w:t>
                  </w:r>
                  <w:r>
                    <w:rPr>
                      <w:sz w:val="20"/>
                    </w:rPr>
                    <w:t>；</w:t>
                  </w:r>
                </w:p>
              </w:tc>
            </w:tr>
            <w:tr>
              <w:tc>
                <w:tcPr>
                  <w:tcW w:type="dxa" w:w="643"/>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填写入院登记</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分步填写入院登记信息：基本信息、住院信息、详细信息、联系人信息，并上传身份证件照片；</w:t>
                  </w:r>
                </w:p>
              </w:tc>
            </w:tr>
            <w:tr>
              <w:tc>
                <w:tcPr>
                  <w:tcW w:type="dxa" w:w="643"/>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提交入院登记</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确认入院登记信息并提交；</w:t>
                  </w:r>
                </w:p>
                <w:p>
                  <w:pPr>
                    <w:pStyle w:val="null3"/>
                    <w:jc w:val="left"/>
                  </w:pPr>
                  <w:r>
                    <w:rPr>
                      <w:sz w:val="20"/>
                    </w:rPr>
                    <w:t>可返回修改入院登记信息；</w:t>
                  </w:r>
                </w:p>
                <w:p>
                  <w:pPr>
                    <w:pStyle w:val="null3"/>
                    <w:jc w:val="left"/>
                  </w:pPr>
                  <w:r>
                    <w:rPr>
                      <w:sz w:val="20"/>
                    </w:rPr>
                    <w:t>若可缴纳押金，即跳转到住院预交金缴纳押金</w:t>
                  </w:r>
                </w:p>
              </w:tc>
            </w:tr>
            <w:tr>
              <w:tc>
                <w:tcPr>
                  <w:tcW w:type="dxa" w:w="643"/>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查看入院登记</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查看暂存和已提交的入院登记申请列表和详情（住院号）</w:t>
                  </w:r>
                </w:p>
              </w:tc>
            </w:tr>
            <w:tr>
              <w:tc>
                <w:tcPr>
                  <w:tcW w:type="dxa" w:w="643"/>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修改入院登记</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修改暂存的入院登记，已提交的入院登记不可修改</w:t>
                  </w:r>
                </w:p>
              </w:tc>
            </w:tr>
            <w:tr>
              <w:tc>
                <w:tcPr>
                  <w:tcW w:type="dxa" w:w="643"/>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删除入院登记</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删除暂存的入院登记。</w:t>
                  </w:r>
                </w:p>
              </w:tc>
            </w:tr>
            <w:tr>
              <w:tc>
                <w:tcPr>
                  <w:tcW w:type="dxa" w:w="643"/>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预交金缴纳</w:t>
                  </w: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支付预交金</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在院患者缴纳住院预交金；</w:t>
                  </w:r>
                </w:p>
                <w:p>
                  <w:pPr>
                    <w:pStyle w:val="null3"/>
                    <w:jc w:val="left"/>
                  </w:pPr>
                  <w:r>
                    <w:rPr>
                      <w:sz w:val="20"/>
                    </w:rPr>
                    <w:t>查看预交金缴费记录；</w:t>
                  </w:r>
                </w:p>
                <w:p>
                  <w:pPr>
                    <w:pStyle w:val="null3"/>
                    <w:jc w:val="left"/>
                  </w:pPr>
                  <w:r>
                    <w:rPr>
                      <w:sz w:val="20"/>
                    </w:rPr>
                    <w:t>支付成功后通知</w:t>
                  </w:r>
                  <w:r>
                    <w:rPr>
                      <w:sz w:val="20"/>
                    </w:rPr>
                    <w:t>HIS，用于支持窗口原路退费；支持设定预缴金最低限额；</w:t>
                  </w:r>
                </w:p>
              </w:tc>
            </w:tr>
            <w:tr>
              <w:tc>
                <w:tcPr>
                  <w:tcW w:type="dxa" w:w="643"/>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住院费用</w:t>
                  </w: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查看住院费用</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查看费用明细清单和每日清单；</w:t>
                  </w:r>
                </w:p>
                <w:p>
                  <w:pPr>
                    <w:pStyle w:val="null3"/>
                    <w:jc w:val="left"/>
                  </w:pPr>
                  <w:r>
                    <w:rPr>
                      <w:sz w:val="20"/>
                    </w:rPr>
                    <w:t>查看电子发票</w:t>
                  </w:r>
                </w:p>
              </w:tc>
            </w:tr>
            <w:tr>
              <w:tc>
                <w:tcPr>
                  <w:tcW w:type="dxa" w:w="643"/>
                  <w:vMerge/>
                  <w:tcBorders>
                    <w:top w:val="none" w:color="000000" w:sz="4"/>
                    <w:left w:val="single" w:color="000000" w:sz="4"/>
                    <w:bottom w:val="single" w:color="000000" w:sz="4"/>
                    <w:right w:val="single" w:color="000000" w:sz="4"/>
                  </w:tcBorders>
                </w:tcPr>
                <w:p/>
              </w:tc>
              <w:tc>
                <w:tcPr>
                  <w:tcW w:type="dxa" w:w="383"/>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出院结算</w:t>
                  </w: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查看出院结算</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查看出院结算信息：费用合计、预付金额、报销金额、剩余金额等。支持广州市医保、省直医保和市直医保。</w:t>
                  </w:r>
                </w:p>
                <w:p>
                  <w:pPr>
                    <w:pStyle w:val="null3"/>
                    <w:jc w:val="left"/>
                  </w:pPr>
                  <w:r>
                    <w:rPr>
                      <w:sz w:val="20"/>
                    </w:rPr>
                    <w:t>支持费用项目按类别汇总展示，并能查看各汇总项目的费用明细；</w:t>
                  </w:r>
                </w:p>
              </w:tc>
            </w:tr>
            <w:tr>
              <w:tc>
                <w:tcPr>
                  <w:tcW w:type="dxa" w:w="643"/>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结算结算（补缴）</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出院结算时，若预付金少于住院总费用，患者可进行余款补缴；</w:t>
                  </w:r>
                </w:p>
                <w:p>
                  <w:pPr>
                    <w:pStyle w:val="null3"/>
                    <w:jc w:val="left"/>
                  </w:pPr>
                  <w:r>
                    <w:rPr>
                      <w:sz w:val="20"/>
                    </w:rPr>
                    <w:t>结算成功之后，患者可在住院费用中查看费用明细清单、电子发票；</w:t>
                  </w:r>
                </w:p>
                <w:p>
                  <w:pPr>
                    <w:pStyle w:val="null3"/>
                    <w:jc w:val="left"/>
                  </w:pPr>
                  <w:r>
                    <w:rPr>
                      <w:sz w:val="20"/>
                    </w:rPr>
                    <w:t>支付成功后同步</w:t>
                  </w:r>
                  <w:r>
                    <w:rPr>
                      <w:sz w:val="20"/>
                    </w:rPr>
                    <w:t>HIS端，返回结算完毕成功消息，出院结算流程结束；</w:t>
                  </w:r>
                </w:p>
                <w:p>
                  <w:pPr>
                    <w:pStyle w:val="null3"/>
                    <w:jc w:val="left"/>
                  </w:pPr>
                  <w:r>
                    <w:rPr>
                      <w:sz w:val="20"/>
                    </w:rPr>
                    <w:t>外伤、生育、工伤等特殊病人不允许做线上结算，</w:t>
                  </w:r>
                  <w:r>
                    <w:rPr>
                      <w:sz w:val="20"/>
                    </w:rPr>
                    <w:t>his返回不可结算状态，即患者无法在移动进行结算；</w:t>
                  </w:r>
                </w:p>
                <w:p>
                  <w:pPr>
                    <w:pStyle w:val="null3"/>
                    <w:jc w:val="left"/>
                  </w:pPr>
                  <w:r>
                    <w:rPr>
                      <w:sz w:val="20"/>
                    </w:rPr>
                    <w:t>可设置一个工号用于微信住院预交金、微信清账报表对账。</w:t>
                  </w:r>
                </w:p>
              </w:tc>
            </w:tr>
            <w:tr>
              <w:tc>
                <w:tcPr>
                  <w:tcW w:type="dxa" w:w="643"/>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w:t>
                  </w:r>
                  <w:r>
                    <w:rPr>
                      <w:sz w:val="20"/>
                    </w:rPr>
                    <w:t>出院结算（退费）</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出院结算时，若预付金额超过住院总费用，可根据配置的退费渠道进行退费。</w:t>
                  </w:r>
                </w:p>
                <w:p>
                  <w:pPr>
                    <w:pStyle w:val="null3"/>
                    <w:jc w:val="left"/>
                  </w:pPr>
                  <w:r>
                    <w:rPr>
                      <w:sz w:val="20"/>
                    </w:rPr>
                    <w:t>支持退费时选择缴费订单，按订单退费。</w:t>
                  </w:r>
                </w:p>
                <w:p>
                  <w:pPr>
                    <w:pStyle w:val="null3"/>
                    <w:jc w:val="left"/>
                  </w:pPr>
                  <w:r>
                    <w:rPr>
                      <w:sz w:val="20"/>
                    </w:rPr>
                    <w:t>支持自费、医保患者的出院结算退费。</w:t>
                  </w:r>
                </w:p>
              </w:tc>
            </w:tr>
            <w:tr>
              <w:tc>
                <w:tcPr>
                  <w:tcW w:type="dxa" w:w="643"/>
                  <w:vMerge/>
                  <w:tcBorders>
                    <w:top w:val="none" w:color="000000" w:sz="4"/>
                    <w:left w:val="single" w:color="000000" w:sz="4"/>
                    <w:bottom w:val="single" w:color="000000" w:sz="4"/>
                    <w:right w:val="single" w:color="000000" w:sz="4"/>
                  </w:tcBorders>
                </w:tcPr>
                <w:p/>
              </w:tc>
              <w:tc>
                <w:tcPr>
                  <w:tcW w:type="dxa" w:w="38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出院须知</w:t>
                  </w: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查看出院须知</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1、支持在管理端配置出院须知内容；</w:t>
                  </w:r>
                  <w:r>
                    <w:br/>
                  </w:r>
                  <w:r>
                    <w:rPr>
                      <w:sz w:val="20"/>
                    </w:rPr>
                    <w:t>2、支持特殊提醒内容用不同颜色不同字体标注；</w:t>
                  </w:r>
                </w:p>
                <w:p>
                  <w:pPr>
                    <w:pStyle w:val="null3"/>
                    <w:jc w:val="left"/>
                  </w:pPr>
                  <w:r>
                    <w:rPr>
                      <w:sz w:val="20"/>
                    </w:rPr>
                    <w:t>3、支持插入图片。</w:t>
                  </w:r>
                </w:p>
              </w:tc>
            </w:tr>
            <w:tr>
              <w:tc>
                <w:tcPr>
                  <w:tcW w:type="dxa" w:w="643"/>
                  <w:vMerge/>
                  <w:tcBorders>
                    <w:top w:val="none" w:color="000000" w:sz="4"/>
                    <w:left w:val="single" w:color="000000" w:sz="4"/>
                    <w:bottom w:val="single" w:color="000000" w:sz="4"/>
                    <w:right w:val="single" w:color="000000" w:sz="4"/>
                  </w:tcBorders>
                </w:tcPr>
                <w:p/>
              </w:tc>
              <w:tc>
                <w:tcPr>
                  <w:tcW w:type="dxa" w:w="383"/>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出院小结</w:t>
                  </w: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出院小结列表</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支持查看多次住院记录的出院小结。</w:t>
                  </w:r>
                </w:p>
              </w:tc>
            </w:tr>
            <w:tr>
              <w:tc>
                <w:tcPr>
                  <w:tcW w:type="dxa" w:w="643"/>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出院小结详情</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支持查看入院诊断，出院诊断，诊疗经过，出院医嘱。</w:t>
                  </w:r>
                </w:p>
              </w:tc>
            </w:tr>
            <w:tr>
              <w:tc>
                <w:tcPr>
                  <w:tcW w:type="dxa" w:w="64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每日清单查询</w:t>
                  </w:r>
                </w:p>
              </w:tc>
              <w:tc>
                <w:tcPr>
                  <w:tcW w:type="dxa" w:w="1163"/>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每日清单查询</w:t>
                  </w:r>
                </w:p>
              </w:tc>
              <w:tc>
                <w:tcPr>
                  <w:tcW w:type="dxa" w:w="338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在线每日清单查询是实现患者手机查看住院期间每天的费用清单信息的应用。它包括当日总费用、当日费用明细功能，可以提升费用信息透明度，改善患者住院体验。</w:t>
                  </w:r>
                </w:p>
              </w:tc>
            </w:tr>
          </w:tbl>
          <w:p/>
        </w:tc>
      </w:tr>
      <w:tr>
        <w:tc>
          <w:tcPr>
            <w:tcW w:type="dxa" w:w="2076"/>
          </w:tcPr>
          <w:p/>
        </w:tc>
        <w:tc>
          <w:tcPr>
            <w:tcW w:type="dxa" w:w="415"/>
          </w:tcPr>
          <w:p>
            <w:pPr>
              <w:pStyle w:val="null3"/>
            </w:pPr>
            <w:r>
              <w:rPr/>
              <w:t>5</w:t>
            </w:r>
          </w:p>
        </w:tc>
        <w:tc>
          <w:tcPr>
            <w:tcW w:type="dxa" w:w="5814"/>
          </w:tcPr>
          <w:p>
            <w:pPr>
              <w:pStyle w:val="null3"/>
            </w:pPr>
            <w:r>
              <w:rPr/>
              <w:t>（三）自助机改造</w:t>
            </w:r>
          </w:p>
          <w:tbl>
            <w:tblPr>
              <w:tblInd w:type="dxa" w:w="180"/>
              <w:tblBorders>
                <w:top w:val="none" w:color="000000" w:sz="4"/>
                <w:left w:val="none" w:color="000000" w:sz="4"/>
                <w:bottom w:val="none" w:color="000000" w:sz="4"/>
                <w:right w:val="none" w:color="000000" w:sz="4"/>
                <w:insideH w:val="none"/>
                <w:insideV w:val="none"/>
              </w:tblBorders>
            </w:tblPr>
            <w:tblGrid>
              <w:gridCol w:w="648"/>
              <w:gridCol w:w="972"/>
              <w:gridCol w:w="1142"/>
              <w:gridCol w:w="2820"/>
            </w:tblGrid>
            <w:tr>
              <w:tc>
                <w:tcPr>
                  <w:tcW w:type="dxa" w:w="648"/>
                  <w:tcBorders>
                    <w:top w:val="single" w:color="000000" w:sz="4"/>
                    <w:left w:val="single" w:color="000000" w:sz="4"/>
                    <w:bottom w:val="single" w:color="000000" w:sz="4"/>
                    <w:right w:val="single" w:color="000000" w:sz="4"/>
                  </w:tcBorders>
                  <w:shd w:fill="D9E2F3"/>
                  <w:tcMar>
                    <w:top w:type="dxa" w:w="15"/>
                    <w:left w:type="dxa" w:w="60"/>
                    <w:bottom w:type="dxa" w:w="15"/>
                    <w:right w:type="dxa" w:w="60"/>
                  </w:tcMar>
                  <w:vAlign w:val="top"/>
                </w:tcPr>
                <w:p>
                  <w:pPr>
                    <w:pStyle w:val="null3"/>
                    <w:jc w:val="center"/>
                  </w:pPr>
                  <w:r>
                    <w:rPr>
                      <w:sz w:val="20"/>
                      <w:b/>
                    </w:rPr>
                    <w:t>功能名称</w:t>
                  </w:r>
                </w:p>
              </w:tc>
              <w:tc>
                <w:tcPr>
                  <w:tcW w:type="dxa" w:w="972"/>
                  <w:tcBorders>
                    <w:top w:val="single" w:color="000000" w:sz="4"/>
                    <w:left w:val="single" w:color="000000" w:sz="4"/>
                    <w:bottom w:val="single" w:color="000000" w:sz="4"/>
                    <w:right w:val="single" w:color="000000" w:sz="4"/>
                  </w:tcBorders>
                  <w:shd w:fill="D9E2F3"/>
                  <w:tcMar>
                    <w:top w:type="dxa" w:w="15"/>
                    <w:left w:type="dxa" w:w="60"/>
                    <w:bottom w:type="dxa" w:w="15"/>
                    <w:right w:type="dxa" w:w="60"/>
                  </w:tcMar>
                  <w:vAlign w:val="top"/>
                </w:tcPr>
                <w:p>
                  <w:pPr>
                    <w:pStyle w:val="null3"/>
                    <w:jc w:val="center"/>
                  </w:pPr>
                  <w:r>
                    <w:rPr>
                      <w:sz w:val="20"/>
                      <w:b/>
                    </w:rPr>
                    <w:t>系统模块</w:t>
                  </w:r>
                </w:p>
              </w:tc>
              <w:tc>
                <w:tcPr>
                  <w:tcW w:type="dxa" w:w="1142"/>
                  <w:tcBorders>
                    <w:top w:val="single" w:color="000000" w:sz="4"/>
                    <w:left w:val="single" w:color="000000" w:sz="4"/>
                    <w:bottom w:val="single" w:color="000000" w:sz="4"/>
                    <w:right w:val="single" w:color="000000" w:sz="4"/>
                  </w:tcBorders>
                  <w:shd w:fill="D9E2F3"/>
                  <w:tcMar>
                    <w:top w:type="dxa" w:w="15"/>
                    <w:left w:type="dxa" w:w="60"/>
                    <w:bottom w:type="dxa" w:w="15"/>
                    <w:right w:type="dxa" w:w="60"/>
                  </w:tcMar>
                  <w:vAlign w:val="top"/>
                </w:tcPr>
                <w:p>
                  <w:pPr>
                    <w:pStyle w:val="null3"/>
                    <w:jc w:val="center"/>
                  </w:pPr>
                  <w:r>
                    <w:rPr>
                      <w:sz w:val="20"/>
                      <w:b/>
                    </w:rPr>
                    <w:t>相关功能</w:t>
                  </w:r>
                </w:p>
              </w:tc>
              <w:tc>
                <w:tcPr>
                  <w:tcW w:type="dxa" w:w="2820"/>
                  <w:tcBorders>
                    <w:top w:val="single" w:color="000000" w:sz="4"/>
                    <w:left w:val="single" w:color="000000" w:sz="4"/>
                    <w:bottom w:val="single" w:color="000000" w:sz="4"/>
                    <w:right w:val="single" w:color="000000" w:sz="4"/>
                  </w:tcBorders>
                  <w:shd w:fill="D9E2F3"/>
                  <w:tcMar>
                    <w:top w:type="dxa" w:w="15"/>
                    <w:left w:type="dxa" w:w="60"/>
                    <w:bottom w:type="dxa" w:w="15"/>
                    <w:right w:type="dxa" w:w="60"/>
                  </w:tcMar>
                  <w:vAlign w:val="top"/>
                </w:tcPr>
                <w:p>
                  <w:pPr>
                    <w:pStyle w:val="null3"/>
                    <w:jc w:val="center"/>
                  </w:pPr>
                  <w:r>
                    <w:rPr>
                      <w:sz w:val="20"/>
                      <w:b/>
                    </w:rPr>
                    <w:t>功能描述</w:t>
                  </w:r>
                </w:p>
              </w:tc>
            </w:tr>
            <w:tr>
              <w:tc>
                <w:tcPr>
                  <w:tcW w:type="dxa" w:w="648"/>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自助机改造</w:t>
                  </w:r>
                </w:p>
              </w:tc>
              <w:tc>
                <w:tcPr>
                  <w:tcW w:type="dxa" w:w="972"/>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门诊业务</w:t>
                  </w:r>
                </w:p>
              </w:tc>
              <w:tc>
                <w:tcPr>
                  <w:tcW w:type="dxa" w:w="1142"/>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门诊病历</w:t>
                  </w:r>
                </w:p>
              </w:tc>
              <w:tc>
                <w:tcPr>
                  <w:tcW w:type="dxa" w:w="282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如</w:t>
                  </w:r>
                  <w:r>
                    <w:rPr>
                      <w:sz w:val="20"/>
                    </w:rPr>
                    <w:t>患者</w:t>
                  </w:r>
                  <w:r>
                    <w:rPr>
                      <w:sz w:val="20"/>
                    </w:rPr>
                    <w:t>需要打印纸质病历或处方单，可在医院自助机上进行自助打印。打印格式由</w:t>
                  </w:r>
                  <w:r>
                    <w:rPr>
                      <w:sz w:val="20"/>
                    </w:rPr>
                    <w:t>H</w:t>
                  </w:r>
                  <w:r>
                    <w:rPr>
                      <w:sz w:val="20"/>
                    </w:rPr>
                    <w:t>IS</w:t>
                  </w:r>
                  <w:r>
                    <w:rPr>
                      <w:sz w:val="20"/>
                    </w:rPr>
                    <w:t>生成</w:t>
                  </w:r>
                  <w:r>
                    <w:rPr>
                      <w:sz w:val="20"/>
                    </w:rPr>
                    <w:t>pdf格式再由自助机进行打印。</w:t>
                  </w:r>
                </w:p>
              </w:tc>
            </w:tr>
            <w:tr>
              <w:tc>
                <w:tcPr>
                  <w:tcW w:type="dxa" w:w="648"/>
                  <w:vMerge/>
                  <w:tcBorders>
                    <w:top w:val="none" w:color="000000" w:sz="4"/>
                    <w:left w:val="single" w:color="000000" w:sz="4"/>
                    <w:bottom w:val="single" w:color="000000" w:sz="4"/>
                    <w:right w:val="single" w:color="000000" w:sz="4"/>
                  </w:tcBorders>
                </w:tcPr>
                <w:p/>
              </w:tc>
              <w:tc>
                <w:tcPr>
                  <w:tcW w:type="dxa" w:w="972"/>
                  <w:vMerge/>
                  <w:tcBorders>
                    <w:top w:val="none" w:color="000000" w:sz="4"/>
                    <w:left w:val="single" w:color="000000" w:sz="4"/>
                    <w:bottom w:val="single" w:color="000000" w:sz="4"/>
                    <w:right w:val="single" w:color="000000" w:sz="4"/>
                  </w:tcBorders>
                </w:tcPr>
                <w:p/>
              </w:tc>
              <w:tc>
                <w:tcPr>
                  <w:tcW w:type="dxa" w:w="1142"/>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门诊单据</w:t>
                  </w:r>
                </w:p>
              </w:tc>
              <w:tc>
                <w:tcPr>
                  <w:tcW w:type="dxa" w:w="282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挂号凭证、就诊指引单</w:t>
                  </w:r>
                </w:p>
              </w:tc>
            </w:tr>
            <w:tr>
              <w:tc>
                <w:tcPr>
                  <w:tcW w:type="dxa" w:w="648"/>
                  <w:vMerge/>
                  <w:tcBorders>
                    <w:top w:val="none" w:color="000000" w:sz="4"/>
                    <w:left w:val="single" w:color="000000" w:sz="4"/>
                    <w:bottom w:val="single" w:color="000000" w:sz="4"/>
                    <w:right w:val="single" w:color="000000" w:sz="4"/>
                  </w:tcBorders>
                </w:tcPr>
                <w:p/>
              </w:tc>
              <w:tc>
                <w:tcPr>
                  <w:tcW w:type="dxa" w:w="972"/>
                  <w:vMerge w:val="restart"/>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住院业务</w:t>
                  </w:r>
                </w:p>
              </w:tc>
              <w:tc>
                <w:tcPr>
                  <w:tcW w:type="dxa" w:w="1142"/>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住院费用清单</w:t>
                  </w:r>
                </w:p>
              </w:tc>
              <w:tc>
                <w:tcPr>
                  <w:tcW w:type="dxa" w:w="282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打印患者的住院费用清单</w:t>
                  </w:r>
                </w:p>
              </w:tc>
            </w:tr>
            <w:tr>
              <w:tc>
                <w:tcPr>
                  <w:tcW w:type="dxa" w:w="648"/>
                  <w:vMerge/>
                  <w:tcBorders>
                    <w:top w:val="none" w:color="000000" w:sz="4"/>
                    <w:left w:val="single" w:color="000000" w:sz="4"/>
                    <w:bottom w:val="single" w:color="000000" w:sz="4"/>
                    <w:right w:val="single" w:color="000000" w:sz="4"/>
                  </w:tcBorders>
                </w:tcPr>
                <w:p/>
              </w:tc>
              <w:tc>
                <w:tcPr>
                  <w:tcW w:type="dxa" w:w="972"/>
                  <w:vMerge/>
                  <w:tcBorders>
                    <w:top w:val="none" w:color="000000" w:sz="4"/>
                    <w:left w:val="single" w:color="000000" w:sz="4"/>
                    <w:bottom w:val="single" w:color="000000" w:sz="4"/>
                    <w:right w:val="single" w:color="000000" w:sz="4"/>
                  </w:tcBorders>
                </w:tcPr>
                <w:p/>
              </w:tc>
              <w:tc>
                <w:tcPr>
                  <w:tcW w:type="dxa" w:w="1142"/>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预交金单据</w:t>
                  </w:r>
                </w:p>
              </w:tc>
              <w:tc>
                <w:tcPr>
                  <w:tcW w:type="dxa" w:w="282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rPr>
                    <w:t>打印预交金单据、入院申请单（</w:t>
                  </w:r>
                  <w:r>
                    <w:rPr>
                      <w:sz w:val="20"/>
                    </w:rPr>
                    <w:t>本次建设不含自助机的预交金功能。</w:t>
                  </w:r>
                </w:p>
                <w:p>
                  <w:pPr>
                    <w:pStyle w:val="null3"/>
                  </w:pPr>
                  <w:r>
                    <w:rPr>
                      <w:sz w:val="20"/>
                    </w:rPr>
                    <w:t>）</w:t>
                  </w:r>
                </w:p>
                <w:p>
                  <w:pPr>
                    <w:pStyle w:val="null3"/>
                  </w:pPr>
                  <w:r>
                    <w:rPr>
                      <w:sz w:val="19"/>
                    </w:rPr>
                    <w:t xml:space="preserve"> </w:t>
                  </w:r>
                </w:p>
              </w:tc>
            </w:tr>
            <w:tr>
              <w:tc>
                <w:tcPr>
                  <w:tcW w:type="dxa" w:w="648"/>
                  <w:vMerge/>
                  <w:tcBorders>
                    <w:top w:val="none" w:color="000000" w:sz="4"/>
                    <w:left w:val="single" w:color="000000" w:sz="4"/>
                    <w:bottom w:val="single" w:color="000000" w:sz="4"/>
                    <w:right w:val="single" w:color="000000" w:sz="4"/>
                  </w:tcBorders>
                </w:tcPr>
                <w:p/>
              </w:tc>
              <w:tc>
                <w:tcPr>
                  <w:tcW w:type="dxa" w:w="972"/>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全院业务</w:t>
                  </w:r>
                </w:p>
              </w:tc>
              <w:tc>
                <w:tcPr>
                  <w:tcW w:type="dxa" w:w="1142"/>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center"/>
                  </w:pPr>
                  <w:r>
                    <w:rPr>
                      <w:sz w:val="20"/>
                    </w:rPr>
                    <w:t>打印报告单</w:t>
                  </w:r>
                </w:p>
              </w:tc>
              <w:tc>
                <w:tcPr>
                  <w:tcW w:type="dxa" w:w="2820"/>
                  <w:tcBorders>
                    <w:top w:val="none" w:color="000000" w:sz="4"/>
                    <w:left w:val="single" w:color="000000" w:sz="4"/>
                    <w:bottom w:val="single" w:color="000000" w:sz="4"/>
                    <w:right w:val="single" w:color="000000" w:sz="4"/>
                  </w:tcBorders>
                  <w:tcMar>
                    <w:top w:type="dxa" w:w="15"/>
                    <w:left w:type="dxa" w:w="60"/>
                    <w:bottom w:type="dxa" w:w="15"/>
                    <w:right w:type="dxa" w:w="60"/>
                  </w:tcMar>
                  <w:vAlign w:val="top"/>
                </w:tcPr>
                <w:p>
                  <w:pPr>
                    <w:pStyle w:val="null3"/>
                    <w:jc w:val="left"/>
                  </w:pPr>
                  <w:r>
                    <w:rPr>
                      <w:sz w:val="20"/>
                      <w:color w:val="000000"/>
                    </w:rPr>
                    <w:t>支持打印门诊、住院的检查检验报告、病理报告查询患者信息（增加医保电子凭证、门诊号、住院号和电子健康码</w:t>
                  </w:r>
                  <w:r>
                    <w:rPr>
                      <w:sz w:val="20"/>
                      <w:color w:val="000000"/>
                    </w:rPr>
                    <w:t>4种方式）。</w:t>
                  </w:r>
                </w:p>
              </w:tc>
            </w:tr>
          </w:tbl>
          <w:p/>
        </w:tc>
      </w:tr>
      <w:tr>
        <w:tc>
          <w:tcPr>
            <w:tcW w:type="dxa" w:w="2076"/>
          </w:tcPr>
          <w:p/>
        </w:tc>
        <w:tc>
          <w:tcPr>
            <w:tcW w:type="dxa" w:w="415"/>
          </w:tcPr>
          <w:p>
            <w:pPr>
              <w:pStyle w:val="null3"/>
            </w:pPr>
            <w:r>
              <w:rPr/>
              <w:t>6</w:t>
            </w:r>
          </w:p>
        </w:tc>
        <w:tc>
          <w:tcPr>
            <w:tcW w:type="dxa" w:w="5814"/>
          </w:tcPr>
          <w:p>
            <w:pPr>
              <w:pStyle w:val="null3"/>
            </w:pPr>
            <w:r>
              <w:rPr/>
              <w:t>（四）生殖系统改造</w:t>
            </w:r>
          </w:p>
          <w:p>
            <w:pPr>
              <w:pStyle w:val="null3"/>
            </w:pPr>
            <w:r>
              <w:rPr/>
              <w:t>4.1.</w:t>
            </w:r>
            <w:r>
              <w:rPr/>
              <w:t>供精续费</w:t>
            </w:r>
          </w:p>
          <w:p>
            <w:pPr>
              <w:pStyle w:val="null3"/>
            </w:pPr>
            <w:r>
              <w:rPr/>
              <w:t>1.查询：支持在缴纳费用界</w:t>
            </w:r>
            <w:r>
              <w:rPr/>
              <w:t>面增</w:t>
            </w:r>
            <w:r>
              <w:rPr/>
              <w:t>加查询条件，界面数据查询规则：供精预约时间在当天之前的（因为缴费规则是：预约日期</w:t>
            </w:r>
            <w:r>
              <w:rPr/>
              <w:t>&lt;当前时间，没取消没使用的就需要缴费）</w:t>
            </w:r>
          </w:p>
          <w:p>
            <w:pPr>
              <w:pStyle w:val="null3"/>
            </w:pPr>
            <w:r>
              <w:rPr/>
              <w:t>2.缴费：新增缴费界面，支持按预约管数缴费，会记录缴纳时间、缴纳月长、到期日期、缴费费用、记录者、记录时间等信息；</w:t>
            </w:r>
          </w:p>
          <w:p>
            <w:pPr>
              <w:pStyle w:val="null3"/>
            </w:pPr>
            <w:r>
              <w:rPr/>
              <w:t>3.催费：针对供精，需要实现对应的预约供精的今日提醒和过期提醒的模块；支持对即将到期或未缴纳过冷冻费用的患者，提醒患者缴费；</w:t>
            </w:r>
          </w:p>
          <w:p>
            <w:pPr>
              <w:pStyle w:val="null3"/>
            </w:pPr>
            <w:r>
              <w:rPr/>
              <w:t>支持对已到期的患者，提醒患者缴费。</w:t>
            </w:r>
          </w:p>
          <w:p>
            <w:pPr>
              <w:pStyle w:val="null3"/>
            </w:pPr>
            <w:r>
              <w:rPr/>
              <w:t>4.退费：系统需实现在冷冻续费中做了对应的预约供精退费模块；支持对供精预约模块的取消预约</w:t>
            </w:r>
            <w:r>
              <w:rPr/>
              <w:t>功能</w:t>
            </w:r>
            <w:r>
              <w:rPr/>
              <w:t>，增加质控功能（如果当前预约的信息已</w:t>
            </w:r>
            <w:r>
              <w:rPr/>
              <w:t>超过</w:t>
            </w:r>
            <w:r>
              <w:rPr/>
              <w:t>了三个月，且未进行缴费，则会提示需要先缴费，并退出此次取消预约的操作）。</w:t>
            </w:r>
          </w:p>
          <w:p>
            <w:pPr>
              <w:pStyle w:val="null3"/>
            </w:pPr>
            <w:r>
              <w:rPr/>
              <w:t>4.2.</w:t>
            </w:r>
            <w:r>
              <w:rPr/>
              <w:t>无纸化归档</w:t>
            </w:r>
          </w:p>
          <w:p>
            <w:pPr>
              <w:pStyle w:val="null3"/>
            </w:pPr>
            <w:r>
              <w:rPr/>
              <w:t>1.审核提交：应用于临床工作人员、实验室工作人员和随访工作人员，由上述岗位人员对其分管的电子病历模块进行录入、确认并提交上级岗位进行审核。</w:t>
            </w:r>
          </w:p>
          <w:p>
            <w:pPr>
              <w:pStyle w:val="null3"/>
            </w:pPr>
            <w:r>
              <w:rPr/>
              <w:t>2.病历审核：支持对前述提交的病历进行质量审核，如发现有不满足病历质量规则要求的病历，则会进行返修给提交录入岗位人员进行处理。</w:t>
            </w:r>
          </w:p>
          <w:p>
            <w:pPr>
              <w:pStyle w:val="null3"/>
            </w:pPr>
            <w:r>
              <w:rPr/>
              <w:t>3.归档入库：支持由病案室人员进行完整性审核，如发现有不满足病历质量控制要求的病历，则会进行返修给对应岗位人员进行处理；审核无误后最终将电子病历进行线上归档。</w:t>
            </w:r>
          </w:p>
          <w:p>
            <w:pPr>
              <w:pStyle w:val="null3"/>
              <w:jc w:val="both"/>
            </w:pPr>
            <w:r>
              <w:rPr>
                <w:sz w:val="21"/>
              </w:rPr>
              <w:t>4.3.</w:t>
            </w:r>
            <w:r>
              <w:rPr>
                <w:sz w:val="21"/>
              </w:rPr>
              <w:t>大白对接：支持</w:t>
            </w:r>
            <w:r>
              <w:rPr>
                <w:sz w:val="21"/>
              </w:rPr>
              <w:t>对</w:t>
            </w:r>
            <w:r>
              <w:rPr>
                <w:sz w:val="21"/>
              </w:rPr>
              <w:t>生殖中心建档、抽血、取卵、取精、移植等患者进行认证核验，并且将验证结果自动记录到辅助生殖技术病案信息系统并通过大白机直接</w:t>
            </w:r>
            <w:r>
              <w:rPr>
                <w:sz w:val="21"/>
              </w:rPr>
              <w:t>建立</w:t>
            </w:r>
            <w:r>
              <w:rPr>
                <w:sz w:val="21"/>
              </w:rPr>
              <w:t>档案。</w:t>
            </w:r>
          </w:p>
        </w:tc>
      </w:tr>
      <w:tr>
        <w:tc>
          <w:tcPr>
            <w:tcW w:type="dxa" w:w="2076"/>
          </w:tcPr>
          <w:p/>
        </w:tc>
        <w:tc>
          <w:tcPr>
            <w:tcW w:type="dxa" w:w="415"/>
          </w:tcPr>
          <w:p>
            <w:pPr>
              <w:pStyle w:val="null3"/>
            </w:pPr>
            <w:r>
              <w:rPr/>
              <w:t>7</w:t>
            </w:r>
          </w:p>
        </w:tc>
        <w:tc>
          <w:tcPr>
            <w:tcW w:type="dxa" w:w="5814"/>
          </w:tcPr>
          <w:p>
            <w:pPr>
              <w:pStyle w:val="null3"/>
            </w:pPr>
            <w:r>
              <w:rPr/>
              <w:t>（五）医护技患一体化电子签名系统</w:t>
            </w:r>
          </w:p>
          <w:p>
            <w:pPr>
              <w:pStyle w:val="null3"/>
            </w:pPr>
            <w:r>
              <w:rPr/>
              <w:t>5.1医护技患一体化电子签名设备</w:t>
            </w:r>
          </w:p>
          <w:tbl>
            <w:tblPr>
              <w:tblInd w:type="dxa" w:w="120"/>
              <w:tblBorders>
                <w:top w:val="none" w:color="000000" w:sz="4"/>
                <w:left w:val="none" w:color="000000" w:sz="4"/>
                <w:bottom w:val="none" w:color="000000" w:sz="4"/>
                <w:right w:val="none" w:color="000000" w:sz="4"/>
                <w:insideH w:val="none"/>
                <w:insideV w:val="none"/>
              </w:tblBorders>
            </w:tblPr>
            <w:tblGrid>
              <w:gridCol w:w="540"/>
              <w:gridCol w:w="973"/>
              <w:gridCol w:w="4056"/>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功能模块</w:t>
                  </w:r>
                </w:p>
              </w:tc>
              <w:tc>
                <w:tcPr>
                  <w:tcW w:type="dxa" w:w="4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功能指标要求</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协同签名模块</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支持对协同签名密钥的生成、存储、使用、销毁等全生命周期的管理。</w:t>
                  </w:r>
                </w:p>
                <w:p>
                  <w:pPr>
                    <w:pStyle w:val="null3"/>
                    <w:jc w:val="left"/>
                  </w:pPr>
                  <w:r>
                    <w:rPr>
                      <w:sz w:val="20"/>
                    </w:rPr>
                    <w:t>支持</w:t>
                  </w:r>
                  <w:r>
                    <w:rPr>
                      <w:sz w:val="20"/>
                    </w:rPr>
                    <w:t>个人数字证书全生命周期管理，包括注册申请、身份核实、证书下载、证书重签、证书注销。</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1"/>
                    </w:rPr>
                    <w:t>身份认证系统</w:t>
                  </w:r>
                  <w:r>
                    <w:rPr>
                      <w:sz w:val="21"/>
                    </w:rPr>
                    <w:t>(</w:t>
                  </w:r>
                  <w:r>
                    <w:rPr>
                      <w:sz w:val="21"/>
                    </w:rPr>
                    <w:t>协同签名系统</w:t>
                  </w:r>
                  <w:r>
                    <w:rPr>
                      <w:sz w:val="21"/>
                    </w:rPr>
                    <w:t>)</w:t>
                  </w:r>
                  <w:r>
                    <w:rPr>
                      <w:sz w:val="21"/>
                    </w:rPr>
                    <w:t>应基于密钥拆分的技术路线，通过服务端密钥及终端密钥实现服务端和终端的协同数字签名。</w:t>
                  </w:r>
                  <w:r>
                    <w:rPr>
                      <w:sz w:val="21"/>
                    </w:rPr>
                    <w:t>(</w:t>
                  </w:r>
                  <w:r>
                    <w:rPr>
                      <w:sz w:val="21"/>
                    </w:rPr>
                    <w:t>提供</w:t>
                  </w:r>
                  <w:r>
                    <w:rPr>
                      <w:sz w:val="19"/>
                    </w:rPr>
                    <w:t>第三方证明材料，如认证证书或检测证书或专利证书等</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基于个人数字证书，移动</w:t>
                  </w:r>
                  <w:r>
                    <w:rPr>
                      <w:sz w:val="20"/>
                    </w:rPr>
                    <w:t>APP直接签名、扫码签名、签名任务 ID 签名、推送签名、自动签名、授权自动签名的签名及验证。</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支持一对多、多对一、多对多的授权签名及管理功能，满足教学类场景需求。</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支持基于数字证书的个人电子签章、扫码签章、网页签章、</w:t>
                  </w:r>
                  <w:r>
                    <w:rPr>
                      <w:sz w:val="20"/>
                    </w:rPr>
                    <w:t>PDF签章功能，签章图片支持移动端手写和管理端自定义。</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支持基于公安</w:t>
                  </w:r>
                  <w:r>
                    <w:rPr>
                      <w:sz w:val="20"/>
                    </w:rPr>
                    <w:t>CTID生物识别和手机号三要素的身份核验，支持下证激活码短信发送，短信网关支持自建云服务短信网关和第三方短信网关。</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支持对用户的查看、添加、修改、删除、批量导入等。</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系统管理模块</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支持证书签发、签名统计、统计报表功能，按时间</w:t>
                  </w:r>
                  <w:r>
                    <w:rPr>
                      <w:sz w:val="20"/>
                    </w:rPr>
                    <w:t>/证书类型/科室/姓名的查看、检索、导出等功能。</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9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时间戳模块</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基于可信时间源模块获取国家标准时间。</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0</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支持在数字签名、电子签章时加盖时间戳，确保签名时间的真实有效。</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1</w:t>
                  </w:r>
                </w:p>
              </w:tc>
              <w:tc>
                <w:tcPr>
                  <w:tcW w:type="dxa" w:w="9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患者签名模块</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支持对</w:t>
                  </w:r>
                  <w:r>
                    <w:rPr>
                      <w:sz w:val="20"/>
                    </w:rPr>
                    <w:t>PDF和数据进行电子签名，支持单签和批签。</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2</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支持添加多个批注，包括自由批注、抄录批注和一键抄录。</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3</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支持刷人脸、手机号比对、刷身份证、采指纹、拍人像五种核验方式，其中刷人脸和手机号比对对接第三方权威数据源，确保电子签名人身份的有效性。</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4</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支持指纹、照片、笔迹等多种辅助证据采集、绑定。</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5</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支持查看已签文书。</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6</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用于管理文书删除任务、客户端初始化、患者卡片、扫码签初始化、签名服务地址、短信网关等参数的配置。</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7</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控制和查看文书状态，支持电子病历存储、查询和下载。支持待签文书批量删除。文书状态包括待下载、已下载、待签名、已变更、签名异常、推送异常、已签名、完成。</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8</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展示患者信息列表，支持批量删除。</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9</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维护科室信息，支持页面新增和删除，支持接口级批量同步</w:t>
                  </w:r>
                  <w:r>
                    <w:rPr>
                      <w:sz w:val="20"/>
                    </w:rPr>
                    <w:t>/更新科室信息。</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0</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支持客户端</w:t>
                  </w:r>
                  <w:r>
                    <w:rPr>
                      <w:sz w:val="20"/>
                    </w:rPr>
                    <w:t>APP安装包管理和升级策略管理，通过</w:t>
                  </w:r>
                  <w:r>
                    <w:rPr>
                      <w:sz w:val="20"/>
                    </w:rPr>
                    <w:t>扫描</w:t>
                  </w:r>
                  <w:r>
                    <w:rPr>
                      <w:sz w:val="20"/>
                    </w:rPr>
                    <w:t>二维码进行</w:t>
                  </w:r>
                  <w:r>
                    <w:rPr>
                      <w:sz w:val="20"/>
                    </w:rPr>
                    <w:t>APP的安装。</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1</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支持长按签、按钮签和扫码签数据模拟，用于测试服务的连通性和可用性。</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2</w:t>
                  </w:r>
                </w:p>
              </w:tc>
              <w:tc>
                <w:tcPr>
                  <w:tcW w:type="dxa" w:w="973"/>
                  <w:vMerge/>
                  <w:tcBorders>
                    <w:top w:val="none" w:color="000000" w:sz="4"/>
                    <w:left w:val="none" w:color="000000" w:sz="4"/>
                    <w:bottom w:val="single" w:color="000000" w:sz="4"/>
                    <w:right w:val="single" w:color="000000" w:sz="4"/>
                  </w:tcBorders>
                </w:tcP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待签和已签文书支持多种存储方式：数据库、</w:t>
                  </w:r>
                  <w:r>
                    <w:rPr>
                      <w:sz w:val="20"/>
                    </w:rPr>
                    <w:t>NAS、FTP。</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0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非功能指标要求</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0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支持可视化用户量、签名量、证数量的统计分析，报表导出，便于用户管理及统计查询</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0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提供审计日志、业务日志、管理员操作日志、</w:t>
                  </w:r>
                  <w:r>
                    <w:rPr>
                      <w:sz w:val="20"/>
                    </w:rPr>
                    <w:t>SYSLOG</w:t>
                  </w:r>
                  <w:r>
                    <w:rPr>
                      <w:sz w:val="20"/>
                    </w:rPr>
                    <w:t>日志等服务</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0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具备高可用、高稳定性，支持双机及集群的高性能负载，支持</w:t>
                  </w:r>
                  <w:r>
                    <w:rPr>
                      <w:sz w:val="20"/>
                    </w:rPr>
                    <w:t>IPv4 /IPv6</w:t>
                  </w:r>
                  <w:r>
                    <w:rPr>
                      <w:sz w:val="20"/>
                    </w:rPr>
                    <w:t>互联网协议。</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0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产品规格要求</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设备高度</w:t>
                  </w:r>
                </w:p>
              </w:tc>
              <w:tc>
                <w:tcPr>
                  <w:tcW w:type="dxa" w:w="4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w:t>
                  </w:r>
                  <w:r>
                    <w:rPr>
                      <w:sz w:val="20"/>
                    </w:rPr>
                    <w:t>U</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网络接口</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2个100/1000M自适应网口</w:t>
                  </w:r>
                  <w:r>
                    <w:rPr>
                      <w:sz w:val="20"/>
                    </w:rPr>
                    <w:t>、</w:t>
                  </w:r>
                  <w:r>
                    <w:rPr>
                      <w:sz w:val="20"/>
                    </w:rPr>
                    <w:t>2个10000M光口</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CPU</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满足安全可靠要求</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操作系统、中间件</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满足安全可靠要求</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硬盘容量</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2×4T，支持 Raid</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液晶显示</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自带液晶显示屏，支持时间源及设备状态显示</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其他配置</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w:t>
                  </w:r>
                  <w:r>
                    <w:rPr>
                      <w:sz w:val="20"/>
                    </w:rPr>
                    <w:t>B</w:t>
                  </w:r>
                  <w:r>
                    <w:rPr>
                      <w:sz w:val="20"/>
                    </w:rPr>
                    <w:t>D2</w:t>
                  </w:r>
                  <w:r>
                    <w:rPr>
                      <w:sz w:val="20"/>
                    </w:rPr>
                    <w:t>时间源模块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协同</w:t>
                  </w:r>
                  <w:r>
                    <w:rPr>
                      <w:sz w:val="20"/>
                    </w:rPr>
                    <w:t>S</w:t>
                  </w:r>
                  <w:r>
                    <w:rPr>
                      <w:sz w:val="20"/>
                    </w:rPr>
                    <w:t>M2</w:t>
                  </w:r>
                  <w:r>
                    <w:rPr>
                      <w:sz w:val="20"/>
                    </w:rPr>
                    <w:t>签名性能</w:t>
                  </w:r>
                </w:p>
              </w:tc>
              <w:tc>
                <w:tcPr>
                  <w:tcW w:type="dxa" w:w="4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不小于</w:t>
                  </w:r>
                  <w:r>
                    <w:rPr>
                      <w:sz w:val="20"/>
                    </w:rPr>
                    <w:t>45TPS</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0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产品要求</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0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产品须具备商用密码检测中心颁发的《商用密码产品认证证书》</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0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产品支持</w:t>
                  </w:r>
                  <w:r>
                    <w:rPr>
                      <w:sz w:val="20"/>
                    </w:rPr>
                    <w:t>RFC8200，8201，2474，4191，4291，4443，4861，4862，69807217，8106标准协议，且具有良好的一致性和互通性，提供认证证书</w:t>
                  </w:r>
                  <w:r>
                    <w:rPr>
                      <w:sz w:val="20"/>
                    </w:rPr>
                    <w:t>扫描</w:t>
                  </w:r>
                  <w:r>
                    <w:rPr>
                      <w:sz w:val="20"/>
                    </w:rPr>
                    <w:t>件</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0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1"/>
                    </w:rPr>
                    <w:t>具有国家网络与信息系统安全产品质量检验检测中心颁发的《信息技术产品安全测试证书</w:t>
                  </w:r>
                  <w:r>
                    <w:rPr>
                      <w:sz w:val="21"/>
                    </w:rPr>
                    <w:t>》</w:t>
                  </w:r>
                </w:p>
              </w:tc>
            </w:tr>
          </w:tbl>
          <w:p>
            <w:pPr>
              <w:pStyle w:val="null3"/>
              <w:jc w:val="both"/>
            </w:pPr>
            <w:r>
              <w:rPr>
                <w:sz w:val="20"/>
              </w:rPr>
              <w:t>5.2个人数字证书</w:t>
            </w:r>
          </w:p>
          <w:tbl>
            <w:tblPr>
              <w:tblBorders>
                <w:top w:val="none" w:color="000000" w:sz="4"/>
                <w:left w:val="none" w:color="000000" w:sz="4"/>
                <w:bottom w:val="none" w:color="000000" w:sz="4"/>
                <w:right w:val="none" w:color="000000" w:sz="4"/>
                <w:insideH w:val="none"/>
                <w:insideV w:val="none"/>
              </w:tblBorders>
            </w:tblPr>
            <w:tblGrid>
              <w:gridCol w:w="535"/>
              <w:gridCol w:w="5049"/>
            </w:tblGrid>
            <w:tr>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0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功能指标要求</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标识个人用户网络身份</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证书格式标准遵循</w:t>
                  </w:r>
                  <w:r>
                    <w:rPr>
                      <w:sz w:val="20"/>
                    </w:rPr>
                    <w:t>x．509v3标准</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支持存放介质：手机</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支持自定义证书扩展域管理</w:t>
                  </w:r>
                </w:p>
              </w:tc>
            </w:tr>
          </w:tbl>
          <w:p>
            <w:pPr>
              <w:pStyle w:val="null3"/>
              <w:jc w:val="both"/>
            </w:pPr>
            <w:r>
              <w:rPr>
                <w:sz w:val="20"/>
              </w:rPr>
              <w:t>5.3移动端APP或SDK</w:t>
            </w:r>
          </w:p>
          <w:tbl>
            <w:tblPr>
              <w:tblBorders>
                <w:top w:val="none" w:color="000000" w:sz="4"/>
                <w:left w:val="none" w:color="000000" w:sz="4"/>
                <w:bottom w:val="none" w:color="000000" w:sz="4"/>
                <w:right w:val="none" w:color="000000" w:sz="4"/>
                <w:insideH w:val="none"/>
                <w:insideV w:val="none"/>
              </w:tblBorders>
            </w:tblPr>
            <w:tblGrid>
              <w:gridCol w:w="514"/>
              <w:gridCol w:w="4833"/>
            </w:tblGrid>
            <w:tr>
              <w:tc>
                <w:tcPr>
                  <w:tcW w:type="dxa" w:w="51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序号</w:t>
                  </w:r>
                </w:p>
              </w:tc>
              <w:tc>
                <w:tcPr>
                  <w:tcW w:type="dxa" w:w="483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功能指标要求</w:t>
                  </w:r>
                </w:p>
              </w:tc>
            </w:tr>
            <w:tr>
              <w:tc>
                <w:tcPr>
                  <w:tcW w:type="dxa" w:w="51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8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0"/>
                    </w:rPr>
                    <w:t>移动端提供</w:t>
                  </w:r>
                  <w:r>
                    <w:rPr>
                      <w:sz w:val="20"/>
                    </w:rPr>
                    <w:t>SDK</w:t>
                  </w:r>
                  <w:r>
                    <w:rPr>
                      <w:sz w:val="20"/>
                    </w:rPr>
                    <w:t>和</w:t>
                  </w:r>
                  <w:r>
                    <w:rPr>
                      <w:sz w:val="20"/>
                    </w:rPr>
                    <w:t>APP</w:t>
                  </w:r>
                  <w:r>
                    <w:rPr>
                      <w:sz w:val="20"/>
                    </w:rPr>
                    <w:t>两种形态模块</w:t>
                  </w:r>
                </w:p>
              </w:tc>
            </w:tr>
            <w:tr>
              <w:tc>
                <w:tcPr>
                  <w:tcW w:type="dxa" w:w="51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8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0"/>
                    </w:rPr>
                    <w:t>支持基于激活码下载证书和扫码下载证书</w:t>
                  </w:r>
                </w:p>
              </w:tc>
            </w:tr>
            <w:tr>
              <w:tc>
                <w:tcPr>
                  <w:tcW w:type="dxa" w:w="51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8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0"/>
                    </w:rPr>
                    <w:t>支持基于签名任务</w:t>
                  </w:r>
                  <w:r>
                    <w:rPr>
                      <w:sz w:val="20"/>
                    </w:rPr>
                    <w:t>id</w:t>
                  </w:r>
                  <w:r>
                    <w:rPr>
                      <w:sz w:val="20"/>
                    </w:rPr>
                    <w:t>和扫码进行签名</w:t>
                  </w:r>
                </w:p>
              </w:tc>
            </w:tr>
            <w:tr>
              <w:tc>
                <w:tcPr>
                  <w:tcW w:type="dxa" w:w="51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8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0"/>
                    </w:rPr>
                    <w:t>支持扫码签名、推送签名</w:t>
                  </w:r>
                </w:p>
              </w:tc>
            </w:tr>
            <w:tr>
              <w:tc>
                <w:tcPr>
                  <w:tcW w:type="dxa" w:w="51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8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0"/>
                    </w:rPr>
                    <w:t>支持通过扫码或手动方式配置服务端</w:t>
                  </w:r>
                </w:p>
              </w:tc>
            </w:tr>
            <w:tr>
              <w:tc>
                <w:tcPr>
                  <w:tcW w:type="dxa" w:w="51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8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0"/>
                    </w:rPr>
                    <w:t>在</w:t>
                  </w:r>
                  <w:r>
                    <w:rPr>
                      <w:sz w:val="20"/>
                    </w:rPr>
                    <w:t>Android</w:t>
                  </w:r>
                  <w:r>
                    <w:rPr>
                      <w:sz w:val="20"/>
                    </w:rPr>
                    <w:t>应用市场和苹果</w:t>
                  </w:r>
                  <w:r>
                    <w:rPr>
                      <w:sz w:val="20"/>
                    </w:rPr>
                    <w:t>AppStore</w:t>
                  </w:r>
                  <w:r>
                    <w:rPr>
                      <w:sz w:val="20"/>
                    </w:rPr>
                    <w:t>中已经发布</w:t>
                  </w:r>
                </w:p>
              </w:tc>
            </w:tr>
            <w:tr>
              <w:tc>
                <w:tcPr>
                  <w:tcW w:type="dxa" w:w="51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8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0"/>
                    </w:rPr>
                    <w:t>支持批量拉取签名任务：支持批量拉取待签名任务</w:t>
                  </w:r>
                </w:p>
              </w:tc>
            </w:tr>
            <w:tr>
              <w:tc>
                <w:tcPr>
                  <w:tcW w:type="dxa" w:w="51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8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0"/>
                    </w:rPr>
                    <w:t>支持传</w:t>
                  </w:r>
                  <w:r>
                    <w:rPr>
                      <w:sz w:val="20"/>
                    </w:rPr>
                    <w:t>PIN</w:t>
                  </w:r>
                  <w:r>
                    <w:rPr>
                      <w:sz w:val="20"/>
                    </w:rPr>
                    <w:t>码签名：支持通过传入</w:t>
                  </w:r>
                  <w:r>
                    <w:rPr>
                      <w:sz w:val="20"/>
                    </w:rPr>
                    <w:t>PIN</w:t>
                  </w:r>
                  <w:r>
                    <w:rPr>
                      <w:sz w:val="20"/>
                    </w:rPr>
                    <w:t>码的方式进行签名。</w:t>
                  </w:r>
                </w:p>
              </w:tc>
            </w:tr>
            <w:tr>
              <w:tc>
                <w:tcPr>
                  <w:tcW w:type="dxa" w:w="51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48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0"/>
                    </w:rPr>
                    <w:t>支持生物识别签名（指纹或人脸识别）开关。</w:t>
                  </w:r>
                </w:p>
              </w:tc>
            </w:tr>
            <w:tr>
              <w:tc>
                <w:tcPr>
                  <w:tcW w:type="dxa" w:w="51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序号</w:t>
                  </w:r>
                </w:p>
              </w:tc>
              <w:tc>
                <w:tcPr>
                  <w:tcW w:type="dxa" w:w="48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产品要求</w:t>
                  </w:r>
                </w:p>
              </w:tc>
            </w:tr>
            <w:tr>
              <w:tc>
                <w:tcPr>
                  <w:tcW w:type="dxa" w:w="51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1</w:t>
                  </w:r>
                </w:p>
              </w:tc>
              <w:tc>
                <w:tcPr>
                  <w:tcW w:type="dxa" w:w="48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0"/>
                    </w:rPr>
                    <w:t>供应商或制造厂商所投移动端</w:t>
                  </w:r>
                  <w:r>
                    <w:rPr>
                      <w:sz w:val="20"/>
                    </w:rPr>
                    <w:t>APP或SDK具备移动智能终端安全密码模块《商用密码产品认证证书》,提供证书</w:t>
                  </w:r>
                  <w:r>
                    <w:rPr>
                      <w:sz w:val="20"/>
                    </w:rPr>
                    <w:t>扫描</w:t>
                  </w:r>
                  <w:r>
                    <w:rPr>
                      <w:sz w:val="20"/>
                    </w:rPr>
                    <w:t>件</w:t>
                  </w:r>
                  <w:r>
                    <w:rPr>
                      <w:sz w:val="20"/>
                    </w:rPr>
                    <w:t>并加盖公章。</w:t>
                  </w:r>
                </w:p>
              </w:tc>
            </w:tr>
          </w:tbl>
          <w:p>
            <w:pPr>
              <w:pStyle w:val="null3"/>
              <w:jc w:val="both"/>
            </w:pPr>
            <w:r>
              <w:rPr>
                <w:sz w:val="20"/>
              </w:rPr>
              <w:t>5.4移动患者手写指纹签名板</w:t>
            </w:r>
          </w:p>
          <w:tbl>
            <w:tblPr>
              <w:tblInd w:type="dxa" w:w="225"/>
              <w:tblBorders>
                <w:top w:val="none" w:color="000000" w:sz="4"/>
                <w:left w:val="none" w:color="000000" w:sz="4"/>
                <w:bottom w:val="none" w:color="000000" w:sz="4"/>
                <w:right w:val="none" w:color="000000" w:sz="4"/>
                <w:insideH w:val="none"/>
                <w:insideV w:val="none"/>
              </w:tblBorders>
            </w:tblPr>
            <w:tblGrid>
              <w:gridCol w:w="555"/>
              <w:gridCol w:w="4912"/>
            </w:tblGrid>
            <w:tr>
              <w:tc>
                <w:tcPr>
                  <w:tcW w:type="dxa" w:w="555"/>
                  <w:tcBorders>
                    <w:top w:val="singl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sz w:val="20"/>
                      <w:color w:val="000000"/>
                    </w:rPr>
                    <w:t>序号</w:t>
                  </w:r>
                </w:p>
              </w:tc>
              <w:tc>
                <w:tcPr>
                  <w:tcW w:type="dxa" w:w="4912"/>
                  <w:tcBorders>
                    <w:top w:val="singl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sz w:val="20"/>
                      <w:color w:val="000000"/>
                    </w:rPr>
                    <w:t>具体服务要求</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兼容</w:t>
                  </w:r>
                  <w:r>
                    <w:rPr>
                      <w:sz w:val="20"/>
                      <w:color w:val="000000"/>
                    </w:rPr>
                    <w:t>Android12及以上操作系统；兼容各种常用无线通讯方式；支持国密算法、手写签名、指纹采集、人像采集等；内置密码芯片和设备证书，具有公安部标准的指纹和身份证阅读识别功能。</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系统：兼容</w:t>
                  </w:r>
                  <w:r>
                    <w:rPr>
                      <w:sz w:val="20"/>
                      <w:color w:val="000000"/>
                    </w:rPr>
                    <w:t>Android 12及以上</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CPU≧8核@2.0GHz；内存≧4G；存储≧64G；支持TF卡且≧128G。</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定位：支持</w:t>
                  </w:r>
                  <w:r>
                    <w:rPr>
                      <w:sz w:val="20"/>
                      <w:color w:val="000000"/>
                    </w:rPr>
                    <w:t>GPS、BDS、Glonass、Galile</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G-Sensor：支持重力感应；陀螺仪：支持陀螺仪</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屏幕尺寸：</w:t>
                  </w:r>
                  <w:r>
                    <w:rPr>
                      <w:sz w:val="20"/>
                      <w:color w:val="000000"/>
                    </w:rPr>
                    <w:t>10.0~11.0英寸之间；外形尺寸：长：195mm±5</w:t>
                  </w:r>
                  <w:r>
                    <w:rPr>
                      <w:sz w:val="20"/>
                      <w:color w:val="000000"/>
                    </w:rPr>
                    <w:t>mm</w:t>
                  </w:r>
                  <w:r>
                    <w:rPr>
                      <w:sz w:val="20"/>
                      <w:color w:val="000000"/>
                    </w:rPr>
                    <w:t>，宽：</w:t>
                  </w:r>
                  <w:r>
                    <w:rPr>
                      <w:sz w:val="20"/>
                      <w:color w:val="000000"/>
                    </w:rPr>
                    <w:t>295mm±5</w:t>
                  </w:r>
                  <w:r>
                    <w:rPr>
                      <w:sz w:val="20"/>
                      <w:color w:val="000000"/>
                    </w:rPr>
                    <w:t>mm</w:t>
                  </w:r>
                  <w:r>
                    <w:rPr>
                      <w:sz w:val="20"/>
                      <w:color w:val="000000"/>
                    </w:rPr>
                    <w:t>，厚度：</w:t>
                  </w:r>
                  <w:r>
                    <w:rPr>
                      <w:sz w:val="20"/>
                      <w:color w:val="000000"/>
                    </w:rPr>
                    <w:t>≤20mm；净重≤1000g。</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输入信号接口：磁吸</w:t>
                  </w:r>
                  <w:r>
                    <w:rPr>
                      <w:sz w:val="20"/>
                      <w:color w:val="000000"/>
                    </w:rPr>
                    <w:t>20 PIN 接口</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液晶模式：</w:t>
                  </w:r>
                  <w:r>
                    <w:rPr>
                      <w:sz w:val="20"/>
                      <w:color w:val="000000"/>
                    </w:rPr>
                    <w:t>IPS LCD高清液晶屏；显示分辨率：≧1280 x 800 (16:10)；显示颜色：≧24位真色彩；对比度：≧800：1 ；亮度：≧250 cd/m2。</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电磁屏感应模式：被动式无源电磁感应；分辨率：</w:t>
                  </w:r>
                  <w:r>
                    <w:rPr>
                      <w:sz w:val="20"/>
                      <w:color w:val="000000"/>
                    </w:rPr>
                    <w:t>≧5080LPI；压感：≧2048 Levels；感应高度：10mm；读取速度：≧233PPS/点每秒；倾角：最大允许±45°握笔角度</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摄像头：前置</w:t>
                  </w:r>
                  <w:r>
                    <w:rPr>
                      <w:sz w:val="20"/>
                      <w:color w:val="000000"/>
                    </w:rPr>
                    <w:t>≧500万像素，后置≧800万像素</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电容触摸屏：</w:t>
                  </w:r>
                  <w:r>
                    <w:rPr>
                      <w:sz w:val="20"/>
                      <w:color w:val="000000"/>
                    </w:rPr>
                    <w:t>10点触控，触摸工艺：表面钢化玻璃+玻璃GLASS材质的触摸屏，表面硬度≧7H</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指纹类型：电容型；指纹规范：中国公安部规范感应阵列</w:t>
                  </w:r>
                  <w:r>
                    <w:rPr>
                      <w:sz w:val="20"/>
                      <w:color w:val="000000"/>
                    </w:rPr>
                    <w:t>≧256*360(pixel)，指纹分辨率：≧500DPI；身份证阅读器：支持身份证信息读取。</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通讯模块：</w:t>
                  </w:r>
                  <w:r>
                    <w:rPr>
                      <w:sz w:val="20"/>
                      <w:color w:val="000000"/>
                    </w:rPr>
                    <w:t>Wi-Fi</w:t>
                  </w:r>
                  <w:r>
                    <w:rPr>
                      <w:sz w:val="20"/>
                      <w:color w:val="000000"/>
                    </w:rPr>
                    <w:t>,双频2.4G、5G；蓝牙,BT5.0；4G全网通</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电池类型：聚合物高密度安全电池；电池容量</w:t>
                  </w:r>
                  <w:r>
                    <w:rPr>
                      <w:sz w:val="20"/>
                      <w:color w:val="000000"/>
                    </w:rPr>
                    <w:t>≧8000mAH；待机时长≧100h；工作时长≧8h</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标准接口：</w:t>
                  </w:r>
                  <w:r>
                    <w:rPr>
                      <w:sz w:val="20"/>
                      <w:color w:val="000000"/>
                    </w:rPr>
                    <w:t>Pogo PIN磁吸≧1个；TF卡插槽≧1个；SIM 卡槽≧1个</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麦克风</w:t>
                  </w:r>
                  <w:r>
                    <w:rPr>
                      <w:sz w:val="20"/>
                      <w:color w:val="000000"/>
                    </w:rPr>
                    <w:t>：麦克风配置</w:t>
                  </w:r>
                  <w:r>
                    <w:rPr>
                      <w:sz w:val="20"/>
                      <w:color w:val="000000"/>
                    </w:rPr>
                    <w:t>≧1个；喇叭：喇叭配置≧1个</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手写批注采集：可通过手写签名终端获取签名人手写批注笔迹图片，支持多字多行批注，在签名文档上进行可视化展现；具有一键抄录和手写抄录两种模式，一键抄录模式支持一键录入批注内容，抄写模式支持单字手写批注内容。（投标文件提供截图证明材料）</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支持手写签名笔迹采集，通过显示屏采集签名人签字笔迹，并支持查询回看，支持在同一文书签多个名字。</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通过身份证阅读器模块、指纹采集模块、摄像头等，支持行为证据采集，指纹、照片、人像生物特征</w:t>
                  </w:r>
                  <w:r>
                    <w:rPr>
                      <w:sz w:val="20"/>
                      <w:color w:val="000000"/>
                    </w:rPr>
                    <w:t>采集</w:t>
                  </w:r>
                  <w:r>
                    <w:rPr>
                      <w:sz w:val="20"/>
                      <w:color w:val="000000"/>
                    </w:rPr>
                    <w:t>，形成签名行为的证据链。</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支持多患者家属签名，并可选择与患者关系。</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w:t>
                  </w:r>
                  <w:r>
                    <w:rPr>
                      <w:sz w:val="20"/>
                      <w:color w:val="000000"/>
                    </w:rPr>
                    <w:t>WiFi白名单安全管控，有权限人员可进行，可连接WiFi管理，添加白名单后WiFi界面仅显示，可连接WiFi，便于网络连接的安全管控。（投标文件提供截图证明材料）</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支持高级权限人员的用户名和密码管理</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支持在</w:t>
                  </w:r>
                  <w:r>
                    <w:rPr>
                      <w:sz w:val="20"/>
                      <w:color w:val="000000"/>
                    </w:rPr>
                    <w:t>PDF文档上找到想要签字的位置进行长按签字，同时可以对PDF原文实现手指滑动方法放大缩小PDF文件；</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▲支持移动签署APP画板功能，可对文书圈点画操作。可对文书任意位置进行标注、画、写，支持撤销和清空。（投标文件提供截图证明材料）</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支持授权患者家属签名，同时支持配置患者家属身份信息采集内容；</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支持在有网络的情</w:t>
                  </w:r>
                  <w:r>
                    <w:rPr>
                      <w:sz w:val="20"/>
                      <w:color w:val="000000"/>
                    </w:rPr>
                    <w:t>况下</w:t>
                  </w:r>
                  <w:r>
                    <w:rPr>
                      <w:sz w:val="20"/>
                      <w:color w:val="000000"/>
                    </w:rPr>
                    <w:t>缓存文书，在无网络环境下签署，并可先缓存。（投标文件提供截图证明材料）</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支持通过扫描二维码进行身份核验</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▲内置加密芯片，支持国密算法对数据进行加密处理，保障数据安全。持SM2、SM3、SM4等国密算法。（提供承诺函）</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4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▲具有手写签名密码模块，密码模块具备有效期内的商用密码检测中心颁发的《商用密码产品认证证书》,且符合GM/T 0028《密码模块安全技术要求》第二级要求或以上,提供有效的证书复印件（扫描件）及在商用密码检测中心网站（https://www.scctc.org.cn/）上对证书的查询结果截图为证明材料。</w:t>
                  </w:r>
                </w:p>
              </w:tc>
            </w:tr>
          </w:tbl>
          <w:p>
            <w:pPr>
              <w:pStyle w:val="null3"/>
              <w:jc w:val="both"/>
            </w:pPr>
            <w:r>
              <w:rPr>
                <w:sz w:val="20"/>
              </w:rPr>
              <w:t>5.5协同签名企微小程序功能需求</w:t>
            </w:r>
          </w:p>
          <w:p>
            <w:pPr>
              <w:pStyle w:val="null3"/>
              <w:jc w:val="both"/>
            </w:pPr>
            <w:r>
              <w:rPr>
                <w:sz w:val="20"/>
              </w:rPr>
              <w:t>1.需支持证书下载，初次进入小程序未</w:t>
            </w:r>
            <w:r>
              <w:rPr>
                <w:sz w:val="20"/>
              </w:rPr>
              <w:t>操作</w:t>
            </w:r>
            <w:r>
              <w:rPr>
                <w:sz w:val="20"/>
              </w:rPr>
              <w:t>，支持输入激活码或扫描二维码实现数字证书的下载；</w:t>
            </w:r>
          </w:p>
          <w:p>
            <w:pPr>
              <w:pStyle w:val="null3"/>
              <w:jc w:val="both"/>
            </w:pPr>
            <w:r>
              <w:rPr>
                <w:sz w:val="20"/>
              </w:rPr>
              <w:t>2.下载数字证书后，支持设置数字证书登录口令，支持6</w:t>
            </w:r>
            <w:r>
              <w:rPr>
                <w:sz w:val="20"/>
              </w:rPr>
              <w:t>～</w:t>
            </w:r>
            <w:r>
              <w:rPr>
                <w:sz w:val="20"/>
              </w:rPr>
              <w:t>12位字母、数字组合；</w:t>
            </w:r>
          </w:p>
          <w:p>
            <w:pPr>
              <w:pStyle w:val="null3"/>
              <w:jc w:val="both"/>
            </w:pPr>
            <w:r>
              <w:rPr>
                <w:sz w:val="20"/>
              </w:rPr>
              <w:t>3.登录后支持查看个人信息、个人待签数据列表，支持通过扫描二维码实现电子签名；</w:t>
            </w:r>
          </w:p>
          <w:p>
            <w:pPr>
              <w:pStyle w:val="null3"/>
              <w:jc w:val="both"/>
            </w:pPr>
            <w:r>
              <w:rPr>
                <w:sz w:val="20"/>
              </w:rPr>
              <w:t>4.登录后支持查看签名任务，点击签名任务，弹窗展示任务描述信息，可点击签名；</w:t>
            </w:r>
          </w:p>
          <w:p>
            <w:pPr>
              <w:pStyle w:val="null3"/>
              <w:jc w:val="both"/>
            </w:pPr>
            <w:r>
              <w:rPr>
                <w:sz w:val="20"/>
              </w:rPr>
              <w:t>5.提供用户管理页面，支持退出登录状态，可进入证书管理页面进行本地证书管理，可设置自动签名时间，可进入应用</w:t>
            </w:r>
            <w:r>
              <w:rPr>
                <w:sz w:val="20"/>
              </w:rPr>
              <w:t>关注</w:t>
            </w:r>
            <w:r>
              <w:rPr>
                <w:sz w:val="20"/>
              </w:rPr>
              <w:t>页；</w:t>
            </w:r>
          </w:p>
          <w:p>
            <w:pPr>
              <w:pStyle w:val="null3"/>
              <w:jc w:val="both"/>
            </w:pPr>
            <w:r>
              <w:rPr>
                <w:sz w:val="20"/>
              </w:rPr>
              <w:t>6.支持对本地证书进行管理，</w:t>
            </w:r>
            <w:r>
              <w:rPr>
                <w:sz w:val="20"/>
              </w:rPr>
              <w:t>点击</w:t>
            </w:r>
            <w:r>
              <w:rPr>
                <w:sz w:val="20"/>
              </w:rPr>
              <w:t>更新下载证书条目，可进入激活码采集页，重新进行下证，点击删除本地证书条目，会弹窗进行删除确认，确认删除会清空本地证书，并返回到登录页的有服务但无证书状态。</w:t>
            </w:r>
          </w:p>
          <w:p>
            <w:pPr>
              <w:pStyle w:val="null3"/>
              <w:jc w:val="both"/>
            </w:pPr>
            <w:r>
              <w:rPr>
                <w:sz w:val="20"/>
              </w:rPr>
              <w:t>7.提供应用介绍页，底部有隐私协议与用户服务协议链接，点击可查看详情。</w:t>
            </w:r>
          </w:p>
          <w:p>
            <w:pPr>
              <w:pStyle w:val="null3"/>
              <w:jc w:val="both"/>
            </w:pPr>
            <w:r>
              <w:rPr>
                <w:sz w:val="20"/>
              </w:rPr>
              <w:t>5.6患者签署服务</w:t>
            </w:r>
          </w:p>
          <w:tbl>
            <w:tblPr>
              <w:tblBorders>
                <w:top w:val="none" w:color="000000" w:sz="4"/>
                <w:left w:val="none" w:color="000000" w:sz="4"/>
                <w:bottom w:val="none" w:color="000000" w:sz="4"/>
                <w:right w:val="none" w:color="000000" w:sz="4"/>
                <w:insideH w:val="none"/>
                <w:insideV w:val="none"/>
              </w:tblBorders>
            </w:tblPr>
            <w:tblGrid>
              <w:gridCol w:w="408"/>
              <w:gridCol w:w="5162"/>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患者签署服务功能指标</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支持医院移动工作站（</w:t>
                  </w:r>
                  <w:r>
                    <w:rPr>
                      <w:sz w:val="20"/>
                    </w:rPr>
                    <w:t>PDA、平板</w:t>
                  </w:r>
                  <w:r>
                    <w:rPr>
                      <w:sz w:val="20"/>
                    </w:rPr>
                    <w:t>、个人手机</w:t>
                  </w:r>
                  <w:r>
                    <w:rPr>
                      <w:sz w:val="20"/>
                    </w:rPr>
                    <w:t>等）设备上</w:t>
                  </w:r>
                  <w:r>
                    <w:rPr>
                      <w:sz w:val="20"/>
                    </w:rPr>
                    <w:t>安装</w:t>
                  </w:r>
                  <w:r>
                    <w:rPr>
                      <w:sz w:val="20"/>
                    </w:rPr>
                    <w:t>APP进行</w:t>
                  </w:r>
                  <w:r>
                    <w:rPr>
                      <w:sz w:val="20"/>
                    </w:rPr>
                    <w:t>患者电子签名服务</w:t>
                  </w:r>
                  <w:r>
                    <w:rPr>
                      <w:sz w:val="20"/>
                    </w:rPr>
                    <w:t>；</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w:t>
                  </w:r>
                  <w:r>
                    <w:rPr>
                      <w:sz w:val="20"/>
                    </w:rPr>
                    <w:t>APP</w:t>
                  </w:r>
                  <w:r>
                    <w:rPr>
                      <w:sz w:val="20"/>
                    </w:rPr>
                    <w:t>/小程序等方式根据患者姓名/身份证号获取院内业务系统推送的待签署文件；</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w:t>
                  </w:r>
                  <w:r>
                    <w:rPr>
                      <w:sz w:val="20"/>
                    </w:rPr>
                    <w:t>APP</w:t>
                  </w:r>
                  <w:r>
                    <w:rPr>
                      <w:sz w:val="20"/>
                    </w:rPr>
                    <w:t>/小程序查看待签署文件原文（PDF格式）；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w:t>
                  </w:r>
                  <w:r>
                    <w:rPr>
                      <w:sz w:val="20"/>
                    </w:rPr>
                    <w:t>APP</w:t>
                  </w:r>
                  <w:r>
                    <w:rPr>
                      <w:sz w:val="20"/>
                    </w:rPr>
                    <w:t>/小程序采集签署人（患者本人/家属）的姓名、身份证号信息；</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w:t>
                  </w:r>
                  <w:r>
                    <w:rPr>
                      <w:sz w:val="20"/>
                    </w:rPr>
                    <w:t>APP</w:t>
                  </w:r>
                  <w:r>
                    <w:rPr>
                      <w:sz w:val="20"/>
                    </w:rPr>
                    <w:t>/小程序基于公安部身份核验的人脸识别功能；</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5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w:t>
                  </w:r>
                  <w:r>
                    <w:rPr>
                      <w:sz w:val="20"/>
                    </w:rPr>
                    <w:t>APP</w:t>
                  </w:r>
                  <w:r>
                    <w:rPr>
                      <w:sz w:val="20"/>
                    </w:rPr>
                    <w:t>/小程序采集签署人（患者本人/家属）的签名笔迹；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5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支持小程序</w:t>
                  </w:r>
                  <w:r>
                    <w:rPr>
                      <w:sz w:val="20"/>
                    </w:rPr>
                    <w:t>/</w:t>
                  </w:r>
                  <w:r>
                    <w:rPr>
                      <w:sz w:val="20"/>
                    </w:rPr>
                    <w:t>APP</w:t>
                  </w:r>
                  <w:r>
                    <w:rPr>
                      <w:sz w:val="20"/>
                    </w:rPr>
                    <w:t>根据院内业务系统要求，将签名笔迹放在文件对应的位置；</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采用权威的</w:t>
                  </w:r>
                  <w:r>
                    <w:rPr>
                      <w:sz w:val="20"/>
                    </w:rPr>
                    <w:t>CA机构颁发的CA数字证书为患者提供知情文书签署服务，签署后的文书具备司法举证效力；</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5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签署服务所采用的数字证书符合《卫生系统数字证书格式规范（试行）》要求；</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5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签署服务所采用</w:t>
                  </w:r>
                  <w:r>
                    <w:rPr>
                      <w:sz w:val="20"/>
                    </w:rPr>
                    <w:t>数字证书</w:t>
                  </w:r>
                  <w:r>
                    <w:rPr>
                      <w:sz w:val="20"/>
                    </w:rPr>
                    <w:t>符合《卫生系统电子认证服务规范（试行）》要求；</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签署服务所采用数字证书格式标准遵循</w:t>
                  </w:r>
                  <w:r>
                    <w:rPr>
                      <w:sz w:val="20"/>
                    </w:rPr>
                    <w:t>x．509v3标准；</w:t>
                  </w:r>
                </w:p>
              </w:tc>
            </w:tr>
          </w:tbl>
          <w:p>
            <w:pPr>
              <w:pStyle w:val="null3"/>
              <w:jc w:val="both"/>
            </w:pPr>
            <w:r>
              <w:rPr>
                <w:sz w:val="20"/>
              </w:rPr>
              <w:t>5.7</w:t>
            </w:r>
            <w:r>
              <w:rPr>
                <w:sz w:val="21"/>
              </w:rPr>
              <w:t xml:space="preserve"> </w:t>
            </w:r>
            <w:r>
              <w:rPr>
                <w:sz w:val="20"/>
              </w:rPr>
              <w:t>CTID人脸识别服务</w:t>
            </w:r>
          </w:p>
          <w:p>
            <w:pPr>
              <w:pStyle w:val="null3"/>
            </w:pPr>
            <w:r>
              <w:rPr/>
              <w:t>基于国家权威数据源</w:t>
            </w:r>
            <w:r>
              <w:rPr/>
              <w:t>CTID，融合电子认证和数字签名技术，结合OCR识别、活体检测、人像采集等技术，实现了多维度、安全的云上身份核验</w:t>
            </w:r>
            <w:r>
              <w:rPr/>
              <w:t>，为</w:t>
            </w:r>
            <w:r>
              <w:rPr/>
              <w:t>医疗服务等各类应用提供权威、可信、安全、便捷的身份核验服务，以解决互联网环境中身份的实名、实人、实证的可信问题，同时规避用户身份信息的隐私</w:t>
            </w:r>
            <w:r>
              <w:rPr/>
              <w:t>泄漏风险</w:t>
            </w:r>
            <w:r>
              <w:rPr/>
              <w:t>。</w:t>
            </w:r>
          </w:p>
          <w:tbl>
            <w:tblPr>
              <w:tblInd w:type="dxa" w:w="225"/>
              <w:tblBorders>
                <w:top w:val="none" w:color="000000" w:sz="4"/>
                <w:left w:val="none" w:color="000000" w:sz="4"/>
                <w:bottom w:val="none" w:color="000000" w:sz="4"/>
                <w:right w:val="none" w:color="000000" w:sz="4"/>
                <w:insideH w:val="none"/>
                <w:insideV w:val="none"/>
              </w:tblBorders>
            </w:tblPr>
            <w:tblGrid>
              <w:gridCol w:w="525"/>
              <w:gridCol w:w="5073"/>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b/>
                    </w:rPr>
                    <w:t>序号</w:t>
                  </w:r>
                </w:p>
              </w:tc>
              <w:tc>
                <w:tcPr>
                  <w:tcW w:type="dxa" w:w="5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19"/>
                      <w:b/>
                    </w:rPr>
                    <w:t>技术</w:t>
                  </w:r>
                  <w:r>
                    <w:rPr>
                      <w:sz w:val="19"/>
                      <w:b/>
                    </w:rPr>
                    <w:t>指标要求</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19"/>
                      <w:b/>
                    </w:rPr>
                    <w:t>1</w:t>
                  </w:r>
                </w:p>
              </w:tc>
              <w:tc>
                <w:tcPr>
                  <w:tcW w:type="dxa" w:w="5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支持人脸实人认证功能：基于</w:t>
                  </w:r>
                  <w:r>
                    <w:rPr>
                      <w:sz w:val="19"/>
                    </w:rPr>
                    <w:t>HTML5模式、微信原生H5、微信小程序SDK模式的刷脸实人认证，对用户身份信息真实性核验，验证用户为真人且为本人。</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19"/>
                      <w:b/>
                    </w:rPr>
                    <w:t>2</w:t>
                  </w:r>
                </w:p>
              </w:tc>
              <w:tc>
                <w:tcPr>
                  <w:tcW w:type="dxa" w:w="5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支持多种活体核验方式：动作活体、静默活体、炫彩活体、视频活体、双角度活体等。</w:t>
                  </w:r>
                </w:p>
              </w:tc>
            </w:tr>
          </w:tbl>
          <w:p/>
        </w:tc>
      </w:tr>
      <w:tr>
        <w:tc>
          <w:tcPr>
            <w:tcW w:type="dxa" w:w="2076"/>
          </w:tcPr>
          <w:p/>
        </w:tc>
        <w:tc>
          <w:tcPr>
            <w:tcW w:type="dxa" w:w="415"/>
          </w:tcPr>
          <w:p>
            <w:pPr>
              <w:pStyle w:val="null3"/>
            </w:pPr>
            <w:r>
              <w:rPr/>
              <w:t>8</w:t>
            </w:r>
          </w:p>
        </w:tc>
        <w:tc>
          <w:tcPr>
            <w:tcW w:type="dxa" w:w="5814"/>
          </w:tcPr>
          <w:p>
            <w:pPr>
              <w:pStyle w:val="null3"/>
            </w:pPr>
            <w:r>
              <w:rPr>
                <w:b/>
              </w:rPr>
              <w:t>二、系统功能清单</w:t>
            </w:r>
          </w:p>
          <w:p>
            <w:pPr>
              <w:pStyle w:val="null3"/>
            </w:pPr>
            <w:r>
              <w:rPr>
                <w:b/>
              </w:rPr>
              <w:t xml:space="preserve">   </w:t>
            </w:r>
          </w:p>
          <w:tbl>
            <w:tblPr>
              <w:tblBorders>
                <w:top w:val="none" w:color="000000" w:sz="4"/>
                <w:left w:val="none" w:color="000000" w:sz="4"/>
                <w:bottom w:val="none" w:color="000000" w:sz="4"/>
                <w:right w:val="none" w:color="000000" w:sz="4"/>
                <w:insideH w:val="none"/>
                <w:insideV w:val="none"/>
              </w:tblBorders>
            </w:tblPr>
            <w:tblGrid>
              <w:gridCol w:w="960"/>
              <w:gridCol w:w="865"/>
              <w:gridCol w:w="946"/>
              <w:gridCol w:w="1609"/>
              <w:gridCol w:w="1189"/>
            </w:tblGrid>
            <w:tr>
              <w:tc>
                <w:tcPr>
                  <w:tcW w:type="dxa" w:w="960"/>
                  <w:tcBorders>
                    <w:top w:val="single" w:color="000000" w:sz="4"/>
                    <w:left w:val="single" w:color="000000" w:sz="4"/>
                    <w:bottom w:val="single" w:color="000000" w:sz="4"/>
                    <w:right w:val="single" w:color="000000" w:sz="4"/>
                  </w:tcBorders>
                  <w:shd w:fill="91AADF"/>
                  <w:tcMar>
                    <w:top w:type="dxa" w:w="0"/>
                    <w:left w:type="dxa" w:w="105"/>
                    <w:bottom w:type="dxa" w:w="0"/>
                    <w:right w:type="dxa" w:w="105"/>
                  </w:tcMar>
                  <w:vAlign w:val="top"/>
                </w:tcPr>
                <w:p>
                  <w:pPr>
                    <w:pStyle w:val="null3"/>
                    <w:jc w:val="center"/>
                  </w:pPr>
                  <w:r>
                    <w:rPr>
                      <w:sz w:val="20"/>
                      <w:color w:val="000000"/>
                    </w:rPr>
                    <w:t>序号</w:t>
                  </w:r>
                </w:p>
              </w:tc>
              <w:tc>
                <w:tcPr>
                  <w:tcW w:type="dxa" w:w="865"/>
                  <w:tcBorders>
                    <w:top w:val="single" w:color="000000" w:sz="4"/>
                    <w:left w:val="none" w:color="000000" w:sz="4"/>
                    <w:bottom w:val="single" w:color="000000" w:sz="4"/>
                    <w:right w:val="single" w:color="000000" w:sz="4"/>
                  </w:tcBorders>
                  <w:shd w:fill="91AADF"/>
                  <w:tcMar>
                    <w:top w:type="dxa" w:w="0"/>
                    <w:left w:type="dxa" w:w="105"/>
                    <w:bottom w:type="dxa" w:w="0"/>
                    <w:right w:type="dxa" w:w="105"/>
                  </w:tcMar>
                  <w:vAlign w:val="top"/>
                </w:tcPr>
                <w:p>
                  <w:pPr>
                    <w:pStyle w:val="null3"/>
                    <w:jc w:val="center"/>
                  </w:pPr>
                  <w:r>
                    <w:rPr>
                      <w:sz w:val="20"/>
                      <w:color w:val="000000"/>
                    </w:rPr>
                    <w:t>建设内容</w:t>
                  </w:r>
                </w:p>
              </w:tc>
              <w:tc>
                <w:tcPr>
                  <w:tcW w:type="dxa" w:w="946"/>
                  <w:tcBorders>
                    <w:top w:val="single" w:color="000000" w:sz="4"/>
                    <w:left w:val="none" w:color="000000" w:sz="4"/>
                    <w:bottom w:val="single" w:color="000000" w:sz="4"/>
                    <w:right w:val="single" w:color="000000" w:sz="4"/>
                  </w:tcBorders>
                  <w:shd w:fill="91AADF"/>
                  <w:tcMar>
                    <w:top w:type="dxa" w:w="0"/>
                    <w:left w:type="dxa" w:w="105"/>
                    <w:bottom w:type="dxa" w:w="0"/>
                    <w:right w:type="dxa" w:w="105"/>
                  </w:tcMar>
                  <w:vAlign w:val="top"/>
                </w:tcPr>
                <w:p>
                  <w:pPr>
                    <w:pStyle w:val="null3"/>
                    <w:jc w:val="center"/>
                  </w:pPr>
                  <w:r>
                    <w:rPr>
                      <w:sz w:val="20"/>
                      <w:color w:val="000000"/>
                    </w:rPr>
                    <w:t>产品系统</w:t>
                  </w:r>
                </w:p>
              </w:tc>
              <w:tc>
                <w:tcPr>
                  <w:tcW w:type="dxa" w:w="1609"/>
                  <w:tcBorders>
                    <w:top w:val="single" w:color="000000" w:sz="4"/>
                    <w:left w:val="none" w:color="000000" w:sz="4"/>
                    <w:bottom w:val="single" w:color="000000" w:sz="4"/>
                    <w:right w:val="single" w:color="000000" w:sz="4"/>
                  </w:tcBorders>
                  <w:shd w:fill="91AADF"/>
                  <w:tcMar>
                    <w:top w:type="dxa" w:w="0"/>
                    <w:left w:type="dxa" w:w="105"/>
                    <w:bottom w:type="dxa" w:w="0"/>
                    <w:right w:type="dxa" w:w="105"/>
                  </w:tcMar>
                  <w:vAlign w:val="top"/>
                </w:tcPr>
                <w:p>
                  <w:pPr>
                    <w:pStyle w:val="null3"/>
                    <w:jc w:val="center"/>
                  </w:pPr>
                  <w:r>
                    <w:rPr>
                      <w:sz w:val="20"/>
                      <w:color w:val="000000"/>
                    </w:rPr>
                    <w:t>系统模块</w:t>
                  </w:r>
                  <w:r>
                    <w:rPr>
                      <w:sz w:val="20"/>
                      <w:color w:val="000000"/>
                    </w:rPr>
                    <w:t>/产品描述</w:t>
                  </w:r>
                </w:p>
              </w:tc>
              <w:tc>
                <w:tcPr>
                  <w:tcW w:type="dxa" w:w="1189"/>
                  <w:tcBorders>
                    <w:top w:val="single" w:color="000000" w:sz="4"/>
                    <w:left w:val="none" w:color="000000" w:sz="4"/>
                    <w:bottom w:val="single" w:color="000000" w:sz="4"/>
                    <w:right w:val="single" w:color="000000" w:sz="4"/>
                  </w:tcBorders>
                  <w:shd w:fill="91AADF"/>
                  <w:tcMar>
                    <w:top w:type="dxa" w:w="0"/>
                    <w:left w:type="dxa" w:w="105"/>
                    <w:bottom w:type="dxa" w:w="0"/>
                    <w:right w:type="dxa" w:w="105"/>
                  </w:tcMar>
                  <w:vAlign w:val="top"/>
                </w:tcPr>
                <w:p>
                  <w:pPr>
                    <w:pStyle w:val="null3"/>
                    <w:jc w:val="center"/>
                  </w:pPr>
                  <w:r>
                    <w:rPr>
                      <w:sz w:val="20"/>
                      <w:color w:val="000000"/>
                    </w:rPr>
                    <w:t>备注</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门诊无纸化</w:t>
                  </w:r>
                </w:p>
              </w:tc>
              <w:tc>
                <w:tcPr>
                  <w:tcW w:type="dxa" w:w="9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门诊无纸化改造</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门诊挂号系统</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门诊分诊系统</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门诊医生工作站</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门诊收费系统</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门诊配发药</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门诊注射室</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门诊医技确认系统</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门诊手术室管理系统</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患者移动服务平台改造</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排队查询</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在线病案复印</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门诊就医全流程</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智能预问诊</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3年，按年订阅</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移动门户服务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问卷管理</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门诊处方在线查询</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门诊电子病历在线查询</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候补挂号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门诊加号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通知服务（微信就医助手）</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挂号报到</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在线建卡绑卡（一卡多绑）</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入出院无纸化</w:t>
                  </w:r>
                </w:p>
              </w:tc>
              <w:tc>
                <w:tcPr>
                  <w:tcW w:type="dxa" w:w="9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患者移动服务平台（住院业务）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住院押金在线缴纳</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在线入院登记</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出院小结在线查询</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出院带药查询</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在线每日清单查询</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在线住院费用查询</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在线出院结算</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在线住院记录查询</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自助机改造</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门诊业务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挂号凭证、就诊指引单、门诊病历和处方单</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none" w:color="000000" w:sz="4"/>
                    <w:right w:val="single" w:color="000000" w:sz="4"/>
                  </w:tcBorders>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住院业务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预交金单据、住院费用清单、入院申请单</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none" w:color="000000" w:sz="4"/>
                    <w:right w:val="single" w:color="000000" w:sz="4"/>
                  </w:tcBorders>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全院业务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检查报告、检验报告、病理报告、查询患者信息（增加医保电子凭证、门诊号、住院号和电子健康码</w:t>
                  </w:r>
                  <w:r>
                    <w:rPr>
                      <w:sz w:val="20"/>
                      <w:color w:val="000000"/>
                    </w:rPr>
                    <w:t>4种方式）。</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rPr>
                    <w:t>生殖中心系统改造</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大白对接</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将建档、手术验证自动记录到管理系统并通过大白机直接</w:t>
                  </w:r>
                  <w:r>
                    <w:rPr>
                      <w:sz w:val="20"/>
                      <w:color w:val="000000"/>
                    </w:rPr>
                    <w:t>建立</w:t>
                  </w:r>
                  <w:r>
                    <w:rPr>
                      <w:sz w:val="20"/>
                      <w:color w:val="000000"/>
                    </w:rPr>
                    <w:t>档案。</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none" w:color="000000" w:sz="4"/>
                    <w:right w:val="single" w:color="000000" w:sz="4"/>
                  </w:tcBorders>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供精续费</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患者分配了供精但是没有来做手术，占用冷冻位置需要进行催费、收费。</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none" w:color="000000" w:sz="4"/>
                    <w:right w:val="single" w:color="000000" w:sz="4"/>
                  </w:tcBorders>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无纸化归档</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将完整的病历自动生成</w:t>
                  </w:r>
                  <w:r>
                    <w:rPr>
                      <w:sz w:val="20"/>
                      <w:color w:val="000000"/>
                    </w:rPr>
                    <w:t>PDF，保留在服务器上，检查或校验时通过系统调用查看</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医护技患</w:t>
                  </w:r>
                  <w:r>
                    <w:rPr>
                      <w:sz w:val="20"/>
                      <w:color w:val="000000"/>
                    </w:rPr>
                    <w:t>-电子签名系统</w:t>
                  </w:r>
                  <w:r>
                    <w:br/>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协同签名系统</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协同签名系统</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移动端</w:t>
                  </w:r>
                  <w:r>
                    <w:rPr>
                      <w:sz w:val="20"/>
                    </w:rPr>
                    <w:t>APP</w:t>
                  </w:r>
                  <w:r>
                    <w:rPr>
                      <w:sz w:val="20"/>
                    </w:rPr>
                    <w:t>或</w:t>
                  </w:r>
                  <w:r>
                    <w:rPr>
                      <w:sz w:val="20"/>
                    </w:rPr>
                    <w:t>SDK</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实现用户激活证书下载、签名签章</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移动个人数字证书</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750张</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协同签名企业微信小程序</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包括企业微信小程序及云端小程序代理服务</w:t>
                  </w:r>
                  <w:r>
                    <w:rPr>
                      <w:sz w:val="20"/>
                      <w:color w:val="000000"/>
                    </w:rPr>
                    <w:t>，提</w:t>
                  </w:r>
                  <w:r>
                    <w:rPr>
                      <w:sz w:val="20"/>
                      <w:color w:val="000000"/>
                    </w:rPr>
                    <w:t>供客户在企业微信</w:t>
                  </w:r>
                  <w:r>
                    <w:rPr>
                      <w:sz w:val="20"/>
                      <w:color w:val="000000"/>
                    </w:rPr>
                    <w:t>APP</w:t>
                  </w:r>
                  <w:r>
                    <w:rPr>
                      <w:sz w:val="20"/>
                      <w:color w:val="000000"/>
                    </w:rPr>
                    <w:t>中集成和使用本地协同签名服务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协同签名小程序接口</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协同签名小程序接口</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3年，按年订阅</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移动无线指纹手写签名板</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台手写签名板：无线10.1寸液晶电磁压感手写屏；基本信息：10.1寸液晶显示屏，Android11操作系统，支持国密算法、手写签名、前后置摄像头，指纹采集、人像采集等；支持选配4G模块、公安部标准指纹。内置密码芯片和设备证书，增配身份证阅读器。</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患者签名服务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提供患者手写签名服务</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CTID人脸识别服务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患者身份识别</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集成服务</w:t>
                  </w:r>
                  <w:r>
                    <w:rPr>
                      <w:sz w:val="20"/>
                      <w:color w:val="000000"/>
                    </w:rPr>
                    <w:t>-医护技患电子签名</w:t>
                  </w:r>
                </w:p>
              </w:tc>
              <w:tc>
                <w:tcPr>
                  <w:tcW w:type="dxa" w:w="9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医护技电子签名集成服务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HIS集成（（门诊医生工作站、配发药系统、住院医生工作站、护理文书）</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PACS&amp;LIS集成</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手麻系统集成</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生殖中心集成</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患者电子签名集成服务</w:t>
                  </w: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HIS集成（门诊医生工作站、配发药系统、住院医生工作站、住院护士</w:t>
                  </w:r>
                  <w:r>
                    <w:rPr>
                      <w:sz w:val="20"/>
                    </w:rPr>
                    <w:t>、</w:t>
                  </w:r>
                  <w:r>
                    <w:rPr>
                      <w:sz w:val="20"/>
                    </w:rPr>
                    <w:t>病历</w:t>
                  </w:r>
                  <w:r>
                    <w:rPr>
                      <w:sz w:val="20"/>
                    </w:rPr>
                    <w:t>模板</w:t>
                  </w:r>
                  <w:r>
                    <w:rPr>
                      <w:sz w:val="20"/>
                    </w:rPr>
                    <w:t>管理）</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5145"/>
                    <w:jc w:val="left"/>
                  </w:pP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865"/>
                  <w:vMerge/>
                  <w:tcBorders>
                    <w:top w:val="none" w:color="000000" w:sz="4"/>
                    <w:left w:val="none" w:color="000000" w:sz="4"/>
                    <w:bottom w:val="single" w:color="000000" w:sz="4"/>
                    <w:right w:val="single" w:color="000000" w:sz="4"/>
                  </w:tcBorders>
                </w:tcPr>
                <w:p/>
              </w:tc>
              <w:tc>
                <w:tcPr>
                  <w:tcW w:type="dxa" w:w="946"/>
                  <w:vMerge/>
                  <w:tcBorders>
                    <w:top w:val="none" w:color="000000" w:sz="4"/>
                    <w:left w:val="none" w:color="000000" w:sz="4"/>
                    <w:bottom w:val="single" w:color="000000" w:sz="4"/>
                    <w:right w:val="single" w:color="000000" w:sz="4"/>
                  </w:tcBorders>
                </w:tcPr>
                <w:p/>
              </w:tc>
              <w:tc>
                <w:tcPr>
                  <w:tcW w:type="dxa" w:w="1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生殖中心系统集成</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9</w:t>
            </w:r>
          </w:p>
        </w:tc>
        <w:tc>
          <w:tcPr>
            <w:tcW w:type="dxa" w:w="5814"/>
          </w:tcPr>
          <w:p>
            <w:pPr>
              <w:pStyle w:val="null3"/>
              <w:jc w:val="both"/>
            </w:pPr>
            <w:r>
              <w:rPr>
                <w:sz w:val="20"/>
              </w:rPr>
              <w:t>三、</w:t>
            </w:r>
            <w:r>
              <w:rPr>
                <w:sz w:val="20"/>
              </w:rPr>
              <w:t>投标人现场演示研发的医疗信息化系统功能，要求如下：</w:t>
            </w:r>
          </w:p>
          <w:p>
            <w:pPr>
              <w:pStyle w:val="null3"/>
              <w:jc w:val="both"/>
            </w:pPr>
            <w:r>
              <w:rPr>
                <w:sz w:val="20"/>
              </w:rPr>
              <w:t>1</w:t>
            </w:r>
            <w:r>
              <w:rPr>
                <w:sz w:val="20"/>
              </w:rPr>
              <w:t>、医嘱基础数据：支持对</w:t>
            </w:r>
            <w:r>
              <w:rPr>
                <w:sz w:val="20"/>
              </w:rPr>
              <w:t>医</w:t>
            </w:r>
            <w:r>
              <w:rPr>
                <w:sz w:val="20"/>
              </w:rPr>
              <w:t>嘱</w:t>
            </w:r>
            <w:r>
              <w:rPr>
                <w:sz w:val="20"/>
              </w:rPr>
              <w:t>的使用频次、给药途径、医嘱执行时间安排、中药煎煮方式、检查部位和检验标本字典进行维护，支持将系统外部的数据字典通过引入</w:t>
            </w:r>
            <w:r>
              <w:rPr>
                <w:sz w:val="20"/>
              </w:rPr>
              <w:t>模板</w:t>
            </w:r>
            <w:r>
              <w:rPr>
                <w:sz w:val="20"/>
              </w:rPr>
              <w:t>，直接引入到系统中，也支持将数据字典</w:t>
            </w:r>
            <w:r>
              <w:rPr>
                <w:sz w:val="20"/>
              </w:rPr>
              <w:t>模板</w:t>
            </w:r>
            <w:r>
              <w:rPr>
                <w:sz w:val="20"/>
              </w:rPr>
              <w:t>按引出模板引出为</w:t>
            </w:r>
            <w:r>
              <w:rPr>
                <w:sz w:val="20"/>
              </w:rPr>
              <w:t>Excel</w:t>
            </w:r>
            <w:r>
              <w:rPr>
                <w:sz w:val="20"/>
              </w:rPr>
              <w:t>。注：此项需演示使用频次的引入、引出模板，可在引入引出的使用频次</w:t>
            </w:r>
            <w:r>
              <w:rPr>
                <w:sz w:val="20"/>
              </w:rPr>
              <w:t>模板</w:t>
            </w:r>
            <w:r>
              <w:rPr>
                <w:sz w:val="20"/>
              </w:rPr>
              <w:t>基础上，结合需求配置合适的引入引出字段，设置是否必录，实现数据的批量引入和引出；使用频次的</w:t>
            </w:r>
            <w:r>
              <w:rPr>
                <w:sz w:val="20"/>
              </w:rPr>
              <w:t>模板</w:t>
            </w:r>
            <w:r>
              <w:rPr>
                <w:sz w:val="20"/>
              </w:rPr>
              <w:t>可配置多个引入、引出模板，引入、引出时可根据实际需求选择模板。</w:t>
            </w:r>
          </w:p>
          <w:p>
            <w:pPr>
              <w:pStyle w:val="null3"/>
              <w:jc w:val="both"/>
            </w:pPr>
            <w:r>
              <w:rPr>
                <w:sz w:val="20"/>
              </w:rPr>
              <w:t>2</w:t>
            </w:r>
            <w:r>
              <w:rPr>
                <w:sz w:val="20"/>
              </w:rPr>
              <w:t>、中药协定方明细：支持直接从</w:t>
            </w:r>
            <w:r>
              <w:rPr>
                <w:sz w:val="20"/>
              </w:rPr>
              <w:t>EXCEL</w:t>
            </w:r>
            <w:r>
              <w:rPr>
                <w:sz w:val="20"/>
              </w:rPr>
              <w:t>中复制多行多列数据粘贴到中药协定方的项目明细中，包括医嘱明细、数量、单位、煎煮方式等。注：此项需演示从</w:t>
            </w:r>
            <w:r>
              <w:rPr>
                <w:sz w:val="20"/>
              </w:rPr>
              <w:t>Excel</w:t>
            </w:r>
            <w:r>
              <w:rPr>
                <w:sz w:val="20"/>
              </w:rPr>
              <w:t>中一次性复制多条医嘱项目、数量、单位，粘贴至项目明细中，并且系统可根据医嘱编码自动匹配项目并带出项目的名称。</w:t>
            </w:r>
          </w:p>
          <w:p>
            <w:pPr>
              <w:pStyle w:val="null3"/>
              <w:jc w:val="both"/>
            </w:pPr>
            <w:r>
              <w:rPr>
                <w:sz w:val="20"/>
              </w:rPr>
              <w:t>3</w:t>
            </w:r>
            <w:r>
              <w:rPr>
                <w:sz w:val="20"/>
              </w:rPr>
              <w:t>、</w:t>
            </w:r>
            <w:r>
              <w:rPr>
                <w:sz w:val="20"/>
              </w:rPr>
              <w:t>门诊就医全流程</w:t>
            </w:r>
            <w:r>
              <w:rPr>
                <w:sz w:val="20"/>
              </w:rPr>
              <w:t>：建设门诊就诊流程树模型，更有效地引导门诊患者就诊，需要聚合挂号、候诊、缴费、指引、取药、检验、检查等就医环节</w:t>
            </w:r>
            <w:r>
              <w:rPr>
                <w:sz w:val="20"/>
              </w:rPr>
              <w:t>的</w:t>
            </w:r>
            <w:r>
              <w:rPr>
                <w:sz w:val="20"/>
              </w:rPr>
              <w:t>同一个可视化主页，实现门诊全流程可视化查询的服务。支持对就诊环节中有待就诊业务、事项处理的消息提醒和红点标记提醒，使患者快速定位诊疗环节。同时支持患者从各环节界面点击项目卡片跳转到对应的业务菜单进行更多的操作。</w:t>
            </w:r>
          </w:p>
          <w:p>
            <w:pPr>
              <w:pStyle w:val="null3"/>
              <w:jc w:val="both"/>
            </w:pPr>
            <w:r>
              <w:rPr>
                <w:sz w:val="20"/>
              </w:rPr>
              <w:t>（</w:t>
            </w:r>
            <w:r>
              <w:rPr>
                <w:sz w:val="20"/>
              </w:rPr>
              <w:t>1</w:t>
            </w:r>
            <w:r>
              <w:rPr>
                <w:sz w:val="20"/>
              </w:rPr>
              <w:t>）患者可以在一个可视化页面中查看个人挂号、候诊、缴费、指引、取药、检验、检查、治疗的相关信息。</w:t>
            </w:r>
          </w:p>
          <w:p>
            <w:pPr>
              <w:pStyle w:val="null3"/>
              <w:jc w:val="both"/>
            </w:pPr>
            <w:r>
              <w:rPr>
                <w:sz w:val="20"/>
              </w:rPr>
              <w:t>（</w:t>
            </w:r>
            <w:r>
              <w:rPr>
                <w:sz w:val="20"/>
              </w:rPr>
              <w:t>2</w:t>
            </w:r>
            <w:r>
              <w:rPr>
                <w:sz w:val="20"/>
              </w:rPr>
              <w:t>）在页面中，支持对有待就诊业务或事项消息的就诊环节标记红点作为提醒，使患者可快速定位就医环节。</w:t>
            </w:r>
          </w:p>
          <w:p>
            <w:pPr>
              <w:pStyle w:val="null3"/>
              <w:jc w:val="both"/>
            </w:pPr>
            <w:r>
              <w:rPr>
                <w:sz w:val="20"/>
              </w:rPr>
              <w:t>（</w:t>
            </w:r>
            <w:r>
              <w:rPr>
                <w:sz w:val="20"/>
              </w:rPr>
              <w:t>3</w:t>
            </w:r>
            <w:r>
              <w:rPr>
                <w:sz w:val="20"/>
              </w:rPr>
              <w:t>）在页面中，支持患者通过点击挂号、候诊、缴费、指引、取药、检验、检查、治疗环节中的项目卡片跳转到对应的业务菜单进行更多的操作。</w:t>
            </w:r>
          </w:p>
          <w:p>
            <w:pPr>
              <w:pStyle w:val="null3"/>
              <w:jc w:val="both"/>
            </w:pPr>
            <w:r>
              <w:rPr>
                <w:sz w:val="20"/>
              </w:rPr>
              <w:t>注：此项需演示患者在微信端的门诊就医全流程，聚合挂号、候诊、缴费、指引、取药、检验、检查等就医环节</w:t>
            </w:r>
            <w:r>
              <w:rPr>
                <w:sz w:val="20"/>
              </w:rPr>
              <w:t>的</w:t>
            </w:r>
            <w:r>
              <w:rPr>
                <w:sz w:val="20"/>
              </w:rPr>
              <w:t>同一个可视化主页，对有待就诊业务或事项消息的就诊环节标记红点作为提醒，通过点击挂号、候诊、缴费、指引、取药、检验、检查、治疗环节中的项目卡片跳转到对应的业务菜单进行更多的操作。</w:t>
            </w:r>
          </w:p>
          <w:p>
            <w:pPr>
              <w:pStyle w:val="null3"/>
              <w:jc w:val="both"/>
            </w:pPr>
            <w:r>
              <w:rPr>
                <w:sz w:val="20"/>
              </w:rPr>
              <w:t>4</w:t>
            </w:r>
            <w:r>
              <w:rPr>
                <w:sz w:val="20"/>
              </w:rPr>
              <w:t>、门诊加号：患者在线上预约挂号，发现医生的号已被挂满，但又急需看医生，到医院现场直接与医生沟通加号，当医生同意后，会在</w:t>
            </w:r>
            <w:r>
              <w:rPr>
                <w:sz w:val="20"/>
              </w:rPr>
              <w:t>his</w:t>
            </w:r>
            <w:r>
              <w:rPr>
                <w:sz w:val="20"/>
              </w:rPr>
              <w:t>系统，然后生成一个随机码，患者在手机上输入随机码即可挂号并线上支付挂号费。注：此项需演示在门诊医生工作站操作门诊加号功能生成随机码，并在患者微信端输入随机码后完成挂号支付。</w:t>
            </w:r>
          </w:p>
          <w:p>
            <w:pPr>
              <w:pStyle w:val="null3"/>
              <w:jc w:val="both"/>
            </w:pPr>
            <w:r>
              <w:rPr>
                <w:sz w:val="20"/>
              </w:rPr>
              <w:t>5</w:t>
            </w:r>
            <w:r>
              <w:rPr>
                <w:sz w:val="20"/>
              </w:rPr>
              <w:t>、</w:t>
            </w:r>
            <w:r>
              <w:rPr>
                <w:sz w:val="20"/>
              </w:rPr>
              <w:t>在线建卡绑卡</w:t>
            </w:r>
            <w:r>
              <w:rPr>
                <w:sz w:val="20"/>
              </w:rPr>
              <w:t>（一卡多绑）：</w:t>
            </w:r>
            <w:r>
              <w:rPr>
                <w:sz w:val="20"/>
              </w:rPr>
              <w:t>支持在同一渠道下，一张就诊</w:t>
            </w:r>
            <w:r>
              <w:rPr>
                <w:sz w:val="20"/>
              </w:rPr>
              <w:t>卡</w:t>
            </w:r>
            <w:r>
              <w:rPr>
                <w:sz w:val="20"/>
              </w:rPr>
              <w:t>最多可被</w:t>
            </w:r>
            <w:r>
              <w:rPr>
                <w:sz w:val="20"/>
              </w:rPr>
              <w:t>5</w:t>
            </w:r>
            <w:r>
              <w:rPr>
                <w:sz w:val="20"/>
              </w:rPr>
              <w:t>个用户绑定，绑定后支持查看和使用就医服务。绑定同一张诊疗卡的多个用户的微信端，能同时接收到患者的各类推送消息，如就诊提醒、诊间支付提醒、停诊通知等。</w:t>
            </w:r>
            <w:r>
              <w:rPr>
                <w:sz w:val="20"/>
              </w:rPr>
              <w:t>注：</w:t>
            </w:r>
            <w:r>
              <w:rPr>
                <w:sz w:val="20"/>
              </w:rPr>
              <w:t>此项需演示门诊医生在系统开处方签名后，绑定同个诊疗卡的不同微信用户能同时在手机端接收到诊间支付提醒消息。</w:t>
            </w:r>
          </w:p>
        </w:tc>
      </w:tr>
      <w:tr>
        <w:tc>
          <w:tcPr>
            <w:tcW w:type="dxa" w:w="2076"/>
          </w:tcPr>
          <w:p/>
        </w:tc>
        <w:tc>
          <w:tcPr>
            <w:tcW w:type="dxa" w:w="415"/>
          </w:tcPr>
          <w:p>
            <w:pPr>
              <w:pStyle w:val="null3"/>
            </w:pPr>
            <w:r>
              <w:rPr/>
              <w:t>10</w:t>
            </w:r>
          </w:p>
        </w:tc>
        <w:tc>
          <w:tcPr>
            <w:tcW w:type="dxa" w:w="5814"/>
          </w:tcPr>
          <w:p>
            <w:pPr>
              <w:pStyle w:val="null3"/>
              <w:jc w:val="both"/>
            </w:pPr>
            <w:r>
              <w:rPr>
                <w:sz w:val="21"/>
              </w:rPr>
              <w:t>四</w:t>
            </w:r>
            <w:r>
              <w:rPr>
                <w:sz w:val="21"/>
              </w:rPr>
              <w:t>、项目实施要求</w:t>
            </w:r>
          </w:p>
        </w:tc>
      </w:tr>
      <w:tr>
        <w:tc>
          <w:tcPr>
            <w:tcW w:type="dxa" w:w="2076"/>
          </w:tcPr>
          <w:p/>
        </w:tc>
        <w:tc>
          <w:tcPr>
            <w:tcW w:type="dxa" w:w="415"/>
          </w:tcPr>
          <w:p>
            <w:pPr>
              <w:pStyle w:val="null3"/>
            </w:pPr>
            <w:r>
              <w:rPr/>
              <w:t>11</w:t>
            </w:r>
          </w:p>
        </w:tc>
        <w:tc>
          <w:tcPr>
            <w:tcW w:type="dxa" w:w="5814"/>
          </w:tcPr>
          <w:p>
            <w:pPr>
              <w:pStyle w:val="null3"/>
            </w:pPr>
            <w:r>
              <w:rPr/>
              <w:t>1、</w:t>
            </w:r>
            <w:r>
              <w:rPr/>
              <w:t>建设周期：合同签订后</w:t>
            </w:r>
            <w:r>
              <w:rPr/>
              <w:t>8个月内完成系统的上线使用。</w:t>
            </w:r>
          </w:p>
          <w:p>
            <w:pPr>
              <w:pStyle w:val="null3"/>
              <w:jc w:val="both"/>
            </w:pPr>
            <w:r>
              <w:rPr>
                <w:sz w:val="21"/>
              </w:rPr>
              <w:t>2、</w:t>
            </w:r>
            <w:r>
              <w:rPr>
                <w:sz w:val="21"/>
              </w:rPr>
              <w:t>项目需按期开发完毕、调试通过并交付。因采购人原因或</w:t>
            </w:r>
            <w:r>
              <w:rPr>
                <w:sz w:val="21"/>
              </w:rPr>
              <w:t>其他</w:t>
            </w:r>
            <w:r>
              <w:rPr>
                <w:sz w:val="21"/>
              </w:rPr>
              <w:t>不可抗力原因影响开发进度，经双方书面协商一致后可变更时间进度计划，并按变更后的进度计划执行。</w:t>
            </w:r>
          </w:p>
        </w:tc>
      </w:tr>
      <w:tr>
        <w:tc>
          <w:tcPr>
            <w:tcW w:type="dxa" w:w="2076"/>
          </w:tcPr>
          <w:p/>
        </w:tc>
        <w:tc>
          <w:tcPr>
            <w:tcW w:type="dxa" w:w="415"/>
          </w:tcPr>
          <w:p>
            <w:pPr>
              <w:pStyle w:val="null3"/>
            </w:pPr>
            <w:r>
              <w:rPr/>
              <w:t>12</w:t>
            </w:r>
          </w:p>
        </w:tc>
        <w:tc>
          <w:tcPr>
            <w:tcW w:type="dxa" w:w="5814"/>
          </w:tcPr>
          <w:p>
            <w:pPr>
              <w:pStyle w:val="null3"/>
              <w:jc w:val="both"/>
            </w:pPr>
            <w:r>
              <w:rPr>
                <w:sz w:val="21"/>
              </w:rPr>
              <w:t>五、售后服务要求</w:t>
            </w:r>
          </w:p>
        </w:tc>
      </w:tr>
      <w:tr>
        <w:tc>
          <w:tcPr>
            <w:tcW w:type="dxa" w:w="2076"/>
          </w:tcPr>
          <w:p/>
        </w:tc>
        <w:tc>
          <w:tcPr>
            <w:tcW w:type="dxa" w:w="415"/>
          </w:tcPr>
          <w:p>
            <w:pPr>
              <w:pStyle w:val="null3"/>
            </w:pPr>
            <w:r>
              <w:rPr/>
              <w:t>13</w:t>
            </w:r>
          </w:p>
        </w:tc>
        <w:tc>
          <w:tcPr>
            <w:tcW w:type="dxa" w:w="5814"/>
          </w:tcPr>
          <w:p>
            <w:pPr>
              <w:pStyle w:val="null3"/>
            </w:pPr>
            <w:r>
              <w:rPr/>
              <w:t>1、</w:t>
            </w:r>
            <w:r>
              <w:rPr/>
              <w:t>维护期：自项目正式上线使用之日起，中标人应为采购人提供</w:t>
            </w:r>
            <w:r>
              <w:rPr/>
              <w:t>3年的技术支持服务，保证采购人顺利运行系统。包括软件维护服务、技术服务支持，维护包括系统维护、性能提升、故障检测，相关费用包含在</w:t>
            </w:r>
            <w:r>
              <w:rPr/>
              <w:t>投标报价中</w:t>
            </w:r>
            <w:r>
              <w:rPr/>
              <w:t>，日期从项目正式验收使用次日起计算。</w:t>
            </w:r>
          </w:p>
          <w:p>
            <w:pPr>
              <w:pStyle w:val="null3"/>
            </w:pPr>
            <w:r>
              <w:rPr/>
              <w:t>2、</w:t>
            </w:r>
            <w:r>
              <w:rPr/>
              <w:t>售后服务内容包括：</w:t>
            </w:r>
          </w:p>
          <w:p>
            <w:pPr>
              <w:pStyle w:val="null3"/>
            </w:pPr>
            <w:r>
              <w:rPr/>
              <w:t>（</w:t>
            </w:r>
            <w:r>
              <w:rPr/>
              <w:t>1）系统环境的维护：主要防止因操作系统故障或系统配置故障影响用户正常使用。</w:t>
            </w:r>
          </w:p>
          <w:p>
            <w:pPr>
              <w:pStyle w:val="null3"/>
              <w:jc w:val="both"/>
            </w:pPr>
            <w:r>
              <w:rPr>
                <w:sz w:val="21"/>
              </w:rPr>
              <w:t>（</w:t>
            </w:r>
            <w:r>
              <w:rPr>
                <w:sz w:val="21"/>
              </w:rPr>
              <w:t>2）系统应用软件维护：对应用软件设计在保证期内进行更新维护，并迅速恢复因用户误操作或某些错误操作导致系统故障。</w:t>
            </w:r>
          </w:p>
        </w:tc>
      </w:tr>
      <w:tr>
        <w:tc>
          <w:tcPr>
            <w:tcW w:type="dxa" w:w="2076"/>
          </w:tcPr>
          <w:p/>
        </w:tc>
        <w:tc>
          <w:tcPr>
            <w:tcW w:type="dxa" w:w="415"/>
          </w:tcPr>
          <w:p>
            <w:pPr>
              <w:pStyle w:val="null3"/>
            </w:pPr>
            <w:r>
              <w:rPr/>
              <w:t>14</w:t>
            </w:r>
          </w:p>
        </w:tc>
        <w:tc>
          <w:tcPr>
            <w:tcW w:type="dxa" w:w="5814"/>
          </w:tcPr>
          <w:p>
            <w:pPr>
              <w:pStyle w:val="null3"/>
              <w:jc w:val="both"/>
            </w:pPr>
            <w:r>
              <w:rPr>
                <w:sz w:val="21"/>
              </w:rPr>
              <w:t>六</w:t>
            </w:r>
            <w:r>
              <w:rPr>
                <w:sz w:val="21"/>
              </w:rPr>
              <w:t>、人员培训要求</w:t>
            </w:r>
          </w:p>
        </w:tc>
      </w:tr>
      <w:tr>
        <w:tc>
          <w:tcPr>
            <w:tcW w:type="dxa" w:w="2076"/>
          </w:tcPr>
          <w:p/>
        </w:tc>
        <w:tc>
          <w:tcPr>
            <w:tcW w:type="dxa" w:w="415"/>
          </w:tcPr>
          <w:p>
            <w:pPr>
              <w:pStyle w:val="null3"/>
            </w:pPr>
            <w:r>
              <w:rPr/>
              <w:t>15</w:t>
            </w:r>
          </w:p>
        </w:tc>
        <w:tc>
          <w:tcPr>
            <w:tcW w:type="dxa" w:w="5814"/>
          </w:tcPr>
          <w:p>
            <w:pPr>
              <w:pStyle w:val="null3"/>
            </w:pPr>
            <w:r>
              <w:rPr/>
              <w:t>1、</w:t>
            </w:r>
            <w:r>
              <w:rPr/>
              <w:t>中标人应提供相应的应用软件技术和系统操作等方面的培训。有关应用软件的操作培训课程，培训应该在系统运作前完成。中标人将详细的培训课程以及时间表交给采购人，最后以采购人认可为准。</w:t>
            </w:r>
          </w:p>
          <w:p>
            <w:pPr>
              <w:pStyle w:val="null3"/>
            </w:pPr>
            <w:r>
              <w:rPr/>
              <w:t>2、</w:t>
            </w:r>
            <w:r>
              <w:rPr/>
              <w:t>对于所有培训，中标人必须派出具有同类型项目实际工作经验和教学经验的教师和相应的辅导人员进行培训。培训所使用的语言和教材必须是中文，否则中标人必须提供相应的翻译。</w:t>
            </w:r>
          </w:p>
          <w:p>
            <w:pPr>
              <w:pStyle w:val="null3"/>
            </w:pPr>
            <w:r>
              <w:rPr/>
              <w:t>3、</w:t>
            </w:r>
            <w:r>
              <w:rPr/>
              <w:t>技术人员培训</w:t>
            </w:r>
            <w:r>
              <w:rPr/>
              <w:t>分为</w:t>
            </w:r>
            <w:r>
              <w:rPr/>
              <w:t>两种，现场培训和集中培训。</w:t>
            </w:r>
          </w:p>
          <w:p>
            <w:pPr>
              <w:pStyle w:val="null3"/>
            </w:pPr>
            <w:r>
              <w:rPr/>
              <w:t>4、</w:t>
            </w:r>
            <w:r>
              <w:rPr/>
              <w:t>培训内容包括：</w:t>
            </w:r>
          </w:p>
          <w:p>
            <w:pPr>
              <w:pStyle w:val="null3"/>
            </w:pPr>
            <w:r>
              <w:rPr/>
              <w:t>（</w:t>
            </w:r>
            <w:r>
              <w:rPr/>
              <w:t>1）在软件的安装调试、故障处理过程中，对系统使用人员进行实际的操作和故障处理培训；</w:t>
            </w:r>
          </w:p>
          <w:p>
            <w:pPr>
              <w:pStyle w:val="null3"/>
            </w:pPr>
            <w:r>
              <w:rPr/>
              <w:t>（</w:t>
            </w:r>
            <w:r>
              <w:rPr/>
              <w:t>2）在整套系统安装、调试完成后，对系统使用人员的操作培训，讲授说明系统的安装、保养和应该注意的事项，使系统使用人员能够尽快地熟悉软件的性能。</w:t>
            </w:r>
          </w:p>
          <w:p>
            <w:pPr>
              <w:pStyle w:val="null3"/>
              <w:jc w:val="both"/>
            </w:pPr>
            <w:r>
              <w:rPr>
                <w:sz w:val="21"/>
              </w:rPr>
              <w:t>（</w:t>
            </w:r>
            <w:r>
              <w:rPr>
                <w:sz w:val="21"/>
              </w:rPr>
              <w:t>3）中标人须提供培训方案，包括培训教师、培训内容、培训教材。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广东省生殖科学研究所（广东省生殖医院）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向中标人收取的中标服务费标准参照国家计委[计价格〔2002〕1980号文及国家发展改革委〔2011〕534号文服务类招标代理服务收费标准差额定率累进法计算收取，如收取金额不足人民币6000元，按人民币6000元收取中标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门诊无纸化、自助入出院和电子签名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采购包1（门诊无纸化、自助入出院和电子签名建设）：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采购包1（门诊无纸化、自助入出院和电子签名建设）：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履行合同所必需的设备和专业技术能力证明文件或书面声明。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为采购项目提供整体设计、规范编制或者项目管理、监理、检测等服务的供应商，不得再参加该采购项目的其他采购活动。（提供声明函）</w:t>
            </w:r>
          </w:p>
        </w:tc>
      </w:tr>
      <w:tr>
        <w:tc>
          <w:tcPr>
            <w:tcW w:type="dxa" w:w="890"/>
          </w:tcPr>
          <w:p>
            <w:pPr>
              <w:pStyle w:val="null3"/>
            </w:pPr>
            <w:r>
              <w:rPr/>
              <w:t>8</w:t>
            </w:r>
          </w:p>
        </w:tc>
        <w:tc>
          <w:tcPr>
            <w:tcW w:type="dxa" w:w="3178"/>
          </w:tcPr>
          <w:p>
            <w:pPr>
              <w:pStyle w:val="null3"/>
            </w:pPr>
            <w:r>
              <w:rPr/>
              <w:t>采购包1（门诊无纸化、自助入出院和电子签名建设）</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采购包1（门诊无纸化、自助入出院和电子签名建设）：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1）投标报价未超过本项目内单价限价或最高限价（采购预算）；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采购包1(门诊无纸化、自助入出院和电子签名建设):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技术部分67.0分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所投产品对采购需求“具体技术(参数)要求”中带▲号的重要技术参数的符合性 (19.0分)</w:t>
            </w:r>
          </w:p>
        </w:tc>
        <w:tc>
          <w:tcPr>
            <w:tcW w:type="dxa" w:w="5076"/>
          </w:tcPr>
          <w:p>
            <w:pPr>
              <w:pStyle w:val="null3"/>
              <w:jc w:val="left"/>
            </w:pPr>
            <w:r>
              <w:rPr/>
              <w:t>根据投标人所投产品对采购需求“具体技术(参数)要求”中带“▲”的重要技术条款（共19项）的响应情况进行评审：带“▲”号的重要技术条款每有一项满足得1分，本项最高得19分。</w:t>
            </w:r>
          </w:p>
        </w:tc>
      </w:tr>
      <w:tr>
        <w:tc>
          <w:tcPr>
            <w:tcW w:type="dxa" w:w="922"/>
            <w:gridSpan w:val="2"/>
            <w:vMerge/>
          </w:tcPr>
          <w:p/>
        </w:tc>
        <w:tc>
          <w:tcPr>
            <w:tcW w:type="dxa" w:w="2307"/>
          </w:tcPr>
          <w:p>
            <w:pPr>
              <w:pStyle w:val="null3"/>
              <w:jc w:val="left"/>
            </w:pPr>
            <w:r>
              <w:rPr/>
              <w:t>所投产品对采购需求“具体技术(参数)要求”中不带▲号和★号的一般技术参数的符合性 (8.0分)</w:t>
            </w:r>
          </w:p>
        </w:tc>
        <w:tc>
          <w:tcPr>
            <w:tcW w:type="dxa" w:w="5076"/>
          </w:tcPr>
          <w:p>
            <w:pPr>
              <w:pStyle w:val="null3"/>
              <w:jc w:val="left"/>
            </w:pPr>
            <w:r>
              <w:rPr/>
              <w:t>技术标准与要求”（附表一）中非“▲”号的一般技术参数响应情况进行评审： 1.完全满足或优于全部技术参数要求的，得8分； 2.有1～5项技术参数响应为“负偏离”或者未响应的，得5分； 3.有6～10项技术参数响应为“负偏离”或者未响应的，得3分； 4.有11～15项技术参数响应为“负偏离”或者未响应的，得1分； 5.超过16项技术参数响应为“负偏离”或者未响应的，不得分。 注：以最末级序号为1项，如技术参数中注明提供相关证明文件的，投标人须按要求提供；如未明确提供证明文件的，则以投标人提供的《技术和服务要求响应表》的响应情况进行评审。</w:t>
            </w:r>
          </w:p>
        </w:tc>
      </w:tr>
      <w:tr>
        <w:tc>
          <w:tcPr>
            <w:tcW w:type="dxa" w:w="922"/>
            <w:gridSpan w:val="2"/>
            <w:vMerge/>
          </w:tcPr>
          <w:p/>
        </w:tc>
        <w:tc>
          <w:tcPr>
            <w:tcW w:type="dxa" w:w="2307"/>
          </w:tcPr>
          <w:p>
            <w:pPr>
              <w:pStyle w:val="null3"/>
              <w:jc w:val="left"/>
            </w:pPr>
            <w:r>
              <w:rPr/>
              <w:t>整体设计方案 (8.0分)</w:t>
            </w:r>
          </w:p>
        </w:tc>
        <w:tc>
          <w:tcPr>
            <w:tcW w:type="dxa" w:w="5076"/>
          </w:tcPr>
          <w:p>
            <w:pPr>
              <w:pStyle w:val="null3"/>
              <w:jc w:val="left"/>
            </w:pPr>
            <w:r>
              <w:rPr/>
              <w:t>1、根据供应商针对采购需求提供本项目的整体设计方案进行评审，内容包括但不限于针对本项目建设的项目现状、建设目标、对本项目建设的重点内容等项目整体理解情况提供的整体设计方案： （1）整体设计方案内容完整，描述全面清晰的，程度深入，优于或完全满足采购需求的，得4分； （2）整体设计方案内容完整，描述清晰的，程度一般，基本满足采购需求的，得2分； （3）整体设计方案，内容不完整，描述不清晰的，程度表浅的，部分满足采购需求的，得1分； （4）未提供相关方案的，得0分。 2、本次的建设内容为无纸化升级，涉及医院的门诊、住院、患者移动服务等众多系统全流程对接，需投标人提供历史数据沿用方案的详细介绍，根据投标人提供的方案及证明材料进行评分：（1）提供的历史数据沿用方案设计详细、全面，完全满足或优于采购需求，得4分；（2）提供的历史数据沿用方案设计相对详细，基本满足医院要求,得2分；（3）提供的历史数据沿用设计差，部分满足医院要求的得1分；（4）未提供相关方案的，得0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根据供应商根据采购需求提供本项目的实施方案进行评审，内容包括但不限于项目工期保障方案、项目实施阶段管理、项目风险控制方案、培训方案等： （1）方案内容完整、详细、表述清晰、科学合理、切实可行，优于或完全满足采购需求的,得10分； （2）方案内容基本完整、详细、表述基本清晰、基本合理可行的，基本满足采购需求，得5分； （3）方案内容基本完整、但不够详细、表述不够清晰、但基本合理，部分满足采购需求，得2分； （4）未提供相关方案的，得0分。</w:t>
            </w:r>
          </w:p>
        </w:tc>
      </w:tr>
      <w:tr>
        <w:tc>
          <w:tcPr>
            <w:tcW w:type="dxa" w:w="922"/>
            <w:gridSpan w:val="2"/>
            <w:vMerge/>
          </w:tcPr>
          <w:p/>
        </w:tc>
        <w:tc>
          <w:tcPr>
            <w:tcW w:type="dxa" w:w="2307"/>
          </w:tcPr>
          <w:p>
            <w:pPr>
              <w:pStyle w:val="null3"/>
              <w:jc w:val="left"/>
            </w:pPr>
            <w:r>
              <w:rPr/>
              <w:t>国产软件支持能力 (6.0分)</w:t>
            </w:r>
          </w:p>
        </w:tc>
        <w:tc>
          <w:tcPr>
            <w:tcW w:type="dxa" w:w="5076"/>
          </w:tcPr>
          <w:p>
            <w:pPr>
              <w:pStyle w:val="null3"/>
              <w:jc w:val="left"/>
            </w:pPr>
            <w:r>
              <w:rPr/>
              <w:t>投标人具有医院管理信息软件（HIS）、电子病历系统（EMR）、患者移动服务平台等3类软件能够兼容国产基础软件(包括:国产操作系统、国产数据库)，每有一类软件产品同时满足兼容要求的，得2分，最高得6分。 注：提供对应该软件的兼容证明材料(具有CMA或CNAS认证的第三方评测机构出具的适配测试报告或国产基础软件厂商盖章的兼容认证证明材料)扫描件，否则得0分。 注：兼容的国产基础软件厂商的产品及其型号需在中国信息测试中心发布的公告名单中，需提供中国信息测试中心发布的公告名单截图。</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根据供应商针对本项目编制的售后服务方案进行评审，包括但不限于投标人售后服务能力、售后服务流程、售后服务方式、服务响应时间、应急预案、售后服务点的技术力量等内容： （1）售后服务方案涵盖上述内容，方案内容详细、表述清晰、科学合理、切实可行，优于或完全满足采购需求，得6分； （2）售后服务方案涵盖上述内容，方案内容表述基本清晰、基本合理可行，基本满足采购要求，得3分； （3）售后服务方案未涵盖上述内容，方案内容基本完整、但不够详细、表述不够清晰、但基本合理的，部分满足采购需求，得1分； （4）不提供方案的，不得分。</w:t>
            </w:r>
          </w:p>
        </w:tc>
      </w:tr>
      <w:tr>
        <w:tc>
          <w:tcPr>
            <w:tcW w:type="dxa" w:w="922"/>
            <w:gridSpan w:val="2"/>
            <w:vMerge/>
          </w:tcPr>
          <w:p/>
        </w:tc>
        <w:tc>
          <w:tcPr>
            <w:tcW w:type="dxa" w:w="2307"/>
          </w:tcPr>
          <w:p>
            <w:pPr>
              <w:pStyle w:val="null3"/>
              <w:jc w:val="left"/>
            </w:pPr>
            <w:r>
              <w:rPr/>
              <w:t>系统演示 (10.0分)</w:t>
            </w:r>
          </w:p>
        </w:tc>
        <w:tc>
          <w:tcPr>
            <w:tcW w:type="dxa" w:w="5076"/>
          </w:tcPr>
          <w:p>
            <w:pPr>
              <w:pStyle w:val="null3"/>
              <w:jc w:val="left"/>
            </w:pPr>
            <w:r>
              <w:rPr/>
              <w:t>投标人根据采购需求“三、要求投标人现场演示研发的医疗信息化系统功能（共5点）”所投软件系统现场演示情况进行综合评审，每有一点原型系统演示得2分，演示内容有缺项漏项或者放弃演示的不得分，本项最高10分。 注：①现场演示顺序为“开标一览表”由上往下的顺序（从序号1开始），演示时间不超过10分钟（现场演示最多两人参加，参与人员需提供授权函（格式自拟）、身份证原件、提供投标人单位投标截止日前6个月内任意1个月的社保证明复印件并加盖投标人单位公章。） ②请投标人自行准备演示所需要的设备，演示现场只提供电源和投影（HDMI接口）。</w:t>
            </w:r>
          </w:p>
        </w:tc>
      </w:tr>
      <w:tr>
        <w:tc>
          <w:tcPr>
            <w:tcW w:type="dxa" w:w="922"/>
            <w:gridSpan w:val="2"/>
            <w:vMerge w:val="restart"/>
          </w:tcPr>
          <w:p>
            <w:pPr>
              <w:pStyle w:val="null3"/>
              <w:jc w:val="center"/>
            </w:pPr>
            <w:r>
              <w:rPr/>
              <w:t>商务部分</w:t>
            </w:r>
          </w:p>
        </w:tc>
        <w:tc>
          <w:tcPr>
            <w:tcW w:type="dxa" w:w="2307"/>
          </w:tcPr>
          <w:p>
            <w:pPr>
              <w:pStyle w:val="null3"/>
              <w:jc w:val="left"/>
            </w:pPr>
            <w:r>
              <w:rPr/>
              <w:t>投标人或制造商企业认证 (9.0分)</w:t>
            </w:r>
          </w:p>
        </w:tc>
        <w:tc>
          <w:tcPr>
            <w:tcW w:type="dxa" w:w="5076"/>
          </w:tcPr>
          <w:p>
            <w:pPr>
              <w:pStyle w:val="null3"/>
              <w:jc w:val="left"/>
            </w:pPr>
            <w:r>
              <w:rPr/>
              <w:t>1、供应商具有由国家认证认可监督管理部门批准设立的认证机构颁发并在有效期内的证书。 ①质量管理体系认证证书，得1分； ②具有数据安全管理能力认证证书，得2分。注：提供有效证书复印件，不提供不得分。 2、根据投标人获得的与全院无纸化建设相关的软件著作权情况进行综合评分，本项满分6分： （1）具有门诊无纸化服务软件等相关类型著作权证书的，得1分； （2）具有患者移动服务平台等相关类型软件著作权证书的，得1分； （3）具有门诊医生工作站等相关类型系统软件著作权证书的，得1分； （4）具有住院医生工作站等相关类型著作权证书的，得1分。 （5）具有电子病历软件等相关类型著作权证书的，得1分。 （6）具有电子检查申请单软件相关类型著作权证书的，得1分。 注：需提供相关证书扫描件并加盖供应商公章（未提供相关证明材料的，不得分），供应商所提供软件著作权证书上的系统名称可以与上述名称略有不同，但必须是功能相同的产品，否则不得分。</w:t>
            </w:r>
          </w:p>
        </w:tc>
      </w:tr>
      <w:tr>
        <w:tc>
          <w:tcPr>
            <w:tcW w:type="dxa" w:w="922"/>
            <w:gridSpan w:val="2"/>
            <w:vMerge/>
          </w:tcPr>
          <w:p/>
        </w:tc>
        <w:tc>
          <w:tcPr>
            <w:tcW w:type="dxa" w:w="2307"/>
          </w:tcPr>
          <w:p>
            <w:pPr>
              <w:pStyle w:val="null3"/>
              <w:jc w:val="left"/>
            </w:pPr>
            <w:r>
              <w:rPr/>
              <w:t>投标人的业绩 (5.0分)</w:t>
            </w:r>
          </w:p>
        </w:tc>
        <w:tc>
          <w:tcPr>
            <w:tcW w:type="dxa" w:w="5076"/>
          </w:tcPr>
          <w:p>
            <w:pPr>
              <w:pStyle w:val="null3"/>
              <w:jc w:val="left"/>
            </w:pPr>
            <w:r>
              <w:rPr/>
              <w:t>1、投标人具有病历无纸化改造类建设经验的，每提供一个得1分，本项最多2分。 2、投标人具有含CA签名改造类建设经验的，每提供一个得1分，本项最多3分。 注：提供项目合同书关键页扫描件，关键页须能体现对应合同内容、客户名称、合同双方盖章等信息并加盖公章（两类案例若提供的为同一个合同案例只按一个得分）。</w:t>
            </w:r>
          </w:p>
        </w:tc>
      </w:tr>
      <w:tr>
        <w:tc>
          <w:tcPr>
            <w:tcW w:type="dxa" w:w="922"/>
            <w:gridSpan w:val="2"/>
            <w:vMerge/>
          </w:tcPr>
          <w:p/>
        </w:tc>
        <w:tc>
          <w:tcPr>
            <w:tcW w:type="dxa" w:w="2307"/>
          </w:tcPr>
          <w:p>
            <w:pPr>
              <w:pStyle w:val="null3"/>
              <w:jc w:val="left"/>
            </w:pPr>
            <w:r>
              <w:rPr/>
              <w:t>投标人团队人员 (9.0分)</w:t>
            </w:r>
          </w:p>
        </w:tc>
        <w:tc>
          <w:tcPr>
            <w:tcW w:type="dxa" w:w="5076"/>
          </w:tcPr>
          <w:p>
            <w:pPr>
              <w:pStyle w:val="null3"/>
              <w:jc w:val="left"/>
            </w:pPr>
            <w:r>
              <w:rPr/>
              <w:t>1、项目经理： （1）具有计算机或软件工程类本科以上学位或毕业证书的，得1.5分；具有计算机或软件工程类本科学位或毕业证书的，得0.5分；具有计算机或软件工程类大专学位或毕业证书的，得0.1分；本项最多得1.5分。 （2）具有计算机技术与软件专业技术资格中级工程师证书的，得0.5分；具有计算机技术与软件专业技术资格高级工程师证书的得1.5分；本项最多得1.5分。 注：须提供以上证明材料及投标人为其缴纳的投标截止日之前六个月以内任一月的社保证明材料等，未提供的得0分。 2、团队成员（除项目经理以外）： （1）具有数据库系统工程师证书的，得1分； （2）具有系统集成项目管理师证书的，每提供一个证书得0.5分，本小项最高得1分； （3）具有软件设计师证书的，得1分； （4）具有网络工程师证书，每提供一个证书得0.5分，本小项最高得1分。 （5）具有系统分析师证书的，得1分。 （6）具有信息系统项目管理师证书，每提供一个证书得0.5分，本小项最高得1分。 注：同一人多个证书算一个，须提供以上资格证明材料及投标人为其缴纳的投标截止日之前六个月以内任一月的社保证明材料等，未提供的得0分。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color w:val="000000"/>
        </w:rPr>
        <w:t>采</w:t>
      </w:r>
      <w:r>
        <w:rPr>
          <w:b/>
        </w:rPr>
        <w:t xml:space="preserve"> </w:t>
      </w:r>
      <w:r>
        <w:rPr>
          <w:sz w:val="32"/>
          <w:b/>
          <w:color w:val="000000"/>
        </w:rPr>
        <w:t>购</w:t>
      </w:r>
      <w:r>
        <w:rPr>
          <w:b/>
        </w:rPr>
        <w:t xml:space="preserve"> </w:t>
      </w:r>
      <w:r>
        <w:rPr>
          <w:sz w:val="32"/>
          <w:b/>
          <w:color w:val="000000"/>
        </w:rPr>
        <w:t>合</w:t>
      </w:r>
      <w:r>
        <w:rPr>
          <w:b/>
        </w:rPr>
        <w:t xml:space="preserve"> </w:t>
      </w:r>
      <w:r>
        <w:rPr>
          <w:sz w:val="32"/>
          <w:b/>
          <w:color w:val="000000"/>
        </w:rPr>
        <w:t>同</w:t>
      </w:r>
    </w:p>
    <w:p>
      <w:pPr>
        <w:pStyle w:val="null3"/>
      </w:pPr>
      <w:r>
        <w:rPr/>
        <w:t xml:space="preserve">  </w:t>
      </w:r>
    </w:p>
    <w:p>
      <w:pPr>
        <w:pStyle w:val="null3"/>
        <w:ind w:firstLine="422"/>
        <w:jc w:val="both"/>
      </w:pPr>
      <w:r>
        <w:rPr>
          <w:sz w:val="21"/>
          <w:b/>
          <w:color w:val="000000"/>
        </w:rPr>
        <w:t>甲</w:t>
      </w:r>
      <w:r>
        <w:rPr>
          <w:b/>
        </w:rPr>
        <w:t xml:space="preserve">  </w:t>
      </w:r>
      <w:r>
        <w:rPr>
          <w:sz w:val="21"/>
          <w:b/>
          <w:color w:val="000000"/>
        </w:rPr>
        <w:t>方：</w:t>
      </w:r>
    </w:p>
    <w:p>
      <w:pPr>
        <w:pStyle w:val="null3"/>
        <w:ind w:firstLine="422"/>
        <w:jc w:val="both"/>
      </w:pPr>
      <w:r>
        <w:rPr>
          <w:sz w:val="21"/>
          <w:b/>
          <w:color w:val="000000"/>
        </w:rPr>
        <w:t>乙</w:t>
      </w:r>
      <w:r>
        <w:rPr>
          <w:sz w:val="21"/>
          <w:b/>
          <w:color w:val="000000"/>
        </w:rPr>
        <w:t xml:space="preserve">    </w:t>
      </w:r>
      <w:r>
        <w:rPr>
          <w:sz w:val="21"/>
          <w:b/>
          <w:color w:val="000000"/>
        </w:rPr>
        <w:t>方（中标人）：</w:t>
      </w:r>
    </w:p>
    <w:p>
      <w:pPr>
        <w:pStyle w:val="null3"/>
        <w:ind w:firstLine="440"/>
        <w:jc w:val="both"/>
      </w:pPr>
      <w:r>
        <w:rPr>
          <w:sz w:val="22"/>
        </w:rPr>
        <w:t>根据</w:t>
      </w:r>
      <w:r>
        <w:rPr>
          <w:u w:val="single"/>
        </w:rPr>
        <w:t xml:space="preserve">                        </w:t>
      </w:r>
      <w:r>
        <w:rPr>
          <w:sz w:val="22"/>
        </w:rPr>
        <w:t>采购项目（项目编号</w:t>
      </w:r>
      <w:r>
        <w:rPr>
          <w:sz w:val="22"/>
        </w:rPr>
        <w:t>:</w:t>
      </w:r>
      <w:r>
        <w:rPr>
          <w:u w:val="single"/>
        </w:rPr>
        <w:t xml:space="preserve">              </w:t>
      </w:r>
      <w:r>
        <w:rPr>
          <w:sz w:val="22"/>
        </w:rPr>
        <w:t>）的中标结果，按照《中华人民共和国政府采购法》、《中华人民共和国民法典》的规定，经双方协商，本着平等互利和诚实信用的原则，一致同意签订本合同如下。</w:t>
      </w:r>
    </w:p>
    <w:p>
      <w:pPr>
        <w:pStyle w:val="null3"/>
        <w:ind w:left="-60" w:firstLine="442"/>
      </w:pPr>
      <w:r>
        <w:rPr>
          <w:sz w:val="22"/>
          <w:b/>
        </w:rPr>
        <w:t>一、</w:t>
      </w:r>
      <w:r>
        <w:rPr>
          <w:sz w:val="22"/>
          <w:b/>
        </w:rPr>
        <w:t>服务</w:t>
      </w:r>
      <w:r>
        <w:rPr>
          <w:sz w:val="22"/>
          <w:b/>
        </w:rPr>
        <w:t>名称</w:t>
      </w:r>
    </w:p>
    <w:p>
      <w:pPr>
        <w:pStyle w:val="null3"/>
        <w:ind w:firstLine="440"/>
        <w:jc w:val="both"/>
      </w:pPr>
      <w:r>
        <w:rPr/>
        <w:t>门诊无纸化、自助入出院和电子签名建设服务。</w:t>
      </w:r>
    </w:p>
    <w:p>
      <w:pPr>
        <w:pStyle w:val="null3"/>
        <w:ind w:firstLine="442"/>
        <w:jc w:val="both"/>
      </w:pPr>
      <w:r>
        <w:rPr>
          <w:sz w:val="22"/>
          <w:b/>
        </w:rPr>
        <w:t>二、合同金额</w:t>
      </w:r>
    </w:p>
    <w:p>
      <w:pPr>
        <w:pStyle w:val="null3"/>
        <w:ind w:firstLine="440"/>
        <w:jc w:val="both"/>
      </w:pPr>
      <w:r>
        <w:rPr>
          <w:sz w:val="22"/>
        </w:rPr>
        <w:t>合同金额为：（大写）人民币</w:t>
      </w:r>
      <w:r>
        <w:rPr>
          <w:u w:val="single"/>
        </w:rPr>
        <w:t xml:space="preserve">      </w:t>
      </w:r>
      <w:r>
        <w:rPr>
          <w:sz w:val="22"/>
        </w:rPr>
        <w:t>元整；（小写）</w:t>
      </w:r>
      <w:r>
        <w:rPr>
          <w:sz w:val="22"/>
        </w:rPr>
        <w:t>¥</w:t>
      </w:r>
      <w:r>
        <w:rPr>
          <w:u w:val="single"/>
        </w:rPr>
        <w:t xml:space="preserve">    </w:t>
      </w:r>
      <w:r>
        <w:rPr>
          <w:sz w:val="22"/>
          <w:u w:val="single"/>
        </w:rPr>
        <w:t>.00</w:t>
      </w:r>
      <w:r>
        <w:rPr>
          <w:sz w:val="22"/>
        </w:rPr>
        <w:t>元。</w:t>
      </w:r>
    </w:p>
    <w:p>
      <w:pPr>
        <w:pStyle w:val="null3"/>
        <w:ind w:firstLine="440"/>
        <w:jc w:val="both"/>
      </w:pPr>
      <w:r>
        <w:rPr>
          <w:sz w:val="22"/>
        </w:rPr>
        <w:t>合同总额包括参与本采购项目的所有费用以及完成采购项目内容的一切费用。包括不限于建设调研、设计、开发、测试、上线试运行及验收，与其他第三方系统对接的费用（包含第三方接口开发的费用）、第三方验收测评费用、培训费、人力成本、管理费、利润及税金等。</w:t>
      </w:r>
    </w:p>
    <w:p>
      <w:pPr>
        <w:pStyle w:val="null3"/>
        <w:ind w:firstLine="442"/>
        <w:jc w:val="both"/>
      </w:pPr>
      <w:r>
        <w:rPr>
          <w:sz w:val="22"/>
          <w:b/>
        </w:rPr>
        <w:t>三、</w:t>
      </w:r>
      <w:r>
        <w:rPr>
          <w:sz w:val="22"/>
          <w:b/>
        </w:rPr>
        <w:t>服务</w:t>
      </w:r>
      <w:r>
        <w:rPr>
          <w:sz w:val="22"/>
          <w:b/>
        </w:rPr>
        <w:t>要求</w:t>
      </w:r>
    </w:p>
    <w:p>
      <w:pPr>
        <w:pStyle w:val="null3"/>
        <w:ind w:firstLine="440"/>
        <w:jc w:val="both"/>
      </w:pPr>
      <w:r>
        <w:rPr>
          <w:sz w:val="22"/>
        </w:rPr>
        <w:t>1.</w:t>
      </w:r>
      <w:r>
        <w:rPr>
          <w:sz w:val="22"/>
        </w:rPr>
        <w:t>......</w:t>
      </w:r>
      <w:r>
        <w:rPr>
          <w:sz w:val="22"/>
        </w:rPr>
        <w:t>（采购需求服务响应）</w:t>
      </w:r>
    </w:p>
    <w:p>
      <w:pPr>
        <w:pStyle w:val="null3"/>
        <w:ind w:firstLine="442"/>
        <w:jc w:val="both"/>
      </w:pPr>
      <w:r>
        <w:rPr>
          <w:sz w:val="22"/>
          <w:b/>
        </w:rPr>
        <w:t>四、</w:t>
      </w:r>
      <w:r>
        <w:rPr>
          <w:sz w:val="22"/>
          <w:b/>
        </w:rPr>
        <w:t>服务</w:t>
      </w:r>
      <w:r>
        <w:rPr>
          <w:sz w:val="22"/>
          <w:b/>
        </w:rPr>
        <w:t>期及</w:t>
      </w:r>
      <w:r>
        <w:rPr>
          <w:sz w:val="22"/>
          <w:b/>
        </w:rPr>
        <w:t>服务</w:t>
      </w:r>
      <w:r>
        <w:rPr>
          <w:sz w:val="22"/>
          <w:b/>
        </w:rPr>
        <w:t>地点</w:t>
      </w:r>
    </w:p>
    <w:p>
      <w:pPr>
        <w:pStyle w:val="null3"/>
        <w:ind w:firstLine="440"/>
        <w:jc w:val="both"/>
      </w:pPr>
      <w:r>
        <w:rPr>
          <w:sz w:val="22"/>
        </w:rPr>
        <w:t>1.</w:t>
      </w:r>
      <w:r>
        <w:rPr>
          <w:sz w:val="22"/>
        </w:rPr>
        <w:t>服务期</w:t>
      </w:r>
      <w:r>
        <w:rPr>
          <w:sz w:val="22"/>
        </w:rPr>
        <w:t>：合同签订后</w:t>
      </w:r>
      <w:r>
        <w:rPr>
          <w:sz w:val="22"/>
        </w:rPr>
        <w:t>8</w:t>
      </w:r>
      <w:r>
        <w:rPr>
          <w:sz w:val="22"/>
        </w:rPr>
        <w:t>个月内完成系统的上线使用。</w:t>
      </w:r>
    </w:p>
    <w:p>
      <w:pPr>
        <w:pStyle w:val="null3"/>
        <w:ind w:firstLine="440"/>
        <w:jc w:val="both"/>
      </w:pPr>
      <w:r>
        <w:rPr>
          <w:sz w:val="22"/>
        </w:rPr>
        <w:t>3.</w:t>
      </w:r>
      <w:r>
        <w:rPr>
          <w:sz w:val="22"/>
        </w:rPr>
        <w:t>服务</w:t>
      </w:r>
      <w:r>
        <w:rPr>
          <w:sz w:val="22"/>
        </w:rPr>
        <w:t>地点：甲方指定地点</w:t>
      </w:r>
      <w:r>
        <w:rPr>
          <w:sz w:val="22"/>
        </w:rPr>
        <w:t>。</w:t>
      </w:r>
    </w:p>
    <w:p>
      <w:pPr>
        <w:pStyle w:val="null3"/>
        <w:ind w:firstLine="442"/>
        <w:jc w:val="both"/>
      </w:pPr>
      <w:r>
        <w:rPr>
          <w:sz w:val="22"/>
          <w:b/>
        </w:rPr>
        <w:t>五、付款方式</w:t>
      </w:r>
    </w:p>
    <w:p>
      <w:pPr>
        <w:pStyle w:val="null3"/>
        <w:ind w:firstLine="440"/>
        <w:jc w:val="both"/>
      </w:pPr>
      <w:r>
        <w:rPr>
          <w:sz w:val="22"/>
        </w:rPr>
        <w:t>1.</w:t>
      </w:r>
      <w:r>
        <w:rPr>
          <w:sz w:val="22"/>
        </w:rPr>
        <w:t>合同签订生效后，</w:t>
      </w:r>
      <w:r>
        <w:rPr>
          <w:sz w:val="22"/>
        </w:rPr>
        <w:t>甲方</w:t>
      </w:r>
      <w:r>
        <w:rPr>
          <w:sz w:val="22"/>
        </w:rPr>
        <w:t>收到</w:t>
      </w:r>
      <w:r>
        <w:rPr>
          <w:sz w:val="22"/>
        </w:rPr>
        <w:t>乙方</w:t>
      </w:r>
      <w:r>
        <w:rPr>
          <w:sz w:val="22"/>
        </w:rPr>
        <w:t>开具的正式发票后</w:t>
      </w:r>
      <w:r>
        <w:rPr>
          <w:sz w:val="22"/>
        </w:rPr>
        <w:t>15</w:t>
      </w:r>
      <w:r>
        <w:rPr>
          <w:sz w:val="22"/>
        </w:rPr>
        <w:t>日内支付合同款的</w:t>
      </w:r>
      <w:r>
        <w:rPr>
          <w:sz w:val="22"/>
        </w:rPr>
        <w:t>50%</w:t>
      </w:r>
      <w:r>
        <w:rPr>
          <w:sz w:val="22"/>
        </w:rPr>
        <w:t>。</w:t>
      </w:r>
    </w:p>
    <w:p>
      <w:pPr>
        <w:pStyle w:val="null3"/>
        <w:ind w:firstLine="440"/>
        <w:jc w:val="both"/>
      </w:pPr>
      <w:r>
        <w:rPr>
          <w:sz w:val="22"/>
        </w:rPr>
        <w:t>2.</w:t>
      </w:r>
      <w:r>
        <w:rPr>
          <w:sz w:val="22"/>
        </w:rPr>
        <w:t>项目验收合格后，</w:t>
      </w:r>
      <w:r>
        <w:rPr>
          <w:sz w:val="22"/>
        </w:rPr>
        <w:t>甲方</w:t>
      </w:r>
      <w:r>
        <w:rPr>
          <w:sz w:val="22"/>
        </w:rPr>
        <w:t>收到</w:t>
      </w:r>
      <w:r>
        <w:rPr>
          <w:sz w:val="22"/>
        </w:rPr>
        <w:t>乙方</w:t>
      </w:r>
      <w:r>
        <w:rPr>
          <w:sz w:val="22"/>
        </w:rPr>
        <w:t>开具的正式发票后</w:t>
      </w:r>
      <w:r>
        <w:rPr>
          <w:sz w:val="22"/>
        </w:rPr>
        <w:t>15</w:t>
      </w:r>
      <w:r>
        <w:rPr>
          <w:sz w:val="22"/>
        </w:rPr>
        <w:t>日内支付合同款的</w:t>
      </w:r>
      <w:r>
        <w:rPr>
          <w:sz w:val="22"/>
        </w:rPr>
        <w:t>50%</w:t>
      </w:r>
      <w:r>
        <w:rPr>
          <w:sz w:val="22"/>
        </w:rPr>
        <w:t>。</w:t>
      </w:r>
    </w:p>
    <w:p>
      <w:pPr>
        <w:pStyle w:val="null3"/>
        <w:ind w:firstLine="440"/>
        <w:jc w:val="both"/>
      </w:pPr>
      <w:r>
        <w:rPr>
          <w:sz w:val="22"/>
        </w:rPr>
        <w:t>3</w:t>
      </w:r>
      <w:r>
        <w:rPr>
          <w:sz w:val="22"/>
        </w:rPr>
        <w:t>.</w:t>
      </w:r>
      <w:r>
        <w:rPr>
          <w:sz w:val="22"/>
        </w:rPr>
        <w:t>乙方必须向甲方出具合法有效完整的完税发票及凭证进行支付结算；支付方式采用银行转账支付。</w:t>
      </w:r>
    </w:p>
    <w:p>
      <w:pPr>
        <w:pStyle w:val="null3"/>
        <w:ind w:firstLine="440"/>
        <w:jc w:val="both"/>
      </w:pPr>
      <w:r>
        <w:rPr>
          <w:sz w:val="22"/>
        </w:rPr>
        <w:t>支付方式采用银行转账支付。</w:t>
      </w:r>
    </w:p>
    <w:p>
      <w:pPr>
        <w:pStyle w:val="null3"/>
        <w:ind w:firstLine="385"/>
        <w:jc w:val="both"/>
      </w:pPr>
      <w:r>
        <w:rPr>
          <w:sz w:val="22"/>
        </w:rPr>
        <w:t>乙方账户信息如下：</w:t>
      </w:r>
    </w:p>
    <w:p>
      <w:pPr>
        <w:pStyle w:val="null3"/>
        <w:ind w:firstLine="385"/>
        <w:jc w:val="both"/>
      </w:pPr>
      <w:r>
        <w:rPr>
          <w:sz w:val="22"/>
        </w:rPr>
        <w:t>开户行：</w:t>
      </w:r>
      <w:r>
        <w:rPr>
          <w:sz w:val="22"/>
        </w:rPr>
        <w:t xml:space="preserve">                                          </w:t>
      </w:r>
    </w:p>
    <w:p>
      <w:pPr>
        <w:pStyle w:val="null3"/>
        <w:ind w:firstLine="385"/>
        <w:jc w:val="both"/>
      </w:pPr>
      <w:r>
        <w:rPr>
          <w:sz w:val="22"/>
        </w:rPr>
        <w:t>账户名称：</w:t>
      </w:r>
      <w:r>
        <w:rPr>
          <w:sz w:val="22"/>
        </w:rPr>
        <w:t xml:space="preserve">                                        </w:t>
      </w:r>
    </w:p>
    <w:p>
      <w:pPr>
        <w:pStyle w:val="null3"/>
        <w:ind w:firstLine="385"/>
        <w:jc w:val="both"/>
      </w:pPr>
      <w:r>
        <w:rPr>
          <w:sz w:val="22"/>
        </w:rPr>
        <w:t>银行账户：</w:t>
      </w:r>
      <w:r>
        <w:rPr>
          <w:sz w:val="22"/>
        </w:rPr>
        <w:t xml:space="preserve">                                        </w:t>
      </w:r>
    </w:p>
    <w:p>
      <w:pPr>
        <w:pStyle w:val="null3"/>
        <w:ind w:firstLine="385"/>
        <w:jc w:val="both"/>
      </w:pPr>
      <w:r>
        <w:rPr>
          <w:sz w:val="22"/>
        </w:rPr>
        <w:t>税号：</w:t>
      </w:r>
      <w:r>
        <w:rPr>
          <w:sz w:val="22"/>
        </w:rPr>
        <w:t xml:space="preserve">                                           </w:t>
      </w:r>
    </w:p>
    <w:p>
      <w:pPr>
        <w:pStyle w:val="null3"/>
        <w:ind w:firstLine="387"/>
        <w:jc w:val="both"/>
      </w:pPr>
      <w:r>
        <w:rPr>
          <w:sz w:val="22"/>
          <w:b/>
        </w:rPr>
        <w:t>六、</w:t>
      </w:r>
      <w:r>
        <w:rPr>
          <w:sz w:val="22"/>
          <w:b/>
        </w:rPr>
        <w:t>售后服务期</w:t>
      </w:r>
      <w:r>
        <w:rPr>
          <w:sz w:val="22"/>
          <w:b/>
        </w:rPr>
        <w:t>及售后服务要求</w:t>
      </w:r>
    </w:p>
    <w:p>
      <w:pPr>
        <w:pStyle w:val="null3"/>
        <w:ind w:firstLine="440"/>
        <w:jc w:val="both"/>
      </w:pPr>
      <w:r>
        <w:rPr>
          <w:sz w:val="22"/>
        </w:rPr>
        <w:t>1</w:t>
      </w:r>
      <w:r>
        <w:rPr>
          <w:sz w:val="22"/>
        </w:rPr>
        <w:t>、维护期：自项目正式上线使用之日起，中标人应为采购人提供</w:t>
      </w:r>
      <w:r>
        <w:rPr>
          <w:sz w:val="22"/>
        </w:rPr>
        <w:t>3</w:t>
      </w:r>
      <w:r>
        <w:rPr>
          <w:sz w:val="22"/>
        </w:rPr>
        <w:t>年的技术支持服务，保证采购人顺利运行系统。包括软件维护服务、技术服务支持，维护包括系统维护、性能提升、故障检测，相关费用包含在投标报价中，日期从项目正式验收使用次日起计算。</w:t>
      </w:r>
    </w:p>
    <w:p>
      <w:pPr>
        <w:pStyle w:val="null3"/>
        <w:ind w:firstLine="440"/>
        <w:jc w:val="both"/>
      </w:pPr>
      <w:r>
        <w:rPr>
          <w:sz w:val="22"/>
        </w:rPr>
        <w:t>2</w:t>
      </w:r>
      <w:r>
        <w:rPr>
          <w:sz w:val="22"/>
        </w:rPr>
        <w:t>、售后服务内容包括：</w:t>
      </w:r>
    </w:p>
    <w:p>
      <w:pPr>
        <w:pStyle w:val="null3"/>
        <w:ind w:firstLine="440"/>
        <w:jc w:val="both"/>
      </w:pPr>
      <w:r>
        <w:rPr>
          <w:sz w:val="22"/>
        </w:rPr>
        <w:t>（</w:t>
      </w:r>
      <w:r>
        <w:rPr>
          <w:sz w:val="22"/>
        </w:rPr>
        <w:t>1</w:t>
      </w:r>
      <w:r>
        <w:rPr>
          <w:sz w:val="22"/>
        </w:rPr>
        <w:t>）系统环境的维护：主要防止因操作系统故障或系统配置故障影响用户正常使用。</w:t>
      </w:r>
    </w:p>
    <w:p>
      <w:pPr>
        <w:pStyle w:val="null3"/>
        <w:ind w:firstLine="440"/>
        <w:jc w:val="both"/>
      </w:pPr>
      <w:r>
        <w:rPr>
          <w:sz w:val="22"/>
        </w:rPr>
        <w:t>（</w:t>
      </w:r>
      <w:r>
        <w:rPr>
          <w:sz w:val="22"/>
        </w:rPr>
        <w:t>2</w:t>
      </w:r>
      <w:r>
        <w:rPr>
          <w:sz w:val="22"/>
        </w:rPr>
        <w:t>）系统应用软件维护：对应用软件设计在保证期内进行更新维护，并迅速恢复因用户误操作或某些错误操作导致系统故障。</w:t>
      </w:r>
    </w:p>
    <w:p>
      <w:pPr>
        <w:pStyle w:val="null3"/>
        <w:ind w:firstLine="442"/>
        <w:jc w:val="both"/>
      </w:pPr>
      <w:r>
        <w:rPr>
          <w:sz w:val="22"/>
          <w:b/>
        </w:rPr>
        <w:t>七、验收</w:t>
      </w:r>
    </w:p>
    <w:p>
      <w:pPr>
        <w:pStyle w:val="null3"/>
        <w:ind w:firstLine="385"/>
        <w:jc w:val="both"/>
      </w:pPr>
      <w:r>
        <w:rPr>
          <w:sz w:val="22"/>
        </w:rPr>
        <w:t>（</w:t>
      </w:r>
      <w:r>
        <w:rPr>
          <w:sz w:val="22"/>
        </w:rPr>
        <w:t>1</w:t>
      </w:r>
      <w:r>
        <w:rPr>
          <w:sz w:val="22"/>
        </w:rPr>
        <w:t>）满足确保系统正常运行所需的管理、运营及维护有关的全套技术文件。技术文件交付电子版本，内容应包括但不限于以下文件：需求说明书、测试报告、用户手册、用户培训计划、会议记录和开发进度月报等。</w:t>
      </w:r>
    </w:p>
    <w:p>
      <w:pPr>
        <w:pStyle w:val="null3"/>
        <w:ind w:firstLine="385"/>
        <w:jc w:val="both"/>
      </w:pPr>
      <w:r>
        <w:rPr>
          <w:sz w:val="22"/>
        </w:rPr>
        <w:t>（</w:t>
      </w:r>
      <w:r>
        <w:rPr>
          <w:sz w:val="22"/>
        </w:rPr>
        <w:t>2</w:t>
      </w:r>
      <w:r>
        <w:rPr>
          <w:sz w:val="22"/>
        </w:rPr>
        <w:t>）项目上线运行稳定后，</w:t>
      </w:r>
      <w:r>
        <w:rPr>
          <w:sz w:val="22"/>
        </w:rPr>
        <w:t>乙方</w:t>
      </w:r>
      <w:r>
        <w:rPr>
          <w:sz w:val="22"/>
        </w:rPr>
        <w:t>可向</w:t>
      </w:r>
      <w:r>
        <w:rPr>
          <w:sz w:val="22"/>
        </w:rPr>
        <w:t>甲方</w:t>
      </w:r>
      <w:r>
        <w:rPr>
          <w:sz w:val="22"/>
        </w:rPr>
        <w:t>申请验收，</w:t>
      </w:r>
      <w:r>
        <w:rPr>
          <w:sz w:val="22"/>
        </w:rPr>
        <w:t>甲方</w:t>
      </w:r>
      <w:r>
        <w:rPr>
          <w:sz w:val="22"/>
        </w:rPr>
        <w:t>应在收到</w:t>
      </w:r>
      <w:r>
        <w:rPr>
          <w:sz w:val="22"/>
        </w:rPr>
        <w:t>乙方</w:t>
      </w:r>
      <w:r>
        <w:rPr>
          <w:sz w:val="22"/>
        </w:rPr>
        <w:t>验收请求后</w:t>
      </w:r>
      <w:r>
        <w:rPr>
          <w:sz w:val="22"/>
        </w:rPr>
        <w:t>7</w:t>
      </w:r>
      <w:r>
        <w:rPr>
          <w:sz w:val="22"/>
        </w:rPr>
        <w:t>天内启动验收，成立验收小组，组织验收，出具验收报告。</w:t>
      </w:r>
      <w:r>
        <w:rPr>
          <w:sz w:val="22"/>
        </w:rPr>
        <w:t>乙方</w:t>
      </w:r>
      <w:r>
        <w:rPr>
          <w:sz w:val="22"/>
        </w:rPr>
        <w:t>应在验收过程中积极提供协助。</w:t>
      </w:r>
    </w:p>
    <w:p>
      <w:pPr>
        <w:pStyle w:val="null3"/>
        <w:ind w:firstLine="442"/>
        <w:jc w:val="both"/>
      </w:pPr>
      <w:r>
        <w:rPr>
          <w:sz w:val="22"/>
          <w:b/>
        </w:rPr>
        <w:t>八、违约责任与赔偿损失</w:t>
      </w:r>
    </w:p>
    <w:p>
      <w:pPr>
        <w:pStyle w:val="null3"/>
        <w:ind w:firstLine="440"/>
        <w:jc w:val="both"/>
      </w:pPr>
      <w:r>
        <w:rPr>
          <w:sz w:val="22"/>
        </w:rPr>
        <w:t>1.</w:t>
      </w:r>
      <w:r>
        <w:rPr>
          <w:sz w:val="22"/>
        </w:rPr>
        <w:t>甲方延期付款的，每逾期一日，甲方应向乙方支付合同金额万分之一的逾期付款违约金。如逾期付款超过三十日，乙方有权单方终止本合同。甲方按乙方已完成工作所投入的成本费用，承担乙方的损失，乙方损失以阶段性付款为限。如乙方逾期交付</w:t>
      </w:r>
      <w:r>
        <w:rPr>
          <w:sz w:val="22"/>
        </w:rPr>
        <w:t>超过</w:t>
      </w:r>
      <w:r>
        <w:rPr>
          <w:sz w:val="22"/>
        </w:rPr>
        <w:t>30</w:t>
      </w:r>
      <w:r>
        <w:rPr>
          <w:sz w:val="22"/>
        </w:rPr>
        <w:t>日，甲方有权单方面解除合同，乙方应承担本合同总金额</w:t>
      </w:r>
      <w:r>
        <w:rPr>
          <w:sz w:val="22"/>
        </w:rPr>
        <w:t>20%</w:t>
      </w:r>
      <w:r>
        <w:rPr>
          <w:sz w:val="22"/>
        </w:rPr>
        <w:t>的违约金及甲方的经济损失。</w:t>
      </w:r>
    </w:p>
    <w:p>
      <w:pPr>
        <w:pStyle w:val="null3"/>
        <w:ind w:firstLine="440"/>
        <w:jc w:val="both"/>
      </w:pPr>
      <w:r>
        <w:rPr>
          <w:sz w:val="22"/>
        </w:rPr>
        <w:t>2.</w:t>
      </w:r>
      <w:r>
        <w:rPr>
          <w:sz w:val="22"/>
        </w:rPr>
        <w:t>甲方认可本合同中乙方软件是乙方的重要财产，如甲方违反本合同知识产权条款的约定，乙方有权立即单方解除本合同，并要求甲方赔偿经济损失。</w:t>
      </w:r>
    </w:p>
    <w:p>
      <w:pPr>
        <w:pStyle w:val="null3"/>
        <w:ind w:firstLine="440"/>
        <w:jc w:val="both"/>
      </w:pPr>
      <w:r>
        <w:rPr>
          <w:sz w:val="22"/>
        </w:rPr>
        <w:t>3.</w:t>
      </w:r>
      <w:r>
        <w:rPr>
          <w:sz w:val="22"/>
        </w:rPr>
        <w:t>乙方交付的</w:t>
      </w:r>
      <w:r>
        <w:rPr>
          <w:sz w:val="21"/>
        </w:rPr>
        <w:t>服务</w:t>
      </w:r>
      <w:r>
        <w:rPr>
          <w:sz w:val="22"/>
        </w:rPr>
        <w:t>质量不符合合同规定或与封存标样不符的，甲方有权拒收</w:t>
      </w:r>
      <w:r>
        <w:rPr>
          <w:sz w:val="21"/>
        </w:rPr>
        <w:t>服务</w:t>
      </w:r>
      <w:r>
        <w:rPr>
          <w:sz w:val="22"/>
        </w:rPr>
        <w:t>，乙方应向甲方支付合同金额</w:t>
      </w:r>
      <w:r>
        <w:rPr>
          <w:sz w:val="22"/>
        </w:rPr>
        <w:t xml:space="preserve">5% </w:t>
      </w:r>
      <w:r>
        <w:rPr>
          <w:sz w:val="22"/>
        </w:rPr>
        <w:t>的违约金，并须在合同规定的交货时间内更换合格的</w:t>
      </w:r>
      <w:r>
        <w:rPr>
          <w:sz w:val="21"/>
        </w:rPr>
        <w:t>服务</w:t>
      </w:r>
      <w:r>
        <w:rPr>
          <w:sz w:val="22"/>
        </w:rPr>
        <w:t>给甲方，否则，视作乙方不能交付</w:t>
      </w:r>
      <w:r>
        <w:rPr>
          <w:sz w:val="21"/>
        </w:rPr>
        <w:t>服务</w:t>
      </w:r>
      <w:r>
        <w:rPr>
          <w:sz w:val="22"/>
        </w:rPr>
        <w:t>而违约，按本条本款下述第</w:t>
      </w:r>
      <w:r>
        <w:rPr>
          <w:sz w:val="22"/>
        </w:rPr>
        <w:t>“（</w:t>
      </w:r>
      <w:r>
        <w:rPr>
          <w:sz w:val="22"/>
        </w:rPr>
        <w:t>2</w:t>
      </w:r>
      <w:r>
        <w:rPr>
          <w:sz w:val="22"/>
        </w:rPr>
        <w:t>）”项规定由乙方偿付违约赔偿金给甲方。</w:t>
      </w:r>
    </w:p>
    <w:p>
      <w:pPr>
        <w:pStyle w:val="null3"/>
        <w:ind w:firstLine="440"/>
        <w:jc w:val="both"/>
      </w:pPr>
      <w:r>
        <w:rPr>
          <w:sz w:val="22"/>
        </w:rPr>
        <w:t>4.</w:t>
      </w:r>
      <w:r>
        <w:rPr>
          <w:sz w:val="22"/>
        </w:rPr>
        <w:t>乙方不能交付</w:t>
      </w:r>
      <w:r>
        <w:rPr>
          <w:sz w:val="21"/>
        </w:rPr>
        <w:t>服务</w:t>
      </w:r>
      <w:r>
        <w:rPr>
          <w:sz w:val="22"/>
        </w:rPr>
        <w:t>或逾期交付</w:t>
      </w:r>
      <w:r>
        <w:rPr>
          <w:sz w:val="21"/>
        </w:rPr>
        <w:t>服务</w:t>
      </w:r>
      <w:r>
        <w:rPr>
          <w:sz w:val="22"/>
        </w:rPr>
        <w:t>而违约的，除应及时交足</w:t>
      </w:r>
      <w:r>
        <w:rPr>
          <w:sz w:val="21"/>
        </w:rPr>
        <w:t>服务</w:t>
      </w:r>
      <w:r>
        <w:rPr>
          <w:sz w:val="22"/>
        </w:rPr>
        <w:t>外，从逾期之日起每日按本合同金额的</w:t>
      </w:r>
      <w:r>
        <w:rPr>
          <w:sz w:val="22"/>
        </w:rPr>
        <w:t>3</w:t>
      </w:r>
      <w:r>
        <w:rPr>
          <w:sz w:val="22"/>
        </w:rPr>
        <w:t>‰向甲方支付违约金；逾期交货超过三十天，甲方有权终止合同，乙方则应按合同金额的</w:t>
      </w:r>
      <w:r>
        <w:rPr>
          <w:sz w:val="22"/>
        </w:rPr>
        <w:t>5%</w:t>
      </w:r>
      <w:r>
        <w:rPr>
          <w:sz w:val="22"/>
        </w:rPr>
        <w:t>向甲方支付赔偿金，并且全额退还甲方已经付给乙方的</w:t>
      </w:r>
      <w:r>
        <w:rPr>
          <w:sz w:val="21"/>
        </w:rPr>
        <w:t>服务</w:t>
      </w:r>
      <w:r>
        <w:rPr>
          <w:sz w:val="22"/>
        </w:rPr>
        <w:t>及其利息。　　</w:t>
      </w:r>
    </w:p>
    <w:p>
      <w:pPr>
        <w:pStyle w:val="null3"/>
        <w:ind w:firstLine="440"/>
        <w:jc w:val="both"/>
      </w:pPr>
      <w:r>
        <w:rPr>
          <w:sz w:val="22"/>
        </w:rPr>
        <w:t>5.</w:t>
      </w:r>
      <w:r>
        <w:rPr>
          <w:sz w:val="22"/>
        </w:rPr>
        <w:t>如任何一方无故解除合同或有其他违约行为，违约方应承担守约方的经济损失。</w:t>
      </w:r>
    </w:p>
    <w:p>
      <w:pPr>
        <w:pStyle w:val="null3"/>
        <w:ind w:firstLine="440"/>
        <w:jc w:val="both"/>
      </w:pPr>
      <w:r>
        <w:rPr>
          <w:sz w:val="22"/>
        </w:rPr>
        <w:t>6.</w:t>
      </w:r>
      <w:r>
        <w:rPr>
          <w:sz w:val="22"/>
        </w:rPr>
        <w:t>其他</w:t>
      </w:r>
      <w:r>
        <w:rPr>
          <w:sz w:val="22"/>
        </w:rPr>
        <w:t>违约责任按《中华人民共和国民法典》处理。</w:t>
      </w:r>
    </w:p>
    <w:p>
      <w:pPr>
        <w:pStyle w:val="null3"/>
        <w:ind w:firstLine="442"/>
        <w:jc w:val="both"/>
      </w:pPr>
      <w:r>
        <w:rPr>
          <w:sz w:val="22"/>
          <w:b/>
        </w:rPr>
        <w:t>九、争议的解决</w:t>
      </w:r>
    </w:p>
    <w:p>
      <w:pPr>
        <w:pStyle w:val="null3"/>
        <w:ind w:firstLine="550"/>
        <w:jc w:val="both"/>
      </w:pPr>
      <w:r>
        <w:rPr>
          <w:sz w:val="22"/>
        </w:rPr>
        <w:t>1.</w:t>
      </w:r>
      <w:r>
        <w:rPr>
          <w:sz w:val="22"/>
        </w:rPr>
        <w:t>因服务的功能质量问题发生争议，由质量技术监督部门或其指定的质量鉴定机构进行质量鉴定。服务符合标准的，鉴定费由甲方承担；服务不符合质量标准的，鉴定费由乙方承担。</w:t>
      </w:r>
    </w:p>
    <w:p>
      <w:pPr>
        <w:pStyle w:val="null3"/>
        <w:ind w:firstLine="440"/>
        <w:jc w:val="both"/>
      </w:pPr>
      <w:r>
        <w:rPr>
          <w:sz w:val="22"/>
        </w:rPr>
        <w:t>2.</w:t>
      </w:r>
      <w:r>
        <w:rPr>
          <w:sz w:val="22"/>
        </w:rPr>
        <w:t>因履行本合同引起的或者与本合同有关的争议，甲乙双方应当通过友好协商方式解决；如协商不能解决的，双方均可</w:t>
      </w:r>
      <w:r>
        <w:rPr>
          <w:sz w:val="22"/>
        </w:rPr>
        <w:t>向</w:t>
      </w:r>
      <w:r>
        <w:rPr/>
        <w:t>甲方所在地的人民法院</w:t>
      </w:r>
      <w:r>
        <w:rPr/>
        <w:t>提起诉讼</w:t>
      </w:r>
      <w:r>
        <w:rPr>
          <w:sz w:val="22"/>
        </w:rPr>
        <w:t>。</w:t>
      </w:r>
    </w:p>
    <w:p>
      <w:pPr>
        <w:pStyle w:val="null3"/>
        <w:ind w:firstLine="420"/>
        <w:jc w:val="both"/>
      </w:pPr>
      <w:r>
        <w:rPr>
          <w:sz w:val="21"/>
        </w:rPr>
        <w:t>十、保密条款</w:t>
      </w:r>
    </w:p>
    <w:p>
      <w:pPr>
        <w:pStyle w:val="null3"/>
        <w:ind w:firstLine="420"/>
        <w:jc w:val="both"/>
      </w:pPr>
      <w:r>
        <w:rPr>
          <w:sz w:val="21"/>
        </w:rPr>
        <w:t>1.</w:t>
      </w:r>
      <w:r>
        <w:rPr>
          <w:sz w:val="21"/>
        </w:rPr>
        <w:t>乙方必须严格保守对因本项目的服务从甲方所获取的信息秘密，在未取得甲方书面同意的情况下，不得以任何形式向第三方披露。在依法必须披露的情况下，乙方应当立即通知甲方，除非按照法律规定或生效命令不得为之。</w:t>
      </w:r>
    </w:p>
    <w:p>
      <w:pPr>
        <w:pStyle w:val="null3"/>
        <w:ind w:firstLine="420"/>
        <w:jc w:val="both"/>
      </w:pPr>
      <w:r>
        <w:rPr>
          <w:sz w:val="21"/>
        </w:rPr>
        <w:t>2.</w:t>
      </w:r>
      <w:r>
        <w:rPr>
          <w:sz w:val="21"/>
        </w:rPr>
        <w:t>保密义务不因合同履行完毕或解除而终止，除非保密信息已经对外披露或</w:t>
      </w:r>
      <w:r>
        <w:rPr>
          <w:sz w:val="21"/>
        </w:rPr>
        <w:t>者为</w:t>
      </w:r>
      <w:r>
        <w:rPr>
          <w:sz w:val="21"/>
        </w:rPr>
        <w:t>公众所知。</w:t>
      </w:r>
    </w:p>
    <w:p>
      <w:pPr>
        <w:pStyle w:val="null3"/>
        <w:ind w:firstLine="442"/>
        <w:jc w:val="both"/>
      </w:pPr>
      <w:r>
        <w:rPr>
          <w:sz w:val="22"/>
          <w:b/>
        </w:rPr>
        <w:t>十一、不可抗力</w:t>
      </w:r>
    </w:p>
    <w:p>
      <w:pPr>
        <w:pStyle w:val="null3"/>
        <w:ind w:firstLine="440"/>
        <w:jc w:val="both"/>
      </w:pPr>
      <w:r>
        <w:rPr>
          <w:sz w:val="22"/>
        </w:rPr>
        <w:t>任何一方由于不可抗力原因不能履行合同时，应在不可抗力事件结束后</w:t>
      </w:r>
      <w:r>
        <w:rPr>
          <w:sz w:val="22"/>
        </w:rPr>
        <w:t>1</w:t>
      </w:r>
      <w:r>
        <w:rPr>
          <w:sz w:val="22"/>
        </w:rPr>
        <w:t>日内向对方通报，以减轻可能给对方造成的损失，在取得有关机构的不可抗力证明或双方谅解确认后，允许延期履行或修订合同，并根据情况可部分或全部免于承担违约责任。除不可抗力事件，任何一方不得违反本合同条款。</w:t>
      </w:r>
    </w:p>
    <w:p>
      <w:pPr>
        <w:pStyle w:val="null3"/>
        <w:ind w:firstLine="442"/>
        <w:jc w:val="both"/>
      </w:pPr>
      <w:r>
        <w:rPr>
          <w:sz w:val="22"/>
          <w:b/>
        </w:rPr>
        <w:t>十二、</w:t>
      </w:r>
      <w:r>
        <w:rPr>
          <w:sz w:val="22"/>
          <w:b/>
        </w:rPr>
        <w:t>税费</w:t>
      </w:r>
    </w:p>
    <w:p>
      <w:pPr>
        <w:pStyle w:val="null3"/>
        <w:ind w:firstLine="440"/>
        <w:jc w:val="both"/>
      </w:pPr>
      <w:r>
        <w:rPr>
          <w:sz w:val="22"/>
        </w:rPr>
        <w:t>在中国境内、外发生的与本合同执行有关的一切税费均由乙方负担。</w:t>
      </w:r>
    </w:p>
    <w:p>
      <w:pPr>
        <w:pStyle w:val="null3"/>
        <w:ind w:firstLine="442"/>
        <w:jc w:val="both"/>
      </w:pPr>
      <w:r>
        <w:rPr>
          <w:sz w:val="22"/>
          <w:b/>
        </w:rPr>
        <w:t>十三、</w:t>
      </w:r>
      <w:r>
        <w:rPr>
          <w:sz w:val="22"/>
          <w:b/>
        </w:rPr>
        <w:t>其他</w:t>
      </w:r>
    </w:p>
    <w:p>
      <w:pPr>
        <w:pStyle w:val="null3"/>
        <w:ind w:firstLine="440"/>
        <w:jc w:val="both"/>
      </w:pPr>
      <w:r>
        <w:rPr>
          <w:sz w:val="22"/>
        </w:rPr>
        <w:t>1.</w:t>
      </w:r>
      <w:r>
        <w:rPr>
          <w:sz w:val="22"/>
        </w:rPr>
        <w:t>本合同所有附件、采购文件、投标文件、中标</w:t>
      </w:r>
      <w:r>
        <w:rPr>
          <w:sz w:val="22"/>
        </w:rPr>
        <w:t>通知书</w:t>
      </w:r>
      <w:r>
        <w:rPr>
          <w:sz w:val="22"/>
        </w:rPr>
        <w:t>均</w:t>
      </w:r>
      <w:r>
        <w:rPr>
          <w:sz w:val="22"/>
        </w:rPr>
        <w:t>为本</w:t>
      </w:r>
      <w:r>
        <w:rPr>
          <w:sz w:val="22"/>
        </w:rPr>
        <w:t>合同的有效组成部分，与本合同具有同等法律效力。</w:t>
      </w:r>
    </w:p>
    <w:p>
      <w:pPr>
        <w:pStyle w:val="null3"/>
        <w:ind w:firstLine="440"/>
        <w:jc w:val="both"/>
      </w:pPr>
      <w:r>
        <w:rPr>
          <w:sz w:val="22"/>
        </w:rPr>
        <w:t>2.</w:t>
      </w:r>
      <w:r>
        <w:rPr>
          <w:sz w:val="22"/>
        </w:rPr>
        <w:t>在执行本合同的过程中，所有经双方签署确认的文件（包括会议纪要、补充协议、往来信函）即成为本合同的有效组成部分。</w:t>
      </w:r>
    </w:p>
    <w:p>
      <w:pPr>
        <w:pStyle w:val="null3"/>
        <w:ind w:firstLine="440"/>
        <w:jc w:val="both"/>
      </w:pPr>
      <w:r>
        <w:rPr>
          <w:sz w:val="22"/>
        </w:rPr>
        <w:t>3.</w:t>
      </w:r>
      <w:r>
        <w:rPr>
          <w:sz w:val="22"/>
        </w:rPr>
        <w:t>如一方地址、电话、传真号码有变更，应在变更当日内书面通知对方，否则，应承担相应责任。</w:t>
      </w:r>
    </w:p>
    <w:p>
      <w:pPr>
        <w:pStyle w:val="null3"/>
        <w:ind w:firstLine="440"/>
        <w:jc w:val="both"/>
      </w:pPr>
      <w:r>
        <w:rPr>
          <w:sz w:val="22"/>
        </w:rPr>
        <w:t>4.</w:t>
      </w:r>
      <w:r>
        <w:rPr>
          <w:sz w:val="22"/>
        </w:rPr>
        <w:t>除甲方事先书面同意外，乙方不得部分或全部转让其应履行的合同项下的义务。</w:t>
      </w:r>
    </w:p>
    <w:p>
      <w:pPr>
        <w:pStyle w:val="null3"/>
        <w:ind w:firstLine="442"/>
        <w:jc w:val="both"/>
      </w:pPr>
      <w:r>
        <w:rPr>
          <w:sz w:val="22"/>
          <w:b/>
        </w:rPr>
        <w:t>十四、合同生效</w:t>
      </w:r>
    </w:p>
    <w:p>
      <w:pPr>
        <w:pStyle w:val="null3"/>
        <w:ind w:firstLine="440"/>
        <w:jc w:val="both"/>
      </w:pPr>
      <w:r>
        <w:rPr>
          <w:sz w:val="22"/>
        </w:rPr>
        <w:t>1</w:t>
      </w:r>
      <w:r>
        <w:rPr>
          <w:sz w:val="22"/>
        </w:rPr>
        <w:t>、本合同在甲乙双方法人代表或其授权代表签字盖章后生效。</w:t>
      </w:r>
    </w:p>
    <w:p>
      <w:pPr>
        <w:pStyle w:val="null3"/>
        <w:ind w:firstLine="440"/>
        <w:jc w:val="both"/>
      </w:pPr>
      <w:r>
        <w:rPr>
          <w:sz w:val="22"/>
        </w:rPr>
        <w:t>2</w:t>
      </w:r>
      <w:r>
        <w:rPr>
          <w:sz w:val="22"/>
        </w:rPr>
        <w:t>、一式伍份，甲方持肆份，乙方持壹份。</w:t>
      </w:r>
    </w:p>
    <w:p>
      <w:pPr>
        <w:pStyle w:val="null3"/>
      </w:pPr>
      <w:r>
        <w:rPr>
          <w:sz w:val="21"/>
        </w:rPr>
        <w:t>甲方（盖章）：</w:t>
      </w:r>
      <w:r>
        <w:rPr>
          <w:sz w:val="21"/>
        </w:rPr>
        <w:t xml:space="preserve">                </w:t>
      </w:r>
      <w:r>
        <w:rPr>
          <w:sz w:val="21"/>
        </w:rPr>
        <w:t>乙方（盖章）：</w:t>
      </w:r>
    </w:p>
    <w:p>
      <w:pPr>
        <w:pStyle w:val="null3"/>
      </w:pPr>
      <w:r>
        <w:rPr>
          <w:sz w:val="21"/>
        </w:rPr>
        <w:t>代表：</w:t>
      </w:r>
      <w:r>
        <w:rPr>
          <w:sz w:val="21"/>
        </w:rPr>
        <w:t xml:space="preserve">                       </w:t>
      </w:r>
      <w:r>
        <w:rPr>
          <w:sz w:val="21"/>
        </w:rPr>
        <w:t>代表：</w:t>
      </w:r>
    </w:p>
    <w:p>
      <w:pPr>
        <w:pStyle w:val="null3"/>
      </w:pPr>
      <w:r>
        <w:rPr>
          <w:sz w:val="21"/>
        </w:rPr>
        <w:t>签订地点：</w:t>
      </w:r>
    </w:p>
    <w:p>
      <w:pPr>
        <w:pStyle w:val="null3"/>
      </w:pPr>
      <w:r>
        <w:rPr>
          <w:sz w:val="21"/>
        </w:rPr>
        <w:t>签订日期：　　　年　　月　　日</w:t>
      </w:r>
      <w:r>
        <w:rPr>
          <w:sz w:val="21"/>
        </w:rPr>
        <w:t xml:space="preserve">  </w:t>
      </w:r>
      <w:r>
        <w:rPr>
          <w:sz w:val="21"/>
        </w:rPr>
        <w:t>签订日期：　　　年　　月　　日</w:t>
      </w:r>
    </w:p>
    <w:p>
      <w:pPr>
        <w:pStyle w:val="null3"/>
      </w:pPr>
      <w:r>
        <w:rPr>
          <w:sz w:val="21"/>
        </w:rPr>
        <w:t>开户名称：</w:t>
      </w:r>
    </w:p>
    <w:p>
      <w:pPr>
        <w:pStyle w:val="null3"/>
      </w:pPr>
      <w:r>
        <w:rPr>
          <w:sz w:val="21"/>
        </w:rPr>
        <w:t>银行账号</w:t>
      </w:r>
      <w:r>
        <w:rPr>
          <w:sz w:val="21"/>
        </w:rPr>
        <w:t>：</w:t>
      </w:r>
    </w:p>
    <w:p>
      <w:pPr>
        <w:pStyle w:val="null3"/>
        <w:jc w:val="both"/>
      </w:pPr>
      <w:r>
        <w:rPr>
          <w:sz w:val="21"/>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440001-2025-48942</w:t>
      </w:r>
    </w:p>
    <w:p>
      <w:pPr>
        <w:pStyle w:val="null3"/>
        <w:jc w:val="center"/>
        <w:outlineLvl w:val="3"/>
      </w:pPr>
      <w:r>
        <w:rPr>
          <w:sz w:val="24"/>
          <w:b/>
        </w:rPr>
        <w:t>采购项目编号：</w:t>
      </w:r>
      <w:r>
        <w:rPr>
          <w:sz w:val="24"/>
          <w:b/>
        </w:rPr>
        <w:t>0724-2511Z1617974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广东省生殖科学研究所（广东省生殖医院）门诊无纸化、自助入出院和电子签名建设采购项目</w:t>
      </w:r>
      <w:r>
        <w:rPr>
          <w:u w:val="single"/>
        </w:rPr>
        <w:t>”</w:t>
      </w:r>
      <w:r>
        <w:rPr/>
        <w:t>项目的招标[采购项目编号为：</w:t>
      </w:r>
      <w:r>
        <w:rPr>
          <w:u w:val="single"/>
        </w:rPr>
        <w:t>0724-2511Z1617974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广东省生殖科学研究所（广东省生殖医院）门诊无纸化、自助入出院和电子签名建设采购项目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广东省生殖科学研究所（广东省生殖医院）门诊无纸化、自助入出院和电子签名建设采购项目</w:t>
      </w:r>
      <w:r>
        <w:rPr/>
        <w:t>”项目采购[采购项目编号为</w:t>
      </w:r>
      <w:r>
        <w:rPr/>
        <w:t>0724-2511Z1617974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广东省生殖科学研究所（广东省生殖医院）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广东省生殖科学研究所（广东省生殖医院）门诊无纸化、自助入出院和电子签名建设采购项目</w:t>
      </w:r>
      <w:r>
        <w:rPr/>
        <w:t>招标中获中标（采购项目编号：</w:t>
      </w:r>
      <w:r>
        <w:rPr/>
        <w:t>0724-2511Z1617974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广东省生殖科学研究所（广东省生殖医院）门诊无纸化、自助入出院和电子签名建设采购项目</w:t>
      </w:r>
      <w:r>
        <w:rPr/>
        <w:t>”项目（采购项目编号：</w:t>
      </w:r>
      <w:r>
        <w:rPr/>
        <w:t>0724-2511Z1617974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