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440701-2025-01937</w:t>
      </w:r>
    </w:p>
    <w:p>
      <w:pPr>
        <w:pStyle w:val="null3"/>
        <w:jc w:val="center"/>
        <w:outlineLvl w:val="3"/>
      </w:pPr>
      <w:r>
        <w:rPr>
          <w:sz w:val="24"/>
          <w:b/>
        </w:rPr>
        <w:t>采购项目编号：</w:t>
      </w:r>
      <w:r>
        <w:rPr>
          <w:sz w:val="24"/>
          <w:b/>
        </w:rPr>
        <w:t>0724-2511Z1615682</w:t>
      </w:r>
    </w:p>
    <w:p>
      <w:pPr>
        <w:pStyle w:val="null3"/>
        <w:jc w:val="center"/>
        <w:outlineLvl w:val="3"/>
      </w:pPr>
      <w:r>
        <w:rPr>
          <w:sz w:val="24"/>
          <w:b/>
        </w:rPr>
        <w:t>项目名称：</w:t>
      </w:r>
      <w:r>
        <w:rPr>
          <w:sz w:val="24"/>
          <w:b/>
        </w:rPr>
        <w:t>江门市中心医院医院运营管理平台建设项目</w:t>
      </w:r>
    </w:p>
    <w:p>
      <w:pPr>
        <w:pStyle w:val="null3"/>
        <w:jc w:val="center"/>
        <w:outlineLvl w:val="3"/>
      </w:pPr>
      <w:r>
        <w:rPr>
          <w:sz w:val="24"/>
          <w:b/>
        </w:rPr>
        <w:t>采购人：</w:t>
      </w:r>
      <w:r>
        <w:rPr>
          <w:sz w:val="24"/>
          <w:b/>
        </w:rPr>
        <w:t>江门市中心医院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江门市中心医院</w:t>
      </w:r>
      <w:r>
        <w:rPr/>
        <w:t>的委托，采用</w:t>
      </w:r>
      <w:r>
        <w:rPr/>
        <w:t>公开招标</w:t>
      </w:r>
      <w:r>
        <w:rPr/>
        <w:t>方式组织采购</w:t>
      </w:r>
      <w:r>
        <w:rPr/>
        <w:t>江门市中心医院医院运营管理平台建设项目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江门市中心医院医院运营管理平台建设项目</w:t>
      </w:r>
    </w:p>
    <w:p>
      <w:pPr>
        <w:pStyle w:val="null3"/>
        <w:ind w:firstLine="480"/>
      </w:pPr>
      <w:r>
        <w:rPr/>
        <w:t>采购计划编号：</w:t>
      </w:r>
      <w:r>
        <w:rPr/>
        <w:t>440701-2025-01937</w:t>
      </w:r>
    </w:p>
    <w:p>
      <w:pPr>
        <w:pStyle w:val="null3"/>
        <w:ind w:firstLine="480"/>
      </w:pPr>
      <w:r>
        <w:rPr/>
        <w:t>采购项目编号：</w:t>
      </w:r>
      <w:r>
        <w:rPr/>
        <w:t>0724-2511Z1615682</w:t>
      </w:r>
    </w:p>
    <w:p>
      <w:pPr>
        <w:pStyle w:val="null3"/>
        <w:ind w:firstLine="480"/>
      </w:pPr>
      <w:r>
        <w:rPr/>
        <w:t>采购方式：</w:t>
      </w:r>
      <w:r>
        <w:rPr/>
        <w:t>公开招标</w:t>
      </w:r>
    </w:p>
    <w:p>
      <w:pPr>
        <w:pStyle w:val="null3"/>
        <w:ind w:firstLine="480"/>
      </w:pPr>
      <w:r>
        <w:rPr/>
        <w:t>预算金额：</w:t>
      </w:r>
      <w:r>
        <w:rPr/>
        <w:t>1,980,000.00</w:t>
      </w:r>
      <w:r>
        <w:rPr/>
        <w:t>元</w:t>
      </w:r>
    </w:p>
    <w:p>
      <w:pPr>
        <w:pStyle w:val="null3"/>
        <w:outlineLvl w:val="3"/>
      </w:pPr>
      <w:r>
        <w:rPr>
          <w:sz w:val="24"/>
          <w:b/>
        </w:rPr>
        <w:t>2.项目内容及需求情况（采购项目技术规格、参数及要求）</w:t>
      </w:r>
    </w:p>
    <w:p>
      <w:pPr>
        <w:pStyle w:val="null3"/>
      </w:pPr>
      <w:r>
        <w:rPr/>
        <w:t>采购包1(医院运营管理平台建设):</w:t>
      </w:r>
    </w:p>
    <w:p>
      <w:pPr>
        <w:pStyle w:val="null3"/>
      </w:pPr>
      <w:r>
        <w:rPr/>
        <w:t>采购包预算金额：1,980,000.00元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行业应用软件开发服务</w:t>
            </w:r>
          </w:p>
        </w:tc>
        <w:tc>
          <w:tcPr>
            <w:tcW w:type="dxa" w:w="2136"/>
          </w:tcPr>
          <w:p>
            <w:pPr>
              <w:pStyle w:val="null3"/>
            </w:pPr>
            <w:r>
              <w:rPr/>
              <w:t>医院运营管理平台建设</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合同履行期限：合同签订后180个日历日内完成系统安装、调试以及上线工作。</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2）有依法缴纳税收和社会保障资金的良好记录：提供投标截止日前6个月内任意1个月依法缴纳税收和社会保障资金的相关材料。 如依法免税或不需要缴纳社会保障资金的， 提供相应证明材料。</w:t>
      </w:r>
    </w:p>
    <w:p>
      <w:pPr>
        <w:pStyle w:val="null3"/>
      </w:pPr>
      <w:r>
        <w:rPr/>
        <w:t>3）具有良好的商业信誉和健全的财务会计制度：提供2022-2024年任意一年的财务状况报告或基本开户行出具的资信证明。</w:t>
      </w:r>
    </w:p>
    <w:p>
      <w:pPr>
        <w:pStyle w:val="null3"/>
      </w:pPr>
      <w:r>
        <w:rPr/>
        <w:t>4）履行合同所必需的设备和专业技术能力：按投标（响应）文件格式填报设备及专业技术能力情况或提供承诺函承诺相关内容。</w:t>
      </w:r>
    </w:p>
    <w:p>
      <w:pPr>
        <w:pStyle w:val="null3"/>
      </w:pPr>
      <w:r>
        <w:rPr/>
        <w:t>5）参加采购活动前3年内，在经营活动中没有重大违法记录：参照投标函相关承诺格式内容。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采购包1（医院运营管理平台建设）：</w:t>
      </w:r>
      <w:r>
        <w:rPr/>
        <w:t>本项目整体专门面向中小企业采购，供应商应为符合本项目所属行业（软件和信息技术服务业）政策划分标准的中小微企业，须提供《中小企业声明函》，或省级以上监狱管理局、戒毒管理局（含新疆生产建设兵团）出具的属于监狱企业的证明文件，或《残疾人福利性单位声明函》。</w:t>
      </w:r>
    </w:p>
    <w:p>
      <w:pPr>
        <w:pStyle w:val="null3"/>
        <w:outlineLvl w:val="3"/>
      </w:pPr>
      <w:r>
        <w:rPr>
          <w:sz w:val="24"/>
          <w:b/>
        </w:rPr>
        <w:t>3.本项目特定的资格要求：</w:t>
      </w:r>
    </w:p>
    <w:p>
      <w:pPr>
        <w:pStyle w:val="null3"/>
      </w:pPr>
      <w:r>
        <w:rPr/>
        <w:t>采购包1（医院运营管理平台建设）：</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江门市中心医院</w:t>
      </w:r>
    </w:p>
    <w:p>
      <w:pPr>
        <w:pStyle w:val="null3"/>
        <w:ind w:firstLine="480"/>
      </w:pPr>
      <w:r>
        <w:rPr/>
        <w:t xml:space="preserve"> 地址：</w:t>
      </w:r>
      <w:r>
        <w:rPr/>
        <w:t>广东省江门市蓬江区海傍街23号</w:t>
      </w:r>
    </w:p>
    <w:p>
      <w:pPr>
        <w:pStyle w:val="null3"/>
        <w:ind w:firstLine="480"/>
      </w:pPr>
      <w:r>
        <w:rPr/>
        <w:t xml:space="preserve"> 联系方式：</w:t>
      </w:r>
      <w:r>
        <w:rPr/>
        <w:t>0750-3165953</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广东省广州市越秀区东风东路726号19楼</w:t>
      </w:r>
    </w:p>
    <w:p>
      <w:pPr>
        <w:pStyle w:val="null3"/>
        <w:ind w:firstLine="480"/>
      </w:pPr>
      <w:r>
        <w:rPr/>
        <w:t xml:space="preserve"> 联系方式：</w:t>
      </w:r>
      <w:r>
        <w:rPr/>
        <w:t>020-37861065、020-37860530、020-37860519</w:t>
      </w:r>
    </w:p>
    <w:p>
      <w:pPr>
        <w:pStyle w:val="null3"/>
        <w:outlineLvl w:val="3"/>
      </w:pPr>
      <w:r>
        <w:rPr>
          <w:sz w:val="24"/>
          <w:b/>
        </w:rPr>
        <w:t xml:space="preserve"> 3.项目联系方式</w:t>
      </w:r>
    </w:p>
    <w:p>
      <w:pPr>
        <w:pStyle w:val="null3"/>
        <w:ind w:firstLine="480"/>
      </w:pPr>
      <w:r>
        <w:rPr/>
        <w:t xml:space="preserve"> 项目联系人：</w:t>
      </w:r>
      <w:r>
        <w:rPr/>
        <w:t>林程宏、黎安翘、罗海山</w:t>
      </w:r>
    </w:p>
    <w:p>
      <w:pPr>
        <w:pStyle w:val="null3"/>
        <w:ind w:firstLine="480"/>
      </w:pPr>
      <w:r>
        <w:rPr/>
        <w:t xml:space="preserve"> 电话：</w:t>
      </w:r>
      <w:r>
        <w:rPr/>
        <w:t>020-37861065、020-37860530、020-37860519</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b/>
        </w:rPr>
        <w:t>（一）医院运营管理平台</w:t>
      </w:r>
    </w:p>
    <w:p>
      <w:pPr>
        <w:pStyle w:val="null3"/>
        <w:jc w:val="both"/>
      </w:pPr>
      <w:r>
        <w:rPr>
          <w:sz w:val="21"/>
          <w:b/>
        </w:rPr>
        <w:t>1.1系统基本技术要求</w:t>
      </w:r>
    </w:p>
    <w:p>
      <w:pPr>
        <w:pStyle w:val="null3"/>
        <w:ind w:firstLine="420"/>
        <w:jc w:val="left"/>
      </w:pPr>
      <w:r>
        <w:rPr>
          <w:sz w:val="21"/>
        </w:rPr>
        <w:t>1.</w:t>
      </w:r>
      <w:r>
        <w:rPr>
          <w:sz w:val="21"/>
        </w:rPr>
        <w:t>系统应遵循《全国信息化建设标准与规范（试行）》、《医院信息系统基本功能规范》、《公立医院运营管理信息化功能指引》等相关规范。在系统建设过程中，须</w:t>
      </w:r>
      <w:r>
        <w:rPr>
          <w:sz w:val="21"/>
        </w:rPr>
        <w:t>“统一规范、统一代码、统一接口”。加强指导、组织和协调，规范系统的基本功能、数据模型和数据编码等信息标准。</w:t>
      </w:r>
    </w:p>
    <w:p>
      <w:pPr>
        <w:pStyle w:val="null3"/>
        <w:ind w:firstLine="420"/>
        <w:jc w:val="left"/>
      </w:pPr>
      <w:r>
        <w:rPr>
          <w:sz w:val="21"/>
        </w:rPr>
        <w:t>2.</w:t>
      </w:r>
      <w:r>
        <w:rPr>
          <w:sz w:val="21"/>
        </w:rPr>
        <w:t>项目的设计和实施应具有灵活的扩展能力，充分考虑国家相关标准和业务系统需求变化对数据格式、处理方式等带来的业务流程变动和模式调整。</w:t>
      </w:r>
    </w:p>
    <w:p>
      <w:pPr>
        <w:pStyle w:val="null3"/>
        <w:ind w:firstLine="420"/>
        <w:jc w:val="left"/>
      </w:pPr>
      <w:r>
        <w:rPr>
          <w:sz w:val="21"/>
        </w:rPr>
        <w:t>3.</w:t>
      </w:r>
      <w:r>
        <w:rPr>
          <w:sz w:val="21"/>
        </w:rPr>
        <w:t>系统需使用主流语言（</w:t>
      </w:r>
      <w:r>
        <w:rPr>
          <w:sz w:val="21"/>
        </w:rPr>
        <w:t>JAVA、C#）进行研发，符合行业操作和使用习惯，适配主流浏览器、操作系统、主流数据库，满足医院信息管理的需要。同时，为响应国家信息技术产业创新号召，确保本项目信息化自主可控、安全运营和科学治理，应支持适配本国化服务器、操作系统、数据库等支撑层应用。</w:t>
      </w:r>
    </w:p>
    <w:p>
      <w:pPr>
        <w:pStyle w:val="null3"/>
        <w:ind w:firstLine="420"/>
        <w:jc w:val="left"/>
      </w:pPr>
      <w:r>
        <w:rPr>
          <w:sz w:val="21"/>
        </w:rPr>
        <w:t>4.</w:t>
      </w:r>
      <w:r>
        <w:rPr>
          <w:sz w:val="21"/>
        </w:rPr>
        <w:t>系统应采用主流</w:t>
      </w:r>
      <w:r>
        <w:rPr>
          <w:sz w:val="21"/>
        </w:rPr>
        <w:t>B/S架构，前后端分离模式，数据结构设计应合理。系统建设按照“整体设计、分步实施”的原则开展，系统各功能部分按照不同模块组合，各个部分既可以单独运行也可相互配合使用。</w:t>
      </w:r>
    </w:p>
    <w:p>
      <w:pPr>
        <w:pStyle w:val="null3"/>
        <w:ind w:firstLine="420"/>
        <w:jc w:val="left"/>
      </w:pPr>
      <w:r>
        <w:rPr>
          <w:sz w:val="21"/>
        </w:rPr>
        <w:t>5.</w:t>
      </w:r>
      <w:r>
        <w:rPr>
          <w:sz w:val="21"/>
        </w:rPr>
        <w:t>系统为跨平台设计，支持主流操作系统平台，支持任意平台部署增加扩展软件可扩展性。支持多移动端，如移动</w:t>
      </w:r>
      <w:r>
        <w:rPr>
          <w:sz w:val="21"/>
        </w:rPr>
        <w:t>APP、微信小程序等，并技持与企业微信和钉钉对接。</w:t>
      </w:r>
    </w:p>
    <w:p>
      <w:pPr>
        <w:pStyle w:val="null3"/>
        <w:ind w:firstLine="420"/>
        <w:jc w:val="left"/>
      </w:pPr>
      <w:r>
        <w:rPr>
          <w:sz w:val="21"/>
        </w:rPr>
        <w:t>6.</w:t>
      </w:r>
      <w:r>
        <w:rPr>
          <w:sz w:val="21"/>
        </w:rPr>
        <w:t>系统应预置接口以满足与医院其他系统关联的需求，支持二次接口开发，数据转储，并提供完善的后台安装与维护工具。</w:t>
      </w:r>
    </w:p>
    <w:p>
      <w:pPr>
        <w:pStyle w:val="null3"/>
        <w:ind w:firstLine="420"/>
        <w:jc w:val="left"/>
      </w:pPr>
      <w:r>
        <w:rPr>
          <w:sz w:val="21"/>
        </w:rPr>
        <w:t>7.</w:t>
      </w:r>
      <w:r>
        <w:rPr>
          <w:sz w:val="21"/>
        </w:rPr>
        <w:t>系统应具备自主知识产权，性价比高。</w:t>
      </w:r>
    </w:p>
    <w:p>
      <w:pPr>
        <w:pStyle w:val="null3"/>
        <w:ind w:firstLine="420"/>
        <w:jc w:val="left"/>
      </w:pPr>
      <w:r>
        <w:rPr>
          <w:sz w:val="21"/>
        </w:rPr>
        <w:t>8.</w:t>
      </w:r>
      <w:r>
        <w:rPr>
          <w:sz w:val="21"/>
        </w:rPr>
        <w:t>系统应采用数据库级用户权限和应用程序级运行权限的双重控制机制，提供统一用户管理手段。</w:t>
      </w:r>
    </w:p>
    <w:p>
      <w:pPr>
        <w:pStyle w:val="null3"/>
        <w:ind w:firstLine="420"/>
        <w:jc w:val="left"/>
      </w:pPr>
      <w:r>
        <w:rPr>
          <w:sz w:val="21"/>
        </w:rPr>
        <w:t>9.</w:t>
      </w:r>
      <w:r>
        <w:rPr>
          <w:sz w:val="21"/>
        </w:rPr>
        <w:t>系统运行的安全性和稳定性是业务系统正常运行的重要保障。在系统设计和建设中要符合国家有关信息安全方面的法律、法规及技术要求，强化信息安全管理，制定和完善相关的应急处理预案，保证系统稳定运行。</w:t>
      </w:r>
    </w:p>
    <w:p>
      <w:pPr>
        <w:pStyle w:val="null3"/>
        <w:ind w:firstLine="420"/>
        <w:jc w:val="left"/>
      </w:pPr>
      <w:r>
        <w:rPr>
          <w:sz w:val="21"/>
        </w:rPr>
        <w:t>10.</w:t>
      </w:r>
      <w:r>
        <w:rPr>
          <w:sz w:val="21"/>
        </w:rPr>
        <w:t>系统应建立数据备份和恢复机制，确保数据丢失时可以及时恢复。</w:t>
      </w:r>
    </w:p>
    <w:p>
      <w:pPr>
        <w:pStyle w:val="null3"/>
        <w:ind w:firstLine="420"/>
        <w:jc w:val="left"/>
      </w:pPr>
      <w:r>
        <w:rPr>
          <w:sz w:val="21"/>
        </w:rPr>
        <w:t>11.</w:t>
      </w:r>
      <w:r>
        <w:rPr>
          <w:sz w:val="21"/>
        </w:rPr>
        <w:t>系统需支持在高并发大数据量情况下的运行效率和稳定性。本系统作为医院信息化系统中的关键业务系统之一，系统的稳定性和可靠性将关系到整个医院经营管理日常工作。</w:t>
      </w:r>
    </w:p>
    <w:p>
      <w:pPr>
        <w:pStyle w:val="null3"/>
        <w:ind w:firstLine="420"/>
        <w:jc w:val="left"/>
      </w:pPr>
      <w:r>
        <w:rPr>
          <w:sz w:val="21"/>
        </w:rPr>
        <w:t>12.</w:t>
      </w:r>
      <w:r>
        <w:rPr>
          <w:sz w:val="21"/>
        </w:rPr>
        <w:t>★医院具有系统的所有权，所有系统不作站点限制，不得限制医院内机器的接入和使用限制，不得以任何形式对系统加注册码等。</w:t>
      </w:r>
      <w:r>
        <w:rPr>
          <w:sz w:val="21"/>
          <w:b/>
        </w:rPr>
        <w:t>（提供相关承诺函）</w:t>
      </w:r>
    </w:p>
    <w:p>
      <w:pPr>
        <w:pStyle w:val="null3"/>
        <w:ind w:firstLine="420"/>
        <w:jc w:val="both"/>
      </w:pPr>
      <w:r>
        <w:rPr>
          <w:sz w:val="21"/>
        </w:rPr>
        <w:t>13.</w:t>
      </w:r>
      <w:r>
        <w:rPr>
          <w:sz w:val="21"/>
        </w:rPr>
        <w:t>★接口维护及费用：质保期内供应商应无条件，无费用完成与第三方系统进行接口对接，因对接产生的一切费用由供应商承担。对接接口方式、标准必须按院方要求，数据系统具有通用的数据结构，并且免费开放与其他系统对接，免费提供二次开发的接口。</w:t>
      </w:r>
      <w:r>
        <w:rPr>
          <w:sz w:val="21"/>
          <w:b/>
        </w:rPr>
        <w:t>（提供相关承诺函）</w:t>
      </w:r>
    </w:p>
    <w:p>
      <w:pPr>
        <w:pStyle w:val="null3"/>
        <w:ind w:firstLine="420"/>
        <w:jc w:val="both"/>
      </w:pPr>
      <w:r>
        <w:rPr>
          <w:sz w:val="21"/>
        </w:rPr>
        <w:t>14.</w:t>
      </w:r>
      <w:r>
        <w:rPr>
          <w:sz w:val="21"/>
        </w:rPr>
        <w:t>★</w:t>
      </w:r>
      <w:r>
        <w:rPr>
          <w:sz w:val="21"/>
        </w:rPr>
        <w:t>本项目实施过程中，中标人与院方</w:t>
      </w:r>
      <w:r>
        <w:rPr>
          <w:sz w:val="21"/>
        </w:rPr>
        <w:t>HIS系统、医院其他系统的开发对接产生的开发费用、接口费用、所有设备施工安装调试费用或其他费用由中标人承担,采购人不再支付；投标人必须承诺投标报价应为人民币含税全包价，包括所投产品的设计、开发、测试、运输、安装调试、第三方接口开发调试、对接、验收、培训、二年质保期内软件系统升级和个性化改造、售后服务及相关服务等一切费用。所投产品开发过程中若涉及第三方的知识产权，其使用过程所产生的一切费用应包含在本次投标报价内。本项目覆盖医院新、旧院区应用，系统本地化部署。</w:t>
      </w:r>
    </w:p>
    <w:p>
      <w:pPr>
        <w:pStyle w:val="null3"/>
        <w:jc w:val="both"/>
      </w:pPr>
      <w:r>
        <w:rPr>
          <w:sz w:val="21"/>
          <w:b/>
        </w:rPr>
        <w:t>1.2系统功能要求</w:t>
      </w:r>
    </w:p>
    <w:tbl>
      <w:tblPr>
        <w:tblW w:w="0" w:type="auto"/>
        <w:tblInd w:type="dxa" w:w="90"/>
        <w:tblBorders>
          <w:top w:val="none" w:color="000000" w:sz="4"/>
          <w:left w:val="none" w:color="000000" w:sz="4"/>
          <w:bottom w:val="none" w:color="000000" w:sz="4"/>
          <w:right w:val="none" w:color="000000" w:sz="4"/>
          <w:insideH w:val="none"/>
          <w:insideV w:val="none"/>
        </w:tblBorders>
      </w:tblPr>
      <w:tblGrid>
        <w:gridCol w:w="884"/>
        <w:gridCol w:w="7399"/>
      </w:tblGrid>
      <w:tr>
        <w:tc>
          <w:tcPr>
            <w:tcW w:type="dxa" w:w="884"/>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ind w:firstLine="211"/>
              <w:jc w:val="both"/>
            </w:pPr>
            <w:r>
              <w:rPr>
                <w:sz w:val="21"/>
                <w:b/>
                <w:color w:val="000000"/>
              </w:rPr>
              <w:t>序号</w:t>
            </w:r>
          </w:p>
        </w:tc>
        <w:tc>
          <w:tcPr>
            <w:tcW w:type="dxa" w:w="7399"/>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b/>
                <w:color w:val="000000"/>
              </w:rPr>
              <w:t>具体技术（参数）要求</w:t>
            </w:r>
          </w:p>
        </w:tc>
      </w:tr>
      <w:tr>
        <w:tc>
          <w:tcPr>
            <w:tcW w:type="dxa" w:w="884"/>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ind w:left="420"/>
              <w:jc w:val="center"/>
            </w:pPr>
            <w:r>
              <w:rPr>
                <w:sz w:val="21"/>
                <w:b/>
                <w:color w:val="000000"/>
              </w:rPr>
              <w:t>1.</w:t>
            </w:r>
          </w:p>
        </w:tc>
        <w:tc>
          <w:tcPr>
            <w:tcW w:type="dxa" w:w="739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b/>
                <w:color w:val="000000"/>
              </w:rPr>
              <w:t>1.1业务基础平台服务</w:t>
            </w:r>
          </w:p>
          <w:p>
            <w:pPr>
              <w:pStyle w:val="null3"/>
            </w:pPr>
            <w:r>
              <w:rPr>
                <w:sz w:val="21"/>
                <w:b/>
                <w:color w:val="000000"/>
              </w:rPr>
              <w:t>1</w:t>
            </w:r>
            <w:r>
              <w:rPr>
                <w:sz w:val="21"/>
                <w:b/>
                <w:color w:val="000000"/>
              </w:rPr>
              <w:t>.1.1</w:t>
            </w:r>
            <w:r>
              <w:rPr>
                <w:sz w:val="21"/>
                <w:b/>
                <w:color w:val="000000"/>
              </w:rPr>
              <w:t>组织机构管理</w:t>
            </w:r>
          </w:p>
          <w:p>
            <w:pPr>
              <w:pStyle w:val="null3"/>
            </w:pPr>
            <w:r>
              <w:rPr>
                <w:sz w:val="21"/>
                <w:color w:val="000000"/>
              </w:rPr>
              <w:t>（</w:t>
            </w:r>
            <w:r>
              <w:rPr>
                <w:sz w:val="21"/>
                <w:color w:val="000000"/>
              </w:rPr>
              <w:t>1）支持用户按医院分工及部门划分，对院区基本信息、科室部门信息进行查看和维护，包括组织机构基本信息新增、修改、变动、停用等管理。可根据医院情况灵活设置科室信息以及定义级次，并支持与HIS科室进行对照关系的设置。</w:t>
            </w:r>
          </w:p>
          <w:p>
            <w:pPr>
              <w:pStyle w:val="null3"/>
            </w:pPr>
            <w:r>
              <w:rPr>
                <w:sz w:val="21"/>
                <w:color w:val="000000"/>
              </w:rPr>
              <w:t>（</w:t>
            </w:r>
            <w:r>
              <w:rPr>
                <w:sz w:val="21"/>
                <w:color w:val="000000"/>
              </w:rPr>
              <w:t>2）系统内置标准科室，为后续标准成本的核算以及上报提供支撑。</w:t>
            </w:r>
          </w:p>
          <w:p>
            <w:pPr>
              <w:pStyle w:val="null3"/>
              <w:ind w:firstLine="420"/>
              <w:jc w:val="both"/>
            </w:pPr>
            <w:r>
              <w:rPr>
                <w:sz w:val="21"/>
                <w:color w:val="000000"/>
              </w:rPr>
              <w:t>（</w:t>
            </w:r>
            <w:r>
              <w:rPr>
                <w:sz w:val="21"/>
                <w:color w:val="000000"/>
              </w:rPr>
              <w:t>3）支持分类人员编号管理、存储及查询功能，包括对人员的基本信息、附属信息、合同信息的全面管理；支持对人员信息新增、修改、内部变动、停用等操作。</w:t>
            </w:r>
          </w:p>
          <w:p>
            <w:pPr>
              <w:pStyle w:val="null3"/>
            </w:pPr>
            <w:r>
              <w:rPr>
                <w:sz w:val="21"/>
                <w:color w:val="000000"/>
              </w:rPr>
              <w:t>（</w:t>
            </w:r>
            <w:r>
              <w:rPr>
                <w:sz w:val="21"/>
                <w:color w:val="000000"/>
              </w:rPr>
              <w:t>4）支持处理单位内部（在编及规培等非在编）人员调动、跨单位调动，以及人员状态变动统计等事宜。实现人员入职，调配，离职，轮岗人事业务管理。</w:t>
            </w:r>
          </w:p>
          <w:p>
            <w:pPr>
              <w:pStyle w:val="null3"/>
            </w:pPr>
            <w:r>
              <w:rPr>
                <w:sz w:val="21"/>
                <w:b/>
                <w:color w:val="000000"/>
              </w:rPr>
              <w:t>1</w:t>
            </w:r>
            <w:r>
              <w:rPr>
                <w:sz w:val="21"/>
                <w:b/>
                <w:color w:val="000000"/>
              </w:rPr>
              <w:t>.1.2</w:t>
            </w:r>
            <w:r>
              <w:rPr>
                <w:sz w:val="21"/>
                <w:b/>
                <w:color w:val="000000"/>
              </w:rPr>
              <w:t>自定义设置</w:t>
            </w:r>
          </w:p>
          <w:p>
            <w:pPr>
              <w:pStyle w:val="null3"/>
            </w:pPr>
            <w:r>
              <w:rPr>
                <w:sz w:val="21"/>
                <w:color w:val="000000"/>
              </w:rPr>
              <w:t>（</w:t>
            </w:r>
            <w:r>
              <w:rPr>
                <w:sz w:val="21"/>
                <w:color w:val="000000"/>
              </w:rPr>
              <w:t>1）编码设置</w:t>
            </w:r>
          </w:p>
          <w:p>
            <w:pPr>
              <w:pStyle w:val="null3"/>
              <w:ind w:firstLine="420"/>
              <w:jc w:val="both"/>
            </w:pPr>
            <w:r>
              <w:rPr>
                <w:sz w:val="21"/>
                <w:color w:val="000000"/>
              </w:rPr>
              <w:t>支持维护编码规则及选项，相关选项可在系统中的单据中引用。</w:t>
            </w:r>
          </w:p>
          <w:p>
            <w:pPr>
              <w:pStyle w:val="null3"/>
            </w:pPr>
            <w:r>
              <w:rPr>
                <w:sz w:val="21"/>
                <w:color w:val="000000"/>
              </w:rPr>
              <w:t>（</w:t>
            </w:r>
            <w:r>
              <w:rPr>
                <w:sz w:val="21"/>
                <w:color w:val="000000"/>
              </w:rPr>
              <w:t>2）系统参数</w:t>
            </w:r>
          </w:p>
          <w:p>
            <w:pPr>
              <w:pStyle w:val="null3"/>
              <w:ind w:firstLine="420"/>
              <w:jc w:val="both"/>
            </w:pPr>
            <w:r>
              <w:rPr>
                <w:sz w:val="21"/>
                <w:color w:val="000000"/>
              </w:rPr>
              <w:t>支持配置系统的配置项，统一在参数管理中设置，设置后会形成系统中的开关项，对系统的流程控制点、计算规则等产生影响。包括定义单据是否提交即审核，发票金额匹配的规则等等。</w:t>
            </w:r>
          </w:p>
          <w:p>
            <w:pPr>
              <w:pStyle w:val="null3"/>
            </w:pPr>
            <w:r>
              <w:rPr>
                <w:sz w:val="21"/>
                <w:color w:val="000000"/>
              </w:rPr>
              <w:t>（</w:t>
            </w:r>
            <w:r>
              <w:rPr>
                <w:sz w:val="21"/>
                <w:color w:val="000000"/>
              </w:rPr>
              <w:t>3）字典管理</w:t>
            </w:r>
          </w:p>
          <w:p>
            <w:pPr>
              <w:pStyle w:val="null3"/>
              <w:ind w:firstLine="420"/>
              <w:jc w:val="both"/>
            </w:pPr>
            <w:r>
              <w:rPr>
                <w:sz w:val="21"/>
                <w:color w:val="000000"/>
              </w:rPr>
              <w:t>支持对资产相关属性实现自定义。支持定义资产分类，系统预置常见资产分类。</w:t>
            </w:r>
          </w:p>
          <w:p>
            <w:pPr>
              <w:pStyle w:val="null3"/>
            </w:pPr>
            <w:r>
              <w:rPr>
                <w:sz w:val="21"/>
                <w:b/>
                <w:color w:val="000000"/>
              </w:rPr>
              <w:t>1</w:t>
            </w:r>
            <w:r>
              <w:rPr>
                <w:sz w:val="21"/>
                <w:b/>
                <w:color w:val="000000"/>
              </w:rPr>
              <w:t>.1.3</w:t>
            </w:r>
            <w:r>
              <w:rPr>
                <w:sz w:val="21"/>
                <w:b/>
                <w:color w:val="000000"/>
              </w:rPr>
              <w:t>权限管理</w:t>
            </w:r>
          </w:p>
          <w:p>
            <w:pPr>
              <w:pStyle w:val="null3"/>
            </w:pPr>
            <w:r>
              <w:rPr>
                <w:sz w:val="21"/>
                <w:color w:val="000000"/>
              </w:rPr>
              <w:t>（</w:t>
            </w:r>
            <w:r>
              <w:rPr>
                <w:sz w:val="21"/>
                <w:color w:val="000000"/>
              </w:rPr>
              <w:t>1）支持多级的权限管理方式，对管理员、角色、用户进行多级的授权方式，同时支持对功能的赋权以及对数据的赋权，功能权限可以方便的赋到角色或者用户，数据权限控制用户对数据的读取。</w:t>
            </w:r>
          </w:p>
          <w:p>
            <w:pPr>
              <w:pStyle w:val="null3"/>
            </w:pPr>
            <w:r>
              <w:rPr>
                <w:sz w:val="21"/>
                <w:color w:val="000000"/>
              </w:rPr>
              <w:t>▲（2）支持针对模块、表单、按钮、字段、数据进行多级权限灵活配置与管控。支持针对“数据权限”、“功能权限”、“菜单权限”等进行权限设置。</w:t>
            </w:r>
          </w:p>
          <w:p>
            <w:pPr>
              <w:pStyle w:val="null3"/>
            </w:pPr>
            <w:r>
              <w:rPr>
                <w:sz w:val="21"/>
                <w:b/>
                <w:color w:val="000000"/>
              </w:rPr>
              <w:t>1</w:t>
            </w:r>
            <w:r>
              <w:rPr>
                <w:sz w:val="21"/>
                <w:b/>
                <w:color w:val="000000"/>
              </w:rPr>
              <w:t>.1.4</w:t>
            </w:r>
            <w:r>
              <w:rPr>
                <w:sz w:val="21"/>
                <w:b/>
                <w:color w:val="000000"/>
              </w:rPr>
              <w:t>报表平台</w:t>
            </w:r>
          </w:p>
          <w:p>
            <w:pPr>
              <w:pStyle w:val="null3"/>
            </w:pPr>
            <w:r>
              <w:rPr>
                <w:sz w:val="21"/>
                <w:color w:val="000000"/>
              </w:rPr>
              <w:t>（</w:t>
            </w:r>
            <w:r>
              <w:rPr>
                <w:sz w:val="21"/>
                <w:color w:val="000000"/>
              </w:rPr>
              <w:t>1）系统支持设置自定义报表打印模板，实现打印格式自定义；</w:t>
            </w:r>
          </w:p>
          <w:p>
            <w:pPr>
              <w:pStyle w:val="null3"/>
            </w:pPr>
            <w:r>
              <w:rPr>
                <w:sz w:val="21"/>
                <w:color w:val="000000"/>
              </w:rPr>
              <w:t>（</w:t>
            </w:r>
            <w:r>
              <w:rPr>
                <w:sz w:val="21"/>
                <w:color w:val="000000"/>
              </w:rPr>
              <w:t>2）系统支持根据部门维护不同的打印模板；</w:t>
            </w:r>
          </w:p>
          <w:p>
            <w:pPr>
              <w:pStyle w:val="null3"/>
            </w:pPr>
            <w:r>
              <w:rPr>
                <w:sz w:val="21"/>
                <w:color w:val="000000"/>
              </w:rPr>
              <w:t>▲（3）支持用户可新增自定义报表，提供自定义报表编辑器，可自由设置所需报表，实现满足复杂的查询条件和查询方式；不限制自定义报表创建数量。</w:t>
            </w:r>
          </w:p>
          <w:p>
            <w:pPr>
              <w:pStyle w:val="null3"/>
            </w:pPr>
            <w:r>
              <w:rPr>
                <w:sz w:val="21"/>
                <w:b/>
                <w:color w:val="000000"/>
              </w:rPr>
              <w:t>1</w:t>
            </w:r>
            <w:r>
              <w:rPr>
                <w:sz w:val="21"/>
                <w:b/>
                <w:color w:val="000000"/>
              </w:rPr>
              <w:t>.1.5</w:t>
            </w:r>
            <w:r>
              <w:rPr>
                <w:sz w:val="21"/>
                <w:b/>
                <w:color w:val="000000"/>
              </w:rPr>
              <w:t>自定义流程</w:t>
            </w:r>
          </w:p>
          <w:p>
            <w:pPr>
              <w:pStyle w:val="null3"/>
            </w:pPr>
            <w:r>
              <w:rPr>
                <w:sz w:val="21"/>
                <w:color w:val="000000"/>
              </w:rPr>
              <w:t>（</w:t>
            </w:r>
            <w:r>
              <w:rPr>
                <w:sz w:val="21"/>
                <w:color w:val="000000"/>
              </w:rPr>
              <w:t>1）实现自定义流程分类管理；</w:t>
            </w:r>
          </w:p>
          <w:p>
            <w:pPr>
              <w:pStyle w:val="null3"/>
            </w:pPr>
            <w:r>
              <w:rPr>
                <w:sz w:val="21"/>
                <w:color w:val="000000"/>
              </w:rPr>
              <w:t>（</w:t>
            </w:r>
            <w:r>
              <w:rPr>
                <w:sz w:val="21"/>
                <w:color w:val="000000"/>
              </w:rPr>
              <w:t>2）支持根据医院的业务流程及组织架构对系统的业务流程、工作流进行匹配设置，实现用户可自主设计自定义流程，包括流程基本信息、流程变量、图形化设计流程等；</w:t>
            </w:r>
          </w:p>
          <w:p>
            <w:pPr>
              <w:pStyle w:val="null3"/>
            </w:pPr>
            <w:r>
              <w:rPr>
                <w:sz w:val="21"/>
                <w:color w:val="000000"/>
              </w:rPr>
              <w:t>▲（3）系统提供图形化的工作流设计器，支持根据医院需求为不同单据配置不同的工作流，支持多级审批、条件审批、会签等类型，在审批过程中可根据需要临时增加审批节点</w:t>
            </w:r>
            <w:r>
              <w:rPr>
                <w:sz w:val="21"/>
                <w:color w:val="000000"/>
              </w:rPr>
              <w:t>。</w:t>
            </w:r>
            <w:r>
              <w:rPr>
                <w:sz w:val="21"/>
                <w:color w:val="000000"/>
              </w:rPr>
              <w:t>支持多级审批、条件审批等类型；实现审批过程中审批人对业务数据进行维护。</w:t>
            </w:r>
          </w:p>
          <w:p>
            <w:pPr>
              <w:pStyle w:val="null3"/>
            </w:pPr>
            <w:r>
              <w:rPr>
                <w:sz w:val="21"/>
                <w:color w:val="000000"/>
              </w:rPr>
              <w:t>▲（4）提供移动端，支持通过移动端进行申领、查看及审批等操作。</w:t>
            </w:r>
          </w:p>
        </w:tc>
      </w:tr>
      <w:tr>
        <w:tc>
          <w:tcPr>
            <w:tcW w:type="dxa" w:w="884"/>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ind w:left="420"/>
              <w:jc w:val="center"/>
            </w:pPr>
            <w:r>
              <w:rPr>
                <w:sz w:val="21"/>
                <w:b/>
                <w:color w:val="000000"/>
              </w:rPr>
              <w:t>2.</w:t>
            </w:r>
          </w:p>
        </w:tc>
        <w:tc>
          <w:tcPr>
            <w:tcW w:type="dxa" w:w="739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pPr>
            <w:r>
              <w:rPr>
                <w:sz w:val="21"/>
                <w:b/>
                <w:color w:val="000000"/>
              </w:rPr>
              <w:t>2</w:t>
            </w:r>
            <w:r>
              <w:rPr>
                <w:sz w:val="21"/>
                <w:b/>
                <w:color w:val="000000"/>
              </w:rPr>
              <w:t>.</w:t>
            </w:r>
            <w:r>
              <w:rPr>
                <w:sz w:val="21"/>
                <w:b/>
                <w:color w:val="000000"/>
              </w:rPr>
              <w:t>1</w:t>
            </w:r>
            <w:r>
              <w:rPr>
                <w:sz w:val="21"/>
                <w:b/>
                <w:color w:val="000000"/>
              </w:rPr>
              <w:t xml:space="preserve"> </w:t>
            </w:r>
            <w:r>
              <w:rPr>
                <w:sz w:val="21"/>
                <w:b/>
                <w:color w:val="000000"/>
              </w:rPr>
              <w:t>人力资源管理系统（含绩效管理需求）</w:t>
            </w:r>
          </w:p>
          <w:p>
            <w:pPr>
              <w:pStyle w:val="null3"/>
            </w:pPr>
            <w:r>
              <w:rPr>
                <w:sz w:val="21"/>
                <w:color w:val="000000"/>
              </w:rPr>
              <w:t>医院人力资源管理系统包含了人事管理、人事合同管理、薪酬绩效、考勤管理、排班管理、招聘管理和培训管理等功能模块，系统需融合现代人力资源管理理念，为医院的成长与发展提供了先进、科学、务实的人力资源管理平台；并能够通过薪酬数据的有效分析，提高医院对人力资源支出成本的管理水平，为医院管理提供必要数据基础。</w:t>
            </w:r>
          </w:p>
          <w:p>
            <w:pPr>
              <w:pStyle w:val="null3"/>
            </w:pPr>
            <w:r>
              <w:rPr>
                <w:sz w:val="21"/>
                <w:b/>
                <w:color w:val="000000"/>
              </w:rPr>
              <w:t>2</w:t>
            </w:r>
            <w:r>
              <w:rPr>
                <w:sz w:val="21"/>
                <w:b/>
                <w:color w:val="000000"/>
              </w:rPr>
              <w:t>.</w:t>
            </w:r>
            <w:r>
              <w:rPr>
                <w:sz w:val="21"/>
                <w:b/>
                <w:color w:val="000000"/>
              </w:rPr>
              <w:t>1</w:t>
            </w:r>
            <w:r>
              <w:rPr>
                <w:sz w:val="21"/>
                <w:b/>
                <w:color w:val="000000"/>
              </w:rPr>
              <w:t>.1 人事管理</w:t>
            </w:r>
          </w:p>
          <w:p>
            <w:pPr>
              <w:pStyle w:val="null3"/>
              <w:ind w:firstLine="420"/>
              <w:jc w:val="both"/>
            </w:pPr>
            <w:r>
              <w:rPr>
                <w:sz w:val="21"/>
                <w:color w:val="000000"/>
              </w:rPr>
              <w:t>档案管理：支持记录职工从入职到离职的全部信息，如基本信息，培训记录，工作经验，岗位信息、执业信息、职称职务、年度考核、党派记录、教育经历，奖惩记录，工作表现，家庭情况，专长缺点，社会任职，科研论文，出版物，科研课题，科研教学成果奖项，教学工作，特殊技能，附属档案，聘用合同，专长缺点等等项目，支持附件上传及维护。支持档案批量上传、自动生成对应员工卡片。</w:t>
            </w:r>
          </w:p>
          <w:p>
            <w:pPr>
              <w:pStyle w:val="null3"/>
              <w:ind w:firstLine="420"/>
              <w:jc w:val="both"/>
            </w:pPr>
            <w:r>
              <w:rPr>
                <w:sz w:val="21"/>
                <w:color w:val="000000"/>
              </w:rPr>
              <w:t>▲档案标签及字段可以任意多个配置。管理员或有权限的业务人员可根据需要对人员信息项目进行灵活的增加、修改、删除。</w:t>
            </w:r>
          </w:p>
          <w:p>
            <w:pPr>
              <w:pStyle w:val="null3"/>
              <w:ind w:firstLine="420"/>
              <w:jc w:val="both"/>
            </w:pPr>
            <w:r>
              <w:rPr>
                <w:sz w:val="21"/>
                <w:color w:val="000000"/>
              </w:rPr>
              <w:t>支持查询档案的详细内容，支持强大的组合条件查询，系统预设的查询条件包括：按组织单元查询、按人员查询、按员工类别查询等。通过查询条件的交叉和组合完成需求的查询条件，进而得出需要的合同报表。支持配置查询字段。</w:t>
            </w:r>
          </w:p>
          <w:p>
            <w:pPr>
              <w:pStyle w:val="null3"/>
              <w:ind w:firstLine="420"/>
              <w:jc w:val="both"/>
            </w:pPr>
            <w:r>
              <w:rPr>
                <w:sz w:val="21"/>
                <w:color w:val="000000"/>
              </w:rPr>
              <w:t>支持一键导出人事花名册等信息，支持配置模板，根据模板导出指定员工信息或部分员工信息表等。</w:t>
            </w:r>
          </w:p>
          <w:p>
            <w:pPr>
              <w:pStyle w:val="null3"/>
              <w:ind w:firstLine="420"/>
              <w:jc w:val="both"/>
            </w:pPr>
            <w:r>
              <w:rPr>
                <w:sz w:val="21"/>
                <w:color w:val="000000"/>
              </w:rPr>
              <w:t>预警管理：支持自动预警提示生日、退休、合同及其他相关异常信息到期等信息。</w:t>
            </w:r>
          </w:p>
          <w:p>
            <w:pPr>
              <w:pStyle w:val="null3"/>
              <w:ind w:firstLine="420"/>
              <w:jc w:val="both"/>
            </w:pPr>
            <w:r>
              <w:rPr>
                <w:sz w:val="21"/>
                <w:color w:val="000000"/>
              </w:rPr>
              <w:t>▲</w:t>
            </w:r>
            <w:r>
              <w:rPr>
                <w:sz w:val="21"/>
                <w:b/>
                <w:color w:val="000000"/>
              </w:rPr>
              <w:t>人员分类：</w:t>
            </w:r>
            <w:r>
              <w:rPr>
                <w:sz w:val="21"/>
                <w:color w:val="000000"/>
              </w:rPr>
              <w:t>可从不同维度进行人员分类管理，如：按照用工形式分为在编人员、合同人员、劳务派遣（外包）人员、特聘人员、返聘、留用人员等，以及博士后、规培人员等其他类别人员；按照人员状态可分为在岗人员、离退休人员、进修培训人员、研究生、实习生、待聘人员、调出人员、辞职人员、开除人员等。同时还可根据实际情况增减人员类别。</w:t>
            </w:r>
          </w:p>
          <w:p>
            <w:pPr>
              <w:pStyle w:val="null3"/>
              <w:ind w:firstLine="422"/>
            </w:pPr>
            <w:r>
              <w:rPr>
                <w:sz w:val="21"/>
                <w:b/>
                <w:color w:val="000000"/>
              </w:rPr>
              <w:t>变动管理：</w:t>
            </w:r>
            <w:r>
              <w:rPr>
                <w:sz w:val="21"/>
                <w:color w:val="000000"/>
              </w:rPr>
              <w:t>需系统支持对员工的晋升，降职，辞职，调动，退休，交流，挂职，长期病假，脱产学习培训，待岗，停薪留职等进行管理，通过配置变动项目（如医院，部门，职位，职级等认识字段或薪资字段）、变动后项目、生效日期后就可以进行人员变动直接管理。系统支持自动记录变动信息，并自动生成人员异动报表（按年、月）和统计到员工履历资料的工作经验中。</w:t>
            </w:r>
          </w:p>
          <w:p>
            <w:pPr>
              <w:pStyle w:val="null3"/>
              <w:ind w:firstLine="420"/>
            </w:pPr>
            <w:r>
              <w:rPr>
                <w:sz w:val="21"/>
                <w:color w:val="000000"/>
              </w:rPr>
              <w:t>入离职管理流程支持在系统中启动入职、离职流程管理，支持一键开关入离职流程，流程完成后把员工迁往入职、离职相应的类别，自动从组织架构作入职、离职处理。支持配置指定模块权限定时剥离。</w:t>
            </w:r>
          </w:p>
          <w:p>
            <w:pPr>
              <w:pStyle w:val="null3"/>
              <w:ind w:firstLine="420"/>
            </w:pPr>
            <w:r>
              <w:rPr>
                <w:sz w:val="21"/>
                <w:color w:val="000000"/>
              </w:rPr>
              <w:t>支持人员的调配、兼职、离职业务的申请、审批、执行，并将执行结果反馈到人员档案。</w:t>
            </w:r>
          </w:p>
          <w:p>
            <w:pPr>
              <w:pStyle w:val="null3"/>
              <w:ind w:firstLine="420"/>
            </w:pPr>
            <w:r>
              <w:rPr>
                <w:sz w:val="21"/>
                <w:color w:val="000000"/>
              </w:rPr>
              <w:t>能够由医院灵活自行设计各种人员调配业务表单，能够基于表单设计调配前后业务规则，自动计算关联项，数据结果自动归档，满足对人员调配业务的规范办理与数据归档。</w:t>
            </w:r>
          </w:p>
          <w:p>
            <w:pPr>
              <w:pStyle w:val="null3"/>
              <w:ind w:firstLine="420"/>
            </w:pPr>
            <w:r>
              <w:rPr>
                <w:sz w:val="21"/>
                <w:color w:val="000000"/>
              </w:rPr>
              <w:t>审批流程可采用自动流转、手工指派等规则进行处理，满足不同的审批工作需要。</w:t>
            </w:r>
          </w:p>
          <w:p>
            <w:pPr>
              <w:pStyle w:val="null3"/>
              <w:ind w:firstLine="420"/>
            </w:pPr>
            <w:r>
              <w:rPr>
                <w:sz w:val="21"/>
                <w:color w:val="000000"/>
              </w:rPr>
              <w:t>工作流程处理，一个人员调配业务办理结束后，可以根据业务的关联关系，自动引发接下来的业务处理。</w:t>
            </w:r>
          </w:p>
          <w:p>
            <w:pPr>
              <w:pStyle w:val="null3"/>
              <w:ind w:firstLine="420"/>
            </w:pPr>
            <w:r>
              <w:rPr>
                <w:sz w:val="21"/>
                <w:color w:val="000000"/>
              </w:rPr>
              <w:t>业务办理结束后能够将人员异动信息自动归档到人员信息子集中，无需手工再次录入，避免由手工维护带来的信息维护不及时，信息维护错误等人为失误。</w:t>
            </w:r>
          </w:p>
          <w:p>
            <w:pPr>
              <w:pStyle w:val="null3"/>
              <w:ind w:firstLine="422"/>
            </w:pPr>
            <w:r>
              <w:rPr>
                <w:sz w:val="21"/>
                <w:b/>
                <w:color w:val="000000"/>
              </w:rPr>
              <w:t>调配管理：</w:t>
            </w:r>
            <w:r>
              <w:rPr>
                <w:sz w:val="21"/>
                <w:color w:val="000000"/>
              </w:rPr>
              <w:t>支持内部晋升、降职，辞职、调离、退休、交流、挂职、长期病假、脱产学习培训、待岗、停薪留职等人员异动的规范流程处理与结果自动归档。流程表单能够由业务人员灵活的定义，支持输出、打印，配合线下审批。</w:t>
            </w:r>
          </w:p>
          <w:p>
            <w:pPr>
              <w:pStyle w:val="null3"/>
              <w:ind w:firstLine="420"/>
            </w:pPr>
            <w:r>
              <w:rPr>
                <w:sz w:val="21"/>
                <w:color w:val="000000"/>
              </w:rPr>
              <w:t>审批流程可采用自动流转、手工指派等规则进行处理，满足不同的审批工作需要。系统通过审批流实现不同部门、科室或业务衔接的分工应用，如职工入职审批通过后，自动通知薪酬起薪业务等办理，满足人事关联业务间的协同应用。</w:t>
            </w:r>
          </w:p>
          <w:p>
            <w:pPr>
              <w:pStyle w:val="null3"/>
              <w:ind w:firstLine="422"/>
            </w:pPr>
            <w:r>
              <w:rPr>
                <w:sz w:val="21"/>
                <w:b/>
                <w:color w:val="000000"/>
              </w:rPr>
              <w:t>人事合同管理：</w:t>
            </w:r>
            <w:r>
              <w:rPr>
                <w:sz w:val="21"/>
                <w:color w:val="000000"/>
              </w:rPr>
              <w:t>支持对员工的劳动合同、培训合同、保密协议进行新签、续签等操作。提供劳动合同期满提醒、未签劳动合同人员提醒、合同续签提醒等预警功能。支持维护合同模版，合同到期管理，合同签订及续签，合同的终止和解除等业务。支持根据不同岗位维护不同合同模板内容。</w:t>
            </w:r>
          </w:p>
          <w:p>
            <w:pPr>
              <w:pStyle w:val="null3"/>
              <w:ind w:firstLine="420"/>
            </w:pPr>
            <w:r>
              <w:rPr>
                <w:sz w:val="21"/>
                <w:color w:val="000000"/>
              </w:rPr>
              <w:t>支持人事合同登记录入时可查看对应人员档案信息。</w:t>
            </w:r>
          </w:p>
          <w:p>
            <w:pPr>
              <w:pStyle w:val="null3"/>
              <w:ind w:firstLine="420"/>
            </w:pPr>
            <w:r>
              <w:rPr>
                <w:sz w:val="21"/>
                <w:color w:val="000000"/>
              </w:rPr>
              <w:t>能够保存全体职工的合同信息，包括合同性质、类型、起止时间、签订次数等，形成合同台账。</w:t>
            </w:r>
          </w:p>
          <w:p>
            <w:pPr>
              <w:pStyle w:val="null3"/>
              <w:ind w:firstLine="420"/>
            </w:pPr>
            <w:r>
              <w:rPr>
                <w:sz w:val="21"/>
                <w:color w:val="000000"/>
              </w:rPr>
              <w:t>对合同的签订、续签、变更、终止等业务要能够进行流程审批管理，流程的配置需简单便捷，流程处理结果能够自动归档。</w:t>
            </w:r>
          </w:p>
          <w:p>
            <w:pPr>
              <w:pStyle w:val="null3"/>
              <w:ind w:firstLine="420"/>
            </w:pPr>
            <w:r>
              <w:rPr>
                <w:sz w:val="21"/>
                <w:color w:val="000000"/>
              </w:rPr>
              <w:t>系统需预置聘用合同常用模板，并可根据需要灵活调整，可以进行批量打印。</w:t>
            </w:r>
          </w:p>
          <w:p>
            <w:pPr>
              <w:pStyle w:val="null3"/>
              <w:ind w:firstLine="420"/>
            </w:pPr>
            <w:r>
              <w:rPr>
                <w:sz w:val="21"/>
                <w:color w:val="000000"/>
              </w:rPr>
              <w:t>可查询已到期合同、预到期合同、当前执行合同等信息。</w:t>
            </w:r>
          </w:p>
          <w:p>
            <w:pPr>
              <w:pStyle w:val="null3"/>
              <w:ind w:firstLine="420"/>
            </w:pPr>
            <w:r>
              <w:rPr>
                <w:sz w:val="21"/>
                <w:color w:val="000000"/>
              </w:rPr>
              <w:t>对试用期满、合同到期等信息具有自动提醒功能，业务人员可根据提醒直接进行相关合同业务办理。</w:t>
            </w:r>
          </w:p>
          <w:p>
            <w:pPr>
              <w:pStyle w:val="null3"/>
              <w:ind w:firstLine="420"/>
            </w:pPr>
            <w:r>
              <w:rPr>
                <w:sz w:val="21"/>
                <w:color w:val="000000"/>
              </w:rPr>
              <w:t>对各类合同信息能够从不同角度进行统计分析，如按照合同类型、合同期限、合同起始日期等不同维度的分析。</w:t>
            </w:r>
          </w:p>
          <w:p>
            <w:pPr>
              <w:pStyle w:val="null3"/>
              <w:ind w:firstLine="422"/>
            </w:pPr>
            <w:r>
              <w:rPr>
                <w:sz w:val="21"/>
                <w:b/>
                <w:color w:val="000000"/>
              </w:rPr>
              <w:t>报表管理：</w:t>
            </w:r>
            <w:r>
              <w:rPr>
                <w:sz w:val="21"/>
                <w:color w:val="000000"/>
              </w:rPr>
              <w:t>支持按年、季、月生成人员流动报表、人员分布报表、人事相关报表等。系统需提供表格设计工具，可自动生成预定义的各种报表，也可由用户自定义各类报表，轻松绘制或导入表样，取数条件定义简单，具有自动取数，自动校验，自动排版、打印输出等功能，业务用户可根据需要自行设计各种人事卡片，如职工履历表、干部任免表、各种证明等，并可根据需要导出</w:t>
            </w:r>
            <w:r>
              <w:rPr>
                <w:sz w:val="21"/>
                <w:color w:val="000000"/>
              </w:rPr>
              <w:t>Excel、PDF、Word等多种格式。</w:t>
            </w:r>
          </w:p>
          <w:p>
            <w:pPr>
              <w:pStyle w:val="null3"/>
            </w:pPr>
            <w:r>
              <w:rPr>
                <w:sz w:val="21"/>
                <w:b/>
                <w:color w:val="000000"/>
              </w:rPr>
              <w:t>2</w:t>
            </w:r>
            <w:r>
              <w:rPr>
                <w:sz w:val="21"/>
                <w:b/>
                <w:color w:val="000000"/>
              </w:rPr>
              <w:t>.</w:t>
            </w:r>
            <w:r>
              <w:rPr>
                <w:sz w:val="21"/>
                <w:b/>
                <w:color w:val="000000"/>
              </w:rPr>
              <w:t>1</w:t>
            </w:r>
            <w:r>
              <w:rPr>
                <w:sz w:val="21"/>
                <w:b/>
                <w:color w:val="000000"/>
              </w:rPr>
              <w:t>.2 考勤管理</w:t>
            </w:r>
          </w:p>
          <w:p>
            <w:pPr>
              <w:pStyle w:val="null3"/>
            </w:pPr>
            <w:r>
              <w:rPr>
                <w:sz w:val="21"/>
                <w:color w:val="000000"/>
              </w:rPr>
              <w:t>支持记录人员在各科室每天的工作量、加班、缺勤、请假休假等信息，支持维护标准工作量、自动计算、对照及提醒。月末各科室考勤员将本科室正常考勤和轮转考勤信息汇总得到月度考勤汇总表并提交人事部门审核，审核完成的数据可作为薪酬中考勤工资的计算依据，同时生成人员在各科室的标准工作量，作为成本分摊的工作量数据，为准确进行成本分摊提供依据。</w:t>
            </w:r>
          </w:p>
          <w:p>
            <w:pPr>
              <w:pStyle w:val="null3"/>
            </w:pPr>
            <w:r>
              <w:rPr>
                <w:sz w:val="21"/>
                <w:color w:val="000000"/>
              </w:rPr>
              <w:t>支持通过系统提出加班申请，通过审批后记录加班时长等信息；支持通过系统提出请假申请，可选择假期类型、审批流，或根据员工所处默认审批流带入审批；</w:t>
            </w:r>
          </w:p>
          <w:p>
            <w:pPr>
              <w:pStyle w:val="null3"/>
            </w:pPr>
            <w:r>
              <w:rPr>
                <w:sz w:val="21"/>
                <w:color w:val="000000"/>
              </w:rPr>
              <w:t>支持通过系统提出出差申请，支持设置出差类型、时长、预算审批情况。在对接全面预算模块的情况下，支持选择预算来源，自动计算预算执行率；</w:t>
            </w:r>
          </w:p>
          <w:p>
            <w:pPr>
              <w:pStyle w:val="null3"/>
            </w:pPr>
            <w:r>
              <w:rPr>
                <w:sz w:val="21"/>
                <w:color w:val="000000"/>
              </w:rPr>
              <w:t>支持通过系统提出请假申请，可选择假期类型、审批流，或根据员工所处默认审批流带入审批；</w:t>
            </w:r>
          </w:p>
          <w:p>
            <w:pPr>
              <w:pStyle w:val="null3"/>
            </w:pPr>
            <w:r>
              <w:rPr>
                <w:sz w:val="21"/>
                <w:color w:val="000000"/>
              </w:rPr>
              <w:t>支持设置考勤项目，为业务人员绑定不同考勤规则，支持考勤项与考勤规则关联人事考勤相关字段（薪酬、剩余假期等），自动计算</w:t>
            </w:r>
          </w:p>
          <w:p>
            <w:pPr>
              <w:pStyle w:val="null3"/>
            </w:pPr>
            <w:r>
              <w:rPr>
                <w:sz w:val="21"/>
                <w:color w:val="000000"/>
              </w:rPr>
              <w:t>▲</w:t>
            </w:r>
            <w:r>
              <w:rPr>
                <w:sz w:val="21"/>
                <w:color w:val="000000"/>
              </w:rPr>
              <w:t>支持对上报的考勤数据进行审核，支持手动调整或自动汇总考勤数据，生成月度考勤汇总表并导出为</w:t>
            </w:r>
            <w:r>
              <w:rPr>
                <w:sz w:val="21"/>
                <w:color w:val="000000"/>
              </w:rPr>
              <w:t>EXCEL、PDF等格式。</w:t>
            </w:r>
          </w:p>
          <w:p>
            <w:pPr>
              <w:pStyle w:val="null3"/>
            </w:pPr>
            <w:r>
              <w:rPr>
                <w:sz w:val="21"/>
                <w:color w:val="000000"/>
              </w:rPr>
              <w:t>支持与薪资系统整合，将考勤结果传递到薪资系统核算加班费、缺勤扣款、出差补贴、夜班津贴等工资项目。支持考勤</w:t>
            </w:r>
            <w:r>
              <w:rPr>
                <w:sz w:val="21"/>
                <w:color w:val="000000"/>
              </w:rPr>
              <w:t>-薪酬-成本模块数据联动参照。</w:t>
            </w:r>
          </w:p>
          <w:p>
            <w:pPr>
              <w:pStyle w:val="null3"/>
            </w:pPr>
            <w:r>
              <w:rPr>
                <w:sz w:val="21"/>
                <w:color w:val="000000"/>
              </w:rPr>
              <w:t>支持与薪资系统整合，将考勤结果传递到薪资系统核算科室成本，可按标识区统计各类人员工资成本并把科室工资成本数据传递至成本核算模块。</w:t>
            </w:r>
          </w:p>
          <w:p>
            <w:pPr>
              <w:pStyle w:val="null3"/>
            </w:pPr>
            <w:r>
              <w:rPr>
                <w:sz w:val="21"/>
                <w:color w:val="000000"/>
              </w:rPr>
              <w:t>支持自定义设置人员计奖类别，按工作年限、人员计奖类别、人员出勤情况等多方案计算人员计奖比例、计奖人数、总人数。支持手动调整或自动调整科室计奖人数，支持科室上报出勤表灵活增人员、计奖类别，支持单个科室或全院考勤数据汇总。按选定项目、会计期进行同期比较。考勤数据人事、财务、科室科同步查看（查看本科室数据），科室完成出勤数据上报后，支持锁定数据，锁定后科室不可以更改数据。人事、财务管理人员解锁后才可修改，支持统计科室上报出勤完成（锁定）情况）支持人事、财务科管理人员一键锁定未锁定科室数据。</w:t>
            </w:r>
          </w:p>
          <w:p>
            <w:pPr>
              <w:pStyle w:val="null3"/>
            </w:pPr>
            <w:r>
              <w:rPr>
                <w:sz w:val="21"/>
                <w:color w:val="000000"/>
              </w:rPr>
              <w:t>支持数据上报期间，设定全院统一的上报会计期，支持医院已停用人员工号可设置短期内恢复使用。</w:t>
            </w:r>
          </w:p>
          <w:p>
            <w:pPr>
              <w:pStyle w:val="null3"/>
            </w:pPr>
            <w:r>
              <w:rPr>
                <w:sz w:val="21"/>
                <w:b/>
                <w:color w:val="000000"/>
              </w:rPr>
              <w:t>2</w:t>
            </w:r>
            <w:r>
              <w:rPr>
                <w:sz w:val="21"/>
                <w:b/>
                <w:color w:val="000000"/>
              </w:rPr>
              <w:t>.</w:t>
            </w:r>
            <w:r>
              <w:rPr>
                <w:sz w:val="21"/>
                <w:b/>
                <w:color w:val="000000"/>
              </w:rPr>
              <w:t>1</w:t>
            </w:r>
            <w:r>
              <w:rPr>
                <w:sz w:val="21"/>
                <w:b/>
                <w:color w:val="000000"/>
              </w:rPr>
              <w:t>.3 排班管理</w:t>
            </w:r>
          </w:p>
          <w:p>
            <w:pPr>
              <w:pStyle w:val="null3"/>
            </w:pPr>
            <w:r>
              <w:rPr>
                <w:sz w:val="21"/>
                <w:color w:val="000000"/>
              </w:rPr>
              <w:t>支持手动排班、自动排班，支持通过</w:t>
            </w:r>
            <w:r>
              <w:rPr>
                <w:sz w:val="21"/>
                <w:color w:val="000000"/>
              </w:rPr>
              <w:t>excel导入排班表，支持快速调班功能；</w:t>
            </w:r>
          </w:p>
          <w:p>
            <w:pPr>
              <w:pStyle w:val="null3"/>
            </w:pPr>
            <w:r>
              <w:rPr>
                <w:sz w:val="21"/>
                <w:color w:val="000000"/>
              </w:rPr>
              <w:t>快速查询已排班次、未排班人员，对排班结果进行规则检查，支持以图形、列表形式直观展现全员排班情况，导出排版表，实时掌握各班组出勤人数；</w:t>
            </w:r>
          </w:p>
          <w:p>
            <w:pPr>
              <w:pStyle w:val="null3"/>
            </w:pPr>
            <w:r>
              <w:rPr>
                <w:sz w:val="21"/>
                <w:color w:val="000000"/>
              </w:rPr>
              <w:t>支持自定义特殊排班规则。</w:t>
            </w:r>
          </w:p>
          <w:p>
            <w:pPr>
              <w:pStyle w:val="null3"/>
            </w:pPr>
            <w:r>
              <w:rPr>
                <w:sz w:val="21"/>
                <w:b/>
                <w:color w:val="000000"/>
              </w:rPr>
              <w:t>2</w:t>
            </w:r>
            <w:r>
              <w:rPr>
                <w:sz w:val="21"/>
                <w:b/>
                <w:color w:val="000000"/>
              </w:rPr>
              <w:t>.</w:t>
            </w:r>
            <w:r>
              <w:rPr>
                <w:sz w:val="21"/>
                <w:b/>
                <w:color w:val="000000"/>
              </w:rPr>
              <w:t>1</w:t>
            </w:r>
            <w:r>
              <w:rPr>
                <w:sz w:val="21"/>
                <w:b/>
                <w:color w:val="000000"/>
              </w:rPr>
              <w:t>.4 招聘管理</w:t>
            </w:r>
          </w:p>
          <w:p>
            <w:pPr>
              <w:pStyle w:val="null3"/>
            </w:pPr>
            <w:r>
              <w:rPr>
                <w:sz w:val="21"/>
                <w:color w:val="000000"/>
              </w:rPr>
              <w:t>招聘计划：支持维护招聘计划，支持发布招聘公告、岗位信息、岗位要求，包括招聘的岗位、要求、人数，招聘流程定义等。招聘计划可在线申报。</w:t>
            </w:r>
          </w:p>
          <w:p>
            <w:pPr>
              <w:pStyle w:val="null3"/>
            </w:pPr>
            <w:r>
              <w:rPr>
                <w:sz w:val="21"/>
                <w:color w:val="000000"/>
              </w:rPr>
              <w:t>招聘门户：建立招聘门户，支持与医院官网对接，利用统一的招聘入口，应聘人可注册账号并维护个人信息及简历信息；招聘管理员可在系统后台直接查阅、筛选、统计应聘人员信息。应聘端可以详细记录应聘者资料，并记录应聘各阶段的评价，支持对应聘者进行打分，一键发送通知邮件或短信等。通过筛选的应聘人员，可以直接入岗，转为在职人员，并与人事档案联动，自动带入简历信息。</w:t>
            </w:r>
          </w:p>
          <w:p>
            <w:pPr>
              <w:pStyle w:val="null3"/>
            </w:pPr>
            <w:r>
              <w:rPr>
                <w:sz w:val="21"/>
                <w:color w:val="000000"/>
              </w:rPr>
              <w:t>可针对不同岗位维护不同应聘流程，管理不同岗位求职者的整个应聘过程。</w:t>
            </w:r>
          </w:p>
          <w:p>
            <w:pPr>
              <w:pStyle w:val="null3"/>
            </w:pPr>
            <w:r>
              <w:rPr>
                <w:sz w:val="21"/>
                <w:b/>
                <w:color w:val="000000"/>
              </w:rPr>
              <w:t>2</w:t>
            </w:r>
            <w:r>
              <w:rPr>
                <w:sz w:val="21"/>
                <w:b/>
                <w:color w:val="000000"/>
              </w:rPr>
              <w:t>.</w:t>
            </w:r>
            <w:r>
              <w:rPr>
                <w:sz w:val="21"/>
                <w:b/>
                <w:color w:val="000000"/>
              </w:rPr>
              <w:t>1</w:t>
            </w:r>
            <w:r>
              <w:rPr>
                <w:sz w:val="21"/>
                <w:b/>
                <w:color w:val="000000"/>
              </w:rPr>
              <w:t>.5 薪酬核算</w:t>
            </w:r>
          </w:p>
          <w:p>
            <w:pPr>
              <w:pStyle w:val="null3"/>
            </w:pPr>
            <w:r>
              <w:rPr>
                <w:sz w:val="21"/>
                <w:color w:val="000000"/>
              </w:rPr>
              <w:t>基于医疗卫生行业岗位薪级工资标准和套改政策在系统中内置岗位薪级工资标准和套改政策查询，并可建立医院需要的其他工资标准。</w:t>
            </w:r>
          </w:p>
          <w:p>
            <w:pPr>
              <w:pStyle w:val="null3"/>
            </w:pPr>
            <w:r>
              <w:rPr>
                <w:sz w:val="21"/>
                <w:color w:val="000000"/>
              </w:rPr>
              <w:t>薪酬变动以医疗卫生行业岗位薪级工资标准和套改政策为基础，完整核定和记录从入职、试用、转正、岗位变动直至离职离退的薪酬变动历史，自动计算各种变动后的薪级及薪级工资，处理相关的津补贴变动信息，为人事部门确定人员基础工资和工资发放的基础工资变动提供依据。</w:t>
            </w:r>
          </w:p>
          <w:p>
            <w:pPr>
              <w:pStyle w:val="null3"/>
            </w:pPr>
            <w:r>
              <w:rPr>
                <w:sz w:val="21"/>
                <w:color w:val="000000"/>
              </w:rPr>
              <w:t>系统支持根据管理要求对不同人员类别灵活设置薪酬项目和计算公式，以及个税规则的维护，薪酬项目包括基础工资项、福利项、考勤项等与工资计算有关的项目；通过计算公式结合个税情况可以自动获取薪酬变动中产生的当月薪酬变动信息，也可以自动获取考勤管理中产生的考勤数据，实现工资与考勤的联动；其中薪酬补助流程可以根据医院不同科室的实际情况配置本地化的流程业务。</w:t>
            </w:r>
          </w:p>
          <w:p>
            <w:pPr>
              <w:pStyle w:val="null3"/>
            </w:pPr>
            <w:r>
              <w:rPr>
                <w:sz w:val="21"/>
                <w:color w:val="000000"/>
              </w:rPr>
              <w:t>支持根据薪酬方案自动生成工资调整单。</w:t>
            </w:r>
          </w:p>
          <w:p>
            <w:pPr>
              <w:pStyle w:val="null3"/>
            </w:pPr>
            <w:r>
              <w:rPr>
                <w:sz w:val="21"/>
                <w:color w:val="000000"/>
              </w:rPr>
              <w:t>支持对薪酬的核算及分配过程进行跟踪与分析。</w:t>
            </w:r>
          </w:p>
          <w:p>
            <w:pPr>
              <w:pStyle w:val="null3"/>
            </w:pPr>
            <w:r>
              <w:rPr>
                <w:sz w:val="21"/>
                <w:color w:val="000000"/>
              </w:rPr>
              <w:t>支持对某一笔费用多账号发放或执行某项费用的单独分离发放。</w:t>
            </w:r>
          </w:p>
          <w:p>
            <w:pPr>
              <w:pStyle w:val="null3"/>
            </w:pPr>
            <w:r>
              <w:rPr>
                <w:sz w:val="21"/>
                <w:color w:val="000000"/>
              </w:rPr>
              <w:t>通过接口可实现将人事部门确定的薪酬信息自动转入财务的薪酬模块进行工资发放，配置凭证模板，设置工资计提，自动生成财务凭证，实现人事薪酬与财务工资发放的联动。</w:t>
            </w:r>
          </w:p>
          <w:p>
            <w:pPr>
              <w:pStyle w:val="null3"/>
            </w:pPr>
            <w:r>
              <w:rPr>
                <w:sz w:val="21"/>
                <w:color w:val="000000"/>
              </w:rPr>
              <w:t>支持将考勤结果传递到薪资系统核算科室成本，按多方案选定工资项目</w:t>
            </w:r>
            <w:r>
              <w:rPr>
                <w:sz w:val="21"/>
                <w:color w:val="000000"/>
              </w:rPr>
              <w:t>核算科室成本，按需求增减设置工资成本核算部门，工资成本传递到至成本核算系统。</w:t>
            </w:r>
          </w:p>
          <w:p>
            <w:pPr>
              <w:pStyle w:val="null3"/>
              <w:ind w:firstLine="420"/>
              <w:jc w:val="both"/>
            </w:pPr>
            <w:r>
              <w:rPr>
                <w:sz w:val="21"/>
                <w:color w:val="000000"/>
              </w:rPr>
              <w:t>支持按选定工资类别（可多选）检测核对科室上报奖金人员姓名、其他项目人员姓名，并显示检测结果：包括工资档案存在奖金不存在的人员姓名及奖金存在工资档案不存在人员姓名，支持导入数据检测及考勤管理系统数据直接传递。</w:t>
            </w:r>
          </w:p>
          <w:p>
            <w:pPr>
              <w:pStyle w:val="null3"/>
              <w:ind w:firstLine="420"/>
              <w:jc w:val="both"/>
            </w:pPr>
            <w:r>
              <w:rPr>
                <w:sz w:val="21"/>
                <w:color w:val="000000"/>
              </w:rPr>
              <w:t>支持按人员出勤情况计算分摊人员成本，并自动生成凭证到财务系统</w:t>
            </w:r>
            <w:r>
              <w:rPr>
                <w:sz w:val="21"/>
                <w:color w:val="000000"/>
              </w:rPr>
              <w:t>。</w:t>
            </w:r>
          </w:p>
          <w:p>
            <w:pPr>
              <w:pStyle w:val="null3"/>
              <w:ind w:firstLine="420"/>
              <w:jc w:val="both"/>
            </w:pPr>
            <w:r>
              <w:rPr>
                <w:sz w:val="21"/>
                <w:color w:val="000000"/>
              </w:rPr>
              <w:t>可以维护职工银行账户信息，支持职工多账户的管理，可按工资、奖金等维护多套账户信息。</w:t>
            </w:r>
          </w:p>
          <w:p>
            <w:pPr>
              <w:pStyle w:val="null3"/>
              <w:ind w:firstLine="420"/>
              <w:jc w:val="both"/>
            </w:pPr>
            <w:r>
              <w:rPr>
                <w:sz w:val="21"/>
                <w:color w:val="000000"/>
              </w:rPr>
              <w:t>工资发放支持多种形式，满足月薪制及一月多次发放等。</w:t>
            </w:r>
          </w:p>
          <w:p>
            <w:pPr>
              <w:pStyle w:val="null3"/>
              <w:ind w:firstLine="420"/>
              <w:jc w:val="both"/>
            </w:pPr>
            <w:r>
              <w:rPr>
                <w:sz w:val="21"/>
                <w:color w:val="000000"/>
              </w:rPr>
              <w:t>满足医院保险项目的增减需求，包括基本养老保险、医疗保险、失业保险、工伤保险、生育保险、补充医疗、住房公积金等。</w:t>
            </w:r>
          </w:p>
          <w:p>
            <w:pPr>
              <w:pStyle w:val="null3"/>
              <w:ind w:firstLine="420"/>
              <w:jc w:val="both"/>
            </w:pPr>
            <w:r>
              <w:rPr>
                <w:sz w:val="21"/>
                <w:color w:val="000000"/>
              </w:rPr>
              <w:t>能够记录社保个人缴纳部分和单位缴纳部分的详细数据。</w:t>
            </w:r>
          </w:p>
          <w:p>
            <w:pPr>
              <w:pStyle w:val="null3"/>
              <w:ind w:firstLine="420"/>
              <w:jc w:val="both"/>
            </w:pPr>
            <w:r>
              <w:rPr>
                <w:sz w:val="21"/>
                <w:color w:val="000000"/>
              </w:rPr>
              <w:t>根据工资发放的实际情况，统计工资总额并与缴费基数联动，用于社保基数的年度调整；基数及缴费额和各种补缴等工作能够支持系统自动记录，同时支持手工记录与调整。</w:t>
            </w:r>
          </w:p>
          <w:p>
            <w:pPr>
              <w:pStyle w:val="null3"/>
            </w:pPr>
            <w:r>
              <w:rPr>
                <w:sz w:val="21"/>
                <w:b/>
                <w:color w:val="000000"/>
              </w:rPr>
              <w:t>2</w:t>
            </w:r>
            <w:r>
              <w:rPr>
                <w:sz w:val="21"/>
                <w:b/>
                <w:color w:val="000000"/>
              </w:rPr>
              <w:t>.</w:t>
            </w:r>
            <w:r>
              <w:rPr>
                <w:sz w:val="21"/>
                <w:b/>
                <w:color w:val="000000"/>
              </w:rPr>
              <w:t>1</w:t>
            </w:r>
            <w:r>
              <w:rPr>
                <w:sz w:val="21"/>
                <w:b/>
                <w:color w:val="000000"/>
              </w:rPr>
              <w:t>.6 绩效管理</w:t>
            </w:r>
          </w:p>
          <w:p>
            <w:pPr>
              <w:pStyle w:val="null3"/>
              <w:ind w:firstLine="422"/>
              <w:jc w:val="both"/>
            </w:pPr>
            <w:r>
              <w:rPr>
                <w:sz w:val="21"/>
                <w:b/>
                <w:color w:val="000000"/>
              </w:rPr>
              <w:t>数据交换：</w:t>
            </w:r>
            <w:r>
              <w:rPr>
                <w:sz w:val="21"/>
                <w:color w:val="000000"/>
              </w:rPr>
              <w:t>支持手动导入、自动获取、手动填写等不同方式获取资料。提供标准对外接口。支持方式个人登记、统一登记，可以外部文件导入、外部系统接口接入、数据湖转入等方式获取数据。</w:t>
            </w:r>
          </w:p>
          <w:p>
            <w:pPr>
              <w:pStyle w:val="null3"/>
              <w:ind w:firstLine="422"/>
              <w:jc w:val="both"/>
            </w:pPr>
            <w:r>
              <w:rPr>
                <w:sz w:val="21"/>
                <w:b/>
                <w:color w:val="000000"/>
              </w:rPr>
              <w:t>▲方案配置：</w:t>
            </w:r>
            <w:r>
              <w:rPr>
                <w:sz w:val="21"/>
                <w:color w:val="000000"/>
              </w:rPr>
              <w:t>支持奖金核算方案与绩效分配方案，支持多种方案的配置，支持成本导向与预算导向奖金核算模式，支持科室与干部的绩效分配管理。支持手动录入绩效分配单，或配置绩效指标，自动获取指标数据（能有效取数的前提下）。</w:t>
            </w:r>
          </w:p>
          <w:p>
            <w:pPr>
              <w:pStyle w:val="null3"/>
              <w:ind w:firstLine="420"/>
              <w:jc w:val="both"/>
            </w:pPr>
            <w:r>
              <w:rPr>
                <w:sz w:val="21"/>
                <w:color w:val="000000"/>
              </w:rPr>
              <w:t>支持对薪酬、奖金核算方案及指标数据进行配置、审核及查询的功能。包括对指标数据的采集、奖金核算、绩效分配及开放奖金期间的配置功能。</w:t>
            </w:r>
          </w:p>
          <w:p>
            <w:pPr>
              <w:pStyle w:val="null3"/>
              <w:ind w:firstLine="420"/>
              <w:jc w:val="both"/>
            </w:pPr>
            <w:r>
              <w:rPr>
                <w:sz w:val="21"/>
                <w:color w:val="000000"/>
              </w:rPr>
              <w:t>支持根据医院绩效模型维护相关绩效方案及指标，包括工作量绩效、特色技术绩效、岗位绩效等。支持配置多套指标，绑定不同业务对象。</w:t>
            </w:r>
          </w:p>
          <w:p>
            <w:pPr>
              <w:pStyle w:val="null3"/>
              <w:ind w:firstLine="420"/>
              <w:jc w:val="both"/>
            </w:pPr>
            <w:r>
              <w:rPr>
                <w:sz w:val="21"/>
                <w:color w:val="000000"/>
              </w:rPr>
              <w:t>支持以医疗小组为单位进行绩效方案设置、核算及跟踪。</w:t>
            </w:r>
          </w:p>
          <w:p>
            <w:pPr>
              <w:pStyle w:val="null3"/>
              <w:ind w:firstLine="422"/>
              <w:jc w:val="both"/>
            </w:pPr>
            <w:r>
              <w:rPr>
                <w:sz w:val="21"/>
                <w:b/>
                <w:color w:val="000000"/>
              </w:rPr>
              <w:t>考核对象管理：</w:t>
            </w:r>
            <w:r>
              <w:rPr>
                <w:sz w:val="21"/>
                <w:color w:val="000000"/>
              </w:rPr>
              <w:t>支持对不同考核对象设置不同方案或进行整体管理。针对不同身份角色确定不同考核指标，支持对指标进行维护、考核人进行维护。</w:t>
            </w:r>
          </w:p>
          <w:p>
            <w:pPr>
              <w:pStyle w:val="null3"/>
              <w:ind w:firstLine="422"/>
              <w:jc w:val="both"/>
            </w:pPr>
            <w:r>
              <w:rPr>
                <w:sz w:val="21"/>
                <w:b/>
                <w:color w:val="000000"/>
              </w:rPr>
              <w:t>考核执行：</w:t>
            </w:r>
            <w:r>
              <w:rPr>
                <w:sz w:val="21"/>
                <w:color w:val="000000"/>
              </w:rPr>
              <w:t>支持对绩效考核进行过程管理，根据指标的不同，可设置是否需要复核，默认客观指标需要复核，主观指标则采用综合评分法。</w:t>
            </w:r>
          </w:p>
          <w:p>
            <w:pPr>
              <w:pStyle w:val="null3"/>
              <w:ind w:firstLine="420"/>
              <w:jc w:val="both"/>
            </w:pPr>
            <w:r>
              <w:rPr>
                <w:sz w:val="21"/>
                <w:color w:val="000000"/>
              </w:rPr>
              <w:t>支持针对考核结果查询统计，可按时间、部门、指标、岗位等数值分类不同维度进行查询，并支持按数值或时间排列。</w:t>
            </w:r>
          </w:p>
          <w:p>
            <w:pPr>
              <w:pStyle w:val="null3"/>
              <w:ind w:firstLine="420"/>
              <w:jc w:val="both"/>
            </w:pPr>
            <w:r>
              <w:rPr>
                <w:sz w:val="21"/>
                <w:color w:val="000000"/>
              </w:rPr>
              <w:t>支持对绩效核算及分配过程进行跟踪与分析。</w:t>
            </w:r>
          </w:p>
          <w:p>
            <w:pPr>
              <w:pStyle w:val="null3"/>
              <w:ind w:firstLine="420"/>
              <w:jc w:val="both"/>
            </w:pPr>
            <w:r>
              <w:rPr>
                <w:sz w:val="21"/>
                <w:color w:val="000000"/>
              </w:rPr>
              <w:t>支持以科室为单位对绩效进行发放及二次发放的功能。</w:t>
            </w:r>
          </w:p>
          <w:p>
            <w:pPr>
              <w:pStyle w:val="null3"/>
              <w:spacing w:after="120"/>
              <w:ind w:firstLine="420"/>
              <w:jc w:val="both"/>
            </w:pPr>
            <w:r>
              <w:rPr>
                <w:sz w:val="21"/>
                <w:color w:val="000000"/>
              </w:rPr>
              <w:t>支持统计科室上报奖金完成（锁定）情况，科室完成奖金上报后，支持锁定数据，锁定后科室不可以更改，财务管理人员解锁后才可修改，支持所有科室完成奖金数据上报后财务科管理人员一键锁定未锁定科室数据，</w:t>
            </w:r>
          </w:p>
          <w:p>
            <w:pPr>
              <w:pStyle w:val="null3"/>
              <w:spacing w:after="120"/>
              <w:ind w:firstLine="420"/>
              <w:jc w:val="both"/>
            </w:pPr>
            <w:r>
              <w:rPr>
                <w:sz w:val="21"/>
                <w:color w:val="000000"/>
              </w:rPr>
              <w:t>支持数据上报期间，设定全院统一的上报会计期，支持医院已停用人员工号可设置短期内恢复使用。</w:t>
            </w:r>
          </w:p>
          <w:p>
            <w:pPr>
              <w:pStyle w:val="null3"/>
              <w:spacing w:after="120"/>
              <w:ind w:firstLine="420"/>
              <w:jc w:val="both"/>
            </w:pPr>
            <w:r>
              <w:rPr>
                <w:sz w:val="21"/>
                <w:color w:val="000000"/>
              </w:rPr>
              <w:t>支持</w:t>
            </w:r>
            <w:r>
              <w:rPr>
                <w:sz w:val="21"/>
                <w:color w:val="000000"/>
              </w:rPr>
              <w:t>EXCEL</w:t>
            </w:r>
            <w:r>
              <w:rPr>
                <w:sz w:val="21"/>
                <w:color w:val="000000"/>
              </w:rPr>
              <w:t>导入各科室拟发放奖金数据，科室上报各项奖金数据与拟发放数据核对差额。</w:t>
            </w:r>
          </w:p>
          <w:p>
            <w:pPr>
              <w:pStyle w:val="null3"/>
              <w:spacing w:after="120"/>
              <w:ind w:firstLine="420"/>
              <w:jc w:val="both"/>
            </w:pPr>
            <w:r>
              <w:rPr>
                <w:sz w:val="21"/>
                <w:color w:val="000000"/>
              </w:rPr>
              <w:t>支持拟奖金发放数据按人员分类直接传递至薪资系统。</w:t>
            </w:r>
          </w:p>
          <w:p>
            <w:pPr>
              <w:pStyle w:val="null3"/>
              <w:spacing w:after="120"/>
              <w:ind w:firstLine="420"/>
              <w:jc w:val="both"/>
            </w:pPr>
            <w:r>
              <w:rPr>
                <w:sz w:val="21"/>
                <w:color w:val="000000"/>
              </w:rPr>
              <w:t>支持生成各项工作量奖励报表，同时需读取人员对应出勤科室、人员身份证号、职工临工身份类别、工号等信息，支持一人多工号数据汇总。</w:t>
            </w:r>
          </w:p>
          <w:p>
            <w:pPr>
              <w:pStyle w:val="null3"/>
              <w:spacing w:after="120"/>
              <w:ind w:firstLine="420"/>
              <w:jc w:val="both"/>
            </w:pPr>
            <w:r>
              <w:rPr>
                <w:sz w:val="21"/>
                <w:color w:val="000000"/>
              </w:rPr>
              <w:t>支持从人事管理系统直接传递人员信息并对人员信息进行二次加工生成新的人员信息。</w:t>
            </w:r>
          </w:p>
          <w:p>
            <w:pPr>
              <w:pStyle w:val="null3"/>
              <w:jc w:val="both"/>
            </w:pPr>
            <w:r>
              <w:rPr>
                <w:sz w:val="21"/>
                <w:b/>
                <w:color w:val="000000"/>
              </w:rPr>
              <w:t>2.1.7</w:t>
            </w:r>
            <w:r>
              <w:rPr>
                <w:sz w:val="21"/>
                <w:b/>
                <w:color w:val="000000"/>
              </w:rPr>
              <w:t>绩效成本核算系统</w:t>
            </w:r>
          </w:p>
          <w:p>
            <w:pPr>
              <w:pStyle w:val="null3"/>
              <w:ind w:firstLine="420"/>
              <w:jc w:val="both"/>
            </w:pPr>
            <w:r>
              <w:rPr>
                <w:sz w:val="21"/>
                <w:color w:val="000000"/>
              </w:rPr>
              <w:t>1</w:t>
            </w:r>
            <w:r>
              <w:rPr>
                <w:sz w:val="21"/>
                <w:color w:val="000000"/>
              </w:rPr>
              <w:t>、从</w:t>
            </w:r>
            <w:r>
              <w:rPr>
                <w:sz w:val="21"/>
                <w:color w:val="000000"/>
              </w:rPr>
              <w:t>HIS</w:t>
            </w:r>
            <w:r>
              <w:rPr>
                <w:sz w:val="21"/>
                <w:color w:val="000000"/>
              </w:rPr>
              <w:t>系统中提取全院各种收入，包括但不限于住院门诊，对收入、成本可进行各种二次加工汇总。</w:t>
            </w:r>
          </w:p>
          <w:p>
            <w:pPr>
              <w:pStyle w:val="null3"/>
              <w:ind w:firstLine="420"/>
              <w:jc w:val="both"/>
            </w:pPr>
            <w:r>
              <w:rPr>
                <w:sz w:val="21"/>
                <w:color w:val="000000"/>
              </w:rPr>
              <w:t>2</w:t>
            </w:r>
            <w:r>
              <w:rPr>
                <w:sz w:val="21"/>
                <w:color w:val="000000"/>
              </w:rPr>
              <w:t>、提供自定义报表功能，可下钻分析各类数据，用户可视化配置报表，并授权给相应临床科室使用。</w:t>
            </w:r>
          </w:p>
          <w:p>
            <w:pPr>
              <w:pStyle w:val="null3"/>
              <w:ind w:firstLine="420"/>
              <w:jc w:val="both"/>
            </w:pPr>
            <w:r>
              <w:rPr>
                <w:sz w:val="21"/>
                <w:color w:val="000000"/>
              </w:rPr>
              <w:t>3</w:t>
            </w:r>
            <w:r>
              <w:rPr>
                <w:sz w:val="21"/>
                <w:color w:val="000000"/>
              </w:rPr>
              <w:t>、支持各种数据源定义，用户可自行配置。</w:t>
            </w:r>
          </w:p>
          <w:p>
            <w:pPr>
              <w:pStyle w:val="null3"/>
              <w:ind w:firstLine="420"/>
              <w:jc w:val="both"/>
            </w:pPr>
            <w:r>
              <w:rPr>
                <w:sz w:val="21"/>
                <w:color w:val="000000"/>
              </w:rPr>
              <w:t>4</w:t>
            </w:r>
            <w:r>
              <w:rPr>
                <w:sz w:val="21"/>
                <w:color w:val="000000"/>
              </w:rPr>
              <w:t>、支持各种分摊参数自定义。</w:t>
            </w:r>
          </w:p>
          <w:p>
            <w:pPr>
              <w:pStyle w:val="null3"/>
              <w:ind w:firstLine="420"/>
              <w:jc w:val="both"/>
            </w:pPr>
            <w:r>
              <w:rPr>
                <w:sz w:val="21"/>
                <w:color w:val="000000"/>
              </w:rPr>
              <w:t>5</w:t>
            </w:r>
            <w:r>
              <w:rPr>
                <w:sz w:val="21"/>
                <w:color w:val="000000"/>
              </w:rPr>
              <w:t>、支持数据提取定时任务。</w:t>
            </w:r>
          </w:p>
          <w:p>
            <w:pPr>
              <w:pStyle w:val="null3"/>
              <w:ind w:firstLine="420"/>
              <w:jc w:val="both"/>
            </w:pPr>
            <w:r>
              <w:rPr>
                <w:sz w:val="21"/>
                <w:color w:val="000000"/>
              </w:rPr>
              <w:t>6</w:t>
            </w:r>
            <w:r>
              <w:rPr>
                <w:sz w:val="21"/>
                <w:color w:val="000000"/>
              </w:rPr>
              <w:t>、系统为开放性系统，可提供数据给第三方公司使用，不得使用任何加密手段限制用户使用。</w:t>
            </w:r>
          </w:p>
          <w:p>
            <w:pPr>
              <w:pStyle w:val="null3"/>
              <w:ind w:firstLine="420"/>
              <w:jc w:val="both"/>
            </w:pPr>
            <w:r>
              <w:rPr>
                <w:sz w:val="21"/>
                <w:color w:val="000000"/>
              </w:rPr>
              <w:t>7</w:t>
            </w:r>
            <w:r>
              <w:rPr>
                <w:sz w:val="21"/>
                <w:color w:val="000000"/>
              </w:rPr>
              <w:t>、从</w:t>
            </w:r>
            <w:r>
              <w:rPr>
                <w:sz w:val="21"/>
                <w:color w:val="000000"/>
              </w:rPr>
              <w:t>HIS</w:t>
            </w:r>
            <w:r>
              <w:rPr>
                <w:sz w:val="21"/>
                <w:color w:val="000000"/>
              </w:rPr>
              <w:t>系统、</w:t>
            </w:r>
            <w:r>
              <w:rPr>
                <w:sz w:val="21"/>
                <w:color w:val="000000"/>
              </w:rPr>
              <w:t>SPD</w:t>
            </w:r>
            <w:r>
              <w:rPr>
                <w:sz w:val="21"/>
                <w:color w:val="000000"/>
              </w:rPr>
              <w:t>系统、洗衣房系统、工资系统、药房系统、消毒供应中心系统、物流系统等相关系统等提取成本各项卫生材料、药品消耗、设备折旧、资产折旧、基建总务维修、被服洗涤费等其他成本数据等，支持对提取数据。</w:t>
            </w:r>
          </w:p>
          <w:p>
            <w:pPr>
              <w:pStyle w:val="null3"/>
              <w:ind w:firstLine="420"/>
              <w:jc w:val="both"/>
            </w:pPr>
            <w:r>
              <w:rPr>
                <w:sz w:val="21"/>
                <w:color w:val="000000"/>
              </w:rPr>
              <w:t>8</w:t>
            </w:r>
            <w:r>
              <w:rPr>
                <w:sz w:val="21"/>
                <w:color w:val="000000"/>
              </w:rPr>
              <w:t>、能够按资产卡片号提取相应科室的设备折旧、资产折旧、总务基建维修等数据，进行单独核算。对指定的公用设备、资产的折旧、维护费用，支持按各科实际使用次数或天数分摊成本。</w:t>
            </w:r>
          </w:p>
          <w:p>
            <w:pPr>
              <w:pStyle w:val="null3"/>
              <w:ind w:firstLine="420"/>
              <w:jc w:val="both"/>
            </w:pPr>
            <w:r>
              <w:rPr>
                <w:sz w:val="21"/>
                <w:color w:val="000000"/>
              </w:rPr>
              <w:t>9</w:t>
            </w:r>
            <w:r>
              <w:rPr>
                <w:sz w:val="21"/>
                <w:color w:val="000000"/>
              </w:rPr>
              <w:t>、支持</w:t>
            </w:r>
            <w:r>
              <w:rPr>
                <w:sz w:val="21"/>
                <w:color w:val="000000"/>
              </w:rPr>
              <w:t>SPD</w:t>
            </w:r>
            <w:r>
              <w:rPr>
                <w:sz w:val="21"/>
                <w:color w:val="000000"/>
              </w:rPr>
              <w:t>系统、物流系统按选定科室、选定项目提取数据，并按导入或其他系统提取数据进行分摊。</w:t>
            </w:r>
          </w:p>
          <w:p>
            <w:pPr>
              <w:pStyle w:val="null3"/>
              <w:ind w:firstLine="420"/>
              <w:jc w:val="both"/>
            </w:pPr>
            <w:r>
              <w:rPr>
                <w:sz w:val="21"/>
                <w:color w:val="000000"/>
              </w:rPr>
              <w:t>10</w:t>
            </w:r>
            <w:r>
              <w:rPr>
                <w:sz w:val="21"/>
                <w:color w:val="000000"/>
              </w:rPr>
              <w:t>、支持成本数据按设定的方案进行多次分摊，分摊后生成新的所有科室成本分项汇总表。</w:t>
            </w:r>
          </w:p>
          <w:p>
            <w:pPr>
              <w:pStyle w:val="null3"/>
              <w:ind w:firstLine="420"/>
              <w:jc w:val="both"/>
            </w:pPr>
            <w:r>
              <w:rPr>
                <w:sz w:val="21"/>
                <w:color w:val="000000"/>
              </w:rPr>
              <w:t>11</w:t>
            </w:r>
            <w:r>
              <w:rPr>
                <w:sz w:val="21"/>
                <w:color w:val="000000"/>
              </w:rPr>
              <w:t>、支持报表按自定义增减科室。</w:t>
            </w:r>
          </w:p>
          <w:p>
            <w:pPr>
              <w:pStyle w:val="null3"/>
              <w:ind w:firstLine="420"/>
              <w:jc w:val="both"/>
            </w:pPr>
            <w:r>
              <w:rPr>
                <w:sz w:val="21"/>
                <w:color w:val="000000"/>
              </w:rPr>
              <w:t>12</w:t>
            </w:r>
            <w:r>
              <w:rPr>
                <w:sz w:val="21"/>
                <w:color w:val="000000"/>
              </w:rPr>
              <w:t>、支持门诊、住院相同项目合并统计，支持合并后数据生成科室药比计算报表。</w:t>
            </w:r>
          </w:p>
          <w:p>
            <w:pPr>
              <w:pStyle w:val="null3"/>
              <w:ind w:firstLine="420"/>
              <w:jc w:val="both"/>
            </w:pPr>
            <w:r>
              <w:rPr>
                <w:sz w:val="21"/>
                <w:color w:val="000000"/>
              </w:rPr>
              <w:t>13</w:t>
            </w:r>
            <w:r>
              <w:rPr>
                <w:sz w:val="21"/>
                <w:color w:val="000000"/>
              </w:rPr>
              <w:t>、支持各科室、各项数据按选定任意会计期进行比较。</w:t>
            </w:r>
          </w:p>
          <w:p>
            <w:pPr>
              <w:pStyle w:val="null3"/>
              <w:ind w:firstLine="420"/>
              <w:jc w:val="both"/>
            </w:pPr>
            <w:r>
              <w:rPr>
                <w:sz w:val="21"/>
                <w:color w:val="000000"/>
              </w:rPr>
              <w:t>14</w:t>
            </w:r>
            <w:r>
              <w:rPr>
                <w:sz w:val="21"/>
                <w:color w:val="000000"/>
              </w:rPr>
              <w:t>、各项收入、成本数据汇总后生成包含收入、成本、结余、人数、人均结余、导入病案报表的工作量数据的各科室汇总报表。</w:t>
            </w:r>
          </w:p>
          <w:p>
            <w:pPr>
              <w:pStyle w:val="null3"/>
              <w:ind w:firstLine="420"/>
              <w:jc w:val="both"/>
            </w:pPr>
            <w:r>
              <w:rPr>
                <w:sz w:val="21"/>
                <w:color w:val="000000"/>
              </w:rPr>
              <w:t>15</w:t>
            </w:r>
            <w:r>
              <w:rPr>
                <w:sz w:val="21"/>
                <w:color w:val="000000"/>
              </w:rPr>
              <w:t>、财务科设定的报表，支持科室查询本科室住院、门诊数据。</w:t>
            </w:r>
          </w:p>
        </w:tc>
      </w:tr>
      <w:tr>
        <w:tc>
          <w:tcPr>
            <w:tcW w:type="dxa" w:w="884"/>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ind w:left="420"/>
              <w:jc w:val="center"/>
            </w:pPr>
            <w:r>
              <w:rPr>
                <w:sz w:val="21"/>
                <w:b/>
                <w:color w:val="000000"/>
              </w:rPr>
              <w:t>3.</w:t>
            </w:r>
          </w:p>
        </w:tc>
        <w:tc>
          <w:tcPr>
            <w:tcW w:type="dxa" w:w="739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sz w:val="21"/>
                <w:b/>
                <w:color w:val="000000"/>
              </w:rPr>
              <w:t>3</w:t>
            </w:r>
            <w:r>
              <w:rPr>
                <w:sz w:val="21"/>
                <w:b/>
                <w:color w:val="000000"/>
              </w:rPr>
              <w:t>.</w:t>
            </w:r>
            <w:r>
              <w:rPr>
                <w:sz w:val="21"/>
                <w:b/>
                <w:color w:val="000000"/>
              </w:rPr>
              <w:t>1</w:t>
            </w:r>
            <w:r>
              <w:rPr>
                <w:sz w:val="21"/>
                <w:b/>
                <w:color w:val="000000"/>
              </w:rPr>
              <w:t xml:space="preserve"> </w:t>
            </w:r>
            <w:r>
              <w:rPr>
                <w:sz w:val="21"/>
                <w:b/>
                <w:color w:val="000000"/>
              </w:rPr>
              <w:t>医院成本核算经济管理信息系统</w:t>
            </w:r>
          </w:p>
          <w:p>
            <w:pPr>
              <w:pStyle w:val="null3"/>
              <w:ind w:firstLine="420"/>
              <w:jc w:val="both"/>
            </w:pPr>
            <w:r>
              <w:rPr>
                <w:sz w:val="21"/>
                <w:color w:val="000000"/>
              </w:rPr>
              <w:t>实现为医院建立全成本核算的理论框架和任务体系、可以多任务、分会计期间定义成本核算方案。具体功能要求包括：编码规则设置、核算单元定义、成本项目定义、收入项目定义、内部服务项目定义、分摊流程及方法定义、院级费用分摊方案定义、科室间接成本分摊方案定义、收入核算方法设置等。</w:t>
            </w:r>
          </w:p>
          <w:p>
            <w:pPr>
              <w:pStyle w:val="null3"/>
              <w:jc w:val="both"/>
            </w:pPr>
            <w:r>
              <w:rPr>
                <w:sz w:val="21"/>
                <w:b/>
                <w:color w:val="000000"/>
              </w:rPr>
              <w:t>3</w:t>
            </w:r>
            <w:r>
              <w:rPr>
                <w:sz w:val="21"/>
                <w:b/>
                <w:color w:val="000000"/>
              </w:rPr>
              <w:t>.</w:t>
            </w:r>
            <w:r>
              <w:rPr>
                <w:sz w:val="21"/>
                <w:b/>
                <w:color w:val="000000"/>
              </w:rPr>
              <w:t>1</w:t>
            </w:r>
            <w:r>
              <w:rPr>
                <w:sz w:val="21"/>
                <w:b/>
                <w:color w:val="000000"/>
              </w:rPr>
              <w:t>.1 系统基础设置</w:t>
            </w:r>
          </w:p>
          <w:p>
            <w:pPr>
              <w:pStyle w:val="null3"/>
              <w:ind w:firstLine="420"/>
              <w:jc w:val="both"/>
            </w:pPr>
            <w:r>
              <w:rPr>
                <w:sz w:val="21"/>
                <w:color w:val="000000"/>
              </w:rPr>
              <w:t>编码规则设置：完成各类编码规则的定义。</w:t>
            </w:r>
          </w:p>
          <w:p>
            <w:pPr>
              <w:pStyle w:val="null3"/>
              <w:ind w:firstLine="420"/>
              <w:jc w:val="both"/>
            </w:pPr>
            <w:r>
              <w:rPr>
                <w:sz w:val="21"/>
                <w:color w:val="000000"/>
              </w:rPr>
              <w:t>核算单元定义：包括编码、名称、成本分类、会计分类、行政分类、业务分类、医学分类、成本分配方式、级次属性（成本核算单元、绩效考核单元）。划分基于医院的实际管理考核需要，划分层级不受限制。</w:t>
            </w:r>
          </w:p>
          <w:p>
            <w:pPr>
              <w:pStyle w:val="null3"/>
              <w:ind w:firstLine="420"/>
              <w:jc w:val="both"/>
            </w:pPr>
            <w:r>
              <w:rPr>
                <w:sz w:val="21"/>
                <w:color w:val="000000"/>
              </w:rPr>
              <w:t>成本项目定义：定义成本项目的代码、名称、核算分类、统计分类、分配方式、资本化属性、控制性态、变动性态（成本习性）、记账方式、会计分类、考核分类。满足《医院成本核算与管理规范》、新《医院会计制度》和《医院财务制度》的需要，考核分类满足医院考核分类需要。</w:t>
            </w:r>
          </w:p>
          <w:p>
            <w:pPr>
              <w:pStyle w:val="null3"/>
              <w:ind w:firstLine="420"/>
              <w:jc w:val="both"/>
            </w:pPr>
            <w:r>
              <w:rPr>
                <w:sz w:val="21"/>
                <w:color w:val="000000"/>
              </w:rPr>
              <w:t>系统需具备项目成本核算基础数据维护功能，包括基础档案、作业分类、作业字典库、成本动因维护、收费项目与开单</w:t>
            </w:r>
            <w:r>
              <w:rPr>
                <w:sz w:val="21"/>
                <w:color w:val="000000"/>
              </w:rPr>
              <w:t>\执行科室的对照关系维护、科室作业关系维护等。</w:t>
            </w:r>
          </w:p>
          <w:p>
            <w:pPr>
              <w:pStyle w:val="null3"/>
              <w:ind w:firstLine="420"/>
              <w:jc w:val="both"/>
            </w:pPr>
            <w:r>
              <w:rPr>
                <w:sz w:val="21"/>
                <w:color w:val="000000"/>
              </w:rPr>
              <w:t>▲数据采集平台：提供成本核算基础数据的采集平台。系统需支持通过成熟可靠的中间库接口技术，以及自定义的导入配置功能，可实现对于目前行业内主流HIS软件、财务软件、物流系统等软件的数据对接，提取成本核算所需的收支、工作量等数据，解决大量的手工操作问题。对于非结构化或无法取数的数据支持手工导入。</w:t>
            </w:r>
          </w:p>
          <w:p>
            <w:pPr>
              <w:pStyle w:val="null3"/>
              <w:ind w:firstLine="420"/>
              <w:jc w:val="both"/>
            </w:pPr>
            <w:r>
              <w:rPr>
                <w:sz w:val="21"/>
                <w:color w:val="000000"/>
              </w:rPr>
              <w:t>▲提供多算法、多方案的配置功能，包括收入分配配置、成本分摊配置、科室参数配置、成本属性配置，并实现多算法下多方案的核定和分摊计算操作，以用于不同核算用途的需要，并可进行方案间数据对比分析。</w:t>
            </w:r>
          </w:p>
          <w:p>
            <w:pPr>
              <w:pStyle w:val="null3"/>
              <w:ind w:firstLine="422"/>
              <w:jc w:val="both"/>
            </w:pPr>
            <w:r>
              <w:rPr>
                <w:sz w:val="21"/>
                <w:b/>
                <w:color w:val="000000"/>
              </w:rPr>
              <w:t>3</w:t>
            </w:r>
            <w:r>
              <w:rPr>
                <w:sz w:val="21"/>
                <w:b/>
                <w:color w:val="000000"/>
              </w:rPr>
              <w:t>.</w:t>
            </w:r>
            <w:r>
              <w:rPr>
                <w:sz w:val="21"/>
                <w:b/>
                <w:color w:val="000000"/>
              </w:rPr>
              <w:t>1</w:t>
            </w:r>
            <w:r>
              <w:rPr>
                <w:sz w:val="21"/>
                <w:b/>
                <w:color w:val="000000"/>
              </w:rPr>
              <w:t>.2科室成本管理系统</w:t>
            </w:r>
          </w:p>
          <w:p>
            <w:pPr>
              <w:pStyle w:val="null3"/>
              <w:ind w:firstLine="420"/>
              <w:jc w:val="both"/>
            </w:pPr>
            <w:r>
              <w:rPr>
                <w:sz w:val="21"/>
                <w:color w:val="000000"/>
              </w:rPr>
              <w:t>科室全成本分摊流程定义：系统支持全成本分摊流程的自定义，并内置符合政策的分摊流程。</w:t>
            </w:r>
          </w:p>
          <w:p>
            <w:pPr>
              <w:pStyle w:val="null3"/>
              <w:ind w:firstLine="420"/>
              <w:jc w:val="both"/>
            </w:pPr>
            <w:r>
              <w:rPr>
                <w:sz w:val="21"/>
                <w:color w:val="000000"/>
              </w:rPr>
              <w:t>全成本分摊方案设置：包括院级成本分摊方案设置和科室间接成本分摊设置。核算分摊方法可灵活设置科学、合理的参数，便于不同成本项目采取不同的归集分摊方法，诸如：按面积分摊、按人员分摊、按服务量分摊等。</w:t>
            </w:r>
          </w:p>
          <w:p>
            <w:pPr>
              <w:pStyle w:val="null3"/>
              <w:ind w:firstLine="422"/>
              <w:jc w:val="both"/>
            </w:pPr>
            <w:r>
              <w:rPr>
                <w:sz w:val="21"/>
                <w:b/>
                <w:color w:val="000000"/>
              </w:rPr>
              <w:t>（</w:t>
            </w:r>
            <w:r>
              <w:rPr>
                <w:sz w:val="21"/>
                <w:b/>
                <w:color w:val="000000"/>
              </w:rPr>
              <w:t>1）收入数据</w:t>
            </w:r>
          </w:p>
          <w:p>
            <w:pPr>
              <w:pStyle w:val="null3"/>
              <w:ind w:firstLine="420"/>
              <w:jc w:val="both"/>
            </w:pPr>
            <w:r>
              <w:rPr>
                <w:sz w:val="21"/>
                <w:color w:val="000000"/>
              </w:rPr>
              <w:t>对医疗收入数据和其它收入的数据进行维护，包括增加、修改、删除、归集、查询等各种功能，并提供收入数据的统计汇总；实现医疗收入数据分别按照收费明细、开单收入和执行收入分别采集并汇总并与总账收入进行核对校验。</w:t>
            </w:r>
          </w:p>
          <w:p>
            <w:pPr>
              <w:pStyle w:val="null3"/>
              <w:ind w:firstLine="420"/>
              <w:jc w:val="both"/>
            </w:pPr>
            <w:r>
              <w:rPr>
                <w:sz w:val="21"/>
                <w:color w:val="000000"/>
              </w:rPr>
              <w:t>▲工作量数据：对门诊工作量、住院工作量、医技工作量、内部服务工作量进行维护，包括增加、修改、删除、查询等。支持人员按实际工作量拆分成本，如住院天数、门诊天数等。</w:t>
            </w:r>
          </w:p>
          <w:p>
            <w:pPr>
              <w:pStyle w:val="null3"/>
              <w:ind w:firstLine="420"/>
              <w:jc w:val="both"/>
            </w:pPr>
            <w:r>
              <w:rPr>
                <w:sz w:val="21"/>
                <w:color w:val="000000"/>
              </w:rPr>
              <w:t>能够从</w:t>
            </w:r>
            <w:r>
              <w:rPr>
                <w:sz w:val="21"/>
                <w:color w:val="000000"/>
              </w:rPr>
              <w:t>HIS、财务核算等系统获取医院的医疗收入数据、财政、科教收入数据、其他收入数据等。</w:t>
            </w:r>
          </w:p>
          <w:p>
            <w:pPr>
              <w:pStyle w:val="null3"/>
              <w:ind w:firstLine="422"/>
              <w:jc w:val="both"/>
            </w:pPr>
            <w:r>
              <w:rPr>
                <w:sz w:val="21"/>
                <w:b/>
                <w:color w:val="000000"/>
              </w:rPr>
              <w:t>（</w:t>
            </w:r>
            <w:r>
              <w:rPr>
                <w:sz w:val="21"/>
                <w:b/>
                <w:color w:val="000000"/>
              </w:rPr>
              <w:t>2）成本数据</w:t>
            </w:r>
          </w:p>
          <w:p>
            <w:pPr>
              <w:pStyle w:val="null3"/>
              <w:ind w:firstLine="420"/>
              <w:jc w:val="both"/>
            </w:pPr>
            <w:r>
              <w:rPr>
                <w:sz w:val="21"/>
                <w:color w:val="000000"/>
              </w:rPr>
              <w:t>实现业务明细数据、成本归集后按照拆分规则进行批量拆分、反拆分；人力成本可以直接生成总账凭证以及凭证联查，保障总账与成本数据一致性。</w:t>
            </w:r>
          </w:p>
          <w:p>
            <w:pPr>
              <w:pStyle w:val="null3"/>
              <w:ind w:firstLine="422"/>
              <w:jc w:val="both"/>
            </w:pPr>
            <w:r>
              <w:rPr>
                <w:sz w:val="21"/>
                <w:b/>
                <w:color w:val="000000"/>
              </w:rPr>
              <w:t>（</w:t>
            </w:r>
            <w:r>
              <w:rPr>
                <w:sz w:val="21"/>
                <w:b/>
                <w:color w:val="000000"/>
              </w:rPr>
              <w:t>3）成本计算</w:t>
            </w:r>
          </w:p>
          <w:p>
            <w:pPr>
              <w:pStyle w:val="null3"/>
              <w:ind w:firstLine="420"/>
              <w:jc w:val="both"/>
            </w:pPr>
            <w:r>
              <w:rPr>
                <w:sz w:val="21"/>
                <w:color w:val="000000"/>
              </w:rPr>
              <w:t>支持对成本数据分摊前校验与分摊后结果校验，保证成本数据都可以全部分摊至临床科室。对分摊后的数据进行逻辑性检查，系统自动校验判断分摊结果是否平衡</w:t>
            </w:r>
          </w:p>
          <w:p>
            <w:pPr>
              <w:pStyle w:val="null3"/>
              <w:ind w:firstLine="420"/>
              <w:jc w:val="both"/>
            </w:pPr>
            <w:r>
              <w:rPr>
                <w:sz w:val="21"/>
                <w:color w:val="000000"/>
              </w:rPr>
              <w:t>支持对分摊结果计算对数检查，快速精准定位未分摊数据。</w:t>
            </w:r>
          </w:p>
          <w:p>
            <w:pPr>
              <w:pStyle w:val="null3"/>
              <w:ind w:firstLine="420"/>
              <w:jc w:val="both"/>
            </w:pPr>
            <w:r>
              <w:rPr>
                <w:sz w:val="21"/>
                <w:color w:val="000000"/>
              </w:rPr>
              <w:t>支持科室成本数据月结、反月结操作、查询功能。</w:t>
            </w:r>
          </w:p>
          <w:p>
            <w:pPr>
              <w:pStyle w:val="null3"/>
              <w:ind w:firstLine="422"/>
              <w:jc w:val="both"/>
            </w:pPr>
            <w:r>
              <w:rPr>
                <w:sz w:val="21"/>
                <w:b/>
                <w:color w:val="000000"/>
              </w:rPr>
              <w:t>（</w:t>
            </w:r>
            <w:r>
              <w:rPr>
                <w:sz w:val="21"/>
                <w:b/>
                <w:color w:val="000000"/>
              </w:rPr>
              <w:t>4）科室报表分析</w:t>
            </w:r>
          </w:p>
          <w:p>
            <w:pPr>
              <w:pStyle w:val="null3"/>
              <w:ind w:firstLine="420"/>
              <w:jc w:val="both"/>
            </w:pPr>
            <w:r>
              <w:rPr>
                <w:sz w:val="21"/>
                <w:color w:val="000000"/>
              </w:rPr>
              <w:t>能够满足医院目前</w:t>
            </w:r>
            <w:r>
              <w:rPr>
                <w:sz w:val="21"/>
                <w:color w:val="000000"/>
              </w:rPr>
              <w:t>“收入分析”、“成本分析”、“效益分析”等分析内容；</w:t>
            </w:r>
          </w:p>
          <w:p>
            <w:pPr>
              <w:pStyle w:val="null3"/>
              <w:ind w:firstLine="420"/>
              <w:jc w:val="both"/>
            </w:pPr>
            <w:r>
              <w:rPr>
                <w:sz w:val="21"/>
                <w:color w:val="000000"/>
              </w:rPr>
              <w:t>能分析到每一级核算单元在分摊过程中的直接成本与间接成本数据；</w:t>
            </w:r>
          </w:p>
          <w:p>
            <w:pPr>
              <w:pStyle w:val="null3"/>
              <w:ind w:firstLine="420"/>
              <w:jc w:val="both"/>
            </w:pPr>
            <w:r>
              <w:rPr>
                <w:sz w:val="21"/>
                <w:color w:val="000000"/>
              </w:rPr>
              <w:t>能够反映（门诊、住院各科室）成本的构成情况，并按成本项目明细列示，揭示各项目对各科室医疗成本的影响程度以及控制成本的目标，指导科室及诊疗组、护理组解决成本中的问题，可提供科室查询界面；</w:t>
            </w:r>
          </w:p>
          <w:p>
            <w:pPr>
              <w:pStyle w:val="null3"/>
              <w:ind w:firstLine="420"/>
              <w:jc w:val="both"/>
            </w:pPr>
            <w:r>
              <w:rPr>
                <w:sz w:val="21"/>
                <w:color w:val="000000"/>
              </w:rPr>
              <w:t>分析能够从不同属性、不同角度为成本控制、应用提供实际成本的成本额和成本率：如固定成本</w:t>
            </w:r>
            <w:r>
              <w:rPr>
                <w:sz w:val="21"/>
                <w:color w:val="000000"/>
              </w:rPr>
              <w:t>/变动成本、直接成本/间接成本、人力成本/材料成本/药品成本/其他成本；</w:t>
            </w:r>
          </w:p>
          <w:p>
            <w:pPr>
              <w:pStyle w:val="null3"/>
              <w:ind w:firstLine="420"/>
              <w:jc w:val="both"/>
            </w:pPr>
            <w:r>
              <w:rPr>
                <w:sz w:val="21"/>
                <w:color w:val="000000"/>
              </w:rPr>
              <w:t>实现床日成本及诊次成本的核算；</w:t>
            </w:r>
          </w:p>
          <w:p>
            <w:pPr>
              <w:pStyle w:val="null3"/>
              <w:ind w:firstLine="420"/>
              <w:jc w:val="both"/>
            </w:pPr>
            <w:r>
              <w:rPr>
                <w:sz w:val="21"/>
                <w:color w:val="000000"/>
              </w:rPr>
              <w:t>支持公立医院</w:t>
            </w:r>
            <w:r>
              <w:rPr>
                <w:sz w:val="21"/>
                <w:color w:val="000000"/>
              </w:rPr>
              <w:t>14张成本管理报表的自动生成，系统需具备灵活的自定义报表功能，满足医院未来扩展报表的要求。</w:t>
            </w:r>
          </w:p>
          <w:p>
            <w:pPr>
              <w:pStyle w:val="null3"/>
              <w:ind w:firstLine="422"/>
              <w:jc w:val="both"/>
            </w:pPr>
            <w:r>
              <w:rPr>
                <w:sz w:val="21"/>
                <w:b/>
                <w:color w:val="000000"/>
              </w:rPr>
              <w:t>（</w:t>
            </w:r>
            <w:r>
              <w:rPr>
                <w:sz w:val="21"/>
                <w:b/>
                <w:color w:val="000000"/>
              </w:rPr>
              <w:t>5</w:t>
            </w:r>
            <w:r>
              <w:rPr>
                <w:sz w:val="21"/>
                <w:b/>
                <w:color w:val="000000"/>
              </w:rPr>
              <w:t>）分摊计算管理</w:t>
            </w:r>
          </w:p>
          <w:p>
            <w:pPr>
              <w:pStyle w:val="null3"/>
              <w:ind w:firstLine="420"/>
              <w:jc w:val="both"/>
            </w:pPr>
            <w:r>
              <w:rPr>
                <w:sz w:val="21"/>
                <w:color w:val="000000"/>
              </w:rPr>
              <w:t>对每个成本项目灵活配置分摊规则和顺序，支持多重分摊，分摊指标包括各类收入、劳力、工作量、床日数等，可对分摊指标进行灵活设置和导入。设备、器械等成本项目可单独设置某个设备或器械的分摊科室和分摊指标，对指定的使用科室按指定条件进行分摊处理。</w:t>
            </w:r>
          </w:p>
          <w:p>
            <w:pPr>
              <w:pStyle w:val="null3"/>
              <w:ind w:firstLine="420"/>
              <w:jc w:val="both"/>
            </w:pPr>
            <w:r>
              <w:rPr>
                <w:sz w:val="21"/>
                <w:color w:val="000000"/>
              </w:rPr>
              <w:t>要求按照《医院财务制度》规定的</w:t>
            </w:r>
            <w:r>
              <w:rPr>
                <w:sz w:val="21"/>
                <w:color w:val="000000"/>
              </w:rPr>
              <w:t>“三级四类分摊法”对成本数据进行分摊，完成全成本核算工作，并能提供对医疗业务成本、医疗成本、医疗全成本、医院全成本的处理，分摊管理支持同一科室不同成本项目按不同的动因进行分摊，支持同级分摊、定向分摊，支持对分摊的数据进行校验，确保分摊结果的准确性。</w:t>
            </w:r>
          </w:p>
          <w:p>
            <w:pPr>
              <w:pStyle w:val="null3"/>
              <w:ind w:firstLine="422"/>
              <w:jc w:val="both"/>
            </w:pPr>
            <w:r>
              <w:rPr>
                <w:sz w:val="21"/>
                <w:b/>
                <w:color w:val="000000"/>
              </w:rPr>
              <w:t>（</w:t>
            </w:r>
            <w:r>
              <w:rPr>
                <w:sz w:val="21"/>
                <w:b/>
                <w:color w:val="000000"/>
              </w:rPr>
              <w:t>6</w:t>
            </w:r>
            <w:r>
              <w:rPr>
                <w:sz w:val="21"/>
                <w:b/>
                <w:color w:val="000000"/>
              </w:rPr>
              <w:t>）核算模型管理</w:t>
            </w:r>
          </w:p>
          <w:p>
            <w:pPr>
              <w:pStyle w:val="null3"/>
              <w:ind w:firstLine="420"/>
              <w:jc w:val="both"/>
            </w:pPr>
            <w:r>
              <w:rPr>
                <w:sz w:val="21"/>
                <w:color w:val="000000"/>
              </w:rPr>
              <w:t>核算模型需支持成本要素的分配方法，科室之间的定向关系设置以及科室院区之间的分摊关系管理。</w:t>
            </w:r>
          </w:p>
          <w:p>
            <w:pPr>
              <w:pStyle w:val="null3"/>
              <w:ind w:firstLine="422"/>
              <w:jc w:val="both"/>
            </w:pPr>
            <w:r>
              <w:rPr>
                <w:sz w:val="21"/>
                <w:b/>
                <w:color w:val="000000"/>
              </w:rPr>
              <w:t>（</w:t>
            </w:r>
            <w:r>
              <w:rPr>
                <w:sz w:val="21"/>
                <w:b/>
                <w:color w:val="000000"/>
              </w:rPr>
              <w:t>7</w:t>
            </w:r>
            <w:r>
              <w:rPr>
                <w:sz w:val="21"/>
                <w:b/>
                <w:color w:val="000000"/>
              </w:rPr>
              <w:t>）核算分期管理</w:t>
            </w:r>
          </w:p>
          <w:p>
            <w:pPr>
              <w:pStyle w:val="null3"/>
              <w:ind w:firstLine="420"/>
              <w:jc w:val="both"/>
            </w:pPr>
            <w:r>
              <w:rPr>
                <w:sz w:val="21"/>
                <w:color w:val="000000"/>
              </w:rPr>
              <w:t>支持对科室按成本条目进行分期分摊管理，可设置分摊参数，系统存档记录分摊数据并自动计入分摊区间的成本。</w:t>
            </w:r>
          </w:p>
          <w:p>
            <w:pPr>
              <w:pStyle w:val="null3"/>
              <w:ind w:firstLine="422"/>
              <w:jc w:val="both"/>
            </w:pPr>
            <w:r>
              <w:rPr>
                <w:sz w:val="21"/>
                <w:b/>
                <w:color w:val="000000"/>
              </w:rPr>
              <w:t>（</w:t>
            </w:r>
            <w:r>
              <w:rPr>
                <w:sz w:val="21"/>
                <w:b/>
                <w:color w:val="000000"/>
              </w:rPr>
              <w:t>8</w:t>
            </w:r>
            <w:r>
              <w:rPr>
                <w:sz w:val="21"/>
                <w:b/>
                <w:color w:val="000000"/>
              </w:rPr>
              <w:t>）成本预算</w:t>
            </w:r>
          </w:p>
          <w:p>
            <w:pPr>
              <w:pStyle w:val="null3"/>
              <w:ind w:firstLine="420"/>
              <w:jc w:val="both"/>
            </w:pPr>
            <w:r>
              <w:rPr>
                <w:sz w:val="21"/>
                <w:color w:val="000000"/>
              </w:rPr>
              <w:t>支持成本的预算管理，支持对于业务计划、成本预测、成本预算与执行分析的管理。成本预测可提供高低点预测、本量利预测、回归预测方法进行下期成本预算。</w:t>
            </w:r>
          </w:p>
          <w:p>
            <w:pPr>
              <w:pStyle w:val="null3"/>
              <w:ind w:firstLine="422"/>
              <w:jc w:val="both"/>
            </w:pPr>
            <w:r>
              <w:rPr>
                <w:sz w:val="21"/>
                <w:b/>
                <w:color w:val="000000"/>
              </w:rPr>
              <w:t>（</w:t>
            </w:r>
            <w:r>
              <w:rPr>
                <w:sz w:val="21"/>
                <w:b/>
                <w:color w:val="000000"/>
              </w:rPr>
              <w:t>9</w:t>
            </w:r>
            <w:r>
              <w:rPr>
                <w:sz w:val="21"/>
                <w:b/>
                <w:color w:val="000000"/>
              </w:rPr>
              <w:t>）成本考核</w:t>
            </w:r>
          </w:p>
          <w:p>
            <w:pPr>
              <w:pStyle w:val="null3"/>
              <w:ind w:firstLine="420"/>
              <w:jc w:val="both"/>
            </w:pPr>
            <w:r>
              <w:rPr>
                <w:sz w:val="21"/>
                <w:color w:val="000000"/>
              </w:rPr>
              <w:t>支持利用成本考核功能对成本的数据结果进行展示，包括收入数据、成本数据以及医疗收益数据。</w:t>
            </w:r>
          </w:p>
          <w:p>
            <w:pPr>
              <w:pStyle w:val="null3"/>
              <w:ind w:firstLine="422"/>
              <w:jc w:val="both"/>
            </w:pPr>
            <w:r>
              <w:rPr>
                <w:sz w:val="21"/>
                <w:b/>
                <w:color w:val="000000"/>
              </w:rPr>
              <w:t>（</w:t>
            </w:r>
            <w:r>
              <w:rPr>
                <w:sz w:val="21"/>
                <w:b/>
                <w:color w:val="000000"/>
              </w:rPr>
              <w:t>1</w:t>
            </w:r>
            <w:r>
              <w:rPr>
                <w:sz w:val="21"/>
                <w:b/>
                <w:color w:val="000000"/>
              </w:rPr>
              <w:t>0</w:t>
            </w:r>
            <w:r>
              <w:rPr>
                <w:sz w:val="21"/>
                <w:b/>
                <w:color w:val="000000"/>
              </w:rPr>
              <w:t>）成本分析功能</w:t>
            </w:r>
          </w:p>
          <w:p>
            <w:pPr>
              <w:pStyle w:val="null3"/>
              <w:ind w:firstLine="420"/>
              <w:jc w:val="both"/>
            </w:pPr>
            <w:r>
              <w:rPr>
                <w:sz w:val="21"/>
                <w:color w:val="000000"/>
              </w:rPr>
              <w:t>可提供收支余分析、科室分析、本量利分析、人力、药耗专题分析等综合分析功能。</w:t>
            </w:r>
          </w:p>
          <w:p>
            <w:pPr>
              <w:pStyle w:val="null3"/>
              <w:ind w:firstLine="422"/>
              <w:jc w:val="both"/>
            </w:pPr>
            <w:r>
              <w:rPr>
                <w:sz w:val="21"/>
                <w:b/>
                <w:color w:val="000000"/>
              </w:rPr>
              <w:t>（</w:t>
            </w:r>
            <w:r>
              <w:rPr>
                <w:sz w:val="21"/>
                <w:b/>
                <w:color w:val="000000"/>
              </w:rPr>
              <w:t>1</w:t>
            </w:r>
            <w:r>
              <w:rPr>
                <w:sz w:val="21"/>
                <w:b/>
                <w:color w:val="000000"/>
              </w:rPr>
              <w:t>1</w:t>
            </w:r>
            <w:r>
              <w:rPr>
                <w:sz w:val="21"/>
                <w:b/>
                <w:color w:val="000000"/>
              </w:rPr>
              <w:t>）成本监测</w:t>
            </w:r>
          </w:p>
          <w:p>
            <w:pPr>
              <w:pStyle w:val="null3"/>
              <w:ind w:firstLine="420"/>
              <w:jc w:val="both"/>
            </w:pPr>
            <w:r>
              <w:rPr>
                <w:sz w:val="21"/>
                <w:color w:val="000000"/>
              </w:rPr>
              <w:t>支持对科室成本项目进行数据监测，对异常数据进行提示预警。</w:t>
            </w:r>
          </w:p>
          <w:p>
            <w:pPr>
              <w:pStyle w:val="null3"/>
              <w:ind w:firstLine="420"/>
              <w:jc w:val="both"/>
            </w:pPr>
            <w:r>
              <w:rPr>
                <w:sz w:val="21"/>
                <w:color w:val="000000"/>
              </w:rPr>
              <w:t>支持对于医疗服务项目频次、门诊工作量、住院工作量、医院各科室成本、医院一次性医用耗材等进行监测。</w:t>
            </w:r>
          </w:p>
          <w:p>
            <w:pPr>
              <w:pStyle w:val="null3"/>
              <w:ind w:firstLine="422"/>
              <w:jc w:val="both"/>
            </w:pPr>
            <w:r>
              <w:rPr>
                <w:sz w:val="21"/>
                <w:b/>
                <w:color w:val="000000"/>
              </w:rPr>
              <w:t>（</w:t>
            </w:r>
            <w:r>
              <w:rPr>
                <w:sz w:val="21"/>
                <w:b/>
                <w:color w:val="000000"/>
              </w:rPr>
              <w:t>1</w:t>
            </w:r>
            <w:r>
              <w:rPr>
                <w:sz w:val="21"/>
                <w:b/>
                <w:color w:val="000000"/>
              </w:rPr>
              <w:t>2</w:t>
            </w:r>
            <w:r>
              <w:rPr>
                <w:sz w:val="21"/>
                <w:b/>
                <w:color w:val="000000"/>
              </w:rPr>
              <w:t>）成本查询功能</w:t>
            </w:r>
          </w:p>
          <w:p>
            <w:pPr>
              <w:pStyle w:val="null3"/>
              <w:ind w:firstLine="420"/>
              <w:jc w:val="both"/>
            </w:pPr>
            <w:r>
              <w:rPr>
                <w:sz w:val="21"/>
                <w:color w:val="000000"/>
              </w:rPr>
              <w:t>可提供科室查询界面，对科室成本明细进行查询和对比，自动生成对比图表。</w:t>
            </w:r>
          </w:p>
          <w:p>
            <w:pPr>
              <w:pStyle w:val="null3"/>
              <w:ind w:firstLine="422"/>
              <w:jc w:val="both"/>
            </w:pPr>
            <w:r>
              <w:rPr>
                <w:sz w:val="21"/>
                <w:b/>
                <w:color w:val="000000"/>
              </w:rPr>
              <w:t>（</w:t>
            </w:r>
            <w:r>
              <w:rPr>
                <w:sz w:val="21"/>
                <w:b/>
                <w:color w:val="000000"/>
              </w:rPr>
              <w:t>1</w:t>
            </w:r>
            <w:r>
              <w:rPr>
                <w:sz w:val="21"/>
                <w:b/>
                <w:color w:val="000000"/>
              </w:rPr>
              <w:t>3</w:t>
            </w:r>
            <w:r>
              <w:rPr>
                <w:sz w:val="21"/>
                <w:b/>
                <w:color w:val="000000"/>
              </w:rPr>
              <w:t>）成本重算功能</w:t>
            </w:r>
          </w:p>
          <w:p>
            <w:pPr>
              <w:pStyle w:val="null3"/>
              <w:ind w:firstLine="420"/>
              <w:jc w:val="both"/>
            </w:pPr>
            <w:r>
              <w:rPr>
                <w:sz w:val="21"/>
                <w:color w:val="000000"/>
              </w:rPr>
              <w:t>支持成本重算功能，可重新设置分摊规则对选择的区间进行核算，并可对每一次的成本核算结果进行存档。</w:t>
            </w:r>
          </w:p>
          <w:p>
            <w:pPr>
              <w:pStyle w:val="null3"/>
              <w:ind w:firstLine="422"/>
              <w:jc w:val="both"/>
            </w:pPr>
            <w:r>
              <w:rPr>
                <w:sz w:val="21"/>
                <w:b/>
                <w:color w:val="000000"/>
              </w:rPr>
              <w:t>（</w:t>
            </w:r>
            <w:r>
              <w:rPr>
                <w:sz w:val="21"/>
                <w:b/>
                <w:color w:val="000000"/>
              </w:rPr>
              <w:t>1</w:t>
            </w:r>
            <w:r>
              <w:rPr>
                <w:sz w:val="21"/>
                <w:b/>
                <w:color w:val="000000"/>
              </w:rPr>
              <w:t>4</w:t>
            </w:r>
            <w:r>
              <w:rPr>
                <w:sz w:val="21"/>
                <w:b/>
                <w:color w:val="000000"/>
              </w:rPr>
              <w:t>）分摊设置</w:t>
            </w:r>
          </w:p>
          <w:p>
            <w:pPr>
              <w:pStyle w:val="null3"/>
              <w:ind w:firstLine="420"/>
              <w:jc w:val="both"/>
            </w:pPr>
            <w:r>
              <w:rPr>
                <w:sz w:val="21"/>
                <w:color w:val="000000"/>
              </w:rPr>
              <w:t>自定义成本分摊级次及分摊流程，可按照科室分类定义分摊顺序，也可按照单独或指定的核算单元提取数据源并分摊到指定的科室或科室类别上。新增核算科室进行分摊定向关系设置时能够实现单科室批量设置。自定义各类成本项目在不同级次的分摊参数（收支配比、收入比例、执行收入比例、工作量、服务量、人员、面积等），支持某一科室不同成本项目采用不同参数进行分摊，支持同一成本项目在不同级次上采用不同参数进行分摊。</w:t>
            </w:r>
          </w:p>
          <w:p>
            <w:pPr>
              <w:pStyle w:val="null3"/>
              <w:ind w:firstLine="420"/>
              <w:jc w:val="both"/>
            </w:pPr>
            <w:r>
              <w:rPr>
                <w:sz w:val="21"/>
                <w:color w:val="000000"/>
              </w:rPr>
              <w:t>系统支持多院区（全院分摊、院内分摊）成本分摊。</w:t>
            </w:r>
          </w:p>
          <w:p>
            <w:pPr>
              <w:pStyle w:val="null3"/>
              <w:ind w:firstLine="420"/>
              <w:jc w:val="both"/>
            </w:pPr>
            <w:r>
              <w:rPr>
                <w:sz w:val="21"/>
                <w:color w:val="000000"/>
              </w:rPr>
              <w:t>系统支持对非临床科室的开单收入按自定义的参数分摊到临床科室。</w:t>
            </w:r>
          </w:p>
          <w:p>
            <w:pPr>
              <w:pStyle w:val="null3"/>
              <w:ind w:firstLine="420"/>
              <w:jc w:val="both"/>
            </w:pPr>
            <w:r>
              <w:rPr>
                <w:sz w:val="21"/>
                <w:color w:val="000000"/>
              </w:rPr>
              <w:t>采用四类三级分摊方法，将医院科室分为行政管理能类、医疗辅助医疗类、医疗技术类、临床服务类，并通过对各级分摊的方法设定，分别将全院的各项成本分项逐级分步骤的分摊到直接医疗科室，同时支持按照总额分摊与成本项目分摊。</w:t>
            </w:r>
          </w:p>
          <w:p>
            <w:pPr>
              <w:pStyle w:val="null3"/>
              <w:ind w:firstLine="420"/>
              <w:jc w:val="both"/>
            </w:pPr>
            <w:r>
              <w:rPr>
                <w:sz w:val="21"/>
                <w:color w:val="000000"/>
              </w:rPr>
              <w:t>支持同级科室或向下级科室定向分摊。</w:t>
            </w:r>
          </w:p>
          <w:p>
            <w:pPr>
              <w:pStyle w:val="null3"/>
              <w:ind w:firstLine="420"/>
              <w:jc w:val="both"/>
            </w:pPr>
            <w:r>
              <w:rPr>
                <w:sz w:val="21"/>
                <w:color w:val="000000"/>
              </w:rPr>
              <w:t>支持分摊计算前校验检查。</w:t>
            </w:r>
          </w:p>
          <w:p>
            <w:pPr>
              <w:pStyle w:val="null3"/>
              <w:ind w:firstLine="420"/>
              <w:jc w:val="both"/>
            </w:pPr>
            <w:r>
              <w:rPr>
                <w:sz w:val="21"/>
                <w:color w:val="000000"/>
              </w:rPr>
              <w:t>支持收入拆分、成本拆分，支持直接成本数据按人力成本、物资成本、资产成本、药品成本等进行明细拆分。</w:t>
            </w:r>
          </w:p>
          <w:p>
            <w:pPr>
              <w:pStyle w:val="null3"/>
              <w:ind w:firstLine="420"/>
              <w:jc w:val="both"/>
            </w:pPr>
            <w:r>
              <w:rPr>
                <w:sz w:val="21"/>
                <w:color w:val="000000"/>
              </w:rPr>
              <w:t>对</w:t>
            </w:r>
            <w:r>
              <w:rPr>
                <w:sz w:val="21"/>
                <w:color w:val="000000"/>
              </w:rPr>
              <w:t>“水、电、气费”等大用户科室，应遵循重要性原则，能够直接计量到相应的核算责任中心的，按照实际发生数，据实核算成本；无法单独计量的，以人员、面积或床位比例作为参数向全院分摊。</w:t>
            </w:r>
          </w:p>
          <w:p>
            <w:pPr>
              <w:pStyle w:val="null3"/>
              <w:ind w:firstLine="420"/>
              <w:jc w:val="both"/>
            </w:pPr>
            <w:r>
              <w:rPr>
                <w:sz w:val="21"/>
                <w:color w:val="000000"/>
              </w:rPr>
              <w:t>标准四类科室分摊模型支持自由化话灵活配置，满足医院对科室不同级次多级分摊要求。</w:t>
            </w:r>
          </w:p>
          <w:p>
            <w:pPr>
              <w:pStyle w:val="null3"/>
              <w:jc w:val="both"/>
            </w:pPr>
            <w:r>
              <w:rPr>
                <w:sz w:val="21"/>
                <w:b/>
                <w:color w:val="000000"/>
              </w:rPr>
              <w:t>3</w:t>
            </w:r>
            <w:r>
              <w:rPr>
                <w:sz w:val="21"/>
                <w:b/>
                <w:color w:val="000000"/>
              </w:rPr>
              <w:t>.</w:t>
            </w:r>
            <w:r>
              <w:rPr>
                <w:sz w:val="21"/>
                <w:b/>
                <w:color w:val="000000"/>
              </w:rPr>
              <w:t>1</w:t>
            </w:r>
            <w:r>
              <w:rPr>
                <w:sz w:val="21"/>
                <w:b/>
                <w:color w:val="000000"/>
              </w:rPr>
              <w:t>.3项目成本管理系统</w:t>
            </w:r>
          </w:p>
          <w:p>
            <w:pPr>
              <w:pStyle w:val="null3"/>
              <w:ind w:firstLine="420"/>
              <w:jc w:val="both"/>
            </w:pPr>
            <w:r>
              <w:rPr>
                <w:sz w:val="21"/>
                <w:color w:val="000000"/>
              </w:rPr>
              <w:t>建立项目成本核算管理体系，采用多种方法对临床单元和医技单元的诊疗项目成本进行核算。按计算内容不同，支持核算医疗服务项目医疗成本、医疗服务项目医疗全成本和医疗服务项目医院全成本。</w:t>
            </w:r>
          </w:p>
          <w:p>
            <w:pPr>
              <w:pStyle w:val="null3"/>
              <w:ind w:firstLine="422"/>
              <w:jc w:val="both"/>
            </w:pPr>
            <w:r>
              <w:rPr>
                <w:sz w:val="21"/>
                <w:b/>
                <w:color w:val="000000"/>
              </w:rPr>
              <w:t>（</w:t>
            </w:r>
            <w:r>
              <w:rPr>
                <w:sz w:val="21"/>
                <w:b/>
                <w:color w:val="000000"/>
              </w:rPr>
              <w:t>1）核算方法与核算模型</w:t>
            </w:r>
          </w:p>
          <w:p>
            <w:pPr>
              <w:pStyle w:val="null3"/>
              <w:ind w:firstLine="420"/>
              <w:jc w:val="both"/>
            </w:pPr>
            <w:r>
              <w:rPr>
                <w:sz w:val="21"/>
                <w:color w:val="000000"/>
              </w:rPr>
              <w:t>可根据核算方法的不同搭建不同的核算模型，应用比例系数法、作业成本法、项目点数法等方法，可进行直接成本和间接成本核算模型的搭建。</w:t>
            </w:r>
          </w:p>
          <w:p>
            <w:pPr>
              <w:pStyle w:val="null3"/>
              <w:ind w:firstLine="420"/>
              <w:jc w:val="both"/>
            </w:pPr>
            <w:r>
              <w:rPr>
                <w:sz w:val="21"/>
                <w:color w:val="000000"/>
              </w:rPr>
              <w:t>实现根据医院实际业务调研结果，记录数据调整规则与来源、结果，有助于业务数据的追溯。对新发生的收入数据，可以方便快速对其进行数据校准，降低人力调研成本。</w:t>
            </w:r>
          </w:p>
          <w:p>
            <w:pPr>
              <w:pStyle w:val="null3"/>
              <w:ind w:firstLine="420"/>
              <w:jc w:val="both"/>
            </w:pPr>
            <w:r>
              <w:rPr>
                <w:sz w:val="21"/>
                <w:color w:val="000000"/>
              </w:rPr>
              <w:t>要求从</w:t>
            </w:r>
            <w:r>
              <w:rPr>
                <w:sz w:val="21"/>
                <w:color w:val="000000"/>
              </w:rPr>
              <w:t>HIS系统提取医院医疗服务项目数据，确定医疗服务项目。通过标准项目与医院收费项目、标准材料与医院材料字典、标准设备字典与医院设备建立对应关系，在进行作业成本法的核算模型建立时，系统自动提示标准的参考值，结合医院实际情况建立医院的项目作业库。</w:t>
            </w:r>
          </w:p>
          <w:p>
            <w:pPr>
              <w:pStyle w:val="null3"/>
              <w:ind w:firstLine="420"/>
              <w:jc w:val="both"/>
            </w:pPr>
            <w:r>
              <w:rPr>
                <w:sz w:val="21"/>
                <w:color w:val="000000"/>
              </w:rPr>
              <w:t>项目实施阶段项目方须派顾问进场指导临床科室人员填写相关信息，包括操作人员人数（医生按职称分类）、操作时间、使用设备（对接医院物流系统获取设备信息）、不计价药品耗材（对接医院</w:t>
            </w:r>
            <w:r>
              <w:rPr>
                <w:sz w:val="21"/>
                <w:color w:val="000000"/>
              </w:rPr>
              <w:t>SPD系统获取耗材信息）及水电费用等信息，完成成本匹配。</w:t>
            </w:r>
          </w:p>
          <w:p>
            <w:pPr>
              <w:pStyle w:val="null3"/>
              <w:ind w:firstLine="420"/>
              <w:jc w:val="both"/>
            </w:pPr>
            <w:r>
              <w:rPr>
                <w:sz w:val="21"/>
                <w:color w:val="000000"/>
              </w:rPr>
              <w:t>系统支持收费项目模型快速复制功能，帮助实现医院不同科室同一收费项目模型快速批量配置。</w:t>
            </w:r>
          </w:p>
          <w:p>
            <w:pPr>
              <w:pStyle w:val="null3"/>
              <w:ind w:firstLine="420"/>
              <w:jc w:val="both"/>
            </w:pPr>
            <w:r>
              <w:rPr>
                <w:sz w:val="21"/>
                <w:color w:val="000000"/>
              </w:rPr>
              <w:t>系统支持根据医院实际业务调研结果，自动记录数据调整规则与来源、结果，有助于业务数据的追溯。对新发生的收入数据，可以方便快速对其进行数据校准，降低人力调研成本。</w:t>
            </w:r>
          </w:p>
          <w:p>
            <w:pPr>
              <w:pStyle w:val="null3"/>
              <w:ind w:firstLine="420"/>
              <w:jc w:val="both"/>
            </w:pPr>
            <w:r>
              <w:rPr>
                <w:sz w:val="21"/>
                <w:color w:val="000000"/>
              </w:rPr>
              <w:t>系统支持收入数据执行科室手工调整、规则调整。满足各种不同业务需求场景。</w:t>
            </w:r>
          </w:p>
          <w:p>
            <w:pPr>
              <w:pStyle w:val="null3"/>
              <w:ind w:firstLine="420"/>
              <w:jc w:val="both"/>
            </w:pPr>
            <w:r>
              <w:rPr>
                <w:sz w:val="21"/>
                <w:color w:val="000000"/>
              </w:rPr>
              <w:t>比例系数法提供支持成本项目按照多种自定义分摊比例组合进行核算医疗服务项目成本。</w:t>
            </w:r>
          </w:p>
          <w:p>
            <w:pPr>
              <w:pStyle w:val="null3"/>
              <w:ind w:firstLine="420"/>
              <w:jc w:val="both"/>
            </w:pPr>
            <w:r>
              <w:rPr>
                <w:sz w:val="21"/>
                <w:color w:val="000000"/>
              </w:rPr>
              <w:t>支持系统多维度不同的核算需求，比例系数法（直接模型）支持与作业成本法（直接模型）数据资源共享。</w:t>
            </w:r>
          </w:p>
          <w:p>
            <w:pPr>
              <w:pStyle w:val="null3"/>
              <w:ind w:firstLine="420"/>
              <w:jc w:val="both"/>
            </w:pPr>
            <w:r>
              <w:rPr>
                <w:sz w:val="21"/>
                <w:color w:val="000000"/>
              </w:rPr>
              <w:t>系统实现收入数据执行科室手工调整、规则调整。满足各种不同业务需求场景。</w:t>
            </w:r>
          </w:p>
          <w:p>
            <w:pPr>
              <w:pStyle w:val="null3"/>
              <w:ind w:firstLine="420"/>
              <w:jc w:val="both"/>
            </w:pPr>
            <w:r>
              <w:rPr>
                <w:sz w:val="21"/>
                <w:color w:val="000000"/>
              </w:rPr>
              <w:t>系统实现核算模型对所核算的医疗服务项目从多视角、多维度进行快速资源配置，避免资源配置缺失遗漏，从而保证直接模型的配置的准确性。</w:t>
            </w:r>
          </w:p>
          <w:p>
            <w:pPr>
              <w:pStyle w:val="null3"/>
              <w:ind w:firstLine="420"/>
              <w:jc w:val="both"/>
            </w:pPr>
            <w:r>
              <w:rPr>
                <w:sz w:val="21"/>
                <w:color w:val="000000"/>
              </w:rPr>
              <w:t>项目点数法支持建立点数法测算模型，按照基于卫生资源消耗相对价值的理论对医疗服务项目进行分项点数测算，实现科学测算，并对医疗服务项目点数进行动态管理。提供项目成本点数设置、计算、导入及维护的管理。同时支持建立医疗服务项目人员工作量、专用设备、专用耗材等成本点数参数调研平台。调研完成后将形成项目点数库，为后续项目成本计算提供计算依据。</w:t>
            </w:r>
          </w:p>
          <w:p>
            <w:pPr>
              <w:pStyle w:val="null3"/>
              <w:ind w:firstLine="422"/>
              <w:jc w:val="both"/>
            </w:pPr>
            <w:r>
              <w:rPr>
                <w:sz w:val="21"/>
                <w:b/>
                <w:color w:val="000000"/>
              </w:rPr>
              <w:t>（</w:t>
            </w:r>
            <w:r>
              <w:rPr>
                <w:sz w:val="21"/>
                <w:b/>
                <w:color w:val="000000"/>
              </w:rPr>
              <w:t>2）成本计算</w:t>
            </w:r>
          </w:p>
          <w:p>
            <w:pPr>
              <w:pStyle w:val="null3"/>
              <w:ind w:firstLine="420"/>
              <w:jc w:val="both"/>
            </w:pPr>
            <w:r>
              <w:rPr>
                <w:sz w:val="21"/>
                <w:color w:val="000000"/>
              </w:rPr>
              <w:t>根据选用的不同核算方法，对直接成本和间接成本进行计算，进而计算出医疗项目成本。</w:t>
            </w:r>
          </w:p>
          <w:p>
            <w:pPr>
              <w:pStyle w:val="null3"/>
              <w:ind w:firstLine="422"/>
              <w:jc w:val="both"/>
            </w:pPr>
            <w:r>
              <w:rPr>
                <w:sz w:val="21"/>
                <w:b/>
                <w:color w:val="000000"/>
              </w:rPr>
              <w:t>（</w:t>
            </w:r>
            <w:r>
              <w:rPr>
                <w:sz w:val="21"/>
                <w:b/>
                <w:color w:val="000000"/>
              </w:rPr>
              <w:t>3）成本报表与分析</w:t>
            </w:r>
          </w:p>
          <w:p>
            <w:pPr>
              <w:pStyle w:val="null3"/>
              <w:ind w:firstLine="420"/>
              <w:jc w:val="both"/>
            </w:pPr>
            <w:r>
              <w:rPr>
                <w:sz w:val="21"/>
                <w:color w:val="000000"/>
              </w:rPr>
              <w:t>提供收费大类明细表、项目成本明细表、项目成本差异表、项目成本保本分析表、项目成本构成明细表、科室项目成本差异表、科室项目成本保本分析表、科室项目成本构成分析表等报表。</w:t>
            </w:r>
          </w:p>
          <w:p>
            <w:pPr>
              <w:pStyle w:val="null3"/>
              <w:ind w:firstLine="420"/>
              <w:jc w:val="both"/>
            </w:pPr>
            <w:r>
              <w:rPr>
                <w:sz w:val="21"/>
                <w:color w:val="000000"/>
              </w:rPr>
              <w:t>项目成本匹配完成后，可查看单个项目收费单价、数量、项目总收入、总成本、成本明细项（包括医疗成本、医疗全成本及医院全成本）及项目盈亏情况。生成成本报表，支持从成本收益、成本分析、成本结构、成本控制等角度对项目成本核算结果进行分析。通过医疗服务项目的实际成本与目标成本的对比分析，对科室人工成本效益，物资成本效益、设备成本效益进行精细化的分析，对差异大的成本项目提出预警，为医院成本控制提供数据依据。</w:t>
            </w:r>
          </w:p>
          <w:p>
            <w:pPr>
              <w:pStyle w:val="null3"/>
              <w:ind w:firstLine="420"/>
              <w:jc w:val="both"/>
            </w:pPr>
            <w:r>
              <w:rPr>
                <w:sz w:val="21"/>
                <w:color w:val="000000"/>
              </w:rPr>
              <w:t>要求可对比分析同一个服务项目在不同执行科室的成本对比。</w:t>
            </w:r>
          </w:p>
          <w:p>
            <w:pPr>
              <w:pStyle w:val="null3"/>
              <w:ind w:firstLine="420"/>
              <w:jc w:val="both"/>
            </w:pPr>
            <w:r>
              <w:rPr>
                <w:sz w:val="21"/>
                <w:color w:val="000000"/>
              </w:rPr>
              <w:t>可根据医院要求进行自定义项目成本分析表。</w:t>
            </w:r>
          </w:p>
          <w:p>
            <w:pPr>
              <w:pStyle w:val="null3"/>
              <w:ind w:firstLine="420"/>
              <w:jc w:val="both"/>
            </w:pPr>
            <w:r>
              <w:rPr>
                <w:sz w:val="21"/>
                <w:color w:val="000000"/>
              </w:rPr>
              <w:t>所有报表均可实现导出</w:t>
            </w:r>
            <w:r>
              <w:rPr>
                <w:sz w:val="21"/>
                <w:color w:val="000000"/>
              </w:rPr>
              <w:t>EXCEL、PDF格式。</w:t>
            </w:r>
          </w:p>
          <w:p>
            <w:pPr>
              <w:pStyle w:val="null3"/>
              <w:ind w:firstLine="422"/>
              <w:jc w:val="both"/>
            </w:pPr>
            <w:r>
              <w:rPr>
                <w:sz w:val="21"/>
                <w:b/>
                <w:color w:val="000000"/>
              </w:rPr>
              <w:t>3</w:t>
            </w:r>
            <w:r>
              <w:rPr>
                <w:sz w:val="21"/>
                <w:b/>
                <w:color w:val="000000"/>
              </w:rPr>
              <w:t>.</w:t>
            </w:r>
            <w:r>
              <w:rPr>
                <w:sz w:val="21"/>
                <w:b/>
                <w:color w:val="000000"/>
              </w:rPr>
              <w:t>1</w:t>
            </w:r>
            <w:r>
              <w:rPr>
                <w:sz w:val="21"/>
                <w:b/>
                <w:color w:val="000000"/>
              </w:rPr>
              <w:t>.4 病种成本管理系统</w:t>
            </w:r>
          </w:p>
          <w:p>
            <w:pPr>
              <w:pStyle w:val="null3"/>
              <w:ind w:firstLine="420"/>
              <w:jc w:val="both"/>
            </w:pPr>
            <w:r>
              <w:rPr>
                <w:sz w:val="21"/>
                <w:color w:val="000000"/>
              </w:rPr>
              <w:t>医院实行病种成本核算的目的是通过核算病种成本，正确计算各项病种服务的实际消耗和支出，通过核算过程及结果，寻找医疗资源和医疗服务流程优化的途径，根据数据分析找到内部费用的控制点，建立一套可行、可用、高效的成本管控的方法体系。</w:t>
            </w:r>
          </w:p>
          <w:p>
            <w:pPr>
              <w:pStyle w:val="null3"/>
              <w:ind w:firstLine="420"/>
              <w:jc w:val="both"/>
            </w:pPr>
            <w:r>
              <w:rPr>
                <w:sz w:val="21"/>
                <w:color w:val="000000"/>
              </w:rPr>
              <w:t>实现基于项目成本核算结果按照临床路径叠加的项目叠加法核算病种成本及基于科室成本采用成本收入比法直接计算病种成本的两种病种成本核算方式。</w:t>
            </w:r>
          </w:p>
          <w:p>
            <w:pPr>
              <w:pStyle w:val="null3"/>
              <w:ind w:firstLine="422"/>
              <w:jc w:val="both"/>
            </w:pPr>
            <w:r>
              <w:rPr>
                <w:sz w:val="21"/>
                <w:b/>
                <w:color w:val="000000"/>
              </w:rPr>
              <w:t>项目叠加法</w:t>
            </w:r>
          </w:p>
          <w:p>
            <w:pPr>
              <w:pStyle w:val="null3"/>
              <w:ind w:firstLine="420"/>
              <w:jc w:val="both"/>
            </w:pPr>
            <w:r>
              <w:rPr>
                <w:sz w:val="21"/>
                <w:color w:val="000000"/>
              </w:rPr>
              <w:t>以病种为核算单元，采用项目叠加法按期核算医院病种成本。对医院病种的收入成本和收益情况进行深入成本分析，为医院优化科室诊疗结构，提升临床诊疗能力的同时有效控制成本提供经济方面的依据。通过核算病种成本，正确计算各项病种服务的实际消耗和支出，通过核算过程及结果，寻找医疗资源和医疗服务流程优化的途径，根据数据分析找到内部费用的控制点。</w:t>
            </w:r>
          </w:p>
          <w:p>
            <w:pPr>
              <w:pStyle w:val="null3"/>
              <w:ind w:firstLine="420"/>
              <w:jc w:val="both"/>
            </w:pPr>
            <w:r>
              <w:rPr>
                <w:sz w:val="21"/>
                <w:color w:val="000000"/>
              </w:rPr>
              <w:t>具体需要实现的功能如下：</w:t>
            </w:r>
          </w:p>
          <w:p>
            <w:pPr>
              <w:pStyle w:val="null3"/>
              <w:ind w:firstLine="422"/>
              <w:jc w:val="both"/>
            </w:pPr>
            <w:r>
              <w:rPr>
                <w:sz w:val="21"/>
                <w:b/>
                <w:color w:val="000000"/>
              </w:rPr>
              <w:t>（</w:t>
            </w:r>
            <w:r>
              <w:rPr>
                <w:sz w:val="21"/>
                <w:b/>
                <w:color w:val="000000"/>
              </w:rPr>
              <w:t>1）基础数据</w:t>
            </w:r>
          </w:p>
          <w:p>
            <w:pPr>
              <w:pStyle w:val="null3"/>
              <w:ind w:firstLine="420"/>
              <w:jc w:val="both"/>
            </w:pPr>
            <w:r>
              <w:rPr>
                <w:sz w:val="21"/>
                <w:color w:val="000000"/>
              </w:rPr>
              <w:t>按照</w:t>
            </w:r>
            <w:r>
              <w:rPr>
                <w:sz w:val="21"/>
                <w:color w:val="000000"/>
              </w:rPr>
              <w:t>ICD10、ICD9以及医院病种分型的特征要求，对医院病种进行分类定义，实现多级次病种管理，实现多维度分型管理。对病人的数据进行维护，具体包括：病人病案首页数据、病人病历收费明细数据，以及添加、修改、删除、查询等功能。</w:t>
            </w:r>
          </w:p>
          <w:p>
            <w:pPr>
              <w:pStyle w:val="null3"/>
              <w:ind w:firstLine="422"/>
              <w:jc w:val="both"/>
            </w:pPr>
            <w:r>
              <w:rPr>
                <w:sz w:val="21"/>
                <w:b/>
                <w:color w:val="000000"/>
              </w:rPr>
              <w:t>（</w:t>
            </w:r>
            <w:r>
              <w:rPr>
                <w:sz w:val="21"/>
                <w:b/>
                <w:color w:val="000000"/>
              </w:rPr>
              <w:t>2）病种核算模型配置</w:t>
            </w:r>
          </w:p>
          <w:p>
            <w:pPr>
              <w:pStyle w:val="null3"/>
              <w:ind w:firstLine="420"/>
              <w:jc w:val="both"/>
            </w:pPr>
            <w:r>
              <w:rPr>
                <w:sz w:val="21"/>
                <w:color w:val="000000"/>
              </w:rPr>
              <w:t>采用项目叠加法进行病种成本核算，建立病种成本核算模型，包括数据模型和核算流程，平衡数据存储能力和流程运算效率，实现最优化结构。实现科室病种成本、院级病种成本、标准临床路径病种成本等内容。</w:t>
            </w:r>
          </w:p>
          <w:p>
            <w:pPr>
              <w:pStyle w:val="null3"/>
              <w:ind w:firstLine="422"/>
              <w:jc w:val="both"/>
            </w:pPr>
            <w:r>
              <w:rPr>
                <w:sz w:val="21"/>
                <w:b/>
                <w:color w:val="000000"/>
              </w:rPr>
              <w:t>（</w:t>
            </w:r>
            <w:r>
              <w:rPr>
                <w:sz w:val="21"/>
                <w:b/>
                <w:color w:val="000000"/>
              </w:rPr>
              <w:t>3）项目成本归集</w:t>
            </w:r>
          </w:p>
          <w:p>
            <w:pPr>
              <w:pStyle w:val="null3"/>
              <w:ind w:firstLine="420"/>
              <w:jc w:val="both"/>
            </w:pPr>
            <w:r>
              <w:rPr>
                <w:sz w:val="21"/>
                <w:color w:val="000000"/>
              </w:rPr>
              <w:t>归集医院当期项目成本数据，对病历收费项目的成本进行维护，收费项目具体包括：材料类收费项目、药品类收费项目、医疗项目等。</w:t>
            </w:r>
          </w:p>
          <w:p>
            <w:pPr>
              <w:pStyle w:val="null3"/>
              <w:ind w:firstLine="422"/>
              <w:jc w:val="both"/>
            </w:pPr>
            <w:r>
              <w:rPr>
                <w:sz w:val="21"/>
                <w:b/>
                <w:color w:val="000000"/>
              </w:rPr>
              <w:t>（</w:t>
            </w:r>
            <w:r>
              <w:rPr>
                <w:sz w:val="21"/>
                <w:b/>
                <w:color w:val="000000"/>
              </w:rPr>
              <w:t>4）病种成本计算</w:t>
            </w:r>
          </w:p>
          <w:p>
            <w:pPr>
              <w:pStyle w:val="null3"/>
              <w:ind w:firstLine="420"/>
              <w:jc w:val="both"/>
            </w:pPr>
            <w:r>
              <w:rPr>
                <w:sz w:val="21"/>
                <w:color w:val="000000"/>
              </w:rPr>
              <w:t>支持按照给定的规则筛选样本病历数据，计算出每个病人的成本。支持对病人病种成本、科室病种成本、全院病种成本、临床路径病种成本进行计算、查询。</w:t>
            </w:r>
          </w:p>
          <w:p>
            <w:pPr>
              <w:pStyle w:val="null3"/>
              <w:ind w:firstLine="422"/>
              <w:jc w:val="both"/>
            </w:pPr>
            <w:r>
              <w:rPr>
                <w:sz w:val="21"/>
                <w:b/>
                <w:color w:val="000000"/>
              </w:rPr>
              <w:t>成本收入比法</w:t>
            </w:r>
          </w:p>
          <w:p>
            <w:pPr>
              <w:pStyle w:val="null3"/>
              <w:ind w:firstLine="420"/>
              <w:jc w:val="both"/>
            </w:pPr>
            <w:r>
              <w:rPr>
                <w:sz w:val="21"/>
                <w:color w:val="000000"/>
              </w:rPr>
              <w:t>根据</w:t>
            </w:r>
            <w:r>
              <w:rPr>
                <w:sz w:val="21"/>
                <w:color w:val="000000"/>
              </w:rPr>
              <w:t>“医疗费用必然伴随着资源消耗，资源消耗必然伴随成本支出”，假设医疗机构各成本中心存在固定的成本收入比 （Cost-to-Charge Ratio， CCR），以此为标准，将不同类型的医疗费用整合到成本单元，最后得出不同病种的成本。</w:t>
            </w:r>
          </w:p>
          <w:p>
            <w:pPr>
              <w:pStyle w:val="null3"/>
              <w:ind w:firstLine="420"/>
              <w:jc w:val="both"/>
            </w:pPr>
            <w:r>
              <w:rPr>
                <w:sz w:val="21"/>
                <w:color w:val="000000"/>
              </w:rPr>
              <w:t>系统能实现按时间区间、按照医院财务制度关于病种成本核算的原则与要求，建立病种成本核算的基本框架并计算医院的全部住院病种成本。</w:t>
            </w:r>
          </w:p>
          <w:p>
            <w:pPr>
              <w:pStyle w:val="null3"/>
              <w:ind w:firstLine="420"/>
              <w:jc w:val="both"/>
            </w:pPr>
            <w:r>
              <w:rPr>
                <w:sz w:val="21"/>
                <w:color w:val="000000"/>
              </w:rPr>
              <w:t>能对接病种分组结果，建立服务单元、服务项目等基础信息，根据病种成本核算流程，构建病种成本核算模型，为病种成本核算提供计算基础。</w:t>
            </w:r>
          </w:p>
          <w:p>
            <w:pPr>
              <w:pStyle w:val="null3"/>
              <w:ind w:firstLine="420"/>
              <w:jc w:val="both"/>
            </w:pPr>
            <w:r>
              <w:rPr>
                <w:sz w:val="21"/>
                <w:color w:val="000000"/>
              </w:rPr>
              <w:t>建立与外部系统的数据连接，能够采集病案信息，包括基本信息、第一诊断、主要操作、住院天数、费用结构等、收入数据、成本数据等数据信息，为病种成本核算提供数据来源。</w:t>
            </w:r>
          </w:p>
          <w:p>
            <w:pPr>
              <w:pStyle w:val="null3"/>
              <w:jc w:val="both"/>
            </w:pPr>
            <w:r>
              <w:rPr>
                <w:sz w:val="21"/>
                <w:b/>
                <w:color w:val="000000"/>
              </w:rPr>
              <w:t>3</w:t>
            </w:r>
            <w:r>
              <w:rPr>
                <w:sz w:val="21"/>
                <w:b/>
                <w:color w:val="000000"/>
              </w:rPr>
              <w:t>.</w:t>
            </w:r>
            <w:r>
              <w:rPr>
                <w:sz w:val="21"/>
                <w:b/>
                <w:color w:val="000000"/>
              </w:rPr>
              <w:t>1</w:t>
            </w:r>
            <w:r>
              <w:rPr>
                <w:sz w:val="21"/>
                <w:b/>
                <w:color w:val="000000"/>
              </w:rPr>
              <w:t>.5报表查询</w:t>
            </w:r>
          </w:p>
          <w:p>
            <w:pPr>
              <w:pStyle w:val="null3"/>
              <w:ind w:firstLine="420"/>
            </w:pPr>
            <w:r>
              <w:rPr>
                <w:sz w:val="21"/>
                <w:color w:val="000000"/>
              </w:rPr>
              <w:t>系统须具备灵活的自定义报表功能，满足医院未来扩展报表的要求。</w:t>
            </w:r>
          </w:p>
          <w:p>
            <w:pPr>
              <w:pStyle w:val="null3"/>
              <w:ind w:firstLine="420"/>
            </w:pPr>
            <w:r>
              <w:rPr>
                <w:sz w:val="21"/>
                <w:color w:val="000000"/>
              </w:rPr>
              <w:t>▲按照病人、科室、院级的单位成本、收入构成、成本构成、单位收益等多纬度对成本数据进行查询分析。</w:t>
            </w:r>
          </w:p>
          <w:p>
            <w:pPr>
              <w:pStyle w:val="null3"/>
              <w:ind w:firstLine="420"/>
            </w:pPr>
            <w:r>
              <w:rPr>
                <w:sz w:val="21"/>
                <w:color w:val="000000"/>
              </w:rPr>
              <w:t>按照实际临床路径，临床路径对病种进行成本分析。能分析到每个患者、每个诊疗成本项目的成本数据；能够应用多种分析方法对病种进行分析，寻找成本控制点，为管理者提供分析决策、控制的信息。</w:t>
            </w:r>
          </w:p>
          <w:p>
            <w:pPr>
              <w:pStyle w:val="null3"/>
              <w:ind w:firstLine="420"/>
            </w:pPr>
            <w:r>
              <w:rPr>
                <w:sz w:val="21"/>
                <w:color w:val="000000"/>
              </w:rPr>
              <w:t>报表数据包括但不限于：</w:t>
            </w:r>
          </w:p>
          <w:p>
            <w:pPr>
              <w:pStyle w:val="null3"/>
              <w:ind w:firstLine="420"/>
            </w:pPr>
            <w:r>
              <w:rPr>
                <w:sz w:val="21"/>
                <w:color w:val="000000"/>
              </w:rPr>
              <w:t>（</w:t>
            </w:r>
            <w:r>
              <w:rPr>
                <w:sz w:val="21"/>
                <w:color w:val="000000"/>
              </w:rPr>
              <w:t>1）病种汇总统计表：从CMI维度统计查看全院的病例情况及收益状况；</w:t>
            </w:r>
          </w:p>
          <w:p>
            <w:pPr>
              <w:pStyle w:val="null3"/>
              <w:ind w:firstLine="420"/>
            </w:pPr>
            <w:r>
              <w:rPr>
                <w:sz w:val="21"/>
                <w:color w:val="000000"/>
              </w:rPr>
              <w:t>（</w:t>
            </w:r>
            <w:r>
              <w:rPr>
                <w:sz w:val="21"/>
                <w:color w:val="000000"/>
              </w:rPr>
              <w:t>2）科室TOP x：收入前x科室收益状况；</w:t>
            </w:r>
          </w:p>
          <w:p>
            <w:pPr>
              <w:pStyle w:val="null3"/>
              <w:ind w:firstLine="420"/>
            </w:pPr>
            <w:r>
              <w:rPr>
                <w:sz w:val="21"/>
                <w:color w:val="000000"/>
              </w:rPr>
              <w:t>（</w:t>
            </w:r>
            <w:r>
              <w:rPr>
                <w:sz w:val="21"/>
                <w:color w:val="000000"/>
              </w:rPr>
              <w:t>3）科室统计表：科室维度统计病种数据、科室收益状况；点击科室链接可查看具体某各科室病种病例数量、病种收益状况；</w:t>
            </w:r>
          </w:p>
          <w:p>
            <w:pPr>
              <w:pStyle w:val="null3"/>
              <w:ind w:firstLine="420"/>
            </w:pPr>
            <w:r>
              <w:rPr>
                <w:sz w:val="21"/>
                <w:color w:val="000000"/>
              </w:rPr>
              <w:t>（</w:t>
            </w:r>
            <w:r>
              <w:rPr>
                <w:sz w:val="21"/>
                <w:color w:val="000000"/>
              </w:rPr>
              <w:t>4）病种数据明细表：病种明细数据表查看个人成本、收入、收益等状况；</w:t>
            </w:r>
          </w:p>
          <w:p>
            <w:pPr>
              <w:pStyle w:val="null3"/>
              <w:ind w:firstLine="420"/>
            </w:pPr>
            <w:r>
              <w:rPr>
                <w:sz w:val="21"/>
                <w:color w:val="000000"/>
              </w:rPr>
              <w:t>（</w:t>
            </w:r>
            <w:r>
              <w:rPr>
                <w:sz w:val="21"/>
                <w:color w:val="000000"/>
              </w:rPr>
              <w:t>5）科室病种明细表：科室病种成本、收入及各占比等状况；</w:t>
            </w:r>
          </w:p>
          <w:p>
            <w:pPr>
              <w:pStyle w:val="null3"/>
              <w:ind w:firstLine="420"/>
            </w:pPr>
            <w:r>
              <w:rPr>
                <w:sz w:val="21"/>
                <w:color w:val="000000"/>
              </w:rPr>
              <w:t>（</w:t>
            </w:r>
            <w:r>
              <w:rPr>
                <w:sz w:val="21"/>
                <w:color w:val="000000"/>
              </w:rPr>
              <w:t>6）同病种不同科室收益表：查看同一个病种在不同科室的收益状况；同科室不同手术等级收益表：查看同科室不同的手术等级收益状况。</w:t>
            </w:r>
          </w:p>
        </w:tc>
      </w:tr>
      <w:tr>
        <w:tc>
          <w:tcPr>
            <w:tcW w:type="dxa" w:w="884"/>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ind w:left="420"/>
              <w:jc w:val="center"/>
            </w:pPr>
            <w:r>
              <w:rPr>
                <w:sz w:val="21"/>
                <w:b/>
                <w:color w:val="000000"/>
              </w:rPr>
              <w:t>4.</w:t>
            </w:r>
          </w:p>
        </w:tc>
        <w:tc>
          <w:tcPr>
            <w:tcW w:type="dxa" w:w="739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sz w:val="21"/>
                <w:b/>
                <w:color w:val="000000"/>
              </w:rPr>
              <w:t>4</w:t>
            </w:r>
            <w:r>
              <w:rPr>
                <w:sz w:val="21"/>
                <w:b/>
                <w:color w:val="000000"/>
              </w:rPr>
              <w:t>.</w:t>
            </w:r>
            <w:r>
              <w:rPr>
                <w:sz w:val="21"/>
                <w:b/>
                <w:color w:val="000000"/>
              </w:rPr>
              <w:t>1</w:t>
            </w:r>
            <w:r>
              <w:rPr>
                <w:sz w:val="21"/>
                <w:b/>
                <w:color w:val="000000"/>
              </w:rPr>
              <w:t>医院固定资产管理系统</w:t>
            </w:r>
          </w:p>
          <w:p>
            <w:pPr>
              <w:pStyle w:val="null3"/>
              <w:ind w:firstLine="420"/>
            </w:pPr>
            <w:r>
              <w:rPr>
                <w:sz w:val="21"/>
                <w:color w:val="000000"/>
              </w:rPr>
              <w:t>满足《政府会计制度</w:t>
            </w:r>
            <w:r>
              <w:rPr>
                <w:sz w:val="21"/>
                <w:color w:val="000000"/>
              </w:rPr>
              <w:t>——行政事业单位会计科目和报表》改革相关文件对医院固定资产折旧方式，折旧年限等新要求。</w:t>
            </w:r>
          </w:p>
          <w:p>
            <w:pPr>
              <w:pStyle w:val="null3"/>
              <w:ind w:firstLine="420"/>
            </w:pPr>
            <w:r>
              <w:rPr>
                <w:sz w:val="21"/>
                <w:color w:val="000000"/>
              </w:rPr>
              <w:t>资产设备全生命周期管理；包含采购论证、设备出入库、设备日常管理等应用，实现对资产及设备的一体化管理。医院现用项目合同系统内部分重叠功能，可做接口对接，避免不同系统重复录入数据。</w:t>
            </w:r>
          </w:p>
          <w:p>
            <w:pPr>
              <w:pStyle w:val="null3"/>
            </w:pPr>
            <w:r>
              <w:rPr>
                <w:sz w:val="21"/>
                <w:b/>
                <w:color w:val="000000"/>
              </w:rPr>
              <w:t>4</w:t>
            </w:r>
            <w:r>
              <w:rPr>
                <w:sz w:val="21"/>
                <w:b/>
                <w:color w:val="000000"/>
              </w:rPr>
              <w:t>.1.1</w:t>
            </w:r>
            <w:r>
              <w:rPr>
                <w:sz w:val="21"/>
                <w:b/>
                <w:color w:val="000000"/>
              </w:rPr>
              <w:t>资产采购管理</w:t>
            </w:r>
          </w:p>
          <w:p>
            <w:pPr>
              <w:pStyle w:val="null3"/>
              <w:ind w:right="105" w:firstLine="420"/>
            </w:pPr>
            <w:r>
              <w:rPr>
                <w:sz w:val="21"/>
                <w:color w:val="000000"/>
              </w:rPr>
              <w:t>(1)</w:t>
            </w:r>
            <w:r>
              <w:rPr>
                <w:sz w:val="21"/>
                <w:color w:val="000000"/>
              </w:rPr>
              <w:t>支持科室设置不同维度的采购需求计划或临时追加采购需求，支持手动生成和自动生成采购计划；支持维护申请购置资产档案；</w:t>
            </w:r>
          </w:p>
          <w:p>
            <w:pPr>
              <w:pStyle w:val="null3"/>
              <w:ind w:right="105" w:firstLine="420"/>
            </w:pPr>
            <w:r>
              <w:rPr>
                <w:sz w:val="21"/>
                <w:color w:val="000000"/>
              </w:rPr>
              <w:t>(2)</w:t>
            </w:r>
            <w:r>
              <w:rPr>
                <w:sz w:val="21"/>
                <w:color w:val="000000"/>
              </w:rPr>
              <w:t>提供对采购过程中形成的论证审批、购置立项、招投标等相关过程记录进行增加、修改、删除、查询的功能，记录审批登记文书；</w:t>
            </w:r>
          </w:p>
          <w:p>
            <w:pPr>
              <w:pStyle w:val="null3"/>
              <w:ind w:right="105" w:firstLine="420"/>
            </w:pPr>
            <w:r>
              <w:rPr>
                <w:sz w:val="21"/>
                <w:color w:val="000000"/>
              </w:rPr>
              <w:t>(3)</w:t>
            </w:r>
            <w:r>
              <w:rPr>
                <w:sz w:val="21"/>
                <w:color w:val="000000"/>
              </w:rPr>
              <w:t>支持对接项目管理系统，获取设备采购合同信息。</w:t>
            </w:r>
          </w:p>
          <w:p>
            <w:pPr>
              <w:pStyle w:val="null3"/>
              <w:ind w:right="105" w:firstLine="420"/>
            </w:pPr>
            <w:r>
              <w:rPr>
                <w:sz w:val="21"/>
                <w:color w:val="000000"/>
              </w:rPr>
              <w:t>(4)</w:t>
            </w:r>
            <w:r>
              <w:rPr>
                <w:sz w:val="21"/>
                <w:color w:val="000000"/>
              </w:rPr>
              <w:t>提供设备采购发票记录的增加、修改、删除的功能，记录设备的发票信息。提供发票查重功能并提醒。</w:t>
            </w:r>
          </w:p>
          <w:p>
            <w:pPr>
              <w:pStyle w:val="null3"/>
            </w:pPr>
            <w:r>
              <w:rPr>
                <w:sz w:val="21"/>
                <w:b/>
                <w:color w:val="000000"/>
              </w:rPr>
              <w:t>4</w:t>
            </w:r>
            <w:r>
              <w:rPr>
                <w:sz w:val="21"/>
                <w:b/>
                <w:color w:val="000000"/>
              </w:rPr>
              <w:t>.1.2</w:t>
            </w:r>
            <w:r>
              <w:rPr>
                <w:sz w:val="21"/>
                <w:b/>
                <w:color w:val="000000"/>
              </w:rPr>
              <w:t>资产库存管理</w:t>
            </w:r>
          </w:p>
          <w:p>
            <w:pPr>
              <w:pStyle w:val="null3"/>
              <w:ind w:right="105" w:firstLine="420"/>
            </w:pPr>
            <w:r>
              <w:rPr>
                <w:sz w:val="21"/>
                <w:color w:val="000000"/>
              </w:rPr>
              <w:t>(1)</w:t>
            </w:r>
            <w:r>
              <w:rPr>
                <w:sz w:val="21"/>
                <w:color w:val="000000"/>
              </w:rPr>
              <w:t>验收登记：支持对设备验收单的增加、修改、删除的功能，记录设备验收以及入库情况的结果信息。</w:t>
            </w:r>
          </w:p>
          <w:p>
            <w:pPr>
              <w:pStyle w:val="null3"/>
              <w:ind w:right="105" w:firstLine="420"/>
            </w:pPr>
            <w:r>
              <w:rPr>
                <w:sz w:val="21"/>
                <w:color w:val="000000"/>
              </w:rPr>
              <w:t>(2)</w:t>
            </w:r>
            <w:r>
              <w:rPr>
                <w:sz w:val="21"/>
                <w:color w:val="000000"/>
              </w:rPr>
              <w:t>设备入库：支持对设备入库记录的增加、修改、删除的功能，通过设备验收记录参照生成。资产入库单的发票号支持扫描枪扫码录入。</w:t>
            </w:r>
            <w:r>
              <w:rPr>
                <w:sz w:val="21"/>
                <w:color w:val="000000"/>
              </w:rPr>
              <w:t>设备入库能自动关联</w:t>
            </w:r>
            <w:r>
              <w:rPr>
                <w:sz w:val="21"/>
                <w:color w:val="000000"/>
              </w:rPr>
              <w:t>“预算-申请（审批）-采购-合同（支持录入注册证号，维保年限，使用年限等信息）”，后续关联设备的使用情况，维保情况，报废情况等。</w:t>
            </w:r>
          </w:p>
          <w:p>
            <w:pPr>
              <w:pStyle w:val="null3"/>
              <w:ind w:right="105" w:firstLine="420"/>
            </w:pPr>
            <w:r>
              <w:rPr>
                <w:sz w:val="21"/>
                <w:color w:val="000000"/>
              </w:rPr>
              <w:t>(3)</w:t>
            </w:r>
            <w:r>
              <w:rPr>
                <w:sz w:val="21"/>
                <w:color w:val="000000"/>
              </w:rPr>
              <w:t>领用出库：支持对设备出库记录的增加、修改、删除的功能，通过设备入库记录引用生单。</w:t>
            </w:r>
          </w:p>
          <w:p>
            <w:pPr>
              <w:pStyle w:val="null3"/>
              <w:ind w:right="105" w:firstLine="420"/>
            </w:pPr>
            <w:r>
              <w:rPr>
                <w:sz w:val="21"/>
                <w:color w:val="000000"/>
              </w:rPr>
              <w:t>(4)</w:t>
            </w:r>
            <w:r>
              <w:rPr>
                <w:sz w:val="21"/>
                <w:color w:val="000000"/>
              </w:rPr>
              <w:t>零配件入库：支持对零配件入库记录的增加、修改、删除的功能。</w:t>
            </w:r>
          </w:p>
          <w:p>
            <w:pPr>
              <w:pStyle w:val="null3"/>
              <w:ind w:right="105" w:firstLine="420"/>
            </w:pPr>
            <w:r>
              <w:rPr>
                <w:sz w:val="21"/>
                <w:color w:val="000000"/>
              </w:rPr>
              <w:t>(5)</w:t>
            </w:r>
            <w:r>
              <w:rPr>
                <w:sz w:val="21"/>
                <w:color w:val="000000"/>
              </w:rPr>
              <w:t>零配件出库：支持对零配件出库记录的增加、修改、删除的功能，系统可根据设备维修登记单零配件使用记录自动生成零配件出库单。</w:t>
            </w:r>
          </w:p>
          <w:p>
            <w:pPr>
              <w:pStyle w:val="null3"/>
              <w:ind w:right="105" w:firstLine="420"/>
            </w:pPr>
            <w:r>
              <w:rPr>
                <w:sz w:val="21"/>
                <w:color w:val="000000"/>
              </w:rPr>
              <w:t>(6)</w:t>
            </w:r>
            <w:r>
              <w:rPr>
                <w:sz w:val="21"/>
                <w:color w:val="000000"/>
              </w:rPr>
              <w:t>设备调拨：支持对资产在院内流转的功能，包括仓库到科室、仓库到仓库、科室到仓库、科室到科室的流转。提供对转移单据的新增、删除、修改的功能。</w:t>
            </w:r>
          </w:p>
          <w:p>
            <w:pPr>
              <w:pStyle w:val="null3"/>
              <w:ind w:right="105" w:firstLine="420"/>
            </w:pPr>
            <w:r>
              <w:rPr>
                <w:sz w:val="21"/>
                <w:color w:val="000000"/>
              </w:rPr>
              <w:t>(7)</w:t>
            </w:r>
            <w:r>
              <w:rPr>
                <w:sz w:val="21"/>
                <w:color w:val="000000"/>
              </w:rPr>
              <w:t>设备报废：支持对符合条件的设备执行报废处理，支持设置报废规则，系统自动提示。</w:t>
            </w:r>
          </w:p>
          <w:p>
            <w:pPr>
              <w:pStyle w:val="null3"/>
            </w:pPr>
            <w:r>
              <w:rPr>
                <w:sz w:val="21"/>
                <w:b/>
                <w:color w:val="000000"/>
              </w:rPr>
              <w:t>4</w:t>
            </w:r>
            <w:r>
              <w:rPr>
                <w:sz w:val="21"/>
                <w:b/>
                <w:color w:val="000000"/>
              </w:rPr>
              <w:t>.1.3</w:t>
            </w:r>
            <w:r>
              <w:rPr>
                <w:sz w:val="21"/>
                <w:b/>
                <w:color w:val="000000"/>
              </w:rPr>
              <w:t>资产卡片管理</w:t>
            </w:r>
          </w:p>
          <w:p>
            <w:pPr>
              <w:pStyle w:val="null3"/>
              <w:ind w:firstLine="420"/>
            </w:pPr>
            <w:r>
              <w:rPr>
                <w:sz w:val="21"/>
                <w:color w:val="000000"/>
              </w:rPr>
              <w:t>(1)</w:t>
            </w:r>
            <w:r>
              <w:rPr>
                <w:sz w:val="21"/>
                <w:color w:val="000000"/>
              </w:rPr>
              <w:t>设备建卡：支持对设备建档和批量建档功能，支持原始卡片录入和新增卡片业务，以卡片为中心，对设备全生命周期进行管理。提供新增设备卡片、附属设备列表资料维护，设备台账查询。</w:t>
            </w:r>
            <w:r>
              <w:rPr>
                <w:sz w:val="21"/>
                <w:color w:val="000000"/>
              </w:rPr>
              <w:t>拓展设备入库信息，包含设备完整出厂信息、合同完整信息导入、可关联维保信息含出保期限提醒、设备分类、设备回款进度及提醒等等。</w:t>
            </w:r>
          </w:p>
          <w:p>
            <w:pPr>
              <w:pStyle w:val="null3"/>
            </w:pPr>
            <w:r>
              <w:rPr>
                <w:sz w:val="21"/>
                <w:color w:val="000000"/>
              </w:rPr>
              <w:t>提供基于卡片的固定资产管理模块，自动计提折旧；进行固定资产、无形资产管理，完成原始卡片录入、新增资产卡片录入、资产变动、资产评估、资产减值、计提折旧、资产减少、资产拆分、资产合并、资产调拨、资产盘点、可对多种资金来源形成的固定资产，进行单一资金来源或多种资金来源组合的分科室部门、分资产类别管理。</w:t>
            </w:r>
          </w:p>
          <w:p>
            <w:pPr>
              <w:pStyle w:val="null3"/>
              <w:ind w:right="105" w:firstLine="420"/>
            </w:pPr>
            <w:r>
              <w:rPr>
                <w:sz w:val="21"/>
                <w:color w:val="000000"/>
              </w:rPr>
              <w:t>(2)</w:t>
            </w:r>
            <w:r>
              <w:rPr>
                <w:sz w:val="21"/>
                <w:color w:val="000000"/>
              </w:rPr>
              <w:t>支持维护设备台账，上传附件。对于需要拥有对应资格证书操作的设备需支持操作员登记，可上传操作的资格证书，年审情况记录及提醒；</w:t>
            </w:r>
          </w:p>
          <w:p>
            <w:pPr>
              <w:pStyle w:val="null3"/>
              <w:ind w:right="105" w:firstLine="420"/>
            </w:pPr>
            <w:r>
              <w:rPr>
                <w:sz w:val="21"/>
                <w:color w:val="000000"/>
              </w:rPr>
              <w:t>(3)</w:t>
            </w:r>
            <w:r>
              <w:rPr>
                <w:sz w:val="21"/>
                <w:color w:val="000000"/>
              </w:rPr>
              <w:t>▲条码管理：根据医院的管理要求生成院内条码，每张卡片对应一个条码，可根据条形码查询资产（扫码查询设备信息，包括但不限于设备名称、购入时间、采购金额、维保状态、历史维修/维保记录、产品说明书等）在院内的流转情况以及目前所在位置。需提供RFID解决方案，支持二维码模式，可扫码查看相关信息。</w:t>
            </w:r>
          </w:p>
          <w:p>
            <w:pPr>
              <w:pStyle w:val="null3"/>
              <w:ind w:right="105" w:firstLine="420"/>
            </w:pPr>
            <w:r>
              <w:rPr>
                <w:sz w:val="21"/>
                <w:color w:val="000000"/>
              </w:rPr>
              <w:t>(4)</w:t>
            </w:r>
            <w:r>
              <w:rPr>
                <w:sz w:val="21"/>
                <w:color w:val="000000"/>
              </w:rPr>
              <w:t>计提折旧：按照资产设置计提方法，提取每个月得折旧资金，按照资产的使用部门以及分摊的计提比例拆分折旧资金，记录每月计提的比例以及计提折旧额。支持根据不同项目预算来源、资金来源进行分别计提折旧。支持对同一资产的多种折旧方式处理。支持对资产折旧按实际使用科室拆分计算的功能，保证折旧成本的准确，资产折旧、维修等财务信息与财务成本核算系统紧密集成，自动生成财务成本凭证。</w:t>
            </w:r>
          </w:p>
          <w:p>
            <w:pPr>
              <w:pStyle w:val="null3"/>
              <w:ind w:right="105" w:firstLine="420"/>
            </w:pPr>
            <w:r>
              <w:rPr>
                <w:sz w:val="21"/>
                <w:color w:val="000000"/>
              </w:rPr>
              <w:t>(5)</w:t>
            </w:r>
            <w:r>
              <w:rPr>
                <w:sz w:val="21"/>
                <w:color w:val="000000"/>
              </w:rPr>
              <w:t>对于金额大的设备资产支持验收审批管理。</w:t>
            </w:r>
          </w:p>
          <w:p>
            <w:pPr>
              <w:pStyle w:val="null3"/>
              <w:ind w:right="105" w:firstLine="420"/>
            </w:pPr>
            <w:r>
              <w:rPr>
                <w:sz w:val="21"/>
                <w:color w:val="000000"/>
              </w:rPr>
              <w:t>(6)</w:t>
            </w:r>
            <w:r>
              <w:rPr>
                <w:sz w:val="21"/>
                <w:color w:val="000000"/>
              </w:rPr>
              <w:t>支持固定资产多资金来源管理，同一台资产支持多资金来源多项目分摊。</w:t>
            </w:r>
          </w:p>
          <w:p>
            <w:pPr>
              <w:pStyle w:val="null3"/>
              <w:ind w:right="105" w:firstLine="420"/>
            </w:pPr>
            <w:r>
              <w:rPr>
                <w:sz w:val="21"/>
                <w:color w:val="000000"/>
              </w:rPr>
              <w:t>(7)</w:t>
            </w:r>
            <w:r>
              <w:rPr>
                <w:sz w:val="21"/>
                <w:color w:val="000000"/>
              </w:rPr>
              <w:t>支持各级资产管理人员可按权限查询资产明细、使用状态和折旧情况。</w:t>
            </w:r>
          </w:p>
          <w:p>
            <w:pPr>
              <w:pStyle w:val="null3"/>
              <w:ind w:right="105" w:firstLine="420"/>
            </w:pPr>
            <w:r>
              <w:rPr>
                <w:sz w:val="21"/>
                <w:color w:val="000000"/>
              </w:rPr>
              <w:t>(8)</w:t>
            </w:r>
            <w:r>
              <w:rPr>
                <w:sz w:val="21"/>
                <w:color w:val="000000"/>
              </w:rPr>
              <w:t>支持资产档案管理，系统支持资产的电子档案管理，包括资产图片与各种电子资料。</w:t>
            </w:r>
          </w:p>
          <w:p>
            <w:pPr>
              <w:pStyle w:val="null3"/>
              <w:ind w:right="105" w:firstLine="420"/>
            </w:pPr>
            <w:r>
              <w:rPr>
                <w:sz w:val="21"/>
                <w:color w:val="000000"/>
              </w:rPr>
              <w:t>(9)</w:t>
            </w:r>
            <w:r>
              <w:rPr>
                <w:sz w:val="21"/>
                <w:color w:val="000000"/>
              </w:rPr>
              <w:t>支持以资产卡片为中心的档案管理，能够实现资产卡片的自定义，根据不同资产的管理要求定义资产卡片模板。</w:t>
            </w:r>
          </w:p>
          <w:p>
            <w:pPr>
              <w:pStyle w:val="null3"/>
              <w:ind w:right="105" w:firstLine="420"/>
            </w:pPr>
            <w:r>
              <w:rPr>
                <w:sz w:val="21"/>
                <w:color w:val="000000"/>
              </w:rPr>
              <w:t>(10)</w:t>
            </w:r>
            <w:r>
              <w:rPr>
                <w:sz w:val="21"/>
                <w:color w:val="000000"/>
              </w:rPr>
              <w:t>账表查询、资产处置情况查询等功能，支持可按不同的关键词进行综合查询并支持</w:t>
            </w:r>
            <w:r>
              <w:rPr>
                <w:sz w:val="21"/>
                <w:color w:val="000000"/>
              </w:rPr>
              <w:t>Excel数据导出。</w:t>
            </w:r>
          </w:p>
          <w:p>
            <w:pPr>
              <w:pStyle w:val="null3"/>
              <w:ind w:right="105" w:firstLine="420"/>
            </w:pPr>
            <w:r>
              <w:rPr>
                <w:sz w:val="21"/>
                <w:color w:val="000000"/>
              </w:rPr>
              <w:t>(11)</w:t>
            </w:r>
            <w:r>
              <w:rPr>
                <w:sz w:val="21"/>
                <w:color w:val="000000"/>
              </w:rPr>
              <w:t>支持按照不同资金来源登记资产原值信息，并能够按照资金的来源进行折旧，生成按照新制度要求的会计凭证，提高资产折旧效率。</w:t>
            </w:r>
          </w:p>
          <w:p>
            <w:pPr>
              <w:pStyle w:val="null3"/>
              <w:ind w:right="105" w:firstLine="420"/>
            </w:pPr>
            <w:r>
              <w:rPr>
                <w:sz w:val="21"/>
                <w:color w:val="000000"/>
              </w:rPr>
              <w:t>(12)</w:t>
            </w:r>
            <w:r>
              <w:rPr>
                <w:sz w:val="21"/>
                <w:color w:val="000000"/>
              </w:rPr>
              <w:t>支持建立固定资产总账、资产二级明细账和资产台账及其资产卡片，实现资产的</w:t>
            </w:r>
            <w:r>
              <w:rPr>
                <w:sz w:val="21"/>
                <w:color w:val="000000"/>
              </w:rPr>
              <w:t>“三账一卡”管理。</w:t>
            </w:r>
          </w:p>
          <w:p>
            <w:pPr>
              <w:pStyle w:val="null3"/>
              <w:ind w:right="105" w:firstLine="420"/>
            </w:pPr>
            <w:r>
              <w:rPr>
                <w:sz w:val="21"/>
                <w:color w:val="000000"/>
              </w:rPr>
              <w:t>(13)</w:t>
            </w:r>
            <w:r>
              <w:rPr>
                <w:sz w:val="21"/>
                <w:color w:val="000000"/>
              </w:rPr>
              <w:t>根据不同的管理及核算要求对固定资产采取不同的折旧方式，即需要实现固定资产双重折旧，可以通过设置优先级或是两套资产卡片解决。</w:t>
            </w:r>
          </w:p>
          <w:p>
            <w:pPr>
              <w:pStyle w:val="null3"/>
              <w:ind w:right="105" w:firstLine="420"/>
            </w:pPr>
            <w:r>
              <w:rPr>
                <w:sz w:val="21"/>
                <w:color w:val="000000"/>
              </w:rPr>
              <w:t>(14)</w:t>
            </w:r>
            <w:r>
              <w:rPr>
                <w:sz w:val="21"/>
                <w:color w:val="000000"/>
              </w:rPr>
              <w:t>系统支持根据多种资金来源比例登记固定资产原值、按比例分别计提固定资产折旧，确保不同资金来源的固定资产核算管理的清晰完整。</w:t>
            </w:r>
          </w:p>
          <w:p>
            <w:pPr>
              <w:pStyle w:val="null3"/>
            </w:pPr>
            <w:r>
              <w:rPr>
                <w:sz w:val="21"/>
                <w:b/>
                <w:color w:val="000000"/>
              </w:rPr>
              <w:t>4</w:t>
            </w:r>
            <w:r>
              <w:rPr>
                <w:sz w:val="21"/>
                <w:b/>
                <w:color w:val="000000"/>
              </w:rPr>
              <w:t>.1.4</w:t>
            </w:r>
            <w:r>
              <w:rPr>
                <w:sz w:val="21"/>
                <w:b/>
                <w:color w:val="000000"/>
              </w:rPr>
              <w:t>资产变动</w:t>
            </w:r>
          </w:p>
          <w:p>
            <w:pPr>
              <w:pStyle w:val="null3"/>
              <w:ind w:firstLine="420"/>
            </w:pPr>
            <w:r>
              <w:rPr>
                <w:sz w:val="21"/>
                <w:color w:val="000000"/>
              </w:rPr>
              <w:t>资产变动主要针对资产转移、原值变动及资产使用状态变动业务并回写卡片信息，具体包括：</w:t>
            </w:r>
          </w:p>
          <w:p>
            <w:pPr>
              <w:pStyle w:val="null3"/>
              <w:ind w:firstLine="420"/>
            </w:pPr>
            <w:r>
              <w:rPr>
                <w:sz w:val="21"/>
                <w:color w:val="000000"/>
              </w:rPr>
              <w:t>（</w:t>
            </w:r>
            <w:r>
              <w:rPr>
                <w:sz w:val="21"/>
                <w:color w:val="000000"/>
              </w:rPr>
              <w:t>1）支持资产转移（科室-科室/仓库-仓库/放置区域-放置区域）单据新增功能；支持转移单审核和反审功能；支持转移单查询及打印功能。</w:t>
            </w:r>
          </w:p>
          <w:p>
            <w:pPr>
              <w:pStyle w:val="null3"/>
              <w:ind w:firstLine="420"/>
            </w:pPr>
            <w:r>
              <w:rPr>
                <w:sz w:val="21"/>
                <w:color w:val="000000"/>
              </w:rPr>
              <w:t>（</w:t>
            </w:r>
            <w:r>
              <w:rPr>
                <w:sz w:val="21"/>
                <w:color w:val="000000"/>
              </w:rPr>
              <w:t>2）支持资产原值变动功能，可进行资产卡片的原值、累计折旧、折旧年限、工作量调整生成原值变动单据；支持变动单据审核和反审功能；支持变动单据查询和打印功能。</w:t>
            </w:r>
          </w:p>
          <w:p>
            <w:pPr>
              <w:pStyle w:val="null3"/>
              <w:ind w:firstLine="420"/>
            </w:pPr>
            <w:r>
              <w:rPr>
                <w:sz w:val="21"/>
                <w:color w:val="000000"/>
              </w:rPr>
              <w:t>（</w:t>
            </w:r>
            <w:r>
              <w:rPr>
                <w:sz w:val="21"/>
                <w:color w:val="000000"/>
              </w:rPr>
              <w:t>3）可进行资产卡片使用状态变更，并支持卡片批量变更。</w:t>
            </w:r>
          </w:p>
          <w:p>
            <w:pPr>
              <w:pStyle w:val="null3"/>
              <w:ind w:firstLine="420"/>
            </w:pPr>
            <w:r>
              <w:rPr>
                <w:sz w:val="21"/>
                <w:color w:val="000000"/>
              </w:rPr>
              <w:t>（</w:t>
            </w:r>
            <w:r>
              <w:rPr>
                <w:sz w:val="21"/>
                <w:color w:val="000000"/>
              </w:rPr>
              <w:t>4）支持使用状态变动单审核和反审功能；支持使用状态变动单据查询和打印功能。</w:t>
            </w:r>
          </w:p>
          <w:p>
            <w:pPr>
              <w:pStyle w:val="null3"/>
              <w:ind w:firstLine="420"/>
            </w:pPr>
            <w:r>
              <w:rPr>
                <w:sz w:val="21"/>
                <w:color w:val="000000"/>
              </w:rPr>
              <w:t>（</w:t>
            </w:r>
            <w:r>
              <w:rPr>
                <w:sz w:val="21"/>
                <w:color w:val="000000"/>
              </w:rPr>
              <w:t>5）支持资金来源调整单据，审核后，可调整资产卡片资金来源数据，并支持重新计算期间折旧。</w:t>
            </w:r>
          </w:p>
          <w:p>
            <w:pPr>
              <w:pStyle w:val="null3"/>
            </w:pPr>
            <w:r>
              <w:rPr>
                <w:sz w:val="21"/>
                <w:b/>
                <w:color w:val="000000"/>
              </w:rPr>
              <w:t>4</w:t>
            </w:r>
            <w:r>
              <w:rPr>
                <w:sz w:val="21"/>
                <w:b/>
                <w:color w:val="000000"/>
              </w:rPr>
              <w:t>.1.5</w:t>
            </w:r>
            <w:r>
              <w:rPr>
                <w:sz w:val="21"/>
                <w:b/>
                <w:color w:val="000000"/>
              </w:rPr>
              <w:t>资产减少</w:t>
            </w:r>
          </w:p>
          <w:p>
            <w:pPr>
              <w:pStyle w:val="null3"/>
              <w:ind w:firstLine="420"/>
            </w:pPr>
            <w:r>
              <w:rPr>
                <w:sz w:val="21"/>
                <w:color w:val="000000"/>
              </w:rPr>
              <w:t>资产的减少、回退、报废、盘亏等业务数据单据录入、审批、生效等。</w:t>
            </w:r>
          </w:p>
          <w:p>
            <w:pPr>
              <w:pStyle w:val="null3"/>
            </w:pPr>
            <w:r>
              <w:rPr>
                <w:sz w:val="21"/>
                <w:b/>
                <w:color w:val="000000"/>
              </w:rPr>
              <w:t>4.1.6</w:t>
            </w:r>
            <w:r>
              <w:rPr>
                <w:sz w:val="21"/>
                <w:b/>
                <w:color w:val="000000"/>
              </w:rPr>
              <w:t>资产盘点</w:t>
            </w:r>
          </w:p>
          <w:p>
            <w:pPr>
              <w:pStyle w:val="null3"/>
              <w:ind w:firstLine="420"/>
            </w:pPr>
            <w:r>
              <w:rPr>
                <w:sz w:val="21"/>
                <w:color w:val="000000"/>
              </w:rPr>
              <w:t>（</w:t>
            </w:r>
            <w:r>
              <w:rPr>
                <w:sz w:val="21"/>
                <w:color w:val="000000"/>
              </w:rPr>
              <w:t>1）定期出具盘点表，进行盘盈资产、差异资产录入。</w:t>
            </w:r>
          </w:p>
          <w:p>
            <w:pPr>
              <w:pStyle w:val="null3"/>
              <w:ind w:firstLine="420"/>
            </w:pPr>
            <w:r>
              <w:rPr>
                <w:sz w:val="21"/>
                <w:color w:val="000000"/>
              </w:rPr>
              <w:t>（</w:t>
            </w:r>
            <w:r>
              <w:rPr>
                <w:sz w:val="21"/>
                <w:color w:val="000000"/>
              </w:rPr>
              <w:t>2）支持资产条码盘点，能根据盘点结果自动生成盘盈、盘亏单据。</w:t>
            </w:r>
          </w:p>
          <w:p>
            <w:pPr>
              <w:pStyle w:val="null3"/>
              <w:ind w:firstLine="420"/>
            </w:pPr>
            <w:r>
              <w:rPr>
                <w:sz w:val="21"/>
                <w:color w:val="000000"/>
              </w:rPr>
              <w:t>（</w:t>
            </w:r>
            <w:r>
              <w:rPr>
                <w:sz w:val="21"/>
                <w:color w:val="000000"/>
              </w:rPr>
              <w:t>3）支持资产按使用科室、按管理科室、按使用状态、按原值、按资金来源等多种方式进行盘点；</w:t>
            </w:r>
          </w:p>
          <w:p>
            <w:pPr>
              <w:pStyle w:val="null3"/>
              <w:ind w:firstLine="420"/>
            </w:pPr>
            <w:r>
              <w:rPr>
                <w:sz w:val="21"/>
                <w:color w:val="000000"/>
              </w:rPr>
              <w:t>（</w:t>
            </w:r>
            <w:r>
              <w:rPr>
                <w:sz w:val="21"/>
                <w:color w:val="000000"/>
              </w:rPr>
              <w:t>4）支持资产条码盘点，支持资产的全程条码应用，包括出入库、调拨等业务场景。</w:t>
            </w:r>
          </w:p>
          <w:p>
            <w:pPr>
              <w:pStyle w:val="null3"/>
            </w:pPr>
            <w:r>
              <w:rPr>
                <w:sz w:val="21"/>
                <w:b/>
                <w:color w:val="000000"/>
              </w:rPr>
              <w:t>4</w:t>
            </w:r>
            <w:r>
              <w:rPr>
                <w:sz w:val="21"/>
                <w:b/>
                <w:color w:val="000000"/>
              </w:rPr>
              <w:t>.1.7</w:t>
            </w:r>
            <w:r>
              <w:rPr>
                <w:sz w:val="21"/>
                <w:b/>
                <w:color w:val="000000"/>
              </w:rPr>
              <w:t>单位调动</w:t>
            </w:r>
          </w:p>
          <w:p>
            <w:pPr>
              <w:pStyle w:val="null3"/>
              <w:ind w:firstLine="420"/>
            </w:pPr>
            <w:r>
              <w:rPr>
                <w:sz w:val="21"/>
                <w:color w:val="000000"/>
              </w:rPr>
              <w:t>资产单位内部、或跨组织调拨调出，调入单位可协同调入。业务单据录入、审批、生效等。</w:t>
            </w:r>
          </w:p>
          <w:p>
            <w:pPr>
              <w:pStyle w:val="null3"/>
            </w:pPr>
            <w:r>
              <w:rPr>
                <w:sz w:val="21"/>
                <w:b/>
                <w:color w:val="000000"/>
              </w:rPr>
              <w:t>4</w:t>
            </w:r>
            <w:r>
              <w:rPr>
                <w:sz w:val="21"/>
                <w:b/>
                <w:color w:val="000000"/>
              </w:rPr>
              <w:t>.1.8</w:t>
            </w:r>
            <w:r>
              <w:rPr>
                <w:sz w:val="21"/>
                <w:b/>
                <w:color w:val="000000"/>
              </w:rPr>
              <w:t>资产处置</w:t>
            </w:r>
          </w:p>
          <w:p>
            <w:pPr>
              <w:pStyle w:val="null3"/>
              <w:ind w:firstLine="420"/>
            </w:pPr>
            <w:r>
              <w:rPr>
                <w:sz w:val="21"/>
                <w:color w:val="000000"/>
              </w:rPr>
              <w:t>（</w:t>
            </w:r>
            <w:r>
              <w:rPr>
                <w:sz w:val="21"/>
                <w:color w:val="000000"/>
              </w:rPr>
              <w:t>1）资产处置流程单据发起、审批、生效等。</w:t>
            </w:r>
          </w:p>
          <w:p>
            <w:pPr>
              <w:pStyle w:val="null3"/>
              <w:ind w:firstLine="420"/>
            </w:pPr>
            <w:r>
              <w:rPr>
                <w:sz w:val="21"/>
                <w:color w:val="000000"/>
              </w:rPr>
              <w:t>（</w:t>
            </w:r>
            <w:r>
              <w:rPr>
                <w:sz w:val="21"/>
                <w:color w:val="000000"/>
              </w:rPr>
              <w:t>2）建立资产废品库，专用于医院同意报废至上级部门批复期间的资产管理，即在医院同意报废是将资产状态移至废品库管理。</w:t>
            </w:r>
          </w:p>
          <w:p>
            <w:pPr>
              <w:pStyle w:val="null3"/>
            </w:pPr>
            <w:r>
              <w:rPr>
                <w:sz w:val="21"/>
                <w:b/>
                <w:color w:val="000000"/>
              </w:rPr>
              <w:t>4</w:t>
            </w:r>
            <w:r>
              <w:rPr>
                <w:sz w:val="21"/>
                <w:b/>
                <w:color w:val="000000"/>
              </w:rPr>
              <w:t>.1.9</w:t>
            </w:r>
            <w:r>
              <w:rPr>
                <w:sz w:val="21"/>
                <w:b/>
                <w:color w:val="000000"/>
              </w:rPr>
              <w:t>设备日常管理</w:t>
            </w:r>
          </w:p>
          <w:p>
            <w:pPr>
              <w:pStyle w:val="null3"/>
              <w:ind w:firstLine="420"/>
            </w:pPr>
            <w:r>
              <w:rPr>
                <w:sz w:val="21"/>
                <w:color w:val="000000"/>
              </w:rPr>
              <w:t>(1)</w:t>
            </w:r>
            <w:r>
              <w:rPr>
                <w:sz w:val="21"/>
                <w:color w:val="000000"/>
              </w:rPr>
              <w:t>实现设备过程管理，系统能够进行设备故障登记维修、按计划进行设备保养和维护保养等。</w:t>
            </w:r>
          </w:p>
          <w:p>
            <w:pPr>
              <w:pStyle w:val="null3"/>
              <w:ind w:firstLine="420"/>
            </w:pPr>
            <w:r>
              <w:rPr>
                <w:sz w:val="21"/>
                <w:color w:val="000000"/>
              </w:rPr>
              <w:t>(2)</w:t>
            </w:r>
            <w:r>
              <w:rPr>
                <w:sz w:val="21"/>
                <w:color w:val="000000"/>
              </w:rPr>
              <w:t>设备巡检：系统支持建立设备巡检计划，形成设备巡检任务的全流程闭环管理。</w:t>
            </w:r>
            <w:r>
              <w:rPr>
                <w:sz w:val="21"/>
                <w:color w:val="000000"/>
              </w:rPr>
              <w:t>支持日常设备巡检及记录结果，掌握设备运行状况及周围环境的变化，发现设施缺陷和危及安全的隐患，及时采取有效措施，减少突发故障的机会，使设备处于良好的运行状态，保证设备的安全和系统稳定。</w:t>
            </w:r>
          </w:p>
          <w:p>
            <w:pPr>
              <w:pStyle w:val="null3"/>
              <w:ind w:firstLine="420"/>
            </w:pPr>
            <w:r>
              <w:rPr>
                <w:sz w:val="21"/>
                <w:color w:val="000000"/>
              </w:rPr>
              <w:t>(3)</w:t>
            </w:r>
            <w:r>
              <w:rPr>
                <w:sz w:val="21"/>
                <w:color w:val="000000"/>
              </w:rPr>
              <w:t>设备盘点：支持通过账面数量与实物数量的清点对比，明确设备盈亏，对于账实不相符的资产经审批通过后，可以通过盘盈增加和盘亏减少的方式实现设备出入库，达到账实相符，支持对资产盘点单据、盈亏单据的新增、修改、删除等功能；</w:t>
            </w:r>
          </w:p>
          <w:p>
            <w:pPr>
              <w:pStyle w:val="null3"/>
              <w:ind w:firstLine="420"/>
            </w:pPr>
            <w:r>
              <w:rPr>
                <w:sz w:val="21"/>
                <w:color w:val="000000"/>
              </w:rPr>
              <w:t>(4)</w:t>
            </w:r>
            <w:r>
              <w:rPr>
                <w:sz w:val="21"/>
                <w:color w:val="000000"/>
              </w:rPr>
              <w:t>设备计量：支持设备计量管理，支持登记设备信息，自动统计计量设备所处的状态，制定检定和采购计划，实时更新提示预警周期检定测量设备，便于设备科室按时自检或送检。能够进行计量器具检测情况管理，并记录维修、维护、计量检测过程中产生的各种费用。支持维护计量报告模板。</w:t>
            </w:r>
          </w:p>
          <w:p>
            <w:pPr>
              <w:pStyle w:val="null3"/>
              <w:ind w:firstLine="420"/>
            </w:pPr>
            <w:r>
              <w:rPr>
                <w:sz w:val="21"/>
                <w:color w:val="000000"/>
              </w:rPr>
              <w:t>(5)</w:t>
            </w:r>
            <w:r>
              <w:rPr>
                <w:sz w:val="21"/>
                <w:color w:val="000000"/>
              </w:rPr>
              <w:t>维修管理：支持对科室提交设备维修申请、维修中心接单</w:t>
            </w:r>
            <w:r>
              <w:rPr>
                <w:sz w:val="21"/>
                <w:color w:val="000000"/>
              </w:rPr>
              <w:t>/派单中心派工、维修中心填制维修记录、科室维修记录确认、维修结果评分等功能，从设备的维修申请到设备的报废进行全程跟踪追溯管理。</w:t>
            </w:r>
          </w:p>
          <w:p>
            <w:pPr>
              <w:pStyle w:val="null3"/>
              <w:ind w:firstLine="420"/>
            </w:pPr>
            <w:r>
              <w:rPr>
                <w:sz w:val="21"/>
                <w:color w:val="000000"/>
              </w:rPr>
              <w:t>(6)</w:t>
            </w:r>
            <w:r>
              <w:rPr>
                <w:sz w:val="21"/>
                <w:color w:val="000000"/>
              </w:rPr>
              <w:t>保养管理：支持对保养方案制定</w:t>
            </w:r>
            <w:r>
              <w:rPr>
                <w:sz w:val="21"/>
                <w:color w:val="000000"/>
              </w:rPr>
              <w:t>/分配、保养计划生成/预警、保养记录登记等功能，及时准确地提醒设备科对设备进行保养，也便于历史记录查询以及为绩效分析提供成本核算依据。</w:t>
            </w:r>
          </w:p>
          <w:p>
            <w:pPr>
              <w:pStyle w:val="null3"/>
              <w:ind w:firstLine="420"/>
            </w:pPr>
            <w:r>
              <w:rPr>
                <w:sz w:val="21"/>
                <w:color w:val="000000"/>
              </w:rPr>
              <w:t>(7)</w:t>
            </w:r>
            <w:r>
              <w:rPr>
                <w:sz w:val="21"/>
                <w:color w:val="000000"/>
              </w:rPr>
              <w:t>可移动端上报数据，包括日常保养，维护，维修等信息。</w:t>
            </w:r>
          </w:p>
          <w:p>
            <w:pPr>
              <w:pStyle w:val="null3"/>
            </w:pPr>
            <w:r>
              <w:rPr>
                <w:sz w:val="21"/>
                <w:b/>
                <w:color w:val="000000"/>
              </w:rPr>
              <w:t>4</w:t>
            </w:r>
            <w:r>
              <w:rPr>
                <w:sz w:val="21"/>
                <w:b/>
                <w:color w:val="000000"/>
              </w:rPr>
              <w:t>.1.10</w:t>
            </w:r>
            <w:r>
              <w:rPr>
                <w:sz w:val="21"/>
                <w:b/>
                <w:color w:val="000000"/>
              </w:rPr>
              <w:t>资产分析统计</w:t>
            </w:r>
          </w:p>
          <w:p>
            <w:pPr>
              <w:pStyle w:val="null3"/>
              <w:ind w:firstLine="420"/>
            </w:pPr>
            <w:r>
              <w:rPr>
                <w:sz w:val="21"/>
                <w:color w:val="000000"/>
              </w:rPr>
              <w:t>(1)</w:t>
            </w:r>
            <w:r>
              <w:rPr>
                <w:sz w:val="21"/>
                <w:color w:val="000000"/>
              </w:rPr>
              <w:t>▲支持按照资产分类逐级汇总显示某期间内增减变动情况，以及某期间内的结存情况；按照资产、附件的方式显示某期间内资产以及附件的增减变动情况以及结存情况；按照资产名称、经费来源等条件查询资产资金来源；</w:t>
            </w:r>
          </w:p>
          <w:p>
            <w:pPr>
              <w:pStyle w:val="null3"/>
              <w:ind w:firstLine="420"/>
            </w:pPr>
            <w:r>
              <w:rPr>
                <w:sz w:val="21"/>
                <w:color w:val="000000"/>
              </w:rPr>
              <w:t>(2)</w:t>
            </w:r>
            <w:r>
              <w:rPr>
                <w:sz w:val="21"/>
                <w:color w:val="000000"/>
              </w:rPr>
              <w:t>支持查询在库资产和在用资产的分布情况；</w:t>
            </w:r>
          </w:p>
          <w:p>
            <w:pPr>
              <w:pStyle w:val="null3"/>
              <w:ind w:firstLine="420"/>
            </w:pPr>
            <w:r>
              <w:rPr>
                <w:sz w:val="21"/>
                <w:color w:val="000000"/>
              </w:rPr>
              <w:t>(3)</w:t>
            </w:r>
            <w:r>
              <w:rPr>
                <w:sz w:val="21"/>
                <w:color w:val="000000"/>
              </w:rPr>
              <w:t>支持对固定资产逾龄役龄进行分析，根据资产规定的使用年限和已使用年限列表显示快到年限的或者已超过使用年限的资产；</w:t>
            </w:r>
          </w:p>
          <w:p>
            <w:pPr>
              <w:pStyle w:val="null3"/>
              <w:ind w:firstLine="420"/>
            </w:pPr>
            <w:r>
              <w:rPr>
                <w:sz w:val="21"/>
                <w:color w:val="000000"/>
              </w:rPr>
              <w:t>(4)</w:t>
            </w:r>
            <w:r>
              <w:rPr>
                <w:sz w:val="21"/>
                <w:color w:val="000000"/>
              </w:rPr>
              <w:t>支持固定资产类别结存明细账分析。固定资产类别结存明细账反映制定会计期间，院内固定资产的变动（包括增加和减少）的金额，以及当期结存的金额，支持按照类别分类汇总还可以按照资产明细来查询；</w:t>
            </w:r>
          </w:p>
          <w:p>
            <w:pPr>
              <w:pStyle w:val="null3"/>
              <w:ind w:firstLine="420"/>
            </w:pPr>
            <w:r>
              <w:rPr>
                <w:sz w:val="21"/>
                <w:color w:val="000000"/>
              </w:rPr>
              <w:t>(5)</w:t>
            </w:r>
            <w:r>
              <w:rPr>
                <w:sz w:val="21"/>
                <w:color w:val="000000"/>
              </w:rPr>
              <w:t>支持固定资产类别明细账分析，按照资产分类的级次关系，逐级显示资产已提折旧信息；查询每张资产卡片提取折旧的信息。</w:t>
            </w:r>
          </w:p>
          <w:p>
            <w:pPr>
              <w:pStyle w:val="null3"/>
            </w:pPr>
            <w:r>
              <w:rPr>
                <w:sz w:val="21"/>
                <w:b/>
                <w:color w:val="000000"/>
              </w:rPr>
              <w:t>4</w:t>
            </w:r>
            <w:r>
              <w:rPr>
                <w:sz w:val="21"/>
                <w:b/>
                <w:color w:val="000000"/>
              </w:rPr>
              <w:t>.1.11</w:t>
            </w:r>
            <w:r>
              <w:rPr>
                <w:sz w:val="21"/>
                <w:b/>
                <w:color w:val="000000"/>
              </w:rPr>
              <w:t>耐用品管理</w:t>
            </w:r>
          </w:p>
          <w:p>
            <w:pPr>
              <w:pStyle w:val="null3"/>
              <w:ind w:firstLine="420"/>
            </w:pPr>
            <w:r>
              <w:rPr>
                <w:sz w:val="21"/>
                <w:color w:val="000000"/>
              </w:rPr>
              <w:t>支持耐用品管理，维护耐用品分类、增加耐用品档案信息，执行耐用品的计量校准，维修维保，巡检登记等功能。</w:t>
            </w:r>
          </w:p>
          <w:p>
            <w:pPr>
              <w:pStyle w:val="null3"/>
            </w:pPr>
            <w:r>
              <w:rPr>
                <w:sz w:val="21"/>
                <w:b/>
                <w:color w:val="000000"/>
              </w:rPr>
              <w:t>4.1.12</w:t>
            </w:r>
            <w:r>
              <w:rPr>
                <w:sz w:val="21"/>
                <w:b/>
                <w:color w:val="000000"/>
              </w:rPr>
              <w:t>移动端管理</w:t>
            </w:r>
          </w:p>
          <w:p>
            <w:pPr>
              <w:pStyle w:val="null3"/>
              <w:ind w:firstLine="420"/>
            </w:pPr>
            <w:r>
              <w:rPr>
                <w:sz w:val="21"/>
                <w:color w:val="000000"/>
              </w:rPr>
              <w:t>(1)</w:t>
            </w:r>
            <w:r>
              <w:rPr>
                <w:sz w:val="21"/>
                <w:color w:val="000000"/>
              </w:rPr>
              <w:t>支持移动盘点、计量、巡检登记等，通过</w:t>
            </w:r>
            <w:r>
              <w:rPr>
                <w:sz w:val="21"/>
                <w:color w:val="000000"/>
              </w:rPr>
              <w:t>PDA扫描固定资产条形码的方式对设备进行盘点，简化工作。</w:t>
            </w:r>
          </w:p>
          <w:p>
            <w:pPr>
              <w:pStyle w:val="null3"/>
              <w:ind w:firstLine="420"/>
            </w:pPr>
            <w:r>
              <w:rPr>
                <w:sz w:val="21"/>
                <w:color w:val="000000"/>
              </w:rPr>
              <w:t>(2)</w:t>
            </w:r>
            <w:r>
              <w:rPr>
                <w:sz w:val="21"/>
                <w:color w:val="000000"/>
              </w:rPr>
              <w:t>支持通过移动端扫码查看不同科室、院区设备基本情况。</w:t>
            </w:r>
          </w:p>
          <w:p>
            <w:pPr>
              <w:pStyle w:val="null3"/>
              <w:ind w:firstLine="420"/>
            </w:pPr>
            <w:r>
              <w:rPr>
                <w:sz w:val="21"/>
                <w:color w:val="000000"/>
              </w:rPr>
              <w:t>(3)</w:t>
            </w:r>
            <w:r>
              <w:rPr>
                <w:sz w:val="21"/>
                <w:color w:val="000000"/>
              </w:rPr>
              <w:t>▲支持移动端查看设备台账，扫码设备盘点（支持通过RDIF标签及配套设备快速盘点）发起或处理报修，执行计量检定，快速录入凭证，发起及处理业务流程，查看备品备件情况、查看历史维保记录等。</w:t>
            </w:r>
          </w:p>
          <w:p>
            <w:pPr>
              <w:pStyle w:val="null3"/>
              <w:ind w:firstLine="420"/>
            </w:pPr>
            <w:r>
              <w:rPr>
                <w:sz w:val="21"/>
                <w:color w:val="000000"/>
              </w:rPr>
              <w:t>(4)</w:t>
            </w:r>
            <w:r>
              <w:rPr>
                <w:sz w:val="21"/>
                <w:color w:val="000000"/>
              </w:rPr>
              <w:t>通过移动端执行报修申请时支持上传图片或视频。</w:t>
            </w:r>
          </w:p>
          <w:p>
            <w:pPr>
              <w:pStyle w:val="null3"/>
              <w:ind w:firstLine="420"/>
            </w:pPr>
            <w:r>
              <w:rPr>
                <w:sz w:val="21"/>
                <w:color w:val="000000"/>
              </w:rPr>
              <w:t>(5)</w:t>
            </w:r>
            <w:r>
              <w:rPr>
                <w:sz w:val="21"/>
                <w:color w:val="000000"/>
              </w:rPr>
              <w:t>支持委托第三方服务机构进行计量或保养时，利用移动端进行快速登记。</w:t>
            </w:r>
          </w:p>
          <w:p>
            <w:pPr>
              <w:pStyle w:val="null3"/>
              <w:ind w:firstLine="420"/>
            </w:pPr>
            <w:r>
              <w:rPr>
                <w:sz w:val="21"/>
                <w:color w:val="000000"/>
              </w:rPr>
              <w:t>(6)</w:t>
            </w:r>
            <w:r>
              <w:rPr>
                <w:sz w:val="21"/>
                <w:color w:val="000000"/>
              </w:rPr>
              <w:t>支持定制移动端主页，将常用功能添加至主页。</w:t>
            </w:r>
          </w:p>
        </w:tc>
      </w:tr>
      <w:tr>
        <w:tc>
          <w:tcPr>
            <w:tcW w:type="dxa" w:w="884"/>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ind w:left="420"/>
              <w:jc w:val="center"/>
            </w:pPr>
            <w:r>
              <w:rPr>
                <w:sz w:val="21"/>
                <w:b/>
                <w:color w:val="000000"/>
              </w:rPr>
              <w:t>5.</w:t>
            </w:r>
          </w:p>
        </w:tc>
        <w:tc>
          <w:tcPr>
            <w:tcW w:type="dxa" w:w="739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pPr>
            <w:r>
              <w:rPr>
                <w:sz w:val="21"/>
                <w:b/>
                <w:color w:val="000000"/>
              </w:rPr>
              <w:t>5</w:t>
            </w:r>
            <w:r>
              <w:rPr>
                <w:sz w:val="21"/>
                <w:b/>
                <w:color w:val="000000"/>
              </w:rPr>
              <w:t>.</w:t>
            </w:r>
            <w:r>
              <w:rPr>
                <w:sz w:val="21"/>
                <w:b/>
                <w:color w:val="000000"/>
              </w:rPr>
              <w:t>1</w:t>
            </w:r>
            <w:r>
              <w:rPr>
                <w:sz w:val="21"/>
                <w:b/>
                <w:color w:val="000000"/>
              </w:rPr>
              <w:t>财务管理系统</w:t>
            </w:r>
          </w:p>
          <w:p>
            <w:pPr>
              <w:pStyle w:val="null3"/>
              <w:ind w:firstLine="420"/>
            </w:pPr>
            <w:r>
              <w:rPr>
                <w:sz w:val="21"/>
                <w:color w:val="000000"/>
              </w:rPr>
              <w:t>按照</w:t>
            </w:r>
            <w:r>
              <w:rPr>
                <w:sz w:val="21"/>
                <w:color w:val="000000"/>
              </w:rPr>
              <w:t>“大财务”的理念构建系统，集成全面预算、业财融合、风险管控、经济合同、内部控制、流程制度等，提供符合医院会计政策要求的财务一体化管理平台，财务核算模块包含总账管理、报表管理、平行记账、现金银行、固定资产和自动会计平台模块。总账管理支持凭证业务处理，报表支持自定义财务报表格式</w:t>
            </w:r>
            <w:r>
              <w:rPr>
                <w:sz w:val="21"/>
                <w:color w:val="000000"/>
              </w:rPr>
              <w:t>，</w:t>
            </w:r>
            <w:r>
              <w:rPr>
                <w:sz w:val="21"/>
                <w:color w:val="000000"/>
              </w:rPr>
              <w:t>支持平行记账，方便医院进行记账作业，现金银行记录医院现金银行流水，固定资产管理资产卡片增减变动及折旧业务。同时提供自动会计平台，可配置凭证模板，实现门诊收入、住院收入等业务单据自动转制凭证，业财一体。保障医院业务活动有序进行，帮助医院达成战略目标。</w:t>
            </w:r>
          </w:p>
          <w:p>
            <w:pPr>
              <w:pStyle w:val="null3"/>
              <w:ind w:firstLine="420"/>
            </w:pPr>
            <w:r>
              <w:rPr>
                <w:sz w:val="21"/>
                <w:color w:val="000000"/>
              </w:rPr>
              <w:t>1</w:t>
            </w:r>
            <w:r>
              <w:rPr>
                <w:sz w:val="21"/>
                <w:color w:val="000000"/>
              </w:rPr>
              <w:t>）</w:t>
            </w:r>
            <w:r>
              <w:rPr>
                <w:sz w:val="21"/>
                <w:color w:val="000000"/>
              </w:rPr>
              <w:t>总账管理：查询己记账及未记账凭证，支持跨年查询；提供期末的转账、对账、结账功能。总账管理用来记录医院发生的各种经济业务在账务上反映的全部内容；反映医院账务处理的全过程，从账务处理所需初始信息，到凭证录入、审核、记账，以及各种辅助核算账信息的输入和输出，包括部门核算、供应商核算、科研项目核算和往来核算等，产生各种会计账簿输出打印等内容。包括凭证制单、自动凭证、凭证审核、凭证记账、凭证打印、凭证模板、凭证统计等信息。</w:t>
            </w:r>
          </w:p>
          <w:p>
            <w:pPr>
              <w:pStyle w:val="null3"/>
              <w:ind w:firstLine="420"/>
            </w:pPr>
            <w:r>
              <w:rPr>
                <w:sz w:val="21"/>
                <w:color w:val="000000"/>
              </w:rPr>
              <w:t>预置标准的财务会计科目和预算会计科目，支持在同一个凭证中处理财务凭证和预算凭证。支持凭证处理过程中的财务预算差异校验、现金流量校验等。系统支持差异项智能指定，一键完成所有凭证差异项的自动指定，无需手工指定差异项，并自动生成符合新制度要求的差异项报表。提供财务会计期末结转和预算会计的期末结转功能，实现自动期末结转；期末结转中的费用摊销和费用预提自动结转：通过设置费用摊销和费用预提凭证模板，自动生成费用摊销凭证和费用预提凭证。预置现金流量项目，指定现金及现金等价物科目的现金流量项目；支持凭证录入时指定现金流量项目，同时支持现金流量拆分模板设置，系统可按模板规则自动指定。具备备查账功能。</w:t>
            </w:r>
          </w:p>
          <w:p>
            <w:pPr>
              <w:pStyle w:val="null3"/>
              <w:ind w:firstLine="420"/>
            </w:pPr>
            <w:r>
              <w:rPr>
                <w:sz w:val="21"/>
                <w:color w:val="000000"/>
              </w:rPr>
              <w:t>2）凭证管理：支持由日常业务处理从填制凭证开始；按照财会制度，对制单员填制的记账凭证进行审核；进行凭证处理、账簿管理、应收应付账款管理、个人往来款管理和出纳管理等，支持凭证查询、复制、编辑、审核、打印、功能。可根据输入的汇总条件，有条件地对记账凭证进行汇总并生成科目汇总表；对凭证的处理支持暂存，外部文件导入，批量复制粘贴等功能；</w:t>
            </w:r>
          </w:p>
          <w:p>
            <w:pPr>
              <w:pStyle w:val="null3"/>
              <w:ind w:firstLine="420"/>
            </w:pPr>
            <w:r>
              <w:rPr>
                <w:sz w:val="21"/>
                <w:color w:val="000000"/>
              </w:rPr>
              <w:t>▲</w:t>
            </w:r>
            <w:r>
              <w:rPr>
                <w:sz w:val="21"/>
                <w:color w:val="000000"/>
              </w:rPr>
              <w:t>会计凭证和预算凭证可设置同一凭证或分开凭证，可设置多种显示方式，如左右、上下结构，可单独审核或联合审核等。</w:t>
            </w:r>
          </w:p>
          <w:p>
            <w:pPr>
              <w:pStyle w:val="null3"/>
              <w:ind w:firstLine="420"/>
            </w:pPr>
            <w:r>
              <w:rPr>
                <w:sz w:val="21"/>
                <w:color w:val="000000"/>
              </w:rPr>
              <w:t>支持凭证查询时对明细账、总账、原始单据进行联查功能。提供查询账簿功能，并可查询包含未记账凭证的各种账表；支持财务多维度的辅助核算处理。支持凭证制单：包含凭证页面、凭证保存、凭证打印、凭证删除、出纳签字、凭证审核、冲销、查询、删除、作废、恢复、复制。可自定义多种凭证类型，并可对凭证打印模板进行自定义，支持凭证套打。提供对凭证及账表跨年度查询功能，同时可自定义账表的格式和可自定义查询条件；具备经济分类及功能分类的相关功能。凭证节点支持按一定规则分摊成本费用，凭证审核时，能够将填写审核批注；支持按制单人进行凭证整理。</w:t>
            </w:r>
          </w:p>
          <w:p>
            <w:pPr>
              <w:pStyle w:val="null3"/>
              <w:ind w:firstLine="420"/>
            </w:pPr>
            <w:r>
              <w:rPr>
                <w:sz w:val="21"/>
                <w:color w:val="000000"/>
              </w:rPr>
              <w:t>自动凭证与总账接口</w:t>
            </w:r>
          </w:p>
          <w:p>
            <w:pPr>
              <w:pStyle w:val="null3"/>
              <w:ind w:firstLine="420"/>
            </w:pPr>
            <w:r>
              <w:rPr>
                <w:sz w:val="21"/>
                <w:color w:val="000000"/>
              </w:rPr>
              <w:t>（</w:t>
            </w:r>
            <w:r>
              <w:rPr>
                <w:sz w:val="21"/>
                <w:color w:val="000000"/>
              </w:rPr>
              <w:t>1）支持按照医院的业务，定义财务凭证的入账规则，并根据规则自动生成凭证，实现自动生成的凭证反查业务明细。</w:t>
            </w:r>
          </w:p>
          <w:p>
            <w:pPr>
              <w:pStyle w:val="null3"/>
              <w:ind w:firstLine="420"/>
            </w:pPr>
            <w:r>
              <w:rPr>
                <w:sz w:val="21"/>
                <w:color w:val="000000"/>
              </w:rPr>
              <w:t>（</w:t>
            </w:r>
            <w:r>
              <w:rPr>
                <w:sz w:val="21"/>
                <w:color w:val="000000"/>
              </w:rPr>
              <w:t>2）对新政府会计在医疗行业的应用有深刻理解，根据业务规则，在相关信息系统的支撑下，能与HIS收费系统、成本核算系统、各业务系统等第三方系统高度集成，完成业务自动生成财务会计凭证和预算凭证。</w:t>
            </w:r>
          </w:p>
          <w:p>
            <w:pPr>
              <w:pStyle w:val="null3"/>
              <w:ind w:firstLine="420"/>
            </w:pPr>
            <w:r>
              <w:rPr>
                <w:sz w:val="21"/>
                <w:color w:val="000000"/>
              </w:rPr>
              <w:t>（</w:t>
            </w:r>
            <w:r>
              <w:rPr>
                <w:sz w:val="21"/>
                <w:color w:val="000000"/>
              </w:rPr>
              <w:t>3）完成财务核算系统与省财政厅省级财务核算监管系统数据接口开发、基础资料和凭证导入功能。</w:t>
            </w:r>
          </w:p>
          <w:p>
            <w:pPr>
              <w:pStyle w:val="null3"/>
              <w:ind w:firstLine="420"/>
            </w:pPr>
            <w:r>
              <w:rPr>
                <w:sz w:val="21"/>
                <w:color w:val="000000"/>
              </w:rPr>
              <w:t>4）记账管理：记账凭证经审核签字后，即可用来登记总账和明细账、日记账、部门账、往来账、项目账以及备查账等。本系统记账采用向导方式，使记账过程更加明确。</w:t>
            </w:r>
          </w:p>
          <w:p>
            <w:pPr>
              <w:pStyle w:val="null3"/>
              <w:ind w:firstLine="420"/>
            </w:pPr>
            <w:r>
              <w:rPr>
                <w:sz w:val="21"/>
                <w:color w:val="000000"/>
              </w:rPr>
              <w:t>5）现金银行：支持现金银行出纳流水账登记、现金银行日记账查询、打印等日常工作处理。支持不同银行对账单导入的标准化静态接口，包括银行初始、日记账、出纳账登记等信息，实现银医直连，方便后期扩展。</w:t>
            </w:r>
          </w:p>
          <w:p>
            <w:pPr>
              <w:pStyle w:val="null3"/>
              <w:ind w:firstLine="420"/>
            </w:pPr>
            <w:r>
              <w:rPr>
                <w:sz w:val="21"/>
                <w:color w:val="000000"/>
              </w:rPr>
              <w:t>6）财务报表：包括个人往来明细表、辅助明细表、科目账、客户往来辅助账、投标人往来辅助账、个人往来账、部门辅助账、项目辅助账等各种财务常用账表。支持用户可以自由定义各种财务报表、管理汇总表、统计分析表，也</w:t>
            </w:r>
            <w:r>
              <w:rPr>
                <w:sz w:val="21"/>
                <w:color w:val="000000"/>
              </w:rPr>
              <w:t>支持</w:t>
            </w:r>
            <w:r>
              <w:rPr>
                <w:sz w:val="21"/>
                <w:color w:val="000000"/>
              </w:rPr>
              <w:t>定义表页以及不同表格之间的数据勾稽运算。提供报表模板的新增、设置、审批功能，可自由设置各种表格格式，定义各种取数公式从各系统自行取数；提供数据关联查询功能；可进行跨年度查询业务。提供打印、导出等功能。</w:t>
            </w:r>
          </w:p>
          <w:p>
            <w:pPr>
              <w:pStyle w:val="null3"/>
              <w:ind w:firstLine="420"/>
            </w:pPr>
            <w:r>
              <w:rPr>
                <w:sz w:val="21"/>
                <w:color w:val="000000"/>
              </w:rPr>
              <w:t>7）</w:t>
            </w:r>
            <w:r>
              <w:rPr>
                <w:sz w:val="21"/>
                <w:color w:val="000000"/>
              </w:rPr>
              <w:t>支持专项资金管理，可多级查询自定义辅助核算项目，如通过核算项目和核算明细查询科目核算项明细账、核算项科目明细账、科目核算项多栏明细账、核算</w:t>
            </w:r>
            <w:r>
              <w:rPr>
                <w:sz w:val="21"/>
                <w:color w:val="000000"/>
              </w:rPr>
              <w:t>项</w:t>
            </w:r>
            <w:r>
              <w:rPr>
                <w:sz w:val="21"/>
                <w:color w:val="000000"/>
              </w:rPr>
              <w:t>科目多</w:t>
            </w:r>
            <w:r>
              <w:rPr>
                <w:sz w:val="21"/>
                <w:color w:val="000000"/>
              </w:rPr>
              <w:t>栏</w:t>
            </w:r>
            <w:r>
              <w:rPr>
                <w:sz w:val="21"/>
                <w:color w:val="000000"/>
              </w:rPr>
              <w:t>明细账等。专项资金变动等内容。</w:t>
            </w:r>
          </w:p>
          <w:p>
            <w:pPr>
              <w:pStyle w:val="null3"/>
              <w:ind w:firstLine="420"/>
            </w:pPr>
            <w:r>
              <w:rPr>
                <w:sz w:val="21"/>
                <w:color w:val="000000"/>
              </w:rPr>
              <w:t>8）</w:t>
            </w:r>
            <w:r>
              <w:rPr>
                <w:sz w:val="21"/>
                <w:color w:val="000000"/>
              </w:rPr>
              <w:t>平行记账模块：实现《政府会计制度》</w:t>
            </w:r>
            <w:r>
              <w:rPr>
                <w:sz w:val="21"/>
                <w:color w:val="000000"/>
              </w:rPr>
              <w:t>“双功能”“双基础”“双报告”功能，</w:t>
            </w:r>
          </w:p>
          <w:p>
            <w:pPr>
              <w:pStyle w:val="null3"/>
              <w:ind w:firstLine="420"/>
            </w:pPr>
            <w:r>
              <w:rPr>
                <w:sz w:val="21"/>
                <w:color w:val="000000"/>
              </w:rPr>
              <w:t>严格按照新制度的实施细则与旧系统的数据和功能对接。</w:t>
            </w:r>
            <w:r>
              <w:rPr>
                <w:sz w:val="21"/>
                <w:color w:val="000000"/>
              </w:rPr>
              <w:t>“双基础”实现“双分录”平行记账，第一实行权责发生制的财务会计核算并生成财务报告；第二实行收付实现制的预算会计核算并生成预决算报告。“双报告”，实现出具政府部门需要提供所需报告的功能。</w:t>
            </w:r>
          </w:p>
          <w:p>
            <w:pPr>
              <w:pStyle w:val="null3"/>
              <w:ind w:firstLine="420"/>
            </w:pPr>
            <w:r>
              <w:rPr>
                <w:sz w:val="21"/>
                <w:color w:val="000000"/>
              </w:rPr>
              <w:t>出纳管理：支持进行现金日记账、银行日记账、资金日报、银行对账等业务管理，提供对现金收支和库存进行管理，实现现金管理、银行存款管理。提供医院日常出纳业务的全部处理功能；提供银行对账功能：包含但不局限于银行日记账、</w:t>
            </w:r>
            <w:r>
              <w:rPr>
                <w:sz w:val="21"/>
                <w:color w:val="000000"/>
              </w:rPr>
              <w:t>HIS对账单、银行记账单之间的对账，并提供自动对账和手工对账两种方式。</w:t>
            </w:r>
          </w:p>
          <w:p>
            <w:pPr>
              <w:pStyle w:val="null3"/>
              <w:ind w:firstLine="420"/>
            </w:pPr>
            <w:r>
              <w:rPr>
                <w:sz w:val="21"/>
                <w:color w:val="000000"/>
              </w:rPr>
              <w:t>1、</w:t>
            </w:r>
            <w:r>
              <w:rPr>
                <w:sz w:val="19"/>
                <w:color w:val="000000"/>
              </w:rPr>
              <w:t>▲</w:t>
            </w:r>
            <w:r>
              <w:rPr>
                <w:sz w:val="21"/>
                <w:color w:val="000000"/>
              </w:rPr>
              <w:t>要与卫健局集中财务系统对接，实现每月财务数据同步到卫健局财务系统</w:t>
            </w:r>
            <w:r>
              <w:rPr>
                <w:sz w:val="21"/>
                <w:color w:val="000000"/>
              </w:rPr>
              <w:t>,避免重复录入数据</w:t>
            </w:r>
            <w:r>
              <w:rPr>
                <w:sz w:val="21"/>
                <w:color w:val="000000"/>
              </w:rPr>
              <w:t>。</w:t>
            </w:r>
          </w:p>
          <w:p>
            <w:pPr>
              <w:pStyle w:val="null3"/>
              <w:ind w:firstLine="420"/>
            </w:pPr>
            <w:r>
              <w:rPr>
                <w:sz w:val="21"/>
                <w:color w:val="000000"/>
              </w:rPr>
              <w:t>2、</w:t>
            </w:r>
            <w:r>
              <w:rPr>
                <w:sz w:val="19"/>
                <w:color w:val="000000"/>
              </w:rPr>
              <w:t>▲</w:t>
            </w:r>
            <w:r>
              <w:rPr>
                <w:sz w:val="21"/>
                <w:color w:val="000000"/>
              </w:rPr>
              <w:t>财务系统所有査询功能支持跨年度査询，做到无缝查询</w:t>
            </w:r>
            <w:r>
              <w:rPr>
                <w:sz w:val="21"/>
                <w:color w:val="000000"/>
              </w:rPr>
              <w:t>。</w:t>
            </w:r>
          </w:p>
          <w:p>
            <w:pPr>
              <w:pStyle w:val="null3"/>
              <w:ind w:firstLine="420"/>
            </w:pPr>
            <w:r>
              <w:rPr>
                <w:sz w:val="21"/>
                <w:color w:val="000000"/>
              </w:rPr>
              <w:t>满足出纳管理的需要，包括出纳的全部工作内容：现金银行出纳流水账登记、现金银行日记账管理等日常工作处理；同时支持不同银行对账单导入的标准化静态接口。包括银行初始、日记账、出纳账登记等信息。支持银医直连。</w:t>
            </w:r>
          </w:p>
          <w:p>
            <w:pPr>
              <w:pStyle w:val="null3"/>
              <w:ind w:firstLine="420"/>
            </w:pPr>
            <w:r>
              <w:rPr>
                <w:sz w:val="21"/>
                <w:color w:val="000000"/>
              </w:rPr>
              <w:t>9）往来管理</w:t>
            </w:r>
          </w:p>
          <w:p>
            <w:pPr>
              <w:pStyle w:val="null3"/>
              <w:ind w:firstLine="420"/>
            </w:pPr>
            <w:r>
              <w:rPr>
                <w:sz w:val="21"/>
                <w:color w:val="000000"/>
              </w:rPr>
              <w:t>（</w:t>
            </w:r>
            <w:r>
              <w:rPr>
                <w:sz w:val="21"/>
                <w:color w:val="000000"/>
              </w:rPr>
              <w:t>1）往来管理包括应收管理系统和应付管理系统两部分内容，能够帮助医疗机构从财务层面管控业务，强化资金流入流出的核算与管理，保证医疗机构资金的健康流动。</w:t>
            </w:r>
          </w:p>
          <w:p>
            <w:pPr>
              <w:pStyle w:val="null3"/>
              <w:ind w:firstLine="420"/>
            </w:pPr>
            <w:r>
              <w:rPr>
                <w:sz w:val="21"/>
                <w:color w:val="000000"/>
              </w:rPr>
              <w:t>（</w:t>
            </w:r>
            <w:r>
              <w:rPr>
                <w:sz w:val="21"/>
                <w:color w:val="000000"/>
              </w:rPr>
              <w:t>2）提供应付单、预付款单的录入、供应商付款的处理、单据核销处理等功能，并提供应付及付款常用报表的查询分析等业务的全流程管理。</w:t>
            </w:r>
          </w:p>
          <w:p>
            <w:pPr>
              <w:pStyle w:val="null3"/>
              <w:ind w:firstLine="420"/>
            </w:pPr>
            <w:r>
              <w:rPr>
                <w:sz w:val="21"/>
                <w:color w:val="000000"/>
              </w:rPr>
              <w:t>（</w:t>
            </w:r>
            <w:r>
              <w:rPr>
                <w:sz w:val="21"/>
                <w:color w:val="000000"/>
              </w:rPr>
              <w:t>3）系统提供坏账计提功能，支持余额百分比法、账龄分析法、个别认定法等多种方法计提坏账。</w:t>
            </w:r>
          </w:p>
          <w:p>
            <w:pPr>
              <w:pStyle w:val="null3"/>
              <w:ind w:firstLine="420"/>
            </w:pPr>
            <w:r>
              <w:rPr>
                <w:sz w:val="21"/>
                <w:color w:val="000000"/>
              </w:rPr>
              <w:t>（</w:t>
            </w:r>
            <w:r>
              <w:rPr>
                <w:sz w:val="21"/>
                <w:color w:val="000000"/>
              </w:rPr>
              <w:t>4）支持票到货未到、票货同到、货到票未到三种情况下的结算和核销，支持自动、手工逐笔或批量核销。</w:t>
            </w:r>
          </w:p>
          <w:p>
            <w:pPr>
              <w:pStyle w:val="null3"/>
              <w:ind w:firstLine="420"/>
            </w:pPr>
            <w:r>
              <w:rPr>
                <w:sz w:val="21"/>
                <w:color w:val="000000"/>
              </w:rPr>
              <w:t>（</w:t>
            </w:r>
            <w:r>
              <w:rPr>
                <w:sz w:val="21"/>
                <w:color w:val="000000"/>
              </w:rPr>
              <w:t>5）能够与其他系统互联互通，可以通过各个系统业务信息自动生成应付款、预付款单据信息，也支持单据手工录入。并且能够与财务系统对接，自动生成凭证，实现业务与账务数据同步。</w:t>
            </w:r>
          </w:p>
          <w:p>
            <w:pPr>
              <w:pStyle w:val="null3"/>
              <w:ind w:firstLine="420"/>
            </w:pPr>
            <w:r>
              <w:rPr>
                <w:sz w:val="21"/>
                <w:color w:val="000000"/>
              </w:rPr>
              <w:t>1</w:t>
            </w:r>
            <w:r>
              <w:rPr>
                <w:sz w:val="21"/>
                <w:color w:val="000000"/>
              </w:rPr>
              <w:t>0</w:t>
            </w:r>
            <w:r>
              <w:rPr>
                <w:sz w:val="21"/>
                <w:color w:val="000000"/>
              </w:rPr>
              <w:t>）与卫健局集中财务系统对接，实现每月财务数据同步到卫健局财务系统，避免重复录入数据；财务系统所有查询功能支持跨年度查询，做到无缝查询。</w:t>
            </w:r>
          </w:p>
          <w:p>
            <w:pPr>
              <w:pStyle w:val="null3"/>
              <w:ind w:firstLine="420"/>
            </w:pPr>
            <w:r>
              <w:rPr>
                <w:sz w:val="21"/>
                <w:color w:val="000000"/>
              </w:rPr>
              <w:t>1</w:t>
            </w:r>
            <w:r>
              <w:rPr>
                <w:sz w:val="21"/>
                <w:color w:val="000000"/>
              </w:rPr>
              <w:t>1</w:t>
            </w:r>
            <w:r>
              <w:rPr>
                <w:sz w:val="21"/>
                <w:color w:val="000000"/>
              </w:rPr>
              <w:t>）资金管理系统（含银医直连）</w:t>
            </w:r>
          </w:p>
          <w:p>
            <w:pPr>
              <w:pStyle w:val="null3"/>
              <w:ind w:firstLine="420"/>
            </w:pPr>
            <w:r>
              <w:rPr>
                <w:sz w:val="21"/>
                <w:color w:val="000000"/>
              </w:rPr>
              <w:t>通过数据接口将医院的银医直连系统与银行无缝对接，让支付业务流程全部整合在系统内部完成，避免在网银系统和财务系统进行重复输入，提高了交易的实时性和方便性，也提高了医院的工作效率。</w:t>
            </w:r>
          </w:p>
          <w:p>
            <w:pPr>
              <w:pStyle w:val="null3"/>
              <w:ind w:firstLine="420"/>
            </w:pPr>
            <w:r>
              <w:rPr>
                <w:sz w:val="21"/>
                <w:color w:val="000000"/>
              </w:rPr>
              <w:t>（</w:t>
            </w:r>
            <w:r>
              <w:rPr>
                <w:sz w:val="21"/>
                <w:color w:val="000000"/>
              </w:rPr>
              <w:t>1）应用平台</w:t>
            </w:r>
          </w:p>
          <w:p>
            <w:pPr>
              <w:pStyle w:val="null3"/>
              <w:ind w:firstLine="420"/>
            </w:pPr>
            <w:r>
              <w:rPr>
                <w:sz w:val="21"/>
                <w:color w:val="000000"/>
              </w:rPr>
              <w:t>能够支持用户管理、业务类型设置、银行档案、账户档案、往来单位银行账户结算信息、人员信息、人行联行档案等基础信息维护。</w:t>
            </w:r>
          </w:p>
          <w:p>
            <w:pPr>
              <w:pStyle w:val="null3"/>
              <w:ind w:firstLine="420"/>
            </w:pPr>
            <w:r>
              <w:rPr>
                <w:sz w:val="21"/>
                <w:color w:val="000000"/>
              </w:rPr>
              <w:t>用户管理支持</w:t>
            </w:r>
            <w:r>
              <w:rPr>
                <w:sz w:val="21"/>
                <w:color w:val="000000"/>
              </w:rPr>
              <w:t>CA用户认证、Ukey身份认证、APP扫码身份认证等认证方式登录。</w:t>
            </w:r>
          </w:p>
          <w:p>
            <w:pPr>
              <w:pStyle w:val="null3"/>
              <w:ind w:firstLine="420"/>
            </w:pPr>
            <w:r>
              <w:rPr>
                <w:sz w:val="21"/>
                <w:color w:val="000000"/>
              </w:rPr>
              <w:t>系统能够预置一套人行联行档案，新开机构的联行档案支持从网银接口获取。</w:t>
            </w:r>
          </w:p>
          <w:p>
            <w:pPr>
              <w:pStyle w:val="null3"/>
              <w:ind w:firstLine="420"/>
            </w:pPr>
            <w:r>
              <w:rPr>
                <w:sz w:val="21"/>
                <w:color w:val="000000"/>
              </w:rPr>
              <w:t>（</w:t>
            </w:r>
            <w:r>
              <w:rPr>
                <w:sz w:val="21"/>
                <w:color w:val="000000"/>
              </w:rPr>
              <w:t>2）资金管理（银医直连）</w:t>
            </w:r>
          </w:p>
          <w:p>
            <w:pPr>
              <w:pStyle w:val="null3"/>
              <w:ind w:firstLine="420"/>
            </w:pPr>
            <w:r>
              <w:rPr>
                <w:sz w:val="21"/>
                <w:color w:val="000000"/>
              </w:rPr>
              <w:t>动账消息：支持从银医直连接口获取银行账户收付款动账消息。</w:t>
            </w:r>
          </w:p>
          <w:p>
            <w:pPr>
              <w:pStyle w:val="null3"/>
              <w:ind w:firstLine="420"/>
            </w:pPr>
            <w:r>
              <w:rPr>
                <w:sz w:val="21"/>
                <w:color w:val="000000"/>
              </w:rPr>
              <w:t>收付款结算单管理：支持手工录入和参照动账消息生成收付款结算单，审核通过后传递统一结算平台。系统能够联查审批情况和预览单据附件。</w:t>
            </w:r>
          </w:p>
          <w:p>
            <w:pPr>
              <w:pStyle w:val="null3"/>
              <w:ind w:firstLine="420"/>
            </w:pPr>
            <w:r>
              <w:rPr>
                <w:sz w:val="21"/>
                <w:color w:val="000000"/>
              </w:rPr>
              <w:t>薪资付款单：支持与薪酬系统无缝对接，将薪资发放数据审核完成后，点击发放将传递至统一结算平台。也可通过</w:t>
            </w:r>
            <w:r>
              <w:rPr>
                <w:sz w:val="21"/>
                <w:color w:val="000000"/>
              </w:rPr>
              <w:t>EXCEL模板导入进行统一结算。系统支持在网上支付后返回失败成功笔数信息，方便财务人员进行核对。</w:t>
            </w:r>
          </w:p>
          <w:p>
            <w:pPr>
              <w:pStyle w:val="null3"/>
              <w:ind w:firstLine="420"/>
            </w:pPr>
            <w:r>
              <w:rPr>
                <w:sz w:val="21"/>
                <w:color w:val="000000"/>
              </w:rPr>
              <w:t>现金缴存与现金支取：支持银行存现业务与取现业务的办理申请，能够联查审批流程，流程审批中及审批完成不能修改附件。支持根据单据结算，作为业务实际发生完成的依据。</w:t>
            </w:r>
          </w:p>
          <w:p>
            <w:pPr>
              <w:pStyle w:val="null3"/>
              <w:ind w:firstLine="420"/>
            </w:pPr>
            <w:r>
              <w:rPr>
                <w:sz w:val="21"/>
                <w:color w:val="000000"/>
              </w:rPr>
              <w:t>结算业务：支持参数设置，达成与应付系统、报销系统、专项系统、薪酬管理系统的无缝对接，将业务单据上结算相关信息传递至统一结算平台生成结算单。</w:t>
            </w:r>
          </w:p>
          <w:p>
            <w:pPr>
              <w:pStyle w:val="null3"/>
              <w:ind w:firstLine="420"/>
            </w:pPr>
            <w:r>
              <w:rPr>
                <w:sz w:val="21"/>
                <w:color w:val="000000"/>
              </w:rPr>
              <w:t>网上支付：支持网上支付（含合并支付）对公业务、个人扣款业务、代发工资业务、同行交易业务、跨行交易业务。支付前网银信息补录校验，信息录入完整才允许调用银行接口和</w:t>
            </w:r>
            <w:r>
              <w:rPr>
                <w:sz w:val="21"/>
                <w:color w:val="000000"/>
              </w:rPr>
              <w:t>CA身份认证。</w:t>
            </w:r>
          </w:p>
          <w:p>
            <w:pPr>
              <w:pStyle w:val="null3"/>
              <w:ind w:firstLine="420"/>
            </w:pPr>
            <w:r>
              <w:rPr>
                <w:sz w:val="21"/>
                <w:color w:val="000000"/>
              </w:rPr>
              <w:t>网银支付指令状态单：由银医直连系统发起的付款，能够在线更新和下载支付状态，如</w:t>
            </w:r>
            <w:r>
              <w:rPr>
                <w:sz w:val="21"/>
                <w:color w:val="000000"/>
              </w:rPr>
              <w:t>“支付成功”、“支付失败”、“状态不明”等。对“支付失败”“状态不明”的指令单能够再次进行状态确认，确认后再次提交流程审核，保证支付的准确性。</w:t>
            </w:r>
          </w:p>
          <w:p>
            <w:pPr>
              <w:pStyle w:val="null3"/>
              <w:ind w:firstLine="420"/>
            </w:pPr>
            <w:r>
              <w:rPr>
                <w:sz w:val="21"/>
                <w:color w:val="000000"/>
              </w:rPr>
              <w:t>账户余额：支持在线下载银行账户余额，并导出打印。</w:t>
            </w:r>
          </w:p>
        </w:tc>
      </w:tr>
      <w:tr>
        <w:tc>
          <w:tcPr>
            <w:tcW w:type="dxa" w:w="884"/>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ind w:left="420"/>
              <w:jc w:val="center"/>
            </w:pPr>
            <w:r>
              <w:rPr>
                <w:sz w:val="21"/>
                <w:b/>
                <w:color w:val="000000"/>
              </w:rPr>
              <w:t>6.</w:t>
            </w:r>
          </w:p>
        </w:tc>
        <w:tc>
          <w:tcPr>
            <w:tcW w:type="dxa" w:w="739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pPr>
            <w:r>
              <w:rPr>
                <w:sz w:val="21"/>
                <w:b/>
                <w:color w:val="000000"/>
              </w:rPr>
              <w:t>6</w:t>
            </w:r>
            <w:r>
              <w:rPr>
                <w:sz w:val="21"/>
                <w:b/>
                <w:color w:val="000000"/>
              </w:rPr>
              <w:t>.</w:t>
            </w:r>
            <w:r>
              <w:rPr>
                <w:sz w:val="21"/>
                <w:b/>
                <w:color w:val="000000"/>
              </w:rPr>
              <w:t>1</w:t>
            </w:r>
            <w:r>
              <w:rPr>
                <w:sz w:val="21"/>
                <w:b/>
                <w:color w:val="000000"/>
              </w:rPr>
              <w:t xml:space="preserve"> </w:t>
            </w:r>
            <w:r>
              <w:rPr>
                <w:sz w:val="21"/>
                <w:b/>
                <w:color w:val="000000"/>
              </w:rPr>
              <w:t>物资管理</w:t>
            </w:r>
          </w:p>
          <w:p>
            <w:pPr>
              <w:pStyle w:val="null3"/>
              <w:ind w:firstLine="420"/>
            </w:pPr>
            <w:r>
              <w:rPr>
                <w:sz w:val="21"/>
                <w:color w:val="000000"/>
              </w:rPr>
              <w:t>物资管理模块满足医院医疗物资精细化管理需求，可通过对医院医用物资的采购计划管理、订单管理、供应商管理、院内周转库管理、盘点管理、耗材追溯管理等功能。支持与</w:t>
            </w:r>
            <w:r>
              <w:rPr>
                <w:sz w:val="21"/>
                <w:color w:val="000000"/>
              </w:rPr>
              <w:t>HIS、预算等系统无缝对接，实现对每一类物资的使用情况进行监督、统计、追溯管理，为采购计划提供真实可靠的依据，以及有效进行物资出库、入库、盘点、结算全流程管理，防止管理漏洞，保障业务部门的耗用，有效实现物资的精细化管理，降低医院运营管理成本。</w:t>
            </w:r>
          </w:p>
          <w:p>
            <w:pPr>
              <w:pStyle w:val="null3"/>
              <w:ind w:firstLine="422"/>
            </w:pPr>
            <w:r>
              <w:rPr>
                <w:sz w:val="21"/>
                <w:b/>
                <w:color w:val="000000"/>
              </w:rPr>
              <w:t>6</w:t>
            </w:r>
            <w:r>
              <w:rPr>
                <w:sz w:val="21"/>
                <w:b/>
                <w:color w:val="000000"/>
              </w:rPr>
              <w:t>.1</w:t>
            </w:r>
            <w:r>
              <w:rPr>
                <w:sz w:val="21"/>
                <w:b/>
                <w:color w:val="000000"/>
              </w:rPr>
              <w:t>.</w:t>
            </w:r>
            <w:r>
              <w:rPr>
                <w:sz w:val="21"/>
                <w:b/>
                <w:color w:val="000000"/>
              </w:rPr>
              <w:t>1 申领管理</w:t>
            </w:r>
          </w:p>
          <w:p>
            <w:pPr>
              <w:pStyle w:val="null3"/>
              <w:ind w:firstLine="420"/>
            </w:pPr>
            <w:r>
              <w:rPr>
                <w:sz w:val="21"/>
                <w:color w:val="000000"/>
              </w:rPr>
              <w:t>申领管理模块支持物资申领及审核，包括科室制定月度需求计划和物资申领。系统根据每个用户可操作的数据权限和功能权限进行数据过滤和功能屏蔽。各业务科室根据科室以往每月的物资消耗需求，上报本月每种物资的需求计划，支持上传计划及追加计划。</w:t>
            </w:r>
          </w:p>
          <w:p>
            <w:pPr>
              <w:pStyle w:val="null3"/>
              <w:ind w:firstLine="420"/>
            </w:pPr>
            <w:r>
              <w:rPr>
                <w:sz w:val="21"/>
                <w:color w:val="000000"/>
              </w:rPr>
              <w:t>支持汇总各科室申领的材料，根据仓库库存量批准通过数量。审核通过的可直接出库或移库，审核不满足的部分可生成采购订单。支持对待审核的任务配置预警提醒，以提醒库管员及时处理科室的申领请求。</w:t>
            </w:r>
          </w:p>
          <w:p>
            <w:pPr>
              <w:pStyle w:val="null3"/>
              <w:ind w:firstLine="422"/>
            </w:pPr>
            <w:r>
              <w:rPr>
                <w:sz w:val="21"/>
                <w:b/>
                <w:color w:val="000000"/>
              </w:rPr>
              <w:t>6</w:t>
            </w:r>
            <w:r>
              <w:rPr>
                <w:sz w:val="21"/>
                <w:b/>
                <w:color w:val="000000"/>
              </w:rPr>
              <w:t>.</w:t>
            </w:r>
            <w:r>
              <w:rPr>
                <w:sz w:val="21"/>
                <w:b/>
                <w:color w:val="000000"/>
              </w:rPr>
              <w:t>1.</w:t>
            </w:r>
            <w:r>
              <w:rPr>
                <w:sz w:val="21"/>
                <w:b/>
                <w:color w:val="000000"/>
              </w:rPr>
              <w:t>2 采购管理</w:t>
            </w:r>
          </w:p>
          <w:p>
            <w:pPr>
              <w:pStyle w:val="null3"/>
              <w:ind w:firstLine="420"/>
            </w:pPr>
            <w:r>
              <w:rPr>
                <w:sz w:val="21"/>
                <w:color w:val="000000"/>
              </w:rPr>
              <w:t>支持库管科室根据库存的预警信息适时的进行库存物资的采购计划填制，同时也可根据各业务科室的</w:t>
            </w:r>
            <w:r>
              <w:rPr>
                <w:sz w:val="21"/>
                <w:color w:val="000000"/>
              </w:rPr>
              <w:t>‘科室需求计划’进行汇总生成采购计划。</w:t>
            </w:r>
          </w:p>
          <w:p>
            <w:pPr>
              <w:pStyle w:val="null3"/>
              <w:ind w:firstLine="420"/>
            </w:pPr>
            <w:r>
              <w:rPr>
                <w:sz w:val="21"/>
                <w:color w:val="000000"/>
              </w:rPr>
              <w:t>支持仓库库管员对本仓库填制采购订单，也可根据采购计划生成或根据科室申领未满足数量生成采购订单。</w:t>
            </w:r>
          </w:p>
          <w:p>
            <w:pPr>
              <w:pStyle w:val="null3"/>
              <w:ind w:firstLine="420"/>
            </w:pPr>
            <w:r>
              <w:rPr>
                <w:sz w:val="21"/>
                <w:color w:val="000000"/>
              </w:rPr>
              <w:t>支持与预算管理互联，提供预算控制功能，采购数量和金额可根据预算进行控制。</w:t>
            </w:r>
          </w:p>
          <w:p>
            <w:pPr>
              <w:pStyle w:val="null3"/>
              <w:ind w:firstLine="420"/>
            </w:pPr>
            <w:r>
              <w:rPr>
                <w:sz w:val="21"/>
                <w:color w:val="000000"/>
              </w:rPr>
              <w:t>供应商管理</w:t>
            </w:r>
          </w:p>
          <w:p>
            <w:pPr>
              <w:pStyle w:val="null3"/>
              <w:ind w:firstLine="420"/>
            </w:pPr>
            <w:r>
              <w:rPr>
                <w:sz w:val="21"/>
                <w:color w:val="000000"/>
              </w:rPr>
              <w:t>支持对供应商</w:t>
            </w:r>
            <w:r>
              <w:rPr>
                <w:sz w:val="21"/>
                <w:color w:val="000000"/>
              </w:rPr>
              <w:t>“三证”管理，确保采购的材料符合要求，实现物资的证照的有效性管理；</w:t>
            </w:r>
          </w:p>
          <w:p>
            <w:pPr>
              <w:pStyle w:val="null3"/>
              <w:ind w:firstLine="420"/>
            </w:pPr>
            <w:r>
              <w:rPr>
                <w:sz w:val="21"/>
                <w:color w:val="000000"/>
              </w:rPr>
              <w:t>支持维护供应商供货目录，包含产品的注册证、厂家各种证件的有效期，供应商本身的各种证件信息，支持供应商批量修订和导出功能。</w:t>
            </w:r>
          </w:p>
          <w:p>
            <w:pPr>
              <w:pStyle w:val="null3"/>
              <w:ind w:firstLine="420"/>
            </w:pPr>
            <w:r>
              <w:rPr>
                <w:sz w:val="21"/>
                <w:color w:val="000000"/>
              </w:rPr>
              <w:t>支持对供应商的证件有效期进行管理，当接近有效期时，系统应提醒采购员哪些供应商的证件即将过期，需要重新核实。对于已过期的供应商，系统控制其物资不可入库。</w:t>
            </w:r>
          </w:p>
          <w:p>
            <w:pPr>
              <w:pStyle w:val="null3"/>
              <w:ind w:firstLine="420"/>
            </w:pPr>
            <w:r>
              <w:rPr>
                <w:sz w:val="21"/>
                <w:color w:val="000000"/>
              </w:rPr>
              <w:t>合同管理：支持对采购合同进行管理，包括合同创建与存储、合同审批流程、合同提醒功能以及合同变更管理等功能。支持上传合同附件或扫描件，并对到期合同有相关提醒功能。增加档案的开放和关闭功能。</w:t>
            </w:r>
          </w:p>
          <w:p>
            <w:pPr>
              <w:pStyle w:val="null3"/>
              <w:ind w:firstLine="420"/>
            </w:pPr>
            <w:r>
              <w:rPr>
                <w:sz w:val="21"/>
                <w:color w:val="000000"/>
              </w:rPr>
              <w:t>发票管理</w:t>
            </w:r>
          </w:p>
          <w:p>
            <w:pPr>
              <w:pStyle w:val="null3"/>
              <w:ind w:firstLine="420"/>
            </w:pPr>
            <w:r>
              <w:rPr>
                <w:sz w:val="21"/>
                <w:color w:val="000000"/>
              </w:rPr>
              <w:t>支持物资入库对发票进行登记与核销，支持扫码录入发票；</w:t>
            </w:r>
          </w:p>
          <w:p>
            <w:pPr>
              <w:pStyle w:val="null3"/>
              <w:ind w:firstLine="420"/>
            </w:pPr>
            <w:r>
              <w:rPr>
                <w:sz w:val="21"/>
                <w:color w:val="000000"/>
              </w:rPr>
              <w:t>发票登记自动产生应付账款、报销申请单。</w:t>
            </w:r>
          </w:p>
          <w:p>
            <w:pPr>
              <w:pStyle w:val="null3"/>
              <w:ind w:firstLine="420"/>
            </w:pPr>
            <w:r>
              <w:rPr>
                <w:sz w:val="21"/>
                <w:color w:val="000000"/>
              </w:rPr>
              <w:t>第三方对接：支持对接第三方电商平台（针对开放</w:t>
            </w:r>
            <w:r>
              <w:rPr>
                <w:sz w:val="21"/>
                <w:color w:val="000000"/>
              </w:rPr>
              <w:t>API的第三方电商平台）</w:t>
            </w:r>
          </w:p>
          <w:p>
            <w:pPr>
              <w:pStyle w:val="null3"/>
              <w:ind w:firstLine="422"/>
            </w:pPr>
            <w:r>
              <w:rPr>
                <w:sz w:val="21"/>
                <w:b/>
                <w:color w:val="000000"/>
              </w:rPr>
              <w:t>6</w:t>
            </w:r>
            <w:r>
              <w:rPr>
                <w:sz w:val="21"/>
                <w:b/>
                <w:color w:val="000000"/>
              </w:rPr>
              <w:t>.</w:t>
            </w:r>
            <w:r>
              <w:rPr>
                <w:sz w:val="21"/>
                <w:b/>
                <w:color w:val="000000"/>
              </w:rPr>
              <w:t>1.</w:t>
            </w:r>
            <w:r>
              <w:rPr>
                <w:sz w:val="21"/>
                <w:b/>
                <w:color w:val="000000"/>
              </w:rPr>
              <w:t>3 出入库管理</w:t>
            </w:r>
          </w:p>
          <w:p>
            <w:pPr>
              <w:pStyle w:val="null3"/>
              <w:ind w:firstLine="420"/>
            </w:pPr>
            <w:r>
              <w:rPr>
                <w:sz w:val="21"/>
                <w:color w:val="000000"/>
              </w:rPr>
              <w:t>入库：支持用户可手工录入入库单，也可根据之前做好的采购订单或仓库安全库存量导入，减少手工录入的麻烦。</w:t>
            </w:r>
          </w:p>
          <w:p>
            <w:pPr>
              <w:pStyle w:val="null3"/>
              <w:ind w:firstLine="420"/>
            </w:pPr>
            <w:r>
              <w:rPr>
                <w:sz w:val="21"/>
                <w:color w:val="000000"/>
              </w:rPr>
              <w:t>出库：用户可手工录入出库单，也可参照科室填制的物资申领单生成出库单，减少重复操作。支持根据科室申领单导入或手动添加单据，填制材料出库信息。物资出库支持先进先出原则，保证先入库的同种物资一定会先出库，以防出现物资过期的现象。</w:t>
            </w:r>
          </w:p>
          <w:p>
            <w:pPr>
              <w:pStyle w:val="null3"/>
              <w:ind w:firstLine="420"/>
            </w:pPr>
            <w:r>
              <w:rPr>
                <w:sz w:val="21"/>
                <w:color w:val="000000"/>
              </w:rPr>
              <w:t>订单到货：配送及到货流程节点支持参照供应商订单导入，核对物资信息和调整数量、单价等信息后进行入库确认。</w:t>
            </w:r>
          </w:p>
          <w:p>
            <w:pPr>
              <w:pStyle w:val="null3"/>
              <w:ind w:firstLine="420"/>
            </w:pPr>
            <w:r>
              <w:rPr>
                <w:sz w:val="21"/>
                <w:color w:val="000000"/>
              </w:rPr>
              <w:t>零星采购：支持零星入库，针对部分物资采购时没有进入订单流程时，支持在该模式下手工添加入库。</w:t>
            </w:r>
          </w:p>
          <w:p>
            <w:pPr>
              <w:pStyle w:val="null3"/>
              <w:ind w:firstLine="420"/>
            </w:pPr>
            <w:r>
              <w:rPr>
                <w:sz w:val="21"/>
                <w:color w:val="000000"/>
              </w:rPr>
              <w:t>转移入库</w:t>
            </w:r>
            <w:r>
              <w:rPr>
                <w:sz w:val="21"/>
                <w:color w:val="000000"/>
              </w:rPr>
              <w:t>/出库：系统支持已入库的物资从一个仓库转移到另一个仓库时自动对移入仓库进行入库操作，对移出仓库进行出库操作。</w:t>
            </w:r>
          </w:p>
          <w:p>
            <w:pPr>
              <w:pStyle w:val="null3"/>
              <w:ind w:firstLine="420"/>
            </w:pPr>
            <w:r>
              <w:rPr>
                <w:sz w:val="21"/>
                <w:color w:val="000000"/>
              </w:rPr>
              <w:t>科室退库：科室领出材料后如发现错误，如材料不对、规格型号不对、数量不对等情况，支持通过退库功能将这些材料退还给仓库。</w:t>
            </w:r>
          </w:p>
          <w:p>
            <w:pPr>
              <w:pStyle w:val="null3"/>
              <w:ind w:firstLine="422"/>
            </w:pPr>
            <w:r>
              <w:rPr>
                <w:sz w:val="21"/>
                <w:b/>
                <w:color w:val="000000"/>
              </w:rPr>
              <w:t>6</w:t>
            </w:r>
            <w:r>
              <w:rPr>
                <w:sz w:val="21"/>
                <w:b/>
                <w:color w:val="000000"/>
              </w:rPr>
              <w:t>.</w:t>
            </w:r>
            <w:r>
              <w:rPr>
                <w:sz w:val="21"/>
                <w:b/>
                <w:color w:val="000000"/>
              </w:rPr>
              <w:t>1.</w:t>
            </w:r>
            <w:r>
              <w:rPr>
                <w:sz w:val="21"/>
                <w:b/>
                <w:color w:val="000000"/>
              </w:rPr>
              <w:t>4 现存量管理</w:t>
            </w:r>
          </w:p>
          <w:p>
            <w:pPr>
              <w:pStyle w:val="null3"/>
              <w:ind w:firstLine="420"/>
            </w:pPr>
            <w:r>
              <w:rPr>
                <w:sz w:val="21"/>
                <w:color w:val="000000"/>
              </w:rPr>
              <w:t>支持对普通物资、卫生材料、办公用品等物资全流程管理，通过对大、中、小包装的医用耗材赋码与关联，实现不同载量、低值医用耗材</w:t>
            </w:r>
            <w:r>
              <w:rPr>
                <w:sz w:val="21"/>
                <w:color w:val="000000"/>
              </w:rPr>
              <w:t>“一物一码”的关联管理，实用实销；实现医用耗材动态数据的动态追踪；</w:t>
            </w:r>
          </w:p>
          <w:p>
            <w:pPr>
              <w:pStyle w:val="null3"/>
              <w:ind w:firstLine="420"/>
            </w:pPr>
            <w:r>
              <w:rPr>
                <w:sz w:val="21"/>
                <w:color w:val="000000"/>
              </w:rPr>
              <w:t>支持展示每种物资在每个仓库的真实库存量和即时库存量；</w:t>
            </w:r>
          </w:p>
          <w:p>
            <w:pPr>
              <w:pStyle w:val="null3"/>
              <w:ind w:firstLine="420"/>
            </w:pPr>
            <w:r>
              <w:rPr>
                <w:sz w:val="21"/>
                <w:color w:val="000000"/>
              </w:rPr>
              <w:t>支持</w:t>
            </w:r>
            <w:r>
              <w:rPr>
                <w:sz w:val="21"/>
                <w:color w:val="000000"/>
              </w:rPr>
              <w:t>ABC库存分类管理法。</w:t>
            </w:r>
          </w:p>
          <w:p>
            <w:pPr>
              <w:pStyle w:val="null3"/>
              <w:ind w:firstLine="420"/>
            </w:pPr>
            <w:r>
              <w:rPr>
                <w:sz w:val="21"/>
                <w:color w:val="000000"/>
              </w:rPr>
              <w:t>支持二级库存管理。可针对仓库级次进行设置。</w:t>
            </w:r>
          </w:p>
          <w:p>
            <w:pPr>
              <w:pStyle w:val="null3"/>
              <w:ind w:firstLine="420"/>
            </w:pPr>
            <w:r>
              <w:rPr>
                <w:sz w:val="21"/>
                <w:color w:val="000000"/>
              </w:rPr>
              <w:t>库存量预警：以医院的物流管理经验为基础，支持设置材料的最高库存、最低库存、安全库存、到期提前提醒和呆滞标准来判定医院的库存是否合理，及时的反映医院的库存情况。</w:t>
            </w:r>
          </w:p>
          <w:p>
            <w:pPr>
              <w:pStyle w:val="null3"/>
              <w:ind w:firstLine="422"/>
            </w:pPr>
            <w:r>
              <w:rPr>
                <w:sz w:val="21"/>
                <w:b/>
                <w:color w:val="000000"/>
              </w:rPr>
              <w:t>6</w:t>
            </w:r>
            <w:r>
              <w:rPr>
                <w:sz w:val="21"/>
                <w:b/>
                <w:color w:val="000000"/>
              </w:rPr>
              <w:t>.</w:t>
            </w:r>
            <w:r>
              <w:rPr>
                <w:sz w:val="21"/>
                <w:b/>
                <w:color w:val="000000"/>
              </w:rPr>
              <w:t>1.</w:t>
            </w:r>
            <w:r>
              <w:rPr>
                <w:sz w:val="21"/>
                <w:b/>
                <w:color w:val="000000"/>
              </w:rPr>
              <w:t>5 耐用品管理</w:t>
            </w:r>
          </w:p>
          <w:p>
            <w:pPr>
              <w:pStyle w:val="null3"/>
              <w:ind w:firstLine="420"/>
            </w:pPr>
            <w:r>
              <w:rPr>
                <w:sz w:val="21"/>
                <w:color w:val="000000"/>
              </w:rPr>
              <w:t>系统支持耐用品属性的物资按照耐用品模式管理，实现耐用品从入库到报废的全流程管理。支持期初数据录入、耐用品流转、耐用品报废、耐用品盘点、耐用品查询、耐用品定额管理等功能</w:t>
            </w:r>
          </w:p>
          <w:p>
            <w:pPr>
              <w:pStyle w:val="null3"/>
              <w:ind w:firstLine="422"/>
            </w:pPr>
            <w:r>
              <w:rPr>
                <w:sz w:val="21"/>
                <w:b/>
                <w:color w:val="000000"/>
              </w:rPr>
              <w:t>6</w:t>
            </w:r>
            <w:r>
              <w:rPr>
                <w:sz w:val="21"/>
                <w:b/>
                <w:color w:val="000000"/>
              </w:rPr>
              <w:t>.</w:t>
            </w:r>
            <w:r>
              <w:rPr>
                <w:sz w:val="21"/>
                <w:b/>
                <w:color w:val="000000"/>
              </w:rPr>
              <w:t>1</w:t>
            </w:r>
            <w:r>
              <w:rPr>
                <w:sz w:val="21"/>
                <w:b/>
                <w:color w:val="000000"/>
              </w:rPr>
              <w:t>.6 盘点管理</w:t>
            </w:r>
          </w:p>
          <w:p>
            <w:pPr>
              <w:pStyle w:val="null3"/>
              <w:ind w:firstLine="420"/>
            </w:pPr>
            <w:r>
              <w:rPr>
                <w:sz w:val="21"/>
                <w:color w:val="000000"/>
              </w:rPr>
              <w:t>通过账面数量与实物数量的清点对比，明确各仓库中每种物资的差额。对实物的盘点支持手工盘点和扫描仪盘点。</w:t>
            </w:r>
          </w:p>
          <w:p>
            <w:pPr>
              <w:pStyle w:val="null3"/>
              <w:ind w:firstLine="420"/>
            </w:pPr>
            <w:r>
              <w:rPr>
                <w:sz w:val="21"/>
                <w:color w:val="000000"/>
              </w:rPr>
              <w:t>系统支持利用条码技术实现扫描仪自动盘点。提供盘点单的查询、打印、导出功能，系统可查出具有条形码管理的物资的详细信息。</w:t>
            </w:r>
          </w:p>
          <w:p>
            <w:pPr>
              <w:pStyle w:val="null3"/>
              <w:ind w:firstLine="420"/>
            </w:pPr>
            <w:r>
              <w:rPr>
                <w:sz w:val="21"/>
                <w:color w:val="000000"/>
              </w:rPr>
              <w:t>系统支持将盘点结果与账面数据自动进行对比，找出盘盈和盘亏的资产列表。对于账实不相符的物资经审批确认后，盘盈自动生成入库，盘亏自动生成出库。</w:t>
            </w:r>
          </w:p>
          <w:p>
            <w:pPr>
              <w:pStyle w:val="null3"/>
              <w:ind w:firstLine="422"/>
            </w:pPr>
            <w:r>
              <w:rPr>
                <w:sz w:val="21"/>
                <w:b/>
                <w:color w:val="000000"/>
              </w:rPr>
              <w:t>6</w:t>
            </w:r>
            <w:r>
              <w:rPr>
                <w:sz w:val="21"/>
                <w:b/>
                <w:color w:val="000000"/>
              </w:rPr>
              <w:t>.</w:t>
            </w:r>
            <w:r>
              <w:rPr>
                <w:sz w:val="21"/>
                <w:b/>
                <w:color w:val="000000"/>
              </w:rPr>
              <w:t>1</w:t>
            </w:r>
            <w:r>
              <w:rPr>
                <w:sz w:val="21"/>
                <w:b/>
                <w:color w:val="000000"/>
              </w:rPr>
              <w:t>.7 物资分析及报表</w:t>
            </w:r>
          </w:p>
          <w:p>
            <w:pPr>
              <w:pStyle w:val="null3"/>
              <w:ind w:firstLine="420"/>
            </w:pPr>
            <w:r>
              <w:rPr>
                <w:sz w:val="21"/>
                <w:color w:val="000000"/>
              </w:rPr>
              <w:t>支持从全院和部门维度查询物资的增减变动以及当期结存的情况，提供新会计制度要求的物资报表以及医院的自定义报表。</w:t>
            </w:r>
          </w:p>
          <w:p>
            <w:pPr>
              <w:pStyle w:val="null3"/>
              <w:ind w:firstLine="420"/>
            </w:pPr>
            <w:r>
              <w:rPr>
                <w:sz w:val="21"/>
                <w:color w:val="000000"/>
              </w:rPr>
              <w:t>科室物资消耗统计：</w:t>
            </w:r>
            <w:r>
              <w:rPr>
                <w:sz w:val="21"/>
                <w:color w:val="000000"/>
              </w:rPr>
              <w:t>按照部门分别统计本期每个科室每种物资的消耗量及消耗金额，为财务提供物资的消耗账表。</w:t>
            </w:r>
          </w:p>
          <w:p>
            <w:pPr>
              <w:pStyle w:val="null3"/>
              <w:ind w:firstLine="420"/>
            </w:pPr>
            <w:r>
              <w:rPr>
                <w:sz w:val="21"/>
                <w:color w:val="000000"/>
              </w:rPr>
              <w:t>科室材料领用统计：统计各科室物资领用情况，对比分析同类科室的物资消耗量。</w:t>
            </w:r>
          </w:p>
          <w:p>
            <w:pPr>
              <w:pStyle w:val="null3"/>
              <w:ind w:firstLine="420"/>
            </w:pPr>
            <w:r>
              <w:rPr>
                <w:sz w:val="21"/>
                <w:color w:val="000000"/>
              </w:rPr>
              <w:t>供应商供货统计：按不同供应商统计期间内对医院的供货情况，查询每个供应商供应各种物资的数量及提供单价对比分析。</w:t>
            </w:r>
          </w:p>
          <w:p>
            <w:pPr>
              <w:pStyle w:val="null3"/>
              <w:ind w:firstLine="420"/>
            </w:pPr>
            <w:r>
              <w:rPr>
                <w:sz w:val="21"/>
                <w:color w:val="000000"/>
              </w:rPr>
              <w:t>新会计制度报表：根据新会计制度要求产出每月进销存报表。</w:t>
            </w:r>
          </w:p>
          <w:p>
            <w:pPr>
              <w:pStyle w:val="null3"/>
              <w:ind w:firstLine="420"/>
            </w:pPr>
            <w:r>
              <w:rPr>
                <w:sz w:val="21"/>
                <w:color w:val="000000"/>
              </w:rPr>
              <w:t>自定义查询：提供自定义条件范围、自定义显示字段的功能。自定义的配置可存为模板，每个用户可根据喜好来设定模板。</w:t>
            </w:r>
          </w:p>
          <w:p>
            <w:pPr>
              <w:pStyle w:val="null3"/>
              <w:ind w:firstLine="420"/>
            </w:pPr>
            <w:r>
              <w:rPr>
                <w:sz w:val="21"/>
                <w:color w:val="000000"/>
              </w:rPr>
              <w:t>定制报表：支持根据医院实际要求由实施与医院商量完成现场定制报表任务。定制报表不限数量、不限次数。</w:t>
            </w:r>
          </w:p>
        </w:tc>
      </w:tr>
      <w:tr>
        <w:tc>
          <w:tcPr>
            <w:tcW w:type="dxa" w:w="884"/>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739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pPr>
            <w:r>
              <w:rPr>
                <w:sz w:val="21"/>
                <w:color w:val="000000"/>
              </w:rPr>
              <w:t>7.1 RFID</w:t>
            </w:r>
          </w:p>
          <w:p>
            <w:pPr>
              <w:pStyle w:val="null3"/>
              <w:ind w:firstLine="420"/>
            </w:pPr>
            <w:r>
              <w:rPr>
                <w:sz w:val="21"/>
                <w:color w:val="000000"/>
              </w:rPr>
              <w:t>RFID管理系统与资产管理系统深度融合，支持条码设计、条码打印、RFID标签管理、盘点任务管理、条码盘点、RFID盘点、盘点处理、盘点查询等功能。提供移动端RFID盘点软件，可安装在RFID手持机中，用于设备、资产清查盘点，快速批量读取资产上的RFID电子标签信息，通过手机网络/WIFI传输到资产管理模块。</w:t>
            </w:r>
          </w:p>
          <w:p>
            <w:pPr>
              <w:pStyle w:val="null3"/>
              <w:ind w:firstLine="422"/>
            </w:pPr>
            <w:r>
              <w:rPr>
                <w:sz w:val="21"/>
                <w:b/>
                <w:color w:val="000000"/>
              </w:rPr>
              <w:t>硬件方案：</w:t>
            </w:r>
          </w:p>
          <w:tbl>
            <w:tblPr>
              <w:tblBorders>
                <w:top w:val="none" w:color="000000" w:sz="4"/>
                <w:left w:val="none" w:color="000000" w:sz="4"/>
                <w:bottom w:val="none" w:color="000000" w:sz="4"/>
                <w:right w:val="none" w:color="000000" w:sz="4"/>
                <w:insideH w:val="none"/>
                <w:insideV w:val="none"/>
              </w:tblBorders>
            </w:tblPr>
            <w:tblGrid>
              <w:gridCol w:w="829"/>
              <w:gridCol w:w="4554"/>
              <w:gridCol w:w="1771"/>
            </w:tblGrid>
            <w:tr>
              <w:tc>
                <w:tcPr>
                  <w:tcW w:type="dxa" w:w="8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50"/>
                  </w:pPr>
                  <w:r>
                    <w:rPr>
                      <w:sz w:val="21"/>
                      <w:color w:val="000000"/>
                    </w:rPr>
                    <w:t>RFID不干胶标签</w:t>
                  </w:r>
                </w:p>
              </w:tc>
              <w:tc>
                <w:tcPr>
                  <w:tcW w:type="dxa" w:w="4554"/>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sz w:val="21"/>
                      <w:color w:val="000000"/>
                    </w:rPr>
                    <w:t>材质：</w:t>
                  </w:r>
                  <w:r>
                    <w:rPr>
                      <w:sz w:val="21"/>
                      <w:color w:val="000000"/>
                    </w:rPr>
                    <w:t>PET，支持5总不同标签底色，并预印医院LOGO</w:t>
                  </w:r>
                </w:p>
                <w:p>
                  <w:pPr>
                    <w:pStyle w:val="null3"/>
                  </w:pPr>
                  <w:r>
                    <w:rPr>
                      <w:sz w:val="21"/>
                      <w:color w:val="000000"/>
                    </w:rPr>
                    <w:t>符合协议：</w:t>
                  </w:r>
                  <w:r>
                    <w:rPr>
                      <w:sz w:val="21"/>
                      <w:color w:val="000000"/>
                    </w:rPr>
                    <w:t>ISO 18000-6C</w:t>
                  </w:r>
                </w:p>
                <w:p>
                  <w:pPr>
                    <w:pStyle w:val="null3"/>
                  </w:pPr>
                  <w:r>
                    <w:rPr>
                      <w:sz w:val="21"/>
                      <w:color w:val="000000"/>
                    </w:rPr>
                    <w:t>适用频段：</w:t>
                  </w:r>
                  <w:r>
                    <w:rPr>
                      <w:sz w:val="21"/>
                      <w:color w:val="000000"/>
                    </w:rPr>
                    <w:t>840~960 MHz</w:t>
                  </w:r>
                </w:p>
                <w:p>
                  <w:pPr>
                    <w:pStyle w:val="null3"/>
                  </w:pPr>
                  <w:r>
                    <w:rPr>
                      <w:sz w:val="21"/>
                      <w:color w:val="000000"/>
                    </w:rPr>
                    <w:t>芯片储存区：</w:t>
                  </w:r>
                </w:p>
                <w:p>
                  <w:pPr>
                    <w:pStyle w:val="null3"/>
                  </w:pPr>
                  <w:r>
                    <w:rPr>
                      <w:sz w:val="21"/>
                      <w:color w:val="000000"/>
                    </w:rPr>
                    <w:t>EPC</w:t>
                  </w:r>
                  <w:r>
                    <w:rPr>
                      <w:sz w:val="21"/>
                      <w:color w:val="000000"/>
                    </w:rPr>
                    <w:t>96~496 bits</w:t>
                  </w:r>
                </w:p>
                <w:p>
                  <w:pPr>
                    <w:pStyle w:val="null3"/>
                  </w:pPr>
                  <w:r>
                    <w:rPr>
                      <w:sz w:val="21"/>
                      <w:color w:val="000000"/>
                    </w:rPr>
                    <w:t>User</w:t>
                  </w:r>
                  <w:r>
                    <w:rPr>
                      <w:sz w:val="19"/>
                    </w:rPr>
                    <w:t xml:space="preserve"> </w:t>
                  </w:r>
                  <w:r>
                    <w:rPr>
                      <w:sz w:val="21"/>
                      <w:color w:val="000000"/>
                    </w:rPr>
                    <w:t>512~112 bits</w:t>
                  </w:r>
                </w:p>
                <w:p>
                  <w:pPr>
                    <w:pStyle w:val="null3"/>
                  </w:pPr>
                  <w:r>
                    <w:rPr>
                      <w:sz w:val="21"/>
                      <w:color w:val="000000"/>
                    </w:rPr>
                    <w:t>TID</w:t>
                  </w:r>
                  <w:r>
                    <w:rPr>
                      <w:sz w:val="19"/>
                    </w:rPr>
                    <w:t xml:space="preserve"> </w:t>
                  </w:r>
                  <w:r>
                    <w:rPr>
                      <w:sz w:val="21"/>
                      <w:color w:val="000000"/>
                    </w:rPr>
                    <w:t>96 bits</w:t>
                  </w:r>
                </w:p>
                <w:p>
                  <w:pPr>
                    <w:pStyle w:val="null3"/>
                  </w:pPr>
                  <w:r>
                    <w:rPr>
                      <w:sz w:val="21"/>
                      <w:color w:val="000000"/>
                    </w:rPr>
                    <w:t>Password</w:t>
                  </w:r>
                  <w:r>
                    <w:rPr>
                      <w:sz w:val="19"/>
                    </w:rPr>
                    <w:t xml:space="preserve">  </w:t>
                  </w:r>
                  <w:r>
                    <w:rPr>
                      <w:sz w:val="21"/>
                      <w:color w:val="000000"/>
                    </w:rPr>
                    <w:t>64 bits(Access 32 bits/kill 32 bits)</w:t>
                  </w:r>
                </w:p>
                <w:p>
                  <w:pPr>
                    <w:pStyle w:val="null3"/>
                  </w:pPr>
                  <w:r>
                    <w:rPr>
                      <w:sz w:val="21"/>
                      <w:color w:val="000000"/>
                    </w:rPr>
                    <w:t>使用寿命：写不少于</w:t>
                  </w:r>
                  <w:r>
                    <w:rPr>
                      <w:sz w:val="21"/>
                      <w:color w:val="000000"/>
                    </w:rPr>
                    <w:t>1000次，读不少于11万次，数据保存时间不少于10年</w:t>
                  </w:r>
                </w:p>
                <w:p>
                  <w:pPr>
                    <w:pStyle w:val="null3"/>
                  </w:pPr>
                  <w:r>
                    <w:rPr>
                      <w:sz w:val="21"/>
                      <w:color w:val="000000"/>
                    </w:rPr>
                    <w:t>工作模式：无源</w:t>
                  </w:r>
                </w:p>
                <w:p>
                  <w:pPr>
                    <w:pStyle w:val="null3"/>
                  </w:pPr>
                  <w:r>
                    <w:rPr>
                      <w:sz w:val="21"/>
                      <w:color w:val="000000"/>
                    </w:rPr>
                    <w:t>芯片防静电性能：最大</w:t>
                  </w:r>
                  <w:r>
                    <w:rPr>
                      <w:sz w:val="21"/>
                      <w:color w:val="000000"/>
                    </w:rPr>
                    <w:t>2000V</w:t>
                  </w:r>
                </w:p>
              </w:tc>
              <w:tc>
                <w:tcPr>
                  <w:tcW w:type="dxa" w:w="1771"/>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color w:val="000000"/>
                    </w:rPr>
                    <w:t>数量：</w:t>
                  </w:r>
                  <w:r>
                    <w:rPr>
                      <w:sz w:val="21"/>
                      <w:color w:val="000000"/>
                    </w:rPr>
                    <w:t>5500张</w:t>
                  </w:r>
                </w:p>
              </w:tc>
            </w:tr>
            <w:tr>
              <w:tc>
                <w:tcPr>
                  <w:tcW w:type="dxa" w:w="8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50"/>
                  </w:pPr>
                  <w:r>
                    <w:rPr>
                      <w:sz w:val="21"/>
                      <w:color w:val="000000"/>
                    </w:rPr>
                    <w:t>RFID柔性抗金属标签</w:t>
                  </w:r>
                </w:p>
              </w:tc>
              <w:tc>
                <w:tcPr>
                  <w:tcW w:type="dxa" w:w="45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材质：</w:t>
                  </w:r>
                  <w:r>
                    <w:rPr>
                      <w:sz w:val="21"/>
                      <w:color w:val="000000"/>
                    </w:rPr>
                    <w:t>PET，支持5总不同标签底色，并预印医院LOGO</w:t>
                  </w:r>
                </w:p>
                <w:p>
                  <w:pPr>
                    <w:pStyle w:val="null3"/>
                  </w:pPr>
                  <w:r>
                    <w:rPr>
                      <w:sz w:val="21"/>
                      <w:color w:val="000000"/>
                    </w:rPr>
                    <w:t>符合协议：</w:t>
                  </w:r>
                  <w:r>
                    <w:rPr>
                      <w:sz w:val="21"/>
                      <w:color w:val="000000"/>
                    </w:rPr>
                    <w:t>ISO 18000-6C</w:t>
                  </w:r>
                </w:p>
                <w:p>
                  <w:pPr>
                    <w:pStyle w:val="null3"/>
                  </w:pPr>
                  <w:r>
                    <w:rPr>
                      <w:sz w:val="21"/>
                      <w:color w:val="000000"/>
                    </w:rPr>
                    <w:t>适用频段：</w:t>
                  </w:r>
                  <w:r>
                    <w:rPr>
                      <w:sz w:val="21"/>
                      <w:color w:val="000000"/>
                    </w:rPr>
                    <w:t>840~960 MHz</w:t>
                  </w:r>
                </w:p>
                <w:p>
                  <w:pPr>
                    <w:pStyle w:val="null3"/>
                  </w:pPr>
                  <w:r>
                    <w:rPr>
                      <w:sz w:val="21"/>
                      <w:color w:val="000000"/>
                    </w:rPr>
                    <w:t>芯片储存区：</w:t>
                  </w:r>
                </w:p>
                <w:p>
                  <w:pPr>
                    <w:pStyle w:val="null3"/>
                  </w:pPr>
                  <w:r>
                    <w:rPr>
                      <w:sz w:val="21"/>
                      <w:color w:val="000000"/>
                    </w:rPr>
                    <w:t>EPC</w:t>
                  </w:r>
                  <w:r>
                    <w:rPr>
                      <w:sz w:val="21"/>
                      <w:color w:val="000000"/>
                    </w:rPr>
                    <w:t>96~496 bits</w:t>
                  </w:r>
                </w:p>
                <w:p>
                  <w:pPr>
                    <w:pStyle w:val="null3"/>
                  </w:pPr>
                  <w:r>
                    <w:rPr>
                      <w:sz w:val="21"/>
                      <w:color w:val="000000"/>
                    </w:rPr>
                    <w:t>User</w:t>
                  </w:r>
                  <w:r>
                    <w:rPr>
                      <w:sz w:val="19"/>
                    </w:rPr>
                    <w:t xml:space="preserve">  </w:t>
                  </w:r>
                  <w:r>
                    <w:rPr>
                      <w:sz w:val="21"/>
                      <w:color w:val="000000"/>
                    </w:rPr>
                    <w:t>512~112 bits</w:t>
                  </w:r>
                </w:p>
                <w:p>
                  <w:pPr>
                    <w:pStyle w:val="null3"/>
                  </w:pPr>
                  <w:r>
                    <w:rPr>
                      <w:sz w:val="21"/>
                      <w:color w:val="000000"/>
                    </w:rPr>
                    <w:t>TID</w:t>
                  </w:r>
                  <w:r>
                    <w:rPr>
                      <w:sz w:val="19"/>
                    </w:rPr>
                    <w:t xml:space="preserve">  </w:t>
                  </w:r>
                  <w:r>
                    <w:rPr>
                      <w:sz w:val="21"/>
                      <w:color w:val="000000"/>
                    </w:rPr>
                    <w:t>96 bits</w:t>
                  </w:r>
                </w:p>
                <w:p>
                  <w:pPr>
                    <w:pStyle w:val="null3"/>
                  </w:pPr>
                  <w:r>
                    <w:rPr>
                      <w:sz w:val="21"/>
                      <w:color w:val="000000"/>
                    </w:rPr>
                    <w:t>Password</w:t>
                  </w:r>
                  <w:r>
                    <w:rPr>
                      <w:sz w:val="19"/>
                    </w:rPr>
                    <w:t xml:space="preserve">  </w:t>
                  </w:r>
                  <w:r>
                    <w:rPr>
                      <w:sz w:val="21"/>
                      <w:color w:val="000000"/>
                    </w:rPr>
                    <w:t>64 bits(Access 32 bits/kill 32 bits)</w:t>
                  </w:r>
                </w:p>
                <w:p>
                  <w:pPr>
                    <w:pStyle w:val="null3"/>
                  </w:pPr>
                  <w:r>
                    <w:rPr>
                      <w:sz w:val="21"/>
                      <w:color w:val="000000"/>
                    </w:rPr>
                    <w:t>使用寿命：写不少于</w:t>
                  </w:r>
                  <w:r>
                    <w:rPr>
                      <w:sz w:val="21"/>
                      <w:color w:val="000000"/>
                    </w:rPr>
                    <w:t>1000次，读不少于11万次，数据保存时间不少于10年</w:t>
                  </w:r>
                </w:p>
                <w:p>
                  <w:pPr>
                    <w:pStyle w:val="null3"/>
                  </w:pPr>
                  <w:r>
                    <w:rPr>
                      <w:sz w:val="21"/>
                      <w:color w:val="000000"/>
                    </w:rPr>
                    <w:t>工作模式：无源</w:t>
                  </w:r>
                </w:p>
                <w:p>
                  <w:pPr>
                    <w:pStyle w:val="null3"/>
                  </w:pPr>
                  <w:r>
                    <w:rPr>
                      <w:sz w:val="21"/>
                      <w:color w:val="000000"/>
                    </w:rPr>
                    <w:t>芯片防静电性能：最大</w:t>
                  </w:r>
                  <w:r>
                    <w:rPr>
                      <w:sz w:val="21"/>
                      <w:color w:val="000000"/>
                    </w:rPr>
                    <w:t>2000V</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数量：</w:t>
                  </w:r>
                  <w:r>
                    <w:rPr>
                      <w:sz w:val="21"/>
                      <w:color w:val="000000"/>
                    </w:rPr>
                    <w:t>2000张</w:t>
                  </w:r>
                </w:p>
              </w:tc>
            </w:tr>
            <w:tr>
              <w:tc>
                <w:tcPr>
                  <w:tcW w:type="dxa" w:w="8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RFID特种标签</w:t>
                  </w:r>
                </w:p>
              </w:tc>
              <w:tc>
                <w:tcPr>
                  <w:tcW w:type="dxa" w:w="45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材质：阻燃</w:t>
                  </w:r>
                  <w:r>
                    <w:rPr>
                      <w:sz w:val="21"/>
                      <w:color w:val="000000"/>
                    </w:rPr>
                    <w:t>ABS</w:t>
                  </w:r>
                </w:p>
                <w:p>
                  <w:pPr>
                    <w:pStyle w:val="null3"/>
                    <w:jc w:val="both"/>
                  </w:pPr>
                  <w:r>
                    <w:rPr>
                      <w:sz w:val="21"/>
                      <w:color w:val="000000"/>
                    </w:rPr>
                    <w:t>符合协议：</w:t>
                  </w:r>
                  <w:r>
                    <w:rPr>
                      <w:sz w:val="21"/>
                      <w:color w:val="000000"/>
                    </w:rPr>
                    <w:t>ISO 18000-6C</w:t>
                  </w:r>
                </w:p>
                <w:p>
                  <w:pPr>
                    <w:pStyle w:val="null3"/>
                    <w:jc w:val="both"/>
                  </w:pPr>
                  <w:r>
                    <w:rPr>
                      <w:sz w:val="21"/>
                      <w:color w:val="000000"/>
                    </w:rPr>
                    <w:t>适用频段：</w:t>
                  </w:r>
                  <w:r>
                    <w:rPr>
                      <w:sz w:val="21"/>
                      <w:color w:val="000000"/>
                    </w:rPr>
                    <w:t>840~960 MHz</w:t>
                  </w:r>
                </w:p>
                <w:p>
                  <w:pPr>
                    <w:pStyle w:val="null3"/>
                    <w:jc w:val="both"/>
                  </w:pPr>
                  <w:r>
                    <w:rPr>
                      <w:sz w:val="21"/>
                      <w:color w:val="000000"/>
                    </w:rPr>
                    <w:t>芯片储存区：</w:t>
                  </w:r>
                </w:p>
                <w:p>
                  <w:pPr>
                    <w:pStyle w:val="null3"/>
                    <w:jc w:val="both"/>
                  </w:pPr>
                  <w:r>
                    <w:rPr>
                      <w:sz w:val="21"/>
                      <w:color w:val="000000"/>
                    </w:rPr>
                    <w:t>EPC</w:t>
                  </w:r>
                  <w:r>
                    <w:rPr>
                      <w:sz w:val="21"/>
                      <w:color w:val="000000"/>
                    </w:rPr>
                    <w:t>496 bits</w:t>
                  </w:r>
                </w:p>
                <w:p>
                  <w:pPr>
                    <w:pStyle w:val="null3"/>
                    <w:jc w:val="both"/>
                  </w:pPr>
                  <w:r>
                    <w:rPr>
                      <w:sz w:val="21"/>
                      <w:color w:val="000000"/>
                    </w:rPr>
                    <w:t>User  128 bits</w:t>
                  </w:r>
                </w:p>
                <w:p>
                  <w:pPr>
                    <w:pStyle w:val="null3"/>
                    <w:jc w:val="both"/>
                  </w:pPr>
                  <w:r>
                    <w:rPr>
                      <w:sz w:val="21"/>
                      <w:color w:val="000000"/>
                    </w:rPr>
                    <w:t>TID 96 bits</w:t>
                  </w:r>
                </w:p>
                <w:p>
                  <w:pPr>
                    <w:pStyle w:val="null3"/>
                    <w:jc w:val="both"/>
                  </w:pPr>
                  <w:r>
                    <w:rPr>
                      <w:sz w:val="21"/>
                      <w:color w:val="000000"/>
                    </w:rPr>
                    <w:t>Password  64 bits(Access 32 bits/kill 32 bits)</w:t>
                  </w:r>
                </w:p>
                <w:p>
                  <w:pPr>
                    <w:pStyle w:val="null3"/>
                    <w:jc w:val="both"/>
                  </w:pPr>
                  <w:r>
                    <w:rPr>
                      <w:sz w:val="21"/>
                      <w:color w:val="000000"/>
                    </w:rPr>
                    <w:t>使用寿命：写不少于</w:t>
                  </w:r>
                  <w:r>
                    <w:rPr>
                      <w:sz w:val="21"/>
                      <w:color w:val="000000"/>
                    </w:rPr>
                    <w:t>1000次，读不少于11万次，数据保存时间不少于10年</w:t>
                  </w:r>
                </w:p>
                <w:p>
                  <w:pPr>
                    <w:pStyle w:val="null3"/>
                    <w:jc w:val="both"/>
                  </w:pPr>
                  <w:r>
                    <w:rPr>
                      <w:sz w:val="21"/>
                      <w:color w:val="000000"/>
                    </w:rPr>
                    <w:t>工作模式：无源</w:t>
                  </w:r>
                </w:p>
                <w:p>
                  <w:pPr>
                    <w:pStyle w:val="null3"/>
                    <w:jc w:val="both"/>
                  </w:pPr>
                  <w:r>
                    <w:rPr>
                      <w:sz w:val="21"/>
                      <w:color w:val="000000"/>
                    </w:rPr>
                    <w:t>芯片防静电性能：最大</w:t>
                  </w:r>
                  <w:r>
                    <w:rPr>
                      <w:sz w:val="21"/>
                      <w:color w:val="000000"/>
                    </w:rPr>
                    <w:t>2000V</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数量：</w:t>
                  </w:r>
                  <w:r>
                    <w:rPr>
                      <w:sz w:val="21"/>
                      <w:color w:val="000000"/>
                    </w:rPr>
                    <w:t>500张</w:t>
                  </w:r>
                </w:p>
              </w:tc>
            </w:tr>
            <w:tr>
              <w:tc>
                <w:tcPr>
                  <w:tcW w:type="dxa" w:w="8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RFID超高频标签打印机</w:t>
                  </w:r>
                </w:p>
              </w:tc>
              <w:tc>
                <w:tcPr>
                  <w:tcW w:type="dxa" w:w="45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打印方式：热转印及热敏</w:t>
                  </w:r>
                </w:p>
                <w:p>
                  <w:pPr>
                    <w:pStyle w:val="null3"/>
                    <w:jc w:val="both"/>
                  </w:pPr>
                  <w:r>
                    <w:rPr>
                      <w:sz w:val="21"/>
                      <w:color w:val="000000"/>
                    </w:rPr>
                    <w:t>打印头寿命：</w:t>
                  </w:r>
                  <w:r>
                    <w:rPr>
                      <w:sz w:val="21"/>
                      <w:color w:val="000000"/>
                    </w:rPr>
                    <w:t>150km（按指定纸张和印字率12.5%计算）</w:t>
                  </w:r>
                </w:p>
                <w:p>
                  <w:pPr>
                    <w:pStyle w:val="null3"/>
                    <w:jc w:val="both"/>
                  </w:pPr>
                  <w:r>
                    <w:rPr>
                      <w:sz w:val="21"/>
                      <w:color w:val="000000"/>
                    </w:rPr>
                    <w:t>打印宽度：</w:t>
                  </w:r>
                  <w:r>
                    <w:rPr>
                      <w:sz w:val="21"/>
                      <w:color w:val="000000"/>
                    </w:rPr>
                    <w:t>106mm</w:t>
                  </w:r>
                </w:p>
                <w:p>
                  <w:pPr>
                    <w:pStyle w:val="null3"/>
                    <w:jc w:val="both"/>
                  </w:pPr>
                  <w:r>
                    <w:rPr>
                      <w:sz w:val="21"/>
                      <w:color w:val="000000"/>
                    </w:rPr>
                    <w:t>打印速度：</w:t>
                  </w:r>
                  <w:r>
                    <w:rPr>
                      <w:sz w:val="21"/>
                      <w:color w:val="000000"/>
                    </w:rPr>
                    <w:t>152mm/s</w:t>
                  </w:r>
                </w:p>
                <w:p>
                  <w:pPr>
                    <w:pStyle w:val="null3"/>
                    <w:jc w:val="both"/>
                  </w:pPr>
                  <w:r>
                    <w:rPr>
                      <w:sz w:val="21"/>
                      <w:color w:val="000000"/>
                    </w:rPr>
                    <w:t>分辨率：</w:t>
                  </w:r>
                  <w:r>
                    <w:rPr>
                      <w:sz w:val="21"/>
                      <w:color w:val="000000"/>
                    </w:rPr>
                    <w:t>300dpi</w:t>
                  </w:r>
                </w:p>
                <w:p>
                  <w:pPr>
                    <w:pStyle w:val="null3"/>
                    <w:jc w:val="both"/>
                  </w:pPr>
                  <w:r>
                    <w:rPr>
                      <w:sz w:val="21"/>
                      <w:color w:val="000000"/>
                    </w:rPr>
                    <w:t>条形码：支持一维码、二维码</w:t>
                  </w:r>
                </w:p>
                <w:p>
                  <w:pPr>
                    <w:pStyle w:val="null3"/>
                    <w:jc w:val="both"/>
                  </w:pPr>
                  <w:r>
                    <w:rPr>
                      <w:sz w:val="21"/>
                      <w:color w:val="000000"/>
                    </w:rPr>
                    <w:t>显示屏</w:t>
                  </w:r>
                  <w:r>
                    <w:rPr>
                      <w:sz w:val="21"/>
                      <w:color w:val="000000"/>
                    </w:rPr>
                    <w:t>:带中文LCD显示屏</w:t>
                  </w:r>
                </w:p>
                <w:p>
                  <w:pPr>
                    <w:pStyle w:val="null3"/>
                    <w:jc w:val="both"/>
                  </w:pPr>
                  <w:r>
                    <w:rPr>
                      <w:sz w:val="21"/>
                      <w:color w:val="000000"/>
                    </w:rPr>
                    <w:t>碳带规格：内径：</w:t>
                  </w:r>
                  <w:r>
                    <w:rPr>
                      <w:sz w:val="21"/>
                      <w:color w:val="000000"/>
                    </w:rPr>
                    <w:t>25.4mm、外径：70mm、宽度：25.4～114mm、长度：360m</w:t>
                  </w:r>
                </w:p>
                <w:p>
                  <w:pPr>
                    <w:pStyle w:val="null3"/>
                    <w:jc w:val="both"/>
                  </w:pPr>
                  <w:r>
                    <w:rPr>
                      <w:sz w:val="21"/>
                      <w:color w:val="000000"/>
                    </w:rPr>
                    <w:t>纸张规格：纸厚：</w:t>
                  </w:r>
                  <w:r>
                    <w:rPr>
                      <w:sz w:val="21"/>
                      <w:color w:val="000000"/>
                    </w:rPr>
                    <w:t>0.06~1.25mm纸宽：38~120mm外径：最大203mm（8inch）内径：25.4～76.2mm（1～3英寸）</w:t>
                  </w:r>
                </w:p>
                <w:p>
                  <w:pPr>
                    <w:pStyle w:val="null3"/>
                    <w:jc w:val="both"/>
                  </w:pPr>
                  <w:r>
                    <w:rPr>
                      <w:sz w:val="21"/>
                      <w:color w:val="000000"/>
                    </w:rPr>
                    <w:t>标配传感器：纸张检测、黑标检测、标签检测、机构检测、碳带检测</w:t>
                  </w:r>
                </w:p>
                <w:p>
                  <w:pPr>
                    <w:pStyle w:val="null3"/>
                    <w:jc w:val="both"/>
                  </w:pPr>
                  <w:r>
                    <w:rPr>
                      <w:sz w:val="21"/>
                      <w:color w:val="000000"/>
                    </w:rPr>
                    <w:t>内存</w:t>
                  </w:r>
                  <w:r>
                    <w:rPr>
                      <w:sz w:val="21"/>
                      <w:color w:val="000000"/>
                    </w:rPr>
                    <w:t>/缓存：SDRAM：32MB</w:t>
                  </w:r>
                </w:p>
                <w:p>
                  <w:pPr>
                    <w:pStyle w:val="null3"/>
                    <w:jc w:val="both"/>
                  </w:pPr>
                  <w:r>
                    <w:rPr>
                      <w:sz w:val="21"/>
                      <w:color w:val="000000"/>
                    </w:rPr>
                    <w:t>接口：含</w:t>
                  </w:r>
                  <w:r>
                    <w:rPr>
                      <w:sz w:val="21"/>
                      <w:color w:val="000000"/>
                    </w:rPr>
                    <w:t>USB接口（2.0全速）、网口，支持选配RS-232串口（DB25） 双模蓝牙4.0、IEEE 802.11b/g/n WIFI（三选一）</w:t>
                  </w:r>
                </w:p>
                <w:p>
                  <w:pPr>
                    <w:pStyle w:val="null3"/>
                    <w:jc w:val="both"/>
                  </w:pPr>
                  <w:r>
                    <w:rPr>
                      <w:sz w:val="21"/>
                      <w:color w:val="000000"/>
                    </w:rPr>
                    <w:t>工作环境：温度：</w:t>
                  </w:r>
                  <w:r>
                    <w:rPr>
                      <w:sz w:val="21"/>
                      <w:color w:val="000000"/>
                    </w:rPr>
                    <w:t>0～45℃、湿度：20%～95%RH（无凝露）</w:t>
                  </w:r>
                </w:p>
                <w:p>
                  <w:pPr>
                    <w:pStyle w:val="null3"/>
                    <w:jc w:val="both"/>
                  </w:pPr>
                  <w:r>
                    <w:rPr>
                      <w:sz w:val="21"/>
                      <w:color w:val="000000"/>
                    </w:rPr>
                    <w:t>可选件：自动切纸刀、剥离器</w:t>
                  </w:r>
                </w:p>
                <w:p>
                  <w:pPr>
                    <w:pStyle w:val="null3"/>
                    <w:jc w:val="both"/>
                  </w:pPr>
                  <w:r>
                    <w:rPr>
                      <w:sz w:val="21"/>
                      <w:color w:val="000000"/>
                    </w:rPr>
                    <w:t>支持集成高性能</w:t>
                  </w:r>
                  <w:r>
                    <w:rPr>
                      <w:sz w:val="21"/>
                      <w:color w:val="000000"/>
                    </w:rPr>
                    <w:t>UHF RFID读写模块（支持几种打印模式，包括：打印同时进行RFID读写、打印同时进行RFID、写入EPC、仅读写EPC、仅打印、读取标签TID等）</w:t>
                  </w:r>
                </w:p>
                <w:p>
                  <w:pPr>
                    <w:pStyle w:val="null3"/>
                    <w:jc w:val="both"/>
                  </w:pPr>
                  <w:r>
                    <w:rPr>
                      <w:sz w:val="21"/>
                      <w:color w:val="000000"/>
                    </w:rPr>
                    <w:t>控制系统芯片：本国研发的控制系统芯片</w:t>
                  </w:r>
                </w:p>
                <w:p>
                  <w:pPr>
                    <w:pStyle w:val="null3"/>
                    <w:jc w:val="both"/>
                  </w:pPr>
                  <w:r>
                    <w:rPr>
                      <w:sz w:val="21"/>
                      <w:color w:val="000000"/>
                    </w:rPr>
                    <w:t>定位兼容性：一次定位抗金属与普通标签能无缝切换</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数量：</w:t>
                  </w:r>
                  <w:r>
                    <w:rPr>
                      <w:sz w:val="21"/>
                      <w:color w:val="000000"/>
                    </w:rPr>
                    <w:t>5台</w:t>
                  </w:r>
                </w:p>
              </w:tc>
            </w:tr>
            <w:tr>
              <w:tc>
                <w:tcPr>
                  <w:tcW w:type="dxa" w:w="8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RFID手持终端</w:t>
                  </w:r>
                </w:p>
              </w:tc>
              <w:tc>
                <w:tcPr>
                  <w:tcW w:type="dxa" w:w="45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支持</w:t>
                  </w:r>
                  <w:r>
                    <w:rPr>
                      <w:sz w:val="21"/>
                      <w:color w:val="000000"/>
                    </w:rPr>
                    <w:t>UHF RFID超高频读写，可选多种工作频段，能够识别市面各种电子标签</w:t>
                  </w:r>
                  <w:r>
                    <w:br/>
                  </w:r>
                  <w:r>
                    <w:rPr>
                      <w:sz w:val="21"/>
                      <w:color w:val="000000"/>
                    </w:rPr>
                    <w:t>工作频率：</w:t>
                  </w:r>
                  <w:r>
                    <w:rPr>
                      <w:sz w:val="21"/>
                      <w:color w:val="000000"/>
                    </w:rPr>
                    <w:t>840-960MHz（可依据各国家区域法规定制），默认为902-928MHz；</w:t>
                  </w:r>
                  <w:r>
                    <w:br/>
                  </w:r>
                  <w:r>
                    <w:rPr>
                      <w:sz w:val="21"/>
                      <w:color w:val="000000"/>
                    </w:rPr>
                    <w:t>可读写标签：符合</w:t>
                  </w:r>
                  <w:r>
                    <w:rPr>
                      <w:sz w:val="21"/>
                      <w:color w:val="000000"/>
                    </w:rPr>
                    <w:t>ISO-18000-6C/EPCC1G2；</w:t>
                  </w:r>
                </w:p>
                <w:p>
                  <w:pPr>
                    <w:pStyle w:val="null3"/>
                    <w:jc w:val="both"/>
                  </w:pPr>
                  <w:r>
                    <w:rPr>
                      <w:sz w:val="21"/>
                      <w:color w:val="000000"/>
                    </w:rPr>
                    <w:t>读取距离：室外空旷环境读取距离不低于</w:t>
                  </w:r>
                  <w:r>
                    <w:rPr>
                      <w:sz w:val="21"/>
                      <w:color w:val="000000"/>
                    </w:rPr>
                    <w:t>10米，群读速率不低于1400+标签/s；</w:t>
                  </w:r>
                </w:p>
                <w:p>
                  <w:pPr>
                    <w:pStyle w:val="null3"/>
                    <w:jc w:val="both"/>
                  </w:pPr>
                  <w:r>
                    <w:rPr>
                      <w:sz w:val="21"/>
                      <w:color w:val="000000"/>
                    </w:rPr>
                    <w:t>IP65 防水防尘结构设计，不低于1.2m 抗跌落，6 面均可承受 1.2 米高度跌落到大理石地面的冲击；</w:t>
                  </w:r>
                  <w:r>
                    <w:br/>
                  </w:r>
                  <w:r>
                    <w:rPr>
                      <w:sz w:val="21"/>
                      <w:color w:val="000000"/>
                    </w:rPr>
                    <w:t>电池容量大，支持更换电池；</w:t>
                  </w:r>
                </w:p>
                <w:p>
                  <w:pPr>
                    <w:pStyle w:val="null3"/>
                    <w:jc w:val="both"/>
                  </w:pPr>
                  <w:r>
                    <w:rPr>
                      <w:sz w:val="21"/>
                      <w:color w:val="000000"/>
                    </w:rPr>
                    <w:t>可满足</w:t>
                  </w:r>
                  <w:r>
                    <w:rPr>
                      <w:sz w:val="21"/>
                      <w:color w:val="000000"/>
                    </w:rPr>
                    <w:t>24 小时连续工作需求；</w:t>
                  </w:r>
                </w:p>
                <w:p>
                  <w:pPr>
                    <w:pStyle w:val="null3"/>
                    <w:jc w:val="both"/>
                  </w:pPr>
                  <w:r>
                    <w:rPr>
                      <w:sz w:val="21"/>
                      <w:color w:val="000000"/>
                    </w:rPr>
                    <w:t>后置</w:t>
                  </w:r>
                  <w:r>
                    <w:rPr>
                      <w:sz w:val="21"/>
                      <w:color w:val="000000"/>
                    </w:rPr>
                    <w:t>1300w 自动对焦摄像头，前置 500w 定焦摄像头，高亮 LED 闪光灯；</w:t>
                  </w:r>
                </w:p>
                <w:p>
                  <w:pPr>
                    <w:pStyle w:val="null3"/>
                    <w:jc w:val="both"/>
                  </w:pPr>
                  <w:r>
                    <w:rPr>
                      <w:sz w:val="21"/>
                      <w:color w:val="000000"/>
                    </w:rPr>
                    <w:t>操作系统不低于</w:t>
                  </w:r>
                  <w:r>
                    <w:rPr>
                      <w:sz w:val="21"/>
                      <w:color w:val="000000"/>
                    </w:rPr>
                    <w:t>Android 11，配置不低于8核 2.0GHz RAM:4GB ROM：64GB；</w:t>
                  </w:r>
                </w:p>
                <w:p>
                  <w:pPr>
                    <w:pStyle w:val="null3"/>
                    <w:jc w:val="both"/>
                  </w:pPr>
                  <w:r>
                    <w:rPr>
                      <w:sz w:val="21"/>
                      <w:color w:val="000000"/>
                    </w:rPr>
                    <w:t>支持</w:t>
                  </w:r>
                  <w:r>
                    <w:rPr>
                      <w:sz w:val="21"/>
                      <w:color w:val="000000"/>
                    </w:rPr>
                    <w:t>BT5.0BLE，支持IEEE 802.11 a/b/g/n/ac 2.4G/5G 双频，支持快速漫游；</w:t>
                  </w:r>
                </w:p>
                <w:p>
                  <w:pPr>
                    <w:pStyle w:val="null3"/>
                    <w:jc w:val="both"/>
                  </w:pPr>
                  <w:r>
                    <w:rPr>
                      <w:sz w:val="21"/>
                      <w:color w:val="000000"/>
                    </w:rPr>
                    <w:t>提供接口包括：</w:t>
                  </w:r>
                  <w:r>
                    <w:rPr>
                      <w:sz w:val="21"/>
                      <w:color w:val="000000"/>
                    </w:rPr>
                    <w:t>2个 Nano SlM 卡槽、1 个 Micro SD 卡槽，最大可扩展 256G、USB TYPE-C 接口，支持 OTG；</w:t>
                  </w:r>
                </w:p>
                <w:p>
                  <w:pPr>
                    <w:pStyle w:val="null3"/>
                    <w:jc w:val="both"/>
                  </w:pPr>
                  <w:r>
                    <w:rPr>
                      <w:sz w:val="21"/>
                      <w:color w:val="000000"/>
                    </w:rPr>
                    <w:t>NFC支持协议:ISO14443A/B，ISO15693，读取距离:0-5cm；</w:t>
                  </w:r>
                </w:p>
                <w:p>
                  <w:pPr>
                    <w:pStyle w:val="null3"/>
                    <w:jc w:val="both"/>
                  </w:pPr>
                  <w:r>
                    <w:rPr>
                      <w:sz w:val="21"/>
                      <w:color w:val="000000"/>
                    </w:rPr>
                    <w:t>条码扫描支持码制包括：</w:t>
                  </w:r>
                  <w:r>
                    <w:rPr>
                      <w:sz w:val="21"/>
                      <w:color w:val="000000"/>
                    </w:rPr>
                    <w:t>NLS-CM60 或NLS-CM30，</w:t>
                  </w:r>
                </w:p>
                <w:p>
                  <w:pPr>
                    <w:pStyle w:val="null3"/>
                    <w:jc w:val="both"/>
                  </w:pPr>
                  <w:r>
                    <w:rPr>
                      <w:sz w:val="21"/>
                      <w:color w:val="000000"/>
                    </w:rPr>
                    <w:t>支持</w:t>
                  </w:r>
                  <w:r>
                    <w:rPr>
                      <w:sz w:val="21"/>
                      <w:color w:val="000000"/>
                    </w:rPr>
                    <w:t>EAN13， EAN8， UPCA， UPCE，Code 128， Code 39， CodabarUCC/EAN128， RSS，ITF， ITF14， ITF6， ISSN， ISBN，Standard 25， Matrix25，industrial 25，Plessey，MSl Plessey，Code 11，Code 93，PDF417，QR Code， DataMatrix，AZTEC，汉信码， Maxicode，Micro QR，MicroPDF417，Composite.</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数量：</w:t>
                  </w:r>
                  <w:r>
                    <w:rPr>
                      <w:sz w:val="21"/>
                      <w:color w:val="000000"/>
                    </w:rPr>
                    <w:t>10台</w:t>
                  </w:r>
                </w:p>
              </w:tc>
            </w:tr>
          </w:tbl>
          <w:p>
            <w:pPr>
              <w:pStyle w:val="null3"/>
              <w:ind w:firstLine="448"/>
            </w:pPr>
          </w:p>
        </w:tc>
      </w:tr>
    </w:tbl>
    <w:p>
      <w:pPr>
        <w:pStyle w:val="null3"/>
      </w:pPr>
      <w:r>
        <w:rPr/>
        <w:t>采购包1（医院运营管理平台建设）</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交付（实施）的时间（期限）：合同签订后180个日历日内完成系统安装、调试以及上线工作。</w:t>
            </w:r>
          </w:p>
        </w:tc>
      </w:tr>
      <w:tr>
        <w:tc>
          <w:tcPr>
            <w:tcW w:type="dxa" w:w="4153"/>
          </w:tcPr>
          <w:p>
            <w:pPr>
              <w:pStyle w:val="null3"/>
            </w:pPr>
            <w:r>
              <w:rPr/>
              <w:t>标的提供的地点</w:t>
            </w:r>
          </w:p>
        </w:tc>
        <w:tc>
          <w:tcPr>
            <w:tcW w:type="dxa" w:w="4153"/>
          </w:tcPr>
          <w:p>
            <w:pPr>
              <w:pStyle w:val="null3"/>
            </w:pPr>
            <w:r>
              <w:rPr/>
              <w:t>江门市中心医院</w:t>
            </w:r>
          </w:p>
        </w:tc>
      </w:tr>
      <w:tr>
        <w:tc>
          <w:tcPr>
            <w:tcW w:type="dxa" w:w="4153"/>
          </w:tcPr>
          <w:p>
            <w:pPr>
              <w:pStyle w:val="null3"/>
            </w:pPr>
            <w:r>
              <w:rPr/>
              <w:t>付款方式</w:t>
            </w:r>
          </w:p>
        </w:tc>
        <w:tc>
          <w:tcPr>
            <w:tcW w:type="dxa" w:w="4153"/>
          </w:tcPr>
          <w:p>
            <w:pPr>
              <w:pStyle w:val="null3"/>
            </w:pPr>
            <w:r>
              <w:rPr/>
              <w:t>1期：支付比例30%,合同签订生效，且采购人收到投标人开具符合国家财务规定的等额发票后的 60日内，采购人将合同总金额的30%作为预付款支付给投标人；</w:t>
            </w:r>
          </w:p>
          <w:p>
            <w:pPr>
              <w:pStyle w:val="null3"/>
            </w:pPr>
            <w:r>
              <w:rPr/>
              <w:t>2期：支付比例60%,系统完工整体验收合格，且采购人收到投标人开具符合国家财务规定的等额发票后的 60日内，采购人将合同总金额的60%支付给投标人；</w:t>
            </w:r>
          </w:p>
          <w:p>
            <w:pPr>
              <w:pStyle w:val="null3"/>
            </w:pPr>
            <w:r>
              <w:rPr/>
              <w:t>3期：支付比例10%,系统完工整体验收合格且正常运行1年后，且采购人收到投标人开具符合国家财务规定的等额发票后的 60日内，采购人将余下款项（合同总金额的10%）支付给投标人。</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系统安装、调试、对接完成后并且系统顺利持续运行一个月后10个日内进行验收，中标人向采购人提出验收申请。采购人在收到上述申请后10日内组织验收。验收合格后视为交货。验收按国家有关的规定、合同及有关附件要求进行。本项目验收要求对本项目全部系统软件、应用软件对应全部功能进行验收。 2.验收地点：江门市中心医院（采购人指定地点）。 3.验收方式：由采购人相关人员与中标人相关人员共同组成，采购人与中标人共同对整个系统集成依据合同要求进行检查测试；对集成的每一部分进行诊断，并对系统进行48小时测试，验收结果由采购人中标人双方主管人员签字并盖章认可，存档留作验收时参考。 4.验收标准：符合招标文件、中标人的投标文件、澄清文件和中标通知书的要求；单证齐全，有发票和其它应当具有单证文件。整体验收对照招标文件及投标文件，逐项功能，逐项指标查阅，由使用部门、信息部门、院领导三方签字。中标人应负责在项目验收时将系统的全部有关产品说明书、原厂家安装手册、技术文件、资料、安装、验收报告等文档汇集成册交付系统使用单位。 5.验收交付文档包括但不限于：全套、完整的安装手册、配置、管理及维护的全面技术资料，所有与用户、设备等相关联的说明、表格等资料，以及产品合格证明材料和验收报告。 6.验收异议：①在验收过程中，如发现系统相关内容未完善、未能完全对接院内系统或者未能按照招投标文件中约定的方式进行操作的，中标人须无条件进行整改，整改产生的费用由中标人承担。中标人未能完成整改前，采购人有权拒绝签字验收。②中标人提供的功能未达到招标文件规定要求，且对采购人造成损失的，由投标人承担一切责任，并赔偿所造成的损失。</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r>
              <w:rPr/>
              <w:t>、支票（本票、汇票）</w:t>
            </w:r>
            <w:r>
              <w:rPr/>
              <w:t>、其他</w:t>
            </w:r>
          </w:p>
          <w:p>
            <w:pPr>
              <w:pStyle w:val="null3"/>
            </w:pPr>
            <w:r>
              <w:rPr/>
              <w:t>账号：详见合同</w:t>
            </w:r>
          </w:p>
          <w:p>
            <w:pPr>
              <w:pStyle w:val="null3"/>
            </w:pPr>
            <w:r>
              <w:rPr/>
              <w:t>户名：详见合同</w:t>
            </w:r>
          </w:p>
          <w:p>
            <w:pPr>
              <w:pStyle w:val="null3"/>
            </w:pPr>
            <w:r>
              <w:rPr/>
              <w:t>开户行：详见合同</w:t>
            </w:r>
          </w:p>
          <w:p>
            <w:pPr>
              <w:pStyle w:val="null3"/>
            </w:pPr>
            <w:r>
              <w:rPr/>
              <w:t>支票提交方式：详见说明</w:t>
            </w:r>
          </w:p>
          <w:p>
            <w:pPr>
              <w:pStyle w:val="null3"/>
            </w:pPr>
            <w:r>
              <w:rPr/>
              <w:t>汇票、本票提交方式：详见说明</w:t>
            </w:r>
          </w:p>
          <w:p>
            <w:pPr>
              <w:pStyle w:val="null3"/>
            </w:pPr>
            <w:r>
              <w:rPr/>
              <w:t>说明：1、提交说明： (1)时间：在合同签订生效五个工作日内； (2)金额：项目合同总金额的5%； (3)方式：转账、支票、汇票、本票、金融机构开具的保函（保函有效期至合同履约结束）等非现金形式。 2、退还说明：服务期满后采购人接到中标供应商退款申请之日起30个工作日内一次性无息退还。履约保证金不退还情形：①未按照合同履约的，履约保证金不予退还，给采购人造成的损失超过履约保证金数额的，还应当对超过部分予以赔偿。②其他违反国家相关法律法规的情形。③中标供应商违反合同及其附件约定的任何义务，采购人有权在履约保证金中直接扣除中标供应商应向采购人支付的违约金或损失赔偿额，如有不足的，中标供应商应对超过的部分予以赔偿。采购人逾期退还履约保证金的，从逾期之日起每日按履约保证金万分之一的数额向中标供应商支付违约金。但因中标供应商自身原因导致无法及时退还的除外。</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其他要求1</w:t>
            </w:r>
          </w:p>
        </w:tc>
        <w:tc>
          <w:tcPr>
            <w:tcW w:type="dxa" w:w="2076"/>
          </w:tcPr>
          <w:p>
            <w:pPr>
              <w:pStyle w:val="null3"/>
              <w:jc w:val="left"/>
            </w:pPr>
            <w:r>
              <w:rPr/>
              <w:t>1.项目实施要求 1.1项目实施工期安排：投标人需严格遵循采购人的要求，在双方正式签订合同后的180日历日内，完成系统的安装、调试以及上线工作。此过程需确保每个环节紧密衔接，以最大限度地缩短工期，同时保证项目质量。 1.2项目管理制度与流程：投标人应拥有健全的项目管理制度和流程，以及经过严格筛选和培训的项目实施人员。在项目全过程中，实施严格的质量管理，确保项目实施的顺利进行，满足采购人的各项要求。 1.3为保障项目按质、按量、按时及有序实施，要求投标人提供完整的项目实施管理办法并出具本项目详尽的实施方案，并在中标后建立一支完善和稳定的项目团队、管理机构及执行流程。投标人在项目实施过程（响应需求，需求调研、业务流程重组、技术方案、实施计划、进度、测试、验收、培训、交付使用等）中，对确保软件质量（遵循软件行业标准及国家卫建委医疗信息化相关标准政策）各方面进行相关的约束，及提出相应的要求。项目实施应完成下述过程：用户需求项目的开发前调研；1、系统开发；2、系统实施；3、系统测试；4、数据准备；5、人员培训；6、系统试运行；7、测试与验收；8、交付及合同期内的维护。项目组织结构与人力配置方案（项目现场实施团队不少于3人，整个项目团队不少于8人）项目组成员具有同类大型项目成功实施经验：投标人须说明为满足本项目实施需要，拟成立的本项目实施团队的管理组织机构，包括人员的配备、分工，并附上参加本项目的主要管理、技术人员一览表，主要人员个人简历表、主要人员的相关从业资格证书/类似项目经验，并承诺项目周期内实施人员的稳定性，项目核心人员不发生变动。在项目组人员构成方面，配备人员如下：项目经理、需求分析师、软件工程师、技术负责人、驻场保障人员、系统测试人员、协调和管理人员、文档编写人员。项目组成人员应熟悉电子病历系统各个模块、运维系统、数据库技术等领域的知识。 2.售后服务要求 2.1软件系统通过终审验收后，投标人提供二年的运维保障服务，包含但不限于软件版本升级、功能更新及优化、原有接口及系统改造以及维护服务，相关运维保障服务所有费用均包含在本次项目费用中，采购人无需另行支付人工费、服务费、培训费等任何费用。 2.2售后服务内容 2.2.1投标人在维保期内应当为采购人提供以下技术支持和服务：电话咨询：投标人应当为采购人提供技术援助电话，解答采购人在使用中遇到的问题，及时为采购人提出解决问题的建议。现场响应：质保期内提供7*24小时的运维保障服务。采购人遇到使用及技术问题，现场人员(如果有)或电话咨询不能解决的，投标人应在30分钟内响应需求，120分钟内派工程师到达现场进行处理，到现场后60分钟内确保产品正常工作。技术升级：在质保期内，如果投标人的产品技术升级，投标人应及时通知采购人，如采购人有相应要求，投标人应对采购人购买的产品进行升级服务。 2.2.2维保期外服务要求：维保期过后，投标人应同样提供电话咨询服务，并应承诺提供产品上门维护服务。维保期过后，采购人需要继续由原投标人提供售后服务的，该投标人应以优惠价格提供售后服务。 2.2.3安全应急：如遇见网络安全事件4小时内需提供应急服务。 3.培训要求 3.1对与本项目的相关技术，投标人也需要提供必要的手段保证能够将其传授与使用方。与培训相关的费用，投标人应当一并计算在投标报价中。 3.2为了让使用方人员更好地对系统进行管理和维护，投标人需对相关技术人员和管理专家进行全面的培训，使之在各个层次上掌握应用软件系统的操作、系统配置、运营、故障处理及日常测试维护，从而确保系统能正常安全的运行。 3.3投标人根据系统软件的功能和特点，充分考虑到系统使用人员的实际水平，提出详细的系统培训方案，明确培训的内容、次数和方式，保证医院相关人员能够具备独立管理系统软件和日常的维护处理能力，各级业务人员能够熟练使用系统软件。投标人负责培训环境的搭建、培训文档的准备、培训的实施、培训人员的考核等工作。如医院认为投标人提供的系统培训方案（包括不限于培训内容、次数、方式等）不能满足医院需求或存在其他问题的，医院有权提出建议或要求，投标人应根据医院提出的建议或要求进行修正。 3.4投标人提供普通业务操作员、系统管理员、骨干人员等人员现场培训。针对不同对象制定不同的培训计划，并分别培训。 3.5投标人提供应用软件操作、操作系统、后台数据库管理、系统维护等现场培训。 3.6如医院有培训需求投标人应积极响应, 医院仅负责提供培训场地、培训电脑和培训人员的召集、投标人需制作培训教材、培训手册等。 3.7投标人必须为所有被培训人员进行现场培训。 3.8每次培训的相关教材、视频等纸质及电子文档资料须交付采购人留存。</w:t>
            </w:r>
          </w:p>
        </w:tc>
      </w:tr>
      <w:tr>
        <w:tc>
          <w:tcPr>
            <w:tcW w:type="dxa" w:w="2076"/>
          </w:tcPr>
          <w:p>
            <w:pPr>
              <w:pStyle w:val="null3"/>
              <w:jc w:val="center"/>
            </w:pPr>
            <w:r>
              <w:rPr/>
              <w:t>★</w:t>
            </w:r>
          </w:p>
        </w:tc>
        <w:tc>
          <w:tcPr>
            <w:tcW w:type="dxa" w:w="2076"/>
          </w:tcPr>
          <w:p>
            <w:pPr>
              <w:pStyle w:val="null3"/>
              <w:jc w:val="center"/>
            </w:pPr>
            <w:r>
              <w:rPr/>
              <w:t>2</w:t>
            </w:r>
          </w:p>
        </w:tc>
        <w:tc>
          <w:tcPr>
            <w:tcW w:type="dxa" w:w="2076"/>
          </w:tcPr>
          <w:p>
            <w:pPr>
              <w:pStyle w:val="null3"/>
              <w:jc w:val="left"/>
            </w:pPr>
            <w:r>
              <w:rPr/>
              <w:t>其他要求2</w:t>
            </w:r>
          </w:p>
        </w:tc>
        <w:tc>
          <w:tcPr>
            <w:tcW w:type="dxa" w:w="2076"/>
          </w:tcPr>
          <w:p>
            <w:pPr>
              <w:pStyle w:val="null3"/>
              <w:jc w:val="left"/>
            </w:pPr>
            <w:r>
              <w:rPr/>
              <w:t>★4.其他要求 4.1投标人系统数据库不能加密、不能使用加密狗或其它方式限制软件使用。 4.2质保期满后，如采购人需要，投标人必须提供维护服务，采购人和投标人双方同意，质保期满后每年的维护费不超过合同总价格的8%，含版本升级费用。该全保服务费已包含软件版本升级改造和功能更新、需求定制开发的完整源代码、人员培训、驻场人员、相关人力成本及食宿差旅费等。 4.3投标人无偿开放所有数据接口，后期不再另行收取第三方任何接口费用。投标人在项目实施过程中与第三方对接产生的改造和接口费用全部由投标人承担。（此费用已包含在报价内，采购人不另外支付）若本项目由投标人继续维护的，采购人所支付的年维护费已经包含本项目所有接口费。 4.4本项目提供的应用软件系统与医院信息系统（包括但不限于HIS、EMR、LIS、PACS、CIS、病案系统、手术麻醉等各业务系统）对接时可按医院方需求基于集成平台提供的国家标准接口方式提供对接，系统数据格式符合相关行业标准，使用集成平台统一接口与其他信息系统进行集成对接。 4.5软件版本需要兼容并稳定运行在WINDOWS、各移动设备（含手机）操作系统的各个版本。 4.6投标人项目中标价及后续维护费，包含以下数据服务费用： 4.6.1配合医院方通过国家《电子病历系统应用水平分级评价标准》评价要求，达到5级水平。 4.6.2配合医院方通过国家《医院信息互联互通标准化成熟度测评》测评要求，达到五级乙等。 4.6.3配合医院方通过国家、“智慧服务”要求，达到3级水平。 4.6.4配合医院方满足三级甲等医院评审要求。 4.6.5配合医院方完成国家、省、市各级政府部门及国家卫健委、省卫健委、市卫健局对采购人的医联体、区域医疗等最新管理目标任务。 4.6.6项目含投标人的接口费用、改造费用、嵌入费用等。 4.6.7配合医院方完成“全院临床科研大数据”、“全域数据湖”建设。 4.6.8配合医院方接入单点登录建设。 4.6.9配合医院方完成数据集成、界面集成。 4.7投标人所投产品支持本国服务器、本国服务器操作系统、本国客户端操作系统、本国数据库。 4.8软件系统符合信息安全等级保护（最新版）规定，同时应确保信息系统安全，依据国家相关法规和标准，防范和应对信息安全风险，保障网络、系统和数据的安全。 4.9投标人应与医院方签订《网络信息安全责任及保密协议书》和《廉洁购销合同》。 4.10合同期内，投标人应采取必要的安全措施，保障医院方数据和系统的安全，防范各类网络安全事件的发生。投标人应建立健全的网络安全管理体系，实施严格的数据备份和恢复策略，保证系统和数据的安全性和可用性。 4.11投标人应采取合理的安全措施，防止医院方数据和系统的非授权访问、篡改或泄漏。投标人应按照医院方的要求，落实医院方提出的安全控制措施建议，并根据医院方的安全策略进行系统配置和安全加固。 4.12在合同期内，投标人应对所有安全事件进行记录、分析和报告，及时通知采购人并配合采购人进行事件处理和恢复工作。投标人应定期进行安全审计和检查，及时发现和处理潜在的安全风险和漏洞。 4.13对于投标人在其系统构建过程中所采购的第三方组件或系统，在规定的维保期内，相关版本应确保能够进行更新，以保障系统的持续优化与稳定运行，维护采购人的合法权益与使用体验（此费用已包含在报价内，采购人不另外支付）。 4.14投标人不得以任何方式转包或分包本项目。 4.15本项目所涉及的所有软件系统应基于成熟的B/S（浏览器/服务器）架构进行设计与开发，以此确保系统在架构层面拥有稳固根基，具备高可扩展性、便捷的维护性以及良好的用户交互体验等特性，为项目的高效推进与长远发展提供坚实有力的支撑，有力保障系统在各类复杂应用场景下均能稳定、可靠且高效地运行。整个系统本地化部署。 4.16验收应提交的资料，包括但不限于以下内容：软件设计文档；需求分析说明书；系统测试方案和报告；二次开发全部源代码（必须实时与线上一致，且能开发调试，保证完整性，并且培训医院的人使用）；培训搭建开发环境，提供详细开发环境搭建说明书；服务器和客户端的安装维护手册；系统使用操作手册；培训资料；数据表结构说明文档；详细的项目计划；所有接口说明文档；工具操作说明书；项目部署架构说明书；项目阶段报告。所有的代码资料文档和数据库的数据不得加密，确因安全管理需要加密，也需要文档详细告知采购人如何解密。</w:t>
            </w:r>
          </w:p>
        </w:tc>
      </w:tr>
      <w:tr>
        <w:tc>
          <w:tcPr>
            <w:tcW w:type="dxa" w:w="2076"/>
          </w:tcPr>
          <w:p/>
        </w:tc>
        <w:tc>
          <w:tcPr>
            <w:tcW w:type="dxa" w:w="2076"/>
          </w:tcPr>
          <w:p>
            <w:pPr>
              <w:pStyle w:val="null3"/>
              <w:jc w:val="center"/>
            </w:pPr>
            <w:r>
              <w:rPr/>
              <w:t>3</w:t>
            </w:r>
          </w:p>
        </w:tc>
        <w:tc>
          <w:tcPr>
            <w:tcW w:type="dxa" w:w="2076"/>
          </w:tcPr>
          <w:p>
            <w:pPr>
              <w:pStyle w:val="null3"/>
              <w:jc w:val="left"/>
            </w:pPr>
            <w:r>
              <w:rPr/>
              <w:t>其他要求3</w:t>
            </w:r>
          </w:p>
        </w:tc>
        <w:tc>
          <w:tcPr>
            <w:tcW w:type="dxa" w:w="2076"/>
          </w:tcPr>
          <w:p>
            <w:pPr>
              <w:pStyle w:val="null3"/>
              <w:jc w:val="left"/>
            </w:pPr>
            <w:r>
              <w:rPr/>
              <w:t>5、其他： 5.1供应商提供承诺函、第三方书面声明、检测报告、资质证件、业绩成果等采购文件要求提供的材料作为响应文件组成部分的，供应商应保证资料内容书写正确、真实有效、完整一致。 5.2按照相关规定可通过官方网站查询的资质证件，供应商应确保资质证件真实有效、线上可查。如采购文件要求提供检测报告的，供应商应当确保检测机构资质符合项目要求，检测报告内容、检测委托合同、相关发票等材料主体及信息一致。采购人有权要求供应商如实配合提供相关文件和材料原件做核对。 5.3投标人企业内部质量管理体系完善，企业质量管理和质量保证能力符合相应标准或有能力按规定的质量要求为本项目提供服务。</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行业应用软件开发服务</w:t>
            </w:r>
          </w:p>
        </w:tc>
        <w:tc>
          <w:tcPr>
            <w:tcW w:type="dxa" w:w="933"/>
          </w:tcPr>
          <w:p>
            <w:pPr>
              <w:pStyle w:val="null3"/>
              <w:jc w:val="left"/>
            </w:pPr>
            <w:r>
              <w:rPr/>
              <w:t>医院运营管理平台建设</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1,980,000.00</w:t>
            </w:r>
          </w:p>
        </w:tc>
        <w:tc>
          <w:tcPr>
            <w:tcW w:type="dxa" w:w="933"/>
          </w:tcPr>
          <w:p>
            <w:pPr>
              <w:pStyle w:val="null3"/>
              <w:jc w:val="right"/>
            </w:pPr>
            <w:r>
              <w:rPr/>
              <w:t>1,980,000.00</w:t>
            </w:r>
          </w:p>
        </w:tc>
        <w:tc>
          <w:tcPr>
            <w:tcW w:type="dxa" w:w="840"/>
          </w:tcPr>
          <w:p>
            <w:pPr>
              <w:pStyle w:val="null3"/>
            </w:pPr>
            <w:r>
              <w:rPr/>
              <w:t>软件和信息技术服务业</w:t>
            </w:r>
          </w:p>
        </w:tc>
        <w:tc>
          <w:tcPr>
            <w:tcW w:type="dxa" w:w="933"/>
          </w:tcPr>
          <w:p>
            <w:pPr>
              <w:pStyle w:val="null3"/>
            </w:pPr>
            <w:r>
              <w:rPr/>
              <w:t>详见附表一</w:t>
            </w:r>
          </w:p>
        </w:tc>
      </w:tr>
    </w:tbl>
    <w:p>
      <w:pPr>
        <w:pStyle w:val="null3"/>
      </w:pPr>
      <w:r>
        <w:rPr>
          <w:b/>
        </w:rPr>
        <w:t>附表</w:t>
      </w:r>
      <w:r>
        <w:rPr>
          <w:b/>
        </w:rPr>
        <w:t>一</w:t>
      </w:r>
      <w:r>
        <w:rPr>
          <w:b/>
        </w:rPr>
        <w:t>：</w:t>
      </w:r>
      <w:r>
        <w:rPr>
          <w:b/>
        </w:rPr>
        <w:t>医院运营管理平台建设</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w:t>
            </w:r>
            <w:r>
              <w:rPr>
                <w:sz w:val="21"/>
              </w:rPr>
              <w:t>“</w:t>
            </w:r>
            <w:r>
              <w:rPr>
                <w:sz w:val="21"/>
              </w:rPr>
              <w:t>项目概况</w:t>
            </w:r>
            <w:r>
              <w:rPr>
                <w:sz w:val="21"/>
              </w:rPr>
              <w:t>”</w:t>
            </w:r>
            <w:r>
              <w:rPr>
                <w:sz w:val="21"/>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江门市中心医院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按照差额定率累进法采购代理机构按缴纳采购代理服务费，以中标通知书中的中标金额作为采购代理服务费的计算基数。参照中华人民共和国国家发展计划委员会颁发的计价格〔2002〕1980号、发改办价格〔2003〕857号及发改价格〔2011〕534号文规定的“服务类”计费标准下浮20%计算并缴纳，采购代理服务费不足5000元的按5000元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具体情况根据开标(开启)时现场代理机构人员设置为准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郭春曦</w:t>
      </w:r>
    </w:p>
    <w:p>
      <w:pPr>
        <w:pStyle w:val="null3"/>
        <w:ind w:firstLine="480"/>
      </w:pPr>
      <w:r>
        <w:rPr/>
        <w:t>电话：</w:t>
      </w:r>
      <w:r>
        <w:rPr/>
        <w:t>020-37860711</w:t>
      </w:r>
    </w:p>
    <w:p>
      <w:pPr>
        <w:pStyle w:val="null3"/>
        <w:ind w:firstLine="480"/>
      </w:pPr>
      <w:r>
        <w:rPr/>
        <w:t>传真：</w:t>
      </w:r>
      <w:r>
        <w:rPr/>
        <w:t>020-37860699</w:t>
      </w:r>
    </w:p>
    <w:p>
      <w:pPr>
        <w:pStyle w:val="null3"/>
        <w:ind w:firstLine="480"/>
      </w:pPr>
      <w:r>
        <w:rPr/>
        <w:t>邮箱：</w:t>
      </w:r>
      <w:r>
        <w:rPr/>
        <w:t>guochunxi@ebidding.com</w:t>
      </w:r>
    </w:p>
    <w:p>
      <w:pPr>
        <w:pStyle w:val="null3"/>
        <w:ind w:firstLine="480"/>
      </w:pPr>
      <w:r>
        <w:rPr/>
        <w:t>地址：</w:t>
      </w:r>
      <w:r>
        <w:rPr/>
        <w:t>广州市越秀区东风东路726号9楼监审部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政府采购监督管理机构名称：江门市财政局</w:t>
      </w:r>
    </w:p>
    <w:p>
      <w:pPr>
        <w:pStyle w:val="null3"/>
      </w:pPr>
      <w:r>
        <w:rPr/>
        <w:t>地 址：江门市蓬江区华园中路21-23号</w:t>
      </w:r>
    </w:p>
    <w:p>
      <w:pPr>
        <w:pStyle w:val="null3"/>
      </w:pPr>
      <w:r>
        <w:rPr/>
        <w:t>电 话：0750-3501936、0750-3501903</w:t>
      </w:r>
    </w:p>
    <w:p>
      <w:pPr>
        <w:pStyle w:val="null3"/>
      </w:pPr>
      <w:r>
        <w:rPr/>
        <w:t>邮 编：529000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采购包1(医院运营管理平台建设)：综合评分法,是指投标文件满足招标文件全部实质性要求，且按照评审因素的量化指标评审得分最高的投标人为中标候选人的评标方法。（最低报价不是中标的唯一依据。）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采购包1（医院运营管理平台建设）：</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采购包1（医院运营管理平台建设）：</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 如依法免税或不需要缴纳社会保障资金的， 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提供2022-2024年任意一年的财务状况报告或基本开户行出具的资信证明。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按投标（响应）文件格式填报设备及专业技术能力情况或提供承诺函承诺相关内容。</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本项目整体专门面向中小企业采购，供应商应为符合本项目所属行业（软件和信息技术服务业）政策划分标准的中小微企业，须提供《中小企业声明函》，或省级以上监狱管理局、戒毒管理局（含新疆生产建设兵团）出具的属于监狱企业的证明文件，或《残疾人福利性单位声明函》。</w:t>
            </w:r>
          </w:p>
        </w:tc>
      </w:tr>
    </w:tbl>
    <w:p>
      <w:pPr>
        <w:pStyle w:val="null3"/>
        <w:ind w:firstLine="480"/>
      </w:pPr>
      <w:r>
        <w:rPr/>
        <w:t>表二符合性审查表：</w:t>
      </w:r>
    </w:p>
    <w:p>
      <w:pPr>
        <w:pStyle w:val="null3"/>
      </w:pPr>
      <w:r>
        <w:rPr/>
        <w:t>采购包1（医院运营管理平台建设）：</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从提交投标（响应）文件的截止之日起不少于90日历天。</w:t>
            </w:r>
          </w:p>
        </w:tc>
      </w:tr>
      <w:tr>
        <w:tc>
          <w:tcPr>
            <w:tcW w:type="dxa" w:w="890"/>
          </w:tcPr>
          <w:p>
            <w:pPr>
              <w:pStyle w:val="null3"/>
            </w:pPr>
            <w:r>
              <w:rPr/>
              <w:t>2</w:t>
            </w:r>
          </w:p>
        </w:tc>
        <w:tc>
          <w:tcPr>
            <w:tcW w:type="dxa" w:w="3178"/>
          </w:tcPr>
          <w:p>
            <w:pPr>
              <w:pStyle w:val="null3"/>
            </w:pPr>
            <w:r>
              <w:rPr/>
              <w:t>投标报价</w:t>
            </w:r>
          </w:p>
        </w:tc>
        <w:tc>
          <w:tcPr>
            <w:tcW w:type="dxa" w:w="4238"/>
          </w:tcPr>
          <w:p>
            <w:pPr>
              <w:pStyle w:val="null3"/>
            </w:pPr>
            <w:r>
              <w:rPr/>
              <w:t>（1）对本采购包全部内容进行投标报价；（2）投标报价是唯一确定的；（3）报价不超过采购预算或最高限价。</w:t>
            </w:r>
          </w:p>
        </w:tc>
      </w:tr>
      <w:tr>
        <w:tc>
          <w:tcPr>
            <w:tcW w:type="dxa" w:w="890"/>
          </w:tcPr>
          <w:p>
            <w:pPr>
              <w:pStyle w:val="null3"/>
            </w:pPr>
            <w:r>
              <w:rPr/>
              <w:t>3</w:t>
            </w:r>
          </w:p>
        </w:tc>
        <w:tc>
          <w:tcPr>
            <w:tcW w:type="dxa" w:w="3178"/>
          </w:tcPr>
          <w:p>
            <w:pPr>
              <w:pStyle w:val="null3"/>
            </w:pPr>
            <w:r>
              <w:rPr/>
              <w:t>投标函</w:t>
            </w:r>
          </w:p>
        </w:tc>
        <w:tc>
          <w:tcPr>
            <w:tcW w:type="dxa" w:w="4238"/>
          </w:tcPr>
          <w:p>
            <w:pPr>
              <w:pStyle w:val="null3"/>
            </w:pPr>
            <w:r>
              <w:rPr/>
              <w:t>提交《投标函》。</w:t>
            </w:r>
          </w:p>
        </w:tc>
      </w:tr>
      <w:tr>
        <w:tc>
          <w:tcPr>
            <w:tcW w:type="dxa" w:w="890"/>
          </w:tcPr>
          <w:p>
            <w:pPr>
              <w:pStyle w:val="null3"/>
            </w:pPr>
            <w:r>
              <w:rPr/>
              <w:t>4</w:t>
            </w:r>
          </w:p>
        </w:tc>
        <w:tc>
          <w:tcPr>
            <w:tcW w:type="dxa" w:w="3178"/>
          </w:tcPr>
          <w:p>
            <w:pPr>
              <w:pStyle w:val="null3"/>
            </w:pPr>
            <w:r>
              <w:rPr/>
              <w:t>法定代表人证明书及授权委托书</w:t>
            </w:r>
          </w:p>
        </w:tc>
        <w:tc>
          <w:tcPr>
            <w:tcW w:type="dxa" w:w="4238"/>
          </w:tcPr>
          <w:p>
            <w:pPr>
              <w:pStyle w:val="null3"/>
            </w:pPr>
            <w:r>
              <w:rPr/>
              <w:t>提供有效的代表人证明书及授权委托书。</w:t>
            </w:r>
          </w:p>
        </w:tc>
      </w:tr>
      <w:tr>
        <w:tc>
          <w:tcPr>
            <w:tcW w:type="dxa" w:w="890"/>
          </w:tcPr>
          <w:p>
            <w:pPr>
              <w:pStyle w:val="null3"/>
            </w:pPr>
            <w:r>
              <w:rPr/>
              <w:t>5</w:t>
            </w:r>
          </w:p>
        </w:tc>
        <w:tc>
          <w:tcPr>
            <w:tcW w:type="dxa" w:w="3178"/>
          </w:tcPr>
          <w:p>
            <w:pPr>
              <w:pStyle w:val="null3"/>
            </w:pPr>
            <w:r>
              <w:rPr/>
              <w:t>“★”号条款</w:t>
            </w:r>
          </w:p>
        </w:tc>
        <w:tc>
          <w:tcPr>
            <w:tcW w:type="dxa" w:w="4238"/>
          </w:tcPr>
          <w:p>
            <w:pPr>
              <w:pStyle w:val="null3"/>
            </w:pPr>
            <w:r>
              <w:rPr/>
              <w:t>招标文件中，凡标有“★”的地方均为实质性响应条款，投标人若有一项带“★”的条款未响应或不满足，将按无效投标处理。</w:t>
            </w:r>
          </w:p>
        </w:tc>
      </w:tr>
      <w:tr>
        <w:tc>
          <w:tcPr>
            <w:tcW w:type="dxa" w:w="890"/>
          </w:tcPr>
          <w:p>
            <w:pPr>
              <w:pStyle w:val="null3"/>
            </w:pPr>
            <w:r>
              <w:rPr/>
              <w:t>6</w:t>
            </w:r>
          </w:p>
        </w:tc>
        <w:tc>
          <w:tcPr>
            <w:tcW w:type="dxa" w:w="3178"/>
          </w:tcPr>
          <w:p>
            <w:pPr>
              <w:pStyle w:val="null3"/>
            </w:pPr>
            <w:r>
              <w:rPr/>
              <w:t>其他投标无效情形</w:t>
            </w:r>
          </w:p>
        </w:tc>
        <w:tc>
          <w:tcPr>
            <w:tcW w:type="dxa" w:w="4238"/>
          </w:tcPr>
          <w:p>
            <w:pPr>
              <w:pStyle w:val="null3"/>
            </w:pPr>
            <w:r>
              <w:rPr/>
              <w:t>不存在相关法律法规及招标文件规定的其他投标无效情形。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采购包1(医院运营管理平台建设):</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商务部分28.0分</w:t>
            </w:r>
          </w:p>
          <w:p>
            <w:pPr>
              <w:pStyle w:val="null3"/>
            </w:pPr>
            <w:r>
              <w:rPr/>
              <w:t>技术部分62.0分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技术采购需求响应情况 (22.0分)</w:t>
            </w:r>
          </w:p>
        </w:tc>
        <w:tc>
          <w:tcPr>
            <w:tcW w:type="dxa" w:w="5076"/>
          </w:tcPr>
          <w:p>
            <w:pPr>
              <w:pStyle w:val="null3"/>
              <w:jc w:val="left"/>
            </w:pPr>
            <w:r>
              <w:rPr/>
              <w:t>对“第二章采购需求”的“一、项目概况”所有需求项完全满足得满分22分。1.“▲”项（共18项）完全满足得18分，出现负偏离的每项扣1分；其他一般性指标完全满足得4分，出现负偏离的不得分。 注：标“▲”技术参数须在投标文件中提供以下材料之一：产品功能截图、彩页截图、官网截图或相关说明书截图，不能提供或供应商所提供的佐证材料不足以佐证技术参数要求的，不得分。</w:t>
            </w:r>
          </w:p>
        </w:tc>
      </w:tr>
      <w:tr>
        <w:tc>
          <w:tcPr>
            <w:tcW w:type="dxa" w:w="922"/>
            <w:gridSpan w:val="2"/>
            <w:vMerge/>
          </w:tcPr>
          <w:p/>
        </w:tc>
        <w:tc>
          <w:tcPr>
            <w:tcW w:type="dxa" w:w="2307"/>
          </w:tcPr>
          <w:p>
            <w:pPr>
              <w:pStyle w:val="null3"/>
              <w:jc w:val="left"/>
            </w:pPr>
            <w:r>
              <w:rPr/>
              <w:t>项目技术方案 (10.0分)</w:t>
            </w:r>
          </w:p>
        </w:tc>
        <w:tc>
          <w:tcPr>
            <w:tcW w:type="dxa" w:w="5076"/>
          </w:tcPr>
          <w:p>
            <w:pPr>
              <w:pStyle w:val="null3"/>
              <w:jc w:val="left"/>
            </w:pPr>
            <w:r>
              <w:rPr/>
              <w:t>投标人须根据技术参数部分做出详细方案进行应答。 1.方案总体设计科学合理，优于采购需求，应答完整、清晰、有针对性的，得10分； 2.方案总体设计科学合理，满足采购需求，但应答不完整或不清晰或缺乏针对性的，得8分； 3.方案总体设计不科学不合理，不满足采购需求，应答不完整或不清晰或缺乏针对性的，得3分； 4.其他或不提供不得分。</w:t>
            </w:r>
          </w:p>
        </w:tc>
      </w:tr>
      <w:tr>
        <w:tc>
          <w:tcPr>
            <w:tcW w:type="dxa" w:w="922"/>
            <w:gridSpan w:val="2"/>
            <w:vMerge/>
          </w:tcPr>
          <w:p/>
        </w:tc>
        <w:tc>
          <w:tcPr>
            <w:tcW w:type="dxa" w:w="2307"/>
          </w:tcPr>
          <w:p>
            <w:pPr>
              <w:pStyle w:val="null3"/>
              <w:jc w:val="left"/>
            </w:pPr>
            <w:r>
              <w:rPr/>
              <w:t>项目系统实施方案 (10.0分)</w:t>
            </w:r>
          </w:p>
        </w:tc>
        <w:tc>
          <w:tcPr>
            <w:tcW w:type="dxa" w:w="5076"/>
          </w:tcPr>
          <w:p>
            <w:pPr>
              <w:pStyle w:val="null3"/>
              <w:jc w:val="left"/>
            </w:pPr>
            <w:r>
              <w:rPr/>
              <w:t>根据投标人提供的项目实施方案进行评审： 1.充分理解采购需求，提供成熟可靠的实施方案，对项目实施重点、关键点分析全面，项目进度安排及控制科学、合理、针对性强，并具有全面的质量管理措施，能保证项目正常稳定实施并保证产品稳定运行，得10分； 2.基本理解采购需求，对项目实施重点、关键点分析全面，项目进度安排及控制在科学、合理、针对性方面有欠缺，具有基本的质量管理措施，能基本保证项目正常稳定实施并保证产品运行的，得8分； 3.基本理解采购需求，对项目实施重点、关键点不全面，项目进度安排及控制不科学或不合理，无针对性，得5分。 4.其他或不提供不得分。</w:t>
            </w:r>
          </w:p>
        </w:tc>
      </w:tr>
      <w:tr>
        <w:tc>
          <w:tcPr>
            <w:tcW w:type="dxa" w:w="922"/>
            <w:gridSpan w:val="2"/>
            <w:vMerge/>
          </w:tcPr>
          <w:p/>
        </w:tc>
        <w:tc>
          <w:tcPr>
            <w:tcW w:type="dxa" w:w="2307"/>
          </w:tcPr>
          <w:p>
            <w:pPr>
              <w:pStyle w:val="null3"/>
              <w:jc w:val="left"/>
            </w:pPr>
            <w:r>
              <w:rPr/>
              <w:t>项目理解 (5.0分)</w:t>
            </w:r>
          </w:p>
        </w:tc>
        <w:tc>
          <w:tcPr>
            <w:tcW w:type="dxa" w:w="5076"/>
          </w:tcPr>
          <w:p>
            <w:pPr>
              <w:pStyle w:val="null3"/>
              <w:jc w:val="left"/>
            </w:pPr>
            <w:r>
              <w:rPr/>
              <w:t>根据供应商对本项目的背景、现状、目标，以及采购人信息化现状的整体理解程度进行评分： 1.项目理解程度深入的，需求分析符合实际，现状描述深入、解决方案清晰完整的，得5分； 2.项目理解程度有偏差，需求分析符合部分实际，解决方案描述不完整的，得3分； 3.项目理解程度不深入、有偏差，方案描述不完整，或未提供需求及现状分析，得1分； 4.其他或不提供项目理解方案不得分。</w:t>
            </w:r>
          </w:p>
        </w:tc>
      </w:tr>
      <w:tr>
        <w:tc>
          <w:tcPr>
            <w:tcW w:type="dxa" w:w="922"/>
            <w:gridSpan w:val="2"/>
            <w:vMerge/>
          </w:tcPr>
          <w:p/>
        </w:tc>
        <w:tc>
          <w:tcPr>
            <w:tcW w:type="dxa" w:w="2307"/>
          </w:tcPr>
          <w:p>
            <w:pPr>
              <w:pStyle w:val="null3"/>
              <w:jc w:val="left"/>
            </w:pPr>
            <w:r>
              <w:rPr/>
              <w:t>培训和售后服务方案 (5.0分)</w:t>
            </w:r>
          </w:p>
        </w:tc>
        <w:tc>
          <w:tcPr>
            <w:tcW w:type="dxa" w:w="5076"/>
          </w:tcPr>
          <w:p>
            <w:pPr>
              <w:pStyle w:val="null3"/>
              <w:jc w:val="left"/>
            </w:pPr>
            <w:r>
              <w:rPr/>
              <w:t>根据供应商针对本项目需求提供的培训和售后服务方案进行综合进行评分： 1.培训计划和售后服务方案详细、全面、可行，能够对项目的使用对象提供全面的培训和售后服务保障，得5分； 2.培训计划及措施基本可行的，基本达到采购人培训要求和售后服务保障要求的，得3分； 3.培训计划及售后服务方案简单，措施粗略，无可行性，得1分； 4.无提供方案不得分。</w:t>
            </w:r>
          </w:p>
        </w:tc>
      </w:tr>
      <w:tr>
        <w:tc>
          <w:tcPr>
            <w:tcW w:type="dxa" w:w="922"/>
            <w:gridSpan w:val="2"/>
            <w:vMerge/>
          </w:tcPr>
          <w:p/>
        </w:tc>
        <w:tc>
          <w:tcPr>
            <w:tcW w:type="dxa" w:w="2307"/>
          </w:tcPr>
          <w:p>
            <w:pPr>
              <w:pStyle w:val="null3"/>
              <w:jc w:val="left"/>
            </w:pPr>
            <w:r>
              <w:rPr/>
              <w:t>安全应急服务方案 (5.0分)</w:t>
            </w:r>
          </w:p>
        </w:tc>
        <w:tc>
          <w:tcPr>
            <w:tcW w:type="dxa" w:w="5076"/>
          </w:tcPr>
          <w:p>
            <w:pPr>
              <w:pStyle w:val="null3"/>
              <w:jc w:val="left"/>
            </w:pPr>
            <w:r>
              <w:rPr/>
              <w:t>根据供应商针对可能发生的故障问题，提供有效可行的系统安全应急方案，以保障系统正常稳定运行，对响应程度进行评分： 1.方案完整详细，表述清晰，科学合理，实际操作性强，得5分； 2.方案基本完整详细，但表述不清晰合理，得3分； 3.方案不可行，不完整不详细，无实际操作性，得1分； 4.无提供方案不得分。</w:t>
            </w:r>
          </w:p>
        </w:tc>
      </w:tr>
      <w:tr>
        <w:tc>
          <w:tcPr>
            <w:tcW w:type="dxa" w:w="922"/>
            <w:gridSpan w:val="2"/>
            <w:vMerge/>
          </w:tcPr>
          <w:p/>
        </w:tc>
        <w:tc>
          <w:tcPr>
            <w:tcW w:type="dxa" w:w="2307"/>
          </w:tcPr>
          <w:p>
            <w:pPr>
              <w:pStyle w:val="null3"/>
              <w:jc w:val="left"/>
            </w:pPr>
            <w:r>
              <w:rPr/>
              <w:t>本项目二次开发支持程度 (5.0分)</w:t>
            </w:r>
          </w:p>
        </w:tc>
        <w:tc>
          <w:tcPr>
            <w:tcW w:type="dxa" w:w="5076"/>
          </w:tcPr>
          <w:p>
            <w:pPr>
              <w:pStyle w:val="null3"/>
              <w:jc w:val="left"/>
            </w:pPr>
            <w:r>
              <w:rPr/>
              <w:t>供应商根据项目需求二次开发支持方案： 1.能够完全支持本项目系统二次开发的，得5分； 2.部分支持本项目系统二次开发，得4分； 3.需要额外付费进行二次开发的，得3分； 4.完全不支持二次开发得供应商不得分。 提供供应商盖章的书面承诺函。</w:t>
            </w:r>
          </w:p>
        </w:tc>
      </w:tr>
      <w:tr>
        <w:tc>
          <w:tcPr>
            <w:tcW w:type="dxa" w:w="922"/>
            <w:gridSpan w:val="2"/>
            <w:vMerge w:val="restart"/>
          </w:tcPr>
          <w:p>
            <w:pPr>
              <w:pStyle w:val="null3"/>
              <w:jc w:val="center"/>
            </w:pPr>
            <w:r>
              <w:rPr/>
              <w:t>商务部分</w:t>
            </w:r>
          </w:p>
        </w:tc>
        <w:tc>
          <w:tcPr>
            <w:tcW w:type="dxa" w:w="2307"/>
          </w:tcPr>
          <w:p>
            <w:pPr>
              <w:pStyle w:val="null3"/>
              <w:jc w:val="left"/>
            </w:pPr>
            <w:r>
              <w:rPr/>
              <w:t>管理体系认证 (6.0分)</w:t>
            </w:r>
          </w:p>
        </w:tc>
        <w:tc>
          <w:tcPr>
            <w:tcW w:type="dxa" w:w="5076"/>
          </w:tcPr>
          <w:p>
            <w:pPr>
              <w:pStyle w:val="null3"/>
              <w:jc w:val="left"/>
            </w:pPr>
            <w:r>
              <w:rPr/>
              <w:t>投标人具有质量管理体系认证证书、环境管理体系认证证书、职业健康安全管理体系认证证书，每具备一项证书得2分，最高得6分。 注（需提供有效期内的证书扫描件及在全国认证认可信息公共服务平台上对证书的查询结果截图作为证明材料，未提供不得分）</w:t>
            </w:r>
          </w:p>
        </w:tc>
      </w:tr>
      <w:tr>
        <w:tc>
          <w:tcPr>
            <w:tcW w:type="dxa" w:w="922"/>
            <w:gridSpan w:val="2"/>
            <w:vMerge/>
          </w:tcPr>
          <w:p/>
        </w:tc>
        <w:tc>
          <w:tcPr>
            <w:tcW w:type="dxa" w:w="2307"/>
          </w:tcPr>
          <w:p>
            <w:pPr>
              <w:pStyle w:val="null3"/>
              <w:jc w:val="left"/>
            </w:pPr>
            <w:r>
              <w:rPr/>
              <w:t>同类项目业绩 (8.0分)</w:t>
            </w:r>
          </w:p>
        </w:tc>
        <w:tc>
          <w:tcPr>
            <w:tcW w:type="dxa" w:w="5076"/>
          </w:tcPr>
          <w:p>
            <w:pPr>
              <w:pStyle w:val="null3"/>
              <w:jc w:val="left"/>
            </w:pPr>
            <w:r>
              <w:rPr/>
              <w:t>投标人具有2022年1月1日以来（以合同签订时间为准）同类型项目（HRP项目）实施经验，每提供1份案例得1分，最高得8分。 注：提供合同(协议)复印件，包含合同首页合同金额页、签字盖章页，以合同签订时间为准。未提供不得分。</w:t>
            </w:r>
          </w:p>
        </w:tc>
      </w:tr>
      <w:tr>
        <w:tc>
          <w:tcPr>
            <w:tcW w:type="dxa" w:w="922"/>
            <w:gridSpan w:val="2"/>
            <w:vMerge/>
          </w:tcPr>
          <w:p/>
        </w:tc>
        <w:tc>
          <w:tcPr>
            <w:tcW w:type="dxa" w:w="2307"/>
          </w:tcPr>
          <w:p>
            <w:pPr>
              <w:pStyle w:val="null3"/>
              <w:jc w:val="left"/>
            </w:pPr>
            <w:r>
              <w:rPr/>
              <w:t>拟投入人员情况 (8.0分)</w:t>
            </w:r>
          </w:p>
        </w:tc>
        <w:tc>
          <w:tcPr>
            <w:tcW w:type="dxa" w:w="5076"/>
          </w:tcPr>
          <w:p>
            <w:pPr>
              <w:pStyle w:val="null3"/>
              <w:jc w:val="left"/>
            </w:pPr>
            <w:r>
              <w:rPr/>
              <w:t>对拟投入本项目的项目负责人（限一人）及核心实施顾问的经验情况进行评审： 1.项目负责人具备项目管理领域专业职称、职业、资格证书或认证，得3分，需提供有效的证书的复印件并加盖公章，不提供或资料不体现不得分； 2.项目负责人具有5家（含）以上三级医院的同类项目经验，每份案例得1分，最高得5分。（注：该项最高得5分，需提供合同或验收报告，合同或验收报告上需体现项目负责人信息。未提供相关材料不得分。） 注：投标人需提供团队成员的劳动合同及投标截止时间前三个月内任一个月社保缴费证明，不提供或资料不体现不得分。</w:t>
            </w:r>
          </w:p>
        </w:tc>
      </w:tr>
      <w:tr>
        <w:tc>
          <w:tcPr>
            <w:tcW w:type="dxa" w:w="922"/>
            <w:gridSpan w:val="2"/>
            <w:vMerge/>
          </w:tcPr>
          <w:p/>
        </w:tc>
        <w:tc>
          <w:tcPr>
            <w:tcW w:type="dxa" w:w="2307"/>
          </w:tcPr>
          <w:p>
            <w:pPr>
              <w:pStyle w:val="null3"/>
              <w:jc w:val="left"/>
            </w:pPr>
            <w:r>
              <w:rPr/>
              <w:t>产品开发能力、产品相关认证 (6.0分)</w:t>
            </w:r>
          </w:p>
        </w:tc>
        <w:tc>
          <w:tcPr>
            <w:tcW w:type="dxa" w:w="5076"/>
          </w:tcPr>
          <w:p>
            <w:pPr>
              <w:pStyle w:val="null3"/>
              <w:jc w:val="left"/>
            </w:pPr>
            <w:r>
              <w:rPr/>
              <w:t>投标人所投与本项目相关的产品具备自主知识产权或相关使用授权： 1.具有与本项目内容相关的计算机软件著作权登记证书，需提供涵盖类似“HRP管理”“一体化管理平台”“购物车”“互联网采购”“合同管理”“电子发票管理”等名称在内的有效的计算机软件著作权登记证复印件加盖公章。所登记注册的软件名称可以与项目内容表述略有不同，但必须是功能类似的产品；如为相关授权使用，同时提供以上证明及授权证明；每提供一份证书得1分，最高不超过6分。 注：需提供有效期内的相应证书扫描件作为证明材料，未提供不得分。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jc w:val="center"/>
      </w:pPr>
      <w:r>
        <w:rPr>
          <w:sz w:val="52"/>
          <w:b/>
        </w:rPr>
        <w:t>江门市中心</w:t>
      </w:r>
      <w:r>
        <w:rPr>
          <w:sz w:val="52"/>
          <w:b/>
        </w:rPr>
        <w:t>医院</w:t>
      </w:r>
    </w:p>
    <w:p>
      <w:pPr>
        <w:pStyle w:val="null3"/>
        <w:jc w:val="center"/>
      </w:pPr>
      <w:r>
        <w:rPr>
          <w:sz w:val="52"/>
          <w:b/>
        </w:rPr>
        <w:t>医院运营管理平台建设项目</w:t>
      </w:r>
    </w:p>
    <w:p>
      <w:pPr>
        <w:pStyle w:val="null3"/>
        <w:jc w:val="center"/>
      </w:pPr>
      <w:r>
        <w:rPr>
          <w:sz w:val="52"/>
          <w:b/>
        </w:rPr>
        <w:t>采购合同</w:t>
      </w:r>
    </w:p>
    <w:p>
      <w:pPr>
        <w:pStyle w:val="null3"/>
        <w:jc w:val="both"/>
      </w:pPr>
      <w:r>
        <w:rPr>
          <w:sz w:val="21"/>
          <w:b/>
        </w:rPr>
        <w:t xml:space="preserve"> </w:t>
      </w:r>
      <w:r>
        <w:rPr>
          <w:sz w:val="21"/>
          <w:b/>
        </w:rPr>
        <w:t xml:space="preserve"> </w:t>
      </w:r>
    </w:p>
    <w:p>
      <w:pPr>
        <w:pStyle w:val="null3"/>
        <w:spacing w:after="120"/>
        <w:ind w:left="420" w:firstLine="732"/>
        <w:jc w:val="both"/>
      </w:pPr>
      <w:r>
        <w:rPr>
          <w:sz w:val="32"/>
          <w:b/>
          <w:u w:val="single"/>
        </w:rPr>
        <w:t>甲方</w:t>
      </w:r>
      <w:r>
        <w:rPr>
          <w:sz w:val="32"/>
          <w:b/>
          <w:u w:val="single"/>
        </w:rPr>
        <w:t>：</w:t>
      </w:r>
      <w:r>
        <w:rPr>
          <w:sz w:val="32"/>
          <w:b/>
          <w:u w:val="single"/>
        </w:rPr>
        <w:t>江门</w:t>
      </w:r>
      <w:r>
        <w:rPr>
          <w:sz w:val="32"/>
          <w:b/>
          <w:u w:val="single"/>
        </w:rPr>
        <w:t>市中心医院</w:t>
      </w:r>
      <w:r>
        <w:rPr>
          <w:sz w:val="21"/>
          <w:b/>
          <w:u w:val="single"/>
        </w:rPr>
        <w:t xml:space="preserve"> </w:t>
      </w:r>
      <w:r>
        <w:rPr>
          <w:sz w:val="21"/>
          <w:b/>
          <w:u w:val="single"/>
        </w:rPr>
        <w:t xml:space="preserve">      </w:t>
      </w:r>
    </w:p>
    <w:p>
      <w:pPr>
        <w:pStyle w:val="null3"/>
        <w:ind w:firstLine="1928"/>
        <w:jc w:val="both"/>
      </w:pPr>
      <w:r>
        <w:rPr>
          <w:sz w:val="32"/>
          <w:b/>
          <w:u w:val="single"/>
        </w:rPr>
        <w:t>乙方：</w:t>
      </w:r>
      <w:r>
        <w:rPr>
          <w:sz w:val="21"/>
          <w:b/>
          <w:u w:val="single"/>
        </w:rPr>
        <w:t xml:space="preserve"> </w:t>
      </w:r>
      <w:r>
        <w:rPr>
          <w:sz w:val="21"/>
          <w:b/>
          <w:u w:val="single"/>
        </w:rPr>
        <w:t xml:space="preserve">                    </w:t>
      </w:r>
    </w:p>
    <w:p>
      <w:pPr>
        <w:pStyle w:val="null3"/>
        <w:ind w:firstLine="1928"/>
        <w:jc w:val="both"/>
      </w:pPr>
      <w:r>
        <w:rPr>
          <w:sz w:val="32"/>
          <w:b/>
          <w:u w:val="single"/>
        </w:rPr>
        <w:t>签订</w:t>
      </w:r>
      <w:r>
        <w:rPr>
          <w:sz w:val="32"/>
          <w:b/>
          <w:u w:val="single"/>
        </w:rPr>
        <w:t>地点：</w:t>
      </w:r>
      <w:r>
        <w:rPr>
          <w:sz w:val="32"/>
          <w:b/>
          <w:u w:val="single"/>
        </w:rPr>
        <w:t>广东省江门</w:t>
      </w:r>
      <w:r>
        <w:rPr>
          <w:sz w:val="32"/>
          <w:b/>
          <w:u w:val="single"/>
        </w:rPr>
        <w:t>市</w:t>
      </w:r>
      <w:r>
        <w:rPr>
          <w:sz w:val="32"/>
          <w:b/>
          <w:u w:val="single"/>
        </w:rPr>
        <w:t>蓬江区</w:t>
      </w:r>
    </w:p>
    <w:p>
      <w:pPr>
        <w:pStyle w:val="null3"/>
        <w:spacing w:after="120"/>
        <w:ind w:left="420" w:firstLine="732"/>
        <w:jc w:val="both"/>
      </w:pPr>
      <w:r>
        <w:rPr>
          <w:sz w:val="24"/>
          <w:b/>
        </w:rPr>
        <w:t>甲方（需方）：</w:t>
      </w:r>
      <w:r>
        <w:rPr>
          <w:sz w:val="24"/>
          <w:b/>
        </w:rPr>
        <w:t xml:space="preserve">  </w:t>
      </w:r>
      <w:r>
        <w:rPr>
          <w:sz w:val="24"/>
          <w:u w:val="single"/>
        </w:rPr>
        <w:t xml:space="preserve">  </w:t>
      </w:r>
      <w:r>
        <w:rPr>
          <w:sz w:val="24"/>
          <w:u w:val="single"/>
        </w:rPr>
        <w:t>江门市中心医院</w:t>
      </w:r>
      <w:r>
        <w:rPr>
          <w:sz w:val="24"/>
          <w:u w:val="single"/>
        </w:rPr>
        <w:t xml:space="preserve">          </w:t>
      </w:r>
    </w:p>
    <w:p>
      <w:pPr>
        <w:pStyle w:val="null3"/>
      </w:pPr>
      <w:r>
        <w:rPr/>
        <w:t xml:space="preserve"> </w:t>
      </w:r>
    </w:p>
    <w:p>
      <w:pPr>
        <w:pStyle w:val="null3"/>
        <w:jc w:val="left"/>
      </w:pPr>
      <w:r>
        <w:rPr>
          <w:sz w:val="24"/>
          <w:b/>
        </w:rPr>
        <w:t>乙方（服务方）：</w:t>
      </w:r>
      <w:r>
        <w:rPr>
          <w:sz w:val="21"/>
          <w:u w:val="single"/>
        </w:rPr>
        <w:t xml:space="preserve">  </w:t>
      </w:r>
      <w:r>
        <w:rPr>
          <w:sz w:val="21"/>
          <w:u w:val="single"/>
        </w:rPr>
        <w:t xml:space="preserve">                      </w:t>
      </w:r>
      <w:r>
        <w:rPr>
          <w:sz w:val="21"/>
          <w:u w:val="single"/>
        </w:rPr>
        <w:t xml:space="preserve">  </w:t>
      </w:r>
    </w:p>
    <w:p>
      <w:pPr>
        <w:pStyle w:val="null3"/>
        <w:ind w:firstLine="420"/>
        <w:jc w:val="left"/>
      </w:pPr>
      <w:r>
        <w:rPr>
          <w:sz w:val="21"/>
        </w:rPr>
        <w:t>甲乙双方根据《中华人民共和国民法典》等有关法律法规的规定，按照</w:t>
      </w:r>
      <w:r>
        <w:rPr>
          <w:sz w:val="21"/>
        </w:rPr>
        <w:t xml:space="preserve">    </w:t>
      </w:r>
      <w:r>
        <w:rPr>
          <w:sz w:val="21"/>
        </w:rPr>
        <w:t>年</w:t>
      </w:r>
      <w:r>
        <w:rPr>
          <w:sz w:val="21"/>
        </w:rPr>
        <w:t xml:space="preserve">  </w:t>
      </w:r>
      <w:r>
        <w:rPr>
          <w:sz w:val="21"/>
        </w:rPr>
        <w:t>月</w:t>
      </w:r>
      <w:r>
        <w:rPr>
          <w:sz w:val="21"/>
        </w:rPr>
        <w:t xml:space="preserve">  </w:t>
      </w:r>
      <w:r>
        <w:rPr>
          <w:sz w:val="21"/>
        </w:rPr>
        <w:t>日</w:t>
      </w:r>
      <w:r>
        <w:rPr>
          <w:sz w:val="21"/>
          <w:b/>
          <w:u w:val="single"/>
        </w:rPr>
        <w:t>江门市中心医院医院运营管理平台建设项目</w:t>
      </w:r>
      <w:r>
        <w:rPr>
          <w:sz w:val="21"/>
        </w:rPr>
        <w:t>的采购结果、采购文件、乙方的响应文件及澄清文件和中标通知书的要求，经双方协商一致，订立合同如下：</w:t>
      </w:r>
    </w:p>
    <w:p>
      <w:pPr>
        <w:pStyle w:val="null3"/>
        <w:ind w:firstLine="422"/>
        <w:jc w:val="left"/>
      </w:pPr>
      <w:r>
        <w:rPr>
          <w:sz w:val="21"/>
          <w:b/>
        </w:rPr>
        <w:t>第一条</w:t>
      </w:r>
      <w:r>
        <w:rPr>
          <w:sz w:val="21"/>
          <w:b/>
        </w:rPr>
        <w:t>项目的名称、项目总价、技术要求和服务内容</w:t>
      </w:r>
    </w:p>
    <w:p>
      <w:pPr>
        <w:pStyle w:val="null3"/>
        <w:ind w:firstLine="420"/>
        <w:jc w:val="left"/>
      </w:pPr>
      <w:r>
        <w:rPr>
          <w:sz w:val="21"/>
        </w:rPr>
        <w:t>（一）项目名称：</w:t>
      </w:r>
      <w:r>
        <w:rPr>
          <w:sz w:val="21"/>
          <w:b/>
          <w:u w:val="single"/>
        </w:rPr>
        <w:t>江门市中心医院医院运营管理平台建设项目</w:t>
      </w:r>
      <w:r>
        <w:rPr>
          <w:sz w:val="21"/>
        </w:rPr>
        <w:t>；</w:t>
      </w:r>
    </w:p>
    <w:p>
      <w:pPr>
        <w:pStyle w:val="null3"/>
        <w:ind w:firstLine="420"/>
        <w:jc w:val="left"/>
      </w:pPr>
      <w:r>
        <w:rPr>
          <w:sz w:val="21"/>
        </w:rPr>
        <w:t>（二）项目总价为</w:t>
      </w:r>
      <w:r>
        <w:rPr>
          <w:sz w:val="21"/>
          <w:u w:val="single"/>
        </w:rPr>
        <w:t>（小写）</w:t>
      </w:r>
      <w:r>
        <w:rPr>
          <w:sz w:val="21"/>
          <w:b/>
          <w:u w:val="single"/>
        </w:rPr>
        <w:t xml:space="preserve">     </w:t>
      </w:r>
      <w:r>
        <w:rPr>
          <w:sz w:val="21"/>
          <w:b/>
          <w:u w:val="single"/>
        </w:rPr>
        <w:t>元</w:t>
      </w:r>
      <w:r>
        <w:rPr>
          <w:sz w:val="21"/>
          <w:u w:val="single"/>
        </w:rPr>
        <w:t>，（大写）</w:t>
      </w:r>
      <w:r>
        <w:rPr>
          <w:sz w:val="21"/>
          <w:b/>
          <w:u w:val="single"/>
        </w:rPr>
        <w:t>人民币</w:t>
      </w:r>
      <w:r>
        <w:rPr>
          <w:sz w:val="21"/>
          <w:b/>
          <w:u w:val="single"/>
        </w:rPr>
        <w:t xml:space="preserve">     </w:t>
      </w:r>
      <w:r>
        <w:rPr>
          <w:sz w:val="21"/>
          <w:b/>
          <w:u w:val="single"/>
        </w:rPr>
        <w:t>元整</w:t>
      </w:r>
      <w:r>
        <w:rPr>
          <w:sz w:val="21"/>
        </w:rPr>
        <w:t>。（其中增值税税款：</w:t>
      </w:r>
      <w:r>
        <w:rPr>
          <w:sz w:val="21"/>
          <w:b/>
        </w:rPr>
        <w:t>XXX元</w:t>
      </w:r>
      <w:r>
        <w:rPr>
          <w:sz w:val="21"/>
        </w:rPr>
        <w:t>，税率</w:t>
      </w:r>
      <w:r>
        <w:rPr>
          <w:sz w:val="21"/>
          <w:b/>
        </w:rPr>
        <w:t>XX%</w:t>
      </w:r>
      <w:r>
        <w:rPr>
          <w:sz w:val="21"/>
        </w:rPr>
        <w:t>）</w:t>
      </w:r>
    </w:p>
    <w:p>
      <w:pPr>
        <w:pStyle w:val="null3"/>
        <w:ind w:firstLine="420"/>
        <w:jc w:val="left"/>
      </w:pPr>
      <w:r>
        <w:rPr>
          <w:sz w:val="21"/>
        </w:rPr>
        <w:t>（三）项目总价是完成项目的含税全包价，包括系统的设计、开发、升级、测试、技术人员的差旅费、安装调试、第三方接口开发调试、对接、验收、培训、售后服务、与甲方信息系统接口及相关服务等一切费用。以及系统软件开发过程中若涉及第三方的知识产权，甲方使用过程所产生的一切费用。所有价格变动的风险均由乙方承担，甲方不需再向乙方支付任何其他费用。</w:t>
      </w:r>
    </w:p>
    <w:p>
      <w:pPr>
        <w:pStyle w:val="null3"/>
        <w:ind w:firstLine="420"/>
        <w:jc w:val="both"/>
      </w:pPr>
      <w:r>
        <w:rPr>
          <w:sz w:val="21"/>
        </w:rPr>
        <w:t>（四）项目内容及产品清单：</w:t>
      </w:r>
      <w:r>
        <w:rPr>
          <w:sz w:val="21"/>
        </w:rPr>
        <w:t xml:space="preserve"> </w:t>
      </w:r>
    </w:p>
    <w:tbl>
      <w:tblPr>
        <w:tblW w:w="0" w:type="auto"/>
        <w:tblBorders>
          <w:top w:val="none" w:color="000000" w:sz="4"/>
          <w:left w:val="none" w:color="000000" w:sz="4"/>
          <w:bottom w:val="none" w:color="000000" w:sz="4"/>
          <w:right w:val="none" w:color="000000" w:sz="4"/>
          <w:insideH w:val="none"/>
          <w:insideV w:val="none"/>
        </w:tblBorders>
      </w:tblPr>
      <w:tblGrid>
        <w:gridCol w:w="1655"/>
        <w:gridCol w:w="4552"/>
        <w:gridCol w:w="2083"/>
      </w:tblGrid>
      <w:tr>
        <w:tc>
          <w:tcPr>
            <w:tcW w:type="dxa" w:w="16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455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服务内容</w:t>
            </w:r>
          </w:p>
        </w:tc>
        <w:tc>
          <w:tcPr>
            <w:tcW w:type="dxa" w:w="20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价格（元）</w:t>
            </w:r>
          </w:p>
        </w:tc>
      </w:tr>
      <w:tr>
        <w:tc>
          <w:tcPr>
            <w:tcW w:type="dxa" w:w="1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5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45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65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项目总价</w:t>
            </w:r>
          </w:p>
          <w:p>
            <w:pPr>
              <w:pStyle w:val="null3"/>
              <w:jc w:val="center"/>
            </w:pPr>
            <w:r>
              <w:rPr>
                <w:sz w:val="21"/>
              </w:rPr>
              <w:t>(元)</w:t>
            </w:r>
          </w:p>
        </w:tc>
        <w:tc>
          <w:tcPr>
            <w:tcW w:type="dxa" w:w="663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小写：</w:t>
            </w:r>
          </w:p>
        </w:tc>
      </w:tr>
      <w:tr>
        <w:tc>
          <w:tcPr>
            <w:tcW w:type="dxa" w:w="1655"/>
            <w:vMerge/>
            <w:tcBorders>
              <w:top w:val="none" w:color="000000" w:sz="4"/>
              <w:left w:val="single" w:color="000000" w:sz="4"/>
              <w:bottom w:val="single" w:color="000000" w:sz="4"/>
              <w:right w:val="single" w:color="000000" w:sz="4"/>
            </w:tcBorders>
          </w:tcPr>
          <w:p/>
        </w:tc>
        <w:tc>
          <w:tcPr>
            <w:tcW w:type="dxa" w:w="663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大写：</w:t>
            </w:r>
          </w:p>
        </w:tc>
      </w:tr>
    </w:tbl>
    <w:p>
      <w:pPr>
        <w:pStyle w:val="null3"/>
        <w:ind w:firstLine="420"/>
        <w:jc w:val="left"/>
      </w:pPr>
      <w:r>
        <w:rPr>
          <w:sz w:val="21"/>
        </w:rPr>
        <w:t>（五）技术要求：</w:t>
      </w:r>
    </w:p>
    <w:p>
      <w:pPr>
        <w:pStyle w:val="null3"/>
        <w:ind w:firstLine="420"/>
        <w:jc w:val="left"/>
      </w:pPr>
      <w:r>
        <w:rPr>
          <w:sz w:val="21"/>
        </w:rPr>
        <w:t>1、乙方根据甲方实际情况按照招标文件的要求采用相关技术完成甲方所需项目设计和开发；</w:t>
      </w:r>
    </w:p>
    <w:p>
      <w:pPr>
        <w:pStyle w:val="null3"/>
        <w:ind w:firstLine="420"/>
        <w:jc w:val="left"/>
      </w:pPr>
      <w:r>
        <w:rPr>
          <w:sz w:val="21"/>
        </w:rPr>
        <w:t>2、项目的设计和开发中的各项技术功能的实现程度和性能指标应具有安全性、规范性、灵活性及扩展性。</w:t>
      </w:r>
    </w:p>
    <w:p>
      <w:pPr>
        <w:pStyle w:val="null3"/>
        <w:ind w:firstLine="420"/>
        <w:jc w:val="left"/>
      </w:pPr>
      <w:r>
        <w:rPr>
          <w:sz w:val="21"/>
        </w:rPr>
        <w:t>3、服务内容：</w:t>
      </w:r>
    </w:p>
    <w:p>
      <w:pPr>
        <w:pStyle w:val="null3"/>
        <w:ind w:firstLine="420"/>
        <w:jc w:val="left"/>
      </w:pPr>
      <w:r>
        <w:rPr>
          <w:sz w:val="21"/>
        </w:rPr>
        <w:t>（</w:t>
      </w:r>
      <w:r>
        <w:rPr>
          <w:sz w:val="21"/>
        </w:rPr>
        <w:t>1）乙方应有良好的服务理念和完善的售后服务体系，能够提供本地技术服务；</w:t>
      </w:r>
    </w:p>
    <w:p>
      <w:pPr>
        <w:pStyle w:val="null3"/>
        <w:ind w:firstLine="420"/>
        <w:jc w:val="left"/>
      </w:pPr>
      <w:r>
        <w:rPr>
          <w:sz w:val="21"/>
        </w:rPr>
        <w:t>（</w:t>
      </w:r>
      <w:r>
        <w:rPr>
          <w:sz w:val="21"/>
        </w:rPr>
        <w:t>2）针对本项目，由乙方提出完整而切实可行的服务方案。</w:t>
      </w:r>
    </w:p>
    <w:p>
      <w:pPr>
        <w:pStyle w:val="null3"/>
        <w:spacing w:after="120"/>
        <w:jc w:val="both"/>
      </w:pPr>
      <w:r>
        <w:rPr>
          <w:sz w:val="21"/>
        </w:rPr>
        <w:t xml:space="preserve">    </w:t>
      </w:r>
      <w:r>
        <w:rPr>
          <w:sz w:val="21"/>
        </w:rPr>
        <w:t>（</w:t>
      </w:r>
      <w:r>
        <w:rPr>
          <w:sz w:val="21"/>
        </w:rPr>
        <w:t>3）开发服务应包含软件版本升级改造和功能更新。</w:t>
      </w:r>
    </w:p>
    <w:p>
      <w:pPr>
        <w:pStyle w:val="null3"/>
        <w:ind w:firstLine="422"/>
        <w:jc w:val="left"/>
      </w:pPr>
      <w:r>
        <w:rPr>
          <w:sz w:val="21"/>
          <w:b/>
        </w:rPr>
        <w:t>第二条</w:t>
      </w:r>
      <w:r>
        <w:rPr>
          <w:sz w:val="21"/>
          <w:b/>
        </w:rPr>
        <w:t>质量要求、售后服务</w:t>
      </w:r>
    </w:p>
    <w:p>
      <w:pPr>
        <w:pStyle w:val="null3"/>
        <w:ind w:firstLine="417"/>
        <w:jc w:val="left"/>
      </w:pPr>
      <w:r>
        <w:rPr>
          <w:sz w:val="21"/>
        </w:rPr>
        <w:t>（一）质量要求：按照采购文件，乙方的响应文件、澄清文件、成交通知书及本合同的要求执行。（以上文件发生冲突时以较高标准为准）。</w:t>
      </w:r>
    </w:p>
    <w:p>
      <w:pPr>
        <w:pStyle w:val="null3"/>
        <w:ind w:firstLine="417"/>
        <w:jc w:val="left"/>
      </w:pPr>
      <w:r>
        <w:rPr>
          <w:sz w:val="21"/>
        </w:rPr>
        <w:t>（二）售后服务要求：</w:t>
      </w:r>
    </w:p>
    <w:p>
      <w:pPr>
        <w:pStyle w:val="null3"/>
        <w:ind w:firstLine="417"/>
        <w:jc w:val="left"/>
      </w:pPr>
      <w:r>
        <w:rPr>
          <w:sz w:val="21"/>
        </w:rPr>
        <w:t>1.自甲方验收从项目整体验收通过之日起，由乙方免费维护</w:t>
      </w:r>
      <w:r>
        <w:rPr>
          <w:sz w:val="21"/>
          <w:b/>
          <w:u w:val="single"/>
        </w:rPr>
        <w:t>2</w:t>
      </w:r>
      <w:r>
        <w:rPr>
          <w:sz w:val="21"/>
          <w:b/>
          <w:u w:val="single"/>
        </w:rPr>
        <w:t>年</w:t>
      </w:r>
      <w:r>
        <w:rPr>
          <w:sz w:val="21"/>
        </w:rPr>
        <w:t>。乙方提供</w:t>
      </w:r>
      <w:r>
        <w:rPr>
          <w:sz w:val="21"/>
        </w:rPr>
        <w:t>2年的软件运维保障服务包含但不限于软件版本升级、功能更新及优化、原有接口及系统改造以及维护服务，相关运维保障服务所有费用均包含在本次项目费用中，甲方无需另行支付人工费、服务费、培训费等任何费用。</w:t>
      </w:r>
    </w:p>
    <w:p>
      <w:pPr>
        <w:pStyle w:val="null3"/>
        <w:ind w:firstLine="417"/>
        <w:jc w:val="left"/>
      </w:pPr>
      <w:r>
        <w:rPr>
          <w:sz w:val="21"/>
        </w:rPr>
        <w:t>2.维护服务期内乙方提供远程维护和现场维护，远程无法解决的故障应在规定的时间内派相关技术人员到现场上门服务，排除故障，并分析故障原因，提出防范措施；即乙方提供</w:t>
      </w:r>
      <w:r>
        <w:rPr>
          <w:sz w:val="21"/>
          <w:b/>
          <w:u w:val="single"/>
        </w:rPr>
        <w:t>7×24小时</w:t>
      </w:r>
      <w:r>
        <w:rPr>
          <w:sz w:val="21"/>
        </w:rPr>
        <w:t>的维修服务热线、远程网络、现场等服务方式。在接到甲方服务请求后</w:t>
      </w:r>
      <w:r>
        <w:rPr>
          <w:sz w:val="21"/>
          <w:b/>
          <w:u w:val="single"/>
        </w:rPr>
        <w:t>30</w:t>
      </w:r>
      <w:r>
        <w:rPr>
          <w:sz w:val="21"/>
          <w:b/>
          <w:u w:val="single"/>
        </w:rPr>
        <w:t>分钟</w:t>
      </w:r>
      <w:r>
        <w:rPr>
          <w:sz w:val="21"/>
        </w:rPr>
        <w:t>内技术响应；乙方逾期不处理的，甲方有权另行聘请第三方进行维修，由此产生的一切费用由乙方承担，甲方有权在未支付的费用中直接扣除。合同期内乙方未响应或未按时响应次数达</w:t>
      </w:r>
      <w:r>
        <w:rPr>
          <w:sz w:val="21"/>
          <w:b/>
          <w:u w:val="single"/>
        </w:rPr>
        <w:t>5次</w:t>
      </w:r>
      <w:r>
        <w:rPr>
          <w:sz w:val="21"/>
        </w:rPr>
        <w:t>以上的，乙方在接到甲方书面异议后，应在</w:t>
      </w:r>
      <w:r>
        <w:rPr>
          <w:sz w:val="21"/>
          <w:b/>
          <w:u w:val="single"/>
        </w:rPr>
        <w:t>5天</w:t>
      </w:r>
      <w:r>
        <w:rPr>
          <w:sz w:val="21"/>
        </w:rPr>
        <w:t>内改进并处理，否则，甲方有权单方面解除合同。</w:t>
      </w:r>
    </w:p>
    <w:p>
      <w:pPr>
        <w:pStyle w:val="null3"/>
        <w:ind w:firstLine="420"/>
        <w:jc w:val="left"/>
      </w:pPr>
      <w:r>
        <w:rPr>
          <w:sz w:val="21"/>
        </w:rPr>
        <w:t>3.乙方每次维护后须与甲方书面确认维修的时间以及维修后的结果，由乙方工程师签字确认维修报告，否则，视为乙方未按期承担维保责任。维保通知及维保后的书面确认将作为最后一期款项结算的依据。</w:t>
      </w:r>
    </w:p>
    <w:p>
      <w:pPr>
        <w:pStyle w:val="null3"/>
        <w:ind w:firstLine="420"/>
        <w:jc w:val="left"/>
      </w:pPr>
      <w:r>
        <w:rPr>
          <w:sz w:val="21"/>
        </w:rPr>
        <w:t>4、其他服务：</w:t>
      </w:r>
    </w:p>
    <w:p>
      <w:pPr>
        <w:pStyle w:val="null3"/>
        <w:ind w:firstLine="420"/>
        <w:jc w:val="left"/>
      </w:pPr>
      <w:r>
        <w:rPr>
          <w:sz w:val="21"/>
        </w:rPr>
        <w:t>（</w:t>
      </w:r>
      <w:r>
        <w:rPr>
          <w:sz w:val="21"/>
        </w:rPr>
        <w:t>1）乙方系统数据库不能加密、不能使用加密狗或其它方式限制软件使用。</w:t>
      </w:r>
    </w:p>
    <w:p>
      <w:pPr>
        <w:pStyle w:val="null3"/>
        <w:ind w:firstLine="420"/>
        <w:jc w:val="left"/>
      </w:pPr>
      <w:r>
        <w:rPr>
          <w:sz w:val="21"/>
        </w:rPr>
        <w:t>（</w:t>
      </w:r>
      <w:r>
        <w:rPr>
          <w:sz w:val="21"/>
        </w:rPr>
        <w:t>2）维保期满后，如甲方需要，乙方必须提供维护服务，甲方和乙方双方同意，维保期满后的维护费每年不超过本合同总价格的</w:t>
      </w:r>
      <w:r>
        <w:rPr>
          <w:sz w:val="21"/>
          <w:b/>
        </w:rPr>
        <w:t>百分之八</w:t>
      </w:r>
      <w:r>
        <w:rPr>
          <w:sz w:val="21"/>
        </w:rPr>
        <w:t>，含版本升级费用。该全保服务费已包含软件版本升级改造和功能更新、需求定制开发的完整源代码、人员培训、驻场人员、相关人力成本及食宿差旅费等</w:t>
      </w:r>
      <w:r>
        <w:rPr>
          <w:sz w:val="21"/>
        </w:rPr>
        <w:t>。</w:t>
      </w:r>
    </w:p>
    <w:p>
      <w:pPr>
        <w:pStyle w:val="null3"/>
        <w:ind w:firstLine="420"/>
        <w:jc w:val="left"/>
      </w:pPr>
      <w:r>
        <w:rPr>
          <w:sz w:val="21"/>
        </w:rPr>
        <w:t>（</w:t>
      </w:r>
      <w:r>
        <w:rPr>
          <w:sz w:val="21"/>
        </w:rPr>
        <w:t>3）乙方无偿开放所有数据接口，不再另行收取任何接口费用。若本项目由乙方继续维护的，甲方所支付的年维护费已经包含所有接口费。</w:t>
      </w:r>
    </w:p>
    <w:p>
      <w:pPr>
        <w:pStyle w:val="null3"/>
        <w:ind w:firstLine="420"/>
        <w:jc w:val="left"/>
      </w:pPr>
      <w:r>
        <w:rPr>
          <w:sz w:val="21"/>
        </w:rPr>
        <w:t>（</w:t>
      </w:r>
      <w:r>
        <w:rPr>
          <w:sz w:val="21"/>
        </w:rPr>
        <w:t>4）本项目提供的应用软件系统与医院信息系统（包括HIS、EMR、LIS、PACS、CIS、病案系统、手术麻醉系统等）对接时基于集成平台提供的国家标准接口方式提供对接，系统数据格式符合相关行业标准，使用集成平台统一接口与其他信息系统进行集成对接。</w:t>
      </w:r>
    </w:p>
    <w:p>
      <w:pPr>
        <w:pStyle w:val="null3"/>
        <w:ind w:firstLine="420"/>
        <w:jc w:val="left"/>
      </w:pPr>
      <w:r>
        <w:rPr>
          <w:sz w:val="21"/>
        </w:rPr>
        <w:t>（</w:t>
      </w:r>
      <w:r>
        <w:rPr>
          <w:sz w:val="21"/>
        </w:rPr>
        <w:t>5）软件版本需要兼容并稳定运行在WINDOWS、各移动设备（含手机）操作系统的各个版本。</w:t>
      </w:r>
    </w:p>
    <w:p>
      <w:pPr>
        <w:pStyle w:val="null3"/>
        <w:ind w:firstLine="420"/>
        <w:jc w:val="left"/>
      </w:pPr>
      <w:r>
        <w:rPr>
          <w:sz w:val="21"/>
        </w:rPr>
        <w:t>（</w:t>
      </w:r>
      <w:r>
        <w:rPr>
          <w:sz w:val="21"/>
        </w:rPr>
        <w:t>6）乙方项目中标价及后续维护费，包含以下服务费用：</w:t>
      </w:r>
    </w:p>
    <w:p>
      <w:pPr>
        <w:pStyle w:val="null3"/>
        <w:spacing w:after="120"/>
        <w:ind w:firstLine="420"/>
        <w:jc w:val="both"/>
      </w:pPr>
      <w:r>
        <w:rPr>
          <w:sz w:val="21"/>
        </w:rPr>
        <w:t>①项目含与第三方接口对接、改造、嵌入的费用。</w:t>
      </w:r>
    </w:p>
    <w:p>
      <w:pPr>
        <w:pStyle w:val="null3"/>
        <w:spacing w:after="120"/>
        <w:ind w:firstLine="420"/>
        <w:jc w:val="both"/>
      </w:pPr>
      <w:r>
        <w:rPr>
          <w:sz w:val="21"/>
        </w:rPr>
        <w:t>②配合甲方接入单点登录建设。</w:t>
      </w:r>
    </w:p>
    <w:p>
      <w:pPr>
        <w:pStyle w:val="null3"/>
        <w:spacing w:after="120"/>
        <w:ind w:firstLine="420"/>
        <w:jc w:val="both"/>
      </w:pPr>
      <w:r>
        <w:rPr>
          <w:sz w:val="21"/>
        </w:rPr>
        <w:t>③配合甲方完成数据集成、界面集成。</w:t>
      </w:r>
    </w:p>
    <w:p>
      <w:pPr>
        <w:pStyle w:val="null3"/>
        <w:spacing w:after="120"/>
        <w:ind w:firstLine="420"/>
        <w:jc w:val="both"/>
      </w:pPr>
      <w:r>
        <w:rPr>
          <w:sz w:val="21"/>
        </w:rPr>
        <w:t>④配合甲方满足三级甲等医院评审要求。</w:t>
      </w:r>
    </w:p>
    <w:p>
      <w:pPr>
        <w:pStyle w:val="null3"/>
        <w:spacing w:after="120"/>
        <w:ind w:firstLine="420"/>
        <w:jc w:val="both"/>
      </w:pPr>
      <w:r>
        <w:rPr>
          <w:sz w:val="21"/>
        </w:rPr>
        <w:t>⑤配合甲方完成国家、省、市各级政府部门及国家卫健委、省卫健委、市卫健局对采购人的医联体、区域医疗等管理目标任务。</w:t>
      </w:r>
    </w:p>
    <w:p>
      <w:pPr>
        <w:pStyle w:val="null3"/>
        <w:spacing w:after="120"/>
        <w:ind w:firstLine="420"/>
        <w:jc w:val="both"/>
      </w:pPr>
      <w:r>
        <w:rPr>
          <w:sz w:val="21"/>
        </w:rPr>
        <w:t>⑥配合甲方通过国家《医院信息互联互通标准化成熟度测评》五级乙等测评要求。</w:t>
      </w:r>
    </w:p>
    <w:p>
      <w:pPr>
        <w:pStyle w:val="null3"/>
        <w:spacing w:after="120"/>
        <w:ind w:firstLine="420"/>
        <w:jc w:val="both"/>
      </w:pPr>
      <w:r>
        <w:rPr>
          <w:sz w:val="21"/>
        </w:rPr>
        <w:t>⑦配合甲方通过国家《电子病历系统应用水平分级评价标准》五级评价要求。</w:t>
      </w:r>
    </w:p>
    <w:p>
      <w:pPr>
        <w:pStyle w:val="null3"/>
        <w:spacing w:after="120"/>
        <w:ind w:firstLine="420"/>
        <w:jc w:val="both"/>
      </w:pPr>
      <w:r>
        <w:rPr>
          <w:sz w:val="21"/>
        </w:rPr>
        <w:t>⑧配合甲方通过国家 “智慧管理”、“智慧服务”要求。</w:t>
      </w:r>
    </w:p>
    <w:p>
      <w:pPr>
        <w:pStyle w:val="null3"/>
        <w:spacing w:after="120"/>
        <w:ind w:firstLine="420"/>
        <w:jc w:val="both"/>
      </w:pPr>
      <w:r>
        <w:rPr>
          <w:sz w:val="21"/>
        </w:rPr>
        <w:t>⑨配合甲方完成“数据湖”、“全院临床科研大数据”建设。</w:t>
      </w:r>
    </w:p>
    <w:p>
      <w:pPr>
        <w:pStyle w:val="null3"/>
        <w:ind w:firstLine="420"/>
        <w:jc w:val="left"/>
      </w:pPr>
      <w:r>
        <w:rPr>
          <w:sz w:val="21"/>
        </w:rPr>
        <w:t>（</w:t>
      </w:r>
      <w:r>
        <w:rPr>
          <w:sz w:val="21"/>
        </w:rPr>
        <w:t>7）乙方所投产品支持本国服务器、</w:t>
      </w:r>
      <w:r>
        <w:rPr>
          <w:sz w:val="21"/>
        </w:rPr>
        <w:t>本国</w:t>
      </w:r>
      <w:r>
        <w:rPr>
          <w:sz w:val="21"/>
        </w:rPr>
        <w:t>服务器操作系统、</w:t>
      </w:r>
      <w:r>
        <w:rPr>
          <w:sz w:val="21"/>
        </w:rPr>
        <w:t>本国</w:t>
      </w:r>
      <w:r>
        <w:rPr>
          <w:sz w:val="21"/>
        </w:rPr>
        <w:t>客户端操作系统、</w:t>
      </w:r>
      <w:r>
        <w:rPr>
          <w:sz w:val="21"/>
        </w:rPr>
        <w:t>本国</w:t>
      </w:r>
      <w:r>
        <w:rPr>
          <w:sz w:val="21"/>
        </w:rPr>
        <w:t>数据库。</w:t>
      </w:r>
    </w:p>
    <w:p>
      <w:pPr>
        <w:pStyle w:val="null3"/>
        <w:ind w:firstLine="420"/>
        <w:jc w:val="left"/>
      </w:pPr>
      <w:r>
        <w:rPr>
          <w:sz w:val="21"/>
        </w:rPr>
        <w:t>（</w:t>
      </w:r>
      <w:r>
        <w:rPr>
          <w:sz w:val="21"/>
        </w:rPr>
        <w:t>8）乙方应与甲方签订《网络信息安全责任及保密协议书》和《廉洁购销合同》。</w:t>
      </w:r>
    </w:p>
    <w:p>
      <w:pPr>
        <w:pStyle w:val="null3"/>
        <w:ind w:firstLine="420"/>
        <w:jc w:val="left"/>
      </w:pPr>
      <w:r>
        <w:rPr>
          <w:sz w:val="21"/>
        </w:rPr>
        <w:t>（</w:t>
      </w:r>
      <w:r>
        <w:rPr>
          <w:sz w:val="21"/>
        </w:rPr>
        <w:t>9）乙方提供甲方人员培训计划，负责现场培训采购与操作人员，直至掌握操作技术为止（具体培训要求详见招标文件）。负责成立项目组，安排固定项目经理，驻场人员要严格按照医院工作制度要求，调换核心工程师要经过甲方同意。</w:t>
      </w:r>
    </w:p>
    <w:p>
      <w:pPr>
        <w:pStyle w:val="null3"/>
        <w:ind w:firstLine="420"/>
        <w:jc w:val="left"/>
      </w:pPr>
      <w:r>
        <w:rPr>
          <w:sz w:val="21"/>
        </w:rPr>
        <w:t>（</w:t>
      </w:r>
      <w:r>
        <w:rPr>
          <w:sz w:val="21"/>
        </w:rPr>
        <w:t>10）软件系统符合信息安全等级保护（最新版）规定，同时应确保信息系统安全，依据国家相关法规和标准，防范和应对信息安全风险，保障网络、系统和数据的安全。</w:t>
      </w:r>
    </w:p>
    <w:p>
      <w:pPr>
        <w:pStyle w:val="null3"/>
        <w:ind w:firstLine="420"/>
        <w:jc w:val="left"/>
      </w:pPr>
      <w:r>
        <w:rPr>
          <w:sz w:val="21"/>
        </w:rPr>
        <w:t>（</w:t>
      </w:r>
      <w:r>
        <w:rPr>
          <w:sz w:val="21"/>
        </w:rPr>
        <w:t>11）合同期内，乙方应采取必要的安全措施，保障甲方数据和系统的安全，防范各类网络安全事件的发生。乙方应建立健全的网络安全管理体系，实施严格的数据备份和恢复策略，保证系统和数据的安全性和可用性。</w:t>
      </w:r>
    </w:p>
    <w:p>
      <w:pPr>
        <w:pStyle w:val="null3"/>
        <w:ind w:firstLine="420"/>
        <w:jc w:val="left"/>
      </w:pPr>
      <w:r>
        <w:rPr>
          <w:sz w:val="21"/>
        </w:rPr>
        <w:t>（</w:t>
      </w:r>
      <w:r>
        <w:rPr>
          <w:sz w:val="21"/>
        </w:rPr>
        <w:t>12）乙方应采取合理的安全措施，防止甲方数据和系统的非授权访问、篡改或泄漏。乙方应按照甲方的要求，落实甲方提出的安全控制措施建议，并根据甲方的安全策略进行系统配置和安全加固。</w:t>
      </w:r>
    </w:p>
    <w:p>
      <w:pPr>
        <w:pStyle w:val="null3"/>
        <w:ind w:firstLine="420"/>
        <w:jc w:val="left"/>
      </w:pPr>
      <w:r>
        <w:rPr>
          <w:sz w:val="21"/>
        </w:rPr>
        <w:t>（</w:t>
      </w:r>
      <w:r>
        <w:rPr>
          <w:sz w:val="21"/>
        </w:rPr>
        <w:t>13）在合同期内，乙方应对所有安全事件进行记录、分析和报告，及时通知甲方并配合甲方进行事件处理和恢复工作。乙方应定期进行安全审计和检查，及时发现和处理潜在的安全风险和漏洞。</w:t>
      </w:r>
    </w:p>
    <w:p>
      <w:pPr>
        <w:pStyle w:val="null3"/>
        <w:spacing w:after="120"/>
        <w:ind w:firstLine="420"/>
        <w:jc w:val="both"/>
      </w:pPr>
      <w:r>
        <w:rPr>
          <w:sz w:val="21"/>
        </w:rPr>
        <w:t>（</w:t>
      </w:r>
      <w:r>
        <w:rPr>
          <w:sz w:val="21"/>
        </w:rPr>
        <w:t>14）对于乙方在其系统构建过程中所采购的第三方组件或系统，在规定的维保期内，相关版本应确保能够进行更新，以保障系统的持续优化与稳定运行，维护甲方的合法权益与使用体验（此费用已包含在报价内，甲方不另外支付）。</w:t>
      </w:r>
    </w:p>
    <w:p>
      <w:pPr>
        <w:pStyle w:val="null3"/>
        <w:spacing w:after="120"/>
        <w:ind w:firstLine="420"/>
        <w:jc w:val="both"/>
      </w:pPr>
      <w:r>
        <w:rPr>
          <w:sz w:val="21"/>
        </w:rPr>
        <w:t>（</w:t>
      </w:r>
      <w:r>
        <w:rPr>
          <w:sz w:val="21"/>
        </w:rPr>
        <w:t>15）本项目所涉及的所有软件系统应基于成熟的 B/S（浏览器 / 服务器）架构进行设计与开发，以此确保系统在架构层面拥有稳固根基，具备高可扩展性、便捷的维护性以及良好的用户交互体验等特性，为项目的高效推进与长远发展提供坚实有力的支撑，有力保障系统在各类复杂应用场景下均能稳定、可靠且高效地运行。 覆盖新旧院区应用及系统本地化部署。</w:t>
      </w:r>
    </w:p>
    <w:p>
      <w:pPr>
        <w:pStyle w:val="null3"/>
        <w:spacing w:after="120"/>
        <w:ind w:firstLine="420"/>
        <w:jc w:val="both"/>
      </w:pPr>
      <w:r>
        <w:rPr>
          <w:sz w:val="21"/>
        </w:rPr>
        <w:t>（</w:t>
      </w:r>
      <w:r>
        <w:rPr>
          <w:sz w:val="21"/>
        </w:rPr>
        <w:t>16）乙方不得以任何方式转包或分包本项目。</w:t>
      </w:r>
    </w:p>
    <w:p>
      <w:pPr>
        <w:pStyle w:val="null3"/>
        <w:spacing w:after="120"/>
        <w:ind w:firstLine="420"/>
        <w:jc w:val="both"/>
      </w:pPr>
      <w:r>
        <w:rPr>
          <w:sz w:val="21"/>
        </w:rPr>
        <w:t>5、乙方须按照招标文件及本合同等要求为甲方的软件进行设计、开发、调试、安装、上线及售后服务等。</w:t>
      </w:r>
    </w:p>
    <w:p>
      <w:pPr>
        <w:pStyle w:val="null3"/>
        <w:ind w:firstLine="480"/>
        <w:jc w:val="left"/>
      </w:pPr>
      <w:r>
        <w:rPr>
          <w:sz w:val="21"/>
          <w:b/>
        </w:rPr>
        <w:t>第三条</w:t>
      </w:r>
      <w:r>
        <w:rPr>
          <w:sz w:val="21"/>
          <w:b/>
        </w:rPr>
        <w:t>项目的结算</w:t>
      </w:r>
    </w:p>
    <w:p>
      <w:pPr>
        <w:pStyle w:val="null3"/>
        <w:ind w:firstLine="417"/>
        <w:jc w:val="left"/>
      </w:pPr>
      <w:r>
        <w:rPr>
          <w:sz w:val="21"/>
        </w:rPr>
        <w:t>（一）第一期款：合同签订生效，且甲方收到乙方开具符合国家财务规定的等额发票后的</w:t>
      </w:r>
      <w:r>
        <w:rPr>
          <w:sz w:val="21"/>
          <w:u w:val="single"/>
        </w:rPr>
        <w:t xml:space="preserve"> </w:t>
      </w:r>
      <w:r>
        <w:rPr>
          <w:sz w:val="21"/>
          <w:u w:val="single"/>
        </w:rPr>
        <w:t xml:space="preserve">60 </w:t>
      </w:r>
      <w:r>
        <w:rPr>
          <w:sz w:val="21"/>
          <w:u w:val="single"/>
        </w:rPr>
        <w:t>个</w:t>
      </w:r>
      <w:r>
        <w:rPr>
          <w:sz w:val="21"/>
        </w:rPr>
        <w:t>日内，甲方将合同总金额的</w:t>
      </w:r>
      <w:r>
        <w:rPr>
          <w:sz w:val="21"/>
          <w:b/>
        </w:rPr>
        <w:t>30%</w:t>
      </w:r>
      <w:r>
        <w:rPr>
          <w:sz w:val="21"/>
        </w:rPr>
        <w:t>作为预付款支付给乙方，即（小写）</w:t>
      </w:r>
      <w:r>
        <w:rPr>
          <w:sz w:val="21"/>
          <w:b/>
          <w:u w:val="single"/>
        </w:rPr>
        <w:t>***元</w:t>
      </w:r>
      <w:r>
        <w:rPr>
          <w:sz w:val="24"/>
          <w:b/>
        </w:rPr>
        <w:t>（</w:t>
      </w:r>
      <w:r>
        <w:rPr>
          <w:sz w:val="21"/>
          <w:b/>
          <w:u w:val="single"/>
        </w:rPr>
        <w:t>人民币</w:t>
      </w:r>
      <w:r>
        <w:rPr>
          <w:sz w:val="21"/>
          <w:b/>
          <w:u w:val="single"/>
        </w:rPr>
        <w:t>***元整</w:t>
      </w:r>
      <w:r>
        <w:rPr>
          <w:sz w:val="24"/>
          <w:b/>
        </w:rPr>
        <w:t>）</w:t>
      </w:r>
      <w:r>
        <w:rPr>
          <w:sz w:val="21"/>
        </w:rPr>
        <w:t>；</w:t>
      </w:r>
    </w:p>
    <w:p>
      <w:pPr>
        <w:pStyle w:val="null3"/>
        <w:ind w:firstLine="417"/>
        <w:jc w:val="left"/>
      </w:pPr>
      <w:r>
        <w:rPr>
          <w:sz w:val="21"/>
        </w:rPr>
        <w:t>（二）第二期款：系统完工整体验收合格，且甲方收到乙方开具符合国家财务规定的等额发票后的</w:t>
      </w:r>
      <w:r>
        <w:rPr>
          <w:sz w:val="21"/>
          <w:u w:val="single"/>
        </w:rPr>
        <w:t xml:space="preserve"> </w:t>
      </w:r>
      <w:r>
        <w:rPr>
          <w:sz w:val="21"/>
          <w:u w:val="single"/>
        </w:rPr>
        <w:t>60 个</w:t>
      </w:r>
      <w:r>
        <w:rPr>
          <w:sz w:val="21"/>
        </w:rPr>
        <w:t>日内，甲方将合同总金额的</w:t>
      </w:r>
      <w:r>
        <w:rPr>
          <w:sz w:val="21"/>
          <w:b/>
        </w:rPr>
        <w:t>6</w:t>
      </w:r>
      <w:r>
        <w:rPr>
          <w:sz w:val="21"/>
          <w:b/>
        </w:rPr>
        <w:t>0</w:t>
      </w:r>
      <w:r>
        <w:rPr>
          <w:sz w:val="21"/>
          <w:b/>
        </w:rPr>
        <w:t>%</w:t>
      </w:r>
      <w:r>
        <w:rPr>
          <w:sz w:val="21"/>
        </w:rPr>
        <w:t>支付给乙方，</w:t>
      </w:r>
      <w:r>
        <w:rPr>
          <w:sz w:val="21"/>
        </w:rPr>
        <w:t>即（</w:t>
      </w:r>
      <w:r>
        <w:rPr>
          <w:sz w:val="21"/>
        </w:rPr>
        <w:t>小写</w:t>
      </w:r>
      <w:r>
        <w:rPr>
          <w:sz w:val="21"/>
        </w:rPr>
        <w:t>）</w:t>
      </w:r>
      <w:r>
        <w:rPr>
          <w:sz w:val="21"/>
          <w:b/>
          <w:u w:val="single"/>
        </w:rPr>
        <w:t>***元</w:t>
      </w:r>
      <w:r>
        <w:rPr>
          <w:sz w:val="21"/>
        </w:rPr>
        <w:t>（</w:t>
      </w:r>
      <w:r>
        <w:rPr>
          <w:sz w:val="21"/>
          <w:b/>
          <w:u w:val="single"/>
        </w:rPr>
        <w:t>人民币</w:t>
      </w:r>
      <w:r>
        <w:rPr>
          <w:sz w:val="21"/>
          <w:b/>
          <w:u w:val="single"/>
        </w:rPr>
        <w:t>***元整</w:t>
      </w:r>
      <w:r>
        <w:rPr>
          <w:sz w:val="24"/>
        </w:rPr>
        <w:t>）</w:t>
      </w:r>
      <w:r>
        <w:rPr>
          <w:sz w:val="21"/>
        </w:rPr>
        <w:t>；</w:t>
      </w:r>
    </w:p>
    <w:p>
      <w:pPr>
        <w:pStyle w:val="null3"/>
        <w:ind w:firstLine="420"/>
        <w:jc w:val="left"/>
      </w:pPr>
      <w:r>
        <w:rPr>
          <w:sz w:val="21"/>
        </w:rPr>
        <w:t>（三）第三期款：系统完工整体验收合格且正常运行</w:t>
      </w:r>
      <w:r>
        <w:rPr>
          <w:sz w:val="21"/>
          <w:b/>
          <w:u w:val="single"/>
        </w:rPr>
        <w:t>1</w:t>
      </w:r>
      <w:r>
        <w:rPr>
          <w:sz w:val="21"/>
          <w:b/>
          <w:u w:val="single"/>
        </w:rPr>
        <w:t>年</w:t>
      </w:r>
      <w:r>
        <w:rPr>
          <w:sz w:val="21"/>
        </w:rPr>
        <w:t>后，且甲方收到乙方开具符合国家财务规定的等额发票后的</w:t>
      </w:r>
      <w:r>
        <w:rPr>
          <w:sz w:val="21"/>
          <w:u w:val="single"/>
        </w:rPr>
        <w:t xml:space="preserve"> </w:t>
      </w:r>
      <w:r>
        <w:rPr>
          <w:sz w:val="21"/>
          <w:u w:val="single"/>
        </w:rPr>
        <w:t>60</w:t>
      </w:r>
      <w:r>
        <w:rPr>
          <w:sz w:val="21"/>
          <w:u w:val="single"/>
        </w:rPr>
        <w:t xml:space="preserve"> </w:t>
      </w:r>
      <w:r>
        <w:rPr>
          <w:sz w:val="21"/>
          <w:u w:val="single"/>
        </w:rPr>
        <w:t>个</w:t>
      </w:r>
      <w:r>
        <w:rPr>
          <w:sz w:val="21"/>
        </w:rPr>
        <w:t>日内，甲方将余下款项（合同总金额的</w:t>
      </w:r>
      <w:r>
        <w:rPr>
          <w:sz w:val="21"/>
          <w:b/>
        </w:rPr>
        <w:t>10</w:t>
      </w:r>
      <w:r>
        <w:rPr>
          <w:sz w:val="21"/>
          <w:b/>
        </w:rPr>
        <w:t>%</w:t>
      </w:r>
      <w:r>
        <w:rPr>
          <w:sz w:val="21"/>
        </w:rPr>
        <w:t>）支付给乙方。</w:t>
      </w:r>
      <w:r>
        <w:rPr>
          <w:sz w:val="21"/>
        </w:rPr>
        <w:t>即（</w:t>
      </w:r>
      <w:r>
        <w:rPr>
          <w:sz w:val="21"/>
        </w:rPr>
        <w:t>小写</w:t>
      </w:r>
      <w:r>
        <w:rPr>
          <w:sz w:val="21"/>
        </w:rPr>
        <w:t>）</w:t>
      </w:r>
      <w:r>
        <w:rPr>
          <w:sz w:val="21"/>
          <w:b/>
          <w:u w:val="single"/>
        </w:rPr>
        <w:t>***</w:t>
      </w:r>
      <w:r>
        <w:rPr>
          <w:sz w:val="21"/>
          <w:b/>
        </w:rPr>
        <w:t>元（</w:t>
      </w:r>
      <w:r>
        <w:rPr>
          <w:sz w:val="21"/>
          <w:b/>
          <w:u w:val="single"/>
        </w:rPr>
        <w:t>人民币</w:t>
      </w:r>
      <w:r>
        <w:rPr>
          <w:sz w:val="21"/>
          <w:b/>
          <w:u w:val="single"/>
        </w:rPr>
        <w:t>***元整</w:t>
      </w:r>
      <w:r>
        <w:rPr>
          <w:sz w:val="21"/>
          <w:b/>
        </w:rPr>
        <w:t>）</w:t>
      </w:r>
      <w:r>
        <w:rPr>
          <w:sz w:val="21"/>
        </w:rPr>
        <w:t>。</w:t>
      </w:r>
    </w:p>
    <w:p>
      <w:pPr>
        <w:pStyle w:val="null3"/>
        <w:ind w:firstLine="417"/>
        <w:jc w:val="left"/>
      </w:pPr>
      <w:r>
        <w:rPr>
          <w:sz w:val="21"/>
        </w:rPr>
        <w:t>（四）履约保证金：</w:t>
      </w:r>
    </w:p>
    <w:p>
      <w:pPr>
        <w:pStyle w:val="null3"/>
        <w:ind w:firstLine="417"/>
        <w:jc w:val="left"/>
      </w:pPr>
      <w:r>
        <w:rPr>
          <w:sz w:val="21"/>
        </w:rPr>
        <w:t>1</w:t>
      </w:r>
      <w:r>
        <w:rPr>
          <w:sz w:val="21"/>
        </w:rPr>
        <w:t>、提交说明：</w:t>
      </w:r>
    </w:p>
    <w:p>
      <w:pPr>
        <w:pStyle w:val="null3"/>
        <w:ind w:firstLine="417"/>
        <w:jc w:val="left"/>
      </w:pPr>
      <w:r>
        <w:rPr>
          <w:sz w:val="21"/>
        </w:rPr>
        <w:t>(1)</w:t>
      </w:r>
      <w:r>
        <w:rPr>
          <w:sz w:val="21"/>
        </w:rPr>
        <w:t>时间：在合同签订生效五个工作日内；</w:t>
      </w:r>
    </w:p>
    <w:p>
      <w:pPr>
        <w:pStyle w:val="null3"/>
        <w:ind w:firstLine="417"/>
        <w:jc w:val="left"/>
      </w:pPr>
      <w:r>
        <w:rPr>
          <w:sz w:val="21"/>
        </w:rPr>
        <w:t>(2)</w:t>
      </w:r>
      <w:r>
        <w:rPr>
          <w:sz w:val="21"/>
        </w:rPr>
        <w:t>金额：项目合同金额的</w:t>
      </w:r>
      <w:r>
        <w:rPr>
          <w:sz w:val="21"/>
        </w:rPr>
        <w:t>5%</w:t>
      </w:r>
      <w:r>
        <w:rPr>
          <w:sz w:val="21"/>
        </w:rPr>
        <w:t>；</w:t>
      </w:r>
    </w:p>
    <w:p>
      <w:pPr>
        <w:pStyle w:val="null3"/>
        <w:ind w:firstLine="417"/>
        <w:jc w:val="left"/>
      </w:pPr>
      <w:r>
        <w:rPr>
          <w:sz w:val="21"/>
        </w:rPr>
        <w:t>(3)</w:t>
      </w:r>
      <w:r>
        <w:rPr>
          <w:sz w:val="21"/>
        </w:rPr>
        <w:t>方式：转账、支票、汇票、本票、银行保函（保函有效期至合同履约结束）等非现金形式。</w:t>
      </w:r>
    </w:p>
    <w:p>
      <w:pPr>
        <w:pStyle w:val="null3"/>
        <w:ind w:firstLine="417"/>
        <w:jc w:val="left"/>
      </w:pPr>
      <w:r>
        <w:rPr>
          <w:sz w:val="21"/>
        </w:rPr>
        <w:t>2</w:t>
      </w:r>
      <w:r>
        <w:rPr>
          <w:sz w:val="21"/>
        </w:rPr>
        <w:t>、退还说明：</w:t>
      </w:r>
    </w:p>
    <w:p>
      <w:pPr>
        <w:pStyle w:val="null3"/>
        <w:ind w:firstLine="417"/>
        <w:jc w:val="left"/>
      </w:pPr>
      <w:r>
        <w:rPr>
          <w:sz w:val="21"/>
        </w:rPr>
        <w:t>服务期满后甲方接到乙方退款申请之日起</w:t>
      </w:r>
      <w:r>
        <w:rPr>
          <w:sz w:val="21"/>
        </w:rPr>
        <w:t>30</w:t>
      </w:r>
      <w:r>
        <w:rPr>
          <w:sz w:val="21"/>
        </w:rPr>
        <w:t>个工作日内一次性无息退还。履约保证金不退还情形：①未按照合同履约的，履约保证金不予退还，给甲方造成的损失超过履约保证金数额的，还应当对超过部分予以赔偿。②其他违反国家相关法律法规的情形。③乙方违反合同及其附件约定的任何义务，甲方有权在履约保证金中直接扣除乙方应向甲方支付的违约金或损失赔偿额，如有不足的，乙方应对超过的部分予以赔偿。甲方逾期退还履约保证金的，从逾期之日起每日按履约保证金万分之一的数额向乙方支付违约金。但因乙方自身原因导致无法及时退还的除外。</w:t>
      </w:r>
      <w:r>
        <w:rPr>
          <w:sz w:val="21"/>
        </w:rPr>
        <w:t xml:space="preserve"> </w:t>
      </w:r>
    </w:p>
    <w:p>
      <w:pPr>
        <w:pStyle w:val="null3"/>
        <w:ind w:firstLine="422"/>
        <w:jc w:val="left"/>
      </w:pPr>
      <w:r>
        <w:rPr>
          <w:sz w:val="21"/>
          <w:b/>
        </w:rPr>
        <w:t>第四条</w:t>
      </w:r>
      <w:r>
        <w:rPr>
          <w:sz w:val="21"/>
          <w:b/>
        </w:rPr>
        <w:t>项目工期及培训</w:t>
      </w:r>
    </w:p>
    <w:p>
      <w:pPr>
        <w:pStyle w:val="null3"/>
        <w:ind w:firstLine="420"/>
        <w:jc w:val="left"/>
      </w:pPr>
      <w:r>
        <w:rPr>
          <w:sz w:val="21"/>
        </w:rPr>
        <w:t>（一）完工期：合同生效之日起</w:t>
      </w:r>
      <w:r>
        <w:rPr>
          <w:sz w:val="21"/>
          <w:b/>
          <w:u w:val="single"/>
        </w:rPr>
        <w:t>1</w:t>
      </w:r>
      <w:r>
        <w:rPr>
          <w:sz w:val="21"/>
          <w:b/>
          <w:u w:val="single"/>
        </w:rPr>
        <w:t>8</w:t>
      </w:r>
      <w:r>
        <w:rPr>
          <w:sz w:val="21"/>
          <w:b/>
          <w:u w:val="single"/>
        </w:rPr>
        <w:t>0个日历日内</w:t>
      </w:r>
      <w:r>
        <w:rPr>
          <w:sz w:val="21"/>
        </w:rPr>
        <w:t>完成所有系统的设计、开发、系统部署、第三方业务系统集成、对接、联调测试、安装调试、培训推广及上线。</w:t>
      </w:r>
    </w:p>
    <w:p>
      <w:pPr>
        <w:pStyle w:val="null3"/>
        <w:ind w:firstLine="420"/>
        <w:jc w:val="left"/>
      </w:pPr>
      <w:r>
        <w:rPr>
          <w:sz w:val="21"/>
        </w:rPr>
        <w:t>（二）培训：培训对象包括甲方系统管理员、管理人员、操作员。培训内容为系统中涉及的相关技术内容；管理人员培训内容为系统流程和相关管理思想，操作员培训内容为系统的操作培训，乙方须培训至甲方上述人员掌握操作技术为止。</w:t>
      </w:r>
    </w:p>
    <w:p>
      <w:pPr>
        <w:pStyle w:val="null3"/>
        <w:ind w:firstLine="422"/>
        <w:jc w:val="left"/>
      </w:pPr>
      <w:r>
        <w:rPr>
          <w:sz w:val="21"/>
          <w:b/>
        </w:rPr>
        <w:t>第五条</w:t>
      </w:r>
      <w:r>
        <w:rPr>
          <w:sz w:val="21"/>
          <w:b/>
        </w:rPr>
        <w:t>甲方责任</w:t>
      </w:r>
    </w:p>
    <w:p>
      <w:pPr>
        <w:pStyle w:val="null3"/>
        <w:ind w:firstLine="420"/>
        <w:jc w:val="left"/>
      </w:pPr>
      <w:r>
        <w:rPr>
          <w:sz w:val="21"/>
        </w:rPr>
        <w:t>（一）项目实施过程，甲方有对项目进度、软件系统运行情况进行监督控制的职责和权利。</w:t>
      </w:r>
    </w:p>
    <w:p>
      <w:pPr>
        <w:pStyle w:val="null3"/>
        <w:ind w:firstLine="420"/>
        <w:jc w:val="left"/>
      </w:pPr>
      <w:r>
        <w:rPr>
          <w:sz w:val="21"/>
        </w:rPr>
        <w:t>（二）甲方须配合乙方的业务需求调研，向乙方提供本项目设计开发所需资料（图片、文字等），并保证所提供资料的按时性和准确性；</w:t>
      </w:r>
    </w:p>
    <w:p>
      <w:pPr>
        <w:pStyle w:val="null3"/>
        <w:ind w:firstLine="420"/>
        <w:jc w:val="left"/>
      </w:pPr>
      <w:r>
        <w:rPr>
          <w:sz w:val="21"/>
        </w:rPr>
        <w:t>（三）甲方负责协调乙方以及相关部门及其他单位的工作关系和问题解决和系统接口协调工作。</w:t>
      </w:r>
    </w:p>
    <w:p>
      <w:pPr>
        <w:pStyle w:val="null3"/>
        <w:ind w:firstLine="420"/>
        <w:jc w:val="left"/>
      </w:pPr>
      <w:r>
        <w:rPr>
          <w:sz w:val="21"/>
        </w:rPr>
        <w:t>（四）为了保证系统的稳定运行和审核的响应效率，甲方需提供相应的软硬件环境。</w:t>
      </w:r>
    </w:p>
    <w:p>
      <w:pPr>
        <w:pStyle w:val="null3"/>
        <w:ind w:firstLine="420"/>
        <w:jc w:val="left"/>
      </w:pPr>
      <w:r>
        <w:rPr>
          <w:sz w:val="21"/>
        </w:rPr>
        <w:t>（五）甲方负责协调各方进行系统安装、测试、开通及验收的环境及场所，同时提供必要的文档资料和数据，协助乙方做好系统的实施工作。</w:t>
      </w:r>
    </w:p>
    <w:p>
      <w:pPr>
        <w:pStyle w:val="null3"/>
        <w:ind w:firstLine="420"/>
        <w:jc w:val="left"/>
      </w:pPr>
      <w:r>
        <w:rPr>
          <w:sz w:val="21"/>
        </w:rPr>
        <w:t>（六）甲方定期做好系统数据备份，并妥善保管。</w:t>
      </w:r>
    </w:p>
    <w:p>
      <w:pPr>
        <w:pStyle w:val="null3"/>
        <w:ind w:firstLine="420"/>
        <w:jc w:val="left"/>
      </w:pPr>
      <w:r>
        <w:rPr>
          <w:sz w:val="21"/>
        </w:rPr>
        <w:t>（七）甲方在应用过程中发现系统出现异常，应及时与乙方取得联系，并记录当前故障现象，便于乙方做出诊断；甲方在乙方服务人员服务完成后，配合检查系统运行是否正常，并在现场服务请求单上签字确认。</w:t>
      </w:r>
    </w:p>
    <w:p>
      <w:pPr>
        <w:pStyle w:val="null3"/>
        <w:ind w:firstLine="420"/>
        <w:jc w:val="left"/>
      </w:pPr>
      <w:r>
        <w:rPr>
          <w:sz w:val="21"/>
        </w:rPr>
        <w:t>（八）甲方在履行本合同过程中，不得将本合同涉及到的系统提供给第三方使用，因此引起的乙方损失均由甲方承担。</w:t>
      </w:r>
    </w:p>
    <w:p>
      <w:pPr>
        <w:pStyle w:val="null3"/>
        <w:ind w:firstLine="420"/>
        <w:jc w:val="left"/>
      </w:pPr>
      <w:r>
        <w:rPr>
          <w:sz w:val="21"/>
        </w:rPr>
        <w:t>（九）按本合同约定的合同金额及支付方式向乙方支付有关费用。</w:t>
      </w:r>
    </w:p>
    <w:p>
      <w:pPr>
        <w:pStyle w:val="null3"/>
        <w:ind w:firstLine="420"/>
        <w:jc w:val="left"/>
      </w:pPr>
      <w:r>
        <w:rPr>
          <w:sz w:val="21"/>
        </w:rPr>
        <w:t>（十）项目设计和开发期间，甲方负责向乙方提出参考意见或修改意见。</w:t>
      </w:r>
    </w:p>
    <w:p>
      <w:pPr>
        <w:pStyle w:val="null3"/>
        <w:ind w:firstLine="422"/>
        <w:jc w:val="left"/>
      </w:pPr>
      <w:r>
        <w:rPr>
          <w:sz w:val="21"/>
          <w:b/>
        </w:rPr>
        <w:t>第六条</w:t>
      </w:r>
      <w:r>
        <w:rPr>
          <w:sz w:val="21"/>
          <w:b/>
        </w:rPr>
        <w:t>乙方责任</w:t>
      </w:r>
    </w:p>
    <w:p>
      <w:pPr>
        <w:pStyle w:val="null3"/>
        <w:ind w:firstLine="420"/>
        <w:jc w:val="left"/>
      </w:pPr>
      <w:r>
        <w:rPr>
          <w:sz w:val="21"/>
        </w:rPr>
        <w:t>（一）乙方负责成立项目设计开发工作小组，承担甲方项目的设计与开发，按照项目的要求及其他资料承担甲方项目的实施交付；</w:t>
      </w:r>
    </w:p>
    <w:p>
      <w:pPr>
        <w:pStyle w:val="null3"/>
        <w:ind w:firstLine="420"/>
        <w:jc w:val="left"/>
      </w:pPr>
      <w:r>
        <w:rPr>
          <w:sz w:val="21"/>
        </w:rPr>
        <w:t>（二）乙方须按合同所规定期限完成甲方项目的设计和开发，实施交付并按照采购的技术需求完成系统的调试、对接及正式上线；</w:t>
      </w:r>
    </w:p>
    <w:p>
      <w:pPr>
        <w:pStyle w:val="null3"/>
        <w:ind w:firstLine="420"/>
        <w:jc w:val="left"/>
      </w:pPr>
      <w:r>
        <w:rPr>
          <w:sz w:val="21"/>
        </w:rPr>
        <w:t>（三）项目设计和开发期间，乙方负责听取并研究甲方相关意见；</w:t>
      </w:r>
    </w:p>
    <w:p>
      <w:pPr>
        <w:pStyle w:val="null3"/>
        <w:ind w:firstLine="420"/>
        <w:jc w:val="left"/>
      </w:pPr>
      <w:r>
        <w:rPr>
          <w:sz w:val="21"/>
        </w:rPr>
        <w:t>（四）项目设计和开发期间，若甲方提出异议，经甲乙双方友好协商后，乙方可进行修改，协商不成，以甲方要求为准，若甲方提出的要求违反相关法律规定或影响系统运行的，乙方应及时告知甲方。</w:t>
      </w:r>
    </w:p>
    <w:p>
      <w:pPr>
        <w:pStyle w:val="null3"/>
        <w:ind w:firstLine="420"/>
        <w:jc w:val="left"/>
      </w:pPr>
      <w:r>
        <w:rPr>
          <w:sz w:val="21"/>
        </w:rPr>
        <w:t>（五）乙方保证系统功能与招标文件的用户需求、乙方的投标文件等一致。</w:t>
      </w:r>
    </w:p>
    <w:p>
      <w:pPr>
        <w:pStyle w:val="null3"/>
        <w:ind w:firstLine="420"/>
        <w:jc w:val="left"/>
      </w:pPr>
      <w:r>
        <w:rPr>
          <w:sz w:val="21"/>
        </w:rPr>
        <w:t>（六）乙方保证其所提供的系统及服务等未侵犯任何第三方的知识产权或合法权益，并应保护甲方在使用该系统时不受第三方提出侵权指控。若违反该承诺，由此引起的知识产权问题、侵权责任等以及因此而发生的所有费用由乙方负责。</w:t>
      </w:r>
    </w:p>
    <w:p>
      <w:pPr>
        <w:pStyle w:val="null3"/>
        <w:ind w:firstLine="420"/>
        <w:jc w:val="left"/>
      </w:pPr>
      <w:r>
        <w:rPr>
          <w:sz w:val="21"/>
        </w:rPr>
        <w:t>（七）乙方必须具备相应的维护保养、升级服务能力，能按照采购文件的用户需求、乙方的响应文件以及合同约定提供完善的售后服务（包括技术人员、响应时间及备品、备件方面等）。</w:t>
      </w:r>
    </w:p>
    <w:p>
      <w:pPr>
        <w:pStyle w:val="null3"/>
        <w:ind w:firstLine="420"/>
        <w:jc w:val="left"/>
      </w:pPr>
      <w:r>
        <w:rPr>
          <w:sz w:val="21"/>
        </w:rPr>
        <w:t>（八）负责甲方系统维护人员及操作人员的培训。</w:t>
      </w:r>
    </w:p>
    <w:p>
      <w:pPr>
        <w:pStyle w:val="null3"/>
        <w:ind w:firstLine="420"/>
        <w:jc w:val="left"/>
      </w:pPr>
      <w:r>
        <w:rPr>
          <w:sz w:val="21"/>
        </w:rPr>
        <w:t>（九）负责在交货验收合格后将操作说明书等全部技术资料移交给甲方。</w:t>
      </w:r>
    </w:p>
    <w:p>
      <w:pPr>
        <w:pStyle w:val="null3"/>
        <w:ind w:firstLine="422"/>
        <w:jc w:val="left"/>
      </w:pPr>
      <w:r>
        <w:rPr>
          <w:sz w:val="21"/>
          <w:b/>
        </w:rPr>
        <w:t>第七条</w:t>
      </w:r>
      <w:r>
        <w:rPr>
          <w:sz w:val="21"/>
          <w:b/>
        </w:rPr>
        <w:t>版权、源代码及商业机密</w:t>
      </w:r>
    </w:p>
    <w:p>
      <w:pPr>
        <w:pStyle w:val="null3"/>
        <w:ind w:firstLine="420"/>
        <w:jc w:val="left"/>
      </w:pPr>
      <w:r>
        <w:rPr>
          <w:sz w:val="21"/>
        </w:rPr>
        <w:t>（一）乙方应保证本项目的投标技术、服务或其任何一部分不会产生因第三方提出侵犯其专利权、商标权或其他知识产权而引起的法律和经济纠纷；如因第三方提出其专利权、商标权或其他知识产权的侵权之诉，则一切法律责任由乙方承担。</w:t>
      </w:r>
    </w:p>
    <w:p>
      <w:pPr>
        <w:pStyle w:val="null3"/>
        <w:ind w:firstLine="420"/>
        <w:jc w:val="left"/>
      </w:pPr>
      <w:r>
        <w:rPr>
          <w:sz w:val="21"/>
        </w:rPr>
        <w:t>（二）乙方为甲方所设计和开发的项目的所有权（指源代码）归乙方和甲方共同所有；但是如果甲方提出正常维护需求（包括免费维保期和有偿维护期）乙方因本方技术人员流失、公司破产或类似原因无法提供维护服务时，乙方有义务将源代码提交给甲方。</w:t>
      </w:r>
    </w:p>
    <w:p>
      <w:pPr>
        <w:pStyle w:val="null3"/>
        <w:ind w:firstLine="420"/>
        <w:jc w:val="left"/>
      </w:pPr>
      <w:r>
        <w:rPr>
          <w:sz w:val="21"/>
        </w:rPr>
        <w:t>（三）乙方为甲方严守商业机密，不得将该项目的设计和数据转用于第三方或向第三方泄露。</w:t>
      </w:r>
    </w:p>
    <w:p>
      <w:pPr>
        <w:pStyle w:val="null3"/>
        <w:ind w:firstLine="422"/>
        <w:jc w:val="left"/>
      </w:pPr>
      <w:r>
        <w:rPr>
          <w:sz w:val="21"/>
          <w:b/>
        </w:rPr>
        <w:t>第八条</w:t>
      </w:r>
      <w:r>
        <w:rPr>
          <w:sz w:val="21"/>
          <w:b/>
        </w:rPr>
        <w:t>验收方式</w:t>
      </w:r>
    </w:p>
    <w:p>
      <w:pPr>
        <w:pStyle w:val="null3"/>
        <w:ind w:firstLine="420"/>
        <w:jc w:val="left"/>
      </w:pPr>
      <w:r>
        <w:rPr>
          <w:sz w:val="21"/>
        </w:rPr>
        <w:t>（一）系统安装、调试、对接完成后并且系统顺利持续运行一个月后</w:t>
      </w:r>
      <w:r>
        <w:rPr>
          <w:sz w:val="21"/>
          <w:b/>
          <w:u w:val="single"/>
        </w:rPr>
        <w:t>10</w:t>
      </w:r>
      <w:r>
        <w:rPr>
          <w:sz w:val="21"/>
        </w:rPr>
        <w:t>日内进行验收，乙方向甲方提出验收申请。甲方在收到上述申请后</w:t>
      </w:r>
      <w:r>
        <w:rPr>
          <w:sz w:val="21"/>
          <w:b/>
          <w:u w:val="single"/>
        </w:rPr>
        <w:t>10</w:t>
      </w:r>
      <w:r>
        <w:rPr>
          <w:sz w:val="21"/>
        </w:rPr>
        <w:t>日内组织验收；</w:t>
      </w:r>
    </w:p>
    <w:p>
      <w:pPr>
        <w:pStyle w:val="null3"/>
        <w:ind w:firstLine="420"/>
        <w:jc w:val="left"/>
      </w:pPr>
      <w:r>
        <w:rPr>
          <w:sz w:val="21"/>
        </w:rPr>
        <w:t>（二）验收地点：</w:t>
      </w:r>
      <w:r>
        <w:rPr>
          <w:sz w:val="21"/>
          <w:b/>
          <w:u w:val="single"/>
        </w:rPr>
        <w:t>江门市中心医院</w:t>
      </w:r>
      <w:r>
        <w:rPr>
          <w:sz w:val="21"/>
        </w:rPr>
        <w:t>；</w:t>
      </w:r>
    </w:p>
    <w:p>
      <w:pPr>
        <w:pStyle w:val="null3"/>
        <w:ind w:firstLine="420"/>
        <w:jc w:val="left"/>
      </w:pPr>
      <w:r>
        <w:rPr>
          <w:sz w:val="21"/>
        </w:rPr>
        <w:t>（三）验收方式：由甲方相关人员与乙方相关人员共同组成，甲方与乙方共同对整个系统集成依据合同要求进行检查测试；对集成的每一部分进行诊断，并对系统进行</w:t>
      </w:r>
      <w:r>
        <w:rPr>
          <w:sz w:val="21"/>
        </w:rPr>
        <w:t>48小时测试，验收结果由甲乙双方主管人员签字并盖章认可，存档留作验收时参考。</w:t>
      </w:r>
    </w:p>
    <w:p>
      <w:pPr>
        <w:pStyle w:val="null3"/>
        <w:ind w:firstLine="420"/>
        <w:jc w:val="left"/>
      </w:pPr>
      <w:r>
        <w:rPr>
          <w:sz w:val="21"/>
        </w:rPr>
        <w:t>（四）验收标准：符合采购文件、乙方的响应文件、澄清文件和中标通知书的要求；单证齐全，有发票和其它应当具有单证文件。</w:t>
      </w:r>
    </w:p>
    <w:p>
      <w:pPr>
        <w:pStyle w:val="null3"/>
        <w:ind w:firstLine="420"/>
        <w:jc w:val="left"/>
      </w:pPr>
      <w:r>
        <w:rPr>
          <w:sz w:val="21"/>
        </w:rPr>
        <w:t>（五）验收交付文档包括但不限于：全套、完整的安装手册、配置、管理及维护的全面技术资料，所有与用户、设备等相关联的说明、表格等资料，以及产品合格证明材料和验收报告。</w:t>
      </w:r>
    </w:p>
    <w:p>
      <w:pPr>
        <w:pStyle w:val="null3"/>
        <w:ind w:firstLine="420"/>
        <w:jc w:val="left"/>
      </w:pPr>
      <w:r>
        <w:rPr>
          <w:sz w:val="21"/>
        </w:rPr>
        <w:t>（六）验收异议：在验收过程中，如发现系统相关内容未完善、未能完全对接院内系统或者未能按照招投标文件中约定的方式进行操作的，乙方须无条件进行整改，整改产生的费用由乙方承担。乙方未能完成整改前，甲方有权拒绝签字验收。</w:t>
      </w:r>
    </w:p>
    <w:p>
      <w:pPr>
        <w:pStyle w:val="null3"/>
        <w:ind w:firstLine="422"/>
        <w:jc w:val="left"/>
      </w:pPr>
      <w:r>
        <w:rPr>
          <w:sz w:val="21"/>
          <w:b/>
        </w:rPr>
        <w:t>第九条</w:t>
      </w:r>
      <w:r>
        <w:rPr>
          <w:sz w:val="21"/>
          <w:b/>
        </w:rPr>
        <w:t>乙方的违约责任</w:t>
      </w:r>
    </w:p>
    <w:p>
      <w:pPr>
        <w:pStyle w:val="null3"/>
        <w:ind w:firstLine="420"/>
        <w:jc w:val="left"/>
      </w:pPr>
      <w:r>
        <w:rPr>
          <w:sz w:val="21"/>
        </w:rPr>
        <w:t>（一）乙方不能交付系统的，甲方有权解除本合同，要求乙方退还全部已经支付的款项，不向乙方支付剩余款项并有权要求乙方应向甲方偿付合同总价的</w:t>
      </w:r>
      <w:r>
        <w:rPr>
          <w:sz w:val="21"/>
          <w:b/>
          <w:u w:val="single"/>
        </w:rPr>
        <w:t>百分之十</w:t>
      </w:r>
      <w:r>
        <w:rPr>
          <w:sz w:val="21"/>
        </w:rPr>
        <w:t>作为违约金，若以上违约金不足以弥补甲方损失的，乙方须赔偿甲方实际损失；</w:t>
      </w:r>
    </w:p>
    <w:p>
      <w:pPr>
        <w:pStyle w:val="null3"/>
        <w:ind w:firstLine="420"/>
        <w:jc w:val="left"/>
      </w:pPr>
      <w:r>
        <w:rPr>
          <w:sz w:val="21"/>
        </w:rPr>
        <w:t>（二）乙方所交系统不符合合同规定或采购文件要求的，由乙方负责整改，由乙方负责修改或更换，并承担修改、维护或退货而支付的实际费用，且乙方须向甲方偿付合同总价的</w:t>
      </w:r>
      <w:r>
        <w:rPr>
          <w:sz w:val="21"/>
          <w:b/>
          <w:u w:val="single"/>
        </w:rPr>
        <w:t>百分之五</w:t>
      </w:r>
      <w:r>
        <w:rPr>
          <w:sz w:val="21"/>
        </w:rPr>
        <w:t>作为违约金，上述违约金不足以弥补甲方损失的，乙方须赔偿甲方实际损失；乙方拒绝整改或整改后仍不符合合同规定的，甲方有权单方面解除本合同，乙方须向甲方偿付合同总价的</w:t>
      </w:r>
      <w:r>
        <w:rPr>
          <w:sz w:val="21"/>
          <w:b/>
          <w:u w:val="single"/>
        </w:rPr>
        <w:t>百分之三</w:t>
      </w:r>
      <w:r>
        <w:rPr>
          <w:sz w:val="21"/>
        </w:rPr>
        <w:t>作为违约金，若以上违约金不足以弥补甲方损失的，乙方须赔偿甲方实际损失；</w:t>
      </w:r>
    </w:p>
    <w:p>
      <w:pPr>
        <w:pStyle w:val="null3"/>
        <w:ind w:firstLine="420"/>
        <w:jc w:val="left"/>
      </w:pPr>
      <w:r>
        <w:rPr>
          <w:sz w:val="21"/>
        </w:rPr>
        <w:t>（三）乙方未按时完成系统安装调试上线并通过验收的，每逾期一日应向甲方偿付合同总额的</w:t>
      </w:r>
      <w:r>
        <w:rPr>
          <w:sz w:val="21"/>
          <w:b/>
          <w:u w:val="single"/>
        </w:rPr>
        <w:t>千分之三</w:t>
      </w:r>
      <w:r>
        <w:rPr>
          <w:sz w:val="21"/>
        </w:rPr>
        <w:t>作为违约金。如乙方逾期的天数达到</w:t>
      </w:r>
      <w:r>
        <w:rPr>
          <w:sz w:val="21"/>
          <w:b/>
          <w:u w:val="single"/>
        </w:rPr>
        <w:t xml:space="preserve"> </w:t>
      </w:r>
      <w:r>
        <w:rPr>
          <w:sz w:val="21"/>
          <w:b/>
          <w:u w:val="single"/>
        </w:rPr>
        <w:t>30</w:t>
      </w:r>
      <w:r>
        <w:rPr>
          <w:sz w:val="21"/>
          <w:b/>
          <w:u w:val="single"/>
        </w:rPr>
        <w:t xml:space="preserve"> </w:t>
      </w:r>
      <w:r>
        <w:rPr>
          <w:sz w:val="21"/>
          <w:b/>
          <w:u w:val="single"/>
        </w:rPr>
        <w:t>天</w:t>
      </w:r>
      <w:r>
        <w:rPr>
          <w:sz w:val="21"/>
        </w:rPr>
        <w:t>及以上的，甲方有权解除本合同，要求乙方退还全部已经支付的款项，并有权要求乙方承担合同总金额</w:t>
      </w:r>
      <w:r>
        <w:rPr>
          <w:sz w:val="21"/>
          <w:b/>
          <w:u w:val="single"/>
        </w:rPr>
        <w:t>百分之三</w:t>
      </w:r>
      <w:r>
        <w:rPr>
          <w:sz w:val="21"/>
        </w:rPr>
        <w:t>作为违约金，若以上违约金不足以弥补甲方损失的，乙方须赔偿甲方实际损失。</w:t>
      </w:r>
    </w:p>
    <w:p>
      <w:pPr>
        <w:pStyle w:val="null3"/>
        <w:ind w:firstLine="420"/>
        <w:jc w:val="left"/>
      </w:pPr>
      <w:r>
        <w:rPr>
          <w:sz w:val="21"/>
        </w:rPr>
        <w:t>（四）乙方未能按照合同约定提供维保、升级服务的，每次须按照合同总价的</w:t>
      </w:r>
      <w:r>
        <w:rPr>
          <w:sz w:val="21"/>
          <w:b/>
          <w:u w:val="single"/>
        </w:rPr>
        <w:t>百分之三</w:t>
      </w:r>
      <w:r>
        <w:rPr>
          <w:sz w:val="21"/>
        </w:rPr>
        <w:t>向甲方支付违约金，若以上违约金不足以弥补甲方损失的，乙方须赔偿甲方实际损失。出现上述情况达到</w:t>
      </w:r>
      <w:r>
        <w:rPr>
          <w:sz w:val="21"/>
          <w:b/>
          <w:u w:val="single"/>
        </w:rPr>
        <w:t>3</w:t>
      </w:r>
      <w:r>
        <w:rPr>
          <w:sz w:val="21"/>
          <w:b/>
          <w:u w:val="single"/>
        </w:rPr>
        <w:t xml:space="preserve"> </w:t>
      </w:r>
      <w:r>
        <w:rPr>
          <w:sz w:val="21"/>
          <w:b/>
          <w:u w:val="single"/>
        </w:rPr>
        <w:t>次</w:t>
      </w:r>
      <w:r>
        <w:rPr>
          <w:sz w:val="21"/>
        </w:rPr>
        <w:t>及以上的，甲方有权解除本合同，要求乙方承担合同总金额</w:t>
      </w:r>
      <w:r>
        <w:rPr>
          <w:sz w:val="21"/>
          <w:b/>
          <w:u w:val="single"/>
        </w:rPr>
        <w:t>百分之三</w:t>
      </w:r>
      <w:r>
        <w:rPr>
          <w:sz w:val="21"/>
        </w:rPr>
        <w:t>作为违约金，若以上违约金不足以弥补甲方损失的，乙方须赔偿甲方实际损失。</w:t>
      </w:r>
    </w:p>
    <w:p>
      <w:pPr>
        <w:pStyle w:val="null3"/>
        <w:spacing w:after="120"/>
        <w:ind w:firstLine="420"/>
        <w:jc w:val="both"/>
      </w:pPr>
      <w:r>
        <w:rPr>
          <w:sz w:val="21"/>
        </w:rPr>
        <w:t>（五）乙方对系统相关要求予以响应却未能有效落实到位时，甲方将依具体情形按相应比例扣减合同金额。若未落实状况较为严重，诸如因乙方责任致使项目验收延期，那么甲方有权依法向乙方索偿损失。具体扣减规则为：每出现延期一个月的情形，便扣除合同金额的</w:t>
      </w:r>
      <w:r>
        <w:rPr>
          <w:sz w:val="21"/>
          <w:b/>
          <w:u w:val="single"/>
        </w:rPr>
        <w:t>百分之一</w:t>
      </w:r>
      <w:r>
        <w:rPr>
          <w:sz w:val="21"/>
        </w:rPr>
        <w:t>；若延期时长不足一个月，亦按照一个月的标准予以扣除计算。</w:t>
      </w:r>
    </w:p>
    <w:p>
      <w:pPr>
        <w:pStyle w:val="null3"/>
        <w:ind w:firstLine="422"/>
        <w:jc w:val="left"/>
      </w:pPr>
      <w:r>
        <w:rPr>
          <w:sz w:val="21"/>
          <w:b/>
        </w:rPr>
        <w:t>第十条</w:t>
      </w:r>
      <w:r>
        <w:rPr>
          <w:sz w:val="21"/>
          <w:b/>
        </w:rPr>
        <w:t>甲方的违约责任</w:t>
      </w:r>
    </w:p>
    <w:p>
      <w:pPr>
        <w:pStyle w:val="null3"/>
        <w:ind w:firstLine="420"/>
        <w:jc w:val="left"/>
      </w:pPr>
      <w:r>
        <w:rPr>
          <w:sz w:val="21"/>
        </w:rPr>
        <w:t>（一）甲方无正当理由逾期付款的，应每日按逾期金额的</w:t>
      </w:r>
      <w:r>
        <w:rPr>
          <w:sz w:val="21"/>
          <w:b/>
          <w:u w:val="single"/>
        </w:rPr>
        <w:t>万分之五</w:t>
      </w:r>
      <w:r>
        <w:rPr>
          <w:sz w:val="21"/>
        </w:rPr>
        <w:t>向乙方支付违约金，违约金上限不超过合同总金额的</w:t>
      </w:r>
      <w:r>
        <w:rPr>
          <w:sz w:val="21"/>
          <w:b/>
          <w:u w:val="single"/>
        </w:rPr>
        <w:t>百分之三</w:t>
      </w:r>
      <w:r>
        <w:rPr>
          <w:sz w:val="21"/>
        </w:rPr>
        <w:t>；</w:t>
      </w:r>
    </w:p>
    <w:p>
      <w:pPr>
        <w:pStyle w:val="null3"/>
        <w:ind w:firstLine="420"/>
        <w:jc w:val="left"/>
      </w:pPr>
      <w:r>
        <w:rPr>
          <w:sz w:val="21"/>
        </w:rPr>
        <w:t>（二）甲方违反合同规定无正当理由拒绝接受系统安装的，应当承担由此而对乙方造成的损失。</w:t>
      </w:r>
    </w:p>
    <w:p>
      <w:pPr>
        <w:pStyle w:val="null3"/>
        <w:ind w:firstLine="422"/>
        <w:jc w:val="left"/>
      </w:pPr>
      <w:r>
        <w:rPr>
          <w:sz w:val="21"/>
          <w:b/>
        </w:rPr>
        <w:t>第十一条</w:t>
      </w:r>
      <w:r>
        <w:rPr>
          <w:sz w:val="21"/>
          <w:b/>
        </w:rPr>
        <w:t>不可抗力</w:t>
      </w:r>
    </w:p>
    <w:p>
      <w:pPr>
        <w:pStyle w:val="null3"/>
        <w:ind w:firstLine="420"/>
        <w:jc w:val="left"/>
      </w:pPr>
      <w:r>
        <w:rPr>
          <w:sz w:val="21"/>
        </w:rPr>
        <w:t>甲乙双方任何一方由于不可抗力原因不能履行合同时，应及时向对方通报不能履行或不能完全履行的理由，以减轻可能给对方造成的损失，在取得有关机构证明后，允许延期履行、部分履行或不履行合同，并根据情况可部分或全部免予承担违约责任。</w:t>
      </w:r>
    </w:p>
    <w:p>
      <w:pPr>
        <w:pStyle w:val="null3"/>
        <w:ind w:firstLine="422"/>
        <w:jc w:val="left"/>
      </w:pPr>
      <w:r>
        <w:rPr>
          <w:sz w:val="21"/>
          <w:b/>
        </w:rPr>
        <w:t>第十二条</w:t>
      </w:r>
      <w:r>
        <w:rPr>
          <w:sz w:val="21"/>
          <w:b/>
        </w:rPr>
        <w:t>争议的解决</w:t>
      </w:r>
    </w:p>
    <w:p>
      <w:pPr>
        <w:pStyle w:val="null3"/>
        <w:ind w:firstLine="420"/>
        <w:jc w:val="left"/>
      </w:pPr>
      <w:r>
        <w:rPr>
          <w:sz w:val="21"/>
        </w:rPr>
        <w:t>（一）如因产品的质量问题发生争议，由法定的质量技术鉴定机构进行质量鉴定，双方应当服从该鉴定的结论；</w:t>
      </w:r>
    </w:p>
    <w:p>
      <w:pPr>
        <w:pStyle w:val="null3"/>
        <w:ind w:firstLine="420"/>
        <w:jc w:val="left"/>
      </w:pPr>
      <w:r>
        <w:rPr>
          <w:sz w:val="21"/>
        </w:rPr>
        <w:t>（二）若执行本合同的过程中发生纠纷，双方当事人应当及时协商解决；协商不成时，可向甲方所在地人民法院提起诉讼。</w:t>
      </w:r>
    </w:p>
    <w:p>
      <w:pPr>
        <w:pStyle w:val="null3"/>
        <w:ind w:firstLine="422"/>
        <w:jc w:val="left"/>
      </w:pPr>
      <w:r>
        <w:rPr>
          <w:sz w:val="21"/>
          <w:b/>
        </w:rPr>
        <w:t>第十三条</w:t>
      </w:r>
      <w:r>
        <w:rPr>
          <w:sz w:val="21"/>
          <w:b/>
        </w:rPr>
        <w:t>保密条款</w:t>
      </w:r>
    </w:p>
    <w:p>
      <w:pPr>
        <w:pStyle w:val="null3"/>
        <w:ind w:firstLine="420"/>
        <w:jc w:val="left"/>
      </w:pPr>
      <w:r>
        <w:rPr>
          <w:sz w:val="21"/>
        </w:rPr>
        <w:t>乙方遵守国家的经济、技术工作保密规定和甲方的保密工作条例，对项目实施期间从甲方了解的各种情况、获取的全部信息资料严格保密，不得泄露。本保密条款长期有效，直至甲方放弃保密要求。</w:t>
      </w:r>
    </w:p>
    <w:p>
      <w:pPr>
        <w:pStyle w:val="null3"/>
        <w:ind w:firstLine="422"/>
        <w:jc w:val="left"/>
      </w:pPr>
      <w:r>
        <w:rPr>
          <w:sz w:val="21"/>
          <w:b/>
        </w:rPr>
        <w:t>第十四条</w:t>
      </w:r>
      <w:r>
        <w:rPr>
          <w:sz w:val="21"/>
          <w:b/>
        </w:rPr>
        <w:t>监督和管理</w:t>
      </w:r>
    </w:p>
    <w:p>
      <w:pPr>
        <w:pStyle w:val="null3"/>
        <w:ind w:firstLine="420"/>
        <w:jc w:val="left"/>
      </w:pPr>
      <w:r>
        <w:rPr>
          <w:sz w:val="21"/>
        </w:rPr>
        <w:t>（一）甲乙双方经协商一致需变更合同条款的，订立补充合同。</w:t>
      </w:r>
    </w:p>
    <w:p>
      <w:pPr>
        <w:pStyle w:val="null3"/>
        <w:ind w:firstLine="420"/>
        <w:jc w:val="left"/>
      </w:pPr>
      <w:r>
        <w:rPr>
          <w:sz w:val="21"/>
        </w:rPr>
        <w:t>（二）甲乙双方均应自觉配合采购监督管理部门对合同履行情况的监督检查，如实反映情况，提供有关资料；否则，将对有关单位、当事人按照有关规定予以处罚。</w:t>
      </w:r>
    </w:p>
    <w:p>
      <w:pPr>
        <w:pStyle w:val="null3"/>
        <w:ind w:firstLine="422"/>
        <w:jc w:val="left"/>
      </w:pPr>
      <w:r>
        <w:rPr>
          <w:sz w:val="21"/>
          <w:b/>
        </w:rPr>
        <w:t>第十五条</w:t>
      </w:r>
      <w:r>
        <w:rPr>
          <w:sz w:val="21"/>
          <w:b/>
        </w:rPr>
        <w:t>无效合同</w:t>
      </w:r>
    </w:p>
    <w:p>
      <w:pPr>
        <w:pStyle w:val="null3"/>
        <w:ind w:firstLine="420"/>
        <w:jc w:val="left"/>
      </w:pPr>
      <w:r>
        <w:rPr>
          <w:sz w:val="21"/>
        </w:rPr>
        <w:t>甲乙双方如因违反法律和有关规定，合同被宣告无效的，有过错的一方应当承担赔偿责任，双方都有过错的，各自承担相应的责任。</w:t>
      </w:r>
    </w:p>
    <w:p>
      <w:pPr>
        <w:pStyle w:val="null3"/>
        <w:ind w:firstLine="422"/>
        <w:jc w:val="left"/>
      </w:pPr>
      <w:r>
        <w:rPr>
          <w:sz w:val="21"/>
          <w:b/>
        </w:rPr>
        <w:t>第十六条</w:t>
      </w:r>
      <w:r>
        <w:rPr>
          <w:sz w:val="21"/>
          <w:b/>
        </w:rPr>
        <w:t>投诉</w:t>
      </w:r>
    </w:p>
    <w:p>
      <w:pPr>
        <w:pStyle w:val="null3"/>
        <w:ind w:firstLine="424"/>
        <w:jc w:val="left"/>
      </w:pPr>
      <w:r>
        <w:rPr>
          <w:sz w:val="21"/>
        </w:rPr>
        <w:t>甲方如对乙方所提供的产品质量及服务提出投诉，经核查如属有效投诉并超过三次，采购监督管理部门有权取消乙方的中标资格，并按有关规定接受处理。</w:t>
      </w:r>
    </w:p>
    <w:p>
      <w:pPr>
        <w:pStyle w:val="null3"/>
        <w:ind w:firstLine="422"/>
        <w:jc w:val="left"/>
      </w:pPr>
      <w:r>
        <w:rPr>
          <w:sz w:val="21"/>
          <w:b/>
        </w:rPr>
        <w:t>第十七条</w:t>
      </w:r>
      <w:r>
        <w:rPr>
          <w:sz w:val="21"/>
          <w:b/>
        </w:rPr>
        <w:t>附则</w:t>
      </w:r>
    </w:p>
    <w:p>
      <w:pPr>
        <w:pStyle w:val="null3"/>
        <w:ind w:firstLine="420"/>
        <w:jc w:val="left"/>
      </w:pPr>
      <w:r>
        <w:rPr>
          <w:sz w:val="21"/>
        </w:rPr>
        <w:t>（一）本合同一式伍份，甲方执</w:t>
      </w:r>
      <w:r>
        <w:rPr>
          <w:sz w:val="21"/>
          <w:b/>
        </w:rPr>
        <w:t>贰份</w:t>
      </w:r>
      <w:r>
        <w:rPr>
          <w:sz w:val="21"/>
        </w:rPr>
        <w:t>，乙方执</w:t>
      </w:r>
      <w:r>
        <w:rPr>
          <w:sz w:val="21"/>
          <w:b/>
        </w:rPr>
        <w:t>贰份</w:t>
      </w:r>
      <w:r>
        <w:rPr>
          <w:sz w:val="21"/>
        </w:rPr>
        <w:t>。</w:t>
      </w:r>
      <w:r>
        <w:rPr>
          <w:sz w:val="21"/>
          <w:b/>
        </w:rPr>
        <w:t>壹份</w:t>
      </w:r>
      <w:r>
        <w:rPr>
          <w:sz w:val="21"/>
        </w:rPr>
        <w:t>送国义招标股份有限公司归档。每份均具有同等法律效力。</w:t>
      </w:r>
    </w:p>
    <w:p>
      <w:pPr>
        <w:pStyle w:val="null3"/>
        <w:ind w:firstLine="420"/>
        <w:jc w:val="left"/>
      </w:pPr>
      <w:r>
        <w:rPr>
          <w:sz w:val="21"/>
        </w:rPr>
        <w:t>（二）本合同自甲乙双方签字盖章后生效。</w:t>
      </w:r>
    </w:p>
    <w:p>
      <w:pPr>
        <w:pStyle w:val="null3"/>
        <w:ind w:firstLine="420"/>
        <w:jc w:val="left"/>
      </w:pPr>
      <w:r>
        <w:rPr>
          <w:sz w:val="21"/>
        </w:rPr>
        <w:t>（三）甲乙双方确认，在本合同履行过程中，所有通知、文件、文书、资料等，均可以向本合同或营业执照所列明的住所地进行送达，任何一方如果迁址、变更电话、电邮，应当书面通知对方，未履行书面通知义务的，一方按原地址或联络方式邮寄相关材料或通知相关信息即视为已履行送达义务。当面交付上述材料的，在交付之时视为送达；以邮寄、短信、电邮方式交付的，寄出、发出或者投邮后即视为送达。本合同甲乙双方的联系方式和联系信息适用于双方往来联系、书面文件送达及争议解决时法律文书送达。</w:t>
      </w:r>
    </w:p>
    <w:p>
      <w:pPr>
        <w:pStyle w:val="null3"/>
        <w:spacing w:after="120"/>
        <w:ind w:left="420" w:firstLine="482"/>
        <w:jc w:val="both"/>
      </w:pPr>
      <w:r>
        <w:rPr>
          <w:sz w:val="24"/>
          <w:b/>
        </w:rPr>
        <w:t>（以下无正文）</w:t>
      </w:r>
    </w:p>
    <w:tbl>
      <w:tblPr>
        <w:tblW w:w="0" w:type="auto"/>
        <w:tblBorders>
          <w:top w:val="none" w:color="000000" w:sz="4"/>
          <w:left w:val="none" w:color="000000" w:sz="4"/>
          <w:bottom w:val="none" w:color="000000" w:sz="4"/>
          <w:right w:val="none" w:color="000000" w:sz="4"/>
          <w:insideH w:val="none"/>
          <w:insideV w:val="none"/>
        </w:tblBorders>
      </w:tblPr>
      <w:tblGrid>
        <w:gridCol w:w="4479"/>
        <w:gridCol w:w="3811"/>
      </w:tblGrid>
      <w:tr>
        <w:tc>
          <w:tcPr>
            <w:tcW w:type="dxa" w:w="4479"/>
            <w:tcBorders>
              <w:top w:val="dotted" w:color="000000" w:sz="4"/>
              <w:left w:val="dotted" w:color="000000" w:sz="4"/>
              <w:bottom w:val="dotted" w:color="000000" w:sz="4"/>
              <w:right w:val="dotted" w:color="000000" w:sz="4"/>
            </w:tcBorders>
            <w:tcMar>
              <w:top w:type="dxa" w:w="0"/>
              <w:left w:type="dxa" w:w="105"/>
              <w:bottom w:type="dxa" w:w="0"/>
              <w:right w:type="dxa" w:w="105"/>
            </w:tcMar>
            <w:vAlign w:val="top"/>
          </w:tcPr>
          <w:p>
            <w:pPr>
              <w:pStyle w:val="null3"/>
              <w:jc w:val="both"/>
            </w:pPr>
            <w:r>
              <w:rPr>
                <w:sz w:val="24"/>
                <w:b/>
              </w:rPr>
              <w:t>甲方：江门市中心医院</w:t>
            </w:r>
          </w:p>
          <w:p>
            <w:pPr>
              <w:pStyle w:val="null3"/>
            </w:pPr>
            <w:r>
              <w:rPr>
                <w:sz w:val="19"/>
              </w:rPr>
              <w:t xml:space="preserve"> </w:t>
            </w:r>
          </w:p>
        </w:tc>
        <w:tc>
          <w:tcPr>
            <w:tcW w:type="dxa" w:w="3811"/>
            <w:tcBorders>
              <w:top w:val="dotted" w:color="000000" w:sz="4"/>
              <w:left w:val="dotted" w:color="000000" w:sz="4"/>
              <w:bottom w:val="dotted" w:color="000000" w:sz="4"/>
              <w:right w:val="dotted" w:color="000000" w:sz="4"/>
            </w:tcBorders>
            <w:tcMar>
              <w:top w:type="dxa" w:w="0"/>
              <w:left w:type="dxa" w:w="105"/>
              <w:bottom w:type="dxa" w:w="0"/>
              <w:right w:type="dxa" w:w="105"/>
            </w:tcMar>
            <w:vAlign w:val="top"/>
          </w:tcPr>
          <w:p>
            <w:pPr>
              <w:pStyle w:val="null3"/>
              <w:jc w:val="both"/>
            </w:pPr>
            <w:r>
              <w:rPr>
                <w:sz w:val="24"/>
                <w:b/>
              </w:rPr>
              <w:t>乙方：</w:t>
            </w:r>
          </w:p>
        </w:tc>
      </w:tr>
      <w:tr>
        <w:tc>
          <w:tcPr>
            <w:tcW w:type="dxa" w:w="4479"/>
            <w:tcBorders>
              <w:top w:val="none" w:color="000000" w:sz="4"/>
              <w:left w:val="dotted" w:color="000000" w:sz="4"/>
              <w:bottom w:val="dotted" w:color="000000" w:sz="4"/>
              <w:right w:val="dotted" w:color="000000" w:sz="4"/>
            </w:tcBorders>
            <w:tcMar>
              <w:top w:type="dxa" w:w="0"/>
              <w:left w:type="dxa" w:w="105"/>
              <w:bottom w:type="dxa" w:w="0"/>
              <w:right w:type="dxa" w:w="105"/>
            </w:tcMar>
            <w:vAlign w:val="top"/>
          </w:tcPr>
          <w:p>
            <w:pPr>
              <w:pStyle w:val="null3"/>
              <w:jc w:val="both"/>
            </w:pPr>
            <w:r>
              <w:rPr>
                <w:sz w:val="24"/>
              </w:rPr>
              <w:t>地址：江门市蓬江区海傍街北街海傍街</w:t>
            </w:r>
            <w:r>
              <w:rPr>
                <w:sz w:val="24"/>
              </w:rPr>
              <w:t>23</w:t>
            </w:r>
            <w:r>
              <w:rPr>
                <w:sz w:val="24"/>
              </w:rPr>
              <w:t>号</w:t>
            </w:r>
          </w:p>
        </w:tc>
        <w:tc>
          <w:tcPr>
            <w:tcW w:type="dxa" w:w="3811"/>
            <w:tcBorders>
              <w:top w:val="none" w:color="000000" w:sz="4"/>
              <w:left w:val="dotted" w:color="000000" w:sz="4"/>
              <w:bottom w:val="dotted" w:color="000000" w:sz="4"/>
              <w:right w:val="dotted" w:color="000000" w:sz="4"/>
            </w:tcBorders>
            <w:tcMar>
              <w:top w:type="dxa" w:w="0"/>
              <w:left w:type="dxa" w:w="105"/>
              <w:bottom w:type="dxa" w:w="0"/>
              <w:right w:type="dxa" w:w="105"/>
            </w:tcMar>
            <w:vAlign w:val="top"/>
          </w:tcPr>
          <w:p>
            <w:pPr>
              <w:pStyle w:val="null3"/>
              <w:jc w:val="both"/>
            </w:pPr>
            <w:r>
              <w:rPr>
                <w:sz w:val="24"/>
              </w:rPr>
              <w:t>地址：</w:t>
            </w:r>
          </w:p>
        </w:tc>
      </w:tr>
      <w:tr>
        <w:tc>
          <w:tcPr>
            <w:tcW w:type="dxa" w:w="4479"/>
            <w:tcBorders>
              <w:top w:val="none" w:color="000000" w:sz="4"/>
              <w:left w:val="dotted" w:color="000000" w:sz="4"/>
              <w:bottom w:val="dotted" w:color="000000" w:sz="4"/>
              <w:right w:val="dotted" w:color="000000" w:sz="4"/>
            </w:tcBorders>
            <w:tcMar>
              <w:top w:type="dxa" w:w="0"/>
              <w:left w:type="dxa" w:w="105"/>
              <w:bottom w:type="dxa" w:w="0"/>
              <w:right w:type="dxa" w:w="105"/>
            </w:tcMar>
            <w:vAlign w:val="top"/>
          </w:tcPr>
          <w:p>
            <w:pPr>
              <w:pStyle w:val="null3"/>
              <w:jc w:val="both"/>
            </w:pPr>
            <w:r>
              <w:rPr>
                <w:sz w:val="24"/>
              </w:rPr>
              <w:t>委托代理人：</w:t>
            </w:r>
          </w:p>
        </w:tc>
        <w:tc>
          <w:tcPr>
            <w:tcW w:type="dxa" w:w="3811"/>
            <w:tcBorders>
              <w:top w:val="none" w:color="000000" w:sz="4"/>
              <w:left w:val="dotted" w:color="000000" w:sz="4"/>
              <w:bottom w:val="dotted" w:color="000000" w:sz="4"/>
              <w:right w:val="dotted" w:color="000000" w:sz="4"/>
            </w:tcBorders>
            <w:tcMar>
              <w:top w:type="dxa" w:w="0"/>
              <w:left w:type="dxa" w:w="105"/>
              <w:bottom w:type="dxa" w:w="0"/>
              <w:right w:type="dxa" w:w="105"/>
            </w:tcMar>
            <w:vAlign w:val="top"/>
          </w:tcPr>
          <w:p>
            <w:pPr>
              <w:pStyle w:val="null3"/>
              <w:jc w:val="both"/>
            </w:pPr>
            <w:r>
              <w:rPr>
                <w:sz w:val="24"/>
              </w:rPr>
              <w:t>委托代理人：</w:t>
            </w:r>
          </w:p>
        </w:tc>
      </w:tr>
      <w:tr>
        <w:tc>
          <w:tcPr>
            <w:tcW w:type="dxa" w:w="4479"/>
            <w:tcBorders>
              <w:top w:val="none" w:color="000000" w:sz="4"/>
              <w:left w:val="dotted" w:color="000000" w:sz="4"/>
              <w:bottom w:val="dotted" w:color="000000" w:sz="4"/>
              <w:right w:val="dotted" w:color="000000" w:sz="4"/>
            </w:tcBorders>
            <w:tcMar>
              <w:top w:type="dxa" w:w="0"/>
              <w:left w:type="dxa" w:w="105"/>
              <w:bottom w:type="dxa" w:w="0"/>
              <w:right w:type="dxa" w:w="105"/>
            </w:tcMar>
            <w:vAlign w:val="top"/>
          </w:tcPr>
          <w:p>
            <w:pPr>
              <w:pStyle w:val="null3"/>
              <w:jc w:val="both"/>
            </w:pPr>
            <w:r>
              <w:rPr>
                <w:sz w:val="24"/>
              </w:rPr>
              <w:t>法定代表人：</w:t>
            </w:r>
          </w:p>
        </w:tc>
        <w:tc>
          <w:tcPr>
            <w:tcW w:type="dxa" w:w="3811"/>
            <w:tcBorders>
              <w:top w:val="none" w:color="000000" w:sz="4"/>
              <w:left w:val="dotted" w:color="000000" w:sz="4"/>
              <w:bottom w:val="dotted" w:color="000000" w:sz="4"/>
              <w:right w:val="dotted" w:color="000000" w:sz="4"/>
            </w:tcBorders>
            <w:tcMar>
              <w:top w:type="dxa" w:w="0"/>
              <w:left w:type="dxa" w:w="105"/>
              <w:bottom w:type="dxa" w:w="0"/>
              <w:right w:type="dxa" w:w="105"/>
            </w:tcMar>
            <w:vAlign w:val="top"/>
          </w:tcPr>
          <w:p>
            <w:pPr>
              <w:pStyle w:val="null3"/>
              <w:jc w:val="both"/>
            </w:pPr>
            <w:r>
              <w:rPr>
                <w:sz w:val="24"/>
              </w:rPr>
              <w:t>法定代表人：</w:t>
            </w:r>
          </w:p>
        </w:tc>
      </w:tr>
      <w:tr>
        <w:tc>
          <w:tcPr>
            <w:tcW w:type="dxa" w:w="4479"/>
            <w:tcBorders>
              <w:top w:val="none" w:color="000000" w:sz="4"/>
              <w:left w:val="dotted" w:color="000000" w:sz="4"/>
              <w:bottom w:val="dotted" w:color="000000" w:sz="4"/>
              <w:right w:val="dotted" w:color="000000" w:sz="4"/>
            </w:tcBorders>
            <w:tcMar>
              <w:top w:type="dxa" w:w="0"/>
              <w:left w:type="dxa" w:w="105"/>
              <w:bottom w:type="dxa" w:w="0"/>
              <w:right w:type="dxa" w:w="105"/>
            </w:tcMar>
            <w:vAlign w:val="top"/>
          </w:tcPr>
          <w:p>
            <w:pPr>
              <w:pStyle w:val="null3"/>
              <w:jc w:val="both"/>
            </w:pPr>
            <w:r>
              <w:rPr>
                <w:sz w:val="24"/>
              </w:rPr>
              <w:t>统一社会信用代码：</w:t>
            </w:r>
            <w:r>
              <w:rPr>
                <w:sz w:val="24"/>
              </w:rPr>
              <w:t>12440700456174068R</w:t>
            </w:r>
          </w:p>
        </w:tc>
        <w:tc>
          <w:tcPr>
            <w:tcW w:type="dxa" w:w="3811"/>
            <w:tcBorders>
              <w:top w:val="none" w:color="000000" w:sz="4"/>
              <w:left w:val="dotted" w:color="000000" w:sz="4"/>
              <w:bottom w:val="dotted" w:color="000000" w:sz="4"/>
              <w:right w:val="dotted" w:color="000000" w:sz="4"/>
            </w:tcBorders>
            <w:tcMar>
              <w:top w:type="dxa" w:w="0"/>
              <w:left w:type="dxa" w:w="105"/>
              <w:bottom w:type="dxa" w:w="0"/>
              <w:right w:type="dxa" w:w="105"/>
            </w:tcMar>
            <w:vAlign w:val="top"/>
          </w:tcPr>
          <w:p>
            <w:pPr>
              <w:pStyle w:val="null3"/>
              <w:jc w:val="both"/>
            </w:pPr>
            <w:r>
              <w:rPr>
                <w:sz w:val="24"/>
              </w:rPr>
              <w:t>统一社会信用代码：</w:t>
            </w:r>
          </w:p>
        </w:tc>
      </w:tr>
      <w:tr>
        <w:tc>
          <w:tcPr>
            <w:tcW w:type="dxa" w:w="4479"/>
            <w:tcBorders>
              <w:top w:val="none" w:color="000000" w:sz="4"/>
              <w:left w:val="dotted" w:color="000000" w:sz="4"/>
              <w:bottom w:val="dotted" w:color="000000" w:sz="4"/>
              <w:right w:val="dotted" w:color="000000" w:sz="4"/>
            </w:tcBorders>
            <w:tcMar>
              <w:top w:type="dxa" w:w="0"/>
              <w:left w:type="dxa" w:w="105"/>
              <w:bottom w:type="dxa" w:w="0"/>
              <w:right w:type="dxa" w:w="105"/>
            </w:tcMar>
            <w:vAlign w:val="top"/>
          </w:tcPr>
          <w:p>
            <w:pPr>
              <w:pStyle w:val="null3"/>
              <w:jc w:val="both"/>
            </w:pPr>
            <w:r>
              <w:rPr>
                <w:sz w:val="24"/>
              </w:rPr>
              <w:t>开户银行：工商行江海支行</w:t>
            </w:r>
          </w:p>
        </w:tc>
        <w:tc>
          <w:tcPr>
            <w:tcW w:type="dxa" w:w="3811"/>
            <w:tcBorders>
              <w:top w:val="none" w:color="000000" w:sz="4"/>
              <w:left w:val="dotted" w:color="000000" w:sz="4"/>
              <w:bottom w:val="dotted" w:color="000000" w:sz="4"/>
              <w:right w:val="dotted" w:color="000000" w:sz="4"/>
            </w:tcBorders>
            <w:tcMar>
              <w:top w:type="dxa" w:w="0"/>
              <w:left w:type="dxa" w:w="105"/>
              <w:bottom w:type="dxa" w:w="0"/>
              <w:right w:type="dxa" w:w="105"/>
            </w:tcMar>
            <w:vAlign w:val="top"/>
          </w:tcPr>
          <w:p>
            <w:pPr>
              <w:pStyle w:val="null3"/>
              <w:jc w:val="both"/>
            </w:pPr>
            <w:r>
              <w:rPr>
                <w:sz w:val="24"/>
              </w:rPr>
              <w:t>开户银行：</w:t>
            </w:r>
            <w:r>
              <w:rPr>
                <w:sz w:val="21"/>
              </w:rPr>
              <w:t xml:space="preserve"> </w:t>
            </w:r>
          </w:p>
        </w:tc>
      </w:tr>
      <w:tr>
        <w:tc>
          <w:tcPr>
            <w:tcW w:type="dxa" w:w="4479"/>
            <w:tcBorders>
              <w:top w:val="none" w:color="000000" w:sz="4"/>
              <w:left w:val="dotted" w:color="000000" w:sz="4"/>
              <w:bottom w:val="dotted" w:color="000000" w:sz="4"/>
              <w:right w:val="dotted" w:color="000000" w:sz="4"/>
            </w:tcBorders>
            <w:tcMar>
              <w:top w:type="dxa" w:w="0"/>
              <w:left w:type="dxa" w:w="105"/>
              <w:bottom w:type="dxa" w:w="0"/>
              <w:right w:type="dxa" w:w="105"/>
            </w:tcMar>
            <w:vAlign w:val="top"/>
          </w:tcPr>
          <w:p>
            <w:pPr>
              <w:pStyle w:val="null3"/>
              <w:jc w:val="both"/>
            </w:pPr>
            <w:r>
              <w:rPr>
                <w:sz w:val="24"/>
              </w:rPr>
              <w:t>帐号：</w:t>
            </w:r>
            <w:r>
              <w:rPr>
                <w:sz w:val="24"/>
              </w:rPr>
              <w:t>2012002309024902351</w:t>
            </w:r>
            <w:r>
              <w:rPr>
                <w:sz w:val="21"/>
              </w:rPr>
              <w:t xml:space="preserve"> </w:t>
            </w:r>
          </w:p>
        </w:tc>
        <w:tc>
          <w:tcPr>
            <w:tcW w:type="dxa" w:w="3811"/>
            <w:tcBorders>
              <w:top w:val="none" w:color="000000" w:sz="4"/>
              <w:left w:val="dotted" w:color="000000" w:sz="4"/>
              <w:bottom w:val="dotted" w:color="000000" w:sz="4"/>
              <w:right w:val="dotted" w:color="000000" w:sz="4"/>
            </w:tcBorders>
            <w:tcMar>
              <w:top w:type="dxa" w:w="0"/>
              <w:left w:type="dxa" w:w="105"/>
              <w:bottom w:type="dxa" w:w="0"/>
              <w:right w:type="dxa" w:w="105"/>
            </w:tcMar>
            <w:vAlign w:val="top"/>
          </w:tcPr>
          <w:p>
            <w:pPr>
              <w:pStyle w:val="null3"/>
              <w:jc w:val="both"/>
            </w:pPr>
            <w:r>
              <w:rPr>
                <w:sz w:val="24"/>
              </w:rPr>
              <w:t>帐号：</w:t>
            </w:r>
          </w:p>
        </w:tc>
      </w:tr>
      <w:tr>
        <w:tc>
          <w:tcPr>
            <w:tcW w:type="dxa" w:w="4479"/>
            <w:tcBorders>
              <w:top w:val="none" w:color="000000" w:sz="4"/>
              <w:left w:val="dotted" w:color="000000" w:sz="4"/>
              <w:bottom w:val="dotted" w:color="000000" w:sz="4"/>
              <w:right w:val="dotted" w:color="000000" w:sz="4"/>
            </w:tcBorders>
            <w:tcMar>
              <w:top w:type="dxa" w:w="0"/>
              <w:left w:type="dxa" w:w="105"/>
              <w:bottom w:type="dxa" w:w="0"/>
              <w:right w:type="dxa" w:w="105"/>
            </w:tcMar>
            <w:vAlign w:val="top"/>
          </w:tcPr>
          <w:p>
            <w:pPr>
              <w:pStyle w:val="null3"/>
              <w:jc w:val="both"/>
            </w:pPr>
            <w:r>
              <w:rPr>
                <w:sz w:val="24"/>
              </w:rPr>
              <w:t>项目负责人：</w:t>
            </w:r>
            <w:r>
              <w:rPr>
                <w:sz w:val="24"/>
              </w:rPr>
              <w:t xml:space="preserve"> </w:t>
            </w:r>
            <w:r>
              <w:rPr>
                <w:sz w:val="24"/>
              </w:rPr>
              <w:t>赵敏婵</w:t>
            </w:r>
          </w:p>
        </w:tc>
        <w:tc>
          <w:tcPr>
            <w:tcW w:type="dxa" w:w="3811"/>
            <w:tcBorders>
              <w:top w:val="none" w:color="000000" w:sz="4"/>
              <w:left w:val="dotted" w:color="000000" w:sz="4"/>
              <w:bottom w:val="dotted" w:color="000000" w:sz="4"/>
              <w:right w:val="dotted" w:color="000000" w:sz="4"/>
            </w:tcBorders>
            <w:tcMar>
              <w:top w:type="dxa" w:w="0"/>
              <w:left w:type="dxa" w:w="105"/>
              <w:bottom w:type="dxa" w:w="0"/>
              <w:right w:type="dxa" w:w="105"/>
            </w:tcMar>
            <w:vAlign w:val="top"/>
          </w:tcPr>
          <w:p>
            <w:pPr>
              <w:pStyle w:val="null3"/>
              <w:jc w:val="both"/>
            </w:pPr>
            <w:r>
              <w:rPr>
                <w:sz w:val="24"/>
              </w:rPr>
              <w:t>项目联系人：</w:t>
            </w:r>
          </w:p>
        </w:tc>
      </w:tr>
      <w:tr>
        <w:tc>
          <w:tcPr>
            <w:tcW w:type="dxa" w:w="4479"/>
            <w:tcBorders>
              <w:top w:val="none" w:color="000000" w:sz="4"/>
              <w:left w:val="dotted" w:color="000000" w:sz="4"/>
              <w:bottom w:val="dotted" w:color="000000" w:sz="4"/>
              <w:right w:val="dotted" w:color="000000" w:sz="4"/>
            </w:tcBorders>
            <w:tcMar>
              <w:top w:type="dxa" w:w="0"/>
              <w:left w:type="dxa" w:w="105"/>
              <w:bottom w:type="dxa" w:w="0"/>
              <w:right w:type="dxa" w:w="105"/>
            </w:tcMar>
            <w:vAlign w:val="top"/>
          </w:tcPr>
          <w:p>
            <w:pPr>
              <w:pStyle w:val="null3"/>
              <w:jc w:val="both"/>
            </w:pPr>
            <w:r>
              <w:rPr>
                <w:sz w:val="24"/>
              </w:rPr>
              <w:t>联系人电话：</w:t>
            </w:r>
            <w:r>
              <w:rPr>
                <w:sz w:val="21"/>
              </w:rPr>
              <w:t xml:space="preserve"> </w:t>
            </w:r>
          </w:p>
        </w:tc>
        <w:tc>
          <w:tcPr>
            <w:tcW w:type="dxa" w:w="3811"/>
            <w:tcBorders>
              <w:top w:val="none" w:color="000000" w:sz="4"/>
              <w:left w:val="dotted" w:color="000000" w:sz="4"/>
              <w:bottom w:val="dotted" w:color="000000" w:sz="4"/>
              <w:right w:val="dotted" w:color="000000" w:sz="4"/>
            </w:tcBorders>
            <w:tcMar>
              <w:top w:type="dxa" w:w="0"/>
              <w:left w:type="dxa" w:w="105"/>
              <w:bottom w:type="dxa" w:w="0"/>
              <w:right w:type="dxa" w:w="105"/>
            </w:tcMar>
            <w:vAlign w:val="top"/>
          </w:tcPr>
          <w:p>
            <w:pPr>
              <w:pStyle w:val="null3"/>
              <w:jc w:val="both"/>
            </w:pPr>
            <w:r>
              <w:rPr>
                <w:sz w:val="24"/>
              </w:rPr>
              <w:t>联系人电话</w:t>
            </w:r>
            <w:r>
              <w:rPr>
                <w:sz w:val="24"/>
              </w:rPr>
              <w:t>：</w:t>
            </w:r>
          </w:p>
        </w:tc>
      </w:tr>
      <w:tr>
        <w:tc>
          <w:tcPr>
            <w:tcW w:type="dxa" w:w="4479"/>
            <w:tcBorders>
              <w:top w:val="none" w:color="000000" w:sz="4"/>
              <w:left w:val="dotted" w:color="000000" w:sz="4"/>
              <w:bottom w:val="dotted" w:color="000000" w:sz="4"/>
              <w:right w:val="dotted" w:color="000000" w:sz="4"/>
            </w:tcBorders>
            <w:tcMar>
              <w:top w:type="dxa" w:w="0"/>
              <w:left w:type="dxa" w:w="105"/>
              <w:bottom w:type="dxa" w:w="0"/>
              <w:right w:type="dxa" w:w="105"/>
            </w:tcMar>
            <w:vAlign w:val="top"/>
          </w:tcPr>
          <w:p>
            <w:pPr>
              <w:pStyle w:val="null3"/>
              <w:jc w:val="both"/>
            </w:pPr>
            <w:r>
              <w:rPr>
                <w:sz w:val="24"/>
              </w:rPr>
              <w:t>签约地点：广东省江门市蓬江区</w:t>
            </w:r>
          </w:p>
        </w:tc>
        <w:tc>
          <w:tcPr>
            <w:tcW w:type="dxa" w:w="3811"/>
            <w:tcBorders>
              <w:top w:val="none" w:color="000000" w:sz="4"/>
              <w:left w:val="dotted" w:color="000000" w:sz="4"/>
              <w:bottom w:val="dotted" w:color="000000" w:sz="4"/>
              <w:right w:val="dotted" w:color="000000" w:sz="4"/>
            </w:tcBorders>
            <w:tcMar>
              <w:top w:type="dxa" w:w="0"/>
              <w:left w:type="dxa" w:w="105"/>
              <w:bottom w:type="dxa" w:w="0"/>
              <w:right w:type="dxa" w:w="105"/>
            </w:tcMar>
            <w:vAlign w:val="top"/>
          </w:tcPr>
          <w:p>
            <w:pPr>
              <w:pStyle w:val="null3"/>
              <w:jc w:val="both"/>
            </w:pPr>
            <w:r>
              <w:rPr>
                <w:sz w:val="24"/>
              </w:rPr>
              <w:t>签约日期：</w:t>
            </w:r>
            <w:r>
              <w:rPr>
                <w:sz w:val="24"/>
              </w:rPr>
              <w:t xml:space="preserve">       </w:t>
            </w:r>
            <w:r>
              <w:rPr>
                <w:sz w:val="24"/>
              </w:rPr>
              <w:t>年</w:t>
            </w:r>
            <w:r>
              <w:rPr>
                <w:sz w:val="24"/>
              </w:rPr>
              <w:t xml:space="preserve">    </w:t>
            </w:r>
            <w:r>
              <w:rPr>
                <w:sz w:val="24"/>
              </w:rPr>
              <w:t>月</w:t>
            </w:r>
            <w:r>
              <w:rPr>
                <w:sz w:val="24"/>
              </w:rPr>
              <w:t xml:space="preserve">    </w:t>
            </w:r>
            <w:r>
              <w:rPr>
                <w:sz w:val="24"/>
              </w:rPr>
              <w:t>日</w:t>
            </w:r>
          </w:p>
        </w:tc>
      </w:tr>
    </w:tbl>
    <w:p>
      <w:pPr>
        <w:pStyle w:val="null3"/>
        <w:jc w:val="center"/>
      </w:pPr>
      <w:r>
        <w:rPr>
          <w:sz w:val="52"/>
        </w:rPr>
        <w:t>江门市中心医院</w:t>
      </w:r>
    </w:p>
    <w:p>
      <w:pPr>
        <w:pStyle w:val="null3"/>
      </w:pPr>
      <w:r>
        <w:rPr/>
        <w:t xml:space="preserve"> </w:t>
      </w:r>
    </w:p>
    <w:p>
      <w:pPr>
        <w:pStyle w:val="null3"/>
        <w:jc w:val="center"/>
      </w:pPr>
      <w:r>
        <w:rPr>
          <w:sz w:val="52"/>
        </w:rPr>
        <w:t>网络信息安全责任及保密协议书</w:t>
      </w:r>
    </w:p>
    <w:p>
      <w:pPr>
        <w:pStyle w:val="null3"/>
        <w:jc w:val="center"/>
      </w:pPr>
      <w:r>
        <w:rPr>
          <w:sz w:val="21"/>
          <w:b/>
        </w:rPr>
        <w:t>甲方：</w:t>
      </w:r>
      <w:r>
        <w:rPr>
          <w:sz w:val="21"/>
          <w:b/>
          <w:u w:val="single"/>
        </w:rPr>
        <w:t xml:space="preserve">  </w:t>
      </w:r>
      <w:r>
        <w:rPr>
          <w:sz w:val="21"/>
          <w:b/>
          <w:u w:val="single"/>
        </w:rPr>
        <w:t>江门市中心医院</w:t>
      </w:r>
      <w:r>
        <w:rPr>
          <w:sz w:val="21"/>
          <w:b/>
          <w:u w:val="single"/>
        </w:rPr>
        <w:t xml:space="preserve">    </w:t>
      </w:r>
    </w:p>
    <w:p>
      <w:pPr>
        <w:pStyle w:val="null3"/>
        <w:ind w:firstLine="422"/>
        <w:jc w:val="left"/>
      </w:pPr>
      <w:r>
        <w:rPr>
          <w:sz w:val="21"/>
          <w:b/>
        </w:rPr>
        <w:t>乙方：</w:t>
      </w:r>
      <w:r>
        <w:rPr>
          <w:sz w:val="21"/>
          <w:b/>
          <w:u w:val="single"/>
        </w:rPr>
        <w:t xml:space="preserve">                    </w:t>
      </w:r>
    </w:p>
    <w:p>
      <w:pPr>
        <w:pStyle w:val="null3"/>
        <w:ind w:firstLine="422"/>
        <w:jc w:val="both"/>
      </w:pPr>
      <w:r>
        <w:rPr>
          <w:sz w:val="21"/>
          <w:b/>
        </w:rPr>
        <w:t>项目：</w:t>
      </w:r>
      <w:r>
        <w:rPr>
          <w:sz w:val="21"/>
          <w:b/>
          <w:u w:val="single"/>
        </w:rPr>
        <w:t xml:space="preserve">                    </w:t>
      </w:r>
    </w:p>
    <w:p>
      <w:pPr>
        <w:pStyle w:val="null3"/>
        <w:ind w:firstLine="420"/>
        <w:jc w:val="left"/>
      </w:pPr>
      <w:r>
        <w:rPr>
          <w:sz w:val="21"/>
        </w:rPr>
        <w:t>根据《中华人民共和国网络安全法》，为保障江门市中心医院网络信息安全，维护社会公共利益，保护患者的信息以及明确网络信息安全的监督管理责任，本着平等、自愿的原则，双方签订本协议：</w:t>
      </w:r>
    </w:p>
    <w:p>
      <w:pPr>
        <w:pStyle w:val="null3"/>
        <w:ind w:firstLine="422"/>
        <w:jc w:val="left"/>
      </w:pPr>
      <w:r>
        <w:rPr>
          <w:sz w:val="21"/>
          <w:b/>
        </w:rPr>
        <w:t>一、本协议书涉密内容：</w:t>
      </w:r>
    </w:p>
    <w:p>
      <w:pPr>
        <w:pStyle w:val="null3"/>
        <w:ind w:firstLine="420"/>
        <w:jc w:val="left"/>
      </w:pPr>
      <w:r>
        <w:rPr>
          <w:sz w:val="21"/>
        </w:rPr>
        <w:t>本协议书涉密内容是指乙方在甲方从事工作过程中所知悉的甲方的信息、数据、患者信息资料、药品、耗材、专利技术、研究项目、会计报表各类财务报表、财务预决算报告经营状况、纳税资料等一切财务信息、甲方的经营战略、经营规划和经营决策等以及招投标信息、人事档案、组织架构、薪酬体系等甲方尚未对外公开的、</w:t>
      </w:r>
      <w:r>
        <w:rPr>
          <w:sz w:val="21"/>
        </w:rPr>
        <w:t>对甲方有较大影响的信息（包括但不限于以上内容）</w:t>
      </w:r>
      <w:r>
        <w:rPr>
          <w:sz w:val="21"/>
        </w:rPr>
        <w:t>,其信息存在形式包括但不限于书面、磁盘、光盘、移动存储介质、会议和其他口头形式等。</w:t>
      </w:r>
    </w:p>
    <w:p>
      <w:pPr>
        <w:pStyle w:val="null3"/>
        <w:ind w:firstLine="422"/>
        <w:jc w:val="left"/>
      </w:pPr>
      <w:r>
        <w:rPr>
          <w:sz w:val="21"/>
          <w:b/>
        </w:rPr>
        <w:t>二、甲方义务</w:t>
      </w:r>
    </w:p>
    <w:p>
      <w:pPr>
        <w:pStyle w:val="null3"/>
        <w:ind w:firstLine="420"/>
        <w:jc w:val="left"/>
      </w:pPr>
      <w:r>
        <w:rPr>
          <w:sz w:val="21"/>
        </w:rPr>
        <w:t>1、甲方有义务对乙方进行相关法律、法规、网络信息安全方面的专业培训，帮助乙方了解并落实相关信息保密制度，掌握相关网络信息安全专业防控知识和技能。</w:t>
      </w:r>
    </w:p>
    <w:p>
      <w:pPr>
        <w:pStyle w:val="null3"/>
        <w:ind w:firstLine="420"/>
        <w:jc w:val="both"/>
      </w:pPr>
      <w:r>
        <w:rPr>
          <w:sz w:val="21"/>
        </w:rPr>
        <w:t>2、甲方有义务持续健全各项网络信息安全管理制度；甲方有义务落实各项网络信息安全保护技术措施和提供必要的网络信息安全设备。</w:t>
      </w:r>
    </w:p>
    <w:p>
      <w:pPr>
        <w:pStyle w:val="null3"/>
        <w:ind w:firstLine="420"/>
        <w:jc w:val="both"/>
      </w:pPr>
      <w:r>
        <w:rPr>
          <w:sz w:val="21"/>
        </w:rPr>
        <w:t>3、甲方有义务根据工作性质及工作时间综合考虑，设定符合网络信息安全实际工作的轮岗工作制度。</w:t>
      </w:r>
    </w:p>
    <w:p>
      <w:pPr>
        <w:pStyle w:val="null3"/>
        <w:ind w:firstLine="420"/>
        <w:jc w:val="left"/>
      </w:pPr>
      <w:r>
        <w:rPr>
          <w:sz w:val="21"/>
        </w:rPr>
        <w:t>4、甲方信息管理部门有义务落实相关计算机网络信息安全管理制度，对本院所有计算机设置访问管理权限，做好日常监管，排除安全隐患。</w:t>
      </w:r>
    </w:p>
    <w:p>
      <w:pPr>
        <w:pStyle w:val="null3"/>
        <w:ind w:firstLine="420"/>
        <w:jc w:val="left"/>
      </w:pPr>
      <w:r>
        <w:rPr>
          <w:sz w:val="21"/>
        </w:rPr>
        <w:t>5、甲方信息管理部门有义务维护计算机正常运转，安装必要的防火墙或内外网的物理隔离，保障信息系统的安全。</w:t>
      </w:r>
    </w:p>
    <w:p>
      <w:pPr>
        <w:pStyle w:val="null3"/>
        <w:ind w:firstLine="420"/>
        <w:jc w:val="left"/>
      </w:pPr>
      <w:r>
        <w:rPr>
          <w:sz w:val="21"/>
        </w:rPr>
        <w:t>6、甲方有义务对重要涉密信息进行定期安全备份并安全存放。</w:t>
      </w:r>
    </w:p>
    <w:p>
      <w:pPr>
        <w:pStyle w:val="null3"/>
        <w:ind w:firstLine="422"/>
        <w:jc w:val="left"/>
      </w:pPr>
      <w:r>
        <w:rPr>
          <w:sz w:val="21"/>
          <w:b/>
        </w:rPr>
        <w:t>三、乙方义务</w:t>
      </w:r>
    </w:p>
    <w:p>
      <w:pPr>
        <w:pStyle w:val="null3"/>
        <w:ind w:firstLine="420"/>
        <w:jc w:val="both"/>
      </w:pPr>
      <w:r>
        <w:rPr>
          <w:sz w:val="21"/>
        </w:rPr>
        <w:t>1、严格遵守并执行《中华人民共和国网络安全法》。</w:t>
      </w:r>
    </w:p>
    <w:p>
      <w:pPr>
        <w:pStyle w:val="null3"/>
        <w:ind w:firstLine="420"/>
        <w:jc w:val="left"/>
      </w:pPr>
      <w:r>
        <w:rPr>
          <w:sz w:val="21"/>
        </w:rPr>
        <w:t>2、严格遵守并执行甲方制订的相关网络信息安全工作制度。</w:t>
      </w:r>
    </w:p>
    <w:p>
      <w:pPr>
        <w:pStyle w:val="null3"/>
        <w:ind w:firstLine="420"/>
        <w:jc w:val="left"/>
      </w:pPr>
      <w:r>
        <w:rPr>
          <w:sz w:val="21"/>
        </w:rPr>
        <w:t>3、严格遵守甲方的相关保密制度，恪守职业道德，未经甲方同意，乙方不得将在甲方涉密岗位上掌握的涉密内容泄露给未经甲方授权的其他人员。</w:t>
      </w:r>
    </w:p>
    <w:p>
      <w:pPr>
        <w:pStyle w:val="null3"/>
        <w:ind w:firstLine="420"/>
        <w:jc w:val="left"/>
      </w:pPr>
      <w:r>
        <w:rPr>
          <w:sz w:val="21"/>
        </w:rPr>
        <w:t>4、乙方不得利用工作之便统计甲方处方药品、耗材等信息，进行数据买卖，谋取不正当利益的违法犯罪活动。</w:t>
      </w:r>
    </w:p>
    <w:p>
      <w:pPr>
        <w:pStyle w:val="null3"/>
        <w:ind w:firstLine="420"/>
        <w:jc w:val="left"/>
      </w:pPr>
      <w:r>
        <w:rPr>
          <w:sz w:val="21"/>
        </w:rPr>
        <w:t>5、乙方进行远程维护或数据访问，必须使用甲方授权的电子KEY操作。</w:t>
      </w:r>
    </w:p>
    <w:p>
      <w:pPr>
        <w:pStyle w:val="null3"/>
        <w:ind w:firstLine="420"/>
        <w:jc w:val="left"/>
      </w:pPr>
      <w:r>
        <w:rPr>
          <w:sz w:val="21"/>
        </w:rPr>
        <w:t>6、未经甲方同意，乙方不得以任何理由、原因修改、篡改系统信息数据。</w:t>
      </w:r>
    </w:p>
    <w:p>
      <w:pPr>
        <w:pStyle w:val="null3"/>
        <w:ind w:firstLine="420"/>
        <w:jc w:val="left"/>
      </w:pPr>
      <w:r>
        <w:rPr>
          <w:sz w:val="21"/>
        </w:rPr>
        <w:t>7、乙方因工作需要进行必要的数据修正、调整，严格按流程执行并将过程存档。</w:t>
      </w:r>
    </w:p>
    <w:p>
      <w:pPr>
        <w:pStyle w:val="null3"/>
        <w:ind w:firstLine="420"/>
        <w:jc w:val="left"/>
      </w:pPr>
      <w:r>
        <w:rPr>
          <w:sz w:val="21"/>
        </w:rPr>
        <w:t>8、乙方对涉密计算机设置加密口令并严格保密，定期更换。未经甲方同意，乙方不得将登陆口令泄露给其他人，防止他人私自使用计算机或允许他人复制涉密信息资料。</w:t>
      </w:r>
    </w:p>
    <w:p>
      <w:pPr>
        <w:pStyle w:val="null3"/>
        <w:ind w:firstLine="420"/>
        <w:jc w:val="left"/>
      </w:pPr>
      <w:r>
        <w:rPr>
          <w:sz w:val="21"/>
        </w:rPr>
        <w:t>9、乙方不得以盗窃、利诱、胁迫他人或者其他不正当手段获取甲方相关信息涉密内容。</w:t>
      </w:r>
    </w:p>
    <w:p>
      <w:pPr>
        <w:pStyle w:val="null3"/>
        <w:ind w:firstLine="420"/>
        <w:jc w:val="left"/>
      </w:pPr>
      <w:r>
        <w:rPr>
          <w:sz w:val="21"/>
        </w:rPr>
        <w:t>10、乙方不得故意向他人披露、打听超越岗位职责范围的甲方其它涉密信息资料。</w:t>
      </w:r>
    </w:p>
    <w:p>
      <w:pPr>
        <w:pStyle w:val="null3"/>
        <w:ind w:firstLine="420"/>
        <w:jc w:val="left"/>
      </w:pPr>
      <w:r>
        <w:rPr>
          <w:sz w:val="21"/>
        </w:rPr>
        <w:t>11、乙方不得未经批准私自带外来人员观看、复制、摄像、记录甲方涉密信息资料。</w:t>
      </w:r>
    </w:p>
    <w:p>
      <w:pPr>
        <w:pStyle w:val="null3"/>
        <w:ind w:firstLine="420"/>
        <w:jc w:val="left"/>
      </w:pPr>
      <w:r>
        <w:rPr>
          <w:sz w:val="21"/>
        </w:rPr>
        <w:t>12、乙方不得利用甲方提供的计算机和网络系统，私自连接外网，发送垃圾邮件、攻击网络和计算机系统，不得私自使用外来移动硬盘、U盘、光盘等移动存储介质，防止计算机病毒传播，危害网络信息安全。</w:t>
      </w:r>
    </w:p>
    <w:p>
      <w:pPr>
        <w:pStyle w:val="null3"/>
        <w:ind w:firstLine="420"/>
        <w:jc w:val="left"/>
      </w:pPr>
      <w:r>
        <w:rPr>
          <w:sz w:val="21"/>
        </w:rPr>
        <w:t>13、乙方不得在甲方运行的信息系统上私自开发、挂靠与业务工作无关的软件或系统；不得在内网、外网、QQ、微信、论坛等之上擅自发布涉密信息资料；不得私自通过运行的信息系统发布通知或广告等。</w:t>
      </w:r>
    </w:p>
    <w:p>
      <w:pPr>
        <w:pStyle w:val="null3"/>
        <w:ind w:firstLine="420"/>
        <w:jc w:val="left"/>
      </w:pPr>
      <w:r>
        <w:rPr>
          <w:sz w:val="21"/>
        </w:rPr>
        <w:t>14、乙方不得直接或间接地利用甲方的保密信息为自己或他人谋取不正当利益。</w:t>
      </w:r>
    </w:p>
    <w:p>
      <w:pPr>
        <w:pStyle w:val="null3"/>
        <w:ind w:firstLine="422"/>
        <w:jc w:val="left"/>
      </w:pPr>
      <w:r>
        <w:rPr>
          <w:sz w:val="21"/>
          <w:b/>
        </w:rPr>
        <w:t>四、保密期限</w:t>
      </w:r>
    </w:p>
    <w:p>
      <w:pPr>
        <w:pStyle w:val="null3"/>
        <w:ind w:firstLine="420"/>
        <w:jc w:val="left"/>
      </w:pPr>
      <w:r>
        <w:rPr>
          <w:sz w:val="21"/>
        </w:rPr>
        <w:t>乙方在主合同履行期间和主合同履行完毕后（包括但不限于主合同到期终止、解除等），乙方均需按照本协议的约定履行保密义务，直至相关信息合法进入公众领域，成为公开信息。</w:t>
      </w:r>
    </w:p>
    <w:p>
      <w:pPr>
        <w:pStyle w:val="null3"/>
        <w:ind w:firstLine="422"/>
        <w:jc w:val="left"/>
      </w:pPr>
      <w:r>
        <w:rPr>
          <w:sz w:val="21"/>
          <w:b/>
        </w:rPr>
        <w:t>五、违约责任</w:t>
      </w:r>
    </w:p>
    <w:p>
      <w:pPr>
        <w:pStyle w:val="null3"/>
        <w:ind w:firstLine="420"/>
        <w:jc w:val="left"/>
      </w:pPr>
      <w:r>
        <w:rPr>
          <w:sz w:val="21"/>
        </w:rPr>
        <w:t>1、乙方若违反本协议书，一经发现，视情节轻重，甲方有权利依据甲方的规章制度按程序给予乙方交回全部资料、承担赔偿责任、移交司法部门等处理，并有权要求乙方支付违约金5-30万元，违约金不足以弥补损失的，乙方应当赔偿甲方的损失。</w:t>
      </w:r>
    </w:p>
    <w:p>
      <w:pPr>
        <w:pStyle w:val="null3"/>
        <w:ind w:firstLine="420"/>
        <w:jc w:val="left"/>
      </w:pPr>
      <w:r>
        <w:rPr>
          <w:sz w:val="21"/>
        </w:rPr>
        <w:t>2、乙方违约的，甲方追究乙方责任产生的律师费、取证费、差旅费等费用，全部由乙方承担。</w:t>
      </w:r>
    </w:p>
    <w:p>
      <w:pPr>
        <w:pStyle w:val="null3"/>
        <w:ind w:firstLine="420"/>
        <w:jc w:val="left"/>
      </w:pPr>
      <w:r>
        <w:rPr>
          <w:sz w:val="21"/>
        </w:rPr>
        <w:t>3、本协议同时具有独立法律效力，主合同的解除或终止不影响本协议的效力。</w:t>
      </w:r>
    </w:p>
    <w:p>
      <w:pPr>
        <w:pStyle w:val="null3"/>
        <w:ind w:firstLine="420"/>
        <w:jc w:val="left"/>
      </w:pPr>
      <w:r>
        <w:rPr>
          <w:sz w:val="21"/>
        </w:rPr>
        <w:t>4、本协议一式两份，甲、乙双方各执一份，自双方签字或盖章之日生效，具有同等法律效力。</w:t>
      </w:r>
    </w:p>
    <w:p>
      <w:pPr>
        <w:pStyle w:val="null3"/>
        <w:jc w:val="left"/>
      </w:pPr>
      <w:r>
        <w:rPr>
          <w:sz w:val="21"/>
        </w:rPr>
        <w:t>甲方</w:t>
      </w:r>
      <w:r>
        <w:rPr>
          <w:sz w:val="21"/>
        </w:rPr>
        <w:t>:江门市中心医院（章）：       乙方：</w:t>
      </w:r>
    </w:p>
    <w:p>
      <w:pPr>
        <w:pStyle w:val="null3"/>
        <w:jc w:val="left"/>
      </w:pPr>
      <w:r>
        <w:rPr>
          <w:sz w:val="21"/>
        </w:rPr>
        <w:t>日期：</w:t>
      </w:r>
      <w:r>
        <w:rPr>
          <w:sz w:val="21"/>
        </w:rPr>
        <w:t xml:space="preserve">   </w:t>
      </w:r>
      <w:r>
        <w:rPr>
          <w:sz w:val="21"/>
        </w:rPr>
        <w:t>年</w:t>
      </w:r>
      <w:r>
        <w:rPr>
          <w:sz w:val="21"/>
        </w:rPr>
        <w:t xml:space="preserve">  </w:t>
      </w:r>
      <w:r>
        <w:rPr>
          <w:sz w:val="21"/>
        </w:rPr>
        <w:t>月</w:t>
      </w:r>
      <w:r>
        <w:rPr>
          <w:sz w:val="21"/>
        </w:rPr>
        <w:t xml:space="preserve">  </w:t>
      </w:r>
      <w:r>
        <w:rPr>
          <w:sz w:val="21"/>
        </w:rPr>
        <w:t>日</w:t>
      </w:r>
      <w:r>
        <w:rPr>
          <w:sz w:val="21"/>
        </w:rPr>
        <w:t xml:space="preserve">                </w:t>
      </w:r>
      <w:r>
        <w:rPr>
          <w:sz w:val="21"/>
        </w:rPr>
        <w:t>日期：</w:t>
      </w:r>
      <w:r>
        <w:rPr>
          <w:sz w:val="21"/>
        </w:rPr>
        <w:t xml:space="preserve">   </w:t>
      </w:r>
      <w:r>
        <w:rPr>
          <w:sz w:val="21"/>
        </w:rPr>
        <w:t>年</w:t>
      </w:r>
      <w:r>
        <w:rPr>
          <w:sz w:val="21"/>
        </w:rPr>
        <w:t xml:space="preserve">  </w:t>
      </w:r>
      <w:r>
        <w:rPr>
          <w:sz w:val="21"/>
        </w:rPr>
        <w:t>月</w:t>
      </w:r>
      <w:r>
        <w:rPr>
          <w:sz w:val="21"/>
        </w:rPr>
        <w:t xml:space="preserve">  </w:t>
      </w:r>
      <w:r>
        <w:rPr>
          <w:sz w:val="21"/>
        </w:rPr>
        <w:t>日</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1937"/>
        <w:gridCol w:w="3056"/>
        <w:gridCol w:w="1846"/>
        <w:gridCol w:w="1468"/>
      </w:tblGrid>
      <w:tr>
        <w:tc>
          <w:tcPr>
            <w:tcW w:type="dxa" w:w="19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乙方人员姓名</w:t>
            </w:r>
          </w:p>
        </w:tc>
        <w:tc>
          <w:tcPr>
            <w:tcW w:type="dxa" w:w="30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身份证号码</w:t>
            </w:r>
          </w:p>
        </w:tc>
        <w:tc>
          <w:tcPr>
            <w:tcW w:type="dxa" w:w="18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签名</w:t>
            </w:r>
          </w:p>
        </w:tc>
        <w:tc>
          <w:tcPr>
            <w:tcW w:type="dxa" w:w="14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日期</w:t>
            </w:r>
          </w:p>
        </w:tc>
      </w:tr>
      <w:tr>
        <w:tc>
          <w:tcPr>
            <w:tcW w:type="dxa" w:w="19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30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4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9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4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9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4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bl>
    <w:p>
      <w:pPr>
        <w:pStyle w:val="null3"/>
        <w:jc w:val="center"/>
      </w:pPr>
      <w:r>
        <w:rPr>
          <w:sz w:val="21"/>
        </w:rPr>
        <w:t xml:space="preserve"> </w:t>
      </w:r>
    </w:p>
    <w:p>
      <w:pPr>
        <w:pStyle w:val="null3"/>
        <w:jc w:val="center"/>
      </w:pPr>
      <w:r>
        <w:rPr>
          <w:sz w:val="21"/>
        </w:rPr>
        <w:t xml:space="preserve"> </w:t>
      </w:r>
    </w:p>
    <w:p>
      <w:pPr>
        <w:pStyle w:val="null3"/>
        <w:jc w:val="center"/>
      </w:pPr>
      <w:r>
        <w:rPr>
          <w:b/>
          <w:u w:val="single"/>
        </w:rPr>
        <w:t xml:space="preserve">                    </w:t>
      </w:r>
      <w:r>
        <w:rPr>
          <w:sz w:val="44"/>
          <w:b/>
        </w:rPr>
        <w:t>项目</w:t>
      </w:r>
    </w:p>
    <w:p>
      <w:pPr>
        <w:pStyle w:val="null3"/>
      </w:pPr>
      <w:r>
        <w:rPr/>
        <w:t xml:space="preserve"> </w:t>
      </w:r>
    </w:p>
    <w:p>
      <w:pPr>
        <w:pStyle w:val="null3"/>
        <w:jc w:val="center"/>
      </w:pPr>
      <w:r>
        <w:rPr>
          <w:sz w:val="44"/>
          <w:b/>
        </w:rPr>
        <w:t>廉洁购销合同</w:t>
      </w:r>
    </w:p>
    <w:p>
      <w:pPr>
        <w:pStyle w:val="null3"/>
        <w:jc w:val="both"/>
      </w:pPr>
      <w:r>
        <w:rPr>
          <w:sz w:val="21"/>
          <w:b/>
        </w:rPr>
        <w:t>甲方</w:t>
      </w:r>
      <w:r>
        <w:rPr>
          <w:sz w:val="21"/>
        </w:rPr>
        <w:t>：</w:t>
      </w:r>
      <w:r>
        <w:rPr>
          <w:sz w:val="21"/>
          <w:u w:val="single"/>
        </w:rPr>
        <w:t>江门市中心医院</w:t>
      </w:r>
    </w:p>
    <w:p>
      <w:pPr>
        <w:pStyle w:val="null3"/>
        <w:jc w:val="both"/>
      </w:pPr>
      <w:r>
        <w:rPr>
          <w:sz w:val="21"/>
          <w:b/>
        </w:rPr>
        <w:t>乙方</w:t>
      </w:r>
      <w:r>
        <w:rPr>
          <w:sz w:val="21"/>
        </w:rPr>
        <w:t>：</w:t>
      </w:r>
      <w:r>
        <w:rPr>
          <w:sz w:val="21"/>
          <w:u w:val="single"/>
        </w:rPr>
        <w:t xml:space="preserve">              </w:t>
      </w:r>
    </w:p>
    <w:p>
      <w:pPr>
        <w:pStyle w:val="null3"/>
        <w:ind w:firstLine="420"/>
        <w:jc w:val="both"/>
      </w:pPr>
      <w:r>
        <w:rPr>
          <w:sz w:val="21"/>
        </w:rPr>
        <w:t>为进一步加强医疗卫生行风建设，规范医院购销行为，有效防范商业贿赂行为，营造公平交易、诚实守信的购销环境，经甲、乙双方协商，同意签订本合同，并共同遵守以下内容：</w:t>
      </w:r>
    </w:p>
    <w:p>
      <w:pPr>
        <w:pStyle w:val="null3"/>
        <w:ind w:firstLine="420"/>
        <w:jc w:val="both"/>
      </w:pPr>
      <w:r>
        <w:rPr>
          <w:sz w:val="21"/>
        </w:rPr>
        <w:t>一、甲乙双方按照《中华人民共和国民法典》及产品购销合同约定购销软件、设备、维修及配件等产品。</w:t>
      </w:r>
    </w:p>
    <w:p>
      <w:pPr>
        <w:pStyle w:val="null3"/>
        <w:ind w:firstLine="420"/>
        <w:jc w:val="both"/>
      </w:pPr>
      <w:r>
        <w:rPr>
          <w:sz w:val="21"/>
        </w:rPr>
        <w:t>二、甲方应当严格执行产品购销合同验收、入库制度，对采购的产品和发票进行查验，不得违反有关规定采购、违价采购或从非规定渠道采购合同外的产品。</w:t>
      </w:r>
    </w:p>
    <w:p>
      <w:pPr>
        <w:pStyle w:val="null3"/>
        <w:ind w:firstLine="420"/>
        <w:jc w:val="both"/>
      </w:pPr>
      <w:r>
        <w:rPr>
          <w:sz w:val="21"/>
        </w:rPr>
        <w:t>三、甲方严禁接受乙方以任何名义、形式给予的回..扣，不得将接受捐赠资助与采购挂钩。甲方工作人员不得参加乙方安排并支付费用的营业性娱乐场所的娱乐活动，不得以任何形式向乙方索要现金、有价证券、支付凭证和贵重礼品等。被迫接受乙方给予的钱物，应予退还，无法退还的，有责任如实向有关纪检监察部门反映情况。</w:t>
      </w:r>
    </w:p>
    <w:p>
      <w:pPr>
        <w:pStyle w:val="null3"/>
        <w:ind w:firstLine="420"/>
        <w:jc w:val="both"/>
      </w:pPr>
      <w:r>
        <w:rPr>
          <w:sz w:val="21"/>
        </w:rPr>
        <w:t>四、严禁甲方工作人员利用任何途径和方式，为乙方提供便利。</w:t>
      </w:r>
    </w:p>
    <w:p>
      <w:pPr>
        <w:pStyle w:val="null3"/>
        <w:ind w:firstLine="420"/>
        <w:jc w:val="both"/>
      </w:pPr>
      <w:r>
        <w:rPr>
          <w:sz w:val="21"/>
        </w:rPr>
        <w:t>五、乙方不得以</w:t>
      </w:r>
      <w:r>
        <w:rPr>
          <w:sz w:val="21"/>
        </w:rPr>
        <w:t>回..扣</w:t>
      </w:r>
      <w:r>
        <w:rPr>
          <w:sz w:val="21"/>
        </w:rPr>
        <w:t>、宴请等方式影响甲方工作人员采购或使用产品的选择权，不得在学术活动中提供旅游、超标准支付食宿费用。</w:t>
      </w:r>
    </w:p>
    <w:p>
      <w:pPr>
        <w:pStyle w:val="null3"/>
        <w:ind w:firstLine="420"/>
        <w:jc w:val="right"/>
      </w:pPr>
      <w:r>
        <w:rPr>
          <w:sz w:val="21"/>
        </w:rPr>
        <w:t>六、乙方指定</w:t>
      </w:r>
      <w:r>
        <w:rPr>
          <w:sz w:val="21"/>
          <w:u w:val="single"/>
        </w:rPr>
        <w:t xml:space="preserve">     </w:t>
      </w:r>
      <w:r>
        <w:rPr>
          <w:sz w:val="21"/>
        </w:rPr>
        <w:t>作为销售代表洽谈业务。销售代表必须在工作时间到甲方指定地点联系商谈，不得到住院部、门诊部、医技科室等推销产品，不得借故到甲方相关领导、部门负责人及相关工作人</w:t>
      </w:r>
    </w:p>
    <w:p>
      <w:pPr>
        <w:pStyle w:val="null3"/>
        <w:jc w:val="both"/>
      </w:pPr>
      <w:r>
        <w:rPr>
          <w:sz w:val="21"/>
        </w:rPr>
        <w:t>员家中访谈并提供任何好处费。</w:t>
      </w:r>
    </w:p>
    <w:p>
      <w:pPr>
        <w:pStyle w:val="null3"/>
        <w:ind w:firstLine="420"/>
        <w:jc w:val="both"/>
      </w:pPr>
      <w:r>
        <w:rPr>
          <w:sz w:val="21"/>
        </w:rPr>
        <w:t>七、严禁供应商违规统方。</w:t>
      </w:r>
    </w:p>
    <w:p>
      <w:pPr>
        <w:pStyle w:val="null3"/>
        <w:ind w:firstLine="420"/>
        <w:jc w:val="both"/>
      </w:pPr>
      <w:r>
        <w:rPr>
          <w:sz w:val="21"/>
        </w:rPr>
        <w:t>八、乙方如违反本合同，一经发现，甲方有权终止购销，并向有关卫生系统行政部门报告。如乙方被列入商业贿赂不良记录，则严格按照《反不正当竞争法》、《关于禁止商业贿赂行为的暂行规定》相关规定处理。</w:t>
      </w:r>
    </w:p>
    <w:p>
      <w:pPr>
        <w:pStyle w:val="null3"/>
        <w:ind w:firstLine="420"/>
        <w:jc w:val="both"/>
      </w:pPr>
      <w:r>
        <w:rPr>
          <w:sz w:val="21"/>
        </w:rPr>
        <w:t>九、本合同作为产品购销合同的重要组成部分，与项目采购合同一并执行，具有同等的法律效力。</w:t>
      </w:r>
    </w:p>
    <w:p>
      <w:pPr>
        <w:pStyle w:val="null3"/>
        <w:ind w:firstLine="420"/>
        <w:jc w:val="both"/>
      </w:pPr>
      <w:r>
        <w:rPr>
          <w:sz w:val="21"/>
        </w:rPr>
        <w:t>十、本合同一式两份，甲、乙双方各执一份，并从签订之日起生效。</w:t>
      </w:r>
    </w:p>
    <w:p>
      <w:pPr>
        <w:pStyle w:val="null3"/>
        <w:ind w:left="4215"/>
        <w:jc w:val="both"/>
      </w:pPr>
      <w:r>
        <w:rPr>
          <w:sz w:val="21"/>
          <w:b/>
        </w:rPr>
        <w:t>甲方：</w:t>
      </w:r>
      <w:r>
        <w:rPr>
          <w:sz w:val="21"/>
          <w:u w:val="single"/>
        </w:rPr>
        <w:t>江门市中心医院</w:t>
      </w:r>
      <w:r>
        <w:rPr>
          <w:sz w:val="21"/>
        </w:rPr>
        <w:t xml:space="preserve">        </w:t>
      </w:r>
      <w:r>
        <w:rPr>
          <w:sz w:val="21"/>
          <w:b/>
        </w:rPr>
        <w:t>乙方</w:t>
      </w:r>
      <w:r>
        <w:rPr>
          <w:sz w:val="21"/>
          <w:b/>
        </w:rPr>
        <w:t>：</w:t>
      </w:r>
      <w:r>
        <w:rPr>
          <w:sz w:val="21"/>
          <w:u w:val="single"/>
        </w:rPr>
        <w:t xml:space="preserve">            </w:t>
      </w:r>
    </w:p>
    <w:p>
      <w:pPr>
        <w:pStyle w:val="null3"/>
        <w:jc w:val="both"/>
      </w:pPr>
      <w:r>
        <w:rPr>
          <w:sz w:val="21"/>
          <w:b/>
        </w:rPr>
        <w:t>项目负责人签名：</w:t>
      </w:r>
    </w:p>
    <w:p>
      <w:pPr>
        <w:pStyle w:val="null3"/>
        <w:jc w:val="both"/>
      </w:pPr>
      <w:r>
        <w:rPr>
          <w:sz w:val="21"/>
          <w:b/>
        </w:rPr>
        <w:t>科室负责人签名：</w:t>
      </w:r>
      <w:r>
        <w:rPr>
          <w:sz w:val="21"/>
          <w:b/>
        </w:rPr>
        <w:t xml:space="preserve">                </w:t>
      </w:r>
      <w:r>
        <w:rPr>
          <w:sz w:val="21"/>
          <w:b/>
        </w:rPr>
        <w:t>经办人签名：</w:t>
      </w:r>
    </w:p>
    <w:p>
      <w:pPr>
        <w:pStyle w:val="null3"/>
        <w:jc w:val="both"/>
      </w:pPr>
      <w:r>
        <w:rPr>
          <w:sz w:val="21"/>
          <w:b/>
        </w:rPr>
        <w:t>委托代理人：</w:t>
      </w:r>
      <w:r>
        <w:rPr>
          <w:sz w:val="21"/>
          <w:b/>
        </w:rPr>
        <w:t xml:space="preserve">                    </w:t>
      </w:r>
      <w:r>
        <w:rPr>
          <w:sz w:val="21"/>
          <w:b/>
        </w:rPr>
        <w:t>委托代理人：</w:t>
      </w:r>
    </w:p>
    <w:p>
      <w:pPr>
        <w:pStyle w:val="null3"/>
        <w:spacing w:after="120"/>
        <w:ind w:left="420"/>
        <w:jc w:val="both"/>
      </w:pPr>
      <w:r>
        <w:rPr>
          <w:sz w:val="21"/>
          <w:b/>
        </w:rPr>
        <w:t>法定代表人（负责人）：</w:t>
      </w:r>
      <w:r>
        <w:rPr>
          <w:sz w:val="21"/>
          <w:b/>
        </w:rPr>
        <w:t xml:space="preserve">           </w:t>
      </w:r>
      <w:r>
        <w:rPr>
          <w:sz w:val="21"/>
          <w:b/>
        </w:rPr>
        <w:t>法定代表人（负责人）：</w:t>
      </w:r>
    </w:p>
    <w:p>
      <w:pPr>
        <w:pStyle w:val="null3"/>
        <w:jc w:val="both"/>
      </w:pPr>
      <w:r>
        <w:rPr>
          <w:sz w:val="21"/>
        </w:rPr>
        <w:t>年</w:t>
      </w:r>
      <w:r>
        <w:rPr>
          <w:sz w:val="21"/>
        </w:rPr>
        <w:t xml:space="preserve">   </w:t>
      </w:r>
      <w:r>
        <w:rPr>
          <w:sz w:val="21"/>
        </w:rPr>
        <w:t>月</w:t>
      </w:r>
      <w:r>
        <w:rPr>
          <w:sz w:val="21"/>
        </w:rPr>
        <w:t xml:space="preserve">   </w:t>
      </w:r>
      <w:r>
        <w:rPr>
          <w:sz w:val="21"/>
        </w:rPr>
        <w:t>日</w:t>
      </w:r>
      <w:r>
        <w:rPr>
          <w:sz w:val="21"/>
        </w:rPr>
        <w:t xml:space="preserve">                    </w:t>
      </w:r>
      <w:r>
        <w:rPr>
          <w:sz w:val="21"/>
        </w:rPr>
        <w:t>年</w:t>
      </w:r>
      <w:r>
        <w:rPr>
          <w:sz w:val="21"/>
        </w:rPr>
        <w:t xml:space="preserve">   </w:t>
      </w:r>
      <w:r>
        <w:rPr>
          <w:sz w:val="21"/>
        </w:rPr>
        <w:t>月</w:t>
      </w:r>
      <w:r>
        <w:rPr>
          <w:sz w:val="21"/>
        </w:rPr>
        <w:t xml:space="preserve">  </w:t>
      </w:r>
      <w:r>
        <w:rPr>
          <w:sz w:val="21"/>
        </w:rPr>
        <w:t>日</w:t>
      </w:r>
    </w:p>
    <w:p>
      <w:pPr>
        <w:pStyle w:val="null3"/>
        <w:jc w:val="both"/>
      </w:pPr>
      <w:r>
        <w:rPr/>
        <w:t xml:space="preserve"> </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440701-2025-01937</w:t>
      </w:r>
    </w:p>
    <w:p>
      <w:pPr>
        <w:pStyle w:val="null3"/>
        <w:jc w:val="center"/>
        <w:outlineLvl w:val="3"/>
      </w:pPr>
      <w:r>
        <w:rPr>
          <w:sz w:val="24"/>
          <w:b/>
        </w:rPr>
        <w:t>采购项目编号：</w:t>
      </w:r>
      <w:r>
        <w:rPr>
          <w:sz w:val="24"/>
          <w:b/>
        </w:rPr>
        <w:t>0724-2511Z1615682</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江门市中心医院医院运营管理平台建设项目</w:t>
      </w:r>
      <w:r>
        <w:rPr>
          <w:u w:val="single"/>
        </w:rPr>
        <w:t>”</w:t>
      </w:r>
      <w:r>
        <w:rPr/>
        <w:t>项目的招标[采购项目编号为：</w:t>
      </w:r>
      <w:r>
        <w:rPr>
          <w:u w:val="single"/>
        </w:rPr>
        <w:t>0724-2511Z1615682</w:t>
      </w:r>
      <w:r>
        <w:rPr/>
        <w:t>]，我方愿参与投标。</w:t>
      </w:r>
    </w:p>
    <w:p>
      <w:pPr>
        <w:pStyle w:val="null3"/>
        <w:ind w:firstLine="480"/>
      </w:pPr>
      <w:r>
        <w:rPr/>
        <w:t>我方确认收到贵方提供的</w:t>
      </w:r>
      <w:r>
        <w:rPr>
          <w:u w:val="single"/>
        </w:rPr>
        <w:t>“</w:t>
      </w:r>
      <w:r>
        <w:rPr>
          <w:u w:val="single"/>
        </w:rPr>
        <w:t>江门市中心医院医院运营管理平台建设项目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江门市中心医院医院运营管理平台建设项目</w:t>
      </w:r>
      <w:r>
        <w:rPr/>
        <w:t>”项目采购[采购项目编号为</w:t>
      </w:r>
      <w:r>
        <w:rPr/>
        <w:t>0724-2511Z1615682</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江门市中心医院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江门市中心医院医院运营管理平台建设项目</w:t>
      </w:r>
      <w:r>
        <w:rPr/>
        <w:t>招标中获中标（采购项目编号：</w:t>
      </w:r>
      <w:r>
        <w:rPr/>
        <w:t>0724-2511Z1615682</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江门市中心医院医院运营管理平台建设项目</w:t>
      </w:r>
      <w:r>
        <w:rPr/>
        <w:t>”项目（采购项目编号：</w:t>
      </w:r>
      <w:r>
        <w:rPr/>
        <w:t>0724-2511Z1615682</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administrator</dc:creator>
  <cp:lastModifiedBy>administrator</cp:lastModifiedBy>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