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FAFE77">
      <w:pPr>
        <w:tabs>
          <w:tab w:val="left" w:pos="720"/>
        </w:tabs>
        <w:spacing w:line="36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14:paraId="3EDB9420">
      <w:pPr>
        <w:tabs>
          <w:tab w:val="left" w:pos="720"/>
        </w:tabs>
        <w:spacing w:line="36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14:paraId="52B7E442">
      <w:pPr>
        <w:tabs>
          <w:tab w:val="left" w:pos="720"/>
        </w:tabs>
        <w:spacing w:line="36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14:paraId="7B6628E0">
      <w:pPr>
        <w:tabs>
          <w:tab w:val="left" w:pos="720"/>
        </w:tabs>
        <w:spacing w:line="36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14:paraId="0C687360">
      <w:pPr>
        <w:tabs>
          <w:tab w:val="left" w:pos="720"/>
        </w:tabs>
        <w:spacing w:line="36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14:paraId="6D040CF9">
      <w:pPr>
        <w:tabs>
          <w:tab w:val="left" w:pos="720"/>
        </w:tabs>
        <w:spacing w:line="36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14:paraId="04234820">
      <w:pPr>
        <w:tabs>
          <w:tab w:val="left" w:pos="720"/>
        </w:tabs>
        <w:spacing w:line="360" w:lineRule="auto"/>
        <w:jc w:val="center"/>
        <w:rPr>
          <w:rFonts w:ascii="宋体" w:hAnsi="宋体"/>
          <w:b/>
          <w:color w:val="000000" w:themeColor="text1"/>
          <w:sz w:val="48"/>
          <w:szCs w:val="48"/>
          <w:highlight w:val="none"/>
          <w14:textFill>
            <w14:solidFill>
              <w14:schemeClr w14:val="tx1"/>
            </w14:solidFill>
          </w14:textFill>
        </w:rPr>
      </w:pPr>
      <w:r>
        <w:rPr>
          <w:rFonts w:hint="eastAsia" w:ascii="宋体" w:hAnsi="宋体"/>
          <w:b/>
          <w:color w:val="000000" w:themeColor="text1"/>
          <w:sz w:val="48"/>
          <w:szCs w:val="48"/>
          <w:highlight w:val="none"/>
          <w:lang w:val="en-US" w:eastAsia="zh-CN"/>
          <w14:textFill>
            <w14:solidFill>
              <w14:schemeClr w14:val="tx1"/>
            </w14:solidFill>
          </w14:textFill>
        </w:rPr>
        <w:t>第一部分</w:t>
      </w:r>
      <w:r>
        <w:rPr>
          <w:rFonts w:hint="eastAsia" w:ascii="宋体" w:hAnsi="宋体"/>
          <w:b/>
          <w:color w:val="000000" w:themeColor="text1"/>
          <w:sz w:val="48"/>
          <w:szCs w:val="48"/>
          <w:highlight w:val="none"/>
          <w14:textFill>
            <w14:solidFill>
              <w14:schemeClr w14:val="tx1"/>
            </w14:solidFill>
          </w14:textFill>
        </w:rPr>
        <w:t>、用户需求书</w:t>
      </w:r>
    </w:p>
    <w:p w14:paraId="6BDBEBB7">
      <w:pPr>
        <w:tabs>
          <w:tab w:val="left" w:pos="720"/>
        </w:tabs>
        <w:spacing w:line="360" w:lineRule="auto"/>
        <w:rPr>
          <w:rFonts w:ascii="宋体" w:hAnsi="宋体"/>
          <w:b/>
          <w:color w:val="000000" w:themeColor="text1"/>
          <w:sz w:val="48"/>
          <w:szCs w:val="48"/>
          <w:highlight w:val="none"/>
          <w14:textFill>
            <w14:solidFill>
              <w14:schemeClr w14:val="tx1"/>
            </w14:solidFill>
          </w14:textFill>
        </w:rPr>
      </w:pPr>
    </w:p>
    <w:p w14:paraId="69D19EB4">
      <w:pPr>
        <w:spacing w:line="300" w:lineRule="auto"/>
        <w:rPr>
          <w:rFonts w:ascii="宋体" w:hAnsi="宋体"/>
          <w:b/>
          <w:color w:val="000000" w:themeColor="text1"/>
          <w:sz w:val="24"/>
          <w:szCs w:val="24"/>
          <w:highlight w:val="none"/>
          <w14:textFill>
            <w14:solidFill>
              <w14:schemeClr w14:val="tx1"/>
            </w14:solidFill>
          </w14:textFill>
        </w:rPr>
      </w:pPr>
      <w:r>
        <w:rPr>
          <w:rFonts w:ascii="宋体" w:hAnsi="宋体"/>
          <w:b/>
          <w:color w:val="000000" w:themeColor="text1"/>
          <w:sz w:val="24"/>
          <w:szCs w:val="24"/>
          <w:highlight w:val="none"/>
          <w14:textFill>
            <w14:solidFill>
              <w14:schemeClr w14:val="tx1"/>
            </w14:solidFill>
          </w14:textFill>
        </w:rPr>
        <w:br w:type="page"/>
      </w:r>
    </w:p>
    <w:p w14:paraId="3EDC9BCD">
      <w:pPr>
        <w:numPr>
          <w:ilvl w:val="0"/>
          <w:numId w:val="0"/>
        </w:numPr>
        <w:spacing w:line="300" w:lineRule="auto"/>
        <w:jc w:val="center"/>
        <w:rPr>
          <w:rFonts w:hint="eastAsia" w:ascii="宋体" w:hAnsi="宋体"/>
          <w:b/>
          <w:bCs/>
          <w:color w:val="000000" w:themeColor="text1"/>
          <w:spacing w:val="10"/>
          <w:kern w:val="0"/>
          <w:sz w:val="28"/>
          <w:szCs w:val="28"/>
          <w:highlight w:val="none"/>
          <w:lang w:val="en-US" w:eastAsia="zh-CN"/>
          <w14:textFill>
            <w14:solidFill>
              <w14:schemeClr w14:val="tx1"/>
            </w14:solidFill>
          </w14:textFill>
        </w:rPr>
      </w:pPr>
      <w:r>
        <w:rPr>
          <w:rFonts w:hint="eastAsia" w:ascii="宋体" w:hAnsi="宋体"/>
          <w:b/>
          <w:bCs/>
          <w:color w:val="000000" w:themeColor="text1"/>
          <w:spacing w:val="10"/>
          <w:kern w:val="0"/>
          <w:sz w:val="28"/>
          <w:szCs w:val="28"/>
          <w:highlight w:val="none"/>
          <w:lang w:val="en-US" w:eastAsia="zh-CN"/>
          <w14:textFill>
            <w14:solidFill>
              <w14:schemeClr w14:val="tx1"/>
            </w14:solidFill>
          </w14:textFill>
        </w:rPr>
        <w:t>用户需求书</w:t>
      </w:r>
    </w:p>
    <w:tbl>
      <w:tblPr>
        <w:tblStyle w:val="24"/>
        <w:tblW w:w="0" w:type="auto"/>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632"/>
        <w:gridCol w:w="3045"/>
        <w:gridCol w:w="632"/>
        <w:gridCol w:w="632"/>
        <w:gridCol w:w="2108"/>
      </w:tblGrid>
      <w:tr w14:paraId="25BC308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0" w:type="auto"/>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04CCB9C5">
            <w:pPr>
              <w:pStyle w:val="70"/>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包号</w:t>
            </w:r>
          </w:p>
        </w:tc>
        <w:tc>
          <w:tcPr>
            <w:tcW w:w="0" w:type="auto"/>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31901492">
            <w:pPr>
              <w:pStyle w:val="70"/>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标的名称</w:t>
            </w:r>
          </w:p>
        </w:tc>
        <w:tc>
          <w:tcPr>
            <w:tcW w:w="0" w:type="auto"/>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065E6757">
            <w:pPr>
              <w:pStyle w:val="70"/>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数量</w:t>
            </w:r>
          </w:p>
        </w:tc>
        <w:tc>
          <w:tcPr>
            <w:tcW w:w="0" w:type="auto"/>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40FF4B29">
            <w:pPr>
              <w:pStyle w:val="70"/>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期限</w:t>
            </w:r>
          </w:p>
        </w:tc>
        <w:tc>
          <w:tcPr>
            <w:tcW w:w="0" w:type="auto"/>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246C8682">
            <w:pPr>
              <w:pStyle w:val="70"/>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采购预算（人民币）</w:t>
            </w:r>
          </w:p>
        </w:tc>
      </w:tr>
      <w:tr w14:paraId="037FFBF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DEB25C6">
            <w:pPr>
              <w:pStyle w:val="70"/>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2E69373">
            <w:pPr>
              <w:pStyle w:val="70"/>
              <w:shd w:val="clear"/>
              <w:spacing w:after="0" w:line="240" w:lineRule="auto"/>
              <w:jc w:val="cente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宾得消化内镜维保服务</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F8C1C3E">
            <w:pPr>
              <w:pStyle w:val="70"/>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1项</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CA08F18">
            <w:pPr>
              <w:pStyle w:val="70"/>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3年</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80322F3">
            <w:pPr>
              <w:pStyle w:val="70"/>
              <w:shd w:val="clear"/>
              <w:spacing w:after="0" w:line="240" w:lineRule="auto"/>
              <w:jc w:val="cente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52.2万元</w:t>
            </w:r>
          </w:p>
        </w:tc>
      </w:tr>
      <w:tr w14:paraId="662B34C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978AEE6">
            <w:pPr>
              <w:pStyle w:val="70"/>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9B0CB25">
            <w:pPr>
              <w:pStyle w:val="70"/>
              <w:shd w:val="clear"/>
              <w:spacing w:after="0" w:line="240" w:lineRule="auto"/>
              <w:jc w:val="cente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西门子3.0T MRI设备维保服务</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E58B52D">
            <w:pPr>
              <w:pStyle w:val="70"/>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1项</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0445173">
            <w:pPr>
              <w:pStyle w:val="70"/>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3年</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2CBB3B9">
            <w:pPr>
              <w:pStyle w:val="70"/>
              <w:shd w:val="clear"/>
              <w:spacing w:after="0" w:line="240" w:lineRule="auto"/>
              <w:jc w:val="cente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105万元</w:t>
            </w:r>
          </w:p>
        </w:tc>
      </w:tr>
      <w:tr w14:paraId="4887B11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6526745">
            <w:pPr>
              <w:pStyle w:val="70"/>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2C0DC18">
            <w:pPr>
              <w:pStyle w:val="70"/>
              <w:shd w:val="clear"/>
              <w:spacing w:after="0" w:line="240" w:lineRule="auto"/>
              <w:jc w:val="cente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西门子DSA设备维保服务</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0DE1A59">
            <w:pPr>
              <w:pStyle w:val="70"/>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1项</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4DE03C4">
            <w:pPr>
              <w:pStyle w:val="70"/>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3年</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B157ABE">
            <w:pPr>
              <w:pStyle w:val="70"/>
              <w:shd w:val="clear"/>
              <w:spacing w:after="0" w:line="240" w:lineRule="auto"/>
              <w:jc w:val="cente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168万元</w:t>
            </w:r>
          </w:p>
        </w:tc>
      </w:tr>
      <w:tr w14:paraId="0B20F29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BAF33F5">
            <w:pPr>
              <w:pStyle w:val="70"/>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725D834">
            <w:pPr>
              <w:pStyle w:val="70"/>
              <w:shd w:val="clear"/>
              <w:spacing w:after="0" w:line="240" w:lineRule="auto"/>
              <w:jc w:val="cente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飞利浦DSA设备维保服务</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5B53EC9">
            <w:pPr>
              <w:pStyle w:val="70"/>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1项</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4A4D6C3">
            <w:pPr>
              <w:pStyle w:val="70"/>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3年</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77AD2A8">
            <w:pPr>
              <w:pStyle w:val="70"/>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96万元</w:t>
            </w:r>
          </w:p>
        </w:tc>
      </w:tr>
    </w:tbl>
    <w:p w14:paraId="6B8AF972">
      <w:pPr>
        <w:pStyle w:val="70"/>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详细技术规范请参阅招标文件中的用户需求书。投标人必须对本项目</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（所投包组）</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的全部内容进行投标报价，如有缺漏或报价超出本项目</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（所投包组）</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的采购预算，将导致投标无效。</w:t>
      </w:r>
    </w:p>
    <w:p w14:paraId="1A49ED90">
      <w:pPr>
        <w:pStyle w:val="70"/>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2.</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本项目采购本国服务。</w:t>
      </w:r>
    </w:p>
    <w:p w14:paraId="0429AA1E">
      <w:pPr>
        <w:pStyle w:val="32"/>
        <w:spacing w:line="240" w:lineRule="auto"/>
        <w:rPr>
          <w:rFonts w:hint="eastAsia" w:ascii="宋体" w:hAnsi="宋体" w:eastAsia="宋体" w:cs="宋体"/>
          <w:color w:val="000000" w:themeColor="text1"/>
          <w:sz w:val="21"/>
          <w:szCs w:val="21"/>
          <w:highlight w:val="none"/>
          <w14:textFill>
            <w14:solidFill>
              <w14:schemeClr w14:val="tx1"/>
            </w14:solidFill>
          </w14:textFill>
        </w:rPr>
      </w:pPr>
    </w:p>
    <w:p w14:paraId="6D713559">
      <w:pPr>
        <w:pStyle w:val="70"/>
        <w:shd w:val="clear"/>
        <w:jc w:val="both"/>
        <w:rPr>
          <w:rFonts w:hint="eastAsia" w:ascii="宋体" w:hAnsi="宋体" w:eastAsia="宋体" w:cs="宋体"/>
          <w:b/>
          <w:color w:val="000000"/>
          <w:sz w:val="21"/>
          <w:szCs w:val="21"/>
        </w:rPr>
      </w:pPr>
      <w:r>
        <w:rPr>
          <w:rFonts w:hint="eastAsia" w:ascii="宋体" w:hAnsi="宋体" w:eastAsia="宋体" w:cs="宋体"/>
          <w:b/>
          <w:color w:val="000000"/>
          <w:sz w:val="21"/>
          <w:szCs w:val="21"/>
        </w:rPr>
        <w:t>说明：</w:t>
      </w:r>
    </w:p>
    <w:p w14:paraId="62F630D8">
      <w:pPr>
        <w:pStyle w:val="70"/>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（一）</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打“★”号条款为实质性条款，若有任何一条负偏离或不满足则导致投标（响应）无效。</w:t>
      </w:r>
    </w:p>
    <w:p w14:paraId="75054800">
      <w:pPr>
        <w:pStyle w:val="70"/>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（二）</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打“▲”号条款为重要技术参数（如有），若有部分“▲”条款未响应或不满足，将根据评审要求影响其得分，但不作为无效投标（响应）条款。</w:t>
      </w:r>
    </w:p>
    <w:p w14:paraId="3D0F8E6E">
      <w:pPr>
        <w:pStyle w:val="70"/>
        <w:shd w:val="clear"/>
        <w:spacing w:after="0" w:line="240" w:lineRule="auto"/>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三）本项目采购包：包1、包2、包4均属于专门面向中小企业采购的项目。如需提供中小企业声明函的，应按招标文件《格式十一：中小企业声明函》（服务）格式提供。供应商应对所投对应服务提供《中小企业声明函》，本项目所属划分行业为：工业。</w:t>
      </w:r>
    </w:p>
    <w:p w14:paraId="2BD7DC93">
      <w:pPr>
        <w:pStyle w:val="70"/>
        <w:shd w:val="clear"/>
        <w:jc w:val="center"/>
        <w:rPr>
          <w:rFonts w:asciiTheme="minorEastAsia" w:hAnsiTheme="minorEastAsia"/>
          <w:b/>
          <w:color w:val="000000" w:themeColor="text1"/>
          <w:sz w:val="21"/>
          <w:szCs w:val="21"/>
          <w:highlight w:val="none"/>
          <w14:textFill>
            <w14:solidFill>
              <w14:schemeClr w14:val="tx1"/>
            </w14:solidFill>
          </w14:textFill>
        </w:rPr>
      </w:pPr>
    </w:p>
    <w:p w14:paraId="0C07133E">
      <w:pPr>
        <w:pStyle w:val="70"/>
        <w:shd w:val="clear"/>
        <w:jc w:val="center"/>
        <w:rPr>
          <w:rFonts w:asciiTheme="minorEastAsia" w:hAnsiTheme="minorEastAsia"/>
          <w:b/>
          <w:color w:val="000000" w:themeColor="text1"/>
          <w:sz w:val="21"/>
          <w:szCs w:val="21"/>
          <w:highlight w:val="none"/>
          <w14:textFill>
            <w14:solidFill>
              <w14:schemeClr w14:val="tx1"/>
            </w14:solidFill>
          </w14:textFill>
        </w:rPr>
      </w:pPr>
    </w:p>
    <w:p w14:paraId="2AE70780">
      <w:pPr>
        <w:pStyle w:val="70"/>
        <w:shd w:val="clear"/>
        <w:spacing w:after="0" w:line="240" w:lineRule="auto"/>
        <w:jc w:val="cente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包1：</w:t>
      </w: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宾得消化内镜维保服务</w:t>
      </w:r>
    </w:p>
    <w:p w14:paraId="626EC141">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一、项目基本概况介绍</w:t>
      </w:r>
    </w:p>
    <w:p w14:paraId="320CA7D2">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本项目为广州市第一人民医院在用宾得消化内镜维保服务，项目包含设备所有维修维护、人工以及所需零配件。</w:t>
      </w:r>
    </w:p>
    <w:p w14:paraId="090EABA8">
      <w:pPr>
        <w:shd w:val="clear"/>
        <w:spacing w:after="0" w:line="240" w:lineRule="auto"/>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二、采购内容</w:t>
      </w:r>
    </w:p>
    <w:tbl>
      <w:tblPr>
        <w:tblStyle w:val="24"/>
        <w:tblW w:w="68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83"/>
        <w:gridCol w:w="1050"/>
        <w:gridCol w:w="1309"/>
        <w:gridCol w:w="1256"/>
      </w:tblGrid>
      <w:tr w14:paraId="2B63B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3283" w:type="dxa"/>
            <w:vAlign w:val="center"/>
          </w:tcPr>
          <w:p w14:paraId="60D816BD">
            <w:pPr>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标的名称</w:t>
            </w:r>
          </w:p>
        </w:tc>
        <w:tc>
          <w:tcPr>
            <w:tcW w:w="1050" w:type="dxa"/>
            <w:vAlign w:val="center"/>
          </w:tcPr>
          <w:p w14:paraId="7B907A32">
            <w:pPr>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数量</w:t>
            </w:r>
          </w:p>
        </w:tc>
        <w:tc>
          <w:tcPr>
            <w:tcW w:w="1309" w:type="dxa"/>
            <w:vAlign w:val="center"/>
          </w:tcPr>
          <w:p w14:paraId="51F4DC62">
            <w:pPr>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采购预算</w:t>
            </w:r>
          </w:p>
          <w:p w14:paraId="01DA50E9">
            <w:pPr>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（万元）</w:t>
            </w:r>
          </w:p>
        </w:tc>
        <w:tc>
          <w:tcPr>
            <w:tcW w:w="1256" w:type="dxa"/>
            <w:vAlign w:val="center"/>
          </w:tcPr>
          <w:p w14:paraId="1A52B4D4">
            <w:pPr>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服务期限</w:t>
            </w:r>
          </w:p>
        </w:tc>
      </w:tr>
      <w:tr w14:paraId="3CDB7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3283" w:type="dxa"/>
            <w:vAlign w:val="center"/>
          </w:tcPr>
          <w:p w14:paraId="4D507D9D">
            <w:pPr>
              <w:pStyle w:val="69"/>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宾得消化内镜维保</w:t>
            </w:r>
          </w:p>
        </w:tc>
        <w:tc>
          <w:tcPr>
            <w:tcW w:w="1050" w:type="dxa"/>
            <w:vAlign w:val="center"/>
          </w:tcPr>
          <w:p w14:paraId="618B0F23">
            <w:pPr>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1309" w:type="dxa"/>
            <w:vAlign w:val="center"/>
          </w:tcPr>
          <w:p w14:paraId="40BDBFB7">
            <w:pPr>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52.2</w:t>
            </w:r>
          </w:p>
        </w:tc>
        <w:tc>
          <w:tcPr>
            <w:tcW w:w="1256" w:type="dxa"/>
            <w:vAlign w:val="center"/>
          </w:tcPr>
          <w:p w14:paraId="6DA28BF0">
            <w:pPr>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3年</w:t>
            </w:r>
          </w:p>
        </w:tc>
      </w:tr>
    </w:tbl>
    <w:p w14:paraId="1EF39048">
      <w:pPr>
        <w:pStyle w:val="44"/>
        <w:shd w:val="clear"/>
        <w:spacing w:after="0" w:line="240" w:lineRule="auto"/>
        <w:ind w:firstLine="0" w:firstLineChars="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三、服务内容（服务设备清单等）</w:t>
      </w:r>
    </w:p>
    <w:p w14:paraId="0A0A4E19">
      <w:pPr>
        <w:pStyle w:val="44"/>
        <w:shd w:val="clear"/>
        <w:spacing w:after="0" w:line="240" w:lineRule="auto"/>
        <w:ind w:firstLine="0" w:firstLineChars="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（一）2022年12月12日采购使用宾得设备9件（胃2、肠3、超细1、十二指1、主机2）免费维保已到期，需要购买维保：</w:t>
      </w:r>
    </w:p>
    <w:tbl>
      <w:tblPr>
        <w:tblStyle w:val="24"/>
        <w:tblW w:w="0" w:type="auto"/>
        <w:jc w:val="center"/>
        <w:tblLayout w:type="autofit"/>
        <w:tblCellMar>
          <w:top w:w="0" w:type="dxa"/>
          <w:left w:w="108" w:type="dxa"/>
          <w:bottom w:w="0" w:type="dxa"/>
          <w:right w:w="108" w:type="dxa"/>
        </w:tblCellMar>
      </w:tblPr>
      <w:tblGrid>
        <w:gridCol w:w="636"/>
        <w:gridCol w:w="1266"/>
        <w:gridCol w:w="1266"/>
        <w:gridCol w:w="1266"/>
        <w:gridCol w:w="846"/>
        <w:gridCol w:w="1266"/>
        <w:gridCol w:w="1056"/>
      </w:tblGrid>
      <w:tr w14:paraId="5ACA85E2">
        <w:tblPrEx>
          <w:tblCellMar>
            <w:top w:w="0" w:type="dxa"/>
            <w:left w:w="108" w:type="dxa"/>
            <w:bottom w:w="0" w:type="dxa"/>
            <w:right w:w="108" w:type="dxa"/>
          </w:tblCellMar>
        </w:tblPrEx>
        <w:trPr>
          <w:trHeight w:val="56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65B1703D">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序号</w:t>
            </w:r>
          </w:p>
        </w:tc>
        <w:tc>
          <w:tcPr>
            <w:tcW w:w="0" w:type="auto"/>
            <w:tcBorders>
              <w:top w:val="single" w:color="000000" w:sz="4" w:space="0"/>
              <w:left w:val="single" w:color="000000" w:sz="4" w:space="0"/>
              <w:bottom w:val="single" w:color="000000" w:sz="4" w:space="0"/>
              <w:right w:val="single" w:color="000000" w:sz="4" w:space="0"/>
            </w:tcBorders>
            <w:vAlign w:val="center"/>
          </w:tcPr>
          <w:p w14:paraId="00DC0F8B">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种类</w:t>
            </w:r>
          </w:p>
        </w:tc>
        <w:tc>
          <w:tcPr>
            <w:tcW w:w="0" w:type="auto"/>
            <w:tcBorders>
              <w:top w:val="single" w:color="000000" w:sz="4" w:space="0"/>
              <w:left w:val="single" w:color="000000" w:sz="4" w:space="0"/>
              <w:bottom w:val="single" w:color="000000" w:sz="4" w:space="0"/>
              <w:right w:val="single" w:color="000000" w:sz="4" w:space="0"/>
            </w:tcBorders>
            <w:vAlign w:val="center"/>
          </w:tcPr>
          <w:p w14:paraId="696B3C6C">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设备型号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97CE0F8">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设备SN号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44234AF">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自编号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195C629">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启用时间</w:t>
            </w:r>
          </w:p>
        </w:tc>
        <w:tc>
          <w:tcPr>
            <w:tcW w:w="0" w:type="auto"/>
            <w:tcBorders>
              <w:top w:val="single" w:color="000000" w:sz="4" w:space="0"/>
              <w:left w:val="single" w:color="000000" w:sz="4" w:space="0"/>
              <w:bottom w:val="single" w:color="000000" w:sz="4" w:space="0"/>
              <w:right w:val="single" w:color="000000" w:sz="4" w:space="0"/>
            </w:tcBorders>
            <w:vAlign w:val="center"/>
          </w:tcPr>
          <w:p w14:paraId="1704DEAD">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服务年限</w:t>
            </w:r>
          </w:p>
        </w:tc>
      </w:tr>
      <w:tr w14:paraId="74E7DD86">
        <w:tblPrEx>
          <w:tblCellMar>
            <w:top w:w="0" w:type="dxa"/>
            <w:left w:w="108" w:type="dxa"/>
            <w:bottom w:w="0" w:type="dxa"/>
            <w:right w:w="108" w:type="dxa"/>
          </w:tblCellMar>
        </w:tblPrEx>
        <w:trPr>
          <w:trHeight w:val="56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6DCFCF6A">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55C64FD0">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放大胃镜</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31A1D42">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EG-2990Zi</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C412170">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B160303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D418A9E">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黄17</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0D50C6E">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2022/12/12</w:t>
            </w:r>
          </w:p>
        </w:tc>
        <w:tc>
          <w:tcPr>
            <w:tcW w:w="0" w:type="auto"/>
            <w:vMerge w:val="restart"/>
            <w:tcBorders>
              <w:top w:val="single" w:color="000000" w:sz="4" w:space="0"/>
              <w:left w:val="single" w:color="000000" w:sz="4" w:space="0"/>
              <w:right w:val="single" w:color="000000" w:sz="4" w:space="0"/>
            </w:tcBorders>
            <w:vAlign w:val="center"/>
          </w:tcPr>
          <w:p w14:paraId="49E54063">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3年</w:t>
            </w:r>
          </w:p>
        </w:tc>
      </w:tr>
      <w:tr w14:paraId="7C7A3D2D">
        <w:tblPrEx>
          <w:tblCellMar>
            <w:top w:w="0" w:type="dxa"/>
            <w:left w:w="108" w:type="dxa"/>
            <w:bottom w:w="0" w:type="dxa"/>
            <w:right w:w="108" w:type="dxa"/>
          </w:tblCellMar>
        </w:tblPrEx>
        <w:trPr>
          <w:trHeight w:val="56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507E3606">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vAlign w:val="center"/>
          </w:tcPr>
          <w:p w14:paraId="61ABB969">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超细胃镜</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23281C1">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EG-1960K</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094DE6B">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B00ZXA0059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0ED3937">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黄21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E7AE1D6">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2022/12/12</w:t>
            </w:r>
          </w:p>
        </w:tc>
        <w:tc>
          <w:tcPr>
            <w:tcW w:w="0" w:type="auto"/>
            <w:vMerge w:val="continue"/>
            <w:tcBorders>
              <w:left w:val="single" w:color="000000" w:sz="4" w:space="0"/>
              <w:right w:val="single" w:color="000000" w:sz="4" w:space="0"/>
            </w:tcBorders>
            <w:vAlign w:val="center"/>
          </w:tcPr>
          <w:p w14:paraId="3BE09D79">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47BC48FE">
        <w:tblPrEx>
          <w:tblCellMar>
            <w:top w:w="0" w:type="dxa"/>
            <w:left w:w="108" w:type="dxa"/>
            <w:bottom w:w="0" w:type="dxa"/>
            <w:right w:w="108" w:type="dxa"/>
          </w:tblCellMar>
        </w:tblPrEx>
        <w:trPr>
          <w:trHeight w:val="56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27C91CAE">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3</w:t>
            </w:r>
          </w:p>
        </w:tc>
        <w:tc>
          <w:tcPr>
            <w:tcW w:w="0" w:type="auto"/>
            <w:tcBorders>
              <w:top w:val="single" w:color="000000" w:sz="4" w:space="0"/>
              <w:left w:val="single" w:color="000000" w:sz="4" w:space="0"/>
              <w:bottom w:val="single" w:color="000000" w:sz="4" w:space="0"/>
              <w:right w:val="single" w:color="000000" w:sz="4" w:space="0"/>
            </w:tcBorders>
            <w:vAlign w:val="center"/>
          </w:tcPr>
          <w:p w14:paraId="6178431A">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胃镜</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BFA1544">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EG34-i10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B873F74">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B00Z9A0017</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35A7E10">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黄16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C189322">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2022/12/12</w:t>
            </w:r>
          </w:p>
        </w:tc>
        <w:tc>
          <w:tcPr>
            <w:tcW w:w="0" w:type="auto"/>
            <w:vMerge w:val="continue"/>
            <w:tcBorders>
              <w:left w:val="single" w:color="000000" w:sz="4" w:space="0"/>
              <w:right w:val="single" w:color="000000" w:sz="4" w:space="0"/>
            </w:tcBorders>
            <w:vAlign w:val="center"/>
          </w:tcPr>
          <w:p w14:paraId="46B6D6B3">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01A3E65D">
        <w:tblPrEx>
          <w:tblCellMar>
            <w:top w:w="0" w:type="dxa"/>
            <w:left w:w="108" w:type="dxa"/>
            <w:bottom w:w="0" w:type="dxa"/>
            <w:right w:w="108" w:type="dxa"/>
          </w:tblCellMar>
        </w:tblPrEx>
        <w:trPr>
          <w:trHeight w:val="56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0BA99B29">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12AADF19">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放大肠镜</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91D6BA8">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EC-3890MZi</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7B5F85D">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B160078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25E8620">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黄18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C669F23">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2022/12/12</w:t>
            </w:r>
          </w:p>
        </w:tc>
        <w:tc>
          <w:tcPr>
            <w:tcW w:w="0" w:type="auto"/>
            <w:vMerge w:val="continue"/>
            <w:tcBorders>
              <w:left w:val="single" w:color="000000" w:sz="4" w:space="0"/>
              <w:right w:val="single" w:color="000000" w:sz="4" w:space="0"/>
            </w:tcBorders>
            <w:vAlign w:val="center"/>
          </w:tcPr>
          <w:p w14:paraId="2FC0A9D6">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25B2F241">
        <w:tblPrEx>
          <w:tblCellMar>
            <w:top w:w="0" w:type="dxa"/>
            <w:left w:w="108" w:type="dxa"/>
            <w:bottom w:w="0" w:type="dxa"/>
            <w:right w:w="108" w:type="dxa"/>
          </w:tblCellMar>
        </w:tblPrEx>
        <w:trPr>
          <w:trHeight w:val="56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072AF81C">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5</w:t>
            </w:r>
          </w:p>
        </w:tc>
        <w:tc>
          <w:tcPr>
            <w:tcW w:w="0" w:type="auto"/>
            <w:tcBorders>
              <w:top w:val="single" w:color="000000" w:sz="4" w:space="0"/>
              <w:left w:val="single" w:color="000000" w:sz="4" w:space="0"/>
              <w:bottom w:val="single" w:color="000000" w:sz="4" w:space="0"/>
              <w:right w:val="single" w:color="000000" w:sz="4" w:space="0"/>
            </w:tcBorders>
            <w:vAlign w:val="center"/>
          </w:tcPr>
          <w:p w14:paraId="283FC475">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肠镜</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FE995EF">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EC34-i10TM</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65C69DB">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B160038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EFE51A0">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黄19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234AF82">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2022/12/12</w:t>
            </w:r>
          </w:p>
        </w:tc>
        <w:tc>
          <w:tcPr>
            <w:tcW w:w="0" w:type="auto"/>
            <w:vMerge w:val="continue"/>
            <w:tcBorders>
              <w:left w:val="single" w:color="000000" w:sz="4" w:space="0"/>
              <w:right w:val="single" w:color="000000" w:sz="4" w:space="0"/>
            </w:tcBorders>
            <w:vAlign w:val="center"/>
          </w:tcPr>
          <w:p w14:paraId="7E251C6F">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1115B7CD">
        <w:tblPrEx>
          <w:tblCellMar>
            <w:top w:w="0" w:type="dxa"/>
            <w:left w:w="108" w:type="dxa"/>
            <w:bottom w:w="0" w:type="dxa"/>
            <w:right w:w="108" w:type="dxa"/>
          </w:tblCellMar>
        </w:tblPrEx>
        <w:trPr>
          <w:trHeight w:val="56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4D2EF038">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6</w:t>
            </w:r>
          </w:p>
        </w:tc>
        <w:tc>
          <w:tcPr>
            <w:tcW w:w="0" w:type="auto"/>
            <w:tcBorders>
              <w:top w:val="single" w:color="000000" w:sz="4" w:space="0"/>
              <w:left w:val="single" w:color="000000" w:sz="4" w:space="0"/>
              <w:bottom w:val="single" w:color="000000" w:sz="4" w:space="0"/>
              <w:right w:val="single" w:color="000000" w:sz="4" w:space="0"/>
            </w:tcBorders>
            <w:vAlign w:val="center"/>
          </w:tcPr>
          <w:p w14:paraId="585CB4B5">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肠镜</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EA9E784">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EC34-i10TM</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33752C3">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B160037</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EE147A1">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黄20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96244BF">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2022/12/12</w:t>
            </w:r>
          </w:p>
        </w:tc>
        <w:tc>
          <w:tcPr>
            <w:tcW w:w="0" w:type="auto"/>
            <w:vMerge w:val="continue"/>
            <w:tcBorders>
              <w:left w:val="single" w:color="000000" w:sz="4" w:space="0"/>
              <w:right w:val="single" w:color="000000" w:sz="4" w:space="0"/>
            </w:tcBorders>
            <w:vAlign w:val="center"/>
          </w:tcPr>
          <w:p w14:paraId="7F1604F4">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67ACD1B7">
        <w:tblPrEx>
          <w:tblCellMar>
            <w:top w:w="0" w:type="dxa"/>
            <w:left w:w="108" w:type="dxa"/>
            <w:bottom w:w="0" w:type="dxa"/>
            <w:right w:w="108" w:type="dxa"/>
          </w:tblCellMar>
        </w:tblPrEx>
        <w:trPr>
          <w:trHeight w:val="56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3DFA1817">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7</w:t>
            </w:r>
          </w:p>
        </w:tc>
        <w:tc>
          <w:tcPr>
            <w:tcW w:w="0" w:type="auto"/>
            <w:tcBorders>
              <w:top w:val="single" w:color="000000" w:sz="4" w:space="0"/>
              <w:left w:val="single" w:color="000000" w:sz="4" w:space="0"/>
              <w:bottom w:val="single" w:color="000000" w:sz="4" w:space="0"/>
              <w:right w:val="single" w:color="000000" w:sz="4" w:space="0"/>
            </w:tcBorders>
            <w:vAlign w:val="center"/>
          </w:tcPr>
          <w:p w14:paraId="01220338">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十二指肠镜</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D111B8B">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ED34-i10T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F355B44">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B160207</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A438A3A">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黄22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82F44A3">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2022/12/12</w:t>
            </w:r>
          </w:p>
        </w:tc>
        <w:tc>
          <w:tcPr>
            <w:tcW w:w="0" w:type="auto"/>
            <w:vMerge w:val="continue"/>
            <w:tcBorders>
              <w:left w:val="single" w:color="000000" w:sz="4" w:space="0"/>
              <w:right w:val="single" w:color="000000" w:sz="4" w:space="0"/>
            </w:tcBorders>
            <w:vAlign w:val="center"/>
          </w:tcPr>
          <w:p w14:paraId="2420411F">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7CBAE059">
        <w:tblPrEx>
          <w:tblCellMar>
            <w:top w:w="0" w:type="dxa"/>
            <w:left w:w="108" w:type="dxa"/>
            <w:bottom w:w="0" w:type="dxa"/>
            <w:right w:w="108" w:type="dxa"/>
          </w:tblCellMar>
        </w:tblPrEx>
        <w:trPr>
          <w:trHeight w:val="56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5EA31E01">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8</w:t>
            </w:r>
          </w:p>
        </w:tc>
        <w:tc>
          <w:tcPr>
            <w:tcW w:w="0" w:type="auto"/>
            <w:tcBorders>
              <w:top w:val="single" w:color="000000" w:sz="4" w:space="0"/>
              <w:left w:val="single" w:color="000000" w:sz="4" w:space="0"/>
              <w:bottom w:val="single" w:color="000000" w:sz="4" w:space="0"/>
              <w:right w:val="single" w:color="000000" w:sz="4" w:space="0"/>
            </w:tcBorders>
            <w:vAlign w:val="center"/>
          </w:tcPr>
          <w:p w14:paraId="17116F6A">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主机</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EAD84CD">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EPK-i7010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045A779">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E760226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643119D">
            <w:pPr>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72DDB6B">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2022/12/12</w:t>
            </w:r>
          </w:p>
        </w:tc>
        <w:tc>
          <w:tcPr>
            <w:tcW w:w="0" w:type="auto"/>
            <w:vMerge w:val="continue"/>
            <w:tcBorders>
              <w:left w:val="single" w:color="000000" w:sz="4" w:space="0"/>
              <w:right w:val="single" w:color="000000" w:sz="4" w:space="0"/>
            </w:tcBorders>
            <w:vAlign w:val="center"/>
          </w:tcPr>
          <w:p w14:paraId="1B0C499A">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130D6695">
        <w:tblPrEx>
          <w:tblCellMar>
            <w:top w:w="0" w:type="dxa"/>
            <w:left w:w="108" w:type="dxa"/>
            <w:bottom w:w="0" w:type="dxa"/>
            <w:right w:w="108" w:type="dxa"/>
          </w:tblCellMar>
        </w:tblPrEx>
        <w:trPr>
          <w:trHeight w:val="56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39612829">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9</w:t>
            </w:r>
          </w:p>
        </w:tc>
        <w:tc>
          <w:tcPr>
            <w:tcW w:w="0" w:type="auto"/>
            <w:tcBorders>
              <w:top w:val="single" w:color="000000" w:sz="4" w:space="0"/>
              <w:left w:val="single" w:color="000000" w:sz="4" w:space="0"/>
              <w:bottom w:val="single" w:color="000000" w:sz="4" w:space="0"/>
              <w:right w:val="single" w:color="000000" w:sz="4" w:space="0"/>
            </w:tcBorders>
            <w:vAlign w:val="center"/>
          </w:tcPr>
          <w:p w14:paraId="79075430">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主机</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769FC1C">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EPK-i7010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40AD89D">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D760205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0342F9F">
            <w:pPr>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E49DF9B">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2021/8/23</w:t>
            </w:r>
          </w:p>
        </w:tc>
        <w:tc>
          <w:tcPr>
            <w:tcW w:w="0" w:type="auto"/>
            <w:vMerge w:val="continue"/>
            <w:tcBorders>
              <w:left w:val="single" w:color="000000" w:sz="4" w:space="0"/>
              <w:bottom w:val="single" w:color="000000" w:sz="4" w:space="0"/>
              <w:right w:val="single" w:color="000000" w:sz="4" w:space="0"/>
            </w:tcBorders>
            <w:vAlign w:val="center"/>
          </w:tcPr>
          <w:p w14:paraId="746049A7">
            <w:pPr>
              <w:widowControl/>
              <w:shd w:val="clear"/>
              <w:spacing w:after="0" w:line="240" w:lineRule="auto"/>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7C53CA04">
      <w:pPr>
        <w:pStyle w:val="44"/>
        <w:shd w:val="clear"/>
        <w:spacing w:after="0" w:line="240" w:lineRule="auto"/>
        <w:ind w:firstLine="0" w:firstLineChars="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四、服务总体要求和具体要求</w:t>
      </w:r>
    </w:p>
    <w:p w14:paraId="40184687">
      <w:pPr>
        <w:widowControl/>
        <w:shd w:val="clear"/>
        <w:spacing w:after="0" w:line="240" w:lineRule="auto"/>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14:textFill>
            <w14:solidFill>
              <w14:schemeClr w14:val="tx1"/>
            </w14:solidFill>
          </w14:textFill>
        </w:rPr>
        <w:t xml:space="preserve">▲1.投标人应具备厂家授权维修资质 </w:t>
      </w:r>
    </w:p>
    <w:p w14:paraId="535189E8">
      <w:pPr>
        <w:widowControl/>
        <w:shd w:val="clear"/>
        <w:spacing w:after="0" w:line="240" w:lineRule="auto"/>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14:textFill>
            <w14:solidFill>
              <w14:schemeClr w14:val="tx1"/>
            </w14:solidFill>
          </w14:textFill>
        </w:rPr>
        <w:t xml:space="preserve">▲2.维修所更换的零配件均保证原装零配件 </w:t>
      </w:r>
    </w:p>
    <w:p w14:paraId="5496A361">
      <w:pPr>
        <w:widowControl/>
        <w:shd w:val="clear"/>
        <w:spacing w:after="0" w:line="240" w:lineRule="auto"/>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14:textFill>
            <w14:solidFill>
              <w14:schemeClr w14:val="tx1"/>
            </w14:solidFill>
          </w14:textFill>
        </w:rPr>
        <w:t xml:space="preserve">3.附件中包括的产品，如果在自然损耗以及按照中标人要求的清洗消毒方法的情况下发生故障，中标人进行无条件维修； </w:t>
      </w:r>
    </w:p>
    <w:p w14:paraId="36B7B1B1">
      <w:pPr>
        <w:widowControl/>
        <w:shd w:val="clear"/>
        <w:spacing w:after="0" w:line="240" w:lineRule="auto"/>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14:textFill>
            <w14:solidFill>
              <w14:schemeClr w14:val="tx1"/>
            </w14:solidFill>
          </w14:textFill>
        </w:rPr>
        <w:t xml:space="preserve">▲4.在零件齐备的情况下，投标人保证8小时之内完成小维修。 </w:t>
      </w:r>
    </w:p>
    <w:p w14:paraId="2A5D9370">
      <w:pPr>
        <w:widowControl/>
        <w:shd w:val="clear"/>
        <w:spacing w:after="0" w:line="240" w:lineRule="auto"/>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14:textFill>
            <w14:solidFill>
              <w14:schemeClr w14:val="tx1"/>
            </w14:solidFill>
          </w14:textFill>
        </w:rPr>
        <w:t xml:space="preserve">▲5.在零件齐备的情况下，投标人保证30个工作日内完成大维修。 </w:t>
      </w:r>
    </w:p>
    <w:p w14:paraId="320DE345">
      <w:pPr>
        <w:widowControl/>
        <w:shd w:val="clear"/>
        <w:spacing w:after="0" w:line="240" w:lineRule="auto"/>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14:textFill>
            <w14:solidFill>
              <w14:schemeClr w14:val="tx1"/>
            </w14:solidFill>
          </w14:textFill>
        </w:rPr>
        <w:t xml:space="preserve">6.如果采购人属于上面表格内所列的设备发生故障需要大维修时，投标人保证 24小时内向采购人提供合格的备用品。 </w:t>
      </w:r>
    </w:p>
    <w:p w14:paraId="32D17DF4">
      <w:pPr>
        <w:widowControl/>
        <w:shd w:val="clear"/>
        <w:spacing w:after="0" w:line="240" w:lineRule="auto"/>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14:textFill>
            <w14:solidFill>
              <w14:schemeClr w14:val="tx1"/>
            </w14:solidFill>
          </w14:textFill>
        </w:rPr>
        <w:t xml:space="preserve">▲7.周一至周日，一旦采购人的上面表格中所列的内镜出现问题，工程师保证在8小时内提供现场技术支持，并提供每周24小时×7天的电话支持服务。 </w:t>
      </w:r>
    </w:p>
    <w:p w14:paraId="22A12FB8">
      <w:pPr>
        <w:widowControl/>
        <w:shd w:val="clear"/>
        <w:spacing w:after="0" w:line="240" w:lineRule="auto"/>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14:textFill>
            <w14:solidFill>
              <w14:schemeClr w14:val="tx1"/>
            </w14:solidFill>
          </w14:textFill>
        </w:rPr>
        <w:t xml:space="preserve">▲8.中标人指定工程师为采购人提供定期1月1次巡回，3月1次点检，并提交检查报告给医院备档。 </w:t>
      </w:r>
    </w:p>
    <w:p w14:paraId="50C6821E">
      <w:pPr>
        <w:widowControl/>
        <w:shd w:val="clear"/>
        <w:spacing w:after="0" w:line="240" w:lineRule="auto"/>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14:textFill>
            <w14:solidFill>
              <w14:schemeClr w14:val="tx1"/>
            </w14:solidFill>
          </w14:textFill>
        </w:rPr>
        <w:t xml:space="preserve">9.中标人为采购人提供1年1次的周边仪器免费除尘清洁服务（周边仪器是指本合同维修范围清单内的周边仪器）。 </w:t>
      </w:r>
    </w:p>
    <w:p w14:paraId="1F6888E3">
      <w:pPr>
        <w:widowControl/>
        <w:shd w:val="clear"/>
        <w:spacing w:after="0" w:line="240" w:lineRule="auto"/>
        <w:jc w:val="left"/>
        <w:rPr>
          <w:rFonts w:hint="eastAsia" w:asciiTheme="minorEastAsia" w:hAnsiTheme="minorEastAsia" w:eastAsiaTheme="minorEastAsia" w:cstheme="minorEastAsia"/>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14:textFill>
            <w14:solidFill>
              <w14:schemeClr w14:val="tx1"/>
            </w14:solidFill>
          </w14:textFill>
        </w:rPr>
        <w:t>10.在服务期内，中标人可根据采购人的需求，对附件内所列设备的使用、清洗和保养方法为采购人提供院内培训</w:t>
      </w:r>
    </w:p>
    <w:p w14:paraId="3F3A85AA">
      <w:pPr>
        <w:widowControl/>
        <w:shd w:val="clear"/>
        <w:spacing w:after="0" w:line="240" w:lineRule="auto"/>
        <w:jc w:val="left"/>
        <w:rPr>
          <w:rFonts w:hint="eastAsia" w:asciiTheme="minorEastAsia" w:hAnsiTheme="minorEastAsia" w:eastAsiaTheme="minorEastAsia" w:cstheme="minorEastAsia"/>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14:textFill>
            <w14:solidFill>
              <w14:schemeClr w14:val="tx1"/>
            </w14:solidFill>
          </w14:textFill>
        </w:rPr>
        <w:t>11.免费更换维保设备容易损坏的冲洗注水小接头，保修期内提供12次活检帽更换，水汽、吸引按钮每年更换1次，注水瓶配6个，通用注水瓶二氧化碳转接头3个，冷光源灯泡1个、镜子端链接主水管20根、水泵端防反流注水管50根。</w:t>
      </w:r>
    </w:p>
    <w:p w14:paraId="2F39DFC9">
      <w:pPr>
        <w:shd w:val="clear"/>
        <w:spacing w:after="0" w:line="240" w:lineRule="auto"/>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五、服务质量要求/或技术指标要求</w:t>
      </w:r>
    </w:p>
    <w:p w14:paraId="70E0F18A">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维保考核及扣罚：按保养维护考核标准考核：满分100分，表示服务质量达标，采购人全额支付中标人服务费用，每季1次考核。分值低于100分（不含100分）但高于90分（含90分），每分按100元扣减费用（例如当月得分94分，需扣600.00元，如此类推）；分值低于90分（不含90分）但高于85分（含85分），每分按150元扣减费用（例如当月得分88分，需扣1800.00元，如此类推）；分值低于85分但高于75分（含75分），每分按300元扣减费用（例如当月得分84分，需扣4800.00元，如此类推）；考核分值低于75分，每分按600元扣减费用（例如当月得分74分，需扣15600.00元，如此类推）。一年累计2次出现75分以下（不含75分）的，采购人有权终止合同无需承担责任。</w:t>
      </w:r>
    </w:p>
    <w:tbl>
      <w:tblPr>
        <w:tblStyle w:val="24"/>
        <w:tblW w:w="0" w:type="auto"/>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585"/>
        <w:gridCol w:w="7472"/>
        <w:gridCol w:w="1893"/>
      </w:tblGrid>
      <w:tr w14:paraId="0326EC7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0" w:type="auto"/>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2F191385">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b/>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val="en-US" w:eastAsia="zh-Hans"/>
                <w14:textFill>
                  <w14:solidFill>
                    <w14:schemeClr w14:val="tx1"/>
                  </w14:solidFill>
                </w14:textFill>
              </w:rPr>
              <w:t>序号</w:t>
            </w:r>
          </w:p>
        </w:tc>
        <w:tc>
          <w:tcPr>
            <w:tcW w:w="0" w:type="auto"/>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702DF67C">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b/>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val="en-US" w:eastAsia="zh-Hans"/>
                <w14:textFill>
                  <w14:solidFill>
                    <w14:schemeClr w14:val="tx1"/>
                  </w14:solidFill>
                </w14:textFill>
              </w:rPr>
              <w:t>内容</w:t>
            </w:r>
          </w:p>
        </w:tc>
        <w:tc>
          <w:tcPr>
            <w:tcW w:w="0" w:type="auto"/>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65B5EC94">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b/>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val="en-US" w:eastAsia="zh-Hans"/>
                <w14:textFill>
                  <w14:solidFill>
                    <w14:schemeClr w14:val="tx1"/>
                  </w14:solidFill>
                </w14:textFill>
              </w:rPr>
              <w:t>扣分额按每月统计计算</w:t>
            </w:r>
          </w:p>
        </w:tc>
      </w:tr>
      <w:tr w14:paraId="4544205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5ADBF6B">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1</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BF430E6">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对不能及时维修的故障未能及时与采购人沟通说明</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67A42E5">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每次扣2分</w:t>
            </w:r>
          </w:p>
        </w:tc>
      </w:tr>
      <w:tr w14:paraId="611F8F7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D8AFB8F">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2</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CECC36B">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中标人接到通知后，未能在规定时间内维修人员到达现场处理。</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1A62D64">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每次扣2分</w:t>
            </w:r>
          </w:p>
        </w:tc>
      </w:tr>
      <w:tr w14:paraId="655EAD0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BE594B2">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3</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27BACBD">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已维修的设备未能 15 天进行一次回访及记录</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BB9C321">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每次扣10分</w:t>
            </w:r>
          </w:p>
        </w:tc>
      </w:tr>
      <w:tr w14:paraId="4414AD3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F06BBDE">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4</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FCCE446">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未能对故障维修做详细记录和值班记录</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55A7999">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每次扣2分</w:t>
            </w:r>
          </w:p>
        </w:tc>
      </w:tr>
      <w:tr w14:paraId="72AEADD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BDACCBD">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5</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E661A85">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维保过程中，工作不认真，造成设备损坏的</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FA049DD">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每次扣10分</w:t>
            </w:r>
          </w:p>
        </w:tc>
      </w:tr>
      <w:tr w14:paraId="76F1458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72F055B">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6</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92BABE5">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如在工作过程中，不慎损坏、破坏医院之设施</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7A47BEC">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每次扣2分</w:t>
            </w:r>
          </w:p>
        </w:tc>
      </w:tr>
      <w:tr w14:paraId="491249E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58457D7">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7</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DD128E4">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着装不整齐，待人不礼貌引起客户投诉</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D3ED8A4">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每次扣1分</w:t>
            </w:r>
          </w:p>
        </w:tc>
      </w:tr>
      <w:tr w14:paraId="20550BC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B6360A3">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8</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A7EFEF5">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维保工作完毕后没有及时清理遗留垃圾的</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EF74850">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每次扣1分</w:t>
            </w:r>
          </w:p>
        </w:tc>
      </w:tr>
      <w:tr w14:paraId="46D5182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398B242">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9</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D8E8C25">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当其他系统发生故障涉及中标人单位服务范围需要中标人单位提供协助，中标人单位未能及时提供。</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10C5225">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每次扣1分</w:t>
            </w:r>
          </w:p>
        </w:tc>
      </w:tr>
    </w:tbl>
    <w:p w14:paraId="7E374E15">
      <w:pPr>
        <w:shd w:val="clear"/>
        <w:spacing w:after="0" w:line="240" w:lineRule="auto"/>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六、交付使用要求</w:t>
      </w:r>
    </w:p>
    <w:p w14:paraId="00AC80F0">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服务期限：签订合同之日起3年</w:t>
      </w:r>
    </w:p>
    <w:p w14:paraId="790D4354">
      <w:pPr>
        <w:shd w:val="clear"/>
        <w:spacing w:after="0" w:line="240" w:lineRule="auto"/>
        <w:rPr>
          <w:rFonts w:hint="eastAsia" w:asciiTheme="minorEastAsia" w:hAnsiTheme="minorEastAsia" w:eastAsiaTheme="minorEastAsia" w:cstheme="minorEastAsia"/>
          <w:color w:val="000000" w:themeColor="text1"/>
          <w:sz w:val="21"/>
          <w:szCs w:val="21"/>
          <w:highlight w:val="none"/>
          <w:lang w:val="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zh-CN"/>
          <w14:textFill>
            <w14:solidFill>
              <w14:schemeClr w14:val="tx1"/>
            </w14:solidFill>
          </w14:textFill>
        </w:rPr>
        <w:t>服务地点：广州市第一人民医院（广州市越秀区盘福路1号）</w:t>
      </w:r>
    </w:p>
    <w:p w14:paraId="51D0F612">
      <w:pPr>
        <w:shd w:val="clear"/>
        <w:spacing w:after="0" w:line="240" w:lineRule="auto"/>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七、人员要求</w:t>
      </w:r>
    </w:p>
    <w:p w14:paraId="0D8BECF4">
      <w:pPr>
        <w:pStyle w:val="9"/>
        <w:shd w:val="clear"/>
        <w:spacing w:after="0" w:line="240" w:lineRule="auto"/>
        <w:ind w:firstLine="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14:textFill>
            <w14:solidFill>
              <w14:schemeClr w14:val="tx1"/>
            </w14:solidFill>
          </w14:textFill>
        </w:rPr>
        <w:t>中标人指定至少1名经</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原厂</w:t>
      </w:r>
      <w:r>
        <w:rPr>
          <w:rFonts w:hint="eastAsia" w:asciiTheme="minorEastAsia" w:hAnsiTheme="minorEastAsia" w:eastAsiaTheme="minorEastAsia" w:cstheme="minorEastAsia"/>
          <w:color w:val="000000" w:themeColor="text1"/>
          <w:kern w:val="0"/>
          <w:sz w:val="21"/>
          <w:szCs w:val="21"/>
          <w:highlight w:val="none"/>
          <w14:textFill>
            <w14:solidFill>
              <w14:schemeClr w14:val="tx1"/>
            </w14:solidFill>
          </w14:textFill>
        </w:rPr>
        <w:t>培训的工程师专门负责采购人的内镜维修和清洗保养培训工作。如指定工程师有变更，中标人另行通知采购人相关变更情况。</w:t>
      </w:r>
    </w:p>
    <w:p w14:paraId="4DA73E16">
      <w:pPr>
        <w:shd w:val="clear"/>
        <w:spacing w:after="0" w:line="240" w:lineRule="auto"/>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八、培训要求</w:t>
      </w:r>
    </w:p>
    <w:p w14:paraId="4B960731">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（一）培训授课人应是经过厂家培训过具有培训证书工程师、技术员等。</w:t>
      </w:r>
    </w:p>
    <w:p w14:paraId="65F6C30E">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（二）中标人应为所有被培训人员提供培训用文字资料和讲义等相关用品。</w:t>
      </w:r>
    </w:p>
    <w:p w14:paraId="7D237A3E">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（三）培训内容：应提供设备的原理讲解，使用操作安全、基础故障判断等维修技能等内容。</w:t>
      </w:r>
    </w:p>
    <w:p w14:paraId="0B152BEF">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（四）每年免费提供4次以上机器使用维修培训，包括且不限于现场及在线培训。</w:t>
      </w:r>
    </w:p>
    <w:p w14:paraId="5FDE68AF">
      <w:pPr>
        <w:shd w:val="clear"/>
        <w:spacing w:after="0" w:line="240" w:lineRule="auto"/>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九、付款方式</w:t>
      </w:r>
    </w:p>
    <w:p w14:paraId="49698429">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1、付款方式：银行转账。</w:t>
      </w:r>
    </w:p>
    <w:p w14:paraId="21ED6438">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2、付款结算周期：先服务后付款。每半年支付当年合同款的50%。开具发票同时提交半年维保情况总结，经采购人确认后方予结算。</w:t>
      </w:r>
    </w:p>
    <w:p w14:paraId="1B9629FA">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3、1期：预付款支付比例30%,（1）合同的款项以人民币转账方式支付。若属国库支付项目的，其支付时间按财政部相关规定执行。（2）签订合同之日起5个工作日内凭合同30%发票由采购人向中标人支付30%合同款；</w:t>
      </w:r>
    </w:p>
    <w:p w14:paraId="365D90FF">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期：（3）其余款项从第二年开始平均分为5期支付（每期支付比例14%），先服务后付款，即服务每满6个月后，自收到中标人开具当期维保费用扣除考核扣罚款（如有）后的金额发票后五个工作日内支付当期服务费；（4）开具发票同时提交当次维保周期维保情况总结，经采购人确认后方予结算。</w:t>
      </w:r>
    </w:p>
    <w:p w14:paraId="09DC55D8">
      <w:pPr>
        <w:pStyle w:val="9"/>
        <w:shd w:val="clear"/>
        <w:spacing w:after="0" w:line="240" w:lineRule="auto"/>
        <w:ind w:firstLine="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十、验收要求</w:t>
      </w:r>
    </w:p>
    <w:p w14:paraId="02590CFF">
      <w:pPr>
        <w:pStyle w:val="9"/>
        <w:shd w:val="clear"/>
        <w:spacing w:after="0" w:line="240" w:lineRule="auto"/>
        <w:ind w:firstLine="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须提供服务期内的经院方相关人员签字确认的维保维修记录报告。</w:t>
      </w:r>
    </w:p>
    <w:p w14:paraId="65E7157C">
      <w:pPr>
        <w:widowControl/>
        <w:shd w:val="clear"/>
        <w:spacing w:after="0" w:line="240" w:lineRule="auto"/>
        <w:jc w:val="left"/>
        <w:rPr>
          <w:rFonts w:hint="eastAsia" w:asciiTheme="minorEastAsia" w:hAnsiTheme="minorEastAsia" w:eastAsiaTheme="minorEastAsia" w:cstheme="minorEastAsia"/>
          <w:b/>
          <w:bCs/>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 w:val="21"/>
          <w:szCs w:val="21"/>
          <w:highlight w:val="none"/>
          <w14:textFill>
            <w14:solidFill>
              <w14:schemeClr w14:val="tx1"/>
            </w14:solidFill>
          </w14:textFill>
        </w:rPr>
        <w:t>十一、其他要求</w:t>
      </w:r>
    </w:p>
    <w:p w14:paraId="5696BEC4">
      <w:pPr>
        <w:pStyle w:val="70"/>
        <w:shd w:val="clear"/>
        <w:spacing w:after="0" w:line="240" w:lineRule="auto"/>
        <w:jc w:val="both"/>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投标文件中需提供包括但不限于：服务工作目标、内容及方案；工作人员培训及管理方案、拟投入项目人员服务质量考核方案、对突发事件的应急服务预案；机构设立及运作流程、管理计划的方案等。</w:t>
      </w:r>
    </w:p>
    <w:p w14:paraId="4912C645">
      <w:pPr>
        <w:pStyle w:val="70"/>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335B8F1C">
      <w:pPr>
        <w:pStyle w:val="70"/>
        <w:shd w:val="clear"/>
        <w:spacing w:after="0" w:line="240" w:lineRule="auto"/>
        <w:jc w:val="cente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包2：</w:t>
      </w: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西门子3.0T MRI设备维保服务</w:t>
      </w:r>
    </w:p>
    <w:p w14:paraId="3F11527C">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一、项目基本概况介绍</w:t>
      </w:r>
    </w:p>
    <w:p w14:paraId="62A09C0E">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本项目为广州市第一人民医院在用西门子MAGNETON Verio整机维保服务，项目包含设备所有维修维护、人工以及所需零配件。</w:t>
      </w:r>
    </w:p>
    <w:p w14:paraId="28E9E160">
      <w:pPr>
        <w:shd w:val="clear"/>
        <w:spacing w:after="0" w:line="240" w:lineRule="auto"/>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二、采购内容</w:t>
      </w:r>
    </w:p>
    <w:tbl>
      <w:tblPr>
        <w:tblStyle w:val="24"/>
        <w:tblW w:w="8647"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83"/>
        <w:gridCol w:w="1050"/>
        <w:gridCol w:w="1309"/>
        <w:gridCol w:w="1256"/>
        <w:gridCol w:w="1749"/>
      </w:tblGrid>
      <w:tr w14:paraId="6CE26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3283" w:type="dxa"/>
            <w:vAlign w:val="center"/>
          </w:tcPr>
          <w:p w14:paraId="3CE40481">
            <w:pPr>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标的名称</w:t>
            </w:r>
          </w:p>
        </w:tc>
        <w:tc>
          <w:tcPr>
            <w:tcW w:w="1050" w:type="dxa"/>
            <w:vAlign w:val="center"/>
          </w:tcPr>
          <w:p w14:paraId="626C85DC">
            <w:pPr>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数量</w:t>
            </w:r>
          </w:p>
        </w:tc>
        <w:tc>
          <w:tcPr>
            <w:tcW w:w="1309" w:type="dxa"/>
            <w:vAlign w:val="center"/>
          </w:tcPr>
          <w:p w14:paraId="466A6F17">
            <w:pPr>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采购预算</w:t>
            </w:r>
          </w:p>
          <w:p w14:paraId="1CB3B15B">
            <w:pPr>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（万元）</w:t>
            </w:r>
          </w:p>
        </w:tc>
        <w:tc>
          <w:tcPr>
            <w:tcW w:w="1256" w:type="dxa"/>
            <w:vAlign w:val="center"/>
          </w:tcPr>
          <w:p w14:paraId="68C263D1">
            <w:pPr>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服务期限</w:t>
            </w:r>
          </w:p>
        </w:tc>
        <w:tc>
          <w:tcPr>
            <w:tcW w:w="1749" w:type="dxa"/>
            <w:vAlign w:val="center"/>
          </w:tcPr>
          <w:p w14:paraId="450EE485">
            <w:pPr>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备注</w:t>
            </w:r>
          </w:p>
        </w:tc>
      </w:tr>
      <w:tr w14:paraId="62B03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283" w:type="dxa"/>
            <w:vAlign w:val="center"/>
          </w:tcPr>
          <w:p w14:paraId="6D10E677">
            <w:pPr>
              <w:pStyle w:val="69"/>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西门子MAGNETON Verio 3.0T</w:t>
            </w:r>
          </w:p>
        </w:tc>
        <w:tc>
          <w:tcPr>
            <w:tcW w:w="1050" w:type="dxa"/>
            <w:vMerge w:val="restart"/>
            <w:vAlign w:val="center"/>
          </w:tcPr>
          <w:p w14:paraId="3EDBE0DC">
            <w:pPr>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1309" w:type="dxa"/>
            <w:vMerge w:val="restart"/>
            <w:vAlign w:val="center"/>
          </w:tcPr>
          <w:p w14:paraId="7D602057">
            <w:pPr>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105</w:t>
            </w:r>
          </w:p>
        </w:tc>
        <w:tc>
          <w:tcPr>
            <w:tcW w:w="1256" w:type="dxa"/>
            <w:vMerge w:val="restart"/>
            <w:vAlign w:val="center"/>
          </w:tcPr>
          <w:p w14:paraId="25533A85">
            <w:pPr>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3年</w:t>
            </w:r>
          </w:p>
        </w:tc>
        <w:tc>
          <w:tcPr>
            <w:tcW w:w="1749" w:type="dxa"/>
            <w:vMerge w:val="restart"/>
            <w:vAlign w:val="center"/>
          </w:tcPr>
          <w:p w14:paraId="1376CCA5">
            <w:pPr>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设备启用于2012年12月</w:t>
            </w:r>
          </w:p>
        </w:tc>
      </w:tr>
      <w:tr w14:paraId="2AE65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3283" w:type="dxa"/>
            <w:vAlign w:val="center"/>
          </w:tcPr>
          <w:p w14:paraId="3333B0C8">
            <w:pPr>
              <w:shd w:val="clear"/>
              <w:tabs>
                <w:tab w:val="left" w:pos="567"/>
              </w:tabs>
              <w:autoSpaceDE w:val="0"/>
              <w:autoSpaceDN w:val="0"/>
              <w:spacing w:after="0" w:line="240" w:lineRule="auto"/>
              <w:jc w:val="center"/>
              <w:textAlignment w:val="bottom"/>
              <w:outlineLvl w:val="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syngo MM Workplace工作站</w:t>
            </w:r>
          </w:p>
        </w:tc>
        <w:tc>
          <w:tcPr>
            <w:tcW w:w="1050" w:type="dxa"/>
            <w:vMerge w:val="continue"/>
            <w:vAlign w:val="center"/>
          </w:tcPr>
          <w:p w14:paraId="31D390A0">
            <w:pPr>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09" w:type="dxa"/>
            <w:vMerge w:val="continue"/>
            <w:vAlign w:val="center"/>
          </w:tcPr>
          <w:p w14:paraId="026AC562">
            <w:pPr>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256" w:type="dxa"/>
            <w:vMerge w:val="continue"/>
            <w:vAlign w:val="center"/>
          </w:tcPr>
          <w:p w14:paraId="10C9257F">
            <w:pPr>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749" w:type="dxa"/>
            <w:vMerge w:val="continue"/>
            <w:vAlign w:val="center"/>
          </w:tcPr>
          <w:p w14:paraId="29E53E29">
            <w:pPr>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3E7FD843">
      <w:pPr>
        <w:shd w:val="clear"/>
        <w:spacing w:after="0" w:line="240" w:lineRule="auto"/>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三、服务内容（服务设备清单等）</w:t>
      </w:r>
    </w:p>
    <w:p w14:paraId="1563AA38">
      <w:pPr>
        <w:shd w:val="clear"/>
        <w:tabs>
          <w:tab w:val="left" w:pos="567"/>
        </w:tabs>
        <w:autoSpaceDE w:val="0"/>
        <w:autoSpaceDN w:val="0"/>
        <w:spacing w:after="0" w:line="240" w:lineRule="auto"/>
        <w:jc w:val="left"/>
        <w:textAlignment w:val="bottom"/>
        <w:outlineLvl w:val="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1.MAGNETON Verio 3.0T</w:t>
      </w:r>
      <w:r>
        <w:rPr>
          <w:rFonts w:hint="eastAsia" w:asciiTheme="minorEastAsia" w:hAnsiTheme="minorEastAsia" w:eastAsiaTheme="minorEastAsia" w:cstheme="minorEastAsia"/>
          <w:color w:val="000000" w:themeColor="text1"/>
          <w:kern w:val="0"/>
          <w:sz w:val="21"/>
          <w:szCs w:val="21"/>
          <w:highlight w:val="none"/>
          <w14:textFill>
            <w14:solidFill>
              <w14:schemeClr w14:val="tx1"/>
            </w14:solidFill>
          </w14:textFill>
        </w:rPr>
        <w:t>整机及其配套设备进行全保。包括</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syngo MM Workplace工作站、电子系统（梯度柜、射频柜、系统柜、计算机、诊疗床及所属辅件）、制冷系统（冷头、吸附器、氦压缩机、高低压氦气管等）、液氦、诊断线圈、室外水冷机组、精密空调等维修更换费用和人工服务费用；</w:t>
      </w:r>
    </w:p>
    <w:p w14:paraId="498B2B22">
      <w:pPr>
        <w:pStyle w:val="9"/>
        <w:shd w:val="clear"/>
        <w:spacing w:after="0" w:line="240" w:lineRule="auto"/>
        <w:ind w:firstLine="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14:textFill>
            <w14:solidFill>
              <w14:schemeClr w14:val="tx1"/>
            </w14:solidFill>
          </w14:textFill>
        </w:rPr>
        <w:t>不包含</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磁体；不包含其他第三方产品及后安装产品如高压注射器、稳压电源，UPS，激光相机，外配打印机，录像机，视频外设等的保修。  </w:t>
      </w:r>
    </w:p>
    <w:p w14:paraId="5F001519">
      <w:pPr>
        <w:pStyle w:val="9"/>
        <w:shd w:val="clear"/>
        <w:spacing w:after="0" w:line="240" w:lineRule="auto"/>
        <w:ind w:firstLine="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2.服务年限：3年   </w:t>
      </w:r>
    </w:p>
    <w:p w14:paraId="4FE3FA5F">
      <w:pPr>
        <w:shd w:val="clear"/>
        <w:spacing w:after="0" w:line="240" w:lineRule="auto"/>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四、服务总体要求和具体要求</w:t>
      </w:r>
    </w:p>
    <w:p w14:paraId="48BD31E8">
      <w:pPr>
        <w:widowControl/>
        <w:shd w:val="clear"/>
        <w:spacing w:after="0" w:line="240" w:lineRule="auto"/>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CN" w:bidi="ar"/>
          <w14:textFill>
            <w14:solidFill>
              <w14:schemeClr w14:val="tx1"/>
            </w14:solidFill>
          </w14:textFill>
        </w:rPr>
        <w:t>1.</w:t>
      </w: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 xml:space="preserve">维保期内MR不限次更换所有原厂配件，所更换配件应是原厂合格配件。 </w:t>
      </w:r>
    </w:p>
    <w:p w14:paraId="27723CD8">
      <w:pPr>
        <w:widowControl/>
        <w:shd w:val="clear"/>
        <w:spacing w:after="0" w:line="240" w:lineRule="auto"/>
        <w:jc w:val="left"/>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 xml:space="preserve">2.提供24小时*365天电话技术支持。 </w:t>
      </w:r>
    </w:p>
    <w:p w14:paraId="63DAE5AC">
      <w:pPr>
        <w:widowControl/>
        <w:shd w:val="clear"/>
        <w:spacing w:after="0" w:line="240" w:lineRule="auto"/>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 xml:space="preserve">4.定期维护保养及开机率保障，开机率≥95％。 </w:t>
      </w:r>
    </w:p>
    <w:p w14:paraId="6F4D75F7">
      <w:pPr>
        <w:widowControl/>
        <w:shd w:val="clear"/>
        <w:spacing w:after="0" w:line="240" w:lineRule="auto"/>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 xml:space="preserve">5.提供每年不少于4次整机专业保养，按照保养计划更换损耗部件，按照厂家标准进行调校，确认各项技术指标及性能。 </w:t>
      </w:r>
    </w:p>
    <w:p w14:paraId="206F2334">
      <w:pPr>
        <w:widowControl/>
        <w:shd w:val="clear"/>
        <w:spacing w:after="0" w:line="240" w:lineRule="auto"/>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 xml:space="preserve">6.其他所有整机紧急上门服务。 </w:t>
      </w:r>
    </w:p>
    <w:p w14:paraId="1D8EC4A2">
      <w:pPr>
        <w:widowControl/>
        <w:shd w:val="clear"/>
        <w:spacing w:after="0" w:line="240" w:lineRule="auto"/>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 xml:space="preserve">7.维保要求 </w:t>
      </w:r>
    </w:p>
    <w:p w14:paraId="56FB327A">
      <w:pPr>
        <w:widowControl/>
        <w:shd w:val="clear"/>
        <w:spacing w:after="0" w:line="240" w:lineRule="auto"/>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7.1中标人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应</w:t>
      </w: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 xml:space="preserve">具备快速反应、专业的服务能力，在国内设有长期稳定的服务机构或仓库（提供相关证明材料并加盖公章）。 </w:t>
      </w:r>
    </w:p>
    <w:p w14:paraId="6B5B1F4D">
      <w:pPr>
        <w:widowControl/>
        <w:shd w:val="clear"/>
        <w:spacing w:after="0" w:line="240" w:lineRule="auto"/>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▲7.2提供24小时热线服务电话在线响应。接到报修电话后，工程师1小时内电话响应。紧急故障若电话交流无法解决，则在接获报修电后，在确定需要现场维修情况下，维修工程师</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应</w:t>
      </w: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 xml:space="preserve">在12小时内到达现场，维修不涉及零配件更换应在12小时内修复完毕；涉及零配件更换，应在48小时内修复完毕（不可抗力因素除外）。如设备故障严重，无法即时修复，投标人须提供解决方案，并保证在7个自然日内使设备恢复正常运行。在设备故障排除后，其性能指标须与生产厂家提供的技术数据相符，并提供完整的维修记录。 </w:t>
      </w:r>
    </w:p>
    <w:p w14:paraId="6C48A0F4">
      <w:pPr>
        <w:widowControl/>
        <w:shd w:val="clear"/>
        <w:spacing w:after="0" w:line="240" w:lineRule="auto"/>
        <w:jc w:val="left"/>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7.3包含在保修合同期内所需的人工费用、节假日加班费，中标人优先派工。</w:t>
      </w:r>
    </w:p>
    <w:p w14:paraId="2FD791DA">
      <w:pPr>
        <w:widowControl/>
        <w:shd w:val="clear"/>
        <w:spacing w:after="0" w:line="240" w:lineRule="auto"/>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7.4开机率≥95％，按全年365天计算。若不达标，每少1个日历日，维保服务期延长3个日历日。</w:t>
      </w:r>
    </w:p>
    <w:p w14:paraId="2FF2B779">
      <w:pPr>
        <w:widowControl/>
        <w:shd w:val="clear"/>
        <w:spacing w:after="0" w:line="240" w:lineRule="auto"/>
        <w:jc w:val="left"/>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7.5投标人在国内应具备2023年至今同品牌同类型设备保修项目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承接能力、合同的履约能力和服务能力</w:t>
      </w: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，提供同品牌同类设备全保合同复印件作为证明材料。</w:t>
      </w:r>
    </w:p>
    <w:p w14:paraId="35E252B4">
      <w:pPr>
        <w:widowControl/>
        <w:shd w:val="clear"/>
        <w:spacing w:after="0" w:line="240" w:lineRule="auto"/>
        <w:jc w:val="left"/>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▲7.6维修工程师可使用原厂诊断软件进行诊断，并保证能够解决所有设备故障。且保证维修过程不侵犯任何知识产权。</w:t>
      </w:r>
    </w:p>
    <w:p w14:paraId="255A86A2">
      <w:pPr>
        <w:pStyle w:val="9"/>
        <w:shd w:val="clear"/>
        <w:spacing w:after="0" w:line="240" w:lineRule="auto"/>
        <w:ind w:firstLine="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▲7.7</w:t>
      </w:r>
      <w:r>
        <w:rPr>
          <w:rStyle w:val="79"/>
          <w:rFonts w:hint="eastAsia" w:asciiTheme="minorEastAsia" w:hAnsiTheme="minorEastAsia" w:eastAsiaTheme="minorEastAsia" w:cstheme="minorEastAsia"/>
          <w:b/>
          <w:bCs/>
          <w:color w:val="000000" w:themeColor="text1"/>
          <w:sz w:val="21"/>
          <w:szCs w:val="21"/>
          <w:highlight w:val="none"/>
          <w:shd w:val="clear" w:color="auto" w:fill="FFFFFF"/>
          <w14:textFill>
            <w14:solidFill>
              <w14:schemeClr w14:val="tx1"/>
            </w14:solidFill>
          </w14:textFill>
        </w:rPr>
        <w:t>系统安全：</w:t>
      </w:r>
      <w:r>
        <w:rPr>
          <w:rStyle w:val="79"/>
          <w:rFonts w:hint="eastAsia" w:asciiTheme="minorEastAsia" w:hAnsiTheme="minorEastAsia" w:eastAsiaTheme="minorEastAsia" w:cstheme="minorEastAsia"/>
          <w:color w:val="000000" w:themeColor="text1"/>
          <w:sz w:val="21"/>
          <w:szCs w:val="21"/>
          <w:highlight w:val="none"/>
          <w:shd w:val="clear" w:color="auto" w:fill="FFFFFF"/>
          <w14:textFill>
            <w14:solidFill>
              <w14:schemeClr w14:val="tx1"/>
            </w14:solidFill>
          </w14:textFill>
        </w:rPr>
        <w:t>严格遵守国家药品监督管理局医疗器械相关条款，不得改装原设备软硬件，不得安装盗版或低版本系统，提供系统安全软件补丁，免费添加原厂系统安全软件补丁，</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并在升级完成后提供原厂该型号设备的升级文件及工作记录。</w:t>
      </w:r>
    </w:p>
    <w:p w14:paraId="591EB526">
      <w:pPr>
        <w:widowControl/>
        <w:shd w:val="clear"/>
        <w:spacing w:after="0" w:line="240" w:lineRule="auto"/>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▲7.8备件来源要求：确保备件应为与原设备型号一致、同一备件号的原厂备件，</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维修时不得擅自修改原机图纸线路或使用飞线等手段进行维修。</w:t>
      </w: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安装完毕后达到原厂设备运行标准。应提供重要备件进口报关单（如为进口备件）复印件，并加盖公章，保证备件供应100%保障。</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国内仓库备件48小时内到达现场，特殊情况双方协商解决。</w:t>
      </w:r>
    </w:p>
    <w:p w14:paraId="173CE636">
      <w:pPr>
        <w:widowControl/>
        <w:shd w:val="clear"/>
        <w:spacing w:after="0" w:line="240" w:lineRule="auto"/>
        <w:jc w:val="left"/>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 xml:space="preserve">7.9预防性保养：按照保养计划提供保养服务，以保证设备处于最佳运行状态。 </w:t>
      </w:r>
    </w:p>
    <w:p w14:paraId="06F0E2D4">
      <w:pPr>
        <w:widowControl/>
        <w:shd w:val="clear"/>
        <w:spacing w:after="0" w:line="240" w:lineRule="auto"/>
        <w:jc w:val="left"/>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合同期内每年提供不少于4次专业保养。投标人须制定详细的维保计划，按照保养计划更换损耗部件，按照厂家标准进行调校，确认各项技术指标及性能，记录设备状况，并提交具体保养项目清单和维护报告。且最后一次保养应予出保前一个月内做。定期的维护保养服务包括：设备的安全检查、影像质量检查、设备清洁保养、性能测试及校准、运行状态检查等。</w:t>
      </w:r>
    </w:p>
    <w:p w14:paraId="32BCD2E2">
      <w:pPr>
        <w:widowControl/>
        <w:shd w:val="clear"/>
        <w:spacing w:after="0" w:line="240" w:lineRule="auto"/>
        <w:jc w:val="left"/>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7.10中标人维修、保养完毕后，向采购人提供维修、保养报告单，并向采购人提供现场故障维修讲解服务。工单须标明报修及维修起止时间。采购人派人进行验收，并在维修工单上签字确认。</w:t>
      </w:r>
    </w:p>
    <w:p w14:paraId="1B5411E6">
      <w:pPr>
        <w:widowControl/>
        <w:shd w:val="clear"/>
        <w:spacing w:after="0" w:line="240" w:lineRule="auto"/>
        <w:jc w:val="left"/>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7.11医院上级主管部门对机器进行性能检测时，中标人须积极协助采购人密切配合有关部门的检测工作，包括检测前对设备进行全面调校，保证各项技术指标符合标准；须配合采购人对有关部门工作人员提出的技术问题进行解答及技术调校。</w:t>
      </w:r>
    </w:p>
    <w:p w14:paraId="0AE99456">
      <w:pPr>
        <w:widowControl/>
        <w:shd w:val="clear"/>
        <w:spacing w:after="0" w:line="240" w:lineRule="auto"/>
        <w:jc w:val="left"/>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7.12技术培训：投标人承诺为采购人提供相应的技术培训，包括原理讲解，故障诊断等，提供可实现承诺的相关资料.</w:t>
      </w:r>
    </w:p>
    <w:p w14:paraId="34684677">
      <w:pPr>
        <w:widowControl/>
        <w:shd w:val="clear"/>
        <w:spacing w:after="0" w:line="240" w:lineRule="auto"/>
        <w:jc w:val="left"/>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 xml:space="preserve">7.13投标人能够提供灵活、快速、优质的维保服务，同时具有应急服务能力及预案。 </w:t>
      </w:r>
    </w:p>
    <w:p w14:paraId="1691A467">
      <w:pPr>
        <w:widowControl/>
        <w:shd w:val="clear"/>
        <w:spacing w:after="0" w:line="240" w:lineRule="auto"/>
        <w:jc w:val="left"/>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▲7.14投标人需具备医疗设备维修资格，并在过去3年内无重大维修事故发生，提供承诺函加盖公章（格式自拟）。</w:t>
      </w:r>
    </w:p>
    <w:p w14:paraId="7D7DDF84">
      <w:pPr>
        <w:widowControl/>
        <w:shd w:val="clear"/>
        <w:spacing w:after="0" w:line="240" w:lineRule="auto"/>
        <w:jc w:val="left"/>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7.15维保结束时必须保证液氦水平达到60%以上。</w:t>
      </w:r>
    </w:p>
    <w:p w14:paraId="5403A1B0">
      <w:pPr>
        <w:widowControl/>
        <w:numPr>
          <w:ilvl w:val="0"/>
          <w:numId w:val="0"/>
        </w:numPr>
        <w:shd w:val="clear"/>
        <w:spacing w:after="0" w:line="240" w:lineRule="auto"/>
        <w:jc w:val="left"/>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8.</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终止条款</w:t>
      </w:r>
    </w:p>
    <w:p w14:paraId="16AEB1DB">
      <w:pPr>
        <w:widowControl/>
        <w:shd w:val="clear"/>
        <w:spacing w:after="0" w:line="240" w:lineRule="auto"/>
        <w:jc w:val="left"/>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8.1维保期间若由于磁体等故障出现无法供应配件或者维修的情况，采购人可选择淘汰设备，同时可以支付相应</w:t>
      </w: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维保服务费后终止该设备维保服务。终止日期以该次故障报修日期为准。</w:t>
      </w:r>
    </w:p>
    <w:p w14:paraId="15BB2347">
      <w:pPr>
        <w:widowControl/>
        <w:shd w:val="clear"/>
        <w:spacing w:after="0" w:line="240" w:lineRule="auto"/>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8.2若设备在保修期内采购人主动提出报废淘汰设备，采购人需以书面形式通知中标人，终止日期以采购人书面函签署日期为准，合同即自动终止；</w:t>
      </w:r>
    </w:p>
    <w:p w14:paraId="42FE9EEA">
      <w:pPr>
        <w:shd w:val="clear"/>
        <w:spacing w:after="0" w:line="240" w:lineRule="auto"/>
        <w:rPr>
          <w:rFonts w:hint="eastAsia" w:asciiTheme="minorEastAsia" w:hAnsiTheme="minorEastAsia" w:eastAsiaTheme="minorEastAsia" w:cstheme="minorEastAsia"/>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8.3保修费用按合同实际履行的时间结算。</w:t>
      </w:r>
    </w:p>
    <w:p w14:paraId="1A87295B">
      <w:pPr>
        <w:shd w:val="clear"/>
        <w:spacing w:after="0" w:line="240" w:lineRule="auto"/>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五、服务质量要求/或技术指标要求</w:t>
      </w:r>
    </w:p>
    <w:p w14:paraId="631DE28B">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维保考核及扣罚：按保养维护考核标准考核：满分100分，表示服务质量达标，采购人全额支付中标人服务费用，每季1次考核。分值低于100分（不含100分）但高于90分（含90分），每分按100元扣减费用（例如当月得分94分，需扣600.00元，如此类推）；分值低于90分（不含90分）但高于85分（含85分），每分按150元扣减费用（例如当月得分88分，需扣1800.00元，如此类推）；分值低于85分但高于75分（含75分），每分按300元扣减费用（例如当月得分84分，需扣4800.00元，如此类推）；考核分值低于75分，每分按600元扣减费用（例如当月得分74分，需扣15600.00元，如此类推）。一年累计2次出现75分以下（不含75分）的，采购人有权终止合同无需承担责任。</w:t>
      </w:r>
    </w:p>
    <w:tbl>
      <w:tblPr>
        <w:tblStyle w:val="24"/>
        <w:tblW w:w="0" w:type="auto"/>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585"/>
        <w:gridCol w:w="7472"/>
        <w:gridCol w:w="1893"/>
      </w:tblGrid>
      <w:tr w14:paraId="7270CE2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0" w:type="auto"/>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5811AA4A">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b/>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val="en-US" w:eastAsia="zh-Hans"/>
                <w14:textFill>
                  <w14:solidFill>
                    <w14:schemeClr w14:val="tx1"/>
                  </w14:solidFill>
                </w14:textFill>
              </w:rPr>
              <w:t>序号</w:t>
            </w:r>
          </w:p>
        </w:tc>
        <w:tc>
          <w:tcPr>
            <w:tcW w:w="0" w:type="auto"/>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78170E0C">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b/>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val="en-US" w:eastAsia="zh-Hans"/>
                <w14:textFill>
                  <w14:solidFill>
                    <w14:schemeClr w14:val="tx1"/>
                  </w14:solidFill>
                </w14:textFill>
              </w:rPr>
              <w:t>内容</w:t>
            </w:r>
          </w:p>
        </w:tc>
        <w:tc>
          <w:tcPr>
            <w:tcW w:w="0" w:type="auto"/>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6F6F06E6">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b/>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val="en-US" w:eastAsia="zh-Hans"/>
                <w14:textFill>
                  <w14:solidFill>
                    <w14:schemeClr w14:val="tx1"/>
                  </w14:solidFill>
                </w14:textFill>
              </w:rPr>
              <w:t>扣分额按每月统计计算</w:t>
            </w:r>
          </w:p>
        </w:tc>
      </w:tr>
      <w:tr w14:paraId="69B3140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D700068">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1</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32ABFE5">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对不能及时维修的故障未能及时与采购人沟通说明</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6D625FD">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每次扣2分</w:t>
            </w:r>
          </w:p>
        </w:tc>
      </w:tr>
      <w:tr w14:paraId="34E61B2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C348719">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2</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2AAC79F">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中标人接到通知后，未能在规定时间内维修人员到达现场处理。</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2DD9274">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每次扣2分</w:t>
            </w:r>
          </w:p>
        </w:tc>
      </w:tr>
      <w:tr w14:paraId="011EB68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D1B56F8">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3</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883F6FC">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已维修的设备未能 15 天进行一次回访及记录</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AC08566">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每次扣10分</w:t>
            </w:r>
          </w:p>
        </w:tc>
      </w:tr>
      <w:tr w14:paraId="1BDA02A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29BCC9F">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4</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7BA9569">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未能对故障维修做详细记录和值班记录</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3A95818">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每次扣2分</w:t>
            </w:r>
          </w:p>
        </w:tc>
      </w:tr>
      <w:tr w14:paraId="5EDF144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24DBE37">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5</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48385EE">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维保过程中，工作不认真，造成设备损坏的</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1E2DEB3">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每次扣10分</w:t>
            </w:r>
          </w:p>
        </w:tc>
      </w:tr>
      <w:tr w14:paraId="0894318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63CF24D">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6</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2A7DDCD">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如在工作过程中，不慎损坏、破坏医院之设施</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E05787E">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每次扣2分</w:t>
            </w:r>
          </w:p>
        </w:tc>
      </w:tr>
      <w:tr w14:paraId="0C42418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E434A4B">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7</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9FC9E10">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着装不整齐，待人不礼貌引起客户投诉</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2A601D1">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每次扣1分</w:t>
            </w:r>
          </w:p>
        </w:tc>
      </w:tr>
      <w:tr w14:paraId="196FC3D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849A3FF">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8</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7DEFF1C">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维保工作完毕后没有及时清理遗留垃圾的</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51B0764">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每次扣1分</w:t>
            </w:r>
          </w:p>
        </w:tc>
      </w:tr>
      <w:tr w14:paraId="2FBF898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8B28DAB">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9</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C1F4C0A">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当其他系统发生故障涉及中标人单位服务范围需要中标人单位提供协助，中标人单位未能及时提供。</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F0CFE52">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每次扣1分</w:t>
            </w:r>
          </w:p>
        </w:tc>
      </w:tr>
    </w:tbl>
    <w:p w14:paraId="18C0DACF">
      <w:pPr>
        <w:shd w:val="clear"/>
        <w:spacing w:after="0" w:line="240" w:lineRule="auto"/>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六、交付使用要求</w:t>
      </w:r>
    </w:p>
    <w:p w14:paraId="78EE4336">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服务期限：签订合同之日起3年</w:t>
      </w:r>
    </w:p>
    <w:p w14:paraId="0FBDBBEA">
      <w:pPr>
        <w:shd w:val="clear"/>
        <w:spacing w:after="0" w:line="240" w:lineRule="auto"/>
        <w:rPr>
          <w:rFonts w:hint="eastAsia" w:asciiTheme="minorEastAsia" w:hAnsiTheme="minorEastAsia" w:eastAsiaTheme="minorEastAsia" w:cstheme="minorEastAsia"/>
          <w:color w:val="000000" w:themeColor="text1"/>
          <w:sz w:val="21"/>
          <w:szCs w:val="21"/>
          <w:highlight w:val="none"/>
          <w:lang w:val="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zh-CN"/>
          <w14:textFill>
            <w14:solidFill>
              <w14:schemeClr w14:val="tx1"/>
            </w14:solidFill>
          </w14:textFill>
        </w:rPr>
        <w:t>服务地点：广州市第一人民医院（广州市越秀区盘福路1号）</w:t>
      </w:r>
    </w:p>
    <w:p w14:paraId="6A36C015">
      <w:pPr>
        <w:shd w:val="clear"/>
        <w:spacing w:after="0" w:line="240" w:lineRule="auto"/>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七、人员要求</w:t>
      </w:r>
    </w:p>
    <w:p w14:paraId="5DF93E94">
      <w:pPr>
        <w:pStyle w:val="9"/>
        <w:shd w:val="clear"/>
        <w:spacing w:after="0" w:line="240" w:lineRule="auto"/>
        <w:ind w:firstLine="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1、中标人指定至少2名经培训的工程师专门负责采购人的设备使用和维护培训工作。如指定工程师有变更，投标人应提前通知采购人相关变更情况。</w:t>
      </w:r>
    </w:p>
    <w:p w14:paraId="5627E73E">
      <w:pPr>
        <w:shd w:val="clear"/>
        <w:spacing w:after="0" w:line="240" w:lineRule="auto"/>
        <w:rPr>
          <w:rFonts w:hint="eastAsia" w:asciiTheme="minorEastAsia" w:hAnsiTheme="minorEastAsia" w:eastAsiaTheme="minorEastAsia" w:cstheme="minorEastAsia"/>
          <w:b w:val="0"/>
          <w:bCs w:val="0"/>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highlight w:val="none"/>
          <w14:textFill>
            <w14:solidFill>
              <w14:schemeClr w14:val="tx1"/>
            </w14:solidFill>
          </w14:textFill>
        </w:rPr>
        <w:t>▲2、投标人需指定原厂工程师或持有厂家培训合格证明的工程师负责本项目。（投标文件中提供工程师名单、联系方式及培训合格的证明文件）。投标人具有服务团队，不得将本项目授权、分包或转包，业绩资质均为投标人自有。投标人应具备专业技术维修队伍，有2名以上接受过相关MR维修培训的在职技术人员，并提供上述工程师原厂认证合格或经过原厂维修培训所获证书复印件及投标截止日期前三个月任一个月工程师在投标人单位的社保证明复印件。所提供的相关培训证明资料复印件如是英文版本的，必须提供中文译本，并加盖投标人公章。</w:t>
      </w:r>
    </w:p>
    <w:p w14:paraId="7FE70B45">
      <w:pPr>
        <w:shd w:val="clear"/>
        <w:spacing w:after="0" w:line="240" w:lineRule="auto"/>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八、培训要求</w:t>
      </w:r>
    </w:p>
    <w:p w14:paraId="7218198A">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（一）培训授课人应是经过厂家培训过具有培训证书工程师、技术员等。</w:t>
      </w:r>
    </w:p>
    <w:p w14:paraId="552C5A65">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（二）中标人应为所有被培训人员提供培训用文字资料和讲义等相关用品。</w:t>
      </w:r>
    </w:p>
    <w:p w14:paraId="5414403F">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（三）培训内容：应提供设备的原理讲解，使用操作安全、基础故障判断等维修技能等内容。</w:t>
      </w:r>
    </w:p>
    <w:p w14:paraId="69EE07E7">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（四）每年免费提供4次以上机器使用维修培训，包括且不限于现场或在线培训。</w:t>
      </w:r>
    </w:p>
    <w:p w14:paraId="2BCC1A49">
      <w:pPr>
        <w:shd w:val="clear"/>
        <w:spacing w:after="0" w:line="240" w:lineRule="auto"/>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九、付款方式</w:t>
      </w:r>
    </w:p>
    <w:p w14:paraId="47467336">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1、付款方式：银行转账。</w:t>
      </w:r>
    </w:p>
    <w:p w14:paraId="115D787B">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2、付款结算周期：先服务后付款。每半年支付当年合同款的50%。开具发票同时提交半年维保情况总结，经采购人确认后方予结算。</w:t>
      </w:r>
    </w:p>
    <w:p w14:paraId="34BCB552">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3、（1）先服务后付款，即服务每满半年后，自中小企业收到发票后5个工作日内支付当期服务费。（2）支付方式采用银行转账支付。</w:t>
      </w:r>
    </w:p>
    <w:p w14:paraId="1E569253">
      <w:pPr>
        <w:pStyle w:val="9"/>
        <w:shd w:val="clear"/>
        <w:spacing w:after="0" w:line="240" w:lineRule="auto"/>
        <w:ind w:firstLine="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十、验收要求</w:t>
      </w:r>
    </w:p>
    <w:p w14:paraId="1DDE2751">
      <w:pPr>
        <w:pStyle w:val="9"/>
        <w:shd w:val="clear"/>
        <w:spacing w:after="0" w:line="240" w:lineRule="auto"/>
        <w:ind w:firstLine="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须提供服务期内的经院方相关人员签字确认的维保维修记录报告。</w:t>
      </w:r>
    </w:p>
    <w:p w14:paraId="0BB1A5A0">
      <w:pPr>
        <w:pStyle w:val="9"/>
        <w:shd w:val="clear"/>
        <w:spacing w:after="0" w:line="240" w:lineRule="auto"/>
        <w:ind w:firstLine="0"/>
        <w:rPr>
          <w:rFonts w:hint="eastAsia" w:asciiTheme="minorEastAsia" w:hAnsiTheme="minorEastAsia" w:eastAsiaTheme="minorEastAsia" w:cstheme="minorEastAsia"/>
          <w:b/>
          <w:bCs/>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十一、其他要求</w:t>
      </w:r>
    </w:p>
    <w:p w14:paraId="1B089F5B">
      <w:pPr>
        <w:pStyle w:val="10"/>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投标文件中需提供包括但不限于：服务工作目标、内容及方案；工作人员培训及管理方案、拟投入项目人员服务质量考核方案、对突发事件的应急服务预案；机构设立及运作流程、管理计划的方案等。</w:t>
      </w:r>
    </w:p>
    <w:p w14:paraId="239C7DD4">
      <w:pPr>
        <w:pStyle w:val="70"/>
        <w:shd w:val="clear"/>
        <w:spacing w:after="0" w:line="240" w:lineRule="auto"/>
        <w:jc w:val="both"/>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25CF561D">
      <w:pPr>
        <w:pStyle w:val="70"/>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344EF69A">
      <w:pPr>
        <w:pStyle w:val="70"/>
        <w:shd w:val="clear"/>
        <w:spacing w:after="0" w:line="240" w:lineRule="auto"/>
        <w:jc w:val="cente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包3：</w:t>
      </w: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西门子DSA设备维保服务</w:t>
      </w:r>
    </w:p>
    <w:p w14:paraId="49B93A02">
      <w:pPr>
        <w:pStyle w:val="9"/>
        <w:shd w:val="clear"/>
        <w:spacing w:after="0" w:line="240" w:lineRule="auto"/>
        <w:ind w:firstLine="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一、项目概述</w:t>
      </w:r>
    </w:p>
    <w:p w14:paraId="294DF5DC">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本项目为广州市第一人民医院西门子DSA影像设备维修保养服务。投标人必须按国家、行业的标准及招标文件的要求对项目内的设备进行系统的、全面的检测、维护及保养，以保证设备的高效、正常运作。</w:t>
      </w:r>
    </w:p>
    <w:p w14:paraId="451C059E">
      <w:pPr>
        <w:pStyle w:val="9"/>
        <w:shd w:val="clear"/>
        <w:spacing w:after="0" w:line="240" w:lineRule="auto"/>
        <w:ind w:firstLine="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二、项目内容</w:t>
      </w:r>
    </w:p>
    <w:p w14:paraId="2B9471AB">
      <w:pPr>
        <w:shd w:val="clear"/>
        <w:tabs>
          <w:tab w:val="left" w:pos="709"/>
        </w:tabs>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1.采购内容：广州市第一人民医院DSA 2台全保（不含球管、不含平板探测器）</w:t>
      </w:r>
    </w:p>
    <w:tbl>
      <w:tblPr>
        <w:tblStyle w:val="25"/>
        <w:tblW w:w="9075" w:type="dxa"/>
        <w:tblInd w:w="-1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1368"/>
        <w:gridCol w:w="1125"/>
        <w:gridCol w:w="1335"/>
        <w:gridCol w:w="708"/>
        <w:gridCol w:w="851"/>
        <w:gridCol w:w="2881"/>
      </w:tblGrid>
      <w:tr w14:paraId="6F64C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807" w:type="dxa"/>
            <w:vAlign w:val="center"/>
          </w:tcPr>
          <w:p w14:paraId="32737D78">
            <w:pPr>
              <w:shd w:val="clear"/>
              <w:tabs>
                <w:tab w:val="left" w:pos="567"/>
              </w:tabs>
              <w:autoSpaceDE w:val="0"/>
              <w:autoSpaceDN w:val="0"/>
              <w:spacing w:after="0" w:line="240" w:lineRule="auto"/>
              <w:jc w:val="center"/>
              <w:textAlignment w:val="bottom"/>
              <w:outlineLvl w:val="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产品</w:t>
            </w:r>
          </w:p>
        </w:tc>
        <w:tc>
          <w:tcPr>
            <w:tcW w:w="1368" w:type="dxa"/>
            <w:vAlign w:val="center"/>
          </w:tcPr>
          <w:p w14:paraId="59E9C26E">
            <w:pPr>
              <w:shd w:val="clear"/>
              <w:tabs>
                <w:tab w:val="left" w:pos="567"/>
              </w:tabs>
              <w:autoSpaceDE w:val="0"/>
              <w:autoSpaceDN w:val="0"/>
              <w:spacing w:after="0" w:line="240" w:lineRule="auto"/>
              <w:jc w:val="center"/>
              <w:textAlignment w:val="bottom"/>
              <w:outlineLvl w:val="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型号</w:t>
            </w:r>
          </w:p>
        </w:tc>
        <w:tc>
          <w:tcPr>
            <w:tcW w:w="1125" w:type="dxa"/>
            <w:vAlign w:val="center"/>
          </w:tcPr>
          <w:p w14:paraId="7CFFD00D">
            <w:pPr>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Serial</w:t>
            </w:r>
          </w:p>
        </w:tc>
        <w:tc>
          <w:tcPr>
            <w:tcW w:w="1335" w:type="dxa"/>
            <w:vAlign w:val="center"/>
          </w:tcPr>
          <w:p w14:paraId="067FBDFA">
            <w:pPr>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安装日期</w:t>
            </w:r>
          </w:p>
        </w:tc>
        <w:tc>
          <w:tcPr>
            <w:tcW w:w="708" w:type="dxa"/>
            <w:vAlign w:val="center"/>
          </w:tcPr>
          <w:p w14:paraId="73739AD8">
            <w:pPr>
              <w:shd w:val="clear"/>
              <w:snapToGrid w:val="0"/>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保修类型</w:t>
            </w:r>
          </w:p>
        </w:tc>
        <w:tc>
          <w:tcPr>
            <w:tcW w:w="851" w:type="dxa"/>
            <w:vAlign w:val="center"/>
          </w:tcPr>
          <w:p w14:paraId="5B3BCD82">
            <w:pPr>
              <w:shd w:val="clear"/>
              <w:snapToGrid w:val="0"/>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预算</w:t>
            </w:r>
          </w:p>
          <w:p w14:paraId="3DACFC45">
            <w:pPr>
              <w:shd w:val="clear"/>
              <w:snapToGrid w:val="0"/>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（万元）</w:t>
            </w:r>
          </w:p>
        </w:tc>
        <w:tc>
          <w:tcPr>
            <w:tcW w:w="2881" w:type="dxa"/>
            <w:vAlign w:val="center"/>
          </w:tcPr>
          <w:p w14:paraId="7B64C39D">
            <w:pPr>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备注</w:t>
            </w:r>
          </w:p>
        </w:tc>
      </w:tr>
      <w:tr w14:paraId="79013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07" w:type="dxa"/>
            <w:vAlign w:val="center"/>
          </w:tcPr>
          <w:p w14:paraId="1B5890D6">
            <w:pPr>
              <w:shd w:val="clear"/>
              <w:snapToGrid w:val="0"/>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DSA</w:t>
            </w:r>
          </w:p>
        </w:tc>
        <w:tc>
          <w:tcPr>
            <w:tcW w:w="1368" w:type="dxa"/>
            <w:vAlign w:val="center"/>
          </w:tcPr>
          <w:p w14:paraId="1FACC0F0">
            <w:pPr>
              <w:shd w:val="clear"/>
              <w:snapToGrid w:val="0"/>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Artis zee ceiling</w:t>
            </w:r>
          </w:p>
        </w:tc>
        <w:tc>
          <w:tcPr>
            <w:tcW w:w="1125" w:type="dxa"/>
            <w:vAlign w:val="center"/>
          </w:tcPr>
          <w:p w14:paraId="639C8185">
            <w:pPr>
              <w:shd w:val="clear"/>
              <w:snapToGrid w:val="0"/>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106049</w:t>
            </w:r>
          </w:p>
        </w:tc>
        <w:tc>
          <w:tcPr>
            <w:tcW w:w="1335" w:type="dxa"/>
            <w:vAlign w:val="center"/>
          </w:tcPr>
          <w:p w14:paraId="2E6787E1">
            <w:pPr>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2014-10-23</w:t>
            </w:r>
          </w:p>
        </w:tc>
        <w:tc>
          <w:tcPr>
            <w:tcW w:w="708" w:type="dxa"/>
            <w:vAlign w:val="center"/>
          </w:tcPr>
          <w:p w14:paraId="62E1B57D">
            <w:pPr>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全保</w:t>
            </w:r>
          </w:p>
        </w:tc>
        <w:tc>
          <w:tcPr>
            <w:tcW w:w="851" w:type="dxa"/>
            <w:vMerge w:val="restart"/>
            <w:vAlign w:val="center"/>
          </w:tcPr>
          <w:p w14:paraId="07E182B9">
            <w:pPr>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168</w:t>
            </w:r>
          </w:p>
        </w:tc>
        <w:tc>
          <w:tcPr>
            <w:tcW w:w="2881" w:type="dxa"/>
            <w:vAlign w:val="center"/>
          </w:tcPr>
          <w:p w14:paraId="3C0D248E">
            <w:pPr>
              <w:shd w:val="clear"/>
              <w:snapToGrid w:val="0"/>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不含球管、平板探测器，含工作站 System syngo X-WP（SN:15174）保修</w:t>
            </w:r>
          </w:p>
        </w:tc>
      </w:tr>
      <w:tr w14:paraId="10986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vAlign w:val="center"/>
          </w:tcPr>
          <w:p w14:paraId="63E46228">
            <w:pPr>
              <w:shd w:val="clear"/>
              <w:tabs>
                <w:tab w:val="left" w:pos="567"/>
              </w:tabs>
              <w:autoSpaceDE w:val="0"/>
              <w:autoSpaceDN w:val="0"/>
              <w:spacing w:after="0" w:line="240" w:lineRule="auto"/>
              <w:jc w:val="center"/>
              <w:textAlignment w:val="bottom"/>
              <w:outlineLvl w:val="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DSA</w:t>
            </w:r>
          </w:p>
        </w:tc>
        <w:tc>
          <w:tcPr>
            <w:tcW w:w="1368" w:type="dxa"/>
            <w:vAlign w:val="center"/>
          </w:tcPr>
          <w:p w14:paraId="696ABD4C">
            <w:pPr>
              <w:shd w:val="clear"/>
              <w:tabs>
                <w:tab w:val="left" w:pos="567"/>
              </w:tabs>
              <w:autoSpaceDE w:val="0"/>
              <w:autoSpaceDN w:val="0"/>
              <w:spacing w:after="0" w:line="240" w:lineRule="auto"/>
              <w:jc w:val="center"/>
              <w:textAlignment w:val="bottom"/>
              <w:outlineLvl w:val="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Artis Q ceiling</w:t>
            </w:r>
          </w:p>
        </w:tc>
        <w:tc>
          <w:tcPr>
            <w:tcW w:w="1125" w:type="dxa"/>
            <w:vAlign w:val="center"/>
          </w:tcPr>
          <w:p w14:paraId="111B4498">
            <w:pPr>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109954</w:t>
            </w:r>
          </w:p>
        </w:tc>
        <w:tc>
          <w:tcPr>
            <w:tcW w:w="1335" w:type="dxa"/>
            <w:vAlign w:val="center"/>
          </w:tcPr>
          <w:p w14:paraId="31F4401F">
            <w:pPr>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2021-10-01</w:t>
            </w:r>
          </w:p>
        </w:tc>
        <w:tc>
          <w:tcPr>
            <w:tcW w:w="708" w:type="dxa"/>
            <w:vAlign w:val="center"/>
          </w:tcPr>
          <w:p w14:paraId="47650BBF">
            <w:pPr>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全保</w:t>
            </w:r>
          </w:p>
        </w:tc>
        <w:tc>
          <w:tcPr>
            <w:tcW w:w="851" w:type="dxa"/>
            <w:vMerge w:val="continue"/>
            <w:vAlign w:val="center"/>
          </w:tcPr>
          <w:p w14:paraId="00E65CE3">
            <w:pPr>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2881" w:type="dxa"/>
            <w:vAlign w:val="center"/>
          </w:tcPr>
          <w:p w14:paraId="3354F370">
            <w:pPr>
              <w:shd w:val="clear"/>
              <w:snapToGrid w:val="0"/>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不含球管、平板探测器，含工作站（ AX Application Software SYS）保修</w:t>
            </w:r>
          </w:p>
        </w:tc>
      </w:tr>
    </w:tbl>
    <w:p w14:paraId="26CFA05D">
      <w:pPr>
        <w:shd w:val="clear"/>
        <w:tabs>
          <w:tab w:val="left" w:pos="709"/>
        </w:tabs>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2.项目实施地点：设备安装所在地</w:t>
      </w:r>
    </w:p>
    <w:p w14:paraId="0F70B983">
      <w:pPr>
        <w:shd w:val="clear"/>
        <w:tabs>
          <w:tab w:val="left" w:pos="709"/>
        </w:tabs>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3.维修保养内容：整机全保，含定期预防性保养、故障维修、安全检查、安全升级，含所有人工费、差旅费、以及整机常规配件的故障更换，</w:t>
      </w: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含远程技术支持，设备制造商原厂智能远程系统服务，</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不含特殊元件（球管、探测器），不含其他第三方产品及后安装产品。为提升手术图像的获取，延长图像在线保存时间，为采购人提供Artis Q ceiling主机设备图像存储容量增加到10W张的服务，相关费用已包含在维保费用中。</w:t>
      </w:r>
    </w:p>
    <w:p w14:paraId="5CFD38E2">
      <w:pPr>
        <w:shd w:val="clear"/>
        <w:tabs>
          <w:tab w:val="left" w:pos="709"/>
        </w:tabs>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4.所有设备维修保养服务年限：36个月。</w:t>
      </w:r>
    </w:p>
    <w:p w14:paraId="71D0EDE3">
      <w:pPr>
        <w:pStyle w:val="9"/>
        <w:shd w:val="clear"/>
        <w:spacing w:after="0" w:line="240" w:lineRule="auto"/>
        <w:ind w:firstLine="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三、投标人商务要求</w:t>
      </w:r>
    </w:p>
    <w:p w14:paraId="31258D4E">
      <w:pPr>
        <w:shd w:val="clear"/>
        <w:tabs>
          <w:tab w:val="left" w:pos="709"/>
        </w:tabs>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投标人资质保障：具有维修保养本项目维保设备的服务资质保障，确保维保设备在使用过程中的安全性和有效性，保证长期稳定运行。需提供服务实施方案如原制造厂商或原厂指定的维修授权，或有技术合作协议的单位，或有设备制造厂商颁发的技术资质证明（投标文件提供相应证明材料）</w:t>
      </w:r>
    </w:p>
    <w:p w14:paraId="119EB726">
      <w:pPr>
        <w:shd w:val="clear"/>
        <w:tabs>
          <w:tab w:val="left" w:pos="709"/>
        </w:tabs>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零配件的合法保障：国内设有至少1家保税库或是其他管理规范的零备件仓库，至少有存放DSA的各常规配件以及主要核心配件（存有DSA的全新球管、高压、探测器等重要配件），并且仓库面积具备一定的存管能力及规模，以确保配件的存储充分保障及调发配件保障(投标文件提供相应证明材料包括：租赁合同，并附仓库平面图，零配件来源文件及配件存放照片等)</w:t>
      </w:r>
    </w:p>
    <w:p w14:paraId="3A2DBD83">
      <w:pPr>
        <w:shd w:val="clear"/>
        <w:tabs>
          <w:tab w:val="left" w:pos="709"/>
        </w:tabs>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r>
        <w:rPr>
          <w:rStyle w:val="79"/>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设备性能保证：设备维保后，</w:t>
      </w:r>
      <w:r>
        <w:rPr>
          <w:rFonts w:hint="eastAsia" w:asciiTheme="minorEastAsia" w:hAnsiTheme="minorEastAsia" w:eastAsiaTheme="minorEastAsia" w:cstheme="minorEastAsia"/>
          <w:color w:val="000000" w:themeColor="text1"/>
          <w:kern w:val="0"/>
          <w:sz w:val="21"/>
          <w:szCs w:val="21"/>
          <w:highlight w:val="none"/>
          <w14:textFill>
            <w14:solidFill>
              <w14:schemeClr w14:val="tx1"/>
            </w14:solidFill>
          </w14:textFill>
        </w:rPr>
        <w:t>保证设备的技术参数符合原机数据，所提供的配件整体无污染，无侵权行为、表面无划损、无任何缺陷隐患，在中国境内可依常规安全合法使用，保证维保后设备的技术参数符合或优于原机数据，且满足国家医疗器械管理及注册证要求。（投标文件需提供零配件原厂供应证明或其他正规供应渠道证明，同时加上述书面承诺函并加盖公章）</w:t>
      </w:r>
    </w:p>
    <w:p w14:paraId="3A371B77">
      <w:pPr>
        <w:shd w:val="clear"/>
        <w:tabs>
          <w:tab w:val="left" w:pos="709"/>
        </w:tabs>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4.维修零配件：投标人必须书面承诺，用于保养及维修中需更换的备件</w:t>
      </w:r>
      <w:r>
        <w:rPr>
          <w:rFonts w:hint="eastAsia" w:asciiTheme="minorEastAsia" w:hAnsiTheme="minorEastAsia" w:eastAsiaTheme="minorEastAsia" w:cstheme="minorEastAsia"/>
          <w:color w:val="000000" w:themeColor="text1"/>
          <w:kern w:val="0"/>
          <w:sz w:val="21"/>
          <w:szCs w:val="21"/>
          <w:highlight w:val="none"/>
          <w14:textFill>
            <w14:solidFill>
              <w14:schemeClr w14:val="tx1"/>
            </w14:solidFill>
          </w14:textFill>
        </w:rPr>
        <w:t>必须为原厂未开封备件，</w:t>
      </w:r>
      <w:r>
        <w:rPr>
          <w:rStyle w:val="79"/>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不能使用二手及淘汰的配件，</w:t>
      </w:r>
      <w:r>
        <w:rPr>
          <w:rFonts w:hint="eastAsia" w:asciiTheme="minorEastAsia" w:hAnsiTheme="minorEastAsia" w:eastAsiaTheme="minorEastAsia" w:cstheme="minorEastAsia"/>
          <w:color w:val="000000" w:themeColor="text1"/>
          <w:kern w:val="0"/>
          <w:sz w:val="21"/>
          <w:szCs w:val="21"/>
          <w:highlight w:val="none"/>
          <w14:textFill>
            <w14:solidFill>
              <w14:schemeClr w14:val="tx1"/>
            </w14:solidFill>
          </w14:textFill>
        </w:rPr>
        <w:t>满足医疗器械法律法规管理要求，</w:t>
      </w:r>
      <w:r>
        <w:rPr>
          <w:rStyle w:val="79"/>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配件序列号可溯源查证，可到设备原制造厂商的热线系统可查。</w:t>
      </w:r>
      <w:r>
        <w:rPr>
          <w:rStyle w:val="79"/>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（承诺函格式自拟）</w:t>
      </w:r>
    </w:p>
    <w:p w14:paraId="633A29C4">
      <w:pPr>
        <w:shd w:val="clear"/>
        <w:tabs>
          <w:tab w:val="left" w:pos="709"/>
        </w:tabs>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▲5.业绩经验证明：投标人具备与本项目维保设备同品牌DSA产品的工作经验，以确保能熟练故障检修、分析、判断的能力。</w:t>
      </w:r>
    </w:p>
    <w:p w14:paraId="3AF7A2C4">
      <w:pPr>
        <w:shd w:val="clear"/>
        <w:tabs>
          <w:tab w:val="left" w:pos="709"/>
        </w:tabs>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5.投标人管理认证：投标人应保障公司管理规范、合规，投标人具有国际上医疗器械质量控制有关的管理体系认证证书（提供有效期内的认证文件扫描件）。</w:t>
      </w:r>
    </w:p>
    <w:p w14:paraId="0FB9965A">
      <w:pPr>
        <w:pStyle w:val="9"/>
        <w:shd w:val="clear"/>
        <w:spacing w:after="0" w:line="240" w:lineRule="auto"/>
        <w:ind w:firstLine="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val="en-US" w:eastAsia="zh-CN"/>
          <w14:textFill>
            <w14:solidFill>
              <w14:schemeClr w14:val="tx1"/>
            </w14:solidFill>
          </w14:textFill>
        </w:rPr>
        <w:t>四、项目技术要求:</w:t>
      </w: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 xml:space="preserve"> </w:t>
      </w:r>
    </w:p>
    <w:p w14:paraId="257687D6">
      <w:pPr>
        <w:shd w:val="clear"/>
        <w:tabs>
          <w:tab w:val="left" w:pos="709"/>
        </w:tabs>
        <w:spacing w:after="0" w:line="240" w:lineRule="auto"/>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1.安全检查：按照厂家设备标准及当地规定执行。</w:t>
      </w:r>
    </w:p>
    <w:p w14:paraId="26CA60DE">
      <w:pPr>
        <w:shd w:val="clear"/>
        <w:tabs>
          <w:tab w:val="left" w:pos="568"/>
        </w:tabs>
        <w:spacing w:after="0" w:line="240" w:lineRule="auto"/>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1.1制定检查计划；</w:t>
      </w:r>
    </w:p>
    <w:p w14:paraId="4C9872A5">
      <w:pPr>
        <w:shd w:val="clear"/>
        <w:tabs>
          <w:tab w:val="left" w:pos="568"/>
        </w:tabs>
        <w:spacing w:after="0" w:line="240" w:lineRule="auto"/>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1.2机械安全检查；</w:t>
      </w:r>
      <w:bookmarkStart w:id="3" w:name="_GoBack"/>
      <w:bookmarkEnd w:id="3"/>
    </w:p>
    <w:p w14:paraId="7DABAD16">
      <w:pPr>
        <w:shd w:val="clear"/>
        <w:tabs>
          <w:tab w:val="left" w:pos="568"/>
        </w:tabs>
        <w:spacing w:after="0" w:line="240" w:lineRule="auto"/>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1.3电气安全检查；</w:t>
      </w:r>
    </w:p>
    <w:p w14:paraId="40AB071F">
      <w:pPr>
        <w:shd w:val="clear"/>
        <w:tabs>
          <w:tab w:val="left" w:pos="568"/>
        </w:tabs>
        <w:spacing w:after="0" w:line="240" w:lineRule="auto"/>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1.4记录检查结果。</w:t>
      </w:r>
    </w:p>
    <w:p w14:paraId="18624F5D">
      <w:pPr>
        <w:shd w:val="clear"/>
        <w:tabs>
          <w:tab w:val="left" w:pos="568"/>
        </w:tabs>
        <w:spacing w:after="0" w:line="240" w:lineRule="auto"/>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1.5安全升级必须在原厂规定的升级文件规定时间内完成，并在升级完成后提供原厂升级文件及工作记录。</w:t>
      </w:r>
    </w:p>
    <w:p w14:paraId="576A97A1">
      <w:pPr>
        <w:shd w:val="clear"/>
        <w:tabs>
          <w:tab w:val="left" w:pos="709"/>
        </w:tabs>
        <w:spacing w:after="0" w:line="240" w:lineRule="auto"/>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2.预防性保养：按照保养计划提供，每年提供两次专业保养，以保证设备处于最佳运行状态。</w:t>
      </w:r>
    </w:p>
    <w:p w14:paraId="59269C84">
      <w:pPr>
        <w:shd w:val="clear"/>
        <w:spacing w:after="0" w:line="240" w:lineRule="auto"/>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2.1记录并安排保养时间；</w:t>
      </w:r>
    </w:p>
    <w:p w14:paraId="248B2871">
      <w:pPr>
        <w:shd w:val="clear"/>
        <w:spacing w:after="0" w:line="240" w:lineRule="auto"/>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2.2按照保养计划更换损耗部件；</w:t>
      </w:r>
    </w:p>
    <w:p w14:paraId="54EE873B">
      <w:pPr>
        <w:shd w:val="clear"/>
        <w:spacing w:after="0" w:line="240" w:lineRule="auto"/>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2.3检测；</w:t>
      </w:r>
    </w:p>
    <w:p w14:paraId="0FA22065">
      <w:pPr>
        <w:shd w:val="clear"/>
        <w:spacing w:after="0" w:line="240" w:lineRule="auto"/>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2.4按照厂家标准进行调校；</w:t>
      </w:r>
    </w:p>
    <w:p w14:paraId="6DDD307A">
      <w:pPr>
        <w:shd w:val="clear"/>
        <w:spacing w:after="0" w:line="240" w:lineRule="auto"/>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2.5确认各项技术指标及性能；</w:t>
      </w:r>
    </w:p>
    <w:p w14:paraId="1FD1CD6A">
      <w:pPr>
        <w:shd w:val="clear"/>
        <w:spacing w:after="0" w:line="240" w:lineRule="auto"/>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2.6记录设备状况；</w:t>
      </w:r>
    </w:p>
    <w:p w14:paraId="626A33E3">
      <w:pPr>
        <w:shd w:val="clear"/>
        <w:spacing w:after="0" w:line="240" w:lineRule="auto"/>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2.7提供设备原厂保养内容清单。</w:t>
      </w:r>
    </w:p>
    <w:p w14:paraId="59556F83">
      <w:pPr>
        <w:shd w:val="clear"/>
        <w:tabs>
          <w:tab w:val="left" w:pos="709"/>
        </w:tabs>
        <w:spacing w:after="0" w:line="240" w:lineRule="auto"/>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3.预防性保养损耗品：预防性保养中视设备耗损进行更换保养损耗品。</w:t>
      </w:r>
    </w:p>
    <w:p w14:paraId="72DF6786">
      <w:pPr>
        <w:shd w:val="clear"/>
        <w:tabs>
          <w:tab w:val="left" w:pos="709"/>
        </w:tabs>
        <w:spacing w:after="0" w:line="240" w:lineRule="auto"/>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4.开机率：在合同期内保证95%的开机率，（停机时间少于5%）按一年365日计算。如果此开机率由于中标人原因未能达到，对于开机率低于95%时的每一个开机日,合同期限将相应延长3个日历日。</w:t>
      </w:r>
    </w:p>
    <w:p w14:paraId="489A513D">
      <w:pPr>
        <w:shd w:val="clear"/>
        <w:adjustRightInd w:val="0"/>
        <w:snapToGrid w:val="0"/>
        <w:spacing w:after="0" w:line="240" w:lineRule="auto"/>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5 .热线服务：全国范围内开通400免费热线电话为采购人快速诊断和技术支持服务。全年365 天24小时开通，并且专人接听，保修期间工作日内接到故障报修电话后， 1小时内电话响应， 24小时内到达现场。</w:t>
      </w:r>
    </w:p>
    <w:p w14:paraId="6D9D1904">
      <w:pPr>
        <w:shd w:val="clear"/>
        <w:tabs>
          <w:tab w:val="left" w:pos="709"/>
        </w:tabs>
        <w:spacing w:after="0" w:line="240" w:lineRule="auto"/>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6.工时：包含在保修合同期内所需的人工费用，采购人享受优先派工，节假日加班免费。</w:t>
      </w:r>
    </w:p>
    <w:p w14:paraId="2977FAE0">
      <w:pPr>
        <w:shd w:val="clear"/>
        <w:tabs>
          <w:tab w:val="left" w:pos="709"/>
        </w:tabs>
        <w:spacing w:after="0" w:line="240" w:lineRule="auto"/>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7.备件</w:t>
      </w:r>
    </w:p>
    <w:p w14:paraId="234029A7">
      <w:pPr>
        <w:shd w:val="clear"/>
        <w:spacing w:after="0" w:line="240" w:lineRule="auto"/>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7.1提供保修所需的备件（所有产品的其他第三方的产品及后安装产品除外），备件供应要及时、充足。</w:t>
      </w:r>
    </w:p>
    <w:p w14:paraId="4CD01DBF">
      <w:pPr>
        <w:shd w:val="clear"/>
        <w:spacing w:after="0" w:line="240" w:lineRule="auto"/>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7.2备件必须是原厂未拆封备件。如提供的其它非原厂产品及服务必须符合国家法律法规，从有资质的服务厂家授权的正规渠道获得。</w:t>
      </w:r>
    </w:p>
    <w:p w14:paraId="17F9B510">
      <w:pPr>
        <w:shd w:val="clear"/>
        <w:spacing w:after="0" w:line="240" w:lineRule="auto"/>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7.3优先为采购人运送零配件。</w:t>
      </w:r>
    </w:p>
    <w:p w14:paraId="37FFFB6D">
      <w:pPr>
        <w:shd w:val="clear"/>
        <w:spacing w:after="0" w:line="240" w:lineRule="auto"/>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7.4收回更换下来的不良部件。</w:t>
      </w:r>
    </w:p>
    <w:p w14:paraId="755CE927">
      <w:pPr>
        <w:shd w:val="clear"/>
        <w:spacing w:after="0" w:line="240" w:lineRule="auto"/>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8.远程连接：提供基于设备嵌入式远程连接方案的实时远程服务，以保证维修的及时性。</w:t>
      </w:r>
    </w:p>
    <w:p w14:paraId="3EDF6DC4">
      <w:pPr>
        <w:shd w:val="clear"/>
        <w:tabs>
          <w:tab w:val="left" w:pos="709"/>
        </w:tabs>
        <w:spacing w:after="0" w:line="240" w:lineRule="auto"/>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9.高级诊断：投标人必须在整个</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维保期</w:t>
      </w: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内都能合法获得原厂高级故障诊断软件的诊断维修钥匙（service key）,并保证不违反国家有关知识产权的法律规定，并做出相应书面承诺。</w:t>
      </w:r>
    </w:p>
    <w:p w14:paraId="3BDBDF00">
      <w:pPr>
        <w:shd w:val="clear"/>
        <w:tabs>
          <w:tab w:val="left" w:pos="709"/>
        </w:tabs>
        <w:spacing w:after="0" w:line="240" w:lineRule="auto"/>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▲10.</w:t>
      </w:r>
      <w:r>
        <w:rPr>
          <w:rStyle w:val="79"/>
          <w:rFonts w:hint="eastAsia" w:asciiTheme="minorEastAsia" w:hAnsiTheme="minorEastAsia" w:eastAsiaTheme="minorEastAsia" w:cstheme="minorEastAsia"/>
          <w:bCs/>
          <w:color w:val="000000" w:themeColor="text1"/>
          <w:sz w:val="21"/>
          <w:szCs w:val="21"/>
          <w:highlight w:val="none"/>
          <w:shd w:val="clear" w:color="auto" w:fill="FFFFFF"/>
          <w14:textFill>
            <w14:solidFill>
              <w14:schemeClr w14:val="tx1"/>
            </w14:solidFill>
          </w14:textFill>
        </w:rPr>
        <w:t>系统安全：严格遵守国家药品监督管理局医疗器械相关条款，不得改装原设备软硬件，不得安装盗版或低版本系统，提供系统安全软件补丁，免费添加原厂系统安全软件补丁，可选择通过智能远程系统达到快速同步原厂最新的软件升级包，使系统实时运行稳定。</w:t>
      </w:r>
      <w:r>
        <w:rPr>
          <w:rStyle w:val="80"/>
          <w:rFonts w:hint="eastAsia" w:asciiTheme="minorEastAsia" w:hAnsiTheme="minorEastAsia" w:eastAsiaTheme="minorEastAsia" w:cstheme="minorEastAsia"/>
          <w:bCs/>
          <w:color w:val="000000" w:themeColor="text1"/>
          <w:sz w:val="21"/>
          <w:szCs w:val="21"/>
          <w:highlight w:val="none"/>
          <w:shd w:val="clear" w:color="auto" w:fill="FFFFFF"/>
          <w14:textFill>
            <w14:solidFill>
              <w14:schemeClr w14:val="tx1"/>
            </w14:solidFill>
          </w14:textFill>
        </w:rPr>
        <w:t> </w:t>
      </w: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（投标文件提供</w:t>
      </w:r>
      <w:r>
        <w:rPr>
          <w:rFonts w:hint="eastAsia" w:asciiTheme="minorEastAsia" w:hAnsiTheme="minorEastAsia" w:eastAsiaTheme="minorEastAsia" w:cstheme="minorEastAsia"/>
          <w:bCs/>
          <w:color w:val="000000" w:themeColor="text1"/>
          <w:kern w:val="0"/>
          <w:sz w:val="21"/>
          <w:szCs w:val="21"/>
          <w:highlight w:val="none"/>
          <w14:textFill>
            <w14:solidFill>
              <w14:schemeClr w14:val="tx1"/>
            </w14:solidFill>
          </w14:textFill>
        </w:rPr>
        <w:t>上述书面承诺函并加盖公章）</w:t>
      </w:r>
    </w:p>
    <w:p w14:paraId="044F9A7E">
      <w:pPr>
        <w:shd w:val="clear"/>
        <w:spacing w:after="0" w:line="240" w:lineRule="auto"/>
        <w:rPr>
          <w:rStyle w:val="79"/>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11.</w:t>
      </w:r>
      <w:r>
        <w:rPr>
          <w:rStyle w:val="79"/>
          <w:rFonts w:hint="eastAsia" w:asciiTheme="minorEastAsia" w:hAnsiTheme="minorEastAsia" w:eastAsiaTheme="minorEastAsia" w:cstheme="minorEastAsia"/>
          <w:bCs/>
          <w:color w:val="000000" w:themeColor="text1"/>
          <w:sz w:val="21"/>
          <w:szCs w:val="21"/>
          <w:highlight w:val="none"/>
          <w:shd w:val="clear" w:color="auto" w:fill="FFFFFF"/>
          <w14:textFill>
            <w14:solidFill>
              <w14:schemeClr w14:val="tx1"/>
            </w14:solidFill>
          </w14:textFill>
        </w:rPr>
        <w:t>安全升级：安全升级必须在原厂规定的升级文件规定时间内完成，并在升级完成后提供原厂升级文件及工作记录。</w:t>
      </w:r>
    </w:p>
    <w:p w14:paraId="28E907CE">
      <w:pPr>
        <w:shd w:val="clear"/>
        <w:tabs>
          <w:tab w:val="left" w:pos="709"/>
        </w:tabs>
        <w:spacing w:after="0" w:line="240" w:lineRule="auto"/>
        <w:rPr>
          <w:rStyle w:val="79"/>
          <w:rFonts w:hint="eastAsia" w:asciiTheme="minorEastAsia" w:hAnsiTheme="minorEastAsia" w:eastAsiaTheme="minorEastAsia" w:cstheme="minorEastAsia"/>
          <w:bCs/>
          <w:color w:val="000000" w:themeColor="text1"/>
          <w:sz w:val="21"/>
          <w:szCs w:val="21"/>
          <w:highlight w:val="none"/>
          <w:shd w:val="clear" w:color="auto" w:fill="FFFFFF"/>
          <w14:textFill>
            <w14:solidFill>
              <w14:schemeClr w14:val="tx1"/>
            </w14:solidFill>
          </w14:textFill>
        </w:rPr>
      </w:pPr>
      <w:r>
        <w:rPr>
          <w:rStyle w:val="79"/>
          <w:rFonts w:hint="eastAsia" w:asciiTheme="minorEastAsia" w:hAnsiTheme="minorEastAsia" w:eastAsiaTheme="minorEastAsia" w:cstheme="minorEastAsia"/>
          <w:bCs/>
          <w:color w:val="000000" w:themeColor="text1"/>
          <w:sz w:val="21"/>
          <w:szCs w:val="21"/>
          <w:highlight w:val="none"/>
          <w:shd w:val="clear" w:color="auto" w:fill="FFFFFF"/>
          <w14:textFill>
            <w14:solidFill>
              <w14:schemeClr w14:val="tx1"/>
            </w14:solidFill>
          </w14:textFill>
        </w:rPr>
        <w:t>▲</w:t>
      </w: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12.</w:t>
      </w:r>
      <w:r>
        <w:rPr>
          <w:rStyle w:val="79"/>
          <w:rFonts w:hint="eastAsia" w:asciiTheme="minorEastAsia" w:hAnsiTheme="minorEastAsia" w:eastAsiaTheme="minorEastAsia" w:cstheme="minorEastAsia"/>
          <w:bCs/>
          <w:color w:val="000000" w:themeColor="text1"/>
          <w:sz w:val="21"/>
          <w:szCs w:val="21"/>
          <w:highlight w:val="none"/>
          <w:shd w:val="clear" w:color="auto" w:fill="FFFFFF"/>
          <w14:textFill>
            <w14:solidFill>
              <w14:schemeClr w14:val="tx1"/>
            </w14:solidFill>
          </w14:textFill>
        </w:rPr>
        <w:t>培训服务：提供对采购人应用或管理本项目设备的培训服务，比如提供本项目产品使用技能培训、临床应用或科研培训或是影像设备管理类的培训。（投标文件提供培训内容大纲、培训介绍说明）</w:t>
      </w:r>
    </w:p>
    <w:p w14:paraId="44D9C562">
      <w:pPr>
        <w:shd w:val="clear"/>
        <w:tabs>
          <w:tab w:val="left" w:pos="709"/>
        </w:tabs>
        <w:spacing w:after="0" w:line="240" w:lineRule="auto"/>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13</w:t>
      </w:r>
      <w:r>
        <w:rPr>
          <w:rStyle w:val="79"/>
          <w:rFonts w:hint="eastAsia" w:asciiTheme="minorEastAsia" w:hAnsiTheme="minorEastAsia" w:eastAsiaTheme="minorEastAsia" w:cstheme="minorEastAsia"/>
          <w:bCs/>
          <w:color w:val="000000" w:themeColor="text1"/>
          <w:sz w:val="21"/>
          <w:szCs w:val="21"/>
          <w:highlight w:val="none"/>
          <w:shd w:val="clear" w:color="auto" w:fill="FFFFFF"/>
          <w14:textFill>
            <w14:solidFill>
              <w14:schemeClr w14:val="tx1"/>
            </w14:solidFill>
          </w14:textFill>
        </w:rPr>
        <w:t>.检测支持：放射设备强制</w:t>
      </w: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年检时，免费提前到场进行设备调整，按要求检测指标达国家对产品使用的标准，保证该设备能通过相关专业检测，并提供当年的系统状态报告，所提供的报告需在原厂平台查询到。</w:t>
      </w:r>
    </w:p>
    <w:p w14:paraId="5264236B">
      <w:pPr>
        <w:shd w:val="clear"/>
        <w:spacing w:after="0" w:line="240" w:lineRule="auto"/>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五、服务质量要求/或技术指标要求</w:t>
      </w:r>
    </w:p>
    <w:p w14:paraId="61D7049F">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维保考核及扣罚：按保养维护考核标准考核：满分100分，表示服务质量达标，采购人全额支付中标人服务费用，每季1次考核。分值低于100分（不含100分）但高于90分（含90分），每分按100元扣减费用（例如当月得分94分，需扣600.00元，如此类推）；分值低于90分（不含90分）但高于85分（含85分），每分按150元扣减费用（例如当月得分88分，需扣1800.00元，如此类推）；分值低于85分但高于75分（含75分），每分按300元扣减费用（例如当月得分84分，需扣4800.00元，如此类推）；考核分值低于75分，每分按600元扣减费用（例如当月得分74分，需扣15600.00元，如此类推）。一年累计2次出现75分以下（不含75分）的，采购人有权终止合同无需承担责任。</w:t>
      </w:r>
    </w:p>
    <w:tbl>
      <w:tblPr>
        <w:tblStyle w:val="24"/>
        <w:tblW w:w="0" w:type="auto"/>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585"/>
        <w:gridCol w:w="7472"/>
        <w:gridCol w:w="1893"/>
      </w:tblGrid>
      <w:tr w14:paraId="0069062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0" w:type="auto"/>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085143EE">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b/>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val="en-US" w:eastAsia="zh-Hans"/>
                <w14:textFill>
                  <w14:solidFill>
                    <w14:schemeClr w14:val="tx1"/>
                  </w14:solidFill>
                </w14:textFill>
              </w:rPr>
              <w:t>序号</w:t>
            </w:r>
          </w:p>
        </w:tc>
        <w:tc>
          <w:tcPr>
            <w:tcW w:w="0" w:type="auto"/>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36E5EF79">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b/>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val="en-US" w:eastAsia="zh-Hans"/>
                <w14:textFill>
                  <w14:solidFill>
                    <w14:schemeClr w14:val="tx1"/>
                  </w14:solidFill>
                </w14:textFill>
              </w:rPr>
              <w:t>内容</w:t>
            </w:r>
          </w:p>
        </w:tc>
        <w:tc>
          <w:tcPr>
            <w:tcW w:w="0" w:type="auto"/>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1EFD8B4E">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b/>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val="en-US" w:eastAsia="zh-Hans"/>
                <w14:textFill>
                  <w14:solidFill>
                    <w14:schemeClr w14:val="tx1"/>
                  </w14:solidFill>
                </w14:textFill>
              </w:rPr>
              <w:t>扣分额按每月统计计算</w:t>
            </w:r>
          </w:p>
        </w:tc>
      </w:tr>
      <w:tr w14:paraId="7F69632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A3B300F">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1</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136E57A">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对不能及时维修的故障未能及时与采购人沟通说明</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7667278">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每次扣2分</w:t>
            </w:r>
          </w:p>
        </w:tc>
      </w:tr>
      <w:tr w14:paraId="07278DE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9B23B1A">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2</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E428254">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中标人接到通知后，未能在规定时间内维修人员到达现场处理。</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56B8C9D">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每次扣2分</w:t>
            </w:r>
          </w:p>
        </w:tc>
      </w:tr>
      <w:tr w14:paraId="5F52AF2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6D9B2F7">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3</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5C62740">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已维修的设备未能 15 天进行一次回访及记录</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FA84434">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每次扣10分</w:t>
            </w:r>
          </w:p>
        </w:tc>
      </w:tr>
      <w:tr w14:paraId="5ED51B6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F514AA7">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4</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2EA946C">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未能对故障维修做详细记录和值班记录</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0C2E118">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每次扣2分</w:t>
            </w:r>
          </w:p>
        </w:tc>
      </w:tr>
      <w:tr w14:paraId="1F03B3B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835A3F3">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5</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84146FE">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维保过程中，工作不认真，造成设备损坏的</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35895A4">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每次扣10分</w:t>
            </w:r>
          </w:p>
        </w:tc>
      </w:tr>
      <w:tr w14:paraId="4C6DB90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EE9E93E">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6</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7D77879">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如在工作过程中，不慎损坏、破坏医院之设施</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4D3835E">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每次扣2分</w:t>
            </w:r>
          </w:p>
        </w:tc>
      </w:tr>
      <w:tr w14:paraId="023AD28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94F6C96">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7</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C28FB41">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着装不整齐，待人不礼貌引起客户投诉</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8E9DBA6">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每次扣1分</w:t>
            </w:r>
          </w:p>
        </w:tc>
      </w:tr>
      <w:tr w14:paraId="4D8AE3D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E5FB036">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8</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3D46A34">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维保工作完毕后没有及时清理遗留垃圾的</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526DFC6">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每次扣1分</w:t>
            </w:r>
          </w:p>
        </w:tc>
      </w:tr>
      <w:tr w14:paraId="7FB0825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48370BB">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9</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3D4D4F5">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当其他系统发生故障涉及中标人单位服务范围需要中标人单位提供协助，中标人单位未能及时提供。</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426078D">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每次扣1分</w:t>
            </w:r>
          </w:p>
        </w:tc>
      </w:tr>
    </w:tbl>
    <w:p w14:paraId="0DC8CA0D">
      <w:pPr>
        <w:pStyle w:val="9"/>
        <w:shd w:val="clear"/>
        <w:spacing w:after="0" w:line="240" w:lineRule="auto"/>
        <w:ind w:firstLine="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2275ADD0">
      <w:pPr>
        <w:shd w:val="clear"/>
        <w:spacing w:after="0" w:line="240" w:lineRule="auto"/>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六、交付使用要求</w:t>
      </w:r>
    </w:p>
    <w:p w14:paraId="51123429">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服务期限：双方签订合同之日起3年（与用户需求书相矛盾的，以用户需求书的要求为准）</w:t>
      </w:r>
    </w:p>
    <w:p w14:paraId="2035D754">
      <w:pPr>
        <w:shd w:val="clear"/>
        <w:spacing w:after="0" w:line="240" w:lineRule="auto"/>
        <w:rPr>
          <w:rFonts w:hint="eastAsia" w:asciiTheme="minorEastAsia" w:hAnsiTheme="minorEastAsia" w:eastAsiaTheme="minorEastAsia" w:cstheme="minorEastAsia"/>
          <w:color w:val="000000" w:themeColor="text1"/>
          <w:sz w:val="21"/>
          <w:szCs w:val="21"/>
          <w:highlight w:val="none"/>
          <w:lang w:val="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zh-CN"/>
          <w14:textFill>
            <w14:solidFill>
              <w14:schemeClr w14:val="tx1"/>
            </w14:solidFill>
          </w14:textFill>
        </w:rPr>
        <w:t>服务地点：广州市第一人民医院（广州市越秀区盘福路1号）</w:t>
      </w:r>
    </w:p>
    <w:p w14:paraId="549AB1F7">
      <w:pPr>
        <w:widowControl/>
        <w:shd w:val="clear"/>
        <w:spacing w:after="0" w:line="240" w:lineRule="auto"/>
        <w:jc w:val="left"/>
        <w:rPr>
          <w:rFonts w:hint="eastAsia" w:asciiTheme="minorEastAsia" w:hAnsiTheme="minorEastAsia" w:eastAsiaTheme="minorEastAsia" w:cstheme="minorEastAsia"/>
          <w:b/>
          <w:bCs/>
          <w:color w:val="000000" w:themeColor="text1"/>
          <w:kern w:val="0"/>
          <w:sz w:val="21"/>
          <w:szCs w:val="21"/>
          <w:highlight w:val="none"/>
          <w:lang w:bidi="ar"/>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七、终止条款</w:t>
      </w:r>
    </w:p>
    <w:p w14:paraId="0059CE58">
      <w:pPr>
        <w:widowControl/>
        <w:shd w:val="clear"/>
        <w:spacing w:after="0" w:line="240" w:lineRule="auto"/>
        <w:jc w:val="left"/>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1.维保期间若由于设备主要配件等故障出现无法供应配件或者维修的情况，采购人可选择淘汰设备，同时可以支付相应</w:t>
      </w: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维保服务费后终止该设备维保服务。终止日期以该次故障报修日期为准。</w:t>
      </w:r>
    </w:p>
    <w:p w14:paraId="6308D5EE">
      <w:pPr>
        <w:widowControl/>
        <w:shd w:val="clear"/>
        <w:spacing w:after="0" w:line="240" w:lineRule="auto"/>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2.若设备在保修期内采购人主动提出报废淘汰设备，采购人需以书面形式通知中标人，终止日期以采购人书面函签署日期为准，合同即自动终止；</w:t>
      </w:r>
    </w:p>
    <w:p w14:paraId="46DD3847">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3.保修费用按合同实际履行的日期（以日为单位）结算。</w:t>
      </w:r>
    </w:p>
    <w:p w14:paraId="233D8413">
      <w:pPr>
        <w:shd w:val="clear"/>
        <w:spacing w:after="0" w:line="240" w:lineRule="auto"/>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八、人员要求</w:t>
      </w:r>
    </w:p>
    <w:p w14:paraId="567BB9A0">
      <w:pPr>
        <w:pStyle w:val="9"/>
        <w:shd w:val="clear"/>
        <w:spacing w:after="0" w:line="240" w:lineRule="auto"/>
        <w:ind w:firstLine="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1.投标人指定至少1名具备原厂培训合格证书的工程师专门负责采购人的设备使用和维护培训工作。如指定工程师有变更，投标人另行通知采购人相关变更情况。</w:t>
      </w:r>
    </w:p>
    <w:p w14:paraId="24AA6BF5">
      <w:pPr>
        <w:shd w:val="clear"/>
        <w:spacing w:after="0" w:line="240" w:lineRule="auto"/>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2.</w:t>
      </w:r>
      <w:r>
        <w:rPr>
          <w:rFonts w:hint="eastAsia" w:asciiTheme="minorEastAsia" w:hAnsiTheme="minorEastAsia" w:eastAsiaTheme="minorEastAsia" w:cstheme="minorEastAsia"/>
          <w:color w:val="000000" w:themeColor="text1"/>
          <w:kern w:val="0"/>
          <w:sz w:val="21"/>
          <w:szCs w:val="21"/>
          <w:highlight w:val="none"/>
          <w14:textFill>
            <w14:solidFill>
              <w14:schemeClr w14:val="tx1"/>
            </w14:solidFill>
          </w14:textFill>
        </w:rPr>
        <w:t>技术保障要求：</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国内有维修站，项目所在地至少有相关5名相关DSA工程师，且必须经过设备原厂商针对该设备的维修技术培训，且获得培训合格证书，以保障2台设备的高效技术支持。(提供以上人员的设备原厂的培训证书或取得原厂承诺的技术支持的厂家盖章复印件/扫描件)。</w:t>
      </w:r>
    </w:p>
    <w:p w14:paraId="5A8FF43D">
      <w:pPr>
        <w:shd w:val="clear"/>
        <w:spacing w:after="0" w:line="240" w:lineRule="auto"/>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九、售后服务要求</w:t>
      </w:r>
    </w:p>
    <w:p w14:paraId="0785AED7">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1.设备出现故障，须在接到采购人通知后24小时内到达现场尽力排查故障；</w:t>
      </w:r>
    </w:p>
    <w:p w14:paraId="51A40331">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2.必须保证服务电话24小时通信畅通以满足故障抢修需要。</w:t>
      </w:r>
    </w:p>
    <w:p w14:paraId="2A11FD03">
      <w:pPr>
        <w:shd w:val="clear"/>
        <w:spacing w:after="0" w:line="240" w:lineRule="auto"/>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十、培训要求</w:t>
      </w:r>
    </w:p>
    <w:p w14:paraId="3D02CA3D">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1.培训授课人须是经过厂家认证工程师、技术员等。</w:t>
      </w:r>
    </w:p>
    <w:p w14:paraId="1A44CE78">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2.投标人须为所有被培训人员提供培训用文字资料和讲义等相关用品。</w:t>
      </w:r>
    </w:p>
    <w:p w14:paraId="4CFFA0D8">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3.）培训内容：须提供设备的原理讲解，使用操作安全、基础故障判断等维修技能内容等。</w:t>
      </w:r>
    </w:p>
    <w:p w14:paraId="193BE749">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4.每年免费提供4次以上机器使用维修培训，包括且不限于现场及在线培训。</w:t>
      </w:r>
    </w:p>
    <w:p w14:paraId="064F4783">
      <w:pPr>
        <w:shd w:val="clear"/>
        <w:spacing w:after="0" w:line="240" w:lineRule="auto"/>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十一、付款方式</w:t>
      </w:r>
    </w:p>
    <w:p w14:paraId="19A2B2F2">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1.付款方式：银行转账。</w:t>
      </w:r>
    </w:p>
    <w:p w14:paraId="4021C991">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2.付款结算周期：按7期结算</w:t>
      </w:r>
    </w:p>
    <w:p w14:paraId="66BF8732">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1）如中标人为非中小企业：先服务后付款，分7期付款，签订合同之日起45个工作日内凭合同30%发票由采购人向中标人支付30%合同款，其余款项平均分为6期支付，先服务后付款，即服务每满6个月后，自收到中标人开具当期维保费用扣除考核罚款（如有）后的金额发票后，45个工作日内支付当期服务费；开具发票同时提交当次维保周期维保情况总结，经采购人确认后方予结算。</w:t>
      </w:r>
    </w:p>
    <w:p w14:paraId="60D2EE91">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如中标人为中小企业：先服务后付款，分7期付款，签订合同之日起5个工作日内凭合同30%发票由采购人向中标人支付30%合同款，其余款项平均分为6期支付，先服务后付款，即服务每满6个月后，自收到中标人开具当期维保费用扣除考核罚款（如有）后的金额发票后，5个工作日内支付当期服务费；开具发票同时提交当次维保周期维保情况总结，经采购人确认后方予结算。</w:t>
      </w:r>
    </w:p>
    <w:p w14:paraId="57E8646C">
      <w:pPr>
        <w:pStyle w:val="9"/>
        <w:shd w:val="clear"/>
        <w:spacing w:after="0" w:line="240" w:lineRule="auto"/>
        <w:ind w:firstLine="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十二、验收要求</w:t>
      </w:r>
    </w:p>
    <w:p w14:paraId="5AE6480A">
      <w:pPr>
        <w:pStyle w:val="9"/>
        <w:shd w:val="clear"/>
        <w:spacing w:after="0" w:line="240" w:lineRule="auto"/>
        <w:ind w:firstLine="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提供服务期内的经院方相关人员签字确认的维保维修记录报告。</w:t>
      </w:r>
    </w:p>
    <w:p w14:paraId="39ABA532">
      <w:pPr>
        <w:pStyle w:val="9"/>
        <w:shd w:val="clear"/>
        <w:spacing w:after="0" w:line="240" w:lineRule="auto"/>
        <w:ind w:firstLine="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十三、其他要求</w:t>
      </w:r>
    </w:p>
    <w:p w14:paraId="162B8210">
      <w:pPr>
        <w:pStyle w:val="9"/>
        <w:shd w:val="clear"/>
        <w:spacing w:after="0" w:line="240" w:lineRule="auto"/>
        <w:ind w:firstLine="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投标文件中需提供包括但不限于：服务工作目标、内容及方案；工作人员培训及管理方案、拟投入项目人员服务质量考核方案、对突发事件的应急服务预案；机构设立及运作流程、管理计划的方案等。</w:t>
      </w:r>
    </w:p>
    <w:p w14:paraId="77F785B2">
      <w:pPr>
        <w:pStyle w:val="70"/>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4FFAF52E">
      <w:pPr>
        <w:pStyle w:val="70"/>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34F13694">
      <w:pPr>
        <w:pStyle w:val="70"/>
        <w:shd w:val="clear"/>
        <w:spacing w:after="0" w:line="240" w:lineRule="auto"/>
        <w:jc w:val="cente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包4：</w:t>
      </w: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飞利浦DSA设备维保服务</w:t>
      </w:r>
    </w:p>
    <w:p w14:paraId="23A05B64">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一、项目基本概况介绍</w:t>
      </w:r>
    </w:p>
    <w:p w14:paraId="4350EC83">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本项目为医院在用飞利浦DSA(Allura Xper FD20)整机维保服务，项目包含设备所有维修维护、人工以及所需零配件。</w:t>
      </w:r>
    </w:p>
    <w:p w14:paraId="1DCC0FBE">
      <w:pPr>
        <w:shd w:val="clear"/>
        <w:spacing w:after="0" w:line="240" w:lineRule="auto"/>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二、采购内容</w:t>
      </w:r>
    </w:p>
    <w:tbl>
      <w:tblPr>
        <w:tblStyle w:val="24"/>
        <w:tblW w:w="8647"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26"/>
        <w:gridCol w:w="773"/>
        <w:gridCol w:w="1276"/>
        <w:gridCol w:w="1276"/>
        <w:gridCol w:w="2296"/>
      </w:tblGrid>
      <w:tr w14:paraId="046E9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3026" w:type="dxa"/>
            <w:vAlign w:val="center"/>
          </w:tcPr>
          <w:p w14:paraId="201A9137">
            <w:pPr>
              <w:pStyle w:val="69"/>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标的名称</w:t>
            </w:r>
          </w:p>
        </w:tc>
        <w:tc>
          <w:tcPr>
            <w:tcW w:w="773" w:type="dxa"/>
            <w:vAlign w:val="center"/>
          </w:tcPr>
          <w:p w14:paraId="10EE1B26">
            <w:pPr>
              <w:pStyle w:val="69"/>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数量</w:t>
            </w:r>
          </w:p>
        </w:tc>
        <w:tc>
          <w:tcPr>
            <w:tcW w:w="1276" w:type="dxa"/>
            <w:vAlign w:val="center"/>
          </w:tcPr>
          <w:p w14:paraId="73109486">
            <w:pPr>
              <w:pStyle w:val="69"/>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采购预算</w:t>
            </w:r>
          </w:p>
          <w:p w14:paraId="11C94FD9">
            <w:pPr>
              <w:pStyle w:val="69"/>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(万元）</w:t>
            </w:r>
          </w:p>
        </w:tc>
        <w:tc>
          <w:tcPr>
            <w:tcW w:w="1276" w:type="dxa"/>
            <w:vAlign w:val="center"/>
          </w:tcPr>
          <w:p w14:paraId="74473B25">
            <w:pPr>
              <w:pStyle w:val="69"/>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服务期限</w:t>
            </w:r>
          </w:p>
        </w:tc>
        <w:tc>
          <w:tcPr>
            <w:tcW w:w="2296" w:type="dxa"/>
            <w:vAlign w:val="center"/>
          </w:tcPr>
          <w:p w14:paraId="2A39E367">
            <w:pPr>
              <w:pStyle w:val="69"/>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备注</w:t>
            </w:r>
          </w:p>
        </w:tc>
      </w:tr>
      <w:tr w14:paraId="62DCD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6" w:type="dxa"/>
            <w:vAlign w:val="center"/>
          </w:tcPr>
          <w:p w14:paraId="2C984C6C">
            <w:pPr>
              <w:pStyle w:val="69"/>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飞利浦DSA(Allura Xper FD20)</w:t>
            </w:r>
          </w:p>
        </w:tc>
        <w:tc>
          <w:tcPr>
            <w:tcW w:w="773" w:type="dxa"/>
            <w:vAlign w:val="center"/>
          </w:tcPr>
          <w:p w14:paraId="3A7ECA91">
            <w:pPr>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1276" w:type="dxa"/>
            <w:vMerge w:val="restart"/>
            <w:vAlign w:val="center"/>
          </w:tcPr>
          <w:p w14:paraId="66740F0B">
            <w:pPr>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96</w:t>
            </w:r>
          </w:p>
        </w:tc>
        <w:tc>
          <w:tcPr>
            <w:tcW w:w="1276" w:type="dxa"/>
            <w:vAlign w:val="center"/>
          </w:tcPr>
          <w:p w14:paraId="4CA094EF">
            <w:pPr>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3年</w:t>
            </w:r>
          </w:p>
        </w:tc>
        <w:tc>
          <w:tcPr>
            <w:tcW w:w="2296" w:type="dxa"/>
            <w:vAlign w:val="center"/>
          </w:tcPr>
          <w:p w14:paraId="0E77BBF7">
            <w:pPr>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设备启用于2011年3月</w:t>
            </w:r>
          </w:p>
        </w:tc>
      </w:tr>
      <w:tr w14:paraId="406B3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026" w:type="dxa"/>
            <w:vAlign w:val="center"/>
          </w:tcPr>
          <w:p w14:paraId="0F25F9E1">
            <w:pPr>
              <w:pStyle w:val="69"/>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飞利浦DSA（UNIQ FD20）</w:t>
            </w:r>
          </w:p>
        </w:tc>
        <w:tc>
          <w:tcPr>
            <w:tcW w:w="773" w:type="dxa"/>
            <w:vAlign w:val="center"/>
          </w:tcPr>
          <w:p w14:paraId="2F5FC811">
            <w:pPr>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1276" w:type="dxa"/>
            <w:vMerge w:val="continue"/>
            <w:vAlign w:val="center"/>
          </w:tcPr>
          <w:p w14:paraId="40B8735C">
            <w:pPr>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276" w:type="dxa"/>
            <w:vAlign w:val="center"/>
          </w:tcPr>
          <w:p w14:paraId="4B39D457">
            <w:pPr>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3年</w:t>
            </w:r>
          </w:p>
        </w:tc>
        <w:tc>
          <w:tcPr>
            <w:tcW w:w="2296" w:type="dxa"/>
            <w:vAlign w:val="center"/>
          </w:tcPr>
          <w:p w14:paraId="17F80096">
            <w:pPr>
              <w:shd w:val="clear"/>
              <w:spacing w:after="0" w:line="240"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启用于2019年</w:t>
            </w:r>
          </w:p>
        </w:tc>
      </w:tr>
    </w:tbl>
    <w:p w14:paraId="3B6BF441">
      <w:pPr>
        <w:shd w:val="clear"/>
        <w:spacing w:after="0" w:line="240" w:lineRule="auto"/>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三、服务内容（服务设备清单等）</w:t>
      </w:r>
    </w:p>
    <w:p w14:paraId="524BFAB7">
      <w:pPr>
        <w:pStyle w:val="9"/>
        <w:shd w:val="clear"/>
        <w:spacing w:after="0" w:line="240" w:lineRule="auto"/>
        <w:ind w:firstLine="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1.飞利浦DSA(Allura Xper FD20)及飞利浦DSA（UNIQ FD20）</w:t>
      </w:r>
      <w:r>
        <w:rPr>
          <w:rFonts w:hint="eastAsia" w:asciiTheme="minorEastAsia" w:hAnsiTheme="minorEastAsia" w:eastAsiaTheme="minorEastAsia" w:cstheme="minorEastAsia"/>
          <w:color w:val="000000" w:themeColor="text1"/>
          <w:kern w:val="0"/>
          <w:sz w:val="21"/>
          <w:szCs w:val="21"/>
          <w:highlight w:val="none"/>
          <w14:textFill>
            <w14:solidFill>
              <w14:schemeClr w14:val="tx1"/>
            </w14:solidFill>
          </w14:textFill>
        </w:rPr>
        <w:t>整机及其配套设备进行全保。包括</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常规配件、平板探测器、电子系统、设备制冷系统（包括室外水冷机组、精密空调等（如有））等维修更换费用和人工服务费用；包含高压注射器；</w:t>
      </w:r>
      <w:r>
        <w:rPr>
          <w:rFonts w:hint="eastAsia" w:asciiTheme="minorEastAsia" w:hAnsiTheme="minorEastAsia" w:eastAsiaTheme="minorEastAsia" w:cstheme="minorEastAsia"/>
          <w:color w:val="000000" w:themeColor="text1"/>
          <w:kern w:val="0"/>
          <w:sz w:val="21"/>
          <w:szCs w:val="21"/>
          <w:highlight w:val="none"/>
          <w14:textFill>
            <w14:solidFill>
              <w14:schemeClr w14:val="tx1"/>
            </w14:solidFill>
          </w14:textFill>
        </w:rPr>
        <w:t>特殊配件不包含</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球管；不包含其他第三方产品如稳压电源，UPS，激光相机，外配打印机，录像机，视频外设等的保修。  </w:t>
      </w:r>
    </w:p>
    <w:p w14:paraId="30130C9E">
      <w:pPr>
        <w:pStyle w:val="9"/>
        <w:shd w:val="clear"/>
        <w:spacing w:after="0" w:line="240" w:lineRule="auto"/>
        <w:ind w:firstLine="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2.服务年限：3年   </w:t>
      </w:r>
    </w:p>
    <w:p w14:paraId="18069E72">
      <w:pPr>
        <w:shd w:val="clear"/>
        <w:spacing w:after="0" w:line="240" w:lineRule="auto"/>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四、服务总体要求和具体要求</w:t>
      </w:r>
    </w:p>
    <w:p w14:paraId="65E6DE5D">
      <w:pPr>
        <w:widowControl/>
        <w:numPr>
          <w:ilvl w:val="0"/>
          <w:numId w:val="0"/>
        </w:numPr>
        <w:shd w:val="clear"/>
        <w:spacing w:after="0" w:line="240" w:lineRule="auto"/>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CN" w:bidi="ar"/>
          <w14:textFill>
            <w14:solidFill>
              <w14:schemeClr w14:val="tx1"/>
            </w14:solidFill>
          </w14:textFill>
        </w:rPr>
        <w:t>1.</w:t>
      </w: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 xml:space="preserve">维保期内设备不限次更换所有原厂配件，所更换配件应是原厂合格配件。 </w:t>
      </w:r>
    </w:p>
    <w:p w14:paraId="6D22AB93">
      <w:pPr>
        <w:widowControl/>
        <w:shd w:val="clear"/>
        <w:spacing w:after="0" w:line="240" w:lineRule="auto"/>
        <w:jc w:val="left"/>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 xml:space="preserve">2.提供24小时*365天电话技术支持。 </w:t>
      </w:r>
    </w:p>
    <w:p w14:paraId="18A51362">
      <w:pPr>
        <w:widowControl/>
        <w:shd w:val="clear"/>
        <w:spacing w:after="0" w:line="240" w:lineRule="auto"/>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 xml:space="preserve">4.定期维护保养及开机率保障，开机率≥95％。 </w:t>
      </w:r>
    </w:p>
    <w:p w14:paraId="6150C9F6">
      <w:pPr>
        <w:widowControl/>
        <w:shd w:val="clear"/>
        <w:spacing w:after="0" w:line="240" w:lineRule="auto"/>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 xml:space="preserve">5.提供每年不少于4次整机专业保养，按照保养计划更换损耗部件，按照厂家标准进行调校，确认各项技术指标及性能。 </w:t>
      </w:r>
    </w:p>
    <w:p w14:paraId="1D660744">
      <w:pPr>
        <w:widowControl/>
        <w:shd w:val="clear"/>
        <w:spacing w:after="0" w:line="240" w:lineRule="auto"/>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 xml:space="preserve">6.其他所有整机紧急上门服务。 </w:t>
      </w:r>
    </w:p>
    <w:p w14:paraId="137BE47C">
      <w:pPr>
        <w:widowControl/>
        <w:shd w:val="clear"/>
        <w:spacing w:after="0" w:line="240" w:lineRule="auto"/>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 xml:space="preserve">7.维保要求 </w:t>
      </w:r>
    </w:p>
    <w:p w14:paraId="264FDAB3">
      <w:pPr>
        <w:widowControl/>
        <w:shd w:val="clear"/>
        <w:spacing w:after="0" w:line="240" w:lineRule="auto"/>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 xml:space="preserve">7.1 中标人须具备快速反应、专业的服务能力，在国内设有长期稳定的服务机构或仓库（提供相关证明材料并加盖公章）。 </w:t>
      </w:r>
    </w:p>
    <w:p w14:paraId="67B9378A">
      <w:pPr>
        <w:widowControl/>
        <w:shd w:val="clear"/>
        <w:spacing w:after="0" w:line="240" w:lineRule="auto"/>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 xml:space="preserve">7.2 提供24小时热线服务电话在线响应。接到报修电话后，工程师1小时内电话响应。紧急故障若电话交流无法解决，则在接获报修电后，在确定需要现场维修情况下，维修工程师须在12小时内到达现场，维修不涉及零配件更换应在12小时内修复完毕；涉及零配件更换，应在48小时内修复完毕（不可抗力因素除外）。如设备故障严重，无法即时修复，投标人须提供解决方案，并保证在7个自然日内使设备恢复正常运行。在设备故障排除后，其性能指标应与生产厂家提供的相符，并提供完整的维修记录。 </w:t>
      </w:r>
    </w:p>
    <w:p w14:paraId="0D3D2DA5">
      <w:pPr>
        <w:widowControl/>
        <w:shd w:val="clear"/>
        <w:spacing w:after="0" w:line="240" w:lineRule="auto"/>
        <w:jc w:val="left"/>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7.3包含在保修合同期内所需的人工费用、节假日加班费，中标人优先派工。</w:t>
      </w:r>
    </w:p>
    <w:p w14:paraId="063DF12F">
      <w:pPr>
        <w:widowControl/>
        <w:shd w:val="clear"/>
        <w:spacing w:after="0" w:line="240" w:lineRule="auto"/>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7.4开机率≥95％，按全年365天计算。若不达标，每少1个日历日，维保服务期延长3个日历日。</w:t>
      </w:r>
    </w:p>
    <w:p w14:paraId="3319656F">
      <w:pPr>
        <w:widowControl/>
        <w:shd w:val="clear"/>
        <w:spacing w:after="0" w:line="240" w:lineRule="auto"/>
        <w:jc w:val="left"/>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▲7.5 投标人在国内应具备2023年至今同品牌同类型设备保修项目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承接能力、合同的履约能力和服务能力</w:t>
      </w: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，提供同品牌同类设备全保合同复印件作为证明材料。</w:t>
      </w:r>
    </w:p>
    <w:p w14:paraId="5F825870">
      <w:pPr>
        <w:widowControl/>
        <w:shd w:val="clear"/>
        <w:spacing w:after="0" w:line="240" w:lineRule="auto"/>
        <w:jc w:val="left"/>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7.6维修工程师可使用原厂诊断软件进行诊断，并保证能够解决所有设备故障。且保证维修过程不侵犯任何知识产权。</w:t>
      </w:r>
    </w:p>
    <w:p w14:paraId="2088A1BD">
      <w:pPr>
        <w:pStyle w:val="9"/>
        <w:shd w:val="clear"/>
        <w:spacing w:after="0" w:line="240" w:lineRule="auto"/>
        <w:ind w:firstLine="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▲7.7安全升级（FCO）：必须在原厂官方网站发布的升级公告规定时间内完成，并在升级完成后提供原厂该型号设备的升级文件及工作记录。</w:t>
      </w:r>
    </w:p>
    <w:p w14:paraId="4E34750C">
      <w:pPr>
        <w:widowControl/>
        <w:shd w:val="clear"/>
        <w:spacing w:after="0" w:line="240" w:lineRule="auto"/>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▲7.8备件来源要求：确保备件应为与原设备型号一致、同一备件号的原厂备件，</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维修时不得擅自修改原机图纸线路或使用飞线等手段进行维修。</w:t>
      </w: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 xml:space="preserve">安装完毕后达到原厂设备运行标准。应提供重要备件进口报关单（如为进口备件）复印件，并加盖公章，保证备件供应100%保障。 </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国内仓库备件48小时内到达现场，特殊情况双方协商解决。</w:t>
      </w:r>
    </w:p>
    <w:p w14:paraId="2FE52B6A">
      <w:pPr>
        <w:widowControl/>
        <w:shd w:val="clear"/>
        <w:spacing w:after="0" w:line="240" w:lineRule="auto"/>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 xml:space="preserve">7.9 预防性保养：按照保养计划提供保养服务，以保证设备处于最佳运行状态。 </w:t>
      </w:r>
    </w:p>
    <w:p w14:paraId="3196EF35">
      <w:pPr>
        <w:widowControl/>
        <w:shd w:val="clear"/>
        <w:spacing w:after="0" w:line="240" w:lineRule="auto"/>
        <w:jc w:val="left"/>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合同期内每年提供不少于4次专业保养。投标人须制定详细的维保计划，按照保养计划更换损耗部件，按照厂家标准进行调校，确认各项技术指标及性能，记录设备状况，并提交具体保养项目清单和维护报告。且最后一次保养应予</w:t>
      </w:r>
      <w:r>
        <w:rPr>
          <w:rFonts w:hint="eastAsia" w:asciiTheme="minorEastAsia" w:hAnsiTheme="minorEastAsia" w:eastAsiaTheme="minorEastAsia" w:cstheme="minorEastAsia"/>
          <w:color w:val="000000" w:themeColor="text1"/>
          <w:kern w:val="0"/>
          <w:sz w:val="21"/>
          <w:szCs w:val="21"/>
          <w:highlight w:val="none"/>
          <w14:textFill>
            <w14:solidFill>
              <w14:schemeClr w14:val="tx1"/>
            </w14:solidFill>
          </w14:textFill>
        </w:rPr>
        <w:t>出保前一个月内做。</w:t>
      </w: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定期的维护保养服务包括：设备的安全检查、影像质量检查、设备清洁保养、性能测试及校准、运行状态检查等。</w:t>
      </w:r>
    </w:p>
    <w:p w14:paraId="4F89C75B">
      <w:pPr>
        <w:pStyle w:val="9"/>
        <w:shd w:val="clear"/>
        <w:spacing w:after="0" w:line="240" w:lineRule="auto"/>
        <w:ind w:firstLine="0"/>
        <w:rPr>
          <w:rFonts w:hint="eastAsia" w:asciiTheme="minorEastAsia" w:hAnsiTheme="minorEastAsia" w:eastAsiaTheme="minorEastAsia" w:cstheme="minorEastAsia"/>
          <w:color w:val="000000" w:themeColor="text1"/>
          <w:kern w:val="0"/>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7.10</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中标人维修、保养完毕后，向采购人提供维修、保养报告单，</w:t>
      </w:r>
      <w:r>
        <w:rPr>
          <w:rFonts w:hint="eastAsia" w:asciiTheme="minorEastAsia" w:hAnsiTheme="minorEastAsia" w:eastAsiaTheme="minorEastAsia" w:cstheme="minorEastAsia"/>
          <w:color w:val="000000" w:themeColor="text1"/>
          <w:kern w:val="0"/>
          <w:sz w:val="21"/>
          <w:szCs w:val="21"/>
          <w:highlight w:val="none"/>
          <w14:textFill>
            <w14:solidFill>
              <w14:schemeClr w14:val="tx1"/>
            </w14:solidFill>
          </w14:textFill>
        </w:rPr>
        <w:t>并向采购人提供现场故障维修讲解服务。工单须标明报修及维修起止时间。</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采购人派人进行验收，并在维修工单上签字确认</w:t>
      </w:r>
      <w:r>
        <w:rPr>
          <w:rFonts w:hint="eastAsia" w:asciiTheme="minorEastAsia" w:hAnsiTheme="minorEastAsia" w:eastAsiaTheme="minorEastAsia" w:cstheme="minorEastAsia"/>
          <w:color w:val="000000" w:themeColor="text1"/>
          <w:kern w:val="0"/>
          <w:sz w:val="21"/>
          <w:szCs w:val="21"/>
          <w:highlight w:val="none"/>
          <w14:textFill>
            <w14:solidFill>
              <w14:schemeClr w14:val="tx1"/>
            </w14:solidFill>
          </w14:textFill>
        </w:rPr>
        <w:t>。</w:t>
      </w:r>
    </w:p>
    <w:p w14:paraId="7A602C02">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14:textFill>
            <w14:solidFill>
              <w14:schemeClr w14:val="tx1"/>
            </w14:solidFill>
          </w14:textFill>
        </w:rPr>
        <w:t>7.11医院上级主管部门对机器进行性能检测时，中标人须</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积极协助采购人密切配合有关部门的检测工作，包括检测前对设备进行全面调校，保证各项技术指标符合标准；须配合采购人对有关部门工作人员提出的技术问题进行解答及技术调校。</w:t>
      </w:r>
    </w:p>
    <w:p w14:paraId="2F90B0D2">
      <w:pPr>
        <w:pStyle w:val="44"/>
        <w:shd w:val="clear"/>
        <w:adjustRightInd w:val="0"/>
        <w:snapToGrid w:val="0"/>
        <w:spacing w:after="0" w:line="240" w:lineRule="auto"/>
        <w:ind w:firstLine="0" w:firstLineChars="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7.12技术培训：投标人承诺为采购人提供相应的技术培训，包括原理讲解，故障诊断等，提供可实现承诺的相关资料.</w:t>
      </w:r>
    </w:p>
    <w:p w14:paraId="407B6AEE">
      <w:pPr>
        <w:pStyle w:val="44"/>
        <w:shd w:val="clear"/>
        <w:adjustRightInd w:val="0"/>
        <w:snapToGrid w:val="0"/>
        <w:spacing w:after="0" w:line="240" w:lineRule="auto"/>
        <w:ind w:firstLine="0" w:firstLineChars="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7.13投标人能够提供灵活、快速、优质的维保服务，同时具有应急服务能力及预案。 </w:t>
      </w:r>
    </w:p>
    <w:p w14:paraId="7C9E959C">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▲7.14投标人需具备医疗设备维修资格，</w:t>
      </w:r>
      <w:r>
        <w:rPr>
          <w:rFonts w:hint="eastAsia" w:asciiTheme="minorEastAsia" w:hAnsiTheme="minorEastAsia" w:eastAsiaTheme="minorEastAsia" w:cstheme="minorEastAsia"/>
          <w:color w:val="000000" w:themeColor="text1"/>
          <w:spacing w:val="-2"/>
          <w:sz w:val="21"/>
          <w:szCs w:val="21"/>
          <w:highlight w:val="none"/>
          <w14:textFill>
            <w14:solidFill>
              <w14:schemeClr w14:val="tx1"/>
            </w14:solidFill>
          </w14:textFill>
        </w:rPr>
        <w:t>并在过去3年内无重大维修事故发生，在投标活动中未被财政局行政处罚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提供承诺函加盖公章（格式自拟）。</w:t>
      </w:r>
    </w:p>
    <w:p w14:paraId="023CC7D0">
      <w:pPr>
        <w:widowControl/>
        <w:numPr>
          <w:ilvl w:val="0"/>
          <w:numId w:val="0"/>
        </w:numPr>
        <w:shd w:val="clear"/>
        <w:spacing w:after="0" w:line="240" w:lineRule="auto"/>
        <w:jc w:val="left"/>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8.</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终止条款</w:t>
      </w:r>
    </w:p>
    <w:p w14:paraId="0C0FC7FE">
      <w:pPr>
        <w:widowControl/>
        <w:shd w:val="clear"/>
        <w:spacing w:after="0" w:line="240" w:lineRule="auto"/>
        <w:jc w:val="left"/>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8.1维保期间若由于球管、探测器等主要设备部件故障出现无法供应配件或者维修的情况时，采购人可选择淘汰设备，同时支付相应</w:t>
      </w: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维保服务费后终止该设备维保服务。终止日期以该次故障报修日期为准。</w:t>
      </w:r>
    </w:p>
    <w:p w14:paraId="1AAEF555">
      <w:pPr>
        <w:widowControl/>
        <w:shd w:val="clear"/>
        <w:spacing w:after="0" w:line="240" w:lineRule="auto"/>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8.2若设备在保修期内采购人主动提出报废淘汰设备，采购人需以书面形式通知中标人，终止日期以采购人书面函签署日期为准，合同即自动终止；</w:t>
      </w:r>
    </w:p>
    <w:p w14:paraId="4447CE13">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8.3保修费用按合同实际履行的时间结算。</w:t>
      </w:r>
    </w:p>
    <w:p w14:paraId="28425C87">
      <w:pPr>
        <w:shd w:val="clear"/>
        <w:spacing w:after="0" w:line="240" w:lineRule="auto"/>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五、服务质量要求/或技术指标要求</w:t>
      </w:r>
    </w:p>
    <w:p w14:paraId="4BD58B7C">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维保考核及扣罚：按保养维护考核标准考核：满分100分，表示服务质量达标，采购人全额支付中标人服务费用，每季1次考核。分值低于100分（不含100分）但高于90分（含90分），每分按100元扣减费用（例如当月得分94分，需扣600.00元，如此类推）；分值低于90分（不含90分）但高于85分（含85分），每分按150元扣减费用（例如当月得分88分，需扣1800.00元，如此类推）；分值低于85分但高于75分（含75分），每分按300元扣减费用（例如当月得分84分，需扣4800.00元，如此类推）；考核分值低于75分，每分按600元扣减费用（例如当月得分74分，需扣15600.00元，如此类推）。一年累计2次出现75分以下（不含75分）的，采购人有权终止合同无需承担责任。</w:t>
      </w:r>
    </w:p>
    <w:tbl>
      <w:tblPr>
        <w:tblStyle w:val="24"/>
        <w:tblW w:w="0" w:type="auto"/>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585"/>
        <w:gridCol w:w="7472"/>
        <w:gridCol w:w="1893"/>
      </w:tblGrid>
      <w:tr w14:paraId="5EB12D7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0" w:type="auto"/>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5B01FB08">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b/>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val="en-US" w:eastAsia="zh-Hans"/>
                <w14:textFill>
                  <w14:solidFill>
                    <w14:schemeClr w14:val="tx1"/>
                  </w14:solidFill>
                </w14:textFill>
              </w:rPr>
              <w:t>序号</w:t>
            </w:r>
          </w:p>
        </w:tc>
        <w:tc>
          <w:tcPr>
            <w:tcW w:w="0" w:type="auto"/>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52A448BB">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b/>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val="en-US" w:eastAsia="zh-Hans"/>
                <w14:textFill>
                  <w14:solidFill>
                    <w14:schemeClr w14:val="tx1"/>
                  </w14:solidFill>
                </w14:textFill>
              </w:rPr>
              <w:t>内容</w:t>
            </w:r>
          </w:p>
        </w:tc>
        <w:tc>
          <w:tcPr>
            <w:tcW w:w="0" w:type="auto"/>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0339B407">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b/>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val="en-US" w:eastAsia="zh-Hans"/>
                <w14:textFill>
                  <w14:solidFill>
                    <w14:schemeClr w14:val="tx1"/>
                  </w14:solidFill>
                </w14:textFill>
              </w:rPr>
              <w:t>扣分额按每月统计计算</w:t>
            </w:r>
          </w:p>
        </w:tc>
      </w:tr>
      <w:tr w14:paraId="2435FEE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7338980">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1</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B30E7D6">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对不能及时维修的故障未能及时与采购人沟通说明</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1023802">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每次扣2分</w:t>
            </w:r>
          </w:p>
        </w:tc>
      </w:tr>
      <w:tr w14:paraId="20B041B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65AAA63">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2</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B000A45">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中标人接到通知后，未能在规定时间内维修人员到达现场处理。</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B3BBD3A">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每次扣2分</w:t>
            </w:r>
          </w:p>
        </w:tc>
      </w:tr>
      <w:tr w14:paraId="3F30AC8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ABFE744">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3</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EB479C2">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已维修的设备未能 15 天进行一次回访及记录</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C6B0E99">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每次扣10分</w:t>
            </w:r>
          </w:p>
        </w:tc>
      </w:tr>
      <w:tr w14:paraId="0DA7C2D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671F17C">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4</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4C68AF8">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未能对故障维修做详细记录和值班记录</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076AEDB">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每次扣2分</w:t>
            </w:r>
          </w:p>
        </w:tc>
      </w:tr>
      <w:tr w14:paraId="530AEAC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8BB959A">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5</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29D73F1">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维保过程中，工作不认真，造成设备损坏的</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6577841">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每次扣10分</w:t>
            </w:r>
          </w:p>
        </w:tc>
      </w:tr>
      <w:tr w14:paraId="01502AD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C5D8FA0">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6</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BD3015F">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如在工作过程中，不慎损坏、破坏医院之设施</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29DE3A7">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每次扣2分</w:t>
            </w:r>
          </w:p>
        </w:tc>
      </w:tr>
      <w:tr w14:paraId="0945D7A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F3F789A">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7</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BBEAD04">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着装不整齐，待人不礼貌引起客户投诉</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822B6E1">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每次扣1分</w:t>
            </w:r>
          </w:p>
        </w:tc>
      </w:tr>
      <w:tr w14:paraId="0F6937D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E68D9E9">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8</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B3E660A">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维保工作完毕后没有及时清理遗留垃圾的</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AFC2D61">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每次扣1分</w:t>
            </w:r>
          </w:p>
        </w:tc>
      </w:tr>
      <w:tr w14:paraId="65DBEA4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E4E2512">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9</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EDBDAE6">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当其他系统发生故障涉及中标人单位服务范围需要中标人单位提供协助，中标人单位未能及时提供。</w:t>
            </w:r>
          </w:p>
        </w:tc>
        <w:tc>
          <w:tcPr>
            <w:tcW w:w="0" w:type="auto"/>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BB81D84">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t>每次扣1分</w:t>
            </w:r>
          </w:p>
        </w:tc>
      </w:tr>
    </w:tbl>
    <w:p w14:paraId="7AC897C9">
      <w:pPr>
        <w:shd w:val="clear"/>
        <w:spacing w:after="0" w:line="240" w:lineRule="auto"/>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六、交付使用要求</w:t>
      </w:r>
    </w:p>
    <w:p w14:paraId="48B5BBE2">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服务期限：签订合同之日起3年</w:t>
      </w:r>
    </w:p>
    <w:p w14:paraId="2BE23A5A">
      <w:pPr>
        <w:shd w:val="clear"/>
        <w:spacing w:after="0" w:line="240" w:lineRule="auto"/>
        <w:rPr>
          <w:rFonts w:hint="eastAsia" w:asciiTheme="minorEastAsia" w:hAnsiTheme="minorEastAsia" w:eastAsiaTheme="minorEastAsia" w:cstheme="minorEastAsia"/>
          <w:color w:val="000000" w:themeColor="text1"/>
          <w:sz w:val="21"/>
          <w:szCs w:val="21"/>
          <w:highlight w:val="none"/>
          <w:lang w:val="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zh-CN"/>
          <w14:textFill>
            <w14:solidFill>
              <w14:schemeClr w14:val="tx1"/>
            </w14:solidFill>
          </w14:textFill>
        </w:rPr>
        <w:t>服务地点：广州市第一人民医院（广州市越秀区盘福路1号）</w:t>
      </w:r>
    </w:p>
    <w:p w14:paraId="162D36EB">
      <w:pPr>
        <w:shd w:val="clear"/>
        <w:spacing w:after="0" w:line="240" w:lineRule="auto"/>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七、人员要求</w:t>
      </w:r>
    </w:p>
    <w:p w14:paraId="7B42FBED">
      <w:pPr>
        <w:pStyle w:val="9"/>
        <w:shd w:val="clear"/>
        <w:spacing w:after="0" w:line="240" w:lineRule="auto"/>
        <w:ind w:firstLine="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1.中标人指定至少2名经培训的工程师专门负责采购人的设备使用和维护培训工作。如指定工程师有变更，投标人应提前通知采购人相关变更情况。</w:t>
      </w:r>
    </w:p>
    <w:p w14:paraId="23C72513">
      <w:pPr>
        <w:shd w:val="clear"/>
        <w:spacing w:after="0" w:line="240" w:lineRule="auto"/>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w:t>
      </w: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2.</w:t>
      </w:r>
      <w:r>
        <w:rPr>
          <w:rFonts w:hint="eastAsia" w:asciiTheme="minorEastAsia" w:hAnsiTheme="minorEastAsia" w:eastAsiaTheme="minorEastAsia" w:cstheme="minorEastAsia"/>
          <w:color w:val="000000" w:themeColor="text1"/>
          <w:kern w:val="0"/>
          <w:sz w:val="21"/>
          <w:szCs w:val="21"/>
          <w:highlight w:val="none"/>
          <w:lang w:bidi="ar"/>
          <w14:textFill>
            <w14:solidFill>
              <w14:schemeClr w14:val="tx1"/>
            </w14:solidFill>
          </w14:textFill>
        </w:rPr>
        <w:t>投标人需指定原厂工程师或持有厂家培训合格证明的工程师负责本项目。（投标文件中提供工程师名单、联系方式及培训合格的证明文件）。投标人具有服务团队，不得将本项目授权、分包或转包，业绩资质均为投标人自有。</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投标人应具备专业技术维修队伍，有5名以上接受过相关DSA维修培训的在职技术人员，并提供</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上述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工程师原厂认证合格，或经过原厂维修培训所获证书复印件，及投标截止日期前三个月任一个月工程师在投标人单位的社保证明复印件。所提供的相关培训证明资料复印件如是英文版本的，必须提供中文译本，并加盖投标人公章。</w:t>
      </w:r>
    </w:p>
    <w:p w14:paraId="333E82DC">
      <w:pPr>
        <w:shd w:val="clear"/>
        <w:spacing w:after="0" w:line="240" w:lineRule="auto"/>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八、培训要求</w:t>
      </w:r>
    </w:p>
    <w:p w14:paraId="7556F6EF">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1.培训授课人须是经过厂家培训过具有培训证书工程师、技术员等。</w:t>
      </w:r>
    </w:p>
    <w:p w14:paraId="312D658F">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2.中标人须为所有被培训人员提供培训用文字资料和讲义等相关用品。</w:t>
      </w:r>
    </w:p>
    <w:p w14:paraId="7705569C">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3.培训内容：须提供设备的原理讲解，使用操作安全、基础故障判断等维修技能等内容。</w:t>
      </w:r>
    </w:p>
    <w:p w14:paraId="3BBA4B8C">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4.每年免费提供4次以上机器使用维修培训，包括且不限于现场及在线培训。</w:t>
      </w:r>
    </w:p>
    <w:p w14:paraId="5A9F2F3E">
      <w:pPr>
        <w:shd w:val="clear"/>
        <w:spacing w:after="0" w:line="240" w:lineRule="auto"/>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九、付款方式</w:t>
      </w:r>
    </w:p>
    <w:p w14:paraId="5D980CB6">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1.付款方式：银行转账。</w:t>
      </w:r>
    </w:p>
    <w:p w14:paraId="79F1BD15">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2.付款结算周期：先服务后付款。每半年支付当年合同款的50%。开具发票同时提交半年维保情况总结，经采购人确认后方予结算。</w:t>
      </w:r>
    </w:p>
    <w:p w14:paraId="5657F09F">
      <w:pPr>
        <w:shd w:val="clear"/>
        <w:spacing w:after="0" w:line="240" w:lineRule="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1）先服务后付款，即服务每满6个月后，自收到成交供应商开具当期维保费用扣除考核罚款（如有）后的金额发票后，5个工作日内支付当期服务费；开具发票同时提交当次维保周期维保情况总结，经采购人确认后方予结算。</w:t>
      </w:r>
    </w:p>
    <w:p w14:paraId="50938F79">
      <w:pPr>
        <w:shd w:val="clear"/>
        <w:spacing w:after="0" w:line="240" w:lineRule="auto"/>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十、验收要求</w:t>
      </w:r>
    </w:p>
    <w:p w14:paraId="3639A0D0">
      <w:pPr>
        <w:pStyle w:val="9"/>
        <w:shd w:val="clear"/>
        <w:spacing w:after="0" w:line="240" w:lineRule="auto"/>
        <w:ind w:firstLine="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须提供服务期内的经院方相关人员签字确认的维保维修记录报告及维保考核扣罚表。</w:t>
      </w:r>
    </w:p>
    <w:p w14:paraId="605E59B7">
      <w:pPr>
        <w:shd w:val="clear"/>
        <w:spacing w:after="0" w:line="240" w:lineRule="auto"/>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十一、其他要求</w:t>
      </w:r>
    </w:p>
    <w:p w14:paraId="02AB9CA1">
      <w:pPr>
        <w:keepNext w:val="0"/>
        <w:keepLines w:val="0"/>
        <w:pageBreakBefore w:val="0"/>
        <w:kinsoku/>
        <w:wordWrap/>
        <w:overflowPunct/>
        <w:topLinePunct w:val="0"/>
        <w:autoSpaceDE/>
        <w:autoSpaceDN/>
        <w:bidi w:val="0"/>
        <w:adjustRightInd/>
        <w:spacing w:after="0" w:line="240" w:lineRule="auto"/>
        <w:jc w:val="left"/>
        <w:rPr>
          <w:rFonts w:hint="eastAsia" w:ascii="宋体" w:hAnsi="宋体" w:eastAsia="宋体" w:cs="宋体"/>
          <w:szCs w:val="21"/>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投标文件中需提供包括但不限于：服务工作目标、内容及方案；工作人员培训及管理方案、拟投入项目人员服务质量考核方案、对突发事件的应急服务预案；机构设立及运作流程、管理计划的方案等。</w:t>
      </w:r>
    </w:p>
    <w:p w14:paraId="6FF8F419">
      <w:pPr>
        <w:rPr>
          <w:rFonts w:hint="eastAsia" w:ascii="宋体" w:hAnsi="宋体" w:eastAsia="宋体" w:cs="宋体"/>
          <w:sz w:val="21"/>
          <w:szCs w:val="21"/>
        </w:rPr>
      </w:pPr>
      <w:r>
        <w:rPr>
          <w:rFonts w:hint="eastAsia" w:ascii="宋体" w:hAnsi="宋体" w:eastAsia="宋体" w:cs="宋体"/>
          <w:sz w:val="21"/>
          <w:szCs w:val="21"/>
        </w:rPr>
        <w:br w:type="page"/>
      </w:r>
    </w:p>
    <w:p w14:paraId="78CBF4C8">
      <w:pPr>
        <w:pStyle w:val="70"/>
        <w:spacing w:line="240" w:lineRule="auto"/>
        <w:rPr>
          <w:rFonts w:hint="eastAsia" w:ascii="宋体" w:hAnsi="宋体" w:eastAsia="宋体" w:cs="宋体"/>
          <w:sz w:val="21"/>
          <w:szCs w:val="21"/>
        </w:rPr>
      </w:pPr>
    </w:p>
    <w:p w14:paraId="748CAB63">
      <w:pPr>
        <w:spacing w:line="30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14:paraId="38A8907A">
      <w:pPr>
        <w:spacing w:line="30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14:paraId="3CE51905">
      <w:pPr>
        <w:spacing w:line="30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14:paraId="2BEAF521">
      <w:pPr>
        <w:spacing w:line="30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14:paraId="5F418CC7">
      <w:pPr>
        <w:spacing w:line="30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14:paraId="109A3FF0">
      <w:pPr>
        <w:spacing w:line="30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14:paraId="77C6B5C4">
      <w:pPr>
        <w:spacing w:line="300" w:lineRule="auto"/>
        <w:jc w:val="center"/>
        <w:rPr>
          <w:rFonts w:ascii="宋体" w:hAnsi="宋体"/>
          <w:b/>
          <w:color w:val="000000" w:themeColor="text1"/>
          <w:sz w:val="48"/>
          <w:szCs w:val="48"/>
          <w:highlight w:val="none"/>
          <w14:textFill>
            <w14:solidFill>
              <w14:schemeClr w14:val="tx1"/>
            </w14:solidFill>
          </w14:textFill>
        </w:rPr>
      </w:pPr>
      <w:r>
        <w:rPr>
          <w:rFonts w:hint="eastAsia" w:ascii="宋体" w:hAnsi="宋体"/>
          <w:b/>
          <w:color w:val="000000" w:themeColor="text1"/>
          <w:sz w:val="48"/>
          <w:szCs w:val="48"/>
          <w:highlight w:val="none"/>
          <w:lang w:val="en-US" w:eastAsia="zh-CN"/>
          <w14:textFill>
            <w14:solidFill>
              <w14:schemeClr w14:val="tx1"/>
            </w14:solidFill>
          </w14:textFill>
        </w:rPr>
        <w:t>第二部分</w:t>
      </w:r>
      <w:r>
        <w:rPr>
          <w:rFonts w:hint="eastAsia" w:ascii="宋体" w:hAnsi="宋体"/>
          <w:b/>
          <w:color w:val="000000" w:themeColor="text1"/>
          <w:sz w:val="48"/>
          <w:szCs w:val="48"/>
          <w:highlight w:val="none"/>
          <w14:textFill>
            <w14:solidFill>
              <w14:schemeClr w14:val="tx1"/>
            </w14:solidFill>
          </w14:textFill>
        </w:rPr>
        <w:t>、补充附件</w:t>
      </w:r>
    </w:p>
    <w:p w14:paraId="5E2D6E37">
      <w:pPr>
        <w:spacing w:line="300" w:lineRule="auto"/>
        <w:jc w:val="center"/>
        <w:rPr>
          <w:rFonts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注：以下部分的附件应后附在投标文件中，作为投标文件的一部分。</w:t>
      </w:r>
    </w:p>
    <w:p w14:paraId="5F47F7EC">
      <w:pPr>
        <w:spacing w:line="300" w:lineRule="auto"/>
        <w:rPr>
          <w:rFonts w:ascii="宋体" w:hAnsi="宋体"/>
          <w:b/>
          <w:color w:val="000000" w:themeColor="text1"/>
          <w:sz w:val="24"/>
          <w:szCs w:val="24"/>
          <w:highlight w:val="none"/>
          <w14:textFill>
            <w14:solidFill>
              <w14:schemeClr w14:val="tx1"/>
            </w14:solidFill>
          </w14:textFill>
        </w:rPr>
      </w:pPr>
    </w:p>
    <w:p w14:paraId="6F1FBDC8">
      <w:pPr>
        <w:outlineLvl w:val="1"/>
        <w:rPr>
          <w:rFonts w:hint="eastAsia" w:ascii="宋体" w:hAnsi="宋体" w:eastAsia="宋体" w:cs="宋体"/>
          <w:b/>
          <w:color w:val="auto"/>
          <w:sz w:val="28"/>
          <w:szCs w:val="28"/>
        </w:rPr>
      </w:pPr>
      <w:r>
        <w:rPr>
          <w:rFonts w:ascii="宋体" w:hAnsi="宋体"/>
          <w:b/>
          <w:color w:val="000000" w:themeColor="text1"/>
          <w:sz w:val="24"/>
          <w:szCs w:val="24"/>
          <w:highlight w:val="none"/>
          <w14:textFill>
            <w14:solidFill>
              <w14:schemeClr w14:val="tx1"/>
            </w14:solidFill>
          </w14:textFill>
        </w:rPr>
        <w:br w:type="page"/>
      </w:r>
      <w:r>
        <w:rPr>
          <w:rFonts w:hint="eastAsia" w:ascii="宋体" w:hAnsi="宋体" w:eastAsia="宋体" w:cs="宋体"/>
          <w:b/>
          <w:color w:val="auto"/>
          <w:sz w:val="28"/>
          <w:szCs w:val="28"/>
        </w:rPr>
        <w:t>附件一、</w:t>
      </w:r>
      <w:bookmarkStart w:id="0" w:name="_Toc435514855"/>
      <w:bookmarkStart w:id="1" w:name="_Toc275865606"/>
      <w:bookmarkStart w:id="2" w:name="_Toc435515295"/>
      <w:r>
        <w:rPr>
          <w:rFonts w:hint="eastAsia" w:ascii="宋体" w:hAnsi="宋体" w:eastAsia="宋体" w:cs="宋体"/>
          <w:b/>
          <w:color w:val="auto"/>
          <w:sz w:val="28"/>
          <w:szCs w:val="28"/>
        </w:rPr>
        <w:t>资格文件</w:t>
      </w:r>
    </w:p>
    <w:p w14:paraId="4D3E7121">
      <w:pPr>
        <w:outlineLvl w:val="1"/>
        <w:rPr>
          <w:rFonts w:hint="eastAsia" w:ascii="宋体" w:hAnsi="宋体" w:eastAsia="宋体" w:cs="宋体"/>
          <w:b/>
          <w:szCs w:val="21"/>
          <w:lang w:val="en-US" w:eastAsia="zh-CN"/>
        </w:rPr>
      </w:pPr>
    </w:p>
    <w:p w14:paraId="0FB7443F">
      <w:pPr>
        <w:outlineLvl w:val="1"/>
        <w:rPr>
          <w:rFonts w:hint="eastAsia" w:ascii="宋体" w:hAnsi="宋体" w:eastAsia="宋体" w:cs="宋体"/>
          <w:b/>
          <w:sz w:val="28"/>
          <w:szCs w:val="28"/>
        </w:rPr>
      </w:pPr>
      <w:r>
        <w:rPr>
          <w:rFonts w:hint="eastAsia" w:ascii="宋体" w:hAnsi="宋体" w:eastAsia="宋体" w:cs="宋体"/>
          <w:b/>
          <w:szCs w:val="21"/>
          <w:lang w:val="en-US" w:eastAsia="zh-CN"/>
        </w:rPr>
        <w:t>1.1</w:t>
      </w:r>
      <w:r>
        <w:rPr>
          <w:rFonts w:hint="eastAsia" w:ascii="宋体" w:hAnsi="宋体" w:eastAsia="宋体" w:cs="宋体"/>
          <w:b/>
          <w:szCs w:val="21"/>
        </w:rPr>
        <w:t>投标人资格声明函</w:t>
      </w:r>
      <w:bookmarkEnd w:id="0"/>
      <w:bookmarkEnd w:id="1"/>
      <w:bookmarkEnd w:id="2"/>
    </w:p>
    <w:p w14:paraId="09404081">
      <w:pPr>
        <w:adjustRightInd w:val="0"/>
        <w:snapToGrid w:val="0"/>
        <w:spacing w:line="360" w:lineRule="auto"/>
        <w:rPr>
          <w:rFonts w:hint="eastAsia" w:ascii="宋体" w:hAnsi="宋体" w:eastAsia="宋体" w:cs="宋体"/>
          <w:b/>
          <w:szCs w:val="21"/>
        </w:rPr>
      </w:pPr>
    </w:p>
    <w:p w14:paraId="15F5002E">
      <w:pPr>
        <w:adjustRightInd w:val="0"/>
        <w:snapToGrid w:val="0"/>
        <w:spacing w:line="360" w:lineRule="auto"/>
        <w:rPr>
          <w:rFonts w:hint="eastAsia" w:ascii="宋体" w:hAnsi="宋体" w:eastAsia="宋体" w:cs="宋体"/>
          <w:b/>
          <w:lang w:eastAsia="zh-CN"/>
        </w:rPr>
      </w:pPr>
      <w:r>
        <w:rPr>
          <w:rFonts w:hint="eastAsia" w:ascii="宋体" w:hAnsi="宋体" w:eastAsia="宋体" w:cs="宋体"/>
          <w:b/>
          <w:szCs w:val="21"/>
        </w:rPr>
        <w:t>国义招标股份有限公司</w:t>
      </w:r>
      <w:r>
        <w:rPr>
          <w:rFonts w:hint="eastAsia" w:ascii="宋体" w:hAnsi="宋体" w:eastAsia="宋体" w:cs="宋体"/>
          <w:b/>
          <w:szCs w:val="21"/>
          <w:lang w:eastAsia="zh-CN"/>
        </w:rPr>
        <w:t>：</w:t>
      </w:r>
    </w:p>
    <w:p w14:paraId="168DF35B">
      <w:pPr>
        <w:adjustRightInd w:val="0"/>
        <w:snapToGrid w:val="0"/>
        <w:spacing w:line="360" w:lineRule="auto"/>
        <w:ind w:firstLine="444" w:firstLineChars="202"/>
        <w:rPr>
          <w:rFonts w:hint="eastAsia" w:ascii="宋体" w:hAnsi="宋体" w:eastAsia="宋体" w:cs="宋体"/>
          <w:color w:val="auto"/>
          <w:highlight w:val="none"/>
        </w:rPr>
      </w:pPr>
      <w:r>
        <w:rPr>
          <w:rFonts w:hint="eastAsia" w:ascii="宋体" w:hAnsi="宋体" w:eastAsia="宋体" w:cs="宋体"/>
          <w:color w:val="auto"/>
          <w:highlight w:val="none"/>
        </w:rPr>
        <w:t>关于贵公司</w:t>
      </w:r>
      <w:r>
        <w:rPr>
          <w:rFonts w:hint="eastAsia" w:ascii="宋体" w:hAnsi="宋体" w:eastAsia="宋体" w:cs="宋体"/>
          <w:color w:val="auto"/>
          <w:highlight w:val="none"/>
          <w:u w:val="single"/>
        </w:rPr>
        <w:t>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w:t>
      </w:r>
      <w:r>
        <w:rPr>
          <w:rFonts w:hint="eastAsia" w:ascii="宋体" w:hAnsi="宋体" w:eastAsia="宋体" w:cs="宋体"/>
          <w:color w:val="auto"/>
          <w:highlight w:val="none"/>
        </w:rPr>
        <w:t>日发布</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项目（项目编号：0724-XXXXXXXX）的采购公告，本公司（企业）愿意参加投标，并声明：</w:t>
      </w:r>
    </w:p>
    <w:p w14:paraId="5B9AD564">
      <w:pPr>
        <w:adjustRightInd w:val="0"/>
        <w:snapToGrid w:val="0"/>
        <w:spacing w:line="360" w:lineRule="auto"/>
        <w:ind w:firstLine="444" w:firstLineChars="202"/>
        <w:rPr>
          <w:rFonts w:hint="eastAsia" w:ascii="宋体" w:hAnsi="宋体" w:eastAsia="宋体" w:cs="宋体"/>
          <w:color w:val="auto"/>
          <w:highlight w:val="none"/>
        </w:rPr>
      </w:pPr>
      <w:r>
        <w:rPr>
          <w:rFonts w:hint="eastAsia" w:ascii="宋体" w:hAnsi="宋体" w:eastAsia="宋体" w:cs="宋体"/>
          <w:color w:val="auto"/>
          <w:highlight w:val="none"/>
        </w:rPr>
        <w:t>(1)本公司（企业）具备《中华人民共和国政府采购法》第二十二条资格条件，并已清楚招标文件的要求及有关文件规定。</w:t>
      </w:r>
    </w:p>
    <w:p w14:paraId="4410A821">
      <w:pPr>
        <w:adjustRightInd w:val="0"/>
        <w:snapToGrid w:val="0"/>
        <w:spacing w:line="360" w:lineRule="auto"/>
        <w:ind w:firstLine="444" w:firstLineChars="202"/>
        <w:rPr>
          <w:rFonts w:hint="eastAsia" w:ascii="宋体" w:hAnsi="宋体" w:eastAsia="宋体" w:cs="宋体"/>
          <w:color w:val="auto"/>
          <w:highlight w:val="none"/>
        </w:rPr>
      </w:pPr>
      <w:r>
        <w:rPr>
          <w:rFonts w:hint="eastAsia" w:ascii="宋体" w:hAnsi="宋体" w:eastAsia="宋体" w:cs="宋体"/>
          <w:color w:val="auto"/>
          <w:highlight w:val="none"/>
        </w:rPr>
        <w:t>(2)本公司（企业）具有良好的商业信誉和健全的财务会计制度</w:t>
      </w:r>
      <w:r>
        <w:rPr>
          <w:rFonts w:hint="eastAsia" w:ascii="宋体" w:hAnsi="宋体" w:eastAsia="宋体" w:cs="宋体"/>
          <w:color w:val="auto"/>
          <w:highlight w:val="none"/>
          <w:lang w:val="zh-CN"/>
        </w:rPr>
        <w:t>；</w:t>
      </w:r>
      <w:r>
        <w:rPr>
          <w:rFonts w:hint="eastAsia" w:ascii="宋体" w:hAnsi="宋体" w:eastAsia="宋体" w:cs="宋体"/>
          <w:color w:val="auto"/>
          <w:highlight w:val="none"/>
        </w:rPr>
        <w:t>有依法缴纳税收和社会保障资金的良好记录</w:t>
      </w:r>
      <w:r>
        <w:rPr>
          <w:rFonts w:hint="eastAsia" w:ascii="宋体" w:hAnsi="宋体" w:eastAsia="宋体" w:cs="宋体"/>
          <w:color w:val="auto"/>
          <w:highlight w:val="none"/>
          <w:lang w:val="zh-CN"/>
        </w:rPr>
        <w:t>；</w:t>
      </w:r>
      <w:r>
        <w:rPr>
          <w:rFonts w:hint="eastAsia" w:ascii="宋体" w:hAnsi="宋体" w:eastAsia="宋体" w:cs="宋体"/>
          <w:color w:val="auto"/>
          <w:highlight w:val="none"/>
        </w:rPr>
        <w:t>具有履行合同所必需的设备和专业技术能力，且本公司（企业）参加政府采购活动前3年内在经营活动中没有重大违法记录。否则，由此所造成的损失、不良后果及法律责任，一律由我公司（企业）承担。</w:t>
      </w:r>
    </w:p>
    <w:p w14:paraId="53910E11">
      <w:pPr>
        <w:adjustRightInd w:val="0"/>
        <w:snapToGrid w:val="0"/>
        <w:spacing w:line="360" w:lineRule="auto"/>
        <w:ind w:firstLine="444" w:firstLineChars="202"/>
        <w:rPr>
          <w:rFonts w:hint="eastAsia" w:ascii="宋体" w:hAnsi="宋体" w:eastAsia="宋体" w:cs="宋体"/>
          <w:color w:val="auto"/>
          <w:highlight w:val="none"/>
        </w:rPr>
      </w:pPr>
      <w:r>
        <w:rPr>
          <w:rFonts w:hint="eastAsia" w:ascii="宋体" w:hAnsi="宋体" w:eastAsia="宋体" w:cs="宋体"/>
          <w:color w:val="auto"/>
          <w:highlight w:val="none"/>
        </w:rPr>
        <w:t>(3)关于本企业信用情况，经对“信用中国”网站（www.creditchina.gov.cn）、“中国政府采购网”（ www.ccgp.gov.cn）信用记录信息的查询，截至规定的投标截止时间，我司没有被列入失信被执行人、税收违法黑名单、政府采购、环境保护、知识产权等领域严重违法失信行为记录名单中。</w:t>
      </w:r>
    </w:p>
    <w:p w14:paraId="4FC11F84">
      <w:pPr>
        <w:adjustRightInd w:val="0"/>
        <w:snapToGrid w:val="0"/>
        <w:spacing w:line="360" w:lineRule="auto"/>
        <w:ind w:firstLine="444" w:firstLineChars="202"/>
        <w:rPr>
          <w:rFonts w:hint="eastAsia" w:ascii="宋体" w:hAnsi="宋体" w:eastAsia="宋体" w:cs="宋体"/>
          <w:color w:val="auto"/>
          <w:highlight w:val="none"/>
        </w:rPr>
      </w:pPr>
      <w:r>
        <w:rPr>
          <w:rFonts w:hint="eastAsia" w:ascii="宋体" w:hAnsi="宋体" w:eastAsia="宋体" w:cs="宋体"/>
          <w:color w:val="auto"/>
          <w:highlight w:val="none"/>
        </w:rPr>
        <w:t>(4)经核实，本公司不存在以下情况：单位负责人为同一人或者存在直接控股、管理关系的不同供应商，参加同一合同项下的政府采购活动。</w:t>
      </w:r>
    </w:p>
    <w:p w14:paraId="3B928D5C">
      <w:pPr>
        <w:adjustRightInd w:val="0"/>
        <w:snapToGrid w:val="0"/>
        <w:spacing w:line="360" w:lineRule="auto"/>
        <w:ind w:firstLine="444" w:firstLineChars="202"/>
        <w:rPr>
          <w:rFonts w:hint="eastAsia" w:ascii="宋体" w:hAnsi="宋体" w:eastAsia="宋体" w:cs="宋体"/>
          <w:color w:val="auto"/>
          <w:highlight w:val="none"/>
        </w:rPr>
      </w:pPr>
      <w:r>
        <w:rPr>
          <w:rFonts w:hint="eastAsia" w:ascii="宋体" w:hAnsi="宋体" w:eastAsia="宋体" w:cs="宋体"/>
          <w:color w:val="auto"/>
          <w:highlight w:val="none"/>
        </w:rPr>
        <w:t>(5) 经核实，本公司不存在以下情况：为采购项目提供整体设计、规范编制或者项目管理、监理、检测等服务的供应商，再参加该采购项目的其他采购活动。</w:t>
      </w:r>
    </w:p>
    <w:p w14:paraId="4DB34063">
      <w:pPr>
        <w:adjustRightInd w:val="0"/>
        <w:snapToGrid w:val="0"/>
        <w:spacing w:line="360" w:lineRule="auto"/>
        <w:ind w:firstLine="444" w:firstLineChars="202"/>
        <w:rPr>
          <w:rFonts w:hint="eastAsia" w:ascii="宋体" w:hAnsi="宋体" w:eastAsia="宋体" w:cs="宋体"/>
          <w:color w:val="auto"/>
          <w:highlight w:val="none"/>
        </w:rPr>
      </w:pPr>
      <w:r>
        <w:rPr>
          <w:rFonts w:hint="eastAsia" w:ascii="宋体" w:hAnsi="宋体" w:eastAsia="宋体" w:cs="宋体"/>
          <w:color w:val="auto"/>
          <w:highlight w:val="none"/>
        </w:rPr>
        <w:t>（6）本公司不属于联合体投标，承诺如果中标不分包转包。</w:t>
      </w:r>
    </w:p>
    <w:p w14:paraId="691ABAB6">
      <w:pPr>
        <w:adjustRightInd w:val="0"/>
        <w:snapToGrid w:val="0"/>
        <w:spacing w:line="360" w:lineRule="auto"/>
        <w:ind w:firstLine="444" w:firstLineChars="202"/>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本公司</w:t>
      </w:r>
      <w:r>
        <w:rPr>
          <w:rFonts w:hint="eastAsia" w:ascii="宋体" w:hAnsi="宋体" w:eastAsia="宋体" w:cs="宋体"/>
          <w:color w:val="auto"/>
          <w:highlight w:val="none"/>
          <w:lang w:eastAsia="zh-CN"/>
        </w:rPr>
        <w:t>符合法律、行政法规规定的其他条件。</w:t>
      </w:r>
    </w:p>
    <w:p w14:paraId="4D69099A">
      <w:pPr>
        <w:adjustRightInd w:val="0"/>
        <w:snapToGrid w:val="0"/>
        <w:spacing w:line="360" w:lineRule="auto"/>
        <w:ind w:firstLine="444" w:firstLineChars="202"/>
        <w:rPr>
          <w:rFonts w:hint="eastAsia" w:ascii="宋体" w:hAnsi="宋体" w:eastAsia="宋体" w:cs="宋体"/>
          <w:color w:val="auto"/>
          <w:highlight w:val="none"/>
        </w:rPr>
      </w:pPr>
      <w:r>
        <w:rPr>
          <w:rFonts w:hint="eastAsia" w:ascii="宋体" w:hAnsi="宋体" w:eastAsia="宋体" w:cs="宋体"/>
          <w:color w:val="auto"/>
          <w:highlight w:val="none"/>
        </w:rPr>
        <w:t>本次招标采购活动中，本单位保证全部投标文件和问题的回答是真实和有效的，并对所提供资料的真实性和正确性承担法律责任。</w:t>
      </w:r>
    </w:p>
    <w:p w14:paraId="02EC4135">
      <w:pPr>
        <w:adjustRightInd w:val="0"/>
        <w:snapToGrid w:val="0"/>
        <w:spacing w:line="360" w:lineRule="auto"/>
        <w:ind w:firstLine="444" w:firstLineChars="202"/>
        <w:rPr>
          <w:rFonts w:hint="eastAsia" w:ascii="宋体" w:hAnsi="宋体" w:eastAsia="宋体" w:cs="宋体"/>
          <w:color w:val="auto"/>
          <w:highlight w:val="none"/>
        </w:rPr>
      </w:pPr>
      <w:r>
        <w:rPr>
          <w:rFonts w:hint="eastAsia" w:ascii="宋体" w:hAnsi="宋体" w:eastAsia="宋体" w:cs="宋体"/>
          <w:color w:val="auto"/>
          <w:highlight w:val="none"/>
        </w:rPr>
        <w:t>如有违法、违规、弄虚作假行为，所造成的损失、不良后果及法律责任，一律由我公司（企业）承担。</w:t>
      </w:r>
    </w:p>
    <w:p w14:paraId="2DA31208">
      <w:pPr>
        <w:spacing w:line="360" w:lineRule="auto"/>
        <w:ind w:firstLine="420"/>
        <w:rPr>
          <w:rFonts w:hint="eastAsia" w:ascii="宋体" w:hAnsi="宋体" w:eastAsia="宋体" w:cs="宋体"/>
          <w:color w:val="auto"/>
          <w:szCs w:val="21"/>
          <w:highlight w:val="none"/>
        </w:rPr>
      </w:pPr>
      <w:r>
        <w:rPr>
          <w:rFonts w:hint="eastAsia" w:ascii="宋体" w:hAnsi="宋体" w:eastAsia="宋体" w:cs="宋体"/>
          <w:b/>
          <w:color w:val="auto"/>
          <w:highlight w:val="none"/>
        </w:rPr>
        <w:t>特此声明！</w:t>
      </w:r>
    </w:p>
    <w:p w14:paraId="4683043C">
      <w:pPr>
        <w:spacing w:line="360" w:lineRule="auto"/>
        <w:rPr>
          <w:rFonts w:hint="eastAsia" w:ascii="宋体" w:hAnsi="宋体" w:eastAsia="宋体" w:cs="宋体"/>
          <w:highlight w:val="none"/>
        </w:rPr>
      </w:pPr>
      <w:r>
        <w:rPr>
          <w:rFonts w:hint="eastAsia" w:ascii="宋体" w:hAnsi="宋体" w:eastAsia="宋体" w:cs="宋体"/>
          <w:b/>
          <w:highlight w:val="none"/>
        </w:rPr>
        <w:t>附件：</w:t>
      </w:r>
    </w:p>
    <w:p w14:paraId="4C99F5C9">
      <w:pPr>
        <w:rPr>
          <w:rFonts w:hint="eastAsia" w:ascii="宋体" w:hAnsi="宋体" w:eastAsia="宋体" w:cs="宋体"/>
          <w:highlight w:val="none"/>
        </w:rPr>
      </w:pPr>
      <w:r>
        <w:rPr>
          <w:rFonts w:hint="eastAsia" w:ascii="宋体" w:hAnsi="宋体" w:eastAsia="宋体" w:cs="宋体"/>
          <w:highlight w:val="none"/>
          <w:lang w:val="en-US" w:eastAsia="zh-CN"/>
        </w:rPr>
        <w:t>1.</w:t>
      </w:r>
      <w:r>
        <w:rPr>
          <w:rFonts w:hint="eastAsia" w:ascii="宋体" w:hAnsi="宋体" w:eastAsia="宋体" w:cs="宋体"/>
          <w:highlight w:val="none"/>
        </w:rPr>
        <w:t>企业股东构成情况表</w:t>
      </w:r>
    </w:p>
    <w:p w14:paraId="461E50D0">
      <w:pPr>
        <w:adjustRightInd w:val="0"/>
        <w:snapToGrid w:val="0"/>
        <w:rPr>
          <w:rFonts w:hint="eastAsia" w:ascii="宋体" w:hAnsi="宋体" w:eastAsia="宋体" w:cs="宋体"/>
          <w:szCs w:val="21"/>
        </w:rPr>
      </w:pPr>
    </w:p>
    <w:p w14:paraId="1BEAF9A4">
      <w:pPr>
        <w:adjustRightInd w:val="0"/>
        <w:snapToGrid w:val="0"/>
        <w:rPr>
          <w:rFonts w:hint="eastAsia" w:ascii="宋体" w:hAnsi="宋体" w:eastAsia="宋体" w:cs="宋体"/>
          <w:szCs w:val="21"/>
        </w:rPr>
      </w:pPr>
      <w:r>
        <w:rPr>
          <w:rFonts w:hint="eastAsia" w:ascii="宋体" w:hAnsi="宋体" w:eastAsia="宋体" w:cs="宋体"/>
          <w:szCs w:val="21"/>
        </w:rPr>
        <w:t>投标人法定代表人（或法定代表人授权代表）签字：</w:t>
      </w:r>
      <w:r>
        <w:rPr>
          <w:rFonts w:hint="eastAsia" w:ascii="宋体" w:hAnsi="宋体" w:eastAsia="宋体" w:cs="宋体"/>
          <w:szCs w:val="21"/>
          <w:u w:val="single"/>
        </w:rPr>
        <w:t xml:space="preserve">                   </w:t>
      </w:r>
    </w:p>
    <w:p w14:paraId="6F17EF8B">
      <w:pPr>
        <w:adjustRightInd w:val="0"/>
        <w:snapToGrid w:val="0"/>
        <w:rPr>
          <w:rFonts w:hint="eastAsia" w:ascii="宋体" w:hAnsi="宋体" w:eastAsia="宋体" w:cs="宋体"/>
          <w:szCs w:val="21"/>
          <w:u w:val="single"/>
        </w:rPr>
      </w:pPr>
      <w:r>
        <w:rPr>
          <w:rFonts w:hint="eastAsia" w:ascii="宋体" w:hAnsi="宋体" w:eastAsia="宋体" w:cs="宋体"/>
          <w:szCs w:val="21"/>
        </w:rPr>
        <w:t>投标人名称（加盖公章）：</w:t>
      </w:r>
      <w:r>
        <w:rPr>
          <w:rFonts w:hint="eastAsia" w:ascii="宋体" w:hAnsi="宋体" w:eastAsia="宋体" w:cs="宋体"/>
          <w:szCs w:val="21"/>
          <w:u w:val="single"/>
        </w:rPr>
        <w:t xml:space="preserve">                        </w:t>
      </w:r>
    </w:p>
    <w:p w14:paraId="62EC4CEE">
      <w:pPr>
        <w:adjustRightInd w:val="0"/>
        <w:snapToGrid w:val="0"/>
        <w:rPr>
          <w:rFonts w:hint="eastAsia" w:ascii="宋体" w:hAnsi="宋体" w:eastAsia="宋体" w:cs="宋体"/>
          <w:szCs w:val="21"/>
        </w:rPr>
      </w:pP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 xml:space="preserve"> 月</w:t>
      </w:r>
      <w:r>
        <w:rPr>
          <w:rFonts w:hint="eastAsia" w:ascii="宋体" w:hAnsi="宋体" w:eastAsia="宋体" w:cs="宋体"/>
          <w:szCs w:val="21"/>
          <w:u w:val="single"/>
        </w:rPr>
        <w:t xml:space="preserve">    </w:t>
      </w:r>
      <w:r>
        <w:rPr>
          <w:rFonts w:hint="eastAsia" w:ascii="宋体" w:hAnsi="宋体" w:eastAsia="宋体" w:cs="宋体"/>
          <w:szCs w:val="21"/>
        </w:rPr>
        <w:t xml:space="preserve"> 日</w:t>
      </w:r>
    </w:p>
    <w:p w14:paraId="17AECCA8">
      <w:pPr>
        <w:jc w:val="center"/>
        <w:rPr>
          <w:rFonts w:hint="eastAsia" w:ascii="宋体" w:hAnsi="宋体" w:eastAsia="宋体" w:cs="宋体"/>
          <w:b/>
          <w:sz w:val="28"/>
          <w:szCs w:val="28"/>
          <w:highlight w:val="none"/>
        </w:rPr>
      </w:pPr>
      <w:r>
        <w:rPr>
          <w:rFonts w:hint="eastAsia" w:ascii="宋体" w:hAnsi="宋体" w:eastAsia="宋体" w:cs="宋体"/>
          <w:b/>
          <w:color w:val="auto"/>
          <w:sz w:val="36"/>
          <w:szCs w:val="36"/>
        </w:rPr>
        <w:br w:type="page"/>
      </w:r>
      <w:r>
        <w:rPr>
          <w:rFonts w:hint="eastAsia" w:ascii="宋体" w:hAnsi="宋体" w:eastAsia="宋体" w:cs="宋体"/>
          <w:b/>
          <w:sz w:val="28"/>
          <w:szCs w:val="28"/>
          <w:highlight w:val="none"/>
        </w:rPr>
        <w:t>企业股东构成情况表</w:t>
      </w:r>
    </w:p>
    <w:p w14:paraId="0305EF9C">
      <w:pPr>
        <w:jc w:val="left"/>
        <w:rPr>
          <w:rFonts w:hint="eastAsia" w:ascii="宋体" w:hAnsi="宋体" w:eastAsia="宋体" w:cs="宋体"/>
          <w:b/>
          <w:sz w:val="24"/>
          <w:highlight w:val="none"/>
        </w:rPr>
      </w:pPr>
    </w:p>
    <w:tbl>
      <w:tblPr>
        <w:tblStyle w:val="24"/>
        <w:tblW w:w="903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1276"/>
        <w:gridCol w:w="284"/>
        <w:gridCol w:w="1417"/>
        <w:gridCol w:w="1496"/>
        <w:gridCol w:w="630"/>
        <w:gridCol w:w="448"/>
        <w:gridCol w:w="545"/>
        <w:gridCol w:w="1134"/>
        <w:gridCol w:w="1134"/>
      </w:tblGrid>
      <w:tr w14:paraId="5DC6E5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951" w:type="dxa"/>
            <w:gridSpan w:val="2"/>
            <w:tcBorders>
              <w:top w:val="single" w:color="auto" w:sz="4" w:space="0"/>
              <w:left w:val="single" w:color="auto" w:sz="4" w:space="0"/>
              <w:bottom w:val="single" w:color="auto" w:sz="4" w:space="0"/>
              <w:right w:val="single" w:color="auto" w:sz="4" w:space="0"/>
            </w:tcBorders>
            <w:noWrap w:val="0"/>
            <w:vAlign w:val="center"/>
          </w:tcPr>
          <w:p w14:paraId="48F7740A">
            <w:pPr>
              <w:topLinePunct/>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企业名称</w:t>
            </w:r>
          </w:p>
        </w:tc>
        <w:tc>
          <w:tcPr>
            <w:tcW w:w="7088" w:type="dxa"/>
            <w:gridSpan w:val="8"/>
            <w:tcBorders>
              <w:top w:val="single" w:color="auto" w:sz="4" w:space="0"/>
              <w:left w:val="single" w:color="auto" w:sz="4" w:space="0"/>
              <w:bottom w:val="single" w:color="auto" w:sz="4" w:space="0"/>
              <w:right w:val="single" w:color="auto" w:sz="4" w:space="0"/>
            </w:tcBorders>
            <w:noWrap w:val="0"/>
            <w:vAlign w:val="center"/>
          </w:tcPr>
          <w:p w14:paraId="07AF1FBB">
            <w:pPr>
              <w:topLinePunct/>
              <w:spacing w:line="440" w:lineRule="exact"/>
              <w:jc w:val="center"/>
              <w:rPr>
                <w:rFonts w:hint="eastAsia" w:ascii="宋体" w:hAnsi="宋体" w:eastAsia="宋体" w:cs="宋体"/>
                <w:szCs w:val="21"/>
                <w:highlight w:val="none"/>
              </w:rPr>
            </w:pPr>
          </w:p>
        </w:tc>
      </w:tr>
      <w:tr w14:paraId="00EEC2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951" w:type="dxa"/>
            <w:gridSpan w:val="2"/>
            <w:tcBorders>
              <w:top w:val="single" w:color="auto" w:sz="4" w:space="0"/>
              <w:left w:val="single" w:color="auto" w:sz="4" w:space="0"/>
              <w:bottom w:val="single" w:color="auto" w:sz="4" w:space="0"/>
              <w:right w:val="single" w:color="auto" w:sz="4" w:space="0"/>
            </w:tcBorders>
            <w:noWrap w:val="0"/>
            <w:vAlign w:val="center"/>
          </w:tcPr>
          <w:p w14:paraId="1F8A314B">
            <w:pPr>
              <w:topLinePunct/>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注册地址</w:t>
            </w:r>
          </w:p>
        </w:tc>
        <w:tc>
          <w:tcPr>
            <w:tcW w:w="3197" w:type="dxa"/>
            <w:gridSpan w:val="3"/>
            <w:tcBorders>
              <w:top w:val="single" w:color="auto" w:sz="4" w:space="0"/>
              <w:left w:val="single" w:color="auto" w:sz="4" w:space="0"/>
              <w:bottom w:val="single" w:color="auto" w:sz="4" w:space="0"/>
              <w:right w:val="single" w:color="auto" w:sz="4" w:space="0"/>
            </w:tcBorders>
            <w:noWrap w:val="0"/>
            <w:vAlign w:val="center"/>
          </w:tcPr>
          <w:p w14:paraId="0C561A4E">
            <w:pPr>
              <w:topLinePunct/>
              <w:spacing w:line="440" w:lineRule="exact"/>
              <w:jc w:val="center"/>
              <w:rPr>
                <w:rFonts w:hint="eastAsia" w:ascii="宋体" w:hAnsi="宋体" w:eastAsia="宋体" w:cs="宋体"/>
                <w:szCs w:val="21"/>
                <w:highlight w:val="none"/>
              </w:rPr>
            </w:pPr>
          </w:p>
        </w:tc>
        <w:tc>
          <w:tcPr>
            <w:tcW w:w="1078" w:type="dxa"/>
            <w:gridSpan w:val="2"/>
            <w:tcBorders>
              <w:top w:val="single" w:color="auto" w:sz="4" w:space="0"/>
              <w:left w:val="single" w:color="auto" w:sz="4" w:space="0"/>
              <w:bottom w:val="single" w:color="auto" w:sz="4" w:space="0"/>
              <w:right w:val="single" w:color="auto" w:sz="4" w:space="0"/>
            </w:tcBorders>
            <w:noWrap w:val="0"/>
            <w:vAlign w:val="center"/>
          </w:tcPr>
          <w:p w14:paraId="779375F8">
            <w:pPr>
              <w:topLinePunct/>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企业类型</w:t>
            </w:r>
          </w:p>
        </w:tc>
        <w:tc>
          <w:tcPr>
            <w:tcW w:w="2813" w:type="dxa"/>
            <w:gridSpan w:val="3"/>
            <w:tcBorders>
              <w:top w:val="single" w:color="auto" w:sz="4" w:space="0"/>
              <w:left w:val="single" w:color="auto" w:sz="4" w:space="0"/>
              <w:bottom w:val="single" w:color="auto" w:sz="4" w:space="0"/>
              <w:right w:val="single" w:color="auto" w:sz="4" w:space="0"/>
            </w:tcBorders>
            <w:noWrap w:val="0"/>
            <w:vAlign w:val="center"/>
          </w:tcPr>
          <w:p w14:paraId="50BDDBBD">
            <w:pPr>
              <w:topLinePunct/>
              <w:spacing w:line="440" w:lineRule="exact"/>
              <w:jc w:val="center"/>
              <w:rPr>
                <w:rFonts w:hint="eastAsia" w:ascii="宋体" w:hAnsi="宋体" w:eastAsia="宋体" w:cs="宋体"/>
                <w:szCs w:val="21"/>
                <w:highlight w:val="none"/>
              </w:rPr>
            </w:pPr>
          </w:p>
        </w:tc>
      </w:tr>
      <w:tr w14:paraId="198D40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951" w:type="dxa"/>
            <w:gridSpan w:val="2"/>
            <w:tcBorders>
              <w:top w:val="single" w:color="auto" w:sz="4" w:space="0"/>
              <w:left w:val="single" w:color="auto" w:sz="4" w:space="0"/>
              <w:bottom w:val="single" w:color="auto" w:sz="4" w:space="0"/>
              <w:right w:val="single" w:color="auto" w:sz="4" w:space="0"/>
            </w:tcBorders>
            <w:noWrap w:val="0"/>
            <w:vAlign w:val="center"/>
          </w:tcPr>
          <w:p w14:paraId="02D72133">
            <w:pPr>
              <w:topLinePunct/>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法定代表人姓名</w:t>
            </w:r>
          </w:p>
        </w:tc>
        <w:tc>
          <w:tcPr>
            <w:tcW w:w="3197" w:type="dxa"/>
            <w:gridSpan w:val="3"/>
            <w:tcBorders>
              <w:top w:val="single" w:color="auto" w:sz="4" w:space="0"/>
              <w:left w:val="single" w:color="auto" w:sz="4" w:space="0"/>
              <w:bottom w:val="single" w:color="auto" w:sz="4" w:space="0"/>
              <w:right w:val="single" w:color="auto" w:sz="4" w:space="0"/>
            </w:tcBorders>
            <w:noWrap w:val="0"/>
            <w:vAlign w:val="center"/>
          </w:tcPr>
          <w:p w14:paraId="7AC5AC91">
            <w:pPr>
              <w:topLinePunct/>
              <w:spacing w:line="440" w:lineRule="exact"/>
              <w:jc w:val="center"/>
              <w:rPr>
                <w:rFonts w:hint="eastAsia" w:ascii="宋体" w:hAnsi="宋体" w:eastAsia="宋体" w:cs="宋体"/>
                <w:szCs w:val="21"/>
                <w:highlight w:val="none"/>
              </w:rPr>
            </w:pPr>
          </w:p>
        </w:tc>
        <w:tc>
          <w:tcPr>
            <w:tcW w:w="1078" w:type="dxa"/>
            <w:gridSpan w:val="2"/>
            <w:tcBorders>
              <w:top w:val="single" w:color="auto" w:sz="4" w:space="0"/>
              <w:left w:val="single" w:color="auto" w:sz="4" w:space="0"/>
              <w:bottom w:val="single" w:color="auto" w:sz="4" w:space="0"/>
              <w:right w:val="single" w:color="auto" w:sz="4" w:space="0"/>
            </w:tcBorders>
            <w:noWrap w:val="0"/>
            <w:vAlign w:val="center"/>
          </w:tcPr>
          <w:p w14:paraId="54DC784A">
            <w:pPr>
              <w:topLinePunct/>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电话</w:t>
            </w:r>
          </w:p>
        </w:tc>
        <w:tc>
          <w:tcPr>
            <w:tcW w:w="2813" w:type="dxa"/>
            <w:gridSpan w:val="3"/>
            <w:tcBorders>
              <w:top w:val="single" w:color="auto" w:sz="4" w:space="0"/>
              <w:left w:val="single" w:color="auto" w:sz="4" w:space="0"/>
              <w:bottom w:val="single" w:color="auto" w:sz="4" w:space="0"/>
              <w:right w:val="single" w:color="auto" w:sz="4" w:space="0"/>
            </w:tcBorders>
            <w:noWrap w:val="0"/>
            <w:vAlign w:val="center"/>
          </w:tcPr>
          <w:p w14:paraId="5EC3D27A">
            <w:pPr>
              <w:topLinePunct/>
              <w:spacing w:line="440" w:lineRule="exact"/>
              <w:jc w:val="center"/>
              <w:rPr>
                <w:rFonts w:hint="eastAsia" w:ascii="宋体" w:hAnsi="宋体" w:eastAsia="宋体" w:cs="宋体"/>
                <w:szCs w:val="21"/>
                <w:highlight w:val="none"/>
              </w:rPr>
            </w:pPr>
          </w:p>
        </w:tc>
      </w:tr>
      <w:tr w14:paraId="6A123A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9039" w:type="dxa"/>
            <w:gridSpan w:val="10"/>
            <w:tcBorders>
              <w:top w:val="single" w:color="auto" w:sz="4" w:space="0"/>
              <w:left w:val="single" w:color="auto" w:sz="4" w:space="0"/>
              <w:bottom w:val="single" w:color="auto" w:sz="4" w:space="0"/>
              <w:right w:val="single" w:color="auto" w:sz="4" w:space="0"/>
            </w:tcBorders>
            <w:noWrap w:val="0"/>
            <w:vAlign w:val="center"/>
          </w:tcPr>
          <w:p w14:paraId="5AC90BA0">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股东及出资信息</w:t>
            </w:r>
          </w:p>
        </w:tc>
      </w:tr>
      <w:tr w14:paraId="1A05F6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2A1885A0">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序号</w:t>
            </w: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3D2C55E9">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股东名称(姓名/股东全称)</w:t>
            </w:r>
          </w:p>
        </w:tc>
        <w:tc>
          <w:tcPr>
            <w:tcW w:w="1417" w:type="dxa"/>
            <w:tcBorders>
              <w:top w:val="single" w:color="auto" w:sz="4" w:space="0"/>
              <w:left w:val="single" w:color="auto" w:sz="4" w:space="0"/>
              <w:bottom w:val="single" w:color="auto" w:sz="4" w:space="0"/>
              <w:right w:val="single" w:color="auto" w:sz="4" w:space="0"/>
            </w:tcBorders>
            <w:noWrap w:val="0"/>
            <w:vAlign w:val="center"/>
          </w:tcPr>
          <w:p w14:paraId="519A1B33">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股东类型</w:t>
            </w:r>
          </w:p>
          <w:p w14:paraId="6A14B5F6">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(自然人股东/法人股东)</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14:paraId="3B49FE5A">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身份证号</w:t>
            </w:r>
          </w:p>
          <w:p w14:paraId="5E91CB9C">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/统一社会信用代码</w:t>
            </w: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7CBCDADC">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出资额(万元)</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EFE8559">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出资方式</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B79F865">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占全部股份比例</w:t>
            </w:r>
          </w:p>
        </w:tc>
      </w:tr>
      <w:tr w14:paraId="3C0042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29A189CD">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7EE7E26B">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75B49203">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14:paraId="4A479D02">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0A6268CF">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658F0A2">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A52A54A">
            <w:pPr>
              <w:topLinePunct/>
              <w:spacing w:line="440" w:lineRule="exact"/>
              <w:jc w:val="center"/>
              <w:rPr>
                <w:rFonts w:hint="eastAsia" w:ascii="宋体" w:hAnsi="宋体" w:eastAsia="宋体" w:cs="宋体"/>
                <w:szCs w:val="21"/>
                <w:highlight w:val="none"/>
              </w:rPr>
            </w:pPr>
          </w:p>
        </w:tc>
      </w:tr>
      <w:tr w14:paraId="122B8E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0803F877">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2B88A4F5">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0E710B99">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14:paraId="34A07767">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62696149">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98EB5EC">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48018DA">
            <w:pPr>
              <w:topLinePunct/>
              <w:spacing w:line="440" w:lineRule="exact"/>
              <w:jc w:val="center"/>
              <w:rPr>
                <w:rFonts w:hint="eastAsia" w:ascii="宋体" w:hAnsi="宋体" w:eastAsia="宋体" w:cs="宋体"/>
                <w:szCs w:val="21"/>
                <w:highlight w:val="none"/>
              </w:rPr>
            </w:pPr>
          </w:p>
        </w:tc>
      </w:tr>
      <w:tr w14:paraId="63EC1A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56B8629C">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366116D">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4B941600">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14:paraId="7DBF8299">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0721F8B8">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918C821">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13FE4EF">
            <w:pPr>
              <w:topLinePunct/>
              <w:spacing w:line="440" w:lineRule="exact"/>
              <w:jc w:val="center"/>
              <w:rPr>
                <w:rFonts w:hint="eastAsia" w:ascii="宋体" w:hAnsi="宋体" w:eastAsia="宋体" w:cs="宋体"/>
                <w:szCs w:val="21"/>
                <w:highlight w:val="none"/>
              </w:rPr>
            </w:pPr>
          </w:p>
        </w:tc>
      </w:tr>
      <w:tr w14:paraId="464100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11BC684B">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728F69F">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3293414C">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14:paraId="08449DE7">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685417B0">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43FCF91">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0CF7ECE">
            <w:pPr>
              <w:topLinePunct/>
              <w:spacing w:line="440" w:lineRule="exact"/>
              <w:jc w:val="center"/>
              <w:rPr>
                <w:rFonts w:hint="eastAsia" w:ascii="宋体" w:hAnsi="宋体" w:eastAsia="宋体" w:cs="宋体"/>
                <w:szCs w:val="21"/>
                <w:highlight w:val="none"/>
              </w:rPr>
            </w:pPr>
          </w:p>
        </w:tc>
      </w:tr>
      <w:tr w14:paraId="26A6FC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764D82F3">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43648A86">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26B4F60C">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14:paraId="27470D11">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61D2DDC3">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34732EB">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CE18E7F">
            <w:pPr>
              <w:topLinePunct/>
              <w:spacing w:line="440" w:lineRule="exact"/>
              <w:jc w:val="center"/>
              <w:rPr>
                <w:rFonts w:hint="eastAsia" w:ascii="宋体" w:hAnsi="宋体" w:eastAsia="宋体" w:cs="宋体"/>
                <w:szCs w:val="21"/>
                <w:highlight w:val="none"/>
              </w:rPr>
            </w:pPr>
          </w:p>
        </w:tc>
      </w:tr>
      <w:tr w14:paraId="75AF0F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33EDAB2B">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47B1568A">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71386F12">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14:paraId="43706999">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0FC9A60C">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AA0E16B">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B96DB29">
            <w:pPr>
              <w:topLinePunct/>
              <w:spacing w:line="440" w:lineRule="exact"/>
              <w:jc w:val="center"/>
              <w:rPr>
                <w:rFonts w:hint="eastAsia" w:ascii="宋体" w:hAnsi="宋体" w:eastAsia="宋体" w:cs="宋体"/>
                <w:szCs w:val="21"/>
                <w:highlight w:val="none"/>
              </w:rPr>
            </w:pPr>
          </w:p>
        </w:tc>
      </w:tr>
    </w:tbl>
    <w:p w14:paraId="79C6E042">
      <w:pPr>
        <w:jc w:val="left"/>
        <w:rPr>
          <w:rFonts w:hint="eastAsia" w:ascii="宋体" w:hAnsi="宋体" w:eastAsia="宋体" w:cs="宋体"/>
          <w:szCs w:val="21"/>
          <w:highlight w:val="none"/>
        </w:rPr>
      </w:pPr>
    </w:p>
    <w:p w14:paraId="180E564F">
      <w:pPr>
        <w:jc w:val="left"/>
        <w:rPr>
          <w:rFonts w:hint="eastAsia" w:ascii="宋体" w:hAnsi="宋体" w:eastAsia="宋体" w:cs="宋体"/>
          <w:szCs w:val="21"/>
          <w:highlight w:val="none"/>
        </w:rPr>
      </w:pPr>
      <w:r>
        <w:rPr>
          <w:rFonts w:hint="eastAsia" w:ascii="宋体" w:hAnsi="宋体" w:eastAsia="宋体" w:cs="宋体"/>
          <w:szCs w:val="21"/>
          <w:highlight w:val="none"/>
        </w:rPr>
        <w:t>备注：</w:t>
      </w:r>
    </w:p>
    <w:p w14:paraId="21724352">
      <w:pPr>
        <w:jc w:val="left"/>
        <w:rPr>
          <w:rFonts w:hint="eastAsia" w:ascii="宋体" w:hAnsi="宋体" w:eastAsia="宋体" w:cs="宋体"/>
          <w:szCs w:val="21"/>
          <w:highlight w:val="none"/>
        </w:rPr>
      </w:pPr>
      <w:r>
        <w:rPr>
          <w:rFonts w:hint="eastAsia" w:ascii="宋体" w:hAnsi="宋体" w:eastAsia="宋体" w:cs="宋体"/>
          <w:szCs w:val="21"/>
          <w:highlight w:val="none"/>
        </w:rPr>
        <w:t>1.股东或出资人为自然人的，填写自然人姓名及身份证号；股东或出资人为法人的，填写法人企业全称及统一社会信用代码。出资方式填写：货物、实物、工艺产权和非专利技术、土地使用权等。</w:t>
      </w:r>
    </w:p>
    <w:p w14:paraId="197632AF">
      <w:pPr>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eastAsia="宋体" w:cs="宋体"/>
          <w:sz w:val="20"/>
          <w:szCs w:val="18"/>
          <w:highlight w:val="none"/>
        </w:rPr>
        <w:t>投标人必须如实填写股东构成情况</w:t>
      </w:r>
      <w:r>
        <w:rPr>
          <w:rFonts w:hint="eastAsia" w:ascii="宋体" w:hAnsi="宋体" w:eastAsia="宋体" w:cs="宋体"/>
          <w:szCs w:val="21"/>
          <w:highlight w:val="none"/>
        </w:rPr>
        <w:t>，具体信息情况应与“国家企业信用信息公示系统” (网站：</w:t>
      </w: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HYPERLINK "http://www.gsxt.gov.cn)查询的信息一致。" </w:instrText>
      </w:r>
      <w:r>
        <w:rPr>
          <w:rFonts w:hint="eastAsia" w:ascii="宋体" w:hAnsi="宋体" w:eastAsia="宋体" w:cs="宋体"/>
          <w:szCs w:val="21"/>
          <w:highlight w:val="none"/>
        </w:rPr>
        <w:fldChar w:fldCharType="separate"/>
      </w:r>
      <w:r>
        <w:rPr>
          <w:rStyle w:val="30"/>
          <w:rFonts w:hint="eastAsia" w:ascii="宋体" w:hAnsi="宋体" w:eastAsia="宋体" w:cs="宋体"/>
          <w:szCs w:val="21"/>
          <w:highlight w:val="none"/>
        </w:rPr>
        <w:t>http://www.gsxt.gov.cn)查询的信息一致。</w:t>
      </w:r>
      <w:r>
        <w:rPr>
          <w:rFonts w:hint="eastAsia" w:ascii="宋体" w:hAnsi="宋体" w:eastAsia="宋体" w:cs="宋体"/>
          <w:szCs w:val="21"/>
          <w:highlight w:val="none"/>
        </w:rPr>
        <w:fldChar w:fldCharType="end"/>
      </w:r>
    </w:p>
    <w:p w14:paraId="01A9997E">
      <w:pPr>
        <w:tabs>
          <w:tab w:val="left" w:pos="654"/>
          <w:tab w:val="left" w:pos="1734"/>
          <w:tab w:val="left" w:pos="2814"/>
          <w:tab w:val="left" w:pos="3894"/>
          <w:tab w:val="left" w:pos="5334"/>
          <w:tab w:val="left" w:pos="6414"/>
          <w:tab w:val="left" w:pos="7254"/>
          <w:tab w:val="left" w:pos="8574"/>
          <w:tab w:val="left" w:pos="9654"/>
        </w:tabs>
        <w:jc w:val="left"/>
        <w:rPr>
          <w:rFonts w:hint="eastAsia" w:ascii="宋体" w:hAnsi="宋体" w:eastAsia="宋体" w:cs="宋体"/>
          <w:b/>
          <w:sz w:val="24"/>
          <w:highlight w:val="none"/>
        </w:rPr>
      </w:pPr>
      <w:r>
        <w:rPr>
          <w:rFonts w:hint="eastAsia" w:ascii="宋体" w:hAnsi="宋体" w:eastAsia="宋体" w:cs="宋体"/>
          <w:b/>
          <w:sz w:val="24"/>
          <w:highlight w:val="none"/>
        </w:rPr>
        <w:br w:type="page"/>
      </w:r>
      <w:r>
        <w:rPr>
          <w:rFonts w:hint="eastAsia" w:ascii="宋体" w:hAnsi="宋体" w:eastAsia="宋体" w:cs="宋体"/>
          <w:b/>
          <w:sz w:val="24"/>
          <w:highlight w:val="none"/>
          <w:lang w:val="en-US" w:eastAsia="zh-CN"/>
        </w:rPr>
        <w:t>1</w:t>
      </w:r>
      <w:r>
        <w:rPr>
          <w:rFonts w:hint="eastAsia" w:ascii="宋体" w:hAnsi="宋体" w:eastAsia="宋体" w:cs="宋体"/>
          <w:b/>
          <w:sz w:val="24"/>
          <w:highlight w:val="none"/>
        </w:rPr>
        <w:t>.2政府采购活动信用记录自查承诺函</w:t>
      </w:r>
    </w:p>
    <w:p w14:paraId="30E594B5">
      <w:pPr>
        <w:ind w:left="405"/>
        <w:rPr>
          <w:rFonts w:hint="eastAsia" w:ascii="宋体" w:hAnsi="宋体" w:eastAsia="宋体" w:cs="宋体"/>
          <w:sz w:val="24"/>
          <w:highlight w:val="none"/>
        </w:rPr>
      </w:pPr>
    </w:p>
    <w:p w14:paraId="43F93EC2">
      <w:pPr>
        <w:adjustRightInd w:val="0"/>
        <w:snapToGrid w:val="0"/>
        <w:spacing w:line="360" w:lineRule="auto"/>
        <w:ind w:firstLine="440" w:firstLineChars="200"/>
        <w:rPr>
          <w:rFonts w:hint="eastAsia" w:ascii="宋体" w:hAnsi="宋体" w:eastAsia="宋体" w:cs="宋体"/>
          <w:szCs w:val="21"/>
          <w:highlight w:val="none"/>
        </w:rPr>
      </w:pPr>
    </w:p>
    <w:p w14:paraId="53ECB1A4">
      <w:pPr>
        <w:tabs>
          <w:tab w:val="left" w:pos="654"/>
          <w:tab w:val="left" w:pos="1734"/>
          <w:tab w:val="left" w:pos="2814"/>
          <w:tab w:val="left" w:pos="3894"/>
          <w:tab w:val="left" w:pos="5334"/>
          <w:tab w:val="left" w:pos="6414"/>
          <w:tab w:val="left" w:pos="7254"/>
          <w:tab w:val="left" w:pos="8574"/>
          <w:tab w:val="left" w:pos="9654"/>
        </w:tabs>
        <w:rPr>
          <w:rFonts w:hint="eastAsia" w:ascii="宋体" w:hAnsi="宋体" w:eastAsia="宋体" w:cs="宋体"/>
          <w:b w:val="0"/>
          <w:bCs/>
          <w:szCs w:val="21"/>
          <w:highlight w:val="none"/>
        </w:rPr>
      </w:pPr>
      <w:r>
        <w:rPr>
          <w:rFonts w:hint="eastAsia" w:ascii="宋体" w:hAnsi="宋体" w:eastAsia="宋体" w:cs="宋体"/>
          <w:b w:val="0"/>
          <w:bCs/>
          <w:szCs w:val="21"/>
          <w:highlight w:val="none"/>
        </w:rPr>
        <w:t>国义招标股份有限公司：</w:t>
      </w:r>
    </w:p>
    <w:p w14:paraId="1B7530EB">
      <w:pPr>
        <w:tabs>
          <w:tab w:val="left" w:pos="654"/>
          <w:tab w:val="left" w:pos="1734"/>
          <w:tab w:val="left" w:pos="2814"/>
          <w:tab w:val="left" w:pos="3894"/>
          <w:tab w:val="left" w:pos="5334"/>
          <w:tab w:val="left" w:pos="6414"/>
          <w:tab w:val="left" w:pos="7254"/>
          <w:tab w:val="left" w:pos="8574"/>
          <w:tab w:val="left" w:pos="9654"/>
        </w:tabs>
        <w:rPr>
          <w:rFonts w:hint="eastAsia" w:ascii="宋体" w:hAnsi="宋体" w:eastAsia="宋体" w:cs="宋体"/>
          <w:b w:val="0"/>
          <w:bCs/>
          <w:szCs w:val="21"/>
          <w:highlight w:val="none"/>
        </w:rPr>
      </w:pPr>
      <w:r>
        <w:rPr>
          <w:rFonts w:hint="eastAsia" w:ascii="宋体" w:hAnsi="宋体" w:eastAsia="宋体" w:cs="宋体"/>
          <w:b w:val="0"/>
          <w:bCs/>
          <w:szCs w:val="21"/>
          <w:highlight w:val="none"/>
        </w:rPr>
        <w:t>  关于本企业信用情况，经对“信用中国”网站（www.creditchina.gov.cn）中企业信用信息、“中国政府采购网”（ www.ccgp.gov.cn）“政府采购严重违法失信行为信息记录”的网上查询，截至规定的投标截止时间，我司没有被列入失信被执行人、税收违法黑名单、政府采购严重违法失信行为记录名单及其他不符合规定条件的供应商名单中。特此承诺！</w:t>
      </w:r>
    </w:p>
    <w:p w14:paraId="69333F88">
      <w:pPr>
        <w:ind w:left="405"/>
        <w:rPr>
          <w:rFonts w:hint="eastAsia" w:ascii="宋体" w:hAnsi="宋体" w:eastAsia="宋体" w:cs="宋体"/>
          <w:b/>
          <w:szCs w:val="21"/>
          <w:highlight w:val="none"/>
        </w:rPr>
      </w:pPr>
    </w:p>
    <w:p w14:paraId="53282AF6">
      <w:pPr>
        <w:ind w:left="405"/>
        <w:rPr>
          <w:rFonts w:hint="eastAsia" w:ascii="宋体" w:hAnsi="宋体" w:eastAsia="宋体" w:cs="宋体"/>
          <w:b/>
          <w:szCs w:val="21"/>
          <w:highlight w:val="none"/>
        </w:rPr>
      </w:pPr>
    </w:p>
    <w:p w14:paraId="6507C5FD">
      <w:pPr>
        <w:ind w:left="405"/>
        <w:rPr>
          <w:rFonts w:hint="eastAsia" w:ascii="宋体" w:hAnsi="宋体" w:eastAsia="宋体" w:cs="宋体"/>
          <w:b/>
          <w:szCs w:val="21"/>
          <w:highlight w:val="none"/>
        </w:rPr>
      </w:pPr>
    </w:p>
    <w:p w14:paraId="148505E7">
      <w:pPr>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投标人法定代表人（或法定代表人授权代表）签字：</w:t>
      </w:r>
      <w:r>
        <w:rPr>
          <w:rFonts w:hint="eastAsia" w:ascii="宋体" w:hAnsi="宋体" w:eastAsia="宋体" w:cs="宋体"/>
          <w:szCs w:val="21"/>
          <w:highlight w:val="none"/>
          <w:u w:val="single"/>
        </w:rPr>
        <w:t xml:space="preserve">                   </w:t>
      </w:r>
    </w:p>
    <w:p w14:paraId="6D34FB8B">
      <w:pPr>
        <w:adjustRightInd w:val="0"/>
        <w:snapToGrid w:val="0"/>
        <w:rPr>
          <w:rFonts w:hint="eastAsia" w:ascii="宋体" w:hAnsi="宋体" w:eastAsia="宋体" w:cs="宋体"/>
          <w:szCs w:val="21"/>
          <w:highlight w:val="none"/>
          <w:u w:val="single"/>
        </w:rPr>
      </w:pPr>
      <w:r>
        <w:rPr>
          <w:rFonts w:hint="eastAsia" w:ascii="宋体" w:hAnsi="宋体" w:eastAsia="宋体" w:cs="宋体"/>
          <w:szCs w:val="21"/>
          <w:highlight w:val="none"/>
        </w:rPr>
        <w:t>投标人名称（加盖公章）：</w:t>
      </w:r>
      <w:r>
        <w:rPr>
          <w:rFonts w:hint="eastAsia" w:ascii="宋体" w:hAnsi="宋体" w:eastAsia="宋体" w:cs="宋体"/>
          <w:szCs w:val="21"/>
          <w:highlight w:val="none"/>
          <w:u w:val="single"/>
        </w:rPr>
        <w:t xml:space="preserve">                        </w:t>
      </w:r>
    </w:p>
    <w:p w14:paraId="4D0588B5">
      <w:pPr>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日期：</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年</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月</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日</w:t>
      </w:r>
    </w:p>
    <w:p w14:paraId="0DC6EB3E">
      <w:pPr>
        <w:ind w:left="405"/>
        <w:rPr>
          <w:rFonts w:hint="eastAsia" w:ascii="宋体" w:hAnsi="宋体" w:eastAsia="宋体" w:cs="宋体"/>
          <w:b/>
          <w:szCs w:val="21"/>
          <w:highlight w:val="none"/>
        </w:rPr>
      </w:pPr>
    </w:p>
    <w:p w14:paraId="3FF79C82">
      <w:pPr>
        <w:ind w:left="405"/>
        <w:rPr>
          <w:rFonts w:hint="eastAsia" w:ascii="宋体" w:hAnsi="宋体" w:eastAsia="宋体" w:cs="宋体"/>
          <w:b/>
          <w:szCs w:val="21"/>
          <w:highlight w:val="none"/>
        </w:rPr>
      </w:pPr>
    </w:p>
    <w:p w14:paraId="00B4FA4D">
      <w:pPr>
        <w:rPr>
          <w:rFonts w:hint="eastAsia" w:ascii="宋体" w:hAnsi="宋体" w:eastAsia="宋体" w:cs="宋体"/>
          <w:b/>
          <w:szCs w:val="21"/>
          <w:highlight w:val="none"/>
        </w:rPr>
      </w:pPr>
      <w:r>
        <w:rPr>
          <w:rFonts w:hint="eastAsia" w:ascii="宋体" w:hAnsi="宋体" w:eastAsia="宋体" w:cs="宋体"/>
          <w:b/>
          <w:szCs w:val="21"/>
          <w:highlight w:val="none"/>
        </w:rPr>
        <w:t>备注：采购方将对函件内容的真实性和有效性进行审查、验证，如有造假或情况不一致，将导致投标无效！</w:t>
      </w:r>
    </w:p>
    <w:p w14:paraId="0EDE5759">
      <w:pPr>
        <w:rPr>
          <w:rFonts w:hint="eastAsia" w:ascii="宋体" w:hAnsi="宋体" w:eastAsia="宋体" w:cs="宋体"/>
          <w:b/>
          <w:szCs w:val="21"/>
          <w:highlight w:val="none"/>
        </w:rPr>
      </w:pPr>
    </w:p>
    <w:p w14:paraId="37D279A1">
      <w:pPr>
        <w:rPr>
          <w:rFonts w:hint="eastAsia" w:ascii="宋体" w:hAnsi="宋体" w:eastAsia="宋体" w:cs="宋体"/>
          <w:b/>
          <w:sz w:val="24"/>
          <w:highlight w:val="none"/>
        </w:rPr>
      </w:pPr>
    </w:p>
    <w:p w14:paraId="156F02A9">
      <w:pPr>
        <w:rPr>
          <w:rFonts w:hint="eastAsia" w:ascii="宋体" w:hAnsi="宋体" w:eastAsia="宋体" w:cs="宋体"/>
          <w:b/>
          <w:sz w:val="24"/>
          <w:highlight w:val="none"/>
        </w:rPr>
      </w:pPr>
    </w:p>
    <w:p w14:paraId="15934E39">
      <w:pPr>
        <w:rPr>
          <w:rFonts w:hint="eastAsia" w:ascii="宋体" w:hAnsi="宋体" w:eastAsia="宋体" w:cs="宋体"/>
          <w:b/>
          <w:sz w:val="24"/>
          <w:highlight w:val="none"/>
        </w:rPr>
      </w:pPr>
    </w:p>
    <w:p w14:paraId="0D150DC6">
      <w:pPr>
        <w:rPr>
          <w:rFonts w:hint="eastAsia" w:ascii="宋体" w:hAnsi="宋体" w:eastAsia="宋体" w:cs="宋体"/>
          <w:b/>
          <w:sz w:val="24"/>
          <w:highlight w:val="none"/>
          <w:lang w:val="en-US" w:eastAsia="zh-CN"/>
        </w:rPr>
      </w:pPr>
      <w:r>
        <w:rPr>
          <w:rFonts w:hint="eastAsia" w:ascii="宋体" w:hAnsi="宋体" w:eastAsia="宋体" w:cs="宋体"/>
          <w:b/>
          <w:sz w:val="24"/>
          <w:highlight w:val="none"/>
          <w:lang w:val="en-US" w:eastAsia="zh-CN"/>
        </w:rPr>
        <w:br w:type="page"/>
      </w:r>
    </w:p>
    <w:p w14:paraId="7B0B8ACD">
      <w:pPr>
        <w:rPr>
          <w:rFonts w:hint="eastAsia" w:hAnsi="宋体" w:cs="宋体"/>
          <w:b/>
          <w:sz w:val="24"/>
          <w:highlight w:val="none"/>
          <w:lang w:val="en-US" w:eastAsia="zh-CN"/>
        </w:rPr>
      </w:pPr>
      <w:r>
        <w:rPr>
          <w:rFonts w:hint="eastAsia" w:ascii="宋体" w:hAnsi="宋体" w:eastAsia="宋体" w:cs="宋体"/>
          <w:b/>
          <w:sz w:val="24"/>
          <w:highlight w:val="none"/>
          <w:lang w:val="en-US" w:eastAsia="zh-CN"/>
        </w:rPr>
        <w:t>1.3法定代表人授权代表声明函</w:t>
      </w:r>
    </w:p>
    <w:p w14:paraId="470C4B71">
      <w:pPr>
        <w:jc w:val="center"/>
        <w:outlineLvl w:val="1"/>
        <w:rPr>
          <w:rFonts w:hint="eastAsia" w:ascii="宋体" w:hAnsi="宋体" w:eastAsia="宋体" w:cs="宋体"/>
          <w:b/>
          <w:sz w:val="28"/>
          <w:szCs w:val="28"/>
        </w:rPr>
      </w:pPr>
      <w:r>
        <w:rPr>
          <w:rFonts w:hint="eastAsia" w:ascii="宋体" w:hAnsi="宋体" w:eastAsia="宋体" w:cs="宋体"/>
          <w:b/>
          <w:szCs w:val="21"/>
        </w:rPr>
        <w:t>法定代表人授权代表声明函</w:t>
      </w:r>
    </w:p>
    <w:p w14:paraId="11B4697B">
      <w:pPr>
        <w:adjustRightInd w:val="0"/>
        <w:snapToGrid w:val="0"/>
        <w:spacing w:line="360" w:lineRule="auto"/>
        <w:rPr>
          <w:rFonts w:hint="eastAsia" w:ascii="宋体" w:hAnsi="宋体" w:eastAsia="宋体" w:cs="宋体"/>
          <w:b/>
          <w:szCs w:val="21"/>
        </w:rPr>
      </w:pPr>
    </w:p>
    <w:p w14:paraId="58AC48DF">
      <w:pPr>
        <w:adjustRightInd w:val="0"/>
        <w:snapToGrid w:val="0"/>
        <w:spacing w:line="360" w:lineRule="auto"/>
        <w:rPr>
          <w:rFonts w:hint="eastAsia" w:ascii="宋体" w:hAnsi="宋体" w:eastAsia="宋体" w:cs="宋体"/>
          <w:b/>
          <w:lang w:eastAsia="zh-CN"/>
        </w:rPr>
      </w:pPr>
      <w:r>
        <w:rPr>
          <w:rFonts w:hint="eastAsia" w:hAnsi="宋体" w:cs="宋体"/>
          <w:b/>
          <w:szCs w:val="21"/>
          <w:lang w:val="en-US" w:eastAsia="zh-CN"/>
        </w:rPr>
        <w:t>国义招标股份有限公司</w:t>
      </w:r>
      <w:r>
        <w:rPr>
          <w:rFonts w:hint="eastAsia" w:ascii="宋体" w:hAnsi="宋体" w:eastAsia="宋体" w:cs="宋体"/>
          <w:b/>
          <w:szCs w:val="21"/>
          <w:lang w:eastAsia="zh-CN"/>
        </w:rPr>
        <w:t>：</w:t>
      </w:r>
    </w:p>
    <w:p w14:paraId="5705645A">
      <w:pPr>
        <w:adjustRightInd w:val="0"/>
        <w:snapToGrid w:val="0"/>
        <w:spacing w:line="360" w:lineRule="auto"/>
        <w:ind w:firstLine="444" w:firstLineChars="202"/>
        <w:rPr>
          <w:rFonts w:hint="eastAsia" w:ascii="宋体" w:hAnsi="宋体" w:eastAsia="宋体" w:cs="宋体"/>
          <w:color w:val="auto"/>
          <w:highlight w:val="none"/>
        </w:rPr>
      </w:pPr>
      <w:r>
        <w:rPr>
          <w:rFonts w:hint="eastAsia" w:ascii="宋体" w:hAnsi="宋体" w:eastAsia="宋体" w:cs="宋体"/>
          <w:color w:val="auto"/>
          <w:highlight w:val="none"/>
        </w:rPr>
        <w:t>关于贵公司</w:t>
      </w:r>
      <w:r>
        <w:rPr>
          <w:rFonts w:hint="eastAsia" w:ascii="宋体" w:hAnsi="宋体" w:eastAsia="宋体" w:cs="宋体"/>
          <w:color w:val="auto"/>
          <w:highlight w:val="none"/>
          <w:u w:val="single"/>
        </w:rPr>
        <w:t>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w:t>
      </w:r>
      <w:r>
        <w:rPr>
          <w:rFonts w:hint="eastAsia" w:ascii="宋体" w:hAnsi="宋体" w:eastAsia="宋体" w:cs="宋体"/>
          <w:color w:val="auto"/>
          <w:highlight w:val="none"/>
        </w:rPr>
        <w:t>日发布</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项目（项目编号：0724-XXXXXXXX）的采购</w:t>
      </w:r>
      <w:r>
        <w:rPr>
          <w:rFonts w:hint="eastAsia" w:hAnsi="宋体" w:cs="宋体"/>
          <w:color w:val="auto"/>
          <w:highlight w:val="none"/>
          <w:lang w:val="en-US" w:eastAsia="zh-CN"/>
        </w:rPr>
        <w:t>项目</w:t>
      </w:r>
      <w:r>
        <w:rPr>
          <w:rFonts w:hint="eastAsia" w:ascii="宋体" w:hAnsi="宋体" w:eastAsia="宋体" w:cs="宋体"/>
          <w:color w:val="auto"/>
          <w:highlight w:val="none"/>
        </w:rPr>
        <w:t>，本公司（企业）愿意参加投标，并声明：</w:t>
      </w:r>
    </w:p>
    <w:p w14:paraId="447A19FE">
      <w:pPr>
        <w:adjustRightInd w:val="0"/>
        <w:snapToGrid w:val="0"/>
        <w:spacing w:line="360" w:lineRule="auto"/>
        <w:ind w:firstLine="444" w:firstLineChars="202"/>
        <w:rPr>
          <w:rFonts w:hint="eastAsia" w:ascii="宋体" w:hAnsi="宋体" w:eastAsia="宋体" w:cs="宋体"/>
          <w:color w:val="auto"/>
          <w:highlight w:val="none"/>
        </w:rPr>
      </w:pPr>
      <w:r>
        <w:rPr>
          <w:rFonts w:hint="eastAsia" w:hAnsi="宋体" w:cs="宋体"/>
          <w:color w:val="auto"/>
          <w:highlight w:val="none"/>
          <w:lang w:val="en-US" w:eastAsia="zh-CN"/>
        </w:rPr>
        <w:t>代表</w:t>
      </w:r>
      <w:r>
        <w:rPr>
          <w:rFonts w:hint="eastAsia" w:ascii="宋体" w:hAnsi="宋体" w:eastAsia="宋体" w:cs="宋体"/>
          <w:color w:val="auto"/>
          <w:highlight w:val="none"/>
        </w:rPr>
        <w:t>本公司（企业）</w:t>
      </w:r>
      <w:r>
        <w:rPr>
          <w:rFonts w:hint="eastAsia" w:hAnsi="宋体" w:cs="宋体"/>
          <w:color w:val="auto"/>
          <w:highlight w:val="none"/>
          <w:lang w:val="en-US" w:eastAsia="zh-CN"/>
        </w:rPr>
        <w:t>参加本项目的</w:t>
      </w:r>
      <w:r>
        <w:rPr>
          <w:color w:val="000000" w:themeColor="text1"/>
          <w:highlight w:val="none"/>
          <w14:textFill>
            <w14:solidFill>
              <w14:schemeClr w14:val="tx1"/>
            </w14:solidFill>
          </w14:textFill>
        </w:rPr>
        <w:t xml:space="preserve"> </w:t>
      </w:r>
      <w:r>
        <w:rPr>
          <w:color w:val="000000" w:themeColor="text1"/>
          <w:highlight w:val="none"/>
          <w:u w:val="single"/>
          <w14:textFill>
            <w14:solidFill>
              <w14:schemeClr w14:val="tx1"/>
            </w14:solidFill>
          </w14:textFill>
        </w:rPr>
        <w:t>（姓名、职务）</w:t>
      </w:r>
      <w:r>
        <w:rPr>
          <w:color w:val="000000" w:themeColor="text1"/>
          <w:highlight w:val="none"/>
          <w14:textFill>
            <w14:solidFill>
              <w14:schemeClr w14:val="tx1"/>
            </w14:solidFill>
          </w14:textFill>
        </w:rPr>
        <w:t xml:space="preserve"> 作为我公司的</w:t>
      </w:r>
      <w:r>
        <w:rPr>
          <w:rFonts w:hint="eastAsia" w:ascii="宋体" w:hAnsi="宋体" w:eastAsia="宋体" w:cs="宋体"/>
          <w:szCs w:val="21"/>
        </w:rPr>
        <w:t>法定代表人授权代表</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系</w:t>
      </w:r>
      <w:r>
        <w:rPr>
          <w:rFonts w:hint="eastAsia" w:ascii="宋体" w:hAnsi="宋体" w:eastAsia="宋体" w:cs="宋体"/>
          <w:color w:val="auto"/>
          <w:highlight w:val="none"/>
        </w:rPr>
        <w:t>本公司（企业）</w:t>
      </w:r>
      <w:r>
        <w:rPr>
          <w:rFonts w:hint="eastAsia"/>
          <w:color w:val="000000" w:themeColor="text1"/>
          <w:highlight w:val="none"/>
          <w:lang w:val="en-US" w:eastAsia="zh-CN"/>
          <w14:textFill>
            <w14:solidFill>
              <w14:schemeClr w14:val="tx1"/>
            </w14:solidFill>
          </w14:textFill>
        </w:rPr>
        <w:t>员工</w:t>
      </w:r>
      <w:r>
        <w:rPr>
          <w:rFonts w:hint="eastAsia" w:ascii="宋体" w:hAnsi="宋体" w:eastAsia="宋体" w:cs="宋体"/>
          <w:color w:val="auto"/>
          <w:highlight w:val="none"/>
        </w:rPr>
        <w:t>。</w:t>
      </w:r>
    </w:p>
    <w:p w14:paraId="621441FB">
      <w:pPr>
        <w:adjustRightInd w:val="0"/>
        <w:snapToGrid w:val="0"/>
        <w:spacing w:line="360" w:lineRule="auto"/>
        <w:ind w:firstLine="444" w:firstLineChars="202"/>
        <w:rPr>
          <w:rFonts w:hint="eastAsia" w:ascii="宋体" w:hAnsi="宋体" w:eastAsia="宋体" w:cs="宋体"/>
          <w:color w:val="auto"/>
          <w:highlight w:val="none"/>
        </w:rPr>
      </w:pPr>
    </w:p>
    <w:p w14:paraId="1C540690">
      <w:pPr>
        <w:spacing w:line="360" w:lineRule="auto"/>
        <w:ind w:firstLine="420"/>
        <w:rPr>
          <w:rFonts w:hint="eastAsia" w:ascii="宋体" w:hAnsi="宋体" w:eastAsia="宋体" w:cs="宋体"/>
          <w:color w:val="auto"/>
          <w:szCs w:val="21"/>
          <w:highlight w:val="none"/>
        </w:rPr>
      </w:pPr>
      <w:r>
        <w:rPr>
          <w:rFonts w:hint="eastAsia" w:ascii="宋体" w:hAnsi="宋体" w:eastAsia="宋体" w:cs="宋体"/>
          <w:b/>
          <w:color w:val="auto"/>
          <w:highlight w:val="none"/>
        </w:rPr>
        <w:t>特此声明！</w:t>
      </w:r>
    </w:p>
    <w:p w14:paraId="4FBF1845">
      <w:pPr>
        <w:spacing w:line="360" w:lineRule="auto"/>
        <w:rPr>
          <w:rFonts w:hint="eastAsia" w:ascii="宋体" w:hAnsi="宋体" w:eastAsia="宋体" w:cs="宋体"/>
          <w:highlight w:val="none"/>
        </w:rPr>
      </w:pPr>
      <w:r>
        <w:rPr>
          <w:rFonts w:hint="eastAsia" w:ascii="宋体" w:hAnsi="宋体" w:eastAsia="宋体" w:cs="宋体"/>
          <w:b/>
          <w:highlight w:val="none"/>
        </w:rPr>
        <w:t>附件：</w:t>
      </w:r>
    </w:p>
    <w:p w14:paraId="6A25C78B">
      <w:pPr>
        <w:rPr>
          <w:rFonts w:hint="default" w:ascii="宋体" w:hAnsi="宋体" w:eastAsia="宋体" w:cs="宋体"/>
          <w:b/>
          <w:bCs/>
          <w:highlight w:val="none"/>
          <w:lang w:val="en-US" w:eastAsia="zh-CN"/>
        </w:rPr>
      </w:pPr>
      <w:r>
        <w:rPr>
          <w:rFonts w:hint="eastAsia" w:hAnsi="宋体" w:cs="宋体"/>
          <w:b/>
          <w:bCs/>
          <w:highlight w:val="none"/>
          <w:lang w:val="en-US" w:eastAsia="zh-CN"/>
        </w:rPr>
        <w:t>法定代表人授权代表近六个月内任意一个月在投标人单位购买社保的证明材料。</w:t>
      </w:r>
    </w:p>
    <w:p w14:paraId="4DDE07D6">
      <w:pPr>
        <w:adjustRightInd w:val="0"/>
        <w:snapToGrid w:val="0"/>
        <w:rPr>
          <w:rFonts w:hint="eastAsia" w:ascii="宋体" w:hAnsi="宋体" w:eastAsia="宋体" w:cs="宋体"/>
          <w:szCs w:val="21"/>
        </w:rPr>
      </w:pPr>
    </w:p>
    <w:p w14:paraId="3F80031D">
      <w:pPr>
        <w:adjustRightInd w:val="0"/>
        <w:snapToGrid w:val="0"/>
        <w:rPr>
          <w:rFonts w:hint="eastAsia" w:ascii="宋体" w:hAnsi="宋体" w:eastAsia="宋体" w:cs="宋体"/>
          <w:szCs w:val="21"/>
        </w:rPr>
      </w:pPr>
      <w:r>
        <w:rPr>
          <w:rFonts w:hint="eastAsia" w:ascii="宋体" w:hAnsi="宋体" w:eastAsia="宋体" w:cs="宋体"/>
          <w:szCs w:val="21"/>
        </w:rPr>
        <w:t>投标人法定代表人（或法定代表人授权代表）签字：</w:t>
      </w:r>
      <w:r>
        <w:rPr>
          <w:rFonts w:hint="eastAsia" w:ascii="宋体" w:hAnsi="宋体" w:eastAsia="宋体" w:cs="宋体"/>
          <w:szCs w:val="21"/>
          <w:u w:val="single"/>
        </w:rPr>
        <w:t xml:space="preserve">                   </w:t>
      </w:r>
    </w:p>
    <w:p w14:paraId="550D5C36">
      <w:pPr>
        <w:adjustRightInd w:val="0"/>
        <w:snapToGrid w:val="0"/>
        <w:rPr>
          <w:rFonts w:hint="eastAsia" w:ascii="宋体" w:hAnsi="宋体" w:eastAsia="宋体" w:cs="宋体"/>
          <w:szCs w:val="21"/>
          <w:u w:val="single"/>
        </w:rPr>
      </w:pPr>
      <w:r>
        <w:rPr>
          <w:rFonts w:hint="eastAsia" w:ascii="宋体" w:hAnsi="宋体" w:eastAsia="宋体" w:cs="宋体"/>
          <w:szCs w:val="21"/>
        </w:rPr>
        <w:t>投标人名称（加盖公章）：</w:t>
      </w:r>
      <w:r>
        <w:rPr>
          <w:rFonts w:hint="eastAsia" w:ascii="宋体" w:hAnsi="宋体" w:eastAsia="宋体" w:cs="宋体"/>
          <w:szCs w:val="21"/>
          <w:u w:val="single"/>
        </w:rPr>
        <w:t xml:space="preserve">                        </w:t>
      </w:r>
    </w:p>
    <w:p w14:paraId="4208DEB6">
      <w:pPr>
        <w:adjustRightInd w:val="0"/>
        <w:snapToGrid w:val="0"/>
        <w:rPr>
          <w:rFonts w:hint="eastAsia" w:ascii="宋体" w:hAnsi="宋体" w:eastAsia="宋体" w:cs="宋体"/>
          <w:szCs w:val="21"/>
        </w:rPr>
      </w:pP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 xml:space="preserve"> 月</w:t>
      </w:r>
      <w:r>
        <w:rPr>
          <w:rFonts w:hint="eastAsia" w:ascii="宋体" w:hAnsi="宋体" w:eastAsia="宋体" w:cs="宋体"/>
          <w:szCs w:val="21"/>
          <w:u w:val="single"/>
        </w:rPr>
        <w:t xml:space="preserve">    </w:t>
      </w:r>
      <w:r>
        <w:rPr>
          <w:rFonts w:hint="eastAsia" w:ascii="宋体" w:hAnsi="宋体" w:eastAsia="宋体" w:cs="宋体"/>
          <w:szCs w:val="21"/>
        </w:rPr>
        <w:t xml:space="preserve"> 日</w:t>
      </w:r>
    </w:p>
    <w:p w14:paraId="2EE0272D">
      <w:pPr>
        <w:rPr>
          <w:rFonts w:hint="default" w:hAnsi="宋体" w:cs="宋体"/>
          <w:b/>
          <w:sz w:val="24"/>
          <w:highlight w:val="none"/>
          <w:lang w:val="en-US" w:eastAsia="zh-CN"/>
        </w:rPr>
      </w:pPr>
    </w:p>
    <w:p w14:paraId="77A302D2">
      <w:pPr>
        <w:rPr>
          <w:rFonts w:hint="eastAsia" w:ascii="宋体" w:hAnsi="宋体" w:eastAsia="宋体" w:cs="宋体"/>
          <w:b/>
          <w:sz w:val="24"/>
          <w:highlight w:val="none"/>
        </w:rPr>
      </w:pPr>
    </w:p>
    <w:p w14:paraId="6F1615D1">
      <w:pPr>
        <w:rPr>
          <w:rFonts w:hint="eastAsia" w:ascii="宋体" w:hAnsi="宋体" w:eastAsia="宋体" w:cs="宋体"/>
          <w:b/>
          <w:sz w:val="24"/>
          <w:highlight w:val="none"/>
        </w:rPr>
      </w:pPr>
    </w:p>
    <w:p w14:paraId="16ABF60D">
      <w:pPr>
        <w:rPr>
          <w:rFonts w:hint="eastAsia" w:ascii="宋体" w:hAnsi="宋体" w:eastAsia="宋体" w:cs="宋体"/>
          <w:b/>
          <w:sz w:val="24"/>
          <w:highlight w:val="none"/>
          <w:lang w:val="en-US" w:eastAsia="zh-CN"/>
        </w:rPr>
      </w:pPr>
    </w:p>
    <w:p w14:paraId="5BD2781C">
      <w:pPr>
        <w:rPr>
          <w:rFonts w:hint="eastAsia" w:ascii="宋体" w:hAnsi="宋体" w:eastAsia="宋体" w:cs="宋体"/>
          <w:b/>
          <w:sz w:val="24"/>
          <w:highlight w:val="none"/>
          <w:lang w:val="en-US" w:eastAsia="zh-CN"/>
        </w:rPr>
      </w:pPr>
    </w:p>
    <w:p w14:paraId="6CC83F1D">
      <w:pPr>
        <w:rPr>
          <w:rFonts w:hint="eastAsia" w:ascii="宋体" w:hAnsi="宋体" w:eastAsia="宋体" w:cs="宋体"/>
          <w:b/>
          <w:sz w:val="24"/>
          <w:highlight w:val="none"/>
          <w:lang w:val="en-US" w:eastAsia="zh-CN"/>
        </w:rPr>
      </w:pPr>
    </w:p>
    <w:p w14:paraId="34F1644C">
      <w:pPr>
        <w:rPr>
          <w:rFonts w:hint="eastAsia" w:ascii="宋体" w:hAnsi="宋体" w:eastAsia="宋体" w:cs="宋体"/>
          <w:b/>
          <w:sz w:val="24"/>
          <w:highlight w:val="none"/>
          <w:lang w:val="en-US" w:eastAsia="zh-CN"/>
        </w:rPr>
      </w:pPr>
    </w:p>
    <w:p w14:paraId="4E917B82">
      <w:pPr>
        <w:rPr>
          <w:rFonts w:hint="eastAsia" w:ascii="宋体" w:hAnsi="宋体" w:eastAsia="宋体" w:cs="宋体"/>
          <w:b/>
          <w:sz w:val="24"/>
          <w:highlight w:val="none"/>
          <w:lang w:val="en-US" w:eastAsia="zh-CN"/>
        </w:rPr>
      </w:pPr>
    </w:p>
    <w:p w14:paraId="7E192005">
      <w:pPr>
        <w:rPr>
          <w:rFonts w:hint="eastAsia" w:ascii="宋体" w:hAnsi="宋体" w:eastAsia="宋体" w:cs="宋体"/>
          <w:b/>
          <w:sz w:val="24"/>
          <w:highlight w:val="none"/>
          <w:lang w:val="en-US" w:eastAsia="zh-CN"/>
        </w:rPr>
      </w:pPr>
    </w:p>
    <w:p w14:paraId="293B11CF">
      <w:pPr>
        <w:rPr>
          <w:rFonts w:hint="eastAsia" w:ascii="宋体" w:hAnsi="宋体" w:eastAsia="宋体" w:cs="宋体"/>
          <w:b/>
          <w:sz w:val="24"/>
          <w:highlight w:val="none"/>
        </w:rPr>
      </w:pPr>
      <w:r>
        <w:rPr>
          <w:rFonts w:hint="eastAsia" w:ascii="宋体" w:hAnsi="宋体" w:eastAsia="宋体" w:cs="宋体"/>
          <w:b/>
          <w:sz w:val="24"/>
          <w:highlight w:val="none"/>
          <w:lang w:val="en-US" w:eastAsia="zh-CN"/>
        </w:rPr>
        <w:t>1</w:t>
      </w:r>
      <w:r>
        <w:rPr>
          <w:rFonts w:hint="eastAsia" w:ascii="宋体" w:hAnsi="宋体" w:eastAsia="宋体" w:cs="宋体"/>
          <w:b/>
          <w:sz w:val="24"/>
          <w:highlight w:val="none"/>
        </w:rPr>
        <w:t>.</w:t>
      </w:r>
      <w:r>
        <w:rPr>
          <w:rFonts w:hint="eastAsia" w:hAnsi="宋体" w:cs="宋体"/>
          <w:b/>
          <w:sz w:val="24"/>
          <w:highlight w:val="none"/>
          <w:lang w:val="en-US" w:eastAsia="zh-CN"/>
        </w:rPr>
        <w:t>4</w:t>
      </w:r>
      <w:r>
        <w:rPr>
          <w:rFonts w:hint="eastAsia" w:ascii="宋体" w:hAnsi="宋体" w:eastAsia="宋体" w:cs="宋体"/>
          <w:b/>
          <w:sz w:val="24"/>
          <w:highlight w:val="none"/>
        </w:rPr>
        <w:t>其他资格证明文件</w:t>
      </w:r>
    </w:p>
    <w:p w14:paraId="519EE6B7">
      <w:pPr>
        <w:rPr>
          <w:rFonts w:hint="eastAsia" w:ascii="宋体" w:hAnsi="宋体" w:eastAsia="宋体" w:cs="宋体"/>
          <w:b/>
          <w:sz w:val="24"/>
          <w:highlight w:val="none"/>
        </w:rPr>
      </w:pPr>
    </w:p>
    <w:p w14:paraId="6FA2F720">
      <w:pPr>
        <w:autoSpaceDE w:val="0"/>
        <w:autoSpaceDN w:val="0"/>
        <w:ind w:right="1400"/>
        <w:rPr>
          <w:rFonts w:hint="eastAsia" w:ascii="宋体" w:hAnsi="宋体" w:eastAsia="宋体" w:cs="宋体"/>
          <w:sz w:val="24"/>
          <w:highlight w:val="none"/>
        </w:rPr>
      </w:pPr>
      <w:r>
        <w:rPr>
          <w:rFonts w:hint="eastAsia" w:ascii="宋体" w:hAnsi="宋体" w:eastAsia="宋体" w:cs="宋体"/>
          <w:sz w:val="24"/>
          <w:highlight w:val="none"/>
        </w:rPr>
        <w:t>一、有效的营业执照副本复印件（如非“三证合一”证照，同时提供税务登记证及组织机构代码证副本复印件）（加盖公章）</w:t>
      </w:r>
    </w:p>
    <w:p w14:paraId="21F6F4AB">
      <w:pPr>
        <w:autoSpaceDE w:val="0"/>
        <w:autoSpaceDN w:val="0"/>
        <w:ind w:right="1400"/>
        <w:rPr>
          <w:rFonts w:hint="eastAsia" w:ascii="宋体" w:hAnsi="宋体" w:eastAsia="宋体" w:cs="宋体"/>
          <w:sz w:val="24"/>
          <w:highlight w:val="none"/>
        </w:rPr>
      </w:pPr>
    </w:p>
    <w:p w14:paraId="7D16B67D">
      <w:pPr>
        <w:rPr>
          <w:rFonts w:hint="eastAsia" w:ascii="宋体" w:hAnsi="宋体" w:eastAsia="宋体" w:cs="宋体"/>
          <w:b/>
          <w:color w:val="auto"/>
          <w:sz w:val="36"/>
          <w:szCs w:val="36"/>
          <w:highlight w:val="none"/>
          <w:lang w:val="en-US" w:eastAsia="zh-CN"/>
        </w:rPr>
      </w:pPr>
      <w:r>
        <w:rPr>
          <w:rFonts w:hint="eastAsia" w:ascii="宋体" w:hAnsi="宋体" w:cs="宋体"/>
          <w:sz w:val="24"/>
          <w:highlight w:val="none"/>
          <w:lang w:eastAsia="zh-CN"/>
        </w:rPr>
        <w:t>二</w:t>
      </w:r>
      <w:r>
        <w:rPr>
          <w:rFonts w:hint="eastAsia" w:ascii="宋体" w:hAnsi="宋体" w:eastAsia="宋体" w:cs="宋体"/>
          <w:sz w:val="24"/>
          <w:highlight w:val="none"/>
        </w:rPr>
        <w:t>、详见招标文件第一</w:t>
      </w:r>
      <w:r>
        <w:rPr>
          <w:rFonts w:hint="eastAsia" w:ascii="宋体" w:hAnsi="宋体" w:eastAsia="宋体" w:cs="宋体"/>
          <w:sz w:val="24"/>
          <w:highlight w:val="none"/>
          <w:lang w:val="en-US" w:eastAsia="zh-CN"/>
        </w:rPr>
        <w:t>章</w:t>
      </w:r>
      <w:r>
        <w:rPr>
          <w:rFonts w:hint="eastAsia" w:ascii="宋体" w:hAnsi="宋体" w:eastAsia="宋体" w:cs="宋体"/>
          <w:sz w:val="24"/>
          <w:highlight w:val="none"/>
        </w:rPr>
        <w:t>“投标邀请”中的“投标人资格</w:t>
      </w:r>
      <w:r>
        <w:rPr>
          <w:rFonts w:hint="eastAsia" w:ascii="宋体" w:hAnsi="宋体" w:eastAsia="宋体" w:cs="宋体"/>
          <w:sz w:val="24"/>
          <w:highlight w:val="none"/>
          <w:lang w:val="en-US" w:eastAsia="zh-CN"/>
        </w:rPr>
        <w:t>要求</w:t>
      </w:r>
      <w:r>
        <w:rPr>
          <w:rFonts w:hint="eastAsia" w:ascii="宋体" w:hAnsi="宋体" w:eastAsia="宋体" w:cs="宋体"/>
          <w:sz w:val="24"/>
          <w:highlight w:val="none"/>
        </w:rPr>
        <w:t>”</w:t>
      </w:r>
    </w:p>
    <w:p w14:paraId="630607DE">
      <w:pPr>
        <w:rPr>
          <w:rFonts w:hint="eastAsia" w:ascii="宋体" w:hAnsi="宋体" w:eastAsia="宋体" w:cs="宋体"/>
          <w:b/>
          <w:color w:val="auto"/>
          <w:szCs w:val="21"/>
          <w:highlight w:val="none"/>
        </w:rPr>
      </w:pPr>
    </w:p>
    <w:p w14:paraId="69E33784">
      <w:pPr>
        <w:spacing w:before="25" w:after="25"/>
        <w:jc w:val="left"/>
        <w:outlineLvl w:val="0"/>
        <w:rPr>
          <w:rFonts w:hint="eastAsia" w:ascii="宋体" w:hAnsi="宋体" w:eastAsia="宋体" w:cs="宋体"/>
          <w:b/>
          <w:bCs/>
          <w:color w:val="auto"/>
          <w:spacing w:val="10"/>
          <w:kern w:val="0"/>
          <w:sz w:val="28"/>
          <w:szCs w:val="28"/>
        </w:rPr>
      </w:pPr>
      <w:r>
        <w:rPr>
          <w:rFonts w:hint="eastAsia" w:ascii="宋体" w:hAnsi="宋体" w:eastAsia="宋体" w:cs="宋体"/>
          <w:b/>
          <w:bCs/>
          <w:color w:val="auto"/>
          <w:spacing w:val="10"/>
          <w:kern w:val="0"/>
          <w:sz w:val="24"/>
          <w:szCs w:val="24"/>
          <w:highlight w:val="none"/>
        </w:rPr>
        <w:br w:type="page"/>
      </w:r>
      <w:r>
        <w:rPr>
          <w:rFonts w:hint="eastAsia" w:ascii="宋体" w:hAnsi="宋体" w:eastAsia="宋体" w:cs="宋体"/>
          <w:b/>
          <w:bCs/>
          <w:color w:val="auto"/>
          <w:spacing w:val="10"/>
          <w:kern w:val="0"/>
          <w:sz w:val="28"/>
          <w:szCs w:val="28"/>
        </w:rPr>
        <w:t>附件二、中标服务费承诺书（格式）</w:t>
      </w:r>
    </w:p>
    <w:p w14:paraId="5E67FE0C">
      <w:pPr>
        <w:adjustRightInd w:val="0"/>
        <w:snapToGrid w:val="0"/>
        <w:spacing w:line="360" w:lineRule="auto"/>
        <w:rPr>
          <w:rFonts w:hint="eastAsia" w:ascii="宋体" w:hAnsi="宋体" w:eastAsia="宋体" w:cs="宋体"/>
          <w:b/>
          <w:color w:val="auto"/>
          <w:szCs w:val="21"/>
          <w:highlight w:val="none"/>
          <w:lang w:eastAsia="zh-CN"/>
        </w:rPr>
      </w:pP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lang w:val="en-US" w:eastAsia="zh-CN"/>
        </w:rPr>
        <w:t>本招标文件第六章</w:t>
      </w:r>
      <w:r>
        <w:rPr>
          <w:rFonts w:hint="eastAsia" w:ascii="宋体" w:hAnsi="宋体" w:eastAsia="宋体" w:cs="宋体"/>
          <w:b w:val="0"/>
          <w:bCs/>
          <w:highlight w:val="none"/>
        </w:rPr>
        <w:t>投标文件格式</w:t>
      </w:r>
      <w:r>
        <w:rPr>
          <w:rFonts w:hint="eastAsia" w:ascii="宋体" w:hAnsi="宋体" w:eastAsia="宋体" w:cs="宋体"/>
          <w:b w:val="0"/>
          <w:bCs/>
          <w:highlight w:val="none"/>
          <w:lang w:val="en-US" w:eastAsia="zh-CN"/>
        </w:rPr>
        <w:t>的</w:t>
      </w:r>
      <w:r>
        <w:rPr>
          <w:rFonts w:hint="eastAsia" w:ascii="宋体" w:hAnsi="宋体" w:eastAsia="宋体" w:cs="宋体"/>
          <w:b w:val="0"/>
          <w:bCs/>
          <w:highlight w:val="none"/>
        </w:rPr>
        <w:t>要求</w:t>
      </w:r>
      <w:r>
        <w:rPr>
          <w:rFonts w:hint="eastAsia" w:ascii="宋体" w:hAnsi="宋体" w:eastAsia="宋体" w:cs="宋体"/>
          <w:b w:val="0"/>
          <w:bCs/>
          <w:highlight w:val="none"/>
          <w:lang w:val="en-US" w:eastAsia="zh-CN"/>
        </w:rPr>
        <w:t>中“</w:t>
      </w:r>
      <w:r>
        <w:rPr>
          <w:rFonts w:hint="eastAsia" w:ascii="宋体" w:hAnsi="宋体" w:eastAsia="宋体" w:cs="宋体"/>
          <w:b w:val="0"/>
          <w:bCs/>
          <w:color w:val="auto"/>
          <w:szCs w:val="21"/>
          <w:highlight w:val="none"/>
          <w:lang w:val="en-US" w:eastAsia="zh-CN"/>
        </w:rPr>
        <w:t>格式十八：采购代理服务费支付承诺书</w:t>
      </w:r>
      <w:r>
        <w:rPr>
          <w:rFonts w:hint="eastAsia" w:ascii="宋体" w:hAnsi="宋体" w:eastAsia="宋体" w:cs="宋体"/>
          <w:b w:val="0"/>
          <w:bCs/>
          <w:highlight w:val="none"/>
          <w:lang w:val="en-US" w:eastAsia="zh-CN"/>
        </w:rPr>
        <w:t>”不适用，请根据以下格式填写</w:t>
      </w:r>
      <w:r>
        <w:rPr>
          <w:rFonts w:hint="eastAsia" w:ascii="宋体" w:hAnsi="宋体" w:eastAsia="宋体" w:cs="宋体"/>
          <w:b w:val="0"/>
          <w:bCs/>
          <w:color w:val="auto"/>
          <w:szCs w:val="21"/>
          <w:highlight w:val="none"/>
          <w:lang w:eastAsia="zh-CN"/>
        </w:rPr>
        <w:t>）</w:t>
      </w:r>
    </w:p>
    <w:p w14:paraId="401CAB2D">
      <w:pPr>
        <w:adjustRightInd w:val="0"/>
        <w:snapToGrid w:val="0"/>
        <w:spacing w:line="360" w:lineRule="auto"/>
        <w:rPr>
          <w:rFonts w:hint="eastAsia" w:ascii="宋体" w:hAnsi="宋体" w:eastAsia="宋体" w:cs="宋体"/>
          <w:b/>
          <w:color w:val="auto"/>
          <w:szCs w:val="21"/>
        </w:rPr>
      </w:pPr>
    </w:p>
    <w:p w14:paraId="5F2D7D5C">
      <w:pPr>
        <w:adjustRightInd w:val="0"/>
        <w:snapToGrid w:val="0"/>
        <w:spacing w:line="360" w:lineRule="auto"/>
        <w:rPr>
          <w:rFonts w:hint="eastAsia" w:ascii="宋体" w:hAnsi="宋体" w:eastAsia="宋体" w:cs="宋体"/>
          <w:b/>
          <w:color w:val="auto"/>
          <w:szCs w:val="21"/>
        </w:rPr>
      </w:pPr>
      <w:r>
        <w:rPr>
          <w:rFonts w:hint="eastAsia" w:ascii="宋体" w:hAnsi="宋体" w:eastAsia="宋体" w:cs="宋体"/>
          <w:b/>
          <w:color w:val="auto"/>
          <w:szCs w:val="21"/>
        </w:rPr>
        <w:t>国义招标股份有限公司：</w:t>
      </w:r>
    </w:p>
    <w:p w14:paraId="311F8914">
      <w:pPr>
        <w:adjustRightInd w:val="0"/>
        <w:snapToGrid w:val="0"/>
        <w:ind w:firstLine="440" w:firstLineChars="200"/>
        <w:rPr>
          <w:rFonts w:hint="eastAsia" w:ascii="宋体" w:hAnsi="宋体" w:eastAsia="宋体" w:cs="宋体"/>
          <w:color w:val="auto"/>
          <w:szCs w:val="21"/>
        </w:rPr>
      </w:pPr>
      <w:r>
        <w:rPr>
          <w:rFonts w:hint="eastAsia" w:ascii="宋体" w:hAnsi="宋体" w:eastAsia="宋体" w:cs="宋体"/>
          <w:color w:val="auto"/>
          <w:szCs w:val="21"/>
        </w:rPr>
        <w:t>本</w:t>
      </w:r>
      <w:r>
        <w:rPr>
          <w:rFonts w:hint="eastAsia" w:ascii="宋体" w:hAnsi="宋体" w:eastAsia="宋体" w:cs="宋体"/>
          <w:color w:val="auto"/>
          <w:szCs w:val="21"/>
          <w:u w:val="single"/>
        </w:rPr>
        <w:t xml:space="preserve">   （投标人名称）   </w:t>
      </w:r>
      <w:r>
        <w:rPr>
          <w:rFonts w:hint="eastAsia" w:ascii="宋体" w:hAnsi="宋体" w:eastAsia="宋体" w:cs="宋体"/>
          <w:color w:val="auto"/>
          <w:szCs w:val="21"/>
        </w:rPr>
        <w:t>公司在参加在贵司进行的</w:t>
      </w:r>
      <w:r>
        <w:rPr>
          <w:rFonts w:hint="eastAsia" w:ascii="宋体" w:hAnsi="宋体" w:eastAsia="宋体" w:cs="宋体"/>
          <w:color w:val="auto"/>
          <w:szCs w:val="21"/>
          <w:u w:val="single"/>
        </w:rPr>
        <w:t xml:space="preserve">   （项目名称）  </w:t>
      </w:r>
      <w:r>
        <w:rPr>
          <w:rFonts w:hint="eastAsia" w:ascii="宋体" w:hAnsi="宋体" w:eastAsia="宋体" w:cs="宋体"/>
          <w:color w:val="auto"/>
          <w:szCs w:val="21"/>
        </w:rPr>
        <w:t>(项目编号：)招标中如获中标，我司保证在领取“中标通知书”前，按本项目投标人须知相关规定向贵司缴纳 “中标服务费”。</w:t>
      </w:r>
    </w:p>
    <w:p w14:paraId="6C3C45C7">
      <w:pPr>
        <w:adjustRightInd w:val="0"/>
        <w:snapToGrid w:val="0"/>
        <w:ind w:firstLine="440" w:firstLineChars="200"/>
        <w:rPr>
          <w:rFonts w:hint="eastAsia" w:ascii="宋体" w:hAnsi="宋体" w:eastAsia="宋体" w:cs="宋体"/>
          <w:color w:val="auto"/>
          <w:szCs w:val="21"/>
        </w:rPr>
      </w:pPr>
      <w:r>
        <w:rPr>
          <w:rFonts w:hint="eastAsia" w:ascii="宋体" w:hAnsi="宋体" w:eastAsia="宋体" w:cs="宋体"/>
          <w:color w:val="auto"/>
          <w:szCs w:val="21"/>
          <w:highlight w:val="none"/>
        </w:rPr>
        <w:t>如我方违约，愿凭贵方开出的违约通知，按上述承付金额的200%由采购人在支付我司的合同款中代为扣付。</w:t>
      </w:r>
    </w:p>
    <w:p w14:paraId="2129CE6B">
      <w:pPr>
        <w:adjustRightInd w:val="0"/>
        <w:snapToGrid w:val="0"/>
        <w:spacing w:line="360" w:lineRule="auto"/>
        <w:ind w:firstLine="440" w:firstLineChars="200"/>
        <w:rPr>
          <w:rFonts w:hint="eastAsia" w:ascii="宋体" w:hAnsi="宋体" w:eastAsia="宋体" w:cs="宋体"/>
          <w:color w:val="auto"/>
          <w:szCs w:val="21"/>
        </w:rPr>
      </w:pPr>
      <w:r>
        <w:rPr>
          <w:rFonts w:hint="eastAsia" w:ascii="宋体" w:hAnsi="宋体" w:eastAsia="宋体" w:cs="宋体"/>
          <w:color w:val="auto"/>
          <w:szCs w:val="21"/>
        </w:rPr>
        <w:t>特此承诺。</w:t>
      </w:r>
    </w:p>
    <w:p w14:paraId="315C507C">
      <w:pPr>
        <w:rPr>
          <w:rFonts w:hint="eastAsia" w:ascii="宋体" w:hAnsi="宋体" w:eastAsia="宋体" w:cs="宋体"/>
          <w:color w:val="auto"/>
          <w:szCs w:val="21"/>
        </w:rPr>
      </w:pPr>
      <w:r>
        <w:rPr>
          <w:rFonts w:hint="eastAsia" w:ascii="宋体" w:hAnsi="宋体" w:eastAsia="宋体" w:cs="宋体"/>
          <w:color w:val="auto"/>
          <w:szCs w:val="21"/>
        </w:rPr>
        <w:t>另关于我司缴纳中标服务费后开具中标服务费发票的事宜，我司声明如下：</w:t>
      </w:r>
    </w:p>
    <w:p w14:paraId="1A538E7C">
      <w:pPr>
        <w:rPr>
          <w:rFonts w:ascii="宋体" w:hAnsi="宋体"/>
          <w:color w:val="auto"/>
          <w:szCs w:val="21"/>
          <w:highlight w:val="none"/>
        </w:rPr>
      </w:pPr>
      <w:r>
        <w:rPr>
          <w:rFonts w:hint="eastAsia" w:ascii="宋体" w:hAnsi="宋体"/>
          <w:b/>
          <w:color w:val="auto"/>
          <w:szCs w:val="21"/>
          <w:highlight w:val="none"/>
        </w:rPr>
        <w:t>A：</w:t>
      </w:r>
      <w:r>
        <w:rPr>
          <w:rFonts w:hint="eastAsia" w:ascii="宋体" w:hAnsi="宋体"/>
          <w:color w:val="auto"/>
          <w:szCs w:val="21"/>
          <w:highlight w:val="none"/>
        </w:rPr>
        <w:t>如需开具</w:t>
      </w:r>
      <w:r>
        <w:rPr>
          <w:rFonts w:hint="eastAsia" w:hAnsi="宋体"/>
          <w:b/>
          <w:color w:val="auto"/>
          <w:szCs w:val="21"/>
          <w:highlight w:val="none"/>
          <w:u w:val="single"/>
          <w:lang w:eastAsia="zh-CN"/>
        </w:rPr>
        <w:t>普票数电发票</w:t>
      </w:r>
      <w:r>
        <w:rPr>
          <w:rFonts w:hint="eastAsia" w:ascii="宋体" w:hAnsi="宋体"/>
          <w:color w:val="auto"/>
          <w:szCs w:val="21"/>
          <w:highlight w:val="none"/>
        </w:rPr>
        <w:t>，请于下方（ ）打“√”</w:t>
      </w:r>
    </w:p>
    <w:p w14:paraId="3ECB4A17">
      <w:pPr>
        <w:rPr>
          <w:rFonts w:ascii="宋体" w:hAnsi="宋体"/>
          <w:color w:val="auto"/>
          <w:szCs w:val="21"/>
          <w:highlight w:val="none"/>
        </w:rPr>
      </w:pPr>
      <w:r>
        <w:rPr>
          <w:rFonts w:hint="eastAsia" w:ascii="宋体" w:hAnsi="宋体"/>
          <w:color w:val="auto"/>
          <w:szCs w:val="21"/>
          <w:highlight w:val="none"/>
        </w:rPr>
        <w:t>（    ）请向我司开具中标费的“</w:t>
      </w:r>
      <w:r>
        <w:rPr>
          <w:rFonts w:hint="eastAsia" w:hAnsi="宋体"/>
          <w:b/>
          <w:color w:val="auto"/>
          <w:szCs w:val="21"/>
          <w:highlight w:val="none"/>
          <w:u w:val="single"/>
          <w:lang w:eastAsia="zh-CN"/>
        </w:rPr>
        <w:t>普票数电发票</w:t>
      </w:r>
      <w:r>
        <w:rPr>
          <w:rFonts w:hint="eastAsia" w:ascii="宋体" w:hAnsi="宋体"/>
          <w:b/>
          <w:color w:val="auto"/>
          <w:szCs w:val="21"/>
          <w:highlight w:val="none"/>
        </w:rPr>
        <w:t>”</w:t>
      </w:r>
      <w:r>
        <w:rPr>
          <w:rFonts w:hint="eastAsia" w:ascii="宋体" w:hAnsi="宋体"/>
          <w:color w:val="auto"/>
          <w:szCs w:val="21"/>
          <w:highlight w:val="none"/>
        </w:rPr>
        <w:t>，开票信息如下：</w:t>
      </w:r>
    </w:p>
    <w:p w14:paraId="626A9274">
      <w:pPr>
        <w:rPr>
          <w:rFonts w:ascii="宋体" w:hAnsi="宋体"/>
          <w:color w:val="auto"/>
          <w:szCs w:val="21"/>
          <w:highlight w:val="none"/>
        </w:rPr>
      </w:pPr>
      <w:r>
        <w:rPr>
          <w:rFonts w:hint="eastAsia" w:ascii="宋体" w:hAnsi="宋体"/>
          <w:b/>
          <w:color w:val="auto"/>
          <w:szCs w:val="21"/>
          <w:highlight w:val="none"/>
        </w:rPr>
        <w:t>1、</w:t>
      </w:r>
      <w:r>
        <w:rPr>
          <w:rFonts w:hint="eastAsia" w:ascii="宋体" w:hAnsi="宋体"/>
          <w:color w:val="auto"/>
          <w:szCs w:val="21"/>
          <w:highlight w:val="none"/>
        </w:rPr>
        <w:t>我司工商注册名称为：；</w:t>
      </w:r>
    </w:p>
    <w:p w14:paraId="536A0A2E">
      <w:pPr>
        <w:rPr>
          <w:rFonts w:ascii="宋体" w:hAnsi="宋体"/>
          <w:color w:val="auto"/>
          <w:szCs w:val="21"/>
          <w:highlight w:val="none"/>
        </w:rPr>
      </w:pPr>
      <w:r>
        <w:rPr>
          <w:rFonts w:hint="eastAsia" w:ascii="宋体" w:hAnsi="宋体"/>
          <w:color w:val="auto"/>
          <w:szCs w:val="21"/>
          <w:highlight w:val="none"/>
        </w:rPr>
        <w:t>2、纳税人识别号（国税）/或统一社会信用代码：</w:t>
      </w:r>
      <w:r>
        <w:rPr>
          <w:rFonts w:hint="eastAsia" w:ascii="宋体" w:hAnsi="宋体"/>
          <w:color w:val="auto"/>
          <w:szCs w:val="21"/>
          <w:highlight w:val="none"/>
          <w:u w:val="single"/>
        </w:rPr>
        <w:t xml:space="preserve">    （请填写）              </w:t>
      </w:r>
    </w:p>
    <w:p w14:paraId="7980489E">
      <w:pPr>
        <w:rPr>
          <w:rFonts w:ascii="宋体" w:hAnsi="宋体"/>
          <w:color w:val="auto"/>
          <w:szCs w:val="21"/>
          <w:highlight w:val="none"/>
        </w:rPr>
      </w:pPr>
      <w:r>
        <w:rPr>
          <w:rFonts w:hint="eastAsia" w:ascii="宋体" w:hAnsi="宋体"/>
          <w:b/>
          <w:color w:val="auto"/>
          <w:szCs w:val="21"/>
          <w:highlight w:val="none"/>
        </w:rPr>
        <w:t>B：</w:t>
      </w:r>
      <w:r>
        <w:rPr>
          <w:rFonts w:hint="eastAsia" w:ascii="宋体" w:hAnsi="宋体"/>
          <w:color w:val="auto"/>
          <w:szCs w:val="21"/>
          <w:highlight w:val="none"/>
        </w:rPr>
        <w:t>如需开具</w:t>
      </w:r>
      <w:r>
        <w:rPr>
          <w:rFonts w:hint="eastAsia" w:hAnsi="宋体"/>
          <w:color w:val="auto"/>
          <w:szCs w:val="21"/>
          <w:highlight w:val="none"/>
          <w:lang w:eastAsia="zh-CN"/>
        </w:rPr>
        <w:t>专用数电发票</w:t>
      </w:r>
      <w:r>
        <w:rPr>
          <w:rFonts w:hint="eastAsia" w:ascii="宋体" w:hAnsi="宋体"/>
          <w:color w:val="auto"/>
          <w:szCs w:val="21"/>
          <w:highlight w:val="none"/>
        </w:rPr>
        <w:t>，请于下方（ ）打“√”,并提供相关资料</w:t>
      </w:r>
    </w:p>
    <w:p w14:paraId="514E2ACD">
      <w:pPr>
        <w:rPr>
          <w:rFonts w:ascii="宋体" w:hAnsi="宋体"/>
          <w:color w:val="auto"/>
          <w:szCs w:val="21"/>
          <w:highlight w:val="none"/>
        </w:rPr>
      </w:pPr>
      <w:r>
        <w:rPr>
          <w:rFonts w:hint="eastAsia" w:ascii="宋体" w:hAnsi="宋体"/>
          <w:color w:val="auto"/>
          <w:szCs w:val="21"/>
          <w:highlight w:val="none"/>
        </w:rPr>
        <w:t>（    ）请向我司开具中标费的“</w:t>
      </w:r>
      <w:r>
        <w:rPr>
          <w:rFonts w:hint="eastAsia" w:hAnsi="宋体"/>
          <w:b/>
          <w:color w:val="auto"/>
          <w:szCs w:val="21"/>
          <w:highlight w:val="none"/>
          <w:u w:val="single"/>
          <w:lang w:eastAsia="zh-CN"/>
        </w:rPr>
        <w:t>专用数电发票</w:t>
      </w:r>
      <w:r>
        <w:rPr>
          <w:rFonts w:hint="eastAsia" w:ascii="宋体" w:hAnsi="宋体"/>
          <w:b/>
          <w:color w:val="auto"/>
          <w:szCs w:val="21"/>
          <w:highlight w:val="none"/>
        </w:rPr>
        <w:t>”</w:t>
      </w:r>
      <w:r>
        <w:rPr>
          <w:rFonts w:hint="eastAsia" w:ascii="宋体" w:hAnsi="宋体"/>
          <w:color w:val="auto"/>
          <w:szCs w:val="21"/>
          <w:highlight w:val="none"/>
        </w:rPr>
        <w:t>，开票信息为：</w:t>
      </w:r>
    </w:p>
    <w:p w14:paraId="33D28513">
      <w:pPr>
        <w:rPr>
          <w:rFonts w:hint="eastAsia" w:ascii="宋体" w:hAnsi="宋体" w:eastAsia="宋体" w:cs="宋体"/>
          <w:color w:val="auto"/>
          <w:szCs w:val="21"/>
        </w:rPr>
      </w:pPr>
      <w:r>
        <w:rPr>
          <w:rFonts w:hint="eastAsia" w:ascii="宋体" w:hAnsi="宋体" w:eastAsia="宋体" w:cs="宋体"/>
          <w:color w:val="auto"/>
          <w:szCs w:val="21"/>
        </w:rPr>
        <w:t>1、我司工商注册名称：</w:t>
      </w:r>
      <w:r>
        <w:rPr>
          <w:rFonts w:hint="eastAsia" w:ascii="宋体" w:hAnsi="宋体" w:eastAsia="宋体" w:cs="宋体"/>
          <w:color w:val="auto"/>
          <w:szCs w:val="21"/>
          <w:u w:val="single"/>
        </w:rPr>
        <w:t xml:space="preserve">    （请填写）              </w:t>
      </w:r>
    </w:p>
    <w:p w14:paraId="1B5C1D3D">
      <w:pPr>
        <w:rPr>
          <w:rFonts w:hint="eastAsia" w:ascii="宋体" w:hAnsi="宋体" w:eastAsia="宋体" w:cs="宋体"/>
          <w:color w:val="auto"/>
          <w:szCs w:val="21"/>
        </w:rPr>
      </w:pPr>
      <w:r>
        <w:rPr>
          <w:rFonts w:hint="eastAsia" w:ascii="宋体" w:hAnsi="宋体" w:eastAsia="宋体" w:cs="宋体"/>
          <w:color w:val="auto"/>
          <w:szCs w:val="21"/>
        </w:rPr>
        <w:t>2、纳税人识别号（国税）/或统一社会信用代码：</w:t>
      </w:r>
      <w:r>
        <w:rPr>
          <w:rFonts w:hint="eastAsia" w:ascii="宋体" w:hAnsi="宋体" w:eastAsia="宋体" w:cs="宋体"/>
          <w:color w:val="auto"/>
          <w:szCs w:val="21"/>
          <w:u w:val="single"/>
        </w:rPr>
        <w:t xml:space="preserve">    （请填写）              </w:t>
      </w:r>
    </w:p>
    <w:p w14:paraId="48BE9834">
      <w:pPr>
        <w:rPr>
          <w:rFonts w:hint="eastAsia" w:ascii="宋体" w:hAnsi="宋体" w:eastAsia="宋体" w:cs="宋体"/>
          <w:color w:val="auto"/>
          <w:szCs w:val="21"/>
        </w:rPr>
      </w:pPr>
      <w:r>
        <w:rPr>
          <w:rFonts w:hint="eastAsia" w:ascii="宋体" w:hAnsi="宋体" w:eastAsia="宋体" w:cs="宋体"/>
          <w:color w:val="auto"/>
          <w:szCs w:val="21"/>
        </w:rPr>
        <w:t>3、注册地址：</w:t>
      </w:r>
      <w:r>
        <w:rPr>
          <w:rFonts w:hint="eastAsia" w:ascii="宋体" w:hAnsi="宋体" w:eastAsia="宋体" w:cs="宋体"/>
          <w:color w:val="auto"/>
          <w:szCs w:val="21"/>
          <w:u w:val="single"/>
        </w:rPr>
        <w:t xml:space="preserve">    （请填写）              </w:t>
      </w:r>
    </w:p>
    <w:p w14:paraId="55CC1B7C">
      <w:pPr>
        <w:rPr>
          <w:rFonts w:hint="eastAsia" w:ascii="宋体" w:hAnsi="宋体" w:eastAsia="宋体" w:cs="宋体"/>
          <w:color w:val="auto"/>
          <w:szCs w:val="21"/>
        </w:rPr>
      </w:pPr>
      <w:r>
        <w:rPr>
          <w:rFonts w:hint="eastAsia" w:ascii="宋体" w:hAnsi="宋体" w:eastAsia="宋体" w:cs="宋体"/>
          <w:color w:val="auto"/>
          <w:szCs w:val="21"/>
        </w:rPr>
        <w:t>4、办公电话（固话）：</w:t>
      </w:r>
      <w:r>
        <w:rPr>
          <w:rFonts w:hint="eastAsia" w:ascii="宋体" w:hAnsi="宋体" w:eastAsia="宋体" w:cs="宋体"/>
          <w:color w:val="auto"/>
          <w:szCs w:val="21"/>
          <w:u w:val="single"/>
        </w:rPr>
        <w:t xml:space="preserve">    （请填写）              </w:t>
      </w:r>
    </w:p>
    <w:p w14:paraId="4E22BC12">
      <w:pPr>
        <w:rPr>
          <w:rFonts w:hint="eastAsia" w:ascii="宋体" w:hAnsi="宋体" w:eastAsia="宋体" w:cs="宋体"/>
          <w:color w:val="auto"/>
          <w:szCs w:val="21"/>
        </w:rPr>
      </w:pPr>
      <w:r>
        <w:rPr>
          <w:rFonts w:hint="eastAsia" w:ascii="宋体" w:hAnsi="宋体" w:eastAsia="宋体" w:cs="宋体"/>
          <w:color w:val="auto"/>
          <w:szCs w:val="21"/>
        </w:rPr>
        <w:t>5、开户银行及账号：</w:t>
      </w:r>
      <w:r>
        <w:rPr>
          <w:rFonts w:hint="eastAsia" w:ascii="宋体" w:hAnsi="宋体" w:eastAsia="宋体" w:cs="宋体"/>
          <w:color w:val="auto"/>
          <w:szCs w:val="21"/>
          <w:u w:val="single"/>
        </w:rPr>
        <w:t xml:space="preserve">    （请填写）              </w:t>
      </w:r>
    </w:p>
    <w:p w14:paraId="4848F4F3">
      <w:pPr>
        <w:rPr>
          <w:rFonts w:hint="eastAsia" w:ascii="宋体" w:hAnsi="宋体" w:eastAsia="宋体" w:cs="宋体"/>
          <w:color w:val="auto"/>
          <w:szCs w:val="21"/>
          <w:u w:val="single"/>
        </w:rPr>
      </w:pPr>
      <w:r>
        <w:rPr>
          <w:rFonts w:hint="eastAsia" w:ascii="宋体" w:hAnsi="宋体" w:eastAsia="宋体" w:cs="宋体"/>
          <w:color w:val="auto"/>
          <w:szCs w:val="21"/>
        </w:rPr>
        <w:t>6、一般纳税人资格证书/或加盖了税务局“增值税一般纳税人”条章的国税登记证扫描件/或在所属国税局网站的查询结果截图</w:t>
      </w:r>
      <w:r>
        <w:rPr>
          <w:rFonts w:hint="eastAsia" w:ascii="宋体" w:hAnsi="宋体" w:eastAsia="宋体" w:cs="宋体"/>
          <w:color w:val="auto"/>
          <w:szCs w:val="21"/>
          <w:u w:val="single"/>
        </w:rPr>
        <w:t>（截图后附）</w:t>
      </w:r>
    </w:p>
    <w:p w14:paraId="184E69EE">
      <w:pPr>
        <w:rPr>
          <w:rFonts w:hint="eastAsia" w:ascii="宋体" w:hAnsi="宋体" w:eastAsia="宋体" w:cs="宋体"/>
          <w:color w:val="auto"/>
          <w:szCs w:val="21"/>
        </w:rPr>
      </w:pPr>
      <w:r>
        <w:rPr>
          <w:rFonts w:hint="eastAsia" w:ascii="宋体" w:hAnsi="宋体" w:eastAsia="宋体" w:cs="宋体"/>
          <w:color w:val="auto"/>
          <w:szCs w:val="21"/>
        </w:rPr>
        <w:t>中标单位联系人：， 手机</w:t>
      </w:r>
      <w:r>
        <w:rPr>
          <w:rFonts w:hint="eastAsia" w:ascii="宋体" w:hAnsi="宋体" w:eastAsia="宋体" w:cs="宋体"/>
          <w:color w:val="auto"/>
          <w:szCs w:val="21"/>
          <w:u w:val="single"/>
        </w:rPr>
        <w:t>号：            ;</w:t>
      </w:r>
    </w:p>
    <w:p w14:paraId="754C8666">
      <w:pPr>
        <w:rPr>
          <w:rFonts w:hint="eastAsia" w:ascii="宋体" w:hAnsi="宋体" w:eastAsia="宋体" w:cs="宋体"/>
          <w:color w:val="auto"/>
          <w:szCs w:val="21"/>
          <w:u w:val="single"/>
        </w:rPr>
      </w:pPr>
      <w:r>
        <w:rPr>
          <w:rFonts w:hint="eastAsia" w:ascii="宋体" w:hAnsi="宋体" w:eastAsia="宋体" w:cs="宋体"/>
          <w:color w:val="auto"/>
          <w:szCs w:val="21"/>
        </w:rPr>
        <w:t>单位地址：电话：传真：</w:t>
      </w:r>
      <w:r>
        <w:rPr>
          <w:rFonts w:hint="eastAsia" w:ascii="宋体" w:hAnsi="宋体" w:eastAsia="宋体" w:cs="宋体"/>
          <w:color w:val="auto"/>
          <w:szCs w:val="21"/>
          <w:u w:val="single"/>
        </w:rPr>
        <w:t xml:space="preserve">        。</w:t>
      </w:r>
    </w:p>
    <w:p w14:paraId="355FC867">
      <w:pPr>
        <w:rPr>
          <w:rFonts w:hint="eastAsia" w:ascii="宋体" w:hAnsi="宋体" w:eastAsia="宋体" w:cs="宋体"/>
          <w:color w:val="auto"/>
          <w:szCs w:val="21"/>
        </w:rPr>
      </w:pPr>
      <w:r>
        <w:rPr>
          <w:rFonts w:hint="eastAsia" w:ascii="宋体" w:hAnsi="宋体" w:eastAsia="宋体" w:cs="宋体"/>
          <w:color w:val="auto"/>
          <w:szCs w:val="21"/>
        </w:rPr>
        <w:t>特此声明。</w:t>
      </w:r>
    </w:p>
    <w:p w14:paraId="3D654967">
      <w:pPr>
        <w:rPr>
          <w:rFonts w:hint="eastAsia" w:ascii="宋体" w:hAnsi="宋体" w:eastAsia="宋体" w:cs="宋体"/>
          <w:color w:val="auto"/>
          <w:szCs w:val="21"/>
        </w:rPr>
      </w:pPr>
    </w:p>
    <w:p w14:paraId="587029A1">
      <w:pPr>
        <w:rPr>
          <w:rFonts w:hint="eastAsia" w:ascii="宋体" w:hAnsi="宋体" w:eastAsia="宋体" w:cs="宋体"/>
          <w:color w:val="auto"/>
          <w:szCs w:val="21"/>
        </w:rPr>
      </w:pPr>
    </w:p>
    <w:p w14:paraId="40EC6F49">
      <w:pPr>
        <w:rPr>
          <w:rFonts w:hint="eastAsia" w:ascii="宋体" w:hAnsi="宋体" w:eastAsia="宋体" w:cs="宋体"/>
          <w:color w:val="auto"/>
          <w:szCs w:val="21"/>
        </w:rPr>
      </w:pPr>
    </w:p>
    <w:p w14:paraId="4EAF5E82">
      <w:pPr>
        <w:rPr>
          <w:rFonts w:hint="eastAsia" w:ascii="宋体" w:hAnsi="宋体" w:eastAsia="宋体" w:cs="宋体"/>
          <w:color w:val="auto"/>
          <w:szCs w:val="21"/>
        </w:rPr>
      </w:pPr>
    </w:p>
    <w:p w14:paraId="4EE2D9C4">
      <w:pPr>
        <w:rPr>
          <w:rFonts w:hint="eastAsia" w:ascii="宋体" w:hAnsi="宋体" w:eastAsia="宋体" w:cs="宋体"/>
          <w:color w:val="auto"/>
          <w:szCs w:val="21"/>
        </w:rPr>
      </w:pPr>
    </w:p>
    <w:p w14:paraId="28763547">
      <w:pPr>
        <w:rPr>
          <w:rFonts w:hint="eastAsia" w:ascii="宋体" w:hAnsi="宋体" w:eastAsia="宋体" w:cs="宋体"/>
          <w:color w:val="auto"/>
          <w:szCs w:val="21"/>
        </w:rPr>
      </w:pPr>
      <w:r>
        <w:rPr>
          <w:rFonts w:hint="eastAsia" w:ascii="宋体" w:hAnsi="宋体" w:eastAsia="宋体" w:cs="宋体"/>
          <w:color w:val="auto"/>
          <w:szCs w:val="21"/>
        </w:rPr>
        <w:t xml:space="preserve">投标人法定代表人（或法定代表人授权代表）签字：                   </w:t>
      </w:r>
    </w:p>
    <w:p w14:paraId="4BAC4045">
      <w:pPr>
        <w:rPr>
          <w:rFonts w:hint="eastAsia" w:ascii="宋体" w:hAnsi="宋体" w:eastAsia="宋体" w:cs="宋体"/>
          <w:color w:val="auto"/>
          <w:szCs w:val="24"/>
        </w:rPr>
      </w:pPr>
      <w:r>
        <w:rPr>
          <w:rFonts w:hint="eastAsia" w:ascii="宋体" w:hAnsi="宋体" w:eastAsia="宋体" w:cs="宋体"/>
          <w:color w:val="auto"/>
          <w:szCs w:val="21"/>
        </w:rPr>
        <w:t xml:space="preserve">投标人名称（加盖公章）：                </w:t>
      </w:r>
    </w:p>
    <w:p w14:paraId="0F8ADEA5">
      <w:pPr>
        <w:rPr>
          <w:rFonts w:hint="eastAsia" w:ascii="宋体" w:hAnsi="宋体" w:eastAsia="宋体" w:cs="宋体"/>
          <w:color w:val="auto"/>
          <w:szCs w:val="24"/>
        </w:rPr>
      </w:pPr>
      <w:r>
        <w:rPr>
          <w:rFonts w:hint="eastAsia" w:ascii="宋体" w:hAnsi="宋体" w:eastAsia="宋体" w:cs="宋体"/>
          <w:color w:val="auto"/>
          <w:szCs w:val="24"/>
        </w:rPr>
        <w:t>日期：年</w:t>
      </w:r>
      <w:r>
        <w:rPr>
          <w:rFonts w:hint="eastAsia" w:ascii="宋体" w:hAnsi="宋体" w:eastAsia="宋体" w:cs="宋体"/>
          <w:color w:val="auto"/>
          <w:szCs w:val="24"/>
          <w:lang w:val="en-US" w:eastAsia="zh-CN"/>
        </w:rPr>
        <w:t xml:space="preserve"> </w:t>
      </w:r>
      <w:r>
        <w:rPr>
          <w:rFonts w:hint="eastAsia" w:ascii="宋体" w:hAnsi="宋体" w:eastAsia="宋体" w:cs="宋体"/>
          <w:color w:val="auto"/>
          <w:szCs w:val="24"/>
        </w:rPr>
        <w:t>月</w:t>
      </w:r>
      <w:r>
        <w:rPr>
          <w:rFonts w:hint="eastAsia" w:ascii="宋体" w:hAnsi="宋体" w:eastAsia="宋体" w:cs="宋体"/>
          <w:color w:val="auto"/>
          <w:szCs w:val="24"/>
          <w:lang w:val="en-US" w:eastAsia="zh-CN"/>
        </w:rPr>
        <w:t xml:space="preserve"> </w:t>
      </w:r>
      <w:r>
        <w:rPr>
          <w:rFonts w:hint="eastAsia" w:ascii="宋体" w:hAnsi="宋体" w:eastAsia="宋体" w:cs="宋体"/>
          <w:color w:val="auto"/>
          <w:szCs w:val="24"/>
        </w:rPr>
        <w:t>日</w:t>
      </w:r>
    </w:p>
    <w:p w14:paraId="76FA48AE">
      <w:pPr>
        <w:pStyle w:val="32"/>
        <w:rPr>
          <w:rFonts w:hint="eastAsia" w:ascii="宋体" w:hAnsi="宋体" w:eastAsia="宋体" w:cs="宋体"/>
        </w:rPr>
      </w:pPr>
    </w:p>
    <w:p w14:paraId="77B2DD34">
      <w:pPr>
        <w:pStyle w:val="32"/>
        <w:rPr>
          <w:rFonts w:hint="eastAsia" w:ascii="宋体" w:hAnsi="宋体" w:eastAsia="宋体" w:cs="宋体"/>
          <w:color w:val="auto"/>
          <w:szCs w:val="24"/>
          <w:lang w:val="en-US" w:eastAsia="zh-CN"/>
        </w:rPr>
      </w:pPr>
    </w:p>
    <w:p w14:paraId="557B6E71">
      <w:pPr>
        <w:rPr>
          <w:rFonts w:hint="eastAsia" w:eastAsia="宋体" w:cs="Times New Roman"/>
          <w:lang w:val="en-US" w:eastAsia="zh-CN"/>
        </w:rPr>
      </w:pPr>
    </w:p>
    <w:p w14:paraId="4F6F36D0">
      <w:pPr>
        <w:pStyle w:val="11"/>
        <w:tabs>
          <w:tab w:val="left" w:pos="2030"/>
          <w:tab w:val="left" w:pos="3323"/>
          <w:tab w:val="left" w:pos="3515"/>
        </w:tabs>
        <w:kinsoku w:val="0"/>
        <w:overflowPunct w:val="0"/>
        <w:ind w:right="104"/>
        <w:jc w:val="right"/>
        <w:rPr>
          <w:rFonts w:hint="eastAsia" w:hAnsi="宋体"/>
          <w:color w:val="000000" w:themeColor="text1"/>
          <w:highlight w:val="none"/>
          <w14:textFill>
            <w14:solidFill>
              <w14:schemeClr w14:val="tx1"/>
            </w14:solidFill>
          </w14:textFill>
        </w:rPr>
      </w:pPr>
    </w:p>
    <w:sectPr>
      <w:headerReference r:id="rId3" w:type="default"/>
      <w:footerReference r:id="rId4" w:type="default"/>
      <w:pgSz w:w="11900" w:h="16840"/>
      <w:pgMar w:top="1440" w:right="1080" w:bottom="1440" w:left="1080" w:header="567" w:footer="567"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方正仿宋_GBK">
    <w:panose1 w:val="02000000000000000000"/>
    <w:charset w:val="86"/>
    <w:family w:val="script"/>
    <w:pitch w:val="default"/>
    <w:sig w:usb0="A00002BF" w:usb1="38CF7CFA"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华文宋体">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03AF9">
    <w:pPr>
      <w:pStyle w:val="11"/>
      <w:kinsoku w:val="0"/>
      <w:overflowPunct w:val="0"/>
      <w:spacing w:line="14" w:lineRule="auto"/>
      <w:ind w:left="0"/>
      <w:rPr>
        <w:rFonts w:ascii="Times New Roman" w:eastAsia="等线"/>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2A9DB8">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82A9DB8">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F11FC">
    <w:pPr>
      <w:pStyle w:val="1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AE6BE5"/>
    <w:multiLevelType w:val="multilevel"/>
    <w:tmpl w:val="19AE6BE5"/>
    <w:lvl w:ilvl="0" w:tentative="0">
      <w:start w:val="1"/>
      <w:numFmt w:val="decimal"/>
      <w:lvlText w:val="%1."/>
      <w:lvlJc w:val="left"/>
      <w:pPr>
        <w:tabs>
          <w:tab w:val="left" w:pos="200"/>
        </w:tabs>
        <w:ind w:left="100" w:hanging="100"/>
      </w:pPr>
      <w:rPr>
        <w:rFonts w:hint="eastAsia" w:ascii="宋体" w:eastAsia="宋体"/>
        <w:b/>
        <w:i w:val="0"/>
        <w:caps w:val="0"/>
        <w:strike w:val="0"/>
        <w:dstrike w:val="0"/>
        <w:vanish w:val="0"/>
        <w:color w:val="auto"/>
        <w:sz w:val="24"/>
        <w:vertAlign w:val="baseline"/>
      </w:rPr>
    </w:lvl>
    <w:lvl w:ilvl="1" w:tentative="0">
      <w:start w:val="1"/>
      <w:numFmt w:val="decimal"/>
      <w:suff w:val="space"/>
      <w:lvlText w:val="%1.%2"/>
      <w:lvlJc w:val="left"/>
      <w:pPr>
        <w:ind w:left="4352" w:hanging="100"/>
      </w:pPr>
      <w:rPr>
        <w:rFonts w:hint="eastAsia" w:ascii="宋体" w:eastAsia="宋体"/>
        <w:b w:val="0"/>
        <w:i w:val="0"/>
        <w:caps w:val="0"/>
        <w:strike w:val="0"/>
        <w:dstrike w:val="0"/>
        <w:vanish w:val="0"/>
        <w:color w:val="auto"/>
        <w:sz w:val="24"/>
        <w:vertAlign w:val="baseline"/>
      </w:rPr>
    </w:lvl>
    <w:lvl w:ilvl="2" w:tentative="0">
      <w:start w:val="1"/>
      <w:numFmt w:val="decimal"/>
      <w:pStyle w:val="77"/>
      <w:suff w:val="space"/>
      <w:lvlText w:val="%1.%2.%3"/>
      <w:lvlJc w:val="left"/>
      <w:pPr>
        <w:ind w:left="5770" w:hanging="100"/>
      </w:pPr>
      <w:rPr>
        <w:rFonts w:hint="eastAsia" w:ascii="宋体" w:eastAsia="宋体"/>
        <w:b w:val="0"/>
        <w:i w:val="0"/>
        <w:caps w:val="0"/>
        <w:strike w:val="0"/>
        <w:dstrike w:val="0"/>
        <w:vanish w:val="0"/>
        <w:color w:val="auto"/>
        <w:sz w:val="24"/>
        <w:vertAlign w:val="baseline"/>
      </w:rPr>
    </w:lvl>
    <w:lvl w:ilvl="3" w:tentative="0">
      <w:start w:val="1"/>
      <w:numFmt w:val="decimal"/>
      <w:lvlText w:val="%1.%2.%3.%4"/>
      <w:lvlJc w:val="left"/>
      <w:pPr>
        <w:ind w:left="100" w:hanging="100"/>
      </w:pPr>
      <w:rPr>
        <w:rFonts w:hint="eastAsia"/>
      </w:rPr>
    </w:lvl>
    <w:lvl w:ilvl="4" w:tentative="0">
      <w:start w:val="1"/>
      <w:numFmt w:val="decimal"/>
      <w:lvlText w:val="%1.%2.%3.%4.%5"/>
      <w:lvlJc w:val="left"/>
      <w:pPr>
        <w:ind w:left="100" w:hanging="100"/>
      </w:pPr>
      <w:rPr>
        <w:rFonts w:hint="eastAsia"/>
      </w:rPr>
    </w:lvl>
    <w:lvl w:ilvl="5" w:tentative="0">
      <w:start w:val="1"/>
      <w:numFmt w:val="decimal"/>
      <w:lvlText w:val="%1.%2.%3.%4.%5.%6"/>
      <w:lvlJc w:val="left"/>
      <w:pPr>
        <w:ind w:left="100" w:hanging="100"/>
      </w:pPr>
      <w:rPr>
        <w:rFonts w:hint="eastAsia"/>
      </w:rPr>
    </w:lvl>
    <w:lvl w:ilvl="6" w:tentative="0">
      <w:start w:val="1"/>
      <w:numFmt w:val="decimal"/>
      <w:lvlText w:val="%1.%2.%3.%4.%5.%6.%7"/>
      <w:lvlJc w:val="left"/>
      <w:pPr>
        <w:ind w:left="100" w:hanging="100"/>
      </w:pPr>
      <w:rPr>
        <w:rFonts w:hint="eastAsia"/>
      </w:rPr>
    </w:lvl>
    <w:lvl w:ilvl="7" w:tentative="0">
      <w:start w:val="1"/>
      <w:numFmt w:val="decimal"/>
      <w:lvlText w:val="%1.%2.%3.%4.%5.%6.%7.%8"/>
      <w:lvlJc w:val="left"/>
      <w:pPr>
        <w:ind w:left="100" w:hanging="100"/>
      </w:pPr>
      <w:rPr>
        <w:rFonts w:hint="eastAsia"/>
      </w:rPr>
    </w:lvl>
    <w:lvl w:ilvl="8" w:tentative="0">
      <w:start w:val="1"/>
      <w:numFmt w:val="decimal"/>
      <w:lvlText w:val="%1.%2.%3.%4.%5.%6.%7.%8.%9"/>
      <w:lvlJc w:val="left"/>
      <w:pPr>
        <w:ind w:left="100" w:hanging="1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hyphenationZone w:val="360"/>
  <w:drawingGridHorizontalSpacing w:val="120"/>
  <w:drawingGridVerticalSpacing w:val="120"/>
  <w:displayHorizontalDrawingGridEvery w:val="1"/>
  <w:displayVerticalDrawingGridEvery w:val="1"/>
  <w:doNotUseMarginsForDrawingGridOrigin w:val="1"/>
  <w:drawingGridHorizontalOrigin w:val="1701"/>
  <w:drawingGridVerticalOrigin w:val="1984"/>
  <w:doNotShadeFormData w:val="1"/>
  <w:noPunctuationKerning w:val="1"/>
  <w:characterSpacingControl w:val="doNotCompress"/>
  <w:doNotValidateAgainstSchema/>
  <w:doNotDemarcateInvalidXml/>
  <w:compat>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xZmJiY2RlMzMxNDdlZTIzMzVmNDYzYmNlNTYwODkifQ=="/>
  </w:docVars>
  <w:rsids>
    <w:rsidRoot w:val="00172A27"/>
    <w:rsid w:val="00014475"/>
    <w:rsid w:val="00025C71"/>
    <w:rsid w:val="00042BC5"/>
    <w:rsid w:val="0005686F"/>
    <w:rsid w:val="000743C4"/>
    <w:rsid w:val="00074AC1"/>
    <w:rsid w:val="00075B80"/>
    <w:rsid w:val="00081D64"/>
    <w:rsid w:val="000B241F"/>
    <w:rsid w:val="000C54D7"/>
    <w:rsid w:val="000D768B"/>
    <w:rsid w:val="000E6780"/>
    <w:rsid w:val="00106E3C"/>
    <w:rsid w:val="00145B3D"/>
    <w:rsid w:val="00162D01"/>
    <w:rsid w:val="001655B7"/>
    <w:rsid w:val="00167FCA"/>
    <w:rsid w:val="0017344F"/>
    <w:rsid w:val="00190F8F"/>
    <w:rsid w:val="00192CF9"/>
    <w:rsid w:val="001C097A"/>
    <w:rsid w:val="001C2E41"/>
    <w:rsid w:val="001C72D2"/>
    <w:rsid w:val="001D43F0"/>
    <w:rsid w:val="001F2B68"/>
    <w:rsid w:val="002009B6"/>
    <w:rsid w:val="00235363"/>
    <w:rsid w:val="00240695"/>
    <w:rsid w:val="0024547E"/>
    <w:rsid w:val="00245ECE"/>
    <w:rsid w:val="0027271F"/>
    <w:rsid w:val="00272855"/>
    <w:rsid w:val="0027321D"/>
    <w:rsid w:val="002843ED"/>
    <w:rsid w:val="00286726"/>
    <w:rsid w:val="00286AF7"/>
    <w:rsid w:val="00293061"/>
    <w:rsid w:val="002A768F"/>
    <w:rsid w:val="002B32A7"/>
    <w:rsid w:val="002B3779"/>
    <w:rsid w:val="002C340F"/>
    <w:rsid w:val="002D66AB"/>
    <w:rsid w:val="002D7E03"/>
    <w:rsid w:val="002F4F34"/>
    <w:rsid w:val="002F70BE"/>
    <w:rsid w:val="0032177B"/>
    <w:rsid w:val="00323217"/>
    <w:rsid w:val="003440BE"/>
    <w:rsid w:val="00350D3E"/>
    <w:rsid w:val="00360044"/>
    <w:rsid w:val="003714C9"/>
    <w:rsid w:val="003716AD"/>
    <w:rsid w:val="003825FB"/>
    <w:rsid w:val="00387C9A"/>
    <w:rsid w:val="003A7EBD"/>
    <w:rsid w:val="003B03AD"/>
    <w:rsid w:val="003E3EC7"/>
    <w:rsid w:val="003F25F8"/>
    <w:rsid w:val="00422D21"/>
    <w:rsid w:val="00444BCF"/>
    <w:rsid w:val="00462D22"/>
    <w:rsid w:val="00482839"/>
    <w:rsid w:val="00491FBB"/>
    <w:rsid w:val="00492D24"/>
    <w:rsid w:val="004970B6"/>
    <w:rsid w:val="004A1BCB"/>
    <w:rsid w:val="004A5B59"/>
    <w:rsid w:val="004B0112"/>
    <w:rsid w:val="004B06A8"/>
    <w:rsid w:val="004B2567"/>
    <w:rsid w:val="004B2924"/>
    <w:rsid w:val="004B5D7F"/>
    <w:rsid w:val="004C1B53"/>
    <w:rsid w:val="00512AB0"/>
    <w:rsid w:val="00520EA5"/>
    <w:rsid w:val="005304D2"/>
    <w:rsid w:val="00545CCA"/>
    <w:rsid w:val="005629F8"/>
    <w:rsid w:val="0056575C"/>
    <w:rsid w:val="0057305C"/>
    <w:rsid w:val="005873CC"/>
    <w:rsid w:val="00587754"/>
    <w:rsid w:val="005926B4"/>
    <w:rsid w:val="00596787"/>
    <w:rsid w:val="005B110A"/>
    <w:rsid w:val="005B7191"/>
    <w:rsid w:val="00602EF5"/>
    <w:rsid w:val="006035C6"/>
    <w:rsid w:val="006158F9"/>
    <w:rsid w:val="00615A93"/>
    <w:rsid w:val="00617E56"/>
    <w:rsid w:val="00625AE0"/>
    <w:rsid w:val="0063636D"/>
    <w:rsid w:val="00637E8E"/>
    <w:rsid w:val="0065013D"/>
    <w:rsid w:val="00650B2A"/>
    <w:rsid w:val="00653E89"/>
    <w:rsid w:val="00664DB1"/>
    <w:rsid w:val="006A6610"/>
    <w:rsid w:val="006B6E41"/>
    <w:rsid w:val="006C6D53"/>
    <w:rsid w:val="006F5DEA"/>
    <w:rsid w:val="00700584"/>
    <w:rsid w:val="00704E73"/>
    <w:rsid w:val="00706951"/>
    <w:rsid w:val="007268BA"/>
    <w:rsid w:val="007470FC"/>
    <w:rsid w:val="0075488F"/>
    <w:rsid w:val="00754EB6"/>
    <w:rsid w:val="00784299"/>
    <w:rsid w:val="007950A2"/>
    <w:rsid w:val="007975AF"/>
    <w:rsid w:val="007A2F54"/>
    <w:rsid w:val="007B0DF6"/>
    <w:rsid w:val="007C6E25"/>
    <w:rsid w:val="007D02AB"/>
    <w:rsid w:val="007E2656"/>
    <w:rsid w:val="00820D7C"/>
    <w:rsid w:val="00822ADF"/>
    <w:rsid w:val="0082791B"/>
    <w:rsid w:val="00842506"/>
    <w:rsid w:val="00856924"/>
    <w:rsid w:val="00876613"/>
    <w:rsid w:val="008772CF"/>
    <w:rsid w:val="00883075"/>
    <w:rsid w:val="008844A2"/>
    <w:rsid w:val="00886554"/>
    <w:rsid w:val="00892A7A"/>
    <w:rsid w:val="00894004"/>
    <w:rsid w:val="008D00E6"/>
    <w:rsid w:val="009069B9"/>
    <w:rsid w:val="00921528"/>
    <w:rsid w:val="00924AFB"/>
    <w:rsid w:val="00926A75"/>
    <w:rsid w:val="009322E7"/>
    <w:rsid w:val="00945C7D"/>
    <w:rsid w:val="00946530"/>
    <w:rsid w:val="00965A5F"/>
    <w:rsid w:val="00974E8E"/>
    <w:rsid w:val="00980294"/>
    <w:rsid w:val="00982C40"/>
    <w:rsid w:val="00994B88"/>
    <w:rsid w:val="00996114"/>
    <w:rsid w:val="009A4D3A"/>
    <w:rsid w:val="009B149E"/>
    <w:rsid w:val="009B5D1E"/>
    <w:rsid w:val="009E24E4"/>
    <w:rsid w:val="009E2579"/>
    <w:rsid w:val="009E7145"/>
    <w:rsid w:val="00A00CB3"/>
    <w:rsid w:val="00A045B5"/>
    <w:rsid w:val="00A4272E"/>
    <w:rsid w:val="00A66E7D"/>
    <w:rsid w:val="00A8515C"/>
    <w:rsid w:val="00A865F7"/>
    <w:rsid w:val="00AA3F14"/>
    <w:rsid w:val="00AB0BFE"/>
    <w:rsid w:val="00AB17AC"/>
    <w:rsid w:val="00AB4835"/>
    <w:rsid w:val="00AB6B52"/>
    <w:rsid w:val="00AC74A0"/>
    <w:rsid w:val="00AE171E"/>
    <w:rsid w:val="00B63698"/>
    <w:rsid w:val="00B661C7"/>
    <w:rsid w:val="00B74BA9"/>
    <w:rsid w:val="00B8208E"/>
    <w:rsid w:val="00B82B8A"/>
    <w:rsid w:val="00B82FAE"/>
    <w:rsid w:val="00B915F7"/>
    <w:rsid w:val="00B9438E"/>
    <w:rsid w:val="00BC1C37"/>
    <w:rsid w:val="00BC2B5C"/>
    <w:rsid w:val="00BE2053"/>
    <w:rsid w:val="00BF09DC"/>
    <w:rsid w:val="00BF38FF"/>
    <w:rsid w:val="00BF3C7F"/>
    <w:rsid w:val="00C160EB"/>
    <w:rsid w:val="00C25464"/>
    <w:rsid w:val="00C320A0"/>
    <w:rsid w:val="00C341FA"/>
    <w:rsid w:val="00C34FC7"/>
    <w:rsid w:val="00C54EFC"/>
    <w:rsid w:val="00C70ACA"/>
    <w:rsid w:val="00C81383"/>
    <w:rsid w:val="00C82DC9"/>
    <w:rsid w:val="00C863AE"/>
    <w:rsid w:val="00C9557E"/>
    <w:rsid w:val="00CC1DD8"/>
    <w:rsid w:val="00CC3232"/>
    <w:rsid w:val="00D0519B"/>
    <w:rsid w:val="00D05EB4"/>
    <w:rsid w:val="00D11C3D"/>
    <w:rsid w:val="00D25206"/>
    <w:rsid w:val="00D355FB"/>
    <w:rsid w:val="00D41D2C"/>
    <w:rsid w:val="00D4605B"/>
    <w:rsid w:val="00D623AA"/>
    <w:rsid w:val="00D8518F"/>
    <w:rsid w:val="00D96EC7"/>
    <w:rsid w:val="00DA12BF"/>
    <w:rsid w:val="00DA7138"/>
    <w:rsid w:val="00DF248E"/>
    <w:rsid w:val="00DF3222"/>
    <w:rsid w:val="00E07FD2"/>
    <w:rsid w:val="00E31F64"/>
    <w:rsid w:val="00E3728D"/>
    <w:rsid w:val="00E4357B"/>
    <w:rsid w:val="00E47B47"/>
    <w:rsid w:val="00E5166B"/>
    <w:rsid w:val="00E644A0"/>
    <w:rsid w:val="00E87A80"/>
    <w:rsid w:val="00E87CEC"/>
    <w:rsid w:val="00EA1BA6"/>
    <w:rsid w:val="00EA4C58"/>
    <w:rsid w:val="00EB67EC"/>
    <w:rsid w:val="00EE11F9"/>
    <w:rsid w:val="00EE7425"/>
    <w:rsid w:val="00EF6C8D"/>
    <w:rsid w:val="00F00080"/>
    <w:rsid w:val="00F01B03"/>
    <w:rsid w:val="00F03FF4"/>
    <w:rsid w:val="00F06C20"/>
    <w:rsid w:val="00F10699"/>
    <w:rsid w:val="00F1075B"/>
    <w:rsid w:val="00F10E4C"/>
    <w:rsid w:val="00F176CD"/>
    <w:rsid w:val="00F26324"/>
    <w:rsid w:val="00F273C5"/>
    <w:rsid w:val="00F3275E"/>
    <w:rsid w:val="00F4576C"/>
    <w:rsid w:val="00F545AB"/>
    <w:rsid w:val="00F715BA"/>
    <w:rsid w:val="00F8200E"/>
    <w:rsid w:val="00F86DE9"/>
    <w:rsid w:val="00F92A8F"/>
    <w:rsid w:val="00FA6CF1"/>
    <w:rsid w:val="00FC0049"/>
    <w:rsid w:val="00FC376F"/>
    <w:rsid w:val="00FF30E1"/>
    <w:rsid w:val="01506B97"/>
    <w:rsid w:val="01565C22"/>
    <w:rsid w:val="01DC19EE"/>
    <w:rsid w:val="024610D3"/>
    <w:rsid w:val="0311468D"/>
    <w:rsid w:val="032632FE"/>
    <w:rsid w:val="037606C3"/>
    <w:rsid w:val="038913C4"/>
    <w:rsid w:val="04A309AD"/>
    <w:rsid w:val="04E3586E"/>
    <w:rsid w:val="05297156"/>
    <w:rsid w:val="062760CA"/>
    <w:rsid w:val="06367F91"/>
    <w:rsid w:val="063E7CAE"/>
    <w:rsid w:val="064061DE"/>
    <w:rsid w:val="07897C0E"/>
    <w:rsid w:val="082A1395"/>
    <w:rsid w:val="08B4403A"/>
    <w:rsid w:val="08B60D54"/>
    <w:rsid w:val="094628A0"/>
    <w:rsid w:val="09D91328"/>
    <w:rsid w:val="0ABC2331"/>
    <w:rsid w:val="0B3111FA"/>
    <w:rsid w:val="0B45387B"/>
    <w:rsid w:val="0BB57BA4"/>
    <w:rsid w:val="0C0076B8"/>
    <w:rsid w:val="0C6C37E1"/>
    <w:rsid w:val="0C9615C8"/>
    <w:rsid w:val="0D9C5751"/>
    <w:rsid w:val="0DC3421D"/>
    <w:rsid w:val="0DF76B00"/>
    <w:rsid w:val="0EDA155C"/>
    <w:rsid w:val="0F4F6CEE"/>
    <w:rsid w:val="0F9746D1"/>
    <w:rsid w:val="0FBD189C"/>
    <w:rsid w:val="0FDE4BDA"/>
    <w:rsid w:val="0FF07241"/>
    <w:rsid w:val="11655791"/>
    <w:rsid w:val="11B1466E"/>
    <w:rsid w:val="121D4674"/>
    <w:rsid w:val="12331A20"/>
    <w:rsid w:val="12437B24"/>
    <w:rsid w:val="12954B43"/>
    <w:rsid w:val="12DC670B"/>
    <w:rsid w:val="12F42BA4"/>
    <w:rsid w:val="131D1399"/>
    <w:rsid w:val="1396419C"/>
    <w:rsid w:val="15932B49"/>
    <w:rsid w:val="15A5072F"/>
    <w:rsid w:val="15E05662"/>
    <w:rsid w:val="1787048B"/>
    <w:rsid w:val="179C05CE"/>
    <w:rsid w:val="18FA31D6"/>
    <w:rsid w:val="192C7506"/>
    <w:rsid w:val="193548E0"/>
    <w:rsid w:val="19440BD0"/>
    <w:rsid w:val="1A102318"/>
    <w:rsid w:val="1A206039"/>
    <w:rsid w:val="1B6553C6"/>
    <w:rsid w:val="1BBC4C34"/>
    <w:rsid w:val="1C3C11C6"/>
    <w:rsid w:val="1C7520F8"/>
    <w:rsid w:val="1D0B3468"/>
    <w:rsid w:val="1D1E53EE"/>
    <w:rsid w:val="1D506AA7"/>
    <w:rsid w:val="1E470BDB"/>
    <w:rsid w:val="1E7B7EAF"/>
    <w:rsid w:val="1FE401B3"/>
    <w:rsid w:val="20C462AC"/>
    <w:rsid w:val="21B73E88"/>
    <w:rsid w:val="222B693C"/>
    <w:rsid w:val="22A64485"/>
    <w:rsid w:val="24667DE3"/>
    <w:rsid w:val="247C0C4C"/>
    <w:rsid w:val="25DC0A00"/>
    <w:rsid w:val="262E3841"/>
    <w:rsid w:val="26AF2198"/>
    <w:rsid w:val="26B75F6B"/>
    <w:rsid w:val="27EC2A9F"/>
    <w:rsid w:val="28203CD5"/>
    <w:rsid w:val="287A337D"/>
    <w:rsid w:val="28800981"/>
    <w:rsid w:val="28A14A68"/>
    <w:rsid w:val="28F00B0D"/>
    <w:rsid w:val="298316DB"/>
    <w:rsid w:val="298F4F7D"/>
    <w:rsid w:val="29B80978"/>
    <w:rsid w:val="2AAD6736"/>
    <w:rsid w:val="2AD00E3A"/>
    <w:rsid w:val="2AE05796"/>
    <w:rsid w:val="2B3F6C91"/>
    <w:rsid w:val="2B9F71B1"/>
    <w:rsid w:val="2CAC0E49"/>
    <w:rsid w:val="2CC101CD"/>
    <w:rsid w:val="2D047A30"/>
    <w:rsid w:val="2D9F4E31"/>
    <w:rsid w:val="2E40411F"/>
    <w:rsid w:val="2F09761D"/>
    <w:rsid w:val="306B332E"/>
    <w:rsid w:val="308C5F48"/>
    <w:rsid w:val="30CB2D3F"/>
    <w:rsid w:val="311913D0"/>
    <w:rsid w:val="313E75B5"/>
    <w:rsid w:val="31C45AE8"/>
    <w:rsid w:val="31E17C98"/>
    <w:rsid w:val="32326DEE"/>
    <w:rsid w:val="329A66A2"/>
    <w:rsid w:val="32B71199"/>
    <w:rsid w:val="338962BA"/>
    <w:rsid w:val="33D854F6"/>
    <w:rsid w:val="33DE3C29"/>
    <w:rsid w:val="34010037"/>
    <w:rsid w:val="3412744D"/>
    <w:rsid w:val="3431735D"/>
    <w:rsid w:val="345F5981"/>
    <w:rsid w:val="35061741"/>
    <w:rsid w:val="354C01C6"/>
    <w:rsid w:val="355D635D"/>
    <w:rsid w:val="358E4C71"/>
    <w:rsid w:val="360F2EB9"/>
    <w:rsid w:val="36887E00"/>
    <w:rsid w:val="368F1C37"/>
    <w:rsid w:val="36963DEF"/>
    <w:rsid w:val="36D66C33"/>
    <w:rsid w:val="37021294"/>
    <w:rsid w:val="370B211A"/>
    <w:rsid w:val="379D6803"/>
    <w:rsid w:val="38194CD8"/>
    <w:rsid w:val="398C14D9"/>
    <w:rsid w:val="39C15F76"/>
    <w:rsid w:val="3AA01842"/>
    <w:rsid w:val="3ACF286E"/>
    <w:rsid w:val="3C3C48C9"/>
    <w:rsid w:val="3C505CA8"/>
    <w:rsid w:val="3C9E7E8F"/>
    <w:rsid w:val="3CE81B00"/>
    <w:rsid w:val="3D5740DE"/>
    <w:rsid w:val="3E5A5EE4"/>
    <w:rsid w:val="3E5F5AA5"/>
    <w:rsid w:val="3E7D31ED"/>
    <w:rsid w:val="3E846C23"/>
    <w:rsid w:val="3EBC7BE3"/>
    <w:rsid w:val="401E2B51"/>
    <w:rsid w:val="40F26F47"/>
    <w:rsid w:val="41117688"/>
    <w:rsid w:val="412C237F"/>
    <w:rsid w:val="4155091F"/>
    <w:rsid w:val="41695A0F"/>
    <w:rsid w:val="41BA10CB"/>
    <w:rsid w:val="42303B8B"/>
    <w:rsid w:val="42423FD9"/>
    <w:rsid w:val="43A14604"/>
    <w:rsid w:val="43A33BF5"/>
    <w:rsid w:val="43A538BC"/>
    <w:rsid w:val="44E17F63"/>
    <w:rsid w:val="44F7014F"/>
    <w:rsid w:val="453B488F"/>
    <w:rsid w:val="45F15E70"/>
    <w:rsid w:val="46A64344"/>
    <w:rsid w:val="46D80127"/>
    <w:rsid w:val="477A5515"/>
    <w:rsid w:val="489706FC"/>
    <w:rsid w:val="48B733AA"/>
    <w:rsid w:val="48E20A96"/>
    <w:rsid w:val="4B117A90"/>
    <w:rsid w:val="4BB34F51"/>
    <w:rsid w:val="4D4D3AFB"/>
    <w:rsid w:val="4D683864"/>
    <w:rsid w:val="4DC46C4F"/>
    <w:rsid w:val="4DE173FF"/>
    <w:rsid w:val="4E58201F"/>
    <w:rsid w:val="50AE13D1"/>
    <w:rsid w:val="50D1098B"/>
    <w:rsid w:val="51B678C8"/>
    <w:rsid w:val="52D561B8"/>
    <w:rsid w:val="52DC0984"/>
    <w:rsid w:val="536A0519"/>
    <w:rsid w:val="548B08B3"/>
    <w:rsid w:val="55242153"/>
    <w:rsid w:val="555F4A28"/>
    <w:rsid w:val="558F57DA"/>
    <w:rsid w:val="55A0038E"/>
    <w:rsid w:val="55DD4A42"/>
    <w:rsid w:val="567F1BCC"/>
    <w:rsid w:val="56D218E5"/>
    <w:rsid w:val="573F39B5"/>
    <w:rsid w:val="57B4119F"/>
    <w:rsid w:val="588A28B9"/>
    <w:rsid w:val="5A9164F8"/>
    <w:rsid w:val="5AFE1DDF"/>
    <w:rsid w:val="5B1C1D31"/>
    <w:rsid w:val="5D3A54D2"/>
    <w:rsid w:val="5DD46E27"/>
    <w:rsid w:val="5E997C33"/>
    <w:rsid w:val="5EB007B5"/>
    <w:rsid w:val="5EBC779A"/>
    <w:rsid w:val="60712622"/>
    <w:rsid w:val="61903065"/>
    <w:rsid w:val="61C030C6"/>
    <w:rsid w:val="6232236E"/>
    <w:rsid w:val="624C4474"/>
    <w:rsid w:val="62AC3A78"/>
    <w:rsid w:val="63B57AC3"/>
    <w:rsid w:val="64011757"/>
    <w:rsid w:val="6473529E"/>
    <w:rsid w:val="649E1F3D"/>
    <w:rsid w:val="64FD4B95"/>
    <w:rsid w:val="65E0162B"/>
    <w:rsid w:val="65E53E98"/>
    <w:rsid w:val="661A72F4"/>
    <w:rsid w:val="66424626"/>
    <w:rsid w:val="665971AE"/>
    <w:rsid w:val="667B1BFB"/>
    <w:rsid w:val="67A55BDE"/>
    <w:rsid w:val="6835600A"/>
    <w:rsid w:val="68A8667A"/>
    <w:rsid w:val="692E169F"/>
    <w:rsid w:val="69A37C09"/>
    <w:rsid w:val="69BC61DA"/>
    <w:rsid w:val="6A2B3024"/>
    <w:rsid w:val="6A303659"/>
    <w:rsid w:val="6A4B2016"/>
    <w:rsid w:val="6AC344AB"/>
    <w:rsid w:val="6BA008BF"/>
    <w:rsid w:val="6BA1796A"/>
    <w:rsid w:val="6BA472B9"/>
    <w:rsid w:val="6BD77B3D"/>
    <w:rsid w:val="6C240F7A"/>
    <w:rsid w:val="6D00349A"/>
    <w:rsid w:val="6D600186"/>
    <w:rsid w:val="6E945E6C"/>
    <w:rsid w:val="6F835472"/>
    <w:rsid w:val="6F913D15"/>
    <w:rsid w:val="70A45725"/>
    <w:rsid w:val="710812D5"/>
    <w:rsid w:val="71227648"/>
    <w:rsid w:val="71411F9D"/>
    <w:rsid w:val="73BE4E40"/>
    <w:rsid w:val="762A69E2"/>
    <w:rsid w:val="76524E83"/>
    <w:rsid w:val="76AC04E9"/>
    <w:rsid w:val="7A6C1EDF"/>
    <w:rsid w:val="7A711B4A"/>
    <w:rsid w:val="7B16294B"/>
    <w:rsid w:val="7BC24922"/>
    <w:rsid w:val="7C19011C"/>
    <w:rsid w:val="7C331E4E"/>
    <w:rsid w:val="7C934E7B"/>
    <w:rsid w:val="7CCF5DDE"/>
    <w:rsid w:val="7D5738F9"/>
    <w:rsid w:val="7D5F62B6"/>
    <w:rsid w:val="7D707D52"/>
    <w:rsid w:val="7E3B10CB"/>
    <w:rsid w:val="7E8766DE"/>
    <w:rsid w:val="7F443A4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99" w:semiHidden="0"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iPriority="99" w:semiHidden="0" w:name="Body Text Indent 3"/>
    <w:lsdException w:uiPriority="99"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adjustRightInd w:val="0"/>
    </w:pPr>
    <w:rPr>
      <w:rFonts w:ascii="宋体" w:hAnsi="Times New Roman" w:eastAsia="宋体" w:cs="宋体"/>
      <w:sz w:val="22"/>
      <w:szCs w:val="22"/>
      <w:lang w:val="en-US" w:eastAsia="zh-CN" w:bidi="ar-SA"/>
    </w:rPr>
  </w:style>
  <w:style w:type="paragraph" w:styleId="2">
    <w:name w:val="heading 1"/>
    <w:basedOn w:val="1"/>
    <w:next w:val="1"/>
    <w:link w:val="53"/>
    <w:qFormat/>
    <w:uiPriority w:val="9"/>
    <w:pPr>
      <w:ind w:left="3144" w:right="3120"/>
      <w:jc w:val="center"/>
      <w:outlineLvl w:val="0"/>
    </w:pPr>
    <w:rPr>
      <w:rFonts w:cs="Times New Roman"/>
      <w:b/>
      <w:bCs/>
      <w:kern w:val="44"/>
      <w:sz w:val="44"/>
      <w:szCs w:val="44"/>
    </w:rPr>
  </w:style>
  <w:style w:type="paragraph" w:styleId="3">
    <w:name w:val="heading 2"/>
    <w:basedOn w:val="1"/>
    <w:next w:val="1"/>
    <w:link w:val="62"/>
    <w:qFormat/>
    <w:uiPriority w:val="9"/>
    <w:pPr>
      <w:ind w:left="3150" w:right="3120"/>
      <w:jc w:val="center"/>
      <w:outlineLvl w:val="1"/>
    </w:pPr>
    <w:rPr>
      <w:rFonts w:ascii="等线 Light" w:hAnsi="等线 Light" w:eastAsia="等线 Light" w:cs="Times New Roman"/>
      <w:b/>
      <w:bCs/>
      <w:sz w:val="32"/>
      <w:szCs w:val="32"/>
    </w:rPr>
  </w:style>
  <w:style w:type="paragraph" w:styleId="4">
    <w:name w:val="heading 3"/>
    <w:basedOn w:val="1"/>
    <w:next w:val="1"/>
    <w:link w:val="58"/>
    <w:qFormat/>
    <w:uiPriority w:val="9"/>
    <w:pPr>
      <w:spacing w:before="48"/>
      <w:ind w:left="3150" w:right="3120"/>
      <w:jc w:val="center"/>
      <w:outlineLvl w:val="2"/>
    </w:pPr>
    <w:rPr>
      <w:rFonts w:cs="Times New Roman"/>
      <w:b/>
      <w:bCs/>
      <w:sz w:val="32"/>
      <w:szCs w:val="32"/>
    </w:rPr>
  </w:style>
  <w:style w:type="paragraph" w:styleId="5">
    <w:name w:val="heading 4"/>
    <w:basedOn w:val="1"/>
    <w:next w:val="1"/>
    <w:link w:val="56"/>
    <w:qFormat/>
    <w:uiPriority w:val="9"/>
    <w:pPr>
      <w:spacing w:before="62"/>
      <w:ind w:left="200"/>
      <w:outlineLvl w:val="3"/>
    </w:pPr>
    <w:rPr>
      <w:rFonts w:ascii="等线 Light" w:hAnsi="等线 Light" w:eastAsia="等线 Light" w:cs="Times New Roman"/>
      <w:b/>
      <w:bCs/>
      <w:sz w:val="28"/>
      <w:szCs w:val="28"/>
    </w:rPr>
  </w:style>
  <w:style w:type="paragraph" w:styleId="6">
    <w:name w:val="heading 5"/>
    <w:basedOn w:val="1"/>
    <w:next w:val="1"/>
    <w:link w:val="64"/>
    <w:qFormat/>
    <w:uiPriority w:val="9"/>
    <w:pPr>
      <w:ind w:left="412" w:hanging="207"/>
      <w:outlineLvl w:val="4"/>
    </w:pPr>
    <w:rPr>
      <w:rFonts w:cs="Times New Roman"/>
      <w:b/>
      <w:bCs/>
      <w:sz w:val="28"/>
      <w:szCs w:val="28"/>
    </w:rPr>
  </w:style>
  <w:style w:type="character" w:default="1" w:styleId="26">
    <w:name w:val="Default Paragraph Font"/>
    <w:unhideWhenUsed/>
    <w:qFormat/>
    <w:uiPriority w:val="1"/>
  </w:style>
  <w:style w:type="table" w:default="1" w:styleId="24">
    <w:name w:val="Normal Table"/>
    <w:unhideWhenUsed/>
    <w:qFormat/>
    <w:uiPriority w:val="99"/>
    <w:tblPr>
      <w:tblCellMar>
        <w:top w:w="0" w:type="dxa"/>
        <w:left w:w="108" w:type="dxa"/>
        <w:bottom w:w="0" w:type="dxa"/>
        <w:right w:w="108" w:type="dxa"/>
      </w:tblCellMar>
    </w:tblPr>
  </w:style>
  <w:style w:type="paragraph" w:styleId="7">
    <w:name w:val="List 3"/>
    <w:basedOn w:val="1"/>
    <w:qFormat/>
    <w:uiPriority w:val="0"/>
    <w:pPr>
      <w:ind w:left="100" w:leftChars="400" w:hanging="200" w:hangingChars="200"/>
    </w:pPr>
    <w:rPr>
      <w:rFonts w:ascii="Times New Roman" w:hAnsi="Times New Roman" w:eastAsia="宋体" w:cs="Times New Roman"/>
    </w:rPr>
  </w:style>
  <w:style w:type="paragraph" w:styleId="8">
    <w:name w:val="index 8"/>
    <w:next w:val="1"/>
    <w:qFormat/>
    <w:uiPriority w:val="0"/>
    <w:pPr>
      <w:widowControl w:val="0"/>
      <w:ind w:left="2940"/>
      <w:jc w:val="both"/>
    </w:pPr>
    <w:rPr>
      <w:rFonts w:ascii="方正仿宋_GBK" w:hAnsi="Calibri" w:eastAsia="方正仿宋_GBK" w:cs="宋体"/>
      <w:kern w:val="2"/>
      <w:sz w:val="32"/>
      <w:szCs w:val="28"/>
      <w:lang w:val="en-US" w:eastAsia="zh-CN" w:bidi="ar-SA"/>
    </w:rPr>
  </w:style>
  <w:style w:type="paragraph" w:styleId="9">
    <w:name w:val="Normal Indent"/>
    <w:basedOn w:val="1"/>
    <w:qFormat/>
    <w:uiPriority w:val="0"/>
    <w:pPr>
      <w:ind w:firstLine="420"/>
    </w:pPr>
    <w:rPr>
      <w:szCs w:val="21"/>
    </w:rPr>
  </w:style>
  <w:style w:type="paragraph" w:styleId="10">
    <w:name w:val="annotation text"/>
    <w:basedOn w:val="1"/>
    <w:link w:val="55"/>
    <w:unhideWhenUsed/>
    <w:qFormat/>
    <w:uiPriority w:val="99"/>
    <w:rPr>
      <w:rFonts w:cs="Times New Roman"/>
    </w:rPr>
  </w:style>
  <w:style w:type="paragraph" w:styleId="11">
    <w:name w:val="Body Text"/>
    <w:basedOn w:val="1"/>
    <w:link w:val="50"/>
    <w:qFormat/>
    <w:uiPriority w:val="99"/>
    <w:pPr>
      <w:ind w:left="590"/>
    </w:pPr>
    <w:rPr>
      <w:rFonts w:cs="Times New Roman"/>
      <w:szCs w:val="20"/>
    </w:rPr>
  </w:style>
  <w:style w:type="paragraph" w:styleId="12">
    <w:name w:val="Body Text Indent"/>
    <w:basedOn w:val="1"/>
    <w:next w:val="13"/>
    <w:qFormat/>
    <w:uiPriority w:val="0"/>
    <w:pPr>
      <w:ind w:firstLine="830" w:firstLineChars="352"/>
    </w:pPr>
    <w:rPr>
      <w:rFonts w:ascii="仿宋_GB2312" w:eastAsia="仿宋_GB2312"/>
      <w:sz w:val="32"/>
      <w:szCs w:val="20"/>
    </w:rPr>
  </w:style>
  <w:style w:type="paragraph" w:styleId="13">
    <w:name w:val="envelope return"/>
    <w:basedOn w:val="1"/>
    <w:qFormat/>
    <w:uiPriority w:val="99"/>
    <w:pPr>
      <w:snapToGrid w:val="0"/>
    </w:pPr>
    <w:rPr>
      <w:rFonts w:ascii="Arial" w:hAnsi="Arial"/>
    </w:rPr>
  </w:style>
  <w:style w:type="paragraph" w:styleId="14">
    <w:name w:val="Plain Text"/>
    <w:basedOn w:val="1"/>
    <w:qFormat/>
    <w:uiPriority w:val="0"/>
    <w:rPr>
      <w:rFonts w:ascii="宋体" w:hAnsi="Courier New" w:cs="Courier New"/>
      <w:szCs w:val="21"/>
    </w:rPr>
  </w:style>
  <w:style w:type="paragraph" w:styleId="15">
    <w:name w:val="Body Text Indent 2"/>
    <w:basedOn w:val="1"/>
    <w:qFormat/>
    <w:uiPriority w:val="0"/>
    <w:pPr>
      <w:spacing w:after="120" w:line="480" w:lineRule="auto"/>
      <w:ind w:left="420" w:leftChars="200"/>
    </w:pPr>
  </w:style>
  <w:style w:type="paragraph" w:styleId="16">
    <w:name w:val="Balloon Text"/>
    <w:basedOn w:val="1"/>
    <w:link w:val="60"/>
    <w:unhideWhenUsed/>
    <w:qFormat/>
    <w:uiPriority w:val="99"/>
    <w:rPr>
      <w:rFonts w:cs="Times New Roman"/>
      <w:sz w:val="18"/>
      <w:szCs w:val="18"/>
    </w:rPr>
  </w:style>
  <w:style w:type="paragraph" w:styleId="17">
    <w:name w:val="footer"/>
    <w:basedOn w:val="1"/>
    <w:link w:val="66"/>
    <w:unhideWhenUsed/>
    <w:qFormat/>
    <w:uiPriority w:val="0"/>
    <w:pPr>
      <w:tabs>
        <w:tab w:val="center" w:pos="4153"/>
        <w:tab w:val="right" w:pos="8306"/>
      </w:tabs>
      <w:snapToGrid w:val="0"/>
    </w:pPr>
    <w:rPr>
      <w:rFonts w:cs="Times New Roman"/>
      <w:sz w:val="18"/>
      <w:szCs w:val="18"/>
    </w:rPr>
  </w:style>
  <w:style w:type="paragraph" w:styleId="18">
    <w:name w:val="header"/>
    <w:basedOn w:val="1"/>
    <w:link w:val="52"/>
    <w:unhideWhenUsed/>
    <w:qFormat/>
    <w:uiPriority w:val="99"/>
    <w:pPr>
      <w:pBdr>
        <w:bottom w:val="single" w:color="auto" w:sz="6" w:space="1"/>
      </w:pBdr>
      <w:tabs>
        <w:tab w:val="center" w:pos="4153"/>
        <w:tab w:val="right" w:pos="8306"/>
      </w:tabs>
      <w:snapToGrid w:val="0"/>
      <w:jc w:val="center"/>
    </w:pPr>
    <w:rPr>
      <w:rFonts w:cs="Times New Roman"/>
      <w:sz w:val="18"/>
      <w:szCs w:val="18"/>
    </w:rPr>
  </w:style>
  <w:style w:type="paragraph" w:styleId="19">
    <w:name w:val="Body Text Indent 3"/>
    <w:basedOn w:val="1"/>
    <w:link w:val="61"/>
    <w:unhideWhenUsed/>
    <w:qFormat/>
    <w:uiPriority w:val="99"/>
    <w:pPr>
      <w:spacing w:after="120"/>
      <w:ind w:left="420" w:leftChars="200"/>
    </w:pPr>
    <w:rPr>
      <w:rFonts w:cs="Times New Roman"/>
      <w:sz w:val="16"/>
      <w:szCs w:val="16"/>
    </w:rPr>
  </w:style>
  <w:style w:type="paragraph" w:styleId="20">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styleId="21">
    <w:name w:val="annotation subject"/>
    <w:basedOn w:val="10"/>
    <w:next w:val="10"/>
    <w:link w:val="57"/>
    <w:unhideWhenUsed/>
    <w:qFormat/>
    <w:uiPriority w:val="99"/>
    <w:rPr>
      <w:b/>
      <w:bCs/>
    </w:rPr>
  </w:style>
  <w:style w:type="paragraph" w:styleId="22">
    <w:name w:val="Body Text First Indent"/>
    <w:basedOn w:val="11"/>
    <w:link w:val="54"/>
    <w:unhideWhenUsed/>
    <w:qFormat/>
    <w:uiPriority w:val="99"/>
    <w:pPr>
      <w:spacing w:after="120"/>
      <w:ind w:left="0" w:firstLine="420" w:firstLineChars="100"/>
    </w:pPr>
    <w:rPr>
      <w:szCs w:val="22"/>
    </w:rPr>
  </w:style>
  <w:style w:type="paragraph" w:styleId="23">
    <w:name w:val="Body Text First Indent 2"/>
    <w:basedOn w:val="12"/>
    <w:qFormat/>
    <w:uiPriority w:val="0"/>
    <w:pPr>
      <w:spacing w:after="120"/>
      <w:ind w:left="420" w:leftChars="200"/>
    </w:pPr>
    <w:rPr>
      <w:rFonts w:ascii="Calibri" w:hAnsi="Calibri"/>
      <w:sz w:val="21"/>
    </w:rPr>
  </w:style>
  <w:style w:type="table" w:styleId="25">
    <w:name w:val="Table Grid"/>
    <w:basedOn w:val="2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0"/>
    <w:rPr>
      <w:b/>
      <w:bCs/>
    </w:rPr>
  </w:style>
  <w:style w:type="character" w:styleId="28">
    <w:name w:val="page number"/>
    <w:qFormat/>
    <w:uiPriority w:val="0"/>
    <w:rPr>
      <w:rFonts w:cs="Times New Roman"/>
    </w:rPr>
  </w:style>
  <w:style w:type="character" w:styleId="29">
    <w:name w:val="FollowedHyperlink"/>
    <w:basedOn w:val="26"/>
    <w:unhideWhenUsed/>
    <w:qFormat/>
    <w:uiPriority w:val="99"/>
    <w:rPr>
      <w:color w:val="003B70"/>
      <w:u w:val="none"/>
    </w:rPr>
  </w:style>
  <w:style w:type="character" w:styleId="30">
    <w:name w:val="Hyperlink"/>
    <w:basedOn w:val="26"/>
    <w:unhideWhenUsed/>
    <w:qFormat/>
    <w:uiPriority w:val="99"/>
    <w:rPr>
      <w:color w:val="003B70"/>
      <w:u w:val="none"/>
    </w:rPr>
  </w:style>
  <w:style w:type="character" w:styleId="31">
    <w:name w:val="annotation reference"/>
    <w:basedOn w:val="26"/>
    <w:unhideWhenUsed/>
    <w:qFormat/>
    <w:uiPriority w:val="99"/>
    <w:rPr>
      <w:sz w:val="21"/>
      <w:szCs w:val="21"/>
    </w:rPr>
  </w:style>
  <w:style w:type="paragraph" w:customStyle="1" w:styleId="32">
    <w:name w:val="表格文字"/>
    <w:basedOn w:val="33"/>
    <w:next w:val="1"/>
    <w:qFormat/>
    <w:uiPriority w:val="0"/>
    <w:pPr>
      <w:spacing w:before="25" w:after="25"/>
      <w:jc w:val="left"/>
    </w:pPr>
    <w:rPr>
      <w:bCs/>
      <w:spacing w:val="10"/>
      <w:kern w:val="0"/>
      <w:sz w:val="24"/>
      <w:szCs w:val="20"/>
    </w:rPr>
  </w:style>
  <w:style w:type="paragraph" w:customStyle="1" w:styleId="33">
    <w:name w:val="表格文字（两侧对齐）"/>
    <w:basedOn w:val="1"/>
    <w:qFormat/>
    <w:uiPriority w:val="0"/>
    <w:pPr>
      <w:widowControl w:val="0"/>
      <w:snapToGrid w:val="0"/>
      <w:spacing w:line="240" w:lineRule="auto"/>
      <w:ind w:firstLine="0" w:firstLineChars="0"/>
    </w:pPr>
    <w:rPr>
      <w:rFonts w:ascii="Calibri" w:hAnsi="Calibri" w:cs="Times New Roman"/>
      <w:kern w:val="0"/>
      <w:sz w:val="20"/>
    </w:rPr>
  </w:style>
  <w:style w:type="paragraph" w:customStyle="1" w:styleId="3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5">
    <w:name w:val="Heading4"/>
    <w:basedOn w:val="1"/>
    <w:qFormat/>
    <w:uiPriority w:val="0"/>
    <w:pPr>
      <w:keepNext/>
      <w:keepLines/>
      <w:widowControl w:val="0"/>
      <w:suppressLineNumbers w:val="0"/>
      <w:snapToGrid w:val="0"/>
      <w:spacing w:before="200" w:beforeAutospacing="0" w:line="360" w:lineRule="auto"/>
      <w:jc w:val="both"/>
    </w:pPr>
    <w:rPr>
      <w:rFonts w:hint="default" w:ascii="Cambria" w:hAnsi="Cambria" w:eastAsia="宋体" w:cs="Times New Roman"/>
      <w:b/>
      <w:i/>
      <w:color w:val="4F81BD"/>
      <w:kern w:val="0"/>
      <w:sz w:val="20"/>
      <w:szCs w:val="20"/>
      <w:lang w:val="en-US" w:eastAsia="zh-CN" w:bidi="ar"/>
    </w:rPr>
  </w:style>
  <w:style w:type="paragraph" w:customStyle="1" w:styleId="36">
    <w:name w:val="图_0"/>
    <w:basedOn w:val="37"/>
    <w:qFormat/>
    <w:uiPriority w:val="0"/>
    <w:pPr>
      <w:keepNext/>
      <w:adjustRightInd w:val="0"/>
      <w:spacing w:before="60" w:after="60" w:line="300" w:lineRule="auto"/>
      <w:jc w:val="center"/>
      <w:textAlignment w:val="center"/>
    </w:pPr>
    <w:rPr>
      <w:rFonts w:ascii="Times New Roman" w:hAnsi="Times New Roman"/>
      <w:snapToGrid w:val="0"/>
      <w:spacing w:val="20"/>
      <w:kern w:val="0"/>
      <w:sz w:val="24"/>
      <w:szCs w:val="20"/>
    </w:rPr>
  </w:style>
  <w:style w:type="paragraph" w:customStyle="1" w:styleId="3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Table Paragraph"/>
    <w:basedOn w:val="1"/>
    <w:qFormat/>
    <w:uiPriority w:val="1"/>
    <w:rPr>
      <w:sz w:val="24"/>
      <w:szCs w:val="24"/>
    </w:rPr>
  </w:style>
  <w:style w:type="paragraph" w:customStyle="1" w:styleId="39">
    <w:name w:val="_Style 3"/>
    <w:basedOn w:val="1"/>
    <w:next w:val="19"/>
    <w:qFormat/>
    <w:uiPriority w:val="0"/>
    <w:pPr>
      <w:autoSpaceDE/>
      <w:autoSpaceDN/>
      <w:adjustRightInd/>
      <w:ind w:firstLine="420" w:firstLineChars="200"/>
      <w:jc w:val="both"/>
    </w:pPr>
    <w:rPr>
      <w:rFonts w:ascii="Calibri" w:hAnsi="Calibri" w:eastAsia="Calibri" w:cs="Times New Roman"/>
      <w:kern w:val="2"/>
      <w:lang w:eastAsia="en-US"/>
    </w:rPr>
  </w:style>
  <w:style w:type="paragraph" w:customStyle="1" w:styleId="40">
    <w:name w:val="Char Char Char"/>
    <w:basedOn w:val="1"/>
    <w:qFormat/>
    <w:uiPriority w:val="0"/>
    <w:rPr>
      <w:rFonts w:ascii="宋体" w:hAnsi="宋体"/>
      <w:b/>
      <w:sz w:val="28"/>
      <w:szCs w:val="28"/>
    </w:rPr>
  </w:style>
  <w:style w:type="paragraph" w:customStyle="1" w:styleId="41">
    <w:name w:val="正文1"/>
    <w:basedOn w:val="1"/>
    <w:next w:val="42"/>
    <w:qFormat/>
    <w:uiPriority w:val="0"/>
    <w:pPr>
      <w:spacing w:line="360" w:lineRule="auto"/>
    </w:pPr>
    <w:rPr>
      <w:rFonts w:ascii="宋体" w:hAnsi="华文宋体"/>
      <w:kern w:val="20"/>
      <w:sz w:val="24"/>
      <w:szCs w:val="20"/>
    </w:rPr>
  </w:style>
  <w:style w:type="paragraph" w:customStyle="1" w:styleId="42">
    <w:name w:val="普通正文"/>
    <w:basedOn w:val="41"/>
    <w:qFormat/>
    <w:uiPriority w:val="0"/>
    <w:pPr>
      <w:widowControl/>
      <w:spacing w:line="360" w:lineRule="atLeast"/>
      <w:ind w:firstLine="425"/>
    </w:pPr>
    <w:rPr>
      <w:kern w:val="21"/>
    </w:rPr>
  </w:style>
  <w:style w:type="paragraph" w:customStyle="1" w:styleId="43">
    <w:name w:val="TOC2"/>
    <w:basedOn w:val="1"/>
    <w:next w:val="1"/>
    <w:qFormat/>
    <w:uiPriority w:val="0"/>
    <w:pPr>
      <w:ind w:left="420" w:leftChars="200"/>
    </w:pPr>
    <w:rPr>
      <w:rFonts w:ascii="Calibri" w:hAnsi="Calibri" w:eastAsia="仿宋"/>
      <w:sz w:val="24"/>
    </w:rPr>
  </w:style>
  <w:style w:type="paragraph" w:styleId="44">
    <w:name w:val="List Paragraph"/>
    <w:basedOn w:val="1"/>
    <w:qFormat/>
    <w:uiPriority w:val="1"/>
    <w:pPr>
      <w:ind w:left="206" w:firstLine="384"/>
    </w:pPr>
    <w:rPr>
      <w:sz w:val="24"/>
      <w:szCs w:val="24"/>
    </w:rPr>
  </w:style>
  <w:style w:type="paragraph" w:customStyle="1" w:styleId="45">
    <w:name w:val="_Style 40"/>
    <w:unhideWhenUsed/>
    <w:qFormat/>
    <w:uiPriority w:val="99"/>
    <w:rPr>
      <w:rFonts w:ascii="宋体" w:hAnsi="Times New Roman" w:eastAsia="宋体" w:cs="宋体"/>
      <w:sz w:val="22"/>
      <w:szCs w:val="22"/>
      <w:lang w:val="en-US" w:eastAsia="zh-CN" w:bidi="ar-SA"/>
    </w:rPr>
  </w:style>
  <w:style w:type="paragraph" w:customStyle="1" w:styleId="46">
    <w:name w:val="纯文本_0"/>
    <w:basedOn w:val="37"/>
    <w:qFormat/>
    <w:uiPriority w:val="0"/>
    <w:rPr>
      <w:rFonts w:ascii="宋体" w:hAnsi="Courier New"/>
      <w:kern w:val="0"/>
      <w:sz w:val="20"/>
      <w:szCs w:val="21"/>
    </w:rPr>
  </w:style>
  <w:style w:type="paragraph" w:customStyle="1" w:styleId="47">
    <w:name w:val="RZ表格"/>
    <w:qFormat/>
    <w:uiPriority w:val="0"/>
    <w:pPr>
      <w:textAlignment w:val="center"/>
    </w:pPr>
    <w:rPr>
      <w:rFonts w:ascii="Times New Roman" w:hAnsi="Times New Roman" w:eastAsia="宋体" w:cs="Times New Roman"/>
      <w:bCs/>
      <w:sz w:val="22"/>
      <w:szCs w:val="24"/>
      <w:lang w:val="en-US" w:eastAsia="zh-CN" w:bidi="ar-SA"/>
    </w:rPr>
  </w:style>
  <w:style w:type="paragraph" w:customStyle="1" w:styleId="48">
    <w:name w:val="正文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49">
    <w:name w:val="font41"/>
    <w:qFormat/>
    <w:uiPriority w:val="0"/>
    <w:rPr>
      <w:rFonts w:ascii="Calibri" w:hAnsi="Calibri" w:cs="Calibri"/>
      <w:color w:val="000000"/>
      <w:sz w:val="21"/>
      <w:szCs w:val="21"/>
      <w:u w:val="none"/>
    </w:rPr>
  </w:style>
  <w:style w:type="character" w:customStyle="1" w:styleId="50">
    <w:name w:val="正文文本 Char"/>
    <w:link w:val="11"/>
    <w:semiHidden/>
    <w:qFormat/>
    <w:uiPriority w:val="99"/>
    <w:rPr>
      <w:rFonts w:ascii="宋体" w:hAnsi="Times New Roman" w:eastAsia="宋体" w:cs="宋体"/>
      <w:kern w:val="0"/>
      <w:sz w:val="22"/>
    </w:rPr>
  </w:style>
  <w:style w:type="character" w:customStyle="1" w:styleId="51">
    <w:name w:val="_Style 0"/>
    <w:qFormat/>
    <w:uiPriority w:val="0"/>
    <w:rPr>
      <w:i/>
      <w:iCs/>
      <w:color w:val="808080"/>
    </w:rPr>
  </w:style>
  <w:style w:type="character" w:customStyle="1" w:styleId="52">
    <w:name w:val="页眉 Char"/>
    <w:link w:val="18"/>
    <w:qFormat/>
    <w:uiPriority w:val="99"/>
    <w:rPr>
      <w:rFonts w:ascii="宋体" w:hAnsi="Times New Roman" w:eastAsia="宋体" w:cs="宋体"/>
      <w:kern w:val="0"/>
      <w:sz w:val="18"/>
      <w:szCs w:val="18"/>
    </w:rPr>
  </w:style>
  <w:style w:type="character" w:customStyle="1" w:styleId="53">
    <w:name w:val="标题 1 Char"/>
    <w:link w:val="2"/>
    <w:qFormat/>
    <w:uiPriority w:val="9"/>
    <w:rPr>
      <w:rFonts w:ascii="宋体" w:hAnsi="Times New Roman" w:eastAsia="宋体" w:cs="宋体"/>
      <w:b/>
      <w:bCs/>
      <w:kern w:val="44"/>
      <w:sz w:val="44"/>
      <w:szCs w:val="44"/>
    </w:rPr>
  </w:style>
  <w:style w:type="character" w:customStyle="1" w:styleId="54">
    <w:name w:val="正文首行缩进 Char"/>
    <w:link w:val="22"/>
    <w:semiHidden/>
    <w:qFormat/>
    <w:uiPriority w:val="99"/>
    <w:rPr>
      <w:rFonts w:ascii="宋体" w:hAnsi="Times New Roman" w:eastAsia="宋体" w:cs="宋体"/>
      <w:kern w:val="0"/>
      <w:sz w:val="22"/>
      <w:szCs w:val="22"/>
    </w:rPr>
  </w:style>
  <w:style w:type="character" w:customStyle="1" w:styleId="55">
    <w:name w:val="批注文字 Char"/>
    <w:link w:val="10"/>
    <w:qFormat/>
    <w:uiPriority w:val="99"/>
    <w:rPr>
      <w:rFonts w:ascii="宋体" w:hAnsi="Times New Roman" w:eastAsia="宋体" w:cs="宋体"/>
      <w:sz w:val="22"/>
      <w:szCs w:val="22"/>
    </w:rPr>
  </w:style>
  <w:style w:type="character" w:customStyle="1" w:styleId="56">
    <w:name w:val="标题 4 Char"/>
    <w:link w:val="5"/>
    <w:semiHidden/>
    <w:qFormat/>
    <w:uiPriority w:val="9"/>
    <w:rPr>
      <w:rFonts w:ascii="等线 Light" w:hAnsi="等线 Light" w:eastAsia="等线 Light" w:cs="Times New Roman"/>
      <w:b/>
      <w:bCs/>
      <w:kern w:val="0"/>
      <w:sz w:val="28"/>
      <w:szCs w:val="28"/>
    </w:rPr>
  </w:style>
  <w:style w:type="character" w:customStyle="1" w:styleId="57">
    <w:name w:val="批注主题 Char"/>
    <w:link w:val="21"/>
    <w:semiHidden/>
    <w:qFormat/>
    <w:uiPriority w:val="99"/>
    <w:rPr>
      <w:rFonts w:ascii="宋体" w:hAnsi="Times New Roman" w:eastAsia="宋体" w:cs="宋体"/>
      <w:b/>
      <w:bCs/>
      <w:sz w:val="22"/>
      <w:szCs w:val="22"/>
    </w:rPr>
  </w:style>
  <w:style w:type="character" w:customStyle="1" w:styleId="58">
    <w:name w:val="标题 3 Char"/>
    <w:link w:val="4"/>
    <w:semiHidden/>
    <w:qFormat/>
    <w:uiPriority w:val="9"/>
    <w:rPr>
      <w:rFonts w:ascii="宋体" w:hAnsi="Times New Roman" w:eastAsia="宋体" w:cs="宋体"/>
      <w:b/>
      <w:bCs/>
      <w:kern w:val="0"/>
      <w:sz w:val="32"/>
      <w:szCs w:val="32"/>
    </w:rPr>
  </w:style>
  <w:style w:type="character" w:customStyle="1" w:styleId="59">
    <w:name w:val="p141_0"/>
    <w:qFormat/>
    <w:uiPriority w:val="0"/>
    <w:rPr>
      <w:rFonts w:ascii="Calibri" w:hAnsi="Calibri"/>
      <w:sz w:val="21"/>
      <w:szCs w:val="21"/>
    </w:rPr>
  </w:style>
  <w:style w:type="character" w:customStyle="1" w:styleId="60">
    <w:name w:val="批注框文本 Char"/>
    <w:link w:val="16"/>
    <w:semiHidden/>
    <w:qFormat/>
    <w:uiPriority w:val="99"/>
    <w:rPr>
      <w:rFonts w:ascii="宋体" w:hAnsi="Times New Roman" w:eastAsia="宋体" w:cs="宋体"/>
      <w:sz w:val="18"/>
      <w:szCs w:val="18"/>
    </w:rPr>
  </w:style>
  <w:style w:type="character" w:customStyle="1" w:styleId="61">
    <w:name w:val="正文文本缩进 3 Char"/>
    <w:link w:val="19"/>
    <w:semiHidden/>
    <w:qFormat/>
    <w:uiPriority w:val="99"/>
    <w:rPr>
      <w:rFonts w:ascii="宋体" w:hAnsi="Times New Roman" w:eastAsia="宋体" w:cs="宋体"/>
      <w:sz w:val="16"/>
      <w:szCs w:val="16"/>
    </w:rPr>
  </w:style>
  <w:style w:type="character" w:customStyle="1" w:styleId="62">
    <w:name w:val="标题 2 Char"/>
    <w:link w:val="3"/>
    <w:semiHidden/>
    <w:qFormat/>
    <w:uiPriority w:val="9"/>
    <w:rPr>
      <w:rFonts w:ascii="等线 Light" w:hAnsi="等线 Light" w:eastAsia="等线 Light" w:cs="Times New Roman"/>
      <w:b/>
      <w:bCs/>
      <w:kern w:val="0"/>
      <w:sz w:val="32"/>
      <w:szCs w:val="32"/>
    </w:rPr>
  </w:style>
  <w:style w:type="character" w:customStyle="1" w:styleId="63">
    <w:name w:val="正文文本 字符1"/>
    <w:semiHidden/>
    <w:qFormat/>
    <w:uiPriority w:val="99"/>
    <w:rPr>
      <w:rFonts w:ascii="宋体" w:hAnsi="Times New Roman" w:eastAsia="宋体" w:cs="宋体"/>
      <w:kern w:val="0"/>
      <w:sz w:val="22"/>
    </w:rPr>
  </w:style>
  <w:style w:type="character" w:customStyle="1" w:styleId="64">
    <w:name w:val="标题 5 Char"/>
    <w:link w:val="6"/>
    <w:semiHidden/>
    <w:qFormat/>
    <w:uiPriority w:val="9"/>
    <w:rPr>
      <w:rFonts w:ascii="宋体" w:hAnsi="Times New Roman" w:eastAsia="宋体" w:cs="宋体"/>
      <w:b/>
      <w:bCs/>
      <w:kern w:val="0"/>
      <w:sz w:val="28"/>
      <w:szCs w:val="28"/>
    </w:rPr>
  </w:style>
  <w:style w:type="character" w:customStyle="1" w:styleId="65">
    <w:name w:val="不明显强调1"/>
    <w:qFormat/>
    <w:uiPriority w:val="0"/>
    <w:rPr>
      <w:i/>
      <w:iCs/>
      <w:color w:val="808080"/>
    </w:rPr>
  </w:style>
  <w:style w:type="character" w:customStyle="1" w:styleId="66">
    <w:name w:val="页脚 Char"/>
    <w:link w:val="17"/>
    <w:qFormat/>
    <w:uiPriority w:val="0"/>
    <w:rPr>
      <w:rFonts w:ascii="宋体" w:hAnsi="Times New Roman" w:eastAsia="宋体" w:cs="宋体"/>
      <w:kern w:val="0"/>
      <w:sz w:val="18"/>
      <w:szCs w:val="18"/>
    </w:rPr>
  </w:style>
  <w:style w:type="paragraph" w:customStyle="1" w:styleId="67">
    <w:name w:val="首行缩进"/>
    <w:basedOn w:val="1"/>
    <w:qFormat/>
    <w:uiPriority w:val="0"/>
    <w:pPr>
      <w:spacing w:line="360" w:lineRule="auto"/>
      <w:ind w:firstLine="420"/>
    </w:pPr>
    <w:rPr>
      <w:rFonts w:ascii="宋体" w:hAnsi="宋体" w:eastAsia="宋体"/>
    </w:rPr>
  </w:style>
  <w:style w:type="character" w:customStyle="1" w:styleId="68">
    <w:name w:val="font21"/>
    <w:basedOn w:val="26"/>
    <w:qFormat/>
    <w:uiPriority w:val="0"/>
    <w:rPr>
      <w:rFonts w:hint="eastAsia" w:ascii="宋体" w:hAnsi="宋体" w:eastAsia="宋体" w:cs="宋体"/>
      <w:color w:val="333333"/>
      <w:sz w:val="20"/>
      <w:szCs w:val="20"/>
      <w:u w:val="none"/>
    </w:rPr>
  </w:style>
  <w:style w:type="paragraph" w:customStyle="1" w:styleId="69">
    <w:name w:val="Char Char1 Char Char Char Char Char Char Char Char Char Char"/>
    <w:basedOn w:val="1"/>
    <w:qFormat/>
    <w:uiPriority w:val="0"/>
    <w:rPr>
      <w:rFonts w:ascii="Tahoma" w:hAnsi="Tahoma"/>
      <w:sz w:val="24"/>
      <w:szCs w:val="20"/>
    </w:rPr>
  </w:style>
  <w:style w:type="paragraph" w:customStyle="1" w:styleId="70">
    <w:name w:val="null3"/>
    <w:hidden/>
    <w:qFormat/>
    <w:uiPriority w:val="0"/>
    <w:rPr>
      <w:rFonts w:hint="eastAsia" w:asciiTheme="minorHAnsi" w:hAnsiTheme="minorHAnsi" w:eastAsiaTheme="minorEastAsia" w:cstheme="minorBidi"/>
      <w:lang w:val="en-US" w:eastAsia="zh-Hans" w:bidi="ar-SA"/>
    </w:rPr>
  </w:style>
  <w:style w:type="character" w:customStyle="1" w:styleId="71">
    <w:name w:val="font51"/>
    <w:basedOn w:val="26"/>
    <w:qFormat/>
    <w:uiPriority w:val="0"/>
    <w:rPr>
      <w:rFonts w:hint="eastAsia" w:ascii="宋体" w:hAnsi="宋体" w:eastAsia="宋体" w:cs="宋体"/>
      <w:b/>
      <w:bCs/>
      <w:color w:val="000000"/>
      <w:sz w:val="22"/>
      <w:szCs w:val="22"/>
      <w:u w:val="none"/>
    </w:rPr>
  </w:style>
  <w:style w:type="character" w:customStyle="1" w:styleId="72">
    <w:name w:val="font01"/>
    <w:basedOn w:val="26"/>
    <w:qFormat/>
    <w:uiPriority w:val="0"/>
    <w:rPr>
      <w:rFonts w:hint="eastAsia" w:ascii="等线" w:hAnsi="等线" w:eastAsia="等线" w:cs="等线"/>
      <w:color w:val="000000"/>
      <w:sz w:val="22"/>
      <w:szCs w:val="22"/>
      <w:u w:val="none"/>
    </w:rPr>
  </w:style>
  <w:style w:type="paragraph" w:customStyle="1" w:styleId="73">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74">
    <w:name w:val="正文-标准"/>
    <w:basedOn w:val="1"/>
    <w:qFormat/>
    <w:uiPriority w:val="0"/>
    <w:pPr>
      <w:autoSpaceDE w:val="0"/>
      <w:autoSpaceDN w:val="0"/>
      <w:adjustRightInd w:val="0"/>
      <w:spacing w:line="360" w:lineRule="exact"/>
      <w:jc w:val="left"/>
    </w:pPr>
    <w:rPr>
      <w:rFonts w:eastAsia="宋体" w:cs="宋体"/>
      <w:kern w:val="21"/>
      <w:szCs w:val="20"/>
    </w:rPr>
  </w:style>
  <w:style w:type="paragraph" w:customStyle="1" w:styleId="75">
    <w:name w:val="正文缩进1"/>
    <w:basedOn w:val="1"/>
    <w:qFormat/>
    <w:uiPriority w:val="0"/>
    <w:pPr>
      <w:ind w:firstLine="420"/>
    </w:pPr>
    <w:rPr>
      <w:szCs w:val="20"/>
    </w:rPr>
  </w:style>
  <w:style w:type="paragraph" w:customStyle="1" w:styleId="76">
    <w:name w:val="正文-manu"/>
    <w:basedOn w:val="1"/>
    <w:qFormat/>
    <w:uiPriority w:val="0"/>
    <w:pPr>
      <w:spacing w:line="300" w:lineRule="auto"/>
    </w:pPr>
    <w:rPr>
      <w:b/>
      <w:kern w:val="0"/>
      <w:sz w:val="24"/>
      <w:szCs w:val="20"/>
    </w:rPr>
  </w:style>
  <w:style w:type="paragraph" w:customStyle="1" w:styleId="77">
    <w:name w:val="技_三级"/>
    <w:basedOn w:val="1"/>
    <w:qFormat/>
    <w:uiPriority w:val="0"/>
    <w:pPr>
      <w:numPr>
        <w:ilvl w:val="2"/>
        <w:numId w:val="1"/>
      </w:numPr>
      <w:tabs>
        <w:tab w:val="left" w:pos="720"/>
      </w:tabs>
      <w:ind w:left="100"/>
      <w:outlineLvl w:val="2"/>
    </w:pPr>
  </w:style>
  <w:style w:type="character" w:customStyle="1" w:styleId="78">
    <w:name w:val="NormalCharacter"/>
    <w:qFormat/>
    <w:uiPriority w:val="0"/>
    <w:rPr>
      <w:rFonts w:ascii="Times New Roman" w:hAnsi="Times New Roman" w:eastAsia="宋体" w:cs="Times New Roman"/>
    </w:rPr>
  </w:style>
  <w:style w:type="character" w:customStyle="1" w:styleId="79">
    <w:name w:val="normaltextrun"/>
    <w:basedOn w:val="26"/>
    <w:qFormat/>
    <w:uiPriority w:val="0"/>
  </w:style>
  <w:style w:type="character" w:customStyle="1" w:styleId="80">
    <w:name w:val="eop"/>
    <w:basedOn w:val="26"/>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1572</Words>
  <Characters>1893</Characters>
  <Lines>634</Lines>
  <Paragraphs>178</Paragraphs>
  <TotalTime>1</TotalTime>
  <ScaleCrop>false</ScaleCrop>
  <LinksUpToDate>false</LinksUpToDate>
  <CharactersWithSpaces>1904</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2022-02-21T07:40:00Z</dcterms:created>
  <dc:creator>国义</dc:creator>
  <cp:lastModifiedBy>梁云亭</cp:lastModifiedBy>
  <cp:lastPrinted>2023-10-26T07:49:00Z</cp:lastPrinted>
  <dcterms:modified xsi:type="dcterms:W3CDTF">2026-07-31T08:06:00Z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wkhtmltopdf 0.12.5</vt:lpwstr>
  </property>
  <property fmtid="{D5CDD505-2E9C-101B-9397-08002B2CF9AE}" pid="3" name="KSOProductBuildVer">
    <vt:lpwstr>2052-12.1.0.26899</vt:lpwstr>
  </property>
  <property fmtid="{D5CDD505-2E9C-101B-9397-08002B2CF9AE}" pid="4" name="ICV">
    <vt:lpwstr>A254415CA20A4AB485A36E38AA2BA942</vt:lpwstr>
  </property>
  <property fmtid="{D5CDD505-2E9C-101B-9397-08002B2CF9AE}" pid="5" name="KSOTemplateDocerSaveRecord">
    <vt:lpwstr>eyJoZGlkIjoiY2M1NWI0NmUyM2ZlYmQxYjcxZmQyNDkzNGQ1YTc0Y2QiLCJ1c2VySWQiOiI2NDYzNTY4ODUifQ==</vt:lpwstr>
  </property>
</Properties>
</file>