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440115-2025-03519</w:t>
      </w:r>
    </w:p>
    <w:p>
      <w:pPr>
        <w:pStyle w:val="null3"/>
        <w:jc w:val="center"/>
        <w:outlineLvl w:val="3"/>
      </w:pPr>
      <w:r>
        <w:rPr>
          <w:sz w:val="24"/>
          <w:b/>
        </w:rPr>
        <w:t>采购项目编号：</w:t>
      </w:r>
      <w:r>
        <w:rPr>
          <w:sz w:val="24"/>
          <w:b/>
        </w:rPr>
        <w:t>0724-2531Z3585139</w:t>
      </w:r>
    </w:p>
    <w:p>
      <w:pPr>
        <w:pStyle w:val="null3"/>
        <w:jc w:val="center"/>
        <w:outlineLvl w:val="3"/>
      </w:pPr>
      <w:r>
        <w:rPr>
          <w:sz w:val="24"/>
          <w:b/>
        </w:rPr>
        <w:t>项目名称：</w:t>
      </w:r>
      <w:r>
        <w:rPr>
          <w:sz w:val="24"/>
          <w:b/>
        </w:rPr>
        <w:t>广州市南沙区妇幼保健院重症儿童救治中心等科室医疗设备采购项目</w:t>
      </w:r>
    </w:p>
    <w:p>
      <w:pPr>
        <w:pStyle w:val="null3"/>
        <w:jc w:val="center"/>
        <w:outlineLvl w:val="3"/>
      </w:pPr>
      <w:r>
        <w:rPr>
          <w:sz w:val="24"/>
          <w:b/>
        </w:rPr>
        <w:t>采购人：</w:t>
      </w:r>
      <w:r>
        <w:rPr>
          <w:sz w:val="24"/>
          <w:b/>
        </w:rPr>
        <w:t>广州市南沙区妇幼保健院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广州市南沙区妇幼保健院</w:t>
      </w:r>
      <w:r>
        <w:rPr/>
        <w:t>的委托，采用</w:t>
      </w:r>
      <w:r>
        <w:rPr/>
        <w:t>公开招标</w:t>
      </w:r>
      <w:r>
        <w:rPr/>
        <w:t>方式组织采购</w:t>
      </w:r>
      <w:r>
        <w:rPr/>
        <w:t>广州市南沙区妇幼保健院重症儿童救治中心等科室医疗设备采购项目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广州市南沙区妇幼保健院重症儿童救治中心等科室医疗设备采购项目</w:t>
      </w:r>
    </w:p>
    <w:p>
      <w:pPr>
        <w:pStyle w:val="null3"/>
        <w:ind w:firstLine="480"/>
      </w:pPr>
      <w:r>
        <w:rPr/>
        <w:t>采购计划编号：</w:t>
      </w:r>
      <w:r>
        <w:rPr/>
        <w:t>440115-2025-03519</w:t>
      </w:r>
    </w:p>
    <w:p>
      <w:pPr>
        <w:pStyle w:val="null3"/>
        <w:ind w:firstLine="480"/>
      </w:pPr>
      <w:r>
        <w:rPr/>
        <w:t>采购项目编号：</w:t>
      </w:r>
      <w:r>
        <w:rPr/>
        <w:t>0724-2531Z3585139</w:t>
      </w:r>
    </w:p>
    <w:p>
      <w:pPr>
        <w:pStyle w:val="null3"/>
        <w:ind w:firstLine="480"/>
      </w:pPr>
      <w:r>
        <w:rPr/>
        <w:t>采购方式：</w:t>
      </w:r>
      <w:r>
        <w:rPr/>
        <w:t>公开招标</w:t>
      </w:r>
    </w:p>
    <w:p>
      <w:pPr>
        <w:pStyle w:val="null3"/>
        <w:ind w:firstLine="480"/>
      </w:pPr>
      <w:r>
        <w:rPr/>
        <w:t>预算金额：</w:t>
      </w:r>
      <w:r>
        <w:rPr/>
        <w:t>1,380,000.00</w:t>
      </w:r>
      <w:r>
        <w:rPr/>
        <w:t>元</w:t>
      </w:r>
    </w:p>
    <w:p>
      <w:pPr>
        <w:pStyle w:val="null3"/>
        <w:outlineLvl w:val="3"/>
      </w:pPr>
      <w:r>
        <w:rPr>
          <w:sz w:val="24"/>
          <w:b/>
        </w:rPr>
        <w:t>2.项目内容及需求情况（采购项目技术规格、参数及要求）</w:t>
      </w:r>
    </w:p>
    <w:p>
      <w:pPr>
        <w:pStyle w:val="null3"/>
      </w:pPr>
      <w:r>
        <w:rPr/>
        <w:t>采购包1(有创呼吸机及视力筛查仪):</w:t>
      </w:r>
    </w:p>
    <w:p>
      <w:pPr>
        <w:pStyle w:val="null3"/>
      </w:pPr>
      <w:r>
        <w:rPr/>
        <w:t>采购包预算金额：660,000.00元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急救和生命支持设备</w:t>
            </w:r>
          </w:p>
        </w:tc>
        <w:tc>
          <w:tcPr>
            <w:tcW w:type="dxa" w:w="2052"/>
          </w:tcPr>
          <w:p>
            <w:pPr>
              <w:pStyle w:val="null3"/>
            </w:pPr>
            <w:r>
              <w:rPr/>
              <w:t>有创呼吸机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医用光学仪器</w:t>
            </w:r>
          </w:p>
        </w:tc>
        <w:tc>
          <w:tcPr>
            <w:tcW w:type="dxa" w:w="2052"/>
          </w:tcPr>
          <w:p>
            <w:pPr>
              <w:pStyle w:val="null3"/>
            </w:pPr>
            <w:r>
              <w:rPr/>
              <w:t>视力筛查仪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合同履行期限：合同签订后30天内交货。</w:t>
      </w:r>
    </w:p>
    <w:p>
      <w:pPr>
        <w:pStyle w:val="null3"/>
      </w:pPr>
      <w:r>
        <w:rPr/>
        <w:t>采购包2(早产儿暖箱):</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病房护理及医院设备</w:t>
            </w:r>
          </w:p>
        </w:tc>
        <w:tc>
          <w:tcPr>
            <w:tcW w:type="dxa" w:w="2052"/>
          </w:tcPr>
          <w:p>
            <w:pPr>
              <w:pStyle w:val="null3"/>
            </w:pPr>
            <w:r>
              <w:rPr/>
              <w:t>早产儿暖箱</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合同履行期限：合同签订后30天内交货。</w:t>
      </w:r>
    </w:p>
    <w:p>
      <w:pPr>
        <w:pStyle w:val="null3"/>
      </w:pPr>
      <w:r>
        <w:rPr/>
        <w:t>采购包3(亚低温治疗仪):</w:t>
      </w:r>
    </w:p>
    <w:p>
      <w:pPr>
        <w:pStyle w:val="null3"/>
      </w:pPr>
      <w:r>
        <w:rPr/>
        <w:t>采购包预算金额：220,000.00元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医用低温、冷疗设备</w:t>
            </w:r>
          </w:p>
        </w:tc>
        <w:tc>
          <w:tcPr>
            <w:tcW w:type="dxa" w:w="2052"/>
          </w:tcPr>
          <w:p>
            <w:pPr>
              <w:pStyle w:val="null3"/>
            </w:pPr>
            <w:r>
              <w:rPr/>
              <w:t>亚低温治疗仪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4）履行合同所必需的设备和专业技术能力：按投标（响应）文件格式填报设备及专业技术能力情况或提供《投标函》书面声明。</w:t>
      </w:r>
    </w:p>
    <w:p>
      <w:pPr>
        <w:pStyle w:val="null3"/>
      </w:pPr>
      <w:r>
        <w:rPr/>
        <w:t>5）参加采购活动前3年内，在经营活动中没有重大违法记录：参加采购活动前3年内，在经营活动中没有重大违法记录：参照投标（报价）函相关承诺格式内容。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采购包1（有创呼吸机及视力筛查仪）：</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jc w:val="left"/>
      </w:pPr>
      <w:r>
        <w:rPr/>
        <w:t>采购包2（早产儿暖箱）：</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jc w:val="left"/>
      </w:pPr>
      <w:r>
        <w:rPr/>
        <w:t>采购包3（亚低温治疗仪）：</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outlineLvl w:val="3"/>
      </w:pPr>
      <w:r>
        <w:rPr>
          <w:sz w:val="24"/>
          <w:b/>
        </w:rPr>
        <w:t>3.本项目特定的资格要求：</w:t>
      </w:r>
    </w:p>
    <w:p>
      <w:pPr>
        <w:pStyle w:val="null3"/>
      </w:pPr>
      <w:r>
        <w:rPr/>
        <w:t>采购包1（有创呼吸机及视力筛查仪）：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pPr>
      <w:r>
        <w:rPr/>
        <w:t>采购包2（早产儿暖箱）：</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pPr>
      <w:r>
        <w:rPr/>
        <w:t>采购包3（亚低温治疗仪）：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广州市南沙区妇幼保健院</w:t>
      </w:r>
    </w:p>
    <w:p>
      <w:pPr>
        <w:pStyle w:val="null3"/>
        <w:ind w:firstLine="480"/>
      </w:pPr>
      <w:r>
        <w:rPr/>
        <w:t xml:space="preserve"> 地址：</w:t>
      </w:r>
      <w:r>
        <w:rPr/>
        <w:t>广州市南沙区港湾街道海傍路103号</w:t>
      </w:r>
    </w:p>
    <w:p>
      <w:pPr>
        <w:pStyle w:val="null3"/>
        <w:ind w:firstLine="480"/>
      </w:pPr>
      <w:r>
        <w:rPr/>
        <w:t xml:space="preserve"> 联系方式：</w:t>
      </w:r>
      <w:r>
        <w:rPr/>
        <w:t>020-39079187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945"/>
        <w:tblBorders>
          <w:top w:val="none" w:color="000000" w:sz="4"/>
          <w:left w:val="none" w:color="000000" w:sz="4"/>
          <w:bottom w:val="none" w:color="000000" w:sz="4"/>
          <w:right w:val="none" w:color="000000" w:sz="4"/>
          <w:insideH w:val="none"/>
          <w:insideV w:val="none"/>
        </w:tblBorders>
      </w:tblPr>
      <w:tblGrid>
        <w:gridCol w:w="833"/>
        <w:gridCol w:w="1918"/>
        <w:gridCol w:w="1032"/>
        <w:gridCol w:w="2262"/>
        <w:gridCol w:w="2262"/>
      </w:tblGrid>
      <w:tr>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1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w:t>
            </w:r>
            <w:r>
              <w:rPr>
                <w:sz w:val="21"/>
                <w:b/>
              </w:rPr>
              <w:t>最高限价</w:t>
            </w:r>
          </w:p>
        </w:tc>
        <w:tc>
          <w:tcPr>
            <w:tcW w:type="dxa" w:w="2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总价最高限</w:t>
            </w:r>
            <w:r>
              <w:rPr>
                <w:sz w:val="21"/>
                <w:b/>
              </w:rPr>
              <w:t>价</w:t>
            </w:r>
          </w:p>
        </w:tc>
      </w:tr>
      <w:tr>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有创呼吸机</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50</w:t>
            </w:r>
            <w:r>
              <w:rPr>
                <w:sz w:val="21"/>
              </w:rPr>
              <w:t>万元</w:t>
            </w:r>
          </w:p>
        </w:tc>
        <w:tc>
          <w:tcPr>
            <w:tcW w:type="dxa" w:w="2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66</w:t>
            </w:r>
            <w:r>
              <w:rPr>
                <w:sz w:val="21"/>
              </w:rPr>
              <w:t>万元</w:t>
            </w:r>
          </w:p>
        </w:tc>
      </w:tr>
      <w:tr>
        <w:tc>
          <w:tcPr>
            <w:tcW w:type="dxa" w:w="833"/>
            <w:vMerge/>
            <w:tcBorders>
              <w:top w:val="none" w:color="000000" w:sz="4"/>
              <w:left w:val="single" w:color="000000" w:sz="4"/>
              <w:bottom w:val="single" w:color="000000" w:sz="4"/>
              <w:right w:val="single" w:color="000000" w:sz="4"/>
            </w:tcBorders>
          </w:tcP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视力筛查仪</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16</w:t>
            </w:r>
            <w:r>
              <w:rPr>
                <w:sz w:val="21"/>
              </w:rPr>
              <w:t>万元</w:t>
            </w:r>
          </w:p>
        </w:tc>
        <w:tc>
          <w:tcPr>
            <w:tcW w:type="dxa" w:w="2262"/>
            <w:vMerge/>
            <w:tcBorders>
              <w:top w:val="none" w:color="000000" w:sz="4"/>
              <w:left w:val="single" w:color="000000" w:sz="4"/>
              <w:bottom w:val="single" w:color="000000" w:sz="4"/>
              <w:right w:val="single" w:color="000000" w:sz="4"/>
            </w:tcBorders>
          </w:tcP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早产儿暖箱</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50</w:t>
            </w:r>
            <w:r>
              <w:rPr>
                <w:sz w:val="21"/>
              </w:rPr>
              <w:t>万元</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50</w:t>
            </w:r>
            <w:r>
              <w:rPr>
                <w:sz w:val="21"/>
              </w:rPr>
              <w:t>万元</w:t>
            </w:r>
          </w:p>
        </w:tc>
      </w:tr>
      <w:tr>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亚低温治疗仪</w:t>
            </w:r>
          </w:p>
        </w:tc>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22</w:t>
            </w:r>
            <w:r>
              <w:rPr>
                <w:sz w:val="21"/>
              </w:rPr>
              <w:t>万元</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22</w:t>
            </w:r>
            <w:r>
              <w:rPr>
                <w:sz w:val="21"/>
              </w:rPr>
              <w:t>万元</w:t>
            </w:r>
          </w:p>
        </w:tc>
      </w:tr>
    </w:tbl>
    <w:p>
      <w:pPr>
        <w:pStyle w:val="null3"/>
        <w:ind w:firstLine="420"/>
        <w:jc w:val="both"/>
      </w:pPr>
      <w:r>
        <w:rPr>
          <w:sz w:val="21"/>
        </w:rPr>
        <w:t>详细技术规范请参阅招标文件中的用户需求书。投标人必须对所投采购包的全部内容进行投标报价，如有缺漏，将导致投标无效。如投标报价超出所投采购包的</w:t>
      </w:r>
      <w:r>
        <w:rPr>
          <w:sz w:val="21"/>
        </w:rPr>
        <w:t>单项</w:t>
      </w:r>
      <w:r>
        <w:rPr>
          <w:sz w:val="21"/>
        </w:rPr>
        <w:t>最高限价</w:t>
      </w:r>
      <w:r>
        <w:rPr>
          <w:sz w:val="21"/>
        </w:rPr>
        <w:t>及总价最高限价</w:t>
      </w:r>
      <w:r>
        <w:rPr>
          <w:sz w:val="21"/>
        </w:rPr>
        <w:t>，将导致投标无效。</w:t>
      </w:r>
    </w:p>
    <w:p>
      <w:pPr>
        <w:pStyle w:val="null3"/>
        <w:ind w:firstLine="420"/>
        <w:jc w:val="both"/>
      </w:pPr>
      <w:r>
        <w:rPr>
          <w:sz w:val="21"/>
        </w:rPr>
        <w:t>2</w:t>
      </w:r>
      <w:r>
        <w:rPr>
          <w:sz w:val="21"/>
        </w:rPr>
        <w:t>．交货时间：合同签订后</w:t>
      </w:r>
      <w:r>
        <w:rPr>
          <w:sz w:val="21"/>
        </w:rPr>
        <w:t>30</w:t>
      </w:r>
      <w:r>
        <w:rPr>
          <w:sz w:val="21"/>
        </w:rPr>
        <w:t>天内交货。</w:t>
      </w:r>
    </w:p>
    <w:p>
      <w:pPr>
        <w:pStyle w:val="null3"/>
        <w:ind w:firstLine="420"/>
        <w:jc w:val="both"/>
      </w:pPr>
      <w:r>
        <w:rPr>
          <w:sz w:val="21"/>
        </w:rPr>
        <w:t>3</w:t>
      </w:r>
      <w:r>
        <w:rPr>
          <w:sz w:val="21"/>
        </w:rPr>
        <w:t>．交货地点：广州市采购人指定地点。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2020</w:t>
      </w:r>
      <w:r>
        <w:rPr>
          <w:sz w:val="21"/>
        </w:rPr>
        <w:t>〕</w:t>
      </w:r>
      <w:r>
        <w:rPr>
          <w:sz w:val="21"/>
        </w:rPr>
        <w:t>9</w:t>
      </w:r>
      <w:r>
        <w:rPr>
          <w:sz w:val="21"/>
        </w:rPr>
        <w:t>号）等。</w:t>
      </w:r>
    </w:p>
    <w:p>
      <w:pPr>
        <w:pStyle w:val="null3"/>
      </w:pPr>
      <w:r>
        <w:rPr/>
        <w:t>采购包1（有创呼吸机及视力筛查仪）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1期：支付比例100%,合同设备全部完成安装调试并验收合格后的次月内，由采购人向中标人支付合同总金额的100%； 因采购人使用的是财政性资金，采购人在前款规定的付款时间为向政府支付部门提出办理财政支付申请手续的时间（不含政府财政支付部门审核的时间），在规定时间内提出支付申请手续后即视为采购人已经按期支付。如中标人迟延开具发票，采购人有权迟延付款，不视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1.1 中标人应保证所供设备：如属于国产设备的，应是6个月内生产的；如属于进口设备的，应是12个月内生产的（从设备铭牌的生产日期起，计算至设备运至采购人指定地点的日期止）。 1.2 中标人应在设备运至采购人指定地点前3个自然日通知采购人设备主管部门相关人员，且设备到达时，中标人应委派代表到达采购人现场进行交接，否则采购人有权不予接收，中标人承担由此发生的一切损失和费用。 1.3 中标人确保设备在安装验收前有良好的防护措施（包括但不仅限于设备包装应适应远距离运输，以及设备到达前和到达后的防湿、防锈、防潮、防雨、防腐、防震、防碰撞及防野蛮装卸，采购人和中标人双方相关人员应尽义务提醒等）。 1.4 设备到货时采购人和中标人双方共同对设备进行开箱清点检查验收，如果发现短缺、损坏，或与合同约定的品牌、规格型号不符，或存在质量、技术等问题，中标人应及时安排更换，按照采购人的要求，采取补足、更换或退货等处理措施，以保证在本合同约定交付期内成功完成合同设备安装调试。 1.5 设备到货验收，仅代表采购人设备接收，完成的标志为：采购人和中标人双方代表在送货单上签字确认。在完成项目验收前，采购人不负有设备完好保障的单方面责任。 2、总体验收 2.1 合同所指的设备及其服务应符合合同以及合同相关有效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如果没有国家标准、行业标准及设备来源国适用的官方标准的，按照通常标准或者符合合同目的的特定标准履行。 2.2 对于国家强检设备，应由计量技术监督局指定部门进行检测且检测结果作为验收条件之一。 2.3 对于国家有计量技术规范要求的设备，应在相关部门进行检测且检测结果作为验收条件之一。 2.4 中标人提供的医疗设备必须开放数据接口，费用已包含在投标报价内，如设备需接入采购人院方系统的，原则上应当在验收前由中标人负责接入院方系统，如院方暂时不具备接入条件的，可以先行验收，具体接入时间以院方通知为准，具体接入实施工作由中标人负责，相关费用已包含在投标报价中，采购人不再另行支付其他任何费用。 2.5 合同设备安装调试完成，设备正常运行满7天后，采购人7日内组织履约验收。设备验收应在采购人和中标人双方共同参加下进行验收，在符合中华人民共和国相关技术标准的基础上，根据合同设备的技术标准进行技术验收，验收合格后，采购人相关人员在采购人《广州市南沙区妇幼保健院医疗设备安装验收及操作培训报告》上签字确认。中标人如有相关验收报告等文书要求的，采购人应予以配合签署，并作为验收材料之一。 2.6 验收按国家有关的规定、规范进行。验收时如发现所交付的设备有短装、次品、损坏或其它不符合本合同规定之情形者，应在《广州市南沙区妇幼保健院医疗设备安装验收及操作培训报告》作出详尽的现场记录，并由双方签字确认，作为补充、缺失和更换损坏部件的有效证据。由此产生的有关费用由中标人承担，如因此给采购人造成损失的，中标人应予赔偿，并承担由此发生的一切损失和费用。 2.7 验收前，中标人如未能提供应有的合同书中“3.2伴随资料”、“3.3伴随服务”的，则采购人有权推迟验收直至中标人补齐，期间发生的损失由中标人承担。若中标人无法补充完整或者提供的文件内容不属实的，则采购人有权拒收设备，已接收的，采购人则有权退回中标人，由此产生的损失由中标人承担。不影响项目进展、完整性的内容，及按项目进展需投入使用后方能提供的、符合法定程序的及其它合理的特殊伴随内容除外，但需备注说明。 2.8 中标人保证合同项下提供的设备不侵犯任何第三方的专利、商标或版权等知识产权。若因第三方主张知识产权或其他权利的侵权赔偿，导致采购人无法正常使用合同设备或造成采购人损失的，中标人应向采购人赔偿损失，赔偿范围包括但不限于：第三方主张的全部侵权赔偿、采购人正常使用合同设备后可以获得的利益、购置新的设备所产生的费用、诉讼费、律师费、公证费等所有费用支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必须包括但不限于设备设计、制造、包装、仓储、运输、装卸、安装、调试、培训、验收、项目实施相关财产和人员的保险、伴随的资料和服务、质保期保障（含质保期间维修配件和保养耗件的所有费用）、国家强检设备的初次检测费用等全部内容的所有含税费用，及合同履行过程中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交货要求1</w:t>
            </w:r>
          </w:p>
        </w:tc>
        <w:tc>
          <w:tcPr>
            <w:tcW w:type="dxa" w:w="2076"/>
          </w:tcPr>
          <w:p>
            <w:pPr>
              <w:pStyle w:val="null3"/>
              <w:jc w:val="left"/>
            </w:pPr>
            <w:r>
              <w:rPr/>
              <w:t>1、中标人应提供原装、全新的、符合质量标准的货物，不得以旧货翻新充数，并按有关要求进行包装及装运。 2、属进口产品的，如能办理进口免税的，手续由采购人协助办理，办理免税手续相关费用由中标人承担。 3、进口产品必须提供原产地证明和海关通关证明等合法进货渠道全套单证，中国境内制造的产品必须提供出厂合格证。 4、中标人应将所提供货物的装箱清单、用户手册、原厂保修卡、随机资料及配件、随机工具等交付给采购人；中标人不能完整交付货物及本款规定的单证和工具的，视为未按合同约定供货，中标人必须负责补齐，因此导致逾期交付的，由中标人承担相关的违约责任。 5、如中标设备属于国家强制计量或检定的设备，则中标人须提供国家计量或检定机关所出具的合格证书，采购人可协助中标人联系有关部门进行检测，但相关检测费用由中标人承担。 6、如中标设备非国家强制计量或检定的设备，但属于国家相关计量技术规范中要求或建议计量或检定的设备，则中标人也必须提供国家计量或检定机关所出具的合格证书，采购人可协助中标人联系有关部门进行检测，但相关检测费用由中标人承担。 7、中标人应按采购人要求提供设备完整的相关资料文件，包括但不限于设备的注册/许可文件、制造商出厂合格证明、检验检测报告、境外产品报关文书等资质及质量保证文书，能保证设备正确进行安装、调试、应用操作、维修、维护、测试、运行的产品设计图纸、使用说明书、维修手册、系统密码、简易维护和操作规程、培训课件、宣传推广等用途的所有资料。</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交货要求2</w:t>
            </w:r>
          </w:p>
        </w:tc>
        <w:tc>
          <w:tcPr>
            <w:tcW w:type="dxa" w:w="2076"/>
          </w:tcPr>
          <w:p>
            <w:pPr>
              <w:pStyle w:val="null3"/>
              <w:jc w:val="left"/>
            </w:pPr>
            <w:r>
              <w:rPr/>
              <w:t>★8、中标人提供的医疗设备必须开放数据接口，费用已包含在投标报价内。（提供承诺函） ★9、如设备需接入采购人院方系统的，原则上应当在验收前由中标人负责接入院方系统，如院方暂时不具备接入条件的，可以先行验收，具体接入时间以院方通知为准，具体接入实施工作由中标人负责，相关费用已包含在投标报价中，采购人不再另行支付其他任何费用。（提供承诺函） ★10、中标人应保证所供设备：如属于国产设备的，应是6个月内生产的；如属于进口设备的，应是12个月内生产的（从设备铭牌的生产日期起，计算至设备运至采购人指定地点的日期止）。（提供承诺函）</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1、设备到货后，中标人应在合同要求的时间内安装调试完成。如采购人暂时不具备安装调试条件的，具体日期以采购人通知的为准。 2、设备安装期间，中标人应监督项目实施人员做好文明施工，保证物件堆放整齐、通道畅通、施工废料清运及时等，确保施工人员、现场人员安全及采购人设备设施无损。因中标人原因造成采购人设备设施损坏，引起人员伤害等事故，中标人应负全部责任。 3、中标人人员应当严格遵守和配合采购人的消防、受限区域、院感等各项安全管理规定，拒不配合并造成不良后果的，中标人应负全部责任。 4、设备包装有木箱或木架的，请中标人在设备安装后把木箱或木架带走，勿丢弃在采购人医院内，如采购人发现中标人有丢弃木箱或木架在医院内的，一经核实，采购人有权在支付中标人的合同款项中扣减1000元作为罚款。</w:t>
            </w:r>
          </w:p>
        </w:tc>
      </w:tr>
      <w:tr>
        <w:tc>
          <w:tcPr>
            <w:tcW w:type="dxa" w:w="2076"/>
          </w:tcPr>
          <w:p/>
        </w:tc>
        <w:tc>
          <w:tcPr>
            <w:tcW w:type="dxa" w:w="2076"/>
          </w:tcPr>
          <w:p>
            <w:pPr>
              <w:pStyle w:val="null3"/>
              <w:jc w:val="center"/>
            </w:pPr>
            <w:r>
              <w:rPr/>
              <w:t>5</w:t>
            </w:r>
          </w:p>
        </w:tc>
        <w:tc>
          <w:tcPr>
            <w:tcW w:type="dxa" w:w="2076"/>
          </w:tcPr>
          <w:p>
            <w:pPr>
              <w:pStyle w:val="null3"/>
              <w:jc w:val="left"/>
            </w:pPr>
            <w:r>
              <w:rPr/>
              <w:t>伴随服务</w:t>
            </w:r>
          </w:p>
        </w:tc>
        <w:tc>
          <w:tcPr>
            <w:tcW w:type="dxa" w:w="2076"/>
          </w:tcPr>
          <w:p>
            <w:pPr>
              <w:pStyle w:val="null3"/>
              <w:jc w:val="left"/>
            </w:pPr>
            <w:r>
              <w:rPr/>
              <w:t>1、中标人提供设备现场安装、调试、维修必要的专用工具、辅助材料，及必要的检测、校准技术服务，直至设备能正常投入使用。 2、中标人应制定详细的培训计划，提供包含但不限于采购人现场的应用技术指导和培训，直至采购人使用人员能安全、正确、有效使用。 3、中标人应制定设备使用、运行保障的技术保障方案，提供包括但不限于设备设计原理和构造、安装调试、性能检测、故障诊断、维修技能、日常保管保养等内容的培训。</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1、质保期：有创呼吸机及视力筛查仪的质保期为验收合格后≥3年。质保期的期限应以采购人和中标人双方签署的《广州市南沙区妇幼保健院医疗设备安装验收及操作培训报告》的最晚时间起计算，质保期内免收故障维修零配件、维护保养耗件、非一次性易损配件及其他任何费用。质保期内非因采购人的人为原因而出现产品质量及安装问题，由中标人负责包修、包换或包退，并承担因此而产生的一切费用。中标人在质保期内应确保设备使用、运行完好率≥95%以上，如达不到此要求，即按超出的故障时间（以报修时间起算）的3倍延长质保期。</w:t>
            </w:r>
          </w:p>
        </w:tc>
      </w:tr>
      <w:tr>
        <w:tc>
          <w:tcPr>
            <w:tcW w:type="dxa" w:w="2076"/>
          </w:tcP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设备的售后服务工作须由产品的生产厂家或生产厂家授权的售后服务机构负责完成，维修人员须具备与产品相应的专业知识与维修经验，报修响应时间12小时，经确认需到现场的，24小时内维修人员到场（不可抗力除外）。若在48小时内仍未能恢复正常使用，中标人应该在采购人故障报告72小时内向采购人提供相同或同等标准的适用备用设备作为临时使用（费用包含在投标报价内），或书面提交明确、具体的设备故障解决方案，并报使用科室和设备管理部门审批同意后，在协商限定的时间内解决；若再有延迟，从设备故障报告之时起至实际提供符合使用要求的备用设备或将故障设备修复之时止，质保期按延误时间的10倍顺延。 2、质保期内，如设备故障在一个月内仍不能修复或者相同故障重复出现3次的，采购人有权要求中标人更换同型号全新设备。中标人须在接采购人通知后更换同型号全新设备并承担相关退换货的费用，交货期与投标文件的承诺相同，并完成安装调试、验收等工作（费用由中标人负责），质保期重新计算。 3、质保期内，中标人或中标人委托的承保单位应根据包括但不限于合同设备说明书的要求提供维护保养服务，并提供经确认的维保工单。 4、产品生产厂家或生产厂家授权的售后服务机构应提供设备质保期外的完好保障服务方案和优质的技术服务，储备足够的零配件备库，并提供常用维修备件清单、价格及厂家报价凭证。 5、在设备报废前，中标人应向采购人提供设备相关软件升级和版本更换（费用包含在投标报价内）。 6、中标人提供的售后服务的费用已包含在投标报价中，采购人不再另行支付。 7、中标人应确保采购人在正当操作使用和维护条件下设备可以达到使用年限的要求。如设备在其使用年限期间出现严重质量问题（如：反复维修等严重降低采购人工作效率的情形），或其他无法使用情形（如设备配件停产、专机专用耗材无法提供、设备无法维修导致设备报废等），采购人有权要求中标人采取一定措施保证采购人的权利，如要求中标人更换全新设备（所换设备必须符合本合同约定的规格、质量和性能，并保证可满足使用年限要求）等。如中标人无法更换全新设备的，应向采购人书面提交明确、具体的解决方案，并报使用科室和设备管理部门审批同意后，在协商限定的时间内解决。如双方无法协商一致，采购人有权退回设备并要求中标人退回合同款项，中标人应赔偿由此造成采购人的一切损失。</w:t>
            </w:r>
          </w:p>
        </w:tc>
      </w:tr>
      <w:tr>
        <w:tc>
          <w:tcPr>
            <w:tcW w:type="dxa" w:w="2076"/>
          </w:tcPr>
          <w:p/>
        </w:tc>
        <w:tc>
          <w:tcPr>
            <w:tcW w:type="dxa" w:w="2076"/>
          </w:tcPr>
          <w:p>
            <w:pPr>
              <w:pStyle w:val="null3"/>
              <w:jc w:val="center"/>
            </w:pPr>
            <w:r>
              <w:rPr/>
              <w:t>8</w:t>
            </w:r>
          </w:p>
        </w:tc>
        <w:tc>
          <w:tcPr>
            <w:tcW w:type="dxa" w:w="2076"/>
          </w:tcPr>
          <w:p>
            <w:pPr>
              <w:pStyle w:val="null3"/>
              <w:jc w:val="left"/>
            </w:pPr>
            <w:r>
              <w:rPr/>
              <w:t>备注</w:t>
            </w:r>
          </w:p>
        </w:tc>
        <w:tc>
          <w:tcPr>
            <w:tcW w:type="dxa" w:w="2076"/>
          </w:tcPr>
          <w:p>
            <w:pPr>
              <w:pStyle w:val="null3"/>
              <w:jc w:val="left"/>
            </w:pPr>
            <w:r>
              <w:rPr/>
              <w:t>以上商务需求，如技术要求中有特别要求的则以技术要求中的为准。</w:t>
            </w:r>
          </w:p>
        </w:tc>
      </w:tr>
      <w:tr>
        <w:tc>
          <w:tcPr>
            <w:tcW w:type="dxa" w:w="2076"/>
          </w:tcPr>
          <w:p/>
        </w:tc>
        <w:tc>
          <w:tcPr>
            <w:tcW w:type="dxa" w:w="2076"/>
          </w:tcPr>
          <w:p>
            <w:pPr>
              <w:pStyle w:val="null3"/>
              <w:jc w:val="center"/>
            </w:pPr>
            <w:r>
              <w:rPr/>
              <w:t>9</w:t>
            </w:r>
          </w:p>
        </w:tc>
        <w:tc>
          <w:tcPr>
            <w:tcW w:type="dxa" w:w="2076"/>
          </w:tcPr>
          <w:p>
            <w:pPr>
              <w:pStyle w:val="null3"/>
              <w:jc w:val="left"/>
            </w:pPr>
            <w:r>
              <w:rPr/>
              <w:t>培训方案</w:t>
            </w:r>
          </w:p>
        </w:tc>
        <w:tc>
          <w:tcPr>
            <w:tcW w:type="dxa" w:w="2076"/>
          </w:tcPr>
          <w:p>
            <w:pPr>
              <w:pStyle w:val="null3"/>
              <w:jc w:val="left"/>
            </w:pPr>
            <w:r>
              <w:rPr/>
              <w:t>厂家提供现场安装培训服务</w:t>
            </w:r>
          </w:p>
        </w:tc>
      </w:tr>
      <w:tr>
        <w:tc>
          <w:tcPr>
            <w:tcW w:type="dxa" w:w="2076"/>
          </w:tcPr>
          <w:p/>
        </w:tc>
        <w:tc>
          <w:tcPr>
            <w:tcW w:type="dxa" w:w="2076"/>
          </w:tcPr>
          <w:p>
            <w:pPr>
              <w:pStyle w:val="null3"/>
              <w:jc w:val="center"/>
            </w:pPr>
            <w:r>
              <w:rPr/>
              <w:t>10</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11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有创呼吸机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医用光学仪器</w:t>
            </w:r>
          </w:p>
        </w:tc>
        <w:tc>
          <w:tcPr>
            <w:tcW w:type="dxa" w:w="831"/>
          </w:tcPr>
          <w:p>
            <w:pPr>
              <w:pStyle w:val="null3"/>
              <w:jc w:val="left"/>
            </w:pPr>
            <w:r>
              <w:rPr/>
              <w:t>视力筛查仪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80,000.00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有创呼吸机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1一般要求 1.1适用于儿童、婴幼儿、足月新生儿和早产儿（包括体重小于1kg 者）的呼吸机，具备高流量氧疗功能，满足不同年龄段及病情患儿的通气需求；</w:t>
            </w:r>
          </w:p>
        </w:tc>
      </w:tr>
      <w:tr>
        <w:tc>
          <w:tcPr>
            <w:tcW w:type="dxa" w:w="2076"/>
          </w:tcPr>
          <w:p/>
        </w:tc>
        <w:tc>
          <w:tcPr>
            <w:tcW w:type="dxa" w:w="415"/>
          </w:tcPr>
          <w:p>
            <w:pPr>
              <w:pStyle w:val="null3"/>
            </w:pPr>
            <w:r>
              <w:rPr/>
              <w:t>2</w:t>
            </w:r>
          </w:p>
        </w:tc>
        <w:tc>
          <w:tcPr>
            <w:tcW w:type="dxa" w:w="5814"/>
          </w:tcPr>
          <w:p>
            <w:pPr>
              <w:pStyle w:val="null3"/>
            </w:pPr>
            <w:r>
              <w:rPr/>
              <w:t>1.2配备彩色触摸屏，屏幕尺寸≥15英寸，分辨率≥640*480，屏幕和主机可分离，屏幕能够固定，可置于吊塔的平台及导轨，或≥38mm 吊杆上，方便操作者根据使用场景灵活调整；</w:t>
            </w:r>
          </w:p>
        </w:tc>
      </w:tr>
      <w:tr>
        <w:tc>
          <w:tcPr>
            <w:tcW w:type="dxa" w:w="2076"/>
          </w:tcPr>
          <w:p/>
        </w:tc>
        <w:tc>
          <w:tcPr>
            <w:tcW w:type="dxa" w:w="415"/>
          </w:tcPr>
          <w:p>
            <w:pPr>
              <w:pStyle w:val="null3"/>
            </w:pPr>
            <w:r>
              <w:rPr/>
              <w:t>3</w:t>
            </w:r>
          </w:p>
        </w:tc>
        <w:tc>
          <w:tcPr>
            <w:tcW w:type="dxa" w:w="5814"/>
          </w:tcPr>
          <w:p>
            <w:pPr>
              <w:pStyle w:val="null3"/>
            </w:pPr>
            <w:r>
              <w:rPr/>
              <w:t>1.3个性化配置操作界面，自由组合波形，趋势，呼吸环和参数，用于不同的通气操作。可同屏显示≥3个以上呼吸波形和趋势；</w:t>
            </w:r>
          </w:p>
        </w:tc>
      </w:tr>
      <w:tr>
        <w:tc>
          <w:tcPr>
            <w:tcW w:type="dxa" w:w="2076"/>
          </w:tcPr>
          <w:p/>
        </w:tc>
        <w:tc>
          <w:tcPr>
            <w:tcW w:type="dxa" w:w="415"/>
          </w:tcPr>
          <w:p>
            <w:pPr>
              <w:pStyle w:val="null3"/>
            </w:pPr>
            <w:r>
              <w:rPr/>
              <w:t>4</w:t>
            </w:r>
          </w:p>
        </w:tc>
        <w:tc>
          <w:tcPr>
            <w:tcW w:type="dxa" w:w="5814"/>
          </w:tcPr>
          <w:p>
            <w:pPr>
              <w:pStyle w:val="null3"/>
            </w:pPr>
            <w:r>
              <w:rPr/>
              <w:t>1.4近端热丝式流速传感器，真正监测流速，精确快速，不必根据病人大小更换传感器；</w:t>
            </w:r>
          </w:p>
        </w:tc>
      </w:tr>
      <w:tr>
        <w:tc>
          <w:tcPr>
            <w:tcW w:type="dxa" w:w="2076"/>
          </w:tcPr>
          <w:p/>
        </w:tc>
        <w:tc>
          <w:tcPr>
            <w:tcW w:type="dxa" w:w="415"/>
          </w:tcPr>
          <w:p>
            <w:pPr>
              <w:pStyle w:val="null3"/>
            </w:pPr>
            <w:r>
              <w:rPr/>
              <w:t>5</w:t>
            </w:r>
          </w:p>
        </w:tc>
        <w:tc>
          <w:tcPr>
            <w:tcW w:type="dxa" w:w="5814"/>
          </w:tcPr>
          <w:p>
            <w:pPr>
              <w:pStyle w:val="null3"/>
            </w:pPr>
            <w:r>
              <w:rPr/>
              <w:t>1.5中文操作界面，报警信息以中文显示，提供在线操作手册；</w:t>
            </w:r>
          </w:p>
        </w:tc>
      </w:tr>
      <w:tr>
        <w:tc>
          <w:tcPr>
            <w:tcW w:type="dxa" w:w="2076"/>
          </w:tcPr>
          <w:p/>
        </w:tc>
        <w:tc>
          <w:tcPr>
            <w:tcW w:type="dxa" w:w="415"/>
          </w:tcPr>
          <w:p>
            <w:pPr>
              <w:pStyle w:val="null3"/>
            </w:pPr>
            <w:r>
              <w:rPr/>
              <w:t>6</w:t>
            </w:r>
          </w:p>
        </w:tc>
        <w:tc>
          <w:tcPr>
            <w:tcW w:type="dxa" w:w="5814"/>
          </w:tcPr>
          <w:p>
            <w:pPr>
              <w:pStyle w:val="null3"/>
            </w:pPr>
            <w:r>
              <w:rPr/>
              <w:t>1.6兼顾有创通气，高流量氧疗，无创通气；</w:t>
            </w:r>
          </w:p>
        </w:tc>
      </w:tr>
      <w:tr>
        <w:tc>
          <w:tcPr>
            <w:tcW w:type="dxa" w:w="2076"/>
          </w:tcPr>
          <w:p/>
        </w:tc>
        <w:tc>
          <w:tcPr>
            <w:tcW w:type="dxa" w:w="415"/>
          </w:tcPr>
          <w:p>
            <w:pPr>
              <w:pStyle w:val="null3"/>
            </w:pPr>
            <w:r>
              <w:rPr/>
              <w:t>7</w:t>
            </w:r>
          </w:p>
        </w:tc>
        <w:tc>
          <w:tcPr>
            <w:tcW w:type="dxa" w:w="5814"/>
          </w:tcPr>
          <w:p>
            <w:pPr>
              <w:pStyle w:val="null3"/>
            </w:pPr>
            <w:r>
              <w:rPr/>
              <w:t>1.7内部电池支持断电操作≥30分钟。</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2呼吸模式： 2.1▲一般通气模式（包含但不限于）：PC-CMV(指令通气)、PC-AC（辅助控制通气）、PC-SIMV（同步间歇指令通气）、PC-PSV（压力支持通气）、PC-MMV（分钟指令通气）、SPN-CPAP/PS（持续气道正压+压力支持）、SPN-CPAP/VS（持续气道正压+容量支持）， 以上模式自动连续根据监测的泄漏量调节吸气触发和吸气终止的灵敏度；</w:t>
            </w:r>
          </w:p>
        </w:tc>
      </w:tr>
      <w:tr>
        <w:tc>
          <w:tcPr>
            <w:tcW w:type="dxa" w:w="2076"/>
          </w:tcPr>
          <w:p/>
        </w:tc>
        <w:tc>
          <w:tcPr>
            <w:tcW w:type="dxa" w:w="415"/>
          </w:tcPr>
          <w:p>
            <w:pPr>
              <w:pStyle w:val="null3"/>
            </w:pPr>
            <w:r>
              <w:rPr/>
              <w:t>9</w:t>
            </w:r>
          </w:p>
        </w:tc>
        <w:tc>
          <w:tcPr>
            <w:tcW w:type="dxa" w:w="5814"/>
          </w:tcPr>
          <w:p>
            <w:pPr>
              <w:pStyle w:val="null3"/>
            </w:pPr>
            <w:r>
              <w:rPr/>
              <w:t>2.2特殊通气模式：具备容量保证；</w:t>
            </w:r>
          </w:p>
        </w:tc>
      </w:tr>
      <w:tr>
        <w:tc>
          <w:tcPr>
            <w:tcW w:type="dxa" w:w="2076"/>
          </w:tcPr>
          <w:p/>
        </w:tc>
        <w:tc>
          <w:tcPr>
            <w:tcW w:type="dxa" w:w="415"/>
          </w:tcPr>
          <w:p>
            <w:pPr>
              <w:pStyle w:val="null3"/>
            </w:pPr>
            <w:r>
              <w:rPr/>
              <w:t>10</w:t>
            </w:r>
          </w:p>
        </w:tc>
        <w:tc>
          <w:tcPr>
            <w:tcW w:type="dxa" w:w="5814"/>
          </w:tcPr>
          <w:p>
            <w:pPr>
              <w:pStyle w:val="null3"/>
            </w:pPr>
            <w:r>
              <w:rPr/>
              <w:t>2.2.1基于呼出潮气量反向调节压力控制通气水平，实时优化通气参数；</w:t>
            </w:r>
          </w:p>
        </w:tc>
      </w:tr>
      <w:tr>
        <w:tc>
          <w:tcPr>
            <w:tcW w:type="dxa" w:w="2076"/>
          </w:tcPr>
          <w:p/>
        </w:tc>
        <w:tc>
          <w:tcPr>
            <w:tcW w:type="dxa" w:w="415"/>
          </w:tcPr>
          <w:p>
            <w:pPr>
              <w:pStyle w:val="null3"/>
            </w:pPr>
            <w:r>
              <w:rPr/>
              <w:t>11</w:t>
            </w:r>
          </w:p>
        </w:tc>
        <w:tc>
          <w:tcPr>
            <w:tcW w:type="dxa" w:w="5814"/>
          </w:tcPr>
          <w:p>
            <w:pPr>
              <w:pStyle w:val="null3"/>
            </w:pPr>
            <w:r>
              <w:rPr/>
              <w:t>2.2.2可与所有触发模式相结合，包含但不限于 PC-CMV，PC-AC，PC-SIMV，PC-PSV，确保在各种通气模式下都能精准实现容量保证；</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2.2.3▲根据吸入/呼出潮气量和泄漏量，自动计算肺内潮气量，并以此作为容量保证通气的目标，提高通气精准度，减少气压伤风险；</w:t>
            </w:r>
          </w:p>
        </w:tc>
      </w:tr>
      <w:tr>
        <w:tc>
          <w:tcPr>
            <w:tcW w:type="dxa" w:w="2076"/>
          </w:tcPr>
          <w:p/>
        </w:tc>
        <w:tc>
          <w:tcPr>
            <w:tcW w:type="dxa" w:w="415"/>
          </w:tcPr>
          <w:p>
            <w:pPr>
              <w:pStyle w:val="null3"/>
            </w:pPr>
            <w:r>
              <w:rPr/>
              <w:t>13</w:t>
            </w:r>
          </w:p>
        </w:tc>
        <w:tc>
          <w:tcPr>
            <w:tcW w:type="dxa" w:w="5814"/>
          </w:tcPr>
          <w:p>
            <w:pPr>
              <w:pStyle w:val="null3"/>
            </w:pPr>
            <w:r>
              <w:rPr/>
              <w:t>2.2.4具备高频振荡通气PC-HFO 模式；</w:t>
            </w:r>
          </w:p>
        </w:tc>
      </w:tr>
      <w:tr>
        <w:tc>
          <w:tcPr>
            <w:tcW w:type="dxa" w:w="2076"/>
          </w:tcPr>
          <w:p/>
        </w:tc>
        <w:tc>
          <w:tcPr>
            <w:tcW w:type="dxa" w:w="415"/>
          </w:tcPr>
          <w:p>
            <w:pPr>
              <w:pStyle w:val="null3"/>
            </w:pPr>
            <w:r>
              <w:rPr/>
              <w:t>14</w:t>
            </w:r>
          </w:p>
        </w:tc>
        <w:tc>
          <w:tcPr>
            <w:tcW w:type="dxa" w:w="5814"/>
          </w:tcPr>
          <w:p>
            <w:pPr>
              <w:pStyle w:val="null3"/>
            </w:pPr>
            <w:r>
              <w:rPr/>
              <w:t>2.2.5可与叹息结合；</w:t>
            </w:r>
          </w:p>
        </w:tc>
      </w:tr>
      <w:tr>
        <w:tc>
          <w:tcPr>
            <w:tcW w:type="dxa" w:w="2076"/>
          </w:tcPr>
          <w:p/>
        </w:tc>
        <w:tc>
          <w:tcPr>
            <w:tcW w:type="dxa" w:w="415"/>
          </w:tcPr>
          <w:p>
            <w:pPr>
              <w:pStyle w:val="null3"/>
            </w:pPr>
            <w:r>
              <w:rPr/>
              <w:t>15</w:t>
            </w:r>
          </w:p>
        </w:tc>
        <w:tc>
          <w:tcPr>
            <w:tcW w:type="dxa" w:w="5814"/>
          </w:tcPr>
          <w:p>
            <w:pPr>
              <w:pStyle w:val="null3"/>
            </w:pPr>
            <w:r>
              <w:rPr/>
              <w:t>2.2.6频率5-20HZ；</w:t>
            </w:r>
          </w:p>
        </w:tc>
      </w:tr>
      <w:tr>
        <w:tc>
          <w:tcPr>
            <w:tcW w:type="dxa" w:w="2076"/>
          </w:tcPr>
          <w:p/>
        </w:tc>
        <w:tc>
          <w:tcPr>
            <w:tcW w:type="dxa" w:w="415"/>
          </w:tcPr>
          <w:p>
            <w:pPr>
              <w:pStyle w:val="null3"/>
            </w:pPr>
            <w:r>
              <w:rPr/>
              <w:t>16</w:t>
            </w:r>
          </w:p>
        </w:tc>
        <w:tc>
          <w:tcPr>
            <w:tcW w:type="dxa" w:w="5814"/>
          </w:tcPr>
          <w:p>
            <w:pPr>
              <w:pStyle w:val="null3"/>
            </w:pPr>
            <w:r>
              <w:rPr/>
              <w:t>2.2.7 I:E为1:1-1:3可调节；</w:t>
            </w:r>
          </w:p>
        </w:tc>
      </w:tr>
      <w:tr>
        <w:tc>
          <w:tcPr>
            <w:tcW w:type="dxa" w:w="2076"/>
          </w:tcPr>
          <w:p/>
        </w:tc>
        <w:tc>
          <w:tcPr>
            <w:tcW w:type="dxa" w:w="415"/>
          </w:tcPr>
          <w:p>
            <w:pPr>
              <w:pStyle w:val="null3"/>
            </w:pPr>
            <w:r>
              <w:rPr/>
              <w:t>17</w:t>
            </w:r>
          </w:p>
        </w:tc>
        <w:tc>
          <w:tcPr>
            <w:tcW w:type="dxa" w:w="5814"/>
          </w:tcPr>
          <w:p>
            <w:pPr>
              <w:pStyle w:val="null3"/>
            </w:pPr>
            <w:r>
              <w:rPr/>
              <w:t>2.2.8 HFO-VG与容量相结合，VThf 0.2-40ml；</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2.2.9▲具备CO2弥散系数实时监测和趋势；</w:t>
            </w:r>
          </w:p>
        </w:tc>
      </w:tr>
      <w:tr>
        <w:tc>
          <w:tcPr>
            <w:tcW w:type="dxa" w:w="2076"/>
          </w:tcPr>
          <w:p/>
        </w:tc>
        <w:tc>
          <w:tcPr>
            <w:tcW w:type="dxa" w:w="415"/>
          </w:tcPr>
          <w:p>
            <w:pPr>
              <w:pStyle w:val="null3"/>
            </w:pPr>
            <w:r>
              <w:rPr/>
              <w:t>19</w:t>
            </w:r>
          </w:p>
        </w:tc>
        <w:tc>
          <w:tcPr>
            <w:tcW w:type="dxa" w:w="5814"/>
          </w:tcPr>
          <w:p>
            <w:pPr>
              <w:pStyle w:val="null3"/>
            </w:pPr>
            <w:r>
              <w:rPr/>
              <w:t>2.2.10具备隆突压Ptrach显示；</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2.2.11▲带高压限制Pmax的高流速氧疗，流速范围2-30L/min，压力限制范围2-55mbar；</w:t>
            </w:r>
          </w:p>
        </w:tc>
      </w:tr>
      <w:tr>
        <w:tc>
          <w:tcPr>
            <w:tcW w:type="dxa" w:w="2076"/>
          </w:tcPr>
          <w:p/>
        </w:tc>
        <w:tc>
          <w:tcPr>
            <w:tcW w:type="dxa" w:w="415"/>
          </w:tcPr>
          <w:p>
            <w:pPr>
              <w:pStyle w:val="null3"/>
            </w:pPr>
            <w:r>
              <w:rPr/>
              <w:t>21</w:t>
            </w:r>
          </w:p>
        </w:tc>
        <w:tc>
          <w:tcPr>
            <w:tcW w:type="dxa" w:w="5814"/>
          </w:tcPr>
          <w:p>
            <w:pPr>
              <w:pStyle w:val="null3"/>
            </w:pPr>
            <w:r>
              <w:rPr/>
              <w:t>2.3特殊操作 2.3.1具备智能吸痰程序，自动执行吸痰前预充氧（最长≤180s），吸痰（最长≥2分钟）以及吸痰后充氧（最长≤120s），自动识别管路断开，停止送气，防止喷溅同时报警抑制，降低吸痰操作对患儿呼吸的影响，保障操作安全；</w:t>
            </w:r>
          </w:p>
        </w:tc>
      </w:tr>
      <w:tr>
        <w:tc>
          <w:tcPr>
            <w:tcW w:type="dxa" w:w="2076"/>
          </w:tcPr>
          <w:p/>
        </w:tc>
        <w:tc>
          <w:tcPr>
            <w:tcW w:type="dxa" w:w="415"/>
          </w:tcPr>
          <w:p>
            <w:pPr>
              <w:pStyle w:val="null3"/>
            </w:pPr>
            <w:r>
              <w:rPr/>
              <w:t>22</w:t>
            </w:r>
          </w:p>
        </w:tc>
        <w:tc>
          <w:tcPr>
            <w:tcW w:type="dxa" w:w="5814"/>
          </w:tcPr>
          <w:p>
            <w:pPr>
              <w:pStyle w:val="null3"/>
            </w:pPr>
            <w:r>
              <w:rPr/>
              <w:t>2.3.2具有吸气保持功能；</w:t>
            </w:r>
          </w:p>
        </w:tc>
      </w:tr>
      <w:tr>
        <w:tc>
          <w:tcPr>
            <w:tcW w:type="dxa" w:w="2076"/>
          </w:tcPr>
          <w:p/>
        </w:tc>
        <w:tc>
          <w:tcPr>
            <w:tcW w:type="dxa" w:w="415"/>
          </w:tcPr>
          <w:p>
            <w:pPr>
              <w:pStyle w:val="null3"/>
            </w:pPr>
            <w:r>
              <w:rPr/>
              <w:t>23</w:t>
            </w:r>
          </w:p>
        </w:tc>
        <w:tc>
          <w:tcPr>
            <w:tcW w:type="dxa" w:w="5814"/>
          </w:tcPr>
          <w:p>
            <w:pPr>
              <w:pStyle w:val="null3"/>
            </w:pPr>
            <w:r>
              <w:rPr/>
              <w:t>2.3.3雾化，内置气动，可同步吸气流速。</w:t>
            </w:r>
          </w:p>
        </w:tc>
      </w:tr>
      <w:tr>
        <w:tc>
          <w:tcPr>
            <w:tcW w:type="dxa" w:w="2076"/>
          </w:tcPr>
          <w:p/>
        </w:tc>
        <w:tc>
          <w:tcPr>
            <w:tcW w:type="dxa" w:w="415"/>
          </w:tcPr>
          <w:p>
            <w:pPr>
              <w:pStyle w:val="null3"/>
            </w:pPr>
            <w:r>
              <w:rPr/>
              <w:t>24</w:t>
            </w:r>
          </w:p>
        </w:tc>
        <w:tc>
          <w:tcPr>
            <w:tcW w:type="dxa" w:w="5814"/>
          </w:tcPr>
          <w:p>
            <w:pPr>
              <w:pStyle w:val="null3"/>
            </w:pPr>
            <w:r>
              <w:rPr/>
              <w:t>3呼吸机参数设定： 3.1.通气频率可调：0.5-150次/分，满足不同病情患儿的呼吸频率需求；</w:t>
            </w:r>
          </w:p>
        </w:tc>
      </w:tr>
      <w:tr>
        <w:tc>
          <w:tcPr>
            <w:tcW w:type="dxa" w:w="2076"/>
          </w:tcPr>
          <w:p/>
        </w:tc>
        <w:tc>
          <w:tcPr>
            <w:tcW w:type="dxa" w:w="415"/>
          </w:tcPr>
          <w:p>
            <w:pPr>
              <w:pStyle w:val="null3"/>
            </w:pPr>
            <w:r>
              <w:rPr/>
              <w:t>25</w:t>
            </w:r>
          </w:p>
        </w:tc>
        <w:tc>
          <w:tcPr>
            <w:tcW w:type="dxa" w:w="5814"/>
          </w:tcPr>
          <w:p>
            <w:pPr>
              <w:pStyle w:val="null3"/>
            </w:pPr>
            <w:r>
              <w:rPr/>
              <w:t>3.2吸气时间可调： 0.1-3秒；</w:t>
            </w:r>
          </w:p>
        </w:tc>
      </w:tr>
      <w:tr>
        <w:tc>
          <w:tcPr>
            <w:tcW w:type="dxa" w:w="2076"/>
          </w:tcPr>
          <w:p/>
        </w:tc>
        <w:tc>
          <w:tcPr>
            <w:tcW w:type="dxa" w:w="415"/>
          </w:tcPr>
          <w:p>
            <w:pPr>
              <w:pStyle w:val="null3"/>
            </w:pPr>
            <w:r>
              <w:rPr/>
              <w:t>26</w:t>
            </w:r>
          </w:p>
        </w:tc>
        <w:tc>
          <w:tcPr>
            <w:tcW w:type="dxa" w:w="5814"/>
          </w:tcPr>
          <w:p>
            <w:pPr>
              <w:pStyle w:val="null3"/>
            </w:pPr>
            <w:r>
              <w:rPr/>
              <w:t>3.3潮气量：新生儿2-100mL，儿童20-300mL可根据患儿年龄和体重精准调节，避免过度通气或通气不足；</w:t>
            </w:r>
          </w:p>
        </w:tc>
      </w:tr>
      <w:tr>
        <w:tc>
          <w:tcPr>
            <w:tcW w:type="dxa" w:w="2076"/>
          </w:tcPr>
          <w:p/>
        </w:tc>
        <w:tc>
          <w:tcPr>
            <w:tcW w:type="dxa" w:w="415"/>
          </w:tcPr>
          <w:p>
            <w:pPr>
              <w:pStyle w:val="null3"/>
            </w:pPr>
            <w:r>
              <w:rPr/>
              <w:t>27</w:t>
            </w:r>
          </w:p>
        </w:tc>
        <w:tc>
          <w:tcPr>
            <w:tcW w:type="dxa" w:w="5814"/>
          </w:tcPr>
          <w:p>
            <w:pPr>
              <w:pStyle w:val="null3"/>
            </w:pPr>
            <w:r>
              <w:rPr/>
              <w:t>3.4吸气压力可调：1-80cmH2O，适应不同气道阻力情况，保障通气顺畅；</w:t>
            </w:r>
          </w:p>
        </w:tc>
      </w:tr>
      <w:tr>
        <w:tc>
          <w:tcPr>
            <w:tcW w:type="dxa" w:w="2076"/>
          </w:tcPr>
          <w:p/>
        </w:tc>
        <w:tc>
          <w:tcPr>
            <w:tcW w:type="dxa" w:w="415"/>
          </w:tcPr>
          <w:p>
            <w:pPr>
              <w:pStyle w:val="null3"/>
            </w:pPr>
            <w:r>
              <w:rPr/>
              <w:t>28</w:t>
            </w:r>
          </w:p>
        </w:tc>
        <w:tc>
          <w:tcPr>
            <w:tcW w:type="dxa" w:w="5814"/>
          </w:tcPr>
          <w:p>
            <w:pPr>
              <w:pStyle w:val="null3"/>
            </w:pPr>
            <w:r>
              <w:rPr/>
              <w:t>3.5压力上升时间可调：新生儿0-1.5秒，儿童0-2秒，缓和压力上升斜率，减少对患儿气道的冲击；</w:t>
            </w:r>
          </w:p>
        </w:tc>
      </w:tr>
      <w:tr>
        <w:tc>
          <w:tcPr>
            <w:tcW w:type="dxa" w:w="2076"/>
          </w:tcPr>
          <w:p/>
        </w:tc>
        <w:tc>
          <w:tcPr>
            <w:tcW w:type="dxa" w:w="415"/>
          </w:tcPr>
          <w:p>
            <w:pPr>
              <w:pStyle w:val="null3"/>
            </w:pPr>
            <w:r>
              <w:rPr/>
              <w:t>29</w:t>
            </w:r>
          </w:p>
        </w:tc>
        <w:tc>
          <w:tcPr>
            <w:tcW w:type="dxa" w:w="5814"/>
          </w:tcPr>
          <w:p>
            <w:pPr>
              <w:pStyle w:val="null3"/>
            </w:pPr>
            <w:r>
              <w:rPr/>
              <w:t>3.6 PEEP：0- 35cmH2O，维持气道末端正压，防止肺泡塌陷，改善氧合；</w:t>
            </w:r>
          </w:p>
        </w:tc>
      </w:tr>
      <w:tr>
        <w:tc>
          <w:tcPr>
            <w:tcW w:type="dxa" w:w="2076"/>
          </w:tcPr>
          <w:p/>
        </w:tc>
        <w:tc>
          <w:tcPr>
            <w:tcW w:type="dxa" w:w="415"/>
          </w:tcPr>
          <w:p>
            <w:pPr>
              <w:pStyle w:val="null3"/>
            </w:pPr>
            <w:r>
              <w:rPr/>
              <w:t>30</w:t>
            </w:r>
          </w:p>
        </w:tc>
        <w:tc>
          <w:tcPr>
            <w:tcW w:type="dxa" w:w="5814"/>
          </w:tcPr>
          <w:p>
            <w:pPr>
              <w:pStyle w:val="null3"/>
            </w:pPr>
            <w:r>
              <w:rPr/>
              <w:t>3.7氧浓度精确可调：21-100％，根据患儿氧合情况精准调节吸氧浓度；</w:t>
            </w:r>
          </w:p>
        </w:tc>
      </w:tr>
      <w:tr>
        <w:tc>
          <w:tcPr>
            <w:tcW w:type="dxa" w:w="2076"/>
          </w:tcPr>
          <w:p/>
        </w:tc>
        <w:tc>
          <w:tcPr>
            <w:tcW w:type="dxa" w:w="415"/>
          </w:tcPr>
          <w:p>
            <w:pPr>
              <w:pStyle w:val="null3"/>
            </w:pPr>
            <w:r>
              <w:rPr/>
              <w:t>31</w:t>
            </w:r>
          </w:p>
        </w:tc>
        <w:tc>
          <w:tcPr>
            <w:tcW w:type="dxa" w:w="5814"/>
          </w:tcPr>
          <w:p>
            <w:pPr>
              <w:pStyle w:val="null3"/>
            </w:pPr>
            <w:r>
              <w:rPr/>
              <w:t>3.8具有叹息功能，间断性复张肺，且可叠加与高频通气模式；</w:t>
            </w:r>
          </w:p>
        </w:tc>
      </w:tr>
      <w:tr>
        <w:tc>
          <w:tcPr>
            <w:tcW w:type="dxa" w:w="2076"/>
          </w:tcPr>
          <w:p/>
        </w:tc>
        <w:tc>
          <w:tcPr>
            <w:tcW w:type="dxa" w:w="415"/>
          </w:tcPr>
          <w:p>
            <w:pPr>
              <w:pStyle w:val="null3"/>
            </w:pPr>
            <w:r>
              <w:rPr/>
              <w:t>32</w:t>
            </w:r>
          </w:p>
        </w:tc>
        <w:tc>
          <w:tcPr>
            <w:tcW w:type="dxa" w:w="5814"/>
          </w:tcPr>
          <w:p>
            <w:pPr>
              <w:pStyle w:val="null3"/>
            </w:pPr>
            <w:r>
              <w:rPr/>
              <w:t>3.9流速触发反应速度：0.2－5升/分。</w:t>
            </w:r>
          </w:p>
        </w:tc>
      </w:tr>
      <w:tr>
        <w:tc>
          <w:tcPr>
            <w:tcW w:type="dxa" w:w="2076"/>
          </w:tcPr>
          <w:p/>
        </w:tc>
        <w:tc>
          <w:tcPr>
            <w:tcW w:type="dxa" w:w="415"/>
          </w:tcPr>
          <w:p>
            <w:pPr>
              <w:pStyle w:val="null3"/>
            </w:pPr>
            <w:r>
              <w:rPr/>
              <w:t>33</w:t>
            </w:r>
          </w:p>
        </w:tc>
        <w:tc>
          <w:tcPr>
            <w:tcW w:type="dxa" w:w="5814"/>
          </w:tcPr>
          <w:p>
            <w:pPr>
              <w:pStyle w:val="null3"/>
            </w:pPr>
            <w:r>
              <w:rPr/>
              <w:t>4监测参数要求： 4.1监测参数精确 4.1.1气道压力监测（-60到120cmH2O）：监测包括但不限于气道峰压，气道平均压，PEEP，最小气道压；</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4.1.2▲近端流速监测（0到30L/min）：包含但不限于泄漏校正后的分钟通气量MV、自主呼吸的分钟通气量MVespon、分钟通气泄漏量MVleak及分钟泄漏百分比%Leak等多个参数监测，全面监测患者通气情况；</w:t>
            </w:r>
          </w:p>
        </w:tc>
      </w:tr>
      <w:tr>
        <w:tc>
          <w:tcPr>
            <w:tcW w:type="dxa" w:w="2076"/>
          </w:tcPr>
          <w:p/>
        </w:tc>
        <w:tc>
          <w:tcPr>
            <w:tcW w:type="dxa" w:w="415"/>
          </w:tcPr>
          <w:p>
            <w:pPr>
              <w:pStyle w:val="null3"/>
            </w:pPr>
            <w:r>
              <w:rPr/>
              <w:t>35</w:t>
            </w:r>
          </w:p>
        </w:tc>
        <w:tc>
          <w:tcPr>
            <w:tcW w:type="dxa" w:w="5814"/>
          </w:tcPr>
          <w:p>
            <w:pPr>
              <w:pStyle w:val="null3"/>
            </w:pPr>
            <w:r>
              <w:rPr/>
              <w:t>4.1.3潮气量监测（0到1000ml）：吸入潮气量，呼出潮气量，自主呼吸吸入潮气量VTispon；</w:t>
            </w:r>
          </w:p>
        </w:tc>
      </w:tr>
      <w:tr>
        <w:tc>
          <w:tcPr>
            <w:tcW w:type="dxa" w:w="2076"/>
          </w:tcPr>
          <w:p/>
        </w:tc>
        <w:tc>
          <w:tcPr>
            <w:tcW w:type="dxa" w:w="415"/>
          </w:tcPr>
          <w:p>
            <w:pPr>
              <w:pStyle w:val="null3"/>
            </w:pPr>
            <w:r>
              <w:rPr/>
              <w:t>36</w:t>
            </w:r>
          </w:p>
        </w:tc>
        <w:tc>
          <w:tcPr>
            <w:tcW w:type="dxa" w:w="5814"/>
          </w:tcPr>
          <w:p>
            <w:pPr>
              <w:pStyle w:val="null3"/>
            </w:pPr>
            <w:r>
              <w:rPr/>
              <w:t>4.1.4呼吸频率监测（0到300/min）：总呼吸频率，指令呼吸频率，自主呼吸频率，了解患儿自主呼吸与机械通气的协同情况；</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4.1.5▲FiO2：18到100% 具备顺磁氧电池，无需更换；</w:t>
            </w:r>
          </w:p>
        </w:tc>
      </w:tr>
      <w:tr>
        <w:tc>
          <w:tcPr>
            <w:tcW w:type="dxa" w:w="2076"/>
          </w:tcPr>
          <w:p/>
        </w:tc>
        <w:tc>
          <w:tcPr>
            <w:tcW w:type="dxa" w:w="415"/>
          </w:tcPr>
          <w:p>
            <w:pPr>
              <w:pStyle w:val="null3"/>
            </w:pPr>
            <w:r>
              <w:rPr/>
              <w:t>38</w:t>
            </w:r>
          </w:p>
        </w:tc>
        <w:tc>
          <w:tcPr>
            <w:tcW w:type="dxa" w:w="5814"/>
          </w:tcPr>
          <w:p>
            <w:pPr>
              <w:pStyle w:val="null3"/>
            </w:pPr>
            <w:r>
              <w:rPr/>
              <w:t>4.2可以区分监测自主呼吸频率和总频率，自主呼吸分钟通气量和总分钟通气量，显示自主通气比例%MVspon；</w:t>
            </w:r>
          </w:p>
        </w:tc>
      </w:tr>
      <w:tr>
        <w:tc>
          <w:tcPr>
            <w:tcW w:type="dxa" w:w="2076"/>
          </w:tcPr>
          <w:p/>
        </w:tc>
        <w:tc>
          <w:tcPr>
            <w:tcW w:type="dxa" w:w="415"/>
          </w:tcPr>
          <w:p>
            <w:pPr>
              <w:pStyle w:val="null3"/>
            </w:pPr>
            <w:r>
              <w:rPr/>
              <w:t>39</w:t>
            </w:r>
          </w:p>
        </w:tc>
        <w:tc>
          <w:tcPr>
            <w:tcW w:type="dxa" w:w="5814"/>
          </w:tcPr>
          <w:p>
            <w:pPr>
              <w:pStyle w:val="null3"/>
            </w:pPr>
            <w:r>
              <w:rPr/>
              <w:t>4.3具有≥3个呼吸环和≥3道波形：环和波形可以冻结并有测量值显示，波形以填充方式显示，易于辨认，提供P-V，F-V，P-F环以及隆突压Ptrach-V和Ptrach-F环；</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4.4▲可记录≥31天的趋势参数，并通过USB导出；</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4.5▲日志功能，可记录≥7天内的发生的更改、事件和报警信息；</w:t>
            </w:r>
          </w:p>
        </w:tc>
      </w:tr>
      <w:tr>
        <w:tc>
          <w:tcPr>
            <w:tcW w:type="dxa" w:w="2076"/>
          </w:tcPr>
          <w:p/>
        </w:tc>
        <w:tc>
          <w:tcPr>
            <w:tcW w:type="dxa" w:w="415"/>
          </w:tcPr>
          <w:p>
            <w:pPr>
              <w:pStyle w:val="null3"/>
            </w:pPr>
            <w:r>
              <w:rPr/>
              <w:t>42</w:t>
            </w:r>
          </w:p>
        </w:tc>
        <w:tc>
          <w:tcPr>
            <w:tcW w:type="dxa" w:w="5814"/>
          </w:tcPr>
          <w:p>
            <w:pPr>
              <w:pStyle w:val="null3"/>
            </w:pPr>
            <w:r>
              <w:rPr/>
              <w:t>4.6日间/夜间模式切换。</w:t>
            </w:r>
          </w:p>
        </w:tc>
      </w:tr>
      <w:tr>
        <w:tc>
          <w:tcPr>
            <w:tcW w:type="dxa" w:w="2076"/>
          </w:tcPr>
          <w:p/>
        </w:tc>
        <w:tc>
          <w:tcPr>
            <w:tcW w:type="dxa" w:w="415"/>
          </w:tcPr>
          <w:p>
            <w:pPr>
              <w:pStyle w:val="null3"/>
            </w:pPr>
            <w:r>
              <w:rPr/>
              <w:t>43</w:t>
            </w:r>
          </w:p>
        </w:tc>
        <w:tc>
          <w:tcPr>
            <w:tcW w:type="dxa" w:w="5814"/>
          </w:tcPr>
          <w:p>
            <w:pPr>
              <w:pStyle w:val="null3"/>
            </w:pPr>
            <w:r>
              <w:rPr/>
              <w:t>5报警参数要求： 5.1报警参数（包含不限于）：气道压力上下限，分钟通气量上下限、吸入氧浓度上下限、窒息报警时间（窒息时间设定5－60s）、呼吸频率过快报警；</w:t>
            </w:r>
          </w:p>
        </w:tc>
      </w:tr>
      <w:tr>
        <w:tc>
          <w:tcPr>
            <w:tcW w:type="dxa" w:w="2076"/>
          </w:tcPr>
          <w:p/>
        </w:tc>
        <w:tc>
          <w:tcPr>
            <w:tcW w:type="dxa" w:w="415"/>
          </w:tcPr>
          <w:p>
            <w:pPr>
              <w:pStyle w:val="null3"/>
            </w:pPr>
            <w:r>
              <w:rPr/>
              <w:t>44</w:t>
            </w:r>
          </w:p>
        </w:tc>
        <w:tc>
          <w:tcPr>
            <w:tcW w:type="dxa" w:w="5814"/>
          </w:tcPr>
          <w:p>
            <w:pPr>
              <w:pStyle w:val="null3"/>
            </w:pPr>
            <w:r>
              <w:rPr/>
              <w:t>5.2呼吸回路断开报警；</w:t>
            </w:r>
          </w:p>
        </w:tc>
      </w:tr>
      <w:tr>
        <w:tc>
          <w:tcPr>
            <w:tcW w:type="dxa" w:w="2076"/>
          </w:tcPr>
          <w:p/>
        </w:tc>
        <w:tc>
          <w:tcPr>
            <w:tcW w:type="dxa" w:w="415"/>
          </w:tcPr>
          <w:p>
            <w:pPr>
              <w:pStyle w:val="null3"/>
            </w:pPr>
            <w:r>
              <w:rPr/>
              <w:t>45</w:t>
            </w:r>
          </w:p>
        </w:tc>
        <w:tc>
          <w:tcPr>
            <w:tcW w:type="dxa" w:w="5814"/>
          </w:tcPr>
          <w:p>
            <w:pPr>
              <w:pStyle w:val="null3"/>
            </w:pPr>
            <w:r>
              <w:rPr/>
              <w:t>5.3 360度报警灯，智能三级声光报警系统，报警音量日间和夜间可分别设置；</w:t>
            </w:r>
          </w:p>
        </w:tc>
      </w:tr>
      <w:tr>
        <w:tc>
          <w:tcPr>
            <w:tcW w:type="dxa" w:w="2076"/>
          </w:tcPr>
          <w:p/>
        </w:tc>
        <w:tc>
          <w:tcPr>
            <w:tcW w:type="dxa" w:w="415"/>
          </w:tcPr>
          <w:p>
            <w:pPr>
              <w:pStyle w:val="null3"/>
            </w:pPr>
            <w:r>
              <w:rPr/>
              <w:t>46</w:t>
            </w:r>
          </w:p>
        </w:tc>
        <w:tc>
          <w:tcPr>
            <w:tcW w:type="dxa" w:w="5814"/>
          </w:tcPr>
          <w:p>
            <w:pPr>
              <w:pStyle w:val="null3"/>
            </w:pPr>
            <w:r>
              <w:rPr/>
              <w:t>5.4报警除了提示报警项目，报警原因，还可提供处理建议；</w:t>
            </w:r>
          </w:p>
        </w:tc>
      </w:tr>
      <w:tr>
        <w:tc>
          <w:tcPr>
            <w:tcW w:type="dxa" w:w="2076"/>
          </w:tcPr>
          <w:p/>
        </w:tc>
        <w:tc>
          <w:tcPr>
            <w:tcW w:type="dxa" w:w="415"/>
          </w:tcPr>
          <w:p>
            <w:pPr>
              <w:pStyle w:val="null3"/>
            </w:pPr>
            <w:r>
              <w:rPr/>
              <w:t>47</w:t>
            </w:r>
          </w:p>
        </w:tc>
        <w:tc>
          <w:tcPr>
            <w:tcW w:type="dxa" w:w="5814"/>
          </w:tcPr>
          <w:p>
            <w:pPr>
              <w:pStyle w:val="null3"/>
            </w:pPr>
            <w:r>
              <w:rPr/>
              <w:t>5.5具有后备通气模式，可以在窒息时提供通气；</w:t>
            </w:r>
          </w:p>
        </w:tc>
      </w:tr>
      <w:tr>
        <w:tc>
          <w:tcPr>
            <w:tcW w:type="dxa" w:w="2076"/>
          </w:tcPr>
          <w:p/>
        </w:tc>
        <w:tc>
          <w:tcPr>
            <w:tcW w:type="dxa" w:w="415"/>
          </w:tcPr>
          <w:p>
            <w:pPr>
              <w:pStyle w:val="null3"/>
            </w:pPr>
            <w:r>
              <w:rPr/>
              <w:t>48</w:t>
            </w:r>
          </w:p>
        </w:tc>
        <w:tc>
          <w:tcPr>
            <w:tcW w:type="dxa" w:w="5814"/>
          </w:tcPr>
          <w:p>
            <w:pPr>
              <w:pStyle w:val="null3"/>
            </w:pPr>
            <w:r>
              <w:rPr/>
              <w:t>6数据存储和投屏要求： 6.1通过USB接口保存患者趋势数据，截屏。趋势和截屏可通过PC浏览，USB还可以转移呼吸机屏幕设置</w:t>
            </w:r>
          </w:p>
        </w:tc>
      </w:tr>
      <w:tr>
        <w:tc>
          <w:tcPr>
            <w:tcW w:type="dxa" w:w="2076"/>
          </w:tcPr>
          <w:p/>
        </w:tc>
        <w:tc>
          <w:tcPr>
            <w:tcW w:type="dxa" w:w="415"/>
          </w:tcPr>
          <w:p>
            <w:pPr>
              <w:pStyle w:val="null3"/>
            </w:pPr>
            <w:r>
              <w:rPr/>
              <w:t>49</w:t>
            </w:r>
          </w:p>
        </w:tc>
        <w:tc>
          <w:tcPr>
            <w:tcW w:type="dxa" w:w="5814"/>
          </w:tcPr>
          <w:p>
            <w:pPr>
              <w:pStyle w:val="null3"/>
            </w:pPr>
            <w:r>
              <w:rPr/>
              <w:t>6.2可通过高清接口连接显示器或投影仪，方便教学。</w:t>
            </w:r>
          </w:p>
        </w:tc>
      </w:tr>
      <w:tr>
        <w:tc>
          <w:tcPr>
            <w:tcW w:type="dxa" w:w="2076"/>
          </w:tcPr>
          <w:p/>
        </w:tc>
        <w:tc>
          <w:tcPr>
            <w:tcW w:type="dxa" w:w="415"/>
          </w:tcPr>
          <w:p>
            <w:pPr>
              <w:pStyle w:val="null3"/>
            </w:pPr>
            <w:r>
              <w:rPr/>
              <w:t>50</w:t>
            </w:r>
          </w:p>
        </w:tc>
        <w:tc>
          <w:tcPr>
            <w:tcW w:type="dxa" w:w="5814"/>
          </w:tcPr>
          <w:p>
            <w:pPr>
              <w:pStyle w:val="null3"/>
            </w:pPr>
            <w:r>
              <w:rPr>
                <w:sz w:val="21"/>
              </w:rPr>
              <w:t>7.</w:t>
            </w:r>
            <w:r>
              <w:rPr>
                <w:sz w:val="21"/>
              </w:rPr>
              <w:t>配置清单（</w:t>
            </w:r>
            <w:r>
              <w:rPr>
                <w:sz w:val="21"/>
              </w:rPr>
              <w:t>不低于以下配置清单</w:t>
            </w:r>
            <w:r>
              <w:rPr>
                <w:sz w:val="21"/>
              </w:rPr>
              <w:t>）：</w:t>
            </w:r>
          </w:p>
          <w:tbl>
            <w:tblPr>
              <w:tblBorders>
                <w:top w:val="none" w:color="000000" w:sz="4"/>
                <w:left w:val="none" w:color="000000" w:sz="4"/>
                <w:bottom w:val="none" w:color="000000" w:sz="4"/>
                <w:right w:val="none" w:color="000000" w:sz="4"/>
                <w:insideH w:val="none"/>
                <w:insideV w:val="none"/>
              </w:tblBorders>
            </w:tblPr>
            <w:tblGrid>
              <w:gridCol w:w="773"/>
              <w:gridCol w:w="3835"/>
              <w:gridCol w:w="987"/>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序号</w:t>
                  </w:r>
                </w:p>
              </w:tc>
              <w:tc>
                <w:tcPr>
                  <w:tcW w:type="dxa" w:w="383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部</w:t>
                  </w:r>
                  <w:r>
                    <w:rPr>
                      <w:sz w:val="21"/>
                      <w:color w:val="000000"/>
                    </w:rPr>
                    <w:t>件</w:t>
                  </w:r>
                  <w:r>
                    <w:rPr>
                      <w:sz w:val="21"/>
                      <w:color w:val="000000"/>
                    </w:rPr>
                    <w:t>名</w:t>
                  </w:r>
                  <w:r>
                    <w:rPr>
                      <w:sz w:val="21"/>
                      <w:color w:val="000000"/>
                    </w:rPr>
                    <w:t>称</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数</w:t>
                  </w:r>
                  <w:r>
                    <w:rPr>
                      <w:sz w:val="21"/>
                      <w:color w:val="000000"/>
                    </w:rPr>
                    <w:t>量</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主机整机（含台车架）</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1台</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系统缆线</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机械臂</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新生儿模拟肺</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中央供氧管道、</w:t>
                  </w:r>
                  <w:r>
                    <w:rPr>
                      <w:sz w:val="21"/>
                      <w:color w:val="000000"/>
                    </w:rPr>
                    <w:t>中央供气管道</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各</w:t>
                  </w:r>
                  <w:r>
                    <w:rPr>
                      <w:sz w:val="21"/>
                      <w:color w:val="000000"/>
                    </w:rPr>
                    <w:t>1条</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新生儿近端流量传感器</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5个</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7</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高压空气过滤器</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8</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湿化器及支架</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1套</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9</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一次性加热管路温度缆线</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1条</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10</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新生儿一次性双加热呼吸管路</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1条</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11</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新生儿呼吸管路</w:t>
                  </w:r>
                  <w:r>
                    <w:rPr>
                      <w:sz w:val="21"/>
                      <w:color w:val="000000"/>
                    </w:rPr>
                    <w:t>Y型接头</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12</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使用说明书、合格证、保修卡、简易操作卡</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1套</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13</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配套空压机</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1台</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14</w:t>
                  </w:r>
                </w:p>
              </w:tc>
              <w:tc>
                <w:tcPr>
                  <w:tcW w:type="dxa" w:w="383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呼吸湿化治疗仪</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1台</w:t>
                  </w:r>
                </w:p>
              </w:tc>
            </w:tr>
          </w:tbl>
          <w:p/>
        </w:tc>
      </w:tr>
      <w:tr>
        <w:tc>
          <w:tcPr>
            <w:tcW w:type="dxa" w:w="2076"/>
          </w:tcPr>
          <w:p>
            <w:pPr>
              <w:pStyle w:val="null3"/>
            </w:pPr>
            <w:r>
              <w:rPr/>
              <w:t>★</w:t>
            </w:r>
          </w:p>
        </w:tc>
        <w:tc>
          <w:tcPr>
            <w:tcW w:type="dxa" w:w="415"/>
          </w:tcPr>
          <w:p>
            <w:pPr>
              <w:pStyle w:val="null3"/>
            </w:pPr>
            <w:r>
              <w:rPr/>
              <w:t>51</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视力筛查仪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1.适用人群：适用于六个月以上婴幼儿、儿童及成人受测者；</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2.▲筛查内容（包含但不限于）：屈光筛查、眼位变化、瞳孔大小及间距、眼睛凝视偏差、上睑下垂等，对近视、弱视、斜视风险进行筛查评估；</w:t>
            </w:r>
          </w:p>
        </w:tc>
      </w:tr>
      <w:tr>
        <w:tc>
          <w:tcPr>
            <w:tcW w:type="dxa" w:w="2076"/>
          </w:tcPr>
          <w:p/>
        </w:tc>
        <w:tc>
          <w:tcPr>
            <w:tcW w:type="dxa" w:w="415"/>
          </w:tcPr>
          <w:p>
            <w:pPr>
              <w:pStyle w:val="null3"/>
            </w:pPr>
            <w:r>
              <w:rPr/>
              <w:t>3</w:t>
            </w:r>
          </w:p>
        </w:tc>
        <w:tc>
          <w:tcPr>
            <w:tcW w:type="dxa" w:w="5814"/>
          </w:tcPr>
          <w:p>
            <w:pPr>
              <w:pStyle w:val="null3"/>
            </w:pPr>
            <w:r>
              <w:rPr/>
              <w:t>3.筛查模式（包含但不限于）：双眼同时进行测量，并可对单眼进行测量；在单眼模式时提供用于选择筛查左右眼睛的选项；</w:t>
            </w:r>
          </w:p>
        </w:tc>
      </w:tr>
      <w:tr>
        <w:tc>
          <w:tcPr>
            <w:tcW w:type="dxa" w:w="2076"/>
          </w:tcPr>
          <w:p/>
        </w:tc>
        <w:tc>
          <w:tcPr>
            <w:tcW w:type="dxa" w:w="415"/>
          </w:tcPr>
          <w:p>
            <w:pPr>
              <w:pStyle w:val="null3"/>
            </w:pPr>
            <w:r>
              <w:rPr/>
              <w:t>4</w:t>
            </w:r>
          </w:p>
        </w:tc>
        <w:tc>
          <w:tcPr>
            <w:tcW w:type="dxa" w:w="5814"/>
          </w:tcPr>
          <w:p>
            <w:pPr>
              <w:pStyle w:val="null3"/>
            </w:pPr>
            <w:r>
              <w:rPr/>
              <w:t>4.机器至少有正常测试模式和高度数测试模式2种；</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5.▲球镜度测量范围：-10.00D至+10.00D，分辨率：0.25D/0.01D，精度：±0.50D；</w:t>
            </w:r>
          </w:p>
        </w:tc>
      </w:tr>
      <w:tr>
        <w:tc>
          <w:tcPr>
            <w:tcW w:type="dxa" w:w="2076"/>
          </w:tcPr>
          <w:p/>
        </w:tc>
        <w:tc>
          <w:tcPr>
            <w:tcW w:type="dxa" w:w="415"/>
          </w:tcPr>
          <w:p>
            <w:pPr>
              <w:pStyle w:val="null3"/>
            </w:pPr>
            <w:r>
              <w:rPr/>
              <w:t>6</w:t>
            </w:r>
          </w:p>
        </w:tc>
        <w:tc>
          <w:tcPr>
            <w:tcW w:type="dxa" w:w="5814"/>
          </w:tcPr>
          <w:p>
            <w:pPr>
              <w:pStyle w:val="null3"/>
            </w:pPr>
            <w:r>
              <w:rPr/>
              <w:t>6.等效球镜度：-11.5D～+11.5D，分辨率：0.25D/0.01D，精度：±1.0D</w:t>
            </w:r>
          </w:p>
        </w:tc>
      </w:tr>
      <w:tr>
        <w:tc>
          <w:tcPr>
            <w:tcW w:type="dxa" w:w="2076"/>
          </w:tcPr>
          <w:p/>
        </w:tc>
        <w:tc>
          <w:tcPr>
            <w:tcW w:type="dxa" w:w="415"/>
          </w:tcPr>
          <w:p>
            <w:pPr>
              <w:pStyle w:val="null3"/>
            </w:pPr>
            <w:r>
              <w:rPr/>
              <w:t>7</w:t>
            </w:r>
          </w:p>
        </w:tc>
        <w:tc>
          <w:tcPr>
            <w:tcW w:type="dxa" w:w="5814"/>
          </w:tcPr>
          <w:p>
            <w:pPr>
              <w:pStyle w:val="null3"/>
            </w:pPr>
            <w:r>
              <w:rPr/>
              <w:t>7.柱镜度测量范围： -3.00D至+3.00D，分辨率0.25D，精度：±0.5D；</w:t>
            </w:r>
          </w:p>
        </w:tc>
      </w:tr>
      <w:tr>
        <w:tc>
          <w:tcPr>
            <w:tcW w:type="dxa" w:w="2076"/>
          </w:tcPr>
          <w:p/>
        </w:tc>
        <w:tc>
          <w:tcPr>
            <w:tcW w:type="dxa" w:w="415"/>
          </w:tcPr>
          <w:p>
            <w:pPr>
              <w:pStyle w:val="null3"/>
            </w:pPr>
            <w:r>
              <w:rPr/>
              <w:t>8</w:t>
            </w:r>
          </w:p>
        </w:tc>
        <w:tc>
          <w:tcPr>
            <w:tcW w:type="dxa" w:w="5814"/>
          </w:tcPr>
          <w:p>
            <w:pPr>
              <w:pStyle w:val="null3"/>
            </w:pPr>
            <w:r>
              <w:rPr/>
              <w:t>8.轴位范围：1至180°，分辨率1°，精度：±5°；</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9.▲瞳孔直径测量范围：3.2mm至9mm，分辨率≤1mm；</w:t>
            </w:r>
          </w:p>
        </w:tc>
      </w:tr>
      <w:tr>
        <w:tc>
          <w:tcPr>
            <w:tcW w:type="dxa" w:w="2076"/>
          </w:tcPr>
          <w:p/>
        </w:tc>
        <w:tc>
          <w:tcPr>
            <w:tcW w:type="dxa" w:w="415"/>
          </w:tcPr>
          <w:p>
            <w:pPr>
              <w:pStyle w:val="null3"/>
            </w:pPr>
            <w:r>
              <w:rPr/>
              <w:t>10</w:t>
            </w:r>
          </w:p>
        </w:tc>
        <w:tc>
          <w:tcPr>
            <w:tcW w:type="dxa" w:w="5814"/>
          </w:tcPr>
          <w:p>
            <w:pPr>
              <w:pStyle w:val="null3"/>
            </w:pPr>
            <w:r>
              <w:rPr/>
              <w:t>10.瞳距测量范围：35mm至80mm，分辨率≤1mm；</w:t>
            </w:r>
          </w:p>
        </w:tc>
      </w:tr>
      <w:tr>
        <w:tc>
          <w:tcPr>
            <w:tcW w:type="dxa" w:w="2076"/>
          </w:tcPr>
          <w:p/>
        </w:tc>
        <w:tc>
          <w:tcPr>
            <w:tcW w:type="dxa" w:w="415"/>
          </w:tcPr>
          <w:p>
            <w:pPr>
              <w:pStyle w:val="null3"/>
            </w:pPr>
            <w:r>
              <w:rPr/>
              <w:t>11</w:t>
            </w:r>
          </w:p>
        </w:tc>
        <w:tc>
          <w:tcPr>
            <w:tcW w:type="dxa" w:w="5814"/>
          </w:tcPr>
          <w:p>
            <w:pPr>
              <w:pStyle w:val="null3"/>
            </w:pPr>
            <w:r>
              <w:rPr/>
              <w:t>11.注视方式（包含但不限于）：灯光及卡通音乐音效，能吸引受测者注意力集中；</w:t>
            </w:r>
          </w:p>
        </w:tc>
      </w:tr>
      <w:tr>
        <w:tc>
          <w:tcPr>
            <w:tcW w:type="dxa" w:w="2076"/>
          </w:tcPr>
          <w:p/>
        </w:tc>
        <w:tc>
          <w:tcPr>
            <w:tcW w:type="dxa" w:w="415"/>
          </w:tcPr>
          <w:p>
            <w:pPr>
              <w:pStyle w:val="null3"/>
            </w:pPr>
            <w:r>
              <w:rPr/>
              <w:t>12</w:t>
            </w:r>
          </w:p>
        </w:tc>
        <w:tc>
          <w:tcPr>
            <w:tcW w:type="dxa" w:w="5814"/>
          </w:tcPr>
          <w:p>
            <w:pPr>
              <w:pStyle w:val="null3"/>
            </w:pPr>
            <w:r>
              <w:rPr/>
              <w:t>12.数据接口：Wi-Fi/USB/蓝牙；打印机接口：Wi-Fi/USB；</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13.▲人体工程学设计：前倾操作屏幕，方便使用者以任何姿势操作，方便观察结果；彩色触摸显示屏,屏幕尺寸≥5.0寸；</w:t>
            </w:r>
          </w:p>
        </w:tc>
      </w:tr>
      <w:tr>
        <w:tc>
          <w:tcPr>
            <w:tcW w:type="dxa" w:w="2076"/>
          </w:tcPr>
          <w:p/>
        </w:tc>
        <w:tc>
          <w:tcPr>
            <w:tcW w:type="dxa" w:w="415"/>
          </w:tcPr>
          <w:p>
            <w:pPr>
              <w:pStyle w:val="null3"/>
            </w:pPr>
            <w:r>
              <w:rPr/>
              <w:t>14</w:t>
            </w:r>
          </w:p>
        </w:tc>
        <w:tc>
          <w:tcPr>
            <w:tcW w:type="dxa" w:w="5814"/>
          </w:tcPr>
          <w:p>
            <w:pPr>
              <w:pStyle w:val="null3"/>
            </w:pPr>
            <w:r>
              <w:rPr/>
              <w:t>14.电池：至少配备2块可充电锂电池方便更换续航≥8小时，方便长时间筛查；至少支持线充和座充两种方式；</w:t>
            </w:r>
          </w:p>
        </w:tc>
      </w:tr>
      <w:tr>
        <w:tc>
          <w:tcPr>
            <w:tcW w:type="dxa" w:w="2076"/>
          </w:tcPr>
          <w:p/>
        </w:tc>
        <w:tc>
          <w:tcPr>
            <w:tcW w:type="dxa" w:w="415"/>
          </w:tcPr>
          <w:p>
            <w:pPr>
              <w:pStyle w:val="null3"/>
            </w:pPr>
            <w:r>
              <w:rPr/>
              <w:t>15</w:t>
            </w:r>
          </w:p>
        </w:tc>
        <w:tc>
          <w:tcPr>
            <w:tcW w:type="dxa" w:w="5814"/>
          </w:tcPr>
          <w:p>
            <w:pPr>
              <w:pStyle w:val="null3"/>
            </w:pPr>
            <w:r>
              <w:rPr/>
              <w:t>15.被测者距离提示：有数值显示来确定测试距离的功能；人性化设计：屏幕上有向前向后的箭头指示，来提醒确定测量距离,并且系统能主动提示测距过远或过近；</w:t>
            </w:r>
          </w:p>
        </w:tc>
      </w:tr>
      <w:tr>
        <w:tc>
          <w:tcPr>
            <w:tcW w:type="dxa" w:w="2076"/>
          </w:tcPr>
          <w:p/>
        </w:tc>
        <w:tc>
          <w:tcPr>
            <w:tcW w:type="dxa" w:w="415"/>
          </w:tcPr>
          <w:p>
            <w:pPr>
              <w:pStyle w:val="null3"/>
            </w:pPr>
            <w:r>
              <w:rPr/>
              <w:t>16</w:t>
            </w:r>
          </w:p>
        </w:tc>
        <w:tc>
          <w:tcPr>
            <w:tcW w:type="dxa" w:w="5814"/>
          </w:tcPr>
          <w:p>
            <w:pPr>
              <w:pStyle w:val="null3"/>
            </w:pPr>
            <w:r>
              <w:rPr/>
              <w:t>16.具备个体筛查和批量筛查模式；机器上有批量筛查功能按键，可自动循环完成批量筛查提供工作效率；</w:t>
            </w:r>
          </w:p>
        </w:tc>
      </w:tr>
      <w:tr>
        <w:tc>
          <w:tcPr>
            <w:tcW w:type="dxa" w:w="2076"/>
          </w:tcPr>
          <w:p/>
        </w:tc>
        <w:tc>
          <w:tcPr>
            <w:tcW w:type="dxa" w:w="415"/>
          </w:tcPr>
          <w:p>
            <w:pPr>
              <w:pStyle w:val="null3"/>
            </w:pPr>
            <w:r>
              <w:rPr/>
              <w:t>17</w:t>
            </w:r>
          </w:p>
        </w:tc>
        <w:tc>
          <w:tcPr>
            <w:tcW w:type="dxa" w:w="5814"/>
          </w:tcPr>
          <w:p>
            <w:pPr>
              <w:pStyle w:val="null3"/>
            </w:pPr>
            <w:r>
              <w:rPr/>
              <w:t>17.信息录入（包含但不限于）：主机触屏录入，可直接在主机上手写输入中文个人信息，无线扫码枪录入、excel批量导入，PC端Wi-Fi直连导入方便操作提高工作效率；</w:t>
            </w:r>
          </w:p>
        </w:tc>
      </w:tr>
      <w:tr>
        <w:tc>
          <w:tcPr>
            <w:tcW w:type="dxa" w:w="2076"/>
          </w:tcPr>
          <w:p/>
        </w:tc>
        <w:tc>
          <w:tcPr>
            <w:tcW w:type="dxa" w:w="415"/>
          </w:tcPr>
          <w:p>
            <w:pPr>
              <w:pStyle w:val="null3"/>
            </w:pPr>
            <w:r>
              <w:rPr/>
              <w:t>18</w:t>
            </w:r>
          </w:p>
        </w:tc>
        <w:tc>
          <w:tcPr>
            <w:tcW w:type="dxa" w:w="5814"/>
          </w:tcPr>
          <w:p>
            <w:pPr>
              <w:pStyle w:val="null3"/>
            </w:pPr>
            <w:r>
              <w:rPr/>
              <w:t>18.云端系统及系统开放性：支持端口开放，实现物联网连接，能实现数字化流程管理，可对接任何第三方信息管理系统；</w:t>
            </w:r>
          </w:p>
        </w:tc>
      </w:tr>
      <w:tr>
        <w:tc>
          <w:tcPr>
            <w:tcW w:type="dxa" w:w="2076"/>
          </w:tcPr>
          <w:p/>
        </w:tc>
        <w:tc>
          <w:tcPr>
            <w:tcW w:type="dxa" w:w="415"/>
          </w:tcPr>
          <w:p>
            <w:pPr>
              <w:pStyle w:val="null3"/>
            </w:pPr>
            <w:r>
              <w:rPr/>
              <w:t>19</w:t>
            </w:r>
          </w:p>
        </w:tc>
        <w:tc>
          <w:tcPr>
            <w:tcW w:type="dxa" w:w="5814"/>
          </w:tcPr>
          <w:p>
            <w:pPr>
              <w:pStyle w:val="null3"/>
            </w:pPr>
            <w:r>
              <w:rPr/>
              <w:t>19.搭载眼健康管理系统：机器需内置视力筛查专业软件，支持一键上传至电脑端且可自动打印报告；</w:t>
            </w:r>
          </w:p>
        </w:tc>
      </w:tr>
      <w:tr>
        <w:tc>
          <w:tcPr>
            <w:tcW w:type="dxa" w:w="2076"/>
          </w:tcPr>
          <w:p/>
        </w:tc>
        <w:tc>
          <w:tcPr>
            <w:tcW w:type="dxa" w:w="415"/>
          </w:tcPr>
          <w:p>
            <w:pPr>
              <w:pStyle w:val="null3"/>
            </w:pPr>
            <w:r>
              <w:rPr/>
              <w:t>20</w:t>
            </w:r>
          </w:p>
        </w:tc>
        <w:tc>
          <w:tcPr>
            <w:tcW w:type="dxa" w:w="5814"/>
          </w:tcPr>
          <w:p>
            <w:pPr>
              <w:pStyle w:val="null3"/>
            </w:pPr>
            <w:r>
              <w:rPr/>
              <w:t>20.打印报告形式：便签打印报告或A4彩色图文报告，客户可以根据自己的需要添加logo，医院名称，联系电话，医生签名等；</w:t>
            </w:r>
          </w:p>
        </w:tc>
      </w:tr>
      <w:tr>
        <w:tc>
          <w:tcPr>
            <w:tcW w:type="dxa" w:w="2076"/>
          </w:tcPr>
          <w:p/>
        </w:tc>
        <w:tc>
          <w:tcPr>
            <w:tcW w:type="dxa" w:w="415"/>
          </w:tcPr>
          <w:p>
            <w:pPr>
              <w:pStyle w:val="null3"/>
            </w:pPr>
            <w:r>
              <w:rPr/>
              <w:t>21</w:t>
            </w:r>
          </w:p>
        </w:tc>
        <w:tc>
          <w:tcPr>
            <w:tcW w:type="dxa" w:w="5814"/>
          </w:tcPr>
          <w:p>
            <w:pPr>
              <w:pStyle w:val="null3"/>
            </w:pPr>
            <w:r>
              <w:rPr/>
              <w:t>21.根据使用要求，机器可选择包括但不限于普通测试模式和专业测试模式，操作界面可任意切换；</w:t>
            </w:r>
          </w:p>
        </w:tc>
      </w:tr>
      <w:tr>
        <w:tc>
          <w:tcPr>
            <w:tcW w:type="dxa" w:w="2076"/>
          </w:tcPr>
          <w:p/>
        </w:tc>
        <w:tc>
          <w:tcPr>
            <w:tcW w:type="dxa" w:w="415"/>
          </w:tcPr>
          <w:p>
            <w:pPr>
              <w:pStyle w:val="null3"/>
            </w:pPr>
            <w:r>
              <w:rPr/>
              <w:t>22</w:t>
            </w:r>
          </w:p>
        </w:tc>
        <w:tc>
          <w:tcPr>
            <w:tcW w:type="dxa" w:w="5814"/>
          </w:tcPr>
          <w:p>
            <w:pPr>
              <w:pStyle w:val="null3"/>
            </w:pPr>
            <w:r>
              <w:rPr/>
              <w:t>22.每次测量时间：≤1S，测量距离：970cm±30cm；</w:t>
            </w:r>
          </w:p>
        </w:tc>
      </w:tr>
      <w:tr>
        <w:tc>
          <w:tcPr>
            <w:tcW w:type="dxa" w:w="2076"/>
          </w:tcPr>
          <w:p/>
        </w:tc>
        <w:tc>
          <w:tcPr>
            <w:tcW w:type="dxa" w:w="415"/>
          </w:tcPr>
          <w:p>
            <w:pPr>
              <w:pStyle w:val="null3"/>
            </w:pPr>
            <w:r>
              <w:rPr/>
              <w:t>23</w:t>
            </w:r>
          </w:p>
        </w:tc>
        <w:tc>
          <w:tcPr>
            <w:tcW w:type="dxa" w:w="5814"/>
          </w:tcPr>
          <w:p>
            <w:pPr>
              <w:pStyle w:val="null3"/>
            </w:pPr>
            <w:r>
              <w:rPr/>
              <w:t>23.检测结果可显示等效视力值：5分位或1分位；</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24.▲可通过连接WIFI信号，在主机端升级最新软件版本；</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25.▲设备重量≤1KG</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26.▲设备使用年限≥10年。</w:t>
            </w:r>
          </w:p>
        </w:tc>
      </w:tr>
      <w:tr>
        <w:tc>
          <w:tcPr>
            <w:tcW w:type="dxa" w:w="2076"/>
          </w:tcPr>
          <w:p/>
        </w:tc>
        <w:tc>
          <w:tcPr>
            <w:tcW w:type="dxa" w:w="415"/>
          </w:tcPr>
          <w:p>
            <w:pPr>
              <w:pStyle w:val="null3"/>
            </w:pPr>
            <w:r>
              <w:rPr/>
              <w:t>27</w:t>
            </w:r>
          </w:p>
        </w:tc>
        <w:tc>
          <w:tcPr>
            <w:tcW w:type="dxa" w:w="5814"/>
          </w:tcPr>
          <w:p>
            <w:pPr>
              <w:pStyle w:val="null3"/>
            </w:pPr>
            <w:r>
              <w:rPr/>
              <w:t>27.</w:t>
            </w:r>
            <w:r>
              <w:rPr/>
              <w:t>配置清单（</w:t>
            </w:r>
            <w:r>
              <w:rPr>
                <w:sz w:val="20"/>
                <w:color w:val="000000"/>
              </w:rPr>
              <w:t>不低于以下配置清单</w:t>
            </w:r>
            <w:r>
              <w:rPr/>
              <w:t>）</w:t>
            </w:r>
          </w:p>
          <w:tbl>
            <w:tblPr>
              <w:tblBorders>
                <w:top w:val="none" w:color="000000" w:sz="4"/>
                <w:left w:val="none" w:color="000000" w:sz="4"/>
                <w:bottom w:val="none" w:color="000000" w:sz="4"/>
                <w:right w:val="none" w:color="000000" w:sz="4"/>
                <w:insideH w:val="none"/>
                <w:insideV w:val="none"/>
              </w:tblBorders>
            </w:tblPr>
            <w:tblGrid>
              <w:gridCol w:w="819"/>
              <w:gridCol w:w="2913"/>
              <w:gridCol w:w="1867"/>
            </w:tblGrid>
            <w:tr>
              <w:tc>
                <w:tcPr>
                  <w:tcW w:type="dxa" w:w="5599"/>
                  <w:gridSpan w:val="3"/>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sz w:val="19"/>
                    </w:rPr>
                    <w:t>单台配置</w:t>
                  </w:r>
                </w:p>
              </w:tc>
            </w:tr>
            <w:tr>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1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视力筛查仪主机及配套软件</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台</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电源适配器</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个</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锂电池组</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块</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便携包</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个</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筛查箱（视力筛查仪可嵌入使用）</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个</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腕带</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个</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扫码枪</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把</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热敏票据打印机及适配器</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套</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热敏打印纸</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卷</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儿童卡通贴纸</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包</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2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说明书、合格证、保修卡</w:t>
                  </w:r>
                </w:p>
              </w:tc>
              <w:tc>
                <w:tcPr>
                  <w:tcW w:type="dxa" w:w="1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套</w:t>
                  </w:r>
                </w:p>
              </w:tc>
            </w:tr>
          </w:tbl>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sz w:val="21"/>
              </w:rPr>
              <w:t>★</w:t>
            </w:r>
            <w:r>
              <w:rPr>
                <w:sz w:val="21"/>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采购包2（早产儿暖箱）</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1期：支付比例100%,合同设备全部完成安装调试并验收合格后的次月内，由采购人向中标人支付合同总金额的100%； 因采购人使用的是财政性资金，采购人在前款规定的付款时间为向政府支付部门提出办理财政支付申请手续的时间（不含政府财政支付部门审核的时间），在规定时间内提出支付申请手续后即视为采购人已经按期支付。如中标人迟延开具发票，采购人有权迟延付款，不视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1.1 中标人应保证所供设备：如属于国产设备的，应是6个月内生产的；如属于进口设备的，应是12个月内生产的（从设备铭牌的生产日期起，计算至设备运至采购人指定地点的日期止）。 1.2 中标人应在设备运至采购人指定地点前3个自然日通知采购人设备主管部门相关人员，且设备到达时，中标人应委派代表到达采购人现场进行交接，否则采购人有权不予接收，中标人承担由此发生的一切损失和费用。 1.3 中标人确保设备在安装验收前有良好的防护措施（包括但不仅限于设备包装应适应远距离运输，以及设备到达前和到达后的防湿、防锈、防潮、防雨、防腐、防震、防碰撞及防野蛮装卸，采购人和中标人双方相关人员应尽义务提醒等）。 1.4 设备到货时采购人和中标人双方共同对设备进行开箱清点检查验收，如果发现短缺、损坏，或与合同约定的品牌、规格型号不符，或存在质量、技术等问题，中标人应及时安排更换，按照采购人的要求，采取补足、更换或退货等处理措施，以保证在本合同约定交付期内成功完成合同设备安装调试。 1.5 设备到货验收，仅代表采购人设备接收，完成的标志为：采购人和中标人双方代表在送货单上签字确认。在完成项目验收前，采购人不负有设备完好保障的单方面责任。 2、总体验收 2.1 合同所指的设备及其服务应符合合同以及合同相关有效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如果没有国家标准、行业标准及设备来源国适用的官方标准的，按照通常标准或者符合合同目的的特定标准履行。 2.2 对于国家强检设备，应由计量技术监督局指定部门进行检测且检测结果作为验收条件之一。 2.3 对于国家有计量技术规范要求的设备，应在相关部门进行检测且检测结果作为验收条件之一。 2.4 中标人提供的医疗设备必须开放数据接口，费用已包含在投标报价内，如设备需接入采购人院方系统的，原则上应当在验收前由中标人负责接入院方系统，如院方暂时不具备接入条件的，可以先行验收，具体接入时间以院方通知为准，具体接入实施工作由中标人负责，相关费用已包含在投标报价中，采购人不再另行支付其他任何费用。 2.5 合同设备安装调试完成，设备正常运行满7天后，采购人7日内组织履约验收。设备验收应在采购人和中标人双方共同参加下进行验收，在符合中华人民共和国相关技术标准的基础上，根据合同设备的技术标准进行技术验收，验收合格后，采购人相关人员在采购人《广州市南沙区妇幼保健院医疗设备安装验收及操作培训报告》上签字确认。中标人如有相关验收报告等文书要求的，采购人应予以配合签署，并作为验收材料之一。 2.6 验收按国家有关的规定、规范进行。验收时如发现所交付的设备有短装、次品、损坏或其它不符合本合同规定之情形者，应在《广州市南沙区妇幼保健院医疗设备安装验收及操作培训报告》作出详尽的现场记录，并由双方签字确认，作为补充、缺失和更换损坏部件的有效证据。由此产生的有关费用由中标人承担，如因此给采购人造成损失的，中标人应予赔偿，并承担由此发生的一切损失和费用。 2.7 验收前，中标人如未能提供应有的合同书中“3.2伴随资料”、“3.3伴随服务”的，则采购人有权推迟验收直至中标人补齐，期间发生的损失由中标人承担。若中标人无法补充完整或者提供的文件内容不属实的，则采购人有权拒收设备，已接收的，采购人则有权退回中标人，由此产生的损失由中标人承担。不影响项目进展、完整性的内容，及按项目进展需投入使用后方能提供的、符合法定程序的及其它合理的特殊伴随内容除外，但需备注说明。 2.8 中标人保证合同项下提供的设备不侵犯任何第三方的专利、商标或版权等知识产权。若因第三方主张知识产权或其他权利的侵权赔偿，导致采购人无法正常使用合同设备或造成采购人损失的，中标人应向采购人赔偿损失，赔偿范围包括但不限于：第三方主张的全部侵权赔偿、采购人正常使用合同设备后可以获得的利益、购置新的设备所产生的费用、诉讼费、律师费、公证费等所有费用支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必须包括但不限于设备设计、制造、包装、仓储、运输、装卸、安装、调试、培训、验收、项目实施相关财产和人员的保险、伴随的资料和服务、质保期保障（含质保期间维修配件和保养耗件的所有费用）、国家强检设备的初次检测费用等全部内容的所有含税费用，及合同履行过程中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交货要求1</w:t>
            </w:r>
          </w:p>
        </w:tc>
        <w:tc>
          <w:tcPr>
            <w:tcW w:type="dxa" w:w="2076"/>
          </w:tcPr>
          <w:p>
            <w:pPr>
              <w:pStyle w:val="null3"/>
              <w:jc w:val="left"/>
            </w:pPr>
            <w:r>
              <w:rPr/>
              <w:t>1、中标人应提供原装、全新的、符合质量标准的货物，不得以旧货翻新充数，并按有关要求进行包装及装运。 2、属进口产品的，如能办理进口免税的，手续由采购人协助办理，办理免税手续相关费用由中标人承担。 3、进口产品必须提供原产地证明和海关通关证明等合法进货渠道全套单证，中国境内制造的产品必须提供出厂合格证。 4、中标人应将所提供货物的装箱清单、用户手册、原厂保修卡、随机资料及配件、随机工具等交付给采购人；中标人不能完整交付货物及本款规定的单证和工具的，视为未按合同约定供货，中标人必须负责补齐，因此导致逾期交付的，由中标人承担相关的违约责任。 5、如中标设备属于国家强制计量或检定的设备，则中标人须提供国家计量或检定机关所出具的合格证书，采购人可协助中标人联系有关部门进行检测，但相关检测费用由中标人承担。 6、如中标设备非国家强制计量或检定的设备，但属于国家相关计量技术规范中要求或建议计量或检定的设备，则中标人也必须提供国家计量或检定机关所出具的合格证书，采购人可协助中标人联系有关部门进行检测，但相关检测费用由中标人承担。 7、中标人应按采购人要求提供设备完整的相关资料文件，包括但不限于设备的注册/许可文件、制造商出厂合格证明、检验检测报告、境外产品报关文书等资质及质量保证文书，能保证设备正确进行安装、调试、应用操作、维修、维护、测试、运行的产品设计图纸、使用说明书、维修手册、系统密码、简易维护和操作规程、培训课件、宣传推广等用途的所有资料。</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交货要求2</w:t>
            </w:r>
          </w:p>
        </w:tc>
        <w:tc>
          <w:tcPr>
            <w:tcW w:type="dxa" w:w="2076"/>
          </w:tcPr>
          <w:p>
            <w:pPr>
              <w:pStyle w:val="null3"/>
              <w:jc w:val="left"/>
            </w:pPr>
            <w:r>
              <w:rPr/>
              <w:t>★8、中标人提供的医疗设备必须开放数据接口，费用已包含在投标报价内。（提供承诺函） ★9、如设备需接入采购人院方系统的，原则上应当在验收前由中标人负责接入院方系统，如院方暂时不具备接入条件的，可以先行验收，具体接入时间以院方通知为准，具体接入实施工作由中标人负责，相关费用已包含在投标报价中，采购人不再另行支付其他任何费用。（提供承诺函） ★10、中标人应保证所供设备：如属于国产设备的，应是6个月内生产的；如属于进口设备的，应是12个月内生产的（从设备铭牌的生产日期起，计算至设备运至采购人指定地点的日期止）。（提供承诺函）</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1、设备到货后，中标人应在合同要求的时间内安装调试完成。如采购人暂时不具备安装调试条件的，具体日期以采购人通知的为准。 2、设备安装期间，中标人应监督项目实施人员做好文明施工，保证物件堆放整齐、通道畅通、施工废料清运及时等，确保施工人员、现场人员安全及采购人设备设施无损。因中标人原因造成采购人设备设施损坏，引起人员伤害等事故，中标人应负全部责任。 3、中标人人员应当严格遵守和配合采购人的消防、受限区域、院感等各项安全管理规定，拒不配合并造成不良后果的，中标人应负全部责任。 4、设备包装有木箱或木架的，请中标人在设备安装后把木箱或木架带走，勿丢弃在采购人医院内，如采购人发现中标人有丢弃木箱或木架在医院内的，一经核实，采购人有权在支付中标人的合同款项中扣减1000元作为罚款。</w:t>
            </w:r>
          </w:p>
        </w:tc>
      </w:tr>
      <w:tr>
        <w:tc>
          <w:tcPr>
            <w:tcW w:type="dxa" w:w="2076"/>
          </w:tcPr>
          <w:p/>
        </w:tc>
        <w:tc>
          <w:tcPr>
            <w:tcW w:type="dxa" w:w="2076"/>
          </w:tcPr>
          <w:p>
            <w:pPr>
              <w:pStyle w:val="null3"/>
              <w:jc w:val="center"/>
            </w:pPr>
            <w:r>
              <w:rPr/>
              <w:t>5</w:t>
            </w:r>
          </w:p>
        </w:tc>
        <w:tc>
          <w:tcPr>
            <w:tcW w:type="dxa" w:w="2076"/>
          </w:tcPr>
          <w:p>
            <w:pPr>
              <w:pStyle w:val="null3"/>
              <w:jc w:val="left"/>
            </w:pPr>
            <w:r>
              <w:rPr/>
              <w:t>伴随服务</w:t>
            </w:r>
          </w:p>
        </w:tc>
        <w:tc>
          <w:tcPr>
            <w:tcW w:type="dxa" w:w="2076"/>
          </w:tcPr>
          <w:p>
            <w:pPr>
              <w:pStyle w:val="null3"/>
              <w:jc w:val="left"/>
            </w:pPr>
            <w:r>
              <w:rPr/>
              <w:t>1、中标人提供设备现场安装、调试、维修必要的专用工具、辅助材料，及必要的检测、校准技术服务，直至设备能正常投入使用。 2、中标人应制定详细的培训计划，提供包含但不限于采购人现场的应用技术指导和培训，直至采购人使用人员能安全、正确、有效使用。 3、中标人应制定设备使用、运行保障的技术保障方案，提供包括但不限于设备设计原理和构造、安装调试、性能检测、故障诊断、维修技能、日常保管保养等内容的培训。</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1、质保期：质保期为验收合格后≥3年。质保期的期限应以采购人和中标人双方签署的《广州市南沙区妇幼保健院医疗设备安装验收及操作培训报告》的最晚时间起计算，质保期内免收故障维修零配件、维护保养耗件、非一次性易损配件及其他任何费用。质保期内非因采购人的人为原因而出现产品质量及安装问题，由中标人负责包修、包换或包退，并承担因此而产生的一切费用。中标人在质保期内应确保设备使用、运行完好率≥95%以上，如达不到此要求，即按超出的故障时间（以报修时间起算）的3倍延长质保期。</w:t>
            </w:r>
          </w:p>
        </w:tc>
      </w:tr>
      <w:tr>
        <w:tc>
          <w:tcPr>
            <w:tcW w:type="dxa" w:w="2076"/>
          </w:tcP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设备的售后服务工作须由产品的生产厂家或生产厂家授权的售后服务机构负责完成，维修人员须具备与产品相应的专业知识与维修经验，报修响应时间12小时，经确认需到现场的，24小时内维修人员到场（不可抗力除外）。若在48小时内仍未能恢复正常使用，中标人应该在采购人故障报告72小时内向采购人提供相同或同等标准的适用备用设备作为临时使用（费用包含在投标报价内），或书面提交明确、具体的设备故障解决方案，并报使用科室和设备管理部门审批同意后，在协商限定的时间内解决；若再有延迟，从设备故障报告之时起至实际提供符合使用要求的备用设备或将故障设备修复之时止，质保期按延误时间的10倍顺延。 2、质保期内，如设备故障在一个月内仍不能修复或者相同故障重复出现3次的，采购人有权要求中标人更换同型号全新设备。中标人须在接采购人通知后更换同型号全新设备并承担相关退换货的费用，交货期与投标文件的承诺相同，并完成安装调试、验收等工作（费用由中标人负责），质保期重新计算。 3、质保期内，中标人或中标人委托的承保单位应根据包括但不限于合同设备说明书的要求提供维护保养服务，并提供经确认的维保工单。 4、产品生产厂家或生产厂家授权的售后服务机构应提供设备质保期外的完好保障服务方案和优质的技术服务，储备足够的零配件备库，并提供常用维修备件清单、价格及厂家报价凭证。 5、在设备报废前，中标人应向采购人提供设备相关软件升级和版本更换（费用包含在投标报价内）。 6、中标人提供的售后服务的费用已包含在投标报价中，采购人不再另行支付。 7、中标人应确保采购人在正当操作使用和维护条件下设备可以达到使用年限的要求。如设备在其使用年限期间出现严重质量问题（如：反复维修等严重降低采购人工作效率的情形），或其他无法使用情形（如设备配件停产、专机专用耗材无法提供、设备无法维修导致设备报废等），采购人有权要求中标人采取一定措施保证采购人的权利，如要求中标人更换全新设备（所换设备必须符合本合同约定的规格、质量和性能，并保证可满足使用年限要求）等。如中标人无法更换全新设备的，应向采购人书面提交明确、具体的解决方案，并报使用科室和设备管理部门审批同意后，在协商限定的时间内解决。如双方无法协商一致，采购人有权退回设备并要求中标人退回合同款项，中标人应赔偿由此造成采购人的一切损失。</w:t>
            </w:r>
          </w:p>
        </w:tc>
      </w:tr>
      <w:tr>
        <w:tc>
          <w:tcPr>
            <w:tcW w:type="dxa" w:w="2076"/>
          </w:tcPr>
          <w:p/>
        </w:tc>
        <w:tc>
          <w:tcPr>
            <w:tcW w:type="dxa" w:w="2076"/>
          </w:tcPr>
          <w:p>
            <w:pPr>
              <w:pStyle w:val="null3"/>
              <w:jc w:val="center"/>
            </w:pPr>
            <w:r>
              <w:rPr/>
              <w:t>8</w:t>
            </w:r>
          </w:p>
        </w:tc>
        <w:tc>
          <w:tcPr>
            <w:tcW w:type="dxa" w:w="2076"/>
          </w:tcPr>
          <w:p>
            <w:pPr>
              <w:pStyle w:val="null3"/>
              <w:jc w:val="left"/>
            </w:pPr>
            <w:r>
              <w:rPr/>
              <w:t>备注</w:t>
            </w:r>
          </w:p>
        </w:tc>
        <w:tc>
          <w:tcPr>
            <w:tcW w:type="dxa" w:w="2076"/>
          </w:tcPr>
          <w:p>
            <w:pPr>
              <w:pStyle w:val="null3"/>
              <w:jc w:val="left"/>
            </w:pPr>
            <w:r>
              <w:rPr/>
              <w:t>以上商务需求，如技术要求中有特别要求的则以技术要求中的为准。</w:t>
            </w:r>
          </w:p>
        </w:tc>
      </w:tr>
      <w:tr>
        <w:tc>
          <w:tcPr>
            <w:tcW w:type="dxa" w:w="2076"/>
          </w:tcPr>
          <w:p/>
        </w:tc>
        <w:tc>
          <w:tcPr>
            <w:tcW w:type="dxa" w:w="2076"/>
          </w:tcPr>
          <w:p>
            <w:pPr>
              <w:pStyle w:val="null3"/>
              <w:jc w:val="center"/>
            </w:pPr>
            <w:r>
              <w:rPr/>
              <w:t>9</w:t>
            </w:r>
          </w:p>
        </w:tc>
        <w:tc>
          <w:tcPr>
            <w:tcW w:type="dxa" w:w="2076"/>
          </w:tcPr>
          <w:p>
            <w:pPr>
              <w:pStyle w:val="null3"/>
              <w:jc w:val="left"/>
            </w:pPr>
            <w:r>
              <w:rPr/>
              <w:t>培训方案</w:t>
            </w:r>
          </w:p>
        </w:tc>
        <w:tc>
          <w:tcPr>
            <w:tcW w:type="dxa" w:w="2076"/>
          </w:tcPr>
          <w:p>
            <w:pPr>
              <w:pStyle w:val="null3"/>
              <w:jc w:val="left"/>
            </w:pPr>
            <w:r>
              <w:rPr/>
              <w:t>厂家提供现场安装培训服务</w:t>
            </w:r>
          </w:p>
        </w:tc>
      </w:tr>
      <w:tr>
        <w:tc>
          <w:tcPr>
            <w:tcW w:type="dxa" w:w="2076"/>
          </w:tcPr>
          <w:p/>
        </w:tc>
        <w:tc>
          <w:tcPr>
            <w:tcW w:type="dxa" w:w="2076"/>
          </w:tcPr>
          <w:p>
            <w:pPr>
              <w:pStyle w:val="null3"/>
              <w:jc w:val="center"/>
            </w:pPr>
            <w:r>
              <w:rPr/>
              <w:t>10</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11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病房护理及医院设备</w:t>
            </w:r>
          </w:p>
        </w:tc>
        <w:tc>
          <w:tcPr>
            <w:tcW w:type="dxa" w:w="831"/>
          </w:tcPr>
          <w:p>
            <w:pPr>
              <w:pStyle w:val="null3"/>
              <w:jc w:val="left"/>
            </w:pPr>
            <w:r>
              <w:rPr/>
              <w:t>早产儿暖箱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250,000.00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早产儿暖箱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1主要功能要求 1.1培养箱控温方式（包含但不限于）：箱温和肤温两种温度控制；</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1.2▲培养+急救二合一，一键快速切换婴儿培养箱和辐射保暖台模式；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1.3▲辐射台加热罩采用高抛物线圆弧反射，热量均匀稳定，材质为碳钢加热管，受热不易碎裂，使用寿命长；</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1.4▲具备脚踏式电动开盖箱蓬，暖箱罩盖电动升降开启功能；</w:t>
            </w:r>
          </w:p>
        </w:tc>
      </w:tr>
      <w:tr>
        <w:tc>
          <w:tcPr>
            <w:tcW w:type="dxa" w:w="2076"/>
          </w:tcPr>
          <w:p/>
        </w:tc>
        <w:tc>
          <w:tcPr>
            <w:tcW w:type="dxa" w:w="415"/>
          </w:tcPr>
          <w:p>
            <w:pPr>
              <w:pStyle w:val="null3"/>
            </w:pPr>
            <w:r>
              <w:rPr/>
              <w:t>5</w:t>
            </w:r>
          </w:p>
        </w:tc>
        <w:tc>
          <w:tcPr>
            <w:tcW w:type="dxa" w:w="5814"/>
          </w:tcPr>
          <w:p>
            <w:pPr>
              <w:pStyle w:val="null3"/>
            </w:pPr>
            <w:r>
              <w:rPr/>
              <w:t>1.5具有转换错误报警功能；</w:t>
            </w:r>
          </w:p>
        </w:tc>
      </w:tr>
      <w:tr>
        <w:tc>
          <w:tcPr>
            <w:tcW w:type="dxa" w:w="2076"/>
          </w:tcPr>
          <w:p/>
        </w:tc>
        <w:tc>
          <w:tcPr>
            <w:tcW w:type="dxa" w:w="415"/>
          </w:tcPr>
          <w:p>
            <w:pPr>
              <w:pStyle w:val="null3"/>
            </w:pPr>
            <w:r>
              <w:rPr/>
              <w:t>6</w:t>
            </w:r>
          </w:p>
        </w:tc>
        <w:tc>
          <w:tcPr>
            <w:tcW w:type="dxa" w:w="5814"/>
          </w:tcPr>
          <w:p>
            <w:pPr>
              <w:pStyle w:val="null3"/>
            </w:pPr>
            <w:r>
              <w:rPr/>
              <w:t>1.6彩色液晶显示；</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1.7▲360°双向旋转婴儿床，医护人员可以对新生儿进行全方位的观察、护理；</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1.8▲床体具备至少4个孔位，放置束线臂；</w:t>
            </w:r>
          </w:p>
        </w:tc>
      </w:tr>
      <w:tr>
        <w:tc>
          <w:tcPr>
            <w:tcW w:type="dxa" w:w="2076"/>
          </w:tcPr>
          <w:p/>
        </w:tc>
        <w:tc>
          <w:tcPr>
            <w:tcW w:type="dxa" w:w="415"/>
          </w:tcPr>
          <w:p>
            <w:pPr>
              <w:pStyle w:val="null3"/>
            </w:pPr>
            <w:r>
              <w:rPr/>
              <w:t>9</w:t>
            </w:r>
          </w:p>
        </w:tc>
        <w:tc>
          <w:tcPr>
            <w:tcW w:type="dxa" w:w="5814"/>
          </w:tcPr>
          <w:p>
            <w:pPr>
              <w:pStyle w:val="null3"/>
            </w:pPr>
            <w:r>
              <w:rPr/>
              <w:t>1.9燕尾型立柱导轨；</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1.10▲垂直风帘，前后出风，左右回风空气循环系统，双层门板；</w:t>
            </w:r>
          </w:p>
        </w:tc>
      </w:tr>
      <w:tr>
        <w:tc>
          <w:tcPr>
            <w:tcW w:type="dxa" w:w="2076"/>
          </w:tcPr>
          <w:p/>
        </w:tc>
        <w:tc>
          <w:tcPr>
            <w:tcW w:type="dxa" w:w="415"/>
          </w:tcPr>
          <w:p>
            <w:pPr>
              <w:pStyle w:val="null3"/>
            </w:pPr>
            <w:r>
              <w:rPr/>
              <w:t>11</w:t>
            </w:r>
          </w:p>
        </w:tc>
        <w:tc>
          <w:tcPr>
            <w:tcW w:type="dxa" w:w="5814"/>
          </w:tcPr>
          <w:p>
            <w:pPr>
              <w:pStyle w:val="null3"/>
            </w:pPr>
            <w:r>
              <w:rPr/>
              <w:t>1.11婴儿床下可放置X光射线拍片盒，无需移动新生儿；</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1.12▲前置透明水箱，便于观察水位，医护人员可徒手轻松拆卸，提供便捷的清洁操作；</w:t>
            </w:r>
          </w:p>
        </w:tc>
      </w:tr>
      <w:tr>
        <w:tc>
          <w:tcPr>
            <w:tcW w:type="dxa" w:w="2076"/>
          </w:tcPr>
          <w:p/>
        </w:tc>
        <w:tc>
          <w:tcPr>
            <w:tcW w:type="dxa" w:w="415"/>
          </w:tcPr>
          <w:p>
            <w:pPr>
              <w:pStyle w:val="null3"/>
            </w:pPr>
            <w:r>
              <w:rPr/>
              <w:t>13</w:t>
            </w:r>
          </w:p>
        </w:tc>
        <w:tc>
          <w:tcPr>
            <w:tcW w:type="dxa" w:w="5814"/>
          </w:tcPr>
          <w:p>
            <w:pPr>
              <w:pStyle w:val="null3"/>
            </w:pPr>
            <w:r>
              <w:rPr/>
              <w:t>1.13婴儿床倾斜角度无级可调功能；</w:t>
            </w:r>
          </w:p>
        </w:tc>
      </w:tr>
      <w:tr>
        <w:tc>
          <w:tcPr>
            <w:tcW w:type="dxa" w:w="2076"/>
          </w:tcPr>
          <w:p/>
        </w:tc>
        <w:tc>
          <w:tcPr>
            <w:tcW w:type="dxa" w:w="415"/>
          </w:tcPr>
          <w:p>
            <w:pPr>
              <w:pStyle w:val="null3"/>
            </w:pPr>
            <w:r>
              <w:rPr/>
              <w:t>14</w:t>
            </w:r>
          </w:p>
        </w:tc>
        <w:tc>
          <w:tcPr>
            <w:tcW w:type="dxa" w:w="5814"/>
          </w:tcPr>
          <w:p>
            <w:pPr>
              <w:pStyle w:val="null3"/>
            </w:pPr>
            <w:r>
              <w:rPr/>
              <w:t>1.14具有数据储存曲线显示功能；</w:t>
            </w:r>
          </w:p>
        </w:tc>
      </w:tr>
      <w:tr>
        <w:tc>
          <w:tcPr>
            <w:tcW w:type="dxa" w:w="2076"/>
          </w:tcPr>
          <w:p/>
        </w:tc>
        <w:tc>
          <w:tcPr>
            <w:tcW w:type="dxa" w:w="415"/>
          </w:tcPr>
          <w:p>
            <w:pPr>
              <w:pStyle w:val="null3"/>
            </w:pPr>
            <w:r>
              <w:rPr/>
              <w:t>15</w:t>
            </w:r>
          </w:p>
        </w:tc>
        <w:tc>
          <w:tcPr>
            <w:tcW w:type="dxa" w:w="5814"/>
          </w:tcPr>
          <w:p>
            <w:pPr>
              <w:pStyle w:val="null3"/>
            </w:pPr>
            <w:r>
              <w:rPr/>
              <w:t>1.15整机高度自由可调，满足不同身高医护人员的操作；</w:t>
            </w:r>
          </w:p>
        </w:tc>
      </w:tr>
      <w:tr>
        <w:tc>
          <w:tcPr>
            <w:tcW w:type="dxa" w:w="2076"/>
          </w:tcPr>
          <w:p/>
        </w:tc>
        <w:tc>
          <w:tcPr>
            <w:tcW w:type="dxa" w:w="415"/>
          </w:tcPr>
          <w:p>
            <w:pPr>
              <w:pStyle w:val="null3"/>
            </w:pPr>
            <w:r>
              <w:rPr/>
              <w:t>16</w:t>
            </w:r>
          </w:p>
        </w:tc>
        <w:tc>
          <w:tcPr>
            <w:tcW w:type="dxa" w:w="5814"/>
          </w:tcPr>
          <w:p>
            <w:pPr>
              <w:pStyle w:val="null3"/>
            </w:pPr>
            <w:r>
              <w:rPr/>
              <w:t>1.16挡板采用阻尼装置，无需手扶，静音落下；</w:t>
            </w:r>
          </w:p>
        </w:tc>
      </w:tr>
      <w:tr>
        <w:tc>
          <w:tcPr>
            <w:tcW w:type="dxa" w:w="2076"/>
          </w:tcPr>
          <w:p/>
        </w:tc>
        <w:tc>
          <w:tcPr>
            <w:tcW w:type="dxa" w:w="415"/>
          </w:tcPr>
          <w:p>
            <w:pPr>
              <w:pStyle w:val="null3"/>
            </w:pPr>
            <w:r>
              <w:rPr/>
              <w:t>17</w:t>
            </w:r>
          </w:p>
        </w:tc>
        <w:tc>
          <w:tcPr>
            <w:tcW w:type="dxa" w:w="5814"/>
          </w:tcPr>
          <w:p>
            <w:pPr>
              <w:pStyle w:val="null3"/>
            </w:pPr>
            <w:r>
              <w:rPr/>
              <w:t>1.17释压防水床垫，采用TPU材质，柔软、透气、抗菌，提高新生儿舒适度；</w:t>
            </w:r>
          </w:p>
        </w:tc>
      </w:tr>
      <w:tr>
        <w:tc>
          <w:tcPr>
            <w:tcW w:type="dxa" w:w="2076"/>
          </w:tcPr>
          <w:p/>
        </w:tc>
        <w:tc>
          <w:tcPr>
            <w:tcW w:type="dxa" w:w="415"/>
          </w:tcPr>
          <w:p>
            <w:pPr>
              <w:pStyle w:val="null3"/>
            </w:pPr>
            <w:r>
              <w:rPr/>
              <w:t>18</w:t>
            </w:r>
          </w:p>
        </w:tc>
        <w:tc>
          <w:tcPr>
            <w:tcW w:type="dxa" w:w="5814"/>
          </w:tcPr>
          <w:p>
            <w:pPr>
              <w:pStyle w:val="null3"/>
            </w:pPr>
            <w:r>
              <w:rPr/>
              <w:t>1.18方便新生儿的观察护理</w:t>
            </w:r>
          </w:p>
        </w:tc>
      </w:tr>
      <w:tr>
        <w:tc>
          <w:tcPr>
            <w:tcW w:type="dxa" w:w="2076"/>
          </w:tcPr>
          <w:p/>
        </w:tc>
        <w:tc>
          <w:tcPr>
            <w:tcW w:type="dxa" w:w="415"/>
          </w:tcPr>
          <w:p>
            <w:pPr>
              <w:pStyle w:val="null3"/>
            </w:pPr>
            <w:r>
              <w:rPr/>
              <w:t>19</w:t>
            </w:r>
          </w:p>
        </w:tc>
        <w:tc>
          <w:tcPr>
            <w:tcW w:type="dxa" w:w="5814"/>
          </w:tcPr>
          <w:p>
            <w:pPr>
              <w:pStyle w:val="null3"/>
            </w:pPr>
            <w:r>
              <w:rPr/>
              <w:t>1.19产品具有自检功能，多种故障报警提示；</w:t>
            </w:r>
          </w:p>
        </w:tc>
      </w:tr>
      <w:tr>
        <w:tc>
          <w:tcPr>
            <w:tcW w:type="dxa" w:w="2076"/>
          </w:tcPr>
          <w:p/>
        </w:tc>
        <w:tc>
          <w:tcPr>
            <w:tcW w:type="dxa" w:w="415"/>
          </w:tcPr>
          <w:p>
            <w:pPr>
              <w:pStyle w:val="null3"/>
            </w:pPr>
            <w:r>
              <w:rPr/>
              <w:t>20</w:t>
            </w:r>
          </w:p>
        </w:tc>
        <w:tc>
          <w:tcPr>
            <w:tcW w:type="dxa" w:w="5814"/>
          </w:tcPr>
          <w:p>
            <w:pPr>
              <w:pStyle w:val="null3"/>
            </w:pPr>
            <w:r>
              <w:rPr/>
              <w:t>1.20具有RS-232接口；</w:t>
            </w:r>
          </w:p>
        </w:tc>
      </w:tr>
      <w:tr>
        <w:tc>
          <w:tcPr>
            <w:tcW w:type="dxa" w:w="2076"/>
          </w:tcPr>
          <w:p/>
        </w:tc>
        <w:tc>
          <w:tcPr>
            <w:tcW w:type="dxa" w:w="415"/>
          </w:tcPr>
          <w:p>
            <w:pPr>
              <w:pStyle w:val="null3"/>
            </w:pPr>
            <w:r>
              <w:rPr/>
              <w:t>21</w:t>
            </w:r>
          </w:p>
        </w:tc>
        <w:tc>
          <w:tcPr>
            <w:tcW w:type="dxa" w:w="5814"/>
          </w:tcPr>
          <w:p>
            <w:pPr>
              <w:pStyle w:val="null3"/>
            </w:pPr>
            <w:r>
              <w:rPr/>
              <w:t>1.21APGAR评分计时：运行至50″～1′、4′50″～5′、9′50″～10′时发出声光提示；</w:t>
            </w:r>
          </w:p>
        </w:tc>
      </w:tr>
      <w:tr>
        <w:tc>
          <w:tcPr>
            <w:tcW w:type="dxa" w:w="2076"/>
          </w:tcPr>
          <w:p/>
        </w:tc>
        <w:tc>
          <w:tcPr>
            <w:tcW w:type="dxa" w:w="415"/>
          </w:tcPr>
          <w:p>
            <w:pPr>
              <w:pStyle w:val="null3"/>
            </w:pPr>
            <w:r>
              <w:rPr/>
              <w:t>22</w:t>
            </w:r>
          </w:p>
        </w:tc>
        <w:tc>
          <w:tcPr>
            <w:tcW w:type="dxa" w:w="5814"/>
          </w:tcPr>
          <w:p>
            <w:pPr>
              <w:pStyle w:val="null3"/>
            </w:pPr>
            <w:r>
              <w:rPr/>
              <w:t>1.22故障报警：断电、风机、传感器、偏差、箱蓬、超温、水箱放置错误、缺水、设置、检查和系统等；</w:t>
            </w:r>
          </w:p>
        </w:tc>
      </w:tr>
      <w:tr>
        <w:tc>
          <w:tcPr>
            <w:tcW w:type="dxa" w:w="2076"/>
          </w:tcPr>
          <w:p/>
        </w:tc>
        <w:tc>
          <w:tcPr>
            <w:tcW w:type="dxa" w:w="415"/>
          </w:tcPr>
          <w:p>
            <w:pPr>
              <w:pStyle w:val="null3"/>
            </w:pPr>
            <w:r>
              <w:rPr/>
              <w:t>23</w:t>
            </w:r>
          </w:p>
        </w:tc>
        <w:tc>
          <w:tcPr>
            <w:tcW w:type="dxa" w:w="5814"/>
          </w:tcPr>
          <w:p>
            <w:pPr>
              <w:pStyle w:val="null3"/>
            </w:pPr>
            <w:r>
              <w:rPr/>
              <w:t>2产品参数要求 2.1输入功率: ≤1300VA；</w:t>
            </w:r>
          </w:p>
        </w:tc>
      </w:tr>
      <w:tr>
        <w:tc>
          <w:tcPr>
            <w:tcW w:type="dxa" w:w="2076"/>
          </w:tcPr>
          <w:p/>
        </w:tc>
        <w:tc>
          <w:tcPr>
            <w:tcW w:type="dxa" w:w="415"/>
          </w:tcPr>
          <w:p>
            <w:pPr>
              <w:pStyle w:val="null3"/>
            </w:pPr>
            <w:r>
              <w:rPr/>
              <w:t>24</w:t>
            </w:r>
          </w:p>
        </w:tc>
        <w:tc>
          <w:tcPr>
            <w:tcW w:type="dxa" w:w="5814"/>
          </w:tcPr>
          <w:p>
            <w:pPr>
              <w:pStyle w:val="null3"/>
            </w:pPr>
            <w:r>
              <w:rPr/>
              <w:t>2.2产品使用期限≥10年；</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2.3▲箱温控制范围: 25℃～39℃；</w:t>
            </w:r>
          </w:p>
        </w:tc>
      </w:tr>
      <w:tr>
        <w:tc>
          <w:tcPr>
            <w:tcW w:type="dxa" w:w="2076"/>
          </w:tcPr>
          <w:p/>
        </w:tc>
        <w:tc>
          <w:tcPr>
            <w:tcW w:type="dxa" w:w="415"/>
          </w:tcPr>
          <w:p>
            <w:pPr>
              <w:pStyle w:val="null3"/>
            </w:pPr>
            <w:r>
              <w:rPr/>
              <w:t>26</w:t>
            </w:r>
          </w:p>
        </w:tc>
        <w:tc>
          <w:tcPr>
            <w:tcW w:type="dxa" w:w="5814"/>
          </w:tcPr>
          <w:p>
            <w:pPr>
              <w:pStyle w:val="null3"/>
            </w:pPr>
            <w:r>
              <w:rPr/>
              <w:t>2.4皮肤温度控制范围: 34℃～38℃；</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2.5▲箱温和肤温显示温度范围: 5～65℃；</w:t>
            </w:r>
          </w:p>
        </w:tc>
      </w:tr>
      <w:tr>
        <w:tc>
          <w:tcPr>
            <w:tcW w:type="dxa" w:w="2076"/>
          </w:tcPr>
          <w:p/>
        </w:tc>
        <w:tc>
          <w:tcPr>
            <w:tcW w:type="dxa" w:w="415"/>
          </w:tcPr>
          <w:p>
            <w:pPr>
              <w:pStyle w:val="null3"/>
            </w:pPr>
            <w:r>
              <w:rPr/>
              <w:t>28</w:t>
            </w:r>
          </w:p>
        </w:tc>
        <w:tc>
          <w:tcPr>
            <w:tcW w:type="dxa" w:w="5814"/>
          </w:tcPr>
          <w:p>
            <w:pPr>
              <w:pStyle w:val="null3"/>
            </w:pPr>
            <w:r>
              <w:rPr/>
              <w:t>2.6升温时间: ≤40min；</w:t>
            </w:r>
          </w:p>
        </w:tc>
      </w:tr>
      <w:tr>
        <w:tc>
          <w:tcPr>
            <w:tcW w:type="dxa" w:w="2076"/>
          </w:tcPr>
          <w:p/>
        </w:tc>
        <w:tc>
          <w:tcPr>
            <w:tcW w:type="dxa" w:w="415"/>
          </w:tcPr>
          <w:p>
            <w:pPr>
              <w:pStyle w:val="null3"/>
            </w:pPr>
            <w:r>
              <w:rPr/>
              <w:t>29</w:t>
            </w:r>
          </w:p>
        </w:tc>
        <w:tc>
          <w:tcPr>
            <w:tcW w:type="dxa" w:w="5814"/>
          </w:tcPr>
          <w:p>
            <w:pPr>
              <w:pStyle w:val="null3"/>
            </w:pPr>
            <w:r>
              <w:rPr/>
              <w:t>2.7培养箱温度与平均培养箱温度之差: ≤0.5℃；</w:t>
            </w:r>
          </w:p>
        </w:tc>
      </w:tr>
      <w:tr>
        <w:tc>
          <w:tcPr>
            <w:tcW w:type="dxa" w:w="2076"/>
          </w:tcPr>
          <w:p/>
        </w:tc>
        <w:tc>
          <w:tcPr>
            <w:tcW w:type="dxa" w:w="415"/>
          </w:tcPr>
          <w:p>
            <w:pPr>
              <w:pStyle w:val="null3"/>
            </w:pPr>
            <w:r>
              <w:rPr/>
              <w:t>30</w:t>
            </w:r>
          </w:p>
        </w:tc>
        <w:tc>
          <w:tcPr>
            <w:tcW w:type="dxa" w:w="5814"/>
          </w:tcPr>
          <w:p>
            <w:pPr>
              <w:pStyle w:val="null3"/>
            </w:pPr>
            <w:r>
              <w:rPr/>
              <w:t>2.8平均培养箱温度与控制温度之差: ≤1.0℃；；</w:t>
            </w:r>
          </w:p>
        </w:tc>
      </w:tr>
      <w:tr>
        <w:tc>
          <w:tcPr>
            <w:tcW w:type="dxa" w:w="2076"/>
          </w:tcPr>
          <w:p/>
        </w:tc>
        <w:tc>
          <w:tcPr>
            <w:tcW w:type="dxa" w:w="415"/>
          </w:tcPr>
          <w:p>
            <w:pPr>
              <w:pStyle w:val="null3"/>
            </w:pPr>
            <w:r>
              <w:rPr/>
              <w:t>31</w:t>
            </w:r>
          </w:p>
        </w:tc>
        <w:tc>
          <w:tcPr>
            <w:tcW w:type="dxa" w:w="5814"/>
          </w:tcPr>
          <w:p>
            <w:pPr>
              <w:pStyle w:val="null3"/>
            </w:pPr>
            <w:r>
              <w:rPr/>
              <w:t>2.9温度均匀性(床垫处于倾斜位置): ≤1.0℃，温度均匀性(床垫处于水平位置): ≤0.8；</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2.10▲皮肤温度传感器精度: ±0.2℃内；</w:t>
            </w:r>
          </w:p>
        </w:tc>
      </w:tr>
      <w:tr>
        <w:tc>
          <w:tcPr>
            <w:tcW w:type="dxa" w:w="2076"/>
          </w:tcPr>
          <w:p/>
        </w:tc>
        <w:tc>
          <w:tcPr>
            <w:tcW w:type="dxa" w:w="415"/>
          </w:tcPr>
          <w:p>
            <w:pPr>
              <w:pStyle w:val="null3"/>
            </w:pPr>
            <w:r>
              <w:rPr/>
              <w:t>33</w:t>
            </w:r>
          </w:p>
        </w:tc>
        <w:tc>
          <w:tcPr>
            <w:tcW w:type="dxa" w:w="5814"/>
          </w:tcPr>
          <w:p>
            <w:pPr>
              <w:pStyle w:val="null3"/>
            </w:pPr>
            <w:r>
              <w:rPr/>
              <w:t>2.11婴儿床倾斜角度: 无级可调；</w:t>
            </w:r>
          </w:p>
        </w:tc>
      </w:tr>
      <w:tr>
        <w:tc>
          <w:tcPr>
            <w:tcW w:type="dxa" w:w="2076"/>
          </w:tcPr>
          <w:p/>
        </w:tc>
        <w:tc>
          <w:tcPr>
            <w:tcW w:type="dxa" w:w="415"/>
          </w:tcPr>
          <w:p>
            <w:pPr>
              <w:pStyle w:val="null3"/>
            </w:pPr>
            <w:r>
              <w:rPr/>
              <w:t>34</w:t>
            </w:r>
          </w:p>
        </w:tc>
        <w:tc>
          <w:tcPr>
            <w:tcW w:type="dxa" w:w="5814"/>
          </w:tcPr>
          <w:p>
            <w:pPr>
              <w:pStyle w:val="null3"/>
            </w:pPr>
            <w:r>
              <w:rPr/>
              <w:t>2.12婴儿舱内噪声: ≤50dB（A）；</w:t>
            </w:r>
          </w:p>
        </w:tc>
      </w:tr>
      <w:tr>
        <w:tc>
          <w:tcPr>
            <w:tcW w:type="dxa" w:w="2076"/>
          </w:tcPr>
          <w:p/>
        </w:tc>
        <w:tc>
          <w:tcPr>
            <w:tcW w:type="dxa" w:w="415"/>
          </w:tcPr>
          <w:p>
            <w:pPr>
              <w:pStyle w:val="null3"/>
            </w:pPr>
            <w:r>
              <w:rPr/>
              <w:t>35</w:t>
            </w:r>
          </w:p>
        </w:tc>
        <w:tc>
          <w:tcPr>
            <w:tcW w:type="dxa" w:w="5814"/>
          </w:tcPr>
          <w:p>
            <w:pPr>
              <w:pStyle w:val="null3"/>
            </w:pPr>
            <w:r>
              <w:rPr/>
              <w:t>2.13湿度显示范围: 0%RH～99%RH，湿度控制范围: 0%RH～90%RH；</w:t>
            </w:r>
          </w:p>
        </w:tc>
      </w:tr>
      <w:tr>
        <w:tc>
          <w:tcPr>
            <w:tcW w:type="dxa" w:w="2076"/>
          </w:tcPr>
          <w:p/>
        </w:tc>
        <w:tc>
          <w:tcPr>
            <w:tcW w:type="dxa" w:w="415"/>
          </w:tcPr>
          <w:p>
            <w:pPr>
              <w:pStyle w:val="null3"/>
            </w:pPr>
            <w:r>
              <w:rPr/>
              <w:t>36</w:t>
            </w:r>
          </w:p>
        </w:tc>
        <w:tc>
          <w:tcPr>
            <w:tcW w:type="dxa" w:w="5814"/>
          </w:tcPr>
          <w:p>
            <w:pPr>
              <w:pStyle w:val="null3"/>
            </w:pPr>
            <w:r>
              <w:rPr/>
              <w:t>2.14湿度控制精度: ±5%RH内，湿度显示精度: ±5%RH内；</w:t>
            </w:r>
          </w:p>
        </w:tc>
      </w:tr>
      <w:tr>
        <w:tc>
          <w:tcPr>
            <w:tcW w:type="dxa" w:w="2076"/>
          </w:tcPr>
          <w:p/>
        </w:tc>
        <w:tc>
          <w:tcPr>
            <w:tcW w:type="dxa" w:w="415"/>
          </w:tcPr>
          <w:p>
            <w:pPr>
              <w:pStyle w:val="null3"/>
            </w:pPr>
            <w:r>
              <w:rPr/>
              <w:t>37</w:t>
            </w:r>
          </w:p>
        </w:tc>
        <w:tc>
          <w:tcPr>
            <w:tcW w:type="dxa" w:w="5814"/>
          </w:tcPr>
          <w:p>
            <w:pPr>
              <w:pStyle w:val="null3"/>
            </w:pPr>
            <w:r>
              <w:rPr/>
              <w:t>2.15氧浓度显示范围: 0%～99%O₂，氧浓度设定范围: 20%～60%O₂；</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2.16▲氧浓度显示精度: ±2%O2（设置值为25%及以下）,±3%O2（设置值为25%以上）；</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2.17▲氧浓度控制精度: ±4%O2 体积浓度内；</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2.18▲称重装置，重量显示范围：100g~8000g，测量精度：±10g；连续监测体重趋势变化；</w:t>
            </w:r>
          </w:p>
        </w:tc>
      </w:tr>
      <w:tr>
        <w:tc>
          <w:tcPr>
            <w:tcW w:type="dxa" w:w="2076"/>
          </w:tcPr>
          <w:p/>
        </w:tc>
        <w:tc>
          <w:tcPr>
            <w:tcW w:type="dxa" w:w="415"/>
          </w:tcPr>
          <w:p>
            <w:pPr>
              <w:pStyle w:val="null3"/>
            </w:pPr>
            <w:r>
              <w:rPr/>
              <w:t>41</w:t>
            </w:r>
          </w:p>
        </w:tc>
        <w:tc>
          <w:tcPr>
            <w:tcW w:type="dxa" w:w="5814"/>
          </w:tcPr>
          <w:p>
            <w:pPr>
              <w:pStyle w:val="null3"/>
            </w:pPr>
            <w:r>
              <w:rPr/>
              <w:t>2.19保暖台控温方式（包含但不限于）：预热、手控、肤温控制；</w:t>
            </w:r>
          </w:p>
        </w:tc>
      </w:tr>
      <w:tr>
        <w:tc>
          <w:tcPr>
            <w:tcW w:type="dxa" w:w="2076"/>
          </w:tcPr>
          <w:p/>
        </w:tc>
        <w:tc>
          <w:tcPr>
            <w:tcW w:type="dxa" w:w="415"/>
          </w:tcPr>
          <w:p>
            <w:pPr>
              <w:pStyle w:val="null3"/>
            </w:pPr>
            <w:r>
              <w:rPr/>
              <w:t>42</w:t>
            </w:r>
          </w:p>
        </w:tc>
        <w:tc>
          <w:tcPr>
            <w:tcW w:type="dxa" w:w="5814"/>
          </w:tcPr>
          <w:p>
            <w:pPr>
              <w:pStyle w:val="null3"/>
            </w:pPr>
            <w:r>
              <w:rPr/>
              <w:t>2.20肤温控温范围：32℃～37.5℃；</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2.21▲肤温显示范围：5℃～65℃；</w:t>
            </w:r>
          </w:p>
        </w:tc>
      </w:tr>
      <w:tr>
        <w:tc>
          <w:tcPr>
            <w:tcW w:type="dxa" w:w="2076"/>
          </w:tcPr>
          <w:p/>
        </w:tc>
        <w:tc>
          <w:tcPr>
            <w:tcW w:type="dxa" w:w="415"/>
          </w:tcPr>
          <w:p>
            <w:pPr>
              <w:pStyle w:val="null3"/>
            </w:pPr>
            <w:r>
              <w:rPr/>
              <w:t>44</w:t>
            </w:r>
          </w:p>
        </w:tc>
        <w:tc>
          <w:tcPr>
            <w:tcW w:type="dxa" w:w="5814"/>
          </w:tcPr>
          <w:p>
            <w:pPr>
              <w:pStyle w:val="null3"/>
            </w:pPr>
            <w:r>
              <w:rPr/>
              <w:t>2.22控温精度：≤0.5℃，床面温度均匀性：≤2℃。</w:t>
            </w:r>
          </w:p>
        </w:tc>
      </w:tr>
      <w:tr>
        <w:tc>
          <w:tcPr>
            <w:tcW w:type="dxa" w:w="2076"/>
          </w:tcPr>
          <w:p/>
        </w:tc>
        <w:tc>
          <w:tcPr>
            <w:tcW w:type="dxa" w:w="415"/>
          </w:tcPr>
          <w:p>
            <w:pPr>
              <w:pStyle w:val="null3"/>
            </w:pPr>
            <w:r>
              <w:rPr/>
              <w:t>45</w:t>
            </w:r>
          </w:p>
        </w:tc>
        <w:tc>
          <w:tcPr>
            <w:tcW w:type="dxa" w:w="5814"/>
          </w:tcPr>
          <w:p>
            <w:pPr>
              <w:pStyle w:val="null3"/>
            </w:pPr>
            <w:r>
              <w:rPr>
                <w:sz w:val="21"/>
              </w:rPr>
              <w:t>3.</w:t>
            </w:r>
            <w:r>
              <w:rPr/>
              <w:t>配置清单（</w:t>
            </w:r>
            <w:r>
              <w:rPr>
                <w:sz w:val="20"/>
                <w:color w:val="000000"/>
              </w:rPr>
              <w:t>不低于以下配置清单</w:t>
            </w:r>
            <w:r>
              <w:rPr/>
              <w:t>）</w:t>
            </w:r>
          </w:p>
          <w:tbl>
            <w:tblPr>
              <w:tblBorders>
                <w:top w:val="none" w:color="000000" w:sz="4"/>
                <w:left w:val="none" w:color="000000" w:sz="4"/>
                <w:bottom w:val="none" w:color="000000" w:sz="4"/>
                <w:right w:val="none" w:color="000000" w:sz="4"/>
                <w:insideH w:val="none"/>
                <w:insideV w:val="none"/>
              </w:tblBorders>
            </w:tblPr>
            <w:tblGrid>
              <w:gridCol w:w="774"/>
              <w:gridCol w:w="3836"/>
              <w:gridCol w:w="987"/>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序号</w:t>
                  </w:r>
                </w:p>
              </w:tc>
              <w:tc>
                <w:tcPr>
                  <w:tcW w:type="dxa" w:w="383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部</w:t>
                  </w:r>
                  <w:r>
                    <w:rPr>
                      <w:sz w:val="21"/>
                      <w:color w:val="000000"/>
                    </w:rPr>
                    <w:t>件</w:t>
                  </w:r>
                  <w:r>
                    <w:rPr>
                      <w:sz w:val="21"/>
                      <w:color w:val="000000"/>
                    </w:rPr>
                    <w:t>名</w:t>
                  </w:r>
                  <w:r>
                    <w:rPr>
                      <w:sz w:val="21"/>
                      <w:color w:val="000000"/>
                    </w:rPr>
                    <w:t>称</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数</w:t>
                  </w:r>
                  <w:r>
                    <w:rPr>
                      <w:sz w:val="21"/>
                      <w:color w:val="000000"/>
                    </w:rPr>
                    <w:t>量</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主机整机</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1台</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称重装置</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输液架</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托盘</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束线臂</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输氧管</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7</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监护托盘</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1条</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8</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皮肤温度传感器</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9</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单患者使用皮肤温度传感器</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10</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空气过滤材料</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11</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氧浓度校准装置</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12</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暖箱罩</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13</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检查灯</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14</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使用说明书、合格证、保修卡</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1个</w:t>
                  </w:r>
                </w:p>
              </w:tc>
            </w:tr>
          </w:tbl>
          <w:p/>
        </w:tc>
      </w:tr>
      <w:tr>
        <w:tc>
          <w:tcPr>
            <w:tcW w:type="dxa" w:w="2076"/>
          </w:tcPr>
          <w:p>
            <w:pPr>
              <w:pStyle w:val="null3"/>
            </w:pPr>
            <w:r>
              <w:rPr/>
              <w:t>★</w:t>
            </w:r>
          </w:p>
        </w:tc>
        <w:tc>
          <w:tcPr>
            <w:tcW w:type="dxa" w:w="415"/>
          </w:tcPr>
          <w:p>
            <w:pPr>
              <w:pStyle w:val="null3"/>
            </w:pPr>
            <w:r>
              <w:rPr/>
              <w:t>46</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采购包3（亚低温治疗仪）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合同签订后30天内交货。</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1期：支付比例100%,合同设备全部完成安装调试并验收合格后的次月内，由采购人向中标人支付合同总金额的100%； 因采购人使用的是财政性资金，采购人在前款规定的付款时间为向政府支付部门提出办理财政支付申请手续的时间（不含政府财政支付部门审核的时间），在规定时间内提出支付申请手续后即视为采购人已经按期支付。如中标人迟延开具发票，采购人有权迟延付款，不视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1期：1、到货验收 1.1 中标人应保证所供设备：如属于国产设备的，应是6个月内生产的；如属于进口设备的，应是12个月内生产的（从设备铭牌的生产日期起，计算至设备运至采购人指定地点的日期止）。 1.2 中标人应在设备运至采购人指定地点前3个自然日通知采购人设备主管部门相关人员，且设备到达时，中标人应委派代表到达采购人现场进行交接，否则采购人有权不予接收，中标人承担由此发生的一切损失和费用。 1.3 中标人确保设备在安装验收前有良好的防护措施（包括但不仅限于设备包装应适应远距离运输，以及设备到达前和到达后的防湿、防锈、防潮、防雨、防腐、防震、防碰撞及防野蛮装卸，采购人和中标人双方相关人员应尽义务提醒等）。 1.4 设备到货时采购人和中标人双方共同对设备进行开箱清点检查验收，如果发现短缺、损坏，或与合同约定的品牌、规格型号不符，或存在质量、技术等问题，中标人应及时安排更换，按照采购人的要求，采取补足、更换或退货等处理措施，以保证在本合同约定交付期内成功完成合同设备安装调试。 1.5 设备到货验收，仅代表采购人设备接收，完成的标志为：采购人和中标人双方代表在送货单上签字确认。在完成项目验收前，采购人不负有设备完好保障的单方面责任。 2、总体验收 2.1 合同所指的设备及其服务应符合合同以及合同相关有效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如果没有国家标准、行业标准及设备来源国适用的官方标准的，按照通常标准或者符合合同目的的特定标准履行。 2.2 对于国家强检设备，应由计量技术监督局指定部门进行检测且检测结果作为验收条件之一。 2.3 对于国家有计量技术规范要求的设备，应在相关部门进行检测且检测结果作为验收条件之一。 2.4 中标人提供的医疗设备必须开放数据接口，费用已包含在投标报价内，如设备需接入采购人院方系统的，原则上应当在验收前由中标人负责接入院方系统，如院方暂时不具备接入条件的，可以先行验收，具体接入时间以院方通知为准，具体接入实施工作由中标人负责，相关费用已包含在投标报价中，采购人不再另行支付其他任何费用。 2.5 合同设备安装调试完成，设备正常运行满7天后，采购人7日内组织履约验收。设备验收应在采购人和中标人双方共同参加下进行验收，在符合中华人民共和国相关技术标准的基础上，根据合同设备的技术标准进行技术验收，验收合格后，采购人相关人员在采购人《广州市南沙区妇幼保健院医疗设备安装验收及操作培训报告》上签字确认。中标人如有相关验收报告等文书要求的，采购人应予以配合签署，并作为验收材料之一。 2.6 验收按国家有关的规定、规范进行。验收时如发现所交付的设备有短装、次品、损坏或其它不符合本合同规定之情形者，应在《广州市南沙区妇幼保健院医疗设备安装验收及操作培训报告》作出详尽的现场记录，并由双方签字确认，作为补充、缺失和更换损坏部件的有效证据。由此产生的有关费用由中标人承担，如因此给采购人造成损失的，中标人应予赔偿，并承担由此发生的一切损失和费用。 2.7 验收前，中标人如未能提供应有的合同书中“3.2伴随资料”、“3.3伴随服务”的，则采购人有权推迟验收直至中标人补齐，期间发生的损失由中标人承担。若中标人无法补充完整或者提供的文件内容不属实的，则采购人有权拒收设备，已接收的，采购人则有权退回中标人，由此产生的损失由中标人承担。不影响项目进展、完整性的内容，及按项目进展需投入使用后方能提供的、符合法定程序的及其它合理的特殊伴随内容除外，但需备注说明。 2.8 中标人保证合同项下提供的设备不侵犯任何第三方的专利、商标或版权等知识产权。若因第三方主张知识产权或其他权利的侵权赔偿，导致采购人无法正常使用合同设备或造成采购人损失的，中标人应向采购人赔偿损失，赔偿范围包括但不限于：第三方主张的全部侵权赔偿、采购人正常使用合同设备后可以获得的利益、购置新的设备所产生的费用、诉讼费、律师费、公证费等所有费用支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必须包括但不限于设备设计、制造、包装、仓储、运输、装卸、安装、调试、培训、验收、项目实施相关财产和人员的保险、伴随的资料和服务、质保期保障（含质保期间维修配件和保养耗件的所有费用）、国家强检设备的初次检测费用等全部内容的所有含税费用，及合同履行过程中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交货要求1</w:t>
            </w:r>
          </w:p>
        </w:tc>
        <w:tc>
          <w:tcPr>
            <w:tcW w:type="dxa" w:w="2076"/>
          </w:tcPr>
          <w:p>
            <w:pPr>
              <w:pStyle w:val="null3"/>
              <w:jc w:val="left"/>
            </w:pPr>
            <w:r>
              <w:rPr/>
              <w:t>1、中标人应提供原装、全新的、符合质量标准的货物，不得以旧货翻新充数，并按有关要求进行包装及装运。 2、属进口产品的，如能办理进口免税的，手续由采购人协助办理，办理免税手续相关费用由中标人承担。 3、进口产品必须提供原产地证明和海关通关证明等合法进货渠道全套单证，中国境内制造的产品必须提供出厂合格证。 4、中标人应将所提供货物的装箱清单、用户手册、原厂保修卡、随机资料及配件、随机工具等交付给采购人；中标人不能完整交付货物及本款规定的单证和工具的，视为未按合同约定供货，中标人必须负责补齐，因此导致逾期交付的，由中标人承担相关的违约责任。 5、如中标设备属于国家强制计量或检定的设备，则中标人须提供国家计量或检定机关所出具的合格证书，采购人可协助中标人联系有关部门进行检测，但相关检测费用由中标人承担。 6、如中标设备非国家强制计量或检定的设备，但属于国家相关计量技术规范中要求或建议计量或检定的设备，则中标人也必须提供国家计量或检定机关所出具的合格证书，采购人可协助中标人联系有关部门进行检测，但相关检测费用由中标人承担。 7、中标人应按采购人要求提供设备完整的相关资料文件，包括但不限于设备的注册/许可文件、制造商出厂合格证明、检验检测报告、境外产品报关文书等资质及质量保证文书，能保证设备正确进行安装、调试、应用操作、维修、维护、测试、运行的产品设计图纸、使用说明书、维修手册、系统密码、简易维护和操作规程、培训课件、宣传推广等用途的所有资料。</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交货要求2</w:t>
            </w:r>
          </w:p>
        </w:tc>
        <w:tc>
          <w:tcPr>
            <w:tcW w:type="dxa" w:w="2076"/>
          </w:tcPr>
          <w:p>
            <w:pPr>
              <w:pStyle w:val="null3"/>
              <w:jc w:val="left"/>
            </w:pPr>
            <w:r>
              <w:rPr/>
              <w:t>★8、中标人提供的医疗设备必须开放数据接口，费用已包含在投标报价内。（提供承诺函） ★9、如设备需接入采购人院方系统的，原则上应当在验收前由中标人负责接入院方系统，如院方暂时不具备接入条件的，可以先行验收，具体接入时间以院方通知为准，具体接入实施工作由中标人负责，相关费用已包含在投标报价中，采购人不再另行支付其他任何费用。（提供承诺函） ★10、中标人应保证所供设备：如属于国产设备的，应是6个月内生产的；如属于进口设备的，应是12个月内生产的（从设备铭牌的生产日期起，计算至设备运至采购人指定地点的日期止）。（提供承诺函）</w:t>
            </w:r>
          </w:p>
        </w:tc>
      </w:tr>
      <w:tr>
        <w:tc>
          <w:tcPr>
            <w:tcW w:type="dxa" w:w="2076"/>
          </w:tcPr>
          <w:p/>
        </w:tc>
        <w:tc>
          <w:tcPr>
            <w:tcW w:type="dxa" w:w="2076"/>
          </w:tcPr>
          <w:p>
            <w:pPr>
              <w:pStyle w:val="null3"/>
              <w:jc w:val="center"/>
            </w:pPr>
            <w:r>
              <w:rPr/>
              <w:t>4</w:t>
            </w:r>
          </w:p>
        </w:tc>
        <w:tc>
          <w:tcPr>
            <w:tcW w:type="dxa" w:w="2076"/>
          </w:tcPr>
          <w:p>
            <w:pPr>
              <w:pStyle w:val="null3"/>
              <w:jc w:val="left"/>
            </w:pPr>
            <w:r>
              <w:rPr/>
              <w:t>安装调试</w:t>
            </w:r>
          </w:p>
        </w:tc>
        <w:tc>
          <w:tcPr>
            <w:tcW w:type="dxa" w:w="2076"/>
          </w:tcPr>
          <w:p>
            <w:pPr>
              <w:pStyle w:val="null3"/>
              <w:jc w:val="left"/>
            </w:pPr>
            <w:r>
              <w:rPr/>
              <w:t>1、设备到货后，中标人应在合同要求的时间内安装调试完成。如采购人暂时不具备安装调试条件的，具体日期以采购人通知的为准。 2、设备安装期间，中标人应监督项目实施人员做好文明施工，保证物件堆放整齐、通道畅通、施工废料清运及时等，确保施工人员、现场人员安全及采购人设备设施无损。因中标人原因造成采购人设备设施损坏，引起人员伤害等事故，中标人应负全部责任。 3、中标人人员应当严格遵守和配合采购人的消防、受限区域、院感等各项安全管理规定，拒不配合并造成不良后果的，中标人应负全部责任。 4、设备包装有木箱或木架的，请中标人在设备安装后把木箱或木架带走，勿丢弃在采购人医院内，如采购人发现中标人有丢弃木箱或木架在医院内的，一经核实，采购人有权在支付中标人的合同款项中扣减1000元作为罚款。</w:t>
            </w:r>
          </w:p>
        </w:tc>
      </w:tr>
      <w:tr>
        <w:tc>
          <w:tcPr>
            <w:tcW w:type="dxa" w:w="2076"/>
          </w:tcPr>
          <w:p/>
        </w:tc>
        <w:tc>
          <w:tcPr>
            <w:tcW w:type="dxa" w:w="2076"/>
          </w:tcPr>
          <w:p>
            <w:pPr>
              <w:pStyle w:val="null3"/>
              <w:jc w:val="center"/>
            </w:pPr>
            <w:r>
              <w:rPr/>
              <w:t>5</w:t>
            </w:r>
          </w:p>
        </w:tc>
        <w:tc>
          <w:tcPr>
            <w:tcW w:type="dxa" w:w="2076"/>
          </w:tcPr>
          <w:p>
            <w:pPr>
              <w:pStyle w:val="null3"/>
              <w:jc w:val="left"/>
            </w:pPr>
            <w:r>
              <w:rPr/>
              <w:t>伴随服务</w:t>
            </w:r>
          </w:p>
        </w:tc>
        <w:tc>
          <w:tcPr>
            <w:tcW w:type="dxa" w:w="2076"/>
          </w:tcPr>
          <w:p>
            <w:pPr>
              <w:pStyle w:val="null3"/>
              <w:jc w:val="left"/>
            </w:pPr>
            <w:r>
              <w:rPr/>
              <w:t>1、中标人提供设备现场安装、调试、维修必要的专用工具、辅助材料，及必要的检测、校准技术服务，直至设备能正常投入使用。 2、中标人应制定详细的培训计划，提供包含但不限于采购人现场的应用技术指导和培训，直至采购人使用人员能安全、正确、有效使用。 3、中标人应制定设备使用、运行保障的技术保障方案，提供包括但不限于设备设计原理和构造、安装调试、性能检测、故障诊断、维修技能、日常保管保养等内容的培训。</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1、质保期：质保期为验收合格后≥3年。质保期的期限应以采购人和中标人双方签署的《广州市南沙区妇幼保健院医疗设备安装验收及操作培训报告》的最晚时间起计算，质保期内免收故障维修零配件、维护保养耗件、非一次性易损配件及其他任何费用。质保期内非因采购人的人为原因而出现产品质量及安装问题，由中标人负责包修、包换或包退，并承担因此而产生的一切费用。中标人在质保期内应确保设备使用、运行完好率≥95%以上，如达不到此要求，即按超出的故障时间（以报修时间起算）的3倍延长质保期。</w:t>
            </w:r>
          </w:p>
        </w:tc>
      </w:tr>
      <w:tr>
        <w:tc>
          <w:tcPr>
            <w:tcW w:type="dxa" w:w="2076"/>
          </w:tcPr>
          <w:p/>
        </w:tc>
        <w:tc>
          <w:tcPr>
            <w:tcW w:type="dxa" w:w="2076"/>
          </w:tcPr>
          <w:p>
            <w:pPr>
              <w:pStyle w:val="null3"/>
              <w:jc w:val="center"/>
            </w:pPr>
            <w:r>
              <w:rPr/>
              <w:t>7</w:t>
            </w:r>
          </w:p>
        </w:tc>
        <w:tc>
          <w:tcPr>
            <w:tcW w:type="dxa" w:w="2076"/>
          </w:tcPr>
          <w:p>
            <w:pPr>
              <w:pStyle w:val="null3"/>
              <w:jc w:val="left"/>
            </w:pPr>
            <w:r>
              <w:rPr/>
              <w:t>售后服务</w:t>
            </w:r>
          </w:p>
        </w:tc>
        <w:tc>
          <w:tcPr>
            <w:tcW w:type="dxa" w:w="2076"/>
          </w:tcPr>
          <w:p>
            <w:pPr>
              <w:pStyle w:val="null3"/>
              <w:jc w:val="left"/>
            </w:pPr>
            <w:r>
              <w:rPr/>
              <w:t>1、设备的售后服务工作须由产品的生产厂家或生产厂家授权的售后服务机构负责完成，维修人员须具备与产品相应的专业知识与维修经验，报修响应时间12小时，经确认需到现场的，24小时内维修人员到场（不可抗力除外）。若在48小时内仍未能恢复正常使用，中标人应该在采购人故障报告72小时内向采购人提供相同或同等标准的适用备用设备作为临时使用（费用包含在投标报价内），或书面提交明确、具体的设备故障解决方案，并报使用科室和设备管理部门审批同意后，在协商限定的时间内解决；若再有延迟，从设备故障报告之时起至实际提供符合使用要求的备用设备或将故障设备修复之时止，质保期按延误时间的10倍顺延。 2、质保期内，如设备故障在一个月内仍不能修复或者相同故障重复出现3次的，采购人有权要求中标人更换同型号全新设备。中标人须在接采购人通知后更换同型号全新设备并承担相关退换货的费用，交货期与投标文件的承诺相同，并完成安装调试、验收等工作（费用由中标人负责），质保期重新计算。 3、质保期内，中标人或中标人委托的承保单位应根据包括但不限于合同设备说明书的要求提供维护保养服务，并提供经确认的维保工单。 4、产品生产厂家或生产厂家授权的售后服务机构应提供设备质保期外的完好保障服务方案和优质的技术服务，储备足够的零配件备库，并提供常用维修备件清单、价格及厂家报价凭证。 5、在设备报废前，中标人应向采购人提供设备相关软件升级和版本更换（费用包含在投标报价内）。 6、中标人提供的售后服务的费用已包含在投标报价中，采购人不再另行支付。 7、中标人应确保采购人在正当操作使用和维护条件下设备可以达到使用年限的要求。如设备在其使用年限期间出现严重质量问题（如：反复维修等严重降低采购人工作效率的情形），或其他无法使用情形（如设备配件停产、专机专用耗材无法提供、设备无法维修导致设备报废等），采购人有权要求中标人采取一定措施保证采购人的权利，如要求中标人更换全新设备（所换设备必须符合本合同约定的规格、质量和性能，并保证可满足使用年限要求）等。如中标人无法更换全新设备的，应向采购人书面提交明确、具体的解决方案，并报使用科室和设备管理部门审批同意后，在协商限定的时间内解决。如双方无法协商一致，采购人有权退回设备并要求中标人退回合同款项，中标人应赔偿由此造成采购人的一切损失。</w:t>
            </w:r>
          </w:p>
        </w:tc>
      </w:tr>
      <w:tr>
        <w:tc>
          <w:tcPr>
            <w:tcW w:type="dxa" w:w="2076"/>
          </w:tcPr>
          <w:p/>
        </w:tc>
        <w:tc>
          <w:tcPr>
            <w:tcW w:type="dxa" w:w="2076"/>
          </w:tcPr>
          <w:p>
            <w:pPr>
              <w:pStyle w:val="null3"/>
              <w:jc w:val="center"/>
            </w:pPr>
            <w:r>
              <w:rPr/>
              <w:t>8</w:t>
            </w:r>
          </w:p>
        </w:tc>
        <w:tc>
          <w:tcPr>
            <w:tcW w:type="dxa" w:w="2076"/>
          </w:tcPr>
          <w:p>
            <w:pPr>
              <w:pStyle w:val="null3"/>
              <w:jc w:val="left"/>
            </w:pPr>
            <w:r>
              <w:rPr/>
              <w:t>备注</w:t>
            </w:r>
          </w:p>
        </w:tc>
        <w:tc>
          <w:tcPr>
            <w:tcW w:type="dxa" w:w="2076"/>
          </w:tcPr>
          <w:p>
            <w:pPr>
              <w:pStyle w:val="null3"/>
              <w:jc w:val="left"/>
            </w:pPr>
            <w:r>
              <w:rPr/>
              <w:t>以上商务需求，如技术要求中有特别要求的则以技术要求中的为准。</w:t>
            </w:r>
          </w:p>
        </w:tc>
      </w:tr>
      <w:tr>
        <w:tc>
          <w:tcPr>
            <w:tcW w:type="dxa" w:w="2076"/>
          </w:tcPr>
          <w:p/>
        </w:tc>
        <w:tc>
          <w:tcPr>
            <w:tcW w:type="dxa" w:w="2076"/>
          </w:tcPr>
          <w:p>
            <w:pPr>
              <w:pStyle w:val="null3"/>
              <w:jc w:val="center"/>
            </w:pPr>
            <w:r>
              <w:rPr/>
              <w:t>9</w:t>
            </w:r>
          </w:p>
        </w:tc>
        <w:tc>
          <w:tcPr>
            <w:tcW w:type="dxa" w:w="2076"/>
          </w:tcPr>
          <w:p>
            <w:pPr>
              <w:pStyle w:val="null3"/>
              <w:jc w:val="left"/>
            </w:pPr>
            <w:r>
              <w:rPr/>
              <w:t>培训方案</w:t>
            </w:r>
          </w:p>
        </w:tc>
        <w:tc>
          <w:tcPr>
            <w:tcW w:type="dxa" w:w="2076"/>
          </w:tcPr>
          <w:p>
            <w:pPr>
              <w:pStyle w:val="null3"/>
              <w:jc w:val="left"/>
            </w:pPr>
            <w:r>
              <w:rPr/>
              <w:t>厂家提供现场安装培训服务</w:t>
            </w:r>
          </w:p>
        </w:tc>
      </w:tr>
      <w:tr>
        <w:tc>
          <w:tcPr>
            <w:tcW w:type="dxa" w:w="2076"/>
          </w:tcPr>
          <w:p/>
        </w:tc>
        <w:tc>
          <w:tcPr>
            <w:tcW w:type="dxa" w:w="2076"/>
          </w:tcPr>
          <w:p>
            <w:pPr>
              <w:pStyle w:val="null3"/>
              <w:jc w:val="center"/>
            </w:pPr>
            <w:r>
              <w:rPr/>
              <w:t>10</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11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医用低温、冷疗设备</w:t>
            </w:r>
          </w:p>
        </w:tc>
        <w:tc>
          <w:tcPr>
            <w:tcW w:type="dxa" w:w="831"/>
          </w:tcPr>
          <w:p>
            <w:pPr>
              <w:pStyle w:val="null3"/>
              <w:jc w:val="left"/>
            </w:pPr>
            <w:r>
              <w:rPr/>
              <w:t>亚低温治疗仪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亚低温治疗仪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1.≥8吋液晶显示触控屏幕，可显示温度、趋势、菜单等功能，操作简单直观；</w:t>
            </w:r>
          </w:p>
        </w:tc>
      </w:tr>
      <w:tr>
        <w:tc>
          <w:tcPr>
            <w:tcW w:type="dxa" w:w="2076"/>
          </w:tcPr>
          <w:p/>
        </w:tc>
        <w:tc>
          <w:tcPr>
            <w:tcW w:type="dxa" w:w="415"/>
          </w:tcPr>
          <w:p>
            <w:pPr>
              <w:pStyle w:val="null3"/>
            </w:pPr>
            <w:r>
              <w:rPr/>
              <w:t>2</w:t>
            </w:r>
          </w:p>
        </w:tc>
        <w:tc>
          <w:tcPr>
            <w:tcW w:type="dxa" w:w="5814"/>
          </w:tcPr>
          <w:p>
            <w:pPr>
              <w:pStyle w:val="null3"/>
            </w:pPr>
            <w:r>
              <w:rPr/>
              <w:t>2.屏幕亮度至少1-5档可调，可以在不同光线环境下进行操作；</w:t>
            </w:r>
          </w:p>
        </w:tc>
      </w:tr>
      <w:tr>
        <w:tc>
          <w:tcPr>
            <w:tcW w:type="dxa" w:w="2076"/>
          </w:tcPr>
          <w:p/>
        </w:tc>
        <w:tc>
          <w:tcPr>
            <w:tcW w:type="dxa" w:w="415"/>
          </w:tcPr>
          <w:p>
            <w:pPr>
              <w:pStyle w:val="null3"/>
            </w:pPr>
            <w:r>
              <w:rPr/>
              <w:t>3</w:t>
            </w:r>
          </w:p>
        </w:tc>
        <w:tc>
          <w:tcPr>
            <w:tcW w:type="dxa" w:w="5814"/>
          </w:tcPr>
          <w:p>
            <w:pPr>
              <w:pStyle w:val="null3"/>
            </w:pPr>
            <w:r>
              <w:rPr/>
              <w:t>3.具有夜间模式，减少光亮刺激，在保护医护人员视力的同时，为患者营造舒适的环境；</w:t>
            </w:r>
          </w:p>
        </w:tc>
      </w:tr>
      <w:tr>
        <w:tc>
          <w:tcPr>
            <w:tcW w:type="dxa" w:w="2076"/>
          </w:tcPr>
          <w:p/>
        </w:tc>
        <w:tc>
          <w:tcPr>
            <w:tcW w:type="dxa" w:w="415"/>
          </w:tcPr>
          <w:p>
            <w:pPr>
              <w:pStyle w:val="null3"/>
            </w:pPr>
            <w:r>
              <w:rPr/>
              <w:t>4</w:t>
            </w:r>
          </w:p>
        </w:tc>
        <w:tc>
          <w:tcPr>
            <w:tcW w:type="dxa" w:w="5814"/>
          </w:tcPr>
          <w:p>
            <w:pPr>
              <w:pStyle w:val="null3"/>
            </w:pPr>
            <w:r>
              <w:rPr/>
              <w:t>4.CPC双向快速液压接头，插拔快速，杜绝液体的喷溅；</w:t>
            </w:r>
          </w:p>
        </w:tc>
      </w:tr>
      <w:tr>
        <w:tc>
          <w:tcPr>
            <w:tcW w:type="dxa" w:w="2076"/>
          </w:tcPr>
          <w:p/>
        </w:tc>
        <w:tc>
          <w:tcPr>
            <w:tcW w:type="dxa" w:w="415"/>
          </w:tcPr>
          <w:p>
            <w:pPr>
              <w:pStyle w:val="null3"/>
            </w:pPr>
            <w:r>
              <w:rPr/>
              <w:t>5</w:t>
            </w:r>
          </w:p>
        </w:tc>
        <w:tc>
          <w:tcPr>
            <w:tcW w:type="dxa" w:w="5814"/>
          </w:tcPr>
          <w:p>
            <w:pPr>
              <w:pStyle w:val="null3"/>
            </w:pPr>
            <w:r>
              <w:rPr/>
              <w:t>5.配备台车，方便移动；</w:t>
            </w:r>
          </w:p>
        </w:tc>
      </w:tr>
      <w:tr>
        <w:tc>
          <w:tcPr>
            <w:tcW w:type="dxa" w:w="2076"/>
          </w:tcPr>
          <w:p/>
        </w:tc>
        <w:tc>
          <w:tcPr>
            <w:tcW w:type="dxa" w:w="415"/>
          </w:tcPr>
          <w:p>
            <w:pPr>
              <w:pStyle w:val="null3"/>
            </w:pPr>
            <w:r>
              <w:rPr/>
              <w:t>6</w:t>
            </w:r>
          </w:p>
        </w:tc>
        <w:tc>
          <w:tcPr>
            <w:tcW w:type="dxa" w:w="5814"/>
          </w:tcPr>
          <w:p>
            <w:pPr>
              <w:pStyle w:val="null3"/>
            </w:pPr>
            <w:r>
              <w:rPr/>
              <w:t>6.可配置清洁片等消毒耗材；</w:t>
            </w:r>
          </w:p>
        </w:tc>
      </w:tr>
      <w:tr>
        <w:tc>
          <w:tcPr>
            <w:tcW w:type="dxa" w:w="2076"/>
          </w:tcPr>
          <w:p/>
        </w:tc>
        <w:tc>
          <w:tcPr>
            <w:tcW w:type="dxa" w:w="415"/>
          </w:tcPr>
          <w:p>
            <w:pPr>
              <w:pStyle w:val="null3"/>
            </w:pPr>
            <w:r>
              <w:rPr/>
              <w:t>7</w:t>
            </w:r>
          </w:p>
        </w:tc>
        <w:tc>
          <w:tcPr>
            <w:tcW w:type="dxa" w:w="5814"/>
          </w:tcPr>
          <w:p>
            <w:pPr>
              <w:pStyle w:val="null3"/>
            </w:pPr>
            <w:r>
              <w:rPr/>
              <w:t>7.自动控制，可长时间连续运行；</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8.▲采用半导体制冷技术，为新生儿提供环保无氟治疗环境；热惯性小，制冷/制热切换快；</w:t>
            </w:r>
          </w:p>
        </w:tc>
      </w:tr>
      <w:tr>
        <w:tc>
          <w:tcPr>
            <w:tcW w:type="dxa" w:w="2076"/>
          </w:tcPr>
          <w:p/>
        </w:tc>
        <w:tc>
          <w:tcPr>
            <w:tcW w:type="dxa" w:w="415"/>
          </w:tcPr>
          <w:p>
            <w:pPr>
              <w:pStyle w:val="null3"/>
            </w:pPr>
            <w:r>
              <w:rPr/>
              <w:t>9</w:t>
            </w:r>
          </w:p>
        </w:tc>
        <w:tc>
          <w:tcPr>
            <w:tcW w:type="dxa" w:w="5814"/>
          </w:tcPr>
          <w:p>
            <w:pPr>
              <w:pStyle w:val="null3"/>
            </w:pPr>
            <w:r>
              <w:rPr/>
              <w:t>9.水毯表面采用TPU材料，具有耐腐蚀和耐低温、臭氧作用，消毒清洁方便；</w:t>
            </w:r>
          </w:p>
        </w:tc>
      </w:tr>
      <w:tr>
        <w:tc>
          <w:tcPr>
            <w:tcW w:type="dxa" w:w="2076"/>
          </w:tcPr>
          <w:p/>
        </w:tc>
        <w:tc>
          <w:tcPr>
            <w:tcW w:type="dxa" w:w="415"/>
          </w:tcPr>
          <w:p>
            <w:pPr>
              <w:pStyle w:val="null3"/>
            </w:pPr>
            <w:r>
              <w:rPr/>
              <w:t>10</w:t>
            </w:r>
          </w:p>
        </w:tc>
        <w:tc>
          <w:tcPr>
            <w:tcW w:type="dxa" w:w="5814"/>
          </w:tcPr>
          <w:p>
            <w:pPr>
              <w:pStyle w:val="null3"/>
            </w:pPr>
            <w:r>
              <w:rPr/>
              <w:t>10.毯面采用蜂窝状设计，水循环通畅，制冷更快，毯面柔软舒适，防止褥疮；</w:t>
            </w:r>
          </w:p>
        </w:tc>
      </w:tr>
      <w:tr>
        <w:tc>
          <w:tcPr>
            <w:tcW w:type="dxa" w:w="2076"/>
          </w:tcPr>
          <w:p/>
        </w:tc>
        <w:tc>
          <w:tcPr>
            <w:tcW w:type="dxa" w:w="415"/>
          </w:tcPr>
          <w:p>
            <w:pPr>
              <w:pStyle w:val="null3"/>
            </w:pPr>
            <w:r>
              <w:rPr/>
              <w:t>11</w:t>
            </w:r>
          </w:p>
        </w:tc>
        <w:tc>
          <w:tcPr>
            <w:tcW w:type="dxa" w:w="5814"/>
          </w:tcPr>
          <w:p>
            <w:pPr>
              <w:pStyle w:val="null3"/>
            </w:pPr>
            <w:r>
              <w:rPr/>
              <w:t>11.具有≥3种操作模式：恒温毯模式、恒温直肠模式、自动操作模式（直肠）；</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12.▲自动操作模式下，可以根据用户实际需要，设定从当前温度达到目标温度的时间，也可以设定达到目标温度后的治疗持续时间，精准调控新生的体温恒定状态，同时复温也可精准调控，保障新生儿的安全；</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13.▲在恒温直肠模式、自动操作模式（直肠）下具有后备模式功能：如果发生偏差报警，就会进入后备模式，使水毯温度保持在异常前的温度附近，提供安全保障；</w:t>
            </w:r>
          </w:p>
        </w:tc>
      </w:tr>
      <w:tr>
        <w:tc>
          <w:tcPr>
            <w:tcW w:type="dxa" w:w="2076"/>
          </w:tcPr>
          <w:p/>
        </w:tc>
        <w:tc>
          <w:tcPr>
            <w:tcW w:type="dxa" w:w="415"/>
          </w:tcPr>
          <w:p>
            <w:pPr>
              <w:pStyle w:val="null3"/>
            </w:pPr>
            <w:r>
              <w:rPr/>
              <w:t>14</w:t>
            </w:r>
          </w:p>
        </w:tc>
        <w:tc>
          <w:tcPr>
            <w:tcW w:type="dxa" w:w="5814"/>
          </w:tcPr>
          <w:p>
            <w:pPr>
              <w:pStyle w:val="null3"/>
            </w:pPr>
            <w:r>
              <w:rPr/>
              <w:t>14.声光报警，报警声高低可调；</w:t>
            </w:r>
          </w:p>
        </w:tc>
      </w:tr>
      <w:tr>
        <w:tc>
          <w:tcPr>
            <w:tcW w:type="dxa" w:w="2076"/>
          </w:tcPr>
          <w:p/>
        </w:tc>
        <w:tc>
          <w:tcPr>
            <w:tcW w:type="dxa" w:w="415"/>
          </w:tcPr>
          <w:p>
            <w:pPr>
              <w:pStyle w:val="null3"/>
            </w:pPr>
            <w:r>
              <w:rPr/>
              <w:t>15</w:t>
            </w:r>
          </w:p>
        </w:tc>
        <w:tc>
          <w:tcPr>
            <w:tcW w:type="dxa" w:w="5814"/>
          </w:tcPr>
          <w:p>
            <w:pPr>
              <w:pStyle w:val="null3"/>
            </w:pPr>
            <w:r>
              <w:rPr/>
              <w:t>15.支持患者添加信息录入，可以添加包括但不限于患者ID、血型、性别等信息；</w:t>
            </w:r>
          </w:p>
        </w:tc>
      </w:tr>
      <w:tr>
        <w:tc>
          <w:tcPr>
            <w:tcW w:type="dxa" w:w="2076"/>
          </w:tcPr>
          <w:p/>
        </w:tc>
        <w:tc>
          <w:tcPr>
            <w:tcW w:type="dxa" w:w="415"/>
          </w:tcPr>
          <w:p>
            <w:pPr>
              <w:pStyle w:val="null3"/>
            </w:pPr>
            <w:r>
              <w:rPr/>
              <w:t>16</w:t>
            </w:r>
          </w:p>
        </w:tc>
        <w:tc>
          <w:tcPr>
            <w:tcW w:type="dxa" w:w="5814"/>
          </w:tcPr>
          <w:p>
            <w:pPr>
              <w:pStyle w:val="null3"/>
            </w:pPr>
            <w:r>
              <w:rPr/>
              <w:t>16.内置USB接口，可以使用U盘进行患者数据导出；</w:t>
            </w:r>
          </w:p>
        </w:tc>
      </w:tr>
      <w:tr>
        <w:tc>
          <w:tcPr>
            <w:tcW w:type="dxa" w:w="2076"/>
          </w:tcPr>
          <w:p/>
        </w:tc>
        <w:tc>
          <w:tcPr>
            <w:tcW w:type="dxa" w:w="415"/>
          </w:tcPr>
          <w:p>
            <w:pPr>
              <w:pStyle w:val="null3"/>
            </w:pPr>
            <w:r>
              <w:rPr/>
              <w:t>17</w:t>
            </w:r>
          </w:p>
        </w:tc>
        <w:tc>
          <w:tcPr>
            <w:tcW w:type="dxa" w:w="5814"/>
          </w:tcPr>
          <w:p>
            <w:pPr>
              <w:pStyle w:val="null3"/>
            </w:pPr>
            <w:r>
              <w:rPr/>
              <w:t>17.具有掉电记忆功能：断电恢复后，可以按照原来的状态继续进行治疗；</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产品性能 18.▲机身小巧移动方便，质量：≤10Kg；</w:t>
            </w:r>
          </w:p>
        </w:tc>
      </w:tr>
      <w:tr>
        <w:tc>
          <w:tcPr>
            <w:tcW w:type="dxa" w:w="2076"/>
          </w:tcPr>
          <w:p/>
        </w:tc>
        <w:tc>
          <w:tcPr>
            <w:tcW w:type="dxa" w:w="415"/>
          </w:tcPr>
          <w:p>
            <w:pPr>
              <w:pStyle w:val="null3"/>
            </w:pPr>
            <w:r>
              <w:rPr/>
              <w:t>19</w:t>
            </w:r>
          </w:p>
        </w:tc>
        <w:tc>
          <w:tcPr>
            <w:tcW w:type="dxa" w:w="5814"/>
          </w:tcPr>
          <w:p>
            <w:pPr>
              <w:pStyle w:val="null3"/>
            </w:pPr>
            <w:r>
              <w:rPr/>
              <w:t>19. 直肠温度控制范围：a）自动操作模式（直肠）降温阶段：32.0 ℃～38.0 ℃，升温阶段：36.0 ℃～37.0；b） 恒温直肠模式：降温阶段：32.0 ℃～38.0 ℃，升温阶段：32.0 ℃～37.0 ℃；</w:t>
            </w:r>
          </w:p>
        </w:tc>
      </w:tr>
      <w:tr>
        <w:tc>
          <w:tcPr>
            <w:tcW w:type="dxa" w:w="2076"/>
          </w:tcPr>
          <w:p/>
        </w:tc>
        <w:tc>
          <w:tcPr>
            <w:tcW w:type="dxa" w:w="415"/>
          </w:tcPr>
          <w:p>
            <w:pPr>
              <w:pStyle w:val="null3"/>
            </w:pPr>
            <w:r>
              <w:rPr/>
              <w:t>20</w:t>
            </w:r>
          </w:p>
        </w:tc>
        <w:tc>
          <w:tcPr>
            <w:tcW w:type="dxa" w:w="5814"/>
          </w:tcPr>
          <w:p>
            <w:pPr>
              <w:pStyle w:val="null3"/>
            </w:pPr>
            <w:r>
              <w:rPr/>
              <w:t>20.主机出水口水温控制范围（循环液体温度控制范围）：12.0℃～39.0℃；</w:t>
            </w:r>
          </w:p>
        </w:tc>
      </w:tr>
      <w:tr>
        <w:tc>
          <w:tcPr>
            <w:tcW w:type="dxa" w:w="2076"/>
          </w:tcPr>
          <w:p/>
        </w:tc>
        <w:tc>
          <w:tcPr>
            <w:tcW w:type="dxa" w:w="415"/>
          </w:tcPr>
          <w:p>
            <w:pPr>
              <w:pStyle w:val="null3"/>
            </w:pPr>
            <w:r>
              <w:rPr/>
              <w:t>21</w:t>
            </w:r>
          </w:p>
        </w:tc>
        <w:tc>
          <w:tcPr>
            <w:tcW w:type="dxa" w:w="5814"/>
          </w:tcPr>
          <w:p>
            <w:pPr>
              <w:pStyle w:val="null3"/>
            </w:pPr>
            <w:r>
              <w:rPr/>
              <w:t>21.循环液体温度显示准确度：±1.5℃</w:t>
            </w:r>
          </w:p>
        </w:tc>
      </w:tr>
      <w:tr>
        <w:tc>
          <w:tcPr>
            <w:tcW w:type="dxa" w:w="2076"/>
          </w:tcPr>
          <w:p/>
        </w:tc>
        <w:tc>
          <w:tcPr>
            <w:tcW w:type="dxa" w:w="415"/>
          </w:tcPr>
          <w:p>
            <w:pPr>
              <w:pStyle w:val="null3"/>
            </w:pPr>
            <w:r>
              <w:rPr/>
              <w:t>22</w:t>
            </w:r>
          </w:p>
        </w:tc>
        <w:tc>
          <w:tcPr>
            <w:tcW w:type="dxa" w:w="5814"/>
          </w:tcPr>
          <w:p>
            <w:pPr>
              <w:pStyle w:val="null3"/>
            </w:pPr>
            <w:r>
              <w:rPr/>
              <w:t>22.空载升降温平均速率：制冷：0.7 ℃/min (最大允许误差：±0.2 ℃/min)水温变化区间：16 ℃～24 ℃；制热：1.0 ℃/min（最大允许误差：±0.2 ℃/min）水温变化区间：30 ℃～38 ℃；</w:t>
            </w:r>
          </w:p>
        </w:tc>
      </w:tr>
      <w:tr>
        <w:tc>
          <w:tcPr>
            <w:tcW w:type="dxa" w:w="2076"/>
          </w:tcPr>
          <w:p/>
        </w:tc>
        <w:tc>
          <w:tcPr>
            <w:tcW w:type="dxa" w:w="415"/>
          </w:tcPr>
          <w:p>
            <w:pPr>
              <w:pStyle w:val="null3"/>
            </w:pPr>
            <w:r>
              <w:rPr/>
              <w:t>23</w:t>
            </w:r>
          </w:p>
        </w:tc>
        <w:tc>
          <w:tcPr>
            <w:tcW w:type="dxa" w:w="5814"/>
          </w:tcPr>
          <w:p>
            <w:pPr>
              <w:pStyle w:val="null3"/>
            </w:pPr>
            <w:r>
              <w:rPr/>
              <w:t>23.加热时间：将水温从20℃加热到37℃，加热时间约12分钟；</w:t>
            </w:r>
          </w:p>
        </w:tc>
      </w:tr>
      <w:tr>
        <w:tc>
          <w:tcPr>
            <w:tcW w:type="dxa" w:w="2076"/>
          </w:tcPr>
          <w:p/>
        </w:tc>
        <w:tc>
          <w:tcPr>
            <w:tcW w:type="dxa" w:w="415"/>
          </w:tcPr>
          <w:p>
            <w:pPr>
              <w:pStyle w:val="null3"/>
            </w:pPr>
            <w:r>
              <w:rPr/>
              <w:t>24</w:t>
            </w:r>
          </w:p>
        </w:tc>
        <w:tc>
          <w:tcPr>
            <w:tcW w:type="dxa" w:w="5814"/>
          </w:tcPr>
          <w:p>
            <w:pPr>
              <w:pStyle w:val="null3"/>
            </w:pPr>
            <w:r>
              <w:rPr/>
              <w:t>24.负载升降温平均速率：制冷：负载为50 kg时为1 ℃/h；负载为10 kg时为2.3 ℃/h；制热：负载为50 kg时为1℃/h；负载为10 kg时为1.9 ℃/h；（最大允许误差：±20%）</w:t>
            </w:r>
          </w:p>
        </w:tc>
      </w:tr>
      <w:tr>
        <w:tc>
          <w:tcPr>
            <w:tcW w:type="dxa" w:w="2076"/>
          </w:tcPr>
          <w:p/>
        </w:tc>
        <w:tc>
          <w:tcPr>
            <w:tcW w:type="dxa" w:w="415"/>
          </w:tcPr>
          <w:p>
            <w:pPr>
              <w:pStyle w:val="null3"/>
            </w:pPr>
            <w:r>
              <w:rPr/>
              <w:t>25</w:t>
            </w:r>
          </w:p>
        </w:tc>
        <w:tc>
          <w:tcPr>
            <w:tcW w:type="dxa" w:w="5814"/>
          </w:tcPr>
          <w:p>
            <w:pPr>
              <w:pStyle w:val="null3"/>
            </w:pPr>
            <w:r>
              <w:rPr/>
              <w:t>25.设备正常工作时，工作噪声应不大于 55 dB的的 A 加权声压级；</w:t>
            </w:r>
          </w:p>
        </w:tc>
      </w:tr>
      <w:tr>
        <w:tc>
          <w:tcPr>
            <w:tcW w:type="dxa" w:w="2076"/>
          </w:tcPr>
          <w:p/>
        </w:tc>
        <w:tc>
          <w:tcPr>
            <w:tcW w:type="dxa" w:w="415"/>
          </w:tcPr>
          <w:p>
            <w:pPr>
              <w:pStyle w:val="null3"/>
            </w:pPr>
            <w:r>
              <w:rPr/>
              <w:t>26</w:t>
            </w:r>
          </w:p>
        </w:tc>
        <w:tc>
          <w:tcPr>
            <w:tcW w:type="dxa" w:w="5814"/>
          </w:tcPr>
          <w:p>
            <w:pPr>
              <w:pStyle w:val="null3"/>
            </w:pPr>
            <w:r>
              <w:rPr/>
              <w:t>26.产品使用期限≥8年。</w:t>
            </w:r>
          </w:p>
        </w:tc>
      </w:tr>
      <w:tr>
        <w:tc>
          <w:tcPr>
            <w:tcW w:type="dxa" w:w="2076"/>
          </w:tcPr>
          <w:p/>
        </w:tc>
        <w:tc>
          <w:tcPr>
            <w:tcW w:type="dxa" w:w="415"/>
          </w:tcPr>
          <w:p>
            <w:pPr>
              <w:pStyle w:val="null3"/>
            </w:pPr>
            <w:r>
              <w:rPr/>
              <w:t>27</w:t>
            </w:r>
          </w:p>
        </w:tc>
        <w:tc>
          <w:tcPr>
            <w:tcW w:type="dxa" w:w="5814"/>
          </w:tcPr>
          <w:p>
            <w:pPr>
              <w:pStyle w:val="null3"/>
            </w:pPr>
            <w:r>
              <w:rPr/>
              <w:t>27.</w:t>
            </w:r>
            <w:r>
              <w:rPr/>
              <w:t>配置清单（</w:t>
            </w:r>
            <w:r>
              <w:rPr>
                <w:sz w:val="20"/>
                <w:color w:val="000000"/>
              </w:rPr>
              <w:t>不低于以下配置清单</w:t>
            </w:r>
            <w:r>
              <w:rPr/>
              <w:t>）：</w:t>
            </w:r>
          </w:p>
          <w:tbl>
            <w:tblPr>
              <w:tblBorders>
                <w:top w:val="none" w:color="000000" w:sz="4"/>
                <w:left w:val="none" w:color="000000" w:sz="4"/>
                <w:bottom w:val="none" w:color="000000" w:sz="4"/>
                <w:right w:val="none" w:color="000000" w:sz="4"/>
                <w:insideH w:val="none"/>
                <w:insideV w:val="none"/>
              </w:tblBorders>
            </w:tblPr>
            <w:tblGrid>
              <w:gridCol w:w="774"/>
              <w:gridCol w:w="3836"/>
              <w:gridCol w:w="987"/>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序号</w:t>
                  </w:r>
                </w:p>
              </w:tc>
              <w:tc>
                <w:tcPr>
                  <w:tcW w:type="dxa" w:w="383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部件名称</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数量</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主机整机（含台车）</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r>
                    <w:rPr>
                      <w:sz w:val="19"/>
                    </w:rPr>
                    <w:t>台</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2</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肤温传感器</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r>
                    <w:rPr>
                      <w:sz w:val="19"/>
                    </w:rPr>
                    <w:t>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3</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儿童体腔体温探头</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r>
                    <w:rPr>
                      <w:sz w:val="19"/>
                    </w:rPr>
                    <w:t>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软管套件</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r>
                    <w:rPr>
                      <w:sz w:val="19"/>
                    </w:rPr>
                    <w:t>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注水瓶及网兜</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r>
                    <w:rPr>
                      <w:sz w:val="19"/>
                    </w:rPr>
                    <w:t>套</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6</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大毯</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r>
                    <w:rPr>
                      <w:sz w:val="19"/>
                    </w:rPr>
                    <w:t>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7</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大罩布</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5</w:t>
                  </w:r>
                  <w:r>
                    <w:rPr>
                      <w:sz w:val="19"/>
                    </w:rPr>
                    <w:t>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8</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绑带</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4</w:t>
                  </w:r>
                  <w:r>
                    <w:rPr>
                      <w:sz w:val="19"/>
                    </w:rPr>
                    <w:t>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9</w:t>
                  </w:r>
                </w:p>
              </w:tc>
              <w:tc>
                <w:tcPr>
                  <w:tcW w:type="dxa" w:w="383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使用说明书、合格证、保修卡、简易操作卡</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pPr>
                  <w:r>
                    <w:rPr>
                      <w:sz w:val="19"/>
                    </w:rPr>
                    <w:t>1</w:t>
                  </w:r>
                  <w:r>
                    <w:rPr>
                      <w:sz w:val="19"/>
                    </w:rPr>
                    <w:t>套</w:t>
                  </w:r>
                </w:p>
              </w:tc>
            </w:tr>
          </w:tbl>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sz w:val="21"/>
              </w:rPr>
              <w:t>★</w:t>
            </w:r>
            <w:r>
              <w:rPr>
                <w:sz w:val="21"/>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各采购包中标通知书中确定的中标金额作为采购代理服务费的计算基数。按照中华人民共和国国家发展计划委员会颁发的计价格〔2002〕1980号、发改办价格〔2003〕857号及发改价格〔2011〕534号文规定的“货物类”计费标准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采购包1(有创呼吸机及视力筛查仪)：综合评分法,是指投标文件满足招标文件全部实质性要求，且按照评审因素的量化指标评审得分最高的投标人为中标候选人的评标方法。（最低报价不是中标的唯一依据。）</w:t>
      </w:r>
    </w:p>
    <w:p>
      <w:pPr>
        <w:pStyle w:val="null3"/>
      </w:pPr>
      <w:r>
        <w:rPr/>
        <w:t>采购包2(早产儿暖箱)：综合评分法,是指投标文件满足招标文件全部实质性要求，且按照评审因素的量化指标评审得分最高的投标人为中标候选人的评标方法。（最低报价不是中标的唯一依据。）</w:t>
      </w:r>
    </w:p>
    <w:p>
      <w:pPr>
        <w:pStyle w:val="null3"/>
      </w:pPr>
      <w:r>
        <w:rPr/>
        <w:t>采购包3(亚低温治疗仪)：综合评分法,是指投标文件满足招标文件全部实质性要求，且按照评审因素的量化指标评审得分最高的投标人为中标候选人的评标方法。（最低报价不是中标的唯一依据。）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采购包1（有创呼吸机及视力筛查仪）：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采购包2（早产儿暖箱）：</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采购包3（亚低温治疗仪）：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采购包1（有创呼吸机及视力筛查仪）：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pPr>
      <w:r>
        <w:rPr/>
        <w:t>采购包2（早产儿暖箱）：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pPr>
      <w:r>
        <w:rPr/>
        <w:t>采购包3（亚低温治疗仪）：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ind w:firstLine="480"/>
      </w:pPr>
      <w:r>
        <w:rPr/>
        <w:t>表二符合性审查表：</w:t>
      </w:r>
    </w:p>
    <w:p>
      <w:pPr>
        <w:pStyle w:val="null3"/>
      </w:pPr>
      <w:r>
        <w:rPr/>
        <w:t>采购包1（有创呼吸机及视力筛查仪）：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1）投标报价未超过所投采购包的单项最高限价及总价最高限价；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pPr>
      <w:r>
        <w:rPr/>
        <w:t>采购包2（早产儿暖箱）：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1）投标报价未超过所投采购包的单项最高限价及总价最高限价；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pPr>
      <w:r>
        <w:rPr/>
        <w:t>采购包3（亚低温治疗仪）：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1）投标报价未超过所投采购包的单项最高限价及总价最高限价；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采购包1(有创呼吸机及视力筛查仪):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(28.0分)</w:t>
            </w:r>
          </w:p>
        </w:tc>
        <w:tc>
          <w:tcPr>
            <w:tcW w:type="dxa" w:w="5076"/>
          </w:tcPr>
          <w:p>
            <w:pPr>
              <w:pStyle w:val="null3"/>
              <w:jc w:val="left"/>
            </w:pPr>
            <w:r>
              <w:rPr/>
              <w:t>投标人所投产品全部满足用户需求书中带▲号重要技术参数，得28分；负偏离总数≤8条的，每出现一处负偏离，扣3分；负偏离总数＞8条的，扣分=24+[（负偏离总数-8）/（技术参数总数-8）]×4分。 注：本项目用户需求书中共有15项带▲号重要技术参数。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所投产品对用户需求书中不带▲号一般技术参数的符合性 (13.0分)</w:t>
            </w:r>
          </w:p>
        </w:tc>
        <w:tc>
          <w:tcPr>
            <w:tcW w:type="dxa" w:w="5076"/>
          </w:tcPr>
          <w:p>
            <w:pPr>
              <w:pStyle w:val="null3"/>
              <w:jc w:val="left"/>
            </w:pPr>
            <w:r>
              <w:rPr/>
              <w:t>投标人所投产品全部满足用户需求书中的不带▲号一般技术参数，得13分； 负偏离总数≤8条的，每出现一处负偏离，扣1分；负偏离总数＞8条的，扣分=8+[（负偏离总数-8）/（技术参数总数-8）]×5分。 （本项目用户需求书中共有62项不带▲号一般技术参数。）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(4.0分)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1）货物质量、性能满足或优于采购需求，维护性、稳定性好，得4分； 2）货物质量、性能部分满足采购需求，维护性、稳定性一般，得2分； 3）货物质量、性能较多不满足采购需求，维护性、稳定性差，得0.5分。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采购包2(早产儿暖箱):</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(28.0分)</w:t>
            </w:r>
          </w:p>
        </w:tc>
        <w:tc>
          <w:tcPr>
            <w:tcW w:type="dxa" w:w="5076"/>
          </w:tcPr>
          <w:p>
            <w:pPr>
              <w:pStyle w:val="null3"/>
              <w:jc w:val="left"/>
            </w:pPr>
            <w:r>
              <w:rPr/>
              <w:t>投标人所投产品全部满足用户需求书中带▲号重要技术参数，得28分；负偏离总数≤8条的，每出现一处负偏离，扣3分；负偏离总数＞8条的，扣分=24+[（负偏离总数-8）/（技术参数总数-8）]×4分。 注：本项目用户需求书中共有14项带▲号重要技术参数。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所投产品对用户需求书中不带▲号一般技术参数的符合性 (13.0分)</w:t>
            </w:r>
          </w:p>
        </w:tc>
        <w:tc>
          <w:tcPr>
            <w:tcW w:type="dxa" w:w="5076"/>
          </w:tcPr>
          <w:p>
            <w:pPr>
              <w:pStyle w:val="null3"/>
              <w:jc w:val="left"/>
            </w:pPr>
            <w:r>
              <w:rPr/>
              <w:t>投标人所投产品全部满足用户需求书中的不带▲号一般技术参数，得13分； 负偏离总数≤8条的，每出现一处负偏离，扣1分；负偏离总数＞8条的，扣分=8+[（负偏离总数-8）/（技术参数总数-8）]×5分。 （本项目用户需求书中共有31项不带▲号一般技术参数。）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(4.0分)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1）货物质量、性能满足或优于采购需求，维护性、稳定性好，得4分； 2）货物质量、性能部分满足采购需求，维护性、稳定性一般，得2分； 3）货物质量、性能较多不满足采购需求，维护性、稳定性差，得0.5分。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采购包3(亚低温治疗仪):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(20.0分)</w:t>
            </w:r>
          </w:p>
        </w:tc>
        <w:tc>
          <w:tcPr>
            <w:tcW w:type="dxa" w:w="5076"/>
          </w:tcPr>
          <w:p>
            <w:pPr>
              <w:pStyle w:val="null3"/>
              <w:jc w:val="left"/>
            </w:pPr>
            <w:r>
              <w:rPr/>
              <w:t>投标人所投产品全部满足用户需求书中带▲号重要技术参数，得20分；每出现一处重点技术参数不响应或者负偏离，扣5分。 注：本项目用户需求书中共有4项带▲号重要技术参数。【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所投产品对用户需求书中不带▲号一般技术参数的符合性 (21.0分)</w:t>
            </w:r>
          </w:p>
        </w:tc>
        <w:tc>
          <w:tcPr>
            <w:tcW w:type="dxa" w:w="5076"/>
          </w:tcPr>
          <w:p>
            <w:pPr>
              <w:pStyle w:val="null3"/>
              <w:jc w:val="left"/>
            </w:pPr>
            <w:r>
              <w:rPr/>
              <w:t>投标人所投产品全部满足用户需求书中的不带▲号一般技术参数，得21分； 负偏离总数≤8条的，每出现一处负偏离，扣2分；负偏离总数＞8条的，扣分=16+[（负偏离总数-8）/（技术参数总数-8）]×5分。 （本项目用户需求书中共有23项不带▲号一般技术参数。）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(4.0分)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1）货物质量、性能满足或优于采购需求，维护性、稳定性好，得4分； 2）货物质量、性能部分满足采购需求，维护性、稳定性一般，得2分； 3）货物质量、性能较多不满足采购需求，维护性、稳定性差，得0.5分。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ind w:firstLine="2409"/>
        <w:jc w:val="center"/>
      </w:pPr>
      <w:r>
        <w:rPr/>
        <w:t xml:space="preserve"> </w:t>
      </w:r>
    </w:p>
    <w:p>
      <w:pPr>
        <w:pStyle w:val="null3"/>
        <w:ind w:firstLine="2409"/>
        <w:jc w:val="center"/>
      </w:pPr>
      <w:r>
        <w:rPr>
          <w:sz w:val="48"/>
          <w:b/>
        </w:rPr>
        <w:t>合　同　书</w:t>
      </w:r>
    </w:p>
    <w:p>
      <w:pPr>
        <w:pStyle w:val="null3"/>
        <w:jc w:val="center"/>
      </w:pPr>
      <w:r>
        <w:rPr/>
        <w:t xml:space="preserve">  </w:t>
      </w:r>
    </w:p>
    <w:p>
      <w:pPr>
        <w:pStyle w:val="null3"/>
        <w:jc w:val="both"/>
      </w:pPr>
      <w:r>
        <w:rPr>
          <w:sz w:val="28"/>
          <w:b/>
        </w:rPr>
        <w:t>是否为中小企业预留合同：</w:t>
      </w:r>
      <w:r>
        <w:rPr>
          <w:sz w:val="28"/>
          <w:b/>
        </w:rPr>
        <w:t>□是       □否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合同包号：</w:t>
            </w:r>
            <w:r>
              <w:rPr>
                <w:sz w:val="19"/>
                <w:b/>
                <w:u w:val="single"/>
              </w:rPr>
              <w:t xml:space="preserve">                                          </w:t>
            </w:r>
          </w:p>
        </w:tc>
      </w:tr>
    </w:tbl>
    <w:p>
      <w:pPr>
        <w:pStyle w:val="null3"/>
        <w:jc w:val="both"/>
      </w:pPr>
      <w:r>
        <w:rPr>
          <w:sz w:val="28"/>
          <w:b/>
        </w:rPr>
        <w:t>注：本合同仅为合同的参考文本，合同签订双方可根据项目的具体要求进行修订，但不得偏离实质性条款。</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44"/>
          <w:b/>
        </w:rPr>
        <w:t>医　疗　设　备　采　购　合　同</w:t>
      </w:r>
    </w:p>
    <w:p>
      <w:pPr>
        <w:pStyle w:val="null3"/>
        <w:jc w:val="center"/>
      </w:pPr>
      <w:r>
        <w:rPr/>
        <w:t xml:space="preserve">             </w:t>
      </w:r>
      <w:r>
        <w:rPr>
          <w:sz w:val="24"/>
        </w:rPr>
        <w:t>合同号：</w:t>
      </w:r>
    </w:p>
    <w:p>
      <w:pPr>
        <w:pStyle w:val="null3"/>
        <w:jc w:val="right"/>
      </w:pPr>
      <w:r>
        <w:rPr>
          <w:sz w:val="24"/>
        </w:rPr>
        <w:t>签约地点：广州市</w:t>
      </w:r>
      <w:r>
        <w:rPr>
          <w:sz w:val="24"/>
        </w:rPr>
        <w:t>南沙区妇幼保健院</w:t>
      </w:r>
    </w:p>
    <w:p>
      <w:pPr>
        <w:pStyle w:val="null3"/>
        <w:jc w:val="both"/>
      </w:pPr>
      <w:r>
        <w:rPr>
          <w:sz w:val="24"/>
          <w:b/>
        </w:rPr>
        <w:t>甲方（买方）：</w:t>
      </w:r>
      <w:r>
        <w:rPr>
          <w:sz w:val="24"/>
          <w:b/>
        </w:rPr>
        <w:t>广州市南沙区妇幼保健院</w:t>
      </w:r>
      <w:r>
        <w:rPr>
          <w:b/>
        </w:rPr>
        <w:t xml:space="preserve">                          </w:t>
      </w:r>
    </w:p>
    <w:p>
      <w:pPr>
        <w:pStyle w:val="null3"/>
        <w:jc w:val="both"/>
      </w:pPr>
      <w:r>
        <w:rPr>
          <w:sz w:val="24"/>
          <w:b/>
        </w:rPr>
        <w:t>乙方（卖方）：</w:t>
      </w:r>
    </w:p>
    <w:p>
      <w:pPr>
        <w:pStyle w:val="null3"/>
        <w:ind w:firstLine="480"/>
        <w:jc w:val="both"/>
      </w:pPr>
      <w:r>
        <w:rPr>
          <w:sz w:val="24"/>
        </w:rPr>
        <w:t>根据《中华人民共和国政府采购法》、《中华人民共和国民法典》的相关规定及</w:t>
      </w:r>
      <w:r>
        <w:rPr>
          <w:u w:val="single"/>
        </w:rPr>
        <w:t xml:space="preserve">      </w:t>
      </w:r>
      <w:r>
        <w:rPr>
          <w:sz w:val="24"/>
          <w:u w:val="single"/>
        </w:rPr>
        <w:t>（招标公司名称）</w:t>
      </w:r>
      <w:r>
        <w:rPr>
          <w:sz w:val="24"/>
          <w:u w:val="single"/>
        </w:rPr>
        <w:t xml:space="preserve">    </w:t>
      </w:r>
      <w:r>
        <w:rPr>
          <w:sz w:val="24"/>
        </w:rPr>
        <w:t xml:space="preserve"> </w:t>
      </w:r>
      <w:r>
        <w:rPr>
          <w:sz w:val="24"/>
        </w:rPr>
        <w:t>项目名称及编号</w:t>
      </w:r>
      <w:r>
        <w:rPr>
          <w:sz w:val="24"/>
          <w:u w:val="single"/>
        </w:rPr>
        <w:t xml:space="preserve">  </w:t>
      </w:r>
      <w:r>
        <w:rPr>
          <w:sz w:val="24"/>
          <w:u w:val="single"/>
        </w:rPr>
        <w:t>（招标项目及编号）</w:t>
      </w:r>
      <w:r>
        <w:rPr>
          <w:sz w:val="24"/>
        </w:rPr>
        <w:t>的中标（成交）结果及本项目招标文件、乙方投标（响应）文件的要求，甲方向乙方购买以下医疗设备货物（简称设备，下同）及其服务，为明确双方责任和权利，特签订本合同，并将共同遵守。具体条款如下：</w:t>
      </w:r>
    </w:p>
    <w:p>
      <w:pPr>
        <w:pStyle w:val="null3"/>
        <w:ind w:firstLine="482"/>
        <w:jc w:val="both"/>
      </w:pPr>
      <w:r>
        <w:rPr>
          <w:sz w:val="24"/>
          <w:b/>
        </w:rPr>
        <w:t xml:space="preserve">1. </w:t>
      </w:r>
      <w:r>
        <w:rPr>
          <w:sz w:val="24"/>
          <w:b/>
        </w:rPr>
        <w:t>合同主体</w:t>
      </w:r>
    </w:p>
    <w:tbl>
      <w:tblPr>
        <w:tblW w:w="0" w:type="auto"/>
        <w:tblBorders>
          <w:top w:val="single"/>
          <w:left w:val="single"/>
          <w:bottom w:val="single"/>
          <w:right w:val="single"/>
          <w:insideH w:val="single"/>
          <w:insideV w:val="single"/>
        </w:tblBorders>
      </w:tblPr>
      <w:tblGrid>
        <w:gridCol w:w="1065"/>
        <w:gridCol w:w="885"/>
        <w:gridCol w:w="1440"/>
        <w:gridCol w:w="960"/>
        <w:gridCol w:w="870"/>
        <w:gridCol w:w="960"/>
        <w:gridCol w:w="930"/>
        <w:gridCol w:w="1395"/>
        <w:gridCol w:w="900"/>
        <w:gridCol w:w="915"/>
      </w:tblGrid>
      <w:tr>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设备名称（注册证名称）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厂家</w:t>
            </w:r>
            <w:r>
              <w:rPr>
                <w:sz w:val="24"/>
              </w:rPr>
              <w:t>/</w:t>
            </w:r>
          </w:p>
          <w:p>
            <w:pPr>
              <w:pStyle w:val="null3"/>
              <w:jc w:val="center"/>
            </w:pPr>
            <w:r>
              <w:rPr>
                <w:sz w:val="24"/>
              </w:rPr>
              <w:t>品牌</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p>
            <w:pPr>
              <w:pStyle w:val="null3"/>
              <w:jc w:val="center"/>
            </w:pPr>
            <w:r>
              <w:rPr>
                <w:sz w:val="24"/>
              </w:rPr>
              <w:t>型号</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金额</w:t>
            </w:r>
            <w:r>
              <w:rPr>
                <w:sz w:val="24"/>
              </w:rPr>
              <w:t>(</w:t>
            </w:r>
            <w:r>
              <w:rPr>
                <w:sz w:val="24"/>
              </w:rPr>
              <w:t>元</w:t>
            </w:r>
            <w:r>
              <w:rPr>
                <w:sz w:val="24"/>
              </w:rPr>
              <w:t>)</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注册证号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使用年限</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质保期</w:t>
            </w:r>
          </w:p>
        </w:tc>
      </w:tr>
      <w:tr>
        <w:tc>
          <w:tcPr>
            <w:tcW w:type="dxa" w:w="1065"/>
          </w:tcPr>
          <w:p>
            <w:pPr>
              <w:pStyle w:val="null3"/>
            </w:pPr>
            <w:r>
              <w:rPr/>
              <w:t xml:space="preserve"> </w:t>
            </w:r>
          </w:p>
        </w:tc>
        <w:tc>
          <w:tcPr>
            <w:tcW w:type="dxa" w:w="885"/>
          </w:tcPr>
          <w:p>
            <w:pPr>
              <w:pStyle w:val="null3"/>
            </w:pPr>
            <w:r>
              <w:rPr/>
              <w:t xml:space="preserve"> </w:t>
            </w:r>
          </w:p>
        </w:tc>
        <w:tc>
          <w:tcPr>
            <w:tcW w:type="dxa" w:w="1440"/>
          </w:tcPr>
          <w:p>
            <w:pPr>
              <w:pStyle w:val="null3"/>
            </w:pPr>
            <w:r>
              <w:rPr/>
              <w:t xml:space="preserve"> </w:t>
            </w:r>
          </w:p>
        </w:tc>
        <w:tc>
          <w:tcPr>
            <w:tcW w:type="dxa" w:w="960"/>
          </w:tcPr>
          <w:p>
            <w:pPr>
              <w:pStyle w:val="null3"/>
            </w:pPr>
            <w:r>
              <w:rPr/>
              <w:t xml:space="preserve"> </w:t>
            </w:r>
          </w:p>
        </w:tc>
        <w:tc>
          <w:tcPr>
            <w:tcW w:type="dxa" w:w="870"/>
          </w:tcPr>
          <w:p>
            <w:pPr>
              <w:pStyle w:val="null3"/>
            </w:pPr>
            <w:r>
              <w:rPr/>
              <w:t xml:space="preserve"> </w:t>
            </w:r>
          </w:p>
        </w:tc>
        <w:tc>
          <w:tcPr>
            <w:tcW w:type="dxa" w:w="960"/>
          </w:tcPr>
          <w:p>
            <w:pPr>
              <w:pStyle w:val="null3"/>
            </w:pPr>
            <w:r>
              <w:rPr/>
              <w:t xml:space="preserve"> </w:t>
            </w:r>
          </w:p>
        </w:tc>
        <w:tc>
          <w:tcPr>
            <w:tcW w:type="dxa" w:w="930"/>
          </w:tcPr>
          <w:p>
            <w:pPr>
              <w:pStyle w:val="null3"/>
            </w:pPr>
            <w:r>
              <w:rPr/>
              <w:t xml:space="preserve"> </w:t>
            </w:r>
          </w:p>
        </w:tc>
        <w:tc>
          <w:tcPr>
            <w:tcW w:type="dxa" w:w="1395"/>
          </w:tcPr>
          <w:p>
            <w:pPr>
              <w:pStyle w:val="null3"/>
            </w:pPr>
            <w:r>
              <w:rPr/>
              <w:t xml:space="preserve"> </w:t>
            </w:r>
          </w:p>
        </w:tc>
        <w:tc>
          <w:tcPr>
            <w:tcW w:type="dxa" w:w="900"/>
          </w:tcPr>
          <w:p>
            <w:pPr>
              <w:pStyle w:val="null3"/>
            </w:pPr>
            <w:r>
              <w:rPr/>
              <w:t xml:space="preserve"> </w:t>
            </w:r>
          </w:p>
        </w:tc>
        <w:tc>
          <w:tcPr>
            <w:tcW w:type="dxa" w:w="915"/>
          </w:tcPr>
          <w:p>
            <w:pPr>
              <w:pStyle w:val="null3"/>
            </w:pPr>
            <w:r>
              <w:rPr/>
              <w:t xml:space="preserve"> </w:t>
            </w:r>
          </w:p>
        </w:tc>
      </w:tr>
      <w:tr>
        <w:tc>
          <w:tcPr>
            <w:tcW w:type="dxa" w:w="1065"/>
          </w:tcPr>
          <w:p>
            <w:pPr>
              <w:pStyle w:val="null3"/>
            </w:pPr>
            <w:r>
              <w:rPr/>
              <w:t xml:space="preserve"> </w:t>
            </w:r>
          </w:p>
        </w:tc>
        <w:tc>
          <w:tcPr>
            <w:tcW w:type="dxa" w:w="885"/>
          </w:tcPr>
          <w:p>
            <w:pPr>
              <w:pStyle w:val="null3"/>
            </w:pPr>
            <w:r>
              <w:rPr/>
              <w:t xml:space="preserve"> </w:t>
            </w:r>
          </w:p>
        </w:tc>
        <w:tc>
          <w:tcPr>
            <w:tcW w:type="dxa" w:w="1440"/>
          </w:tcPr>
          <w:p>
            <w:pPr>
              <w:pStyle w:val="null3"/>
            </w:pPr>
            <w:r>
              <w:rPr/>
              <w:t xml:space="preserve"> </w:t>
            </w:r>
          </w:p>
        </w:tc>
        <w:tc>
          <w:tcPr>
            <w:tcW w:type="dxa" w:w="960"/>
          </w:tcPr>
          <w:p>
            <w:pPr>
              <w:pStyle w:val="null3"/>
            </w:pPr>
            <w:r>
              <w:rPr/>
              <w:t xml:space="preserve"> </w:t>
            </w:r>
          </w:p>
        </w:tc>
        <w:tc>
          <w:tcPr>
            <w:tcW w:type="dxa" w:w="870"/>
          </w:tcPr>
          <w:p>
            <w:pPr>
              <w:pStyle w:val="null3"/>
            </w:pPr>
            <w:r>
              <w:rPr/>
              <w:t xml:space="preserve"> </w:t>
            </w:r>
          </w:p>
        </w:tc>
        <w:tc>
          <w:tcPr>
            <w:tcW w:type="dxa" w:w="960"/>
          </w:tcPr>
          <w:p>
            <w:pPr>
              <w:pStyle w:val="null3"/>
            </w:pPr>
            <w:r>
              <w:rPr/>
              <w:t xml:space="preserve"> </w:t>
            </w:r>
          </w:p>
        </w:tc>
        <w:tc>
          <w:tcPr>
            <w:tcW w:type="dxa" w:w="930"/>
          </w:tcPr>
          <w:p>
            <w:pPr>
              <w:pStyle w:val="null3"/>
            </w:pPr>
            <w:r>
              <w:rPr/>
              <w:t xml:space="preserve"> </w:t>
            </w:r>
          </w:p>
        </w:tc>
        <w:tc>
          <w:tcPr>
            <w:tcW w:type="dxa" w:w="1395"/>
          </w:tcPr>
          <w:p>
            <w:pPr>
              <w:pStyle w:val="null3"/>
            </w:pPr>
            <w:r>
              <w:rPr/>
              <w:t xml:space="preserve"> </w:t>
            </w:r>
          </w:p>
        </w:tc>
        <w:tc>
          <w:tcPr>
            <w:tcW w:type="dxa" w:w="900"/>
          </w:tcPr>
          <w:p>
            <w:pPr>
              <w:pStyle w:val="null3"/>
            </w:pPr>
            <w:r>
              <w:rPr/>
              <w:t xml:space="preserve"> </w:t>
            </w:r>
          </w:p>
        </w:tc>
        <w:tc>
          <w:tcPr>
            <w:tcW w:type="dxa" w:w="915"/>
          </w:tcPr>
          <w:p>
            <w:pPr>
              <w:pStyle w:val="null3"/>
            </w:pPr>
            <w:r>
              <w:rPr/>
              <w:t xml:space="preserve"> </w:t>
            </w:r>
          </w:p>
        </w:tc>
      </w:tr>
      <w:tr>
        <w:tc>
          <w:tcPr>
            <w:tcW w:type="dxa" w:w="1065"/>
          </w:tcPr>
          <w:p>
            <w:pPr>
              <w:pStyle w:val="null3"/>
            </w:pPr>
            <w:r>
              <w:rPr/>
              <w:t xml:space="preserve"> </w:t>
            </w:r>
          </w:p>
        </w:tc>
        <w:tc>
          <w:tcPr>
            <w:tcW w:type="dxa" w:w="885"/>
          </w:tcPr>
          <w:p>
            <w:pPr>
              <w:pStyle w:val="null3"/>
            </w:pPr>
            <w:r>
              <w:rPr/>
              <w:t xml:space="preserve"> </w:t>
            </w:r>
          </w:p>
        </w:tc>
        <w:tc>
          <w:tcPr>
            <w:tcW w:type="dxa" w:w="1440"/>
          </w:tcPr>
          <w:p>
            <w:pPr>
              <w:pStyle w:val="null3"/>
            </w:pPr>
            <w:r>
              <w:rPr/>
              <w:t xml:space="preserve"> </w:t>
            </w:r>
          </w:p>
        </w:tc>
        <w:tc>
          <w:tcPr>
            <w:tcW w:type="dxa" w:w="960"/>
          </w:tcPr>
          <w:p>
            <w:pPr>
              <w:pStyle w:val="null3"/>
            </w:pPr>
            <w:r>
              <w:rPr/>
              <w:t xml:space="preserve"> </w:t>
            </w:r>
          </w:p>
        </w:tc>
        <w:tc>
          <w:tcPr>
            <w:tcW w:type="dxa" w:w="870"/>
          </w:tcPr>
          <w:p>
            <w:pPr>
              <w:pStyle w:val="null3"/>
            </w:pPr>
            <w:r>
              <w:rPr/>
              <w:t xml:space="preserve"> </w:t>
            </w:r>
          </w:p>
        </w:tc>
        <w:tc>
          <w:tcPr>
            <w:tcW w:type="dxa" w:w="960"/>
          </w:tcPr>
          <w:p>
            <w:pPr>
              <w:pStyle w:val="null3"/>
            </w:pPr>
            <w:r>
              <w:rPr/>
              <w:t xml:space="preserve"> </w:t>
            </w:r>
          </w:p>
        </w:tc>
        <w:tc>
          <w:tcPr>
            <w:tcW w:type="dxa" w:w="930"/>
          </w:tcPr>
          <w:p>
            <w:pPr>
              <w:pStyle w:val="null3"/>
            </w:pPr>
            <w:r>
              <w:rPr/>
              <w:t xml:space="preserve"> </w:t>
            </w:r>
          </w:p>
        </w:tc>
        <w:tc>
          <w:tcPr>
            <w:tcW w:type="dxa" w:w="1395"/>
          </w:tcPr>
          <w:p>
            <w:pPr>
              <w:pStyle w:val="null3"/>
            </w:pPr>
            <w:r>
              <w:rPr/>
              <w:t xml:space="preserve"> </w:t>
            </w:r>
          </w:p>
        </w:tc>
        <w:tc>
          <w:tcPr>
            <w:tcW w:type="dxa" w:w="900"/>
          </w:tcPr>
          <w:p>
            <w:pPr>
              <w:pStyle w:val="null3"/>
            </w:pPr>
            <w:r>
              <w:rPr/>
              <w:t xml:space="preserve"> </w:t>
            </w:r>
          </w:p>
        </w:tc>
        <w:tc>
          <w:tcPr>
            <w:tcW w:type="dxa" w:w="915"/>
          </w:tcPr>
          <w:p>
            <w:pPr>
              <w:pStyle w:val="null3"/>
            </w:pPr>
            <w:r>
              <w:rPr/>
              <w:t xml:space="preserve"> </w:t>
            </w:r>
          </w:p>
        </w:tc>
      </w:tr>
      <w:tr>
        <w:tc>
          <w:tcPr>
            <w:tcW w:type="dxa" w:w="10320"/>
            <w:gridSpan w:val="10"/>
          </w:tcPr>
          <w:p>
            <w:pPr>
              <w:pStyle w:val="null3"/>
              <w:jc w:val="both"/>
            </w:pPr>
            <w:r>
              <w:rPr>
                <w:sz w:val="24"/>
                <w:b/>
              </w:rPr>
              <w:t>合计总金额（大写）：</w:t>
            </w:r>
            <w:r>
              <w:rPr>
                <w:sz w:val="24"/>
                <w:b/>
                <w:u w:val="single"/>
              </w:rPr>
              <w:t xml:space="preserve">          </w:t>
            </w:r>
            <w:r>
              <w:rPr>
                <w:sz w:val="24"/>
                <w:b/>
                <w:u w:val="single"/>
              </w:rPr>
              <w:t>元整</w:t>
            </w:r>
            <w:r>
              <w:rPr>
                <w:sz w:val="24"/>
                <w:b/>
              </w:rPr>
              <w:t>（</w:t>
            </w:r>
            <w:r>
              <w:rPr>
                <w:sz w:val="21"/>
                <w:b/>
                <w:u w:val="single"/>
              </w:rPr>
              <w:t xml:space="preserve"> </w:t>
            </w:r>
            <w:r>
              <w:rPr>
                <w:sz w:val="24"/>
                <w:b/>
                <w:u w:val="single"/>
              </w:rPr>
              <w:t>￥</w:t>
            </w:r>
            <w:r>
              <w:rPr>
                <w:sz w:val="24"/>
                <w:b/>
                <w:u w:val="single"/>
              </w:rPr>
              <w:t xml:space="preserve">        </w:t>
            </w:r>
            <w:r>
              <w:rPr>
                <w:sz w:val="24"/>
                <w:b/>
                <w:u w:val="single"/>
              </w:rPr>
              <w:t>元</w:t>
            </w:r>
            <w:r>
              <w:rPr>
                <w:sz w:val="24"/>
                <w:b/>
              </w:rPr>
              <w:t>）</w:t>
            </w:r>
          </w:p>
        </w:tc>
      </w:tr>
    </w:tbl>
    <w:p>
      <w:pPr>
        <w:pStyle w:val="null3"/>
      </w:pPr>
      <w:r>
        <w:rPr/>
        <w:t xml:space="preserve"> </w:t>
      </w:r>
    </w:p>
    <w:p>
      <w:pPr>
        <w:pStyle w:val="null3"/>
        <w:ind w:firstLine="480"/>
        <w:jc w:val="both"/>
      </w:pPr>
      <w:r>
        <w:rPr>
          <w:sz w:val="24"/>
        </w:rPr>
        <w:t>合同总金额包含但不限于设备设计、制造、包装、仓储、运输、装卸、安装、调试、培训、验收、项目实施相关财产和人员的保险、伴随的资料和服务、质保期保障（含质保期间维修配件和保养耗件的所有费用）、国家强检设备的初次检测费用等全部内容的所有含税费用，及合同履行过程中不可预见费用等。</w:t>
      </w:r>
    </w:p>
    <w:p>
      <w:pPr>
        <w:pStyle w:val="null3"/>
      </w:pPr>
      <w:r>
        <w:rPr/>
        <w:t xml:space="preserve"> </w:t>
      </w:r>
    </w:p>
    <w:p>
      <w:pPr>
        <w:pStyle w:val="null3"/>
        <w:ind w:firstLine="480"/>
        <w:jc w:val="both"/>
      </w:pPr>
      <w:r>
        <w:rPr>
          <w:sz w:val="24"/>
        </w:rPr>
        <w:t>本合同执行期间合同总金额不变。</w:t>
      </w:r>
    </w:p>
    <w:p>
      <w:pPr>
        <w:pStyle w:val="null3"/>
        <w:ind w:firstLine="482"/>
        <w:jc w:val="both"/>
      </w:pPr>
      <w:r>
        <w:rPr>
          <w:sz w:val="24"/>
          <w:b/>
        </w:rPr>
        <w:t>2.</w:t>
      </w:r>
      <w:r>
        <w:rPr>
          <w:sz w:val="24"/>
          <w:b/>
        </w:rPr>
        <w:t>交货时间及交货地点</w:t>
      </w:r>
    </w:p>
    <w:p>
      <w:pPr>
        <w:pStyle w:val="null3"/>
        <w:ind w:firstLine="480"/>
        <w:jc w:val="both"/>
      </w:pPr>
      <w:r>
        <w:rPr>
          <w:sz w:val="24"/>
        </w:rPr>
        <w:t>乙方在合同生效之日起的</w:t>
      </w:r>
      <w:r>
        <w:rPr>
          <w:u w:val="single"/>
        </w:rPr>
        <w:t xml:space="preserve">       </w:t>
      </w:r>
      <w:r>
        <w:rPr>
          <w:sz w:val="24"/>
        </w:rPr>
        <w:t>个自然日内将设备运至甲方指定地点（本合同交货地点为：</w:t>
      </w:r>
      <w:r>
        <w:rPr>
          <w:sz w:val="24"/>
          <w:u w:val="single"/>
        </w:rPr>
        <w:t>广州市</w:t>
      </w:r>
      <w:r>
        <w:rPr>
          <w:sz w:val="24"/>
          <w:u w:val="single"/>
        </w:rPr>
        <w:t>南沙区港湾街道</w:t>
      </w:r>
      <w:r>
        <w:rPr>
          <w:sz w:val="24"/>
          <w:u w:val="single"/>
        </w:rPr>
        <w:t>103</w:t>
      </w:r>
      <w:r>
        <w:rPr>
          <w:sz w:val="24"/>
          <w:u w:val="single"/>
        </w:rPr>
        <w:t>号</w:t>
      </w:r>
      <w:r>
        <w:rPr>
          <w:sz w:val="24"/>
          <w:u w:val="single"/>
        </w:rPr>
        <w:t>号</w:t>
      </w:r>
      <w:r>
        <w:rPr>
          <w:sz w:val="24"/>
          <w:u w:val="single"/>
        </w:rPr>
        <w:t>广州市南沙区妇幼保健院</w:t>
      </w:r>
      <w:r>
        <w:rPr>
          <w:sz w:val="24"/>
          <w:u w:val="single"/>
        </w:rPr>
        <w:t>）</w:t>
      </w:r>
      <w:r>
        <w:rPr>
          <w:sz w:val="24"/>
        </w:rPr>
        <w:t>，并完成安装调试。因甲方暂时不具备设备接收或安装条件等需要延后送货或安装调试的，则以甲方通知的日期为准。乙方无故逾期的，可按</w:t>
      </w:r>
      <w:r>
        <w:rPr>
          <w:sz w:val="24"/>
        </w:rPr>
        <w:t>“</w:t>
      </w:r>
      <w:r>
        <w:rPr>
          <w:sz w:val="24"/>
        </w:rPr>
        <w:t>8.2</w:t>
      </w:r>
      <w:r>
        <w:rPr>
          <w:sz w:val="24"/>
        </w:rPr>
        <w:t>”条款规定执行。</w:t>
      </w:r>
    </w:p>
    <w:p>
      <w:pPr>
        <w:pStyle w:val="null3"/>
        <w:ind w:firstLine="482"/>
        <w:jc w:val="both"/>
      </w:pPr>
      <w:r>
        <w:rPr>
          <w:sz w:val="24"/>
          <w:b/>
        </w:rPr>
        <w:t>3.</w:t>
      </w:r>
      <w:r>
        <w:rPr>
          <w:sz w:val="24"/>
          <w:b/>
        </w:rPr>
        <w:t>设备验收</w:t>
      </w:r>
    </w:p>
    <w:p>
      <w:pPr>
        <w:pStyle w:val="null3"/>
        <w:ind w:firstLine="482"/>
        <w:jc w:val="both"/>
      </w:pPr>
      <w:r>
        <w:rPr>
          <w:sz w:val="24"/>
          <w:b/>
        </w:rPr>
        <w:t xml:space="preserve">3.1 </w:t>
      </w:r>
      <w:r>
        <w:rPr>
          <w:sz w:val="24"/>
          <w:b/>
        </w:rPr>
        <w:t>到货验收</w:t>
      </w:r>
    </w:p>
    <w:p>
      <w:pPr>
        <w:pStyle w:val="null3"/>
        <w:ind w:firstLine="480"/>
        <w:jc w:val="left"/>
      </w:pPr>
      <w:r>
        <w:rPr>
          <w:sz w:val="24"/>
        </w:rPr>
        <w:t xml:space="preserve">3.1.1 </w:t>
      </w:r>
      <w:r>
        <w:rPr>
          <w:sz w:val="24"/>
        </w:rPr>
        <w:t>乙方应保证所供设备：如属于国产设备的，应是</w:t>
      </w:r>
      <w:r>
        <w:rPr>
          <w:sz w:val="24"/>
        </w:rPr>
        <w:t>6</w:t>
      </w:r>
      <w:r>
        <w:rPr>
          <w:sz w:val="24"/>
        </w:rPr>
        <w:t>个月内生产的；如属于进口设备的，应是</w:t>
      </w:r>
      <w:r>
        <w:rPr>
          <w:sz w:val="24"/>
        </w:rPr>
        <w:t>12</w:t>
      </w:r>
      <w:r>
        <w:rPr>
          <w:sz w:val="24"/>
        </w:rPr>
        <w:t>个月内生产的（从设备铭牌的生产日期起，计算至设备运至甲方指定地点的日期止）。</w:t>
      </w:r>
    </w:p>
    <w:p>
      <w:pPr>
        <w:pStyle w:val="null3"/>
        <w:ind w:firstLine="480"/>
        <w:jc w:val="both"/>
      </w:pPr>
      <w:r>
        <w:rPr>
          <w:sz w:val="24"/>
        </w:rPr>
        <w:t xml:space="preserve">3.1.2 </w:t>
      </w:r>
      <w:r>
        <w:rPr>
          <w:sz w:val="24"/>
        </w:rPr>
        <w:t>乙方应在设备运至甲方指定地点前</w:t>
      </w:r>
      <w:r>
        <w:rPr>
          <w:sz w:val="24"/>
        </w:rPr>
        <w:t>3</w:t>
      </w:r>
      <w:r>
        <w:rPr>
          <w:sz w:val="24"/>
        </w:rPr>
        <w:t>个自然日通知甲方设备主管部门相关人员，且设备到达时，乙方应委派代表到达甲方现场进行交接，否则甲方有权不予接收，乙方承担由此发生的一切损失和费用。</w:t>
      </w:r>
    </w:p>
    <w:p>
      <w:pPr>
        <w:pStyle w:val="null3"/>
        <w:ind w:firstLine="480"/>
        <w:jc w:val="both"/>
      </w:pPr>
      <w:r>
        <w:rPr>
          <w:sz w:val="24"/>
        </w:rPr>
        <w:t xml:space="preserve">3.1.3 </w:t>
      </w:r>
      <w:r>
        <w:rPr>
          <w:sz w:val="24"/>
        </w:rPr>
        <w:t>乙方确保设备在安装验收前有良好的防护措施（包括但不仅限于设备包装应适应远距离运输，以及设备到达前和到达后的防湿、防锈、防潮、防雨、防腐、防震、防碰撞及防野蛮装卸，甲乙双方相关人员应尽义务提醒等）。</w:t>
      </w:r>
    </w:p>
    <w:p>
      <w:pPr>
        <w:pStyle w:val="null3"/>
        <w:ind w:firstLine="480"/>
        <w:jc w:val="both"/>
      </w:pPr>
      <w:r>
        <w:rPr>
          <w:sz w:val="24"/>
        </w:rPr>
        <w:t xml:space="preserve">3.1.4 </w:t>
      </w:r>
      <w:r>
        <w:rPr>
          <w:sz w:val="24"/>
        </w:rPr>
        <w:t>设备到货时甲乙双方共同对设备进行开箱清点检查验收，如果发现短缺、损坏，或与合同约定的品牌、规格型号不符，或存在质量、技术等问题，乙方应及时安排更换，按照甲方的要求，采取补足、更换或退货等处理措施，以保证在本合同约定交付期内成功完成合同设备安装调试。</w:t>
      </w:r>
    </w:p>
    <w:p>
      <w:pPr>
        <w:pStyle w:val="null3"/>
        <w:ind w:firstLine="480"/>
        <w:jc w:val="both"/>
      </w:pPr>
      <w:r>
        <w:rPr>
          <w:sz w:val="24"/>
        </w:rPr>
        <w:t xml:space="preserve">3.1.5 </w:t>
      </w:r>
      <w:r>
        <w:rPr>
          <w:sz w:val="24"/>
        </w:rPr>
        <w:t>设备到货验收，仅代表甲方设备接收，完成的标志为：甲乙双方代表在送货单上签字确认。在完成项目验收前，甲方不负有设备完好保障的单方面责任。</w:t>
      </w:r>
    </w:p>
    <w:p>
      <w:pPr>
        <w:pStyle w:val="null3"/>
        <w:ind w:firstLine="482"/>
        <w:jc w:val="both"/>
      </w:pPr>
      <w:r>
        <w:rPr>
          <w:sz w:val="24"/>
          <w:b/>
        </w:rPr>
        <w:t xml:space="preserve">3.2 </w:t>
      </w:r>
      <w:r>
        <w:rPr>
          <w:sz w:val="24"/>
          <w:b/>
        </w:rPr>
        <w:t>伴随资料</w:t>
      </w:r>
    </w:p>
    <w:p>
      <w:pPr>
        <w:pStyle w:val="null3"/>
        <w:ind w:firstLine="480"/>
        <w:jc w:val="both"/>
      </w:pPr>
      <w:r>
        <w:rPr>
          <w:sz w:val="24"/>
        </w:rPr>
        <w:t xml:space="preserve">3.2.1 </w:t>
      </w:r>
      <w:r>
        <w:rPr>
          <w:sz w:val="24"/>
        </w:rPr>
        <w:t>乙方应按甲方要求提供设备完整的相关资料文件，包括但不限于设备的注册</w:t>
      </w:r>
      <w:r>
        <w:rPr>
          <w:sz w:val="24"/>
        </w:rPr>
        <w:t>/</w:t>
      </w:r>
      <w:r>
        <w:rPr>
          <w:sz w:val="24"/>
        </w:rPr>
        <w:t>许可文件、制造商出厂合格证明、检验检测报告、境外产品报关文书等资质及质量保证文书，能保证设备正确进行安装、调试、应用操作、维修、维护、测试、运行的产品设计图纸、使用说明书、维修手册、系统密码、简易维护和操作规程、培训课件、宣传推广等用途的所有资料。</w:t>
      </w:r>
    </w:p>
    <w:p>
      <w:pPr>
        <w:pStyle w:val="null3"/>
        <w:ind w:firstLine="480"/>
        <w:jc w:val="both"/>
      </w:pPr>
      <w:r>
        <w:rPr>
          <w:sz w:val="24"/>
        </w:rPr>
        <w:t xml:space="preserve">3.2.2 </w:t>
      </w:r>
      <w:r>
        <w:rPr>
          <w:sz w:val="24"/>
        </w:rPr>
        <w:t>如果项目必需、但采购文件和本合同又未作规定的，需要乙方才能提供的其它技术文件，乙方也应及时向甲方提供。</w:t>
      </w:r>
    </w:p>
    <w:p>
      <w:pPr>
        <w:pStyle w:val="null3"/>
        <w:ind w:firstLine="482"/>
        <w:jc w:val="both"/>
      </w:pPr>
      <w:r>
        <w:rPr>
          <w:sz w:val="24"/>
          <w:b/>
        </w:rPr>
        <w:t xml:space="preserve">3.3 </w:t>
      </w:r>
      <w:r>
        <w:rPr>
          <w:sz w:val="24"/>
          <w:b/>
        </w:rPr>
        <w:t>伴随服务</w:t>
      </w:r>
    </w:p>
    <w:p>
      <w:pPr>
        <w:pStyle w:val="null3"/>
        <w:ind w:firstLine="480"/>
        <w:jc w:val="both"/>
      </w:pPr>
      <w:r>
        <w:rPr>
          <w:sz w:val="24"/>
        </w:rPr>
        <w:t xml:space="preserve">3.3.1 </w:t>
      </w:r>
      <w:r>
        <w:rPr>
          <w:sz w:val="24"/>
        </w:rPr>
        <w:t>提供设备现场安装、调试、维修必要的专用工具、辅助材料，及必要的检测、校准技术服务，直至设备能正常投入使用。</w:t>
      </w:r>
    </w:p>
    <w:p>
      <w:pPr>
        <w:pStyle w:val="null3"/>
        <w:ind w:firstLine="480"/>
        <w:jc w:val="both"/>
      </w:pPr>
      <w:r>
        <w:rPr>
          <w:sz w:val="24"/>
        </w:rPr>
        <w:t xml:space="preserve">3.3.2 </w:t>
      </w:r>
      <w:r>
        <w:rPr>
          <w:sz w:val="24"/>
        </w:rPr>
        <w:t>乙方应制定详细的培训计划，提供包含但不限于甲方现场的应用技术指导和培训，直至甲方使用人员能安全、正确、有效使用。</w:t>
      </w:r>
    </w:p>
    <w:p>
      <w:pPr>
        <w:pStyle w:val="null3"/>
        <w:ind w:firstLine="480"/>
        <w:jc w:val="both"/>
      </w:pPr>
      <w:r>
        <w:rPr>
          <w:sz w:val="24"/>
        </w:rPr>
        <w:t xml:space="preserve">3.3.3 </w:t>
      </w:r>
      <w:r>
        <w:rPr>
          <w:sz w:val="24"/>
        </w:rPr>
        <w:t>乙方应制定设备使用、运行保障的技术保障方案，提供包括但不限于设备设计原理和构造、安装调试、性能检测、故障诊断、维修技能、日常保管保养等内容的培训。</w:t>
      </w:r>
    </w:p>
    <w:p>
      <w:pPr>
        <w:pStyle w:val="null3"/>
        <w:ind w:firstLine="482"/>
        <w:jc w:val="both"/>
      </w:pPr>
      <w:r>
        <w:rPr>
          <w:sz w:val="24"/>
          <w:b/>
        </w:rPr>
        <w:t xml:space="preserve">3.4 </w:t>
      </w:r>
      <w:r>
        <w:rPr>
          <w:sz w:val="24"/>
          <w:b/>
        </w:rPr>
        <w:t>安装调试和总体验收</w:t>
      </w:r>
    </w:p>
    <w:p>
      <w:pPr>
        <w:pStyle w:val="null3"/>
        <w:ind w:firstLine="480"/>
        <w:jc w:val="both"/>
      </w:pPr>
      <w:r>
        <w:rPr>
          <w:sz w:val="24"/>
        </w:rPr>
        <w:t xml:space="preserve">3.4.1 </w:t>
      </w:r>
      <w:r>
        <w:rPr>
          <w:sz w:val="24"/>
        </w:rPr>
        <w:t>设备到货后，乙方应在</w:t>
      </w:r>
      <w:r>
        <w:rPr>
          <w:u w:val="single"/>
        </w:rPr>
        <w:t xml:space="preserve">        </w:t>
      </w:r>
      <w:r>
        <w:rPr>
          <w:sz w:val="24"/>
        </w:rPr>
        <w:t>个工作日内安装调试完成。如甲方暂时不具备安装调试条件的，具体日期以甲方通知的为准。</w:t>
      </w:r>
    </w:p>
    <w:p>
      <w:pPr>
        <w:pStyle w:val="null3"/>
        <w:ind w:firstLine="480"/>
        <w:jc w:val="both"/>
      </w:pPr>
      <w:r>
        <w:rPr>
          <w:sz w:val="24"/>
        </w:rPr>
        <w:t xml:space="preserve">3.4.2 </w:t>
      </w:r>
      <w:r>
        <w:rPr>
          <w:sz w:val="24"/>
        </w:rPr>
        <w:t>设备安装期间，乙方应监督项目实施人员做好文明施工，保证物件堆放整齐、 通道畅通、施工废料清运及时等，确保施工人员、现场人员安全及甲方设备设施无损。因乙方原因造成甲方设备设施损坏，引起人员伤害等事故，乙方应负全部责任。</w:t>
      </w:r>
    </w:p>
    <w:p>
      <w:pPr>
        <w:pStyle w:val="null3"/>
        <w:ind w:firstLine="480"/>
        <w:jc w:val="both"/>
      </w:pPr>
      <w:r>
        <w:rPr>
          <w:sz w:val="24"/>
        </w:rPr>
        <w:t xml:space="preserve">3.4.3 </w:t>
      </w:r>
      <w:r>
        <w:rPr>
          <w:sz w:val="24"/>
        </w:rPr>
        <w:t>乙方人员应当严格遵守和配合甲方的消防、受限区域、院感等各项安全管理规定，拒不配合并造成不良后果的，乙方应负全部责任。</w:t>
      </w:r>
    </w:p>
    <w:p>
      <w:pPr>
        <w:pStyle w:val="null3"/>
        <w:ind w:firstLine="480"/>
        <w:jc w:val="both"/>
      </w:pPr>
      <w:r>
        <w:rPr>
          <w:sz w:val="24"/>
        </w:rPr>
        <w:t xml:space="preserve">3.4.4 </w:t>
      </w:r>
      <w:r>
        <w:rPr>
          <w:sz w:val="24"/>
        </w:rPr>
        <w:t>设备包装有木箱或木架的，请乙方在设备安装后把木箱或木架带走，勿丢弃在甲方医院内，如甲方发现乙方有丢弃木箱或木架在医院内的，一经核实，甲方有权在支付乙方的合同款项中扣减</w:t>
      </w:r>
      <w:r>
        <w:rPr>
          <w:sz w:val="24"/>
        </w:rPr>
        <w:t>1000</w:t>
      </w:r>
      <w:r>
        <w:rPr>
          <w:sz w:val="24"/>
        </w:rPr>
        <w:t>元作为罚款。</w:t>
      </w:r>
    </w:p>
    <w:p>
      <w:pPr>
        <w:pStyle w:val="null3"/>
        <w:ind w:firstLine="480"/>
        <w:jc w:val="both"/>
      </w:pPr>
      <w:r>
        <w:rPr>
          <w:sz w:val="24"/>
        </w:rPr>
        <w:t xml:space="preserve">3.4.5 </w:t>
      </w:r>
      <w:r>
        <w:rPr>
          <w:sz w:val="24"/>
        </w:rPr>
        <w:t>本合同所指的设备及其服务应符合本合同以及合同相关有效附件的技术规格所述的标准：如果没有提及适用标准，则应符合中华人民共和国国家标准或行业标准；如果中华人民共和国没有相关标准的，则采用设备来源国适用的官方标准。这些标准必须是有关机构发布的最新版本的标准。如果没有国家标准、行业标准及设备来源国适用的官方标准的，按照通常标准或者符合合同目的的特定标准履行。</w:t>
      </w:r>
    </w:p>
    <w:p>
      <w:pPr>
        <w:pStyle w:val="null3"/>
        <w:ind w:firstLine="480"/>
        <w:jc w:val="both"/>
      </w:pPr>
      <w:r>
        <w:rPr>
          <w:sz w:val="24"/>
        </w:rPr>
        <w:t xml:space="preserve">3.4.6 </w:t>
      </w:r>
      <w:r>
        <w:rPr>
          <w:sz w:val="24"/>
        </w:rPr>
        <w:t>对于国家强检设备，应由计量技术监督局指定部门进行检测且检测结果作为验收条件之一。</w:t>
      </w:r>
    </w:p>
    <w:p>
      <w:pPr>
        <w:pStyle w:val="null3"/>
        <w:ind w:firstLine="480"/>
        <w:jc w:val="both"/>
      </w:pPr>
      <w:r>
        <w:rPr>
          <w:sz w:val="24"/>
        </w:rPr>
        <w:t xml:space="preserve">3.4.7 </w:t>
      </w:r>
      <w:r>
        <w:rPr>
          <w:sz w:val="24"/>
        </w:rPr>
        <w:t>对于国家有计量技术规范要求的设备，应在相关部门进行检测且检测结果作为验收条件之一。</w:t>
      </w:r>
    </w:p>
    <w:p>
      <w:pPr>
        <w:pStyle w:val="null3"/>
        <w:ind w:firstLine="480"/>
        <w:jc w:val="both"/>
      </w:pPr>
      <w:r>
        <w:rPr>
          <w:sz w:val="24"/>
        </w:rPr>
        <w:t xml:space="preserve">3.4.8 </w:t>
      </w:r>
      <w:r>
        <w:rPr>
          <w:sz w:val="24"/>
        </w:rPr>
        <w:t>乙方提供的医疗设备如涉及一次性耗材的，必须是使用开放式耗材。</w:t>
      </w:r>
    </w:p>
    <w:p>
      <w:pPr>
        <w:pStyle w:val="null3"/>
        <w:ind w:firstLine="480"/>
        <w:jc w:val="both"/>
      </w:pPr>
      <w:r>
        <w:rPr>
          <w:sz w:val="24"/>
        </w:rPr>
        <w:t xml:space="preserve">3.4.9 </w:t>
      </w:r>
      <w:r>
        <w:rPr>
          <w:sz w:val="24"/>
        </w:rPr>
        <w:t>乙方提供的医疗设备必须开放数据接口，费用已包含在合同价款内，如设备需接入甲方院方系统的，原则上应当在验收前由乙方负责接入院方系统，如院方暂时不具备接入条件的，可以先行验收，具体接入时间以院方通知为准，具体接入实施工作由乙方负责，相关费用已包含在合同价款中，甲方不再另行支付其他任何费用。</w:t>
      </w:r>
    </w:p>
    <w:p>
      <w:pPr>
        <w:pStyle w:val="null3"/>
        <w:ind w:firstLine="480"/>
        <w:jc w:val="both"/>
      </w:pPr>
      <w:r>
        <w:rPr>
          <w:sz w:val="24"/>
        </w:rPr>
        <w:t xml:space="preserve">3.4.10 </w:t>
      </w:r>
      <w:r>
        <w:rPr>
          <w:sz w:val="24"/>
        </w:rPr>
        <w:t>合同设备安装调试完成，设备正常运行满</w:t>
      </w:r>
      <w:r>
        <w:rPr>
          <w:sz w:val="24"/>
        </w:rPr>
        <w:t>7</w:t>
      </w:r>
      <w:r>
        <w:rPr>
          <w:sz w:val="24"/>
        </w:rPr>
        <w:t>天后，乙方向甲方提出书面验收申请，甲方收到乙方书面验收申请后</w:t>
      </w:r>
      <w:r>
        <w:rPr>
          <w:sz w:val="24"/>
        </w:rPr>
        <w:t>7</w:t>
      </w:r>
      <w:r>
        <w:rPr>
          <w:sz w:val="24"/>
        </w:rPr>
        <w:t>日内组织履约验收。设备验收应在甲乙双方共同参加下进行验收，在符合中华人民共和国相关技术标准的基础上，根据合同设备的技术标准进行技术验收，验收合格后，甲乙双方相关人员在甲方《</w:t>
      </w:r>
      <w:r>
        <w:rPr>
          <w:sz w:val="24"/>
        </w:rPr>
        <w:t>广州市南沙区妇幼保健院医疗设备安装验收及操作培训报告</w:t>
      </w:r>
      <w:r>
        <w:rPr>
          <w:sz w:val="24"/>
        </w:rPr>
        <w:t>》上签字确认。乙方如有相关验收报告等文书要求的，甲方应予以配合签署，并作为验收材料之一。</w:t>
      </w:r>
    </w:p>
    <w:p>
      <w:pPr>
        <w:pStyle w:val="null3"/>
        <w:ind w:firstLine="480"/>
        <w:jc w:val="both"/>
      </w:pPr>
      <w:r>
        <w:rPr>
          <w:sz w:val="24"/>
        </w:rPr>
        <w:t xml:space="preserve">3.4.11 </w:t>
      </w:r>
      <w:r>
        <w:rPr>
          <w:sz w:val="24"/>
        </w:rPr>
        <w:t>验收按国家有关的规定、规范进行。验收时如发现所交付的设备有短装、次品、损坏或其它不符合本合同规定之情形者，应在《</w:t>
      </w:r>
      <w:r>
        <w:rPr>
          <w:sz w:val="24"/>
        </w:rPr>
        <w:t>广州市南沙区妇幼保健院医疗设备安装验收及操作培训报告</w:t>
      </w:r>
      <w:r>
        <w:rPr>
          <w:sz w:val="24"/>
        </w:rPr>
        <w:t>》作出详尽的现场记录，并由双方签字确认，作为补充、缺失和更换损坏部件的有效证据。由此产生的有关费用由乙方承担，如因此给甲方造成损失的，乙方应予赔偿，并承担由此发生的一切损失和费用。</w:t>
      </w:r>
    </w:p>
    <w:p>
      <w:pPr>
        <w:pStyle w:val="null3"/>
        <w:ind w:firstLine="480"/>
        <w:jc w:val="both"/>
      </w:pPr>
      <w:r>
        <w:rPr>
          <w:sz w:val="24"/>
        </w:rPr>
        <w:t xml:space="preserve">3.4.12 </w:t>
      </w:r>
      <w:r>
        <w:rPr>
          <w:sz w:val="24"/>
        </w:rPr>
        <w:t>验收前，乙方如未能提供应有的“</w:t>
      </w:r>
      <w:r>
        <w:rPr>
          <w:sz w:val="24"/>
        </w:rPr>
        <w:t>3.2</w:t>
      </w:r>
      <w:r>
        <w:rPr>
          <w:sz w:val="24"/>
        </w:rPr>
        <w:t>伴随资料”、“</w:t>
      </w:r>
      <w:r>
        <w:rPr>
          <w:sz w:val="24"/>
        </w:rPr>
        <w:t>3.3</w:t>
      </w:r>
      <w:r>
        <w:rPr>
          <w:sz w:val="24"/>
        </w:rPr>
        <w:t>伴随服务”的，则甲方有权推迟验收直至乙方补齐，期间发生的损失由乙方承担。若乙方无法补充完整或者提供的文件内容不属实的，则甲方有权拒收设备，已接收的，甲方则有权退回乙方，由此产生的损失由乙方承担。不影响项目进展、完整性的内容，及按项目进展需投入使用后方能提供的、符合法定程序的及其它合理的特殊伴随内容除外，但需备注说明。</w:t>
      </w:r>
    </w:p>
    <w:p>
      <w:pPr>
        <w:pStyle w:val="null3"/>
        <w:ind w:firstLine="480"/>
        <w:jc w:val="both"/>
      </w:pPr>
      <w:r>
        <w:rPr>
          <w:sz w:val="24"/>
        </w:rPr>
        <w:t xml:space="preserve">3.4.13 </w:t>
      </w:r>
      <w:r>
        <w:rPr>
          <w:sz w:val="24"/>
        </w:rPr>
        <w:t>乙方保证合同项下提供的设备不侵犯任何第三方的专利、商标或版权等知识产权。若因第三方主张知识产权或其他权利的侵权赔偿，导致甲方无法正常使用合同设备或造成甲方损失的，乙方应向甲方赔偿损失，赔偿范围包括但不限于：第三方主张的全部侵权赔偿、甲方正常使用合同设备后可以获得的利益、购置新的设备所产生的费用、诉讼费、律师费、公证费等所有费用支出。</w:t>
      </w:r>
      <w:r>
        <w:rPr/>
        <w:t xml:space="preserve"> </w:t>
      </w:r>
    </w:p>
    <w:p>
      <w:pPr>
        <w:pStyle w:val="null3"/>
        <w:ind w:firstLine="482"/>
        <w:jc w:val="both"/>
      </w:pPr>
      <w:r>
        <w:rPr>
          <w:sz w:val="24"/>
          <w:b/>
        </w:rPr>
        <w:t xml:space="preserve">4. </w:t>
      </w:r>
      <w:r>
        <w:rPr>
          <w:sz w:val="24"/>
          <w:b/>
        </w:rPr>
        <w:t>质量保证及售后服务</w:t>
      </w:r>
    </w:p>
    <w:p>
      <w:pPr>
        <w:pStyle w:val="null3"/>
        <w:ind w:firstLine="480"/>
        <w:jc w:val="both"/>
      </w:pPr>
      <w:r>
        <w:rPr>
          <w:sz w:val="24"/>
        </w:rPr>
        <w:t xml:space="preserve">4.1 </w:t>
      </w:r>
      <w:r>
        <w:rPr>
          <w:sz w:val="24"/>
        </w:rPr>
        <w:t>乙方应保证所供设备是全新的、未使用过的设备，整机无污染，无侵权行为、表面无划损、无任何缺陷隐患，在中国境内可常规安全合法使用，并符合国家有关安全质量标准、制造厂标准及合同技术标准要求，设备到货时，为该机器的最新硬件和软件版本。乙方应保证货物在正确安装、正常使用和保养条件下，在其使用寿命期内具备合同约定的性能。如果设备的生产（通关）期限、质量或规格与合同不符，或证实设备是有缺陷的，包括潜在的缺陷或使用不符合要求的材料等，甲方有权要求更换符合标准的同型号设备，其费用由乙方负担。</w:t>
      </w:r>
    </w:p>
    <w:p>
      <w:pPr>
        <w:pStyle w:val="null3"/>
        <w:ind w:firstLine="480"/>
        <w:jc w:val="both"/>
      </w:pPr>
      <w:r>
        <w:rPr>
          <w:sz w:val="24"/>
        </w:rPr>
        <w:t xml:space="preserve">4.2 </w:t>
      </w:r>
      <w:r>
        <w:rPr>
          <w:sz w:val="24"/>
        </w:rPr>
        <w:t>本合同的售后服务由乙方负责履行。如果乙方委托其他公司履行售后服务，乙方应提供履约公司的营业执照、维保服务承诺函、联系人及其电话，并作为本合同不可分割的组成部分。</w:t>
      </w:r>
    </w:p>
    <w:p>
      <w:pPr>
        <w:pStyle w:val="null3"/>
        <w:ind w:firstLine="480"/>
        <w:jc w:val="both"/>
      </w:pPr>
      <w:r>
        <w:rPr>
          <w:sz w:val="24"/>
        </w:rPr>
        <w:t xml:space="preserve">4.3 </w:t>
      </w:r>
      <w:r>
        <w:rPr>
          <w:sz w:val="24"/>
        </w:rPr>
        <w:t>合同设备的质保期详见本合同条款“</w:t>
      </w:r>
      <w:r>
        <w:rPr>
          <w:sz w:val="24"/>
        </w:rPr>
        <w:t>1.</w:t>
      </w:r>
      <w:r>
        <w:rPr>
          <w:sz w:val="24"/>
        </w:rPr>
        <w:t>合同主体”。质保期的期限应以甲乙双方签署的《</w:t>
      </w:r>
      <w:r>
        <w:rPr>
          <w:sz w:val="24"/>
        </w:rPr>
        <w:t>广州市南沙区妇幼保健院医疗设备安装验收及操作培训报告</w:t>
      </w:r>
      <w:r>
        <w:rPr>
          <w:sz w:val="24"/>
        </w:rPr>
        <w:t>》的最晚时间起计算，质保期内免收故障维修零配件、维护保养耗件、非一次性易损配件及其他任何费用。质保期内非因甲方的人为原因而出现产品质量及安装问题，由乙方负责包修、包换或包退，并承担因此而产生的一切费用。乙方在质保期内应确保设备使用、运行完好率</w:t>
      </w:r>
      <w:r>
        <w:rPr>
          <w:sz w:val="24"/>
        </w:rPr>
        <w:t>≥</w:t>
      </w:r>
      <w:r>
        <w:rPr>
          <w:sz w:val="24"/>
        </w:rPr>
        <w:t>95%</w:t>
      </w:r>
      <w:r>
        <w:rPr>
          <w:sz w:val="24"/>
        </w:rPr>
        <w:t>以上，如达不到此要求，即按超出的故障时间（以报修时间起算）的</w:t>
      </w:r>
      <w:r>
        <w:rPr>
          <w:sz w:val="24"/>
        </w:rPr>
        <w:t>3</w:t>
      </w:r>
      <w:r>
        <w:rPr>
          <w:sz w:val="24"/>
        </w:rPr>
        <w:t>倍延长质保期。</w:t>
      </w:r>
    </w:p>
    <w:p>
      <w:pPr>
        <w:pStyle w:val="null3"/>
        <w:ind w:firstLine="480"/>
        <w:jc w:val="both"/>
      </w:pPr>
      <w:r>
        <w:rPr>
          <w:sz w:val="24"/>
        </w:rPr>
        <w:t xml:space="preserve">4.4 </w:t>
      </w:r>
      <w:r>
        <w:rPr>
          <w:sz w:val="24"/>
        </w:rPr>
        <w:t>报修响应时间</w:t>
      </w:r>
      <w:r>
        <w:rPr>
          <w:sz w:val="24"/>
        </w:rPr>
        <w:t>12</w:t>
      </w:r>
      <w:r>
        <w:rPr>
          <w:sz w:val="24"/>
        </w:rPr>
        <w:t>小时（保修单位及联系人（电话）：</w:t>
      </w:r>
      <w:r>
        <w:rPr>
          <w:u w:val="single"/>
        </w:rPr>
        <w:t xml:space="preserve">                                    </w:t>
      </w:r>
      <w:r>
        <w:rPr>
          <w:sz w:val="24"/>
        </w:rPr>
        <w:t>；报障电话：</w:t>
      </w:r>
      <w:r>
        <w:rPr>
          <w:u w:val="single"/>
        </w:rPr>
        <w:t xml:space="preserve">                                     </w:t>
      </w:r>
      <w:r>
        <w:rPr>
          <w:sz w:val="24"/>
        </w:rPr>
        <w:t>），经确认需到现场的，</w:t>
      </w:r>
      <w:r>
        <w:rPr>
          <w:sz w:val="24"/>
        </w:rPr>
        <w:t>24</w:t>
      </w:r>
      <w:r>
        <w:rPr>
          <w:sz w:val="24"/>
        </w:rPr>
        <w:t>小时内维修人员到场（不可抗力除外）。若在</w:t>
      </w:r>
      <w:r>
        <w:rPr>
          <w:sz w:val="24"/>
        </w:rPr>
        <w:t>48</w:t>
      </w:r>
      <w:r>
        <w:rPr>
          <w:sz w:val="24"/>
        </w:rPr>
        <w:t>小时内仍未能恢复正常使用，乙方应该在甲方故障报告</w:t>
      </w:r>
      <w:r>
        <w:rPr>
          <w:sz w:val="24"/>
        </w:rPr>
        <w:t>72</w:t>
      </w:r>
      <w:r>
        <w:rPr>
          <w:sz w:val="24"/>
        </w:rPr>
        <w:t>小时内向甲方提供相同或同等标准的适用备用设备作为临时使用（费用包含在合同价内），或书面提交明确、具体的设备故障解决方案，并报使用科室和设备管理部门审批同意后，在协商限定的时间内解决；若再有延迟，从设备故障报告之时起至实际提供符合使用要求的备用设备或将故障设备修复之时止，质保期按延误时间的</w:t>
      </w:r>
      <w:r>
        <w:rPr>
          <w:sz w:val="24"/>
        </w:rPr>
        <w:t>10</w:t>
      </w:r>
      <w:r>
        <w:rPr>
          <w:sz w:val="24"/>
        </w:rPr>
        <w:t>倍顺延。</w:t>
      </w:r>
    </w:p>
    <w:p>
      <w:pPr>
        <w:pStyle w:val="null3"/>
        <w:ind w:firstLine="480"/>
        <w:jc w:val="both"/>
      </w:pPr>
      <w:r>
        <w:rPr>
          <w:sz w:val="24"/>
        </w:rPr>
        <w:t xml:space="preserve">4.5 </w:t>
      </w:r>
      <w:r>
        <w:rPr>
          <w:sz w:val="24"/>
        </w:rPr>
        <w:t>质保期内，如设备故障在一个月内仍不能修复或者相同故障重复出现</w:t>
      </w:r>
      <w:r>
        <w:rPr>
          <w:sz w:val="24"/>
        </w:rPr>
        <w:t>3</w:t>
      </w:r>
      <w:r>
        <w:rPr>
          <w:sz w:val="24"/>
        </w:rPr>
        <w:t>次的，甲方有权要求乙方更换同型号全新设备。乙方须在接甲方通知后更换同型号全新设备并承担相关退换货的费用，交货期与投标文件的承诺相同，并完成安装调试、验收等工作（费用由乙方负责），质保期重新计算。</w:t>
      </w:r>
    </w:p>
    <w:p>
      <w:pPr>
        <w:pStyle w:val="null3"/>
        <w:ind w:firstLine="480"/>
        <w:jc w:val="both"/>
      </w:pPr>
      <w:r>
        <w:rPr>
          <w:sz w:val="24"/>
        </w:rPr>
        <w:t>4.6</w:t>
      </w:r>
      <w:r>
        <w:rPr/>
        <w:t xml:space="preserve"> </w:t>
      </w:r>
      <w:r>
        <w:rPr>
          <w:sz w:val="24"/>
        </w:rPr>
        <w:t>质保期内，乙方或承保单位应根据包括但不限于合同设备说明书的要求提供维护保养服务，并提供经确认的维保工单。</w:t>
      </w:r>
    </w:p>
    <w:p>
      <w:pPr>
        <w:pStyle w:val="null3"/>
        <w:ind w:firstLine="480"/>
        <w:jc w:val="both"/>
      </w:pPr>
      <w:r>
        <w:rPr>
          <w:sz w:val="24"/>
        </w:rPr>
        <w:t>4.7</w:t>
      </w:r>
      <w:r>
        <w:rPr>
          <w:sz w:val="24"/>
        </w:rPr>
        <w:t>乙方或承保单位应提供设备质保期外的完好保障服务方案和优质的技术服务，储备足够的零配件备库，并提供常用维修备件清单、价格及厂家报价凭证。</w:t>
      </w:r>
    </w:p>
    <w:p>
      <w:pPr>
        <w:pStyle w:val="null3"/>
        <w:ind w:firstLine="480"/>
        <w:jc w:val="both"/>
      </w:pPr>
      <w:r>
        <w:rPr>
          <w:sz w:val="24"/>
        </w:rPr>
        <w:t>4.8</w:t>
      </w:r>
      <w:r>
        <w:rPr/>
        <w:t xml:space="preserve"> </w:t>
      </w:r>
      <w:r>
        <w:rPr>
          <w:sz w:val="24"/>
        </w:rPr>
        <w:t>在本合同的设备报废前，乙方应向甲方提供设备相关软件升级和版本更换（费用包含在合同价内）。</w:t>
      </w:r>
    </w:p>
    <w:p>
      <w:pPr>
        <w:pStyle w:val="null3"/>
        <w:ind w:firstLine="480"/>
        <w:jc w:val="both"/>
      </w:pPr>
      <w:r>
        <w:rPr>
          <w:sz w:val="24"/>
        </w:rPr>
        <w:t xml:space="preserve">4.9 </w:t>
      </w:r>
      <w:r>
        <w:rPr>
          <w:sz w:val="24"/>
        </w:rPr>
        <w:t>乙方提供的售后服务的费用已包含在合同价款中，甲方不再另行支付。</w:t>
      </w:r>
    </w:p>
    <w:p>
      <w:pPr>
        <w:pStyle w:val="null3"/>
        <w:ind w:firstLine="480"/>
        <w:jc w:val="both"/>
      </w:pPr>
      <w:r>
        <w:rPr>
          <w:sz w:val="24"/>
        </w:rPr>
        <w:t xml:space="preserve">4.10 </w:t>
      </w:r>
      <w:r>
        <w:rPr>
          <w:sz w:val="24"/>
        </w:rPr>
        <w:t>乙方应确保甲方在正当操作使用和维护条件下设备可以达到使用年限的要求。如设备在其使用年限期间出现严重质量问题（如：反复维修等严重降低甲方工作效率的情形），或其他无法使用情形（如设备配件停产、专机专用耗材无法提供、设备无法维修导致设备报废等），甲方有权要求乙方采取一定措施保证甲方的权利，如要求乙方更换全新设备（所换设备必须符合本合同约定的规格、质量和性能，并保证可满足使用年限要求）等。如乙方无法更换全新设备的，应向甲方书面提交明确、具体的解决方案，并报使用科室和设备管理部门审批同意后，在协商限定的时间内解决。如双方无法协商一致，甲方有权退回设备并要求乙方退回合同款项，乙方应赔偿由此造成甲方的一切损失。</w:t>
      </w:r>
    </w:p>
    <w:p>
      <w:pPr>
        <w:pStyle w:val="null3"/>
        <w:ind w:firstLine="480"/>
        <w:jc w:val="both"/>
      </w:pPr>
      <w:r>
        <w:rPr>
          <w:sz w:val="24"/>
          <w:b/>
        </w:rPr>
        <w:t xml:space="preserve">5. </w:t>
      </w:r>
      <w:r>
        <w:rPr>
          <w:sz w:val="24"/>
          <w:b/>
        </w:rPr>
        <w:t>付款方式及期限</w:t>
      </w:r>
    </w:p>
    <w:p>
      <w:pPr>
        <w:pStyle w:val="null3"/>
        <w:ind w:firstLine="480"/>
        <w:jc w:val="both"/>
      </w:pPr>
      <w:r>
        <w:rPr>
          <w:sz w:val="24"/>
        </w:rPr>
        <w:t>【常规项目付款方式】</w:t>
      </w:r>
    </w:p>
    <w:p>
      <w:pPr>
        <w:pStyle w:val="null3"/>
        <w:ind w:firstLine="480"/>
        <w:jc w:val="both"/>
      </w:pPr>
      <w:r>
        <w:rPr>
          <w:sz w:val="24"/>
        </w:rPr>
        <w:t xml:space="preserve">5.1 </w:t>
      </w:r>
      <w:r>
        <w:rPr>
          <w:sz w:val="24"/>
        </w:rPr>
        <w:t>本合同的每笔款项以人民币对公转账方式支付，时间和金额约定如下：</w:t>
      </w:r>
    </w:p>
    <w:p>
      <w:pPr>
        <w:pStyle w:val="null3"/>
        <w:ind w:firstLine="480"/>
        <w:jc w:val="both"/>
      </w:pPr>
      <w:r>
        <w:rPr>
          <w:sz w:val="24"/>
        </w:rPr>
        <w:t>合同设备全部完成安装调试并验收合格后的次月内，由甲方向乙方支付合同总金额的</w:t>
      </w:r>
      <w:r>
        <w:rPr>
          <w:sz w:val="21"/>
          <w:u w:val="single"/>
        </w:rPr>
        <w:t>100</w:t>
      </w:r>
      <w:r>
        <w:rPr>
          <w:sz w:val="24"/>
        </w:rPr>
        <w:t>%</w:t>
      </w:r>
      <w:r>
        <w:rPr>
          <w:sz w:val="24"/>
        </w:rPr>
        <w:t>，即人民币：大</w:t>
      </w:r>
      <w:r>
        <w:rPr>
          <w:sz w:val="24"/>
          <w:u w:val="single"/>
        </w:rPr>
        <w:t>写：</w:t>
      </w:r>
      <w:r>
        <w:rPr>
          <w:sz w:val="24"/>
          <w:u w:val="single"/>
        </w:rPr>
        <w:t xml:space="preserve">                   </w:t>
      </w:r>
      <w:r>
        <w:rPr>
          <w:sz w:val="24"/>
        </w:rPr>
        <w:t>（小写：</w:t>
      </w:r>
      <w:r>
        <w:rPr>
          <w:sz w:val="24"/>
        </w:rPr>
        <w:t xml:space="preserve">    </w:t>
      </w:r>
      <w:r>
        <w:rPr>
          <w:sz w:val="24"/>
        </w:rPr>
        <w:t>）；</w:t>
      </w:r>
    </w:p>
    <w:p>
      <w:pPr>
        <w:pStyle w:val="null3"/>
        <w:ind w:firstLine="480"/>
        <w:jc w:val="both"/>
      </w:pPr>
      <w:r>
        <w:rPr>
          <w:sz w:val="24"/>
        </w:rPr>
        <w:t>5.2</w:t>
      </w:r>
      <w:r>
        <w:rPr>
          <w:sz w:val="24"/>
        </w:rPr>
        <w:t>收款账户</w:t>
      </w:r>
    </w:p>
    <w:p>
      <w:pPr>
        <w:pStyle w:val="null3"/>
        <w:ind w:firstLine="480"/>
        <w:jc w:val="both"/>
      </w:pPr>
      <w:r>
        <w:rPr>
          <w:sz w:val="24"/>
        </w:rPr>
        <w:t xml:space="preserve">5.2.1 </w:t>
      </w:r>
      <w:r>
        <w:rPr>
          <w:sz w:val="24"/>
        </w:rPr>
        <w:t>乙方指定的收款账户如下：</w:t>
      </w:r>
    </w:p>
    <w:p>
      <w:pPr>
        <w:pStyle w:val="null3"/>
        <w:ind w:firstLine="480"/>
        <w:jc w:val="both"/>
      </w:pPr>
      <w:r>
        <w:rPr>
          <w:sz w:val="24"/>
        </w:rPr>
        <w:t>收款账户名称：</w:t>
      </w:r>
    </w:p>
    <w:p>
      <w:pPr>
        <w:pStyle w:val="null3"/>
        <w:ind w:firstLine="480"/>
        <w:jc w:val="both"/>
      </w:pPr>
      <w:r>
        <w:rPr>
          <w:sz w:val="24"/>
        </w:rPr>
        <w:t>收款银行名称：</w:t>
      </w:r>
    </w:p>
    <w:p>
      <w:pPr>
        <w:pStyle w:val="null3"/>
        <w:ind w:firstLine="480"/>
        <w:jc w:val="both"/>
      </w:pPr>
      <w:r>
        <w:rPr>
          <w:sz w:val="24"/>
        </w:rPr>
        <w:t>收款银行账号：</w:t>
      </w:r>
      <w:r>
        <w:rPr>
          <w:b/>
        </w:rPr>
        <w:t xml:space="preserve"> </w:t>
      </w:r>
    </w:p>
    <w:p>
      <w:pPr>
        <w:pStyle w:val="null3"/>
        <w:ind w:firstLine="480"/>
        <w:jc w:val="both"/>
      </w:pPr>
      <w:r>
        <w:rPr>
          <w:sz w:val="24"/>
        </w:rPr>
        <w:t>税务登记号：</w:t>
      </w:r>
      <w:r>
        <w:rPr>
          <w:b/>
        </w:rPr>
        <w:t xml:space="preserve"> </w:t>
      </w:r>
    </w:p>
    <w:p>
      <w:pPr>
        <w:pStyle w:val="null3"/>
        <w:ind w:firstLine="480"/>
        <w:jc w:val="both"/>
      </w:pPr>
      <w:r>
        <w:rPr>
          <w:sz w:val="24"/>
        </w:rPr>
        <w:t>5.2.2</w:t>
      </w:r>
      <w:r>
        <w:rPr/>
        <w:t xml:space="preserve"> </w:t>
      </w:r>
      <w:r>
        <w:rPr>
          <w:sz w:val="24"/>
        </w:rPr>
        <w:t>甲方应按照合同约定的付款期限及时将合同款项支付至乙方指定的收款账户。</w:t>
      </w:r>
    </w:p>
    <w:p>
      <w:pPr>
        <w:pStyle w:val="null3"/>
        <w:ind w:firstLine="480"/>
        <w:jc w:val="both"/>
      </w:pPr>
      <w:r>
        <w:rPr>
          <w:sz w:val="24"/>
        </w:rPr>
        <w:t>5.2.3</w:t>
      </w:r>
      <w:r>
        <w:rPr/>
        <w:t xml:space="preserve"> </w:t>
      </w:r>
      <w:r>
        <w:rPr>
          <w:sz w:val="24"/>
        </w:rPr>
        <w:t>如因乙方收款账户提供有误，致使没能及时收到合同款项，由此产生的经济纠纷和法律责任由乙方自行承担。</w:t>
      </w:r>
    </w:p>
    <w:p>
      <w:pPr>
        <w:pStyle w:val="null3"/>
        <w:ind w:firstLine="480"/>
        <w:jc w:val="both"/>
      </w:pPr>
      <w:r>
        <w:rPr>
          <w:sz w:val="24"/>
        </w:rPr>
        <w:t>5.2.4</w:t>
      </w:r>
      <w:r>
        <w:rPr/>
        <w:t xml:space="preserve"> </w:t>
      </w:r>
      <w:r>
        <w:rPr>
          <w:sz w:val="24"/>
        </w:rPr>
        <w:t>如乙方需变更收款账户信息，应在甲乙双方约定的付款时间至少提前</w:t>
      </w:r>
      <w:r>
        <w:rPr>
          <w:sz w:val="24"/>
        </w:rPr>
        <w:t>10</w:t>
      </w:r>
      <w:r>
        <w:rPr>
          <w:sz w:val="24"/>
        </w:rPr>
        <w:t>个工作日书面函告甲方，否则甲方依然按本合同约定的收款账户进行付款。</w:t>
      </w:r>
    </w:p>
    <w:p>
      <w:pPr>
        <w:pStyle w:val="null3"/>
        <w:ind w:firstLine="480"/>
        <w:jc w:val="both"/>
      </w:pPr>
      <w:r>
        <w:rPr>
          <w:sz w:val="24"/>
        </w:rPr>
        <w:t>5.2.5</w:t>
      </w:r>
      <w:r>
        <w:rPr/>
        <w:t xml:space="preserve"> </w:t>
      </w:r>
      <w:r>
        <w:rPr>
          <w:sz w:val="24"/>
        </w:rPr>
        <w:t>甲方开票信息</w:t>
      </w:r>
    </w:p>
    <w:p>
      <w:pPr>
        <w:pStyle w:val="null3"/>
        <w:ind w:firstLine="480"/>
        <w:jc w:val="both"/>
      </w:pPr>
      <w:r>
        <w:rPr>
          <w:sz w:val="24"/>
        </w:rPr>
        <w:t>账户：</w:t>
      </w:r>
      <w:r>
        <w:rPr>
          <w:sz w:val="24"/>
        </w:rPr>
        <w:t>广州市南沙区妇幼保健院</w:t>
      </w:r>
      <w:r>
        <w:rPr/>
        <w:t xml:space="preserve"> </w:t>
      </w:r>
    </w:p>
    <w:p>
      <w:pPr>
        <w:pStyle w:val="null3"/>
        <w:ind w:firstLine="480"/>
        <w:jc w:val="both"/>
      </w:pPr>
      <w:r>
        <w:rPr>
          <w:sz w:val="24"/>
        </w:rPr>
        <w:t>账号：</w:t>
      </w:r>
      <w:r>
        <w:rPr>
          <w:sz w:val="24"/>
        </w:rPr>
        <w:t>05431827000000095</w:t>
      </w:r>
    </w:p>
    <w:p>
      <w:pPr>
        <w:pStyle w:val="null3"/>
        <w:ind w:firstLine="480"/>
        <w:jc w:val="both"/>
      </w:pPr>
      <w:r>
        <w:rPr>
          <w:sz w:val="24"/>
        </w:rPr>
        <w:t>开户行：</w:t>
      </w:r>
      <w:r>
        <w:rPr>
          <w:sz w:val="24"/>
        </w:rPr>
        <w:t>广州农村商业银行股份有限公司南沙大岭支行</w:t>
      </w:r>
      <w:r>
        <w:rPr/>
        <w:t xml:space="preserve"> </w:t>
      </w:r>
    </w:p>
    <w:p>
      <w:pPr>
        <w:pStyle w:val="null3"/>
        <w:ind w:firstLine="480"/>
        <w:jc w:val="both"/>
      </w:pPr>
      <w:r>
        <w:rPr>
          <w:sz w:val="24"/>
        </w:rPr>
        <w:t>税务登记号：</w:t>
      </w:r>
      <w:r>
        <w:rPr>
          <w:sz w:val="24"/>
        </w:rPr>
        <w:t>124401156832512548</w:t>
      </w:r>
      <w:r>
        <w:rPr/>
        <w:t xml:space="preserve"> </w:t>
      </w:r>
    </w:p>
    <w:p>
      <w:pPr>
        <w:pStyle w:val="null3"/>
        <w:ind w:firstLine="480"/>
        <w:jc w:val="both"/>
      </w:pPr>
      <w:r>
        <w:rPr>
          <w:sz w:val="24"/>
        </w:rPr>
        <w:t>注：</w:t>
      </w:r>
      <w:r>
        <w:rPr>
          <w:sz w:val="24"/>
        </w:rPr>
        <w:t>①如本项目资金涉及财政资金，甲方在前款规定的付款时间内向政府采购支付部门提出办理财政支付申请手续（不含政府财政支付部门审核的时间）后即视为已经按期支付。具体到账时间以财务部门审核拨付为准。②若因为财政资金未及时到账原因导致甲方未能在前款规定的付款时间及时付款不视为甲方违约。甲方应及时通知乙方延长付款期限，但应在预算下达后及时支付相关款项。③如因乙方原因造成时间推延导致财政资金被回收，甲方无需承担剩余资金的付款责任。④如因上级财政部门政策调整等不确定因素或不可抗力的原因导致资金无法支付或资金被回收，合同无法履行或需要变更时，双方应友好协商处理，乙方应当理解并不得以此向甲方索赔。</w:t>
      </w:r>
    </w:p>
    <w:p>
      <w:pPr>
        <w:pStyle w:val="null3"/>
        <w:ind w:firstLine="480"/>
        <w:jc w:val="both"/>
      </w:pPr>
      <w:r>
        <w:rPr>
          <w:sz w:val="24"/>
          <w:b/>
        </w:rPr>
        <w:t>6.</w:t>
      </w:r>
      <w:r>
        <w:rPr>
          <w:sz w:val="24"/>
          <w:b/>
        </w:rPr>
        <w:t>产权与风险转移</w:t>
      </w:r>
    </w:p>
    <w:p>
      <w:pPr>
        <w:pStyle w:val="null3"/>
        <w:ind w:firstLine="480"/>
        <w:jc w:val="both"/>
      </w:pPr>
      <w:r>
        <w:rPr>
          <w:sz w:val="24"/>
        </w:rPr>
        <w:t xml:space="preserve">6.1 </w:t>
      </w:r>
      <w:r>
        <w:rPr>
          <w:sz w:val="24"/>
        </w:rPr>
        <w:t>乙方交由承运人运输的在途设备，毁损、灭失的风险由乙方承担。</w:t>
      </w:r>
    </w:p>
    <w:p>
      <w:pPr>
        <w:pStyle w:val="null3"/>
        <w:ind w:firstLine="480"/>
        <w:jc w:val="both"/>
      </w:pPr>
      <w:r>
        <w:rPr>
          <w:sz w:val="24"/>
        </w:rPr>
        <w:t xml:space="preserve">6.2 </w:t>
      </w:r>
      <w:r>
        <w:rPr>
          <w:sz w:val="24"/>
        </w:rPr>
        <w:t>设备的产权，损坏、灭失的风险，在设备通过验收交付使用时起由乙方转移至甲方。</w:t>
      </w:r>
    </w:p>
    <w:p>
      <w:pPr>
        <w:pStyle w:val="null3"/>
        <w:ind w:firstLine="480"/>
        <w:jc w:val="both"/>
      </w:pPr>
      <w:r>
        <w:rPr>
          <w:sz w:val="24"/>
        </w:rPr>
        <w:t xml:space="preserve">6.3 </w:t>
      </w:r>
      <w:r>
        <w:rPr>
          <w:sz w:val="24"/>
        </w:rPr>
        <w:t>因设备验收不合格甲方拒收，或双方已解除合同，设备毁损、灭失的风险由乙方承担。</w:t>
      </w:r>
    </w:p>
    <w:p>
      <w:pPr>
        <w:pStyle w:val="null3"/>
        <w:ind w:firstLine="480"/>
        <w:jc w:val="both"/>
      </w:pPr>
      <w:r>
        <w:rPr>
          <w:sz w:val="24"/>
        </w:rPr>
        <w:t xml:space="preserve">6.4 </w:t>
      </w:r>
      <w:r>
        <w:rPr>
          <w:sz w:val="24"/>
        </w:rPr>
        <w:t>产权和风险的转移，不影响因乙方履行义务不符合约定，甲方要求其承担违约责任的权利。</w:t>
      </w:r>
    </w:p>
    <w:p>
      <w:pPr>
        <w:pStyle w:val="null3"/>
        <w:ind w:firstLine="482"/>
        <w:jc w:val="both"/>
      </w:pPr>
      <w:r>
        <w:rPr>
          <w:sz w:val="24"/>
          <w:b/>
        </w:rPr>
        <w:t>7.</w:t>
      </w:r>
      <w:r>
        <w:rPr>
          <w:sz w:val="24"/>
          <w:b/>
        </w:rPr>
        <w:t>保险</w:t>
      </w:r>
    </w:p>
    <w:p>
      <w:pPr>
        <w:pStyle w:val="null3"/>
        <w:ind w:firstLine="480"/>
        <w:jc w:val="both"/>
      </w:pPr>
      <w:r>
        <w:rPr>
          <w:sz w:val="24"/>
        </w:rPr>
        <w:t>根据本合同关于产权与风险转移条款规定，乙方承担设备到达交货地点并安装、验收合格交付使用之前的所有风险。乙方须做好派往甲方服务的人员（包括送货、安装、调试、维修维护等服务人员）的安全培训教育，保障落实安全措施，确保服务人员的安全。乙方须为派往甲方服务的人员提供覆盖本合同的雇主责任保险（包括但不限于人身意外险、第三者责任险），乙方服务人员在甲方工作范围内因安全措施不力、违反安全操作规程、发生意外等原因造成的一切人身伤害及财产损失由乙方承担全部责任，因此造成甲方严重经济损失或构成严重负面影响的，乙方须赔偿甲方经济损失并承担相应法律责任。</w:t>
      </w:r>
    </w:p>
    <w:p>
      <w:pPr>
        <w:pStyle w:val="null3"/>
        <w:ind w:firstLine="482"/>
        <w:jc w:val="both"/>
      </w:pPr>
      <w:r>
        <w:rPr>
          <w:sz w:val="24"/>
          <w:b/>
        </w:rPr>
        <w:t>8.</w:t>
      </w:r>
      <w:r>
        <w:rPr>
          <w:sz w:val="24"/>
          <w:b/>
        </w:rPr>
        <w:t>索赔条款</w:t>
      </w:r>
    </w:p>
    <w:p>
      <w:pPr>
        <w:pStyle w:val="null3"/>
        <w:ind w:firstLine="480"/>
        <w:jc w:val="both"/>
      </w:pPr>
      <w:r>
        <w:rPr>
          <w:sz w:val="24"/>
        </w:rPr>
        <w:t xml:space="preserve">8.1 </w:t>
      </w:r>
      <w:r>
        <w:rPr>
          <w:sz w:val="24"/>
        </w:rPr>
        <w:t>如乙方提供的设备不符合本合同约定，或经国家药品监督管理局或其他相关机构检验确认设备不符合本合同约定，甲方有权选择采取以下一种或者多种措施：</w:t>
      </w:r>
    </w:p>
    <w:p>
      <w:pPr>
        <w:pStyle w:val="null3"/>
        <w:ind w:firstLine="480"/>
        <w:jc w:val="both"/>
      </w:pPr>
      <w:r>
        <w:rPr>
          <w:sz w:val="24"/>
        </w:rPr>
        <w:t xml:space="preserve">8.1.1 </w:t>
      </w:r>
      <w:r>
        <w:rPr>
          <w:sz w:val="24"/>
        </w:rPr>
        <w:t>甲方有权拒收，并保有解除本合同的权利。如甲方解除本合同的，乙方应按合同总金额的</w:t>
      </w:r>
      <w:r>
        <w:rPr>
          <w:sz w:val="24"/>
        </w:rPr>
        <w:t xml:space="preserve">20% </w:t>
      </w:r>
      <w:r>
        <w:rPr>
          <w:sz w:val="24"/>
        </w:rPr>
        <w:t>向甲方支付违约金。</w:t>
      </w:r>
    </w:p>
    <w:p>
      <w:pPr>
        <w:pStyle w:val="null3"/>
        <w:ind w:firstLine="480"/>
        <w:jc w:val="both"/>
      </w:pPr>
      <w:r>
        <w:rPr>
          <w:sz w:val="24"/>
        </w:rPr>
        <w:t>8.1.2</w:t>
      </w:r>
      <w:r>
        <w:rPr/>
        <w:t xml:space="preserve"> </w:t>
      </w:r>
      <w:r>
        <w:rPr>
          <w:sz w:val="24"/>
        </w:rPr>
        <w:t>按照设备的疵劣程度、损坏的范围和甲方所遭受的损失，双方协商降低设备的价值。</w:t>
      </w:r>
    </w:p>
    <w:p>
      <w:pPr>
        <w:pStyle w:val="null3"/>
        <w:ind w:firstLine="480"/>
        <w:jc w:val="both"/>
      </w:pPr>
      <w:r>
        <w:rPr>
          <w:sz w:val="24"/>
        </w:rPr>
        <w:t>8.1.3</w:t>
      </w:r>
      <w:r>
        <w:rPr/>
        <w:t xml:space="preserve"> </w:t>
      </w:r>
      <w:r>
        <w:rPr>
          <w:sz w:val="24"/>
        </w:rPr>
        <w:t>调换有瑕疵的设备，换货必须全新并符合本合同规定的规格、质量和性能，乙方并负责因此而产生的一切费用和甲方的一切直接损失。同时，质保期相应延长。</w:t>
      </w:r>
    </w:p>
    <w:p>
      <w:pPr>
        <w:pStyle w:val="null3"/>
        <w:ind w:firstLine="480"/>
        <w:jc w:val="both"/>
      </w:pPr>
      <w:r>
        <w:rPr>
          <w:sz w:val="24"/>
        </w:rPr>
        <w:t xml:space="preserve">8.2 </w:t>
      </w:r>
      <w:r>
        <w:rPr>
          <w:sz w:val="24"/>
        </w:rPr>
        <w:t>如果乙方没有按照本合同规定的时限如期履约的，每迟延一天，按合同总金额的</w:t>
      </w:r>
      <w:r>
        <w:rPr>
          <w:sz w:val="24"/>
        </w:rPr>
        <w:t>1</w:t>
      </w:r>
      <w:r>
        <w:rPr>
          <w:sz w:val="24"/>
        </w:rPr>
        <w:t>‰向甲方支付违约金。逾期半个月以上的，甲方有权终止合同，由此造成的甲方经济损失由乙方承担，并且乙方应按合同总金额的</w:t>
      </w:r>
      <w:r>
        <w:rPr>
          <w:sz w:val="24"/>
        </w:rPr>
        <w:t xml:space="preserve">20% </w:t>
      </w:r>
      <w:r>
        <w:rPr>
          <w:sz w:val="24"/>
        </w:rPr>
        <w:t>向甲方支付违约金。</w:t>
      </w:r>
    </w:p>
    <w:p>
      <w:pPr>
        <w:pStyle w:val="null3"/>
        <w:ind w:firstLine="480"/>
        <w:jc w:val="both"/>
      </w:pPr>
      <w:r>
        <w:rPr>
          <w:sz w:val="24"/>
        </w:rPr>
        <w:t>8.3</w:t>
      </w:r>
      <w:r>
        <w:rPr/>
        <w:t xml:space="preserve"> </w:t>
      </w:r>
      <w:r>
        <w:rPr>
          <w:sz w:val="24"/>
        </w:rPr>
        <w:t>乙方擅自转包、分包的，甲方有权提前解除本合同，并且乙方应按合同总金额的</w:t>
      </w:r>
      <w:r>
        <w:rPr>
          <w:sz w:val="24"/>
        </w:rPr>
        <w:t xml:space="preserve">20% </w:t>
      </w:r>
      <w:r>
        <w:rPr>
          <w:sz w:val="24"/>
        </w:rPr>
        <w:t>向甲方支付违约金。</w:t>
      </w:r>
    </w:p>
    <w:p>
      <w:pPr>
        <w:pStyle w:val="null3"/>
        <w:ind w:firstLine="480"/>
        <w:jc w:val="both"/>
      </w:pPr>
      <w:r>
        <w:rPr>
          <w:sz w:val="24"/>
        </w:rPr>
        <w:t>8.4</w:t>
      </w:r>
      <w:r>
        <w:rPr/>
        <w:t xml:space="preserve"> </w:t>
      </w:r>
      <w:r>
        <w:rPr>
          <w:sz w:val="24"/>
        </w:rPr>
        <w:t>乙方须为甲方开具合法的发票。乙方承诺，如乙方开具的发票不符合《中华人民共和国发票管理办法》及相关法律法规的要求，乙方应立即重新为甲方开具符合要求的发票，并向甲方支付不符合要求的发票总金额</w:t>
      </w:r>
      <w:r>
        <w:rPr>
          <w:sz w:val="24"/>
        </w:rPr>
        <w:t>20%</w:t>
      </w:r>
      <w:r>
        <w:rPr>
          <w:sz w:val="24"/>
        </w:rPr>
        <w:t>的违约金。如甲方因乙方开具的发票不符合要求而受到有权机关的处罚，乙方还应全额赔偿甲方因该处罚而受到的损失和费用（包括但不限于罚款、诉讼费、律师费等）。如乙方因开具不符合要求的发票而受到有权机关处罚，该处罚不能作为乙方减轻或免除按照上述约定应向甲方承担责任的理由。同时，乙方需要采取有效措施，避免甲方损失扩大化。</w:t>
      </w:r>
    </w:p>
    <w:p>
      <w:pPr>
        <w:pStyle w:val="null3"/>
        <w:ind w:firstLine="480"/>
        <w:jc w:val="both"/>
      </w:pPr>
      <w:r>
        <w:rPr>
          <w:sz w:val="24"/>
        </w:rPr>
        <w:t>8.5</w:t>
      </w:r>
      <w:r>
        <w:rPr/>
        <w:t xml:space="preserve"> </w:t>
      </w:r>
      <w:r>
        <w:rPr>
          <w:sz w:val="24"/>
        </w:rPr>
        <w:t>甲方行使单方解除权时，寄送地址为本协议载明之通讯地址，从甲方向乙方以邮寄方式寄送《解约通知函》之日起七天后，视为送达，《解约通知函》送达之日，本合同解除。</w:t>
      </w:r>
    </w:p>
    <w:p>
      <w:pPr>
        <w:pStyle w:val="null3"/>
        <w:ind w:firstLine="480"/>
        <w:jc w:val="both"/>
      </w:pPr>
      <w:r>
        <w:rPr>
          <w:sz w:val="24"/>
        </w:rPr>
        <w:t>8.6</w:t>
      </w:r>
      <w:r>
        <w:rPr/>
        <w:t xml:space="preserve"> </w:t>
      </w:r>
      <w:r>
        <w:rPr>
          <w:sz w:val="24"/>
        </w:rPr>
        <w:t>乙方因出现本合同约定的其他情形或法律规定的情形，致使甲方提前解除合同的，乙方需按本合同总金额的</w:t>
      </w:r>
      <w:r>
        <w:rPr>
          <w:sz w:val="24"/>
        </w:rPr>
        <w:t>20%</w:t>
      </w:r>
      <w:r>
        <w:rPr>
          <w:sz w:val="24"/>
        </w:rPr>
        <w:t>向甲方支付违约金。</w:t>
      </w:r>
    </w:p>
    <w:p>
      <w:pPr>
        <w:pStyle w:val="null3"/>
        <w:ind w:firstLine="480"/>
        <w:jc w:val="both"/>
      </w:pPr>
      <w:r>
        <w:rPr>
          <w:sz w:val="24"/>
        </w:rPr>
        <w:t>8.7</w:t>
      </w:r>
      <w:r>
        <w:rPr/>
        <w:t xml:space="preserve"> </w:t>
      </w:r>
      <w:r>
        <w:rPr>
          <w:sz w:val="24"/>
        </w:rPr>
        <w:t>本合同约定或法律规定的违约金、赔偿金，乙方应在违约行为发生之日起</w:t>
      </w:r>
      <w:r>
        <w:rPr>
          <w:sz w:val="24"/>
        </w:rPr>
        <w:t>30</w:t>
      </w:r>
      <w:r>
        <w:rPr>
          <w:sz w:val="24"/>
        </w:rPr>
        <w:t>个自然日内支付，甲方有权在应向乙方支付的款项中直接予以扣除而不影响合同项下的其他补救办法。</w:t>
      </w:r>
    </w:p>
    <w:p>
      <w:pPr>
        <w:pStyle w:val="null3"/>
        <w:ind w:firstLine="480"/>
        <w:jc w:val="both"/>
      </w:pPr>
      <w:r>
        <w:rPr>
          <w:sz w:val="24"/>
        </w:rPr>
        <w:t>8.8</w:t>
      </w:r>
      <w:r>
        <w:rPr/>
        <w:t xml:space="preserve"> </w:t>
      </w:r>
      <w:r>
        <w:rPr>
          <w:sz w:val="24"/>
        </w:rPr>
        <w:t>乙方应保证甲方在使用本合同项下的设备或其任何一部分时，免受第三方提出侵犯其担保物权、专利权、商标权、著作权或工业产权的起诉。否则，乙方应自行向第三方承担侵权责任及因此而发生的所有费用。如甲方依法向第三方赔偿后，有权向乙方追偿。甲方有其他损失的，乙方应当赔偿。</w:t>
      </w:r>
    </w:p>
    <w:p>
      <w:pPr>
        <w:pStyle w:val="null3"/>
        <w:ind w:firstLine="480"/>
        <w:jc w:val="both"/>
      </w:pPr>
      <w:r>
        <w:rPr>
          <w:sz w:val="24"/>
        </w:rPr>
        <w:t xml:space="preserve">8.9 </w:t>
      </w:r>
      <w:r>
        <w:rPr>
          <w:sz w:val="24"/>
        </w:rPr>
        <w:t>乙方应持续保持良好的信誉和商业信用，积极维护自身的信用形象，无不良信用记录、违法违规行为或其他严重不良经营行为。乙方应主动向甲方提供有关信用记录的证明文件，包括但不限于银行信用报告、征信报告等。如乙方在经营活动中因违反国家法律法规或因与第三方发生诉讼等原因导致本合同无法履行或影响本合同正常履行的，甲方有权解除本合同，由此造成的甲方经济损失由乙方承担。</w:t>
      </w:r>
    </w:p>
    <w:p>
      <w:pPr>
        <w:pStyle w:val="null3"/>
        <w:ind w:firstLine="480"/>
        <w:jc w:val="both"/>
      </w:pPr>
      <w:r>
        <w:rPr>
          <w:sz w:val="24"/>
        </w:rPr>
        <w:t>8.10</w:t>
      </w:r>
      <w:r>
        <w:rPr/>
        <w:t xml:space="preserve"> </w:t>
      </w:r>
      <w:r>
        <w:rPr>
          <w:sz w:val="24"/>
        </w:rPr>
        <w:t>乙方为执行本合同而提供的技术资料、软件的使用权归甲方所有。</w:t>
      </w:r>
    </w:p>
    <w:p>
      <w:pPr>
        <w:pStyle w:val="null3"/>
        <w:ind w:firstLine="480"/>
        <w:jc w:val="both"/>
      </w:pPr>
      <w:r>
        <w:rPr>
          <w:sz w:val="24"/>
        </w:rPr>
        <w:t>8.11</w:t>
      </w:r>
      <w:r>
        <w:rPr/>
        <w:t xml:space="preserve"> </w:t>
      </w:r>
      <w:r>
        <w:rPr>
          <w:sz w:val="24"/>
        </w:rPr>
        <w:t>提前解除合同的，如属于政府采购的合同，报甲方财政主管部门审批后按审批意见予以处理。</w:t>
      </w:r>
    </w:p>
    <w:p>
      <w:pPr>
        <w:pStyle w:val="null3"/>
        <w:ind w:firstLine="482"/>
        <w:jc w:val="both"/>
      </w:pPr>
      <w:r>
        <w:rPr>
          <w:sz w:val="24"/>
          <w:b/>
        </w:rPr>
        <w:t>9.</w:t>
      </w:r>
      <w:r>
        <w:rPr>
          <w:sz w:val="24"/>
          <w:b/>
        </w:rPr>
        <w:t>不可抗力</w:t>
      </w:r>
    </w:p>
    <w:p>
      <w:pPr>
        <w:pStyle w:val="null3"/>
        <w:ind w:firstLine="480"/>
        <w:jc w:val="both"/>
      </w:pPr>
      <w:r>
        <w:rPr>
          <w:sz w:val="24"/>
        </w:rPr>
        <w:t xml:space="preserve">9.1 </w:t>
      </w:r>
      <w:r>
        <w:rPr>
          <w:sz w:val="24"/>
        </w:rPr>
        <w:t>不可抗力是指超出一方合理控制能力，致使一方无法根据本合同规定履行全部或部分义务的任何原因，包括罢工、封锁、核事故、自然灾害、战争、恐怖主义活动、暴乱、动乱、极端不利天气条件、火灾、洪水、暴风雨、法律</w:t>
      </w:r>
      <w:r>
        <w:rPr>
          <w:sz w:val="24"/>
        </w:rPr>
        <w:t>/</w:t>
      </w:r>
      <w:r>
        <w:rPr>
          <w:sz w:val="24"/>
        </w:rPr>
        <w:t>法规</w:t>
      </w:r>
      <w:r>
        <w:rPr>
          <w:sz w:val="24"/>
        </w:rPr>
        <w:t>/</w:t>
      </w:r>
      <w:r>
        <w:rPr>
          <w:sz w:val="24"/>
        </w:rPr>
        <w:t>政府命令、条例或指示的执行等。</w:t>
      </w:r>
    </w:p>
    <w:p>
      <w:pPr>
        <w:pStyle w:val="null3"/>
        <w:ind w:firstLine="480"/>
        <w:jc w:val="both"/>
      </w:pPr>
      <w:r>
        <w:rPr>
          <w:sz w:val="24"/>
        </w:rPr>
        <w:t xml:space="preserve">9.2 </w:t>
      </w:r>
      <w:r>
        <w:rPr>
          <w:sz w:val="24"/>
        </w:rPr>
        <w:t>本合同任何一方因不可抗力而不能或延迟履行本合同项下任何义务，应立即以可能的最快捷方式通知对方，并在不可抗力事件发生</w:t>
      </w:r>
      <w:r>
        <w:rPr>
          <w:sz w:val="24"/>
        </w:rPr>
        <w:t>15</w:t>
      </w:r>
      <w:r>
        <w:rPr>
          <w:sz w:val="24"/>
        </w:rPr>
        <w:t>个自然日内向对方出具能有效证明该不可抗力事件发生的证明材料。遭受不可抗力影响的一方在其遭受不可抗力事件影响的范围内不承担任何违约责任，对因此给对方造成的任何损失也不承担任何责任，但应采取积极有效的措施以尽量减少因不能或延迟履行本合同项下义务而给对方造成的损失。</w:t>
      </w:r>
    </w:p>
    <w:p>
      <w:pPr>
        <w:pStyle w:val="null3"/>
        <w:ind w:firstLine="480"/>
        <w:jc w:val="both"/>
      </w:pPr>
      <w:r>
        <w:rPr>
          <w:sz w:val="24"/>
        </w:rPr>
        <w:t xml:space="preserve">9.3 </w:t>
      </w:r>
      <w:r>
        <w:rPr>
          <w:sz w:val="24"/>
        </w:rPr>
        <w:t>不可抗力事件发生后，甲乙双方应尽快协商继续履行、变更履行或终止本合同。</w:t>
      </w:r>
    </w:p>
    <w:p>
      <w:pPr>
        <w:pStyle w:val="null3"/>
        <w:ind w:firstLine="482"/>
        <w:jc w:val="both"/>
      </w:pPr>
      <w:r>
        <w:rPr>
          <w:sz w:val="24"/>
          <w:b/>
        </w:rPr>
        <w:t>10.</w:t>
      </w:r>
      <w:r>
        <w:rPr>
          <w:sz w:val="24"/>
          <w:b/>
        </w:rPr>
        <w:t>争端的解决</w:t>
      </w:r>
    </w:p>
    <w:p>
      <w:pPr>
        <w:pStyle w:val="null3"/>
        <w:ind w:firstLine="480"/>
        <w:jc w:val="both"/>
      </w:pPr>
      <w:r>
        <w:rPr>
          <w:sz w:val="24"/>
        </w:rPr>
        <w:t xml:space="preserve">10.1 </w:t>
      </w:r>
      <w:r>
        <w:rPr>
          <w:sz w:val="24"/>
        </w:rPr>
        <w:t>双方如在履行合同中发生任何纠纷，均以上述交付验收标准作为解决依据。首先应友好协商；协商不成，应向甲方所在地有管辖权的人民法院起诉。</w:t>
      </w:r>
    </w:p>
    <w:p>
      <w:pPr>
        <w:pStyle w:val="null3"/>
        <w:ind w:firstLine="480"/>
        <w:jc w:val="both"/>
      </w:pPr>
      <w:r>
        <w:rPr>
          <w:sz w:val="24"/>
        </w:rPr>
        <w:t xml:space="preserve">10.2 </w:t>
      </w:r>
      <w:r>
        <w:rPr>
          <w:sz w:val="24"/>
        </w:rPr>
        <w:t>因设备质量问题发生的争议，统一由甲方所在地产品质量监督管理部门进行鉴定，所发生的费用先由乙方预付，鉴定结果认定设备符合技术标准时鉴定费由甲方承担，否则鉴定费由乙方承担。</w:t>
      </w:r>
    </w:p>
    <w:p>
      <w:pPr>
        <w:pStyle w:val="null3"/>
        <w:ind w:firstLine="482"/>
        <w:jc w:val="both"/>
      </w:pPr>
      <w:r>
        <w:rPr>
          <w:sz w:val="24"/>
          <w:b/>
        </w:rPr>
        <w:t>11.</w:t>
      </w:r>
      <w:r>
        <w:rPr>
          <w:sz w:val="24"/>
          <w:b/>
        </w:rPr>
        <w:t>合同附件</w:t>
      </w:r>
    </w:p>
    <w:p>
      <w:pPr>
        <w:pStyle w:val="null3"/>
        <w:ind w:firstLine="480"/>
        <w:jc w:val="both"/>
      </w:pPr>
      <w:r>
        <w:rPr>
          <w:sz w:val="24"/>
        </w:rPr>
        <w:t xml:space="preserve">11.1 </w:t>
      </w:r>
      <w:r>
        <w:rPr>
          <w:sz w:val="24"/>
        </w:rPr>
        <w:t>合同附件、招标（采购）文件、投标（响应）文件、承诺书、中标（成交）通知书均为合同的不可分割的组成部分，与合同具有同等法律效力。</w:t>
      </w:r>
    </w:p>
    <w:p>
      <w:pPr>
        <w:pStyle w:val="null3"/>
        <w:ind w:firstLine="480"/>
        <w:jc w:val="both"/>
      </w:pPr>
      <w:r>
        <w:rPr>
          <w:sz w:val="24"/>
        </w:rPr>
        <w:t xml:space="preserve">11.2 </w:t>
      </w:r>
      <w:r>
        <w:rPr>
          <w:sz w:val="24"/>
        </w:rPr>
        <w:t>在执行本合同的过程中，所有经双方签署确认的文件（包括会议记录、补充协议、往来信函）即成为本合同的有效组成部分，其生效日期为双方签字并盖章或确认之日期。</w:t>
      </w:r>
    </w:p>
    <w:p>
      <w:pPr>
        <w:pStyle w:val="null3"/>
        <w:ind w:firstLine="480"/>
        <w:jc w:val="both"/>
      </w:pPr>
      <w:r>
        <w:rPr>
          <w:sz w:val="24"/>
        </w:rPr>
        <w:t xml:space="preserve">11.3 </w:t>
      </w:r>
      <w:r>
        <w:rPr>
          <w:sz w:val="24"/>
        </w:rPr>
        <w:t>投标文件中的设备技术响应、设备技术说明等应作为合同的有效组成部分。</w:t>
      </w:r>
    </w:p>
    <w:p>
      <w:pPr>
        <w:pStyle w:val="null3"/>
        <w:ind w:firstLine="480"/>
        <w:jc w:val="both"/>
      </w:pPr>
      <w:r>
        <w:rPr>
          <w:sz w:val="24"/>
        </w:rPr>
        <w:t xml:space="preserve">11.4 </w:t>
      </w:r>
      <w:r>
        <w:rPr>
          <w:sz w:val="24"/>
        </w:rPr>
        <w:t>上述文件之间如有任何抵触、矛盾或歧义，应按以下顺序解释：</w:t>
      </w:r>
    </w:p>
    <w:p>
      <w:pPr>
        <w:pStyle w:val="null3"/>
        <w:ind w:firstLine="480"/>
        <w:jc w:val="both"/>
      </w:pPr>
      <w:r>
        <w:rPr>
          <w:sz w:val="24"/>
        </w:rPr>
        <w:t>（</w:t>
      </w:r>
      <w:r>
        <w:rPr>
          <w:sz w:val="24"/>
        </w:rPr>
        <w:t>1</w:t>
      </w:r>
      <w:r>
        <w:rPr>
          <w:sz w:val="24"/>
        </w:rPr>
        <w:t>）政府采购合同协议书及其变更、补充协议</w:t>
      </w:r>
    </w:p>
    <w:p>
      <w:pPr>
        <w:pStyle w:val="null3"/>
        <w:ind w:firstLine="480"/>
        <w:jc w:val="both"/>
      </w:pPr>
      <w:r>
        <w:rPr>
          <w:sz w:val="24"/>
        </w:rPr>
        <w:t>（</w:t>
      </w:r>
      <w:r>
        <w:rPr>
          <w:sz w:val="24"/>
        </w:rPr>
        <w:t>2</w:t>
      </w:r>
      <w:r>
        <w:rPr>
          <w:sz w:val="24"/>
        </w:rPr>
        <w:t>）中标（成交）通知书</w:t>
      </w:r>
    </w:p>
    <w:p>
      <w:pPr>
        <w:pStyle w:val="null3"/>
        <w:ind w:firstLine="480"/>
        <w:jc w:val="both"/>
      </w:pPr>
      <w:r>
        <w:rPr>
          <w:sz w:val="24"/>
        </w:rPr>
        <w:t>（</w:t>
      </w:r>
      <w:r>
        <w:rPr>
          <w:sz w:val="24"/>
        </w:rPr>
        <w:t>3</w:t>
      </w:r>
      <w:r>
        <w:rPr>
          <w:sz w:val="24"/>
        </w:rPr>
        <w:t>）投标（响应）文件</w:t>
      </w:r>
    </w:p>
    <w:p>
      <w:pPr>
        <w:pStyle w:val="null3"/>
        <w:ind w:firstLine="480"/>
        <w:jc w:val="both"/>
      </w:pPr>
      <w:r>
        <w:rPr>
          <w:sz w:val="24"/>
        </w:rPr>
        <w:t>（</w:t>
      </w:r>
      <w:r>
        <w:rPr>
          <w:sz w:val="24"/>
        </w:rPr>
        <w:t>4</w:t>
      </w:r>
      <w:r>
        <w:rPr>
          <w:sz w:val="24"/>
        </w:rPr>
        <w:t>）招标（采购）文件</w:t>
      </w:r>
    </w:p>
    <w:p>
      <w:pPr>
        <w:pStyle w:val="null3"/>
        <w:ind w:firstLine="480"/>
        <w:jc w:val="both"/>
      </w:pPr>
      <w:r>
        <w:rPr>
          <w:sz w:val="24"/>
        </w:rPr>
        <w:t>（</w:t>
      </w:r>
      <w:r>
        <w:rPr>
          <w:sz w:val="24"/>
        </w:rPr>
        <w:t>5</w:t>
      </w:r>
      <w:r>
        <w:rPr>
          <w:sz w:val="24"/>
        </w:rPr>
        <w:t>）有关技术文件，图纸</w:t>
      </w:r>
    </w:p>
    <w:p>
      <w:pPr>
        <w:pStyle w:val="null3"/>
        <w:ind w:firstLine="480"/>
        <w:jc w:val="both"/>
      </w:pPr>
      <w:r>
        <w:rPr>
          <w:sz w:val="24"/>
        </w:rPr>
        <w:t>（</w:t>
      </w:r>
      <w:r>
        <w:rPr>
          <w:sz w:val="24"/>
        </w:rPr>
        <w:t>6</w:t>
      </w:r>
      <w:r>
        <w:rPr>
          <w:sz w:val="24"/>
        </w:rPr>
        <w:t>）国家法律、行政法规和规章制度规定或合同约定的作为合同组成部分的其他文件</w:t>
      </w:r>
    </w:p>
    <w:p>
      <w:pPr>
        <w:pStyle w:val="null3"/>
        <w:ind w:firstLine="480"/>
        <w:jc w:val="both"/>
      </w:pPr>
      <w:r>
        <w:rPr>
          <w:sz w:val="24"/>
        </w:rPr>
        <w:t>11.5</w:t>
      </w:r>
      <w:r>
        <w:rPr/>
        <w:t xml:space="preserve"> </w:t>
      </w:r>
      <w:r>
        <w:rPr>
          <w:sz w:val="24"/>
        </w:rPr>
        <w:t>除甲方事先以书面形式确认同意外，乙方不得部分或全部转让其应履行的合同项下的义务。</w:t>
      </w:r>
    </w:p>
    <w:p>
      <w:pPr>
        <w:pStyle w:val="null3"/>
        <w:ind w:firstLine="482"/>
        <w:jc w:val="both"/>
      </w:pPr>
      <w:r>
        <w:rPr>
          <w:sz w:val="24"/>
          <w:b/>
        </w:rPr>
        <w:t>12.</w:t>
      </w:r>
      <w:r>
        <w:rPr>
          <w:sz w:val="24"/>
          <w:b/>
        </w:rPr>
        <w:t>送达条款</w:t>
      </w:r>
    </w:p>
    <w:p>
      <w:pPr>
        <w:pStyle w:val="null3"/>
        <w:ind w:firstLine="480"/>
        <w:jc w:val="both"/>
      </w:pPr>
      <w:r>
        <w:rPr>
          <w:sz w:val="24"/>
        </w:rPr>
        <w:t>有关书面通知、文件等，双方约定以邮寄方式寄送至本协议载明之通讯地址，从邮件寄送之日起七天后视为送达。如任一方变更地址，必须书面通知对方，否则按本协议载明之通讯地址寄送视为有效。</w:t>
      </w:r>
    </w:p>
    <w:p>
      <w:pPr>
        <w:pStyle w:val="null3"/>
        <w:ind w:firstLine="482"/>
        <w:jc w:val="both"/>
      </w:pPr>
      <w:r>
        <w:rPr>
          <w:sz w:val="24"/>
          <w:b/>
        </w:rPr>
        <w:t>13.</w:t>
      </w:r>
      <w:r>
        <w:rPr>
          <w:sz w:val="24"/>
          <w:b/>
        </w:rPr>
        <w:t>其他</w:t>
      </w:r>
    </w:p>
    <w:p>
      <w:pPr>
        <w:pStyle w:val="null3"/>
        <w:ind w:firstLine="480"/>
      </w:pPr>
      <w:r>
        <w:rPr>
          <w:sz w:val="24"/>
        </w:rPr>
        <w:t xml:space="preserve">13.1 </w:t>
      </w:r>
      <w:r>
        <w:rPr>
          <w:sz w:val="24"/>
        </w:rPr>
        <w:t>本合同是否为专门面向中小企业的采购合同（中小企业预留合同）：</w:t>
      </w:r>
      <w:r>
        <w:rPr>
          <w:sz w:val="28"/>
          <w:b/>
        </w:rPr>
        <w:t>□</w:t>
      </w:r>
      <w:r>
        <w:rPr>
          <w:sz w:val="24"/>
        </w:rPr>
        <w:t>是</w:t>
      </w:r>
      <w:r>
        <w:rPr>
          <w:sz w:val="24"/>
        </w:rPr>
        <w:t xml:space="preserve">      </w:t>
      </w:r>
      <w:r>
        <w:rPr>
          <w:sz w:val="28"/>
          <w:b/>
        </w:rPr>
        <w:t>□</w:t>
      </w:r>
      <w:r>
        <w:rPr>
          <w:sz w:val="24"/>
        </w:rPr>
        <w:t>否</w:t>
      </w:r>
    </w:p>
    <w:p>
      <w:pPr>
        <w:pStyle w:val="null3"/>
        <w:ind w:firstLine="480"/>
        <w:jc w:val="both"/>
      </w:pPr>
      <w:r>
        <w:rPr>
          <w:sz w:val="24"/>
        </w:rPr>
        <w:t xml:space="preserve">13.2 </w:t>
      </w:r>
      <w:r>
        <w:rPr>
          <w:sz w:val="24"/>
        </w:rPr>
        <w:t>本合同正本四份</w:t>
      </w:r>
      <w:r>
        <w:rPr>
          <w:sz w:val="24"/>
        </w:rPr>
        <w:t>,</w:t>
      </w:r>
      <w:r>
        <w:rPr>
          <w:sz w:val="24"/>
        </w:rPr>
        <w:t>具有同等法律效力，甲、乙双方各执壹份，监管部门和招标代理机构各壹份。生效日期以较迟签注的日期为准，至本合同项下甲乙双方义务履行完毕之日止。</w:t>
      </w:r>
    </w:p>
    <w:p>
      <w:pPr>
        <w:pStyle w:val="null3"/>
        <w:ind w:firstLine="480"/>
        <w:jc w:val="both"/>
      </w:pPr>
      <w:r>
        <w:rPr>
          <w:sz w:val="24"/>
        </w:rPr>
        <w:t xml:space="preserve">13.3 </w:t>
      </w:r>
      <w:r>
        <w:rPr>
          <w:sz w:val="24"/>
        </w:rPr>
        <w:t>本合同未尽事宜</w:t>
      </w:r>
      <w:r>
        <w:rPr>
          <w:sz w:val="24"/>
        </w:rPr>
        <w:t>,</w:t>
      </w:r>
      <w:r>
        <w:rPr>
          <w:sz w:val="24"/>
        </w:rPr>
        <w:t>由双方协商处理。</w:t>
      </w:r>
    </w:p>
    <w:p>
      <w:pPr>
        <w:pStyle w:val="null3"/>
        <w:ind w:firstLine="480"/>
        <w:jc w:val="both"/>
      </w:pPr>
      <w:r>
        <w:rPr>
          <w:sz w:val="24"/>
        </w:rPr>
        <w:t>（以下无正文）</w:t>
      </w:r>
    </w:p>
    <w:p>
      <w:pPr>
        <w:pStyle w:val="null3"/>
        <w:jc w:val="both"/>
      </w:pPr>
      <w:r>
        <w:rPr/>
        <w:t xml:space="preserve"> </w:t>
      </w:r>
    </w:p>
    <w:p>
      <w:pPr>
        <w:pStyle w:val="null3"/>
        <w:ind w:firstLine="482"/>
        <w:jc w:val="both"/>
      </w:pPr>
      <w:r>
        <w:rPr>
          <w:sz w:val="24"/>
          <w:b/>
        </w:rPr>
        <w:t>甲方（公章）：</w:t>
      </w:r>
      <w:r>
        <w:rPr>
          <w:sz w:val="24"/>
          <w:b/>
        </w:rPr>
        <w:t>广州市南沙区妇幼保健院</w:t>
      </w:r>
    </w:p>
    <w:p>
      <w:pPr>
        <w:pStyle w:val="null3"/>
        <w:ind w:firstLine="482"/>
        <w:jc w:val="both"/>
      </w:pPr>
      <w:r>
        <w:rPr>
          <w:sz w:val="24"/>
          <w:b/>
        </w:rPr>
        <w:t>甲方法定代表人：</w:t>
      </w:r>
    </w:p>
    <w:p>
      <w:pPr>
        <w:pStyle w:val="null3"/>
        <w:ind w:firstLine="482"/>
        <w:jc w:val="both"/>
      </w:pPr>
      <w:r>
        <w:rPr>
          <w:sz w:val="24"/>
          <w:b/>
        </w:rPr>
        <w:t>授权签约代表：</w:t>
      </w:r>
    </w:p>
    <w:p>
      <w:pPr>
        <w:pStyle w:val="null3"/>
        <w:ind w:firstLine="482"/>
        <w:jc w:val="both"/>
      </w:pPr>
      <w:r>
        <w:rPr>
          <w:b/>
        </w:rPr>
        <w:t xml:space="preserve"> </w:t>
      </w:r>
    </w:p>
    <w:p>
      <w:pPr>
        <w:pStyle w:val="null3"/>
        <w:ind w:firstLine="482"/>
        <w:jc w:val="both"/>
      </w:pPr>
      <w:r>
        <w:rPr>
          <w:sz w:val="24"/>
          <w:b/>
        </w:rPr>
        <w:t>通讯地址：广州市</w:t>
      </w:r>
      <w:r>
        <w:rPr>
          <w:sz w:val="24"/>
          <w:b/>
        </w:rPr>
        <w:t>南沙区港湾街道海傍路</w:t>
      </w:r>
      <w:r>
        <w:rPr>
          <w:sz w:val="24"/>
          <w:b/>
        </w:rPr>
        <w:t>103</w:t>
      </w:r>
      <w:r>
        <w:rPr>
          <w:sz w:val="24"/>
          <w:b/>
        </w:rPr>
        <w:t>号</w:t>
      </w:r>
      <w:r>
        <w:rPr>
          <w:b/>
        </w:rPr>
        <w:t xml:space="preserve"> </w:t>
      </w:r>
    </w:p>
    <w:p>
      <w:pPr>
        <w:pStyle w:val="null3"/>
        <w:ind w:firstLine="482"/>
        <w:jc w:val="both"/>
      </w:pPr>
      <w:r>
        <w:rPr>
          <w:sz w:val="24"/>
          <w:b/>
        </w:rPr>
        <w:t>业务联系人</w:t>
      </w:r>
      <w:r>
        <w:rPr>
          <w:sz w:val="24"/>
          <w:b/>
        </w:rPr>
        <w:t>/</w:t>
      </w:r>
      <w:r>
        <w:rPr>
          <w:sz w:val="24"/>
          <w:b/>
        </w:rPr>
        <w:t>电话：</w:t>
      </w:r>
      <w:r>
        <w:rPr>
          <w:sz w:val="24"/>
          <w:b/>
        </w:rPr>
        <w:t>谢工</w:t>
      </w:r>
      <w:r>
        <w:rPr>
          <w:sz w:val="24"/>
          <w:b/>
        </w:rPr>
        <w:t>/</w:t>
      </w:r>
      <w:r>
        <w:rPr>
          <w:sz w:val="24"/>
          <w:b/>
        </w:rPr>
        <w:t>020-39079187</w:t>
      </w:r>
    </w:p>
    <w:p>
      <w:pPr>
        <w:pStyle w:val="null3"/>
        <w:ind w:firstLine="482"/>
        <w:jc w:val="both"/>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firstLine="482"/>
        <w:jc w:val="both"/>
      </w:pPr>
      <w:r>
        <w:rPr>
          <w:sz w:val="24"/>
          <w:b/>
        </w:rPr>
        <w:t>------------------------------------------------------------------------</w:t>
      </w:r>
    </w:p>
    <w:p>
      <w:pPr>
        <w:pStyle w:val="null3"/>
        <w:ind w:firstLine="482"/>
        <w:jc w:val="both"/>
      </w:pPr>
      <w:r>
        <w:rPr>
          <w:sz w:val="24"/>
          <w:b/>
        </w:rPr>
        <w:t>乙方（公章）：</w:t>
      </w:r>
    </w:p>
    <w:p>
      <w:pPr>
        <w:pStyle w:val="null3"/>
        <w:ind w:firstLine="482"/>
        <w:jc w:val="both"/>
      </w:pPr>
      <w:r>
        <w:rPr>
          <w:sz w:val="24"/>
          <w:b/>
        </w:rPr>
        <w:t>企业规模：（大型</w:t>
      </w:r>
      <w:r>
        <w:rPr>
          <w:b/>
        </w:rPr>
        <w:t xml:space="preserve"> </w:t>
      </w:r>
      <w:r>
        <w:rPr>
          <w:sz w:val="24"/>
          <w:b/>
        </w:rPr>
        <w:t>□</w:t>
      </w:r>
      <w:r>
        <w:rPr>
          <w:sz w:val="24"/>
          <w:b/>
        </w:rPr>
        <w:t>/</w:t>
      </w:r>
      <w:r>
        <w:rPr>
          <w:sz w:val="24"/>
          <w:b/>
        </w:rPr>
        <w:t>中型</w:t>
      </w:r>
      <w:r>
        <w:rPr>
          <w:b/>
        </w:rPr>
        <w:t xml:space="preserve"> </w:t>
      </w:r>
      <w:r>
        <w:rPr>
          <w:sz w:val="24"/>
          <w:b/>
        </w:rPr>
        <w:t>□</w:t>
      </w:r>
      <w:r>
        <w:rPr>
          <w:sz w:val="24"/>
          <w:b/>
        </w:rPr>
        <w:t>/</w:t>
      </w:r>
      <w:r>
        <w:rPr>
          <w:sz w:val="24"/>
          <w:b/>
        </w:rPr>
        <w:t>小型企业</w:t>
      </w:r>
      <w:r>
        <w:rPr>
          <w:b/>
        </w:rPr>
        <w:t xml:space="preserve"> </w:t>
      </w:r>
      <w:r>
        <w:rPr>
          <w:sz w:val="24"/>
          <w:b/>
        </w:rPr>
        <w:t>□</w:t>
      </w:r>
      <w:r>
        <w:rPr>
          <w:sz w:val="24"/>
          <w:b/>
        </w:rPr>
        <w:t>/</w:t>
      </w:r>
      <w:r>
        <w:rPr>
          <w:sz w:val="24"/>
          <w:b/>
        </w:rPr>
        <w:t>微型企业</w:t>
      </w:r>
      <w:r>
        <w:rPr>
          <w:b/>
        </w:rPr>
        <w:t xml:space="preserve"> </w:t>
      </w:r>
      <w:r>
        <w:rPr>
          <w:sz w:val="24"/>
          <w:b/>
        </w:rPr>
        <w:t>□）</w:t>
      </w:r>
    </w:p>
    <w:p>
      <w:pPr>
        <w:pStyle w:val="null3"/>
        <w:ind w:firstLine="482"/>
        <w:jc w:val="both"/>
      </w:pPr>
      <w:r>
        <w:rPr>
          <w:sz w:val="24"/>
          <w:b/>
        </w:rPr>
        <w:t>乙方法定代表人：</w:t>
      </w:r>
    </w:p>
    <w:p>
      <w:pPr>
        <w:pStyle w:val="null3"/>
        <w:ind w:firstLine="482"/>
        <w:jc w:val="both"/>
      </w:pPr>
      <w:r>
        <w:rPr>
          <w:sz w:val="24"/>
          <w:b/>
        </w:rPr>
        <w:t>授权签约代表：</w:t>
      </w:r>
    </w:p>
    <w:p>
      <w:pPr>
        <w:pStyle w:val="null3"/>
        <w:ind w:firstLine="482"/>
        <w:jc w:val="both"/>
      </w:pPr>
      <w:r>
        <w:rPr>
          <w:sz w:val="24"/>
          <w:b/>
        </w:rPr>
        <w:t>通讯地址：</w:t>
      </w:r>
    </w:p>
    <w:p>
      <w:pPr>
        <w:pStyle w:val="null3"/>
        <w:ind w:firstLine="482"/>
        <w:jc w:val="both"/>
      </w:pPr>
      <w:r>
        <w:rPr>
          <w:sz w:val="24"/>
          <w:b/>
        </w:rPr>
        <w:t>业务联系人</w:t>
      </w:r>
      <w:r>
        <w:rPr>
          <w:sz w:val="24"/>
          <w:b/>
        </w:rPr>
        <w:t>/</w:t>
      </w:r>
      <w:r>
        <w:rPr>
          <w:sz w:val="24"/>
          <w:b/>
        </w:rPr>
        <w:t>电话：</w:t>
      </w:r>
      <w:r>
        <w:rPr>
          <w:b/>
        </w:rPr>
        <w:t xml:space="preserve"> </w:t>
      </w:r>
    </w:p>
    <w:p>
      <w:pPr>
        <w:pStyle w:val="null3"/>
        <w:ind w:firstLine="482"/>
        <w:jc w:val="both"/>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firstLine="482"/>
        <w:jc w:val="both"/>
      </w:pPr>
      <w:r>
        <w:rPr>
          <w:sz w:val="28"/>
          <w:b/>
        </w:rPr>
        <w:t>附页：医疗设备配置清单</w:t>
      </w:r>
    </w:p>
    <w:p>
      <w:pPr>
        <w:pStyle w:val="null3"/>
      </w:pPr>
      <w:r>
        <w:rPr/>
        <w:t xml:space="preserve"> </w:t>
      </w:r>
    </w:p>
    <w:p>
      <w:pPr>
        <w:pStyle w:val="null3"/>
        <w:jc w:val="center"/>
      </w:pPr>
      <w:r>
        <w:rPr>
          <w:sz w:val="28"/>
          <w:b/>
          <w:u w:val="single"/>
        </w:rPr>
        <w:t xml:space="preserve">    </w:t>
      </w:r>
      <w:r>
        <w:rPr>
          <w:sz w:val="28"/>
          <w:b/>
          <w:u w:val="single"/>
        </w:rPr>
        <w:t>（医疗设备名称）</w:t>
      </w:r>
      <w:r>
        <w:rPr>
          <w:sz w:val="28"/>
          <w:b/>
          <w:u w:val="single"/>
        </w:rPr>
        <w:t xml:space="preserve">    </w:t>
      </w:r>
      <w:r>
        <w:rPr>
          <w:sz w:val="28"/>
          <w:b/>
        </w:rPr>
        <w:t>配置清单</w:t>
      </w:r>
    </w:p>
    <w:tbl>
      <w:tblPr>
        <w:tblW w:w="0" w:type="auto"/>
        <w:tblBorders>
          <w:top w:val="single"/>
          <w:left w:val="single"/>
          <w:bottom w:val="single"/>
          <w:right w:val="single"/>
          <w:insideH w:val="single"/>
          <w:insideV w:val="single"/>
        </w:tblBorders>
      </w:tblPr>
      <w:tblGrid>
        <w:gridCol w:w="1500"/>
        <w:gridCol w:w="5250"/>
        <w:gridCol w:w="1800"/>
        <w:gridCol w:w="1800"/>
      </w:tblGrid>
      <w:tr>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配置物品名称</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r>
        <w:tc>
          <w:tcPr>
            <w:tcW w:type="dxa" w:w="1500"/>
          </w:tcPr>
          <w:p>
            <w:pPr>
              <w:pStyle w:val="null3"/>
            </w:pPr>
            <w:r>
              <w:rPr/>
              <w:t xml:space="preserve"> </w:t>
            </w:r>
          </w:p>
        </w:tc>
        <w:tc>
          <w:tcPr>
            <w:tcW w:type="dxa" w:w="5250"/>
          </w:tcPr>
          <w:p>
            <w:pPr>
              <w:pStyle w:val="null3"/>
            </w:pPr>
            <w:r>
              <w:rPr/>
              <w:t xml:space="preserve"> </w:t>
            </w:r>
          </w:p>
        </w:tc>
        <w:tc>
          <w:tcPr>
            <w:tcW w:type="dxa" w:w="1800"/>
          </w:tcPr>
          <w:p>
            <w:pPr>
              <w:pStyle w:val="null3"/>
            </w:pPr>
            <w:r>
              <w:rPr/>
              <w:t xml:space="preserve"> </w:t>
            </w:r>
          </w:p>
        </w:tc>
        <w:tc>
          <w:tcPr>
            <w:tcW w:type="dxa" w:w="1800"/>
          </w:tcPr>
          <w:p>
            <w:pPr>
              <w:pStyle w:val="null3"/>
            </w:pPr>
            <w:r>
              <w:rPr/>
              <w:t xml:space="preserve"> </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440115-2025-03519</w:t>
      </w:r>
    </w:p>
    <w:p>
      <w:pPr>
        <w:pStyle w:val="null3"/>
        <w:jc w:val="center"/>
        <w:outlineLvl w:val="3"/>
      </w:pPr>
      <w:r>
        <w:rPr>
          <w:sz w:val="24"/>
          <w:b/>
        </w:rPr>
        <w:t>采购项目编号：</w:t>
      </w:r>
      <w:r>
        <w:rPr>
          <w:sz w:val="24"/>
          <w:b/>
        </w:rPr>
        <w:t>0724-2531Z3585139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广州市南沙区妇幼保健院重症儿童救治中心等科室医疗设备采购项目</w:t>
      </w:r>
      <w:r>
        <w:rPr>
          <w:u w:val="single"/>
        </w:rPr>
        <w:t>”</w:t>
      </w:r>
      <w:r>
        <w:rPr/>
        <w:t>项目的招标[采购项目编号为：</w:t>
      </w:r>
      <w:r>
        <w:rPr>
          <w:u w:val="single"/>
        </w:rPr>
        <w:t>0724-2531Z3585139</w:t>
      </w:r>
      <w:r>
        <w:rPr/>
        <w:t>]，我方愿参与投标。</w:t>
      </w:r>
    </w:p>
    <w:p>
      <w:pPr>
        <w:pStyle w:val="null3"/>
        <w:ind w:firstLine="480"/>
      </w:pPr>
      <w:r>
        <w:rPr/>
        <w:t>我方确认收到贵方提供的</w:t>
      </w:r>
      <w:r>
        <w:rPr>
          <w:u w:val="single"/>
        </w:rPr>
        <w:t>“</w:t>
      </w:r>
      <w:r>
        <w:rPr>
          <w:u w:val="single"/>
        </w:rPr>
        <w:t>广州市南沙区妇幼保健院重症儿童救治中心等科室医疗设备采购项目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广州市南沙区妇幼保健院重症儿童救治中心等科室医疗设备采购项目</w:t>
      </w:r>
      <w:r>
        <w:rPr/>
        <w:t>”项目采购[采购项目编号为</w:t>
      </w:r>
      <w:r>
        <w:rPr/>
        <w:t>0724-2531Z3585139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广州市南沙区妇幼保健院重症儿童救治中心等科室医疗设备采购项目</w:t>
      </w:r>
      <w:r>
        <w:rPr/>
        <w:t>招标中获中标（采购项目编号：</w:t>
      </w:r>
      <w:r>
        <w:rPr/>
        <w:t>0724-2531Z3585139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