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AB628">
      <w:pPr>
        <w:spacing w:line="360" w:lineRule="auto"/>
        <w:jc w:val="center"/>
        <w:rPr>
          <w:rFonts w:ascii="宋体" w:hAnsi="宋体"/>
          <w:sz w:val="24"/>
          <w:szCs w:val="24"/>
        </w:rPr>
      </w:pPr>
      <w:bookmarkStart w:id="0" w:name="_GoBack"/>
      <w:r>
        <w:rPr>
          <w:rFonts w:hint="eastAsia" w:ascii="宋体" w:hAnsi="宋体"/>
          <w:sz w:val="24"/>
          <w:szCs w:val="24"/>
        </w:rPr>
        <w:t>实质性响应一览表</w:t>
      </w:r>
      <w:bookmarkEnd w:id="0"/>
    </w:p>
    <w:tbl>
      <w:tblPr>
        <w:tblStyle w:val="9"/>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807"/>
        <w:gridCol w:w="2880"/>
        <w:gridCol w:w="1807"/>
      </w:tblGrid>
      <w:tr w14:paraId="5D761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14:paraId="64639667">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序号</w:t>
            </w:r>
          </w:p>
        </w:tc>
        <w:tc>
          <w:tcPr>
            <w:tcW w:w="3807" w:type="dxa"/>
            <w:tcBorders>
              <w:top w:val="single" w:color="auto" w:sz="4" w:space="0"/>
              <w:left w:val="single" w:color="auto" w:sz="4" w:space="0"/>
              <w:bottom w:val="single" w:color="auto" w:sz="4" w:space="0"/>
              <w:right w:val="single" w:color="auto" w:sz="4" w:space="0"/>
            </w:tcBorders>
          </w:tcPr>
          <w:p w14:paraId="6ED2C696">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实质性响应条款</w:t>
            </w:r>
          </w:p>
        </w:tc>
        <w:tc>
          <w:tcPr>
            <w:tcW w:w="2880" w:type="dxa"/>
            <w:tcBorders>
              <w:top w:val="single" w:color="auto" w:sz="4" w:space="0"/>
              <w:left w:val="single" w:color="auto" w:sz="4" w:space="0"/>
              <w:bottom w:val="single" w:color="auto" w:sz="4" w:space="0"/>
              <w:right w:val="single" w:color="auto" w:sz="4" w:space="0"/>
            </w:tcBorders>
          </w:tcPr>
          <w:p w14:paraId="6832B7C9">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投标人响应情况</w:t>
            </w:r>
          </w:p>
        </w:tc>
        <w:tc>
          <w:tcPr>
            <w:tcW w:w="1807" w:type="dxa"/>
            <w:tcBorders>
              <w:top w:val="single" w:color="auto" w:sz="4" w:space="0"/>
              <w:left w:val="single" w:color="auto" w:sz="4" w:space="0"/>
              <w:bottom w:val="single" w:color="auto" w:sz="4" w:space="0"/>
              <w:right w:val="single" w:color="auto" w:sz="4" w:space="0"/>
            </w:tcBorders>
          </w:tcPr>
          <w:p w14:paraId="13DCB4BB">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差异</w:t>
            </w:r>
          </w:p>
        </w:tc>
      </w:tr>
      <w:tr w14:paraId="6834A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28" w:type="dxa"/>
            <w:tcBorders>
              <w:top w:val="single" w:color="auto" w:sz="4" w:space="0"/>
              <w:left w:val="single" w:color="auto" w:sz="4" w:space="0"/>
              <w:bottom w:val="single" w:color="auto" w:sz="4" w:space="0"/>
              <w:right w:val="single" w:color="auto" w:sz="4" w:space="0"/>
            </w:tcBorders>
          </w:tcPr>
          <w:p w14:paraId="07B62FBF">
            <w:pPr>
              <w:keepNext w:val="0"/>
              <w:keepLines w:val="0"/>
              <w:widowControl/>
              <w:suppressLineNumbers w:val="0"/>
              <w:spacing w:before="0" w:beforeAutospacing="0" w:after="0" w:afterAutospacing="0" w:line="360" w:lineRule="auto"/>
              <w:ind w:left="0" w:right="0"/>
              <w:jc w:val="center"/>
              <w:rPr>
                <w:rFonts w:hint="eastAsia" w:ascii="宋体" w:hAnsi="宋体" w:eastAsia="宋体"/>
                <w:sz w:val="24"/>
                <w:szCs w:val="24"/>
                <w:lang w:val="en-US" w:eastAsia="zh-CN"/>
              </w:rPr>
            </w:pPr>
            <w:r>
              <w:rPr>
                <w:rFonts w:hint="eastAsia" w:ascii="宋体" w:hAnsi="宋体"/>
                <w:sz w:val="24"/>
                <w:szCs w:val="24"/>
                <w:lang w:val="en-US" w:eastAsia="zh-CN"/>
              </w:rPr>
              <w:t>1</w:t>
            </w:r>
          </w:p>
        </w:tc>
        <w:tc>
          <w:tcPr>
            <w:tcW w:w="3807" w:type="dxa"/>
            <w:tcBorders>
              <w:top w:val="single" w:color="auto" w:sz="4" w:space="0"/>
              <w:left w:val="single" w:color="auto" w:sz="4" w:space="0"/>
              <w:bottom w:val="single" w:color="auto" w:sz="4" w:space="0"/>
              <w:right w:val="single" w:color="auto" w:sz="4" w:space="0"/>
            </w:tcBorders>
          </w:tcPr>
          <w:p w14:paraId="74F9CFA6">
            <w:pPr>
              <w:keepNext w:val="0"/>
              <w:keepLines w:val="0"/>
              <w:widowControl/>
              <w:suppressLineNumbers w:val="0"/>
              <w:spacing w:before="0" w:beforeAutospacing="0" w:after="0" w:afterAutospacing="0" w:line="360" w:lineRule="auto"/>
              <w:ind w:left="0" w:right="0"/>
              <w:rPr>
                <w:rFonts w:hint="default" w:ascii="宋体" w:hAnsi="宋体"/>
                <w:sz w:val="24"/>
                <w:szCs w:val="24"/>
              </w:rPr>
            </w:pPr>
            <w:r>
              <w:rPr>
                <w:rFonts w:hint="eastAsia"/>
                <w:color w:val="auto"/>
                <w:highlight w:val="none"/>
                <w:lang w:bidi="ar"/>
              </w:rPr>
              <w:t>★</w:t>
            </w:r>
            <w:r>
              <w:rPr>
                <w:rFonts w:hint="eastAsia" w:hAnsi="Calibri"/>
                <w:color w:val="auto"/>
                <w:kern w:val="2"/>
                <w:highlight w:val="none"/>
                <w:lang w:bidi="ar"/>
              </w:rPr>
              <w:t>投标总价最高限价：4,136,852.00元。其中，1）化学实验室及功能室设备仪器更新投标报价最高限价：960,431.00元；2）生物实验室及功能室设备更新投标报价最高限价：2,206,327.00元；3）物理实验室及功能室设备购置投标报价最高限价：970,094.00元。</w:t>
            </w:r>
            <w:r>
              <w:rPr>
                <w:rFonts w:hint="eastAsia" w:hAnsi="Calibri"/>
                <w:color w:val="auto"/>
                <w:highlight w:val="none"/>
                <w:lang w:bidi="ar"/>
              </w:rPr>
              <w:t>投标报价凡超过上述最高限价的，将做无效投标处理。</w:t>
            </w:r>
          </w:p>
        </w:tc>
        <w:tc>
          <w:tcPr>
            <w:tcW w:w="2880" w:type="dxa"/>
            <w:tcBorders>
              <w:top w:val="single" w:color="auto" w:sz="4" w:space="0"/>
              <w:left w:val="single" w:color="auto" w:sz="4" w:space="0"/>
              <w:bottom w:val="single" w:color="auto" w:sz="4" w:space="0"/>
              <w:right w:val="single" w:color="auto" w:sz="4" w:space="0"/>
            </w:tcBorders>
          </w:tcPr>
          <w:p w14:paraId="2C8251FF">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14:paraId="0401AA48">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rPr>
            </w:pPr>
          </w:p>
        </w:tc>
      </w:tr>
      <w:tr w14:paraId="26E6A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28" w:type="dxa"/>
            <w:tcBorders>
              <w:top w:val="single" w:color="auto" w:sz="4" w:space="0"/>
              <w:left w:val="single" w:color="auto" w:sz="4" w:space="0"/>
              <w:bottom w:val="single" w:color="auto" w:sz="4" w:space="0"/>
              <w:right w:val="single" w:color="auto" w:sz="4" w:space="0"/>
            </w:tcBorders>
          </w:tcPr>
          <w:p w14:paraId="56877B4A">
            <w:pPr>
              <w:keepNext w:val="0"/>
              <w:keepLines w:val="0"/>
              <w:widowControl/>
              <w:suppressLineNumbers w:val="0"/>
              <w:spacing w:before="0" w:beforeAutospacing="0" w:after="0" w:afterAutospacing="0" w:line="360" w:lineRule="auto"/>
              <w:ind w:left="0" w:right="0"/>
              <w:jc w:val="center"/>
              <w:rPr>
                <w:rFonts w:hint="eastAsia" w:ascii="宋体" w:hAnsi="宋体" w:eastAsia="宋体"/>
                <w:sz w:val="24"/>
                <w:szCs w:val="24"/>
                <w:lang w:eastAsia="zh-CN"/>
              </w:rPr>
            </w:pPr>
            <w:r>
              <w:rPr>
                <w:rFonts w:hint="eastAsia" w:ascii="宋体" w:hAnsi="宋体"/>
                <w:sz w:val="24"/>
                <w:szCs w:val="24"/>
                <w:lang w:val="en-US" w:eastAsia="zh-CN"/>
              </w:rPr>
              <w:t>2</w:t>
            </w:r>
          </w:p>
        </w:tc>
        <w:tc>
          <w:tcPr>
            <w:tcW w:w="3807" w:type="dxa"/>
            <w:tcBorders>
              <w:top w:val="single" w:color="auto" w:sz="4" w:space="0"/>
              <w:left w:val="single" w:color="auto" w:sz="4" w:space="0"/>
              <w:bottom w:val="single" w:color="auto" w:sz="4" w:space="0"/>
              <w:right w:val="single" w:color="auto" w:sz="4" w:space="0"/>
            </w:tcBorders>
          </w:tcPr>
          <w:p w14:paraId="05B29204">
            <w:pPr>
              <w:keepNext w:val="0"/>
              <w:keepLines w:val="0"/>
              <w:widowControl/>
              <w:suppressLineNumbers w:val="0"/>
              <w:spacing w:before="0" w:beforeAutospacing="0" w:after="0" w:afterAutospacing="0" w:line="360" w:lineRule="auto"/>
              <w:ind w:left="0" w:right="0"/>
              <w:rPr>
                <w:rFonts w:hint="default" w:ascii="宋体" w:hAnsi="宋体"/>
                <w:sz w:val="24"/>
                <w:szCs w:val="24"/>
              </w:rPr>
            </w:pPr>
            <w:r>
              <w:rPr>
                <w:rFonts w:hint="eastAsia" w:hAnsi="Calibri"/>
                <w:color w:val="auto"/>
                <w:kern w:val="2"/>
                <w:highlight w:val="none"/>
                <w:lang w:bidi="ar"/>
              </w:rPr>
              <w:t>★本次采购产品为非进口产品</w:t>
            </w:r>
            <w:r>
              <w:rPr>
                <w:rFonts w:hint="eastAsia" w:hAnsi="Calibri" w:cs="Arial"/>
                <w:color w:val="auto"/>
                <w:kern w:val="2"/>
                <w:highlight w:val="none"/>
                <w:lang w:bidi="ar"/>
              </w:rPr>
              <w:t>（进口产品指通过中国海关报关验放进入中国境内且产自关境外的产品）</w:t>
            </w:r>
          </w:p>
        </w:tc>
        <w:tc>
          <w:tcPr>
            <w:tcW w:w="2880" w:type="dxa"/>
            <w:tcBorders>
              <w:top w:val="single" w:color="auto" w:sz="4" w:space="0"/>
              <w:left w:val="single" w:color="auto" w:sz="4" w:space="0"/>
              <w:bottom w:val="single" w:color="auto" w:sz="4" w:space="0"/>
              <w:right w:val="single" w:color="auto" w:sz="4" w:space="0"/>
            </w:tcBorders>
          </w:tcPr>
          <w:p w14:paraId="2C222C7E">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14:paraId="4B09E92E">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rPr>
            </w:pPr>
          </w:p>
        </w:tc>
      </w:tr>
      <w:tr w14:paraId="6B943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14:paraId="3B2A5AAC">
            <w:pPr>
              <w:keepNext w:val="0"/>
              <w:keepLines w:val="0"/>
              <w:widowControl/>
              <w:suppressLineNumbers w:val="0"/>
              <w:spacing w:before="0" w:beforeAutospacing="0" w:after="0" w:afterAutospacing="0" w:line="360" w:lineRule="auto"/>
              <w:ind w:left="0" w:right="0"/>
              <w:jc w:val="center"/>
              <w:rPr>
                <w:rFonts w:hint="eastAsia" w:ascii="宋体" w:hAnsi="宋体" w:eastAsia="宋体"/>
                <w:sz w:val="24"/>
                <w:szCs w:val="24"/>
                <w:lang w:eastAsia="zh-CN"/>
              </w:rPr>
            </w:pPr>
            <w:r>
              <w:rPr>
                <w:rFonts w:hint="eastAsia" w:ascii="宋体" w:hAnsi="宋体"/>
                <w:sz w:val="24"/>
                <w:szCs w:val="24"/>
                <w:lang w:val="en-US" w:eastAsia="zh-CN"/>
              </w:rPr>
              <w:t>3</w:t>
            </w:r>
          </w:p>
        </w:tc>
        <w:tc>
          <w:tcPr>
            <w:tcW w:w="3807" w:type="dxa"/>
            <w:tcBorders>
              <w:top w:val="single" w:color="auto" w:sz="4" w:space="0"/>
              <w:left w:val="single" w:color="auto" w:sz="4" w:space="0"/>
              <w:bottom w:val="single" w:color="auto" w:sz="4" w:space="0"/>
              <w:right w:val="single" w:color="auto" w:sz="4" w:space="0"/>
            </w:tcBorders>
          </w:tcPr>
          <w:p w14:paraId="031B3920">
            <w:pPr>
              <w:keepNext w:val="0"/>
              <w:keepLines w:val="0"/>
              <w:widowControl/>
              <w:suppressLineNumbers w:val="0"/>
              <w:spacing w:before="0" w:beforeAutospacing="0" w:after="0" w:afterAutospacing="0" w:line="360" w:lineRule="auto"/>
              <w:ind w:left="0" w:right="0"/>
              <w:rPr>
                <w:rFonts w:hint="default" w:ascii="宋体" w:hAnsi="宋体"/>
                <w:sz w:val="24"/>
                <w:szCs w:val="24"/>
              </w:rPr>
            </w:pPr>
            <w:r>
              <w:rPr>
                <w:rFonts w:hint="eastAsia" w:hAnsi="Calibri"/>
                <w:color w:val="auto"/>
                <w:kern w:val="2"/>
                <w:highlight w:val="none"/>
                <w:lang w:bidi="ar"/>
              </w:rPr>
              <w:t>★采购人拟采购的实验室化验水龙头属于《节能产品政府采购品目清单》范围中政府强制采购产品类别，投标人须在投标文件中提供：1.该产品属于《节能产品政府采购品目清单》范围中政府强制采购产品类别的相关内容页，并对相关内容作圈记；2.市场监管总局公布的参与实施政府采购节能产品认证机构名录截图；3.该产品获得的由国家确定的认证机构出具的、处于有效期之内的节能产品认证证书（注：1.《节能产品政府采购品目清单》投标人可查询中国政府采购网，网址http://www.ccgp.gov.cn；2.根据《节能产品政府采购品目清单》注2要求，上述产品中认证标准发生变更的，依据原认证标准获得的、仍在有效期内的认证证书可使用至2019 年6 月1 日）。</w:t>
            </w:r>
          </w:p>
        </w:tc>
        <w:tc>
          <w:tcPr>
            <w:tcW w:w="2880" w:type="dxa"/>
            <w:tcBorders>
              <w:top w:val="single" w:color="auto" w:sz="4" w:space="0"/>
              <w:left w:val="single" w:color="auto" w:sz="4" w:space="0"/>
              <w:bottom w:val="single" w:color="auto" w:sz="4" w:space="0"/>
              <w:right w:val="single" w:color="auto" w:sz="4" w:space="0"/>
            </w:tcBorders>
          </w:tcPr>
          <w:p w14:paraId="48230C49">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14:paraId="45A9C772">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r>
      <w:tr w14:paraId="7CC19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28" w:type="dxa"/>
            <w:tcBorders>
              <w:top w:val="single" w:color="auto" w:sz="4" w:space="0"/>
              <w:left w:val="single" w:color="auto" w:sz="4" w:space="0"/>
              <w:bottom w:val="single" w:color="auto" w:sz="4" w:space="0"/>
              <w:right w:val="single" w:color="auto" w:sz="4" w:space="0"/>
            </w:tcBorders>
          </w:tcPr>
          <w:p w14:paraId="491953E2">
            <w:pPr>
              <w:keepNext w:val="0"/>
              <w:keepLines w:val="0"/>
              <w:widowControl/>
              <w:suppressLineNumbers w:val="0"/>
              <w:spacing w:before="0" w:beforeAutospacing="0" w:after="0" w:afterAutospacing="0" w:line="360" w:lineRule="auto"/>
              <w:ind w:left="0" w:right="0"/>
              <w:jc w:val="center"/>
              <w:rPr>
                <w:rFonts w:hint="eastAsia" w:ascii="宋体" w:hAnsi="宋体" w:eastAsia="宋体"/>
                <w:sz w:val="24"/>
                <w:szCs w:val="24"/>
                <w:lang w:val="en-US" w:eastAsia="zh-CN"/>
              </w:rPr>
            </w:pPr>
            <w:r>
              <w:rPr>
                <w:rFonts w:hint="eastAsia" w:ascii="宋体" w:hAnsi="宋体"/>
                <w:sz w:val="24"/>
                <w:szCs w:val="24"/>
                <w:lang w:val="en-US" w:eastAsia="zh-CN"/>
              </w:rPr>
              <w:t>4</w:t>
            </w:r>
          </w:p>
        </w:tc>
        <w:tc>
          <w:tcPr>
            <w:tcW w:w="3807" w:type="dxa"/>
            <w:tcBorders>
              <w:top w:val="single" w:color="auto" w:sz="4" w:space="0"/>
              <w:left w:val="single" w:color="auto" w:sz="4" w:space="0"/>
              <w:bottom w:val="single" w:color="auto" w:sz="4" w:space="0"/>
              <w:right w:val="single" w:color="auto" w:sz="4" w:space="0"/>
            </w:tcBorders>
          </w:tcPr>
          <w:p w14:paraId="07D3211D">
            <w:pPr>
              <w:keepNext w:val="0"/>
              <w:keepLines w:val="0"/>
              <w:widowControl/>
              <w:suppressLineNumbers w:val="0"/>
              <w:spacing w:before="0" w:beforeAutospacing="0" w:after="0" w:afterAutospacing="0" w:line="360" w:lineRule="auto"/>
              <w:ind w:left="0" w:right="0"/>
              <w:rPr>
                <w:rFonts w:hint="eastAsia" w:ascii="宋体" w:hAnsi="宋体"/>
                <w:sz w:val="24"/>
                <w:szCs w:val="24"/>
                <w:lang w:val="en-US" w:eastAsia="zh-CN"/>
              </w:rPr>
            </w:pPr>
            <w:r>
              <w:rPr>
                <w:rFonts w:hint="eastAsia" w:hAnsi="Calibri"/>
                <w:color w:val="auto"/>
                <w:kern w:val="2"/>
                <w:highlight w:val="none"/>
                <w:lang w:bidi="ar"/>
              </w:rPr>
              <w:t>★供应商在货物生产、送货前，应与采购人再次核对确认全部货物的颜色、尺寸、材质、款式、数量等要素，双方确认签字后，成交供应商才能进行生产或送货。若供应商在货物生产或送货前，未与采购人再次确认全部货物的相关要素而提前生产或送货的，采购人有权拒绝收货、验收，由此造成的一切损失由供应商自行承担。提供加盖供应商公章的承诺函。</w:t>
            </w:r>
          </w:p>
        </w:tc>
        <w:tc>
          <w:tcPr>
            <w:tcW w:w="2880" w:type="dxa"/>
            <w:tcBorders>
              <w:top w:val="single" w:color="auto" w:sz="4" w:space="0"/>
              <w:left w:val="single" w:color="auto" w:sz="4" w:space="0"/>
              <w:bottom w:val="single" w:color="auto" w:sz="4" w:space="0"/>
              <w:right w:val="single" w:color="auto" w:sz="4" w:space="0"/>
            </w:tcBorders>
          </w:tcPr>
          <w:p w14:paraId="7BCB65BC">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14:paraId="0EDF1756">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r>
      <w:tr w14:paraId="20BA5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14:paraId="565C3070">
            <w:pPr>
              <w:keepNext w:val="0"/>
              <w:keepLines w:val="0"/>
              <w:widowControl/>
              <w:suppressLineNumbers w:val="0"/>
              <w:spacing w:before="0" w:beforeAutospacing="0" w:after="0" w:afterAutospacing="0" w:line="360" w:lineRule="auto"/>
              <w:ind w:left="0" w:right="0"/>
              <w:jc w:val="center"/>
              <w:rPr>
                <w:rFonts w:hint="eastAsia" w:ascii="宋体" w:hAnsi="宋体" w:eastAsia="宋体"/>
                <w:sz w:val="24"/>
                <w:szCs w:val="24"/>
                <w:lang w:val="en-US" w:eastAsia="zh-CN"/>
              </w:rPr>
            </w:pPr>
            <w:r>
              <w:rPr>
                <w:rFonts w:hint="eastAsia" w:ascii="宋体" w:hAnsi="宋体"/>
                <w:sz w:val="24"/>
                <w:szCs w:val="24"/>
                <w:lang w:val="en-US" w:eastAsia="zh-CN"/>
              </w:rPr>
              <w:t>5</w:t>
            </w:r>
          </w:p>
        </w:tc>
        <w:tc>
          <w:tcPr>
            <w:tcW w:w="3807" w:type="dxa"/>
            <w:tcBorders>
              <w:top w:val="single" w:color="auto" w:sz="4" w:space="0"/>
              <w:left w:val="single" w:color="auto" w:sz="4" w:space="0"/>
              <w:bottom w:val="single" w:color="auto" w:sz="4" w:space="0"/>
              <w:right w:val="single" w:color="auto" w:sz="4" w:space="0"/>
            </w:tcBorders>
          </w:tcPr>
          <w:p w14:paraId="59A4E375">
            <w:pPr>
              <w:keepNext w:val="0"/>
              <w:keepLines w:val="0"/>
              <w:widowControl/>
              <w:suppressLineNumbers w:val="0"/>
              <w:spacing w:before="0" w:beforeAutospacing="0" w:after="0" w:afterAutospacing="0" w:line="360" w:lineRule="auto"/>
              <w:ind w:left="0" w:right="0"/>
              <w:rPr>
                <w:rFonts w:hint="default" w:ascii="宋体" w:hAnsi="宋体"/>
                <w:sz w:val="24"/>
                <w:szCs w:val="24"/>
                <w:lang w:val="en-US" w:eastAsia="zh-CN"/>
              </w:rPr>
            </w:pPr>
            <w:r>
              <w:rPr>
                <w:rFonts w:hint="eastAsia" w:hAnsi="Calibri"/>
                <w:color w:val="auto"/>
                <w:kern w:val="2"/>
                <w:highlight w:val="none"/>
                <w:lang w:bidi="ar"/>
              </w:rPr>
              <w:t>★如采购人须对中标方案进行优化的，供应商须无条件按采购人的要求提供深化设计方案，经采购人确认后方可实施。由此产生的一切费用包含在投标总价内，供应商不得因方案调整和修改而向采购人追加或增加任何费用。提供加盖供应商公章的承诺函。</w:t>
            </w:r>
          </w:p>
        </w:tc>
        <w:tc>
          <w:tcPr>
            <w:tcW w:w="2880" w:type="dxa"/>
            <w:tcBorders>
              <w:top w:val="single" w:color="auto" w:sz="4" w:space="0"/>
              <w:left w:val="single" w:color="auto" w:sz="4" w:space="0"/>
              <w:bottom w:val="single" w:color="auto" w:sz="4" w:space="0"/>
              <w:right w:val="single" w:color="auto" w:sz="4" w:space="0"/>
            </w:tcBorders>
          </w:tcPr>
          <w:p w14:paraId="5595BC4A">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14:paraId="430AB50C">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r>
      <w:tr w14:paraId="58124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14:paraId="7663F1C0">
            <w:pPr>
              <w:keepNext w:val="0"/>
              <w:keepLines w:val="0"/>
              <w:widowControl/>
              <w:suppressLineNumbers w:val="0"/>
              <w:spacing w:before="0" w:beforeAutospacing="0" w:after="0" w:afterAutospacing="0" w:line="360" w:lineRule="auto"/>
              <w:ind w:left="0" w:right="0"/>
              <w:jc w:val="center"/>
              <w:rPr>
                <w:rFonts w:hint="eastAsia" w:ascii="宋体" w:hAnsi="宋体" w:eastAsia="宋体"/>
                <w:sz w:val="24"/>
                <w:szCs w:val="24"/>
                <w:lang w:val="en-US" w:eastAsia="zh-CN"/>
              </w:rPr>
            </w:pPr>
            <w:r>
              <w:rPr>
                <w:rFonts w:hint="eastAsia" w:ascii="宋体" w:hAnsi="宋体"/>
                <w:sz w:val="24"/>
                <w:szCs w:val="24"/>
                <w:lang w:val="en-US" w:eastAsia="zh-CN"/>
              </w:rPr>
              <w:t>6</w:t>
            </w:r>
          </w:p>
        </w:tc>
        <w:tc>
          <w:tcPr>
            <w:tcW w:w="3807" w:type="dxa"/>
            <w:tcBorders>
              <w:top w:val="single" w:color="auto" w:sz="4" w:space="0"/>
              <w:left w:val="single" w:color="auto" w:sz="4" w:space="0"/>
              <w:bottom w:val="single" w:color="auto" w:sz="4" w:space="0"/>
              <w:right w:val="single" w:color="auto" w:sz="4" w:space="0"/>
            </w:tcBorders>
          </w:tcPr>
          <w:p w14:paraId="28C77C65">
            <w:pPr>
              <w:keepNext w:val="0"/>
              <w:keepLines w:val="0"/>
              <w:widowControl/>
              <w:suppressLineNumbers w:val="0"/>
              <w:spacing w:before="0" w:beforeAutospacing="0" w:after="0" w:afterAutospacing="0" w:line="360" w:lineRule="auto"/>
              <w:ind w:left="0" w:right="0"/>
              <w:rPr>
                <w:rFonts w:hint="eastAsia"/>
                <w:color w:val="auto"/>
                <w:sz w:val="24"/>
                <w:szCs w:val="24"/>
                <w:lang w:val="en-US" w:eastAsia="zh-CN"/>
              </w:rPr>
            </w:pPr>
            <w:r>
              <w:rPr>
                <w:rFonts w:hint="default" w:ascii="Times New Roman" w:hAnsi="Times New Roman" w:eastAsia="仿宋" w:cs="Times New Roman"/>
                <w:b w:val="0"/>
                <w:bCs w:val="0"/>
                <w:color w:val="auto"/>
                <w:kern w:val="2"/>
                <w:sz w:val="20"/>
                <w:szCs w:val="20"/>
                <w:lang w:val="en-US" w:eastAsia="zh-CN" w:bidi="ar-SA"/>
              </w:rPr>
              <w:t>1.2.</w:t>
            </w:r>
            <w:r>
              <w:rPr>
                <w:rFonts w:hint="eastAsia" w:hAnsi="宋体" w:cs="宋体"/>
                <w:color w:val="auto"/>
                <w:kern w:val="2"/>
                <w:sz w:val="20"/>
                <w:szCs w:val="20"/>
                <w:highlight w:val="none"/>
              </w:rPr>
              <w:t>投标人拟供货的设备/产品如属于《中华人民共和国实施强制性产品认证的产品目录》中的产品，须具有有效的“中国强制性产品认证”（CCC认证）证书，并承诺在交货时向采购人提供该证书。提供加盖投标人公章的承诺函。</w:t>
            </w:r>
          </w:p>
        </w:tc>
        <w:tc>
          <w:tcPr>
            <w:tcW w:w="2880" w:type="dxa"/>
            <w:tcBorders>
              <w:top w:val="single" w:color="auto" w:sz="4" w:space="0"/>
              <w:left w:val="single" w:color="auto" w:sz="4" w:space="0"/>
              <w:bottom w:val="single" w:color="auto" w:sz="4" w:space="0"/>
              <w:right w:val="single" w:color="auto" w:sz="4" w:space="0"/>
            </w:tcBorders>
          </w:tcPr>
          <w:p w14:paraId="5748EFDF">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14:paraId="2BE639A7">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r>
      <w:tr w14:paraId="4BA68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14:paraId="0D9CE071">
            <w:pPr>
              <w:keepNext w:val="0"/>
              <w:keepLines w:val="0"/>
              <w:widowControl/>
              <w:suppressLineNumbers w:val="0"/>
              <w:spacing w:before="0" w:beforeAutospacing="0" w:after="0" w:afterAutospacing="0" w:line="360" w:lineRule="auto"/>
              <w:ind w:left="0" w:right="0"/>
              <w:jc w:val="center"/>
              <w:rPr>
                <w:rFonts w:hint="eastAsia" w:ascii="宋体" w:hAnsi="宋体" w:eastAsia="宋体"/>
                <w:sz w:val="24"/>
                <w:szCs w:val="24"/>
                <w:lang w:val="en-US" w:eastAsia="zh-CN"/>
              </w:rPr>
            </w:pPr>
            <w:r>
              <w:rPr>
                <w:rFonts w:hint="eastAsia" w:ascii="宋体" w:hAnsi="宋体"/>
                <w:sz w:val="24"/>
                <w:szCs w:val="24"/>
                <w:lang w:val="en-US" w:eastAsia="zh-CN"/>
              </w:rPr>
              <w:t>7</w:t>
            </w:r>
          </w:p>
        </w:tc>
        <w:tc>
          <w:tcPr>
            <w:tcW w:w="3807" w:type="dxa"/>
            <w:tcBorders>
              <w:top w:val="single" w:color="auto" w:sz="4" w:space="0"/>
              <w:left w:val="single" w:color="auto" w:sz="4" w:space="0"/>
              <w:bottom w:val="single" w:color="auto" w:sz="4" w:space="0"/>
              <w:right w:val="single" w:color="auto" w:sz="4" w:space="0"/>
            </w:tcBorders>
          </w:tcPr>
          <w:p w14:paraId="11F8D00C">
            <w:pPr>
              <w:keepNext w:val="0"/>
              <w:keepLines w:val="0"/>
              <w:widowControl/>
              <w:suppressLineNumbers w:val="0"/>
              <w:spacing w:before="0" w:beforeAutospacing="0" w:after="0" w:afterAutospacing="0" w:line="360" w:lineRule="auto"/>
              <w:ind w:left="0" w:right="0"/>
              <w:rPr>
                <w:rFonts w:hint="default" w:ascii="Calibri" w:hAnsi="Calibri" w:cs="Times New Roman"/>
                <w:color w:val="222222"/>
                <w:kern w:val="2"/>
                <w:sz w:val="27"/>
                <w:szCs w:val="24"/>
                <w:lang w:val="en-US" w:eastAsia="zh-CN" w:bidi="ar"/>
              </w:rPr>
            </w:pPr>
            <w:r>
              <w:rPr>
                <w:rFonts w:hint="default" w:ascii="Times New Roman" w:hAnsi="Times New Roman" w:eastAsia="仿宋" w:cs="Times New Roman"/>
                <w:b w:val="0"/>
                <w:bCs w:val="0"/>
                <w:color w:val="auto"/>
                <w:kern w:val="2"/>
                <w:sz w:val="20"/>
                <w:szCs w:val="20"/>
                <w:lang w:val="en-US" w:eastAsia="zh-CN" w:bidi="ar-SA"/>
              </w:rPr>
              <w:t>1.3.</w:t>
            </w:r>
            <w:r>
              <w:rPr>
                <w:rFonts w:hint="eastAsia" w:hAnsi="宋体" w:cs="宋体"/>
                <w:color w:val="auto"/>
                <w:kern w:val="2"/>
                <w:sz w:val="20"/>
                <w:szCs w:val="20"/>
                <w:highlight w:val="none"/>
              </w:rPr>
              <w:t>投标人如获中标资格，须承诺拟交付给采购人使用的产品的剩余使用期限不得少于产品原有使用期限的</w:t>
            </w:r>
            <w:r>
              <w:rPr>
                <w:rFonts w:hint="eastAsia" w:hAnsi="宋体" w:cs="宋体"/>
                <w:color w:val="auto"/>
                <w:kern w:val="2"/>
                <w:sz w:val="20"/>
                <w:szCs w:val="20"/>
                <w:highlight w:val="none"/>
                <w:u w:val="single"/>
              </w:rPr>
              <w:t xml:space="preserve"> 90 </w:t>
            </w:r>
            <w:r>
              <w:rPr>
                <w:rFonts w:hint="eastAsia" w:hAnsi="宋体" w:cs="宋体"/>
                <w:color w:val="auto"/>
                <w:kern w:val="2"/>
                <w:sz w:val="20"/>
                <w:szCs w:val="20"/>
                <w:highlight w:val="none"/>
              </w:rPr>
              <w:t>%。如供货产品不满足使用期限要求的，采购人有权要求投标人予以更换，如投标人连续两次更换的产品均不满足使用期限要求的，视为违约，采购人有权单方面终止合同，投标人须承担一切责任，并赔偿采购人的损失。提供加盖投标人公章的承诺函。</w:t>
            </w:r>
          </w:p>
        </w:tc>
        <w:tc>
          <w:tcPr>
            <w:tcW w:w="2880" w:type="dxa"/>
            <w:tcBorders>
              <w:top w:val="single" w:color="auto" w:sz="4" w:space="0"/>
              <w:left w:val="single" w:color="auto" w:sz="4" w:space="0"/>
              <w:bottom w:val="single" w:color="auto" w:sz="4" w:space="0"/>
              <w:right w:val="single" w:color="auto" w:sz="4" w:space="0"/>
            </w:tcBorders>
          </w:tcPr>
          <w:p w14:paraId="3CFEBDA8">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14:paraId="70B1C9BB">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r>
      <w:tr w14:paraId="6F5CE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14:paraId="0A9B3616">
            <w:pPr>
              <w:keepNext w:val="0"/>
              <w:keepLines w:val="0"/>
              <w:widowControl/>
              <w:suppressLineNumbers w:val="0"/>
              <w:spacing w:before="0" w:beforeAutospacing="0" w:after="0" w:afterAutospacing="0" w:line="360" w:lineRule="auto"/>
              <w:ind w:left="0" w:right="0"/>
              <w:jc w:val="center"/>
              <w:rPr>
                <w:rFonts w:hint="eastAsia" w:ascii="宋体" w:hAnsi="宋体" w:eastAsia="宋体"/>
                <w:sz w:val="24"/>
                <w:szCs w:val="24"/>
                <w:lang w:val="en-US" w:eastAsia="zh-CN"/>
              </w:rPr>
            </w:pPr>
            <w:r>
              <w:rPr>
                <w:rFonts w:hint="eastAsia" w:ascii="宋体" w:hAnsi="宋体"/>
                <w:sz w:val="24"/>
                <w:szCs w:val="24"/>
                <w:lang w:val="en-US" w:eastAsia="zh-CN"/>
              </w:rPr>
              <w:t>8</w:t>
            </w:r>
          </w:p>
        </w:tc>
        <w:tc>
          <w:tcPr>
            <w:tcW w:w="3807" w:type="dxa"/>
            <w:tcBorders>
              <w:top w:val="single" w:color="auto" w:sz="4" w:space="0"/>
              <w:left w:val="single" w:color="auto" w:sz="4" w:space="0"/>
              <w:bottom w:val="single" w:color="auto" w:sz="4" w:space="0"/>
              <w:right w:val="single" w:color="auto" w:sz="4" w:space="0"/>
            </w:tcBorders>
          </w:tcPr>
          <w:p w14:paraId="684BFB48">
            <w:pPr>
              <w:keepNext w:val="0"/>
              <w:keepLines w:val="0"/>
              <w:widowControl/>
              <w:suppressLineNumbers w:val="0"/>
              <w:spacing w:before="0" w:beforeAutospacing="0" w:after="0" w:afterAutospacing="0" w:line="360" w:lineRule="auto"/>
              <w:ind w:left="0" w:right="0"/>
              <w:rPr>
                <w:rFonts w:hint="default" w:ascii="Calibri" w:hAnsi="Calibri" w:eastAsia="宋体" w:cs="Times New Roman"/>
                <w:color w:val="222222"/>
                <w:kern w:val="2"/>
                <w:sz w:val="27"/>
                <w:szCs w:val="24"/>
                <w:lang w:val="en-US" w:eastAsia="zh-CN" w:bidi="ar"/>
              </w:rPr>
            </w:pPr>
            <w:r>
              <w:rPr>
                <w:rFonts w:hint="default" w:ascii="Times New Roman" w:hAnsi="Times New Roman" w:eastAsia="仿宋" w:cs="Times New Roman"/>
                <w:b w:val="0"/>
                <w:bCs w:val="0"/>
                <w:color w:val="auto"/>
                <w:kern w:val="2"/>
                <w:sz w:val="20"/>
                <w:szCs w:val="20"/>
                <w:lang w:val="en-US" w:eastAsia="zh-CN" w:bidi="ar-SA"/>
              </w:rPr>
              <w:t>1.4.</w:t>
            </w:r>
            <w:r>
              <w:rPr>
                <w:rFonts w:hint="eastAsia" w:hAnsi="宋体" w:cs="宋体"/>
                <w:color w:val="auto"/>
                <w:kern w:val="2"/>
                <w:sz w:val="20"/>
                <w:szCs w:val="20"/>
                <w:highlight w:val="none"/>
              </w:rPr>
              <w:t>投标人须对采购需求中的每一条技术参数要求及服务指标分别进行响应，如只标注“符合”或“满足”等不详实字眼的，将被视为对该条款完全不响应。技术参数要求及服务指标中如有列出数值范围的，投标人须如实填写具体的响应数值（不得照抄采购需求中列出的数值范围），否则，将被视为对该条款完全不响应。提供加盖投标人公章的承诺函。</w:t>
            </w:r>
          </w:p>
        </w:tc>
        <w:tc>
          <w:tcPr>
            <w:tcW w:w="2880" w:type="dxa"/>
            <w:tcBorders>
              <w:top w:val="single" w:color="auto" w:sz="4" w:space="0"/>
              <w:left w:val="single" w:color="auto" w:sz="4" w:space="0"/>
              <w:bottom w:val="single" w:color="auto" w:sz="4" w:space="0"/>
              <w:right w:val="single" w:color="auto" w:sz="4" w:space="0"/>
            </w:tcBorders>
          </w:tcPr>
          <w:p w14:paraId="3F4292A0">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14:paraId="0D049DBF">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r>
      <w:tr w14:paraId="442CF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14:paraId="35045B57">
            <w:pPr>
              <w:keepNext w:val="0"/>
              <w:keepLines w:val="0"/>
              <w:widowControl/>
              <w:suppressLineNumbers w:val="0"/>
              <w:spacing w:before="0" w:beforeAutospacing="0" w:after="0" w:afterAutospacing="0" w:line="360" w:lineRule="auto"/>
              <w:ind w:left="0" w:right="0"/>
              <w:jc w:val="center"/>
              <w:rPr>
                <w:rFonts w:hint="eastAsia" w:ascii="宋体" w:hAnsi="宋体" w:eastAsia="宋体"/>
                <w:sz w:val="24"/>
                <w:szCs w:val="24"/>
                <w:lang w:val="en-US" w:eastAsia="zh-CN"/>
              </w:rPr>
            </w:pPr>
            <w:r>
              <w:rPr>
                <w:rFonts w:hint="eastAsia" w:ascii="宋体" w:hAnsi="宋体"/>
                <w:sz w:val="24"/>
                <w:szCs w:val="24"/>
                <w:lang w:val="en-US" w:eastAsia="zh-CN"/>
              </w:rPr>
              <w:t>9</w:t>
            </w:r>
          </w:p>
        </w:tc>
        <w:tc>
          <w:tcPr>
            <w:tcW w:w="3807" w:type="dxa"/>
            <w:tcBorders>
              <w:top w:val="single" w:color="auto" w:sz="4" w:space="0"/>
              <w:left w:val="single" w:color="auto" w:sz="4" w:space="0"/>
              <w:bottom w:val="single" w:color="auto" w:sz="4" w:space="0"/>
              <w:right w:val="single" w:color="auto" w:sz="4" w:space="0"/>
            </w:tcBorders>
          </w:tcPr>
          <w:p w14:paraId="54263AAF">
            <w:pPr>
              <w:keepNext w:val="0"/>
              <w:keepLines w:val="0"/>
              <w:widowControl/>
              <w:suppressLineNumbers w:val="0"/>
              <w:spacing w:before="0" w:beforeAutospacing="0" w:after="0" w:afterAutospacing="0" w:line="360" w:lineRule="auto"/>
              <w:ind w:left="0" w:right="0"/>
              <w:rPr>
                <w:rFonts w:hint="default" w:ascii="Calibri" w:hAnsi="Calibri" w:eastAsia="宋体" w:cs="Times New Roman"/>
                <w:color w:val="222222"/>
                <w:kern w:val="2"/>
                <w:sz w:val="27"/>
                <w:szCs w:val="24"/>
                <w:lang w:val="en-US" w:eastAsia="zh-CN" w:bidi="ar"/>
              </w:rPr>
            </w:pPr>
            <w:r>
              <w:rPr>
                <w:rFonts w:hint="default" w:ascii="Times New Roman" w:hAnsi="Times New Roman" w:eastAsia="仿宋" w:cs="Times New Roman"/>
                <w:b w:val="0"/>
                <w:bCs w:val="0"/>
                <w:color w:val="auto"/>
                <w:kern w:val="2"/>
                <w:sz w:val="20"/>
                <w:szCs w:val="20"/>
                <w:lang w:val="en-US" w:eastAsia="zh-CN" w:bidi="ar-SA"/>
              </w:rPr>
              <w:t>1.5.</w:t>
            </w:r>
            <w:r>
              <w:rPr>
                <w:rFonts w:hint="eastAsia" w:hAnsi="宋体" w:cs="宋体"/>
                <w:color w:val="auto"/>
                <w:kern w:val="2"/>
                <w:sz w:val="20"/>
                <w:szCs w:val="20"/>
                <w:highlight w:val="none"/>
              </w:rPr>
              <w:t>投标人如获中标资格，未经采购人同意，不得将本项目以任何形式分包或转包给第三方，如有违反，采购人有权单方面终止合同，并追究违约责任。提供加盖投标人公章的承诺函。</w:t>
            </w:r>
          </w:p>
        </w:tc>
        <w:tc>
          <w:tcPr>
            <w:tcW w:w="2880" w:type="dxa"/>
            <w:tcBorders>
              <w:top w:val="single" w:color="auto" w:sz="4" w:space="0"/>
              <w:left w:val="single" w:color="auto" w:sz="4" w:space="0"/>
              <w:bottom w:val="single" w:color="auto" w:sz="4" w:space="0"/>
              <w:right w:val="single" w:color="auto" w:sz="4" w:space="0"/>
            </w:tcBorders>
          </w:tcPr>
          <w:p w14:paraId="5A208B3A">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14:paraId="6D7112CA">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r>
      <w:tr w14:paraId="5B47A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14:paraId="781DABD9">
            <w:pPr>
              <w:keepNext w:val="0"/>
              <w:keepLines w:val="0"/>
              <w:widowControl/>
              <w:suppressLineNumbers w:val="0"/>
              <w:spacing w:before="0" w:beforeAutospacing="0" w:after="0" w:afterAutospacing="0" w:line="360" w:lineRule="auto"/>
              <w:ind w:left="0" w:right="0"/>
              <w:jc w:val="center"/>
              <w:rPr>
                <w:rFonts w:hint="default" w:ascii="宋体" w:hAnsi="宋体" w:eastAsia="宋体"/>
                <w:sz w:val="24"/>
                <w:szCs w:val="24"/>
                <w:lang w:val="en-US" w:eastAsia="zh-CN"/>
              </w:rPr>
            </w:pPr>
            <w:r>
              <w:rPr>
                <w:rFonts w:hint="eastAsia" w:ascii="宋体" w:hAnsi="宋体"/>
                <w:sz w:val="24"/>
                <w:szCs w:val="24"/>
                <w:lang w:val="en-US" w:eastAsia="zh-CN"/>
              </w:rPr>
              <w:t>10</w:t>
            </w:r>
          </w:p>
        </w:tc>
        <w:tc>
          <w:tcPr>
            <w:tcW w:w="3807" w:type="dxa"/>
            <w:tcBorders>
              <w:top w:val="single" w:color="auto" w:sz="4" w:space="0"/>
              <w:left w:val="single" w:color="auto" w:sz="4" w:space="0"/>
              <w:bottom w:val="single" w:color="auto" w:sz="4" w:space="0"/>
              <w:right w:val="single" w:color="auto" w:sz="4" w:space="0"/>
            </w:tcBorders>
          </w:tcPr>
          <w:p w14:paraId="5941AB4C">
            <w:pPr>
              <w:keepNext w:val="0"/>
              <w:keepLines w:val="0"/>
              <w:widowControl/>
              <w:suppressLineNumbers w:val="0"/>
              <w:spacing w:before="0" w:beforeAutospacing="0" w:after="0" w:afterAutospacing="0" w:line="360" w:lineRule="auto"/>
              <w:ind w:left="0" w:right="0"/>
              <w:rPr>
                <w:rFonts w:hint="default" w:ascii="Calibri" w:hAnsi="Calibri" w:eastAsia="宋体" w:cs="Times New Roman"/>
                <w:color w:val="222222"/>
                <w:kern w:val="2"/>
                <w:sz w:val="27"/>
                <w:szCs w:val="24"/>
                <w:lang w:val="en-US" w:eastAsia="zh-CN" w:bidi="ar"/>
              </w:rPr>
            </w:pPr>
            <w:r>
              <w:rPr>
                <w:rFonts w:hint="default" w:ascii="Times New Roman" w:hAnsi="Times New Roman" w:eastAsia="宋体" w:cs="宋体"/>
                <w:color w:val="auto"/>
                <w:sz w:val="20"/>
                <w:szCs w:val="20"/>
                <w:lang w:val="en-US" w:eastAsia="zh-CN" w:bidi="ar"/>
              </w:rPr>
              <w:t>2.1.2.1</w:t>
            </w:r>
            <w:r>
              <w:rPr>
                <w:rFonts w:hint="eastAsia" w:hAnsi="宋体" w:cs="宋体"/>
                <w:color w:val="auto"/>
                <w:kern w:val="2"/>
                <w:sz w:val="20"/>
                <w:szCs w:val="20"/>
                <w:highlight w:val="none"/>
              </w:rPr>
              <w:t>投标人须承诺，如获中标资格，</w:t>
            </w:r>
            <w:r>
              <w:rPr>
                <w:rFonts w:hint="eastAsia" w:hAnsi="宋体" w:cs="宋体"/>
                <w:color w:val="auto"/>
                <w:kern w:val="2"/>
                <w:sz w:val="20"/>
                <w:szCs w:val="20"/>
                <w:highlight w:val="none"/>
                <w:lang w:eastAsia="zh-Hans"/>
              </w:rPr>
              <w:t>当采购需求要求的</w:t>
            </w:r>
            <w:r>
              <w:rPr>
                <w:rFonts w:hint="eastAsia" w:hAnsi="宋体" w:cs="宋体"/>
                <w:color w:val="auto"/>
                <w:kern w:val="2"/>
                <w:sz w:val="20"/>
                <w:szCs w:val="20"/>
                <w:highlight w:val="none"/>
              </w:rPr>
              <w:t>产品</w:t>
            </w:r>
            <w:r>
              <w:rPr>
                <w:rFonts w:hint="eastAsia" w:hAnsi="宋体" w:cs="宋体"/>
                <w:color w:val="auto"/>
                <w:kern w:val="2"/>
                <w:sz w:val="20"/>
                <w:szCs w:val="20"/>
                <w:highlight w:val="none"/>
                <w:lang w:eastAsia="zh-Hans"/>
              </w:rPr>
              <w:t>尺寸与项目实施现场实际尺寸有偏差的</w:t>
            </w:r>
            <w:r>
              <w:rPr>
                <w:rFonts w:hint="eastAsia"/>
                <w:color w:val="auto"/>
                <w:sz w:val="20"/>
                <w:szCs w:val="20"/>
                <w:highlight w:val="none"/>
              </w:rPr>
              <w:t>（±10%）</w:t>
            </w:r>
            <w:r>
              <w:rPr>
                <w:rFonts w:hint="eastAsia" w:hAnsi="宋体" w:cs="宋体"/>
                <w:color w:val="auto"/>
                <w:kern w:val="2"/>
                <w:sz w:val="20"/>
                <w:szCs w:val="20"/>
                <w:highlight w:val="none"/>
                <w:lang w:eastAsia="zh-Hans"/>
              </w:rPr>
              <w:t>，</w:t>
            </w:r>
            <w:r>
              <w:rPr>
                <w:rFonts w:hint="eastAsia" w:hAnsi="宋体" w:cs="宋体"/>
                <w:color w:val="auto"/>
                <w:kern w:val="2"/>
                <w:sz w:val="20"/>
                <w:szCs w:val="20"/>
                <w:highlight w:val="none"/>
              </w:rPr>
              <w:t>将</w:t>
            </w:r>
            <w:r>
              <w:rPr>
                <w:rFonts w:hint="eastAsia" w:hAnsi="宋体" w:cs="宋体"/>
                <w:color w:val="auto"/>
                <w:kern w:val="2"/>
                <w:sz w:val="20"/>
                <w:szCs w:val="20"/>
                <w:highlight w:val="none"/>
                <w:lang w:eastAsia="zh-Hans"/>
              </w:rPr>
              <w:t>配合采购人调整</w:t>
            </w:r>
            <w:r>
              <w:rPr>
                <w:rFonts w:hint="eastAsia" w:hAnsi="宋体" w:cs="宋体"/>
                <w:color w:val="auto"/>
                <w:kern w:val="2"/>
                <w:sz w:val="20"/>
                <w:szCs w:val="20"/>
                <w:highlight w:val="none"/>
              </w:rPr>
              <w:t>产品</w:t>
            </w:r>
            <w:r>
              <w:rPr>
                <w:rFonts w:hint="eastAsia" w:hAnsi="宋体" w:cs="宋体"/>
                <w:color w:val="auto"/>
                <w:kern w:val="2"/>
                <w:sz w:val="20"/>
                <w:szCs w:val="20"/>
                <w:highlight w:val="none"/>
                <w:lang w:eastAsia="zh-Hans"/>
              </w:rPr>
              <w:t>尺寸，</w:t>
            </w:r>
            <w:r>
              <w:rPr>
                <w:rFonts w:hint="eastAsia" w:hAnsi="宋体" w:cs="宋体"/>
                <w:color w:val="auto"/>
                <w:kern w:val="2"/>
                <w:sz w:val="20"/>
                <w:szCs w:val="20"/>
                <w:highlight w:val="none"/>
              </w:rPr>
              <w:t>由</w:t>
            </w:r>
            <w:r>
              <w:rPr>
                <w:rFonts w:hint="eastAsia" w:hAnsi="宋体" w:cs="宋体"/>
                <w:color w:val="auto"/>
                <w:kern w:val="2"/>
                <w:sz w:val="20"/>
                <w:szCs w:val="20"/>
                <w:highlight w:val="none"/>
                <w:lang w:eastAsia="zh-Hans"/>
              </w:rPr>
              <w:t>此</w:t>
            </w:r>
            <w:r>
              <w:rPr>
                <w:rFonts w:hint="eastAsia" w:hAnsi="宋体" w:cs="宋体"/>
                <w:color w:val="auto"/>
                <w:kern w:val="2"/>
                <w:sz w:val="20"/>
                <w:szCs w:val="20"/>
                <w:highlight w:val="none"/>
              </w:rPr>
              <w:t>产生的一切</w:t>
            </w:r>
            <w:r>
              <w:rPr>
                <w:rFonts w:hint="eastAsia" w:hAnsi="宋体" w:cs="宋体"/>
                <w:color w:val="auto"/>
                <w:kern w:val="2"/>
                <w:sz w:val="20"/>
                <w:szCs w:val="20"/>
                <w:highlight w:val="none"/>
                <w:lang w:eastAsia="zh-Hans"/>
              </w:rPr>
              <w:t>费用包含在</w:t>
            </w:r>
            <w:r>
              <w:rPr>
                <w:rFonts w:hint="eastAsia" w:hAnsi="宋体" w:cs="宋体"/>
                <w:color w:val="auto"/>
                <w:kern w:val="2"/>
                <w:sz w:val="20"/>
                <w:szCs w:val="20"/>
                <w:highlight w:val="none"/>
              </w:rPr>
              <w:t>投标总价内</w:t>
            </w:r>
            <w:r>
              <w:rPr>
                <w:rFonts w:hint="eastAsia" w:hAnsi="宋体" w:cs="宋体"/>
                <w:color w:val="auto"/>
                <w:kern w:val="2"/>
                <w:sz w:val="20"/>
                <w:szCs w:val="20"/>
                <w:highlight w:val="none"/>
                <w:lang w:eastAsia="zh-Hans"/>
              </w:rPr>
              <w:t>，不收取额外的费用</w:t>
            </w:r>
            <w:r>
              <w:rPr>
                <w:rFonts w:hint="eastAsia" w:hAnsi="宋体" w:cs="宋体"/>
                <w:color w:val="auto"/>
                <w:kern w:val="2"/>
                <w:sz w:val="20"/>
                <w:szCs w:val="20"/>
                <w:highlight w:val="none"/>
              </w:rPr>
              <w:t>。提供加盖投标人公章的承诺函。</w:t>
            </w:r>
          </w:p>
        </w:tc>
        <w:tc>
          <w:tcPr>
            <w:tcW w:w="2880" w:type="dxa"/>
            <w:tcBorders>
              <w:top w:val="single" w:color="auto" w:sz="4" w:space="0"/>
              <w:left w:val="single" w:color="auto" w:sz="4" w:space="0"/>
              <w:bottom w:val="single" w:color="auto" w:sz="4" w:space="0"/>
              <w:right w:val="single" w:color="auto" w:sz="4" w:space="0"/>
            </w:tcBorders>
          </w:tcPr>
          <w:p w14:paraId="5A796C43">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14:paraId="5551EBEA">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r>
      <w:tr w14:paraId="4364B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14:paraId="3FF54B35">
            <w:pPr>
              <w:keepNext w:val="0"/>
              <w:keepLines w:val="0"/>
              <w:widowControl/>
              <w:suppressLineNumbers w:val="0"/>
              <w:spacing w:before="0" w:beforeAutospacing="0" w:after="0" w:afterAutospacing="0" w:line="360" w:lineRule="auto"/>
              <w:ind w:left="0" w:right="0"/>
              <w:jc w:val="center"/>
              <w:rPr>
                <w:rFonts w:hint="default" w:ascii="宋体" w:hAnsi="宋体" w:eastAsia="宋体"/>
                <w:sz w:val="24"/>
                <w:szCs w:val="24"/>
                <w:lang w:val="en-US" w:eastAsia="zh-CN"/>
              </w:rPr>
            </w:pPr>
            <w:r>
              <w:rPr>
                <w:rFonts w:hint="eastAsia" w:ascii="宋体" w:hAnsi="宋体"/>
                <w:sz w:val="24"/>
                <w:szCs w:val="24"/>
                <w:lang w:val="en-US" w:eastAsia="zh-CN"/>
              </w:rPr>
              <w:t>12</w:t>
            </w:r>
          </w:p>
        </w:tc>
        <w:tc>
          <w:tcPr>
            <w:tcW w:w="3807" w:type="dxa"/>
            <w:tcBorders>
              <w:top w:val="single" w:color="auto" w:sz="4" w:space="0"/>
              <w:left w:val="single" w:color="auto" w:sz="4" w:space="0"/>
              <w:bottom w:val="single" w:color="auto" w:sz="4" w:space="0"/>
              <w:right w:val="single" w:color="auto" w:sz="4" w:space="0"/>
            </w:tcBorders>
          </w:tcPr>
          <w:p w14:paraId="28F39870">
            <w:pPr>
              <w:keepNext w:val="0"/>
              <w:keepLines w:val="0"/>
              <w:widowControl/>
              <w:suppressLineNumbers w:val="0"/>
              <w:spacing w:before="0" w:beforeAutospacing="0" w:after="0" w:afterAutospacing="0" w:line="360" w:lineRule="auto"/>
              <w:ind w:left="0" w:right="0"/>
              <w:rPr>
                <w:rFonts w:hint="eastAsia" w:hAnsi="宋体" w:cs="宋体"/>
                <w:kern w:val="2"/>
                <w:sz w:val="21"/>
                <w:szCs w:val="21"/>
                <w:highlight w:val="none"/>
              </w:rPr>
            </w:pPr>
            <w:r>
              <w:rPr>
                <w:rFonts w:hint="default" w:ascii="Times New Roman" w:hAnsi="Times New Roman" w:eastAsia="宋体" w:cs="宋体"/>
                <w:color w:val="auto"/>
                <w:kern w:val="2"/>
                <w:sz w:val="20"/>
                <w:szCs w:val="20"/>
                <w:lang w:val="en-US" w:eastAsia="zh-CN" w:bidi="ar-SA"/>
              </w:rPr>
              <w:t>2.1.4.3</w:t>
            </w:r>
            <w:r>
              <w:rPr>
                <w:rFonts w:hint="eastAsia" w:hAnsi="宋体" w:cs="宋体"/>
                <w:color w:val="auto"/>
                <w:kern w:val="2"/>
                <w:sz w:val="20"/>
                <w:szCs w:val="20"/>
                <w:highlight w:val="none"/>
              </w:rPr>
              <w:t>安装工作应严格遵守国家、省、市有关文明施工、施工安全、消防、环卫和城管等规定，提供必要的防护措施，如因安装人员自身措施不力造成事故的，由中标供应商承担所有责任和因此产生的一切费用，采购人不承担任何连带责任。提供加盖投标人公章的承诺函。</w:t>
            </w:r>
          </w:p>
        </w:tc>
        <w:tc>
          <w:tcPr>
            <w:tcW w:w="2880" w:type="dxa"/>
            <w:tcBorders>
              <w:top w:val="single" w:color="auto" w:sz="4" w:space="0"/>
              <w:left w:val="single" w:color="auto" w:sz="4" w:space="0"/>
              <w:bottom w:val="single" w:color="auto" w:sz="4" w:space="0"/>
              <w:right w:val="single" w:color="auto" w:sz="4" w:space="0"/>
            </w:tcBorders>
          </w:tcPr>
          <w:p w14:paraId="656FE83B">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14:paraId="29CD0805">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r>
      <w:tr w14:paraId="4B147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14:paraId="74A9EE30">
            <w:pPr>
              <w:keepNext w:val="0"/>
              <w:keepLines w:val="0"/>
              <w:widowControl/>
              <w:suppressLineNumbers w:val="0"/>
              <w:spacing w:before="0" w:beforeAutospacing="0" w:after="0" w:afterAutospacing="0" w:line="360" w:lineRule="auto"/>
              <w:ind w:left="0" w:right="0"/>
              <w:jc w:val="center"/>
              <w:rPr>
                <w:rFonts w:hint="default" w:ascii="宋体" w:hAnsi="宋体" w:eastAsia="宋体"/>
                <w:sz w:val="24"/>
                <w:szCs w:val="24"/>
                <w:lang w:val="en-US" w:eastAsia="zh-CN"/>
              </w:rPr>
            </w:pPr>
            <w:r>
              <w:rPr>
                <w:rFonts w:hint="eastAsia" w:ascii="宋体" w:hAnsi="宋体"/>
                <w:sz w:val="24"/>
                <w:szCs w:val="24"/>
                <w:lang w:val="en-US" w:eastAsia="zh-CN"/>
              </w:rPr>
              <w:t>12</w:t>
            </w:r>
          </w:p>
        </w:tc>
        <w:tc>
          <w:tcPr>
            <w:tcW w:w="3807" w:type="dxa"/>
            <w:tcBorders>
              <w:top w:val="single" w:color="auto" w:sz="4" w:space="0"/>
              <w:left w:val="single" w:color="auto" w:sz="4" w:space="0"/>
              <w:bottom w:val="single" w:color="auto" w:sz="4" w:space="0"/>
              <w:right w:val="single" w:color="auto" w:sz="4" w:space="0"/>
            </w:tcBorders>
          </w:tcPr>
          <w:p w14:paraId="1B94CA37">
            <w:pPr>
              <w:keepNext w:val="0"/>
              <w:keepLines w:val="0"/>
              <w:widowControl/>
              <w:suppressLineNumbers w:val="0"/>
              <w:spacing w:before="0" w:beforeAutospacing="0" w:after="0" w:afterAutospacing="0" w:line="360" w:lineRule="auto"/>
              <w:ind w:left="0" w:right="0"/>
              <w:rPr>
                <w:rFonts w:hint="eastAsia" w:hAnsi="宋体" w:cs="宋体"/>
                <w:kern w:val="2"/>
                <w:sz w:val="21"/>
                <w:szCs w:val="21"/>
                <w:highlight w:val="none"/>
              </w:rPr>
            </w:pPr>
            <w:r>
              <w:rPr>
                <w:rFonts w:hint="default" w:ascii="Times New Roman" w:hAnsi="Times New Roman" w:eastAsia="宋体" w:cs="宋体"/>
                <w:color w:val="auto"/>
                <w:kern w:val="2"/>
                <w:sz w:val="20"/>
                <w:szCs w:val="20"/>
                <w:lang w:val="en-US" w:eastAsia="zh-CN" w:bidi="ar-SA"/>
              </w:rPr>
              <w:t>2.1.4.4</w:t>
            </w:r>
            <w:r>
              <w:rPr>
                <w:rFonts w:hint="eastAsia" w:hAnsi="宋体" w:cs="宋体"/>
                <w:color w:val="auto"/>
                <w:kern w:val="2"/>
                <w:sz w:val="20"/>
                <w:szCs w:val="20"/>
                <w:highlight w:val="none"/>
              </w:rPr>
              <w:t>如因本项目实施造成项目现场损坏的，中标供应商须对项目现场进行原样修复；造成人身财产受到损害的，须承担全部赔偿责任。因此产生的一切费用由投标供应商自行承担。提供加盖投标人公章的承诺函。</w:t>
            </w:r>
          </w:p>
        </w:tc>
        <w:tc>
          <w:tcPr>
            <w:tcW w:w="2880" w:type="dxa"/>
            <w:tcBorders>
              <w:top w:val="single" w:color="auto" w:sz="4" w:space="0"/>
              <w:left w:val="single" w:color="auto" w:sz="4" w:space="0"/>
              <w:bottom w:val="single" w:color="auto" w:sz="4" w:space="0"/>
              <w:right w:val="single" w:color="auto" w:sz="4" w:space="0"/>
            </w:tcBorders>
          </w:tcPr>
          <w:p w14:paraId="05DD2DEE">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14:paraId="17823326">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r>
      <w:tr w14:paraId="1DFED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14:paraId="4C435DE9">
            <w:pPr>
              <w:keepNext w:val="0"/>
              <w:keepLines w:val="0"/>
              <w:widowControl/>
              <w:suppressLineNumbers w:val="0"/>
              <w:spacing w:before="0" w:beforeAutospacing="0" w:after="0" w:afterAutospacing="0" w:line="360" w:lineRule="auto"/>
              <w:ind w:left="0" w:right="0"/>
              <w:jc w:val="center"/>
              <w:rPr>
                <w:rFonts w:hint="default" w:ascii="宋体" w:hAnsi="宋体" w:eastAsia="宋体"/>
                <w:sz w:val="24"/>
                <w:szCs w:val="24"/>
                <w:lang w:val="en-US" w:eastAsia="zh-CN"/>
              </w:rPr>
            </w:pPr>
            <w:r>
              <w:rPr>
                <w:rFonts w:hint="eastAsia" w:ascii="宋体" w:hAnsi="宋体"/>
                <w:sz w:val="24"/>
                <w:szCs w:val="24"/>
                <w:lang w:val="en-US" w:eastAsia="zh-CN"/>
              </w:rPr>
              <w:t>13</w:t>
            </w:r>
          </w:p>
        </w:tc>
        <w:tc>
          <w:tcPr>
            <w:tcW w:w="3807" w:type="dxa"/>
            <w:tcBorders>
              <w:top w:val="single" w:color="auto" w:sz="4" w:space="0"/>
              <w:left w:val="single" w:color="auto" w:sz="4" w:space="0"/>
              <w:bottom w:val="single" w:color="auto" w:sz="4" w:space="0"/>
              <w:right w:val="single" w:color="auto" w:sz="4" w:space="0"/>
            </w:tcBorders>
          </w:tcPr>
          <w:p w14:paraId="799C8F60">
            <w:pPr>
              <w:keepNext w:val="0"/>
              <w:keepLines w:val="0"/>
              <w:widowControl/>
              <w:suppressLineNumbers w:val="0"/>
              <w:spacing w:before="0" w:beforeAutospacing="0" w:after="0" w:afterAutospacing="0" w:line="360" w:lineRule="auto"/>
              <w:ind w:left="0" w:right="0"/>
              <w:rPr>
                <w:rFonts w:hint="eastAsia" w:hAnsi="宋体" w:cs="宋体"/>
                <w:kern w:val="2"/>
                <w:sz w:val="21"/>
                <w:szCs w:val="21"/>
                <w:highlight w:val="none"/>
              </w:rPr>
            </w:pPr>
            <w:r>
              <w:rPr>
                <w:rFonts w:hint="default" w:ascii="Times New Roman" w:hAnsi="Times New Roman" w:eastAsia="宋体" w:cs="宋体"/>
                <w:color w:val="auto"/>
                <w:kern w:val="2"/>
                <w:sz w:val="20"/>
                <w:szCs w:val="20"/>
                <w:lang w:val="en-US" w:eastAsia="zh-CN" w:bidi="ar-SA"/>
              </w:rPr>
              <w:t>2.1.7.1</w:t>
            </w:r>
            <w:r>
              <w:rPr>
                <w:rFonts w:hint="eastAsia" w:hAnsi="宋体" w:cs="宋体"/>
                <w:color w:val="auto"/>
                <w:kern w:val="2"/>
                <w:sz w:val="20"/>
                <w:szCs w:val="20"/>
                <w:highlight w:val="none"/>
              </w:rPr>
              <w:t>所有拟供货设备/产品均须是全新、未曾使用过的，且质量、尺寸（mm）及技术特征应完全符合本项目采购需求，不得是已经停产的产品。如在实际供货时被发现提供的设备/产品已经停产或未能达到招标文件和投标文件中的有关技术或质量要求的，视为违约，采购人有权单方面立即终止合同，并追究投标人的违约责任，投标人须赔偿采购人因此产生的所有损失。提供加盖投标人公章的承诺函。</w:t>
            </w:r>
          </w:p>
        </w:tc>
        <w:tc>
          <w:tcPr>
            <w:tcW w:w="2880" w:type="dxa"/>
            <w:tcBorders>
              <w:top w:val="single" w:color="auto" w:sz="4" w:space="0"/>
              <w:left w:val="single" w:color="auto" w:sz="4" w:space="0"/>
              <w:bottom w:val="single" w:color="auto" w:sz="4" w:space="0"/>
              <w:right w:val="single" w:color="auto" w:sz="4" w:space="0"/>
            </w:tcBorders>
          </w:tcPr>
          <w:p w14:paraId="0405F459">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14:paraId="0DD760FD">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r>
      <w:tr w14:paraId="5C29B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14:paraId="2F1D3233">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lang w:val="en-US" w:eastAsia="zh-CN"/>
              </w:rPr>
            </w:pPr>
            <w:r>
              <w:rPr>
                <w:rFonts w:hint="eastAsia" w:ascii="宋体" w:hAnsi="宋体"/>
                <w:sz w:val="24"/>
                <w:szCs w:val="24"/>
                <w:lang w:val="en-US" w:eastAsia="zh-CN"/>
              </w:rPr>
              <w:t>14</w:t>
            </w:r>
          </w:p>
        </w:tc>
        <w:tc>
          <w:tcPr>
            <w:tcW w:w="3807" w:type="dxa"/>
            <w:tcBorders>
              <w:top w:val="single" w:color="auto" w:sz="4" w:space="0"/>
              <w:left w:val="single" w:color="auto" w:sz="4" w:space="0"/>
              <w:bottom w:val="single" w:color="auto" w:sz="4" w:space="0"/>
              <w:right w:val="single" w:color="auto" w:sz="4" w:space="0"/>
            </w:tcBorders>
          </w:tcPr>
          <w:p w14:paraId="55B24112">
            <w:pPr>
              <w:keepNext w:val="0"/>
              <w:keepLines w:val="0"/>
              <w:widowControl/>
              <w:suppressLineNumbers w:val="0"/>
              <w:spacing w:before="0" w:beforeAutospacing="0" w:after="0" w:afterAutospacing="0" w:line="360" w:lineRule="auto"/>
              <w:ind w:left="0" w:right="0"/>
              <w:rPr>
                <w:rFonts w:hint="default" w:ascii="Times New Roman" w:hAnsi="Times New Roman" w:eastAsia="宋体" w:cs="宋体"/>
                <w:color w:val="auto"/>
                <w:kern w:val="2"/>
                <w:sz w:val="20"/>
                <w:szCs w:val="20"/>
                <w:lang w:val="en-US" w:eastAsia="zh-CN" w:bidi="ar-SA"/>
              </w:rPr>
            </w:pPr>
            <w:r>
              <w:rPr>
                <w:rFonts w:hint="default" w:ascii="Times New Roman" w:hAnsi="Times New Roman" w:eastAsia="宋体" w:cs="Times New Roman"/>
                <w:color w:val="auto"/>
                <w:kern w:val="2"/>
                <w:sz w:val="20"/>
                <w:szCs w:val="20"/>
                <w:lang w:val="en-US" w:eastAsia="zh-CN" w:bidi="ar-SA"/>
              </w:rPr>
              <w:t>2.2.1.</w:t>
            </w:r>
            <w:r>
              <w:rPr>
                <w:rFonts w:hint="eastAsia" w:hAnsi="宋体" w:cs="宋体"/>
                <w:color w:val="auto"/>
                <w:kern w:val="2"/>
                <w:sz w:val="20"/>
                <w:szCs w:val="20"/>
                <w:highlight w:val="none"/>
              </w:rPr>
              <w:t>本采购需求中如有要求提供资质证件或检测报告等材料的，投标人应在投标文件中提供证件或检测报告等材料的扫描件，并确保检测机构资质符合项目要求，检测报告内容、检测委托合同、相关发票等材料齐全。投标人如获中标资格，须在中标通知书发出之日（即发布中标公告之日）起2个工作日内，向采购人提交所有材料的原件，以便配合采购人核对相关文件和材料的真实有效、完整准确，对于按照相关规定可通过官方网站查询的资质证件或检测报告等材料，可提供线上可查询的路径。采购人有权自行聘请独立的第三方专业机构或专家，对提交的任何检测报告的真实性进行核查。如涉嫌存在《中华人民共和国政府采购法》第七十七条第一款第一项“提供虚假材料谋取中标、成交的”情形的，采购人将立即上报政府采购监管部门，严肃调查处理处罚；未在上述内规定时间内向采购人提交材料原件进行核对的，采购人将上报监管部门处理。提供加盖投标人公章的承诺函。</w:t>
            </w:r>
          </w:p>
        </w:tc>
        <w:tc>
          <w:tcPr>
            <w:tcW w:w="2880" w:type="dxa"/>
            <w:tcBorders>
              <w:top w:val="single" w:color="auto" w:sz="4" w:space="0"/>
              <w:left w:val="single" w:color="auto" w:sz="4" w:space="0"/>
              <w:bottom w:val="single" w:color="auto" w:sz="4" w:space="0"/>
              <w:right w:val="single" w:color="auto" w:sz="4" w:space="0"/>
            </w:tcBorders>
          </w:tcPr>
          <w:p w14:paraId="36633EE0">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14:paraId="61517A05">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r>
      <w:tr w14:paraId="76D1D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14:paraId="78F43174">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lang w:val="en-US" w:eastAsia="zh-CN"/>
              </w:rPr>
            </w:pPr>
            <w:r>
              <w:rPr>
                <w:rFonts w:hint="eastAsia" w:ascii="宋体" w:hAnsi="宋体"/>
                <w:sz w:val="24"/>
                <w:szCs w:val="24"/>
                <w:lang w:val="en-US" w:eastAsia="zh-CN"/>
              </w:rPr>
              <w:t>15</w:t>
            </w:r>
          </w:p>
        </w:tc>
        <w:tc>
          <w:tcPr>
            <w:tcW w:w="3807" w:type="dxa"/>
            <w:tcBorders>
              <w:top w:val="single" w:color="auto" w:sz="4" w:space="0"/>
              <w:left w:val="single" w:color="auto" w:sz="4" w:space="0"/>
              <w:bottom w:val="single" w:color="auto" w:sz="4" w:space="0"/>
              <w:right w:val="single" w:color="auto" w:sz="4" w:space="0"/>
            </w:tcBorders>
          </w:tcPr>
          <w:p w14:paraId="5ABC156F">
            <w:pPr>
              <w:keepNext w:val="0"/>
              <w:keepLines w:val="0"/>
              <w:widowControl/>
              <w:suppressLineNumbers w:val="0"/>
              <w:spacing w:before="0" w:beforeAutospacing="0" w:after="0" w:afterAutospacing="0" w:line="360" w:lineRule="auto"/>
              <w:ind w:left="0" w:right="0"/>
              <w:rPr>
                <w:rFonts w:hint="default" w:ascii="Times New Roman" w:hAnsi="Times New Roman" w:eastAsia="宋体" w:cs="宋体"/>
                <w:color w:val="auto"/>
                <w:kern w:val="2"/>
                <w:sz w:val="20"/>
                <w:szCs w:val="20"/>
                <w:lang w:val="en-US" w:eastAsia="zh-CN" w:bidi="ar-SA"/>
              </w:rPr>
            </w:pPr>
            <w:r>
              <w:rPr>
                <w:rFonts w:hint="default" w:ascii="Times New Roman" w:hAnsi="Times New Roman" w:eastAsia="宋体" w:cs="Times New Roman"/>
                <w:color w:val="auto"/>
                <w:kern w:val="2"/>
                <w:sz w:val="20"/>
                <w:szCs w:val="20"/>
                <w:lang w:val="en-US" w:eastAsia="zh-CN" w:bidi="ar-SA"/>
              </w:rPr>
              <w:t>2.2.2.</w:t>
            </w:r>
            <w:r>
              <w:rPr>
                <w:rFonts w:hint="eastAsia" w:hAnsi="宋体" w:cs="宋体"/>
                <w:color w:val="auto"/>
                <w:kern w:val="2"/>
                <w:sz w:val="20"/>
                <w:szCs w:val="20"/>
                <w:highlight w:val="none"/>
              </w:rPr>
              <w:t>投标供应商须在中标后签订合同前，提供所投的数码体式（解剖）解剖镜、教师端数码生物显微镜、教师图像分析软件、数码液晶显微镜等主要产品的原厂参数确认函原件进行检查，不能按时提供资料或提供资料与投标文件响应不符的可能被视为虚假响应，采购人有权上报政府采购主管单位进行处理，由此引发的相应法律责任以及导致项目完工期延期造成的所有损失，由中标人负责。提供加盖投标人公章的承诺函。</w:t>
            </w:r>
          </w:p>
        </w:tc>
        <w:tc>
          <w:tcPr>
            <w:tcW w:w="2880" w:type="dxa"/>
            <w:tcBorders>
              <w:top w:val="single" w:color="auto" w:sz="4" w:space="0"/>
              <w:left w:val="single" w:color="auto" w:sz="4" w:space="0"/>
              <w:bottom w:val="single" w:color="auto" w:sz="4" w:space="0"/>
              <w:right w:val="single" w:color="auto" w:sz="4" w:space="0"/>
            </w:tcBorders>
          </w:tcPr>
          <w:p w14:paraId="02B44167">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14:paraId="5B132901">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r>
      <w:tr w14:paraId="3D343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14:paraId="2908E981">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lang w:val="en-US" w:eastAsia="zh-CN"/>
              </w:rPr>
            </w:pPr>
            <w:r>
              <w:rPr>
                <w:rFonts w:hint="eastAsia" w:ascii="宋体" w:hAnsi="宋体"/>
                <w:sz w:val="24"/>
                <w:szCs w:val="24"/>
                <w:lang w:val="en-US" w:eastAsia="zh-CN"/>
              </w:rPr>
              <w:t>16</w:t>
            </w:r>
          </w:p>
        </w:tc>
        <w:tc>
          <w:tcPr>
            <w:tcW w:w="3807" w:type="dxa"/>
            <w:tcBorders>
              <w:top w:val="single" w:color="auto" w:sz="4" w:space="0"/>
              <w:left w:val="single" w:color="auto" w:sz="4" w:space="0"/>
              <w:bottom w:val="single" w:color="auto" w:sz="4" w:space="0"/>
              <w:right w:val="single" w:color="auto" w:sz="4" w:space="0"/>
            </w:tcBorders>
          </w:tcPr>
          <w:p w14:paraId="4D41ACCA">
            <w:pPr>
              <w:keepNext w:val="0"/>
              <w:keepLines w:val="0"/>
              <w:widowControl/>
              <w:numPr>
                <w:ilvl w:val="0"/>
                <w:numId w:val="0"/>
              </w:numPr>
              <w:suppressLineNumbers w:val="0"/>
              <w:spacing w:before="0" w:beforeAutospacing="0" w:after="0" w:afterAutospacing="0" w:line="240" w:lineRule="exact"/>
              <w:ind w:left="284" w:leftChars="0" w:right="0" w:rightChars="0" w:hanging="284" w:firstLineChars="0"/>
              <w:jc w:val="both"/>
              <w:rPr>
                <w:rFonts w:hint="eastAsia" w:hAnsi="宋体" w:cs="宋体"/>
                <w:bCs/>
                <w:color w:val="auto"/>
                <w:kern w:val="2"/>
                <w:sz w:val="20"/>
                <w:szCs w:val="20"/>
                <w:highlight w:val="none"/>
              </w:rPr>
            </w:pPr>
            <w:r>
              <w:rPr>
                <w:rFonts w:hint="default" w:ascii="Times New Roman" w:hAnsi="Times New Roman" w:eastAsia="宋体" w:cs="宋体"/>
                <w:b/>
                <w:bCs/>
                <w:i w:val="0"/>
                <w:color w:val="auto"/>
                <w:kern w:val="2"/>
                <w:sz w:val="21"/>
                <w:szCs w:val="20"/>
                <w:lang w:val="en-US" w:eastAsia="zh-CN" w:bidi="ar-SA"/>
              </w:rPr>
              <w:t>3.</w:t>
            </w:r>
            <w:r>
              <w:rPr>
                <w:rFonts w:hint="eastAsia" w:hAnsi="宋体" w:cs="宋体"/>
                <w:b/>
                <w:color w:val="auto"/>
                <w:kern w:val="2"/>
                <w:sz w:val="20"/>
                <w:szCs w:val="20"/>
                <w:highlight w:val="none"/>
              </w:rPr>
              <w:t>知识产权要求</w:t>
            </w:r>
            <w:r>
              <w:rPr>
                <w:rFonts w:hint="eastAsia" w:hAnsi="宋体" w:cs="宋体"/>
                <w:bCs/>
                <w:color w:val="auto"/>
                <w:kern w:val="2"/>
                <w:sz w:val="20"/>
                <w:szCs w:val="20"/>
                <w:highlight w:val="none"/>
              </w:rPr>
              <w:t>：</w:t>
            </w:r>
          </w:p>
          <w:p w14:paraId="6ACA1904">
            <w:pPr>
              <w:keepNext w:val="0"/>
              <w:keepLines w:val="0"/>
              <w:widowControl/>
              <w:numPr>
                <w:ilvl w:val="1"/>
                <w:numId w:val="0"/>
              </w:numPr>
              <w:suppressLineNumbers w:val="0"/>
              <w:tabs>
                <w:tab w:val="left" w:pos="600"/>
              </w:tabs>
              <w:spacing w:before="0" w:beforeAutospacing="0" w:after="0" w:afterAutospacing="0" w:line="240" w:lineRule="exact"/>
              <w:ind w:left="600" w:leftChars="0" w:right="0" w:rightChars="0" w:hanging="430" w:firstLineChars="0"/>
              <w:jc w:val="both"/>
              <w:rPr>
                <w:rFonts w:hint="eastAsia" w:hAnsi="宋体" w:cs="宋体"/>
                <w:color w:val="auto"/>
                <w:kern w:val="2"/>
                <w:sz w:val="20"/>
                <w:szCs w:val="20"/>
                <w:highlight w:val="none"/>
              </w:rPr>
            </w:pPr>
            <w:r>
              <w:rPr>
                <w:rFonts w:hint="default" w:ascii="Times New Roman" w:hAnsi="Times New Roman" w:eastAsia="仿宋" w:cs="Times New Roman"/>
                <w:b w:val="0"/>
                <w:bCs w:val="0"/>
                <w:color w:val="auto"/>
                <w:kern w:val="2"/>
                <w:sz w:val="20"/>
                <w:szCs w:val="20"/>
                <w:lang w:val="en-US" w:eastAsia="zh-CN" w:bidi="ar-SA"/>
              </w:rPr>
              <w:t>3.1.</w:t>
            </w:r>
            <w:r>
              <w:rPr>
                <w:rFonts w:hint="eastAsia" w:hAnsi="宋体" w:cs="宋体"/>
                <w:color w:val="auto"/>
                <w:kern w:val="2"/>
                <w:sz w:val="20"/>
                <w:szCs w:val="20"/>
                <w:highlight w:val="none"/>
              </w:rPr>
              <w:t>投标人必须保证采购人在中华人民共和国境内使用的投标货物、资料、技术、服务或其任何一部分时，享有不受限制的无偿使用权。所有投标方案的版权归采购人所有，因此产生的一切费用包含在投标总价内。投标人如不拥有有效的知识产权使用权的，必须在投标前获得许可，且必须在投标报价中包含合法获取该知识产权应向所有权人支付的专利权、商标权或其它知识产权的一切相关费用。</w:t>
            </w:r>
          </w:p>
          <w:p w14:paraId="48D4468D">
            <w:pPr>
              <w:keepNext w:val="0"/>
              <w:keepLines w:val="0"/>
              <w:widowControl/>
              <w:suppressLineNumbers w:val="0"/>
              <w:spacing w:before="0" w:beforeAutospacing="0" w:after="0" w:afterAutospacing="0" w:line="360" w:lineRule="auto"/>
              <w:ind w:left="0" w:right="0"/>
              <w:rPr>
                <w:rFonts w:hint="default" w:ascii="Times New Roman" w:hAnsi="Times New Roman" w:eastAsia="宋体" w:cs="宋体"/>
                <w:color w:val="auto"/>
                <w:kern w:val="2"/>
                <w:sz w:val="20"/>
                <w:szCs w:val="20"/>
                <w:lang w:val="en-US" w:eastAsia="zh-CN" w:bidi="ar-SA"/>
              </w:rPr>
            </w:pPr>
            <w:r>
              <w:rPr>
                <w:rFonts w:hint="default" w:ascii="Times New Roman" w:hAnsi="Times New Roman" w:eastAsia="仿宋" w:cs="Times New Roman"/>
                <w:b w:val="0"/>
                <w:bCs w:val="0"/>
                <w:color w:val="auto"/>
                <w:kern w:val="2"/>
                <w:sz w:val="20"/>
                <w:szCs w:val="20"/>
                <w:lang w:val="en-US" w:eastAsia="zh-CN" w:bidi="ar-SA"/>
              </w:rPr>
              <w:t>3.2.</w:t>
            </w:r>
            <w:r>
              <w:rPr>
                <w:rFonts w:hint="eastAsia" w:hAnsi="宋体" w:cs="宋体"/>
                <w:color w:val="auto"/>
                <w:kern w:val="2"/>
                <w:sz w:val="20"/>
                <w:szCs w:val="20"/>
                <w:highlight w:val="none"/>
              </w:rPr>
              <w:t>对于中标方案中涉及的他人所有的知识产权，中标供应商须保证不会产生因第三方提出侵犯其专利权、商标权或其它知识产权而引起的法律或经济纠纷。如有第三方向采购人提出侵犯其专利权、商标权或其它知识产权的主张，须由中标供应商自行承担对第三方的专利或版权的侵权责任并承担因此而发生的所有费用，同时，采购人有权立即解除合同并要求退还已支付的费用，采购人因此受到损害的，有权要求中标供应商予以赔偿。提供加盖投标人公章的承诺函。</w:t>
            </w:r>
          </w:p>
        </w:tc>
        <w:tc>
          <w:tcPr>
            <w:tcW w:w="2880" w:type="dxa"/>
            <w:tcBorders>
              <w:top w:val="single" w:color="auto" w:sz="4" w:space="0"/>
              <w:left w:val="single" w:color="auto" w:sz="4" w:space="0"/>
              <w:bottom w:val="single" w:color="auto" w:sz="4" w:space="0"/>
              <w:right w:val="single" w:color="auto" w:sz="4" w:space="0"/>
            </w:tcBorders>
          </w:tcPr>
          <w:p w14:paraId="6F8FDB0A">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14:paraId="674F1C97">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r>
    </w:tbl>
    <w:p w14:paraId="21BE41BE">
      <w:pPr>
        <w:spacing w:line="360" w:lineRule="auto"/>
        <w:rPr>
          <w:rFonts w:ascii="宋体" w:hAnsi="宋体"/>
          <w:sz w:val="24"/>
          <w:szCs w:val="24"/>
        </w:rPr>
      </w:pPr>
      <w:r>
        <w:rPr>
          <w:rFonts w:hint="eastAsia" w:ascii="宋体" w:hAnsi="宋体"/>
          <w:sz w:val="24"/>
          <w:szCs w:val="24"/>
        </w:rPr>
        <w:t>说明：</w:t>
      </w:r>
    </w:p>
    <w:p w14:paraId="1EABD1C1">
      <w:pPr>
        <w:pStyle w:val="8"/>
        <w:shd w:val="clear" w:color="auto" w:fill="FFFFFF"/>
        <w:ind w:firstLine="480"/>
      </w:pPr>
      <w:r>
        <w:rPr>
          <w:rFonts w:hint="eastAsia"/>
        </w:rPr>
        <w:t>1.实质性响应条款一览表后续内容请根据第二章采购需求</w:t>
      </w:r>
      <w:r>
        <w:rPr>
          <w:rStyle w:val="11"/>
          <w:rFonts w:hint="eastAsia"/>
          <w:b w:val="0"/>
        </w:rPr>
        <w:t>★</w:t>
      </w:r>
      <w:r>
        <w:rPr>
          <w:rFonts w:hint="eastAsia"/>
        </w:rPr>
        <w:t>号条款详细列举</w:t>
      </w:r>
    </w:p>
    <w:p w14:paraId="651A5521">
      <w:pPr>
        <w:pStyle w:val="8"/>
        <w:shd w:val="clear" w:color="auto" w:fill="FFFFFF"/>
        <w:ind w:firstLine="480"/>
      </w:pPr>
      <w:r>
        <w:rPr>
          <w:rFonts w:hint="eastAsia"/>
        </w:rPr>
        <w:t>2.本表所列条款必须一一予以响应，“投标人响应情况”一栏应</w:t>
      </w:r>
      <w:r>
        <w:rPr>
          <w:rStyle w:val="11"/>
          <w:rFonts w:hint="eastAsia"/>
          <w:b w:val="0"/>
        </w:rPr>
        <w:t>填写具体的响应内容，有差异</w:t>
      </w:r>
      <w:r>
        <w:rPr>
          <w:rFonts w:hint="eastAsia"/>
        </w:rPr>
        <w:t>的要具体说明。</w:t>
      </w:r>
    </w:p>
    <w:p w14:paraId="19CB1A32">
      <w:pPr>
        <w:pStyle w:val="8"/>
        <w:shd w:val="clear" w:color="auto" w:fill="FFFFFF"/>
        <w:ind w:firstLine="480"/>
      </w:pPr>
      <w:r>
        <w:rPr>
          <w:rFonts w:hint="eastAsia"/>
        </w:rPr>
        <w:t>3.请投标人认真填写本表内容，如填写错误将可能导致投标无效。</w:t>
      </w:r>
    </w:p>
    <w:p w14:paraId="1E46D153">
      <w:pPr>
        <w:spacing w:line="360" w:lineRule="auto"/>
        <w:rPr>
          <w:rFonts w:ascii="宋体" w:hAnsi="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hNTc4NjczZDE3ZjJhZmMwNzZiN2E1OGM0YWRhM2IifQ=="/>
  </w:docVars>
  <w:rsids>
    <w:rsidRoot w:val="002F3044"/>
    <w:rsid w:val="00076C5F"/>
    <w:rsid w:val="000C13F0"/>
    <w:rsid w:val="001079D2"/>
    <w:rsid w:val="00194F3E"/>
    <w:rsid w:val="001B369A"/>
    <w:rsid w:val="002048E3"/>
    <w:rsid w:val="0021128E"/>
    <w:rsid w:val="002F3044"/>
    <w:rsid w:val="003105EE"/>
    <w:rsid w:val="00321F0D"/>
    <w:rsid w:val="00387B33"/>
    <w:rsid w:val="004523E4"/>
    <w:rsid w:val="004B30C6"/>
    <w:rsid w:val="00544002"/>
    <w:rsid w:val="00706877"/>
    <w:rsid w:val="008103F4"/>
    <w:rsid w:val="008826E0"/>
    <w:rsid w:val="00906CA6"/>
    <w:rsid w:val="009238D2"/>
    <w:rsid w:val="00926E05"/>
    <w:rsid w:val="00967340"/>
    <w:rsid w:val="00A0648E"/>
    <w:rsid w:val="00A1664F"/>
    <w:rsid w:val="00A30155"/>
    <w:rsid w:val="00A50151"/>
    <w:rsid w:val="00A73AE4"/>
    <w:rsid w:val="00B47072"/>
    <w:rsid w:val="00BB1460"/>
    <w:rsid w:val="00BB7663"/>
    <w:rsid w:val="00C554C7"/>
    <w:rsid w:val="00CD0E81"/>
    <w:rsid w:val="00CF3FAB"/>
    <w:rsid w:val="00DF0BC4"/>
    <w:rsid w:val="00E33BF2"/>
    <w:rsid w:val="00F84676"/>
    <w:rsid w:val="112039F2"/>
    <w:rsid w:val="180A045F"/>
    <w:rsid w:val="1B2F20B8"/>
    <w:rsid w:val="1D8B7C73"/>
    <w:rsid w:val="26687E95"/>
    <w:rsid w:val="312930DF"/>
    <w:rsid w:val="3F800E1C"/>
    <w:rsid w:val="40F347B6"/>
    <w:rsid w:val="50B21470"/>
    <w:rsid w:val="5FAB511B"/>
    <w:rsid w:val="72B01607"/>
    <w:rsid w:val="75C6408D"/>
    <w:rsid w:val="79AF53B3"/>
    <w:rsid w:val="7E895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Times New Roman" w:hAnsi="Times New Roman" w:eastAsia="宋体" w:cs="Times New Roman"/>
      <w:kern w:val="0"/>
      <w:sz w:val="21"/>
      <w:szCs w:val="20"/>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index 8"/>
    <w:basedOn w:val="1"/>
    <w:next w:val="1"/>
    <w:qFormat/>
    <w:uiPriority w:val="0"/>
    <w:pPr>
      <w:ind w:left="2940"/>
    </w:pPr>
    <w:rPr>
      <w:rFonts w:hint="eastAsia"/>
    </w:rPr>
  </w:style>
  <w:style w:type="paragraph" w:styleId="3">
    <w:name w:val="annotation text"/>
    <w:basedOn w:val="1"/>
    <w:link w:val="16"/>
    <w:autoRedefine/>
    <w:unhideWhenUsed/>
    <w:qFormat/>
    <w:uiPriority w:val="0"/>
    <w:rPr>
      <w:sz w:val="20"/>
    </w:rPr>
  </w:style>
  <w:style w:type="paragraph" w:styleId="4">
    <w:name w:val="Body Text"/>
    <w:basedOn w:val="1"/>
    <w:autoRedefine/>
    <w:qFormat/>
    <w:uiPriority w:val="1"/>
    <w:pPr>
      <w:ind w:left="490"/>
    </w:pPr>
    <w:rPr>
      <w:sz w:val="19"/>
      <w:szCs w:val="19"/>
    </w:rPr>
  </w:style>
  <w:style w:type="paragraph" w:styleId="5">
    <w:name w:val="Balloon Text"/>
    <w:basedOn w:val="1"/>
    <w:link w:val="15"/>
    <w:autoRedefine/>
    <w:semiHidden/>
    <w:unhideWhenUsed/>
    <w:qFormat/>
    <w:uiPriority w:val="99"/>
    <w:rPr>
      <w:sz w:val="18"/>
      <w:szCs w:val="18"/>
    </w:rPr>
  </w:style>
  <w:style w:type="paragraph" w:styleId="6">
    <w:name w:val="footer"/>
    <w:basedOn w:val="1"/>
    <w:link w:val="14"/>
    <w:autoRedefine/>
    <w:unhideWhenUsed/>
    <w:qFormat/>
    <w:uiPriority w:val="99"/>
    <w:pPr>
      <w:tabs>
        <w:tab w:val="center" w:pos="4153"/>
        <w:tab w:val="right" w:pos="8306"/>
      </w:tabs>
      <w:snapToGrid w:val="0"/>
    </w:pPr>
    <w:rPr>
      <w:sz w:val="18"/>
      <w:szCs w:val="18"/>
    </w:rPr>
  </w:style>
  <w:style w:type="paragraph" w:styleId="7">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99"/>
    <w:pPr>
      <w:spacing w:line="360" w:lineRule="auto"/>
    </w:pPr>
    <w:rPr>
      <w:rFonts w:ascii="宋体" w:hAnsi="宋体" w:cs="宋体"/>
      <w:sz w:val="24"/>
      <w:szCs w:val="24"/>
    </w:rPr>
  </w:style>
  <w:style w:type="character" w:styleId="11">
    <w:name w:val="Strong"/>
    <w:basedOn w:val="10"/>
    <w:autoRedefine/>
    <w:qFormat/>
    <w:uiPriority w:val="22"/>
    <w:rPr>
      <w:b/>
      <w:bCs/>
    </w:rPr>
  </w:style>
  <w:style w:type="character" w:styleId="12">
    <w:name w:val="annotation reference"/>
    <w:autoRedefine/>
    <w:qFormat/>
    <w:uiPriority w:val="99"/>
    <w:rPr>
      <w:rFonts w:ascii="Tahoma" w:hAnsi="Tahoma"/>
      <w:kern w:val="2"/>
      <w:sz w:val="21"/>
      <w:szCs w:val="21"/>
    </w:rPr>
  </w:style>
  <w:style w:type="character" w:customStyle="1" w:styleId="13">
    <w:name w:val="页眉 字符"/>
    <w:basedOn w:val="10"/>
    <w:link w:val="7"/>
    <w:autoRedefine/>
    <w:qFormat/>
    <w:uiPriority w:val="99"/>
    <w:rPr>
      <w:sz w:val="18"/>
      <w:szCs w:val="18"/>
    </w:rPr>
  </w:style>
  <w:style w:type="character" w:customStyle="1" w:styleId="14">
    <w:name w:val="页脚 字符"/>
    <w:basedOn w:val="10"/>
    <w:link w:val="6"/>
    <w:autoRedefine/>
    <w:qFormat/>
    <w:uiPriority w:val="99"/>
    <w:rPr>
      <w:sz w:val="18"/>
      <w:szCs w:val="18"/>
    </w:rPr>
  </w:style>
  <w:style w:type="character" w:customStyle="1" w:styleId="15">
    <w:name w:val="批注框文本 字符"/>
    <w:basedOn w:val="10"/>
    <w:link w:val="5"/>
    <w:autoRedefine/>
    <w:semiHidden/>
    <w:qFormat/>
    <w:uiPriority w:val="99"/>
    <w:rPr>
      <w:sz w:val="18"/>
      <w:szCs w:val="18"/>
    </w:rPr>
  </w:style>
  <w:style w:type="character" w:customStyle="1" w:styleId="16">
    <w:name w:val="批注文字 字符"/>
    <w:basedOn w:val="10"/>
    <w:link w:val="3"/>
    <w:autoRedefine/>
    <w:qFormat/>
    <w:uiPriority w:val="0"/>
    <w:rPr>
      <w:rFonts w:ascii="Times New Roman" w:hAnsi="Times New Roman" w:eastAsia="宋体" w:cs="Times New Roman"/>
      <w:kern w:val="0"/>
      <w:sz w:val="20"/>
      <w:szCs w:val="20"/>
    </w:rPr>
  </w:style>
  <w:style w:type="paragraph" w:customStyle="1" w:styleId="17">
    <w:name w:val="段"/>
    <w:autoRedefine/>
    <w:qFormat/>
    <w:uiPriority w:val="0"/>
    <w:pPr>
      <w:autoSpaceDE w:val="0"/>
      <w:autoSpaceDN w:val="0"/>
      <w:ind w:firstLine="420" w:firstLineChars="200"/>
      <w:jc w:val="both"/>
    </w:pPr>
    <w:rPr>
      <w:rFonts w:ascii="宋体"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2818</Words>
  <Characters>2956</Characters>
  <Lines>2</Lines>
  <Paragraphs>1</Paragraphs>
  <TotalTime>0</TotalTime>
  <ScaleCrop>false</ScaleCrop>
  <LinksUpToDate>false</LinksUpToDate>
  <CharactersWithSpaces>2961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2022-01-19T08:33:00Z</dcterms:created>
  <dc:creator>黄婕</dc:creator>
  <cp:lastModifiedBy>Law</cp:lastModifiedBy>
  <dcterms:modified xsi:type="dcterms:W3CDTF">2025-08-18T13:11:11Z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B601E28D905448C99AF04254B7825BB5_13</vt:lpwstr>
  </property>
  <property fmtid="{D5CDD505-2E9C-101B-9397-08002B2CF9AE}" pid="4" name="KSOTemplateDocerSaveRecord">
    <vt:lpwstr>eyJoZGlkIjoiNzBjODllYmU1OWZkZDhmNjliYTI0OTE0NWEwYzMzOWUiLCJ1c2VySWQiOiIyNDQwNTUwNzYifQ==</vt:lpwstr>
  </property>
</Properties>
</file>