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440001-2025-18919</w:t>
      </w:r>
    </w:p>
    <w:p>
      <w:pPr>
        <w:pStyle w:val="null3"/>
        <w:jc w:val="center"/>
        <w:outlineLvl w:val="3"/>
      </w:pPr>
      <w:r>
        <w:rPr>
          <w:sz w:val="24"/>
          <w:b/>
        </w:rPr>
        <w:t>采购项目编号：</w:t>
      </w:r>
      <w:r>
        <w:rPr>
          <w:sz w:val="24"/>
          <w:b/>
        </w:rPr>
        <w:t>0724-2511Z1A12978</w:t>
      </w:r>
    </w:p>
    <w:p>
      <w:pPr>
        <w:pStyle w:val="null3"/>
        <w:jc w:val="center"/>
        <w:outlineLvl w:val="3"/>
      </w:pPr>
      <w:r>
        <w:rPr>
          <w:sz w:val="24"/>
          <w:b/>
        </w:rPr>
        <w:t>项目名称：</w:t>
      </w:r>
      <w:r>
        <w:rPr>
          <w:sz w:val="24"/>
          <w:b/>
        </w:rPr>
        <w:t>广东共青团和青年工作主题宣传项目</w:t>
      </w:r>
    </w:p>
    <w:p>
      <w:pPr>
        <w:pStyle w:val="null3"/>
        <w:jc w:val="center"/>
        <w:outlineLvl w:val="3"/>
      </w:pPr>
      <w:r>
        <w:rPr>
          <w:sz w:val="24"/>
          <w:b/>
        </w:rPr>
        <w:t>采购人：</w:t>
      </w:r>
      <w:r>
        <w:rPr>
          <w:sz w:val="24"/>
          <w:b/>
        </w:rPr>
        <w:t>共青团广东省委员会</w:t>
      </w:r>
    </w:p>
    <w:p>
      <w:pPr>
        <w:pStyle w:val="null3"/>
        <w:jc w:val="center"/>
        <w:outlineLvl w:val="3"/>
      </w:pPr>
      <w:r>
        <w:rPr>
          <w:sz w:val="24"/>
          <w:b/>
        </w:rPr>
        <w:t>采购代理机构：</w:t>
      </w:r>
      <w:r>
        <w:rPr>
          <w:sz w:val="24"/>
          <w:b/>
        </w:rPr>
        <w:t>国义招标股份有限公司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 xml:space="preserve">国义招标股份有限公司 </w:t>
      </w:r>
      <w:r>
        <w:rPr/>
        <w:t>受</w:t>
      </w:r>
      <w:r>
        <w:rPr/>
        <w:t>共青团广东省委员会</w:t>
      </w:r>
      <w:r>
        <w:rPr/>
        <w:t>的委托，采用</w:t>
      </w:r>
      <w:r>
        <w:rPr/>
        <w:t>竞争性磋商</w:t>
      </w:r>
      <w:r>
        <w:rPr/>
        <w:t>方式组织采购</w:t>
      </w:r>
      <w:r>
        <w:rPr/>
        <w:t>广东共青团和青年工作主题宣传项目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广东共青团和青年工作主题宣传项目</w:t>
      </w:r>
    </w:p>
    <w:p>
      <w:pPr>
        <w:pStyle w:val="null3"/>
        <w:ind w:firstLine="480"/>
      </w:pPr>
      <w:r>
        <w:rPr/>
        <w:t>采购计划编号：</w:t>
      </w:r>
      <w:r>
        <w:rPr/>
        <w:t>440001-2025-18919</w:t>
      </w:r>
    </w:p>
    <w:p>
      <w:pPr>
        <w:pStyle w:val="null3"/>
        <w:ind w:firstLine="480"/>
      </w:pPr>
      <w:r>
        <w:rPr/>
        <w:t>采购项目编号：</w:t>
      </w:r>
      <w:r>
        <w:rPr/>
        <w:t>0724-2511Z1A12978</w:t>
      </w:r>
    </w:p>
    <w:p>
      <w:pPr>
        <w:pStyle w:val="null3"/>
        <w:ind w:firstLine="480"/>
      </w:pPr>
      <w:r>
        <w:rPr/>
        <w:t>采购方式：</w:t>
      </w:r>
      <w:r>
        <w:rPr/>
        <w:t>竞争性磋商</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采购包1(广东共青团和青年工作主题宣传服务):</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公共公益宣传服务</w:t>
            </w:r>
          </w:p>
        </w:tc>
        <w:tc>
          <w:tcPr>
            <w:tcW w:type="dxa" w:w="2052"/>
          </w:tcPr>
          <w:p>
            <w:pPr>
              <w:pStyle w:val="null3"/>
            </w:pPr>
            <w:r>
              <w:rPr/>
              <w:t>广东共青团和青年工作主题宣传服务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提供相应证明材料或《资格条件承诺函》（详见采购公告附件）。</w:t>
      </w:r>
    </w:p>
    <w:p>
      <w:pPr>
        <w:pStyle w:val="null3"/>
      </w:pPr>
      <w:r>
        <w:rPr/>
        <w:t>3）具有良好的商业信誉和健全的财务会计制度：提供2023-2024年任意一年的财务状况报告或基本开户行出具的资信证明或《资格条件承诺函》（详见采购公告附件）。</w:t>
      </w:r>
    </w:p>
    <w:p>
      <w:pPr>
        <w:pStyle w:val="null3"/>
      </w:pPr>
      <w:r>
        <w:rPr/>
        <w:t>4）履行合同所必需的设备和专业技术能力：按投标（响应）文件格式填报设备及专业技术能力情况或提供《资格条件承诺函》（详见采购公告附件）。</w:t>
      </w:r>
    </w:p>
    <w:p>
      <w:pPr>
        <w:pStyle w:val="null3"/>
      </w:pPr>
      <w:r>
        <w:rPr/>
        <w:t>5）参加采购活动前3年内，在经营活动中没有重大违法记录：提供《资格条件承诺函》（详见采购公告附件）。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采购包1（广东共青团和青年工作主题宣传服务）：</w:t>
      </w:r>
      <w:r>
        <w:rPr/>
        <w:t>本项目整体预留专门面向中小企业采购，只允许中小企业参与投标（响应）。中小企业划分标准所属行业为：租赁和商务服务业，供应商须符合本项目采购标的对应行业政策划分标准的中型或小型或微型企业（注：监狱企业、残疾人福利单位视同小型、微型企业）。</w:t>
      </w:r>
    </w:p>
    <w:p>
      <w:pPr>
        <w:pStyle w:val="null3"/>
        <w:outlineLvl w:val="3"/>
      </w:pPr>
      <w:r>
        <w:rPr>
          <w:sz w:val="24"/>
          <w:b/>
        </w:rPr>
        <w:t>3.本项目特定的资格要求：</w:t>
      </w:r>
    </w:p>
    <w:p>
      <w:pPr>
        <w:pStyle w:val="null3"/>
      </w:pPr>
      <w:r>
        <w:rPr/>
        <w:t>采购包1（广东共青团和青年工作主题宣传服务）：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不得再参与本项目投标（响应）。提供《资格条件承诺函》（详见采购公告附件）。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共青团广东省委员会</w:t>
      </w:r>
    </w:p>
    <w:p>
      <w:pPr>
        <w:pStyle w:val="null3"/>
        <w:ind w:firstLine="480"/>
      </w:pPr>
      <w:r>
        <w:rPr/>
        <w:t>地址：</w:t>
      </w:r>
      <w:r>
        <w:rPr/>
        <w:t>广州市越秀区寺贝通津路1号大院</w:t>
      </w:r>
    </w:p>
    <w:p>
      <w:pPr>
        <w:pStyle w:val="null3"/>
        <w:ind w:firstLine="480"/>
      </w:pPr>
      <w:r>
        <w:rPr/>
        <w:t>联系方式：</w:t>
      </w:r>
      <w:r>
        <w:rPr/>
        <w:t>020-87185618</w:t>
      </w:r>
    </w:p>
    <w:p>
      <w:pPr>
        <w:pStyle w:val="null3"/>
        <w:outlineLvl w:val="3"/>
      </w:pPr>
      <w:r>
        <w:rPr>
          <w:sz w:val="24"/>
          <w:b/>
        </w:rPr>
        <w:t>2.采购代理机构信息</w:t>
      </w:r>
    </w:p>
    <w:p>
      <w:pPr>
        <w:pStyle w:val="null3"/>
        <w:ind w:firstLine="480"/>
      </w:pPr>
      <w:r>
        <w:rPr/>
        <w:t>名称：</w:t>
      </w:r>
      <w:r>
        <w:rPr/>
        <w:t>国义招标股份有限公司</w:t>
      </w:r>
    </w:p>
    <w:p>
      <w:pPr>
        <w:pStyle w:val="null3"/>
        <w:ind w:firstLine="480"/>
      </w:pPr>
      <w:r>
        <w:rPr/>
        <w:t xml:space="preserve"> 地址：</w:t>
      </w:r>
      <w:r>
        <w:rPr/>
        <w:t>广东省广州市越秀区东风东路726号19楼</w:t>
      </w:r>
    </w:p>
    <w:p>
      <w:pPr>
        <w:pStyle w:val="null3"/>
        <w:ind w:firstLine="480"/>
      </w:pPr>
      <w:r>
        <w:rPr/>
        <w:t xml:space="preserve"> 联系方式：</w:t>
      </w:r>
      <w:r>
        <w:rPr/>
        <w:t>020-37861065、37860530、37860159</w:t>
      </w:r>
    </w:p>
    <w:p>
      <w:pPr>
        <w:pStyle w:val="null3"/>
        <w:outlineLvl w:val="3"/>
      </w:pPr>
      <w:r>
        <w:rPr>
          <w:sz w:val="24"/>
          <w:b/>
        </w:rPr>
        <w:t xml:space="preserve"> 3.项目联系方式</w:t>
      </w:r>
    </w:p>
    <w:p>
      <w:pPr>
        <w:pStyle w:val="null3"/>
        <w:ind w:firstLine="480"/>
      </w:pPr>
      <w:r>
        <w:rPr/>
        <w:t xml:space="preserve"> 项目联系人：</w:t>
      </w:r>
      <w:r>
        <w:rPr/>
        <w:t>林程宏、黎安翘、罗海山</w:t>
      </w:r>
    </w:p>
    <w:p>
      <w:pPr>
        <w:pStyle w:val="null3"/>
        <w:ind w:firstLine="480"/>
      </w:pPr>
      <w:r>
        <w:rPr/>
        <w:t xml:space="preserve"> 电话：</w:t>
      </w:r>
      <w:r>
        <w:rPr/>
        <w:t>020-37861065、37860530、37860159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聚焦省委和团中央重点工作部署，宣传团省委围绕中心、服务大局的扎实举措，展现广东青年进取担当、服务奉献的形象风采，拟采购广东共青团和青年工作主题宣传服务。</w:t>
      </w:r>
    </w:p>
    <w:p>
      <w:pPr>
        <w:pStyle w:val="null3"/>
      </w:pPr>
      <w:r>
        <w:rPr/>
        <w:t>采购包1（广东共青团和青年工作主题宣传服务）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2025年全年。</w:t>
            </w:r>
          </w:p>
        </w:tc>
      </w:tr>
      <w:tr>
        <w:tc>
          <w:tcPr>
            <w:tcW w:type="dxa" w:w="4153"/>
          </w:tcPr>
          <w:p>
            <w:pPr>
              <w:pStyle w:val="null3"/>
            </w:pPr>
            <w:r>
              <w:rPr/>
              <w:t>标的提供的地点</w:t>
            </w:r>
          </w:p>
        </w:tc>
        <w:tc>
          <w:tcPr>
            <w:tcW w:type="dxa" w:w="4153"/>
          </w:tcPr>
          <w:p>
            <w:pPr>
              <w:pStyle w:val="null3"/>
            </w:pPr>
            <w:r>
              <w:rPr/>
              <w:t>广东省内或采购人指定地点。</w:t>
            </w:r>
          </w:p>
        </w:tc>
      </w:tr>
      <w:tr/>
      <w:tr/>
      <w:tr>
        <w:tc>
          <w:tcPr>
            <w:tcW w:type="dxa" w:w="4153"/>
          </w:tcPr>
          <w:p>
            <w:pPr>
              <w:pStyle w:val="null3"/>
            </w:pPr>
            <w:r>
              <w:rPr/>
              <w:t>付款方式</w:t>
            </w:r>
          </w:p>
        </w:tc>
        <w:tc>
          <w:tcPr>
            <w:tcW w:type="dxa" w:w="4153"/>
          </w:tcPr>
          <w:p>
            <w:pPr>
              <w:pStyle w:val="null3"/>
            </w:pPr>
            <w:r>
              <w:rPr/>
              <w:t>第1期为(进度款)：支付比例70%，本采购包预算金额不超过人民币100万元，费用根据项目(活动)开展的实际情况据实结算。合同签订且采购人收到成交供应商提供的等额有效发票及结算单、付款申请后5个工作日内，采购人支付合同价款的70%。</w:t>
            </w:r>
          </w:p>
          <w:p>
            <w:pPr>
              <w:pStyle w:val="null3"/>
            </w:pPr>
            <w:r>
              <w:rPr/>
              <w:t>第2期为(进度款)：支付比例20%，项目服务期间完成50%内容时进行中期验收，经采购人验收合格且采购人收到成交供应商提供的等额有效发票及结算单、付款申请后7个工作日内，采购人在合同价款的20%内（含20%）据实结算。</w:t>
            </w:r>
          </w:p>
          <w:p>
            <w:pPr>
              <w:pStyle w:val="null3"/>
            </w:pPr>
            <w:r>
              <w:rPr/>
              <w:t>第3期为(进度款)：支付比例10%，所有约定服务完成并经采购人验收合格且采购人收到成交供应商提供的等额有效发票及结算单、付款申请后7个工作日内，采购人在合同价款的10%内（含10%）据实结算。 支付方式:采购人以银行转账的方式向成交供应商支付款项。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1期：1.验收主体：采购人（或由委托代理机构协助采购人共同组织履约验收）； 2.验收时间：项目服务期间完成50%内容时进行中期验收，采购人收到成交供应商项目验收建议之日起7个工作日内启动履约验收，成交供应商不得晚于9月30日提出验收建议； 3.验收方式内容及程序标准：验收内容包括验收报告、成交供应商的每一项技术和商务要求的履约情况，验收标准要包括所有客观、量化指标。包括但不限于：服务响应情况、服务质量、宣传推广成效等方面，采购人有权根据验收结果对成交供应商的服务费进行扣罚并作为最终对项目验收及向成交供应商支付费用的依据。 2期：1.验收主体：采购人（或由委托代理机构协助采购人共同组织履约验收）； 2.验收时间：成交供应商按时按质完成全部委托内容后，采购人于7个工作日内启动履约验收； 3.验收方式内容及程序标准：验收内容包括验收报告、成交供应商的每一项技术和商务要求的履约情况，验收标准要包括所有客观、量化指标。包括但不限于：服务响应情况、服务质量、宣传推广成效等方面，采购人有权根据验收结果对成交供应商的服务费进行扣罚并作为最终对项目验收及向成交供应商支付费用的依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供应商实施团队</w:t>
            </w:r>
          </w:p>
        </w:tc>
        <w:tc>
          <w:tcPr>
            <w:tcW w:type="dxa" w:w="2076"/>
          </w:tcPr>
          <w:p>
            <w:pPr>
              <w:pStyle w:val="null3"/>
              <w:jc w:val="left"/>
            </w:pPr>
            <w:r>
              <w:rPr/>
              <w:t>供应商应为本项目组建完善、固定、高素质的实施团队，项目负责人及项目组成员应具有良好的敬业精神、综合素质和专业素质。</w:t>
            </w:r>
          </w:p>
        </w:tc>
      </w:tr>
      <w:tr>
        <w:tc>
          <w:tcPr>
            <w:tcW w:type="dxa" w:w="2076"/>
          </w:tcPr>
          <w:p/>
        </w:tc>
        <w:tc>
          <w:tcPr>
            <w:tcW w:type="dxa" w:w="2076"/>
          </w:tcPr>
          <w:p>
            <w:pPr>
              <w:pStyle w:val="null3"/>
              <w:jc w:val="center"/>
            </w:pPr>
            <w:r>
              <w:rPr/>
              <w:t>2</w:t>
            </w:r>
          </w:p>
        </w:tc>
        <w:tc>
          <w:tcPr>
            <w:tcW w:type="dxa" w:w="2076"/>
          </w:tcPr>
          <w:p>
            <w:pPr>
              <w:pStyle w:val="null3"/>
              <w:jc w:val="left"/>
            </w:pPr>
            <w:r>
              <w:rPr/>
              <w:t>供应商业绩要求</w:t>
            </w:r>
          </w:p>
        </w:tc>
        <w:tc>
          <w:tcPr>
            <w:tcW w:type="dxa" w:w="2076"/>
          </w:tcPr>
          <w:p>
            <w:pPr>
              <w:pStyle w:val="null3"/>
              <w:jc w:val="left"/>
            </w:pPr>
            <w:r>
              <w:rPr/>
              <w:t>供应商近五年有同类项目（同类项目是指合同内容包含媒体宣传相关内容）经验。</w:t>
            </w:r>
          </w:p>
        </w:tc>
      </w:tr>
      <w:tr>
        <w:tc>
          <w:tcPr>
            <w:tcW w:type="dxa" w:w="2076"/>
          </w:tcPr>
          <w:p/>
        </w:tc>
        <w:tc>
          <w:tcPr>
            <w:tcW w:type="dxa" w:w="2076"/>
          </w:tcPr>
          <w:p>
            <w:pPr>
              <w:pStyle w:val="null3"/>
              <w:jc w:val="center"/>
            </w:pPr>
            <w:r>
              <w:rPr/>
              <w:t>3</w:t>
            </w:r>
          </w:p>
        </w:tc>
        <w:tc>
          <w:tcPr>
            <w:tcW w:type="dxa" w:w="2076"/>
          </w:tcPr>
          <w:p>
            <w:pPr>
              <w:pStyle w:val="null3"/>
              <w:jc w:val="left"/>
            </w:pPr>
            <w:r>
              <w:rPr/>
              <w:t>供应商宣传能力</w:t>
            </w:r>
          </w:p>
        </w:tc>
        <w:tc>
          <w:tcPr>
            <w:tcW w:type="dxa" w:w="2076"/>
          </w:tcPr>
          <w:p>
            <w:pPr>
              <w:pStyle w:val="null3"/>
              <w:jc w:val="left"/>
            </w:pPr>
            <w:r>
              <w:rPr/>
              <w:t>供应商具备丰富的广东省内省级主流媒体宣传资源，媒体旗下报纸发行量可保障本项目宣传效果、能为本项目提供服务；媒体旗下客户端下载量和日活数可保障本项目宣传效果、能为本项目提供服务。</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公共公益宣传服务</w:t>
            </w:r>
          </w:p>
        </w:tc>
        <w:tc>
          <w:tcPr>
            <w:tcW w:type="dxa" w:w="933"/>
          </w:tcPr>
          <w:p>
            <w:pPr>
              <w:pStyle w:val="null3"/>
              <w:jc w:val="left"/>
            </w:pPr>
            <w:r>
              <w:rPr/>
              <w:t>广东共青团和青年工作主题宣传服务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1,000,000.00</w:t>
            </w:r>
          </w:p>
        </w:tc>
        <w:tc>
          <w:tcPr>
            <w:tcW w:type="dxa" w:w="933"/>
          </w:tcPr>
          <w:p>
            <w:pPr>
              <w:pStyle w:val="null3"/>
              <w:jc w:val="right"/>
            </w:pPr>
            <w:r>
              <w:rPr/>
              <w:t>1,000,000.00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广东共青团和青年工作主题宣传服务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一、项目时间</w:t>
            </w:r>
          </w:p>
          <w:p>
            <w:pPr>
              <w:pStyle w:val="null3"/>
              <w:jc w:val="both"/>
            </w:pPr>
            <w:r>
              <w:rPr>
                <w:sz w:val="20"/>
              </w:rPr>
              <w:t>2025年全年</w:t>
            </w:r>
          </w:p>
        </w:tc>
      </w:tr>
      <w:tr>
        <w:tc>
          <w:tcPr>
            <w:tcW w:type="dxa" w:w="2076"/>
          </w:tcPr>
          <w:p/>
        </w:tc>
        <w:tc>
          <w:tcPr>
            <w:tcW w:type="dxa" w:w="415"/>
          </w:tcPr>
          <w:p>
            <w:pPr>
              <w:pStyle w:val="null3"/>
            </w:pPr>
            <w:r>
              <w:rPr/>
              <w:t>2</w:t>
            </w:r>
          </w:p>
        </w:tc>
        <w:tc>
          <w:tcPr>
            <w:tcW w:type="dxa" w:w="5814"/>
          </w:tcPr>
          <w:p>
            <w:pPr>
              <w:pStyle w:val="null3"/>
            </w:pPr>
            <w:r>
              <w:rPr>
                <w:sz w:val="20"/>
              </w:rPr>
              <w:t>二、项目内容</w:t>
            </w:r>
          </w:p>
          <w:p>
            <w:pPr>
              <w:pStyle w:val="null3"/>
              <w:jc w:val="both"/>
            </w:pPr>
            <w:r>
              <w:rPr>
                <w:sz w:val="20"/>
              </w:rPr>
              <w:t>围绕团省委服务支撑广东</w:t>
            </w:r>
            <w:r>
              <w:rPr>
                <w:sz w:val="20"/>
              </w:rPr>
              <w:t>“百万英才汇南粤”行动计划、“百千万工程”、绿美广东生态建设等中心工作，引领青年志愿者服务十五运会、残特奥会等重大赛事，依托省级主流媒体旗下报纸及客户端等开展系列主题宣传，并整合省本级及各地市、高校、区县、企业等青年公益宣传资源，进行栏目共建、内容共创、人才共享等，树立广东青年形象、服务青年成才成长。</w:t>
            </w:r>
          </w:p>
        </w:tc>
      </w:tr>
      <w:tr>
        <w:tc>
          <w:tcPr>
            <w:tcW w:type="dxa" w:w="2076"/>
          </w:tcPr>
          <w:p/>
        </w:tc>
        <w:tc>
          <w:tcPr>
            <w:tcW w:type="dxa" w:w="415"/>
          </w:tcPr>
          <w:p>
            <w:pPr>
              <w:pStyle w:val="null3"/>
            </w:pPr>
            <w:r>
              <w:rPr/>
              <w:t>3</w:t>
            </w:r>
          </w:p>
        </w:tc>
        <w:tc>
          <w:tcPr>
            <w:tcW w:type="dxa" w:w="5814"/>
          </w:tcPr>
          <w:p>
            <w:pPr>
              <w:pStyle w:val="null3"/>
            </w:pPr>
            <w:r>
              <w:rPr>
                <w:sz w:val="20"/>
              </w:rPr>
              <w:t>（一）报纸版面宣传</w:t>
            </w:r>
          </w:p>
          <w:p>
            <w:pPr>
              <w:pStyle w:val="null3"/>
              <w:jc w:val="both"/>
            </w:pPr>
            <w:r>
              <w:rPr>
                <w:sz w:val="20"/>
              </w:rPr>
              <w:t>1.在报纸要闻版面采写刊发不少于3.5个版面的专题报道，对团广东省委落实“百万英才汇南粤”行动计划、投身“百千万工程”、助力绿美广东生态建设、开展志愿服务保障十五运会及残特奥会等中心工作进行深度宣传。</w:t>
            </w:r>
          </w:p>
        </w:tc>
      </w:tr>
      <w:tr>
        <w:tc>
          <w:tcPr>
            <w:tcW w:type="dxa" w:w="2076"/>
          </w:tcPr>
          <w:p/>
        </w:tc>
        <w:tc>
          <w:tcPr>
            <w:tcW w:type="dxa" w:w="415"/>
          </w:tcPr>
          <w:p>
            <w:pPr>
              <w:pStyle w:val="null3"/>
            </w:pPr>
            <w:r>
              <w:rPr/>
              <w:t>4</w:t>
            </w:r>
          </w:p>
        </w:tc>
        <w:tc>
          <w:tcPr>
            <w:tcW w:type="dxa" w:w="5814"/>
          </w:tcPr>
          <w:p>
            <w:pPr>
              <w:pStyle w:val="null3"/>
              <w:jc w:val="both"/>
            </w:pPr>
            <w:r>
              <w:rPr>
                <w:sz w:val="20"/>
              </w:rPr>
              <w:t>2.在报纸要闻版面开设1个专栏，采写刊发广东青年大学生“百千万工程”突击队行动相关文章不少于4篇。</w:t>
            </w:r>
          </w:p>
        </w:tc>
      </w:tr>
      <w:tr>
        <w:tc>
          <w:tcPr>
            <w:tcW w:type="dxa" w:w="2076"/>
          </w:tcPr>
          <w:p/>
        </w:tc>
        <w:tc>
          <w:tcPr>
            <w:tcW w:type="dxa" w:w="415"/>
          </w:tcPr>
          <w:p>
            <w:pPr>
              <w:pStyle w:val="null3"/>
            </w:pPr>
            <w:r>
              <w:rPr/>
              <w:t>5</w:t>
            </w:r>
          </w:p>
        </w:tc>
        <w:tc>
          <w:tcPr>
            <w:tcW w:type="dxa" w:w="5814"/>
          </w:tcPr>
          <w:p>
            <w:pPr>
              <w:pStyle w:val="null3"/>
            </w:pPr>
            <w:r>
              <w:rPr>
                <w:sz w:val="20"/>
              </w:rPr>
              <w:t>（二）客户端专题建设</w:t>
            </w:r>
          </w:p>
          <w:p>
            <w:pPr>
              <w:pStyle w:val="null3"/>
              <w:jc w:val="both"/>
            </w:pPr>
            <w:r>
              <w:rPr>
                <w:sz w:val="20"/>
              </w:rPr>
              <w:t>3.在客户端开设1个系列人物宣传，挖掘科技创新、乡村振兴、港澳交流等领域的粤港澳大湾区青年典型故事，发布融媒体报道不少于8期。</w:t>
            </w:r>
          </w:p>
        </w:tc>
      </w:tr>
      <w:tr>
        <w:tc>
          <w:tcPr>
            <w:tcW w:type="dxa" w:w="2076"/>
          </w:tcPr>
          <w:p/>
        </w:tc>
        <w:tc>
          <w:tcPr>
            <w:tcW w:type="dxa" w:w="415"/>
          </w:tcPr>
          <w:p>
            <w:pPr>
              <w:pStyle w:val="null3"/>
            </w:pPr>
            <w:r>
              <w:rPr/>
              <w:t>6</w:t>
            </w:r>
          </w:p>
        </w:tc>
        <w:tc>
          <w:tcPr>
            <w:tcW w:type="dxa" w:w="5814"/>
          </w:tcPr>
          <w:p>
            <w:pPr>
              <w:pStyle w:val="null3"/>
              <w:jc w:val="both"/>
            </w:pPr>
            <w:r>
              <w:rPr>
                <w:sz w:val="20"/>
              </w:rPr>
              <w:t>4.在客户端青年频道开设2个专题专栏，围绕落实“百万英才汇南粤”行动计划、广东青年大学生“百千万工程”突击队行动等开展宣传，每个专题发布文章不少于10篇。</w:t>
            </w:r>
          </w:p>
        </w:tc>
      </w:tr>
      <w:tr>
        <w:tc>
          <w:tcPr>
            <w:tcW w:type="dxa" w:w="2076"/>
          </w:tcPr>
          <w:p/>
        </w:tc>
        <w:tc>
          <w:tcPr>
            <w:tcW w:type="dxa" w:w="415"/>
          </w:tcPr>
          <w:p>
            <w:pPr>
              <w:pStyle w:val="null3"/>
            </w:pPr>
            <w:r>
              <w:rPr/>
              <w:t>7</w:t>
            </w:r>
          </w:p>
        </w:tc>
        <w:tc>
          <w:tcPr>
            <w:tcW w:type="dxa" w:w="5814"/>
          </w:tcPr>
          <w:p>
            <w:pPr>
              <w:pStyle w:val="null3"/>
            </w:pPr>
            <w:r>
              <w:rPr>
                <w:sz w:val="20"/>
              </w:rPr>
              <w:t>（三）</w:t>
            </w:r>
            <w:r>
              <w:rPr>
                <w:sz w:val="20"/>
              </w:rPr>
              <w:t>H5产品制作</w:t>
            </w:r>
          </w:p>
          <w:p>
            <w:pPr>
              <w:pStyle w:val="null3"/>
              <w:jc w:val="both"/>
            </w:pPr>
            <w:r>
              <w:rPr>
                <w:sz w:val="20"/>
              </w:rPr>
              <w:t>5.在客户端青年频道设计制作1个H5融媒产品，用于呈现广东共青团贯彻落实“百万英才汇南粤”行动计划“1+6”工程的“城市礼遇包”相关内容，须具有交互功能。</w:t>
            </w:r>
          </w:p>
        </w:tc>
      </w:tr>
      <w:tr>
        <w:tc>
          <w:tcPr>
            <w:tcW w:type="dxa" w:w="2076"/>
          </w:tcPr>
          <w:p/>
        </w:tc>
        <w:tc>
          <w:tcPr>
            <w:tcW w:type="dxa" w:w="415"/>
          </w:tcPr>
          <w:p>
            <w:pPr>
              <w:pStyle w:val="null3"/>
            </w:pPr>
            <w:r>
              <w:rPr/>
              <w:t>8</w:t>
            </w:r>
          </w:p>
        </w:tc>
        <w:tc>
          <w:tcPr>
            <w:tcW w:type="dxa" w:w="5814"/>
          </w:tcPr>
          <w:p>
            <w:pPr>
              <w:pStyle w:val="null3"/>
              <w:jc w:val="both"/>
            </w:pPr>
            <w:r>
              <w:rPr>
                <w:sz w:val="20"/>
              </w:rPr>
              <w:t>6.在客户端青年频道设计搭建2个H5展示平台，展示广东青年投身“百千万工程”优秀项目、全国少代会代表风采等，须含投票功能。</w:t>
            </w:r>
          </w:p>
        </w:tc>
      </w:tr>
      <w:tr>
        <w:tc>
          <w:tcPr>
            <w:tcW w:type="dxa" w:w="2076"/>
          </w:tcPr>
          <w:p/>
        </w:tc>
        <w:tc>
          <w:tcPr>
            <w:tcW w:type="dxa" w:w="415"/>
          </w:tcPr>
          <w:p>
            <w:pPr>
              <w:pStyle w:val="null3"/>
            </w:pPr>
            <w:r>
              <w:rPr/>
              <w:t>9</w:t>
            </w:r>
          </w:p>
        </w:tc>
        <w:tc>
          <w:tcPr>
            <w:tcW w:type="dxa" w:w="5814"/>
          </w:tcPr>
          <w:p>
            <w:pPr>
              <w:pStyle w:val="null3"/>
              <w:jc w:val="both"/>
            </w:pPr>
            <w:r>
              <w:rPr>
                <w:sz w:val="20"/>
              </w:rPr>
              <w:t>针对第</w:t>
            </w:r>
            <w:r>
              <w:rPr>
                <w:sz w:val="20"/>
              </w:rPr>
              <w:t>3-8项要求，提交分项策划实施方案。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共青团广东省委员会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中标通知书确定的成交金额作为计算基数，参照原国家计委的计价格[2002]1980号文《招标代理服务收费管理暂行办法》、国家发改委的发改价格[2011]534号文规定的招标代理服务收费标准执行。本项目为服务类项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具体情况根据开标(开启)时现场代理机构人员设置为准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；请各供应商在响应文件递交截止时间前按须知前附表规定的金额递交至</w:t>
      </w:r>
      <w:r>
        <w:rPr/>
        <w:t xml:space="preserve">国义招标股份有限公司 </w:t>
      </w:r>
      <w:r>
        <w:rPr/>
        <w:t>，到账情况以开启时</w:t>
      </w:r>
      <w:r>
        <w:rPr/>
        <w:t xml:space="preserve">国义招标股份有限公司 </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郭春曦</w:t>
      </w:r>
    </w:p>
    <w:p>
      <w:pPr>
        <w:pStyle w:val="null3"/>
        <w:ind w:firstLine="480"/>
      </w:pPr>
      <w:r>
        <w:rPr/>
        <w:t>电话：</w:t>
      </w:r>
      <w:r>
        <w:rPr/>
        <w:t>37860711</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共青团和青年工作主题宣传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采购包1（广东共青团和青年工作主题宣传服务）：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采购包1（广东共青团和青年工作主题宣传服务）：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提供相应证明材料或《资格条件承诺函》（详见采购公告附件）。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提供2023-2024年任意一年的财务状况报告或基本开户行出具的资信证明或《资格条件承诺函》（详见采购公告附件）。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不得再参与本项目投标（响应）。提供《资格条件承诺函》（详见采购公告附件）。</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预留专门面向中小企业采购，只允许中小企业参与投标（响应）。中小企业划分标准所属行业为：租赁和商务服务业，供应商须符合本项目采购标的对应行业政策划分标准的中型或小型或微型企业（注：监狱企业、残疾人福利单位视同小型、微型企业）。</w:t>
            </w:r>
          </w:p>
        </w:tc>
      </w:tr>
    </w:tbl>
    <w:p>
      <w:pPr>
        <w:pStyle w:val="null3"/>
        <w:ind w:firstLine="480"/>
      </w:pPr>
      <w:r>
        <w:rPr/>
        <w:t>表二符合性审查表：</w:t>
      </w:r>
    </w:p>
    <w:p>
      <w:pPr>
        <w:pStyle w:val="null3"/>
      </w:pPr>
      <w:r>
        <w:rPr/>
        <w:t>采购包1（广东共青团和青年工作主题宣传服务）：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投标（响应）有效期</w:t>
            </w:r>
          </w:p>
        </w:tc>
        <w:tc>
          <w:tcPr>
            <w:tcW w:type="dxa" w:w="4238"/>
          </w:tcPr>
          <w:p>
            <w:pPr>
              <w:pStyle w:val="null3"/>
            </w:pPr>
            <w:r>
              <w:rPr/>
              <w:t>从提交投标（响应）文件的截止之日起不少于90日历天。</w:t>
            </w:r>
          </w:p>
        </w:tc>
      </w:tr>
      <w:tr>
        <w:tc>
          <w:tcPr>
            <w:tcW w:type="dxa" w:w="890"/>
          </w:tcPr>
          <w:p>
            <w:pPr>
              <w:pStyle w:val="null3"/>
            </w:pPr>
            <w:r>
              <w:rPr/>
              <w:t>2</w:t>
            </w:r>
          </w:p>
        </w:tc>
        <w:tc>
          <w:tcPr>
            <w:tcW w:type="dxa" w:w="3178"/>
          </w:tcPr>
          <w:p>
            <w:pPr>
              <w:pStyle w:val="null3"/>
            </w:pPr>
            <w:r>
              <w:rPr/>
              <w:t>投标（响应）报价</w:t>
            </w:r>
          </w:p>
        </w:tc>
        <w:tc>
          <w:tcPr>
            <w:tcW w:type="dxa" w:w="4238"/>
          </w:tcPr>
          <w:p>
            <w:pPr>
              <w:pStyle w:val="null3"/>
            </w:pPr>
            <w:r>
              <w:rPr/>
              <w:t>（1）对本采购包全部内容进行报价；（2）投标（响应）报价是唯一确定的；（3）投标报价（响应）不超过采购预算；（4）如果评审委员会认为供应商的报价明显低于其他通过符合性审查供应商的报价，有可能影响产品质量或者不能诚信履约的，将要求其在评审现场合理的时间内提供书面说明，必要时提交相关证明材料，供应商应能证明其报价合理性。</w:t>
            </w:r>
          </w:p>
        </w:tc>
      </w:tr>
      <w:tr>
        <w:tc>
          <w:tcPr>
            <w:tcW w:type="dxa" w:w="890"/>
          </w:tcPr>
          <w:p>
            <w:pPr>
              <w:pStyle w:val="null3"/>
            </w:pPr>
            <w:r>
              <w:rPr/>
              <w:t>3</w:t>
            </w:r>
          </w:p>
        </w:tc>
        <w:tc>
          <w:tcPr>
            <w:tcW w:type="dxa" w:w="3178"/>
          </w:tcPr>
          <w:p>
            <w:pPr>
              <w:pStyle w:val="null3"/>
            </w:pPr>
            <w:r>
              <w:rPr/>
              <w:t>响应承诺函</w:t>
            </w:r>
          </w:p>
        </w:tc>
        <w:tc>
          <w:tcPr>
            <w:tcW w:type="dxa" w:w="4238"/>
          </w:tcPr>
          <w:p>
            <w:pPr>
              <w:pStyle w:val="null3"/>
            </w:pPr>
            <w:r>
              <w:rPr/>
              <w:t>提交《响应承诺函》，并按要求签署、盖章。</w:t>
            </w:r>
          </w:p>
        </w:tc>
      </w:tr>
      <w:tr>
        <w:tc>
          <w:tcPr>
            <w:tcW w:type="dxa" w:w="890"/>
          </w:tcPr>
          <w:p>
            <w:pPr>
              <w:pStyle w:val="null3"/>
            </w:pPr>
            <w:r>
              <w:rPr/>
              <w:t>4</w:t>
            </w:r>
          </w:p>
        </w:tc>
        <w:tc>
          <w:tcPr>
            <w:tcW w:type="dxa" w:w="3178"/>
          </w:tcPr>
          <w:p>
            <w:pPr>
              <w:pStyle w:val="null3"/>
            </w:pPr>
            <w:r>
              <w:rPr/>
              <w:t>投标（响应）授权</w:t>
            </w:r>
          </w:p>
        </w:tc>
        <w:tc>
          <w:tcPr>
            <w:tcW w:type="dxa" w:w="4238"/>
          </w:tcPr>
          <w:p>
            <w:pPr>
              <w:pStyle w:val="null3"/>
            </w:pPr>
            <w:r>
              <w:rPr/>
              <w:t>提交法定代表人证明书及授权委托书，并按要求签署、盖章。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采购文件中，凡标有“★”的地方均为实质性响应条款，供应商若有一项带“★”的条款未响应或不满足，将按无效投标（响应）处理。</w:t>
            </w:r>
          </w:p>
        </w:tc>
      </w:tr>
      <w:tr>
        <w:tc>
          <w:tcPr>
            <w:tcW w:type="dxa" w:w="890"/>
          </w:tcPr>
          <w:p>
            <w:pPr>
              <w:pStyle w:val="null3"/>
            </w:pPr>
            <w:r>
              <w:rPr/>
              <w:t>6</w:t>
            </w:r>
          </w:p>
        </w:tc>
        <w:tc>
          <w:tcPr>
            <w:tcW w:type="dxa" w:w="3178"/>
          </w:tcPr>
          <w:p>
            <w:pPr>
              <w:pStyle w:val="null3"/>
            </w:pPr>
            <w:r>
              <w:rPr/>
              <w:t>法律法规及采购文件规定的其他无效投标（响应）情形</w:t>
            </w:r>
          </w:p>
        </w:tc>
        <w:tc>
          <w:tcPr>
            <w:tcW w:type="dxa" w:w="4238"/>
          </w:tcPr>
          <w:p>
            <w:pPr>
              <w:pStyle w:val="null3"/>
            </w:pPr>
            <w:r>
              <w:rPr/>
              <w:t>不存在法律法规及采购文件规定的其他无效投标（响应）情形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采购包1(广东共青团和青年工作主题宣传服务):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供应商的项目整体服务方案 (20.0分)</w:t>
            </w:r>
          </w:p>
        </w:tc>
        <w:tc>
          <w:tcPr>
            <w:tcW w:type="dxa" w:w="5076"/>
          </w:tcPr>
          <w:p>
            <w:pPr>
              <w:pStyle w:val="null3"/>
              <w:jc w:val="left"/>
            </w:pPr>
            <w:r>
              <w:rPr/>
              <w:t>根据供应商所提供的整体服务方案（包括但不限于项目理解、项目实施方案、项目服务承诺等）进行评审。 （一）项目需求理解到位，项目实施方案详细、具体，服务承诺与采购需求匹配度高，完全满足且优于采购需求，得20分； （二）项目需求较理解，项目实施方案具体，服务承诺与采购需求匹配度较高，完全满足采购需求。得15分； （三）项目需求基本理解，项目实施方案完整，服务承诺与采购需求基本匹配，基本满足采购需求。得10分； （四）项目需求有偏差，项目实施方案欠缺完整性，服务承诺与采购需求匹配度低，不满足采购需求。得5分。 （五）其他或不提供的，不得分。</w:t>
            </w:r>
          </w:p>
        </w:tc>
      </w:tr>
      <w:tr>
        <w:tc>
          <w:tcPr>
            <w:tcW w:type="dxa" w:w="922"/>
            <w:gridSpan w:val="2"/>
            <w:vMerge/>
          </w:tcPr>
          <w:p/>
        </w:tc>
        <w:tc>
          <w:tcPr>
            <w:tcW w:type="dxa" w:w="2307"/>
          </w:tcPr>
          <w:p>
            <w:pPr>
              <w:pStyle w:val="null3"/>
              <w:jc w:val="left"/>
            </w:pPr>
            <w:r>
              <w:rPr/>
              <w:t>供应商的分项策划方案 (10.0分)</w:t>
            </w:r>
          </w:p>
        </w:tc>
        <w:tc>
          <w:tcPr>
            <w:tcW w:type="dxa" w:w="5076"/>
          </w:tcPr>
          <w:p>
            <w:pPr>
              <w:pStyle w:val="null3"/>
              <w:jc w:val="left"/>
            </w:pPr>
            <w:r>
              <w:rPr/>
              <w:t>（一）策划方案突出共青团工作重点和青年特点，主题鲜明、内容丰富，具有较强的可行性、吸引力及传播价值，得10分； （二）策划方案基本满足宣传需求，形式和内容较为常规，创新性不足，得5分； （三）策划方案存在明显缺陷，无法有效实现宣传目标，得1分； （四）无相关方案，不得分。</w:t>
            </w:r>
          </w:p>
        </w:tc>
      </w:tr>
      <w:tr>
        <w:tc>
          <w:tcPr>
            <w:tcW w:type="dxa" w:w="922"/>
            <w:gridSpan w:val="2"/>
            <w:vMerge/>
          </w:tcPr>
          <w:p/>
        </w:tc>
        <w:tc>
          <w:tcPr>
            <w:tcW w:type="dxa" w:w="2307"/>
          </w:tcPr>
          <w:p>
            <w:pPr>
              <w:pStyle w:val="null3"/>
              <w:jc w:val="left"/>
            </w:pPr>
            <w:r>
              <w:rPr/>
              <w:t>供应商服务质量保障措施及计划 (10.0分)</w:t>
            </w:r>
          </w:p>
        </w:tc>
        <w:tc>
          <w:tcPr>
            <w:tcW w:type="dxa" w:w="5076"/>
          </w:tcPr>
          <w:p>
            <w:pPr>
              <w:pStyle w:val="null3"/>
              <w:jc w:val="left"/>
            </w:pPr>
            <w:r>
              <w:rPr/>
              <w:t>根据供应商提供的服务质量保障措施及计划进行评审。具体内容须包括以下2项：服务质量保障措施、响应速度计划。 （一）服务质量保障措施及计划全面、具体、切实可行，保障性高的，完全满足且优于采购需求的，得10分； （二）服务质量保障措施及计划基本全面、较具体、切实可行，保障性较高的，完全满足采购需求的，得5分； （三）服务质量保障措施及计划不够全面、较不具体、可行性较差，保障性较低的，不能完全满足采购文件需求的，得1分； （四）其他或不提供的，不得分。</w:t>
            </w:r>
          </w:p>
        </w:tc>
      </w:tr>
      <w:tr>
        <w:tc>
          <w:tcPr>
            <w:tcW w:type="dxa" w:w="922"/>
            <w:gridSpan w:val="2"/>
            <w:vMerge/>
          </w:tcPr>
          <w:p/>
        </w:tc>
        <w:tc>
          <w:tcPr>
            <w:tcW w:type="dxa" w:w="2307"/>
          </w:tcPr>
          <w:p>
            <w:pPr>
              <w:pStyle w:val="null3"/>
              <w:jc w:val="left"/>
            </w:pPr>
            <w:r>
              <w:rPr/>
              <w:t>供应商进度安排 (10.0分)</w:t>
            </w:r>
          </w:p>
        </w:tc>
        <w:tc>
          <w:tcPr>
            <w:tcW w:type="dxa" w:w="5076"/>
          </w:tcPr>
          <w:p>
            <w:pPr>
              <w:pStyle w:val="null3"/>
              <w:jc w:val="left"/>
            </w:pPr>
            <w:r>
              <w:rPr/>
              <w:t>根据供应商提供的进度安排进行评审。具体内容须包含如下3项：进度安排表、资源调配表、各阶段详细工作措施。 （一）项目进度安排表清晰准确、资源调配计划合理可行，各阶段工作措施详尽完善的，得10分； （二）项目进度安排表完整、资源调配计划可行，各阶段工作措施完整的，得5分； （三）项目进度安排表未能涵盖项目全部周期，资源调配及各阶段工作安排不能支持项目进度推进，得1分； （四）其他或不提供的，不得分。</w:t>
            </w:r>
          </w:p>
        </w:tc>
      </w:tr>
      <w:tr>
        <w:tc>
          <w:tcPr>
            <w:tcW w:type="dxa" w:w="922"/>
            <w:gridSpan w:val="2"/>
            <w:vMerge/>
          </w:tcPr>
          <w:p/>
        </w:tc>
        <w:tc>
          <w:tcPr>
            <w:tcW w:type="dxa" w:w="2307"/>
          </w:tcPr>
          <w:p>
            <w:pPr>
              <w:pStyle w:val="null3"/>
              <w:jc w:val="left"/>
            </w:pPr>
            <w:r>
              <w:rPr/>
              <w:t>供应商应急方案 (10.0分)</w:t>
            </w:r>
          </w:p>
        </w:tc>
        <w:tc>
          <w:tcPr>
            <w:tcW w:type="dxa" w:w="5076"/>
          </w:tcPr>
          <w:p>
            <w:pPr>
              <w:pStyle w:val="null3"/>
              <w:jc w:val="left"/>
            </w:pPr>
            <w:r>
              <w:rPr/>
              <w:t>根据供应商提供的应急方案进行评审。具体内容须包含以下3项：对出现突发情况的处理能力、应急机制、沟通与协调。 （一）应急处理方案包括不限于（处理能力、应急机制、沟通与协调等）具体可行，切合实际，完全满足且优于采购文件要求，得10分； （二）应急处理方案较具体可行，较切合实际，基本满足采购文件要求，得5分； （三）应急处理方案不具体，没有可行性，不满足采购文件要求，得1分； （四）其他或不提供的，不得分。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业绩经验 (10.0分)</w:t>
            </w:r>
          </w:p>
        </w:tc>
        <w:tc>
          <w:tcPr>
            <w:tcW w:type="dxa" w:w="5076"/>
          </w:tcPr>
          <w:p>
            <w:pPr>
              <w:pStyle w:val="null3"/>
              <w:jc w:val="left"/>
            </w:pPr>
            <w:r>
              <w:rPr/>
              <w:t>截至递交响应文件时间，供应商近五年内有同类项目（同类项目是指合同内容包含媒体宣传相关内容）经验，每提供1个得2分，本项最高得10分。 注：须提供合同关键页（含签订合同双方的单位名称、合同项目名称与含签订合同双方的落款盖章、合同内容、签订日期等信息）复印件作为证明资料。）</w:t>
            </w:r>
          </w:p>
        </w:tc>
      </w:tr>
      <w:tr>
        <w:tc>
          <w:tcPr>
            <w:tcW w:type="dxa" w:w="922"/>
            <w:gridSpan w:val="2"/>
            <w:vMerge/>
          </w:tcPr>
          <w:p/>
        </w:tc>
        <w:tc>
          <w:tcPr>
            <w:tcW w:type="dxa" w:w="2307"/>
          </w:tcPr>
          <w:p>
            <w:pPr>
              <w:pStyle w:val="null3"/>
              <w:jc w:val="left"/>
            </w:pPr>
            <w:r>
              <w:rPr/>
              <w:t>供应商宣传能力 (10.0分)</w:t>
            </w:r>
          </w:p>
        </w:tc>
        <w:tc>
          <w:tcPr>
            <w:tcW w:type="dxa" w:w="5076"/>
          </w:tcPr>
          <w:p>
            <w:pPr>
              <w:pStyle w:val="null3"/>
              <w:jc w:val="left"/>
            </w:pPr>
            <w:r>
              <w:rPr/>
              <w:t>供应商具备丰富的广东省内省级主流媒体宣传资源，媒体旗下报纸发行量可保障本项目宣传效果、能为本项目提供服务的，得5分；媒体旗下客户端下载量和日活数可保障本项目宣传效果、能为本项目提供服务的，得5分。提供针对上述评分要求的承诺函，并附上报纸发行量、客户端下载量和日活数的客观证明材料。本项最高得分10分。 注：须提供上述宣传资源平台的相关证明材料，属于供应商自有的，请提供所有权证明；属于供应商代理或经营的，提供代理或经营证明。未按要求提供证明材料不得分。</w:t>
            </w:r>
          </w:p>
        </w:tc>
      </w:tr>
      <w:tr>
        <w:tc>
          <w:tcPr>
            <w:tcW w:type="dxa" w:w="922"/>
            <w:gridSpan w:val="2"/>
            <w:vMerge/>
          </w:tcPr>
          <w:p/>
        </w:tc>
        <w:tc>
          <w:tcPr>
            <w:tcW w:type="dxa" w:w="2307"/>
          </w:tcPr>
          <w:p>
            <w:pPr>
              <w:pStyle w:val="null3"/>
              <w:jc w:val="left"/>
            </w:pPr>
            <w:r>
              <w:rPr/>
              <w:t>供应商实施团队 (10.0分)</w:t>
            </w:r>
          </w:p>
        </w:tc>
        <w:tc>
          <w:tcPr>
            <w:tcW w:type="dxa" w:w="5076"/>
          </w:tcPr>
          <w:p>
            <w:pPr>
              <w:pStyle w:val="null3"/>
              <w:jc w:val="left"/>
            </w:pPr>
            <w:r>
              <w:rPr/>
              <w:t>供应商拟投入本项的实施团队情况： （一）项目组拥有与文化、新闻、媒体等相关专业中级技术职称或本科以上学历，每人得1分；项目组拥有与文化、新闻、媒体等相关专业高级技术职称或硕士研究生以上学历，每人得2分，本项最高得6分； 注：以上人员须同时提供：（1）职称证明或学历证明材料复印件；（2）近半年来任意1个月的供应商为其缴纳的社保参保证明（或者供应商为其代缴的个人所得税缴纳证明）等证明材料。未按要求提供证明材料不得分。 （二）项目组投入人员人数，投入1人得0.5分，本项最高得4分。 注：须提供：（1）上述人员毕业证书扫描件并加盖公章；（2）上述人员清单（体现人员名称及工作职能）。未按要求提供证明材料不得分。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本采购包推荐三名成交候选人。将各有效磋商供应商按其评审总得分由高到低顺序排列。评审总得分相同的，按下列顺序比较确定：（1）最后报价（由低到高）；（2）技术评分（由高到低）；（3）商务评分（由高到低）；（4）小型企业（或监狱企业或残疾人福利性单位）；（5）微型企业。如以上都相同的，名次由评审委员会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第五章</w:t>
      </w:r>
      <w:r>
        <w:rPr>
          <w:sz w:val="36"/>
          <w:b/>
        </w:rPr>
        <w:t>合同文本</w:t>
      </w:r>
    </w:p>
    <w:p>
      <w:pPr>
        <w:pStyle w:val="null3"/>
      </w:pPr>
      <w:r>
        <w:rPr>
          <w:b/>
        </w:rPr>
        <w:t xml:space="preserve"> </w:t>
      </w:r>
    </w:p>
    <w:p>
      <w:pPr>
        <w:pStyle w:val="null3"/>
        <w:jc w:val="center"/>
      </w:pPr>
      <w:r>
        <w:rPr>
          <w:sz w:val="20"/>
        </w:rPr>
        <w:t>注：本合同仅为合同的参考文本，合同签订双方可根据项目的具体要求、磋商响应情况进行修订</w:t>
      </w:r>
      <w:r>
        <w:rPr>
          <w:b/>
        </w:rPr>
        <w:t xml:space="preserve"> </w:t>
      </w:r>
    </w:p>
    <w:p>
      <w:pPr>
        <w:pStyle w:val="null3"/>
        <w:jc w:val="center"/>
      </w:pPr>
      <w:r>
        <w:rPr>
          <w:b/>
        </w:rPr>
        <w:t xml:space="preserve"> </w:t>
      </w:r>
    </w:p>
    <w:p>
      <w:pPr>
        <w:pStyle w:val="null3"/>
        <w:jc w:val="center"/>
      </w:pPr>
      <w:r>
        <w:rPr>
          <w:b/>
        </w:rPr>
        <w:t xml:space="preserve"> </w:t>
      </w:r>
    </w:p>
    <w:p>
      <w:pPr>
        <w:pStyle w:val="null3"/>
        <w:spacing w:before="150" w:after="150"/>
        <w:jc w:val="both"/>
      </w:pPr>
      <w:r>
        <w:rPr/>
        <w:t xml:space="preserve"> </w:t>
      </w:r>
    </w:p>
    <w:p>
      <w:pPr>
        <w:pStyle w:val="null3"/>
        <w:jc w:val="center"/>
      </w:pPr>
      <w:r>
        <w:rPr>
          <w:sz w:val="52"/>
          <w:b/>
        </w:rPr>
        <w:t>合　同　书</w:t>
      </w:r>
    </w:p>
    <w:p>
      <w:pPr>
        <w:pStyle w:val="null3"/>
        <w:jc w:val="center"/>
      </w:pPr>
      <w:r>
        <w:br/>
      </w:r>
      <w:r>
        <w:br/>
      </w:r>
      <w:r>
        <w:br/>
      </w:r>
      <w:r>
        <w:br/>
      </w:r>
      <w:r>
        <w:br/>
      </w:r>
      <w:r>
        <w:br/>
      </w:r>
      <w:r>
        <w:br/>
      </w:r>
      <w:r>
        <w:br/>
      </w:r>
      <w:r>
        <w:rPr/>
        <w:t xml:space="preserve">  </w:t>
      </w:r>
    </w:p>
    <w:p>
      <w:pPr>
        <w:pStyle w:val="null3"/>
        <w:jc w:val="both"/>
      </w:pPr>
      <w:r>
        <w:rPr>
          <w:sz w:val="28"/>
          <w:color w:val="222222"/>
        </w:rPr>
        <w:t>采购计划编号：</w:t>
      </w:r>
      <w:r>
        <w:rPr>
          <w:u w:val="single"/>
        </w:rPr>
        <w:t xml:space="preserve">                          </w:t>
      </w:r>
    </w:p>
    <w:p>
      <w:pPr>
        <w:pStyle w:val="null3"/>
        <w:jc w:val="both"/>
      </w:pPr>
      <w:r>
        <w:rPr>
          <w:sz w:val="28"/>
          <w:color w:val="222222"/>
        </w:rPr>
        <w:t>项目编号：</w:t>
      </w:r>
      <w:r>
        <w:rPr>
          <w:u w:val="single"/>
        </w:rPr>
        <w:t xml:space="preserve">                                  </w:t>
      </w:r>
    </w:p>
    <w:p>
      <w:pPr>
        <w:pStyle w:val="null3"/>
        <w:jc w:val="both"/>
      </w:pPr>
      <w:r>
        <w:rPr>
          <w:sz w:val="28"/>
          <w:color w:val="222222"/>
        </w:rPr>
        <w:t>项目名称：</w:t>
      </w:r>
      <w:r>
        <w:rPr>
          <w:u w:val="single"/>
        </w:rPr>
        <w:t xml:space="preserve">                             </w:t>
      </w:r>
    </w:p>
    <w:p>
      <w:pPr>
        <w:pStyle w:val="null3"/>
        <w:jc w:val="both"/>
      </w:pPr>
      <w:r>
        <w:rPr>
          <w:sz w:val="20"/>
        </w:rPr>
        <w:t>甲方：</w:t>
      </w:r>
      <w:r>
        <w:rPr>
          <w:sz w:val="20"/>
          <w:u w:val="single"/>
        </w:rPr>
        <w:t>共青团广东省委员会</w:t>
      </w:r>
    </w:p>
    <w:p>
      <w:pPr>
        <w:pStyle w:val="null3"/>
      </w:pPr>
      <w:r>
        <w:rPr/>
        <w:t xml:space="preserve"> </w:t>
      </w:r>
    </w:p>
    <w:p>
      <w:pPr>
        <w:pStyle w:val="null3"/>
        <w:jc w:val="both"/>
      </w:pPr>
      <w:r>
        <w:rPr>
          <w:sz w:val="20"/>
        </w:rPr>
        <w:t>乙方：</w:t>
      </w:r>
      <w:r>
        <w:rPr>
          <w:sz w:val="21"/>
          <w:u w:val="single"/>
        </w:rPr>
        <w:t xml:space="preserve">                  </w:t>
      </w:r>
    </w:p>
    <w:p>
      <w:pPr>
        <w:pStyle w:val="null3"/>
        <w:ind w:firstLine="400"/>
        <w:jc w:val="both"/>
      </w:pPr>
      <w:r>
        <w:rPr>
          <w:sz w:val="20"/>
        </w:rPr>
        <w:t>为深入学习贯彻习近平文化思想，全面贯彻落实习近平总书记关于青年工作的重要思想，聚焦省委和团中央重点工作部署，宣传团省委围绕中心、服务大局的扎实举措，展现广东青年进取担当、服务奉献的形象风采，乙方为甲方提供</w:t>
      </w:r>
      <w:r>
        <w:rPr>
          <w:sz w:val="20"/>
          <w:u w:val="single"/>
        </w:rPr>
        <w:t>广东共青团和青年工作主题宣传项目</w:t>
      </w:r>
      <w:r>
        <w:rPr>
          <w:sz w:val="20"/>
        </w:rPr>
        <w:t>服务，有关事项如下：</w:t>
      </w:r>
    </w:p>
    <w:p>
      <w:pPr>
        <w:pStyle w:val="null3"/>
        <w:ind w:firstLine="400"/>
        <w:jc w:val="both"/>
      </w:pPr>
      <w:r>
        <w:rPr>
          <w:sz w:val="20"/>
        </w:rPr>
        <w:t>一、</w:t>
      </w:r>
      <w:r>
        <w:rPr>
          <w:sz w:val="20"/>
        </w:rPr>
        <w:t>服务</w:t>
      </w:r>
      <w:r>
        <w:rPr>
          <w:sz w:val="20"/>
        </w:rPr>
        <w:t>时间</w:t>
      </w:r>
    </w:p>
    <w:p>
      <w:pPr>
        <w:pStyle w:val="null3"/>
        <w:ind w:firstLine="400"/>
        <w:jc w:val="both"/>
      </w:pPr>
      <w:r>
        <w:rPr>
          <w:sz w:val="20"/>
        </w:rPr>
        <w:t>2025</w:t>
      </w:r>
      <w:r>
        <w:rPr>
          <w:sz w:val="20"/>
        </w:rPr>
        <w:t>年内</w:t>
      </w:r>
    </w:p>
    <w:p>
      <w:pPr>
        <w:pStyle w:val="null3"/>
        <w:ind w:firstLine="400"/>
        <w:jc w:val="both"/>
      </w:pPr>
      <w:r>
        <w:rPr>
          <w:sz w:val="20"/>
        </w:rPr>
        <w:t>二、</w:t>
      </w:r>
      <w:r>
        <w:rPr>
          <w:sz w:val="20"/>
        </w:rPr>
        <w:t>服务内容</w:t>
      </w:r>
    </w:p>
    <w:p>
      <w:pPr>
        <w:pStyle w:val="null3"/>
        <w:ind w:firstLine="400"/>
        <w:jc w:val="both"/>
      </w:pPr>
      <w:r>
        <w:rPr>
          <w:sz w:val="20"/>
        </w:rPr>
        <w:t>围绕团省委服务支撑广东</w:t>
      </w:r>
      <w:r>
        <w:rPr>
          <w:sz w:val="20"/>
        </w:rPr>
        <w:t>“百万英才汇南粤”行动计划、“百千万工程”、绿美广东生态建设等中心工作，引领青年志愿者服务十五运会、残特奥会等重大赛事，依托省级主流媒体旗下报纸及客户端等开展系列主题宣传，并整合省本级及各地市、高校、区县、企业等青年公益宣传资源，进行栏目共建、内容共创、人才共享等，树立广东青年形象、服务青年成才成长。</w:t>
      </w:r>
      <w:r>
        <w:rPr>
          <w:sz w:val="20"/>
        </w:rPr>
        <w:t>具体见</w:t>
      </w:r>
      <w:r>
        <w:rPr>
          <w:sz w:val="20"/>
          <w:u w:val="single"/>
        </w:rPr>
        <w:t>广东共青团和青年工作主题宣传项</w:t>
      </w:r>
      <w:r>
        <w:rPr>
          <w:sz w:val="20"/>
          <w:u w:val="single"/>
        </w:rPr>
        <w:t>目实施方案</w:t>
      </w:r>
      <w:r>
        <w:rPr>
          <w:sz w:val="20"/>
        </w:rPr>
        <w:t>。</w:t>
      </w:r>
    </w:p>
    <w:p>
      <w:pPr>
        <w:pStyle w:val="null3"/>
        <w:ind w:firstLine="400"/>
        <w:jc w:val="both"/>
      </w:pPr>
      <w:r>
        <w:rPr>
          <w:sz w:val="20"/>
        </w:rPr>
        <w:t>三、</w:t>
      </w:r>
      <w:r>
        <w:rPr>
          <w:sz w:val="20"/>
        </w:rPr>
        <w:t>发布媒体</w:t>
      </w:r>
    </w:p>
    <w:p>
      <w:pPr>
        <w:pStyle w:val="null3"/>
        <w:ind w:firstLine="400"/>
        <w:jc w:val="both"/>
      </w:pPr>
      <w:r>
        <w:rPr>
          <w:sz w:val="21"/>
          <w:u w:val="single"/>
        </w:rPr>
        <w:t xml:space="preserve">            </w:t>
      </w:r>
      <w:r>
        <w:rPr>
          <w:sz w:val="21"/>
          <w:u w:val="single"/>
        </w:rPr>
        <w:t xml:space="preserve">                 </w:t>
      </w:r>
    </w:p>
    <w:p>
      <w:pPr>
        <w:pStyle w:val="null3"/>
        <w:ind w:firstLine="400"/>
        <w:jc w:val="both"/>
      </w:pPr>
      <w:r>
        <w:rPr>
          <w:sz w:val="20"/>
        </w:rPr>
        <w:t>四</w:t>
      </w:r>
      <w:r>
        <w:rPr>
          <w:sz w:val="20"/>
        </w:rPr>
        <w:t>、合作方式及双方权利义务</w:t>
      </w:r>
    </w:p>
    <w:p>
      <w:pPr>
        <w:pStyle w:val="null3"/>
        <w:ind w:firstLine="400"/>
        <w:jc w:val="both"/>
      </w:pPr>
      <w:r>
        <w:rPr>
          <w:sz w:val="20"/>
        </w:rPr>
        <w:t>1</w:t>
      </w:r>
      <w:r>
        <w:rPr>
          <w:sz w:val="20"/>
        </w:rPr>
        <w:t>.</w:t>
      </w:r>
      <w:r>
        <w:rPr>
          <w:sz w:val="20"/>
        </w:rPr>
        <w:t>甲方负责提供</w:t>
      </w:r>
      <w:r>
        <w:rPr>
          <w:sz w:val="20"/>
        </w:rPr>
        <w:t>项目</w:t>
      </w:r>
      <w:r>
        <w:rPr>
          <w:sz w:val="20"/>
        </w:rPr>
        <w:t>策划</w:t>
      </w:r>
      <w:r>
        <w:rPr>
          <w:sz w:val="20"/>
        </w:rPr>
        <w:t>设计</w:t>
      </w:r>
      <w:r>
        <w:rPr>
          <w:sz w:val="20"/>
        </w:rPr>
        <w:t>、</w:t>
      </w:r>
      <w:r>
        <w:rPr>
          <w:sz w:val="20"/>
        </w:rPr>
        <w:t>执行制作</w:t>
      </w:r>
      <w:r>
        <w:rPr>
          <w:sz w:val="20"/>
        </w:rPr>
        <w:t>所需的资料，甲方必须保证所提供资料的真实性及合法性，如果因为甲方提供的资料侵犯他人权益，由甲方承担相关法律责任。</w:t>
      </w:r>
    </w:p>
    <w:p>
      <w:pPr>
        <w:pStyle w:val="null3"/>
        <w:ind w:firstLine="400"/>
        <w:jc w:val="both"/>
      </w:pPr>
      <w:r>
        <w:rPr>
          <w:sz w:val="20"/>
        </w:rPr>
        <w:t>2</w:t>
      </w:r>
      <w:r>
        <w:rPr>
          <w:sz w:val="20"/>
        </w:rPr>
        <w:t>.</w:t>
      </w:r>
      <w:r>
        <w:rPr>
          <w:sz w:val="20"/>
        </w:rPr>
        <w:t>乙方负责</w:t>
      </w:r>
      <w:r>
        <w:rPr>
          <w:sz w:val="20"/>
        </w:rPr>
        <w:t>实施</w:t>
      </w:r>
      <w:r>
        <w:rPr>
          <w:sz w:val="20"/>
        </w:rPr>
        <w:t>方案的</w:t>
      </w:r>
      <w:r>
        <w:rPr>
          <w:sz w:val="20"/>
        </w:rPr>
        <w:t>策划设计</w:t>
      </w:r>
      <w:r>
        <w:rPr>
          <w:sz w:val="20"/>
        </w:rPr>
        <w:t>、</w:t>
      </w:r>
      <w:r>
        <w:rPr>
          <w:sz w:val="20"/>
        </w:rPr>
        <w:t>执行</w:t>
      </w:r>
      <w:r>
        <w:rPr>
          <w:sz w:val="20"/>
        </w:rPr>
        <w:t>制作，并按甲方要求时间段内将设计制作好的</w:t>
      </w:r>
      <w:r>
        <w:rPr>
          <w:sz w:val="20"/>
        </w:rPr>
        <w:t>执行</w:t>
      </w:r>
      <w:r>
        <w:rPr>
          <w:sz w:val="20"/>
        </w:rPr>
        <w:t>方案提交给甲方审定</w:t>
      </w:r>
      <w:r>
        <w:rPr>
          <w:sz w:val="20"/>
        </w:rPr>
        <w:t>，</w:t>
      </w:r>
      <w:r>
        <w:rPr>
          <w:sz w:val="20"/>
        </w:rPr>
        <w:t>具体以</w:t>
      </w:r>
      <w:r>
        <w:rPr>
          <w:sz w:val="20"/>
          <w:u w:val="single"/>
        </w:rPr>
        <w:t>广东共青团和青年工作主题宣传项</w:t>
      </w:r>
      <w:r>
        <w:rPr>
          <w:sz w:val="20"/>
          <w:u w:val="single"/>
        </w:rPr>
        <w:t>目实施方案</w:t>
      </w:r>
      <w:r>
        <w:rPr>
          <w:sz w:val="20"/>
        </w:rPr>
        <w:t>约定为准</w:t>
      </w:r>
      <w:r>
        <w:rPr>
          <w:sz w:val="20"/>
        </w:rPr>
        <w:t>。乙方对甲方提供的资料所需保密部分予以保密。</w:t>
      </w:r>
    </w:p>
    <w:p>
      <w:pPr>
        <w:pStyle w:val="null3"/>
        <w:ind w:firstLine="400"/>
        <w:jc w:val="both"/>
      </w:pPr>
      <w:r>
        <w:rPr>
          <w:sz w:val="20"/>
        </w:rPr>
        <w:t>3</w:t>
      </w:r>
      <w:r>
        <w:rPr>
          <w:sz w:val="20"/>
        </w:rPr>
        <w:t>.</w:t>
      </w:r>
      <w:r>
        <w:rPr>
          <w:sz w:val="20"/>
        </w:rPr>
        <w:t>甲方应委派专人负责协调配合工作的进行，</w:t>
      </w:r>
      <w:r>
        <w:rPr>
          <w:sz w:val="20"/>
        </w:rPr>
        <w:t>甲方有权</w:t>
      </w:r>
      <w:r>
        <w:rPr>
          <w:sz w:val="20"/>
        </w:rPr>
        <w:t>提出设想和监督方案落实。</w:t>
      </w:r>
      <w:r>
        <w:rPr>
          <w:sz w:val="20"/>
        </w:rPr>
        <w:t>乙方</w:t>
      </w:r>
      <w:r>
        <w:rPr>
          <w:sz w:val="20"/>
        </w:rPr>
        <w:t>应</w:t>
      </w:r>
      <w:r>
        <w:rPr>
          <w:sz w:val="20"/>
        </w:rPr>
        <w:t>委派专业项目团队及人员完成本合同约定工作。乙方本项目负责人为</w:t>
      </w:r>
      <w:r>
        <w:rPr>
          <w:sz w:val="21"/>
          <w:u w:val="single"/>
        </w:rPr>
        <w:t xml:space="preserve">      </w:t>
      </w:r>
      <w:r>
        <w:rPr>
          <w:sz w:val="20"/>
        </w:rPr>
        <w:t>；联系电话：</w:t>
      </w:r>
      <w:r>
        <w:rPr>
          <w:sz w:val="21"/>
          <w:u w:val="single"/>
        </w:rPr>
        <w:t xml:space="preserve">       </w:t>
      </w:r>
      <w:r>
        <w:rPr>
          <w:sz w:val="20"/>
        </w:rPr>
        <w:t>。乙方项目负责人负责与甲方对接项目具体事宜，并对项目完成情况负责。若乙方更换项目团队负责人及人员，应当提前</w:t>
      </w:r>
      <w:r>
        <w:rPr>
          <w:sz w:val="20"/>
        </w:rPr>
        <w:t>10</w:t>
      </w:r>
      <w:r>
        <w:rPr>
          <w:sz w:val="20"/>
        </w:rPr>
        <w:t>日与甲方沟通并征得甲方同意。</w:t>
      </w:r>
    </w:p>
    <w:p>
      <w:pPr>
        <w:pStyle w:val="null3"/>
        <w:ind w:firstLine="400"/>
        <w:jc w:val="both"/>
      </w:pPr>
      <w:r>
        <w:rPr>
          <w:sz w:val="20"/>
        </w:rPr>
        <w:t>4</w:t>
      </w:r>
      <w:r>
        <w:rPr>
          <w:sz w:val="20"/>
        </w:rPr>
        <w:t>.</w:t>
      </w:r>
      <w:r>
        <w:rPr>
          <w:sz w:val="20"/>
        </w:rPr>
        <w:t>对于甲方所委托拟在约定媒体上发布的</w:t>
      </w:r>
      <w:r>
        <w:rPr>
          <w:sz w:val="20"/>
        </w:rPr>
        <w:t>执行</w:t>
      </w:r>
      <w:r>
        <w:rPr>
          <w:sz w:val="20"/>
        </w:rPr>
        <w:t>方案，乙方</w:t>
      </w:r>
      <w:r>
        <w:rPr>
          <w:sz w:val="20"/>
        </w:rPr>
        <w:t>应提前将</w:t>
      </w:r>
      <w:r>
        <w:rPr>
          <w:sz w:val="20"/>
        </w:rPr>
        <w:t>约定媒体的刊播要求</w:t>
      </w:r>
      <w:r>
        <w:rPr>
          <w:sz w:val="20"/>
        </w:rPr>
        <w:t>以书面形式告知甲方，双方确定最终</w:t>
      </w:r>
      <w:r>
        <w:rPr>
          <w:sz w:val="20"/>
        </w:rPr>
        <w:t>执行</w:t>
      </w:r>
      <w:r>
        <w:rPr>
          <w:sz w:val="20"/>
        </w:rPr>
        <w:t>方案后，乙方无权以媒体刊播要求为由</w:t>
      </w:r>
      <w:r>
        <w:rPr>
          <w:sz w:val="20"/>
        </w:rPr>
        <w:t>修改。</w:t>
      </w:r>
    </w:p>
    <w:p>
      <w:pPr>
        <w:pStyle w:val="null3"/>
        <w:ind w:firstLine="448"/>
        <w:jc w:val="both"/>
      </w:pPr>
      <w:r>
        <w:rPr>
          <w:sz w:val="20"/>
        </w:rPr>
        <w:t>5</w:t>
      </w:r>
      <w:r>
        <w:rPr>
          <w:sz w:val="20"/>
        </w:rPr>
        <w:t>.</w:t>
      </w:r>
      <w:r>
        <w:rPr>
          <w:sz w:val="20"/>
        </w:rPr>
        <w:t>原则上，需要在约定媒体上进行发布的，甲方须至少于双方约定的</w:t>
      </w:r>
      <w:r>
        <w:rPr>
          <w:sz w:val="20"/>
        </w:rPr>
        <w:t>产品</w:t>
      </w:r>
      <w:r>
        <w:rPr>
          <w:sz w:val="20"/>
        </w:rPr>
        <w:t>发布时间提前</w:t>
      </w:r>
      <w:r>
        <w:rPr>
          <w:sz w:val="20"/>
        </w:rPr>
        <w:t>五</w:t>
      </w:r>
      <w:r>
        <w:rPr>
          <w:sz w:val="20"/>
        </w:rPr>
        <w:t>个工作日以上将相关资料内容提交给乙方，逾期未能提交，影响发布的，责任在甲方。乙方于</w:t>
      </w:r>
      <w:r>
        <w:rPr>
          <w:sz w:val="20"/>
        </w:rPr>
        <w:t>产品</w:t>
      </w:r>
      <w:r>
        <w:rPr>
          <w:sz w:val="20"/>
        </w:rPr>
        <w:t>发布前二个工作日将设计制作好的策划文案提交给甲方审定</w:t>
      </w:r>
      <w:r>
        <w:rPr>
          <w:sz w:val="20"/>
        </w:rPr>
        <w:t>，</w:t>
      </w:r>
      <w:r>
        <w:rPr>
          <w:sz w:val="20"/>
        </w:rPr>
        <w:t>甲方有权提出修改意见，若甲方提出修改意见，乙方应在</w:t>
      </w:r>
      <w:r>
        <w:rPr>
          <w:sz w:val="20"/>
        </w:rPr>
        <w:t>产品</w:t>
      </w:r>
      <w:r>
        <w:rPr>
          <w:sz w:val="20"/>
        </w:rPr>
        <w:t>发布前</w:t>
      </w:r>
      <w:r>
        <w:rPr>
          <w:sz w:val="20"/>
        </w:rPr>
        <w:t>一</w:t>
      </w:r>
      <w:r>
        <w:rPr>
          <w:sz w:val="20"/>
        </w:rPr>
        <w:t>个工作日</w:t>
      </w:r>
      <w:r>
        <w:rPr>
          <w:sz w:val="20"/>
        </w:rPr>
        <w:t>内完成修改并达到甲方预期效果，且不得延误媒体发布。若因乙方未按时完成修改并达到乙方预期效果，或延误媒体发布时间，乙方应承担违约责任。</w:t>
      </w:r>
    </w:p>
    <w:p>
      <w:pPr>
        <w:pStyle w:val="null3"/>
        <w:ind w:firstLine="448"/>
        <w:jc w:val="both"/>
      </w:pPr>
      <w:r>
        <w:rPr>
          <w:sz w:val="20"/>
        </w:rPr>
        <w:t>6</w:t>
      </w:r>
      <w:r>
        <w:rPr>
          <w:sz w:val="20"/>
        </w:rPr>
        <w:t>.</w:t>
      </w:r>
      <w:r>
        <w:rPr>
          <w:sz w:val="20"/>
        </w:rPr>
        <w:t>乙方</w:t>
      </w:r>
      <w:r>
        <w:rPr>
          <w:sz w:val="20"/>
        </w:rPr>
        <w:t>不得</w:t>
      </w:r>
      <w:r>
        <w:rPr>
          <w:sz w:val="20"/>
        </w:rPr>
        <w:t>将本合同委托内容转委托给任何第三方。</w:t>
      </w:r>
    </w:p>
    <w:p>
      <w:pPr>
        <w:pStyle w:val="null3"/>
        <w:ind w:firstLine="448"/>
        <w:jc w:val="both"/>
      </w:pPr>
      <w:r>
        <w:rPr>
          <w:sz w:val="20"/>
        </w:rPr>
        <w:t>7</w:t>
      </w:r>
      <w:r>
        <w:rPr>
          <w:sz w:val="20"/>
        </w:rPr>
        <w:t>.</w:t>
      </w:r>
      <w:r>
        <w:rPr>
          <w:sz w:val="20"/>
        </w:rPr>
        <w:t>乙方制作的</w:t>
      </w:r>
      <w:r>
        <w:rPr>
          <w:sz w:val="20"/>
        </w:rPr>
        <w:t>文稿、</w:t>
      </w:r>
      <w:r>
        <w:rPr>
          <w:sz w:val="20"/>
        </w:rPr>
        <w:t>海报、视频、活动策划等成果的所有权、知识产权归甲方所有，乙方保证其制作的</w:t>
      </w:r>
      <w:r>
        <w:rPr>
          <w:sz w:val="20"/>
        </w:rPr>
        <w:t>文稿、</w:t>
      </w:r>
      <w:r>
        <w:rPr>
          <w:sz w:val="20"/>
        </w:rPr>
        <w:t>海报、视频、活动策划等成果均不侵犯任何第三方知识产权。</w:t>
      </w:r>
    </w:p>
    <w:p>
      <w:pPr>
        <w:pStyle w:val="null3"/>
        <w:ind w:firstLine="400"/>
        <w:jc w:val="both"/>
      </w:pPr>
      <w:r>
        <w:rPr>
          <w:sz w:val="20"/>
        </w:rPr>
        <w:t>五</w:t>
      </w:r>
      <w:r>
        <w:rPr>
          <w:sz w:val="20"/>
        </w:rPr>
        <w:t>、合同金额及付款方式</w:t>
      </w:r>
    </w:p>
    <w:p>
      <w:pPr>
        <w:pStyle w:val="null3"/>
        <w:ind w:firstLine="400"/>
        <w:jc w:val="both"/>
      </w:pPr>
      <w:r>
        <w:rPr>
          <w:sz w:val="20"/>
        </w:rPr>
        <w:t>1</w:t>
      </w:r>
      <w:r>
        <w:rPr>
          <w:sz w:val="20"/>
        </w:rPr>
        <w:t>以上费用总计人民币</w:t>
      </w:r>
      <w:r>
        <w:rPr>
          <w:sz w:val="21"/>
          <w:u w:val="single"/>
        </w:rPr>
        <w:t xml:space="preserve"> </w:t>
      </w:r>
      <w:r>
        <w:rPr>
          <w:sz w:val="20"/>
          <w:u w:val="single"/>
        </w:rPr>
        <w:t xml:space="preserve">  </w:t>
      </w:r>
      <w:r>
        <w:rPr>
          <w:sz w:val="20"/>
          <w:u w:val="single"/>
        </w:rPr>
        <w:t>（填写中标金额）</w:t>
      </w:r>
      <w:r>
        <w:rPr>
          <w:sz w:val="20"/>
          <w:u w:val="single"/>
        </w:rPr>
        <w:t xml:space="preserve">  </w:t>
      </w:r>
      <w:r>
        <w:rPr>
          <w:sz w:val="21"/>
          <w:u w:val="single"/>
        </w:rPr>
        <w:t xml:space="preserve"> </w:t>
      </w:r>
      <w:r>
        <w:rPr>
          <w:sz w:val="20"/>
        </w:rPr>
        <w:t>元</w:t>
      </w:r>
      <w:r>
        <w:rPr>
          <w:sz w:val="20"/>
        </w:rPr>
        <w:t>，</w:t>
      </w:r>
      <w:r>
        <w:rPr>
          <w:sz w:val="20"/>
        </w:rPr>
        <w:t>上述价格为含税价格</w:t>
      </w:r>
      <w:r>
        <w:rPr>
          <w:sz w:val="20"/>
        </w:rPr>
        <w:t>。</w:t>
      </w:r>
    </w:p>
    <w:p>
      <w:pPr>
        <w:pStyle w:val="null3"/>
        <w:ind w:firstLine="400"/>
        <w:jc w:val="both"/>
      </w:pPr>
      <w:r>
        <w:rPr>
          <w:sz w:val="20"/>
        </w:rPr>
        <w:t>2.</w:t>
      </w:r>
      <w:r>
        <w:rPr>
          <w:sz w:val="20"/>
        </w:rPr>
        <w:t>付款方式：</w:t>
      </w:r>
      <w:r>
        <w:rPr>
          <w:sz w:val="20"/>
        </w:rPr>
        <w:t xml:space="preserve">                              </w:t>
      </w:r>
      <w:r>
        <w:rPr>
          <w:sz w:val="20"/>
        </w:rPr>
        <w:t>（详见</w:t>
      </w:r>
      <w:r>
        <w:rPr>
          <w:sz w:val="20"/>
        </w:rPr>
        <w:t>本磋商文件采购需求</w:t>
      </w:r>
      <w:r>
        <w:rPr>
          <w:sz w:val="20"/>
        </w:rPr>
        <w:t>）。</w:t>
      </w:r>
    </w:p>
    <w:p>
      <w:pPr>
        <w:pStyle w:val="null3"/>
        <w:ind w:firstLine="400"/>
        <w:jc w:val="both"/>
      </w:pPr>
      <w:r>
        <w:rPr>
          <w:sz w:val="20"/>
        </w:rPr>
        <w:t>乙方收款信息：</w:t>
      </w:r>
    </w:p>
    <w:p>
      <w:pPr>
        <w:pStyle w:val="null3"/>
        <w:jc w:val="both"/>
      </w:pPr>
      <w:r>
        <w:rPr>
          <w:sz w:val="21"/>
        </w:rPr>
        <w:t xml:space="preserve">     </w:t>
      </w:r>
      <w:r>
        <w:rPr>
          <w:sz w:val="20"/>
        </w:rPr>
        <w:t>户</w:t>
      </w:r>
      <w:r>
        <w:rPr>
          <w:sz w:val="20"/>
        </w:rPr>
        <w:t xml:space="preserve">    </w:t>
      </w:r>
      <w:r>
        <w:rPr>
          <w:sz w:val="20"/>
        </w:rPr>
        <w:t>名：</w:t>
      </w:r>
    </w:p>
    <w:p>
      <w:pPr>
        <w:pStyle w:val="null3"/>
        <w:ind w:firstLine="400"/>
        <w:jc w:val="both"/>
      </w:pPr>
      <w:r>
        <w:rPr>
          <w:sz w:val="20"/>
        </w:rPr>
        <w:t>开户银行：</w:t>
      </w:r>
    </w:p>
    <w:p>
      <w:pPr>
        <w:pStyle w:val="null3"/>
        <w:ind w:firstLine="400"/>
        <w:jc w:val="both"/>
      </w:pPr>
      <w:r>
        <w:rPr>
          <w:sz w:val="20"/>
        </w:rPr>
        <w:t>帐</w:t>
      </w:r>
      <w:r>
        <w:rPr>
          <w:sz w:val="20"/>
        </w:rPr>
        <w:t xml:space="preserve">    </w:t>
      </w:r>
      <w:r>
        <w:rPr>
          <w:sz w:val="20"/>
        </w:rPr>
        <w:t>号：</w:t>
      </w:r>
    </w:p>
    <w:p>
      <w:pPr>
        <w:pStyle w:val="null3"/>
        <w:ind w:firstLine="400"/>
        <w:jc w:val="both"/>
      </w:pPr>
      <w:r>
        <w:rPr>
          <w:sz w:val="20"/>
        </w:rPr>
        <w:t>六、</w:t>
      </w:r>
      <w:r>
        <w:rPr>
          <w:sz w:val="20"/>
        </w:rPr>
        <w:t>违约责任</w:t>
      </w:r>
    </w:p>
    <w:p>
      <w:pPr>
        <w:pStyle w:val="null3"/>
        <w:ind w:firstLine="400"/>
        <w:jc w:val="both"/>
      </w:pPr>
      <w:r>
        <w:rPr>
          <w:sz w:val="20"/>
        </w:rPr>
        <w:t>1.</w:t>
      </w:r>
      <w:r>
        <w:rPr>
          <w:sz w:val="20"/>
        </w:rPr>
        <w:t>在合同的履行过程中，双方必须按照合同约定履行义务，任何一方违反了合同的约定对方均有权追究违约方的违约责任。</w:t>
      </w:r>
    </w:p>
    <w:p>
      <w:pPr>
        <w:pStyle w:val="null3"/>
        <w:ind w:firstLine="400"/>
        <w:jc w:val="both"/>
      </w:pPr>
      <w:r>
        <w:rPr>
          <w:sz w:val="20"/>
        </w:rPr>
        <w:t>2.</w:t>
      </w:r>
      <w:r>
        <w:rPr>
          <w:sz w:val="20"/>
        </w:rPr>
        <w:t>若乙方违反合同任一条规定，均应一次性赔偿甲方</w:t>
      </w:r>
      <w:r>
        <w:rPr>
          <w:sz w:val="20"/>
        </w:rPr>
        <w:t>50000</w:t>
      </w:r>
      <w:r>
        <w:rPr>
          <w:sz w:val="20"/>
        </w:rPr>
        <w:t>元违约金，甲方有权在未支付款项中先行扣除。若给甲方造成其他损失，甲方有权向乙方追偿。</w:t>
      </w:r>
      <w:r>
        <w:br/>
      </w:r>
      <w:r>
        <w:rPr>
          <w:sz w:val="20"/>
        </w:rPr>
        <w:t xml:space="preserve">    </w:t>
      </w:r>
      <w:r>
        <w:rPr>
          <w:sz w:val="20"/>
        </w:rPr>
        <w:t>3.</w:t>
      </w:r>
      <w:r>
        <w:rPr>
          <w:sz w:val="20"/>
        </w:rPr>
        <w:t>本合同所称甲方损失，包括但不限于诉讼费、律师费、保全费、差旅费、鉴定费、检验费等。</w:t>
      </w:r>
    </w:p>
    <w:p>
      <w:pPr>
        <w:pStyle w:val="null3"/>
        <w:ind w:firstLine="400"/>
        <w:jc w:val="both"/>
      </w:pPr>
      <w:r>
        <w:rPr>
          <w:sz w:val="20"/>
        </w:rPr>
        <w:t>七</w:t>
      </w:r>
      <w:r>
        <w:rPr>
          <w:sz w:val="20"/>
        </w:rPr>
        <w:t>、其他</w:t>
      </w:r>
    </w:p>
    <w:p>
      <w:pPr>
        <w:pStyle w:val="null3"/>
        <w:ind w:firstLine="400"/>
        <w:jc w:val="both"/>
      </w:pPr>
      <w:r>
        <w:rPr>
          <w:sz w:val="20"/>
        </w:rPr>
        <w:t>1</w:t>
      </w:r>
      <w:r>
        <w:rPr>
          <w:sz w:val="20"/>
        </w:rPr>
        <w:t>.</w:t>
      </w:r>
      <w:r>
        <w:rPr>
          <w:sz w:val="20"/>
        </w:rPr>
        <w:t>本合同一式</w:t>
      </w:r>
      <w:r>
        <w:rPr>
          <w:sz w:val="20"/>
        </w:rPr>
        <w:t>四</w:t>
      </w:r>
      <w:r>
        <w:rPr>
          <w:sz w:val="20"/>
        </w:rPr>
        <w:t>份，双方各执</w:t>
      </w:r>
      <w:r>
        <w:rPr>
          <w:sz w:val="20"/>
        </w:rPr>
        <w:t>两</w:t>
      </w:r>
      <w:r>
        <w:rPr>
          <w:sz w:val="20"/>
        </w:rPr>
        <w:t>份，双方签字盖章后生效，具同等法律效力。</w:t>
      </w:r>
    </w:p>
    <w:p>
      <w:pPr>
        <w:pStyle w:val="null3"/>
        <w:ind w:firstLine="400"/>
        <w:jc w:val="both"/>
      </w:pPr>
      <w:r>
        <w:rPr>
          <w:sz w:val="20"/>
        </w:rPr>
        <w:t>2.</w:t>
      </w:r>
      <w:r>
        <w:rPr>
          <w:sz w:val="20"/>
        </w:rPr>
        <w:t>本合同未尽事宜，双方本着友好合作的态度协商解决。无法协商解决的，双方一致同意向</w:t>
      </w:r>
      <w:r>
        <w:rPr>
          <w:sz w:val="20"/>
        </w:rPr>
        <w:t>甲方所在地</w:t>
      </w:r>
      <w:r>
        <w:rPr>
          <w:sz w:val="20"/>
        </w:rPr>
        <w:t>有管辖权的人民法院提起诉讼。</w:t>
      </w:r>
    </w:p>
    <w:p>
      <w:pPr>
        <w:pStyle w:val="null3"/>
        <w:ind w:firstLine="400"/>
        <w:jc w:val="both"/>
      </w:pPr>
      <w:r>
        <w:rPr>
          <w:sz w:val="20"/>
        </w:rPr>
        <w:t>甲方</w:t>
      </w:r>
      <w:r>
        <w:rPr>
          <w:sz w:val="20"/>
        </w:rPr>
        <w:t>（</w:t>
      </w:r>
      <w:r>
        <w:rPr>
          <w:sz w:val="20"/>
        </w:rPr>
        <w:t>盖章）</w:t>
      </w:r>
      <w:r>
        <w:rPr>
          <w:sz w:val="20"/>
        </w:rPr>
        <w:t>：</w:t>
      </w:r>
      <w:r>
        <w:rPr>
          <w:sz w:val="21"/>
        </w:rPr>
        <w:t xml:space="preserve">                    </w:t>
      </w:r>
      <w:r>
        <w:rPr>
          <w:sz w:val="20"/>
        </w:rPr>
        <w:t>乙方</w:t>
      </w:r>
      <w:r>
        <w:rPr>
          <w:sz w:val="20"/>
        </w:rPr>
        <w:t>（</w:t>
      </w:r>
      <w:r>
        <w:rPr>
          <w:sz w:val="20"/>
        </w:rPr>
        <w:t>盖章）</w:t>
      </w:r>
      <w:r>
        <w:rPr>
          <w:sz w:val="20"/>
        </w:rPr>
        <w:t>：</w:t>
      </w:r>
    </w:p>
    <w:p>
      <w:pPr>
        <w:pStyle w:val="null3"/>
        <w:jc w:val="both"/>
      </w:pPr>
      <w:r>
        <w:rPr>
          <w:sz w:val="20"/>
        </w:rPr>
        <w:t>代</w:t>
      </w:r>
      <w:r>
        <w:rPr>
          <w:sz w:val="20"/>
        </w:rPr>
        <w:t xml:space="preserve">    </w:t>
      </w:r>
      <w:r>
        <w:rPr>
          <w:sz w:val="20"/>
        </w:rPr>
        <w:t>表</w:t>
      </w:r>
      <w:r>
        <w:rPr>
          <w:sz w:val="20"/>
        </w:rPr>
        <w:t>：</w:t>
      </w:r>
      <w:r>
        <w:rPr>
          <w:sz w:val="20"/>
        </w:rPr>
        <w:t xml:space="preserve">                     </w:t>
      </w:r>
      <w:r>
        <w:rPr>
          <w:sz w:val="20"/>
        </w:rPr>
        <w:t xml:space="preserve">  </w:t>
      </w:r>
      <w:r>
        <w:rPr>
          <w:sz w:val="20"/>
        </w:rPr>
        <w:t>代</w:t>
      </w:r>
      <w:r>
        <w:rPr>
          <w:sz w:val="20"/>
        </w:rPr>
        <w:t xml:space="preserve">    </w:t>
      </w:r>
      <w:r>
        <w:rPr>
          <w:sz w:val="20"/>
        </w:rPr>
        <w:t>表</w:t>
      </w:r>
      <w:r>
        <w:rPr>
          <w:sz w:val="20"/>
        </w:rPr>
        <w:t>：</w:t>
      </w:r>
    </w:p>
    <w:p>
      <w:pPr>
        <w:pStyle w:val="null3"/>
        <w:jc w:val="both"/>
      </w:pPr>
      <w:r>
        <w:rPr>
          <w:sz w:val="20"/>
        </w:rPr>
        <w:t>联</w:t>
      </w:r>
      <w:r>
        <w:rPr>
          <w:sz w:val="20"/>
        </w:rPr>
        <w:t>系</w:t>
      </w:r>
      <w:r>
        <w:rPr>
          <w:sz w:val="20"/>
        </w:rPr>
        <w:t>人：</w:t>
      </w:r>
      <w:r>
        <w:rPr>
          <w:sz w:val="21"/>
        </w:rPr>
        <w:t xml:space="preserve">                     </w:t>
      </w:r>
      <w:r>
        <w:rPr>
          <w:sz w:val="20"/>
        </w:rPr>
        <w:t xml:space="preserve">  </w:t>
      </w:r>
      <w:r>
        <w:rPr>
          <w:sz w:val="20"/>
        </w:rPr>
        <w:t>联</w:t>
      </w:r>
      <w:r>
        <w:rPr>
          <w:sz w:val="20"/>
        </w:rPr>
        <w:t>系</w:t>
      </w:r>
      <w:r>
        <w:rPr>
          <w:sz w:val="20"/>
        </w:rPr>
        <w:t>人：</w:t>
      </w:r>
    </w:p>
    <w:p>
      <w:pPr>
        <w:pStyle w:val="null3"/>
        <w:jc w:val="both"/>
      </w:pPr>
      <w:r>
        <w:rPr>
          <w:sz w:val="20"/>
        </w:rPr>
        <w:t>联系电话：</w:t>
      </w:r>
      <w:r>
        <w:rPr>
          <w:sz w:val="21"/>
        </w:rPr>
        <w:t xml:space="preserve">                 </w:t>
      </w:r>
      <w:r>
        <w:rPr>
          <w:sz w:val="20"/>
        </w:rPr>
        <w:t xml:space="preserve">      </w:t>
      </w:r>
      <w:r>
        <w:rPr>
          <w:sz w:val="20"/>
        </w:rPr>
        <w:t>联系电话：</w:t>
      </w:r>
    </w:p>
    <w:p>
      <w:pPr>
        <w:pStyle w:val="null3"/>
        <w:jc w:val="both"/>
      </w:pPr>
      <w:r>
        <w:rPr>
          <w:sz w:val="20"/>
        </w:rPr>
        <w:t>签定日期：</w:t>
      </w:r>
      <w:r>
        <w:rPr>
          <w:sz w:val="21"/>
        </w:rPr>
        <w:t xml:space="preserve">    </w:t>
      </w:r>
      <w:r>
        <w:rPr>
          <w:sz w:val="20"/>
        </w:rPr>
        <w:t>年</w:t>
      </w:r>
      <w:r>
        <w:rPr>
          <w:sz w:val="20"/>
        </w:rPr>
        <w:t xml:space="preserve">    </w:t>
      </w:r>
      <w:r>
        <w:rPr>
          <w:sz w:val="20"/>
        </w:rPr>
        <w:t>月</w:t>
      </w:r>
      <w:r>
        <w:rPr>
          <w:sz w:val="20"/>
        </w:rPr>
        <w:t xml:space="preserve">    </w:t>
      </w:r>
      <w:r>
        <w:rPr>
          <w:sz w:val="20"/>
        </w:rPr>
        <w:t>日</w:t>
      </w:r>
      <w:r>
        <w:rPr>
          <w:sz w:val="20"/>
        </w:rPr>
        <w:t xml:space="preserve">     </w:t>
      </w:r>
      <w:r>
        <w:rPr>
          <w:sz w:val="20"/>
        </w:rPr>
        <w:t>签定日期：</w:t>
      </w:r>
      <w:r>
        <w:rPr>
          <w:sz w:val="21"/>
        </w:rPr>
        <w:t xml:space="preserve">    </w:t>
      </w:r>
      <w:r>
        <w:rPr>
          <w:sz w:val="20"/>
        </w:rPr>
        <w:t>年</w:t>
      </w:r>
      <w:r>
        <w:rPr>
          <w:sz w:val="20"/>
        </w:rPr>
        <w:t xml:space="preserve">  </w:t>
      </w:r>
      <w:r>
        <w:rPr>
          <w:sz w:val="21"/>
        </w:rPr>
        <w:t xml:space="preserve"> </w:t>
      </w:r>
      <w:r>
        <w:rPr>
          <w:sz w:val="20"/>
        </w:rPr>
        <w:t xml:space="preserve"> </w:t>
      </w:r>
      <w:r>
        <w:rPr>
          <w:sz w:val="20"/>
        </w:rPr>
        <w:t>月</w:t>
      </w:r>
      <w:r>
        <w:rPr>
          <w:sz w:val="20"/>
        </w:rPr>
        <w:t xml:space="preserve">    </w:t>
      </w:r>
      <w:r>
        <w:rPr>
          <w:sz w:val="20"/>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440001-2025-18919</w:t>
      </w:r>
    </w:p>
    <w:p>
      <w:pPr>
        <w:pStyle w:val="null3"/>
        <w:jc w:val="center"/>
        <w:outlineLvl w:val="3"/>
      </w:pPr>
      <w:r>
        <w:rPr>
          <w:sz w:val="24"/>
          <w:b/>
        </w:rPr>
        <w:t>采购项目编号：</w:t>
      </w:r>
      <w:r>
        <w:rPr>
          <w:sz w:val="24"/>
          <w:b/>
        </w:rPr>
        <w:t>0724-2511Z1A12978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国义招标股份有限公司</w:t>
      </w:r>
    </w:p>
    <w:p>
      <w:pPr>
        <w:pStyle w:val="null3"/>
        <w:ind w:firstLine="480"/>
      </w:pPr>
      <w:r>
        <w:rPr/>
        <w:t xml:space="preserve"> 你方组织的</w:t>
      </w:r>
      <w:r>
        <w:rPr>
          <w:u w:val="single"/>
        </w:rPr>
        <w:t>“</w:t>
      </w:r>
      <w:r>
        <w:rPr>
          <w:u w:val="single"/>
        </w:rPr>
        <w:t>广东共青团和青年工作主题宣传项目</w:t>
      </w:r>
      <w:r>
        <w:rPr>
          <w:u w:val="single"/>
        </w:rPr>
        <w:t>”</w:t>
      </w:r>
      <w:r>
        <w:rPr/>
        <w:t>项目的竞争性磋商[采购项目编号为：</w:t>
      </w:r>
      <w:r>
        <w:rPr>
          <w:u w:val="single"/>
        </w:rPr>
        <w:t>0724-2511Z1A12978</w:t>
      </w:r>
      <w:r>
        <w:rPr/>
        <w:t>]，我方愿参与响应。</w:t>
      </w:r>
    </w:p>
    <w:p>
      <w:pPr>
        <w:pStyle w:val="null3"/>
        <w:ind w:firstLine="480"/>
      </w:pPr>
      <w:r>
        <w:rPr/>
        <w:t>我方确认收到贵方提供的</w:t>
      </w:r>
      <w:r>
        <w:rPr>
          <w:u w:val="single"/>
        </w:rPr>
        <w:t>“</w:t>
      </w:r>
      <w:r>
        <w:rPr>
          <w:u w:val="single"/>
        </w:rPr>
        <w:t>广东共青团和青年工作主题宣传项目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广东共青团和青年工作主题宣传项目</w:t>
      </w:r>
      <w:r>
        <w:rPr/>
        <w:t>”项目采购[采购项目编号为</w:t>
      </w:r>
      <w:r>
        <w:rPr/>
        <w:t>0724-2511Z1A12978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共青团广东省委员会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国义招标股份有限公司</w:t>
      </w:r>
    </w:p>
    <w:p>
      <w:pPr>
        <w:pStyle w:val="null3"/>
        <w:ind w:firstLine="480"/>
      </w:pPr>
      <w:r>
        <w:rPr/>
        <w:t>我单位参加贵公司组织的</w:t>
      </w:r>
      <w:r>
        <w:rPr/>
        <w:t>广东共青团和青年工作主题宣传项目</w:t>
      </w:r>
      <w:r>
        <w:rPr/>
        <w:t>（采购项目编号：</w:t>
      </w:r>
      <w:r>
        <w:rPr/>
        <w:t>0724-2511Z1A12978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广东共青团和青年工作主题宣传项目</w:t>
      </w:r>
      <w:r>
        <w:rPr/>
        <w:t>”项目（采购项目编号：</w:t>
      </w:r>
      <w:r>
        <w:rPr/>
        <w:t>0724-2511Z1A12978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