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440101-2026-06121</w:t>
      </w:r>
    </w:p>
    <w:p>
      <w:pPr>
        <w:pStyle w:val="null3"/>
        <w:jc w:val="center"/>
        <w:outlineLvl w:val="3"/>
      </w:pPr>
      <w:r>
        <w:rPr>
          <w:sz w:val="24"/>
          <w:b/>
        </w:rPr>
        <w:t>采购项目编号：</w:t>
      </w:r>
      <w:r>
        <w:rPr>
          <w:sz w:val="24"/>
          <w:b/>
        </w:rPr>
        <w:t>0724-2631Z1971938</w:t>
      </w:r>
    </w:p>
    <w:p>
      <w:pPr>
        <w:pStyle w:val="null3"/>
        <w:jc w:val="center"/>
        <w:outlineLvl w:val="3"/>
      </w:pPr>
      <w:r>
        <w:rPr>
          <w:sz w:val="24"/>
          <w:b/>
        </w:rPr>
        <w:t>项目名称：</w:t>
      </w:r>
      <w:r>
        <w:rPr>
          <w:sz w:val="24"/>
          <w:b/>
        </w:rPr>
        <w:t>广州市大气环境非现场监管能力提升服务项目</w:t>
      </w:r>
    </w:p>
    <w:p>
      <w:pPr>
        <w:pStyle w:val="null3"/>
        <w:jc w:val="center"/>
        <w:outlineLvl w:val="3"/>
      </w:pPr>
      <w:r>
        <w:rPr>
          <w:sz w:val="24"/>
          <w:b/>
        </w:rPr>
        <w:t>采购人：</w:t>
      </w:r>
      <w:r>
        <w:rPr>
          <w:sz w:val="24"/>
          <w:b/>
        </w:rPr>
        <w:t>广州市生态环境局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广州市生态环境局</w:t>
      </w:r>
      <w:r>
        <w:rPr/>
        <w:t>的委托，采用</w:t>
      </w:r>
      <w:r>
        <w:rPr/>
        <w:t>公开招标</w:t>
      </w:r>
      <w:r>
        <w:rPr/>
        <w:t>方式组织采购</w:t>
      </w:r>
      <w:r>
        <w:rPr/>
        <w:t>广州市大气环境非现场监管能力提升服务项目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广州市大气环境非现场监管能力提升服务项目</w:t>
      </w:r>
    </w:p>
    <w:p>
      <w:pPr>
        <w:pStyle w:val="null3"/>
        <w:ind w:firstLine="480"/>
      </w:pPr>
      <w:r>
        <w:rPr/>
        <w:t>采购计划编号：</w:t>
      </w:r>
      <w:r>
        <w:rPr/>
        <w:t>440101-2026-06121</w:t>
      </w:r>
    </w:p>
    <w:p>
      <w:pPr>
        <w:pStyle w:val="null3"/>
        <w:ind w:firstLine="480"/>
      </w:pPr>
      <w:r>
        <w:rPr/>
        <w:t>采购项目编号：</w:t>
      </w:r>
      <w:r>
        <w:rPr/>
        <w:t>0724-2631Z1971938</w:t>
      </w:r>
    </w:p>
    <w:p>
      <w:pPr>
        <w:pStyle w:val="null3"/>
        <w:ind w:firstLine="480"/>
      </w:pPr>
      <w:r>
        <w:rPr/>
        <w:t>采购方式：</w:t>
      </w:r>
      <w:r>
        <w:rPr/>
        <w:t>公开招标</w:t>
      </w:r>
    </w:p>
    <w:p>
      <w:pPr>
        <w:pStyle w:val="null3"/>
        <w:ind w:firstLine="480"/>
      </w:pPr>
      <w:r>
        <w:rPr/>
        <w:t>预算金额：</w:t>
      </w:r>
      <w:r>
        <w:rPr/>
        <w:t>5,450,000.00</w:t>
      </w:r>
      <w:r>
        <w:rPr/>
        <w:t>元</w:t>
      </w:r>
    </w:p>
    <w:p>
      <w:pPr>
        <w:pStyle w:val="null3"/>
        <w:outlineLvl w:val="3"/>
      </w:pPr>
      <w:r>
        <w:rPr>
          <w:sz w:val="24"/>
          <w:b/>
        </w:rPr>
        <w:t>2.项目内容及需求情况（采购项目技术规格、参数及要求）</w:t>
      </w:r>
    </w:p>
    <w:p>
      <w:pPr>
        <w:pStyle w:val="null3"/>
      </w:pPr>
      <w:r>
        <w:rPr/>
        <w:t>采购包1(广州市大气环境非现场监管能力提升服务项目):</w:t>
      </w:r>
    </w:p>
    <w:p>
      <w:pPr>
        <w:pStyle w:val="null3"/>
      </w:pPr>
      <w:r>
        <w:rPr/>
        <w:t>采购包预算金额：5,450,000.00元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其他生态环境保护服务</w:t>
            </w:r>
          </w:p>
        </w:tc>
        <w:tc>
          <w:tcPr>
            <w:tcW w:type="dxa" w:w="2136"/>
          </w:tcPr>
          <w:p>
            <w:pPr>
              <w:pStyle w:val="null3"/>
            </w:pPr>
            <w:r>
              <w:rPr/>
              <w:t>广州市大气环境非现场监管能力提升服务项目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p>
      <w:pPr>
        <w:pStyle w:val="null3"/>
      </w:pPr>
      <w:r>
        <w:rPr/>
        <w:t>2）有依法缴纳税收和社会保障资金的良好记录：提供《资格条件承诺函》（以联合体形式投标，则联合体各方均须满足要求，并提供上述材料），格式详见公告附件。</w:t>
      </w:r>
    </w:p>
    <w:p>
      <w:pPr>
        <w:pStyle w:val="null3"/>
      </w:pPr>
      <w:r>
        <w:rPr/>
        <w:t>3）具有良好的商业信誉和健全的财务会计制度：提供《资格条件承诺函》（以联合体形式投标，则联合体各方均须满足要求，并提供上述材料），格式详见公告附件。</w:t>
      </w:r>
    </w:p>
    <w:p>
      <w:pPr>
        <w:pStyle w:val="null3"/>
      </w:pPr>
      <w:r>
        <w:rPr/>
        <w:t>4）履行合同所必需的设备和专业技术能力：提供《资格条件承诺函》（以联合体形式投标，则联合体各方均须满足要求，并提供上述材料），格式详见公告附件。</w:t>
      </w:r>
    </w:p>
    <w:p>
      <w:pPr>
        <w:pStyle w:val="null3"/>
      </w:pPr>
      <w:r>
        <w:rPr/>
        <w:t>5）参加采购活动前3年内，在经营活动中没有重大违法记录：提供《资格条件承诺函》（以联合体形式投标，则联合体各方均须满足要求，并提供上述材料），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采购包1（广州市大气环境非现场监管能力提升服务项目）：</w:t>
      </w:r>
      <w:r>
        <w:rPr/>
        <w:t>本采购包以联合体形式预留份额专门面向中小企业采购，预留份额不少于采购包预算总额的50%（其中预留给小微企业的比例不低于70%）。投标人须符合下列情形之一： （1）投标人不属于中小微企业的，必须与中小微企业组成联合体参加本项目投标，且联合体中中小企业承担的合同份额占预算总额的比例不低于50%（其中小微企业的比例不低于70%）。组成联合体的中小微企业与联合体内其他企业之间不得存在直接控股、管理关系。 （2）投标人属于中小微企业的，是否以联合体形式参加本项目投标不作强制要求。如以联合体形式参与投标的，联合体中中小企业承担的合同份额占预算总额的比例不低于50%（其中小微企业的比例不低于70%）。组成联合体的中小微企业与联合体内其他企业之间不得存在直接控股、管理关系。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p>
      <w:pPr>
        <w:pStyle w:val="null3"/>
        <w:outlineLvl w:val="3"/>
      </w:pPr>
      <w:r>
        <w:rPr>
          <w:sz w:val="24"/>
          <w:b/>
        </w:rPr>
        <w:t>3.本项目特定的资格要求：</w:t>
      </w:r>
    </w:p>
    <w:p>
      <w:pPr>
        <w:pStyle w:val="null3"/>
      </w:pPr>
      <w:r>
        <w:rPr/>
        <w:t>采购包1（广州市大气环境非现场监管能力提升服务项目）：</w:t>
      </w:r>
    </w:p>
    <w:p>
      <w:pPr>
        <w:pStyle w:val="null3"/>
      </w:pPr>
      <w:r>
        <w:rPr/>
        <w:t>1)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4)本项目接受联合体投标，组成联合体的单位不得超过5家。以联合体形式投标的，联合体各方应按招标文件提供的格式签订《联合体共同投标协议书》，明确联合体牵头人，载明联合体各方承担的工作和义务。</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w:t>
      </w:r>
    </w:p>
    <w:p>
      <w:pPr>
        <w:pStyle w:val="null3"/>
        <w:ind w:firstLine="480"/>
      </w:pPr>
      <w:r>
        <w:rPr/>
        <w:t xml:space="preserve"> 地址：</w:t>
      </w:r>
      <w:r>
        <w:rPr/>
        <w:t>广州市越秀区环市中路311号</w:t>
      </w:r>
    </w:p>
    <w:p>
      <w:pPr>
        <w:pStyle w:val="null3"/>
        <w:ind w:firstLine="480"/>
      </w:pPr>
      <w:r>
        <w:rPr/>
        <w:t xml:space="preserve"> 联系方式：</w:t>
      </w:r>
      <w:r>
        <w:rPr/>
        <w:t>020-83203095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color w:val="000000"/>
        </w:rPr>
        <w:t>《空气质量持续改善行动计划》（国发〔</w:t>
      </w:r>
      <w:r>
        <w:rPr>
          <w:sz w:val="22"/>
          <w:color w:val="000000"/>
        </w:rPr>
        <w:t>2023〕24号）提出“以改善空气质量为核心，以减少重污染天气和解决人民群众身边的突出大气环境问题为重点，以降低细颗粒物（PM</w:t>
      </w:r>
      <w:r>
        <w:rPr>
          <w:sz w:val="22"/>
          <w:color w:val="000000"/>
          <w:vertAlign w:val="subscript"/>
        </w:rPr>
        <w:t>2.5</w:t>
      </w:r>
      <w:r>
        <w:rPr>
          <w:sz w:val="22"/>
          <w:color w:val="000000"/>
        </w:rPr>
        <w:t>）浓度为主线</w:t>
      </w:r>
      <w:r>
        <w:rPr>
          <w:sz w:val="22"/>
          <w:color w:val="000000"/>
        </w:rPr>
        <w:t>”的核心要求，大力推动氮氧化物和挥发性有机物（VOCs）减排。《中共中央 国务院关于全面推进美丽中国建设的意见》中进一步提出，要持续深入打好蓝天保卫战，以细颗粒物控制为主线，大力推进多污染协同减排。</w:t>
      </w:r>
    </w:p>
    <w:p>
      <w:pPr>
        <w:pStyle w:val="null3"/>
        <w:ind w:firstLine="440"/>
        <w:jc w:val="both"/>
      </w:pPr>
      <w:r>
        <w:rPr>
          <w:sz w:val="22"/>
          <w:color w:val="000000"/>
        </w:rPr>
        <w:t>广州市作为国家重要中心城市，</w:t>
      </w:r>
      <w:r>
        <w:rPr>
          <w:sz w:val="22"/>
          <w:color w:val="000000"/>
        </w:rPr>
        <w:t>2017年以来PM</w:t>
      </w:r>
      <w:r>
        <w:rPr>
          <w:sz w:val="22"/>
          <w:color w:val="000000"/>
          <w:vertAlign w:val="subscript"/>
        </w:rPr>
        <w:t>2.5</w:t>
      </w:r>
      <w:r>
        <w:rPr>
          <w:sz w:val="22"/>
          <w:color w:val="000000"/>
        </w:rPr>
        <w:t>浓度已实现稳定达标，但进一步下降空间收窄。</w:t>
      </w:r>
      <w:r>
        <w:rPr>
          <w:sz w:val="22"/>
          <w:color w:val="000000"/>
        </w:rPr>
        <w:t>VOCs作为PM</w:t>
      </w:r>
      <w:r>
        <w:rPr>
          <w:sz w:val="22"/>
          <w:color w:val="000000"/>
          <w:vertAlign w:val="subscript"/>
        </w:rPr>
        <w:t>2.5</w:t>
      </w:r>
      <w:r>
        <w:rPr>
          <w:sz w:val="22"/>
          <w:color w:val="000000"/>
        </w:rPr>
        <w:t>和臭氧的共同前体物，其排放源复杂多样，污染传输影响显著，对</w:t>
      </w:r>
      <w:r>
        <w:rPr>
          <w:sz w:val="22"/>
          <w:color w:val="000000"/>
        </w:rPr>
        <w:t>VOCs开展非现场常态化监管是推动多污染物协同防控的重要举措。广州市将以持续推动PM</w:t>
      </w:r>
      <w:r>
        <w:rPr>
          <w:sz w:val="22"/>
          <w:color w:val="000000"/>
          <w:vertAlign w:val="subscript"/>
        </w:rPr>
        <w:t>2.5</w:t>
      </w:r>
      <w:r>
        <w:rPr>
          <w:sz w:val="22"/>
          <w:color w:val="000000"/>
        </w:rPr>
        <w:t>下降为主线，强化</w:t>
      </w:r>
      <w:r>
        <w:rPr>
          <w:sz w:val="22"/>
          <w:color w:val="000000"/>
        </w:rPr>
        <w:t>PM</w:t>
      </w:r>
      <w:r>
        <w:rPr>
          <w:sz w:val="22"/>
          <w:color w:val="000000"/>
          <w:vertAlign w:val="subscript"/>
        </w:rPr>
        <w:t>2.5</w:t>
      </w:r>
      <w:r>
        <w:rPr>
          <w:sz w:val="22"/>
          <w:color w:val="000000"/>
        </w:rPr>
        <w:t>智慧溯源和企业</w:t>
      </w:r>
      <w:r>
        <w:rPr>
          <w:sz w:val="22"/>
          <w:color w:val="000000"/>
        </w:rPr>
        <w:t>VOCs过程监管，优化创新监管手段，提高大气环境非现场监管能力，帮扶企业提升污染治理水平，精准科学治污，</w:t>
      </w:r>
      <w:r>
        <w:rPr>
          <w:sz w:val="22"/>
          <w:color w:val="000000"/>
        </w:rPr>
        <w:t>助力</w:t>
      </w:r>
      <w:r>
        <w:rPr>
          <w:sz w:val="22"/>
          <w:color w:val="000000"/>
        </w:rPr>
        <w:t>“美丽广州”建设。</w:t>
      </w:r>
    </w:p>
    <w:p>
      <w:pPr>
        <w:pStyle w:val="null3"/>
        <w:ind w:firstLine="440"/>
        <w:jc w:val="both"/>
      </w:pPr>
      <w:r>
        <w:rPr>
          <w:sz w:val="22"/>
          <w:color w:val="000000"/>
        </w:rPr>
        <w:t>本项目围绕空气质量持续改善目标，以细颗粒物控制为主线，大力推进多污染物协同减排，通过开展涉挥发性有机物典型企业全过程监控、</w:t>
      </w:r>
      <w:r>
        <w:rPr>
          <w:sz w:val="22"/>
          <w:color w:val="000000"/>
        </w:rPr>
        <w:t>VOCs走航监测溯源、道路积尘负荷走航、无人机与灵嗅飞航、颗粒物激光雷达扫描溯源以及多源数据综合分析研判服务等技术服务项目，提升广州市大气环境非现场监管能力，为大气污染治理、精细化减排提供科技支撑，助力广州市生态环境质量持续改善。</w:t>
      </w:r>
    </w:p>
    <w:p>
      <w:pPr>
        <w:pStyle w:val="null3"/>
        <w:ind w:firstLine="482"/>
        <w:jc w:val="both"/>
      </w:pPr>
      <w:r>
        <w:rPr>
          <w:sz w:val="24"/>
          <w:b/>
          <w:color w:val="000000"/>
        </w:rPr>
        <w:t>二、项目技术要求</w:t>
      </w:r>
    </w:p>
    <w:p>
      <w:pPr>
        <w:pStyle w:val="null3"/>
        <w:ind w:firstLine="442"/>
        <w:jc w:val="left"/>
      </w:pPr>
      <w:r>
        <w:rPr>
          <w:sz w:val="22"/>
          <w:b/>
          <w:color w:val="000000"/>
        </w:rPr>
        <w:t>（一）涉挥发性有机物典型企业全过程监控服务</w:t>
      </w:r>
    </w:p>
    <w:p>
      <w:pPr>
        <w:pStyle w:val="null3"/>
        <w:ind w:firstLine="442"/>
        <w:jc w:val="left"/>
      </w:pPr>
      <w:r>
        <w:rPr>
          <w:sz w:val="22"/>
          <w:b/>
          <w:color w:val="000000"/>
        </w:rPr>
        <w:t>1.全过程监控数据采集。</w:t>
      </w:r>
      <w:r>
        <w:rPr>
          <w:sz w:val="22"/>
          <w:color w:val="000000"/>
        </w:rPr>
        <w:t>筛选不少于</w:t>
      </w:r>
      <w:r>
        <w:rPr>
          <w:sz w:val="22"/>
          <w:color w:val="000000"/>
        </w:rPr>
        <w:t>100家涉挥发性有机物典型企业的全过程监控设备进行数据接入和质控，接入企业点位设备不少于660套，其中智能电表不少于360套，废气参数监测设备不少于60套，摄像头不少于180个，网卡、网关等采集传输设备不少于60套，数据采集技术参数要求如下：</w:t>
      </w:r>
    </w:p>
    <w:p>
      <w:pPr>
        <w:pStyle w:val="null3"/>
        <w:spacing w:after="120"/>
        <w:jc w:val="center"/>
      </w:pPr>
      <w:r>
        <w:rPr>
          <w:sz w:val="21"/>
          <w:color w:val="000000"/>
          <w:shd w:fill="FFFFFF" w:val="clear"/>
        </w:rPr>
        <w:t>表</w:t>
      </w:r>
      <w:r>
        <w:rPr>
          <w:sz w:val="21"/>
          <w:color w:val="000000"/>
          <w:shd w:fill="FFFFFF" w:val="clear"/>
        </w:rPr>
        <w:t>2-1 参数要求</w:t>
      </w:r>
    </w:p>
    <w:tbl>
      <w:tblPr>
        <w:tblW w:w="0" w:type="auto"/>
        <w:tblBorders>
          <w:top w:val="none" w:color="000000" w:sz="4"/>
          <w:left w:val="none" w:color="000000" w:sz="4"/>
          <w:bottom w:val="none" w:color="000000" w:sz="4"/>
          <w:right w:val="none" w:color="000000" w:sz="4"/>
          <w:insideH w:val="none"/>
          <w:insideV w:val="none"/>
        </w:tblBorders>
      </w:tblPr>
      <w:tblGrid>
        <w:gridCol w:w="745"/>
        <w:gridCol w:w="1251"/>
        <w:gridCol w:w="1251"/>
        <w:gridCol w:w="5018"/>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w:t>
            </w:r>
          </w:p>
          <w:p>
            <w:pPr>
              <w:pStyle w:val="null3"/>
              <w:jc w:val="center"/>
            </w:pPr>
            <w:r>
              <w:rPr>
                <w:sz w:val="21"/>
                <w:color w:val="000000"/>
              </w:rPr>
              <w:t>电表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设备电压、电流等工况监控设备</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1.电压、电流、功率等电气参数数据应符合《电测量设备（交流）通用要求、试验和试验条件 第11部分：测量设备》（GB/T 17215.211-2021）的有关要求。</w:t>
            </w:r>
          </w:p>
          <w:p>
            <w:pPr>
              <w:pStyle w:val="null3"/>
              <w:jc w:val="left"/>
            </w:pPr>
            <w:r>
              <w:rPr>
                <w:sz w:val="21"/>
                <w:color w:val="000000"/>
              </w:rPr>
              <w:t>2.功能要求：</w:t>
            </w:r>
          </w:p>
          <w:p>
            <w:pPr>
              <w:pStyle w:val="null3"/>
              <w:jc w:val="left"/>
            </w:pPr>
            <w:r>
              <w:rPr>
                <w:sz w:val="21"/>
                <w:color w:val="000000"/>
              </w:rPr>
              <w:t>（</w:t>
            </w:r>
            <w:r>
              <w:rPr>
                <w:sz w:val="21"/>
                <w:color w:val="000000"/>
              </w:rPr>
              <w:t>1）能实时采集及记录用电设备的实时电参量，包含但不限于三相电压、电流、功率及电能量、谐波等。</w:t>
            </w:r>
          </w:p>
          <w:p>
            <w:pPr>
              <w:pStyle w:val="null3"/>
              <w:jc w:val="left"/>
            </w:pPr>
            <w:r>
              <w:rPr>
                <w:sz w:val="21"/>
                <w:color w:val="000000"/>
              </w:rPr>
              <w:t>（</w:t>
            </w:r>
            <w:r>
              <w:rPr>
                <w:sz w:val="21"/>
                <w:color w:val="000000"/>
              </w:rPr>
              <w:t>2）对设备用电状态进行实时准确的判断，记录用电状态各事件的发生及准确时间，如设备启动、停止，现场停电、来电，过载等各种异常。</w:t>
            </w:r>
          </w:p>
          <w:p>
            <w:pPr>
              <w:pStyle w:val="null3"/>
              <w:jc w:val="left"/>
            </w:pPr>
            <w:r>
              <w:rPr>
                <w:sz w:val="21"/>
                <w:color w:val="000000"/>
              </w:rPr>
              <w:t>（</w:t>
            </w:r>
            <w:r>
              <w:rPr>
                <w:sz w:val="21"/>
                <w:color w:val="000000"/>
              </w:rPr>
              <w:t>3）将记录的各事件及发生时间、瞬时电参量等数据传送至网关。</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VOCs处理燃烧室温度测量设备</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温度监测</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温度监测设备绝对误差不大于</w:t>
            </w:r>
            <w:r>
              <w:rPr>
                <w:sz w:val="21"/>
                <w:color w:val="000000"/>
              </w:rPr>
              <w:t>±3℃。</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挥发性有机物监测单元</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光离子化检测器（</w:t>
            </w:r>
            <w:r>
              <w:rPr>
                <w:sz w:val="21"/>
                <w:color w:val="000000"/>
              </w:rPr>
              <w:t>PID）</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满足《固定污染源挥发性有机物排放连续自动监测系统光离子化检测器（</w:t>
            </w:r>
            <w:r>
              <w:rPr>
                <w:sz w:val="21"/>
                <w:color w:val="000000"/>
              </w:rPr>
              <w:t>PID）法技术要求》（DB 44/ T 1947—2016）要求。</w:t>
            </w:r>
          </w:p>
          <w:p>
            <w:pPr>
              <w:pStyle w:val="null3"/>
              <w:jc w:val="left"/>
            </w:pPr>
            <w:r>
              <w:rPr>
                <w:sz w:val="21"/>
                <w:color w:val="000000"/>
              </w:rPr>
              <w:t>2.</w:t>
            </w:r>
            <w:r>
              <w:rPr>
                <w:sz w:val="21"/>
                <w:color w:val="000000"/>
              </w:rPr>
              <w:t>测量下限：</w:t>
            </w:r>
            <w:r>
              <w:rPr>
                <w:sz w:val="21"/>
                <w:color w:val="000000"/>
              </w:rPr>
              <w:t>≤5mg/m</w:t>
            </w:r>
            <w:r>
              <w:rPr>
                <w:sz w:val="21"/>
                <w:color w:val="000000"/>
                <w:vertAlign w:val="superscript"/>
              </w:rPr>
              <w:t>3</w:t>
            </w:r>
          </w:p>
          <w:p>
            <w:pPr>
              <w:pStyle w:val="null3"/>
              <w:jc w:val="left"/>
            </w:pPr>
            <w:r>
              <w:rPr>
                <w:sz w:val="21"/>
                <w:color w:val="000000"/>
              </w:rPr>
              <w:t>3.</w:t>
            </w:r>
            <w:r>
              <w:rPr>
                <w:sz w:val="21"/>
                <w:color w:val="000000"/>
              </w:rPr>
              <w:t>重复性：</w:t>
            </w:r>
            <w:r>
              <w:rPr>
                <w:sz w:val="21"/>
                <w:color w:val="000000"/>
              </w:rPr>
              <w:t>≤±3%</w:t>
            </w:r>
          </w:p>
          <w:p>
            <w:pPr>
              <w:pStyle w:val="null3"/>
              <w:jc w:val="left"/>
            </w:pPr>
            <w:r>
              <w:rPr>
                <w:sz w:val="21"/>
                <w:color w:val="000000"/>
              </w:rPr>
              <w:t>4.</w:t>
            </w:r>
            <w:r>
              <w:rPr>
                <w:sz w:val="21"/>
                <w:color w:val="000000"/>
              </w:rPr>
              <w:t>响应时间：</w:t>
            </w:r>
            <w:r>
              <w:rPr>
                <w:sz w:val="21"/>
                <w:color w:val="000000"/>
              </w:rPr>
              <w:t>≤20s</w:t>
            </w:r>
          </w:p>
          <w:p>
            <w:pPr>
              <w:pStyle w:val="null3"/>
              <w:jc w:val="left"/>
            </w:pPr>
            <w:r>
              <w:rPr>
                <w:sz w:val="21"/>
                <w:color w:val="000000"/>
              </w:rPr>
              <w:t>5.</w:t>
            </w:r>
            <w:r>
              <w:rPr>
                <w:sz w:val="21"/>
                <w:color w:val="000000"/>
              </w:rPr>
              <w:t>零点漂移：</w:t>
            </w:r>
            <w:r>
              <w:rPr>
                <w:sz w:val="21"/>
                <w:color w:val="000000"/>
              </w:rPr>
              <w:t>≤2mg/m</w:t>
            </w:r>
            <w:r>
              <w:rPr>
                <w:sz w:val="21"/>
                <w:color w:val="000000"/>
                <w:vertAlign w:val="superscript"/>
              </w:rPr>
              <w:t>3</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废气参数监测单元</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废气流速、温度、</w:t>
            </w:r>
            <w:r>
              <w:rPr>
                <w:sz w:val="21"/>
                <w:color w:val="000000"/>
              </w:rPr>
              <w:t>PH、湿度、压力等</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w:t>
            </w:r>
            <w:r>
              <w:rPr>
                <w:sz w:val="21"/>
                <w:color w:val="000000"/>
              </w:rPr>
              <w:t>采集企业喷淋塔</w:t>
            </w:r>
            <w:r>
              <w:rPr>
                <w:sz w:val="21"/>
                <w:color w:val="000000"/>
              </w:rPr>
              <w:t>pH、活性炭吸附装置的压力以及RT0、RC0等燃烧炉的运行参数。</w:t>
            </w:r>
          </w:p>
          <w:p>
            <w:pPr>
              <w:pStyle w:val="null3"/>
              <w:jc w:val="left"/>
            </w:pPr>
            <w:r>
              <w:rPr>
                <w:sz w:val="21"/>
                <w:color w:val="000000"/>
              </w:rPr>
              <w:t>2.</w:t>
            </w:r>
            <w:r>
              <w:rPr>
                <w:sz w:val="21"/>
                <w:color w:val="000000"/>
              </w:rPr>
              <w:t>流速：测量范围上限不低于</w:t>
            </w:r>
            <w:r>
              <w:rPr>
                <w:sz w:val="21"/>
                <w:color w:val="000000"/>
              </w:rPr>
              <w:t>25m/s;速度场系数的相对标准偏差≤5%。</w:t>
            </w:r>
          </w:p>
          <w:p>
            <w:pPr>
              <w:pStyle w:val="null3"/>
              <w:jc w:val="left"/>
            </w:pPr>
            <w:r>
              <w:rPr>
                <w:sz w:val="21"/>
                <w:color w:val="000000"/>
              </w:rPr>
              <w:t>3.</w:t>
            </w:r>
            <w:r>
              <w:rPr>
                <w:sz w:val="21"/>
                <w:color w:val="000000"/>
              </w:rPr>
              <w:t>温度：温度监测设备绝对误差不大于</w:t>
            </w:r>
            <w:r>
              <w:rPr>
                <w:sz w:val="21"/>
                <w:color w:val="000000"/>
              </w:rPr>
              <w:t>±3℃。</w:t>
            </w:r>
          </w:p>
          <w:p>
            <w:pPr>
              <w:pStyle w:val="null3"/>
              <w:jc w:val="left"/>
            </w:pPr>
            <w:r>
              <w:rPr>
                <w:sz w:val="21"/>
                <w:color w:val="000000"/>
              </w:rPr>
              <w:t>4.</w:t>
            </w:r>
            <w:r>
              <w:rPr>
                <w:sz w:val="21"/>
                <w:color w:val="000000"/>
              </w:rPr>
              <w:t>湿度：当湿度＞</w:t>
            </w:r>
            <w:r>
              <w:rPr>
                <w:sz w:val="21"/>
                <w:color w:val="000000"/>
              </w:rPr>
              <w:t>5.0%时，系统测量值与参比法测量结果平均值的相对误差不超过±25%；当湿度＜5.0%时，系统测量值与参比法测量结果平均值的相对误差不超过±15%。</w:t>
            </w:r>
          </w:p>
          <w:p>
            <w:pPr>
              <w:pStyle w:val="null3"/>
              <w:jc w:val="left"/>
            </w:pPr>
            <w:r>
              <w:rPr>
                <w:sz w:val="21"/>
                <w:color w:val="000000"/>
              </w:rPr>
              <w:t>5.</w:t>
            </w:r>
            <w:r>
              <w:rPr>
                <w:sz w:val="21"/>
                <w:color w:val="000000"/>
              </w:rPr>
              <w:t>压力：量程</w:t>
            </w:r>
            <w:r>
              <w:rPr>
                <w:sz w:val="21"/>
                <w:color w:val="000000"/>
              </w:rPr>
              <w:t>-10-0KPa，0-10KPa，精度等级0.5%F.S，防护等级IP54。</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摄像头</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监控治理设施的运行和运维情况</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w:t>
            </w:r>
            <w:r>
              <w:rPr>
                <w:sz w:val="21"/>
                <w:color w:val="000000"/>
              </w:rPr>
              <w:t>1.</w:t>
            </w:r>
            <w:r>
              <w:rPr>
                <w:sz w:val="21"/>
                <w:color w:val="000000"/>
              </w:rPr>
              <w:t>400万像素以上、现场有储存3个月容量的硬盘。</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采集传输设备</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网卡、网关等</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按照《污染物在线监控（监测）系统数据传输标准》（</w:t>
            </w:r>
            <w:r>
              <w:rPr>
                <w:sz w:val="21"/>
                <w:color w:val="000000"/>
              </w:rPr>
              <w:t>HJ212-2017）进行数据传输。</w:t>
            </w:r>
          </w:p>
          <w:p>
            <w:pPr>
              <w:pStyle w:val="null3"/>
              <w:jc w:val="both"/>
            </w:pPr>
            <w:r>
              <w:rPr>
                <w:sz w:val="21"/>
                <w:color w:val="000000"/>
              </w:rPr>
              <w:t>2.</w:t>
            </w:r>
            <w:r>
              <w:rPr>
                <w:sz w:val="21"/>
                <w:color w:val="000000"/>
              </w:rPr>
              <w:t>现场组网方式：有线或无线</w:t>
            </w:r>
          </w:p>
          <w:p>
            <w:pPr>
              <w:pStyle w:val="null3"/>
              <w:jc w:val="both"/>
            </w:pPr>
            <w:r>
              <w:rPr>
                <w:sz w:val="21"/>
                <w:color w:val="000000"/>
              </w:rPr>
              <w:t>▲</w:t>
            </w:r>
            <w:r>
              <w:rPr>
                <w:sz w:val="21"/>
                <w:color w:val="000000"/>
              </w:rPr>
              <w:t>3.</w:t>
            </w:r>
            <w:r>
              <w:rPr>
                <w:sz w:val="21"/>
                <w:color w:val="000000"/>
              </w:rPr>
              <w:t>现场无线组网传输距离：</w:t>
            </w:r>
            <w:r>
              <w:rPr>
                <w:sz w:val="21"/>
                <w:color w:val="000000"/>
              </w:rPr>
              <w:t>1000米（空旷环境）</w:t>
            </w:r>
          </w:p>
          <w:p>
            <w:pPr>
              <w:pStyle w:val="null3"/>
              <w:jc w:val="both"/>
            </w:pPr>
            <w:r>
              <w:rPr>
                <w:sz w:val="21"/>
                <w:color w:val="000000"/>
              </w:rPr>
              <w:t>4.</w:t>
            </w:r>
            <w:r>
              <w:rPr>
                <w:sz w:val="21"/>
                <w:color w:val="000000"/>
              </w:rPr>
              <w:t>上行传输方式：以太网、</w:t>
            </w:r>
            <w:r>
              <w:rPr>
                <w:sz w:val="21"/>
                <w:color w:val="000000"/>
              </w:rPr>
              <w:t>4G或5G全网通</w:t>
            </w:r>
          </w:p>
          <w:p>
            <w:pPr>
              <w:pStyle w:val="null3"/>
              <w:jc w:val="both"/>
            </w:pPr>
            <w:r>
              <w:rPr>
                <w:sz w:val="21"/>
                <w:color w:val="000000"/>
              </w:rPr>
              <w:t>5.</w:t>
            </w:r>
            <w:r>
              <w:rPr>
                <w:sz w:val="21"/>
                <w:color w:val="000000"/>
              </w:rPr>
              <w:t>下行传输方式：</w:t>
            </w:r>
            <w:r>
              <w:rPr>
                <w:sz w:val="21"/>
                <w:color w:val="000000"/>
              </w:rPr>
              <w:t>LoRa、RS485</w:t>
            </w:r>
          </w:p>
          <w:p>
            <w:pPr>
              <w:pStyle w:val="null3"/>
              <w:jc w:val="both"/>
            </w:pPr>
            <w:r>
              <w:rPr>
                <w:sz w:val="21"/>
                <w:color w:val="000000"/>
              </w:rPr>
              <w:t>6.</w:t>
            </w:r>
            <w:r>
              <w:rPr>
                <w:sz w:val="21"/>
                <w:color w:val="000000"/>
              </w:rPr>
              <w:t>接口类型：</w:t>
            </w:r>
            <w:r>
              <w:rPr>
                <w:sz w:val="21"/>
                <w:color w:val="000000"/>
              </w:rPr>
              <w:t>RJ45、5路RS485、8路4~20mA、8路遥信输入、继电器输出、USB、TF卡</w:t>
            </w:r>
          </w:p>
          <w:p>
            <w:pPr>
              <w:pStyle w:val="null3"/>
              <w:jc w:val="both"/>
            </w:pPr>
            <w:r>
              <w:rPr>
                <w:sz w:val="21"/>
                <w:color w:val="000000"/>
              </w:rPr>
              <w:t>7.</w:t>
            </w:r>
            <w:r>
              <w:rPr>
                <w:sz w:val="21"/>
                <w:color w:val="000000"/>
              </w:rPr>
              <w:t>显示：</w:t>
            </w:r>
            <w:r>
              <w:rPr>
                <w:sz w:val="21"/>
                <w:color w:val="000000"/>
              </w:rPr>
              <w:t>3寸以上彩色液晶显示</w:t>
            </w:r>
          </w:p>
          <w:p>
            <w:pPr>
              <w:pStyle w:val="null3"/>
              <w:jc w:val="both"/>
            </w:pPr>
            <w:r>
              <w:rPr>
                <w:sz w:val="21"/>
                <w:color w:val="000000"/>
              </w:rPr>
              <w:t>8.</w:t>
            </w:r>
            <w:r>
              <w:rPr>
                <w:sz w:val="21"/>
                <w:color w:val="000000"/>
              </w:rPr>
              <w:t>外壳：金属外壳</w:t>
            </w:r>
          </w:p>
          <w:p>
            <w:pPr>
              <w:pStyle w:val="null3"/>
              <w:jc w:val="both"/>
            </w:pPr>
            <w:r>
              <w:rPr>
                <w:sz w:val="21"/>
                <w:color w:val="000000"/>
              </w:rPr>
              <w:t>9.</w:t>
            </w:r>
            <w:r>
              <w:rPr>
                <w:sz w:val="21"/>
                <w:color w:val="000000"/>
              </w:rPr>
              <w:t>工作温度：</w:t>
            </w:r>
            <w:r>
              <w:rPr>
                <w:sz w:val="21"/>
                <w:color w:val="000000"/>
              </w:rPr>
              <w:t>-25℃~﹢80℃</w:t>
            </w:r>
          </w:p>
          <w:p>
            <w:pPr>
              <w:pStyle w:val="null3"/>
              <w:jc w:val="both"/>
            </w:pPr>
            <w:r>
              <w:rPr>
                <w:sz w:val="21"/>
                <w:color w:val="000000"/>
              </w:rPr>
              <w:t>10.</w:t>
            </w:r>
            <w:r>
              <w:rPr>
                <w:sz w:val="21"/>
                <w:color w:val="000000"/>
              </w:rPr>
              <w:t>本地计算：有</w:t>
            </w:r>
          </w:p>
          <w:p>
            <w:pPr>
              <w:pStyle w:val="null3"/>
              <w:jc w:val="both"/>
            </w:pPr>
            <w:r>
              <w:rPr>
                <w:sz w:val="21"/>
                <w:color w:val="000000"/>
              </w:rPr>
              <w:t>11.</w:t>
            </w:r>
            <w:r>
              <w:rPr>
                <w:sz w:val="21"/>
                <w:color w:val="000000"/>
              </w:rPr>
              <w:t>是否支持</w:t>
            </w:r>
            <w:r>
              <w:rPr>
                <w:sz w:val="21"/>
                <w:color w:val="000000"/>
              </w:rPr>
              <w:t>HJ212：支持</w:t>
            </w:r>
          </w:p>
          <w:p>
            <w:pPr>
              <w:pStyle w:val="null3"/>
              <w:jc w:val="both"/>
            </w:pPr>
            <w:r>
              <w:rPr>
                <w:sz w:val="21"/>
                <w:color w:val="000000"/>
              </w:rPr>
              <w:t>12.</w:t>
            </w:r>
            <w:r>
              <w:rPr>
                <w:sz w:val="21"/>
                <w:color w:val="000000"/>
              </w:rPr>
              <w:t>功能要求：</w:t>
            </w:r>
          </w:p>
          <w:p>
            <w:pPr>
              <w:pStyle w:val="null3"/>
              <w:jc w:val="both"/>
            </w:pPr>
            <w:r>
              <w:rPr>
                <w:sz w:val="21"/>
                <w:color w:val="000000"/>
              </w:rPr>
              <w:t>（</w:t>
            </w:r>
            <w:r>
              <w:rPr>
                <w:sz w:val="21"/>
                <w:color w:val="000000"/>
              </w:rPr>
              <w:t>1）收集并存储传感器的数据、智能设备运行监测终端的数据及事件记录和统计数据；</w:t>
            </w:r>
          </w:p>
          <w:p>
            <w:pPr>
              <w:pStyle w:val="null3"/>
              <w:jc w:val="both"/>
            </w:pPr>
            <w:r>
              <w:rPr>
                <w:sz w:val="21"/>
                <w:color w:val="000000"/>
              </w:rPr>
              <w:t>（</w:t>
            </w:r>
            <w:r>
              <w:rPr>
                <w:sz w:val="21"/>
                <w:color w:val="000000"/>
              </w:rPr>
              <w:t>2）上传数据到云端；</w:t>
            </w:r>
          </w:p>
          <w:p>
            <w:pPr>
              <w:pStyle w:val="null3"/>
              <w:jc w:val="both"/>
            </w:pPr>
            <w:r>
              <w:rPr>
                <w:sz w:val="21"/>
                <w:color w:val="000000"/>
              </w:rPr>
              <w:t>（</w:t>
            </w:r>
            <w:r>
              <w:rPr>
                <w:sz w:val="21"/>
                <w:color w:val="000000"/>
              </w:rPr>
              <w:t>3）能够接入智能设备运行监测终端及其它传感器；具有终端/传感器工况参数（电流、电压、功率、VOCs浓度、压差、温度等）统计功能，能提供设备/传感器的运行工况参数的统计曲线，曲线的冻结时间间隔可设置（最小1分钟）；</w:t>
            </w:r>
          </w:p>
          <w:p>
            <w:pPr>
              <w:pStyle w:val="null3"/>
              <w:jc w:val="both"/>
            </w:pPr>
            <w:r>
              <w:rPr>
                <w:sz w:val="21"/>
                <w:color w:val="000000"/>
              </w:rPr>
              <w:t>（</w:t>
            </w:r>
            <w:r>
              <w:rPr>
                <w:sz w:val="21"/>
                <w:color w:val="000000"/>
              </w:rPr>
              <w:t>4）如果通讯出现堵塞、故障，不影响现场终端的数据采集、存储、逻辑判断；当通讯恢复后，能主动上报通讯故障期间的所有信息；</w:t>
            </w:r>
          </w:p>
          <w:p>
            <w:pPr>
              <w:pStyle w:val="null3"/>
              <w:jc w:val="both"/>
            </w:pPr>
            <w:r>
              <w:rPr>
                <w:sz w:val="21"/>
                <w:color w:val="000000"/>
              </w:rPr>
              <w:t>（</w:t>
            </w:r>
            <w:r>
              <w:rPr>
                <w:sz w:val="21"/>
                <w:color w:val="000000"/>
              </w:rPr>
              <w:t>5）根据采集到的数据及信息判断环保设备是否正常运行，发生异常时记录及上报事件；</w:t>
            </w:r>
          </w:p>
          <w:p>
            <w:pPr>
              <w:pStyle w:val="null3"/>
              <w:jc w:val="both"/>
            </w:pPr>
            <w:r>
              <w:rPr>
                <w:sz w:val="21"/>
                <w:color w:val="000000"/>
              </w:rPr>
              <w:t>（</w:t>
            </w:r>
            <w:r>
              <w:rPr>
                <w:sz w:val="21"/>
                <w:color w:val="000000"/>
              </w:rPr>
              <w:t>6）具有远程升级功能。</w:t>
            </w:r>
          </w:p>
        </w:tc>
      </w:tr>
    </w:tbl>
    <w:p>
      <w:pPr>
        <w:pStyle w:val="null3"/>
        <w:ind w:firstLine="412"/>
        <w:jc w:val="both"/>
      </w:pPr>
      <w:r>
        <w:rPr>
          <w:sz w:val="21"/>
          <w:color w:val="000000"/>
          <w:shd w:fill="FFFFFF" w:val="clear"/>
        </w:rPr>
        <w:t>注：</w:t>
      </w:r>
    </w:p>
    <w:p>
      <w:pPr>
        <w:pStyle w:val="null3"/>
        <w:ind w:firstLine="412"/>
        <w:jc w:val="both"/>
      </w:pPr>
      <w:r>
        <w:rPr>
          <w:sz w:val="21"/>
          <w:color w:val="000000"/>
          <w:shd w:fill="FFFFFF" w:val="clear"/>
        </w:rPr>
        <w:t>(1)为了保证货物品质，以上物品同批次按最少2件最多2%的数量进行抽检送有资质的第三方检验，检验合格方可正式使用；如果检验不合格，中标供应商商负责将不合格品更换成合格品；</w:t>
      </w:r>
    </w:p>
    <w:p>
      <w:pPr>
        <w:pStyle w:val="null3"/>
        <w:ind w:firstLine="412"/>
        <w:jc w:val="both"/>
      </w:pPr>
      <w:r>
        <w:rPr>
          <w:sz w:val="21"/>
          <w:color w:val="000000"/>
          <w:shd w:fill="FFFFFF" w:val="clear"/>
        </w:rPr>
        <w:t>(2)设备运行和服务系统维护要求：需要定期对数据采集设备进行校准和维护，保障服务期间内数据采集的质量和持续性，在服务周期结束后，提供1年运维和质保服务。服务期满后，供应商不得拆除已安装的数据采集设备（设备已损坏，企业关停、搬迁等特殊情况除外），由设备所在的</w:t>
      </w:r>
      <w:r>
        <w:rPr>
          <w:sz w:val="22"/>
          <w:color w:val="000000"/>
        </w:rPr>
        <w:t>涉挥发性有机物典型</w:t>
      </w:r>
      <w:r>
        <w:rPr>
          <w:sz w:val="21"/>
          <w:color w:val="000000"/>
          <w:shd w:fill="FFFFFF" w:val="clear"/>
        </w:rPr>
        <w:t>企业自行按需求继续开展日常管理和运维。</w:t>
      </w:r>
    </w:p>
    <w:p>
      <w:pPr>
        <w:pStyle w:val="null3"/>
        <w:ind w:firstLine="442"/>
        <w:jc w:val="left"/>
      </w:pPr>
      <w:r>
        <w:rPr>
          <w:sz w:val="22"/>
          <w:b/>
          <w:color w:val="000000"/>
        </w:rPr>
        <w:t>2.环境监管监督等研判分析与服务。</w:t>
      </w:r>
      <w:r>
        <w:rPr>
          <w:sz w:val="22"/>
          <w:color w:val="000000"/>
        </w:rPr>
        <w:t>对于数据采集相关企业产生的预警，指导企业进行技术分析与整改，形成闭环管理。</w:t>
      </w:r>
    </w:p>
    <w:p>
      <w:pPr>
        <w:pStyle w:val="null3"/>
        <w:ind w:firstLine="442"/>
        <w:jc w:val="left"/>
      </w:pPr>
      <w:r>
        <w:rPr>
          <w:sz w:val="22"/>
          <w:b/>
          <w:color w:val="000000"/>
        </w:rPr>
        <w:t>3.编制分析日报、周报、月报和污染天气应急减排报告。</w:t>
      </w:r>
      <w:r>
        <w:rPr>
          <w:sz w:val="22"/>
          <w:color w:val="000000"/>
        </w:rPr>
        <w:t>综合利用物联网、大数据、监测数据智能分析模型，充分运用企业全过程在线监测数据、企业管理台账、工况数据、视频监控等信息，进行数据预警、报警、分析、研判；服务周期内提供年报</w:t>
      </w:r>
      <w:r>
        <w:rPr>
          <w:sz w:val="22"/>
          <w:color w:val="000000"/>
        </w:rPr>
        <w:t>1份，月报不少于12份，周报不少于48份（服务周期结束后，提供1年运维服务，运维期内报告产出频次按前期标准执行）；污染天气期间，编制应急减排报告，实现生态环境部门对企业</w:t>
      </w:r>
      <w:r>
        <w:rPr>
          <w:sz w:val="22"/>
          <w:color w:val="000000"/>
        </w:rPr>
        <w:t>挥发性有机物产生</w:t>
      </w:r>
      <w:r>
        <w:rPr>
          <w:sz w:val="22"/>
          <w:color w:val="000000"/>
        </w:rPr>
        <w:t>、治理和排污全过程的常态化和动态化监管。</w:t>
      </w:r>
    </w:p>
    <w:p>
      <w:pPr>
        <w:pStyle w:val="null3"/>
        <w:ind w:firstLine="442"/>
        <w:jc w:val="left"/>
      </w:pPr>
      <w:r>
        <w:rPr>
          <w:sz w:val="22"/>
          <w:b/>
          <w:color w:val="000000"/>
        </w:rPr>
        <w:t>4.数据采集。</w:t>
      </w:r>
      <w:r>
        <w:rPr>
          <w:sz w:val="22"/>
          <w:color w:val="000000"/>
        </w:rPr>
        <w:t>采集数据根据采购人要求进行梳理汇总，并根据工作需要和实际情况汇聚至采购人数据中心。</w:t>
      </w:r>
    </w:p>
    <w:p>
      <w:pPr>
        <w:pStyle w:val="null3"/>
        <w:ind w:firstLine="442"/>
        <w:jc w:val="left"/>
      </w:pPr>
      <w:r>
        <w:rPr>
          <w:sz w:val="22"/>
          <w:b/>
          <w:color w:val="000000"/>
        </w:rPr>
        <w:t>（二）走航与定点监测溯源服务</w:t>
      </w:r>
    </w:p>
    <w:p>
      <w:pPr>
        <w:pStyle w:val="null3"/>
        <w:ind w:firstLine="442"/>
        <w:jc w:val="left"/>
      </w:pPr>
      <w:r>
        <w:rPr>
          <w:sz w:val="22"/>
          <w:b/>
          <w:color w:val="000000"/>
        </w:rPr>
        <w:t>1.</w:t>
      </w:r>
      <w:r>
        <w:rPr>
          <w:sz w:val="22"/>
          <w:b/>
          <w:color w:val="000000"/>
        </w:rPr>
        <w:t>VOCs走航</w:t>
      </w:r>
      <w:r>
        <w:rPr>
          <w:sz w:val="22"/>
          <w:b/>
          <w:color w:val="000000"/>
        </w:rPr>
        <w:t>监测溯源服务</w:t>
      </w:r>
    </w:p>
    <w:p>
      <w:pPr>
        <w:pStyle w:val="null3"/>
        <w:ind w:firstLine="440"/>
        <w:jc w:val="left"/>
      </w:pPr>
      <w:r>
        <w:rPr>
          <w:sz w:val="22"/>
          <w:color w:val="000000"/>
        </w:rPr>
        <w:t>利用</w:t>
      </w:r>
      <w:r>
        <w:rPr>
          <w:sz w:val="22"/>
          <w:color w:val="000000"/>
        </w:rPr>
        <w:t>VOCs走航扫描溯源等设备，对于国控点周边和重点排放</w:t>
      </w:r>
      <w:r>
        <w:rPr>
          <w:sz w:val="22"/>
          <w:color w:val="000000"/>
        </w:rPr>
        <w:t>污染源</w:t>
      </w:r>
      <w:r>
        <w:rPr>
          <w:sz w:val="22"/>
          <w:color w:val="000000"/>
        </w:rPr>
        <w:t>聚集区域进行巡查，通过走航</w:t>
      </w:r>
      <w:r>
        <w:rPr>
          <w:sz w:val="22"/>
          <w:color w:val="000000"/>
        </w:rPr>
        <w:t>+定点监测模式，快速排查污染物时空分布变化规律，获得区域污染画像；对于高值点位，加强定点监测和绕厂监测，获得企业污染画像，掌握企业的排放特征和排放规律。同时通过走航监测可快速找出问题点位，对问题点位周边</w:t>
      </w:r>
      <w:r>
        <w:rPr>
          <w:sz w:val="22"/>
          <w:color w:val="000000"/>
        </w:rPr>
        <w:t>污染源</w:t>
      </w:r>
      <w:r>
        <w:rPr>
          <w:sz w:val="22"/>
          <w:color w:val="000000"/>
        </w:rPr>
        <w:t>进行网格化走航监测，通过对比上下风向监测结果和</w:t>
      </w:r>
      <w:r>
        <w:rPr>
          <w:sz w:val="22"/>
          <w:color w:val="000000"/>
        </w:rPr>
        <w:t>污染源</w:t>
      </w:r>
      <w:r>
        <w:rPr>
          <w:sz w:val="22"/>
          <w:color w:val="000000"/>
        </w:rPr>
        <w:t>排放清单锁定可疑</w:t>
      </w:r>
      <w:r>
        <w:rPr>
          <w:sz w:val="22"/>
          <w:color w:val="000000"/>
        </w:rPr>
        <w:t>污染源</w:t>
      </w:r>
      <w:r>
        <w:rPr>
          <w:sz w:val="22"/>
          <w:color w:val="000000"/>
        </w:rPr>
        <w:t>，提出精准管控措施，</w:t>
      </w:r>
      <w:r>
        <w:rPr>
          <w:sz w:val="22"/>
          <w:color w:val="000000"/>
        </w:rPr>
        <w:t>走航天数不少于</w:t>
      </w:r>
      <w:r>
        <w:rPr>
          <w:sz w:val="22"/>
          <w:color w:val="000000"/>
        </w:rPr>
        <w:t>70天。</w:t>
      </w:r>
      <w:r>
        <w:rPr>
          <w:sz w:val="22"/>
          <w:color w:val="000000"/>
        </w:rPr>
        <w:t>数据采集技术参数要求如下：</w:t>
      </w:r>
    </w:p>
    <w:p>
      <w:pPr>
        <w:pStyle w:val="null3"/>
        <w:ind w:firstLine="440"/>
        <w:jc w:val="center"/>
      </w:pPr>
      <w:r>
        <w:rPr>
          <w:sz w:val="22"/>
          <w:color w:val="000000"/>
        </w:rPr>
        <w:t>表</w:t>
      </w:r>
      <w:r>
        <w:rPr>
          <w:sz w:val="22"/>
          <w:color w:val="000000"/>
        </w:rPr>
        <w:t xml:space="preserve">2-2 </w:t>
      </w:r>
      <w:r>
        <w:rPr>
          <w:sz w:val="21"/>
          <w:color w:val="000000"/>
          <w:shd w:fill="FFFFFF" w:val="clear"/>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745"/>
        <w:gridCol w:w="1251"/>
        <w:gridCol w:w="1251"/>
        <w:gridCol w:w="5018"/>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检测仪器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挥发性有机物在线走航监测质谱仪</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质量检测范围：</w:t>
            </w:r>
            <w:r>
              <w:rPr>
                <w:sz w:val="21"/>
                <w:color w:val="000000"/>
              </w:rPr>
              <w:t>1~900amu</w:t>
            </w:r>
          </w:p>
          <w:p>
            <w:pPr>
              <w:pStyle w:val="null3"/>
              <w:jc w:val="left"/>
            </w:pPr>
            <w:r>
              <w:rPr>
                <w:sz w:val="21"/>
                <w:color w:val="000000"/>
              </w:rPr>
              <w:t>▲</w:t>
            </w:r>
            <w:r>
              <w:rPr>
                <w:sz w:val="21"/>
                <w:color w:val="000000"/>
              </w:rPr>
              <w:t>2.</w:t>
            </w:r>
            <w:r>
              <w:rPr>
                <w:sz w:val="21"/>
                <w:color w:val="000000"/>
              </w:rPr>
              <w:t>质量分辨率：</w:t>
            </w:r>
            <w:r>
              <w:rPr>
                <w:sz w:val="21"/>
                <w:color w:val="000000"/>
              </w:rPr>
              <w:t>≥900FWHM</w:t>
            </w:r>
          </w:p>
          <w:p>
            <w:pPr>
              <w:pStyle w:val="null3"/>
              <w:jc w:val="left"/>
            </w:pPr>
            <w:r>
              <w:rPr>
                <w:sz w:val="21"/>
                <w:color w:val="000000"/>
              </w:rPr>
              <w:t>▲</w:t>
            </w:r>
            <w:r>
              <w:rPr>
                <w:sz w:val="21"/>
                <w:color w:val="000000"/>
              </w:rPr>
              <w:t>3.</w:t>
            </w:r>
            <w:r>
              <w:rPr>
                <w:sz w:val="21"/>
                <w:color w:val="000000"/>
              </w:rPr>
              <w:t>检测限：优于</w:t>
            </w:r>
            <w:r>
              <w:rPr>
                <w:sz w:val="21"/>
                <w:color w:val="000000"/>
              </w:rPr>
              <w:t>0.</w:t>
            </w:r>
            <w:r>
              <w:rPr>
                <w:sz w:val="21"/>
                <w:color w:val="000000"/>
              </w:rPr>
              <w:t>1ppb（甲苯）</w:t>
            </w:r>
          </w:p>
          <w:p>
            <w:pPr>
              <w:pStyle w:val="null3"/>
              <w:jc w:val="left"/>
            </w:pPr>
            <w:r>
              <w:rPr>
                <w:sz w:val="21"/>
                <w:color w:val="000000"/>
              </w:rPr>
              <w:t>4.</w:t>
            </w:r>
            <w:r>
              <w:rPr>
                <w:sz w:val="21"/>
                <w:color w:val="000000"/>
              </w:rPr>
              <w:t>分析时间：</w:t>
            </w:r>
            <w:r>
              <w:rPr>
                <w:sz w:val="21"/>
                <w:color w:val="000000"/>
              </w:rPr>
              <w:t>40μs内完成1~600amu全谱检测</w:t>
            </w:r>
          </w:p>
          <w:p>
            <w:pPr>
              <w:pStyle w:val="null3"/>
              <w:jc w:val="left"/>
            </w:pPr>
            <w:r>
              <w:rPr>
                <w:sz w:val="21"/>
                <w:color w:val="000000"/>
              </w:rPr>
              <w:t>▲</w:t>
            </w:r>
            <w:r>
              <w:rPr>
                <w:sz w:val="21"/>
                <w:color w:val="000000"/>
              </w:rPr>
              <w:t>5.</w:t>
            </w:r>
            <w:r>
              <w:rPr>
                <w:sz w:val="22"/>
                <w:color w:val="000000"/>
              </w:rPr>
              <w:t>仪器可</w:t>
            </w:r>
            <w:r>
              <w:rPr>
                <w:sz w:val="22"/>
                <w:color w:val="000000"/>
              </w:rPr>
              <w:t>实测监测因子包含苯、甲苯在内的不少于</w:t>
            </w:r>
            <w:r>
              <w:rPr>
                <w:sz w:val="22"/>
                <w:color w:val="000000"/>
              </w:rPr>
              <w:t>50种VOCs组分（提供第三方检测机构出具的检测报告）</w:t>
            </w:r>
          </w:p>
        </w:tc>
      </w:tr>
    </w:tbl>
    <w:p>
      <w:pPr>
        <w:pStyle w:val="null3"/>
        <w:ind w:firstLine="412"/>
        <w:jc w:val="left"/>
      </w:pPr>
      <w:r>
        <w:rPr>
          <w:sz w:val="21"/>
          <w:color w:val="000000"/>
          <w:shd w:fill="FFFFFF" w:val="clear"/>
        </w:rPr>
        <w:t>注：</w:t>
      </w:r>
      <w:r>
        <w:rPr>
          <w:sz w:val="22"/>
          <w:color w:val="000000"/>
        </w:rPr>
        <w:t>（</w:t>
      </w:r>
      <w:r>
        <w:rPr>
          <w:sz w:val="22"/>
          <w:color w:val="000000"/>
        </w:rPr>
        <w:t>1</w:t>
      </w:r>
      <w:r>
        <w:rPr>
          <w:sz w:val="22"/>
          <w:color w:val="000000"/>
        </w:rPr>
        <w:t>）</w:t>
      </w:r>
      <w:r>
        <w:rPr>
          <w:sz w:val="22"/>
          <w:color w:val="000000"/>
        </w:rPr>
        <w:t>供应商用于服务的仪器设备可以进行单组份走航，绘制单组份走航图，不同组分颜色可自定义编辑；</w:t>
      </w:r>
    </w:p>
    <w:p>
      <w:pPr>
        <w:pStyle w:val="null3"/>
        <w:ind w:firstLine="880"/>
        <w:jc w:val="left"/>
      </w:pPr>
      <w:r>
        <w:rPr>
          <w:sz w:val="22"/>
          <w:color w:val="000000"/>
        </w:rPr>
        <w:t>（</w:t>
      </w:r>
      <w:r>
        <w:rPr>
          <w:sz w:val="22"/>
          <w:color w:val="000000"/>
        </w:rPr>
        <w:t>2</w:t>
      </w:r>
      <w:r>
        <w:rPr>
          <w:sz w:val="22"/>
          <w:color w:val="000000"/>
        </w:rPr>
        <w:t>）</w:t>
      </w:r>
      <w:r>
        <w:rPr>
          <w:sz w:val="22"/>
          <w:color w:val="000000"/>
        </w:rPr>
        <w:t>供应商用于服务的仪器设备须可搭载在监测车上，满足可对</w:t>
      </w:r>
      <w:r>
        <w:rPr>
          <w:sz w:val="22"/>
          <w:color w:val="000000"/>
        </w:rPr>
        <w:t>VOCs实时在线走航监测，实现∑VOCs及单组分浓度3D-GIS可视化功能，可以给出走航路线上任意点位的∑VOCs及主要物种的浓度。</w:t>
      </w:r>
    </w:p>
    <w:p>
      <w:pPr>
        <w:pStyle w:val="null3"/>
        <w:ind w:firstLine="442"/>
        <w:jc w:val="left"/>
      </w:pPr>
      <w:r>
        <w:rPr>
          <w:sz w:val="22"/>
          <w:b/>
          <w:color w:val="000000"/>
        </w:rPr>
        <w:t>数据采集。</w:t>
      </w:r>
      <w:r>
        <w:rPr>
          <w:sz w:val="22"/>
          <w:color w:val="000000"/>
        </w:rPr>
        <w:t>走航监测车辆具备定位功能，并</w:t>
      </w:r>
      <w:r>
        <w:rPr>
          <w:sz w:val="22"/>
          <w:color w:val="000000"/>
        </w:rPr>
        <w:t>可</w:t>
      </w:r>
      <w:r>
        <w:rPr>
          <w:sz w:val="22"/>
          <w:color w:val="000000"/>
        </w:rPr>
        <w:t>根据工作需要和实际情况汇聚至采购人数据中心。</w:t>
      </w:r>
    </w:p>
    <w:p>
      <w:pPr>
        <w:pStyle w:val="null3"/>
        <w:ind w:firstLine="442"/>
        <w:jc w:val="left"/>
      </w:pPr>
      <w:r>
        <w:rPr>
          <w:sz w:val="22"/>
          <w:b/>
          <w:color w:val="000000"/>
        </w:rPr>
        <w:t>2.道路积尘负荷走航</w:t>
      </w:r>
    </w:p>
    <w:p>
      <w:pPr>
        <w:pStyle w:val="null3"/>
        <w:ind w:firstLine="440"/>
        <w:jc w:val="left"/>
      </w:pPr>
      <w:r>
        <w:rPr>
          <w:sz w:val="22"/>
          <w:color w:val="000000"/>
        </w:rPr>
        <w:t>服务期内每月对广州市主干道路、重点污染源周边道路开展走航监测工作，对道路进行考核评估，每月走航不少于</w:t>
      </w:r>
      <w:r>
        <w:rPr>
          <w:sz w:val="22"/>
          <w:color w:val="000000"/>
        </w:rPr>
        <w:t>4次（</w:t>
      </w:r>
      <w:r>
        <w:rPr>
          <w:sz w:val="22"/>
          <w:color w:val="000000"/>
        </w:rPr>
        <w:t>可</w:t>
      </w:r>
      <w:r>
        <w:rPr>
          <w:sz w:val="22"/>
          <w:color w:val="000000"/>
        </w:rPr>
        <w:t>根据天气情况调整</w:t>
      </w:r>
      <w:r>
        <w:rPr>
          <w:sz w:val="22"/>
          <w:color w:val="000000"/>
        </w:rPr>
        <w:t>），快速测算各类型道路积尘负荷值，绘制道路扬尘污染地图，清晰展示区域内道路扬尘污染情况。监测区域以广州市重点区域为主，覆盖管控点周边3公里的主要道路，以及施工工地周边道路。根据监测数据与道路周边建筑、拆迁工地等排放源的相关性分析，梳理洒水/雾炮作业方式、频次，优化洒水方案，为开展降尘、固尘工作提供数据支撑。通过走航数据，精准把脉扬尘污染问题根源，提出针对性控制措施，减少扬尘排放。服务期内，</w:t>
      </w:r>
      <w:r>
        <w:rPr>
          <w:sz w:val="22"/>
          <w:color w:val="000000"/>
        </w:rPr>
        <w:t>走航天数不少于</w:t>
      </w:r>
      <w:r>
        <w:rPr>
          <w:sz w:val="22"/>
          <w:color w:val="000000"/>
        </w:rPr>
        <w:t>48天</w:t>
      </w:r>
      <w:r>
        <w:rPr>
          <w:sz w:val="22"/>
          <w:color w:val="000000"/>
        </w:rPr>
        <w:t>。数据采集技术参数要求如下：</w:t>
      </w:r>
    </w:p>
    <w:p>
      <w:pPr>
        <w:pStyle w:val="null3"/>
        <w:spacing w:after="120"/>
        <w:jc w:val="center"/>
      </w:pPr>
      <w:r>
        <w:rPr>
          <w:sz w:val="21"/>
          <w:color w:val="000000"/>
          <w:shd w:fill="FFFFFF" w:val="clear"/>
        </w:rPr>
        <w:t>表</w:t>
      </w:r>
      <w:r>
        <w:rPr>
          <w:sz w:val="21"/>
          <w:color w:val="000000"/>
          <w:shd w:fill="FFFFFF" w:val="clear"/>
        </w:rPr>
        <w:t>2-3</w:t>
      </w:r>
      <w:r>
        <w:rPr>
          <w:sz w:val="21"/>
          <w:color w:val="000000"/>
          <w:shd w:fill="FFFFFF" w:val="clear"/>
        </w:rPr>
        <w:t xml:space="preserve"> </w:t>
      </w:r>
      <w:r>
        <w:rPr>
          <w:sz w:val="21"/>
          <w:color w:val="000000"/>
          <w:shd w:fill="FFFFFF" w:val="clear"/>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745"/>
        <w:gridCol w:w="1251"/>
        <w:gridCol w:w="1251"/>
        <w:gridCol w:w="5018"/>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检测仪器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道路尘负荷车载移动监测</w:t>
            </w:r>
            <w:r>
              <w:rPr>
                <w:sz w:val="21"/>
                <w:color w:val="000000"/>
              </w:rPr>
              <w:t>设备</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设备内含备用电池，支持外部供电断电后系统连续工作</w:t>
            </w:r>
            <w:r>
              <w:rPr>
                <w:sz w:val="21"/>
              </w:rPr>
              <w:t>6</w:t>
            </w:r>
            <w:r>
              <w:rPr>
                <w:sz w:val="21"/>
              </w:rPr>
              <w:t>小时以上。</w:t>
            </w:r>
          </w:p>
          <w:p>
            <w:pPr>
              <w:pStyle w:val="null3"/>
              <w:jc w:val="left"/>
            </w:pPr>
            <w:r>
              <w:rPr>
                <w:sz w:val="22"/>
                <w:color w:val="000000"/>
              </w:rPr>
              <w:t>▲</w:t>
            </w:r>
            <w:r>
              <w:rPr>
                <w:sz w:val="21"/>
              </w:rPr>
              <w:t>2.</w:t>
            </w:r>
            <w:r>
              <w:rPr>
                <w:sz w:val="21"/>
              </w:rPr>
              <w:t>监测浓度范围</w:t>
            </w:r>
            <w:r>
              <w:rPr>
                <w:sz w:val="21"/>
              </w:rPr>
              <w:t>0~20000</w:t>
            </w:r>
            <w:r>
              <w:rPr>
                <w:sz w:val="21"/>
              </w:rPr>
              <w:t>微克</w:t>
            </w:r>
            <w:r>
              <w:rPr>
                <w:sz w:val="21"/>
              </w:rPr>
              <w:t>/</w:t>
            </w:r>
            <w:r>
              <w:rPr>
                <w:sz w:val="21"/>
              </w:rPr>
              <w:t>立方米。</w:t>
            </w:r>
          </w:p>
          <w:p>
            <w:pPr>
              <w:pStyle w:val="null3"/>
              <w:jc w:val="left"/>
            </w:pPr>
            <w:r>
              <w:rPr>
                <w:sz w:val="22"/>
                <w:color w:val="000000"/>
              </w:rPr>
              <w:t>▲</w:t>
            </w:r>
            <w:r>
              <w:rPr>
                <w:sz w:val="21"/>
              </w:rPr>
              <w:t>3.</w:t>
            </w:r>
            <w:r>
              <w:rPr>
                <w:sz w:val="21"/>
              </w:rPr>
              <w:t>颗粒物监测单元检出限≤</w:t>
            </w:r>
            <w:r>
              <w:rPr>
                <w:sz w:val="21"/>
              </w:rPr>
              <w:t>2</w:t>
            </w:r>
            <w:r>
              <w:rPr>
                <w:sz w:val="21"/>
              </w:rPr>
              <w:t>微克</w:t>
            </w:r>
            <w:r>
              <w:rPr>
                <w:sz w:val="21"/>
              </w:rPr>
              <w:t>/</w:t>
            </w:r>
            <w:r>
              <w:rPr>
                <w:sz w:val="21"/>
              </w:rPr>
              <w:t>立方米。</w:t>
            </w:r>
          </w:p>
          <w:p>
            <w:pPr>
              <w:pStyle w:val="null3"/>
              <w:jc w:val="left"/>
            </w:pPr>
            <w:r>
              <w:rPr>
                <w:sz w:val="22"/>
                <w:color w:val="000000"/>
              </w:rPr>
              <w:t>▲</w:t>
            </w:r>
            <w:r>
              <w:rPr>
                <w:sz w:val="21"/>
              </w:rPr>
              <w:t>4.</w:t>
            </w:r>
            <w:r>
              <w:rPr>
                <w:sz w:val="22"/>
                <w:color w:val="000000"/>
              </w:rPr>
              <w:t>产品配置数据处理软</w:t>
            </w:r>
            <w:r>
              <w:rPr>
                <w:sz w:val="22"/>
                <w:color w:val="000000"/>
              </w:rPr>
              <w:t>件</w:t>
            </w:r>
            <w:r>
              <w:rPr>
                <w:sz w:val="22"/>
                <w:color w:val="000000"/>
              </w:rPr>
              <w:t>（提供道路积尘负荷相关软件著作权证书扫描件加盖公章）</w:t>
            </w:r>
          </w:p>
        </w:tc>
      </w:tr>
    </w:tbl>
    <w:p>
      <w:pPr>
        <w:pStyle w:val="null3"/>
        <w:ind w:firstLine="442"/>
        <w:jc w:val="left"/>
      </w:pPr>
      <w:r>
        <w:rPr>
          <w:sz w:val="22"/>
          <w:b/>
          <w:color w:val="000000"/>
        </w:rPr>
        <w:t>数据采集。</w:t>
      </w:r>
      <w:r>
        <w:rPr>
          <w:sz w:val="22"/>
          <w:color w:val="000000"/>
        </w:rPr>
        <w:t>可</w:t>
      </w:r>
      <w:r>
        <w:rPr>
          <w:sz w:val="22"/>
          <w:color w:val="000000"/>
        </w:rPr>
        <w:t>根据工作需要和实际情况汇聚至采购人数据中心。</w:t>
      </w:r>
    </w:p>
    <w:p>
      <w:pPr>
        <w:pStyle w:val="null3"/>
        <w:ind w:firstLine="440"/>
        <w:jc w:val="left"/>
      </w:pPr>
      <w:r>
        <w:rPr>
          <w:sz w:val="22"/>
          <w:b/>
          <w:color w:val="000000"/>
        </w:rPr>
        <w:t>3.无人机与灵嗅飞航</w:t>
      </w:r>
    </w:p>
    <w:p>
      <w:pPr>
        <w:pStyle w:val="null3"/>
        <w:ind w:firstLine="440"/>
        <w:jc w:val="both"/>
      </w:pPr>
      <w:r>
        <w:rPr>
          <w:sz w:val="22"/>
          <w:color w:val="000000"/>
        </w:rPr>
        <w:t>借助无人机</w:t>
      </w:r>
      <w:r>
        <w:rPr>
          <w:sz w:val="22"/>
          <w:color w:val="000000"/>
        </w:rPr>
        <w:t>或</w:t>
      </w:r>
      <w:r>
        <w:rPr>
          <w:sz w:val="22"/>
          <w:color w:val="000000"/>
        </w:rPr>
        <w:t>走航</w:t>
      </w:r>
      <w:r>
        <w:rPr>
          <w:sz w:val="22"/>
          <w:color w:val="000000"/>
        </w:rPr>
        <w:t>车搭载</w:t>
      </w:r>
      <w:r>
        <w:rPr>
          <w:sz w:val="22"/>
          <w:color w:val="000000"/>
        </w:rPr>
        <w:t>灵嗅设备开展监测溯源工作，</w:t>
      </w:r>
      <w:r>
        <w:rPr>
          <w:sz w:val="22"/>
          <w:color w:val="000000"/>
        </w:rPr>
        <w:t>快速测定地面污染物浓度分布，服务期内，监测天数不少于</w:t>
      </w:r>
      <w:r>
        <w:rPr>
          <w:sz w:val="22"/>
          <w:color w:val="000000"/>
        </w:rPr>
        <w:t>48天。对城市工业园区、施工工地等重点监测区域进行大范围监测</w:t>
      </w:r>
      <w:r>
        <w:rPr>
          <w:sz w:val="22"/>
          <w:color w:val="000000"/>
        </w:rPr>
        <w:t>，</w:t>
      </w:r>
      <w:r>
        <w:rPr>
          <w:sz w:val="22"/>
          <w:color w:val="000000"/>
        </w:rPr>
        <w:t>边飞（驶）边测，实时分析，</w:t>
      </w:r>
      <w:r>
        <w:rPr>
          <w:sz w:val="22"/>
          <w:color w:val="000000"/>
        </w:rPr>
        <w:t>发现区域内的污染物高值区域和分布特征，</w:t>
      </w:r>
      <w:r>
        <w:rPr>
          <w:sz w:val="22"/>
          <w:color w:val="000000"/>
        </w:rPr>
        <w:t>实现对低空间小范围的精细化监测，最终呈现区域内的污染源来源和扩散形式。灵嗅设备</w:t>
      </w:r>
      <w:r>
        <w:rPr>
          <w:sz w:val="22"/>
          <w:color w:val="000000"/>
        </w:rPr>
        <w:t>监测</w:t>
      </w:r>
      <w:r>
        <w:rPr>
          <w:sz w:val="22"/>
          <w:color w:val="000000"/>
        </w:rPr>
        <w:t>常规六参监测，包括</w:t>
      </w:r>
      <w:r>
        <w:rPr>
          <w:sz w:val="22"/>
          <w:color w:val="000000"/>
        </w:rPr>
        <w:t>PM</w:t>
      </w:r>
      <w:r>
        <w:rPr>
          <w:sz w:val="22"/>
          <w:color w:val="000000"/>
          <w:vertAlign w:val="subscript"/>
        </w:rPr>
        <w:t>2.5</w:t>
      </w:r>
      <w:r>
        <w:rPr>
          <w:sz w:val="22"/>
          <w:color w:val="000000"/>
        </w:rPr>
        <w:t>、</w:t>
      </w:r>
      <w:r>
        <w:rPr>
          <w:sz w:val="22"/>
          <w:color w:val="000000"/>
        </w:rPr>
        <w:t>PM</w:t>
      </w:r>
      <w:r>
        <w:rPr>
          <w:sz w:val="22"/>
          <w:color w:val="000000"/>
          <w:vertAlign w:val="subscript"/>
        </w:rPr>
        <w:t>10</w:t>
      </w:r>
      <w:r>
        <w:rPr>
          <w:sz w:val="22"/>
          <w:color w:val="000000"/>
        </w:rPr>
        <w:t>、</w:t>
      </w:r>
      <w:r>
        <w:rPr>
          <w:sz w:val="22"/>
          <w:color w:val="000000"/>
        </w:rPr>
        <w:t>O</w:t>
      </w:r>
      <w:r>
        <w:rPr>
          <w:sz w:val="22"/>
          <w:color w:val="000000"/>
          <w:vertAlign w:val="subscript"/>
        </w:rPr>
        <w:t>3</w:t>
      </w:r>
      <w:r>
        <w:rPr>
          <w:sz w:val="22"/>
          <w:color w:val="000000"/>
        </w:rPr>
        <w:t>、</w:t>
      </w:r>
      <w:r>
        <w:rPr>
          <w:sz w:val="22"/>
          <w:color w:val="000000"/>
        </w:rPr>
        <w:t>NO</w:t>
      </w:r>
      <w:r>
        <w:rPr>
          <w:sz w:val="22"/>
          <w:color w:val="000000"/>
          <w:vertAlign w:val="subscript"/>
        </w:rPr>
        <w:t>2</w:t>
      </w:r>
      <w:r>
        <w:rPr>
          <w:sz w:val="22"/>
          <w:color w:val="000000"/>
        </w:rPr>
        <w:t>、</w:t>
      </w:r>
      <w:r>
        <w:rPr>
          <w:sz w:val="22"/>
          <w:color w:val="000000"/>
        </w:rPr>
        <w:t>CO、SO</w:t>
      </w:r>
      <w:r>
        <w:rPr>
          <w:sz w:val="22"/>
          <w:color w:val="000000"/>
          <w:vertAlign w:val="subscript"/>
        </w:rPr>
        <w:t>2</w:t>
      </w:r>
      <w:r>
        <w:rPr>
          <w:sz w:val="22"/>
          <w:color w:val="000000"/>
        </w:rPr>
        <w:t>和</w:t>
      </w:r>
      <w:r>
        <w:rPr>
          <w:sz w:val="22"/>
          <w:color w:val="000000"/>
        </w:rPr>
        <w:t>挥发性有机物等</w:t>
      </w:r>
      <w:r>
        <w:rPr>
          <w:sz w:val="22"/>
          <w:color w:val="000000"/>
        </w:rPr>
        <w:t>污染物浓度，实现污染物浓度秒级监测</w:t>
      </w:r>
      <w:r>
        <w:rPr>
          <w:sz w:val="22"/>
          <w:color w:val="000000"/>
        </w:rPr>
        <w:t>和</w:t>
      </w:r>
      <w:r>
        <w:rPr>
          <w:sz w:val="22"/>
          <w:color w:val="000000"/>
        </w:rPr>
        <w:t>实时查看浓度水平</w:t>
      </w:r>
      <w:r>
        <w:rPr>
          <w:sz w:val="22"/>
          <w:color w:val="000000"/>
        </w:rPr>
        <w:t>及</w:t>
      </w:r>
      <w:r>
        <w:rPr>
          <w:sz w:val="22"/>
          <w:color w:val="000000"/>
        </w:rPr>
        <w:t>垂直变化。数据采集技术参数要求如下：</w:t>
      </w:r>
    </w:p>
    <w:p>
      <w:pPr>
        <w:pStyle w:val="null3"/>
        <w:spacing w:after="120"/>
        <w:jc w:val="center"/>
      </w:pPr>
      <w:r>
        <w:rPr>
          <w:sz w:val="21"/>
          <w:color w:val="000000"/>
          <w:shd w:fill="FFFFFF" w:val="clear"/>
        </w:rPr>
        <w:t>表</w:t>
      </w:r>
      <w:r>
        <w:rPr>
          <w:sz w:val="21"/>
          <w:color w:val="000000"/>
          <w:shd w:fill="FFFFFF" w:val="clear"/>
        </w:rPr>
        <w:t>2-4</w:t>
      </w:r>
      <w:r>
        <w:rPr>
          <w:sz w:val="21"/>
          <w:color w:val="000000"/>
          <w:shd w:fill="FFFFFF" w:val="clear"/>
        </w:rPr>
        <w:t xml:space="preserve"> </w:t>
      </w:r>
      <w:r>
        <w:rPr>
          <w:sz w:val="21"/>
          <w:color w:val="000000"/>
          <w:shd w:fill="FFFFFF" w:val="clear"/>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745"/>
        <w:gridCol w:w="1251"/>
        <w:gridCol w:w="1251"/>
        <w:gridCol w:w="5018"/>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监测仪器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多气体移动监测设备</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w:t>
            </w:r>
            <w:r>
              <w:rPr>
                <w:sz w:val="21"/>
              </w:rPr>
              <w:t>1.</w:t>
            </w:r>
            <w:r>
              <w:rPr>
                <w:sz w:val="21"/>
              </w:rPr>
              <w:t>检测项目：一套气体检测仪</w:t>
            </w:r>
            <w:r>
              <w:rPr>
                <w:sz w:val="21"/>
              </w:rPr>
              <w:t>应</w:t>
            </w:r>
            <w:r>
              <w:rPr>
                <w:sz w:val="21"/>
              </w:rPr>
              <w:t>支持同时检测</w:t>
            </w:r>
            <w:r>
              <w:rPr>
                <w:sz w:val="21"/>
              </w:rPr>
              <w:t>6</w:t>
            </w:r>
            <w:r>
              <w:rPr>
                <w:sz w:val="21"/>
              </w:rPr>
              <w:t>种不同污染物（不包含温湿度传感器），检测项目包含但不限于</w:t>
            </w:r>
            <w:r>
              <w:rPr>
                <w:sz w:val="21"/>
              </w:rPr>
              <w:t>PM</w:t>
            </w:r>
            <w:r>
              <w:rPr>
                <w:sz w:val="21"/>
                <w:vertAlign w:val="subscript"/>
              </w:rPr>
              <w:t>2.5</w:t>
            </w:r>
            <w:r>
              <w:rPr>
                <w:sz w:val="21"/>
              </w:rPr>
              <w:t>、</w:t>
            </w:r>
            <w:r>
              <w:rPr>
                <w:sz w:val="21"/>
              </w:rPr>
              <w:t>PM</w:t>
            </w:r>
            <w:r>
              <w:rPr>
                <w:sz w:val="21"/>
                <w:vertAlign w:val="subscript"/>
              </w:rPr>
              <w:t>10</w:t>
            </w:r>
            <w:r>
              <w:rPr>
                <w:sz w:val="21"/>
              </w:rPr>
              <w:t>、</w:t>
            </w:r>
            <w:r>
              <w:rPr>
                <w:sz w:val="21"/>
              </w:rPr>
              <w:t>O</w:t>
            </w:r>
            <w:r>
              <w:rPr>
                <w:sz w:val="21"/>
                <w:vertAlign w:val="subscript"/>
              </w:rPr>
              <w:t>3</w:t>
            </w:r>
            <w:r>
              <w:rPr>
                <w:sz w:val="21"/>
              </w:rPr>
              <w:t>、</w:t>
            </w:r>
            <w:r>
              <w:rPr>
                <w:sz w:val="21"/>
              </w:rPr>
              <w:t>NO</w:t>
            </w:r>
            <w:r>
              <w:rPr>
                <w:sz w:val="21"/>
                <w:vertAlign w:val="subscript"/>
              </w:rPr>
              <w:t>2</w:t>
            </w:r>
            <w:r>
              <w:rPr>
                <w:sz w:val="21"/>
              </w:rPr>
              <w:t>、</w:t>
            </w:r>
            <w:r>
              <w:rPr>
                <w:sz w:val="21"/>
              </w:rPr>
              <w:t>CO</w:t>
            </w:r>
            <w:r>
              <w:rPr>
                <w:sz w:val="21"/>
              </w:rPr>
              <w:t>、</w:t>
            </w:r>
            <w:r>
              <w:rPr>
                <w:sz w:val="21"/>
              </w:rPr>
              <w:t>SO</w:t>
            </w:r>
            <w:r>
              <w:rPr>
                <w:sz w:val="21"/>
                <w:vertAlign w:val="subscript"/>
              </w:rPr>
              <w:t>2</w:t>
            </w:r>
            <w:r>
              <w:rPr>
                <w:sz w:val="21"/>
              </w:rPr>
              <w:t>和</w:t>
            </w:r>
            <w:r>
              <w:rPr>
                <w:sz w:val="22"/>
                <w:color w:val="000000"/>
              </w:rPr>
              <w:t>挥发性有机物</w:t>
            </w:r>
            <w:r>
              <w:rPr>
                <w:sz w:val="21"/>
              </w:rPr>
              <w:t>等多种</w:t>
            </w:r>
            <w:r>
              <w:rPr>
                <w:sz w:val="21"/>
              </w:rPr>
              <w:t>污染物</w:t>
            </w:r>
            <w:r>
              <w:rPr>
                <w:sz w:val="21"/>
              </w:rPr>
              <w:t>，并能同步显示温度、湿度。</w:t>
            </w:r>
          </w:p>
          <w:p>
            <w:pPr>
              <w:pStyle w:val="null3"/>
              <w:jc w:val="left"/>
            </w:pPr>
            <w:r>
              <w:rPr>
                <w:sz w:val="21"/>
              </w:rPr>
              <w:t>2.</w:t>
            </w:r>
            <w:r>
              <w:rPr>
                <w:sz w:val="21"/>
              </w:rPr>
              <w:t>应具备软件端网格内可展示平均值、最大值、最小值等多个指标，增强对比和综合判断能力。</w:t>
            </w:r>
          </w:p>
          <w:p>
            <w:pPr>
              <w:pStyle w:val="null3"/>
              <w:jc w:val="left"/>
            </w:pPr>
            <w:r>
              <w:rPr>
                <w:sz w:val="21"/>
              </w:rPr>
              <w:t>3.</w:t>
            </w:r>
            <w:r>
              <w:rPr>
                <w:sz w:val="21"/>
              </w:rPr>
              <w:t>支持动态</w:t>
            </w:r>
            <w:r>
              <w:rPr>
                <w:sz w:val="21"/>
              </w:rPr>
              <w:t>调</w:t>
            </w:r>
            <w:r>
              <w:rPr>
                <w:sz w:val="21"/>
              </w:rPr>
              <w:t>网格单元大小，自由切换空间分辨率。</w:t>
            </w:r>
          </w:p>
        </w:tc>
      </w:tr>
    </w:tbl>
    <w:p>
      <w:pPr>
        <w:pStyle w:val="null3"/>
        <w:ind w:firstLine="442"/>
        <w:jc w:val="both"/>
      </w:pPr>
      <w:r>
        <w:rPr>
          <w:sz w:val="22"/>
          <w:b/>
          <w:color w:val="000000"/>
        </w:rPr>
        <w:t>数据采集。</w:t>
      </w:r>
      <w:r>
        <w:rPr>
          <w:sz w:val="22"/>
          <w:color w:val="000000"/>
        </w:rPr>
        <w:t>可</w:t>
      </w:r>
      <w:r>
        <w:rPr>
          <w:sz w:val="22"/>
          <w:color w:val="000000"/>
        </w:rPr>
        <w:t>根据工作需要和实际情况汇聚至采购人数据中心。</w:t>
      </w:r>
    </w:p>
    <w:p>
      <w:pPr>
        <w:pStyle w:val="null3"/>
        <w:ind w:firstLine="442"/>
        <w:jc w:val="left"/>
      </w:pPr>
      <w:r>
        <w:rPr>
          <w:sz w:val="22"/>
          <w:b/>
          <w:color w:val="000000"/>
        </w:rPr>
        <w:t>4.颗粒物激光雷达扫描溯源</w:t>
      </w:r>
    </w:p>
    <w:p>
      <w:pPr>
        <w:pStyle w:val="null3"/>
        <w:ind w:firstLine="440"/>
        <w:jc w:val="left"/>
      </w:pPr>
      <w:r>
        <w:rPr>
          <w:sz w:val="22"/>
          <w:color w:val="000000"/>
        </w:rPr>
        <w:t>在广州市颗粒物高值站点周边开展</w:t>
      </w:r>
      <w:r>
        <w:rPr>
          <w:sz w:val="22"/>
          <w:color w:val="000000"/>
        </w:rPr>
        <w:t>1台颗粒物激光雷达采集，服务周期内，对颗粒物水平分布完成12个月（不少于240天）观测。根据</w:t>
      </w:r>
      <w:r>
        <w:rPr>
          <w:sz w:val="22"/>
          <w:color w:val="000000"/>
        </w:rPr>
        <w:t>实际情况</w:t>
      </w:r>
      <w:r>
        <w:rPr>
          <w:sz w:val="22"/>
          <w:color w:val="000000"/>
        </w:rPr>
        <w:t>需要，轮流开展高值站点常态化监测，</w:t>
      </w:r>
      <w:r>
        <w:rPr>
          <w:sz w:val="22"/>
          <w:color w:val="000000"/>
        </w:rPr>
        <w:t>或</w:t>
      </w:r>
      <w:r>
        <w:rPr>
          <w:sz w:val="22"/>
          <w:color w:val="000000"/>
        </w:rPr>
        <w:t>调整到污染区域开展监测分析</w:t>
      </w:r>
      <w:r>
        <w:rPr>
          <w:sz w:val="22"/>
          <w:color w:val="000000"/>
        </w:rPr>
        <w:t>，</w:t>
      </w:r>
      <w:r>
        <w:rPr>
          <w:sz w:val="22"/>
          <w:color w:val="000000"/>
        </w:rPr>
        <w:t>实时获取颗粒物的时空演变特征，全面分析不同区域颗粒物的全天候浓度水平和传输规律，研判颗粒物污染发生发展趋势，</w:t>
      </w:r>
      <w:r>
        <w:rPr>
          <w:sz w:val="22"/>
          <w:color w:val="000000"/>
        </w:rPr>
        <w:t>分析</w:t>
      </w:r>
      <w:r>
        <w:rPr>
          <w:sz w:val="22"/>
          <w:color w:val="000000"/>
        </w:rPr>
        <w:t>站点</w:t>
      </w:r>
      <w:r>
        <w:rPr>
          <w:sz w:val="22"/>
          <w:color w:val="000000"/>
        </w:rPr>
        <w:t>PM</w:t>
      </w:r>
      <w:r>
        <w:rPr>
          <w:sz w:val="22"/>
          <w:color w:val="000000"/>
          <w:vertAlign w:val="subscript"/>
        </w:rPr>
        <w:t>2.5</w:t>
      </w:r>
      <w:r>
        <w:rPr>
          <w:sz w:val="22"/>
          <w:color w:val="000000"/>
        </w:rPr>
        <w:t>相对高值时段污染成因，为区域颗粒物污染减排提供技术支撑。数据采集技术参数要求如下：</w:t>
      </w:r>
    </w:p>
    <w:p>
      <w:pPr>
        <w:pStyle w:val="null3"/>
        <w:spacing w:after="120"/>
        <w:jc w:val="center"/>
      </w:pPr>
      <w:r>
        <w:rPr>
          <w:sz w:val="21"/>
          <w:color w:val="000000"/>
          <w:shd w:fill="FFFFFF" w:val="clear"/>
        </w:rPr>
        <w:t>表</w:t>
      </w:r>
      <w:r>
        <w:rPr>
          <w:sz w:val="21"/>
          <w:color w:val="000000"/>
          <w:shd w:fill="FFFFFF" w:val="clear"/>
        </w:rPr>
        <w:t>2-5</w:t>
      </w:r>
      <w:r>
        <w:rPr>
          <w:sz w:val="21"/>
          <w:color w:val="000000"/>
          <w:shd w:fill="FFFFFF" w:val="clear"/>
        </w:rPr>
        <w:t>参数要求</w:t>
      </w:r>
    </w:p>
    <w:tbl>
      <w:tblPr>
        <w:tblW w:w="0" w:type="auto"/>
        <w:tblBorders>
          <w:top w:val="none" w:color="000000" w:sz="4"/>
          <w:left w:val="none" w:color="000000" w:sz="4"/>
          <w:bottom w:val="none" w:color="000000" w:sz="4"/>
          <w:right w:val="none" w:color="000000" w:sz="4"/>
          <w:insideH w:val="none"/>
          <w:insideV w:val="none"/>
        </w:tblBorders>
      </w:tblPr>
      <w:tblGrid>
        <w:gridCol w:w="745"/>
        <w:gridCol w:w="1251"/>
        <w:gridCol w:w="1251"/>
        <w:gridCol w:w="5018"/>
      </w:tblGrid>
      <w:tr>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类型</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参数要求</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监测仪器</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颗粒物激光雷达</w:t>
            </w:r>
            <w:r>
              <w:rPr>
                <w:sz w:val="21"/>
                <w:color w:val="000000"/>
              </w:rPr>
              <w:t>设备</w:t>
            </w:r>
          </w:p>
        </w:tc>
        <w:tc>
          <w:tcPr>
            <w:tcW w:type="dxa" w:w="5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软件支持激光雷达扫描运行过程中，对污染物热点高值进行推送及报警操作，同时具备同步影像拍摄及分析功能，可进行污染源证据链自动关联分析。</w:t>
            </w:r>
          </w:p>
          <w:p>
            <w:pPr>
              <w:pStyle w:val="null3"/>
              <w:jc w:val="left"/>
            </w:pPr>
            <w:r>
              <w:rPr>
                <w:sz w:val="22"/>
                <w:color w:val="000000"/>
              </w:rPr>
              <w:t>▲</w:t>
            </w:r>
            <w:r>
              <w:rPr>
                <w:sz w:val="21"/>
              </w:rPr>
              <w:t>2.</w:t>
            </w:r>
            <w:r>
              <w:rPr>
                <w:sz w:val="21"/>
              </w:rPr>
              <w:t>空间分辨率：≤</w:t>
            </w:r>
            <w:r>
              <w:rPr>
                <w:sz w:val="21"/>
              </w:rPr>
              <w:t>5m</w:t>
            </w:r>
            <w:r>
              <w:rPr>
                <w:sz w:val="21"/>
              </w:rPr>
              <w:t>，分辨率可调节</w:t>
            </w:r>
          </w:p>
          <w:p>
            <w:pPr>
              <w:pStyle w:val="null3"/>
              <w:jc w:val="left"/>
            </w:pPr>
            <w:r>
              <w:rPr>
                <w:sz w:val="21"/>
              </w:rPr>
              <w:t>3.</w:t>
            </w:r>
            <w:r>
              <w:rPr>
                <w:sz w:val="21"/>
              </w:rPr>
              <w:t>时间分辨率：≥</w:t>
            </w:r>
            <w:r>
              <w:rPr>
                <w:sz w:val="21"/>
              </w:rPr>
              <w:t>3s</w:t>
            </w:r>
            <w:r>
              <w:rPr>
                <w:sz w:val="21"/>
              </w:rPr>
              <w:t>，分辨率可调节</w:t>
            </w:r>
          </w:p>
        </w:tc>
      </w:tr>
    </w:tbl>
    <w:p>
      <w:pPr>
        <w:pStyle w:val="null3"/>
        <w:ind w:firstLine="442"/>
        <w:jc w:val="left"/>
      </w:pPr>
      <w:r>
        <w:rPr>
          <w:sz w:val="22"/>
          <w:b/>
          <w:color w:val="000000"/>
        </w:rPr>
        <w:t>数据采集。</w:t>
      </w:r>
      <w:r>
        <w:rPr>
          <w:sz w:val="22"/>
          <w:color w:val="000000"/>
        </w:rPr>
        <w:t>可</w:t>
      </w:r>
      <w:r>
        <w:rPr>
          <w:sz w:val="22"/>
          <w:color w:val="000000"/>
        </w:rPr>
        <w:t>根据工作需要和实际情况汇聚至采购人数据中心。</w:t>
      </w:r>
    </w:p>
    <w:p>
      <w:pPr>
        <w:pStyle w:val="null3"/>
        <w:ind w:firstLine="442"/>
        <w:jc w:val="left"/>
      </w:pPr>
      <w:r>
        <w:rPr>
          <w:sz w:val="22"/>
          <w:b/>
          <w:color w:val="000000"/>
        </w:rPr>
        <w:t>（三）多源数据综合分析研判服务</w:t>
      </w:r>
    </w:p>
    <w:p>
      <w:pPr>
        <w:pStyle w:val="null3"/>
        <w:ind w:firstLine="440"/>
        <w:jc w:val="left"/>
      </w:pPr>
      <w:r>
        <w:rPr>
          <w:sz w:val="22"/>
          <w:color w:val="000000"/>
        </w:rPr>
        <w:t>结合广州市国控点、组分站、气象等数据进行综合分析，总结空气质量现状、污染物变化趋势、时空分布特征，全面评估广州市污染形势，细化剖析各国控点污染特征，制定针对性管控对策。</w:t>
      </w:r>
    </w:p>
    <w:p>
      <w:pPr>
        <w:pStyle w:val="null3"/>
        <w:ind w:firstLine="482"/>
        <w:jc w:val="both"/>
      </w:pPr>
      <w:r>
        <w:rPr>
          <w:sz w:val="24"/>
          <w:b/>
          <w:color w:val="000000"/>
        </w:rPr>
        <w:t>三、项目服务要求</w:t>
      </w:r>
    </w:p>
    <w:p>
      <w:pPr>
        <w:pStyle w:val="null3"/>
        <w:ind w:firstLine="440"/>
        <w:jc w:val="left"/>
      </w:pPr>
      <w:r>
        <w:rPr>
          <w:sz w:val="22"/>
          <w:color w:val="000000"/>
        </w:rPr>
        <w:t>（一）中标人必须对项目实施过程中采用、引用和接触到的所有数据进行严格保密，不能用作与本项目无关的其它用途。</w:t>
      </w:r>
    </w:p>
    <w:p>
      <w:pPr>
        <w:pStyle w:val="null3"/>
        <w:ind w:firstLine="440"/>
        <w:jc w:val="left"/>
      </w:pPr>
      <w:r>
        <w:rPr>
          <w:sz w:val="22"/>
          <w:color w:val="000000"/>
        </w:rPr>
        <w:t>（二）中标人必须对项目实施过程中产生的结论、成果进行严格保密，不得向其他任何第三方透露。</w:t>
      </w:r>
    </w:p>
    <w:p>
      <w:pPr>
        <w:pStyle w:val="null3"/>
        <w:ind w:firstLine="440"/>
        <w:jc w:val="left"/>
      </w:pPr>
      <w:r>
        <w:rPr>
          <w:sz w:val="22"/>
          <w:color w:val="000000"/>
        </w:rPr>
        <w:t>（三）根据采购人安排，中标人需定期组织工作会议并提交进度简报，配合项目综合绩效审核等工作。</w:t>
      </w:r>
    </w:p>
    <w:p>
      <w:pPr>
        <w:pStyle w:val="null3"/>
        <w:ind w:firstLine="440"/>
        <w:jc w:val="left"/>
      </w:pPr>
      <w:r>
        <w:rPr>
          <w:sz w:val="22"/>
          <w:color w:val="000000"/>
        </w:rPr>
        <w:t>（四）项目完成后，中标人应向采购人提供以下成果：</w:t>
      </w:r>
    </w:p>
    <w:p>
      <w:pPr>
        <w:pStyle w:val="null3"/>
        <w:ind w:firstLine="440"/>
        <w:jc w:val="left"/>
      </w:pPr>
      <w:r>
        <w:rPr>
          <w:sz w:val="22"/>
          <w:color w:val="000000"/>
        </w:rPr>
        <w:t>1.广州市涉挥发性有机物典型企业全过程监控服务总结报告1份；</w:t>
      </w:r>
    </w:p>
    <w:p>
      <w:pPr>
        <w:pStyle w:val="null3"/>
        <w:ind w:firstLine="440"/>
        <w:jc w:val="left"/>
      </w:pPr>
      <w:r>
        <w:rPr>
          <w:sz w:val="22"/>
          <w:color w:val="000000"/>
        </w:rPr>
        <w:t>2.广州市涉挥发性有机物典型企业全过程监控服务年报1份；</w:t>
      </w:r>
    </w:p>
    <w:p>
      <w:pPr>
        <w:pStyle w:val="null3"/>
        <w:ind w:firstLine="440"/>
        <w:jc w:val="left"/>
      </w:pPr>
      <w:r>
        <w:rPr>
          <w:sz w:val="22"/>
          <w:color w:val="000000"/>
        </w:rPr>
        <w:t>3.广州市涉挥发性有机物典型企业全过程监控服务月报12份；</w:t>
      </w:r>
    </w:p>
    <w:p>
      <w:pPr>
        <w:pStyle w:val="null3"/>
        <w:ind w:firstLine="440"/>
        <w:jc w:val="left"/>
      </w:pPr>
      <w:r>
        <w:rPr>
          <w:sz w:val="22"/>
          <w:color w:val="000000"/>
        </w:rPr>
        <w:t>4.广州市涉挥发性有机物典型企业全过程监控服务周报48份；</w:t>
      </w:r>
    </w:p>
    <w:p>
      <w:pPr>
        <w:pStyle w:val="null3"/>
        <w:ind w:firstLine="440"/>
        <w:jc w:val="left"/>
      </w:pPr>
      <w:r>
        <w:rPr>
          <w:sz w:val="22"/>
          <w:color w:val="000000"/>
        </w:rPr>
        <w:t>5.广州市走航与定点监测溯源服务总结报告1份；</w:t>
      </w:r>
    </w:p>
    <w:p>
      <w:pPr>
        <w:pStyle w:val="null3"/>
        <w:ind w:firstLine="440"/>
        <w:jc w:val="left"/>
      </w:pPr>
      <w:r>
        <w:rPr>
          <w:sz w:val="22"/>
          <w:color w:val="000000"/>
        </w:rPr>
        <w:t>6.广州市挥发性有机物走航监测服务问题排查报告70份；</w:t>
      </w:r>
    </w:p>
    <w:p>
      <w:pPr>
        <w:pStyle w:val="null3"/>
        <w:ind w:firstLine="440"/>
        <w:jc w:val="left"/>
      </w:pPr>
      <w:r>
        <w:rPr>
          <w:sz w:val="22"/>
          <w:color w:val="000000"/>
        </w:rPr>
        <w:t>7.广州市道路积尘负荷走航月报12份；</w:t>
      </w:r>
    </w:p>
    <w:p>
      <w:pPr>
        <w:pStyle w:val="null3"/>
        <w:ind w:firstLine="440"/>
        <w:jc w:val="left"/>
      </w:pPr>
      <w:r>
        <w:rPr>
          <w:sz w:val="22"/>
          <w:color w:val="000000"/>
        </w:rPr>
        <w:t>8.广州市无人机与灵嗅飞航月报12份；</w:t>
      </w:r>
    </w:p>
    <w:p>
      <w:pPr>
        <w:pStyle w:val="null3"/>
        <w:ind w:firstLine="440"/>
        <w:jc w:val="left"/>
      </w:pPr>
      <w:r>
        <w:rPr>
          <w:sz w:val="22"/>
          <w:color w:val="000000"/>
        </w:rPr>
        <w:t>9.广州市颗粒物激光雷达扫描溯源月报12份；</w:t>
      </w:r>
    </w:p>
    <w:p>
      <w:pPr>
        <w:pStyle w:val="null3"/>
        <w:ind w:firstLine="440"/>
        <w:jc w:val="left"/>
      </w:pPr>
      <w:r>
        <w:rPr>
          <w:sz w:val="22"/>
          <w:color w:val="000000"/>
        </w:rPr>
        <w:t>10.广州市多源数据综合分析研判服务总结报告1份；</w:t>
      </w:r>
    </w:p>
    <w:p>
      <w:pPr>
        <w:pStyle w:val="null3"/>
        <w:ind w:firstLine="440"/>
        <w:jc w:val="left"/>
      </w:pPr>
      <w:r>
        <w:rPr>
          <w:sz w:val="22"/>
          <w:color w:val="000000"/>
        </w:rPr>
        <w:t>11.重点区域管控对策报告10份。</w:t>
      </w:r>
    </w:p>
    <w:p>
      <w:pPr>
        <w:pStyle w:val="null3"/>
        <w:ind w:firstLine="440"/>
        <w:jc w:val="left"/>
      </w:pPr>
      <w:r>
        <w:rPr>
          <w:sz w:val="22"/>
          <w:color w:val="000000"/>
        </w:rPr>
        <w:t>12.涉挥发性有机物典型企业全过程监控服务企业“一企一档”材料。</w:t>
      </w:r>
    </w:p>
    <w:p>
      <w:pPr>
        <w:pStyle w:val="null3"/>
        <w:ind w:firstLine="482"/>
        <w:jc w:val="both"/>
      </w:pPr>
      <w:r>
        <w:rPr>
          <w:sz w:val="24"/>
          <w:b/>
          <w:color w:val="000000"/>
        </w:rPr>
        <w:t>四、项目管理要求</w:t>
      </w:r>
    </w:p>
    <w:p>
      <w:pPr>
        <w:pStyle w:val="null3"/>
        <w:ind w:firstLine="440"/>
        <w:jc w:val="left"/>
      </w:pPr>
      <w:r>
        <w:rPr>
          <w:sz w:val="22"/>
          <w:color w:val="000000"/>
        </w:rPr>
        <w:t>（一）组织实施要求。</w:t>
      </w:r>
    </w:p>
    <w:p>
      <w:pPr>
        <w:pStyle w:val="null3"/>
        <w:ind w:firstLine="440"/>
        <w:jc w:val="left"/>
      </w:pPr>
      <w:r>
        <w:rPr>
          <w:sz w:val="22"/>
          <w:color w:val="000000"/>
        </w:rPr>
        <w:t>中标人</w:t>
      </w:r>
      <w:r>
        <w:rPr>
          <w:sz w:val="22"/>
          <w:color w:val="000000"/>
        </w:rPr>
        <w:t>应合理安排成果报告及相关材料编写等工作安排和时间节点，并进行精心组织实施。</w:t>
      </w:r>
    </w:p>
    <w:p>
      <w:pPr>
        <w:pStyle w:val="null3"/>
        <w:ind w:firstLine="440"/>
        <w:jc w:val="left"/>
      </w:pPr>
      <w:r>
        <w:rPr>
          <w:sz w:val="22"/>
          <w:color w:val="000000"/>
        </w:rPr>
        <w:t>（二）项目人员安排要求。</w:t>
      </w:r>
    </w:p>
    <w:p>
      <w:pPr>
        <w:pStyle w:val="null3"/>
        <w:ind w:firstLine="440"/>
        <w:jc w:val="both"/>
      </w:pPr>
      <w:r>
        <w:rPr>
          <w:sz w:val="22"/>
          <w:color w:val="000000"/>
        </w:rPr>
        <w:t>中标人</w:t>
      </w:r>
      <w:r>
        <w:rPr>
          <w:sz w:val="22"/>
          <w:color w:val="000000"/>
        </w:rPr>
        <w:t>须配备专业团队，参与本工作的主要人员不少于</w:t>
      </w:r>
      <w:r>
        <w:rPr>
          <w:sz w:val="22"/>
          <w:color w:val="000000"/>
        </w:rPr>
        <w:t>20名专业技术人员。（提供主要人员在投标人单位缴纳的近半年任意一个月的社保证明文件）</w:t>
      </w:r>
    </w:p>
    <w:p>
      <w:pPr>
        <w:pStyle w:val="null3"/>
        <w:ind w:firstLine="440"/>
        <w:jc w:val="left"/>
      </w:pPr>
      <w:r>
        <w:rPr>
          <w:sz w:val="22"/>
          <w:color w:val="000000"/>
        </w:rPr>
        <w:t>（三）项目验收要求。</w:t>
      </w:r>
    </w:p>
    <w:p>
      <w:pPr>
        <w:pStyle w:val="null3"/>
        <w:ind w:firstLine="440"/>
        <w:jc w:val="left"/>
      </w:pPr>
      <w:r>
        <w:rPr>
          <w:sz w:val="22"/>
          <w:color w:val="000000"/>
        </w:rPr>
        <w:t>中标人</w:t>
      </w:r>
      <w:r>
        <w:rPr>
          <w:sz w:val="22"/>
          <w:color w:val="000000"/>
        </w:rPr>
        <w:t>提交的项目成果应通过采购人组织的专家验收。</w:t>
      </w:r>
    </w:p>
    <w:p>
      <w:pPr>
        <w:pStyle w:val="null3"/>
        <w:ind w:firstLine="482"/>
        <w:jc w:val="both"/>
      </w:pPr>
      <w:r>
        <w:rPr>
          <w:sz w:val="24"/>
          <w:b/>
          <w:color w:val="000000"/>
        </w:rPr>
        <w:t>五、项目进度要求</w:t>
      </w:r>
    </w:p>
    <w:p>
      <w:pPr>
        <w:pStyle w:val="null3"/>
        <w:ind w:firstLine="440"/>
        <w:jc w:val="left"/>
      </w:pPr>
      <w:r>
        <w:rPr>
          <w:sz w:val="22"/>
          <w:color w:val="000000"/>
        </w:rPr>
        <w:t>（一）</w:t>
      </w:r>
      <w:r>
        <w:rPr>
          <w:sz w:val="22"/>
          <w:color w:val="000000"/>
        </w:rPr>
        <w:t>2026年11月底前，完成不少于90家涉挥发性有机物典型企业的调研和不少于30家涉挥发性有机物典型企业的全过程监控设备安装，VOCs</w:t>
      </w:r>
      <w:r>
        <w:rPr>
          <w:sz w:val="22"/>
          <w:color w:val="000000"/>
        </w:rPr>
        <w:t>走航天数</w:t>
      </w:r>
      <w:r>
        <w:rPr>
          <w:sz w:val="22"/>
          <w:color w:val="000000"/>
        </w:rPr>
        <w:t>累计</w:t>
      </w:r>
      <w:r>
        <w:rPr>
          <w:sz w:val="22"/>
          <w:color w:val="000000"/>
        </w:rPr>
        <w:t>不少于</w:t>
      </w:r>
      <w:r>
        <w:rPr>
          <w:sz w:val="22"/>
          <w:color w:val="000000"/>
        </w:rPr>
        <w:t>63天，道路积尘负荷走航</w:t>
      </w:r>
      <w:r>
        <w:rPr>
          <w:sz w:val="22"/>
          <w:color w:val="000000"/>
        </w:rPr>
        <w:t>累计</w:t>
      </w:r>
      <w:r>
        <w:rPr>
          <w:sz w:val="22"/>
          <w:color w:val="000000"/>
        </w:rPr>
        <w:t>不少于</w:t>
      </w:r>
      <w:r>
        <w:rPr>
          <w:sz w:val="22"/>
          <w:color w:val="000000"/>
        </w:rPr>
        <w:t>30</w:t>
      </w:r>
      <w:r>
        <w:rPr>
          <w:sz w:val="22"/>
          <w:color w:val="000000"/>
        </w:rPr>
        <w:t>天，无人机与灵嗅飞航</w:t>
      </w:r>
      <w:r>
        <w:rPr>
          <w:sz w:val="22"/>
          <w:color w:val="000000"/>
        </w:rPr>
        <w:t>监测天数不少于</w:t>
      </w:r>
      <w:r>
        <w:rPr>
          <w:sz w:val="22"/>
          <w:color w:val="000000"/>
        </w:rPr>
        <w:t>30</w:t>
      </w:r>
      <w:r>
        <w:rPr>
          <w:sz w:val="22"/>
          <w:color w:val="000000"/>
        </w:rPr>
        <w:t>天，颗粒物激光雷达扫描溯源不少于</w:t>
      </w:r>
      <w:r>
        <w:rPr>
          <w:sz w:val="22"/>
          <w:color w:val="000000"/>
        </w:rPr>
        <w:t>5个月，</w:t>
      </w:r>
      <w:r>
        <w:rPr>
          <w:sz w:val="22"/>
          <w:color w:val="000000"/>
        </w:rPr>
        <w:t>并</w:t>
      </w:r>
      <w:r>
        <w:rPr>
          <w:sz w:val="22"/>
          <w:color w:val="000000"/>
        </w:rPr>
        <w:t>提交项目阶段性成果。</w:t>
      </w:r>
    </w:p>
    <w:p>
      <w:pPr>
        <w:pStyle w:val="null3"/>
        <w:ind w:firstLine="440"/>
        <w:jc w:val="left"/>
      </w:pPr>
      <w:r>
        <w:rPr>
          <w:sz w:val="22"/>
          <w:color w:val="000000"/>
        </w:rPr>
        <w:t>（二）</w:t>
      </w:r>
      <w:r>
        <w:rPr>
          <w:sz w:val="22"/>
          <w:color w:val="000000"/>
        </w:rPr>
        <w:t>2027年5月底前，完成不少于100家涉挥发性有机物典型企业的全过程监控设备安装并进行数据接入和质控，VOCs</w:t>
      </w:r>
      <w:r>
        <w:rPr>
          <w:sz w:val="22"/>
          <w:color w:val="000000"/>
        </w:rPr>
        <w:t>走航天数</w:t>
      </w:r>
      <w:r>
        <w:rPr>
          <w:sz w:val="22"/>
          <w:color w:val="000000"/>
        </w:rPr>
        <w:t>累计</w:t>
      </w:r>
      <w:r>
        <w:rPr>
          <w:sz w:val="22"/>
          <w:color w:val="000000"/>
        </w:rPr>
        <w:t>不少于</w:t>
      </w:r>
      <w:r>
        <w:rPr>
          <w:sz w:val="22"/>
          <w:color w:val="000000"/>
        </w:rPr>
        <w:t>70天，道路积尘负荷走航</w:t>
      </w:r>
      <w:r>
        <w:rPr>
          <w:sz w:val="22"/>
          <w:color w:val="000000"/>
        </w:rPr>
        <w:t>累计</w:t>
      </w:r>
      <w:r>
        <w:rPr>
          <w:sz w:val="22"/>
          <w:color w:val="000000"/>
        </w:rPr>
        <w:t>不少于</w:t>
      </w:r>
      <w:r>
        <w:rPr>
          <w:sz w:val="22"/>
          <w:color w:val="000000"/>
        </w:rPr>
        <w:t>48天，无人机与灵嗅飞航</w:t>
      </w:r>
      <w:r>
        <w:rPr>
          <w:sz w:val="22"/>
          <w:color w:val="000000"/>
        </w:rPr>
        <w:t>监测天数不少于</w:t>
      </w:r>
      <w:r>
        <w:rPr>
          <w:sz w:val="22"/>
          <w:color w:val="000000"/>
        </w:rPr>
        <w:t>48天，颗粒物激光雷达扫描溯源不少于12个月（累计240天以上），</w:t>
      </w:r>
      <w:r>
        <w:rPr>
          <w:sz w:val="22"/>
          <w:color w:val="000000"/>
        </w:rPr>
        <w:t>并</w:t>
      </w:r>
      <w:r>
        <w:rPr>
          <w:sz w:val="22"/>
          <w:color w:val="000000"/>
        </w:rPr>
        <w:t>提交《广州市涉挥发性有机物典型企业全过程监控服务总结报告》《广州市走航与定点监测溯源服务总结报告》《广州市多源数据综合分析研判服务总结报告》《重点区域管控对策报告》等项目全部成果，并通过甲方组织的专家验收。</w:t>
      </w:r>
    </w:p>
    <w:p>
      <w:pPr>
        <w:pStyle w:val="null3"/>
        <w:ind w:firstLine="482"/>
        <w:jc w:val="both"/>
      </w:pPr>
      <w:r>
        <w:rPr>
          <w:sz w:val="24"/>
          <w:b/>
          <w:color w:val="000000"/>
        </w:rPr>
        <w:t>六、项目依据</w:t>
      </w:r>
    </w:p>
    <w:p>
      <w:pPr>
        <w:pStyle w:val="null3"/>
        <w:ind w:firstLine="440"/>
        <w:jc w:val="both"/>
      </w:pPr>
      <w:r>
        <w:rPr>
          <w:sz w:val="22"/>
          <w:color w:val="000000"/>
        </w:rPr>
        <w:t>（一）《中华人民共和国大气污染防治法》；</w:t>
      </w:r>
    </w:p>
    <w:p>
      <w:pPr>
        <w:pStyle w:val="null3"/>
        <w:ind w:firstLine="440"/>
        <w:jc w:val="both"/>
      </w:pPr>
      <w:r>
        <w:rPr>
          <w:sz w:val="22"/>
          <w:color w:val="000000"/>
        </w:rPr>
        <w:t>（二）《空气质量持续改善行动计划》（国发〔</w:t>
      </w:r>
      <w:r>
        <w:rPr>
          <w:sz w:val="22"/>
          <w:color w:val="000000"/>
        </w:rPr>
        <w:t>2023〕24号）；</w:t>
      </w:r>
    </w:p>
    <w:p>
      <w:pPr>
        <w:pStyle w:val="null3"/>
        <w:ind w:firstLine="440"/>
        <w:jc w:val="both"/>
      </w:pPr>
      <w:r>
        <w:rPr>
          <w:sz w:val="22"/>
          <w:color w:val="000000"/>
        </w:rPr>
        <w:t>（三）《中共中央</w:t>
      </w:r>
      <w:r>
        <w:rPr>
          <w:sz w:val="21"/>
        </w:rPr>
        <w:t xml:space="preserve"> </w:t>
      </w:r>
      <w:r>
        <w:rPr>
          <w:sz w:val="22"/>
          <w:color w:val="000000"/>
        </w:rPr>
        <w:t>国务院关于全面推进美丽中国建设的意见》；</w:t>
      </w:r>
    </w:p>
    <w:p>
      <w:pPr>
        <w:pStyle w:val="null3"/>
        <w:ind w:firstLine="440"/>
        <w:jc w:val="both"/>
      </w:pPr>
      <w:r>
        <w:rPr>
          <w:sz w:val="22"/>
          <w:color w:val="000000"/>
        </w:rPr>
        <w:t>（四）《生态环境部等七部门联合印发</w:t>
      </w:r>
      <w:r>
        <w:rPr>
          <w:sz w:val="22"/>
          <w:color w:val="000000"/>
        </w:rPr>
        <w:t>&lt;粤港澳大湾区美丽中国先行区建设行动方案&gt;》；</w:t>
      </w:r>
    </w:p>
    <w:p>
      <w:pPr>
        <w:pStyle w:val="null3"/>
        <w:ind w:firstLine="440"/>
        <w:jc w:val="both"/>
      </w:pPr>
      <w:r>
        <w:rPr>
          <w:sz w:val="22"/>
          <w:color w:val="000000"/>
        </w:rPr>
        <w:t>（五）《广东省臭氧污染防治（氮氧化物和挥发性有机物协同减排）实施方案（</w:t>
      </w:r>
      <w:r>
        <w:rPr>
          <w:sz w:val="22"/>
          <w:color w:val="000000"/>
        </w:rPr>
        <w:t>2023-2025年）》；</w:t>
      </w:r>
    </w:p>
    <w:p>
      <w:pPr>
        <w:pStyle w:val="null3"/>
        <w:ind w:firstLine="440"/>
        <w:jc w:val="both"/>
      </w:pPr>
      <w:r>
        <w:rPr>
          <w:sz w:val="22"/>
          <w:color w:val="000000"/>
        </w:rPr>
        <w:t>（六）</w:t>
      </w:r>
      <w:r>
        <w:rPr>
          <w:sz w:val="22"/>
          <w:color w:val="000000"/>
        </w:rPr>
        <w:t>《广东省人民政府关于印发广东省空气质量持续改善行动方案的通知》（粤府〔</w:t>
      </w:r>
      <w:r>
        <w:rPr>
          <w:sz w:val="22"/>
          <w:color w:val="000000"/>
        </w:rPr>
        <w:t>2024〕85号）；</w:t>
      </w:r>
    </w:p>
    <w:p>
      <w:pPr>
        <w:pStyle w:val="null3"/>
        <w:ind w:firstLine="440"/>
        <w:jc w:val="both"/>
      </w:pPr>
      <w:r>
        <w:rPr>
          <w:sz w:val="22"/>
          <w:color w:val="000000"/>
        </w:rPr>
        <w:t>（七）《广州市人民政府关于印发美丽广州建设规划纲要（</w:t>
      </w:r>
      <w:r>
        <w:rPr>
          <w:sz w:val="22"/>
          <w:color w:val="000000"/>
        </w:rPr>
        <w:t>2025—2035年）的通知》（穗府〔2025〕6号）；</w:t>
      </w:r>
    </w:p>
    <w:p>
      <w:pPr>
        <w:pStyle w:val="null3"/>
        <w:ind w:firstLine="440"/>
        <w:jc w:val="left"/>
      </w:pPr>
      <w:r>
        <w:rPr>
          <w:sz w:val="22"/>
          <w:color w:val="000000"/>
        </w:rPr>
        <w:t>（</w:t>
      </w:r>
      <w:r>
        <w:rPr>
          <w:sz w:val="22"/>
          <w:color w:val="000000"/>
        </w:rPr>
        <w:t>八</w:t>
      </w:r>
      <w:r>
        <w:rPr>
          <w:sz w:val="22"/>
          <w:color w:val="000000"/>
        </w:rPr>
        <w:t>）广州市财政局相关批复。</w:t>
      </w:r>
    </w:p>
    <w:p>
      <w:pPr>
        <w:pStyle w:val="null3"/>
        <w:ind w:firstLine="482"/>
        <w:jc w:val="left"/>
      </w:pPr>
      <w:r>
        <w:rPr>
          <w:sz w:val="24"/>
          <w:b/>
          <w:color w:val="000000"/>
        </w:rPr>
        <w:t>七、项目限价</w:t>
      </w:r>
      <w:r>
        <w:rPr>
          <w:sz w:val="24"/>
          <w:b/>
          <w:color w:val="000000"/>
        </w:rPr>
        <w:t>（预算金额）</w:t>
      </w:r>
      <w:r>
        <w:rPr>
          <w:sz w:val="24"/>
          <w:b/>
          <w:color w:val="000000"/>
        </w:rPr>
        <w:t>和付款方式</w:t>
      </w:r>
    </w:p>
    <w:p>
      <w:pPr>
        <w:pStyle w:val="null3"/>
        <w:ind w:firstLine="440"/>
        <w:jc w:val="left"/>
      </w:pPr>
      <w:r>
        <w:rPr>
          <w:sz w:val="22"/>
          <w:color w:val="000000"/>
        </w:rPr>
        <w:t>（</w:t>
      </w:r>
      <w:r>
        <w:rPr>
          <w:sz w:val="22"/>
          <w:color w:val="000000"/>
        </w:rPr>
        <w:t>一</w:t>
      </w:r>
      <w:r>
        <w:rPr>
          <w:sz w:val="22"/>
          <w:color w:val="000000"/>
        </w:rPr>
        <w:t>）</w:t>
      </w:r>
      <w:r>
        <w:rPr>
          <w:sz w:val="22"/>
          <w:color w:val="000000"/>
        </w:rPr>
        <w:t>项目</w:t>
      </w:r>
      <w:r>
        <w:rPr>
          <w:sz w:val="22"/>
          <w:color w:val="000000"/>
        </w:rPr>
        <w:t>限价（预算金额）为</w:t>
      </w:r>
      <w:r>
        <w:rPr>
          <w:sz w:val="22"/>
          <w:color w:val="000000"/>
        </w:rPr>
        <w:t>545万元。</w:t>
      </w:r>
    </w:p>
    <w:p>
      <w:pPr>
        <w:pStyle w:val="null3"/>
        <w:ind w:firstLine="440"/>
        <w:jc w:val="left"/>
      </w:pPr>
      <w:r>
        <w:rPr>
          <w:sz w:val="22"/>
          <w:color w:val="000000"/>
        </w:rPr>
        <w:t>（</w:t>
      </w:r>
      <w:r>
        <w:rPr>
          <w:sz w:val="22"/>
          <w:color w:val="000000"/>
        </w:rPr>
        <w:t>二</w:t>
      </w:r>
      <w:r>
        <w:rPr>
          <w:sz w:val="22"/>
          <w:color w:val="000000"/>
        </w:rPr>
        <w:t>）</w:t>
      </w:r>
      <w:r>
        <w:rPr>
          <w:sz w:val="22"/>
          <w:color w:val="000000"/>
        </w:rPr>
        <w:t>本项目分</w:t>
      </w:r>
      <w:r>
        <w:rPr>
          <w:sz w:val="22"/>
          <w:color w:val="000000"/>
        </w:rPr>
        <w:t>3次支付。支出计划</w:t>
      </w:r>
      <w:r>
        <w:rPr>
          <w:sz w:val="22"/>
          <w:color w:val="000000"/>
        </w:rPr>
        <w:t>如下</w:t>
      </w:r>
      <w:r>
        <w:rPr>
          <w:sz w:val="22"/>
          <w:color w:val="000000"/>
        </w:rPr>
        <w:t>：</w:t>
      </w:r>
    </w:p>
    <w:p>
      <w:pPr>
        <w:pStyle w:val="null3"/>
        <w:ind w:firstLine="440"/>
        <w:jc w:val="left"/>
      </w:pPr>
      <w:r>
        <w:rPr>
          <w:sz w:val="22"/>
          <w:color w:val="000000"/>
        </w:rPr>
        <w:t>第一期：项目签合同后</w:t>
      </w:r>
      <w:r>
        <w:rPr>
          <w:sz w:val="22"/>
          <w:color w:val="000000"/>
        </w:rPr>
        <w:t>5个工作日内支付</w:t>
      </w:r>
      <w:r>
        <w:rPr>
          <w:sz w:val="22"/>
          <w:color w:val="000000"/>
        </w:rPr>
        <w:t>合同总额的</w:t>
      </w:r>
      <w:r>
        <w:rPr>
          <w:sz w:val="22"/>
          <w:color w:val="000000"/>
        </w:rPr>
        <w:t>40%；</w:t>
      </w:r>
    </w:p>
    <w:p>
      <w:pPr>
        <w:pStyle w:val="null3"/>
        <w:ind w:firstLine="440"/>
        <w:jc w:val="left"/>
      </w:pPr>
      <w:r>
        <w:rPr>
          <w:sz w:val="22"/>
          <w:color w:val="000000"/>
        </w:rPr>
        <w:t>第二期：预计</w:t>
      </w:r>
      <w:r>
        <w:rPr>
          <w:sz w:val="22"/>
          <w:color w:val="000000"/>
        </w:rPr>
        <w:t>2026年11月，提交阶段成果后支付合同总额的50%；</w:t>
      </w:r>
    </w:p>
    <w:p>
      <w:pPr>
        <w:pStyle w:val="null3"/>
        <w:ind w:firstLine="440"/>
        <w:jc w:val="left"/>
      </w:pPr>
      <w:r>
        <w:rPr>
          <w:sz w:val="22"/>
          <w:color w:val="000000"/>
        </w:rPr>
        <w:t>第三期：预计</w:t>
      </w:r>
      <w:r>
        <w:rPr>
          <w:sz w:val="22"/>
          <w:color w:val="000000"/>
        </w:rPr>
        <w:t>2027年5月，提交项目全部成果，并通过</w:t>
      </w:r>
      <w:r>
        <w:rPr>
          <w:sz w:val="22"/>
          <w:color w:val="000000"/>
        </w:rPr>
        <w:t>采购人</w:t>
      </w:r>
      <w:r>
        <w:rPr>
          <w:sz w:val="22"/>
          <w:color w:val="000000"/>
        </w:rPr>
        <w:t>组织的专家验收。项目验收通过后支付合同总额的</w:t>
      </w:r>
      <w:r>
        <w:rPr>
          <w:sz w:val="22"/>
          <w:color w:val="000000"/>
        </w:rPr>
        <w:t>10%。</w:t>
      </w:r>
    </w:p>
    <w:p>
      <w:pPr>
        <w:pStyle w:val="null3"/>
        <w:ind w:firstLine="440"/>
        <w:jc w:val="left"/>
      </w:pPr>
      <w:r>
        <w:rPr>
          <w:sz w:val="22"/>
          <w:color w:val="000000"/>
        </w:rPr>
        <w:t>如相关经费受财政部门拨款进度影响，付款时间顺延。</w:t>
      </w:r>
    </w:p>
    <w:p>
      <w:pPr>
        <w:pStyle w:val="null3"/>
        <w:ind w:firstLine="440"/>
        <w:jc w:val="left"/>
      </w:pPr>
      <w:r>
        <w:rPr>
          <w:sz w:val="22"/>
          <w:color w:val="000000"/>
        </w:rPr>
        <w:t>说明：打</w:t>
      </w:r>
      <w:r>
        <w:rPr>
          <w:sz w:val="22"/>
          <w:color w:val="000000"/>
        </w:rPr>
        <w:t>“▲”号条款为重要技术参数（如有），若有部分“▲”条款未响应或不满足，将根据评审要求影响其得分，但不作为无效投标（响应）条款。</w:t>
      </w:r>
    </w:p>
    <w:p>
      <w:pPr>
        <w:pStyle w:val="null3"/>
      </w:pPr>
      <w:r>
        <w:rPr/>
        <w:t>采购包1（广州市大气环境非现场监管能力提升服务项目）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1期：支付比例40%,项目签合同后5个工作日内支付合同总额的40%。</w:t>
            </w:r>
          </w:p>
          <w:p>
            <w:pPr>
              <w:pStyle w:val="null3"/>
            </w:pPr>
            <w:r>
              <w:rPr/>
              <w:t>2期：支付比例50%,预计2026年11月，提交阶段成果后支付合同总额的50%。</w:t>
            </w:r>
          </w:p>
          <w:p>
            <w:pPr>
              <w:pStyle w:val="null3"/>
            </w:pPr>
            <w:r>
              <w:rPr/>
              <w:t>3期：支付比例10%,预计2027年5月，提交项目全部成果，并通过采购人组织的专家验收。项目验收通过后支付合同总额的10%。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1期：中标人提交的项目成果应通过采购人组织的专家验收。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其他未尽事宜详见合同版本。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其他生态环境保护服务</w:t>
            </w:r>
          </w:p>
        </w:tc>
        <w:tc>
          <w:tcPr>
            <w:tcW w:type="dxa" w:w="933"/>
          </w:tcPr>
          <w:p>
            <w:pPr>
              <w:pStyle w:val="null3"/>
              <w:jc w:val="left"/>
            </w:pPr>
            <w:r>
              <w:rPr/>
              <w:t>广州市大气环境非现场监管能力提升服务项目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5,450,000.00</w:t>
            </w:r>
          </w:p>
        </w:tc>
        <w:tc>
          <w:tcPr>
            <w:tcW w:type="dxa" w:w="933"/>
          </w:tcPr>
          <w:p>
            <w:pPr>
              <w:pStyle w:val="null3"/>
              <w:jc w:val="right"/>
            </w:pPr>
            <w:r>
              <w:rPr/>
              <w:t>5,450,000.00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广州市大气环境非现场监管能力提升服务项目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按差额定率累进法计算（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采购包1：面向中小企业，以联合体形式预留，预留比例：50%。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大气环境非现场监管能力提升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采购包1（广州市大气环境非现场监管能力提升服务项目）：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采购包1（广州市大气环境非现场监管能力提升服务项目）：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以联合体形式投标，则联合体各方均须满足要求，并提供上述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提供《资格条件承诺函》（以联合体形式投标，则联合体各方均须满足要求，并提供上述材料），格式详见公告附件。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以联合体形式投标，则联合体各方均须满足要求，并提供上述材料），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以联合体形式投标，则为联合体各方）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联合体投标要求</w:t>
            </w:r>
          </w:p>
        </w:tc>
        <w:tc>
          <w:tcPr>
            <w:tcW w:type="dxa" w:w="4238"/>
          </w:tcPr>
          <w:p>
            <w:pPr>
              <w:pStyle w:val="null3"/>
            </w:pPr>
            <w:r>
              <w:rPr/>
              <w:t>本项目接受联合体投标，组成联合体的单位不得超过5家。以联合体形式投标的，联合体各方应按招标文件提供的格式签订《联合体共同投标协议书》，明确联合体牵头人，载明联合体各方承担的工作和义务。</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本采购包以联合体形式预留份额专门面向中小企业采购，预留份额不少于采购包预算总额的50%（其中预留给小微企业的比例不低于70%）。投标人须符合下列情形之一： （1）投标人不属于中小微企业的，必须与中小微企业组成联合体参加本项目投标，且联合体中中小企业承担的合同份额占预算总额的比例不低于50%（其中小微企业的比例不低于70%）。组成联合体的中小微企业与联合体内其他企业之间不得存在直接控股、管理关系。 （2）投标人属于中小微企业的，是否以联合体形式参加本项目投标不作强制要求。如以联合体形式参与投标的，联合体中中小企业承担的合同份额占预算总额的比例不低于50%（其中小微企业的比例不低于70%）。组成联合体的中小微企业与联合体内其他企业之间不得存在直接控股、管理关系。 【注：本项目采购标的所属行业为其他未列明行业。投标人须按采购文件中规定的格式提供《中小企业声明函（工程、服务）》或《残疾人福利性单位声明函》或由监狱管理局、戒毒管理局（含新疆生产建设兵团）出具的属于监狱企业的证明文件；以联合体形式参与投标的，提供上述文件外，同时提供《联合体共同投标协议书》，并在协议中明确中小微企业承担的合同份额】</w:t>
            </w:r>
          </w:p>
        </w:tc>
      </w:tr>
    </w:tbl>
    <w:p>
      <w:pPr>
        <w:pStyle w:val="null3"/>
        <w:ind w:firstLine="480"/>
      </w:pPr>
      <w:r>
        <w:rPr/>
        <w:t>表二符合性审查表：</w:t>
      </w:r>
    </w:p>
    <w:p>
      <w:pPr>
        <w:pStyle w:val="null3"/>
      </w:pPr>
      <w:r>
        <w:rPr/>
        <w:t>采购包1（广州市大气环境非现场监管能力提升服务项目）：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（1）对本采购包全部内容进行报价；（2）投标报价是唯一确定的；（3）投标报价不超过项目限价和采购预算。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采购包1(广州市大气环境非现场监管能力提升服务项目):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响应方案一 (12.0分)</w:t>
            </w:r>
          </w:p>
        </w:tc>
        <w:tc>
          <w:tcPr>
            <w:tcW w:type="dxa" w:w="5076"/>
          </w:tcPr>
          <w:p>
            <w:pPr>
              <w:pStyle w:val="null3"/>
              <w:jc w:val="left"/>
            </w:pPr>
            <w:r>
              <w:rPr/>
              <w:t>根据技术要求“涉挥发性有机物典型企业全过程监控服务”部分，投标人提交响应方案，评标委员会根据投标人的响应方案是否对项目背景完全掌握，研究思路是否清晰，技术路线是否可行，提供的实施方案设计是否科学合理、是否具备可操作性，并结合提供的初步调研材料，包括但不限于典型企业清单、企业类型与覆盖区域代表性进行综合评审。 1、全面掌握项目背景，研究思路清晰、技术路线先进可行，实施方案科学完整、可操作性强，且能提供完整调研分析材料的，得12分； 2、较好掌握项目背景，研究思路清晰、技术路线可行，实施方案合理、具备可操作性，且能提供较详细调研材料的，得8分； 3、基本掌握项目背景，研究思路、技术路线、实施方案基本满足项目要求，可落地实施，有初步调研的，得5分； 4、对项目背景理解不足，研究思路、技术路线或实施方案存在明显缺陷的，得3分； 5、不提供或其他情况得0分。</w:t>
            </w:r>
          </w:p>
        </w:tc>
      </w:tr>
      <w:tr>
        <w:tc>
          <w:tcPr>
            <w:tcW w:type="dxa" w:w="922"/>
            <w:gridSpan w:val="2"/>
            <w:vMerge/>
          </w:tcPr>
          <w:p/>
        </w:tc>
        <w:tc>
          <w:tcPr>
            <w:tcW w:type="dxa" w:w="2307"/>
          </w:tcPr>
          <w:p>
            <w:pPr>
              <w:pStyle w:val="null3"/>
              <w:jc w:val="left"/>
            </w:pPr>
            <w:r>
              <w:rPr/>
              <w:t>响应方案二 (5.0分)</w:t>
            </w:r>
            <w:r>
              <w:rPr/>
              <w:t>）</w:t>
            </w:r>
          </w:p>
        </w:tc>
        <w:tc>
          <w:tcPr>
            <w:tcW w:type="dxa" w:w="5076"/>
          </w:tcPr>
          <w:p>
            <w:pPr>
              <w:pStyle w:val="null3"/>
              <w:jc w:val="left"/>
            </w:pPr>
            <w:r>
              <w:rPr/>
              <w:t>根据技术要求“走航与定点监测溯源服务”部分，投标人提交响应方案，评标委员会根据投标人的响应方案是否对项目背景完全掌握，研究思路是否清晰，技术路线是否可行，提供的实施方案设计是否科学合理、是否具备可操作等进行评审。 1、优于项目需求的，得5分； 2、满足项目需求的，得3分； 3、存在不满足项目需求的，得1分； 4、不提供或其他情况得0分。</w:t>
            </w:r>
          </w:p>
        </w:tc>
      </w:tr>
      <w:tr>
        <w:tc>
          <w:tcPr>
            <w:tcW w:type="dxa" w:w="922"/>
            <w:gridSpan w:val="2"/>
            <w:vMerge/>
          </w:tcPr>
          <w:p/>
        </w:tc>
        <w:tc>
          <w:tcPr>
            <w:tcW w:type="dxa" w:w="2307"/>
          </w:tcPr>
          <w:p>
            <w:pPr>
              <w:pStyle w:val="null3"/>
              <w:jc w:val="left"/>
            </w:pPr>
            <w:r>
              <w:rPr/>
              <w:t>响应方案三 (4.0分)</w:t>
            </w:r>
            <w:r>
              <w:rPr/>
              <w:t>）</w:t>
            </w:r>
          </w:p>
        </w:tc>
        <w:tc>
          <w:tcPr>
            <w:tcW w:type="dxa" w:w="5076"/>
          </w:tcPr>
          <w:p>
            <w:pPr>
              <w:pStyle w:val="null3"/>
              <w:jc w:val="left"/>
            </w:pPr>
            <w:r>
              <w:rPr/>
              <w:t>根据技术要求“多源数据综合分析研判服务”部分，投标人提交响应方案，评标委员会根据投标人的响应方案是否对项目背景完全掌握，研究思路是否清晰，技术路线是否可行，提供的实施方案设计是否科学合理、是否具备可操作等进行评审。 1、优于项目需求的，得4分； 2、满足项目需求的，得2分； 3、存在不满足项目需求的，得1分； 4、不提供或其他情况得0分。</w:t>
            </w:r>
          </w:p>
        </w:tc>
      </w:tr>
      <w:tr>
        <w:tc>
          <w:tcPr>
            <w:tcW w:type="dxa" w:w="922"/>
            <w:gridSpan w:val="2"/>
            <w:vMerge/>
          </w:tcPr>
          <w:p/>
        </w:tc>
        <w:tc>
          <w:tcPr>
            <w:tcW w:type="dxa" w:w="2307"/>
          </w:tcPr>
          <w:p>
            <w:pPr>
              <w:pStyle w:val="null3"/>
              <w:jc w:val="left"/>
            </w:pPr>
            <w:r>
              <w:rPr/>
              <w:t>技术参数符合性 (9.0分)</w:t>
            </w:r>
          </w:p>
        </w:tc>
        <w:tc>
          <w:tcPr>
            <w:tcW w:type="dxa" w:w="5076"/>
          </w:tcPr>
          <w:p>
            <w:pPr>
              <w:pStyle w:val="null3"/>
              <w:jc w:val="left"/>
            </w:pPr>
            <w:r>
              <w:rPr/>
              <w:t>根据投标人用于服务的设备技术参数的响应程度进行评价，完全满足用户需求技术参数要求得9分，“▲”号参数每负偏离一项扣1分，最高扣9分。 【注：需写明需要提供相应的证明材料（如：第三方检测机构出具的检测报告、证书、说明书等），无提供不得分】</w:t>
            </w:r>
          </w:p>
        </w:tc>
      </w:tr>
      <w:tr>
        <w:tc>
          <w:tcPr>
            <w:tcW w:type="dxa" w:w="922"/>
            <w:gridSpan w:val="2"/>
            <w:vMerge/>
          </w:tcPr>
          <w:p/>
        </w:tc>
        <w:tc>
          <w:tcPr>
            <w:tcW w:type="dxa" w:w="2307"/>
          </w:tcPr>
          <w:p>
            <w:pPr>
              <w:pStyle w:val="null3"/>
              <w:jc w:val="left"/>
            </w:pPr>
            <w:r>
              <w:rPr/>
              <w:t>项目技术成熟程度 (6.0分)</w:t>
            </w:r>
          </w:p>
        </w:tc>
        <w:tc>
          <w:tcPr>
            <w:tcW w:type="dxa" w:w="5076"/>
          </w:tcPr>
          <w:p>
            <w:pPr>
              <w:pStyle w:val="null3"/>
              <w:jc w:val="left"/>
            </w:pPr>
            <w:r>
              <w:rPr/>
              <w:t>投标人具有成熟的技术，具有大气环境相关的软件著作权登记证书或授权专利证明，每提供1项得0.5分，本项最高得6分。 注：提供相关证明材料，无提供不得分。如投标人为联合体，则联合体任何一方提供均可。</w:t>
            </w:r>
          </w:p>
        </w:tc>
      </w:tr>
      <w:tr>
        <w:tc>
          <w:tcPr>
            <w:tcW w:type="dxa" w:w="922"/>
            <w:gridSpan w:val="2"/>
            <w:vMerge/>
          </w:tcPr>
          <w:p/>
        </w:tc>
        <w:tc>
          <w:tcPr>
            <w:tcW w:type="dxa" w:w="2307"/>
          </w:tcPr>
          <w:p>
            <w:pPr>
              <w:pStyle w:val="null3"/>
              <w:jc w:val="left"/>
            </w:pPr>
            <w:r>
              <w:rPr/>
              <w:t>保障措施和实施计划 (5.0分)</w:t>
            </w:r>
            <w:r>
              <w:rPr/>
              <w:t>）</w:t>
            </w:r>
          </w:p>
        </w:tc>
        <w:tc>
          <w:tcPr>
            <w:tcW w:type="dxa" w:w="5076"/>
          </w:tcPr>
          <w:p>
            <w:pPr>
              <w:pStyle w:val="null3"/>
              <w:jc w:val="left"/>
            </w:pPr>
            <w:r>
              <w:rPr/>
              <w:t>根据投标人提供的保障措施和实施计划进行评审： 1.项目保障措施完善，实施计划可行，完全满足或优于项目需求的，得5分； 2.项目保障措施不够完善，实施计划可行性有待提高，仍满足项目需求的，得3分； 3.项目保障措施简单，实施计划不可行，存在不满足项目需求的，得1分； 4.不提供或其它情况得0分。</w:t>
            </w:r>
          </w:p>
        </w:tc>
      </w:tr>
      <w:tr>
        <w:tc>
          <w:tcPr>
            <w:tcW w:type="dxa" w:w="922"/>
            <w:gridSpan w:val="2"/>
            <w:vMerge/>
          </w:tcPr>
          <w:p/>
        </w:tc>
        <w:tc>
          <w:tcPr>
            <w:tcW w:type="dxa" w:w="2307"/>
          </w:tcPr>
          <w:p>
            <w:pPr>
              <w:pStyle w:val="null3"/>
              <w:jc w:val="left"/>
            </w:pPr>
            <w:r>
              <w:rPr/>
              <w:t>运维服务 (4.0分)</w:t>
            </w:r>
            <w:r>
              <w:rPr/>
              <w:t>）</w:t>
            </w:r>
          </w:p>
        </w:tc>
        <w:tc>
          <w:tcPr>
            <w:tcW w:type="dxa" w:w="5076"/>
          </w:tcPr>
          <w:p>
            <w:pPr>
              <w:pStyle w:val="null3"/>
              <w:jc w:val="left"/>
            </w:pPr>
            <w:r>
              <w:rPr/>
              <w:t>根据投标人提供的运维服务方案进行评审： 1、运维服务方案及故障响应机制完整、针对性强、可实施性强，完全满足或优于项目需求的，得4分； 2、运维服务方案及故障响应机制不够完整、针对性和可实施性有待提高，仍满足项目需求的，得2分； 3、运维服务方案及故障响应机制简单、不具备针对性和实施性一般，存在不满足项目需求的，得1分； 4.不提供或其它情况得0分。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同类项目业绩1 (3.0分)</w:t>
            </w:r>
          </w:p>
        </w:tc>
        <w:tc>
          <w:tcPr>
            <w:tcW w:type="dxa" w:w="5076"/>
          </w:tcPr>
          <w:p>
            <w:pPr>
              <w:pStyle w:val="null3"/>
              <w:jc w:val="left"/>
            </w:pPr>
            <w:r>
              <w:rPr/>
              <w:t>1.投标人提供2023年至今承担大气污染源监管监控类项目，每提供1个项目得1分，本项最高得3分； 【注：提供委托书或任务书或合同关键页，日期以委托、任务下达、合同签订之日为准，无提供不得分，如投标人为联合体，则联合体任何一方提供均可】</w:t>
            </w:r>
          </w:p>
        </w:tc>
      </w:tr>
      <w:tr>
        <w:tc>
          <w:tcPr>
            <w:tcW w:type="dxa" w:w="922"/>
            <w:gridSpan w:val="2"/>
            <w:vMerge/>
          </w:tcPr>
          <w:p/>
        </w:tc>
        <w:tc>
          <w:tcPr>
            <w:tcW w:type="dxa" w:w="2307"/>
          </w:tcPr>
          <w:p>
            <w:pPr>
              <w:pStyle w:val="null3"/>
              <w:jc w:val="left"/>
            </w:pPr>
            <w:r>
              <w:rPr/>
              <w:t>同类项目业绩2 (4.0分)</w:t>
            </w:r>
          </w:p>
        </w:tc>
        <w:tc>
          <w:tcPr>
            <w:tcW w:type="dxa" w:w="5076"/>
          </w:tcPr>
          <w:p>
            <w:pPr>
              <w:pStyle w:val="null3"/>
              <w:jc w:val="left"/>
            </w:pPr>
            <w:r>
              <w:rPr/>
              <w:t>2.投标人提供2023年至今承担走航与定点监测溯源服务类项目，每提供1个项目得1分，本项最高得4分； 【注：提供委托书或任务书或合同关键页，日期以委托、任务下达、合同签订之日为准，无提供不得分，如投标人为联合体，则联合体任何一方提供均可】</w:t>
            </w:r>
          </w:p>
        </w:tc>
      </w:tr>
      <w:tr>
        <w:tc>
          <w:tcPr>
            <w:tcW w:type="dxa" w:w="922"/>
            <w:gridSpan w:val="2"/>
            <w:vMerge/>
          </w:tcPr>
          <w:p/>
        </w:tc>
        <w:tc>
          <w:tcPr>
            <w:tcW w:type="dxa" w:w="2307"/>
          </w:tcPr>
          <w:p>
            <w:pPr>
              <w:pStyle w:val="null3"/>
              <w:jc w:val="left"/>
            </w:pPr>
            <w:r>
              <w:rPr/>
              <w:t>同类项目业绩3 (3.0分)</w:t>
            </w:r>
          </w:p>
        </w:tc>
        <w:tc>
          <w:tcPr>
            <w:tcW w:type="dxa" w:w="5076"/>
          </w:tcPr>
          <w:p>
            <w:pPr>
              <w:pStyle w:val="null3"/>
              <w:jc w:val="left"/>
            </w:pPr>
            <w:r>
              <w:rPr/>
              <w:t>3.投标人提供2023年至今承担大气污染数据综合分析类项目，每提供1个项目得1分，本项最高得3分； 【注：提供委托书或任务书或合同关键页，日期以委托、任务下达、合同签订之日为准，无提供不得分，如投标人为联合体，则联合体任何一方提供均可】</w:t>
            </w:r>
          </w:p>
        </w:tc>
      </w:tr>
      <w:tr>
        <w:tc>
          <w:tcPr>
            <w:tcW w:type="dxa" w:w="922"/>
            <w:gridSpan w:val="2"/>
            <w:vMerge/>
          </w:tcPr>
          <w:p/>
        </w:tc>
        <w:tc>
          <w:tcPr>
            <w:tcW w:type="dxa" w:w="2307"/>
          </w:tcPr>
          <w:p>
            <w:pPr>
              <w:pStyle w:val="null3"/>
              <w:jc w:val="left"/>
            </w:pPr>
            <w:r>
              <w:rPr/>
              <w:t>团队实力1 (5.0分)</w:t>
            </w:r>
          </w:p>
        </w:tc>
        <w:tc>
          <w:tcPr>
            <w:tcW w:type="dxa" w:w="5076"/>
          </w:tcPr>
          <w:p>
            <w:pPr>
              <w:pStyle w:val="null3"/>
              <w:jc w:val="left"/>
            </w:pPr>
            <w:r>
              <w:rPr/>
              <w:t>1、项目负责人： （1）具有环境类教授或研究员或正高级工程师职称，得3分；具有环境类副教授或副研究员或高级工程师职称，得2分；具有环境类讲师或助理研究员或工程师职称的，得1分，其它不得分；本项最高得3分，项目负责人具有多个职称的，按最高级别进行计分。 （2）自2023年1月1日至今获得环境保护科学技术、环境保护技术奖，每个得1分，最高得2分。 【注：①同时提供相关人员职称证书及投标截止时间半年内任意一个月投标人为其缴纳的社保证明，提供不全或无提供不得分。②如投标人为联合体，由联合体牵头方拟投入项目负责人】</w:t>
            </w:r>
          </w:p>
        </w:tc>
      </w:tr>
      <w:tr>
        <w:tc>
          <w:tcPr>
            <w:tcW w:type="dxa" w:w="922"/>
            <w:gridSpan w:val="2"/>
            <w:vMerge/>
          </w:tcPr>
          <w:p/>
        </w:tc>
        <w:tc>
          <w:tcPr>
            <w:tcW w:type="dxa" w:w="2307"/>
          </w:tcPr>
          <w:p>
            <w:pPr>
              <w:pStyle w:val="null3"/>
              <w:jc w:val="left"/>
            </w:pPr>
            <w:r>
              <w:rPr/>
              <w:t>团队实力2 (10.0分)</w:t>
            </w:r>
          </w:p>
        </w:tc>
        <w:tc>
          <w:tcPr>
            <w:tcW w:type="dxa" w:w="5076"/>
          </w:tcPr>
          <w:p>
            <w:pPr>
              <w:pStyle w:val="null3"/>
              <w:jc w:val="left"/>
            </w:pPr>
            <w:r>
              <w:rPr/>
              <w:t>2、参与本项目的团队成员（不含项目负责人）：具有环境类副教授或副研究员或高级工程师及职称或更高级别职称，每提供一个符合要求的人员得1分，最高得10分； 【注：①上述人员同时提供职称证书及投标截止时间半年内任意一个月投标人为其缴纳的社保证明，提供不全或无提供不得分。②如投标人为联合体，则联合体任何一方提供均可】</w:t>
            </w:r>
          </w:p>
        </w:tc>
      </w:tr>
      <w:tr>
        <w:tc>
          <w:tcPr>
            <w:tcW w:type="dxa" w:w="922"/>
            <w:gridSpan w:val="2"/>
            <w:vMerge/>
          </w:tcPr>
          <w:p/>
        </w:tc>
        <w:tc>
          <w:tcPr>
            <w:tcW w:type="dxa" w:w="2307"/>
          </w:tcPr>
          <w:p>
            <w:pPr>
              <w:pStyle w:val="null3"/>
              <w:jc w:val="left"/>
            </w:pPr>
            <w:r>
              <w:rPr/>
              <w:t>团队实力3 (4.0分)</w:t>
            </w:r>
          </w:p>
        </w:tc>
        <w:tc>
          <w:tcPr>
            <w:tcW w:type="dxa" w:w="5076"/>
          </w:tcPr>
          <w:p>
            <w:pPr>
              <w:pStyle w:val="null3"/>
              <w:jc w:val="left"/>
            </w:pPr>
            <w:r>
              <w:rPr/>
              <w:t>3、投标人或项目参与人员在大气污染防治相关工作受到表扬或好评的，每提供一个表扬或好评得1分，最高得4分。 【注：①提供客户满意度评价或相关证明材料，同一客户的满意度评价证明材料只计算一次）。项目参与人员受到表扬或好评的，同时提供相关人员表扬或好评证明及投标截止时间半年内任意一个月投标人为其缴纳的社保证明，提供不全或无提供不得分。②如投标人为联合体，则联合体任何一方提供均可】</w:t>
            </w:r>
          </w:p>
        </w:tc>
      </w:tr>
      <w:tr>
        <w:tc>
          <w:tcPr>
            <w:tcW w:type="dxa" w:w="922"/>
            <w:gridSpan w:val="2"/>
            <w:vMerge/>
          </w:tcPr>
          <w:p/>
        </w:tc>
        <w:tc>
          <w:tcPr>
            <w:tcW w:type="dxa" w:w="2307"/>
          </w:tcPr>
          <w:p>
            <w:pPr>
              <w:pStyle w:val="null3"/>
              <w:jc w:val="left"/>
            </w:pPr>
            <w:r>
              <w:rPr/>
              <w:t>履约能力 (6.0分)</w:t>
            </w:r>
          </w:p>
        </w:tc>
        <w:tc>
          <w:tcPr>
            <w:tcW w:type="dxa" w:w="5076"/>
          </w:tcPr>
          <w:p>
            <w:pPr>
              <w:pStyle w:val="null3"/>
              <w:jc w:val="left"/>
            </w:pPr>
            <w:r>
              <w:rPr/>
              <w:t>投标人具有有效期内的环境管理体系认证证书、质量管理体系认证证书、职业健康安全管理体系认证证书（三个认证证书的认证范围与环境科研方向相关），每具有一项有效认证的得2分，本项最高得6分。 【注：提供有效期内相关证明材料，如投标人为联合体，则联合体任何一方提供均可】</w:t>
            </w:r>
          </w:p>
        </w:tc>
      </w:tr>
      <w:tr>
        <w:tc>
          <w:tcPr>
            <w:tcW w:type="dxa" w:w="922"/>
            <w:gridSpan w:val="2"/>
            <w:vMerge/>
          </w:tcPr>
          <w:p/>
        </w:tc>
        <w:tc>
          <w:tcPr>
            <w:tcW w:type="dxa" w:w="2307"/>
          </w:tcPr>
          <w:p>
            <w:pPr>
              <w:pStyle w:val="null3"/>
              <w:jc w:val="left"/>
            </w:pPr>
            <w:r>
              <w:rPr/>
              <w:t>服务响应 (5.0分)</w:t>
            </w:r>
            <w:r>
              <w:rPr/>
              <w:t>）</w:t>
            </w:r>
          </w:p>
        </w:tc>
        <w:tc>
          <w:tcPr>
            <w:tcW w:type="dxa" w:w="5076"/>
          </w:tcPr>
          <w:p>
            <w:pPr>
              <w:pStyle w:val="null3"/>
              <w:jc w:val="left"/>
            </w:pPr>
            <w:r>
              <w:rPr/>
              <w:t>根据投标人提供的服务响应进行评审： 1.服务响应时间为1小时（含）以内的，得5分； 2.服务响应时间为1小时（不含）至2小时（含）的，得3分； 3.服务响应时间大于2小时（不含）的，得1分。 4、未提供不得分。 【注：提供服务响应承诺或相关证明材料并加盖投标人公章，不提供承诺或证明材料评审专家无法认定的不得分（如投标人为联合体，则联合体任何一方提供均可）】</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汇总：评标结果按评审后总得分由高到低顺序排列，总得分相同的按投标报价由低到高顺序排列，得分且投标报价相同的，按以下顺序排列：①技术得分由高到低；②商务得分由高到低；③小型、微型企业，监狱企业，残疾人福利性单位。如以上都相同，由评委会采取随机抽取的方式确定。（2）排序：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广州市生态环境局</w:t>
      </w:r>
    </w:p>
    <w:p>
      <w:pPr>
        <w:pStyle w:val="null3"/>
        <w:jc w:val="center"/>
      </w:pPr>
      <w:r>
        <w:rPr>
          <w:sz w:val="52"/>
          <w:b/>
        </w:rPr>
        <w:t>采购合同</w:t>
      </w:r>
    </w:p>
    <w:p>
      <w:pPr>
        <w:pStyle w:val="null3"/>
        <w:ind w:firstLine="560"/>
        <w:jc w:val="both"/>
      </w:pPr>
      <w:r>
        <w:rPr>
          <w:sz w:val="32"/>
        </w:rPr>
        <w:t>甲</w:t>
      </w:r>
      <w:r>
        <w:rPr>
          <w:sz w:val="32"/>
        </w:rPr>
        <w:t xml:space="preserve">   </w:t>
      </w:r>
      <w:r>
        <w:rPr>
          <w:sz w:val="32"/>
        </w:rPr>
        <w:t>方：</w:t>
      </w:r>
      <w:r>
        <w:rPr>
          <w:sz w:val="32"/>
          <w:u w:val="single"/>
        </w:rPr>
        <w:t>广州市生态环境局</w:t>
      </w:r>
      <w:r>
        <w:rPr>
          <w:sz w:val="32"/>
          <w:u w:val="single"/>
        </w:rPr>
        <w:t xml:space="preserve">       </w:t>
      </w:r>
    </w:p>
    <w:p>
      <w:pPr>
        <w:pStyle w:val="null3"/>
        <w:jc w:val="both"/>
      </w:pPr>
      <w:r>
        <w:rPr>
          <w:sz w:val="32"/>
        </w:rPr>
        <w:t>乙</w:t>
      </w:r>
      <w:r>
        <w:rPr>
          <w:sz w:val="32"/>
        </w:rPr>
        <w:t xml:space="preserve">   </w:t>
      </w:r>
      <w:r>
        <w:rPr>
          <w:sz w:val="32"/>
        </w:rPr>
        <w:t>方：</w:t>
      </w:r>
      <w:r>
        <w:rPr>
          <w:u w:val="single"/>
        </w:rPr>
        <w:t xml:space="preserve">                                  </w:t>
      </w:r>
    </w:p>
    <w:p>
      <w:pPr>
        <w:pStyle w:val="null3"/>
        <w:ind w:firstLine="560"/>
        <w:jc w:val="both"/>
      </w:pPr>
      <w:r>
        <w:rPr/>
        <w:t xml:space="preserve"> </w:t>
      </w:r>
    </w:p>
    <w:p>
      <w:pPr>
        <w:pStyle w:val="null3"/>
        <w:jc w:val="both"/>
      </w:pPr>
      <w:r>
        <w:rPr>
          <w:sz w:val="21"/>
        </w:rPr>
        <w:t>委托方（甲方）：</w:t>
      </w:r>
    </w:p>
    <w:p>
      <w:pPr>
        <w:pStyle w:val="null3"/>
        <w:ind w:left="-15"/>
        <w:jc w:val="both"/>
      </w:pPr>
      <w:r>
        <w:rPr>
          <w:sz w:val="21"/>
        </w:rPr>
        <w:t>项目联系人：</w:t>
      </w:r>
    </w:p>
    <w:p>
      <w:pPr>
        <w:pStyle w:val="null3"/>
        <w:ind w:left="-15"/>
        <w:jc w:val="both"/>
      </w:pPr>
      <w:r>
        <w:rPr>
          <w:sz w:val="21"/>
        </w:rPr>
        <w:t>通讯地址：</w:t>
      </w:r>
    </w:p>
    <w:p>
      <w:pPr>
        <w:pStyle w:val="null3"/>
        <w:ind w:left="-15"/>
        <w:jc w:val="both"/>
      </w:pPr>
      <w:r>
        <w:rPr>
          <w:sz w:val="21"/>
        </w:rPr>
        <w:t>电话：</w:t>
      </w:r>
    </w:p>
    <w:p>
      <w:pPr>
        <w:pStyle w:val="null3"/>
        <w:ind w:left="-15"/>
        <w:jc w:val="both"/>
      </w:pPr>
      <w:r>
        <w:rPr>
          <w:sz w:val="21"/>
        </w:rPr>
        <w:t>传真：</w:t>
      </w:r>
    </w:p>
    <w:p>
      <w:pPr>
        <w:pStyle w:val="null3"/>
        <w:ind w:left="-15"/>
        <w:jc w:val="both"/>
      </w:pPr>
      <w:r>
        <w:rPr>
          <w:sz w:val="21"/>
        </w:rPr>
        <w:t>受托方（乙方）：</w:t>
      </w:r>
    </w:p>
    <w:p>
      <w:pPr>
        <w:pStyle w:val="null3"/>
        <w:jc w:val="both"/>
      </w:pPr>
      <w:r>
        <w:rPr>
          <w:sz w:val="21"/>
        </w:rPr>
        <w:t>项目联系人：</w:t>
      </w:r>
    </w:p>
    <w:p>
      <w:pPr>
        <w:pStyle w:val="null3"/>
        <w:jc w:val="both"/>
      </w:pPr>
      <w:r>
        <w:rPr>
          <w:sz w:val="21"/>
        </w:rPr>
        <w:t>通讯地址：</w:t>
      </w:r>
    </w:p>
    <w:p>
      <w:pPr>
        <w:pStyle w:val="null3"/>
        <w:jc w:val="both"/>
      </w:pPr>
      <w:r>
        <w:rPr>
          <w:sz w:val="21"/>
        </w:rPr>
        <w:t>电话：</w:t>
      </w:r>
    </w:p>
    <w:p>
      <w:pPr>
        <w:pStyle w:val="null3"/>
        <w:jc w:val="both"/>
      </w:pPr>
      <w:r>
        <w:rPr>
          <w:sz w:val="21"/>
        </w:rPr>
        <w:t>传真：</w:t>
      </w:r>
    </w:p>
    <w:p>
      <w:pPr>
        <w:pStyle w:val="null3"/>
        <w:jc w:val="both"/>
      </w:pPr>
      <w:r>
        <w:rPr>
          <w:sz w:val="21"/>
        </w:rPr>
        <w:t>根据《中华人民共和国民法典（合同编）》《中华人民共和国政府采购法》及广州市大气环境非现场监管能力提升服务项目（项目编号：</w:t>
      </w:r>
      <w:r>
        <w:rPr>
          <w:sz w:val="21"/>
        </w:rPr>
        <w:t>0724-2631Z197****），经双方协商一致，签订本合同。</w:t>
      </w:r>
    </w:p>
    <w:p>
      <w:pPr>
        <w:pStyle w:val="null3"/>
        <w:ind w:firstLine="422"/>
        <w:jc w:val="both"/>
      </w:pPr>
      <w:r>
        <w:rPr>
          <w:sz w:val="21"/>
          <w:b/>
        </w:rPr>
        <w:t>一、服务内容</w:t>
      </w:r>
    </w:p>
    <w:p>
      <w:pPr>
        <w:pStyle w:val="null3"/>
        <w:ind w:firstLine="420"/>
        <w:jc w:val="both"/>
      </w:pPr>
      <w:r>
        <w:rPr>
          <w:sz w:val="21"/>
          <w:u w:val="single"/>
        </w:rPr>
        <w:t>详见第二章采购需求</w:t>
      </w:r>
    </w:p>
    <w:p>
      <w:pPr>
        <w:pStyle w:val="null3"/>
        <w:ind w:firstLine="422"/>
        <w:jc w:val="both"/>
      </w:pPr>
      <w:r>
        <w:rPr>
          <w:sz w:val="21"/>
          <w:b/>
        </w:rPr>
        <w:t>二、甲方向乙方支付技术服务报酬及支付方式：</w:t>
      </w:r>
    </w:p>
    <w:p>
      <w:pPr>
        <w:pStyle w:val="null3"/>
        <w:ind w:firstLine="420"/>
        <w:jc w:val="both"/>
      </w:pPr>
      <w:r>
        <w:rPr>
          <w:sz w:val="21"/>
        </w:rPr>
        <w:t>1.技术服务费总额：人民币</w:t>
      </w:r>
      <w:r>
        <w:rPr>
          <w:sz w:val="21"/>
          <w:u w:val="single"/>
        </w:rPr>
        <w:t xml:space="preserve">         </w:t>
      </w:r>
      <w:r>
        <w:rPr>
          <w:sz w:val="21"/>
        </w:rPr>
        <w:t>元整（￥</w:t>
      </w:r>
      <w:r>
        <w:rPr>
          <w:sz w:val="21"/>
          <w:u w:val="single"/>
        </w:rPr>
        <w:t xml:space="preserve">         </w:t>
      </w:r>
      <w:r>
        <w:rPr>
          <w:sz w:val="21"/>
        </w:rPr>
        <w:t xml:space="preserve"> </w:t>
      </w:r>
      <w:r>
        <w:rPr>
          <w:sz w:val="21"/>
        </w:rPr>
        <w:t>元）</w:t>
      </w:r>
    </w:p>
    <w:p>
      <w:pPr>
        <w:pStyle w:val="null3"/>
        <w:ind w:firstLine="420"/>
        <w:jc w:val="both"/>
      </w:pPr>
      <w:r>
        <w:rPr>
          <w:sz w:val="21"/>
        </w:rPr>
        <w:t>2.结算方式：</w:t>
      </w:r>
    </w:p>
    <w:p>
      <w:pPr>
        <w:pStyle w:val="null3"/>
        <w:ind w:firstLine="420"/>
        <w:jc w:val="both"/>
      </w:pPr>
      <w:r>
        <w:rPr>
          <w:sz w:val="21"/>
        </w:rPr>
        <w:t>2.1分期付款。具体详见第二章采购需求。</w:t>
      </w:r>
    </w:p>
    <w:p>
      <w:pPr>
        <w:pStyle w:val="null3"/>
        <w:ind w:firstLine="420"/>
        <w:jc w:val="both"/>
      </w:pPr>
      <w:r>
        <w:rPr>
          <w:sz w:val="21"/>
        </w:rPr>
        <w:t>乙方开户银行名称、地址和帐号为：</w:t>
      </w:r>
    </w:p>
    <w:p>
      <w:pPr>
        <w:pStyle w:val="null3"/>
        <w:ind w:firstLine="420"/>
        <w:jc w:val="both"/>
      </w:pPr>
      <w:r>
        <w:rPr>
          <w:sz w:val="21"/>
        </w:rPr>
        <w:t>开户银行：</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2.2支付款项时，乙方同时向甲方提供：</w:t>
      </w:r>
    </w:p>
    <w:p>
      <w:pPr>
        <w:pStyle w:val="null3"/>
        <w:ind w:firstLine="420"/>
        <w:jc w:val="both"/>
      </w:pPr>
      <w:r>
        <w:rPr>
          <w:sz w:val="21"/>
        </w:rPr>
        <w:t>2.2.1合同；</w:t>
      </w:r>
    </w:p>
    <w:p>
      <w:pPr>
        <w:pStyle w:val="null3"/>
        <w:ind w:firstLine="420"/>
        <w:jc w:val="both"/>
      </w:pPr>
      <w:r>
        <w:rPr>
          <w:sz w:val="21"/>
        </w:rPr>
        <w:t>2.2.2乙方开具相应金额的正式发票；</w:t>
      </w:r>
    </w:p>
    <w:p>
      <w:pPr>
        <w:pStyle w:val="null3"/>
        <w:ind w:firstLine="420"/>
        <w:jc w:val="both"/>
      </w:pPr>
      <w:r>
        <w:rPr>
          <w:sz w:val="21"/>
        </w:rPr>
        <w:t>2.2.3中标/成交通知书。</w:t>
      </w:r>
    </w:p>
    <w:p>
      <w:pPr>
        <w:pStyle w:val="null3"/>
        <w:ind w:firstLine="422"/>
        <w:jc w:val="both"/>
      </w:pPr>
      <w:r>
        <w:rPr>
          <w:sz w:val="21"/>
          <w:b/>
        </w:rPr>
        <w:t>三、合同组成</w:t>
      </w:r>
    </w:p>
    <w:p>
      <w:pPr>
        <w:pStyle w:val="null3"/>
        <w:ind w:firstLine="420"/>
        <w:jc w:val="both"/>
      </w:pPr>
      <w:r>
        <w:rPr>
          <w:sz w:val="21"/>
        </w:rPr>
        <w:t>详细价格、服务细则及其它有关合同的特定信息由合同附件说明。所有附件及本项目的招标文件、投标文件、会议纪要、协议等均为本合同不可分割之一部分。</w:t>
      </w:r>
    </w:p>
    <w:p>
      <w:pPr>
        <w:pStyle w:val="null3"/>
        <w:ind w:firstLine="422"/>
        <w:jc w:val="both"/>
      </w:pPr>
      <w:r>
        <w:rPr>
          <w:sz w:val="21"/>
          <w:b/>
        </w:rPr>
        <w:t>四、双方的权利和义务</w:t>
      </w:r>
    </w:p>
    <w:p>
      <w:pPr>
        <w:pStyle w:val="null3"/>
        <w:ind w:firstLine="420"/>
        <w:jc w:val="both"/>
      </w:pPr>
      <w:r>
        <w:rPr>
          <w:sz w:val="21"/>
        </w:rPr>
        <w:t>1.甲方的权利和义务</w:t>
      </w:r>
    </w:p>
    <w:p>
      <w:pPr>
        <w:pStyle w:val="null3"/>
        <w:ind w:firstLine="420"/>
        <w:jc w:val="both"/>
      </w:pPr>
      <w:r>
        <w:rPr>
          <w:sz w:val="21"/>
        </w:rPr>
        <w:t>1.1甲方有权随时检查乙方的服务履行情况，并向乙方提出修改。</w:t>
      </w:r>
    </w:p>
    <w:p>
      <w:pPr>
        <w:pStyle w:val="null3"/>
        <w:ind w:firstLine="420"/>
        <w:jc w:val="both"/>
      </w:pPr>
      <w:r>
        <w:rPr>
          <w:sz w:val="21"/>
        </w:rPr>
        <w:t>1.2当发生服务违约时，则甲方有权要求乙方赔偿。</w:t>
      </w:r>
    </w:p>
    <w:p>
      <w:pPr>
        <w:pStyle w:val="null3"/>
        <w:ind w:firstLine="420"/>
        <w:jc w:val="both"/>
      </w:pPr>
      <w:r>
        <w:rPr>
          <w:sz w:val="21"/>
        </w:rPr>
        <w:t>1.3在乙方提供服务时，如对甲方的设备造成了损坏，甲方有权要求乙方赔偿。</w:t>
      </w:r>
    </w:p>
    <w:p>
      <w:pPr>
        <w:pStyle w:val="null3"/>
        <w:ind w:firstLine="420"/>
        <w:jc w:val="both"/>
      </w:pPr>
      <w:r>
        <w:rPr>
          <w:sz w:val="21"/>
        </w:rPr>
        <w:t>1.4甲方应按合同规定向乙方支付服务费用。</w:t>
      </w:r>
    </w:p>
    <w:p>
      <w:pPr>
        <w:pStyle w:val="null3"/>
        <w:ind w:firstLine="420"/>
        <w:jc w:val="both"/>
      </w:pPr>
      <w:r>
        <w:rPr>
          <w:sz w:val="21"/>
        </w:rPr>
        <w:t>2.乙方的权利和义务</w:t>
      </w:r>
    </w:p>
    <w:p>
      <w:pPr>
        <w:pStyle w:val="null3"/>
        <w:ind w:firstLine="420"/>
        <w:jc w:val="both"/>
      </w:pPr>
      <w:r>
        <w:rPr>
          <w:sz w:val="21"/>
        </w:rPr>
        <w:t>2.1乙方应按招标文件的要求、投标文件的承诺和和本合同维护细则要求执行进行服务，发生任何服务的变更均须向甲方提出交书面报审报告。</w:t>
      </w:r>
    </w:p>
    <w:p>
      <w:pPr>
        <w:pStyle w:val="null3"/>
        <w:ind w:firstLine="420"/>
        <w:jc w:val="both"/>
      </w:pPr>
      <w:r>
        <w:rPr>
          <w:sz w:val="21"/>
        </w:rPr>
        <w:t>2.2乙方有权要求甲方按时支付服务费用。如甲方不按时支付乙方有权要求甲方支付滞纳金。</w:t>
      </w:r>
    </w:p>
    <w:p>
      <w:pPr>
        <w:pStyle w:val="null3"/>
        <w:ind w:firstLine="420"/>
        <w:jc w:val="both"/>
      </w:pPr>
      <w:r>
        <w:rPr>
          <w:sz w:val="21"/>
        </w:rPr>
        <w:t>2.3乙方在提供服务时如损坏了甲方的设备，乙方应照价赔偿或更换同等设备。若因设备的损坏而引起其它损失的，乙方应作出合理赔偿（以甲乙双方协商或行政仲裁的结果赔偿）。</w:t>
      </w:r>
    </w:p>
    <w:p>
      <w:pPr>
        <w:pStyle w:val="null3"/>
        <w:ind w:firstLine="422"/>
        <w:jc w:val="both"/>
      </w:pPr>
      <w:r>
        <w:rPr>
          <w:sz w:val="21"/>
          <w:b/>
        </w:rPr>
        <w:t>五、双方确定</w:t>
      </w:r>
    </w:p>
    <w:p>
      <w:pPr>
        <w:pStyle w:val="null3"/>
        <w:ind w:firstLine="420"/>
        <w:jc w:val="both"/>
      </w:pPr>
      <w:r>
        <w:rPr>
          <w:sz w:val="21"/>
        </w:rPr>
        <w:t>1.在本合同有效期内，甲方利用乙方提交的技术服务工作成果完成的新的技术成果，归</w:t>
      </w:r>
      <w:r>
        <w:rPr>
          <w:sz w:val="21"/>
          <w:u w:val="single"/>
        </w:rPr>
        <w:t xml:space="preserve"> </w:t>
      </w:r>
      <w:r>
        <w:rPr>
          <w:sz w:val="21"/>
          <w:u w:val="single"/>
        </w:rPr>
        <w:t>甲</w:t>
      </w:r>
      <w:r>
        <w:rPr>
          <w:sz w:val="21"/>
          <w:u w:val="single"/>
        </w:rPr>
        <w:t xml:space="preserve">  </w:t>
      </w:r>
      <w:r>
        <w:rPr>
          <w:sz w:val="21"/>
        </w:rPr>
        <w:t>（甲、双）方所有。</w:t>
      </w:r>
    </w:p>
    <w:p>
      <w:pPr>
        <w:pStyle w:val="null3"/>
        <w:ind w:firstLine="420"/>
        <w:jc w:val="both"/>
      </w:pPr>
      <w:r>
        <w:rPr>
          <w:sz w:val="21"/>
        </w:rPr>
        <w:t>2.在本合同有效期内，乙方利用甲方提供的技术资料和工作条件所完成的新的技术成果，归</w:t>
      </w:r>
      <w:r>
        <w:rPr>
          <w:sz w:val="21"/>
          <w:u w:val="single"/>
        </w:rPr>
        <w:t xml:space="preserve">  </w:t>
      </w:r>
      <w:r>
        <w:rPr>
          <w:sz w:val="21"/>
          <w:u w:val="single"/>
        </w:rPr>
        <w:t>双</w:t>
      </w:r>
      <w:r>
        <w:rPr>
          <w:sz w:val="21"/>
          <w:u w:val="single"/>
        </w:rPr>
        <w:t xml:space="preserve">  </w:t>
      </w:r>
      <w:r>
        <w:rPr>
          <w:sz w:val="21"/>
        </w:rPr>
        <w:t>（乙、双）方所有。</w:t>
      </w:r>
    </w:p>
    <w:p>
      <w:pPr>
        <w:pStyle w:val="null3"/>
        <w:ind w:firstLine="420"/>
        <w:jc w:val="both"/>
      </w:pPr>
      <w:r>
        <w:rPr>
          <w:sz w:val="21"/>
        </w:rPr>
        <w:t>3.在本项目的工作成果所产生知识产权归甲方所有。乙方保证其向甲方提交的成果报告（包括且不限于阶段性成果和最终成果）及乙方为实现该成果所使用的必要方法不侵犯第三人的合法权益。甲方因使用乙方提交的成果被第三人指控侵权、提出异议或权利主张的，乙方应负责解决，并承担由此给甲方造成的一切损失。</w:t>
      </w:r>
    </w:p>
    <w:p>
      <w:pPr>
        <w:pStyle w:val="null3"/>
        <w:ind w:firstLine="422"/>
        <w:jc w:val="both"/>
      </w:pPr>
      <w:r>
        <w:rPr>
          <w:sz w:val="21"/>
          <w:b/>
        </w:rPr>
        <w:t>六、双方确定，按以下约定承担各自的违约责任</w:t>
      </w:r>
    </w:p>
    <w:p>
      <w:pPr>
        <w:pStyle w:val="null3"/>
        <w:ind w:firstLine="420"/>
        <w:jc w:val="both"/>
      </w:pPr>
      <w:r>
        <w:rPr>
          <w:sz w:val="21"/>
        </w:rPr>
        <w:t>1.乙方违反本合同约定，逾期向甲方交付工作成果的，应当以最短时间完成服务内容，每迟延一日乙方应当向甲方支付合同金额0.1%的违约金；逾期超过30日的，甲方有权解除本合同。乙方违反本合同约定，工作成果经甲方验收不合格的，甲方有权选择立即解除本合同或选择要求乙方返工。若甲方要求返工的，工期按甲方要求顺延，乙方承担由此而增加的费用。</w:t>
      </w:r>
    </w:p>
    <w:p>
      <w:pPr>
        <w:pStyle w:val="null3"/>
        <w:ind w:firstLine="420"/>
        <w:jc w:val="both"/>
      </w:pPr>
      <w:r>
        <w:rPr>
          <w:sz w:val="21"/>
        </w:rPr>
        <w:t>2.甲方违反本合同第四条约定，应当调整项目进度，并根据进度调整付费。</w:t>
      </w:r>
    </w:p>
    <w:p>
      <w:pPr>
        <w:pStyle w:val="null3"/>
        <w:ind w:firstLine="422"/>
        <w:jc w:val="both"/>
      </w:pPr>
      <w:r>
        <w:rPr>
          <w:sz w:val="21"/>
          <w:b/>
        </w:rPr>
        <w:t>七、</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为乙方项目联系人。项目联系人承担以下责任：</w:t>
      </w:r>
    </w:p>
    <w:p>
      <w:pPr>
        <w:pStyle w:val="null3"/>
        <w:ind w:firstLine="420"/>
        <w:jc w:val="both"/>
      </w:pPr>
      <w:r>
        <w:rPr>
          <w:sz w:val="21"/>
        </w:rPr>
        <w:t>1.甲方联系人需要配合技术服务进度，提供项目相关资料，确认阶段性成果。</w:t>
      </w:r>
    </w:p>
    <w:p>
      <w:pPr>
        <w:pStyle w:val="null3"/>
        <w:ind w:firstLine="420"/>
        <w:jc w:val="both"/>
      </w:pPr>
      <w:r>
        <w:rPr>
          <w:sz w:val="21"/>
        </w:rPr>
        <w:t>2.乙方联系人需要定期向甲方报告技术服务完成情况，代表乙方签收甲方的书面文件。</w:t>
      </w:r>
    </w:p>
    <w:p>
      <w:pPr>
        <w:pStyle w:val="null3"/>
        <w:ind w:firstLine="420"/>
        <w:jc w:val="both"/>
      </w:pPr>
      <w:r>
        <w:rPr>
          <w:sz w:val="21"/>
        </w:rPr>
        <w:t>一方变更项目联系人的，应当及时以书面形式通知另一方。未及时通知并影响本合同履行或造成损失的，应承担相应的责任。</w:t>
      </w:r>
    </w:p>
    <w:p>
      <w:pPr>
        <w:pStyle w:val="null3"/>
        <w:ind w:firstLine="422"/>
        <w:jc w:val="both"/>
      </w:pPr>
      <w:r>
        <w:rPr>
          <w:sz w:val="21"/>
          <w:b/>
        </w:rPr>
        <w:t>八、合同转让与分包</w:t>
      </w:r>
    </w:p>
    <w:p>
      <w:pPr>
        <w:pStyle w:val="null3"/>
        <w:ind w:firstLine="420"/>
        <w:jc w:val="both"/>
      </w:pPr>
      <w:r>
        <w:rPr>
          <w:sz w:val="21"/>
        </w:rPr>
        <w:t>本合同乙方在任何情况下都不得转让其应履行的合同义务。在征得甲方同意的情况下，允许将非主体部分分包给其他供应商。</w:t>
      </w:r>
    </w:p>
    <w:p>
      <w:pPr>
        <w:pStyle w:val="null3"/>
        <w:ind w:firstLine="422"/>
        <w:jc w:val="both"/>
      </w:pPr>
      <w:r>
        <w:rPr>
          <w:sz w:val="21"/>
          <w:b/>
        </w:rPr>
        <w:t>九、合同终止</w:t>
      </w:r>
    </w:p>
    <w:p>
      <w:pPr>
        <w:pStyle w:val="null3"/>
        <w:ind w:firstLine="420"/>
        <w:jc w:val="both"/>
      </w:pPr>
      <w:r>
        <w:rPr>
          <w:sz w:val="21"/>
        </w:rPr>
        <w:t>1.如果一方严重违反合同，并在收到对方违约通知书后在</w:t>
      </w:r>
      <w:r>
        <w:rPr>
          <w:sz w:val="21"/>
          <w:shd w:fill="FFFFFF" w:val="clear"/>
        </w:rPr>
        <w:t>30</w:t>
      </w:r>
      <w:r>
        <w:rPr>
          <w:sz w:val="21"/>
        </w:rPr>
        <w:t>天内仍未能改正违约的，另一方可立即终止本合同。</w:t>
      </w:r>
    </w:p>
    <w:p>
      <w:pPr>
        <w:pStyle w:val="null3"/>
        <w:ind w:firstLine="420"/>
        <w:jc w:val="both"/>
      </w:pPr>
      <w:r>
        <w:rPr>
          <w:sz w:val="21"/>
        </w:rPr>
        <w:t>2.合同解除后，没有履行的，终止履行，未付款不再支付；已经履行的，根据合同第二条约定的工作进度或实际已完成工作量衡量，乙方按比例退回已付款。（具体比例由双方协商决定或委托第三方审计机构核算）</w:t>
      </w:r>
    </w:p>
    <w:p>
      <w:pPr>
        <w:pStyle w:val="null3"/>
        <w:ind w:firstLine="422"/>
        <w:jc w:val="both"/>
      </w:pPr>
      <w:r>
        <w:rPr>
          <w:sz w:val="21"/>
          <w:b/>
        </w:rPr>
        <w:t>十、不可抗力</w:t>
      </w:r>
    </w:p>
    <w:p>
      <w:pPr>
        <w:pStyle w:val="null3"/>
        <w:ind w:firstLine="420"/>
        <w:jc w:val="both"/>
      </w:pPr>
      <w:r>
        <w:rPr>
          <w:sz w:val="21"/>
        </w:rPr>
        <w:t>1.不可抗力指战争、严重火灾、洪水、台风、地震等或其它双方认定的不可抗力事件。</w:t>
      </w:r>
    </w:p>
    <w:p>
      <w:pPr>
        <w:pStyle w:val="null3"/>
        <w:ind w:firstLine="420"/>
        <w:jc w:val="both"/>
      </w:pPr>
      <w:r>
        <w:rPr>
          <w:sz w:val="21"/>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十一、法律诉讼</w:t>
      </w:r>
    </w:p>
    <w:p>
      <w:pPr>
        <w:pStyle w:val="null3"/>
        <w:ind w:firstLine="42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both"/>
      </w:pPr>
      <w:r>
        <w:rPr>
          <w:sz w:val="21"/>
          <w:b/>
        </w:rPr>
        <w:t>十二、合同生效</w:t>
      </w:r>
    </w:p>
    <w:p>
      <w:pPr>
        <w:pStyle w:val="null3"/>
        <w:ind w:firstLine="420"/>
        <w:jc w:val="both"/>
      </w:pPr>
      <w:r>
        <w:rPr>
          <w:sz w:val="21"/>
        </w:rPr>
        <w:t>本合同由双方法定代表人或委托代理人签字盖章后立即生效，具有同等法律效力，服务期由</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日，合同有效期随服务期结束而自然终止。</w:t>
      </w:r>
    </w:p>
    <w:p>
      <w:pPr>
        <w:pStyle w:val="null3"/>
        <w:ind w:firstLine="420"/>
        <w:jc w:val="both"/>
      </w:pPr>
      <w:r>
        <w:rPr>
          <w:sz w:val="21"/>
        </w:rPr>
        <w:t>本合同正本一式九份，甲方五份、乙方三份、委托代理机构一份。合同自签字之日起即时生效。</w:t>
      </w:r>
    </w:p>
    <w:p>
      <w:pPr>
        <w:pStyle w:val="null3"/>
        <w:ind w:firstLine="422"/>
        <w:jc w:val="both"/>
      </w:pPr>
      <w:r>
        <w:rPr>
          <w:sz w:val="21"/>
          <w:b/>
        </w:rPr>
        <w:t>十三、其它</w:t>
      </w:r>
    </w:p>
    <w:p>
      <w:pPr>
        <w:pStyle w:val="null3"/>
        <w:ind w:firstLine="420"/>
        <w:jc w:val="both"/>
      </w:pPr>
      <w:r>
        <w:rPr>
          <w:sz w:val="21"/>
        </w:rPr>
        <w:t>1.本合同未尽事宜，经双方协商一致可书面签订补充协议，补充协议与本合同具有同等法律效力。</w:t>
      </w:r>
    </w:p>
    <w:p>
      <w:pPr>
        <w:pStyle w:val="null3"/>
        <w:ind w:firstLine="420"/>
        <w:jc w:val="both"/>
      </w:pPr>
      <w:r>
        <w:rPr>
          <w:sz w:val="21"/>
        </w:rPr>
        <w:t>2.本项目招标文件及澄清文件，乙方的投标文件和各种书面承诺均作为本合同的附件，具有同等的法律效力。</w:t>
      </w:r>
    </w:p>
    <w:p>
      <w:pPr>
        <w:pStyle w:val="null3"/>
        <w:ind w:firstLine="420"/>
        <w:jc w:val="both"/>
      </w:pPr>
      <w:r>
        <w:rPr>
          <w:sz w:val="21"/>
        </w:rPr>
        <w:t>以下无正文。</w:t>
      </w:r>
    </w:p>
    <w:p>
      <w:pPr>
        <w:pStyle w:val="null3"/>
        <w:ind w:firstLine="420"/>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25"/>
        <w:gridCol w:w="4125"/>
      </w:tblGrid>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u w:val="single"/>
              </w:rPr>
              <w:t>广州市生态环境局</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r>
      <w:tr>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c>
          <w:tcPr>
            <w:tcW w:type="dxa" w:w="412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440101-2026-06121</w:t>
      </w:r>
    </w:p>
    <w:p>
      <w:pPr>
        <w:pStyle w:val="null3"/>
        <w:jc w:val="center"/>
        <w:outlineLvl w:val="3"/>
      </w:pPr>
      <w:r>
        <w:rPr>
          <w:sz w:val="24"/>
          <w:b/>
        </w:rPr>
        <w:t>采购项目编号：</w:t>
      </w:r>
      <w:r>
        <w:rPr>
          <w:sz w:val="24"/>
          <w:b/>
        </w:rPr>
        <w:t>0724-2631Z1971938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广州市大气环境非现场监管能力提升服务项目</w:t>
      </w:r>
      <w:r>
        <w:rPr>
          <w:u w:val="single"/>
        </w:rPr>
        <w:t>”</w:t>
      </w:r>
      <w:r>
        <w:rPr/>
        <w:t>项目的招标[采购项目编号为：</w:t>
      </w:r>
      <w:r>
        <w:rPr>
          <w:u w:val="single"/>
        </w:rPr>
        <w:t>0724-2631Z1971938</w:t>
      </w:r>
      <w:r>
        <w:rPr/>
        <w:t>]，我方愿参与投标。</w:t>
      </w:r>
    </w:p>
    <w:p>
      <w:pPr>
        <w:pStyle w:val="null3"/>
        <w:ind w:firstLine="480"/>
      </w:pPr>
      <w:r>
        <w:rPr/>
        <w:t>我方确认收到贵方提供的</w:t>
      </w:r>
      <w:r>
        <w:rPr>
          <w:u w:val="single"/>
        </w:rPr>
        <w:t>“</w:t>
      </w:r>
      <w:r>
        <w:rPr>
          <w:u w:val="single"/>
        </w:rPr>
        <w:t>广州市大气环境非现场监管能力提升服务项目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广州市大气环境非现场监管能力提升服务项目</w:t>
      </w:r>
      <w:r>
        <w:rPr/>
        <w:t>”项目采购[采购项目编号为</w:t>
      </w:r>
      <w:r>
        <w:rPr/>
        <w:t>0724-2631Z1971938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广州市大气环境非现场监管能力提升服务项目</w:t>
      </w:r>
      <w:r>
        <w:rPr/>
        <w:t>招标中获中标（采购项目编号：</w:t>
      </w:r>
      <w:r>
        <w:rPr/>
        <w:t>0724-2631Z1971938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