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440701-2025-02386</w:t>
      </w:r>
    </w:p>
    <w:p>
      <w:pPr>
        <w:pStyle w:val="null3"/>
        <w:jc w:val="center"/>
        <w:outlineLvl w:val="3"/>
      </w:pPr>
      <w:r>
        <w:rPr>
          <w:sz w:val="24"/>
          <w:b/>
        </w:rPr>
        <w:t>采购项目编号：</w:t>
      </w:r>
      <w:r>
        <w:rPr>
          <w:sz w:val="24"/>
          <w:b/>
        </w:rPr>
        <w:t>0724-2511Z1974279</w:t>
      </w:r>
    </w:p>
    <w:p>
      <w:pPr>
        <w:pStyle w:val="null3"/>
        <w:jc w:val="center"/>
        <w:outlineLvl w:val="3"/>
      </w:pPr>
      <w:r>
        <w:rPr>
          <w:sz w:val="24"/>
          <w:b/>
        </w:rPr>
        <w:t>项目名称：</w:t>
      </w:r>
      <w:r>
        <w:rPr>
          <w:sz w:val="24"/>
          <w:b/>
        </w:rPr>
        <w:t>江门市中心医院后装治疗机采购项目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江门市中心医院后装治疗机采购项目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江门市中心医院后装治疗机采购项目</w:t>
      </w:r>
    </w:p>
    <w:p>
      <w:pPr>
        <w:pStyle w:val="null3"/>
        <w:ind w:firstLine="480"/>
      </w:pPr>
      <w:r>
        <w:rPr/>
        <w:t>采购计划编号：</w:t>
      </w:r>
      <w:r>
        <w:rPr/>
        <w:t>440701-2025-02386</w:t>
      </w:r>
    </w:p>
    <w:p>
      <w:pPr>
        <w:pStyle w:val="null3"/>
        <w:ind w:firstLine="480"/>
      </w:pPr>
      <w:r>
        <w:rPr/>
        <w:t>采购项目编号：</w:t>
      </w:r>
      <w:r>
        <w:rPr/>
        <w:t>0724-2511Z1974279</w:t>
      </w:r>
    </w:p>
    <w:p>
      <w:pPr>
        <w:pStyle w:val="null3"/>
        <w:ind w:firstLine="480"/>
      </w:pPr>
      <w:r>
        <w:rPr/>
        <w:t>采购方式：</w:t>
      </w:r>
      <w:r>
        <w:rPr/>
        <w:t>公开招标</w:t>
      </w:r>
    </w:p>
    <w:p>
      <w:pPr>
        <w:pStyle w:val="null3"/>
        <w:ind w:firstLine="480"/>
      </w:pPr>
      <w:r>
        <w:rPr/>
        <w:t>预算金额：</w:t>
      </w:r>
      <w:r>
        <w:rPr/>
        <w:t>4,700,000.00</w:t>
      </w:r>
      <w:r>
        <w:rPr/>
        <w:t>元</w:t>
      </w:r>
    </w:p>
    <w:p>
      <w:pPr>
        <w:pStyle w:val="null3"/>
        <w:outlineLvl w:val="3"/>
      </w:pPr>
      <w:r>
        <w:rPr>
          <w:sz w:val="24"/>
          <w:b/>
        </w:rPr>
        <w:t>2.项目内容及需求情况（采购项目技术规格、参数及要求）</w:t>
      </w:r>
    </w:p>
    <w:p>
      <w:pPr>
        <w:pStyle w:val="null3"/>
      </w:pPr>
      <w:r>
        <w:rPr/>
        <w:t>采购包1(后装治疗机):</w:t>
      </w:r>
    </w:p>
    <w:p>
      <w:pPr>
        <w:pStyle w:val="null3"/>
      </w:pPr>
      <w:r>
        <w:rPr/>
        <w:t>采购包预算金额：4,700,000.00元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医用放射射线治疗设备</w:t>
            </w:r>
          </w:p>
        </w:tc>
        <w:tc>
          <w:tcPr>
            <w:tcW w:type="dxa" w:w="2052"/>
          </w:tcPr>
          <w:p>
            <w:pPr>
              <w:pStyle w:val="null3"/>
            </w:pPr>
            <w:r>
              <w:rPr/>
              <w:t>后装治疗机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4,700,000.00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采购包1（后装治疗机）：</w:t>
      </w:r>
      <w:r>
        <w:rPr/>
        <w:t>本采购包不专门面向中小企业采购。</w:t>
      </w:r>
    </w:p>
    <w:p>
      <w:pPr>
        <w:pStyle w:val="null3"/>
        <w:outlineLvl w:val="3"/>
      </w:pPr>
      <w:r>
        <w:rPr>
          <w:sz w:val="24"/>
          <w:b/>
        </w:rPr>
        <w:t>3.本项目特定的资格要求：</w:t>
      </w:r>
    </w:p>
    <w:p>
      <w:pPr>
        <w:pStyle w:val="null3"/>
      </w:pPr>
      <w:r>
        <w:rPr/>
        <w:t>采购包1（后装治疗机）：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4)投标人具有《辐射安全许可证》，且种类和范围包括：销售III类射线装置。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540"/>
        <w:tblBorders>
          <w:top w:val="none" w:color="000000" w:sz="4"/>
          <w:left w:val="none" w:color="000000" w:sz="4"/>
          <w:bottom w:val="none" w:color="000000" w:sz="4"/>
          <w:right w:val="none" w:color="000000" w:sz="4"/>
          <w:insideH w:val="none"/>
          <w:insideV w:val="none"/>
        </w:tblBorders>
      </w:tblPr>
      <w:tblGrid>
        <w:gridCol w:w="3700"/>
        <w:gridCol w:w="1372"/>
        <w:gridCol w:w="3234"/>
      </w:tblGrid>
      <w:tr>
        <w:tc>
          <w:tcPr>
            <w:tcW w:type="dxa" w:w="3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3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后装治疗机</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3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4,700,000.00</w:t>
            </w:r>
          </w:p>
        </w:tc>
      </w:tr>
    </w:tbl>
    <w:p>
      <w:pPr>
        <w:pStyle w:val="null3"/>
        <w:ind w:firstLine="402"/>
        <w:jc w:val="both"/>
      </w:pPr>
      <w:r>
        <w:rPr>
          <w:sz w:val="20"/>
          <w:b/>
        </w:rPr>
        <w:t>注：经政府采购管理部门同意，本项目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pPr>
      <w:r>
        <w:rPr>
          <w:b/>
        </w:rPr>
        <w:t>二、技术要求</w:t>
      </w:r>
    </w:p>
    <w:tbl>
      <w:tblPr>
        <w:tblW w:w="0" w:type="auto"/>
        <w:tblBorders>
          <w:top w:val="none" w:color="000000" w:sz="4"/>
          <w:left w:val="none" w:color="000000" w:sz="4"/>
          <w:bottom w:val="none" w:color="000000" w:sz="4"/>
          <w:right w:val="none" w:color="000000" w:sz="4"/>
          <w:insideH w:val="none"/>
          <w:insideV w:val="none"/>
        </w:tblBorders>
      </w:tblPr>
      <w:tblGrid>
        <w:gridCol w:w="1101"/>
        <w:gridCol w:w="7205"/>
      </w:tblGrid>
      <w:tr>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总体要求</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系统用途：主要用于高剂量率后装近距离治疗。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基本要求和系统基本组成</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1.2</w:t>
            </w:r>
            <w:r>
              <w:rPr>
                <w:sz w:val="21"/>
              </w:rPr>
              <w:t>.1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w:t>
            </w:r>
            <w:r>
              <w:rPr>
                <w:sz w:val="21"/>
              </w:rPr>
              <w:t>系统组成：</w:t>
            </w:r>
            <w:r>
              <w:rPr>
                <w:sz w:val="21"/>
              </w:rPr>
              <w:t>系统包括后装治疗机、近距离治疗计划系统、施源器、</w:t>
            </w:r>
            <w:r>
              <w:rPr>
                <w:sz w:val="21"/>
              </w:rPr>
              <w:t>独立医生工作站及其配套软件</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w:t>
            </w:r>
            <w:r>
              <w:rPr>
                <w:sz w:val="21"/>
              </w:rPr>
              <w:t>）</w:t>
            </w:r>
            <w:r>
              <w:rPr>
                <w:sz w:val="21"/>
              </w:rPr>
              <w:t>系统基本功能：系统能完成近距离治疗的二维和三维治疗计划的设计和实施。</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w:t>
            </w:r>
            <w:r>
              <w:rPr>
                <w:sz w:val="21"/>
              </w:rPr>
              <w:t>治疗计划系统基本要求：近距离治疗计划系统应能精确重建所用施源器，并精确计算病人体内吸收剂量，将剂量分布结果以二维和三维方式显示。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后装治疗主机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基本要求</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1"/>
              </w:rPr>
              <w:t>2.1.1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治疗通道：后装机应具备</w:t>
            </w:r>
            <w:r>
              <w:rPr>
                <w:sz w:val="21"/>
              </w:rPr>
              <w:t>≥</w:t>
            </w:r>
            <w:r>
              <w:rPr>
                <w:sz w:val="21"/>
              </w:rPr>
              <w:t>20个治疗通道。</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1"/>
              </w:rPr>
              <w:t>2.1.2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放射源驻留步长：步长应达到</w:t>
            </w:r>
            <w:r>
              <w:rPr>
                <w:sz w:val="21"/>
              </w:rPr>
              <w:t>1mm。</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2.1.3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放射源驻留点数目：每个通道驻留点数应保证</w:t>
            </w:r>
            <w:r>
              <w:rPr>
                <w:sz w:val="21"/>
              </w:rPr>
              <w:t>400个</w:t>
            </w:r>
            <w:r>
              <w:rPr>
                <w:sz w:val="21"/>
              </w:rPr>
              <w:t>以上</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1"/>
              </w:rPr>
              <w:t>2.1.4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治疗长度：最小步长</w:t>
            </w:r>
            <w:r>
              <w:rPr>
                <w:sz w:val="21"/>
              </w:rPr>
              <w:t>1mm时，治疗长度应达到400mm</w:t>
            </w:r>
            <w:r>
              <w:rPr>
                <w:sz w:val="21"/>
              </w:rPr>
              <w:t>以上</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治疗导管长度：所有传输导管都为相同标准长度，避免传输管长度混淆。</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主机重量：主机重量</w:t>
            </w:r>
            <w:r>
              <w:rPr>
                <w:sz w:val="21"/>
                <w:b/>
              </w:rPr>
              <w:t>≤</w:t>
            </w:r>
            <w:r>
              <w:rPr>
                <w:sz w:val="21"/>
              </w:rPr>
              <w:t>100kg，便于移动。</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1"/>
              </w:rPr>
              <w:t>2.2.1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放射源类型：使用铱</w:t>
            </w:r>
            <w:r>
              <w:rPr>
                <w:sz w:val="21"/>
              </w:rPr>
              <w:t>192放射源。</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1"/>
              </w:rPr>
              <w:t>2.2.2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放射源活度：新放射源的活度应在</w:t>
            </w:r>
            <w:r>
              <w:rPr>
                <w:sz w:val="21"/>
              </w:rPr>
              <w:t>10Ci±10%的范围。</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2.2.3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放射源尺寸：放射源包壳尺寸应达到：直径</w:t>
            </w:r>
            <w:r>
              <w:rPr>
                <w:sz w:val="21"/>
              </w:rPr>
              <w:t>≤0.86mm，长度≤4.6mm。</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源线直径尺寸：源线直径应</w:t>
            </w:r>
            <w:r>
              <w:rPr>
                <w:sz w:val="21"/>
              </w:rPr>
              <w:t>≤0.85mm。</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2.2.5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放射源传输次数：放射源传输次数</w:t>
            </w:r>
            <w:r>
              <w:rPr>
                <w:sz w:val="21"/>
              </w:rPr>
              <w:t>≥30,000次。</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2.2.6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放射源数量：</w:t>
            </w:r>
            <w:r>
              <w:rPr>
                <w:sz w:val="21"/>
              </w:rPr>
              <w:t>≥</w:t>
            </w:r>
            <w:r>
              <w:rPr>
                <w:sz w:val="21"/>
              </w:rPr>
              <w:t>4</w:t>
            </w:r>
            <w:r>
              <w:rPr>
                <w:sz w:val="21"/>
              </w:rPr>
              <w:t>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放射源驱动系统</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2.3.1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放射源到位精度：放射源到位精度应</w:t>
            </w:r>
            <w:r>
              <w:rPr>
                <w:sz w:val="21"/>
              </w:rPr>
              <w:t>≤0.5mm。</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2.3.2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放射源最小步进长度：放射源最小步进长度</w:t>
            </w:r>
            <w:r>
              <w:rPr>
                <w:sz w:val="21"/>
              </w:rPr>
              <w:t>≤1mm。</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2.3.3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放射源最小治疗半径：源所能通过最小治疗通道半径</w:t>
            </w:r>
            <w:r>
              <w:rPr>
                <w:sz w:val="21"/>
              </w:rPr>
              <w:t>≤13mm。</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辐射漏射</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2.4.1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装载</w:t>
            </w:r>
            <w:r>
              <w:rPr>
                <w:sz w:val="21"/>
              </w:rPr>
              <w:t>10居里放射源时，距离机器表面5cm处的剂量当量率≤0.01mSv/h。</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安全性和质量保证要求</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假源线：假源线检测传输导管和施源器连接的通道通畅性。</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传输导管与后装机连接监测：通道分度器时刻监测所有传输导管与后装机的连接。</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放射源回收系统：应具备采用电池供电直流电机的放射源回收系统。</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放射源放射性污染检测工具：应具备专用源线擦拭工具，用于检测放射性污染。</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放射源到位精度调整：可在控制系统中对放射源到位精度进行调整。</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治疗控制系统</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基本组成：含控制记录用计算机</w:t>
            </w:r>
            <w:r>
              <w:rPr>
                <w:sz w:val="21"/>
              </w:rPr>
              <w:t>至少</w:t>
            </w:r>
            <w:r>
              <w:rPr>
                <w:sz w:val="21"/>
              </w:rPr>
              <w:t>一台和治疗控制面板</w:t>
            </w:r>
            <w:r>
              <w:rPr>
                <w:sz w:val="21"/>
              </w:rPr>
              <w:t>至少</w:t>
            </w:r>
            <w:r>
              <w:rPr>
                <w:sz w:val="21"/>
              </w:rPr>
              <w:t>一套。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2.6.2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计算机硬件：计算机显示器</w:t>
            </w:r>
            <w:r>
              <w:rPr>
                <w:sz w:val="21"/>
              </w:rPr>
              <w:t>≥27</w:t>
            </w:r>
            <w:r>
              <w:rPr>
                <w:sz w:val="21"/>
              </w:rPr>
              <w:t>英寸，操作系统为</w:t>
            </w:r>
            <w:r>
              <w:rPr>
                <w:sz w:val="21"/>
              </w:rPr>
              <w:t xml:space="preserve">Windows </w:t>
            </w:r>
            <w:r>
              <w:rPr>
                <w:sz w:val="21"/>
              </w:rPr>
              <w:t>10</w:t>
            </w:r>
            <w:r>
              <w:rPr>
                <w:sz w:val="21"/>
              </w:rPr>
              <w:t>或以上操作系统。</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2.6.3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控制系统模块：治疗控制系统应该包括治疗、计划管理、维护、报告模块和专门的</w:t>
            </w:r>
            <w:r>
              <w:rPr>
                <w:sz w:val="21"/>
              </w:rPr>
              <w:t>QA模块。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用户界面信息</w:t>
            </w:r>
            <w:r>
              <w:rPr>
                <w:sz w:val="21"/>
              </w:rPr>
              <w:t>：</w:t>
            </w:r>
          </w:p>
          <w:p>
            <w:pPr>
              <w:pStyle w:val="null3"/>
              <w:jc w:val="both"/>
            </w:pPr>
            <w:r>
              <w:rPr>
                <w:sz w:val="21"/>
              </w:rPr>
              <w:t>（</w:t>
            </w:r>
            <w:r>
              <w:rPr>
                <w:sz w:val="21"/>
              </w:rPr>
              <w:t>1</w:t>
            </w:r>
            <w:r>
              <w:rPr>
                <w:sz w:val="21"/>
              </w:rPr>
              <w:t>）</w:t>
            </w:r>
            <w:r>
              <w:rPr>
                <w:sz w:val="21"/>
              </w:rPr>
              <w:t>用户界面应可显示患者和系统的信息。</w:t>
            </w:r>
          </w:p>
          <w:p>
            <w:pPr>
              <w:pStyle w:val="null3"/>
              <w:jc w:val="both"/>
            </w:pPr>
            <w:r>
              <w:rPr>
                <w:sz w:val="21"/>
              </w:rPr>
              <w:t>（</w:t>
            </w:r>
            <w:r>
              <w:rPr>
                <w:sz w:val="21"/>
              </w:rPr>
              <w:t>2</w:t>
            </w:r>
            <w:r>
              <w:rPr>
                <w:sz w:val="21"/>
              </w:rPr>
              <w:t>）</w:t>
            </w:r>
            <w:r>
              <w:rPr>
                <w:sz w:val="21"/>
              </w:rPr>
              <w:t>应具备信息显示栏，显示系统状态和提示下一步需要进行的操作。</w:t>
            </w:r>
          </w:p>
          <w:p>
            <w:pPr>
              <w:pStyle w:val="null3"/>
              <w:jc w:val="both"/>
            </w:pPr>
            <w:r>
              <w:rPr>
                <w:sz w:val="21"/>
              </w:rPr>
              <w:t>（</w:t>
            </w:r>
            <w:r>
              <w:rPr>
                <w:sz w:val="21"/>
              </w:rPr>
              <w:t>3</w:t>
            </w:r>
            <w:r>
              <w:rPr>
                <w:sz w:val="21"/>
              </w:rPr>
              <w:t>）</w:t>
            </w:r>
            <w:r>
              <w:rPr>
                <w:sz w:val="21"/>
              </w:rPr>
              <w:t>应具备检查列表，实时显示系统状态和安全连锁信息。</w:t>
            </w:r>
          </w:p>
          <w:p>
            <w:pPr>
              <w:pStyle w:val="null3"/>
              <w:jc w:val="both"/>
            </w:pPr>
            <w:r>
              <w:rPr>
                <w:sz w:val="21"/>
              </w:rPr>
              <w:t>（</w:t>
            </w:r>
            <w:r>
              <w:rPr>
                <w:sz w:val="21"/>
              </w:rPr>
              <w:t>4</w:t>
            </w:r>
            <w:r>
              <w:rPr>
                <w:sz w:val="21"/>
              </w:rPr>
              <w:t>）</w:t>
            </w:r>
            <w:r>
              <w:rPr>
                <w:sz w:val="21"/>
              </w:rPr>
              <w:t>治疗时，彩色动画显示治疗通道、放射源驻留位置和系统状态。</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治疗计划修改和编辑：可方便的修改和编辑计划。</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治疗报告：生成治疗前和治疗后报告。</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2.6.7</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治疗计划导入：可支持通过网络导入</w:t>
            </w:r>
            <w:r>
              <w:rPr>
                <w:sz w:val="21"/>
              </w:rPr>
              <w:t>DICOM治疗计划。</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2.6.8</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用户权限管理：可对每个用户单独设置用户权限和密码保护。</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2.6.9</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治疗控制面板</w:t>
            </w:r>
            <w:r>
              <w:rPr>
                <w:sz w:val="21"/>
              </w:rPr>
              <w:t>：</w:t>
            </w:r>
          </w:p>
          <w:p>
            <w:pPr>
              <w:pStyle w:val="null3"/>
              <w:jc w:val="both"/>
            </w:pPr>
            <w:r>
              <w:rPr>
                <w:sz w:val="21"/>
              </w:rPr>
              <w:t>（</w:t>
            </w:r>
            <w:r>
              <w:rPr>
                <w:sz w:val="21"/>
              </w:rPr>
              <w:t>1</w:t>
            </w:r>
            <w:r>
              <w:rPr>
                <w:sz w:val="21"/>
              </w:rPr>
              <w:t>）</w:t>
            </w:r>
            <w:r>
              <w:rPr>
                <w:sz w:val="21"/>
              </w:rPr>
              <w:t>操控方式：治疗控制面板应采用触控式设计，可动态显示各种控制信息。</w:t>
            </w:r>
          </w:p>
          <w:p>
            <w:pPr>
              <w:pStyle w:val="null3"/>
              <w:jc w:val="both"/>
            </w:pPr>
            <w:r>
              <w:rPr>
                <w:sz w:val="21"/>
              </w:rPr>
              <w:t>（</w:t>
            </w:r>
            <w:r>
              <w:rPr>
                <w:sz w:val="21"/>
              </w:rPr>
              <w:t>2</w:t>
            </w:r>
            <w:r>
              <w:rPr>
                <w:sz w:val="21"/>
              </w:rPr>
              <w:t>）</w:t>
            </w:r>
            <w:r>
              <w:rPr>
                <w:sz w:val="21"/>
              </w:rPr>
              <w:t>报警</w:t>
            </w:r>
            <w:r>
              <w:rPr>
                <w:sz w:val="21"/>
              </w:rPr>
              <w:t>：</w:t>
            </w:r>
          </w:p>
          <w:p>
            <w:pPr>
              <w:pStyle w:val="null3"/>
              <w:jc w:val="both"/>
            </w:pPr>
            <w:r>
              <w:rPr>
                <w:sz w:val="21"/>
              </w:rPr>
              <w:t>1</w:t>
            </w:r>
            <w:r>
              <w:rPr>
                <w:sz w:val="21"/>
              </w:rPr>
              <w:t>）</w:t>
            </w:r>
            <w:r>
              <w:rPr>
                <w:sz w:val="21"/>
              </w:rPr>
              <w:t>出现报警状况时显示警报和编码。</w:t>
            </w:r>
          </w:p>
          <w:p>
            <w:pPr>
              <w:pStyle w:val="null3"/>
              <w:jc w:val="both"/>
            </w:pPr>
            <w:r>
              <w:rPr>
                <w:sz w:val="21"/>
              </w:rPr>
              <w:t>2</w:t>
            </w:r>
            <w:r>
              <w:rPr>
                <w:sz w:val="21"/>
              </w:rPr>
              <w:t>）</w:t>
            </w:r>
            <w:r>
              <w:rPr>
                <w:sz w:val="21"/>
              </w:rPr>
              <w:t>出现报警状态时具有声音报警。</w:t>
            </w:r>
          </w:p>
          <w:p>
            <w:pPr>
              <w:pStyle w:val="null3"/>
              <w:jc w:val="both"/>
            </w:pPr>
            <w:r>
              <w:rPr>
                <w:sz w:val="21"/>
              </w:rPr>
              <w:t>3</w:t>
            </w:r>
            <w:r>
              <w:rPr>
                <w:sz w:val="21"/>
              </w:rPr>
              <w:t>）</w:t>
            </w:r>
            <w:r>
              <w:rPr>
                <w:sz w:val="21"/>
              </w:rPr>
              <w:t>治疗状态显示：治疗过程中，动态显示剩余治疗时间和照射状态。</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配套工具和设备</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2.7.1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应具备应急源罐。</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应具备应急钳子和剪刀，用于紧急情况下处理放射源。</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应具备放射源位置检查尺，精确验证放射源到位精度。</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应具备放射源位置模拟尺，用于确定治疗位置以及测量施源器的长度。</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应具备独立室内辐射监测系统。</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应包括彩色闭路监视系统和对讲系统</w:t>
            </w:r>
            <w:r>
              <w:rPr>
                <w:sz w:val="21"/>
              </w:rPr>
              <w:t>至少</w:t>
            </w:r>
            <w:r>
              <w:rPr>
                <w:sz w:val="21"/>
              </w:rPr>
              <w:t>1套。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2.7.7</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w:t>
            </w:r>
            <w:r>
              <w:rPr>
                <w:sz w:val="21"/>
              </w:rPr>
              <w:t>1套放射源验证系统，包括井型电离室、静电计、放射源适配器支架、线缆及放射源校准证书。</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近距离治疗计划系统</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计算机工作站：含一台近距离治疗计划工作站及外设。</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WINDOWS</w:t>
            </w:r>
            <w:r>
              <w:rPr>
                <w:sz w:val="21"/>
              </w:rPr>
              <w:t xml:space="preserve"> </w:t>
            </w:r>
            <w:r>
              <w:rPr>
                <w:sz w:val="21"/>
              </w:rPr>
              <w:t>10</w:t>
            </w:r>
            <w:r>
              <w:rPr>
                <w:sz w:val="21"/>
              </w:rPr>
              <w:t>、</w:t>
            </w:r>
            <w:r>
              <w:rPr>
                <w:sz w:val="21"/>
              </w:rPr>
              <w:t>64位专业版操作系统</w:t>
            </w:r>
            <w:r>
              <w:rPr>
                <w:sz w:val="21"/>
              </w:rPr>
              <w:t>或以上</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3.1.2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CPU：英特尔至强八核CPU，主频≥3.0GHz。</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硬盘：固态硬盘</w:t>
            </w:r>
            <w:r>
              <w:rPr>
                <w:sz w:val="21"/>
              </w:rPr>
              <w:t>≥2Tb</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3.1.4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图形加速卡：品牌彩色图形加速卡，显存</w:t>
            </w:r>
            <w:r>
              <w:rPr>
                <w:sz w:val="21"/>
              </w:rPr>
              <w:t>≥</w:t>
            </w:r>
            <w:r>
              <w:rPr>
                <w:sz w:val="21"/>
              </w:rPr>
              <w:t>2</w:t>
            </w:r>
            <w:r>
              <w:rPr>
                <w:sz w:val="21"/>
              </w:rPr>
              <w:t>GB。</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内存：工作站内存配置</w:t>
            </w:r>
            <w:r>
              <w:rPr>
                <w:sz w:val="21"/>
              </w:rPr>
              <w:t>≥</w:t>
            </w:r>
            <w:r>
              <w:rPr>
                <w:sz w:val="21"/>
              </w:rPr>
              <w:t>32</w:t>
            </w:r>
            <w:r>
              <w:rPr>
                <w:sz w:val="21"/>
              </w:rPr>
              <w:t>GB。</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彩色液晶显示器</w:t>
            </w:r>
            <w:r>
              <w:rPr>
                <w:sz w:val="21"/>
              </w:rPr>
              <w:t>≥24英寸。</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3.1.7</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DVD刻录机。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应配置</w:t>
            </w:r>
            <w:r>
              <w:rPr>
                <w:sz w:val="21"/>
              </w:rPr>
              <w:t>A4幅面彩色激光打印机。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应配置不间断电源。</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近距离治疗计划系统软件：后装机用近距离治疗计划系统软件。</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3.4.1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轮廓线勾画和图像融合功能</w:t>
            </w:r>
            <w:r>
              <w:rPr>
                <w:sz w:val="21"/>
              </w:rPr>
              <w:t>1</w:t>
            </w:r>
            <w:r>
              <w:rPr>
                <w:sz w:val="21"/>
              </w:rPr>
              <w:t>：</w:t>
            </w:r>
          </w:p>
          <w:p>
            <w:pPr>
              <w:pStyle w:val="null3"/>
              <w:jc w:val="both"/>
            </w:pPr>
            <w:r>
              <w:rPr>
                <w:sz w:val="21"/>
              </w:rPr>
              <w:t>（</w:t>
            </w:r>
            <w:r>
              <w:rPr>
                <w:sz w:val="21"/>
              </w:rPr>
              <w:t>1</w:t>
            </w:r>
            <w:r>
              <w:rPr>
                <w:sz w:val="21"/>
              </w:rPr>
              <w:t>）</w:t>
            </w:r>
            <w:r>
              <w:rPr>
                <w:sz w:val="21"/>
              </w:rPr>
              <w:t>可三维重建任意层面，并支持在冠状面、矢状面、横断面及其他任意切面上都可以进行靶区和正常组织勾画。</w:t>
            </w:r>
          </w:p>
          <w:p>
            <w:pPr>
              <w:pStyle w:val="null3"/>
              <w:jc w:val="both"/>
            </w:pPr>
            <w:r>
              <w:rPr>
                <w:sz w:val="21"/>
              </w:rPr>
              <w:t>（</w:t>
            </w:r>
            <w:r>
              <w:rPr>
                <w:sz w:val="21"/>
              </w:rPr>
              <w:t>2</w:t>
            </w:r>
            <w:r>
              <w:rPr>
                <w:sz w:val="21"/>
              </w:rPr>
              <w:t>）</w:t>
            </w:r>
            <w:r>
              <w:rPr>
                <w:sz w:val="21"/>
              </w:rPr>
              <w:t>可实现</w:t>
            </w:r>
            <w:r>
              <w:rPr>
                <w:sz w:val="21"/>
              </w:rPr>
              <w:t>CT、MR、PET等多个系列影像融合。</w:t>
            </w:r>
          </w:p>
          <w:p>
            <w:pPr>
              <w:pStyle w:val="null3"/>
              <w:jc w:val="both"/>
            </w:pPr>
            <w:r>
              <w:rPr>
                <w:sz w:val="21"/>
              </w:rPr>
              <w:t>（</w:t>
            </w:r>
            <w:r>
              <w:rPr>
                <w:sz w:val="21"/>
              </w:rPr>
              <w:t>3</w:t>
            </w:r>
            <w:r>
              <w:rPr>
                <w:sz w:val="21"/>
              </w:rPr>
              <w:t>）</w:t>
            </w:r>
            <w:r>
              <w:rPr>
                <w:sz w:val="21"/>
              </w:rPr>
              <w:t>可提供全自动、</w:t>
            </w:r>
            <w:r>
              <w:rPr>
                <w:sz w:val="21"/>
              </w:rPr>
              <w:t>Dicom Identity信息、标记点、三维表面和手工的图像配准。</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r>
              <w:rPr>
                <w:sz w:val="21"/>
              </w:rPr>
              <w:t>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轮廓线勾画和图像融合功能</w:t>
            </w:r>
            <w:r>
              <w:rPr>
                <w:sz w:val="21"/>
              </w:rPr>
              <w:t>2</w:t>
            </w:r>
            <w:r>
              <w:rPr>
                <w:sz w:val="21"/>
              </w:rPr>
              <w:t>：</w:t>
            </w:r>
          </w:p>
          <w:p>
            <w:pPr>
              <w:pStyle w:val="null3"/>
              <w:jc w:val="both"/>
            </w:pPr>
            <w:r>
              <w:rPr>
                <w:sz w:val="21"/>
              </w:rPr>
              <w:t>（</w:t>
            </w:r>
            <w:r>
              <w:rPr>
                <w:sz w:val="21"/>
              </w:rPr>
              <w:t>1</w:t>
            </w:r>
            <w:r>
              <w:rPr>
                <w:sz w:val="21"/>
              </w:rPr>
              <w:t>）</w:t>
            </w:r>
            <w:r>
              <w:rPr>
                <w:sz w:val="21"/>
              </w:rPr>
              <w:t>应具备轮廓线勾画和图像融合功能。</w:t>
            </w:r>
          </w:p>
          <w:p>
            <w:pPr>
              <w:pStyle w:val="null3"/>
              <w:jc w:val="both"/>
            </w:pPr>
            <w:r>
              <w:rPr>
                <w:sz w:val="21"/>
              </w:rPr>
              <w:t>（</w:t>
            </w:r>
            <w:r>
              <w:rPr>
                <w:sz w:val="21"/>
              </w:rPr>
              <w:t>2</w:t>
            </w:r>
            <w:r>
              <w:rPr>
                <w:sz w:val="21"/>
              </w:rPr>
              <w:t>）</w:t>
            </w:r>
            <w:r>
              <w:rPr>
                <w:sz w:val="21"/>
              </w:rPr>
              <w:t>可提供透视镜方式显示融合图像。</w:t>
            </w:r>
          </w:p>
          <w:p>
            <w:pPr>
              <w:pStyle w:val="null3"/>
              <w:jc w:val="both"/>
            </w:pPr>
            <w:r>
              <w:rPr>
                <w:sz w:val="21"/>
              </w:rPr>
              <w:t>（</w:t>
            </w:r>
            <w:r>
              <w:rPr>
                <w:sz w:val="21"/>
              </w:rPr>
              <w:t>3</w:t>
            </w:r>
            <w:r>
              <w:rPr>
                <w:sz w:val="21"/>
              </w:rPr>
              <w:t>）</w:t>
            </w:r>
            <w:r>
              <w:rPr>
                <w:sz w:val="21"/>
              </w:rPr>
              <w:t>可提供棋盘格、横向和纵向叠加等多种显示方式显示融合图像。</w:t>
            </w:r>
          </w:p>
          <w:p>
            <w:pPr>
              <w:pStyle w:val="null3"/>
              <w:jc w:val="both"/>
            </w:pPr>
            <w:r>
              <w:rPr>
                <w:sz w:val="21"/>
              </w:rPr>
              <w:t>（</w:t>
            </w:r>
            <w:r>
              <w:rPr>
                <w:sz w:val="21"/>
              </w:rPr>
              <w:t>4</w:t>
            </w:r>
            <w:r>
              <w:rPr>
                <w:sz w:val="21"/>
              </w:rPr>
              <w:t>）</w:t>
            </w:r>
            <w:r>
              <w:rPr>
                <w:sz w:val="21"/>
              </w:rPr>
              <w:t>可在融合的图像上直接勾画器官轮廓。</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3.4.2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近距离计划工具</w:t>
            </w:r>
            <w:r>
              <w:rPr>
                <w:sz w:val="21"/>
              </w:rPr>
              <w:t>：</w:t>
            </w:r>
          </w:p>
          <w:p>
            <w:pPr>
              <w:pStyle w:val="null3"/>
              <w:jc w:val="both"/>
            </w:pPr>
            <w:r>
              <w:rPr>
                <w:sz w:val="21"/>
              </w:rPr>
              <w:t>应支持多种基于投影图像的二维重建方式：</w:t>
            </w:r>
          </w:p>
          <w:p>
            <w:pPr>
              <w:pStyle w:val="null3"/>
              <w:jc w:val="both"/>
            </w:pPr>
            <w:r>
              <w:rPr>
                <w:sz w:val="21"/>
              </w:rPr>
              <w:t>（</w:t>
            </w:r>
            <w:r>
              <w:rPr>
                <w:sz w:val="21"/>
              </w:rPr>
              <w:t>1</w:t>
            </w:r>
            <w:r>
              <w:rPr>
                <w:sz w:val="21"/>
              </w:rPr>
              <w:t>）</w:t>
            </w:r>
            <w:r>
              <w:rPr>
                <w:sz w:val="21"/>
              </w:rPr>
              <w:t>正交投影重建；</w:t>
            </w:r>
          </w:p>
          <w:p>
            <w:pPr>
              <w:pStyle w:val="null3"/>
              <w:jc w:val="both"/>
            </w:pPr>
            <w:r>
              <w:rPr>
                <w:sz w:val="21"/>
              </w:rPr>
              <w:t>（</w:t>
            </w:r>
            <w:r>
              <w:rPr>
                <w:sz w:val="21"/>
              </w:rPr>
              <w:t>2</w:t>
            </w:r>
            <w:r>
              <w:rPr>
                <w:sz w:val="21"/>
              </w:rPr>
              <w:t>）</w:t>
            </w:r>
            <w:r>
              <w:rPr>
                <w:sz w:val="21"/>
              </w:rPr>
              <w:t>半正交投影重建；</w:t>
            </w:r>
          </w:p>
          <w:p>
            <w:pPr>
              <w:pStyle w:val="null3"/>
              <w:jc w:val="both"/>
            </w:pPr>
            <w:r>
              <w:rPr>
                <w:sz w:val="21"/>
              </w:rPr>
              <w:t>（</w:t>
            </w:r>
            <w:r>
              <w:rPr>
                <w:sz w:val="21"/>
              </w:rPr>
              <w:t>3</w:t>
            </w:r>
            <w:r>
              <w:rPr>
                <w:sz w:val="21"/>
              </w:rPr>
              <w:t>）</w:t>
            </w:r>
            <w:r>
              <w:rPr>
                <w:sz w:val="21"/>
              </w:rPr>
              <w:t>变角投影重建；</w:t>
            </w:r>
          </w:p>
          <w:p>
            <w:pPr>
              <w:pStyle w:val="null3"/>
              <w:jc w:val="both"/>
            </w:pPr>
            <w:r>
              <w:rPr>
                <w:sz w:val="21"/>
              </w:rPr>
              <w:t>（</w:t>
            </w:r>
            <w:r>
              <w:rPr>
                <w:sz w:val="21"/>
              </w:rPr>
              <w:t>4</w:t>
            </w:r>
            <w:r>
              <w:rPr>
                <w:sz w:val="21"/>
              </w:rPr>
              <w:t>）</w:t>
            </w:r>
            <w:r>
              <w:rPr>
                <w:sz w:val="21"/>
              </w:rPr>
              <w:t>等中心重建。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支持基于</w:t>
            </w:r>
            <w:r>
              <w:rPr>
                <w:sz w:val="21"/>
              </w:rPr>
              <w:t>CT、MR图像的三维重建</w:t>
            </w:r>
          </w:p>
          <w:p>
            <w:pPr>
              <w:pStyle w:val="null3"/>
              <w:jc w:val="both"/>
            </w:pPr>
            <w:r>
              <w:rPr>
                <w:sz w:val="21"/>
              </w:rPr>
              <w:t>（</w:t>
            </w:r>
            <w:r>
              <w:rPr>
                <w:sz w:val="21"/>
              </w:rPr>
              <w:t>1</w:t>
            </w:r>
            <w:r>
              <w:rPr>
                <w:sz w:val="21"/>
              </w:rPr>
              <w:t>）</w:t>
            </w:r>
            <w:r>
              <w:rPr>
                <w:sz w:val="21"/>
              </w:rPr>
              <w:t>逐层图像的施源器重建；</w:t>
            </w:r>
          </w:p>
          <w:p>
            <w:pPr>
              <w:pStyle w:val="null3"/>
              <w:jc w:val="both"/>
            </w:pPr>
            <w:r>
              <w:rPr>
                <w:sz w:val="21"/>
              </w:rPr>
              <w:t>（</w:t>
            </w:r>
            <w:r>
              <w:rPr>
                <w:sz w:val="21"/>
              </w:rPr>
              <w:t>2</w:t>
            </w:r>
            <w:r>
              <w:rPr>
                <w:sz w:val="21"/>
              </w:rPr>
              <w:t>）</w:t>
            </w:r>
            <w:r>
              <w:rPr>
                <w:sz w:val="21"/>
              </w:rPr>
              <w:t>从任意方向切面图像上重建施源器；</w:t>
            </w:r>
          </w:p>
          <w:p>
            <w:pPr>
              <w:pStyle w:val="null3"/>
              <w:jc w:val="both"/>
            </w:pPr>
            <w:r>
              <w:rPr>
                <w:sz w:val="21"/>
              </w:rPr>
              <w:t>（</w:t>
            </w:r>
            <w:r>
              <w:rPr>
                <w:sz w:val="21"/>
              </w:rPr>
              <w:t>3</w:t>
            </w:r>
            <w:r>
              <w:rPr>
                <w:sz w:val="21"/>
              </w:rPr>
              <w:t>）</w:t>
            </w:r>
            <w:r>
              <w:rPr>
                <w:sz w:val="21"/>
              </w:rPr>
              <w:t>自动识别施源器；</w:t>
            </w:r>
          </w:p>
          <w:p>
            <w:pPr>
              <w:pStyle w:val="null3"/>
              <w:jc w:val="both"/>
            </w:pPr>
            <w:r>
              <w:rPr>
                <w:sz w:val="21"/>
              </w:rPr>
              <w:t>（</w:t>
            </w:r>
            <w:r>
              <w:rPr>
                <w:sz w:val="21"/>
              </w:rPr>
              <w:t>4</w:t>
            </w:r>
            <w:r>
              <w:rPr>
                <w:sz w:val="21"/>
              </w:rPr>
              <w:t>）</w:t>
            </w:r>
            <w:r>
              <w:rPr>
                <w:sz w:val="21"/>
              </w:rPr>
              <w:t>从施源器接口端或顶端开始重建；</w:t>
            </w:r>
          </w:p>
          <w:p>
            <w:pPr>
              <w:pStyle w:val="null3"/>
              <w:jc w:val="both"/>
            </w:pPr>
            <w:r>
              <w:rPr>
                <w:sz w:val="21"/>
              </w:rPr>
              <w:t>（</w:t>
            </w:r>
            <w:r>
              <w:rPr>
                <w:sz w:val="21"/>
              </w:rPr>
              <w:t>5</w:t>
            </w:r>
            <w:r>
              <w:rPr>
                <w:sz w:val="21"/>
              </w:rPr>
              <w:t>）</w:t>
            </w:r>
            <w:r>
              <w:rPr>
                <w:sz w:val="21"/>
              </w:rPr>
              <w:t>在融合的图像上重建。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计划模板功能：应具备计划模板功能。</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剂量参考点设置</w:t>
            </w:r>
            <w:r>
              <w:rPr>
                <w:sz w:val="21"/>
              </w:rPr>
              <w:t>：</w:t>
            </w:r>
          </w:p>
          <w:p>
            <w:pPr>
              <w:pStyle w:val="null3"/>
              <w:jc w:val="both"/>
            </w:pPr>
            <w:r>
              <w:rPr>
                <w:sz w:val="21"/>
              </w:rPr>
              <w:t>（</w:t>
            </w:r>
            <w:r>
              <w:rPr>
                <w:sz w:val="21"/>
              </w:rPr>
              <w:t>1</w:t>
            </w:r>
            <w:r>
              <w:rPr>
                <w:sz w:val="21"/>
              </w:rPr>
              <w:t>）</w:t>
            </w:r>
            <w:r>
              <w:rPr>
                <w:sz w:val="21"/>
              </w:rPr>
              <w:t>病人剂量点；</w:t>
            </w:r>
          </w:p>
          <w:p>
            <w:pPr>
              <w:pStyle w:val="null3"/>
              <w:jc w:val="both"/>
            </w:pPr>
            <w:r>
              <w:rPr>
                <w:sz w:val="21"/>
              </w:rPr>
              <w:t>（</w:t>
            </w:r>
            <w:r>
              <w:rPr>
                <w:sz w:val="21"/>
              </w:rPr>
              <w:t>2</w:t>
            </w:r>
            <w:r>
              <w:rPr>
                <w:sz w:val="21"/>
              </w:rPr>
              <w:t>）</w:t>
            </w:r>
            <w:r>
              <w:rPr>
                <w:sz w:val="21"/>
              </w:rPr>
              <w:t>施源器点；</w:t>
            </w:r>
          </w:p>
          <w:p>
            <w:pPr>
              <w:pStyle w:val="null3"/>
              <w:jc w:val="both"/>
            </w:pPr>
            <w:r>
              <w:rPr>
                <w:sz w:val="21"/>
              </w:rPr>
              <w:t>（</w:t>
            </w:r>
            <w:r>
              <w:rPr>
                <w:sz w:val="21"/>
              </w:rPr>
              <w:t>3</w:t>
            </w:r>
            <w:r>
              <w:rPr>
                <w:sz w:val="21"/>
              </w:rPr>
              <w:t>）</w:t>
            </w:r>
            <w:r>
              <w:rPr>
                <w:sz w:val="21"/>
              </w:rPr>
              <w:t>其他类型剂量点，包括坐标轴、施源管坐标系点、巴塞尔坐标系点、距离最小剂量、靶区表面点等。</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计划评估工具</w:t>
            </w:r>
            <w:r>
              <w:rPr>
                <w:sz w:val="21"/>
              </w:rPr>
              <w:t>：</w:t>
            </w:r>
          </w:p>
          <w:p>
            <w:pPr>
              <w:pStyle w:val="null3"/>
              <w:jc w:val="both"/>
            </w:pPr>
            <w:r>
              <w:rPr>
                <w:sz w:val="21"/>
              </w:rPr>
              <w:t>（</w:t>
            </w:r>
            <w:r>
              <w:rPr>
                <w:sz w:val="21"/>
              </w:rPr>
              <w:t>1</w:t>
            </w:r>
            <w:r>
              <w:rPr>
                <w:sz w:val="21"/>
              </w:rPr>
              <w:t>）</w:t>
            </w:r>
            <w:r>
              <w:rPr>
                <w:sz w:val="21"/>
              </w:rPr>
              <w:t>提供剂量体积直方图</w:t>
            </w:r>
            <w:r>
              <w:rPr>
                <w:sz w:val="21"/>
              </w:rPr>
              <w:t>(DVH)。</w:t>
            </w:r>
          </w:p>
          <w:p>
            <w:pPr>
              <w:pStyle w:val="null3"/>
              <w:jc w:val="both"/>
            </w:pPr>
            <w:r>
              <w:rPr>
                <w:sz w:val="21"/>
              </w:rPr>
              <w:t>（</w:t>
            </w:r>
            <w:r>
              <w:rPr>
                <w:sz w:val="21"/>
              </w:rPr>
              <w:t>2</w:t>
            </w:r>
            <w:r>
              <w:rPr>
                <w:sz w:val="21"/>
              </w:rPr>
              <w:t>）</w:t>
            </w:r>
            <w:r>
              <w:rPr>
                <w:sz w:val="21"/>
              </w:rPr>
              <w:t>任意层面上显示剂量冷点和热点。</w:t>
            </w:r>
          </w:p>
          <w:p>
            <w:pPr>
              <w:pStyle w:val="null3"/>
              <w:jc w:val="both"/>
            </w:pPr>
            <w:r>
              <w:rPr>
                <w:sz w:val="21"/>
              </w:rPr>
              <w:t>（</w:t>
            </w:r>
            <w:r>
              <w:rPr>
                <w:sz w:val="21"/>
              </w:rPr>
              <w:t>3</w:t>
            </w:r>
            <w:r>
              <w:rPr>
                <w:sz w:val="21"/>
              </w:rPr>
              <w:t>）</w:t>
            </w:r>
            <w:r>
              <w:rPr>
                <w:sz w:val="21"/>
              </w:rPr>
              <w:t>3D图像的冷点和热点显示。</w:t>
            </w:r>
          </w:p>
          <w:p>
            <w:pPr>
              <w:pStyle w:val="null3"/>
              <w:jc w:val="both"/>
            </w:pPr>
            <w:r>
              <w:rPr>
                <w:sz w:val="21"/>
              </w:rPr>
              <w:t>（</w:t>
            </w:r>
            <w:r>
              <w:rPr>
                <w:sz w:val="21"/>
              </w:rPr>
              <w:t>4</w:t>
            </w:r>
            <w:r>
              <w:rPr>
                <w:sz w:val="21"/>
              </w:rPr>
              <w:t>）</w:t>
            </w:r>
            <w:r>
              <w:rPr>
                <w:sz w:val="21"/>
              </w:rPr>
              <w:t>任意平面和</w:t>
            </w:r>
            <w:r>
              <w:rPr>
                <w:sz w:val="21"/>
              </w:rPr>
              <w:t>3D的实时剂量线和剂量云显示工具。</w:t>
            </w:r>
          </w:p>
          <w:p>
            <w:pPr>
              <w:pStyle w:val="null3"/>
              <w:jc w:val="both"/>
            </w:pPr>
            <w:r>
              <w:rPr>
                <w:sz w:val="21"/>
              </w:rPr>
              <w:t>（</w:t>
            </w:r>
            <w:r>
              <w:rPr>
                <w:sz w:val="21"/>
              </w:rPr>
              <w:t>5</w:t>
            </w:r>
            <w:r>
              <w:rPr>
                <w:sz w:val="21"/>
              </w:rPr>
              <w:t>）</w:t>
            </w:r>
            <w:r>
              <w:rPr>
                <w:sz w:val="21"/>
              </w:rPr>
              <w:t>应支持多个计划的评估和比较。</w:t>
            </w:r>
          </w:p>
          <w:p>
            <w:pPr>
              <w:pStyle w:val="null3"/>
              <w:jc w:val="both"/>
            </w:pPr>
            <w:r>
              <w:rPr>
                <w:sz w:val="21"/>
              </w:rPr>
              <w:t>（</w:t>
            </w:r>
            <w:r>
              <w:rPr>
                <w:sz w:val="21"/>
              </w:rPr>
              <w:t>6</w:t>
            </w:r>
            <w:r>
              <w:rPr>
                <w:sz w:val="21"/>
              </w:rPr>
              <w:t>）</w:t>
            </w:r>
            <w:r>
              <w:rPr>
                <w:sz w:val="21"/>
              </w:rPr>
              <w:t>支持多个计划同步进行比较。</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3.4.7</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打印输出：</w:t>
            </w:r>
          </w:p>
          <w:p>
            <w:pPr>
              <w:pStyle w:val="null3"/>
              <w:jc w:val="both"/>
            </w:pPr>
            <w:r>
              <w:rPr>
                <w:sz w:val="21"/>
              </w:rPr>
              <w:t>（</w:t>
            </w:r>
            <w:r>
              <w:rPr>
                <w:sz w:val="21"/>
              </w:rPr>
              <w:t>1</w:t>
            </w:r>
            <w:r>
              <w:rPr>
                <w:sz w:val="21"/>
              </w:rPr>
              <w:t>）</w:t>
            </w:r>
            <w:r>
              <w:rPr>
                <w:sz w:val="21"/>
              </w:rPr>
              <w:t>应支持剂量分布打印输出。</w:t>
            </w:r>
          </w:p>
          <w:p>
            <w:pPr>
              <w:pStyle w:val="null3"/>
              <w:jc w:val="both"/>
            </w:pPr>
            <w:r>
              <w:rPr>
                <w:sz w:val="21"/>
              </w:rPr>
              <w:t>（</w:t>
            </w:r>
            <w:r>
              <w:rPr>
                <w:sz w:val="21"/>
              </w:rPr>
              <w:t>2</w:t>
            </w:r>
            <w:r>
              <w:rPr>
                <w:sz w:val="21"/>
              </w:rPr>
              <w:t>）</w:t>
            </w:r>
            <w:r>
              <w:rPr>
                <w:sz w:val="21"/>
              </w:rPr>
              <w:t>用户应可自定义打印图形比例。</w:t>
            </w:r>
          </w:p>
          <w:p>
            <w:pPr>
              <w:pStyle w:val="null3"/>
              <w:jc w:val="both"/>
            </w:pPr>
            <w:r>
              <w:rPr>
                <w:sz w:val="21"/>
              </w:rPr>
              <w:t>（</w:t>
            </w:r>
            <w:r>
              <w:rPr>
                <w:sz w:val="21"/>
              </w:rPr>
              <w:t>3</w:t>
            </w:r>
            <w:r>
              <w:rPr>
                <w:sz w:val="21"/>
              </w:rPr>
              <w:t>）</w:t>
            </w:r>
            <w:r>
              <w:rPr>
                <w:sz w:val="21"/>
              </w:rPr>
              <w:t>应可显示放射源衰减表。</w:t>
            </w:r>
          </w:p>
          <w:p>
            <w:pPr>
              <w:pStyle w:val="null3"/>
              <w:jc w:val="both"/>
            </w:pPr>
            <w:r>
              <w:rPr>
                <w:sz w:val="21"/>
              </w:rPr>
              <w:t>（</w:t>
            </w:r>
            <w:r>
              <w:rPr>
                <w:sz w:val="21"/>
              </w:rPr>
              <w:t>4</w:t>
            </w:r>
            <w:r>
              <w:rPr>
                <w:sz w:val="21"/>
              </w:rPr>
              <w:t>）</w:t>
            </w:r>
            <w:r>
              <w:rPr>
                <w:sz w:val="21"/>
              </w:rPr>
              <w:t>显示界面应可截图打印。</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3.4.8</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DICOM输入和输出接口：应支持DICOM RT标准，支持：</w:t>
            </w:r>
          </w:p>
          <w:p>
            <w:pPr>
              <w:pStyle w:val="null3"/>
              <w:jc w:val="both"/>
            </w:pPr>
            <w:r>
              <w:rPr>
                <w:sz w:val="21"/>
              </w:rPr>
              <w:t>1</w:t>
            </w:r>
            <w:r>
              <w:rPr>
                <w:sz w:val="21"/>
              </w:rPr>
              <w:t>）</w:t>
            </w:r>
            <w:r>
              <w:rPr>
                <w:sz w:val="21"/>
              </w:rPr>
              <w:t>DICOM RT images；</w:t>
            </w:r>
          </w:p>
          <w:p>
            <w:pPr>
              <w:pStyle w:val="null3"/>
              <w:jc w:val="both"/>
            </w:pPr>
            <w:r>
              <w:rPr>
                <w:sz w:val="21"/>
              </w:rPr>
              <w:t>2</w:t>
            </w:r>
            <w:r>
              <w:rPr>
                <w:sz w:val="21"/>
              </w:rPr>
              <w:t>）</w:t>
            </w:r>
            <w:r>
              <w:rPr>
                <w:sz w:val="21"/>
              </w:rPr>
              <w:t>DICOM RT structure sets；</w:t>
            </w:r>
          </w:p>
          <w:p>
            <w:pPr>
              <w:pStyle w:val="null3"/>
              <w:jc w:val="both"/>
            </w:pPr>
            <w:r>
              <w:rPr>
                <w:sz w:val="21"/>
              </w:rPr>
              <w:t>3</w:t>
            </w:r>
            <w:r>
              <w:rPr>
                <w:sz w:val="21"/>
              </w:rPr>
              <w:t>）</w:t>
            </w:r>
            <w:r>
              <w:rPr>
                <w:sz w:val="21"/>
              </w:rPr>
              <w:t>DICOM RT plans；</w:t>
            </w:r>
          </w:p>
          <w:p>
            <w:pPr>
              <w:pStyle w:val="null3"/>
              <w:jc w:val="both"/>
            </w:pPr>
            <w:r>
              <w:rPr>
                <w:sz w:val="21"/>
              </w:rPr>
              <w:t>4</w:t>
            </w:r>
            <w:r>
              <w:rPr>
                <w:sz w:val="21"/>
              </w:rPr>
              <w:t>）</w:t>
            </w:r>
            <w:r>
              <w:rPr>
                <w:sz w:val="21"/>
              </w:rPr>
              <w:t>DICOM RT doses；</w:t>
            </w:r>
          </w:p>
          <w:p>
            <w:pPr>
              <w:pStyle w:val="null3"/>
              <w:jc w:val="both"/>
            </w:pPr>
            <w:r>
              <w:rPr>
                <w:sz w:val="21"/>
              </w:rPr>
              <w:t>5</w:t>
            </w:r>
            <w:r>
              <w:rPr>
                <w:sz w:val="21"/>
              </w:rPr>
              <w:t>）</w:t>
            </w:r>
            <w:r>
              <w:rPr>
                <w:sz w:val="21"/>
              </w:rPr>
              <w:t>DICOM query and retrieve；</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3.4.9</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提供至少</w:t>
            </w:r>
            <w:r>
              <w:rPr>
                <w:sz w:val="21"/>
              </w:rPr>
              <w:t>2种基于不同优化算法的逆向优化工具，通过设置靶区和危及器官的剂量体积限制条件自动优化剂量分布。</w:t>
            </w:r>
          </w:p>
          <w:p>
            <w:pPr>
              <w:pStyle w:val="null3"/>
              <w:jc w:val="both"/>
            </w:pPr>
            <w:r>
              <w:rPr>
                <w:sz w:val="21"/>
                <w:color w:val="000000"/>
              </w:rPr>
              <w:t>至少</w:t>
            </w:r>
            <w:r>
              <w:rPr>
                <w:sz w:val="21"/>
                <w:color w:val="000000"/>
              </w:rPr>
              <w:t>1种逆向优化工具可锁定指定的通道，优化过程中锁定通道的驻留位置和驻留时间不会变化。</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3.4.10</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软件应具备施源器模板功能。</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独立医生工作站及其配套软件</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3.5.1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至少</w:t>
            </w:r>
            <w:r>
              <w:rPr>
                <w:sz w:val="21"/>
              </w:rPr>
              <w:t>提供一套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r>
              <w:rPr>
                <w:sz w:val="21"/>
              </w:rPr>
              <w:t>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计算机工作站硬件</w:t>
            </w:r>
            <w:r>
              <w:rPr>
                <w:sz w:val="21"/>
              </w:rPr>
              <w:t>要求</w:t>
            </w:r>
            <w:r>
              <w:rPr>
                <w:sz w:val="21"/>
              </w:rPr>
              <w:t>1</w:t>
            </w:r>
            <w:r>
              <w:rPr>
                <w:sz w:val="21"/>
              </w:rPr>
              <w:t>：</w:t>
            </w:r>
          </w:p>
          <w:p>
            <w:pPr>
              <w:pStyle w:val="null3"/>
              <w:jc w:val="both"/>
            </w:pPr>
            <w:r>
              <w:rPr>
                <w:sz w:val="21"/>
              </w:rPr>
              <w:t>（</w:t>
            </w:r>
            <w:r>
              <w:rPr>
                <w:sz w:val="21"/>
              </w:rPr>
              <w:t>1</w:t>
            </w:r>
            <w:r>
              <w:rPr>
                <w:sz w:val="21"/>
              </w:rPr>
              <w:t>）</w:t>
            </w:r>
            <w:r>
              <w:rPr>
                <w:sz w:val="21"/>
              </w:rPr>
              <w:t>操作系统：</w:t>
            </w:r>
            <w:r>
              <w:rPr>
                <w:sz w:val="21"/>
              </w:rPr>
              <w:t>WINDOWS 10</w:t>
            </w:r>
            <w:r>
              <w:rPr>
                <w:sz w:val="21"/>
              </w:rPr>
              <w:t>、</w:t>
            </w:r>
            <w:r>
              <w:rPr>
                <w:sz w:val="21"/>
              </w:rPr>
              <w:t>64位专业版操作系统</w:t>
            </w:r>
            <w:r>
              <w:rPr>
                <w:sz w:val="21"/>
              </w:rPr>
              <w:t>或以上</w:t>
            </w:r>
            <w:r>
              <w:rPr>
                <w:sz w:val="21"/>
              </w:rPr>
              <w:t>。</w:t>
            </w:r>
          </w:p>
          <w:p>
            <w:pPr>
              <w:pStyle w:val="null3"/>
              <w:jc w:val="both"/>
            </w:pPr>
            <w:r>
              <w:rPr>
                <w:sz w:val="21"/>
              </w:rPr>
              <w:t>（</w:t>
            </w:r>
            <w:r>
              <w:rPr>
                <w:sz w:val="21"/>
              </w:rPr>
              <w:t>2</w:t>
            </w:r>
            <w:r>
              <w:rPr>
                <w:sz w:val="21"/>
              </w:rPr>
              <w:t>）</w:t>
            </w:r>
            <w:r>
              <w:rPr>
                <w:sz w:val="21"/>
              </w:rPr>
              <w:t>硬盘：固态硬盘</w:t>
            </w:r>
            <w:r>
              <w:rPr>
                <w:sz w:val="21"/>
              </w:rPr>
              <w:t>≥2TB以上。</w:t>
            </w:r>
          </w:p>
          <w:p>
            <w:pPr>
              <w:pStyle w:val="null3"/>
              <w:jc w:val="both"/>
            </w:pPr>
            <w:r>
              <w:rPr>
                <w:sz w:val="21"/>
              </w:rPr>
              <w:t>（</w:t>
            </w:r>
            <w:r>
              <w:rPr>
                <w:sz w:val="21"/>
              </w:rPr>
              <w:t>3</w:t>
            </w:r>
            <w:r>
              <w:rPr>
                <w:sz w:val="21"/>
              </w:rPr>
              <w:t>）</w:t>
            </w:r>
            <w:r>
              <w:rPr>
                <w:sz w:val="21"/>
              </w:rPr>
              <w:t>内存：工作站内存配置</w:t>
            </w:r>
            <w:r>
              <w:rPr>
                <w:sz w:val="21"/>
              </w:rPr>
              <w:t>≥32GB。</w:t>
            </w:r>
          </w:p>
          <w:p>
            <w:pPr>
              <w:pStyle w:val="null3"/>
              <w:jc w:val="both"/>
            </w:pPr>
            <w:r>
              <w:rPr>
                <w:sz w:val="21"/>
              </w:rPr>
              <w:t>（</w:t>
            </w:r>
            <w:r>
              <w:rPr>
                <w:sz w:val="21"/>
              </w:rPr>
              <w:t>4</w:t>
            </w:r>
            <w:r>
              <w:rPr>
                <w:sz w:val="21"/>
              </w:rPr>
              <w:t>）</w:t>
            </w:r>
            <w:r>
              <w:rPr>
                <w:sz w:val="21"/>
              </w:rPr>
              <w:t>显示器：</w:t>
            </w:r>
            <w:r>
              <w:rPr>
                <w:sz w:val="21"/>
              </w:rPr>
              <w:t>≥24”彩色液晶显示器。</w:t>
            </w:r>
          </w:p>
          <w:p>
            <w:pPr>
              <w:pStyle w:val="null3"/>
              <w:jc w:val="both"/>
            </w:pPr>
            <w:r>
              <w:rPr>
                <w:sz w:val="21"/>
              </w:rPr>
              <w:t>（</w:t>
            </w:r>
            <w:r>
              <w:rPr>
                <w:sz w:val="21"/>
              </w:rPr>
              <w:t>5</w:t>
            </w:r>
            <w:r>
              <w:rPr>
                <w:sz w:val="21"/>
              </w:rPr>
              <w:t>）</w:t>
            </w:r>
            <w:r>
              <w:rPr>
                <w:sz w:val="21"/>
              </w:rPr>
              <w:t>DVD刻录机：DVD刻录机。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3.5.</w:t>
            </w:r>
            <w:r>
              <w:rPr>
                <w:sz w:val="21"/>
              </w:rPr>
              <w:t>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计算机工作站硬件</w:t>
            </w:r>
            <w:r>
              <w:rPr>
                <w:sz w:val="21"/>
              </w:rPr>
              <w:t>要求</w:t>
            </w:r>
            <w:r>
              <w:rPr>
                <w:sz w:val="21"/>
              </w:rPr>
              <w:t>2</w:t>
            </w:r>
            <w:r>
              <w:rPr>
                <w:sz w:val="21"/>
              </w:rPr>
              <w:t>：</w:t>
            </w:r>
          </w:p>
          <w:p>
            <w:pPr>
              <w:pStyle w:val="null3"/>
              <w:jc w:val="both"/>
            </w:pPr>
            <w:r>
              <w:rPr>
                <w:sz w:val="21"/>
              </w:rPr>
              <w:t>（</w:t>
            </w:r>
            <w:r>
              <w:rPr>
                <w:sz w:val="21"/>
              </w:rPr>
              <w:t>1</w:t>
            </w:r>
            <w:r>
              <w:rPr>
                <w:sz w:val="21"/>
              </w:rPr>
              <w:t>）</w:t>
            </w:r>
            <w:r>
              <w:rPr>
                <w:sz w:val="21"/>
              </w:rPr>
              <w:t>CPU：英特尔至强八核CPU，主频≥3.0GHz。</w:t>
            </w:r>
          </w:p>
          <w:p>
            <w:pPr>
              <w:pStyle w:val="null3"/>
              <w:jc w:val="both"/>
            </w:pPr>
            <w:r>
              <w:rPr>
                <w:sz w:val="21"/>
              </w:rPr>
              <w:t>（</w:t>
            </w:r>
            <w:r>
              <w:rPr>
                <w:sz w:val="21"/>
              </w:rPr>
              <w:t>2</w:t>
            </w:r>
            <w:r>
              <w:rPr>
                <w:sz w:val="21"/>
              </w:rPr>
              <w:t>）</w:t>
            </w:r>
            <w:r>
              <w:rPr>
                <w:sz w:val="21"/>
              </w:rPr>
              <w:t>图形加速卡：品牌彩色图形加速卡，显存</w:t>
            </w:r>
            <w:r>
              <w:rPr>
                <w:sz w:val="21"/>
              </w:rPr>
              <w:t>≥2GB。</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r>
              <w:rPr>
                <w:sz w:val="21"/>
              </w:rPr>
              <w:t>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医生工作站软件要求</w:t>
            </w:r>
            <w:r>
              <w:rPr>
                <w:sz w:val="21"/>
              </w:rPr>
              <w:t>1</w:t>
            </w:r>
            <w:r>
              <w:rPr>
                <w:sz w:val="21"/>
              </w:rPr>
              <w:t>：</w:t>
            </w:r>
          </w:p>
          <w:p>
            <w:pPr>
              <w:pStyle w:val="null3"/>
              <w:jc w:val="both"/>
            </w:pPr>
            <w:r>
              <w:rPr>
                <w:sz w:val="21"/>
              </w:rPr>
              <w:t>（</w:t>
            </w:r>
            <w:r>
              <w:rPr>
                <w:sz w:val="21"/>
              </w:rPr>
              <w:t>1</w:t>
            </w:r>
            <w:r>
              <w:rPr>
                <w:sz w:val="21"/>
              </w:rPr>
              <w:t>）</w:t>
            </w:r>
            <w:r>
              <w:rPr>
                <w:sz w:val="21"/>
              </w:rPr>
              <w:t>应具备轮廓线勾画和图像融合功能</w:t>
            </w:r>
            <w:r>
              <w:rPr>
                <w:sz w:val="21"/>
              </w:rPr>
              <w:t>.</w:t>
            </w:r>
          </w:p>
          <w:p>
            <w:pPr>
              <w:pStyle w:val="null3"/>
              <w:jc w:val="both"/>
            </w:pPr>
            <w:r>
              <w:rPr>
                <w:sz w:val="21"/>
              </w:rPr>
              <w:t>（</w:t>
            </w:r>
            <w:r>
              <w:rPr>
                <w:sz w:val="21"/>
              </w:rPr>
              <w:t>2</w:t>
            </w:r>
            <w:r>
              <w:rPr>
                <w:sz w:val="21"/>
              </w:rPr>
              <w:t>）</w:t>
            </w:r>
            <w:r>
              <w:rPr>
                <w:sz w:val="21"/>
              </w:rPr>
              <w:t>可提供全自动、</w:t>
            </w:r>
            <w:r>
              <w:rPr>
                <w:sz w:val="21"/>
              </w:rPr>
              <w:t>Dicom Identity信息、标记点、三维表面和手工的图像配准。</w:t>
            </w:r>
          </w:p>
          <w:p>
            <w:pPr>
              <w:pStyle w:val="null3"/>
              <w:jc w:val="both"/>
            </w:pPr>
            <w:r>
              <w:rPr>
                <w:sz w:val="21"/>
              </w:rPr>
              <w:t>（</w:t>
            </w:r>
            <w:r>
              <w:rPr>
                <w:sz w:val="21"/>
              </w:rPr>
              <w:t>3</w:t>
            </w:r>
            <w:r>
              <w:rPr>
                <w:sz w:val="21"/>
              </w:rPr>
              <w:t>）</w:t>
            </w:r>
            <w:r>
              <w:rPr>
                <w:sz w:val="21"/>
              </w:rPr>
              <w:t>可提供透视镜方式显示融合图像。</w:t>
            </w:r>
          </w:p>
          <w:p>
            <w:pPr>
              <w:pStyle w:val="null3"/>
              <w:jc w:val="both"/>
            </w:pPr>
            <w:r>
              <w:rPr>
                <w:sz w:val="21"/>
              </w:rPr>
              <w:t>（</w:t>
            </w:r>
            <w:r>
              <w:rPr>
                <w:sz w:val="21"/>
              </w:rPr>
              <w:t>4</w:t>
            </w:r>
            <w:r>
              <w:rPr>
                <w:sz w:val="21"/>
              </w:rPr>
              <w:t>）</w:t>
            </w:r>
            <w:r>
              <w:rPr>
                <w:sz w:val="21"/>
              </w:rPr>
              <w:t>可提供棋盘格、横向和纵向叠加等多种显示方式显示融合图像。</w:t>
            </w:r>
          </w:p>
          <w:p>
            <w:pPr>
              <w:pStyle w:val="null3"/>
              <w:jc w:val="both"/>
            </w:pPr>
            <w:r>
              <w:rPr>
                <w:sz w:val="21"/>
              </w:rPr>
              <w:t>（</w:t>
            </w:r>
            <w:r>
              <w:rPr>
                <w:sz w:val="21"/>
              </w:rPr>
              <w:t>5</w:t>
            </w:r>
            <w:r>
              <w:rPr>
                <w:sz w:val="21"/>
              </w:rPr>
              <w:t>）</w:t>
            </w:r>
            <w:r>
              <w:rPr>
                <w:sz w:val="21"/>
              </w:rPr>
              <w:t>可在融合的图像上直接勾画器官轮廓。</w:t>
            </w:r>
          </w:p>
          <w:p>
            <w:pPr>
              <w:pStyle w:val="null3"/>
              <w:jc w:val="both"/>
            </w:pPr>
            <w:r>
              <w:rPr>
                <w:sz w:val="21"/>
              </w:rPr>
              <w:t>（</w:t>
            </w:r>
            <w:r>
              <w:rPr>
                <w:sz w:val="21"/>
              </w:rPr>
              <w:t>6</w:t>
            </w:r>
            <w:r>
              <w:rPr>
                <w:sz w:val="21"/>
              </w:rPr>
              <w:t>）</w:t>
            </w:r>
            <w:r>
              <w:rPr>
                <w:sz w:val="21"/>
              </w:rPr>
              <w:t>医生工作站软件及治疗计划系统软件均为最新官方正版软件，且共享同一数据库</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3.5.</w:t>
            </w:r>
            <w:r>
              <w:rPr>
                <w:sz w:val="21"/>
              </w:rPr>
              <w:t>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医生工作站软件要求</w:t>
            </w:r>
            <w:r>
              <w:rPr>
                <w:sz w:val="21"/>
              </w:rPr>
              <w:t>2</w:t>
            </w:r>
            <w:r>
              <w:rPr>
                <w:sz w:val="21"/>
              </w:rPr>
              <w:t>：</w:t>
            </w:r>
          </w:p>
          <w:p>
            <w:pPr>
              <w:pStyle w:val="null3"/>
              <w:jc w:val="both"/>
            </w:pPr>
            <w:r>
              <w:rPr>
                <w:sz w:val="21"/>
              </w:rPr>
              <w:t>（</w:t>
            </w:r>
            <w:r>
              <w:rPr>
                <w:sz w:val="21"/>
              </w:rPr>
              <w:t>1</w:t>
            </w:r>
            <w:r>
              <w:rPr>
                <w:sz w:val="21"/>
              </w:rPr>
              <w:t>）</w:t>
            </w:r>
            <w:r>
              <w:rPr>
                <w:sz w:val="21"/>
              </w:rPr>
              <w:t>可三维重建任意层面，并支持在冠状面、矢状面、横断面及其他任意切面上都可以进行靶区和正常组织勾画。</w:t>
            </w:r>
          </w:p>
          <w:p>
            <w:pPr>
              <w:pStyle w:val="null3"/>
              <w:jc w:val="both"/>
            </w:pPr>
            <w:r>
              <w:rPr>
                <w:sz w:val="21"/>
              </w:rPr>
              <w:t>（</w:t>
            </w:r>
            <w:r>
              <w:rPr>
                <w:sz w:val="21"/>
              </w:rPr>
              <w:t>2</w:t>
            </w:r>
            <w:r>
              <w:rPr>
                <w:sz w:val="21"/>
              </w:rPr>
              <w:t>）</w:t>
            </w:r>
            <w:r>
              <w:rPr>
                <w:sz w:val="21"/>
              </w:rPr>
              <w:t>可实现</w:t>
            </w:r>
            <w:r>
              <w:rPr>
                <w:sz w:val="21"/>
              </w:rPr>
              <w:t>CT、MR、PET等多个系列影像融合。</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施源器</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w:t>
            </w:r>
            <w:r>
              <w:rPr>
                <w:sz w:val="21"/>
              </w:rPr>
              <w:t>Fletcher型金属三通道妇科施源器</w:t>
            </w:r>
            <w:r>
              <w:rPr>
                <w:sz w:val="21"/>
              </w:rPr>
              <w:t>至少</w:t>
            </w:r>
            <w:r>
              <w:rPr>
                <w:sz w:val="21"/>
              </w:rPr>
              <w:t>1套，每套应包括15度、30度、45度宫腔管</w:t>
            </w:r>
            <w:r>
              <w:rPr>
                <w:sz w:val="21"/>
              </w:rPr>
              <w:t>至少</w:t>
            </w:r>
            <w:r>
              <w:rPr>
                <w:sz w:val="21"/>
              </w:rPr>
              <w:t>各</w:t>
            </w:r>
            <w:r>
              <w:rPr>
                <w:sz w:val="21"/>
              </w:rPr>
              <w:t>1根，以及微型、半球形卵形帽对</w:t>
            </w:r>
            <w:r>
              <w:rPr>
                <w:sz w:val="21"/>
              </w:rPr>
              <w:t>至少</w:t>
            </w:r>
            <w:r>
              <w:rPr>
                <w:sz w:val="21"/>
              </w:rPr>
              <w:t>各</w:t>
            </w:r>
            <w:r>
              <w:rPr>
                <w:sz w:val="21"/>
              </w:rPr>
              <w:t>1对。</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4.2</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w:t>
            </w:r>
            <w:r>
              <w:rPr>
                <w:sz w:val="21"/>
              </w:rPr>
              <w:t>Fletcher型CT/MR兼容妇科施源器</w:t>
            </w:r>
            <w:r>
              <w:rPr>
                <w:sz w:val="21"/>
              </w:rPr>
              <w:t>至少</w:t>
            </w:r>
            <w:r>
              <w:rPr>
                <w:sz w:val="21"/>
              </w:rPr>
              <w:t>1套。主要部件为非金属材质。MR兼容性标识应为MR安全（MR safe）。在CT和MR图像上没有伪影和变形。</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应提供阴道施源器</w:t>
            </w:r>
            <w:r>
              <w:rPr>
                <w:sz w:val="21"/>
              </w:rPr>
              <w:t>至少</w:t>
            </w:r>
            <w:r>
              <w:rPr>
                <w:sz w:val="21"/>
              </w:rPr>
              <w:t>1套，施源器应带至少15度、30度和45度</w:t>
            </w:r>
            <w:r>
              <w:rPr>
                <w:sz w:val="21"/>
              </w:rPr>
              <w:t>至少</w:t>
            </w:r>
            <w:r>
              <w:rPr>
                <w:sz w:val="21"/>
              </w:rPr>
              <w:t>三个不同角度宫腔管</w:t>
            </w:r>
            <w:r>
              <w:rPr>
                <w:sz w:val="21"/>
              </w:rPr>
              <w:t>,直径20mm、25mm、30mm和35mm的圆柱</w:t>
            </w:r>
            <w:r>
              <w:rPr>
                <w:sz w:val="21"/>
              </w:rPr>
              <w:t>至少</w:t>
            </w:r>
            <w:r>
              <w:rPr>
                <w:sz w:val="21"/>
              </w:rPr>
              <w:t>各</w:t>
            </w:r>
            <w:r>
              <w:rPr>
                <w:sz w:val="21"/>
              </w:rPr>
              <w:t>1套。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应提供会阴插植模板</w:t>
            </w:r>
            <w:r>
              <w:rPr>
                <w:sz w:val="21"/>
              </w:rPr>
              <w:t>至少</w:t>
            </w:r>
            <w:r>
              <w:rPr>
                <w:sz w:val="21"/>
              </w:rPr>
              <w:t>1套。</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4.5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w:t>
            </w:r>
            <w:r>
              <w:rPr>
                <w:sz w:val="21"/>
              </w:rPr>
              <w:t>≥50根柔性软管施源器，可通过该施源器内的闭合通道将放射源送至治疗部位。该施源器上应标有刻度，最大刻度≥85cm。</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4.6</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应提供直径</w:t>
            </w:r>
            <w:r>
              <w:rPr>
                <w:sz w:val="21"/>
              </w:rPr>
              <w:t>1.5mm、长度200mm的金属插植针≥50根，并提供配套针芯≥50根。</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4.</w:t>
            </w:r>
            <w:r>
              <w:rPr>
                <w:sz w:val="21"/>
              </w:rPr>
              <w:t>7</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应提供直径</w:t>
            </w:r>
            <w:r>
              <w:rPr>
                <w:sz w:val="21"/>
              </w:rPr>
              <w:t>1.5mm、长度180mm的金属插植针≥50根，并提供配套针芯≥50根</w:t>
            </w:r>
            <w:r>
              <w:rPr>
                <w:sz w:val="21"/>
              </w:rPr>
              <w:t>。</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8</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应提供上述施源器所必需配套传输管及标记线。</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w:t>
            </w:r>
          </w:p>
        </w:tc>
        <w:tc>
          <w:tcPr>
            <w:tcW w:type="dxa" w:w="7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上述所有软件均应</w:t>
            </w:r>
            <w:r>
              <w:rPr>
                <w:sz w:val="21"/>
              </w:rPr>
              <w:t>有</w:t>
            </w:r>
            <w:r>
              <w:rPr>
                <w:sz w:val="21"/>
              </w:rPr>
              <w:t>Licence官方授权，所有硬件接口均</w:t>
            </w:r>
            <w:r>
              <w:rPr>
                <w:sz w:val="21"/>
              </w:rPr>
              <w:t>对采购人</w:t>
            </w:r>
            <w:r>
              <w:rPr>
                <w:sz w:val="21"/>
              </w:rPr>
              <w:t>开放</w:t>
            </w:r>
            <w:r>
              <w:rPr>
                <w:sz w:val="21"/>
              </w:rPr>
              <w:t>（</w:t>
            </w:r>
            <w:r>
              <w:rPr>
                <w:sz w:val="21"/>
              </w:rPr>
              <w:t>费用已含在投标报价中，采购人不额外支付</w:t>
            </w:r>
            <w:r>
              <w:rPr>
                <w:sz w:val="21"/>
              </w:rPr>
              <w:t>）</w:t>
            </w:r>
          </w:p>
        </w:tc>
      </w:tr>
    </w:tbl>
    <w:p>
      <w:pPr>
        <w:pStyle w:val="null3"/>
      </w:pPr>
      <w:r>
        <w:rPr/>
        <w:t>采购包1（后装治疗机）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采购人通知送货后的7天内安装、调试完毕</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1期：支付比例30%,合同签订生效后的30个工作日内，将合同总金额的30%支付给中标人。</w:t>
            </w:r>
          </w:p>
          <w:p>
            <w:pPr>
              <w:pStyle w:val="null3"/>
            </w:pPr>
            <w:r>
              <w:rPr/>
              <w:t>2期：支付比例70%,设备运到指定地点且中标人完成履约保证金相关手续后30个工作日内将合同总金额的70%支付给中标人。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开户行：中国工商银行江门江海支行</w:t>
            </w:r>
          </w:p>
          <w:p>
            <w:pPr>
              <w:pStyle w:val="null3"/>
            </w:pPr>
            <w:r>
              <w:rPr/>
              <w:t>支票提交方式：详见合同</w:t>
            </w:r>
          </w:p>
          <w:p>
            <w:pPr>
              <w:pStyle w:val="null3"/>
            </w:pPr>
            <w:r>
              <w:rPr/>
              <w:t>汇票、本票提交方式：详见合同</w:t>
            </w:r>
          </w:p>
          <w:p>
            <w:pPr>
              <w:pStyle w:val="null3"/>
            </w:pPr>
            <w:r>
              <w:rPr/>
              <w:t>说明：中标人须在收到第一期货款后的5个工作日内向采购人支付合同总金额的10%（如为中小企业，履约保证金的收取比例为5%）作为履约保证金，可转账或采取银行保函形式，银行保函有效期至合同履约结束；如转账支付履约保证金的，2年保修期满后的60日内由采购人不计利息退还履约保证金，保修期依然生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试剂耗材</w:t>
            </w:r>
          </w:p>
        </w:tc>
        <w:tc>
          <w:tcPr>
            <w:tcW w:type="dxa" w:w="2076"/>
          </w:tcPr>
          <w:p>
            <w:pPr>
              <w:pStyle w:val="null3"/>
              <w:jc w:val="left"/>
            </w:pPr>
            <w:r>
              <w:rPr/>
              <w:t>为方便采购人后续工作安排，如所投产品需有耗材，需投标人在投标文件中提供所投设备的试剂耗材信息，包括但不限于耗材名称、规格型号、单价、注册证编号（如有），但不纳入本项目采购范围，提供《耗材报价表》。如所投产品无需耗材，投标人需提供所投产品无耗材的说明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w:t>
            </w:r>
          </w:p>
        </w:tc>
        <w:tc>
          <w:tcPr>
            <w:tcW w:type="dxa" w:w="2076"/>
          </w:tcPr>
          <w:p>
            <w:pPr>
              <w:pStyle w:val="null3"/>
              <w:jc w:val="left"/>
            </w:pPr>
            <w:r>
              <w:rPr/>
              <w:t>本项目所有的软硬件保修期自双方验收合格之日起计算不少于3年，保修费用已含在投标报价中。</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保修范围</w:t>
            </w:r>
          </w:p>
        </w:tc>
        <w:tc>
          <w:tcPr>
            <w:tcW w:type="dxa" w:w="2076"/>
          </w:tcPr>
          <w:p>
            <w:pPr>
              <w:pStyle w:val="null3"/>
              <w:jc w:val="left"/>
            </w:pPr>
            <w:r>
              <w:rPr/>
              <w:t>保修范围包括但不限于更换零件费用及维修工时费等。保修期内，投标人须提供7*24小时服务。</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此费用已包含在报价内，采购人不另外支付。若本项目后续由投标人继续维护的，采购人所支付的年维护费已经包含本项目所有接口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生产日期</w:t>
            </w:r>
          </w:p>
        </w:tc>
        <w:tc>
          <w:tcPr>
            <w:tcW w:type="dxa" w:w="2076"/>
          </w:tcPr>
          <w:p>
            <w:pPr>
              <w:pStyle w:val="null3"/>
              <w:jc w:val="left"/>
            </w:pPr>
            <w:r>
              <w:rPr/>
              <w:t>因使用年限方面的要求，故投标人承诺供给招标人的货物的生产日期需在投标人交货日期起前18个月内，招标人将结合设备出厂铭牌等材料进行验收。</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②如所投产品为第一类医疗器械，须具有《第一类医疗器械备案凭证》或承诺供货前取得《第一类医疗器械备案凭证》； ③如所投产品不属于医疗器械，须提供不作为医疗器械管理的药监部门分类界定批文或不作为医疗器械管理的说明函（格式自拟）。</w:t>
            </w:r>
          </w:p>
        </w:tc>
      </w:tr>
      <w:tr>
        <w:tc>
          <w:tcPr>
            <w:tcW w:type="dxa" w:w="2076"/>
          </w:tcPr>
          <w:p/>
        </w:tc>
        <w:tc>
          <w:tcPr>
            <w:tcW w:type="dxa" w:w="2076"/>
          </w:tcPr>
          <w:p>
            <w:pPr>
              <w:pStyle w:val="null3"/>
              <w:jc w:val="center"/>
            </w:pPr>
            <w:r>
              <w:rPr/>
              <w:t>8</w:t>
            </w:r>
          </w:p>
        </w:tc>
        <w:tc>
          <w:tcPr>
            <w:tcW w:type="dxa" w:w="2076"/>
          </w:tcPr>
          <w:p>
            <w:pPr>
              <w:pStyle w:val="null3"/>
              <w:jc w:val="left"/>
            </w:pPr>
            <w:r>
              <w:rPr/>
              <w:t>放射源</w:t>
            </w:r>
          </w:p>
        </w:tc>
        <w:tc>
          <w:tcPr>
            <w:tcW w:type="dxa" w:w="2076"/>
          </w:tcPr>
          <w:p>
            <w:pPr>
              <w:pStyle w:val="null3"/>
              <w:jc w:val="left"/>
            </w:pPr>
            <w:r>
              <w:rPr/>
              <w:t>厂家应委托有资质的公司负责新源的进口和旧源的出口手续，并承担国内国外全部运输费用。</w:t>
            </w:r>
          </w:p>
        </w:tc>
      </w:tr>
      <w:tr>
        <w:tc>
          <w:tcPr>
            <w:tcW w:type="dxa" w:w="2076"/>
          </w:tcPr>
          <w:p/>
        </w:tc>
        <w:tc>
          <w:tcPr>
            <w:tcW w:type="dxa" w:w="2076"/>
          </w:tcPr>
          <w:p>
            <w:pPr>
              <w:pStyle w:val="null3"/>
              <w:jc w:val="center"/>
            </w:pPr>
            <w:r>
              <w:rPr/>
              <w:t>9</w:t>
            </w:r>
          </w:p>
        </w:tc>
        <w:tc>
          <w:tcPr>
            <w:tcW w:type="dxa" w:w="2076"/>
          </w:tcPr>
          <w:p>
            <w:pPr>
              <w:pStyle w:val="null3"/>
              <w:jc w:val="left"/>
            </w:pPr>
            <w:r>
              <w:rPr/>
              <w:t>安装和维修</w:t>
            </w:r>
          </w:p>
        </w:tc>
        <w:tc>
          <w:tcPr>
            <w:tcW w:type="dxa" w:w="2076"/>
          </w:tcPr>
          <w:p>
            <w:pPr>
              <w:pStyle w:val="null3"/>
              <w:jc w:val="left"/>
            </w:pPr>
            <w:r>
              <w:rPr/>
              <w:t>设备安装及维修服务应由厂家工程师完成，以确保服务质量。投标人协助完成机房设计，厂家提供安装服务。</w:t>
            </w:r>
          </w:p>
        </w:tc>
      </w:tr>
      <w:tr>
        <w:tc>
          <w:tcPr>
            <w:tcW w:type="dxa" w:w="2076"/>
          </w:tcPr>
          <w:p/>
        </w:tc>
        <w:tc>
          <w:tcPr>
            <w:tcW w:type="dxa" w:w="2076"/>
          </w:tcPr>
          <w:p>
            <w:pPr>
              <w:pStyle w:val="null3"/>
              <w:jc w:val="center"/>
            </w:pPr>
            <w:r>
              <w:rPr/>
              <w:t>10</w:t>
            </w:r>
          </w:p>
        </w:tc>
        <w:tc>
          <w:tcPr>
            <w:tcW w:type="dxa" w:w="2076"/>
          </w:tcPr>
          <w:p>
            <w:pPr>
              <w:pStyle w:val="null3"/>
              <w:jc w:val="left"/>
            </w:pPr>
            <w:r>
              <w:rPr/>
              <w:t>培训</w:t>
            </w:r>
          </w:p>
        </w:tc>
        <w:tc>
          <w:tcPr>
            <w:tcW w:type="dxa" w:w="2076"/>
          </w:tcPr>
          <w:p>
            <w:pPr>
              <w:pStyle w:val="null3"/>
              <w:jc w:val="left"/>
            </w:pPr>
            <w:r>
              <w:rPr/>
              <w:t>（1）提供不少于5天的现场培训。 （2）现场培训应包括医生、物理师、技师和护士的培训。 （3）现场培训内容包括后装机的操作、质量保证、治疗计划系统、施源器知识以及换源、安全程序和紧急情况处理。</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配置清单</w:t>
            </w:r>
          </w:p>
        </w:tc>
        <w:tc>
          <w:tcPr>
            <w:tcW w:type="dxa" w:w="2076"/>
          </w:tcPr>
          <w:p>
            <w:pPr>
              <w:pStyle w:val="null3"/>
              <w:jc w:val="left"/>
            </w:pPr>
            <w:r>
              <w:rPr/>
              <w:t>投标人须提供所投产品完整的配置清单。</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医用放射射线治疗设备</w:t>
            </w:r>
          </w:p>
        </w:tc>
        <w:tc>
          <w:tcPr>
            <w:tcW w:type="dxa" w:w="831"/>
          </w:tcPr>
          <w:p>
            <w:pPr>
              <w:pStyle w:val="null3"/>
              <w:jc w:val="left"/>
            </w:pPr>
            <w:r>
              <w:rPr/>
              <w:t>后装治疗机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4,700,000.00</w:t>
            </w:r>
          </w:p>
        </w:tc>
        <w:tc>
          <w:tcPr>
            <w:tcW w:type="dxa" w:w="831"/>
          </w:tcPr>
          <w:p>
            <w:pPr>
              <w:pStyle w:val="null3"/>
              <w:jc w:val="right"/>
            </w:pPr>
            <w:r>
              <w:rPr/>
              <w:t>4,700,000.00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后装治疗机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按前述标准计算低于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采购包1(后装治疗机)：综合评分法,是指投标文件满足招标文件全部实质性要求，且按照评审因素的量化指标评审得分最高的投标人为中标候选人的评标方法。（最低报价不是中标的唯一依据。）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采购包1（后装治疗机）：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采购包1（后装治疗机）：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特定资格要求（满足以下任一条件即可）</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投标人具有《辐射安全许可证》，且种类和范围包括：销售III类射线装置。</w:t>
            </w:r>
          </w:p>
        </w:tc>
      </w:tr>
      <w:tr>
        <w:tc>
          <w:tcPr>
            <w:tcW w:type="dxa" w:w="890"/>
          </w:tcPr>
          <w:p>
            <w:pPr>
              <w:pStyle w:val="null3"/>
            </w:pPr>
            <w:r>
              <w:rPr/>
              <w:t>10</w:t>
            </w:r>
          </w:p>
        </w:tc>
        <w:tc>
          <w:tcPr>
            <w:tcW w:type="dxa" w:w="3178"/>
          </w:tcPr>
          <w:p>
            <w:pPr>
              <w:pStyle w:val="null3"/>
            </w:pPr>
            <w:r>
              <w:rPr/>
              <w:t>采购包1</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采购包1（后装治疗机）：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采购包1(后装治疗机):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2.技术标准与要求-附表一”带“▲”的重要技术条款（30条，以最低一级编号的条款为1条，标题不计入）的响应情况进行评审：带“▲”号的重要技术条款每有一条满足得1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(24.0分)</w:t>
            </w:r>
          </w:p>
        </w:tc>
        <w:tc>
          <w:tcPr>
            <w:tcW w:type="dxa" w:w="5076"/>
          </w:tcPr>
          <w:p>
            <w:pPr>
              <w:pStyle w:val="null3"/>
              <w:jc w:val="left"/>
            </w:pPr>
            <w:r>
              <w:rPr/>
              <w:t>根据投标人所投产品对用户需求书中“2.技术标准与要求-附表一”不带“▲”“★”号的一般技术条款（40条，以最低一级编号的条款为1条，标题不计入）的响应情况进行评审：不带“▲”“★”号的一般技术条款每有一条满足得0.6分，最高得24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投标人提供详细的售后服务方案，方案包括交货及安装内容、服务响应时间、零配件供应情况、维保服务内容、培训内容等，对各方案进行综合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4分；有提供售后服务方案，但可行性不强，售后服务内容及各阶段服务计划完整性有缺漏，得2分；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投标人医疗设备的供货能力 (8.0分)</w:t>
            </w:r>
          </w:p>
        </w:tc>
        <w:tc>
          <w:tcPr>
            <w:tcW w:type="dxa" w:w="5076"/>
          </w:tcPr>
          <w:p>
            <w:pPr>
              <w:pStyle w:val="null3"/>
              <w:jc w:val="left"/>
            </w:pPr>
            <w:r>
              <w:rPr/>
              <w:t>投标人2022年1月1日以来具有医疗设备供货的业绩，每个得2分，最高得8分。【注：提供以投标人名义签订的合同复印件作为评价证明资料，以签订合同的时间为准】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投标人具有用户满意度调查表或用户评价（评价需为正面），得2分，无提供不得分。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江门市中心医院医疗设备采购</w:t>
      </w:r>
      <w:r>
        <w:rPr>
          <w:sz w:val="32"/>
          <w:b/>
        </w:rPr>
        <w:t>合同</w:t>
      </w:r>
    </w:p>
    <w:p>
      <w:pPr>
        <w:pStyle w:val="null3"/>
        <w:jc w:val="center"/>
      </w:pPr>
      <w:r>
        <w:rPr>
          <w:sz w:val="24"/>
        </w:rPr>
        <w:t>购货单位：</w:t>
      </w:r>
      <w:r>
        <w:rPr>
          <w:sz w:val="24"/>
        </w:rPr>
        <w:t>江门市中心医院</w:t>
      </w:r>
      <w:r>
        <w:rPr>
          <w:sz w:val="24"/>
        </w:rPr>
        <w:t>（以下简称甲方）</w:t>
      </w:r>
    </w:p>
    <w:p>
      <w:pPr>
        <w:pStyle w:val="null3"/>
        <w:jc w:val="both"/>
      </w:pPr>
      <w:r>
        <w:rPr>
          <w:sz w:val="24"/>
        </w:rPr>
        <w:t>供货单位：</w:t>
      </w:r>
      <w:r>
        <w:rPr>
          <w:sz w:val="21"/>
          <w:u w:val="single"/>
        </w:rPr>
        <w:t xml:space="preserve">              </w:t>
      </w:r>
      <w:r>
        <w:rPr>
          <w:sz w:val="24"/>
        </w:rPr>
        <w:t>（以下简称乙方）</w:t>
      </w:r>
    </w:p>
    <w:p>
      <w:pPr>
        <w:pStyle w:val="null3"/>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日江门市中心医院医疗设备采购项目</w:t>
      </w:r>
      <w:r>
        <w:rPr>
          <w:sz w:val="24"/>
        </w:rPr>
        <w:t>的</w:t>
      </w:r>
      <w:r>
        <w:rPr>
          <w:sz w:val="24"/>
        </w:rPr>
        <w:t>采购结果、</w:t>
      </w:r>
      <w:r>
        <w:rPr>
          <w:sz w:val="24"/>
        </w:rPr>
        <w:t>招标文件、乙方的投标文件</w:t>
      </w:r>
      <w:r>
        <w:rPr>
          <w:sz w:val="24"/>
        </w:rPr>
        <w:t>及澄清文件和中标通知书</w:t>
      </w:r>
      <w:r>
        <w:rPr>
          <w:sz w:val="24"/>
        </w:rPr>
        <w:t>（以上文件发生冲突时以较高标准为准）</w:t>
      </w:r>
      <w:r>
        <w:rPr>
          <w:sz w:val="24"/>
        </w:rPr>
        <w:t>的要求，</w:t>
      </w:r>
      <w:r>
        <w:rPr>
          <w:sz w:val="24"/>
        </w:rPr>
        <w:t>经双方协商一致，订立合同如下：</w:t>
      </w:r>
    </w:p>
    <w:p>
      <w:pPr>
        <w:pStyle w:val="null3"/>
        <w:ind w:firstLine="482"/>
        <w:jc w:val="both"/>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r>
              <w:rPr>
                <w:sz w:val="24"/>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合同金额</w:t>
            </w:r>
            <w:r>
              <w:rPr>
                <w:sz w:val="24"/>
              </w:rPr>
              <w:t>：人民币（大写）：</w:t>
            </w:r>
            <w:r>
              <w:rPr>
                <w:sz w:val="21"/>
                <w:u w:val="single"/>
              </w:rPr>
              <w:t xml:space="preserve">              </w:t>
            </w:r>
            <w:r>
              <w:rPr>
                <w:sz w:val="21"/>
                <w:u w:val="single"/>
              </w:rPr>
              <w:t xml:space="preserve"> </w:t>
            </w:r>
            <w:r>
              <w:rPr>
                <w:sz w:val="24"/>
              </w:rPr>
              <w:t>；（小写）</w:t>
            </w:r>
            <w:r>
              <w:rPr>
                <w:sz w:val="24"/>
                <w:u w:val="single"/>
              </w:rPr>
              <w:t>¥</w:t>
            </w:r>
            <w:r>
              <w:rPr>
                <w:sz w:val="21"/>
                <w:u w:val="single"/>
              </w:rPr>
              <w:t xml:space="preserve">             </w:t>
            </w:r>
            <w:r>
              <w:rPr>
                <w:sz w:val="24"/>
              </w:rPr>
              <w:t>。</w:t>
            </w:r>
          </w:p>
          <w:p>
            <w:pPr>
              <w:pStyle w:val="null3"/>
              <w:jc w:val="both"/>
            </w:pPr>
            <w:r>
              <w:rPr>
                <w:sz w:val="24"/>
              </w:rPr>
              <w:t>其中增值税税款为</w:t>
            </w:r>
            <w:r>
              <w:rPr>
                <w:sz w:val="32"/>
                <w:u w:val="single"/>
              </w:rPr>
              <w:t xml:space="preserve">       </w:t>
            </w:r>
            <w:r>
              <w:rPr>
                <w:sz w:val="24"/>
              </w:rPr>
              <w:t>元，税率为</w:t>
            </w:r>
            <w:r>
              <w:rPr>
                <w:sz w:val="32"/>
                <w:u w:val="single"/>
              </w:rPr>
              <w:t xml:space="preserve">     </w:t>
            </w:r>
            <w:r>
              <w:rPr>
                <w:sz w:val="24"/>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r>
              <w:rPr>
                <w:sz w:val="24"/>
              </w:rPr>
              <w:t>注册证编号：</w:t>
            </w:r>
            <w:r>
              <w:rPr>
                <w:sz w:val="21"/>
                <w:u w:val="single"/>
              </w:rPr>
              <w:t xml:space="preserve">                </w:t>
            </w:r>
            <w:r>
              <w:rPr>
                <w:sz w:val="24"/>
              </w:rPr>
              <w:t>。</w:t>
            </w:r>
          </w:p>
        </w:tc>
      </w:tr>
    </w:tbl>
    <w:p>
      <w:pPr>
        <w:pStyle w:val="null3"/>
        <w:ind w:firstLine="480"/>
        <w:jc w:val="both"/>
      </w:pPr>
      <w:r>
        <w:rPr>
          <w:sz w:val="24"/>
        </w:rPr>
        <w:t>（二）项目总价是完成项目的含税全包价，</w:t>
      </w:r>
      <w:r>
        <w:rPr>
          <w:sz w:val="24"/>
        </w:rPr>
        <w:t>乙方需无偿开放所有软硬件数据接口，后期不再收取甲方或第三方任何接口费用。</w:t>
      </w:r>
      <w:r>
        <w:rPr>
          <w:sz w:val="24"/>
        </w:rPr>
        <w:t>所有价格变动的风险均由乙方承担</w:t>
      </w:r>
      <w:r>
        <w:rPr>
          <w:sz w:val="24"/>
        </w:rPr>
        <w:t>，甲方不需再向乙方支付任何其他费用。</w:t>
      </w:r>
    </w:p>
    <w:p>
      <w:pPr>
        <w:pStyle w:val="null3"/>
        <w:ind w:firstLine="480"/>
        <w:jc w:val="both"/>
      </w:pPr>
      <w:r>
        <w:rPr>
          <w:sz w:val="24"/>
        </w:rPr>
        <w:t>（三）货物清单：</w:t>
      </w:r>
      <w:r>
        <w:rPr>
          <w:sz w:val="24"/>
        </w:rPr>
        <w:t>详见合同附后配置清单。</w:t>
      </w:r>
    </w:p>
    <w:p>
      <w:pPr>
        <w:pStyle w:val="null3"/>
        <w:ind w:firstLine="480"/>
        <w:jc w:val="both"/>
      </w:pPr>
      <w:r>
        <w:rPr>
          <w:sz w:val="24"/>
        </w:rPr>
        <w:t>（四）服务内容：</w:t>
      </w:r>
      <w:r>
        <w:rPr>
          <w:sz w:val="24"/>
        </w:rPr>
        <w:t>按</w:t>
      </w:r>
      <w:r>
        <w:rPr>
          <w:sz w:val="24"/>
        </w:rPr>
        <w:t>照</w:t>
      </w:r>
      <w:r>
        <w:rPr>
          <w:sz w:val="24"/>
        </w:rPr>
        <w:t>本合同约定、</w:t>
      </w:r>
      <w:r>
        <w:rPr>
          <w:sz w:val="24"/>
        </w:rPr>
        <w:t>招标文件</w:t>
      </w:r>
      <w:r>
        <w:rPr>
          <w:sz w:val="24"/>
        </w:rPr>
        <w:t>、</w:t>
      </w:r>
      <w:r>
        <w:rPr>
          <w:sz w:val="24"/>
        </w:rPr>
        <w:t>乙方</w:t>
      </w:r>
      <w:r>
        <w:rPr>
          <w:sz w:val="24"/>
        </w:rPr>
        <w:t>的</w:t>
      </w:r>
      <w:r>
        <w:rPr>
          <w:sz w:val="24"/>
        </w:rPr>
        <w:t>投标文件</w:t>
      </w:r>
      <w:r>
        <w:rPr>
          <w:sz w:val="24"/>
        </w:rPr>
        <w:t>（以上文件发生冲突时以较高标准为准）</w:t>
      </w:r>
      <w:r>
        <w:rPr>
          <w:sz w:val="24"/>
        </w:rPr>
        <w:t>执行。</w:t>
      </w:r>
    </w:p>
    <w:p>
      <w:pPr>
        <w:pStyle w:val="null3"/>
        <w:ind w:firstLine="482"/>
        <w:jc w:val="both"/>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（一）货物的质量要求：符合国家有关标准、制造厂家标准，</w:t>
      </w:r>
      <w:r>
        <w:rPr>
          <w:sz w:val="24"/>
        </w:rPr>
        <w:t>按照本合同约定、</w:t>
      </w:r>
      <w:r>
        <w:rPr>
          <w:sz w:val="24"/>
        </w:rPr>
        <w:t>招标文件、乙方的投标文件、</w:t>
      </w:r>
      <w:r>
        <w:rPr>
          <w:sz w:val="24"/>
        </w:rPr>
        <w:t>澄清文件和中标通知书</w:t>
      </w:r>
      <w:r>
        <w:rPr>
          <w:sz w:val="24"/>
        </w:rPr>
        <w:t>（以上文件发生冲突时以较高标准为准）</w:t>
      </w:r>
      <w:r>
        <w:rPr>
          <w:sz w:val="24"/>
        </w:rPr>
        <w:t>的要求执行。</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1"/>
          <w:u w:val="single"/>
        </w:rPr>
        <w:t xml:space="preserve">     </w:t>
      </w:r>
      <w:r>
        <w:rPr>
          <w:sz w:val="24"/>
        </w:rPr>
        <w:t>小时内响应，</w:t>
      </w:r>
      <w:r>
        <w:rPr>
          <w:sz w:val="21"/>
          <w:u w:val="single"/>
        </w:rPr>
        <w:t xml:space="preserve">     </w:t>
      </w:r>
      <w:r>
        <w:rPr>
          <w:sz w:val="24"/>
        </w:rPr>
        <w:t>小时内上门维修</w:t>
      </w:r>
      <w:r>
        <w:rPr>
          <w:sz w:val="24"/>
        </w:rPr>
        <w:t>，</w:t>
      </w:r>
      <w:r>
        <w:rPr>
          <w:sz w:val="21"/>
          <w:u w:val="single"/>
        </w:rPr>
        <w:t xml:space="preserve">     </w:t>
      </w:r>
      <w:r>
        <w:rPr>
          <w:sz w:val="24"/>
        </w:rPr>
        <w:t>小时内处理完毕。若在规定时间内，乙方仍未能有效解决，甲方有权另行委托第三方提供服务或要求乙方免费提供同</w:t>
      </w:r>
      <w:r>
        <w:rPr>
          <w:sz w:val="24"/>
        </w:rPr>
        <w:t>品级</w:t>
      </w:r>
      <w:r>
        <w:rPr>
          <w:sz w:val="24"/>
        </w:rPr>
        <w:t>的设备或零部件予甲方临时使用，由此产生的相关费用由乙方承担。</w:t>
      </w:r>
    </w:p>
    <w:p>
      <w:pPr>
        <w:pStyle w:val="null3"/>
        <w:ind w:firstLine="480"/>
        <w:jc w:val="both"/>
      </w:pPr>
      <w:r>
        <w:rPr>
          <w:sz w:val="24"/>
        </w:rPr>
        <w:t>2、</w:t>
      </w:r>
      <w:r>
        <w:rPr>
          <w:sz w:val="24"/>
        </w:rPr>
        <w:t>乙方须负责本合同下所有设备免费保修</w:t>
      </w:r>
      <w:r>
        <w:rPr>
          <w:sz w:val="21"/>
          <w:u w:val="single"/>
        </w:rPr>
        <w:t xml:space="preserve">     </w:t>
      </w:r>
      <w:r>
        <w:rPr>
          <w:sz w:val="24"/>
        </w:rPr>
        <w:t>年，免费维修的范围包括但不限于更换零件费用及维修工时费等；保修期自本合同项下的设备经甲乙双方验收合格之日起计算。保修期内，乙方须提供</w:t>
      </w:r>
      <w:r>
        <w:rPr>
          <w:sz w:val="24"/>
        </w:rPr>
        <w:t>7*24小时服务。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5个工作日以书面形式通知甲方，否则乙方应承担因服务热线变更或取消造成的一切不利后果。</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2"/>
        <w:jc w:val="both"/>
      </w:pPr>
      <w:r>
        <w:rPr>
          <w:sz w:val="24"/>
          <w:b/>
        </w:rPr>
        <w:t>第三条</w:t>
      </w:r>
      <w:r>
        <w:rPr>
          <w:sz w:val="24"/>
          <w:b/>
        </w:rPr>
        <w:t xml:space="preserve">  </w:t>
      </w:r>
      <w:r>
        <w:rPr>
          <w:sz w:val="24"/>
          <w:b/>
        </w:rPr>
        <w:t>交货和安装</w:t>
      </w:r>
    </w:p>
    <w:p>
      <w:pPr>
        <w:pStyle w:val="null3"/>
        <w:ind w:firstLine="480"/>
        <w:jc w:val="both"/>
      </w:pPr>
      <w:r>
        <w:rPr>
          <w:sz w:val="24"/>
        </w:rPr>
        <w:t>（一）</w:t>
      </w:r>
      <w:r>
        <w:rPr>
          <w:sz w:val="24"/>
        </w:rPr>
        <w:t>生产日期要求；</w:t>
      </w:r>
      <w:r>
        <w:rPr>
          <w:sz w:val="24"/>
        </w:rPr>
        <w:t>因使用年限方面的要求，故乙方供给甲方的货物的生产日期需在乙方交货日期起前</w:t>
      </w:r>
      <w:r>
        <w:rPr>
          <w:sz w:val="24"/>
        </w:rPr>
        <w:t>18个月内，甲方将结合设备出厂铭牌等材料进行验收。</w:t>
      </w:r>
    </w:p>
    <w:p>
      <w:pPr>
        <w:pStyle w:val="null3"/>
        <w:ind w:firstLine="480"/>
        <w:jc w:val="both"/>
      </w:pPr>
      <w:r>
        <w:rPr>
          <w:sz w:val="24"/>
        </w:rPr>
        <w:t>（</w:t>
      </w:r>
      <w:r>
        <w:rPr>
          <w:sz w:val="24"/>
        </w:rPr>
        <w:t>二</w:t>
      </w:r>
      <w:r>
        <w:rPr>
          <w:sz w:val="24"/>
        </w:rPr>
        <w:t>）</w:t>
      </w:r>
      <w:r>
        <w:rPr>
          <w:sz w:val="24"/>
        </w:rPr>
        <w:t>交货期：</w:t>
      </w:r>
      <w:r>
        <w:rPr>
          <w:sz w:val="24"/>
        </w:rPr>
        <w:t>所有货物须在</w:t>
      </w:r>
      <w:r>
        <w:rPr>
          <w:sz w:val="24"/>
        </w:rPr>
        <w:t>合同签订后，甲方通知乙方送货后的</w:t>
      </w:r>
      <w:r>
        <w:rPr>
          <w:sz w:val="24"/>
        </w:rPr>
        <w:t>7天内</w:t>
      </w:r>
      <w:r>
        <w:rPr>
          <w:sz w:val="24"/>
        </w:rPr>
        <w:t>安装、调试完毕，能够投入使用并且通过验收</w:t>
      </w:r>
      <w:r>
        <w:rPr>
          <w:sz w:val="24"/>
        </w:rPr>
        <w:t>。</w:t>
      </w:r>
    </w:p>
    <w:p>
      <w:pPr>
        <w:pStyle w:val="null3"/>
        <w:ind w:firstLine="480"/>
        <w:jc w:val="both"/>
      </w:pPr>
      <w:r>
        <w:rPr>
          <w:sz w:val="24"/>
        </w:rPr>
        <w:t>（</w:t>
      </w:r>
      <w:r>
        <w:rPr>
          <w:sz w:val="24"/>
        </w:rPr>
        <w:t>三</w:t>
      </w:r>
      <w:r>
        <w:rPr>
          <w:sz w:val="24"/>
        </w:rPr>
        <w:t>）交货方式：乙方负责将货物送至江门市中心医院指定地点。</w:t>
      </w:r>
    </w:p>
    <w:p>
      <w:pPr>
        <w:pStyle w:val="null3"/>
        <w:ind w:firstLine="480"/>
        <w:jc w:val="both"/>
      </w:pPr>
      <w:r>
        <w:rPr>
          <w:sz w:val="24"/>
        </w:rPr>
        <w:t>（</w:t>
      </w:r>
      <w:r>
        <w:rPr>
          <w:sz w:val="24"/>
        </w:rPr>
        <w:t>四</w:t>
      </w:r>
      <w:r>
        <w:rPr>
          <w:sz w:val="24"/>
        </w:rPr>
        <w:t>）设备的安装：由乙方负责。</w:t>
      </w:r>
    </w:p>
    <w:p>
      <w:pPr>
        <w:pStyle w:val="null3"/>
        <w:ind w:firstLine="482"/>
        <w:jc w:val="both"/>
      </w:pPr>
      <w:r>
        <w:rPr>
          <w:sz w:val="24"/>
          <w:b/>
        </w:rPr>
        <w:t>第四条</w:t>
      </w:r>
      <w:r>
        <w:rPr>
          <w:sz w:val="24"/>
          <w:b/>
        </w:rPr>
        <w:t xml:space="preserve">  </w:t>
      </w:r>
      <w:r>
        <w:rPr>
          <w:sz w:val="24"/>
          <w:b/>
        </w:rPr>
        <w:t>货款的结算</w:t>
      </w:r>
    </w:p>
    <w:p>
      <w:pPr>
        <w:pStyle w:val="null3"/>
        <w:ind w:firstLine="480"/>
        <w:jc w:val="both"/>
      </w:pPr>
      <w:r>
        <w:rPr>
          <w:sz w:val="24"/>
        </w:rPr>
        <w:t>（</w:t>
      </w:r>
      <w:r>
        <w:rPr>
          <w:sz w:val="24"/>
        </w:rPr>
        <w:t>一</w:t>
      </w:r>
      <w:r>
        <w:rPr>
          <w:sz w:val="24"/>
        </w:rPr>
        <w:t>）</w:t>
      </w:r>
      <w:r>
        <w:rPr>
          <w:sz w:val="24"/>
        </w:rPr>
        <w:t>具体结算</w:t>
      </w:r>
      <w:r>
        <w:rPr>
          <w:sz w:val="24"/>
        </w:rPr>
        <w:t>方</w:t>
      </w:r>
      <w:r>
        <w:rPr>
          <w:sz w:val="24"/>
        </w:rPr>
        <w:t>式：</w:t>
      </w:r>
    </w:p>
    <w:p>
      <w:pPr>
        <w:pStyle w:val="null3"/>
        <w:ind w:firstLine="480"/>
        <w:jc w:val="both"/>
      </w:pPr>
      <w:r>
        <w:rPr>
          <w:sz w:val="24"/>
        </w:rPr>
        <w:t>1.第一期：合同签订生效后的30个工作日内，将合同总金额的30%（即¥      ）支付给乙方。</w:t>
      </w:r>
    </w:p>
    <w:p>
      <w:pPr>
        <w:pStyle w:val="null3"/>
        <w:ind w:firstLine="480"/>
        <w:jc w:val="both"/>
      </w:pPr>
      <w:r>
        <w:rPr>
          <w:sz w:val="24"/>
        </w:rPr>
        <w:t>2.乙方须在收到第一期货款后的5个工作日内向甲方支付合同总金额的</w:t>
      </w:r>
      <w:r>
        <w:rPr>
          <w:sz w:val="24"/>
        </w:rPr>
        <w:t>10</w:t>
      </w:r>
      <w:r>
        <w:rPr>
          <w:sz w:val="24"/>
        </w:rPr>
        <w:t>%（即¥      ）（如为中小企业，履约保证金的收取比例为5%）作为履约保证金，可转账或采取银行保函形式，银行保函有效期至合同履约结束；如转账支付履约保证金的，2年免费保修期满后的60日内由甲方不计利息退还履约保证金，免费保修期依然生效。</w:t>
      </w:r>
    </w:p>
    <w:p>
      <w:pPr>
        <w:pStyle w:val="null3"/>
        <w:ind w:firstLine="480"/>
        <w:jc w:val="both"/>
      </w:pPr>
      <w:r>
        <w:rPr>
          <w:sz w:val="24"/>
        </w:rPr>
        <w:t>3.第二期：设备运到指定地点且乙方完成履约保证金相关手续后30个工作日内将合同总金额的70%（即¥      ）支付给乙方。</w:t>
      </w:r>
    </w:p>
    <w:p>
      <w:pPr>
        <w:pStyle w:val="null3"/>
        <w:ind w:firstLine="480"/>
        <w:jc w:val="both"/>
      </w:pPr>
      <w:r>
        <w:rPr>
          <w:sz w:val="24"/>
        </w:rPr>
        <w:t>4.乙方保修期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480"/>
        <w:jc w:val="both"/>
      </w:pPr>
      <w:r>
        <w:rPr>
          <w:sz w:val="24"/>
        </w:rPr>
        <w:t>（二）乙方须在第二期付款时间前</w:t>
      </w:r>
      <w:r>
        <w:rPr>
          <w:sz w:val="24"/>
        </w:rPr>
        <w:t>30日提供合法有效的全额发票给甲方。</w:t>
      </w:r>
    </w:p>
    <w:p>
      <w:pPr>
        <w:pStyle w:val="null3"/>
        <w:ind w:firstLine="482"/>
        <w:jc w:val="both"/>
      </w:pPr>
      <w:r>
        <w:rPr>
          <w:sz w:val="24"/>
          <w:b/>
        </w:rPr>
        <w:t>第五条</w:t>
      </w:r>
      <w:r>
        <w:rPr>
          <w:sz w:val="24"/>
          <w:b/>
        </w:rPr>
        <w:t xml:space="preserve">  </w:t>
      </w:r>
      <w:r>
        <w:rPr>
          <w:sz w:val="24"/>
          <w:b/>
        </w:rPr>
        <w:t>验收方式</w:t>
      </w:r>
    </w:p>
    <w:p>
      <w:pPr>
        <w:pStyle w:val="null3"/>
        <w:ind w:firstLine="480"/>
        <w:jc w:val="both"/>
      </w:pPr>
      <w:r>
        <w:rPr>
          <w:sz w:val="24"/>
        </w:rPr>
        <w:t>（一）验收时间：</w:t>
      </w:r>
      <w:r>
        <w:rPr>
          <w:sz w:val="24"/>
        </w:rPr>
        <w:t>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w:t>
      </w:r>
      <w:r>
        <w:rPr>
          <w:sz w:val="24"/>
        </w:rPr>
        <w:t>符合本合同约定、</w:t>
      </w:r>
      <w:r>
        <w:rPr>
          <w:sz w:val="24"/>
        </w:rPr>
        <w:t>招标文件、乙方的投标文件</w:t>
      </w:r>
      <w:r>
        <w:rPr>
          <w:sz w:val="24"/>
        </w:rPr>
        <w:t>、澄清文件和中标通知书</w:t>
      </w:r>
      <w:r>
        <w:rPr>
          <w:sz w:val="24"/>
        </w:rPr>
        <w:t>（以上文件发生冲突时以较高标准为准）</w:t>
      </w:r>
      <w:r>
        <w:rPr>
          <w:sz w:val="24"/>
        </w:rPr>
        <w:t>的要求；</w:t>
      </w:r>
      <w:r>
        <w:rPr>
          <w:sz w:val="24"/>
        </w:rPr>
        <w:t>单证齐全，有产品合格证（或质量保证书）、发票和其它应当具有单证文件。</w:t>
      </w:r>
    </w:p>
    <w:p>
      <w:pPr>
        <w:pStyle w:val="null3"/>
        <w:ind w:firstLine="482"/>
        <w:jc w:val="both"/>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2"/>
        <w:jc w:val="both"/>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（一）乙方不能交货的，甲方不向乙方付款。甲方有权解除本合同，乙方应向甲方偿付合同总价的百分之</w:t>
      </w:r>
      <w:r>
        <w:rPr>
          <w:sz w:val="24"/>
        </w:rPr>
        <w:t>1</w:t>
      </w:r>
      <w:r>
        <w:rPr>
          <w:sz w:val="24"/>
        </w:rPr>
        <w:t>5</w:t>
      </w:r>
      <w:r>
        <w:rPr>
          <w:sz w:val="24"/>
        </w:rPr>
        <w:t>作为违约金，违约金不足以弥补甲方损失的，乙方应赔偿甲方实际损失。</w:t>
      </w:r>
    </w:p>
    <w:p>
      <w:pPr>
        <w:pStyle w:val="null3"/>
        <w:ind w:firstLine="480"/>
        <w:jc w:val="both"/>
      </w:pPr>
      <w:r>
        <w:rPr>
          <w:sz w:val="24"/>
        </w:rPr>
        <w:t>（二）乙方所交设备种类、数量、规格、质量和技术性能等不符合合同规定的，由乙方负责包换或包修，并承担修理、调换或退货而支付的实际费用，并向甲方偿付合同总价的百分之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w:t>
      </w:r>
      <w:r>
        <w:rPr>
          <w:sz w:val="24"/>
        </w:rPr>
        <w:t>的百分</w:t>
      </w:r>
      <w:r>
        <w:rPr>
          <w:sz w:val="24"/>
        </w:rPr>
        <w:t>之</w:t>
      </w:r>
      <w:r>
        <w:rPr>
          <w:sz w:val="24"/>
        </w:rPr>
        <w:t>20作为违约金，违约金不足以弥补甲方损失的，乙方应赔偿甲方实际损失。</w:t>
      </w:r>
    </w:p>
    <w:p>
      <w:pPr>
        <w:pStyle w:val="null3"/>
        <w:ind w:firstLine="480"/>
        <w:jc w:val="both"/>
      </w:pPr>
      <w:r>
        <w:rPr>
          <w:sz w:val="24"/>
        </w:rPr>
        <w:t>（三）乙方逾期交货的，每日应向甲方偿付合同总额的百分之</w:t>
      </w:r>
      <w:r>
        <w:rPr>
          <w:sz w:val="24"/>
        </w:rPr>
        <w:t>0.1作为违约金，逾期达到</w:t>
      </w:r>
      <w:r>
        <w:rPr>
          <w:sz w:val="24"/>
        </w:rPr>
        <w:t>30</w:t>
      </w:r>
      <w:r>
        <w:rPr>
          <w:sz w:val="24"/>
        </w:rPr>
        <w:t>天及以上的，视为不能交货。</w:t>
      </w:r>
    </w:p>
    <w:p>
      <w:pPr>
        <w:pStyle w:val="null3"/>
        <w:ind w:firstLine="480"/>
        <w:jc w:val="both"/>
      </w:pPr>
      <w:r>
        <w:rPr>
          <w:sz w:val="24"/>
        </w:rPr>
        <w:t>（四）除本合同另有约定外，乙方每次违反本合同约定的，须按照合同总价的</w:t>
      </w:r>
      <w:r>
        <w:rPr>
          <w:sz w:val="24"/>
        </w:rPr>
        <w:t>3</w:t>
      </w:r>
      <w:r>
        <w:rPr>
          <w:sz w:val="24"/>
        </w:rPr>
        <w:t>%向甲方支付违约金，违约金不足以弥补甲方损失的，乙方应赔偿甲方实际损失。</w:t>
      </w:r>
    </w:p>
    <w:p>
      <w:pPr>
        <w:pStyle w:val="null3"/>
        <w:ind w:firstLine="482"/>
        <w:jc w:val="both"/>
      </w:pPr>
      <w:r>
        <w:rPr>
          <w:sz w:val="24"/>
          <w:b/>
        </w:rPr>
        <w:t>第八条</w:t>
      </w:r>
      <w:r>
        <w:rPr>
          <w:sz w:val="24"/>
          <w:b/>
        </w:rPr>
        <w:t xml:space="preserve">  </w:t>
      </w:r>
      <w:r>
        <w:rPr>
          <w:sz w:val="24"/>
          <w:b/>
        </w:rPr>
        <w:t>甲方的违约责任</w:t>
      </w:r>
    </w:p>
    <w:p>
      <w:pPr>
        <w:pStyle w:val="null3"/>
        <w:ind w:firstLine="480"/>
        <w:jc w:val="both"/>
      </w:pPr>
      <w:r>
        <w:rPr>
          <w:sz w:val="24"/>
        </w:rPr>
        <w:t>（一）甲</w:t>
      </w:r>
      <w:r>
        <w:rPr>
          <w:sz w:val="24"/>
        </w:rPr>
        <w:t>方逾期付款的，每日应向乙方偿付</w:t>
      </w:r>
      <w:r>
        <w:rPr>
          <w:sz w:val="24"/>
        </w:rPr>
        <w:t>逾期</w:t>
      </w:r>
      <w:r>
        <w:rPr>
          <w:sz w:val="24"/>
        </w:rPr>
        <w:t>总额的百分之</w:t>
      </w:r>
      <w:r>
        <w:rPr>
          <w:sz w:val="24"/>
        </w:rPr>
        <w:t>0.1作为违约金</w:t>
      </w:r>
      <w:r>
        <w:rPr>
          <w:sz w:val="24"/>
        </w:rPr>
        <w:t>，违约金上限不超过合同总金额的</w:t>
      </w:r>
      <w:r>
        <w:rPr>
          <w:sz w:val="24"/>
        </w:rPr>
        <w:t>10%</w:t>
      </w:r>
      <w:r>
        <w:rPr>
          <w:sz w:val="24"/>
        </w:rPr>
        <w:t>。</w:t>
      </w:r>
    </w:p>
    <w:p>
      <w:pPr>
        <w:pStyle w:val="null3"/>
        <w:ind w:firstLine="480"/>
        <w:jc w:val="both"/>
      </w:pPr>
      <w:r>
        <w:rPr>
          <w:sz w:val="24"/>
        </w:rPr>
        <w:t>（二）甲方违反合同规定拒绝接受货物的，应当承担由此而对乙方造成的损失</w:t>
      </w:r>
      <w:r>
        <w:rPr>
          <w:sz w:val="24"/>
        </w:rPr>
        <w:t>，违约金上限不超过合同总金额的</w:t>
      </w:r>
      <w:r>
        <w:rPr>
          <w:sz w:val="24"/>
        </w:rPr>
        <w:t>10%</w:t>
      </w:r>
      <w:r>
        <w:rPr>
          <w:sz w:val="24"/>
        </w:rPr>
        <w:t>。</w:t>
      </w:r>
    </w:p>
    <w:p>
      <w:pPr>
        <w:pStyle w:val="null3"/>
        <w:ind w:firstLine="482"/>
        <w:jc w:val="both"/>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4"/>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（二）若执行本合同的过程中发生纠纷，双方当事人应当及时协商解决；协商不成时，可向江门市蓬江区人民法院提起诉讼。</w:t>
      </w:r>
    </w:p>
    <w:p>
      <w:pPr>
        <w:pStyle w:val="null3"/>
        <w:ind w:firstLine="482"/>
        <w:jc w:val="both"/>
      </w:pPr>
      <w:r>
        <w:rPr>
          <w:sz w:val="24"/>
          <w:b/>
        </w:rPr>
        <w:t>第十一条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4"/>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4"/>
          <w:b/>
        </w:rPr>
        <w:t xml:space="preserve">  </w:t>
      </w:r>
      <w:r>
        <w:rPr>
          <w:sz w:val="24"/>
          <w:b/>
        </w:rPr>
        <w:t>附则</w:t>
      </w:r>
    </w:p>
    <w:p>
      <w:pPr>
        <w:pStyle w:val="null3"/>
        <w:ind w:firstLine="480"/>
        <w:jc w:val="both"/>
      </w:pPr>
      <w:r>
        <w:rPr>
          <w:sz w:val="24"/>
        </w:rPr>
        <w:t>（一）本合同一式四份，甲方执两份，乙方执一份，一份</w:t>
      </w:r>
      <w:r>
        <w:rPr>
          <w:sz w:val="21"/>
          <w:u w:val="single"/>
        </w:rPr>
        <w:t xml:space="preserve">           </w:t>
      </w:r>
      <w:r>
        <w:rPr>
          <w:sz w:val="24"/>
        </w:rPr>
        <w:t>招标公司存档</w:t>
      </w:r>
      <w:r>
        <w:rPr>
          <w:sz w:val="24"/>
        </w:rPr>
        <w:t>，具有同等法律效力</w:t>
      </w:r>
      <w:r>
        <w:rPr>
          <w:sz w:val="24"/>
        </w:rPr>
        <w:t>。合</w:t>
      </w:r>
      <w:r>
        <w:rPr>
          <w:sz w:val="24"/>
        </w:rPr>
        <w:t>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rPr>
        <w:t>以下为配置清单：</w:t>
      </w:r>
    </w:p>
    <w:p>
      <w:pPr>
        <w:pStyle w:val="null3"/>
        <w:jc w:val="center"/>
      </w:pPr>
      <w:r>
        <w:rPr>
          <w:sz w:val="24"/>
        </w:rPr>
        <w:t>项目名称：</w:t>
      </w:r>
      <w:r>
        <w:rPr>
          <w:sz w:val="21"/>
          <w:u w:val="single"/>
        </w:rPr>
        <w:t xml:space="preserve">                 </w:t>
      </w:r>
      <w:r>
        <w:rPr>
          <w:sz w:val="24"/>
        </w:rPr>
        <w:t>。</w:t>
      </w:r>
    </w:p>
    <w:p>
      <w:pPr>
        <w:pStyle w:val="null3"/>
        <w:jc w:val="both"/>
      </w:pPr>
      <w:r>
        <w:rPr>
          <w:sz w:val="28"/>
        </w:rPr>
        <w:t>耗材清</w:t>
      </w:r>
      <w:r>
        <w:rPr>
          <w:sz w:val="28"/>
        </w:rPr>
        <w:t>单</w:t>
      </w:r>
      <w:r>
        <w:rPr>
          <w:sz w:val="28"/>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60"/>
        <w:gridCol w:w="947"/>
        <w:gridCol w:w="876"/>
        <w:gridCol w:w="876"/>
        <w:gridCol w:w="858"/>
        <w:gridCol w:w="850"/>
        <w:gridCol w:w="947"/>
        <w:gridCol w:w="655"/>
        <w:gridCol w:w="894"/>
        <w:gridCol w:w="894"/>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药交</w:t>
            </w:r>
            <w:r>
              <w:rPr>
                <w:sz w:val="24"/>
                <w:b/>
              </w:rPr>
              <w:t>ID</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w:t>
            </w:r>
            <w:r>
              <w:rPr>
                <w:sz w:val="24"/>
                <w:b/>
              </w:rPr>
              <w:t>型号</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产品规格</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注册证号</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(人民币</w:t>
            </w:r>
            <w:r>
              <w:rPr>
                <w:sz w:val="24"/>
                <w:b/>
              </w:rPr>
              <w:t>）</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440701-2025-02386</w:t>
      </w:r>
    </w:p>
    <w:p>
      <w:pPr>
        <w:pStyle w:val="null3"/>
        <w:jc w:val="center"/>
        <w:outlineLvl w:val="3"/>
      </w:pPr>
      <w:r>
        <w:rPr>
          <w:sz w:val="24"/>
          <w:b/>
        </w:rPr>
        <w:t>采购项目编号：</w:t>
      </w:r>
      <w:r>
        <w:rPr>
          <w:sz w:val="24"/>
          <w:b/>
        </w:rPr>
        <w:t>0724-2511Z1974279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江门市中心医院后装治疗机采购项目</w:t>
      </w:r>
      <w:r>
        <w:rPr>
          <w:u w:val="single"/>
        </w:rPr>
        <w:t>”</w:t>
      </w:r>
      <w:r>
        <w:rPr/>
        <w:t>项目的招标[采购项目编号为：</w:t>
      </w:r>
      <w:r>
        <w:rPr>
          <w:u w:val="single"/>
        </w:rPr>
        <w:t>0724-2511Z1974279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江门市中心医院后装治疗机采购项目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江门市中心医院后装治疗机采购项目</w:t>
      </w:r>
      <w:r>
        <w:rPr/>
        <w:t>”项目采购[采购项目编号为</w:t>
      </w:r>
      <w:r>
        <w:rPr/>
        <w:t>0724-2511Z1974279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江门市中心医院后装治疗机采购项目</w:t>
      </w:r>
      <w:r>
        <w:rPr/>
        <w:t>招标中获中标（采购项目编号：</w:t>
      </w:r>
      <w:r>
        <w:rPr/>
        <w:t>0724-2511Z1974279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江门市中心医院后装治疗机采购项目</w:t>
      </w:r>
      <w:r>
        <w:rPr/>
        <w:t>”项目（采购项目编号：</w:t>
      </w:r>
      <w:r>
        <w:rPr/>
        <w:t>0724-2511Z1974279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