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440111-2026-02008</w:t>
      </w:r>
    </w:p>
    <w:p>
      <w:pPr>
        <w:pStyle w:val="null3"/>
        <w:jc w:val="center"/>
        <w:outlineLvl w:val="3"/>
      </w:pPr>
      <w:r>
        <w:rPr>
          <w:sz w:val="24"/>
          <w:b/>
        </w:rPr>
        <w:t>采购项目编号：</w:t>
      </w:r>
      <w:r>
        <w:rPr>
          <w:sz w:val="24"/>
          <w:b/>
        </w:rPr>
        <w:t>0724-2611Z1612427</w:t>
      </w:r>
    </w:p>
    <w:p>
      <w:pPr>
        <w:pStyle w:val="null3"/>
        <w:jc w:val="center"/>
        <w:outlineLvl w:val="3"/>
      </w:pPr>
      <w:r>
        <w:rPr>
          <w:sz w:val="24"/>
          <w:b/>
        </w:rPr>
        <w:t>项目名称：</w:t>
      </w:r>
      <w:r>
        <w:rPr>
          <w:sz w:val="24"/>
          <w:b/>
        </w:rPr>
        <w:t>广州市白云区人民医院二期医疗设备购置项目（一）</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广州市白云区人民医院二期医疗设备购置项目（一）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广州市白云区人民医院二期医疗设备购置项目（一）</w:t>
      </w:r>
    </w:p>
    <w:p>
      <w:pPr>
        <w:pStyle w:val="null3"/>
        <w:ind w:firstLine="480"/>
      </w:pPr>
      <w:r>
        <w:rPr/>
        <w:t>采购计划编号：</w:t>
      </w:r>
      <w:r>
        <w:rPr/>
        <w:t>440111-2026-02008</w:t>
      </w:r>
    </w:p>
    <w:p>
      <w:pPr>
        <w:pStyle w:val="null3"/>
        <w:ind w:firstLine="480"/>
      </w:pPr>
      <w:r>
        <w:rPr/>
        <w:t>采购项目编号：</w:t>
      </w:r>
      <w:r>
        <w:rPr/>
        <w:t>0724-2611Z1612427</w:t>
      </w:r>
    </w:p>
    <w:p>
      <w:pPr>
        <w:pStyle w:val="null3"/>
        <w:ind w:firstLine="480"/>
      </w:pPr>
      <w:r>
        <w:rPr/>
        <w:t>采购方式：</w:t>
      </w:r>
      <w:r>
        <w:rPr/>
        <w:t>公开招标</w:t>
      </w:r>
    </w:p>
    <w:p>
      <w:pPr>
        <w:pStyle w:val="null3"/>
        <w:ind w:firstLine="480"/>
      </w:pPr>
      <w:r>
        <w:rPr/>
        <w:t>预算金额：</w:t>
      </w:r>
      <w:r>
        <w:rPr/>
        <w:t>19,500,000.00</w:t>
      </w:r>
      <w:r>
        <w:rPr/>
        <w:t>元</w:t>
      </w:r>
    </w:p>
    <w:p>
      <w:pPr>
        <w:pStyle w:val="null3"/>
        <w:outlineLvl w:val="3"/>
      </w:pPr>
      <w:r>
        <w:rPr>
          <w:sz w:val="24"/>
          <w:b/>
        </w:rPr>
        <w:t>2.项目内容及需求情况（采购项目技术规格、参数及要求）</w:t>
      </w:r>
    </w:p>
    <w:p>
      <w:pPr>
        <w:pStyle w:val="null3"/>
      </w:pPr>
      <w:r>
        <w:rPr/>
        <w:t>采购包1(256排CT设备):</w:t>
      </w:r>
    </w:p>
    <w:p>
      <w:pPr>
        <w:pStyle w:val="null3"/>
      </w:pPr>
      <w:r>
        <w:rPr/>
        <w:t>采购包预算金额：19,500,000.00元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256排CT设备</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19,500,000.00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256排CT设备</w:t>
            </w:r>
          </w:p>
        </w:tc>
        <w:tc>
          <w:tcPr>
            <w:tcW w:type="dxa" w:w="2076"/>
          </w:tcPr>
          <w:p>
            <w:pPr>
              <w:pStyle w:val="null3"/>
              <w:jc w:val="left"/>
            </w:pPr>
            <w:r>
              <w:rPr/>
              <w:t>256排CT设备</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采购包1（256排CT设备）：</w:t>
      </w:r>
      <w:r>
        <w:rPr/>
        <w:t>无。</w:t>
      </w:r>
    </w:p>
    <w:p>
      <w:pPr>
        <w:pStyle w:val="null3"/>
        <w:outlineLvl w:val="3"/>
      </w:pPr>
      <w:r>
        <w:rPr>
          <w:sz w:val="24"/>
          <w:b/>
        </w:rPr>
        <w:t>3.本项目特定的资格要求：</w:t>
      </w:r>
    </w:p>
    <w:p>
      <w:pPr>
        <w:pStyle w:val="null3"/>
      </w:pPr>
      <w:r>
        <w:rPr/>
        <w:t>采购包1（256排CT设备）：</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如供应商为所投产品代理商，所投产品为第二类医疗器械的，须具有第二类医疗器械经营备案凭证或承诺供货前取得第二类医疗器械经营备案凭证；所投产品为第三类医疗器械的，须具有医疗器械经营许可证。如供应商为所投产品制造商，所投产品为第二类、第三类医疗器械的，须具有医疗器械生产许可证。</w:t>
      </w:r>
    </w:p>
    <w:p>
      <w:pPr>
        <w:pStyle w:val="null3"/>
      </w:pPr>
      <w:r>
        <w:rPr/>
        <w:t>4)投标人具有《辐射安全许可证》，且种类和范围包括：销售III类射线装置。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955"/>
        <w:gridCol w:w="4236"/>
        <w:gridCol w:w="3100"/>
      </w:tblGrid>
      <w:tr>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总体要求</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所投产品应满足下列</w:t>
            </w:r>
            <w:r>
              <w:rPr>
                <w:sz w:val="21"/>
              </w:rPr>
              <w:t>①-④任意一项且首次注册日期在2022年10月1号以后的机型：</w:t>
            </w:r>
          </w:p>
          <w:p>
            <w:pPr>
              <w:pStyle w:val="null3"/>
              <w:jc w:val="both"/>
            </w:pPr>
            <w:r>
              <w:rPr>
                <w:sz w:val="21"/>
              </w:rPr>
              <w:t>①若所投设备为单源设备，探测器排数≥256 排且＜320排，则要求转速≤0.23s/圈；</w:t>
            </w:r>
          </w:p>
          <w:p>
            <w:pPr>
              <w:pStyle w:val="null3"/>
              <w:jc w:val="both"/>
            </w:pPr>
            <w:r>
              <w:rPr>
                <w:sz w:val="21"/>
              </w:rPr>
              <w:t>②若所投设备为单源设备，探测器排数≥320 排（且 Z 轴每排均为等宽排列），则要求转速≤0.25s/圈；</w:t>
            </w:r>
          </w:p>
          <w:p>
            <w:pPr>
              <w:pStyle w:val="null3"/>
              <w:jc w:val="both"/>
            </w:pPr>
            <w:r>
              <w:rPr>
                <w:sz w:val="21"/>
              </w:rPr>
              <w:t>③若所投设备为双源设备，探测器≥96 排×2 ，要求转速≤0.25s/圈；</w:t>
            </w:r>
          </w:p>
          <w:p>
            <w:pPr>
              <w:pStyle w:val="null3"/>
              <w:jc w:val="both"/>
            </w:pPr>
            <w:r>
              <w:rPr>
                <w:sz w:val="21"/>
              </w:rPr>
              <w:t>④若所投设备为立体双层探测器设备，探测器排数≥128 排×2 ，则要求转速≤0.27s/圈；</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设备稳定性：要求所投机型的核心部件（</w:t>
            </w:r>
            <w:r>
              <w:rPr>
                <w:sz w:val="21"/>
              </w:rPr>
              <w:t>X球管、X线高压发生器、X线探测 器）与设备主机为同品牌产品（提供所投机型的检测报告证明）。</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机架系统</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机架孔径</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≥75cm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机架物理最快转速（非等效）</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≤0.28s/圈</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机架冷却方式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风冷或水冷</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低压滑环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机架控制面板</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激光定位灯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焦点到探测器的距离</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焦点到等中心点距离</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X线系统</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球管有效阳极热容量</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≥30MHU</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阳极最大散热率</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≥1500KHU/min</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焦点个数</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≥2个</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球管小焦点</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≤1.0mm×1.0mm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球管大焦点</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≤1.8mm×2.0mm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高压发生器功率（非等效）</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≥100kW</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球管最大电流</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≥800mA</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球管最小电流</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≤10mA</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球管最低电压</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≤80KV</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球管最高电压</w:t>
            </w:r>
            <w:r>
              <w:rPr>
                <w:sz w:val="21"/>
              </w:rPr>
              <w:t>：</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≥140kV</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数据采集系统</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探测器类型</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单圈扫描最大层数</w:t>
            </w:r>
            <w:r>
              <w:rPr>
                <w:sz w:val="21"/>
              </w:rPr>
              <w:t>≥512层，</w:t>
            </w:r>
          </w:p>
          <w:p>
            <w:pPr>
              <w:pStyle w:val="null3"/>
              <w:jc w:val="both"/>
            </w:pPr>
            <w:r>
              <w:rPr>
                <w:sz w:val="21"/>
              </w:rPr>
              <w:t>或具备两套采集系统</w:t>
            </w:r>
            <w:r>
              <w:rPr>
                <w:sz w:val="21"/>
              </w:rPr>
              <w:t>≥192层</w:t>
            </w:r>
          </w:p>
          <w:p>
            <w:pPr>
              <w:pStyle w:val="null3"/>
              <w:jc w:val="both"/>
            </w:pPr>
            <w:r>
              <w:rPr>
                <w:sz w:val="21"/>
              </w:rPr>
              <w:t>x2</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亚毫米探测器排列</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≥256排</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每排探测器物理个数</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≥600个</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探测器总单元数</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≥140000</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数据采样率</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≥2000views/360°</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轴位扫描成像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≥512层/360°</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w:t>
            </w:r>
            <w:r>
              <w:rPr>
                <w:sz w:val="21"/>
              </w:rPr>
              <w:t>(亚毫米)宽度</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w:t>
            </w:r>
            <w:r>
              <w:rPr>
                <w:sz w:val="21"/>
              </w:rPr>
              <w:t>Z轴覆盖宽度</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扫描床</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最大可移动范围</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床水平移动最大速度</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≥200mm/s</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床面可降至离地面距离</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床面可升至离地面距离</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≥900mm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检查床承重</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≥205 kg</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主控台</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主控台计算机</w:t>
            </w:r>
            <w:r>
              <w:rPr>
                <w:sz w:val="21"/>
              </w:rPr>
              <w:t>CPU型号</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主控台计算机主频</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≥3GHz</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主控台计算机内存</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≥64GB</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主控台硬盘容量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≥2TB</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图像存档系统（</w:t>
            </w:r>
            <w:r>
              <w:rPr>
                <w:sz w:val="21"/>
              </w:rPr>
              <w:t>CD-RW或DVD等）：具备</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 3.0接口</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图像自动检索传送软件</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操纵台可进行图像后处理功能，</w:t>
            </w:r>
            <w:r>
              <w:rPr>
                <w:sz w:val="21"/>
              </w:rPr>
              <w:t>MPR/MIP</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控制台双显示器配置</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高级影像后处理工作站</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CPU型号</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≥16GB</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≥1TB</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显示器尺寸</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≥19英寸</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CD/DVD读取和刻录</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USB外置硬盘接口</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DICOM 3.0接口，支持DICOM 格式数据的传输、接收、打印、归档、查询</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3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扫描参数与图像重建</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螺旋扫描最快扫描速度（</w:t>
            </w:r>
            <w:r>
              <w:rPr>
                <w:sz w:val="21"/>
              </w:rPr>
              <w:t>360°，非等效）</w:t>
            </w:r>
          </w:p>
        </w:tc>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≤0.28s</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最小扫描层厚</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≤0.625mm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扫描视野</w:t>
            </w:r>
            <w:r>
              <w:rPr>
                <w:sz w:val="21"/>
              </w:rPr>
              <w:t>FOV</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≥50cm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重建视野</w:t>
            </w:r>
            <w:r>
              <w:rPr>
                <w:sz w:val="21"/>
              </w:rPr>
              <w:t>FOV</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≥50cm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图像重建速度</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≥30幅/秒</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图像重建矩阵</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512×512,1024×1024</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单次连续扫描时间</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≥60秒</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最小螺距</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≤0.8</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最大螺距</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平面空间分辨率</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≥16lp/cm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密度分辨率</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≤5mm@0.3％</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临床应用软件</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基础软件功能：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w:t>
            </w:r>
            <w:r>
              <w:rPr>
                <w:sz w:val="21"/>
              </w:rPr>
              <w:t>MPR</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多平面重建</w:t>
            </w:r>
            <w:r>
              <w:rPr>
                <w:sz w:val="21"/>
              </w:rPr>
              <w:t>MPR</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曲面重建</w:t>
            </w:r>
            <w:r>
              <w:rPr>
                <w:sz w:val="21"/>
              </w:rPr>
              <w:t>CPR</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最大密度投影</w:t>
            </w:r>
            <w:r>
              <w:rPr>
                <w:sz w:val="21"/>
              </w:rPr>
              <w:t>MIP</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最小密度投影</w:t>
            </w:r>
            <w:r>
              <w:rPr>
                <w:sz w:val="21"/>
              </w:rPr>
              <w:t>MinIP</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表面遮盖显示</w:t>
            </w:r>
            <w:r>
              <w:rPr>
                <w:sz w:val="21"/>
              </w:rPr>
              <w:t>SSD</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三维容积显示</w:t>
            </w:r>
            <w:r>
              <w:rPr>
                <w:sz w:val="21"/>
              </w:rPr>
              <w:t>VR</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模拟手术刀技术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1024大矩阵重建</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轮廓分割功能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三期扫描技术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智能对比剂追踪技术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对比剂追踪自动扫描触发功能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对比剂剂量报告存储功能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动态扫描</w:t>
            </w:r>
            <w:r>
              <w:rPr>
                <w:sz w:val="21"/>
              </w:rPr>
              <w:t>CT时间密度曲线</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对比剂剂量报告存储功能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能谱成像及高级后处理软件包</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能谱扫描与重建技术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可生成虚拟单能量图像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单能级图像能级</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≥101级</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最低单能级图像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≤40KeV</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最高单能级图像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≥140kev</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有效原子序数图像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电子密度图像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痛风尿酸成分分析</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结石成分分析</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能谱去金属伪影功能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能谱曲线</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直方图分析工具</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散点图分析工具</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图像融合：将不同的功能图像进行融合显示，可设置不同的伪彩</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肺栓塞灌注成像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心肌能量成像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能谱去金属伪影功能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血管成像软件功能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手动跟踪血管软件：提供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血管中心线编辑软件：提供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血管导航软件：提供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狭窄定量测量软件：提供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血管长度定量分析软件：提供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血管直径定量分析软件：提供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管腔轮廓编辑软件：提供</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心脏成像功能：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内置心电监护装置</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前瞻性门控扫描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回顾性门控扫描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早搏校正功能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冠脉运动补偿</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心电编辑：添加、删除、移动、绘制等功能，对异常心电信号有效编辑</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整个序列多期相重建</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单幅图像多期相重建</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冠脉钙化分析软件</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一键冠脉提取</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主要血管自动命名</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自动识别血管中心线，并可进行编辑，延长，修改和连接</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自动识别舒张末期、收缩末期</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w:t>
            </w:r>
            <w:r>
              <w:rPr>
                <w:sz w:val="21"/>
              </w:rPr>
              <w:t>4D电影显示，观察瓣膜及室壁运动情况</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冠脉及心脏的三维成像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冠状动脉狭窄分析</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血管拉直分析</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随鼠标移动自动显示主要血管名称</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冠状动脉斑块分析，包括性质分析，体积分析</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全心分割功能，包括左心室、右心室、心肌、左心房、右心房，主动脉</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全心功能分析：包含射血分数，心室舒张末期容积、收缩末期容积，每搏输出量，心肌容积，心输出量等。</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心脏轴位显示</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心脏腔室显示</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不同期相的心脏图像对比功能</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冠脉彩色编码技术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提取、测量、心功能分析等预处理，减少等待时间，提高工作效率</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胸痛三联征一站式扫描</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灌注成像及高级后处理软件包</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灌注扫描与图像重建技术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最大动态灌注扫描范围</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≥16cm</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脑部灌注分析软件包</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头部运动校正</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自动去骨分割</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9.5.6.</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支持自动计算</w:t>
            </w:r>
            <w:r>
              <w:rPr>
                <w:sz w:val="21"/>
              </w:rPr>
              <w:t>CBV，CBF，TTP，MTT等灌注参数，并标记显示</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9.5.7.</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根据灌注参数阈值的缺血半暗带，梗死和缺血区计算</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9.5.8.</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体部灌注分析软件包</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9.5.9.</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w:t>
            </w:r>
            <w:r>
              <w:rPr>
                <w:sz w:val="21"/>
              </w:rPr>
              <w:t>/手动软组织分割</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去伪影技术：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去运动伪影技术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去后颅窝伪影技术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去金属伪影技术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去射线束硬化伪影技术</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w:t>
            </w:r>
          </w:p>
          <w:p>
            <w:pPr>
              <w:pStyle w:val="null3"/>
              <w:jc w:val="both"/>
            </w:pPr>
            <w:r>
              <w:rPr>
                <w:sz w:val="21"/>
              </w:rPr>
              <w:t>第三方产品配置清单</w:t>
            </w:r>
          </w:p>
          <w:p>
            <w:pPr>
              <w:pStyle w:val="null3"/>
              <w:jc w:val="both"/>
            </w:pPr>
            <w:r>
              <w:rPr>
                <w:sz w:val="21"/>
              </w:rPr>
              <w:t>配备高压注射器</w:t>
            </w:r>
            <w:r>
              <w:rPr>
                <w:sz w:val="21"/>
              </w:rPr>
              <w:t>1套（双筒）；</w:t>
            </w:r>
          </w:p>
          <w:p>
            <w:pPr>
              <w:pStyle w:val="null3"/>
              <w:jc w:val="both"/>
            </w:pPr>
            <w:r>
              <w:rPr>
                <w:sz w:val="21"/>
              </w:rPr>
              <w:t>设备维修工具一套（配工具箱）；</w:t>
            </w:r>
            <w:r>
              <w:rPr>
                <w:sz w:val="19"/>
              </w:rPr>
              <w:t xml:space="preserve"> </w:t>
            </w:r>
          </w:p>
          <w:p>
            <w:pPr>
              <w:pStyle w:val="null3"/>
              <w:jc w:val="both"/>
            </w:pPr>
            <w:r>
              <w:rPr>
                <w:sz w:val="21"/>
              </w:rPr>
              <w:t>配置原厂工作站</w:t>
            </w:r>
            <w:r>
              <w:rPr>
                <w:sz w:val="21"/>
              </w:rPr>
              <w:t>≥2台，并开放全部功能权限；</w:t>
            </w:r>
          </w:p>
          <w:p>
            <w:pPr>
              <w:pStyle w:val="null3"/>
              <w:jc w:val="both"/>
            </w:pPr>
            <w:r>
              <w:rPr>
                <w:sz w:val="21"/>
              </w:rPr>
              <w:t>辐射防护套装（铅帽、铅围裙、铅眼镜、铅围脖、长袖铅衣、短袖铅衣、铅毯）两套。</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所投产品具有有效的中华人民共和国医疗器械注册证明。</w:t>
            </w:r>
          </w:p>
        </w:tc>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采购包1（256排CT设备）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的每笔款项以人民币银行转帐或财政资金转账方式支付，支付的时间和金额如下：合同签订后，投标人向采购人提供合同总额100％发票原件，由采购人在待财政资金下达后按财务流程支付合同总金额的30%作为预付款。不视为违约，逾期不支付违约金及利息。</w:t>
            </w:r>
          </w:p>
          <w:p>
            <w:pPr>
              <w:pStyle w:val="null3"/>
            </w:pPr>
            <w:r>
              <w:rPr/>
              <w:t>2期：支付比例70%,货物全部安装、调试完毕并验收合格后，投标人凭有效文件由采购人在待财政资金下达后按财务流程支付合同总金额的70%。不视为违约，逾期不支付违约金及利息。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1期：1.合同设备在出厂前应进行验收，设备到采购人指定地点后应在采购人、投标人双方共同参加下进行验收，采购人、投标人双方在相关的单据上签字确认验收。 2.验收按国家有关的规定、规范和通常惯例进行。属于法定商检的产品，须进行商检，提供相关报关资料证明；属于计量器具（包含强检和非强检）的设备必须提供首次检定合格证书或校准证书；属于射线装置的，按院方要求协助办理放射诊疗和辐射安全许可相关各种手续；需要第三方验收的设备需提供有资质部门验收检测报告；需要与医院信息系统联网的，投标人必须无偿开放接口，并协助联网。上述各项费用均由投标人负责。设备安装调试后验收时如发现有不符合本合同规定之情形者，采购人应做出详尽的现场记录，或由采购人、投标人双方签署备忘录。此现场记录或备忘录可用作补充、缺失和更换损坏部件的有效证据。由此产生的有关费用由投标人承担。 3.投标人应向采购人提供设备的用户手册、维护保养手册、操作流程、维护流程、维修手册、软件备份、故障代码表、备件清单、零部件、维修密码和密钥U盘等维护维修必需的材料和信息（并尽可能提供电子版）。 4.设备验收、调试并交付使用之日起，壹个月为试用期。 5.投标人保证合同项下提供的仪器设备不侵犯任何第三方的专利、商标或版权。否则，投标人须承担对第三方的专利或版权的侵权责任并承担因此而发生的所有费用，包括采购人因此发生的损失。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账号：具体按采购合同规定。</w:t>
            </w:r>
          </w:p>
          <w:p>
            <w:pPr>
              <w:pStyle w:val="null3"/>
            </w:pPr>
            <w:r>
              <w:rPr/>
              <w:t>户名：具体按采购合同规定。</w:t>
            </w:r>
          </w:p>
          <w:p>
            <w:pPr>
              <w:pStyle w:val="null3"/>
            </w:pPr>
            <w:r>
              <w:rPr/>
              <w:t>开户行：具体按采购合同规定。</w:t>
            </w:r>
          </w:p>
          <w:p>
            <w:pPr>
              <w:pStyle w:val="null3"/>
            </w:pPr>
            <w:r>
              <w:rPr/>
              <w:t>支票提交方式：具体按采购合同规定。</w:t>
            </w:r>
          </w:p>
          <w:p>
            <w:pPr>
              <w:pStyle w:val="null3"/>
            </w:pPr>
            <w:r>
              <w:rPr/>
              <w:t>汇票、本票提交方式：具体按采购合同规定。</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该报价金额包括了设计、设备制造、包装、仓储、运输、设备安装及验收合格之前及保修期的备品备件（电极除外）以及所有的进口环节税费。合同执行期间合同总金额不变，采购人不再另行支付其他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维保期</w:t>
            </w:r>
          </w:p>
        </w:tc>
        <w:tc>
          <w:tcPr>
            <w:tcW w:type="dxa" w:w="2076"/>
          </w:tcPr>
          <w:p>
            <w:pPr>
              <w:pStyle w:val="null3"/>
              <w:jc w:val="left"/>
            </w:pPr>
            <w:r>
              <w:rPr/>
              <w:t>验收合格后，整机保修≥6年（含球管更换），并提供机房的交钥匙工程。</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1.投标人保证合同设备是全新、未曾使用过的，进货渠道合法，其质量、规格及技术特征符合合同附件的要求，符合采购人实际使用需求。设备生产日期为开箱验收当日前一年内，如因安装场地原因造成验收延迟的，设备生产日期不得早于合同签订日期前的6个月内；有标注使用期限的医疗设备，应提供3个月内（进口产品6个月内）生产的产品。 2.本合同所涉及设备的保质保用期为本项目经采购人有关部门验收合格之日（以采购人记录的启用时间为准），保修期内免费维修维护，免费更换零配件（电极除外），软件终身免费升级。保修期内的开机率≥95%。投标人需提供由厂家出具（加盖厂家公章）的保修证明。 3.保质保用期内非因采购人的人为原因而出现产品质量及安装问题，由投标人负责包修、包换或包退，并承担因此而产生的一切费用。投标人应在收到采购人通知后 4 小时内派员到现场维修，否则采购人有权利聘请第三方维修，维修费用由投标人支付。如合同设备在 1 个月内同一部件出现两次同一故障，投标人应负责免费更换整机或功能模块。投标人必须无条件接受采购人的配件和服务报价咨询，提供正常市场价格的报价清单。 4.保质保用期内如合同设备需要维修致使采购人累计停机时间超过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5.保质保用期内如合同设备需要维修致使采购人不能正常使用的，投标人应在采购人提出申请后 2 个工作日内提供相同功能设备供采购人使用。否则，造成采购人损失的，应承担相应的赔偿责任。 6.下列情况投标人不负责免费保修： （1）不按照投标人提供的书面正确使用方法而引致设备故障损坏； （2）擅自改装设备； （3）各种人为因素或天灾等外来因素造成的损坏。 7.因设备的质量问题而发生争议，由广东省或广州市质检部门进行质量鉴定。设备符合质量标准的，鉴定费用由采购人承担；设备不符合质量标准的，鉴定费用由投标人承担。投标人应负责更换设备及赔偿给采购人造成的损失。 8.投标人工作人员须遵守采购人的管理规定，投标人工作人员在采购人处产生的一切争议纠纷，由投标人负责，与采购人无关。 9.设备终身维修保养，质保期过后，用户有权选择是否购买设备全保服务。若购买原厂保修服务，则设备每年的全保保修费不高于所保修设备资产值的6%。用户若不购买保修服务，则投标人或中标设备的生产厂家对设备的所有零配件的价格以不高于公开、正式报价的7折优惠价提供给用户，且免收人工费、上门服务费、检测费、交通费、住宿费等除零配件以外的费用。</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1.合同设备的包装 设备的包装均应有良好的防湿、防锈、防潮、防雨、防腐及防碰撞的措施。凡由于包装不良造成的损失和由此产生的费用均由投标人承担。 2.设备的安装 2.1投标人负责合同项下的安装，一切费用由投标人负责。投标人负责设备运输、搬运和拆卸以及所需要的搬运和安装工具。 2.2投标人安装时须对各安装场地内的其他设备、设施有良好保护措施。及时清理拆箱和安装产生的物料。 3.合同设备的交付使用 3.1投标人交货时间：合同签订后30个工作日内完成设备的供货、安装、调试，并交付给采购人正常使用。发货前至少提前3日与采购人确认送货数量、时间和搬运方式，以便提前做好各项准备。 3.2投标人应按采购人指定地点交付设备。 4.设备验收、调试并交付使用之日起，壹个月为试用期。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1.投标人负责对设备使用相关人员的培训和考核。 2.投标人负责对采购人使用人员不少于 2 人进行培训，保证操作者熟悉操作仪器的全部功能，掌握日常使用保养方法。 3.投标人负责对采购人工程技术人员不少于 2 人进行培训，主要内容为设备的基本原理和结构，主要部件的构造及修理，定期维护和预防性维修方法，电路重要参数设置和参考值，性能参数检测方法，常见故障的排除，紧急情况的处理等。并按采购人需求无偿为参训人员提供培训资料、全套设备结构线路图、维修软件和维修密钥等材料和信息（电子版）。 4.培训方式为线上讲解培训，复杂设备安排在厂家培训基地或按采购人要求安排。投标人对采购人使用和维修人员进行考核，确保受训人员技能合格。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256排CT设备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19,500,000.00</w:t>
            </w:r>
          </w:p>
        </w:tc>
        <w:tc>
          <w:tcPr>
            <w:tcW w:type="dxa" w:w="831"/>
          </w:tcPr>
          <w:p>
            <w:pPr>
              <w:pStyle w:val="null3"/>
              <w:jc w:val="right"/>
            </w:pPr>
            <w:r>
              <w:rPr/>
              <w:t>19,500,000.00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256排CT设备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各包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不专门面向中小企业采购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采购包1(256排CT设备)：综合评分法,是指投标文件满足招标文件全部实质性要求，且按照评审因素的量化指标评审得分最高的投标人为中标候选人的评标方法。（最低报价不是中标的唯一依据。）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采购包1（256排CT设备）：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采购包1（256排CT设备）：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如供应商为所投产品代理商，所投产品为第二类医疗器械的，须具有第二类医疗器械经营备案凭证或承诺供货前取得第二类医疗器械经营备案凭证；所投产品为第三类医疗器械的，须具有医疗器械经营许可证。如供应商为所投产品制造商，所投产品为第二类、第三类医疗器械的，须具有医疗器械生产许可证。</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投标人具有《辐射安全许可证》，且种类和范围包括：销售III类射线装置。</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采购包1（256排CT设备）：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本项目不允许进口产品投标。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采购包1(256排CT设备):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技术要求2.1“机架孔径”响应情况 (4.0分)</w:t>
            </w:r>
          </w:p>
        </w:tc>
        <w:tc>
          <w:tcPr>
            <w:tcW w:type="dxa" w:w="5076"/>
          </w:tcPr>
          <w:p>
            <w:pPr>
              <w:pStyle w:val="null3"/>
              <w:jc w:val="left"/>
            </w:pPr>
            <w:r>
              <w:rPr/>
              <w:t>对供应商投标设备中机架系统的“机架孔径”响应情况进行评审：机架孔径≥80cm的，得4分；78cm≤机架孔径＜80cm，得2分；75cm≤机架孔径＜78cm，得1分；其他情况，得0分。</w:t>
            </w:r>
          </w:p>
        </w:tc>
      </w:tr>
      <w:tr>
        <w:tc>
          <w:tcPr>
            <w:tcW w:type="dxa" w:w="922"/>
            <w:gridSpan w:val="2"/>
            <w:vMerge/>
          </w:tcPr>
          <w:p/>
        </w:tc>
        <w:tc>
          <w:tcPr>
            <w:tcW w:type="dxa" w:w="2307"/>
          </w:tcPr>
          <w:p>
            <w:pPr>
              <w:pStyle w:val="null3"/>
              <w:jc w:val="left"/>
            </w:pPr>
            <w:r>
              <w:rPr/>
              <w:t>技术要求3.4”球管小焦点“响应情况 (4.0分)</w:t>
            </w:r>
            <w:r>
              <w:rPr/>
              <w:t>）</w:t>
            </w:r>
          </w:p>
        </w:tc>
        <w:tc>
          <w:tcPr>
            <w:tcW w:type="dxa" w:w="5076"/>
          </w:tcPr>
          <w:p>
            <w:pPr>
              <w:pStyle w:val="null3"/>
              <w:jc w:val="left"/>
            </w:pPr>
            <w:r>
              <w:rPr/>
              <w:t>对供应商投标设备中X线系统的“球管小焦点”响应情况进行评审：球管小焦点≤0.6mmx0.8mm，得4分；0.6mmx0.8mm＜球管小焦点≤0.7mmx1.0mm，得2分；0.7mmx1.0mm＜球管小焦点≤1.0mmx1.0mm，得1分；其他情况，得0分。</w:t>
            </w:r>
          </w:p>
        </w:tc>
      </w:tr>
      <w:tr>
        <w:tc>
          <w:tcPr>
            <w:tcW w:type="dxa" w:w="922"/>
            <w:gridSpan w:val="2"/>
            <w:vMerge/>
          </w:tcPr>
          <w:p/>
        </w:tc>
        <w:tc>
          <w:tcPr>
            <w:tcW w:type="dxa" w:w="2307"/>
          </w:tcPr>
          <w:p>
            <w:pPr>
              <w:pStyle w:val="null3"/>
              <w:jc w:val="left"/>
            </w:pPr>
            <w:r>
              <w:rPr/>
              <w:t>技术要求3.6“高压发生器功率（非等效）”响应情况 (4.0分)</w:t>
            </w:r>
            <w:r>
              <w:rPr/>
              <w:t>）</w:t>
            </w:r>
          </w:p>
        </w:tc>
        <w:tc>
          <w:tcPr>
            <w:tcW w:type="dxa" w:w="5076"/>
          </w:tcPr>
          <w:p>
            <w:pPr>
              <w:pStyle w:val="null3"/>
              <w:jc w:val="left"/>
            </w:pPr>
            <w:r>
              <w:rPr/>
              <w:t>对供应商投标设备中X线系统的“高压发生器功率（非等效）”响应情况进行评审：高压发生器功率（非等效）≥120kw”的，得4分；108kw≤高压发生器功率（非等效）＜120kw，得2分；100kw≤高压发生器功率（非等效）＜108kw，得1分。其他情况，得0分。</w:t>
            </w:r>
          </w:p>
        </w:tc>
      </w:tr>
      <w:tr>
        <w:tc>
          <w:tcPr>
            <w:tcW w:type="dxa" w:w="922"/>
            <w:gridSpan w:val="2"/>
            <w:vMerge/>
          </w:tcPr>
          <w:p/>
        </w:tc>
        <w:tc>
          <w:tcPr>
            <w:tcW w:type="dxa" w:w="2307"/>
          </w:tcPr>
          <w:p>
            <w:pPr>
              <w:pStyle w:val="null3"/>
              <w:jc w:val="left"/>
            </w:pPr>
            <w:r>
              <w:rPr/>
              <w:t>技术要求4.4“探测器总单元数 ”响应情况 (4.0分)</w:t>
            </w:r>
            <w:r>
              <w:rPr/>
              <w:t>）</w:t>
            </w:r>
          </w:p>
        </w:tc>
        <w:tc>
          <w:tcPr>
            <w:tcW w:type="dxa" w:w="5076"/>
          </w:tcPr>
          <w:p>
            <w:pPr>
              <w:pStyle w:val="null3"/>
              <w:jc w:val="left"/>
            </w:pPr>
            <w:r>
              <w:rPr/>
              <w:t>对供应商投标设备中数据采集系统的“探测器总单元数”响应情况进行评审：探测器总单元数≥200000的，得4分；170000≤探测器总单元数＜200000，得2分；140000≤探测器总单元数＜170000，得1分；其他情况，得0分。</w:t>
            </w:r>
          </w:p>
        </w:tc>
      </w:tr>
      <w:tr>
        <w:tc>
          <w:tcPr>
            <w:tcW w:type="dxa" w:w="922"/>
            <w:gridSpan w:val="2"/>
            <w:vMerge/>
          </w:tcPr>
          <w:p/>
        </w:tc>
        <w:tc>
          <w:tcPr>
            <w:tcW w:type="dxa" w:w="2307"/>
          </w:tcPr>
          <w:p>
            <w:pPr>
              <w:pStyle w:val="null3"/>
              <w:jc w:val="left"/>
            </w:pPr>
            <w:r>
              <w:rPr/>
              <w:t>技术要求8.5“图像重建速度 ”响应情况 (4.0分)</w:t>
            </w:r>
            <w:r>
              <w:rPr/>
              <w:t>）</w:t>
            </w:r>
          </w:p>
        </w:tc>
        <w:tc>
          <w:tcPr>
            <w:tcW w:type="dxa" w:w="5076"/>
          </w:tcPr>
          <w:p>
            <w:pPr>
              <w:pStyle w:val="null3"/>
              <w:jc w:val="left"/>
            </w:pPr>
            <w:r>
              <w:rPr/>
              <w:t>对供应商投标设备中扫描参数与图像重建的“图像重建速度”响应情况进行评审：“图像重建速度≥80幅/秒，得4分；60幅/秒≤图像重建速度＜80幅/秒，得2分；30幅/秒≤图像重建速度＜60幅/秒，得1分；其他情况，得0分。</w:t>
            </w:r>
          </w:p>
        </w:tc>
      </w:tr>
      <w:tr>
        <w:tc>
          <w:tcPr>
            <w:tcW w:type="dxa" w:w="922"/>
            <w:gridSpan w:val="2"/>
            <w:vMerge/>
          </w:tcPr>
          <w:p/>
        </w:tc>
        <w:tc>
          <w:tcPr>
            <w:tcW w:type="dxa" w:w="2307"/>
          </w:tcPr>
          <w:p>
            <w:pPr>
              <w:pStyle w:val="null3"/>
              <w:jc w:val="left"/>
            </w:pPr>
            <w:r>
              <w:rPr/>
              <w:t>技术要求8.8“最小螺距”响应情况 (4.0分)</w:t>
            </w:r>
            <w:r>
              <w:rPr/>
              <w:t>）</w:t>
            </w:r>
          </w:p>
        </w:tc>
        <w:tc>
          <w:tcPr>
            <w:tcW w:type="dxa" w:w="5076"/>
          </w:tcPr>
          <w:p>
            <w:pPr>
              <w:pStyle w:val="null3"/>
              <w:jc w:val="left"/>
            </w:pPr>
            <w:r>
              <w:rPr/>
              <w:t>对供应商投标设备中扫描参数与图像重建的“最小螺距”响应情况进行评审：“最小螺距≤0.07”的，得4分；0.07＜最小螺距≤0.2，得2分；0.2＜最小螺距≤0.8，得1分；其他情况，得0分。</w:t>
            </w:r>
          </w:p>
        </w:tc>
      </w:tr>
      <w:tr>
        <w:tc>
          <w:tcPr>
            <w:tcW w:type="dxa" w:w="922"/>
            <w:gridSpan w:val="2"/>
            <w:vMerge/>
          </w:tcPr>
          <w:p/>
        </w:tc>
        <w:tc>
          <w:tcPr>
            <w:tcW w:type="dxa" w:w="2307"/>
          </w:tcPr>
          <w:p>
            <w:pPr>
              <w:pStyle w:val="null3"/>
              <w:jc w:val="left"/>
            </w:pPr>
            <w:r>
              <w:rPr/>
              <w:t>技术要求9.2.3“单能级图像能级”响应情况 (4.0分)</w:t>
            </w:r>
            <w:r>
              <w:rPr/>
              <w:t>）</w:t>
            </w:r>
          </w:p>
        </w:tc>
        <w:tc>
          <w:tcPr>
            <w:tcW w:type="dxa" w:w="5076"/>
          </w:tcPr>
          <w:p>
            <w:pPr>
              <w:pStyle w:val="null3"/>
              <w:jc w:val="left"/>
            </w:pPr>
            <w:r>
              <w:rPr/>
              <w:t>对供应商投标设备中谱成像及高级后处理中的“单能级图像能级”响应情况进行评审：“单能级图像能级≥160”的，得4分；130≤单能级图像能级＜160，得2分；101≤能级图像能级＜130，得1分；其他情况，得0分。</w:t>
            </w:r>
          </w:p>
        </w:tc>
      </w:tr>
      <w:tr>
        <w:tc>
          <w:tcPr>
            <w:tcW w:type="dxa" w:w="922"/>
            <w:gridSpan w:val="2"/>
            <w:vMerge/>
          </w:tcPr>
          <w:p/>
        </w:tc>
        <w:tc>
          <w:tcPr>
            <w:tcW w:type="dxa" w:w="2307"/>
          </w:tcPr>
          <w:p>
            <w:pPr>
              <w:pStyle w:val="null3"/>
              <w:jc w:val="left"/>
            </w:pPr>
            <w:r>
              <w:rPr/>
              <w:t>技术要求9.2.5“单能级图像范围”响应情况 (4.0分)</w:t>
            </w:r>
            <w:r>
              <w:rPr/>
              <w:t>）</w:t>
            </w:r>
          </w:p>
        </w:tc>
        <w:tc>
          <w:tcPr>
            <w:tcW w:type="dxa" w:w="5076"/>
          </w:tcPr>
          <w:p>
            <w:pPr>
              <w:pStyle w:val="null3"/>
              <w:jc w:val="left"/>
            </w:pPr>
            <w:r>
              <w:rPr/>
              <w:t>对供应商投标设备中谱成像及高级后处理中的“最高单能级图像”响应情况进行评审：“最高单能级图像≥200kev”的，得4分；170kev≤最高单能级图像＜200kev，得2分；140kev≤最高单能级图像＜170kev，得1分；其他情况，得0分。</w:t>
            </w:r>
          </w:p>
        </w:tc>
      </w:tr>
      <w:tr>
        <w:tc>
          <w:tcPr>
            <w:tcW w:type="dxa" w:w="922"/>
            <w:gridSpan w:val="2"/>
            <w:vMerge/>
          </w:tcPr>
          <w:p/>
        </w:tc>
        <w:tc>
          <w:tcPr>
            <w:tcW w:type="dxa" w:w="2307"/>
          </w:tcPr>
          <w:p>
            <w:pPr>
              <w:pStyle w:val="null3"/>
              <w:jc w:val="left"/>
            </w:pPr>
            <w:r>
              <w:rPr/>
              <w:t>除“技术要求2.1、3.4、3.6、4.4、8.5、8.8、9.2.3、9.2.5外的其他一般技术参数的符合性 (8.0分)</w:t>
            </w:r>
          </w:p>
        </w:tc>
        <w:tc>
          <w:tcPr>
            <w:tcW w:type="dxa" w:w="5076"/>
          </w:tcPr>
          <w:p>
            <w:pPr>
              <w:pStyle w:val="null3"/>
              <w:jc w:val="left"/>
            </w:pPr>
            <w:r>
              <w:rPr/>
              <w:t>根据投标人所投产品对“第二章采购需求”中“二、详细技术要求”对应采购包中除“技术要求2.1、3.4、3.6、4.4、8.5、8.8、9.2.3、9.2.5外的其他一般技术参数（凡是标有序号的一般条款均以一项单独的条款计算，无论是否隶属于上一级编号。不含标识“该项为标的名称，不计入评审条款数量”的条款）的响应情况进行评审：优于或完全满足采购需求的，得本项满分；一般技术参数响应得分=(满足一般技术参数的数量÷一般技术参数的总数量)×本项满分；全部都负偏离得0分。（四舍五入保留两位小数） 注： 1.本项评审证明文件，如果采购需求有要求的，按照采购需求的要求提供；若没有要求，可以是加盖制造商公章的技术参数确认函（格式可参考采购需求提供的《制造商技术参数确认函》格式）、制造商技术白皮书、制造商使用说明书、制造商质量认可材料、制造商市场公开的宣传彩页、制造商官网清晰截图或者国务院认证认可监督管理部门批准的合法机构出具的相关检测报告等作为技术证明文件，但任何一类证明文件应该清晰明确反映相关响应的信息，否则评标委员会有权视相应技术参数响应不满足招标文件要求（如制造商的产品使用说明书为外文版，请同时提供中文版）。 2.所有证明资料应对招标文件具体的要求有明确的响应，不明确或者不完整，亦不得分。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对采购需求商务部分的安装与调试要求的响应方案 (8.0分)</w:t>
            </w:r>
          </w:p>
        </w:tc>
        <w:tc>
          <w:tcPr>
            <w:tcW w:type="dxa" w:w="5076"/>
          </w:tcPr>
          <w:p>
            <w:pPr>
              <w:pStyle w:val="null3"/>
              <w:jc w:val="left"/>
            </w:pPr>
            <w:r>
              <w:rPr/>
              <w:t>根据投标人提供的安装与调试方案进行评审： 1.方案包含全部3项内容：①安装与调试的整体服务计划、②交货及安装调试的时间进度安排、③安装与调试的人员安排，每提供1项得1分，本小项满分3分。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5分，部分满足得2分，内容都不满足或未提供方案得0分，本小项满分5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提供自2021年1月1日至今（以合同签订时间为准）完成的与所投标产品同品牌256排及以上（若为双源设备，探测器≥96排×2）CT放射医疗设备项目业绩，每提供一项得0.5分，满分为3分。 注：1.须提供合同关键页（包括但不限于合同双方的单位名称、合同项目名称、项目内容与含签订合同双方的落款盖章、签订日期的关键页）复印件作为证明资料，否则不得分。 2.同类项目业绩乙方/供货方不限于投标人。</w:t>
            </w:r>
          </w:p>
        </w:tc>
      </w:tr>
      <w:tr>
        <w:tc>
          <w:tcPr>
            <w:tcW w:type="dxa" w:w="922"/>
            <w:gridSpan w:val="2"/>
            <w:vMerge/>
          </w:tcPr>
          <w:p/>
        </w:tc>
        <w:tc>
          <w:tcPr>
            <w:tcW w:type="dxa" w:w="2307"/>
          </w:tcPr>
          <w:p>
            <w:pPr>
              <w:pStyle w:val="null3"/>
              <w:jc w:val="left"/>
            </w:pPr>
            <w:r>
              <w:rPr/>
              <w:t>对采购需求商务部分的售后服务响应方案 (9.0分)</w:t>
            </w:r>
          </w:p>
        </w:tc>
        <w:tc>
          <w:tcPr>
            <w:tcW w:type="dxa" w:w="5076"/>
          </w:tcPr>
          <w:p>
            <w:pPr>
              <w:pStyle w:val="null3"/>
              <w:jc w:val="left"/>
            </w:pPr>
            <w:r>
              <w:rPr/>
              <w:t>由评委对各投标人提供的售后服务方案的内容进行综合评审： 1.方案包含全部3项内容：包括①售后服务人力安排、②退换货及维修制度或服务条款、③售后服务响应速度及售后技术支持服务等，每提供1项得1分，本小项满分3分。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6分，部分满足得3分，内容都不满足或未提供方案得0分，本小项满分6分。</w:t>
            </w:r>
          </w:p>
        </w:tc>
      </w:tr>
      <w:tr>
        <w:tc>
          <w:tcPr>
            <w:tcW w:type="dxa" w:w="922"/>
            <w:gridSpan w:val="2"/>
            <w:vMerge/>
          </w:tcPr>
          <w:p/>
        </w:tc>
        <w:tc>
          <w:tcPr>
            <w:tcW w:type="dxa" w:w="2307"/>
          </w:tcPr>
          <w:p>
            <w:pPr>
              <w:pStyle w:val="null3"/>
              <w:jc w:val="left"/>
            </w:pPr>
            <w:r>
              <w:rPr/>
              <w:t>对采购需求商务部分的培训服务响应方案 (5.0分)</w:t>
            </w:r>
          </w:p>
        </w:tc>
        <w:tc>
          <w:tcPr>
            <w:tcW w:type="dxa" w:w="5076"/>
          </w:tcPr>
          <w:p>
            <w:pPr>
              <w:pStyle w:val="null3"/>
              <w:jc w:val="left"/>
            </w:pPr>
            <w:r>
              <w:rPr/>
              <w:t>根据投标人针对本项目提供的培训方案进行综合评审： 1.方案包含内容有4项：①培训目标制定与落实措施、②师资力量调配和安排措施、③结合本项目培训内容的计划制定、④结合本项目培训内容的完善措施，每提供一项得0.5分，本小项满分2分。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3分，部分满足得1分，内容都不满足或未提供方案得0分，本小项满分3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广州市白云区人民医院</w:t>
      </w:r>
    </w:p>
    <w:p>
      <w:pPr>
        <w:pStyle w:val="null3"/>
        <w:jc w:val="center"/>
      </w:pPr>
      <w:r>
        <w:rPr>
          <w:sz w:val="36"/>
          <w:b/>
        </w:rPr>
        <w:t>仪器设备采购合同</w:t>
      </w:r>
    </w:p>
    <w:p>
      <w:pPr>
        <w:pStyle w:val="null3"/>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jc w:val="center"/>
      </w:pPr>
      <w:r>
        <w:rPr/>
        <w:t xml:space="preserve"> </w:t>
      </w:r>
    </w:p>
    <w:p>
      <w:pPr>
        <w:pStyle w:val="null3"/>
        <w:jc w:val="center"/>
      </w:pPr>
      <w:r>
        <w:rPr>
          <w:sz w:val="24"/>
          <w:b/>
        </w:rPr>
        <w:t>仪器设备采购合同</w:t>
      </w:r>
    </w:p>
    <w:p>
      <w:pPr>
        <w:pStyle w:val="null3"/>
      </w:pPr>
      <w:r>
        <w:rPr/>
        <w:t xml:space="preserve"> </w:t>
      </w:r>
    </w:p>
    <w:p>
      <w:pPr>
        <w:pStyle w:val="null3"/>
        <w:ind w:left="720" w:firstLine="1476"/>
        <w:jc w:val="left"/>
      </w:pPr>
      <w:r>
        <w:rPr>
          <w:sz w:val="21"/>
          <w:b/>
        </w:rPr>
        <w:t>甲  方：</w:t>
      </w:r>
      <w:r>
        <w:rPr>
          <w:sz w:val="21"/>
          <w:b/>
        </w:rPr>
        <w:t>广州市</w:t>
      </w:r>
      <w:r>
        <w:rPr>
          <w:sz w:val="21"/>
          <w:b/>
        </w:rPr>
        <w:t>白云区人民医院</w:t>
      </w:r>
    </w:p>
    <w:p>
      <w:pPr>
        <w:pStyle w:val="null3"/>
        <w:jc w:val="both"/>
      </w:pPr>
      <w:r>
        <w:rPr>
          <w:sz w:val="21"/>
          <w:b/>
        </w:rPr>
        <w:t>乙  方：</w:t>
      </w:r>
    </w:p>
    <w:p>
      <w:pPr>
        <w:pStyle w:val="null3"/>
        <w:jc w:val="both"/>
      </w:pPr>
      <w:r>
        <w:rPr>
          <w:sz w:val="21"/>
        </w:rPr>
        <w:t>根据《中华人民共和国民法典》等相关法规规定及</w:t>
      </w:r>
      <w:r>
        <w:rPr>
          <w:sz w:val="21"/>
          <w:u w:val="single"/>
        </w:rPr>
        <w:t>广州市白云区人民医院</w:t>
      </w:r>
      <w:r>
        <w:rPr>
          <w:sz w:val="21"/>
          <w:u w:val="single"/>
        </w:rPr>
        <w:t>仪器设备</w:t>
      </w:r>
      <w:r>
        <w:rPr>
          <w:sz w:val="21"/>
          <w:u w:val="single"/>
        </w:rPr>
        <w:t xml:space="preserve">   项目</w:t>
      </w:r>
      <w:r>
        <w:rPr>
          <w:sz w:val="21"/>
          <w:u w:val="single"/>
        </w:rPr>
        <w:t>（</w:t>
      </w:r>
      <w:r>
        <w:rPr>
          <w:sz w:val="21"/>
          <w:u w:val="single"/>
        </w:rPr>
        <w:t>项目编号</w:t>
      </w:r>
      <w:r>
        <w:rPr>
          <w:sz w:val="21"/>
          <w:u w:val="single"/>
        </w:rPr>
        <w:t>：</w:t>
      </w:r>
      <w:r>
        <w:rPr>
          <w:sz w:val="21"/>
          <w:u w:val="single"/>
        </w:rPr>
        <w:t xml:space="preserve">      </w:t>
      </w:r>
      <w:r>
        <w:rPr>
          <w:sz w:val="21"/>
          <w:u w:val="single"/>
        </w:rPr>
        <w:t>）</w:t>
      </w:r>
      <w:r>
        <w:rPr>
          <w:sz w:val="21"/>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1"/>
          <w:b/>
        </w:rPr>
        <w:t xml:space="preserve"> 1　合同设备</w:t>
      </w:r>
    </w:p>
    <w:p>
      <w:pPr>
        <w:pStyle w:val="null3"/>
        <w:ind w:firstLine="540"/>
        <w:jc w:val="both"/>
      </w:pPr>
      <w:r>
        <w:rPr>
          <w:sz w:val="21"/>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70"/>
        <w:gridCol w:w="970"/>
        <w:gridCol w:w="1027"/>
        <w:gridCol w:w="1027"/>
        <w:gridCol w:w="799"/>
        <w:gridCol w:w="570"/>
        <w:gridCol w:w="570"/>
        <w:gridCol w:w="956"/>
        <w:gridCol w:w="1056"/>
      </w:tblGrid>
      <w:tr>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品名</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p>
            <w:pPr>
              <w:pStyle w:val="null3"/>
              <w:ind w:left="15"/>
              <w:jc w:val="center"/>
            </w:pPr>
            <w:r>
              <w:rPr>
                <w:sz w:val="21"/>
              </w:rPr>
              <w:t>产地</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注册证号</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总金额（人民币）</w:t>
            </w:r>
            <w:r>
              <w:rPr>
                <w:sz w:val="21"/>
                <w:u w:val="single"/>
              </w:rPr>
              <w:t xml:space="preserve"> </w:t>
            </w:r>
            <w:r>
              <w:rPr>
                <w:sz w:val="21"/>
                <w:u w:val="single"/>
              </w:rPr>
              <w:t xml:space="preserve">    </w:t>
            </w:r>
            <w:r>
              <w:rPr>
                <w:sz w:val="21"/>
                <w:u w:val="single"/>
              </w:rPr>
              <w:t xml:space="preserve"> </w:t>
            </w:r>
            <w:r>
              <w:rPr>
                <w:sz w:val="21"/>
              </w:rPr>
              <w:t xml:space="preserve"> 元整                      ￥</w:t>
            </w:r>
            <w:r>
              <w:rPr>
                <w:sz w:val="21"/>
                <w:u w:val="single"/>
              </w:rPr>
              <w:t xml:space="preserve"> </w:t>
            </w:r>
            <w:r>
              <w:rPr>
                <w:sz w:val="21"/>
                <w:u w:val="single"/>
              </w:rPr>
              <w:t xml:space="preserve">      </w:t>
            </w:r>
          </w:p>
        </w:tc>
      </w:tr>
    </w:tbl>
    <w:p>
      <w:pPr>
        <w:pStyle w:val="null3"/>
        <w:ind w:firstLine="540"/>
        <w:jc w:val="both"/>
      </w:pPr>
      <w:r>
        <w:rPr>
          <w:sz w:val="21"/>
          <w:b/>
        </w:rPr>
        <w:t>2　合同总价</w:t>
      </w:r>
    </w:p>
    <w:p>
      <w:pPr>
        <w:pStyle w:val="null3"/>
        <w:ind w:firstLine="540"/>
        <w:jc w:val="both"/>
      </w:pPr>
      <w:r>
        <w:rPr>
          <w:sz w:val="21"/>
        </w:rPr>
        <w:t>总价为：人民币</w:t>
      </w:r>
      <w:r>
        <w:rPr>
          <w:sz w:val="21"/>
          <w:u w:val="single"/>
        </w:rPr>
        <w:t xml:space="preserve"> </w:t>
      </w:r>
      <w:r>
        <w:rPr>
          <w:sz w:val="21"/>
          <w:u w:val="single"/>
        </w:rPr>
        <w:t xml:space="preserve">      </w:t>
      </w:r>
      <w:r>
        <w:rPr>
          <w:sz w:val="21"/>
          <w:u w:val="single"/>
        </w:rPr>
        <w:t xml:space="preserve"> </w:t>
      </w:r>
      <w:r>
        <w:rPr>
          <w:sz w:val="21"/>
        </w:rPr>
        <w:t>元整（大写），即￥</w:t>
      </w:r>
      <w:r>
        <w:rPr>
          <w:sz w:val="21"/>
          <w:u w:val="single"/>
        </w:rPr>
        <w:t xml:space="preserve">       </w:t>
      </w:r>
      <w:r>
        <w:rPr>
          <w:sz w:val="21"/>
          <w:u w:val="single"/>
        </w:rPr>
        <w:t xml:space="preserve"> </w:t>
      </w:r>
      <w:r>
        <w:rPr>
          <w:sz w:val="21"/>
        </w:rPr>
        <w:t>元，该合同总金额包括了设计、设备制造、包装、仓储、运输、设备安装及验收合格之前及保修期的</w:t>
      </w:r>
      <w:r>
        <w:rPr>
          <w:sz w:val="21"/>
        </w:rPr>
        <w:t>备品备件</w:t>
      </w:r>
      <w:r>
        <w:rPr>
          <w:sz w:val="21"/>
        </w:rPr>
        <w:t>（</w:t>
      </w:r>
      <w:r>
        <w:rPr>
          <w:sz w:val="21"/>
        </w:rPr>
        <w:t>电极除外）</w:t>
      </w:r>
      <w:r>
        <w:rPr>
          <w:sz w:val="21"/>
        </w:rPr>
        <w:t>以及所有的进口环节税费。本合同执行期间合同总金额不变，甲方不再另行支付其他任何费用。</w:t>
      </w:r>
    </w:p>
    <w:p>
      <w:pPr>
        <w:pStyle w:val="null3"/>
        <w:ind w:firstLine="540"/>
        <w:jc w:val="both"/>
      </w:pPr>
      <w:r>
        <w:rPr>
          <w:sz w:val="21"/>
          <w:b/>
        </w:rPr>
        <w:t>3　合同组成</w:t>
      </w:r>
    </w:p>
    <w:p>
      <w:pPr>
        <w:pStyle w:val="null3"/>
        <w:ind w:firstLine="540"/>
        <w:jc w:val="both"/>
      </w:pPr>
      <w:r>
        <w:rPr>
          <w:sz w:val="21"/>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1"/>
          <w:b/>
        </w:rPr>
        <w:t>4　技术要求</w:t>
      </w:r>
    </w:p>
    <w:p>
      <w:pPr>
        <w:pStyle w:val="null3"/>
        <w:ind w:firstLine="540"/>
        <w:jc w:val="both"/>
      </w:pPr>
      <w:r>
        <w:rPr>
          <w:sz w:val="21"/>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1"/>
          <w:b/>
        </w:rPr>
        <w:t>5　合同设备的包装、交货及验收</w:t>
      </w:r>
    </w:p>
    <w:p>
      <w:pPr>
        <w:pStyle w:val="null3"/>
        <w:ind w:firstLine="540"/>
        <w:jc w:val="both"/>
      </w:pPr>
      <w:r>
        <w:rPr>
          <w:sz w:val="21"/>
        </w:rPr>
        <w:t>5.1合同设备的包装</w:t>
      </w:r>
    </w:p>
    <w:p>
      <w:pPr>
        <w:pStyle w:val="null3"/>
        <w:ind w:firstLine="540"/>
        <w:jc w:val="both"/>
      </w:pPr>
      <w:r>
        <w:rPr>
          <w:sz w:val="21"/>
        </w:rPr>
        <w:t>设备的包装均应有良好的防湿、防锈、防潮、防雨、防腐及防碰撞的措施。凡由于包装不良造成的损失和由此产生的费用均由乙方承担。</w:t>
      </w:r>
    </w:p>
    <w:p>
      <w:pPr>
        <w:pStyle w:val="null3"/>
        <w:ind w:firstLine="540"/>
        <w:jc w:val="both"/>
      </w:pPr>
      <w:r>
        <w:rPr>
          <w:sz w:val="21"/>
        </w:rPr>
        <w:t>5.2 设备的安装</w:t>
      </w:r>
    </w:p>
    <w:p>
      <w:pPr>
        <w:pStyle w:val="null3"/>
        <w:ind w:firstLine="540"/>
        <w:jc w:val="both"/>
      </w:pPr>
      <w:r>
        <w:rPr>
          <w:sz w:val="21"/>
        </w:rPr>
        <w:t>5.2.1 乙方负责合同项下的安装，一切费用由乙方负责。乙方负责设备运输、搬运和拆卸以及所需要的搬运和安装工具。</w:t>
      </w:r>
    </w:p>
    <w:p>
      <w:pPr>
        <w:pStyle w:val="null3"/>
        <w:ind w:firstLine="540"/>
        <w:jc w:val="both"/>
      </w:pPr>
      <w:r>
        <w:rPr>
          <w:sz w:val="21"/>
        </w:rPr>
        <w:t>5.2.2 乙方安装时须对各安装场地内的其他设备、设施有良好保护措施。及时清理拆箱和安装产生的物料。</w:t>
      </w:r>
    </w:p>
    <w:p>
      <w:pPr>
        <w:pStyle w:val="null3"/>
        <w:ind w:firstLine="540"/>
        <w:jc w:val="both"/>
      </w:pPr>
      <w:r>
        <w:rPr>
          <w:sz w:val="21"/>
        </w:rPr>
        <w:t>5.3合同设备的交付使用</w:t>
      </w:r>
    </w:p>
    <w:p>
      <w:pPr>
        <w:pStyle w:val="null3"/>
        <w:ind w:firstLine="540"/>
        <w:jc w:val="both"/>
      </w:pPr>
      <w:r>
        <w:rPr>
          <w:sz w:val="21"/>
        </w:rPr>
        <w:t>5.3.1</w:t>
      </w:r>
      <w:r>
        <w:rPr>
          <w:sz w:val="21"/>
        </w:rPr>
        <w:t>乙方交货时间：合同签订后</w:t>
      </w:r>
      <w:r>
        <w:rPr>
          <w:sz w:val="21"/>
          <w:u w:val="single"/>
        </w:rPr>
        <w:t xml:space="preserve"> </w:t>
      </w:r>
      <w:r>
        <w:rPr>
          <w:sz w:val="21"/>
          <w:u w:val="single"/>
        </w:rPr>
        <w:t xml:space="preserve">    </w:t>
      </w:r>
      <w:r>
        <w:rPr>
          <w:sz w:val="21"/>
          <w:u w:val="single"/>
        </w:rPr>
        <w:t xml:space="preserve"> </w:t>
      </w:r>
      <w:r>
        <w:rPr>
          <w:sz w:val="21"/>
        </w:rPr>
        <w:t>日内。发货前至少提前3日与甲方确认送货数量、时间和搬运方式，以便提前做好各项准备。</w:t>
      </w:r>
    </w:p>
    <w:p>
      <w:pPr>
        <w:pStyle w:val="null3"/>
        <w:ind w:firstLine="540"/>
        <w:jc w:val="both"/>
      </w:pPr>
      <w:r>
        <w:rPr>
          <w:sz w:val="21"/>
        </w:rPr>
        <w:t>5.3.2</w:t>
      </w:r>
      <w:r>
        <w:rPr>
          <w:sz w:val="21"/>
        </w:rPr>
        <w:t>乙方应按甲方指定地点交付设备。</w:t>
      </w:r>
    </w:p>
    <w:p>
      <w:pPr>
        <w:pStyle w:val="null3"/>
        <w:ind w:firstLine="539"/>
        <w:jc w:val="both"/>
      </w:pPr>
      <w:r>
        <w:rPr>
          <w:sz w:val="21"/>
        </w:rPr>
        <w:t xml:space="preserve">5.4设备的验收  </w:t>
      </w:r>
    </w:p>
    <w:p>
      <w:pPr>
        <w:pStyle w:val="null3"/>
        <w:ind w:firstLine="539"/>
        <w:jc w:val="both"/>
      </w:pPr>
      <w:r>
        <w:rPr>
          <w:sz w:val="21"/>
        </w:rPr>
        <w:t>5.4.</w:t>
      </w:r>
      <w:r>
        <w:rPr>
          <w:sz w:val="21"/>
        </w:rPr>
        <w:t>1</w:t>
      </w:r>
      <w:r>
        <w:rPr>
          <w:sz w:val="21"/>
        </w:rPr>
        <w:t>合同设备在出厂前应进行验收，设备到甲方指定地点后应在甲乙双方共同参加下进行验收，甲乙双方在相关的单据上签字确认验收。</w:t>
      </w:r>
    </w:p>
    <w:p>
      <w:pPr>
        <w:pStyle w:val="null3"/>
        <w:ind w:firstLine="539"/>
        <w:jc w:val="both"/>
      </w:pPr>
      <w:r>
        <w:rPr>
          <w:sz w:val="21"/>
        </w:rPr>
        <w:t>5.4.</w:t>
      </w:r>
      <w:r>
        <w:rPr>
          <w:sz w:val="21"/>
        </w:rPr>
        <w:t>2</w:t>
      </w:r>
      <w:r>
        <w:rPr>
          <w:sz w:val="21"/>
        </w:rPr>
        <w:t>验收按国家有关的规定、规范和通常惯例进行。</w:t>
      </w:r>
    </w:p>
    <w:p>
      <w:pPr>
        <w:pStyle w:val="null3"/>
        <w:ind w:firstLine="539"/>
        <w:jc w:val="both"/>
      </w:pPr>
      <w:r>
        <w:rPr>
          <w:sz w:val="21"/>
        </w:rPr>
        <w:t>属于法定商检的产品，须进行商检，提供相关报关资料证明；</w:t>
      </w:r>
    </w:p>
    <w:p>
      <w:pPr>
        <w:pStyle w:val="null3"/>
        <w:ind w:firstLine="539"/>
        <w:jc w:val="both"/>
      </w:pPr>
      <w:r>
        <w:rPr>
          <w:sz w:val="21"/>
        </w:rPr>
        <w:t>属于计量器具（包含强检和非强检）的设备必须提供首次检定合格证书或校准证书；</w:t>
      </w:r>
    </w:p>
    <w:p>
      <w:pPr>
        <w:pStyle w:val="null3"/>
        <w:ind w:firstLine="539"/>
        <w:jc w:val="both"/>
      </w:pPr>
      <w:r>
        <w:rPr>
          <w:sz w:val="21"/>
        </w:rPr>
        <w:t>属于射线装置的，按院方要求协助办理放射诊疗和辐射安全许可相关各种手续；</w:t>
      </w:r>
    </w:p>
    <w:p>
      <w:pPr>
        <w:pStyle w:val="null3"/>
        <w:ind w:firstLine="539"/>
        <w:jc w:val="both"/>
      </w:pPr>
      <w:r>
        <w:rPr>
          <w:sz w:val="21"/>
        </w:rPr>
        <w:t>需要第三方验收的设备需提供有资质部门验收检测报告；</w:t>
      </w:r>
    </w:p>
    <w:p>
      <w:pPr>
        <w:pStyle w:val="null3"/>
        <w:ind w:firstLine="539"/>
        <w:jc w:val="both"/>
      </w:pPr>
      <w:r>
        <w:rPr>
          <w:sz w:val="21"/>
        </w:rPr>
        <w:t>需要与医院信息系统联网的，乙方必须无偿开放接口，并协助联网。</w:t>
      </w:r>
    </w:p>
    <w:p>
      <w:pPr>
        <w:pStyle w:val="null3"/>
        <w:ind w:firstLine="539"/>
        <w:jc w:val="both"/>
      </w:pPr>
      <w:r>
        <w:rPr>
          <w:sz w:val="21"/>
        </w:rPr>
        <w:t>上述各项费用均由乙方负责。</w:t>
      </w:r>
    </w:p>
    <w:p>
      <w:pPr>
        <w:pStyle w:val="null3"/>
        <w:ind w:firstLine="539"/>
        <w:jc w:val="both"/>
      </w:pPr>
      <w:r>
        <w:rPr>
          <w:sz w:val="21"/>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1"/>
        </w:rPr>
        <w:t>5.4.</w:t>
      </w:r>
      <w:r>
        <w:rPr>
          <w:sz w:val="21"/>
        </w:rPr>
        <w:t>3</w:t>
      </w:r>
      <w:r>
        <w:rPr>
          <w:sz w:val="21"/>
        </w:rPr>
        <w:t>乙方应向甲方提供设备的用户手册、维护保养手册、操作流程、维护流程、维修手册、软件备份、故障代码表、备件清单、零部件、维修密码和密钥U盘等维护维修必需的材料和信息（并尽可能提供电子版）。</w:t>
      </w:r>
    </w:p>
    <w:p>
      <w:pPr>
        <w:pStyle w:val="null3"/>
        <w:ind w:firstLine="539"/>
        <w:jc w:val="both"/>
      </w:pPr>
      <w:r>
        <w:rPr>
          <w:sz w:val="21"/>
        </w:rPr>
        <w:t>5.4.</w:t>
      </w:r>
      <w:r>
        <w:rPr>
          <w:sz w:val="21"/>
        </w:rPr>
        <w:t>4</w:t>
      </w:r>
      <w:r>
        <w:rPr>
          <w:sz w:val="21"/>
        </w:rPr>
        <w:t>设备验收、调试并交付使用之日起，</w:t>
      </w:r>
      <w:r>
        <w:rPr>
          <w:sz w:val="21"/>
          <w:u w:val="single"/>
        </w:rPr>
        <w:t>壹</w:t>
      </w:r>
      <w:r>
        <w:rPr>
          <w:sz w:val="21"/>
        </w:rPr>
        <w:t>个月为试用期，试用合格后由甲方按本合同第七条付款。</w:t>
      </w:r>
    </w:p>
    <w:p>
      <w:pPr>
        <w:pStyle w:val="null3"/>
        <w:ind w:firstLine="539"/>
        <w:jc w:val="both"/>
      </w:pPr>
      <w:r>
        <w:rPr>
          <w:sz w:val="21"/>
        </w:rPr>
        <w:t>5.4.</w:t>
      </w:r>
      <w:r>
        <w:rPr>
          <w:sz w:val="21"/>
        </w:rPr>
        <w:t>5</w:t>
      </w:r>
      <w:r>
        <w:rPr>
          <w:sz w:val="21"/>
        </w:rPr>
        <w:t xml:space="preserve"> 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1"/>
          <w:b/>
        </w:rPr>
        <w:t>6　质量保证及售后服务</w:t>
      </w:r>
    </w:p>
    <w:p>
      <w:pPr>
        <w:pStyle w:val="null3"/>
        <w:ind w:firstLine="470"/>
        <w:jc w:val="both"/>
      </w:pPr>
      <w:r>
        <w:rPr>
          <w:sz w:val="21"/>
        </w:rPr>
        <w:t>6.1</w:t>
      </w:r>
      <w:r>
        <w:rPr>
          <w:sz w:val="21"/>
        </w:rPr>
        <w:t xml:space="preserve"> 乙方保证合同设备是全新、未曾使用过的，进货渠道合法，其质量、规格及技术特征符合合同附件的要求，符合甲方实际使用需求。设备生产日期为开箱验收当日前一年内，如因安装场地原因造成</w:t>
      </w:r>
      <w:r>
        <w:rPr>
          <w:sz w:val="21"/>
        </w:rPr>
        <w:t>验收</w:t>
      </w:r>
      <w:r>
        <w:rPr>
          <w:sz w:val="21"/>
        </w:rPr>
        <w:t>延迟的，设备生产日期不得早于合同签订日期前的6个月内；有标注使用期限的医疗设备，应提供3个月内（进口产品6个月内）生产的产品。</w:t>
      </w:r>
    </w:p>
    <w:p>
      <w:pPr>
        <w:pStyle w:val="null3"/>
        <w:ind w:firstLine="540"/>
        <w:jc w:val="both"/>
      </w:pPr>
      <w:r>
        <w:rPr>
          <w:sz w:val="21"/>
        </w:rPr>
        <w:t>6.2 本合同所涉及设备的保质保用期为本项目经甲方有关部门</w:t>
      </w:r>
      <w:r>
        <w:rPr>
          <w:sz w:val="21"/>
          <w:b/>
        </w:rPr>
        <w:t>验收合格之日（以甲方记录的启用时间为准）起</w:t>
      </w:r>
      <w:r>
        <w:rPr>
          <w:sz w:val="21"/>
        </w:rPr>
        <w:t>全保</w:t>
      </w:r>
      <w:r>
        <w:rPr>
          <w:sz w:val="21"/>
          <w:u w:val="single"/>
        </w:rPr>
        <w:t xml:space="preserve">  </w:t>
      </w:r>
      <w:r>
        <w:rPr>
          <w:sz w:val="21"/>
          <w:u w:val="single"/>
        </w:rPr>
        <w:t xml:space="preserve"> </w:t>
      </w:r>
      <w:r>
        <w:rPr>
          <w:sz w:val="21"/>
        </w:rPr>
        <w:t>年，保修期内免费维修维护，免费更换零配件</w:t>
      </w:r>
      <w:r>
        <w:rPr>
          <w:sz w:val="21"/>
        </w:rPr>
        <w:t>（</w:t>
      </w:r>
      <w:r>
        <w:rPr>
          <w:sz w:val="21"/>
        </w:rPr>
        <w:t>电极除外）</w:t>
      </w:r>
      <w:r>
        <w:rPr>
          <w:sz w:val="21"/>
        </w:rPr>
        <w:t>，软件终身免费升级。保修期内的开机率≥95%。乙方需提供由厂家出具（加盖厂家公章）的保修证明。</w:t>
      </w:r>
    </w:p>
    <w:p>
      <w:pPr>
        <w:pStyle w:val="null3"/>
        <w:ind w:firstLine="540"/>
        <w:jc w:val="both"/>
      </w:pPr>
      <w:r>
        <w:rPr>
          <w:sz w:val="21"/>
        </w:rPr>
        <w:t>6.2.1 保质保用期内非因甲方的人为原因而出现产品质量及安装问题，由乙方负责包修、包换或包退，并承担因此而产生的一切费用。乙方应在收到甲方通知后 4 小时内派员到现场维修(用户需求书另有规定除外)，否则甲方有权利聘请第三方维修，维修费用由乙方支付。如合同设备在 1 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1"/>
        </w:rPr>
        <w:t>6.2.2 保质保用期内如合同设备需要维修致使甲方累计停机时间超过 15 天的，停机时间每增加 1 天，质保期延长 3 天，停机时间超过30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1"/>
        </w:rPr>
        <w:t>6.2.3 保质保用期内如合同设备需要维修致使甲方不能正常使用的，乙方应在甲方提出申请后 2 个工作日内提供相同功能设备供甲方使用。否则，造成甲方损失的，应承担相应的赔偿责任。</w:t>
      </w:r>
    </w:p>
    <w:p>
      <w:pPr>
        <w:pStyle w:val="null3"/>
        <w:ind w:firstLine="540"/>
        <w:jc w:val="both"/>
      </w:pPr>
      <w:r>
        <w:rPr>
          <w:sz w:val="21"/>
        </w:rPr>
        <w:t>6.2.4 下列情况乙方不负责免费保修：</w:t>
      </w:r>
    </w:p>
    <w:p>
      <w:pPr>
        <w:pStyle w:val="null3"/>
        <w:ind w:firstLine="540"/>
        <w:jc w:val="both"/>
      </w:pPr>
      <w:r>
        <w:rPr>
          <w:sz w:val="21"/>
        </w:rPr>
        <w:t>（1）不按照乙方提供的书面正确使用方法而引致设备故障损坏；</w:t>
      </w:r>
    </w:p>
    <w:p>
      <w:pPr>
        <w:pStyle w:val="null3"/>
        <w:ind w:firstLine="540"/>
        <w:jc w:val="both"/>
      </w:pPr>
      <w:r>
        <w:rPr>
          <w:sz w:val="21"/>
        </w:rPr>
        <w:t>（2）擅自改装设备；</w:t>
      </w:r>
    </w:p>
    <w:p>
      <w:pPr>
        <w:pStyle w:val="null3"/>
        <w:ind w:firstLine="540"/>
        <w:jc w:val="both"/>
      </w:pPr>
      <w:r>
        <w:rPr>
          <w:sz w:val="21"/>
        </w:rPr>
        <w:t>（3）各种人为因素或天灾等外来因素造成的损坏。</w:t>
      </w:r>
    </w:p>
    <w:p>
      <w:pPr>
        <w:pStyle w:val="null3"/>
        <w:ind w:firstLine="540"/>
        <w:jc w:val="both"/>
      </w:pPr>
      <w:r>
        <w:rPr>
          <w:sz w:val="21"/>
        </w:rPr>
        <w:t>6.3   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1"/>
        </w:rPr>
        <w:t>6.4 乙方负责对设备使用相关人员的培训和考核。</w:t>
      </w:r>
    </w:p>
    <w:p>
      <w:pPr>
        <w:pStyle w:val="null3"/>
        <w:ind w:firstLine="540"/>
        <w:jc w:val="both"/>
      </w:pPr>
      <w:r>
        <w:rPr>
          <w:sz w:val="21"/>
        </w:rPr>
        <w:t>6.4.1 乙方负责对甲方使用人员不少于</w:t>
      </w:r>
      <w:r>
        <w:rPr>
          <w:sz w:val="21"/>
          <w:u w:val="single"/>
        </w:rPr>
        <w:t xml:space="preserve">  2 </w:t>
      </w:r>
      <w:r>
        <w:rPr>
          <w:sz w:val="21"/>
        </w:rPr>
        <w:t xml:space="preserve"> 人进行培训，保证操作者熟悉操作仪器的全部功能，掌握日常使用保养方法。</w:t>
      </w:r>
    </w:p>
    <w:p>
      <w:pPr>
        <w:pStyle w:val="null3"/>
        <w:ind w:firstLine="540"/>
        <w:jc w:val="both"/>
      </w:pPr>
      <w:r>
        <w:rPr>
          <w:sz w:val="21"/>
        </w:rPr>
        <w:t>6.4.2 乙方负责对甲方工程技术人员不少于</w:t>
      </w:r>
      <w:r>
        <w:rPr>
          <w:sz w:val="21"/>
          <w:u w:val="single"/>
        </w:rPr>
        <w:t xml:space="preserve">  2  </w:t>
      </w:r>
      <w:r>
        <w:rPr>
          <w:sz w:val="21"/>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1"/>
        </w:rPr>
        <w:t xml:space="preserve">6.4.3 </w:t>
      </w:r>
      <w:r>
        <w:rPr>
          <w:sz w:val="21"/>
        </w:rPr>
        <w:t>培训方式为线上讲解培训</w:t>
      </w:r>
      <w:r>
        <w:rPr>
          <w:sz w:val="21"/>
        </w:rPr>
        <w:t>，复杂设备安排在厂家培训基地或按甲方要求安排。乙方对甲方使用和维修人员进行考核，确保受训人员技能合格。</w:t>
      </w:r>
    </w:p>
    <w:p>
      <w:pPr>
        <w:pStyle w:val="null3"/>
        <w:ind w:firstLine="540"/>
        <w:jc w:val="both"/>
      </w:pPr>
      <w:r>
        <w:rPr>
          <w:sz w:val="21"/>
        </w:rPr>
        <w:t>6.4.4 乙方工作人员须遵守甲方的管理规定，乙方工作人员在甲方处产生的一切争议纠纷，由乙方负责，与甲方无关。</w:t>
      </w:r>
    </w:p>
    <w:p>
      <w:pPr>
        <w:pStyle w:val="null3"/>
        <w:ind w:firstLine="540"/>
        <w:jc w:val="both"/>
      </w:pPr>
      <w:r>
        <w:rPr>
          <w:sz w:val="21"/>
        </w:rPr>
        <w:t>6.5 设备终身维修保养，质保期过后，用户有权选择是否购买设备全保服务。若购买原厂保修服务，则设备每年的全保保修费不高于所保修设备资产值的6%。用户若不购买保修服务，则</w:t>
      </w:r>
      <w:r>
        <w:rPr>
          <w:sz w:val="21"/>
        </w:rPr>
        <w:t>乙方</w:t>
      </w:r>
      <w:r>
        <w:rPr>
          <w:sz w:val="21"/>
        </w:rPr>
        <w:t>或中标设备的生产厂家对设备的所有零配件的价格以不高于公开、正式报价的7折优惠价提供给用户，且免收人工费、上门服务费、检测费、交通费、住宿费等除零配件以外的费用。</w:t>
      </w:r>
    </w:p>
    <w:p>
      <w:pPr>
        <w:pStyle w:val="null3"/>
        <w:ind w:firstLine="540"/>
        <w:jc w:val="both"/>
      </w:pPr>
      <w:r>
        <w:rPr>
          <w:sz w:val="21"/>
          <w:b/>
        </w:rPr>
        <w:t>7  付款办法</w:t>
      </w:r>
      <w:r>
        <w:rPr>
          <w:sz w:val="21"/>
          <w:b/>
        </w:rPr>
        <w:t>及履约保证金</w:t>
      </w:r>
    </w:p>
    <w:p>
      <w:pPr>
        <w:pStyle w:val="null3"/>
        <w:ind w:firstLine="520"/>
        <w:jc w:val="both"/>
      </w:pPr>
      <w:r>
        <w:rPr>
          <w:sz w:val="21"/>
        </w:rPr>
        <w:t>7.1付款办法</w:t>
      </w:r>
    </w:p>
    <w:p>
      <w:pPr>
        <w:pStyle w:val="null3"/>
        <w:ind w:firstLine="520"/>
        <w:jc w:val="both"/>
      </w:pPr>
      <w:r>
        <w:rPr>
          <w:sz w:val="21"/>
        </w:rPr>
        <w:t>7.1 .1本合同的每笔款项以人民币银行转帐或财政资金转账方式支付，支付的时间和金额如下：</w:t>
      </w:r>
    </w:p>
    <w:p>
      <w:pPr>
        <w:pStyle w:val="null3"/>
        <w:ind w:firstLine="520"/>
        <w:jc w:val="both"/>
      </w:pPr>
      <w:r>
        <w:rPr>
          <w:sz w:val="21"/>
        </w:rPr>
        <w:t>7.1.2. 合同签订后，乙方向甲方提供合同总额100％发票原件，由甲方在待财政资金下达后按财务流程支付合同总金额的30%（￥        ）作为预付款。不视为违约，逾期不支付违约金及利息。</w:t>
      </w:r>
    </w:p>
    <w:p>
      <w:pPr>
        <w:pStyle w:val="null3"/>
        <w:ind w:firstLine="520"/>
        <w:jc w:val="both"/>
      </w:pPr>
      <w:r>
        <w:rPr>
          <w:sz w:val="21"/>
        </w:rPr>
        <w:t>7.1.3 货物全部安装、调试完毕并验收合格后，乙方凭有效文件由甲方在待财政资金下达后按财务流程支付合同总金额的70%（金额￥           元）。不视为违约，逾期不支付违约金及利息。</w:t>
      </w:r>
    </w:p>
    <w:p>
      <w:pPr>
        <w:pStyle w:val="null3"/>
        <w:ind w:firstLine="520"/>
        <w:jc w:val="both"/>
      </w:pPr>
      <w:r>
        <w:rPr>
          <w:sz w:val="21"/>
        </w:rPr>
        <w:t>7.2履约保证金</w:t>
      </w:r>
    </w:p>
    <w:p>
      <w:pPr>
        <w:pStyle w:val="null3"/>
        <w:ind w:firstLine="520"/>
        <w:jc w:val="both"/>
      </w:pPr>
      <w:r>
        <w:rPr>
          <w:sz w:val="21"/>
        </w:rPr>
        <w:t>7.2.1具体要求：</w:t>
      </w:r>
    </w:p>
    <w:p>
      <w:pPr>
        <w:pStyle w:val="null3"/>
        <w:ind w:firstLine="520"/>
        <w:jc w:val="both"/>
      </w:pPr>
      <w:r>
        <w:rPr>
          <w:sz w:val="21"/>
        </w:rPr>
        <w:t>①时间：中标通知书发出之后5个工作日；</w:t>
      </w:r>
    </w:p>
    <w:p>
      <w:pPr>
        <w:pStyle w:val="null3"/>
        <w:ind w:firstLine="520"/>
        <w:jc w:val="both"/>
      </w:pPr>
      <w:r>
        <w:rPr>
          <w:sz w:val="21"/>
        </w:rPr>
        <w:t>②方式：支票、汇票、本票或金融机构（外资银行在国内的分支机构除外）出具的书面无条件保函；</w:t>
      </w:r>
    </w:p>
    <w:p>
      <w:pPr>
        <w:pStyle w:val="null3"/>
        <w:ind w:firstLine="520"/>
        <w:jc w:val="both"/>
      </w:pPr>
      <w:r>
        <w:rPr>
          <w:sz w:val="21"/>
        </w:rPr>
        <w:t>③保函有效期：自合同生效之日起至合同约定的乙方合同义务履行完毕时止。</w:t>
      </w:r>
    </w:p>
    <w:p>
      <w:pPr>
        <w:pStyle w:val="null3"/>
        <w:ind w:left="480" w:firstLine="100"/>
        <w:jc w:val="both"/>
      </w:pPr>
      <w:r>
        <w:rPr>
          <w:sz w:val="21"/>
        </w:rPr>
        <w:t>④金额：</w:t>
      </w:r>
      <w:r>
        <w:rPr>
          <w:sz w:val="21"/>
        </w:rPr>
        <w:t>合同总额</w:t>
      </w:r>
      <w:r>
        <w:rPr>
          <w:sz w:val="21"/>
        </w:rPr>
        <w:t>的</w:t>
      </w:r>
      <w:r>
        <w:rPr>
          <w:sz w:val="21"/>
        </w:rPr>
        <w:t>5%，即人民币</w:t>
      </w:r>
      <w:r>
        <w:rPr>
          <w:sz w:val="21"/>
          <w:u w:val="single"/>
        </w:rPr>
        <w:t xml:space="preserve">   </w:t>
      </w:r>
      <w:r>
        <w:rPr>
          <w:sz w:val="21"/>
        </w:rPr>
        <w:t>元。</w:t>
      </w:r>
    </w:p>
    <w:p>
      <w:pPr>
        <w:pStyle w:val="null3"/>
        <w:ind w:firstLine="520"/>
        <w:jc w:val="both"/>
      </w:pPr>
      <w:r>
        <w:rPr>
          <w:sz w:val="21"/>
        </w:rPr>
        <w:t>7.2.1未按要求递交履约保证金责任：乙方如未按要求递交履约保证金，甲方将根据《民法典》的相关规定，追诉乙方的相关法律责任。</w:t>
      </w:r>
    </w:p>
    <w:p>
      <w:pPr>
        <w:pStyle w:val="null3"/>
        <w:ind w:firstLine="520"/>
        <w:jc w:val="both"/>
      </w:pPr>
      <w:r>
        <w:rPr>
          <w:sz w:val="21"/>
        </w:rPr>
        <w:t>7.2.3退还说明：</w:t>
      </w:r>
    </w:p>
    <w:p>
      <w:pPr>
        <w:pStyle w:val="null3"/>
        <w:ind w:firstLine="520"/>
        <w:jc w:val="both"/>
      </w:pPr>
      <w:r>
        <w:rPr>
          <w:sz w:val="21"/>
        </w:rPr>
        <w:t>①时间、方式和条件：待乙方全部合同义务履行完毕后，运行期间乙方无违约行为，向甲方提出申请退还履约保证金，甲方在15日内按财务流程向乙方退还履约保证金(履约保证金不计利息)。</w:t>
      </w:r>
    </w:p>
    <w:p>
      <w:pPr>
        <w:pStyle w:val="null3"/>
        <w:ind w:firstLine="520"/>
        <w:jc w:val="both"/>
      </w:pPr>
      <w:r>
        <w:rPr>
          <w:sz w:val="21"/>
        </w:rPr>
        <w:t>②违约责任：甲方逾期退还履约保证金的，除应当退还履约保证金本金外，还应当每日按合同总金额的1‰向乙方偿付违约金，但因乙方自身原因导致无法及时退还的除外。</w:t>
      </w:r>
    </w:p>
    <w:p>
      <w:pPr>
        <w:pStyle w:val="null3"/>
        <w:ind w:firstLine="520"/>
        <w:jc w:val="both"/>
      </w:pPr>
      <w:r>
        <w:rPr>
          <w:sz w:val="21"/>
        </w:rPr>
        <w:t>③甲方有权直接从履约保证金扣除乙方应当向甲方承担的违约金、赔偿金、维修费等相关费用。</w:t>
      </w:r>
    </w:p>
    <w:p>
      <w:pPr>
        <w:pStyle w:val="null3"/>
        <w:ind w:firstLine="520"/>
        <w:jc w:val="both"/>
      </w:pPr>
      <w:r>
        <w:rPr>
          <w:sz w:val="21"/>
        </w:rPr>
        <w:t>7.2.4不予退还的情形：</w:t>
      </w:r>
    </w:p>
    <w:p>
      <w:pPr>
        <w:pStyle w:val="null3"/>
        <w:ind w:firstLine="520"/>
        <w:jc w:val="both"/>
      </w:pPr>
      <w:r>
        <w:rPr>
          <w:sz w:val="21"/>
        </w:rPr>
        <w:t>①未经甲方同意，乙方将本项目进行分包或转包给他人；</w:t>
      </w:r>
    </w:p>
    <w:p>
      <w:pPr>
        <w:pStyle w:val="null3"/>
        <w:ind w:firstLine="520"/>
        <w:jc w:val="both"/>
      </w:pPr>
      <w:r>
        <w:rPr>
          <w:sz w:val="21"/>
        </w:rPr>
        <w:t>②在履行合同期间，乙方未经甲方同意提前终止本项目合同；</w:t>
      </w:r>
    </w:p>
    <w:p>
      <w:pPr>
        <w:pStyle w:val="null3"/>
        <w:ind w:firstLine="520"/>
        <w:jc w:val="both"/>
      </w:pPr>
      <w:r>
        <w:rPr>
          <w:sz w:val="21"/>
        </w:rPr>
        <w:t>③在履行合同期间，乙方因在经营活动中存在违法被吊销营业执照或相关许可，导致本项目合同无法继续履行的。</w:t>
      </w:r>
    </w:p>
    <w:p>
      <w:pPr>
        <w:pStyle w:val="null3"/>
        <w:ind w:firstLine="520"/>
        <w:jc w:val="both"/>
      </w:pPr>
      <w:r>
        <w:rPr>
          <w:sz w:val="21"/>
        </w:rPr>
        <w:t>7.2.5补足条款：</w:t>
      </w:r>
    </w:p>
    <w:p>
      <w:pPr>
        <w:pStyle w:val="null3"/>
        <w:ind w:firstLine="520"/>
        <w:jc w:val="both"/>
      </w:pPr>
      <w:r>
        <w:rPr>
          <w:sz w:val="21"/>
        </w:rPr>
        <w:t>如发生履约保证金被扣罚的情况，供应商应在被扣罚后5个工作日内补足履约保证金，以保证履约保证金满足当年度履约保证金金额要求。</w:t>
      </w:r>
    </w:p>
    <w:p>
      <w:pPr>
        <w:pStyle w:val="null3"/>
        <w:ind w:firstLine="540"/>
        <w:jc w:val="both"/>
      </w:pPr>
      <w:r>
        <w:rPr>
          <w:sz w:val="21"/>
          <w:b/>
        </w:rPr>
        <w:t xml:space="preserve"> 8　索赔</w:t>
      </w:r>
    </w:p>
    <w:p>
      <w:pPr>
        <w:pStyle w:val="null3"/>
        <w:ind w:firstLine="540"/>
        <w:jc w:val="both"/>
      </w:pPr>
      <w:r>
        <w:rPr>
          <w:sz w:val="21"/>
        </w:rPr>
        <w:t>8.1 如乙方对赔偿金额有异议，甲方有权根据有关政府部门的检验结果向乙方提出索赔。</w:t>
      </w:r>
    </w:p>
    <w:p>
      <w:pPr>
        <w:pStyle w:val="null3"/>
        <w:ind w:firstLine="540"/>
        <w:jc w:val="both"/>
      </w:pPr>
      <w:r>
        <w:rPr>
          <w:sz w:val="21"/>
        </w:rPr>
        <w:t>8.2 在合同执行期间，如果乙方对甲方提出的索赔和差异负有责任，乙方应按照甲方同意的下列一种或多种方式解决索赔事宜：</w:t>
      </w:r>
    </w:p>
    <w:p>
      <w:pPr>
        <w:pStyle w:val="null3"/>
        <w:ind w:firstLine="472"/>
        <w:jc w:val="both"/>
      </w:pPr>
      <w:r>
        <w:rPr>
          <w:sz w:val="21"/>
        </w:rPr>
        <w:t>（1）乙方同意退货，并按合同规定的同种货币将货款退还给甲方，并承担由此发生的一切损失和费用。</w:t>
      </w:r>
    </w:p>
    <w:p>
      <w:pPr>
        <w:pStyle w:val="null3"/>
        <w:ind w:firstLine="472"/>
        <w:jc w:val="both"/>
      </w:pPr>
      <w:r>
        <w:rPr>
          <w:sz w:val="21"/>
        </w:rPr>
        <w:t>（2）根据货物低劣程度、损坏程度以及甲方所遭受损失的数额甲乙双方商定降低货物的价格。</w:t>
      </w:r>
    </w:p>
    <w:p>
      <w:pPr>
        <w:pStyle w:val="null3"/>
        <w:ind w:firstLine="472"/>
        <w:jc w:val="both"/>
      </w:pPr>
      <w:r>
        <w:rPr>
          <w:sz w:val="21"/>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1"/>
        </w:rPr>
        <w:t>8.3如果在甲方发出索赔通知后30天内，乙方未作答复，上述索赔应视为已被乙方接受。甲方将从合同款项中扣回索赔金额。如果这些金额不足以补偿索赔金额，甲方有权向乙方提出不足部分的补偿。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b/>
        </w:rPr>
        <w:t>9 违约与处罚</w:t>
      </w:r>
    </w:p>
    <w:p>
      <w:pPr>
        <w:pStyle w:val="null3"/>
        <w:ind w:firstLine="540"/>
        <w:jc w:val="both"/>
      </w:pPr>
      <w:r>
        <w:rPr>
          <w:sz w:val="21"/>
        </w:rPr>
        <w:t>9.1 甲方应依合同规定时间内，向乙方支付货款，每拖延 1 天乙方可向甲方加收逾期未付款额的</w:t>
      </w:r>
      <w:r>
        <w:rPr>
          <w:sz w:val="21"/>
        </w:rPr>
        <w:t>万分之五</w:t>
      </w:r>
      <w:r>
        <w:rPr>
          <w:sz w:val="21"/>
        </w:rPr>
        <w:t>的违约金，违约金总额不得超过应付未付款项的 3% 。</w:t>
      </w:r>
    </w:p>
    <w:p>
      <w:pPr>
        <w:pStyle w:val="null3"/>
        <w:ind w:firstLine="540"/>
        <w:jc w:val="both"/>
      </w:pPr>
      <w:r>
        <w:rPr>
          <w:sz w:val="21"/>
        </w:rPr>
        <w:t>9.2 乙方未能按时交货的，每拖延 1 天，须向甲方支付合同金额的 3‰作为违约金，拖延 15 天以上的，甲方有权单方解除合同，乙方除返还甲方已支付的相应费用外，还应向甲方支付合同金额 20% 作为违约金，造成甲方其它损失的，乙方还应承担相应赔偿责任。</w:t>
      </w:r>
    </w:p>
    <w:p>
      <w:pPr>
        <w:pStyle w:val="null3"/>
        <w:ind w:firstLine="540"/>
        <w:jc w:val="both"/>
      </w:pPr>
      <w:r>
        <w:rPr>
          <w:sz w:val="21"/>
        </w:rPr>
        <w:t>9.3 乙方交付的货物不符合合同规定的，甲方有权拒收，乙方向甲方支付合同金额的 5%的违约金。且甲方有权要求乙方再次提交符合合同规定的货物，乙方再次提交仍不符合规定，甲方有权单方解除合约，乙方除返还甲方已支付的相应费用外，还应向甲方支付合同金额的 20% 作为违约金，造成甲方其它损失的，乙方还应承担相应赔偿责任。</w:t>
      </w:r>
    </w:p>
    <w:p>
      <w:pPr>
        <w:pStyle w:val="null3"/>
        <w:ind w:firstLine="540"/>
        <w:jc w:val="both"/>
      </w:pPr>
      <w:r>
        <w:rPr>
          <w:sz w:val="21"/>
        </w:rPr>
        <w:t>9.4 乙方不能交付货物履行合同的，甲方有权解除合同，乙方应返还甲方已支付的相应费用，还应向甲方支付合同金额 20% 的违约金，造成甲方其它损失的，乙方应承担相应的赔偿责任。</w:t>
      </w:r>
    </w:p>
    <w:p>
      <w:pPr>
        <w:pStyle w:val="null3"/>
        <w:ind w:firstLine="540"/>
        <w:jc w:val="both"/>
      </w:pPr>
      <w:r>
        <w:rPr>
          <w:sz w:val="21"/>
        </w:rPr>
        <w:t>9.5 由于乙方设备原因导致不能办理证照的，乙方应主动积极整改。如在规定时限内未能完成整改达到办证条件的，乙方应支付甲方合同金额5%的违约金，待整改达到办证条件时予以退还。在甲方宽限时限内未能完成整改达到办证条件的，甲方有权解除合同。</w:t>
      </w:r>
    </w:p>
    <w:p>
      <w:pPr>
        <w:pStyle w:val="null3"/>
        <w:ind w:firstLine="540"/>
        <w:jc w:val="both"/>
      </w:pPr>
      <w:r>
        <w:rPr>
          <w:sz w:val="21"/>
        </w:rPr>
        <w:t>9.6 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1"/>
        </w:rPr>
        <w:t>9.7</w:t>
      </w:r>
      <w:r>
        <w:rPr>
          <w:sz w:val="21"/>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1"/>
        </w:rPr>
        <w:t>9.8 对于乙方违反本合同约定的权利义务造成甲方损失，且拒不按</w:t>
      </w:r>
      <w:r>
        <w:rPr>
          <w:sz w:val="21"/>
        </w:rPr>
        <w:t>招标文件</w:t>
      </w:r>
      <w:r>
        <w:rPr>
          <w:sz w:val="21"/>
        </w:rPr>
        <w:t>及本合同约定积极承担赔偿责任的，甲方将按照相关规定上报主管部门，将乙方行为纳入甲方相关医院失信名单。同时保留法律诉讼的权利。</w:t>
      </w:r>
    </w:p>
    <w:p>
      <w:pPr>
        <w:pStyle w:val="null3"/>
        <w:ind w:firstLine="540"/>
        <w:jc w:val="both"/>
      </w:pPr>
      <w:r>
        <w:rPr>
          <w:sz w:val="21"/>
          <w:b/>
        </w:rPr>
        <w:t>10 廉洁条款</w:t>
      </w:r>
    </w:p>
    <w:p>
      <w:pPr>
        <w:pStyle w:val="null3"/>
        <w:ind w:firstLine="540"/>
        <w:jc w:val="both"/>
      </w:pPr>
      <w:r>
        <w:rPr>
          <w:sz w:val="21"/>
        </w:rPr>
        <w:t>10.1甲方严禁接受乙方以任何名义、形式给予的返利，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1"/>
        </w:rPr>
        <w:t>10.2严禁甲方工作人员利用任何途径和方式，为乙方统计医师个人及临床科室有关医药产品用量信息，或为乙方统计提供便利。</w:t>
      </w:r>
    </w:p>
    <w:p>
      <w:pPr>
        <w:pStyle w:val="null3"/>
        <w:ind w:firstLine="540"/>
        <w:jc w:val="both"/>
      </w:pPr>
      <w:r>
        <w:rPr>
          <w:sz w:val="21"/>
        </w:rPr>
        <w:t>10.3乙方不得以返利、宴请等方式影响甲方工作人员采购或使用医药产品的选择权，不得在学术活动中提供旅游、超标准支付食宿费用。</w:t>
      </w:r>
    </w:p>
    <w:p>
      <w:pPr>
        <w:pStyle w:val="null3"/>
        <w:ind w:firstLine="540"/>
        <w:jc w:val="both"/>
      </w:pPr>
      <w:r>
        <w:rPr>
          <w:sz w:val="21"/>
        </w:rPr>
        <w:t>10.4乙方及其销售人员必须在工作时间到甲方指定地点联系商谈，不得到住院部、门诊部、医技科室等推销医药产品，不得借故到甲方相关领导、部门负责人及相关工作人员家中访谈并提供任何好处费。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1"/>
        </w:rPr>
        <w:t>10.5乙方属经销单位的，有义务向相关生产厂家告之本合同廉洁条款的内容，并提醒生产厂家不得以任何不正当手段向甲方工作人员推销产品，以及给予甲方工作人员“红包”、返利、提成、物品和其他形式等不正当利益。</w:t>
      </w:r>
    </w:p>
    <w:p>
      <w:pPr>
        <w:pStyle w:val="null3"/>
        <w:ind w:firstLine="540"/>
        <w:jc w:val="both"/>
      </w:pPr>
      <w:r>
        <w:rPr>
          <w:sz w:val="21"/>
        </w:rPr>
        <w:t>10.6乙方如违反廉洁条款，一经发现，甲方有权终止本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540"/>
        <w:jc w:val="both"/>
      </w:pPr>
      <w:r>
        <w:rPr>
          <w:sz w:val="21"/>
          <w:b/>
        </w:rPr>
        <w:t>11 不可抗力</w:t>
      </w:r>
    </w:p>
    <w:p>
      <w:pPr>
        <w:pStyle w:val="null3"/>
        <w:ind w:firstLine="540"/>
        <w:jc w:val="both"/>
      </w:pPr>
      <w:r>
        <w:rPr>
          <w:sz w:val="21"/>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1"/>
          <w:b/>
        </w:rPr>
        <w:t>12 合同终止</w:t>
      </w:r>
    </w:p>
    <w:p>
      <w:pPr>
        <w:pStyle w:val="null3"/>
        <w:ind w:firstLine="540"/>
        <w:jc w:val="both"/>
      </w:pPr>
      <w:r>
        <w:rPr>
          <w:sz w:val="21"/>
        </w:rPr>
        <w:t>如果一方严重违反合同，并在收到对方违约通知书后在30天内仍未能改正违约的另一方可立即终止本合同。</w:t>
      </w:r>
    </w:p>
    <w:p>
      <w:pPr>
        <w:pStyle w:val="null3"/>
        <w:ind w:firstLine="540"/>
        <w:jc w:val="both"/>
      </w:pPr>
      <w:r>
        <w:rPr>
          <w:sz w:val="21"/>
          <w:b/>
        </w:rPr>
        <w:t>13 法律诉讼</w:t>
      </w:r>
    </w:p>
    <w:p>
      <w:pPr>
        <w:pStyle w:val="null3"/>
        <w:ind w:firstLine="54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1"/>
          <w:b/>
        </w:rPr>
        <w:t>14 其他</w:t>
      </w:r>
    </w:p>
    <w:p>
      <w:pPr>
        <w:pStyle w:val="null3"/>
        <w:ind w:firstLine="540"/>
        <w:jc w:val="both"/>
      </w:pPr>
      <w:r>
        <w:rPr>
          <w:sz w:val="21"/>
        </w:rPr>
        <w:t>14.1 本合同正本</w:t>
      </w:r>
      <w:r>
        <w:rPr>
          <w:sz w:val="21"/>
          <w:u w:val="single"/>
        </w:rPr>
        <w:t>6</w:t>
      </w:r>
      <w:r>
        <w:rPr>
          <w:sz w:val="21"/>
        </w:rPr>
        <w:t>份，具有同等法律效力，甲方执</w:t>
      </w:r>
      <w:r>
        <w:rPr>
          <w:sz w:val="21"/>
          <w:u w:val="single"/>
        </w:rPr>
        <w:t>5</w:t>
      </w:r>
      <w:r>
        <w:rPr>
          <w:sz w:val="21"/>
        </w:rPr>
        <w:t>份、乙方执</w:t>
      </w:r>
      <w:r>
        <w:rPr>
          <w:sz w:val="21"/>
          <w:u w:val="single"/>
        </w:rPr>
        <w:t>1</w:t>
      </w:r>
      <w:r>
        <w:rPr>
          <w:sz w:val="21"/>
        </w:rPr>
        <w:t>份。合同自签字盖章之日起生效。</w:t>
      </w:r>
    </w:p>
    <w:p>
      <w:pPr>
        <w:pStyle w:val="null3"/>
        <w:ind w:firstLine="540"/>
        <w:jc w:val="both"/>
      </w:pPr>
      <w:r>
        <w:rPr>
          <w:sz w:val="21"/>
        </w:rPr>
        <w:t>14.2 本合同未尽事宜，由双方协商处理。</w:t>
      </w:r>
    </w:p>
    <w:p>
      <w:pPr>
        <w:pStyle w:val="null3"/>
        <w:ind w:firstLine="540"/>
        <w:jc w:val="both"/>
      </w:pPr>
      <w:r>
        <w:rPr>
          <w:sz w:val="21"/>
          <w:b/>
        </w:rPr>
        <w:t>甲方：</w:t>
      </w:r>
      <w:r>
        <w:rPr>
          <w:sz w:val="21"/>
          <w:b/>
        </w:rPr>
        <w:t>广州市白云区人民医院</w:t>
      </w:r>
      <w:r>
        <w:rPr>
          <w:sz w:val="21"/>
          <w:b/>
        </w:rPr>
        <w:t xml:space="preserve">    </w:t>
      </w:r>
      <w:r>
        <w:rPr>
          <w:sz w:val="21"/>
          <w:b/>
        </w:rPr>
        <w:t xml:space="preserve">       </w:t>
      </w:r>
      <w:r>
        <w:rPr>
          <w:sz w:val="21"/>
          <w:b/>
        </w:rPr>
        <w:t xml:space="preserve">    </w:t>
      </w:r>
      <w:r>
        <w:rPr>
          <w:sz w:val="21"/>
          <w:b/>
        </w:rPr>
        <w:t xml:space="preserve"> </w:t>
      </w:r>
      <w:r>
        <w:rPr>
          <w:sz w:val="21"/>
          <w:b/>
        </w:rPr>
        <w:t>乙方：</w:t>
      </w:r>
    </w:p>
    <w:p>
      <w:pPr>
        <w:pStyle w:val="null3"/>
        <w:jc w:val="both"/>
      </w:pPr>
      <w:r>
        <w:rPr>
          <w:sz w:val="21"/>
          <w:b/>
        </w:rPr>
        <w:t>法定</w:t>
      </w:r>
      <w:r>
        <w:rPr>
          <w:sz w:val="21"/>
          <w:b/>
        </w:rPr>
        <w:t>(或授权)代表:</w:t>
      </w:r>
      <w:r>
        <w:rPr>
          <w:sz w:val="21"/>
          <w:b/>
        </w:rPr>
        <w:t xml:space="preserve">   </w:t>
      </w:r>
      <w:r>
        <w:rPr>
          <w:sz w:val="21"/>
          <w:b/>
        </w:rPr>
        <w:t xml:space="preserve">                  </w:t>
      </w:r>
      <w:r>
        <w:rPr>
          <w:sz w:val="21"/>
          <w:b/>
        </w:rPr>
        <w:t xml:space="preserve">       </w:t>
      </w:r>
      <w:r>
        <w:rPr>
          <w:sz w:val="21"/>
          <w:b/>
        </w:rPr>
        <w:t>法定</w:t>
      </w:r>
      <w:r>
        <w:rPr>
          <w:sz w:val="21"/>
          <w:b/>
        </w:rPr>
        <w:t>(或授权)代表:</w:t>
      </w:r>
    </w:p>
    <w:p>
      <w:pPr>
        <w:pStyle w:val="null3"/>
        <w:jc w:val="both"/>
      </w:pPr>
      <w:r>
        <w:rPr>
          <w:sz w:val="21"/>
          <w:b/>
        </w:rPr>
        <w:t>地址：</w:t>
      </w:r>
      <w:r>
        <w:rPr>
          <w:sz w:val="21"/>
          <w:b/>
        </w:rPr>
        <w:t>广州市白云区黄石街元下底路</w:t>
      </w:r>
      <w:r>
        <w:rPr>
          <w:sz w:val="21"/>
          <w:b/>
        </w:rPr>
        <w:t>23号</w:t>
      </w:r>
      <w:r>
        <w:rPr>
          <w:sz w:val="21"/>
          <w:b/>
        </w:rPr>
        <w:t xml:space="preserve"> </w:t>
      </w:r>
      <w:r>
        <w:rPr>
          <w:sz w:val="21"/>
          <w:b/>
        </w:rPr>
        <w:t xml:space="preserve">      </w:t>
      </w:r>
      <w:r>
        <w:rPr>
          <w:sz w:val="21"/>
          <w:b/>
        </w:rPr>
        <w:t>地址：</w:t>
      </w:r>
    </w:p>
    <w:p>
      <w:pPr>
        <w:pStyle w:val="null3"/>
        <w:jc w:val="both"/>
      </w:pPr>
      <w:r>
        <w:rPr>
          <w:sz w:val="21"/>
          <w:b/>
        </w:rPr>
        <w:t>电话：</w:t>
      </w:r>
      <w:r>
        <w:rPr>
          <w:sz w:val="21"/>
          <w:b/>
        </w:rPr>
        <w:t>020-66230618</w:t>
      </w:r>
      <w:r>
        <w:rPr>
          <w:sz w:val="21"/>
          <w:b/>
        </w:rPr>
        <w:t xml:space="preserve">                 </w:t>
      </w:r>
      <w:r>
        <w:rPr>
          <w:sz w:val="21"/>
          <w:b/>
        </w:rPr>
        <w:t xml:space="preserve">        </w:t>
      </w:r>
      <w:r>
        <w:rPr>
          <w:sz w:val="21"/>
          <w:b/>
        </w:rPr>
        <w:t>电话：</w:t>
      </w:r>
    </w:p>
    <w:p>
      <w:pPr>
        <w:pStyle w:val="null3"/>
        <w:jc w:val="both"/>
      </w:pP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 xml:space="preserve">      </w:t>
      </w:r>
      <w:r>
        <w:rPr>
          <w:sz w:val="21"/>
          <w:b/>
        </w:rPr>
        <w:t xml:space="preserve">  </w:t>
      </w: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纳税人识别号：</w:t>
      </w:r>
      <w:r>
        <w:rPr>
          <w:sz w:val="21"/>
          <w:b/>
        </w:rPr>
        <w:t xml:space="preserve">12440111455384848T    </w:t>
      </w:r>
      <w:r>
        <w:rPr>
          <w:sz w:val="21"/>
          <w:b/>
        </w:rPr>
        <w:t xml:space="preserve">      </w:t>
      </w:r>
      <w:r>
        <w:rPr>
          <w:sz w:val="21"/>
          <w:b/>
        </w:rPr>
        <w:t xml:space="preserve">  </w:t>
      </w:r>
      <w:r>
        <w:rPr>
          <w:sz w:val="21"/>
          <w:b/>
        </w:rPr>
        <w:t>纳税人识别号：</w:t>
      </w:r>
    </w:p>
    <w:p>
      <w:pPr>
        <w:pStyle w:val="null3"/>
        <w:jc w:val="both"/>
      </w:pPr>
      <w:r>
        <w:rPr>
          <w:sz w:val="21"/>
          <w:b/>
        </w:rPr>
        <w:t>开户行：中国银行广州嘉禾支行</w:t>
      </w:r>
      <w:r>
        <w:rPr>
          <w:sz w:val="21"/>
          <w:b/>
        </w:rPr>
        <w:t xml:space="preserve">       </w:t>
      </w:r>
      <w:r>
        <w:rPr>
          <w:sz w:val="21"/>
          <w:b/>
        </w:rPr>
        <w:t xml:space="preserve">       </w:t>
      </w:r>
      <w:r>
        <w:rPr>
          <w:sz w:val="21"/>
          <w:b/>
        </w:rPr>
        <w:t xml:space="preserve">  </w:t>
      </w:r>
      <w:r>
        <w:rPr>
          <w:sz w:val="21"/>
          <w:b/>
        </w:rPr>
        <w:t>开户行：</w:t>
      </w:r>
    </w:p>
    <w:p>
      <w:pPr>
        <w:pStyle w:val="null3"/>
        <w:jc w:val="both"/>
      </w:pPr>
      <w:r>
        <w:rPr>
          <w:sz w:val="21"/>
          <w:b/>
        </w:rPr>
        <w:t>账号：</w:t>
      </w:r>
      <w:r>
        <w:rPr>
          <w:sz w:val="21"/>
          <w:b/>
        </w:rPr>
        <w:t xml:space="preserve"> </w:t>
      </w:r>
      <w:r>
        <w:rPr>
          <w:sz w:val="21"/>
          <w:b/>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账号：</w:t>
      </w:r>
    </w:p>
    <w:p>
      <w:pPr>
        <w:pStyle w:val="null3"/>
        <w:jc w:val="both"/>
      </w:pPr>
      <w:r>
        <w:rPr>
          <w:sz w:val="21"/>
          <w:b/>
        </w:rPr>
        <w:t>经办人：</w:t>
      </w:r>
      <w:r>
        <w:rPr>
          <w:sz w:val="21"/>
          <w:b/>
        </w:rPr>
        <w:t xml:space="preserve">                         </w:t>
      </w:r>
    </w:p>
    <w:p>
      <w:pPr>
        <w:pStyle w:val="null3"/>
      </w:pPr>
      <w:r>
        <w:rPr>
          <w:sz w:val="21"/>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440111-2026-02008</w:t>
      </w:r>
    </w:p>
    <w:p>
      <w:pPr>
        <w:pStyle w:val="null3"/>
        <w:jc w:val="center"/>
        <w:outlineLvl w:val="3"/>
      </w:pPr>
      <w:r>
        <w:rPr>
          <w:sz w:val="24"/>
          <w:b/>
        </w:rPr>
        <w:t>采购项目编号：</w:t>
      </w:r>
      <w:r>
        <w:rPr>
          <w:sz w:val="24"/>
          <w:b/>
        </w:rPr>
        <w:t>0724-2611Z1612427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广州市白云区人民医院二期医疗设备购置项目（一）</w:t>
      </w:r>
      <w:r>
        <w:rPr>
          <w:u w:val="single"/>
        </w:rPr>
        <w:t>”</w:t>
      </w:r>
      <w:r>
        <w:rPr/>
        <w:t>项目的招标[采购项目编号为：</w:t>
      </w:r>
      <w:r>
        <w:rPr>
          <w:u w:val="single"/>
        </w:rPr>
        <w:t>0724-2611Z1612427</w:t>
      </w:r>
      <w:r>
        <w:rPr/>
        <w:t>]，我方愿参与投标。</w:t>
      </w:r>
    </w:p>
    <w:p>
      <w:pPr>
        <w:pStyle w:val="null3"/>
        <w:ind w:firstLine="480"/>
      </w:pPr>
      <w:r>
        <w:rPr/>
        <w:t>我方确认收到贵方提供的</w:t>
      </w:r>
      <w:r>
        <w:rPr>
          <w:u w:val="single"/>
        </w:rPr>
        <w:t>“</w:t>
      </w:r>
      <w:r>
        <w:rPr>
          <w:u w:val="single"/>
        </w:rPr>
        <w:t>广州市白云区人民医院二期医疗设备购置项目（一）</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广州市白云区人民医院二期医疗设备购置项目（一）</w:t>
      </w:r>
      <w:r>
        <w:rPr/>
        <w:t>”项目采购[采购项目编号为</w:t>
      </w:r>
      <w:r>
        <w:rPr/>
        <w:t>0724-2611Z1612427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广州市白云区人民医院二期医疗设备购置项目（一）</w:t>
      </w:r>
      <w:r>
        <w:rPr/>
        <w:t>招标中获中标（采购项目编号：</w:t>
      </w:r>
      <w:r>
        <w:rPr/>
        <w:t>0724-2611Z1612427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