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adjustRightInd w:val="0"/>
        <w:snapToGrid w:val="0"/>
        <w:spacing w:line="360" w:lineRule="auto"/>
        <w:jc w:val="center"/>
        <w:rPr>
          <w:rFonts w:hint="eastAsia" w:ascii="宋体" w:hAnsi="宋体" w:eastAsia="宋体" w:cs="宋体"/>
          <w:b/>
          <w:color w:val="auto"/>
          <w:kern w:val="0"/>
          <w:sz w:val="28"/>
          <w:szCs w:val="28"/>
        </w:rPr>
      </w:pPr>
    </w:p>
    <w:p>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pPr>
        <w:tabs>
          <w:tab w:val="left" w:pos="720"/>
        </w:tabs>
        <w:spacing w:line="360" w:lineRule="auto"/>
        <w:rPr>
          <w:rFonts w:hint="eastAsia" w:ascii="宋体" w:hAnsi="宋体" w:eastAsia="宋体" w:cs="宋体"/>
          <w:b/>
          <w:color w:val="auto"/>
          <w:sz w:val="48"/>
          <w:szCs w:val="48"/>
        </w:rPr>
      </w:pPr>
    </w:p>
    <w:p>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1.2本次招标向中标人收取本项目的采购代理服务费，以</w:t>
      </w:r>
      <w:r>
        <w:rPr>
          <w:rFonts w:hint="eastAsia" w:ascii="宋体" w:hAnsi="宋体"/>
          <w:color w:val="auto"/>
          <w:szCs w:val="21"/>
          <w:lang w:eastAsia="zh-CN"/>
        </w:rPr>
        <w:t>中标通知书确定的中标</w:t>
      </w:r>
      <w:r>
        <w:rPr>
          <w:rFonts w:hint="eastAsia" w:ascii="宋体" w:hAnsi="宋体"/>
          <w:color w:val="auto"/>
          <w:szCs w:val="21"/>
        </w:rPr>
        <w:t>金额为计算基数，参照国家计委〔2002〕1980号文及国家发改委〔2011〕534号文</w:t>
      </w:r>
      <w:r>
        <w:rPr>
          <w:rFonts w:hint="eastAsia" w:ascii="宋体" w:hAnsi="宋体"/>
          <w:color w:val="auto"/>
          <w:szCs w:val="21"/>
          <w:lang w:eastAsia="zh-CN"/>
        </w:rPr>
        <w:t>服务</w:t>
      </w:r>
      <w:r>
        <w:rPr>
          <w:rFonts w:hint="eastAsia" w:ascii="宋体" w:hAnsi="宋体"/>
          <w:color w:val="auto"/>
          <w:szCs w:val="21"/>
        </w:rPr>
        <w:t>类招标代理服务收费标准差额定率累进法计算收取；</w:t>
      </w:r>
      <w:r>
        <w:rPr>
          <w:rFonts w:hint="eastAsia" w:ascii="宋体" w:hAnsi="宋体" w:cs="Courier New"/>
          <w:color w:val="auto"/>
          <w:szCs w:val="21"/>
        </w:rPr>
        <w:t>本项目类型</w:t>
      </w:r>
      <w:r>
        <w:rPr>
          <w:rFonts w:hint="eastAsia" w:ascii="宋体" w:hAnsi="宋体" w:cs="Courier New"/>
          <w:color w:val="auto"/>
          <w:szCs w:val="21"/>
          <w:highlight w:val="none"/>
        </w:rPr>
        <w:t>为</w:t>
      </w:r>
      <w:r>
        <w:rPr>
          <w:rFonts w:hint="eastAsia" w:ascii="宋体" w:hAnsi="宋体" w:cs="Courier New"/>
          <w:b/>
          <w:color w:val="auto"/>
          <w:szCs w:val="21"/>
          <w:highlight w:val="none"/>
          <w:u w:val="single"/>
          <w:lang w:eastAsia="zh-CN"/>
        </w:rPr>
        <w:t>服务</w:t>
      </w:r>
      <w:r>
        <w:rPr>
          <w:rFonts w:hint="eastAsia" w:ascii="宋体" w:hAnsi="宋体" w:cs="Courier New"/>
          <w:b/>
          <w:color w:val="auto"/>
          <w:szCs w:val="21"/>
          <w:highlight w:val="none"/>
          <w:u w:val="single"/>
        </w:rPr>
        <w:t>招标</w:t>
      </w:r>
      <w:r>
        <w:rPr>
          <w:rFonts w:hint="eastAsia" w:ascii="宋体" w:hAnsi="宋体" w:cs="Courier New"/>
          <w:color w:val="auto"/>
          <w:szCs w:val="21"/>
          <w:highlight w:val="none"/>
        </w:rPr>
        <w:t>：</w:t>
      </w:r>
    </w:p>
    <w:tbl>
      <w:tblPr>
        <w:tblStyle w:val="16"/>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hint="eastAsia" w:ascii="宋体" w:hAnsi="宋体" w:eastAsia="宋体" w:cs="宋体"/>
                <w:b/>
                <w:color w:val="auto"/>
                <w:szCs w:val="24"/>
              </w:rPr>
            </w:pPr>
            <w:r>
              <w:rPr>
                <w:rFonts w:hint="eastAsia" w:ascii="宋体" w:hAnsi="宋体" w:eastAsia="宋体" w:cs="宋体"/>
                <w:color w:val="auto"/>
              </w:rPr>
              <w:pict>
                <v:line id="Line 23" o:spid="_x0000_s1026"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pPr>
              <w:ind w:firstLine="411" w:firstLineChars="196"/>
              <w:rPr>
                <w:rFonts w:hint="eastAsia" w:ascii="宋体" w:hAnsi="宋体" w:eastAsia="宋体" w:cs="宋体"/>
                <w:b/>
                <w:color w:val="auto"/>
                <w:szCs w:val="24"/>
              </w:rPr>
            </w:pPr>
            <w:r>
              <w:rPr>
                <w:rFonts w:hint="eastAsia" w:ascii="宋体" w:hAnsi="宋体" w:eastAsia="宋体" w:cs="宋体"/>
                <w:color w:val="auto"/>
              </w:rPr>
              <w:pict>
                <v:line id="Line 22" o:spid="_x0000_s1027"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eastAsia="宋体" w:cs="宋体"/>
                <w:b/>
                <w:color w:val="auto"/>
                <w:szCs w:val="24"/>
              </w:rPr>
              <w:t>费率</w:t>
            </w:r>
          </w:p>
          <w:p>
            <w:pPr>
              <w:rPr>
                <w:rFonts w:hint="eastAsia" w:ascii="宋体" w:hAnsi="宋体" w:eastAsia="宋体" w:cs="宋体"/>
                <w:b/>
                <w:color w:val="auto"/>
                <w:szCs w:val="24"/>
              </w:rPr>
            </w:pPr>
          </w:p>
          <w:p>
            <w:pPr>
              <w:rPr>
                <w:rFonts w:hint="eastAsia" w:ascii="宋体" w:hAnsi="宋体" w:eastAsia="宋体" w:cs="宋体"/>
                <w:b/>
                <w:color w:val="auto"/>
                <w:szCs w:val="24"/>
              </w:rPr>
            </w:pPr>
          </w:p>
          <w:p>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pPr>
        <w:autoSpaceDE w:val="0"/>
        <w:autoSpaceDN w:val="0"/>
        <w:adjustRightInd w:val="0"/>
        <w:snapToGrid w:val="0"/>
        <w:ind w:left="473" w:right="32" w:hanging="472" w:hangingChars="225"/>
        <w:rPr>
          <w:rFonts w:hint="eastAsia" w:ascii="宋体" w:hAnsi="宋体" w:eastAsia="宋体" w:cs="宋体"/>
          <w:color w:val="auto"/>
          <w:szCs w:val="21"/>
        </w:rPr>
      </w:pPr>
      <w:r>
        <w:rPr>
          <w:rFonts w:hint="eastAsia" w:ascii="宋体" w:hAnsi="宋体" w:eastAsia="宋体" w:cs="宋体"/>
          <w:color w:val="auto"/>
          <w:szCs w:val="21"/>
        </w:rPr>
        <w:t>例如：某</w:t>
      </w:r>
      <w:r>
        <w:rPr>
          <w:rFonts w:hint="eastAsia" w:ascii="宋体" w:hAnsi="宋体" w:cs="宋体"/>
          <w:color w:val="auto"/>
          <w:szCs w:val="21"/>
          <w:lang w:eastAsia="zh-CN"/>
        </w:rPr>
        <w:t>服务</w:t>
      </w:r>
      <w:r>
        <w:rPr>
          <w:rFonts w:hint="eastAsia" w:ascii="宋体" w:hAnsi="宋体" w:eastAsia="宋体" w:cs="宋体"/>
          <w:color w:val="auto"/>
          <w:szCs w:val="21"/>
        </w:rPr>
        <w:t xml:space="preserve">招标代理项目中标金额为300万元，计算招标代理服务收费额如下：  </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100万元×1.5%=1.5万元</w:t>
      </w:r>
    </w:p>
    <w:p>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（300-100）万元×</w:t>
      </w:r>
      <w:r>
        <w:rPr>
          <w:rFonts w:hint="eastAsia" w:ascii="宋体" w:hAnsi="宋体" w:cs="宋体"/>
          <w:color w:val="auto"/>
          <w:szCs w:val="21"/>
          <w:lang w:val="en-US" w:eastAsia="zh-CN"/>
        </w:rPr>
        <w:t>0.8</w:t>
      </w:r>
      <w:r>
        <w:rPr>
          <w:rFonts w:hint="eastAsia" w:ascii="宋体" w:hAnsi="宋体" w:eastAsia="宋体" w:cs="宋体"/>
          <w:color w:val="auto"/>
          <w:szCs w:val="21"/>
        </w:rPr>
        <w:t>%=</w:t>
      </w:r>
      <w:r>
        <w:rPr>
          <w:rFonts w:hint="eastAsia" w:ascii="宋体" w:hAnsi="宋体" w:cs="宋体"/>
          <w:color w:val="auto"/>
          <w:szCs w:val="21"/>
          <w:lang w:val="en-US" w:eastAsia="zh-CN"/>
        </w:rPr>
        <w:t>1.6</w:t>
      </w:r>
      <w:r>
        <w:rPr>
          <w:rFonts w:hint="eastAsia" w:ascii="宋体" w:hAnsi="宋体" w:eastAsia="宋体" w:cs="宋体"/>
          <w:color w:val="auto"/>
          <w:szCs w:val="21"/>
        </w:rPr>
        <w:t>万元</w:t>
      </w:r>
    </w:p>
    <w:p>
      <w:pPr>
        <w:adjustRightInd w:val="0"/>
        <w:snapToGrid w:val="0"/>
        <w:ind w:firstLine="359"/>
        <w:rPr>
          <w:rFonts w:hint="eastAsia" w:ascii="宋体" w:hAnsi="宋体" w:eastAsia="宋体" w:cs="宋体"/>
          <w:b/>
          <w:color w:val="auto"/>
          <w:szCs w:val="21"/>
        </w:rPr>
      </w:pPr>
      <w:r>
        <w:rPr>
          <w:rFonts w:hint="eastAsia" w:ascii="宋体" w:hAnsi="宋体" w:eastAsia="宋体" w:cs="宋体"/>
          <w:color w:val="auto"/>
          <w:szCs w:val="24"/>
        </w:rPr>
        <w:t>合计收费=1.5+</w:t>
      </w:r>
      <w:r>
        <w:rPr>
          <w:rFonts w:hint="eastAsia" w:ascii="宋体" w:hAnsi="宋体" w:cs="宋体"/>
          <w:color w:val="auto"/>
          <w:szCs w:val="24"/>
          <w:lang w:val="en-US" w:eastAsia="zh-CN"/>
        </w:rPr>
        <w:t>1.6</w:t>
      </w:r>
      <w:r>
        <w:rPr>
          <w:rFonts w:hint="eastAsia" w:ascii="宋体" w:hAnsi="宋体" w:eastAsia="宋体" w:cs="宋体"/>
          <w:color w:val="auto"/>
          <w:szCs w:val="24"/>
        </w:rPr>
        <w:t>=</w:t>
      </w:r>
      <w:r>
        <w:rPr>
          <w:rFonts w:hint="eastAsia" w:ascii="宋体" w:hAnsi="宋体" w:cs="宋体"/>
          <w:color w:val="auto"/>
          <w:szCs w:val="24"/>
          <w:lang w:val="en-US" w:eastAsia="zh-CN"/>
        </w:rPr>
        <w:t>3.1</w:t>
      </w:r>
      <w:r>
        <w:rPr>
          <w:rFonts w:hint="eastAsia" w:ascii="宋体" w:hAnsi="宋体" w:eastAsia="宋体" w:cs="宋体"/>
          <w:color w:val="auto"/>
          <w:szCs w:val="24"/>
        </w:rPr>
        <w:t>（万元）</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bookmarkStart w:id="3" w:name="_GoBack"/>
      <w:bookmarkEnd w:id="3"/>
    </w:p>
    <w:p>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pPr>
        <w:adjustRightInd w:val="0"/>
        <w:snapToGrid w:val="0"/>
        <w:ind w:left="470" w:leftChars="171" w:hanging="111" w:hangingChars="53"/>
        <w:rPr>
          <w:rFonts w:hint="eastAsia" w:ascii="宋体" w:hAnsi="宋体" w:eastAsia="宋体" w:cs="宋体"/>
          <w:color w:val="auto"/>
          <w:szCs w:val="21"/>
        </w:rPr>
      </w:pPr>
    </w:p>
    <w:p>
      <w:pPr>
        <w:spacing w:line="360" w:lineRule="auto"/>
        <w:rPr>
          <w:rFonts w:hint="eastAsia" w:ascii="宋体" w:hAnsi="宋体" w:eastAsia="宋体" w:cs="宋体"/>
          <w:b/>
          <w:bCs/>
          <w:color w:val="auto"/>
          <w:sz w:val="24"/>
          <w:szCs w:val="24"/>
        </w:rPr>
      </w:pPr>
    </w:p>
    <w:p>
      <w:pPr>
        <w:rPr>
          <w:rFonts w:hint="eastAsia" w:ascii="宋体" w:hAnsi="宋体" w:eastAsia="宋体" w:cs="宋体"/>
          <w:color w:val="auto"/>
        </w:rPr>
      </w:pPr>
      <w:r>
        <w:rPr>
          <w:rFonts w:hint="eastAsia" w:ascii="宋体" w:hAnsi="宋体" w:eastAsia="宋体" w:cs="宋体"/>
          <w:color w:val="auto"/>
          <w:sz w:val="28"/>
          <w:szCs w:val="28"/>
        </w:rPr>
        <w:br w:type="page"/>
      </w:r>
    </w:p>
    <w:p>
      <w:pPr>
        <w:pStyle w:val="2"/>
        <w:rPr>
          <w:rFonts w:hint="eastAsia" w:ascii="宋体" w:hAnsi="宋体" w:eastAsia="宋体" w:cs="宋体"/>
          <w:color w:val="auto"/>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4"/>
          <w:szCs w:val="24"/>
        </w:rPr>
      </w:pPr>
    </w:p>
    <w:p>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pPr>
        <w:spacing w:line="300" w:lineRule="auto"/>
        <w:rPr>
          <w:rFonts w:hint="eastAsia" w:ascii="宋体" w:hAnsi="宋体" w:eastAsia="宋体" w:cs="宋体"/>
          <w:b/>
          <w:color w:val="auto"/>
          <w:sz w:val="24"/>
          <w:szCs w:val="24"/>
        </w:rPr>
      </w:pPr>
    </w:p>
    <w:p>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275865606"/>
      <w:bookmarkStart w:id="1" w:name="_Toc435514855"/>
      <w:bookmarkStart w:id="2" w:name="_Toc435515295"/>
      <w:r>
        <w:rPr>
          <w:rFonts w:hint="eastAsia" w:ascii="宋体" w:hAnsi="宋体" w:eastAsia="宋体" w:cs="宋体"/>
          <w:b/>
          <w:color w:val="auto"/>
          <w:sz w:val="28"/>
          <w:szCs w:val="28"/>
        </w:rPr>
        <w:t>资格文件</w:t>
      </w:r>
    </w:p>
    <w:p>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pPr>
        <w:adjustRightInd w:val="0"/>
        <w:snapToGrid w:val="0"/>
        <w:spacing w:line="360" w:lineRule="auto"/>
        <w:rPr>
          <w:rFonts w:hint="eastAsia" w:ascii="宋体" w:hAnsi="宋体" w:eastAsia="宋体" w:cs="宋体"/>
          <w:b/>
          <w:szCs w:val="21"/>
        </w:rPr>
      </w:pPr>
    </w:p>
    <w:p>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highlight w:val="none"/>
        </w:rPr>
      </w:pPr>
      <w:r>
        <w:rPr>
          <w:rFonts w:hint="eastAsia" w:ascii="宋体" w:hAnsi="宋体" w:eastAsia="宋体" w:cs="宋体"/>
          <w:b/>
          <w:highlight w:val="none"/>
        </w:rPr>
        <w:t>附件：</w:t>
      </w:r>
    </w:p>
    <w:p>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pPr>
        <w:adjustRightInd w:val="0"/>
        <w:snapToGrid w:val="0"/>
        <w:rPr>
          <w:rFonts w:hint="eastAsia" w:ascii="宋体" w:hAnsi="宋体" w:eastAsia="宋体" w:cs="宋体"/>
          <w:szCs w:val="21"/>
        </w:rPr>
      </w:pPr>
    </w:p>
    <w:p>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pPr>
        <w:jc w:val="left"/>
        <w:rPr>
          <w:rFonts w:hint="eastAsia" w:ascii="宋体" w:hAnsi="宋体" w:eastAsia="宋体" w:cs="宋体"/>
          <w:b/>
          <w:sz w:val="24"/>
          <w:highlight w:val="none"/>
        </w:rPr>
      </w:pPr>
    </w:p>
    <w:tbl>
      <w:tblPr>
        <w:tblStyle w:val="16"/>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Cs w:val="21"/>
                <w:highlight w:val="none"/>
              </w:rPr>
            </w:pPr>
          </w:p>
        </w:tc>
      </w:tr>
    </w:tbl>
    <w:p>
      <w:pPr>
        <w:jc w:val="left"/>
        <w:rPr>
          <w:rFonts w:hint="eastAsia" w:ascii="宋体" w:hAnsi="宋体" w:eastAsia="宋体" w:cs="宋体"/>
          <w:szCs w:val="21"/>
          <w:highlight w:val="none"/>
        </w:rPr>
      </w:pPr>
    </w:p>
    <w:p>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9"/>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pPr>
        <w:ind w:left="405"/>
        <w:rPr>
          <w:rFonts w:hint="eastAsia" w:ascii="宋体" w:hAnsi="宋体" w:eastAsia="宋体" w:cs="宋体"/>
          <w:sz w:val="24"/>
          <w:highlight w:val="none"/>
        </w:rPr>
      </w:pPr>
    </w:p>
    <w:p>
      <w:pPr>
        <w:adjustRightInd w:val="0"/>
        <w:snapToGrid w:val="0"/>
        <w:spacing w:line="360" w:lineRule="auto"/>
        <w:ind w:firstLine="420" w:firstLineChars="200"/>
        <w:rPr>
          <w:rFonts w:hint="eastAsia" w:ascii="宋体" w:hAnsi="宋体" w:eastAsia="宋体" w:cs="宋体"/>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pPr>
        <w:ind w:left="405"/>
        <w:rPr>
          <w:rFonts w:hint="eastAsia" w:ascii="宋体" w:hAnsi="宋体" w:eastAsia="宋体" w:cs="宋体"/>
          <w:b/>
          <w:szCs w:val="21"/>
          <w:highlight w:val="none"/>
        </w:rPr>
      </w:pPr>
    </w:p>
    <w:p>
      <w:pPr>
        <w:ind w:left="405"/>
        <w:rPr>
          <w:rFonts w:hint="eastAsia" w:ascii="宋体" w:hAnsi="宋体" w:eastAsia="宋体" w:cs="宋体"/>
          <w:b/>
          <w:szCs w:val="21"/>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pPr>
        <w:rPr>
          <w:rFonts w:hint="eastAsia" w:ascii="宋体" w:hAnsi="宋体" w:eastAsia="宋体" w:cs="宋体"/>
          <w:b/>
          <w:szCs w:val="21"/>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p>
    <w:p>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pPr>
        <w:rPr>
          <w:rFonts w:hint="eastAsia" w:ascii="宋体" w:hAnsi="宋体" w:eastAsia="宋体" w:cs="宋体"/>
          <w:b/>
          <w:sz w:val="24"/>
          <w:highlight w:val="none"/>
        </w:rPr>
      </w:pPr>
    </w:p>
    <w:p>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sz w:val="24"/>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rPr>
      </w:pP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pPr>
        <w:rPr>
          <w:rFonts w:hint="eastAsia" w:ascii="宋体" w:hAnsi="宋体" w:eastAsia="宋体" w:cs="宋体"/>
          <w:color w:val="auto"/>
          <w:szCs w:val="21"/>
        </w:rPr>
      </w:pPr>
      <w:r>
        <w:rPr>
          <w:rFonts w:hint="eastAsia" w:ascii="宋体" w:hAnsi="宋体" w:eastAsia="宋体" w:cs="宋体"/>
          <w:color w:val="auto"/>
          <w:szCs w:val="21"/>
        </w:rPr>
        <w:t>特此声明。</w:t>
      </w: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p>
    <w:p>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pPr>
        <w:pStyle w:val="2"/>
        <w:rPr>
          <w:rFonts w:hint="eastAsia" w:ascii="宋体" w:hAnsi="宋体" w:eastAsia="宋体" w:cs="宋体"/>
        </w:rPr>
      </w:pPr>
    </w:p>
    <w:p>
      <w:pPr>
        <w:pStyle w:val="2"/>
        <w:rPr>
          <w:rFonts w:hint="eastAsia" w:ascii="宋体" w:hAnsi="宋体" w:eastAsia="宋体" w:cs="宋体"/>
          <w:color w:val="auto"/>
          <w:szCs w:val="24"/>
          <w:lang w:val="en-US" w:eastAsia="zh-CN"/>
        </w:rPr>
      </w:pPr>
    </w:p>
    <w:p>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8</w:t>
    </w:r>
    <w:r>
      <w:fldChar w:fldCharType="end"/>
    </w:r>
  </w:p>
  <w:p>
    <w:pPr>
      <w:pStyle w:val="12"/>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UxZmJiY2RlMzMxNDdlZTIzMzVmNDYzYmNlNTYwODk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5705B44"/>
    <w:rsid w:val="08FA7A69"/>
    <w:rsid w:val="0A7B22E1"/>
    <w:rsid w:val="11C47369"/>
    <w:rsid w:val="16B8213B"/>
    <w:rsid w:val="17ED22FD"/>
    <w:rsid w:val="18A15A26"/>
    <w:rsid w:val="19F33AD8"/>
    <w:rsid w:val="1AC475B2"/>
    <w:rsid w:val="1C0E6993"/>
    <w:rsid w:val="1DD70DD3"/>
    <w:rsid w:val="27BF734D"/>
    <w:rsid w:val="29923831"/>
    <w:rsid w:val="29C323D4"/>
    <w:rsid w:val="2EB76AE4"/>
    <w:rsid w:val="32242E67"/>
    <w:rsid w:val="365E4EAB"/>
    <w:rsid w:val="370928CA"/>
    <w:rsid w:val="3FB86E53"/>
    <w:rsid w:val="4018689C"/>
    <w:rsid w:val="444E0CFB"/>
    <w:rsid w:val="44DA23D7"/>
    <w:rsid w:val="45A87C94"/>
    <w:rsid w:val="46A62EC3"/>
    <w:rsid w:val="494B4A90"/>
    <w:rsid w:val="4B3F2700"/>
    <w:rsid w:val="4C7019A0"/>
    <w:rsid w:val="4D606F1C"/>
    <w:rsid w:val="502E3102"/>
    <w:rsid w:val="50E21F56"/>
    <w:rsid w:val="541B5BBC"/>
    <w:rsid w:val="564801AE"/>
    <w:rsid w:val="56733A28"/>
    <w:rsid w:val="597F16DC"/>
    <w:rsid w:val="5A0F5517"/>
    <w:rsid w:val="5A4C37D6"/>
    <w:rsid w:val="5AFB04CB"/>
    <w:rsid w:val="5D915639"/>
    <w:rsid w:val="5F225970"/>
    <w:rsid w:val="5FD60B04"/>
    <w:rsid w:val="612A032F"/>
    <w:rsid w:val="65F943E2"/>
    <w:rsid w:val="66A47FA9"/>
    <w:rsid w:val="66ED1014"/>
    <w:rsid w:val="672D7D7F"/>
    <w:rsid w:val="6A812D70"/>
    <w:rsid w:val="6ADF20B2"/>
    <w:rsid w:val="6B696AC6"/>
    <w:rsid w:val="6C2D0379"/>
    <w:rsid w:val="6CB32191"/>
    <w:rsid w:val="6D9C0A7A"/>
    <w:rsid w:val="6DD4629B"/>
    <w:rsid w:val="6EAA3AE4"/>
    <w:rsid w:val="6EEC5403"/>
    <w:rsid w:val="71C341AF"/>
    <w:rsid w:val="74680E0B"/>
    <w:rsid w:val="763440B9"/>
    <w:rsid w:val="770C6F4C"/>
    <w:rsid w:val="7B866B8C"/>
    <w:rsid w:val="7BBA6E7A"/>
    <w:rsid w:val="7E330723"/>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1"/>
    <w:pPr>
      <w:ind w:left="3144" w:right="3120"/>
      <w:jc w:val="center"/>
      <w:outlineLvl w:val="0"/>
    </w:pPr>
    <w:rPr>
      <w:b/>
      <w:bCs/>
      <w:sz w:val="38"/>
      <w:szCs w:val="38"/>
    </w:rPr>
  </w:style>
  <w:style w:type="paragraph" w:styleId="5">
    <w:name w:val="heading 4"/>
    <w:basedOn w:val="1"/>
    <w:next w:val="1"/>
    <w:qFormat/>
    <w:uiPriority w:val="1"/>
    <w:pPr>
      <w:spacing w:before="62"/>
      <w:ind w:left="200"/>
      <w:outlineLvl w:val="3"/>
    </w:pPr>
    <w:rPr>
      <w:b/>
      <w:bCs/>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1"/>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styleId="6">
    <w:name w:val="Normal Indent"/>
    <w:basedOn w:val="1"/>
    <w:link w:val="23"/>
    <w:qFormat/>
    <w:uiPriority w:val="0"/>
    <w:pPr>
      <w:ind w:firstLine="420"/>
    </w:pPr>
    <w:rPr>
      <w:szCs w:val="24"/>
    </w:rPr>
  </w:style>
  <w:style w:type="paragraph" w:styleId="7">
    <w:name w:val="annotation text"/>
    <w:basedOn w:val="1"/>
    <w:semiHidden/>
    <w:unhideWhenUsed/>
    <w:qFormat/>
    <w:uiPriority w:val="99"/>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line="360" w:lineRule="auto"/>
    </w:pPr>
    <w:rPr>
      <w:szCs w:val="20"/>
    </w:rPr>
  </w:style>
  <w:style w:type="paragraph" w:styleId="10">
    <w:name w:val="Body Text Indent"/>
    <w:basedOn w:val="1"/>
    <w:qFormat/>
    <w:uiPriority w:val="0"/>
    <w:pPr>
      <w:ind w:left="540"/>
    </w:pPr>
    <w:rPr>
      <w:rFonts w:hint="eastAsia" w:ascii="Times New Roman" w:hAnsi="Times New Roman"/>
    </w:rPr>
  </w:style>
  <w:style w:type="paragraph" w:styleId="11">
    <w:name w:val="Date"/>
    <w:basedOn w:val="1"/>
    <w:next w:val="1"/>
    <w:qFormat/>
    <w:uiPriority w:val="0"/>
    <w:rPr>
      <w:rFonts w:hint="eastAsia" w:ascii="宋体" w:hAnsi="Times New Roman"/>
      <w:sz w:val="24"/>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pPr>
      <w:tabs>
        <w:tab w:val="left" w:pos="7740"/>
      </w:tabs>
      <w:jc w:val="center"/>
    </w:pPr>
    <w:rPr>
      <w:rFonts w:ascii="仿宋" w:hAnsi="仿宋" w:eastAsia="仿宋"/>
      <w:b/>
      <w:sz w:val="28"/>
      <w:szCs w:val="28"/>
    </w:rPr>
  </w:style>
  <w:style w:type="character" w:styleId="18">
    <w:name w:val="page number"/>
    <w:qFormat/>
    <w:uiPriority w:val="0"/>
    <w:rPr>
      <w:rFonts w:eastAsia="宋体"/>
      <w:kern w:val="2"/>
      <w:sz w:val="24"/>
      <w:szCs w:val="24"/>
      <w:lang w:val="en-US" w:eastAsia="zh-CN" w:bidi="ar-SA"/>
    </w:rPr>
  </w:style>
  <w:style w:type="character" w:styleId="19">
    <w:name w:val="FollowedHyperlink"/>
    <w:basedOn w:val="17"/>
    <w:semiHidden/>
    <w:unhideWhenUsed/>
    <w:qFormat/>
    <w:uiPriority w:val="99"/>
    <w:rPr>
      <w:color w:val="800080"/>
      <w:u w:val="single"/>
    </w:rPr>
  </w:style>
  <w:style w:type="character" w:styleId="20">
    <w:name w:val="Hyperlink"/>
    <w:basedOn w:val="17"/>
    <w:semiHidden/>
    <w:unhideWhenUsed/>
    <w:qFormat/>
    <w:uiPriority w:val="99"/>
    <w:rPr>
      <w:color w:val="0000FF"/>
      <w:u w:val="single"/>
    </w:rPr>
  </w:style>
  <w:style w:type="character" w:customStyle="1" w:styleId="21">
    <w:name w:val="页眉 字符"/>
    <w:link w:val="13"/>
    <w:qFormat/>
    <w:uiPriority w:val="99"/>
    <w:rPr>
      <w:kern w:val="2"/>
      <w:sz w:val="18"/>
      <w:szCs w:val="18"/>
    </w:rPr>
  </w:style>
  <w:style w:type="character" w:customStyle="1" w:styleId="22">
    <w:name w:val="页脚 字符"/>
    <w:link w:val="12"/>
    <w:qFormat/>
    <w:uiPriority w:val="99"/>
    <w:rPr>
      <w:kern w:val="2"/>
      <w:sz w:val="18"/>
      <w:szCs w:val="18"/>
    </w:rPr>
  </w:style>
  <w:style w:type="character" w:customStyle="1" w:styleId="23">
    <w:name w:val="正文缩进 字符"/>
    <w:link w:val="6"/>
    <w:qFormat/>
    <w:uiPriority w:val="0"/>
    <w:rPr>
      <w:kern w:val="2"/>
      <w:sz w:val="21"/>
      <w:szCs w:val="24"/>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3458</Words>
  <Characters>3891</Characters>
  <Lines>49</Lines>
  <Paragraphs>13</Paragraphs>
  <TotalTime>2</TotalTime>
  <ScaleCrop>false</ScaleCrop>
  <LinksUpToDate>false</LinksUpToDate>
  <CharactersWithSpaces>4295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郑发权</cp:lastModifiedBy>
  <dcterms:modified xsi:type="dcterms:W3CDTF">2025-10-16T08:16:38Z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8565AE29538B4293A8E2F8966ED103AC</vt:lpwstr>
  </property>
</Properties>
</file>