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08DA8">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2A131F65">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3F6A909">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4DD89240">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0D299D25">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7406256D">
      <w:pPr>
        <w:tabs>
          <w:tab w:val="left" w:pos="720"/>
        </w:tabs>
        <w:spacing w:line="36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124CF8B5">
      <w:pPr>
        <w:tabs>
          <w:tab w:val="left" w:pos="720"/>
        </w:tabs>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第一部分</w:t>
      </w:r>
      <w:r>
        <w:rPr>
          <w:rFonts w:hint="eastAsia" w:ascii="宋体" w:hAnsi="宋体"/>
          <w:b/>
          <w:color w:val="000000" w:themeColor="text1"/>
          <w:sz w:val="48"/>
          <w:szCs w:val="48"/>
          <w:highlight w:val="none"/>
          <w14:textFill>
            <w14:solidFill>
              <w14:schemeClr w14:val="tx1"/>
            </w14:solidFill>
          </w14:textFill>
        </w:rPr>
        <w:t>、用户需求书</w:t>
      </w:r>
    </w:p>
    <w:p w14:paraId="2F8C4654">
      <w:pPr>
        <w:tabs>
          <w:tab w:val="left" w:pos="720"/>
        </w:tabs>
        <w:spacing w:line="360" w:lineRule="auto"/>
        <w:rPr>
          <w:rFonts w:ascii="宋体" w:hAnsi="宋体"/>
          <w:b/>
          <w:color w:val="000000" w:themeColor="text1"/>
          <w:sz w:val="48"/>
          <w:szCs w:val="48"/>
          <w:highlight w:val="none"/>
          <w14:textFill>
            <w14:solidFill>
              <w14:schemeClr w14:val="tx1"/>
            </w14:solidFill>
          </w14:textFill>
        </w:rPr>
      </w:pPr>
    </w:p>
    <w:p w14:paraId="6B83E63A">
      <w:pPr>
        <w:spacing w:line="300" w:lineRule="auto"/>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br w:type="page"/>
      </w:r>
    </w:p>
    <w:p w14:paraId="1DA992C9">
      <w:pPr>
        <w:numPr>
          <w:ilvl w:val="0"/>
          <w:numId w:val="0"/>
        </w:numPr>
        <w:spacing w:line="300" w:lineRule="auto"/>
        <w:jc w:val="center"/>
        <w:rPr>
          <w:rFonts w:hint="eastAsia" w:ascii="宋体" w:hAnsi="宋体"/>
          <w:b/>
          <w:bCs/>
          <w:color w:val="000000" w:themeColor="text1"/>
          <w:spacing w:val="10"/>
          <w:kern w:val="0"/>
          <w:sz w:val="28"/>
          <w:szCs w:val="28"/>
          <w:highlight w:val="none"/>
          <w:lang w:val="en-US" w:eastAsia="zh-CN"/>
          <w14:textFill>
            <w14:solidFill>
              <w14:schemeClr w14:val="tx1"/>
            </w14:solidFill>
          </w14:textFill>
        </w:rPr>
      </w:pPr>
      <w:r>
        <w:rPr>
          <w:rFonts w:hint="eastAsia" w:ascii="宋体" w:hAnsi="宋体"/>
          <w:b/>
          <w:bCs/>
          <w:color w:val="000000" w:themeColor="text1"/>
          <w:spacing w:val="10"/>
          <w:kern w:val="0"/>
          <w:sz w:val="28"/>
          <w:szCs w:val="28"/>
          <w:highlight w:val="none"/>
          <w:lang w:val="en-US" w:eastAsia="zh-CN"/>
          <w14:textFill>
            <w14:solidFill>
              <w14:schemeClr w14:val="tx1"/>
            </w14:solidFill>
          </w14:textFill>
        </w:rPr>
        <w:t>用户需求书</w:t>
      </w:r>
    </w:p>
    <w:tbl>
      <w:tblPr>
        <w:tblStyle w:val="22"/>
        <w:tblW w:w="0" w:type="auto"/>
        <w:jc w:val="center"/>
        <w:tblLayout w:type="autofit"/>
        <w:tblCellMar>
          <w:top w:w="0" w:type="dxa"/>
          <w:left w:w="108" w:type="dxa"/>
          <w:bottom w:w="0" w:type="dxa"/>
          <w:right w:w="108" w:type="dxa"/>
        </w:tblCellMar>
      </w:tblPr>
      <w:tblGrid>
        <w:gridCol w:w="2684"/>
        <w:gridCol w:w="638"/>
        <w:gridCol w:w="1271"/>
        <w:gridCol w:w="1536"/>
      </w:tblGrid>
      <w:tr w14:paraId="3D06969F">
        <w:tblPrEx>
          <w:tblCellMar>
            <w:top w:w="0" w:type="dxa"/>
            <w:left w:w="108" w:type="dxa"/>
            <w:bottom w:w="0" w:type="dxa"/>
            <w:right w:w="108" w:type="dxa"/>
          </w:tblCellMar>
        </w:tblPrEx>
        <w:trPr>
          <w:trHeight w:val="375" w:hRule="atLeast"/>
          <w:jc w:val="center"/>
        </w:trPr>
        <w:tc>
          <w:tcPr>
            <w:tcW w:w="2684" w:type="dxa"/>
            <w:tcBorders>
              <w:top w:val="single" w:color="000000" w:sz="4" w:space="0"/>
              <w:left w:val="single" w:color="000000" w:sz="4" w:space="0"/>
              <w:bottom w:val="single" w:color="000000" w:sz="4" w:space="0"/>
              <w:right w:val="single" w:color="000000" w:sz="4" w:space="0"/>
            </w:tcBorders>
            <w:noWrap/>
            <w:vAlign w:val="center"/>
          </w:tcPr>
          <w:p w14:paraId="6B67771D">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标的内容</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20F1200B">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数量</w:t>
            </w: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3E3A95A7">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单价限价（人民币）</w:t>
            </w: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40E73BCD">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采购预算</w:t>
            </w:r>
          </w:p>
          <w:p w14:paraId="3BDB1259">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（人民币）</w:t>
            </w:r>
          </w:p>
        </w:tc>
      </w:tr>
      <w:tr w14:paraId="7E3C9911">
        <w:tblPrEx>
          <w:tblCellMar>
            <w:top w:w="0" w:type="dxa"/>
            <w:left w:w="108" w:type="dxa"/>
            <w:bottom w:w="0" w:type="dxa"/>
            <w:right w:w="108" w:type="dxa"/>
          </w:tblCellMar>
        </w:tblPrEx>
        <w:trPr>
          <w:trHeight w:val="375" w:hRule="atLeast"/>
          <w:jc w:val="center"/>
        </w:trPr>
        <w:tc>
          <w:tcPr>
            <w:tcW w:w="2684" w:type="dxa"/>
            <w:tcBorders>
              <w:top w:val="single" w:color="000000" w:sz="4" w:space="0"/>
              <w:left w:val="single" w:color="000000" w:sz="4" w:space="0"/>
              <w:bottom w:val="single" w:color="000000" w:sz="4" w:space="0"/>
              <w:right w:val="single" w:color="000000" w:sz="4" w:space="0"/>
            </w:tcBorders>
            <w:noWrap/>
            <w:vAlign w:val="center"/>
          </w:tcPr>
          <w:p w14:paraId="2EAA197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医疗布服洗涤服务</w:t>
            </w:r>
          </w:p>
        </w:tc>
        <w:tc>
          <w:tcPr>
            <w:tcW w:w="638" w:type="dxa"/>
            <w:tcBorders>
              <w:top w:val="single" w:color="000000" w:sz="4" w:space="0"/>
              <w:left w:val="single" w:color="000000" w:sz="4" w:space="0"/>
              <w:bottom w:val="single" w:color="000000" w:sz="4" w:space="0"/>
              <w:right w:val="single" w:color="000000" w:sz="4" w:space="0"/>
            </w:tcBorders>
            <w:noWrap/>
            <w:vAlign w:val="center"/>
          </w:tcPr>
          <w:p w14:paraId="660F01CB">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w:t>
            </w: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52EC6FD7">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1.44元/件</w:t>
            </w:r>
          </w:p>
        </w:tc>
        <w:tc>
          <w:tcPr>
            <w:tcW w:w="1271" w:type="dxa"/>
            <w:tcBorders>
              <w:top w:val="single" w:color="000000" w:sz="4" w:space="0"/>
              <w:left w:val="single" w:color="000000" w:sz="4" w:space="0"/>
              <w:bottom w:val="single" w:color="000000" w:sz="4" w:space="0"/>
              <w:right w:val="single" w:color="000000" w:sz="4" w:space="0"/>
            </w:tcBorders>
            <w:noWrap/>
            <w:vAlign w:val="center"/>
          </w:tcPr>
          <w:p w14:paraId="21565D9A">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2,188,800.00</w:t>
            </w:r>
          </w:p>
        </w:tc>
      </w:tr>
    </w:tbl>
    <w:p w14:paraId="70EC3D68">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详细技术规范请参阅招标文件中的用户需求书。投标人必须对本项目的全部内容进行投标报价，如有缺漏或报价超出本项目的单价限价或采购预算，将导致投标无效。</w:t>
      </w:r>
    </w:p>
    <w:p w14:paraId="21E5B963">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本项目采购本国服务。</w:t>
      </w:r>
    </w:p>
    <w:p w14:paraId="5AB3204E">
      <w:pPr>
        <w:spacing w:line="300" w:lineRule="auto"/>
        <w:jc w:val="center"/>
        <w:rPr>
          <w:rFonts w:hint="eastAsia" w:hAnsi="宋体"/>
          <w:color w:val="000000" w:themeColor="text1"/>
          <w:highlight w:val="none"/>
          <w14:textFill>
            <w14:solidFill>
              <w14:schemeClr w14:val="tx1"/>
            </w14:solidFill>
          </w14:textFill>
        </w:rPr>
      </w:pPr>
    </w:p>
    <w:p w14:paraId="417CE4D3">
      <w:pPr>
        <w:pStyle w:val="30"/>
        <w:rPr>
          <w:rFonts w:hint="eastAsia" w:hAnsi="宋体"/>
          <w:color w:val="000000" w:themeColor="text1"/>
          <w:highlight w:val="none"/>
          <w14:textFill>
            <w14:solidFill>
              <w14:schemeClr w14:val="tx1"/>
            </w14:solidFill>
          </w14:textFill>
        </w:rPr>
      </w:pPr>
    </w:p>
    <w:p w14:paraId="4A5F3107">
      <w:pPr>
        <w:pStyle w:val="68"/>
        <w:rPr>
          <w:rFonts w:hint="default" w:ascii="宋体" w:hAnsi="宋体" w:eastAsia="宋体" w:cs="宋体"/>
          <w:sz w:val="21"/>
          <w:szCs w:val="21"/>
        </w:rPr>
      </w:pPr>
      <w:r>
        <w:rPr>
          <w:rFonts w:ascii="宋体" w:hAnsi="宋体" w:eastAsia="宋体" w:cs="宋体"/>
          <w:b/>
          <w:color w:val="000000"/>
          <w:sz w:val="21"/>
          <w:szCs w:val="21"/>
        </w:rPr>
        <w:t>说明：打“★”号条款为实质性条款，若有任何一条负偏离或不满足则导致投标（响应）无效。</w:t>
      </w:r>
    </w:p>
    <w:p w14:paraId="7D690B2E">
      <w:pPr>
        <w:pStyle w:val="68"/>
        <w:rPr>
          <w:rFonts w:hint="default" w:ascii="宋体" w:hAnsi="宋体" w:eastAsia="宋体" w:cs="宋体"/>
          <w:sz w:val="21"/>
          <w:szCs w:val="21"/>
        </w:rPr>
      </w:pPr>
      <w:r>
        <w:rPr>
          <w:rFonts w:ascii="宋体" w:hAnsi="宋体" w:eastAsia="宋体" w:cs="宋体"/>
          <w:b/>
          <w:color w:val="000000"/>
          <w:sz w:val="21"/>
          <w:szCs w:val="21"/>
        </w:rPr>
        <w:t>打“▲”号条款为重要技术参数（如有），若有部分“▲”条款未响应或不满足，将根据评审要求影响其得分，但不作为无效投标（响应）条款。</w:t>
      </w:r>
    </w:p>
    <w:p w14:paraId="1577740F"/>
    <w:p w14:paraId="0A103938">
      <w:pPr>
        <w:jc w:val="center"/>
        <w:rPr>
          <w:b/>
          <w:bCs/>
        </w:rPr>
      </w:pPr>
      <w:r>
        <w:rPr>
          <w:rFonts w:hint="eastAsia" w:ascii="宋体" w:hAnsi="宋体" w:cs="宋体"/>
          <w:b/>
          <w:bCs/>
          <w:color w:val="000000" w:themeColor="text1"/>
          <w:szCs w:val="21"/>
          <w14:textFill>
            <w14:solidFill>
              <w14:schemeClr w14:val="tx1"/>
            </w14:solidFill>
          </w14:textFill>
        </w:rPr>
        <w:t>医疗布服洗涤服务用户需求书</w:t>
      </w:r>
    </w:p>
    <w:p w14:paraId="496310D4">
      <w:pPr>
        <w:pStyle w:val="73"/>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一、项目概况</w:t>
      </w:r>
    </w:p>
    <w:p w14:paraId="6DA5B95F">
      <w:pPr>
        <w:pStyle w:val="73"/>
        <w:ind w:firstLine="420" w:firstLineChars="200"/>
        <w:rPr>
          <w:rFonts w:hint="eastAsia" w:ascii="宋体" w:hAnsi="宋体" w:cs="宋体"/>
          <w:color w:val="000000" w:themeColor="text1"/>
          <w:szCs w:val="21"/>
          <w14:textFill>
            <w14:solidFill>
              <w14:schemeClr w14:val="tx1"/>
            </w14:solidFill>
          </w14:textFill>
        </w:rPr>
      </w:pPr>
      <w:bookmarkStart w:id="0" w:name="_Toc26724"/>
      <w:bookmarkStart w:id="1" w:name="_Toc377390839"/>
      <w:bookmarkStart w:id="2" w:name="_Toc360442647"/>
      <w:bookmarkStart w:id="3" w:name="_Toc377390940"/>
      <w:r>
        <w:rPr>
          <w:rFonts w:hint="eastAsia" w:ascii="宋体" w:hAnsi="宋体" w:cs="宋体"/>
          <w:color w:val="000000" w:themeColor="text1"/>
          <w:szCs w:val="21"/>
          <w14:textFill>
            <w14:solidFill>
              <w14:schemeClr w14:val="tx1"/>
            </w14:solidFill>
          </w14:textFill>
        </w:rPr>
        <w:t>确定1家供应商，提供广州市第一人民医院南沙医院的被服布类物品及工作人员工作服等洗涤及收送服务，具体包含衣物的收、送、洗涤、消毒、保管、缝补、折叠、熨烫、分包装等所有服务。</w:t>
      </w:r>
    </w:p>
    <w:p w14:paraId="6C0E95D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服务地点： 广州市南沙区丰泽东路105号</w:t>
      </w:r>
    </w:p>
    <w:p w14:paraId="18B938DC">
      <w:pPr>
        <w:pStyle w:val="9"/>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19个月服务期平均每月洗涤量按8万件次预算。</w:t>
      </w:r>
      <w:r>
        <w:rPr>
          <w:rFonts w:hint="eastAsia"/>
          <w:color w:val="000000" w:themeColor="text1"/>
          <w14:textFill>
            <w14:solidFill>
              <w14:schemeClr w14:val="tx1"/>
            </w14:solidFill>
          </w14:textFill>
        </w:rPr>
        <w:t>本项目单价限价为1.44元/件，预算月均出洗80,000件，19个月预算总金额2,188,800元。</w:t>
      </w:r>
      <w:r>
        <w:rPr>
          <w:rFonts w:hint="eastAsia" w:ascii="宋体" w:hAnsi="宋体" w:cs="宋体"/>
          <w:color w:val="000000" w:themeColor="text1"/>
          <w:szCs w:val="21"/>
          <w14:textFill>
            <w14:solidFill>
              <w14:schemeClr w14:val="tx1"/>
            </w14:solidFill>
          </w14:textFill>
        </w:rPr>
        <w:t>医院目前床位数549张。床位数及月洗涤量仅作参考，履约以实际洗涤数量为准。</w:t>
      </w:r>
    </w:p>
    <w:bookmarkEnd w:id="0"/>
    <w:bookmarkEnd w:id="1"/>
    <w:bookmarkEnd w:id="2"/>
    <w:bookmarkEnd w:id="3"/>
    <w:p w14:paraId="13B42983">
      <w:pPr>
        <w:pStyle w:val="73"/>
        <w:ind w:firstLine="420" w:firstLineChars="200"/>
        <w:rPr>
          <w:rFonts w:hint="eastAsia" w:ascii="宋体" w:hAnsi="宋体" w:cs="宋体"/>
          <w:color w:val="000000" w:themeColor="text1"/>
          <w:szCs w:val="21"/>
          <w14:textFill>
            <w14:solidFill>
              <w14:schemeClr w14:val="tx1"/>
            </w14:solidFill>
          </w14:textFill>
        </w:rPr>
      </w:pPr>
    </w:p>
    <w:p w14:paraId="5F233541">
      <w:pPr>
        <w:pStyle w:val="73"/>
        <w:rPr>
          <w:rFonts w:hint="eastAsia" w:ascii="宋体" w:hAnsi="宋体" w:cs="宋体"/>
          <w:b/>
          <w:color w:val="000000" w:themeColor="text1"/>
          <w:szCs w:val="21"/>
          <w14:textFill>
            <w14:solidFill>
              <w14:schemeClr w14:val="tx1"/>
            </w14:solidFill>
          </w14:textFill>
        </w:rPr>
      </w:pPr>
      <w:bookmarkStart w:id="4" w:name="_Toc392230261"/>
      <w:bookmarkStart w:id="5" w:name="_Toc401906928"/>
      <w:r>
        <w:rPr>
          <w:rFonts w:hint="eastAsia" w:ascii="宋体" w:hAnsi="宋体" w:cs="宋体"/>
          <w:b/>
          <w:color w:val="000000" w:themeColor="text1"/>
          <w:szCs w:val="21"/>
          <w14:textFill>
            <w14:solidFill>
              <w14:schemeClr w14:val="tx1"/>
            </w14:solidFill>
          </w14:textFill>
        </w:rPr>
        <w:t>二、服务</w:t>
      </w:r>
      <w:bookmarkEnd w:id="4"/>
      <w:bookmarkEnd w:id="5"/>
      <w:r>
        <w:rPr>
          <w:rFonts w:hint="eastAsia" w:ascii="宋体" w:hAnsi="宋体" w:cs="宋体"/>
          <w:b/>
          <w:color w:val="000000" w:themeColor="text1"/>
          <w:szCs w:val="21"/>
          <w14:textFill>
            <w14:solidFill>
              <w14:schemeClr w14:val="tx1"/>
            </w14:solidFill>
          </w14:textFill>
        </w:rPr>
        <w:t>要求</w:t>
      </w:r>
    </w:p>
    <w:p w14:paraId="179D963F">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1、基本要求</w:t>
      </w:r>
    </w:p>
    <w:p w14:paraId="7B597DA5">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1.1中标人不得以任何形式转包或分包给第三方。</w:t>
      </w:r>
    </w:p>
    <w:p w14:paraId="6217C90D">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1.2中标人必须提供包括收污衣、送净衣、清点、运输、洗涤、消毒、保管、缝补、折叠、熨烫、分包装、检验、统计等服务。</w:t>
      </w:r>
    </w:p>
    <w:p w14:paraId="36401310">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1.3中标人必须保证所使用的洗涤原料无毒、环保、不损伤医用织物。</w:t>
      </w:r>
    </w:p>
    <w:p w14:paraId="1AB68395">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1.4中标人应使用专用运输车辆，并保证车辆每日进行消毒清洁</w:t>
      </w:r>
      <w:r>
        <w:rPr>
          <w:rFonts w:hint="eastAsia" w:ascii="宋体" w:hAnsi="宋体" w:cs="宋体"/>
          <w:color w:val="000000" w:themeColor="text1"/>
          <w:szCs w:val="21"/>
          <w14:textFill>
            <w14:solidFill>
              <w14:schemeClr w14:val="tx1"/>
            </w14:solidFill>
          </w14:textFill>
        </w:rPr>
        <w:t>及紫外光照射消毒</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中标人所使用的货车，前往采购人院区载（收）布服时，须遵守采购人院区停车场管理规定及卸货注意事项。</w:t>
      </w:r>
    </w:p>
    <w:p w14:paraId="35C447A7">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1.5中标人至少每半年一次（或按照市级以上行业标准规定时间）向采购人提供有资质的第三方检测机构出具出</w:t>
      </w:r>
      <w:r>
        <w:rPr>
          <w:rFonts w:hint="eastAsia" w:ascii="宋体" w:hAnsi="宋体" w:cs="宋体"/>
          <w:color w:val="000000" w:themeColor="text1"/>
          <w:szCs w:val="21"/>
          <w14:textFill>
            <w14:solidFill>
              <w14:schemeClr w14:val="tx1"/>
            </w14:solidFill>
          </w14:textFill>
        </w:rPr>
        <w:t>操作场地及</w:t>
      </w:r>
      <w:r>
        <w:rPr>
          <w:rFonts w:hint="eastAsia" w:ascii="宋体" w:hAnsi="宋体" w:cs="宋体"/>
          <w:color w:val="000000" w:themeColor="text1"/>
          <w:kern w:val="0"/>
          <w:szCs w:val="21"/>
          <w14:textFill>
            <w14:solidFill>
              <w14:schemeClr w14:val="tx1"/>
            </w14:solidFill>
          </w14:textFill>
        </w:rPr>
        <w:t>洗后衣物布草检测报告复印件加盖印章（原件备查），检测结果应符合WS/T508-2016《医院医用织物洗涤消毒技术规范》标准。如采购人有疑问，则由双方共同认可的机构，在双方工作人员在场监督下对衣物布草进行抽样检测。额外抽样检测每年不多于五次的，检测费用由中标人承担；多于五次的额外抽样结果若达到行业洗涤卫生标准，检测费用由采购人负责；若相关检测报告或者额外抽样检测的结果不符合行业洗涤卫生标准，检测费用由中标人负责支付。若由于中标人工作质量问题或失误给采购人造成利益损害的，中标人应当赔偿由此给采购人造成的损失，采购人有权因此解除合同。</w:t>
      </w:r>
      <w:r>
        <w:rPr>
          <w:rFonts w:hint="eastAsia" w:ascii="宋体" w:hAnsi="宋体" w:cs="宋体"/>
          <w:color w:val="000000" w:themeColor="text1"/>
          <w:szCs w:val="21"/>
          <w14:textFill>
            <w14:solidFill>
              <w14:schemeClr w14:val="tx1"/>
            </w14:solidFill>
          </w14:textFill>
        </w:rPr>
        <w:t>（中标人须在投标文件中提供卫生检验部门出具的对其生产车间空气及洗涤物的卫生学检测报告）</w:t>
      </w:r>
    </w:p>
    <w:p w14:paraId="3F37BA3E">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 中标人向采购人借一定数量的被服及工作服供周转使用，并和采购人办理好借出手续。中标人每季度盘点借用的周转被服数量并做好登记签名，并复印一份给采购人存档。合同终止前10个工作日全部退回给采购人，逾期不退，费用从中标人当月服务费中进行扣除。</w:t>
      </w:r>
    </w:p>
    <w:p w14:paraId="24A38D0A">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 采购人不负责提供给中标人工作人员休息场所，仅提供污衣和洁衣中转场地（特指污衣清点间、洁衣贮存间两间）。污衣清点间和洁衣贮存间的卫生和消毒（含清洁剂和消毒剂工具）工作由中标人负责。</w:t>
      </w:r>
    </w:p>
    <w:p w14:paraId="67AC3557">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r>
        <w:rPr>
          <w:rStyle w:val="74"/>
          <w:rFonts w:hint="eastAsia" w:ascii="宋体" w:hAnsi="宋体" w:cs="宋体"/>
          <w:color w:val="000000" w:themeColor="text1"/>
          <w:szCs w:val="21"/>
          <w14:textFill>
            <w14:solidFill>
              <w14:schemeClr w14:val="tx1"/>
            </w14:solidFill>
          </w14:textFill>
        </w:rPr>
        <w:t>中标人应根据采购人的运行情况安排充足的工作人员和制定上班时间，以满足采购人各科室的被服需求，并在投标文件中列明</w:t>
      </w:r>
      <w:r>
        <w:rPr>
          <w:rFonts w:hint="eastAsia" w:ascii="宋体" w:hAnsi="宋体" w:cs="宋体"/>
          <w:color w:val="000000" w:themeColor="text1"/>
          <w:kern w:val="0"/>
          <w:szCs w:val="21"/>
          <w14:textFill>
            <w14:solidFill>
              <w14:schemeClr w14:val="tx1"/>
            </w14:solidFill>
          </w14:textFill>
        </w:rPr>
        <w:t>中。驻点人员每天工作时间不少于7小时。负责日常巡视收送工作质量，处理采购人投诉，并做好登记。</w:t>
      </w:r>
    </w:p>
    <w:p w14:paraId="3B696948">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1.9中标人每季度报废的旧被服（洗涤后）交给并由采购人处理，可以提供给中标人当补料使用、或者交清洁公司当抹布使用，剩余部分当医疗废物处理。</w:t>
      </w:r>
    </w:p>
    <w:p w14:paraId="0F3DED25">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1.10中标人提供污衣袋到各科室对污衣进行收集入袋。将有色和无色、病人和工作人员的污衣物分开入袋，产科和新生儿科婴幼儿衣物单独入袋，严重污染或疑似传染病人衣物必须单独入袋，外有标识。污衣袋必须按行业规定作特殊强化洗涤与消毒处理。</w:t>
      </w:r>
    </w:p>
    <w:p w14:paraId="286E1996">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中标人使用的洗衣设备须满足国家卫健委实施的《医院医用织物洗涤消毒技术规范》要求，专机专洗，病人和工作人员衣物分开洗，分开烘干，同时不得和其他医院混洗，混烘干，混放等，产科和新生儿科婴儿衣物须专机洗涤单独打包。</w:t>
      </w:r>
    </w:p>
    <w:p w14:paraId="3890F25B">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1.12中标人负责每天到医院各科室（包括门急诊、医技楼、住院楼各病区行政楼各职能科室等医院所有部门）收污衣，送洁衣，并以双方签名为确认；每次送洁衣的数量及品种依照前一天的收污衣的数量及品种（以前一天的洗衣单、返洗单数量和品种为准, 应根据不同科室标志对被服作科室区分）作验收，并负责将洁衣放入采购人洁衣柜等工作。为符合院感要求，除污衣清点间外中标人不得在院内任何地点进行污衣清点；传染性（感染性）的布服，分类收集并于污衣袋上注明病因及日期后，收回中标人处按要求处理。</w:t>
      </w:r>
    </w:p>
    <w:p w14:paraId="7899ACC6">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中标人负责将病人、工作人员、婴儿衣物、手术衣物等需清洁布类的污衣分开打包上车，将洁衣入柜（各科室被服柜，洗衣部洁衣柜），盛装清洁布类的洁衣袋全部由中标人提供，并保证洁净，不可有破损霉烂。</w:t>
      </w:r>
    </w:p>
    <w:p w14:paraId="5DEA701D">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1.14如采购人因用量特殊及临时性紧急需求，如大量病人或流行性疾病发生时，中标人无条件收到通知后按科室规定时间内尽快出洗收到被服，保证补充足够洗好的被服用量至需求科室。</w:t>
      </w:r>
    </w:p>
    <w:p w14:paraId="3DDF591B">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1.15收送的所有工具和收送人员所有成本均由中标人负责。</w:t>
      </w:r>
      <w:r>
        <w:rPr>
          <w:rFonts w:hint="eastAsia" w:ascii="宋体" w:hAnsi="宋体" w:cs="宋体"/>
          <w:color w:val="000000" w:themeColor="text1"/>
          <w:szCs w:val="21"/>
          <w14:textFill>
            <w14:solidFill>
              <w14:schemeClr w14:val="tx1"/>
            </w14:solidFill>
          </w14:textFill>
        </w:rPr>
        <w:t>并自负保管及维修的责任。如发生毁损、遗失、失窃等事情，采购人不负赔偿的责任。</w:t>
      </w:r>
    </w:p>
    <w:p w14:paraId="49A8588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1.16洗衣单、返洗单、衣物报废单、洗涤服务投诉单等一切单据均由中标人提供。所有单据均一式4联，必须有双方签名确认的单据为有效。4联存放：各科室一联、中标人二联、医院主管部门三联，送净衣四联。</w:t>
      </w:r>
    </w:p>
    <w:p w14:paraId="622DF4C5">
      <w:pPr>
        <w:pStyle w:val="35"/>
        <w:ind w:firstLine="315" w:firstLineChars="15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1.17</w:t>
      </w:r>
      <w:r>
        <w:rPr>
          <w:rStyle w:val="74"/>
          <w:rFonts w:hint="eastAsia" w:ascii="宋体" w:hAnsi="宋体" w:cs="宋体"/>
          <w:color w:val="000000" w:themeColor="text1"/>
          <w:kern w:val="2"/>
          <w:szCs w:val="21"/>
          <w14:textFill>
            <w14:solidFill>
              <w14:schemeClr w14:val="tx1"/>
            </w14:solidFill>
          </w14:textFill>
        </w:rPr>
        <w:t>因中标人经营管理问题导致的任何不良后果，中标人须承担全部责任（行政责任、经济责任及法律责任等）。且采购人不负任何责任。如中标人的行为造成采购人单位任何的经济损失及不良社会影响，中标人须予以赔偿。</w:t>
      </w:r>
    </w:p>
    <w:p w14:paraId="72EFC2E5">
      <w:pPr>
        <w:pStyle w:val="9"/>
        <w:rPr>
          <w:rStyle w:val="74"/>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1.18</w:t>
      </w:r>
      <w:r>
        <w:rPr>
          <w:rStyle w:val="74"/>
          <w:rFonts w:hint="eastAsia" w:ascii="宋体" w:hAnsi="宋体" w:cs="宋体"/>
          <w:bCs/>
          <w:color w:val="000000" w:themeColor="text1"/>
          <w:szCs w:val="21"/>
          <w14:textFill>
            <w14:solidFill>
              <w14:schemeClr w14:val="tx1"/>
            </w14:solidFill>
          </w14:textFill>
        </w:rPr>
        <w:t>中标人的服务及所使用的物品、用具、材料不得违反国家有关环卫、环保相关制度和管理规定，</w:t>
      </w:r>
      <w:r>
        <w:rPr>
          <w:rFonts w:hint="eastAsia" w:ascii="宋体" w:hAnsi="宋体" w:cs="宋体"/>
          <w:color w:val="000000" w:themeColor="text1"/>
          <w:szCs w:val="21"/>
          <w14:textFill>
            <w14:solidFill>
              <w14:schemeClr w14:val="tx1"/>
            </w14:solidFill>
          </w14:textFill>
        </w:rPr>
        <w:t>中标人所使用的消毒剂必须符合现行《消毒管理办法》的要求。</w:t>
      </w:r>
      <w:r>
        <w:rPr>
          <w:rStyle w:val="74"/>
          <w:rFonts w:hint="eastAsia" w:ascii="宋体" w:hAnsi="宋体" w:cs="宋体"/>
          <w:bCs/>
          <w:color w:val="000000" w:themeColor="text1"/>
          <w:szCs w:val="21"/>
          <w14:textFill>
            <w14:solidFill>
              <w14:schemeClr w14:val="tx1"/>
            </w14:solidFill>
          </w14:textFill>
        </w:rPr>
        <w:t>不得对采购人单位的环境造成二次污染；采购人有权对相关事宜进行检查和评估，有权拒绝使用不符合标准的材料。中标人的服务范围覆盖采购人需求所有区域。</w:t>
      </w:r>
    </w:p>
    <w:p w14:paraId="09CF50AF">
      <w:pPr>
        <w:pStyle w:val="73"/>
        <w:ind w:firstLine="420" w:firstLineChars="200"/>
        <w:rPr>
          <w:rFonts w:hint="eastAsia" w:ascii="宋体" w:hAnsi="宋体" w:cs="宋体"/>
          <w:color w:val="000000" w:themeColor="text1"/>
          <w:szCs w:val="21"/>
          <w14:textFill>
            <w14:solidFill>
              <w14:schemeClr w14:val="tx1"/>
            </w14:solidFill>
          </w14:textFill>
        </w:rPr>
      </w:pPr>
    </w:p>
    <w:p w14:paraId="386BB2C3">
      <w:pPr>
        <w:pStyle w:val="73"/>
        <w:ind w:firstLine="735" w:firstLineChars="3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2、服务工作质量要求：</w:t>
      </w:r>
    </w:p>
    <w:p w14:paraId="0B0FAC5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2.1本项目布类污垢的分类：</w:t>
      </w:r>
    </w:p>
    <w:p w14:paraId="5A3D7510">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（1）大气污垢：灰土、粉尘、烟尘、植物花粉、杂菌微生物等；</w:t>
      </w:r>
    </w:p>
    <w:p w14:paraId="12A2FE0E">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（2）人体污垢：人体分泌物，如血液、皮脂、汗液皮屑、尿垢、粪便、呕吐物、引流物等；</w:t>
      </w:r>
    </w:p>
    <w:p w14:paraId="7A5659B8">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（3）工作环境污垢：手术后的血渍、药渍、病人卧床留下的油渍、药渍、墨渍等。</w:t>
      </w:r>
    </w:p>
    <w:p w14:paraId="777057FC">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2.2洗涤质量要求：</w:t>
      </w:r>
    </w:p>
    <w:p w14:paraId="6F5DA57E">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针对不同的污垢成分应设固定专机分类、分档进行洗涤处理，根据污肮脏程度采用不同的水温、洗涤剂、消毒液适量进行洗涤，确保洗衣质量。对于容易沾污的布类及部位（如：医护人员工作服的领口、袖口、前胸、口袋等部位）根据沾污程度应适当增加刷洗、浸泡、清洗的强度；</w:t>
      </w:r>
    </w:p>
    <w:p w14:paraId="7A37F989">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（2）彩色衣物应单独分色洗涤，以防脱色、搭色；</w:t>
      </w:r>
    </w:p>
    <w:p w14:paraId="6889C74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（3）中标人应在将洁净衣物送达前应进行洁净度及外观自检，局部未洗掉的黄迹、药迹、陈旧血渍、锈迹等，一旦发现要在送达医院前进行返洗。</w:t>
      </w:r>
    </w:p>
    <w:p w14:paraId="05969C18">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（4）已清洗好的洗涤物烘干后应按采购人要求熨平折叠，有破损的部位应及时缝补。</w:t>
      </w:r>
    </w:p>
    <w:p w14:paraId="1036C40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（5）工作人员的工服必须熨平无皱折。</w:t>
      </w:r>
    </w:p>
    <w:p w14:paraId="10E3A9DF">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2.3包装要求：</w:t>
      </w:r>
    </w:p>
    <w:p w14:paraId="1C1FE3BD">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洗涤干净的被服、布类应按照采购人的要求进行分类包装，包装物由中标人提供。</w:t>
      </w:r>
    </w:p>
    <w:p w14:paraId="4D5480FE">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2.4洁净度要求：</w:t>
      </w:r>
    </w:p>
    <w:p w14:paraId="4A7EB7C2">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（1）符合医院布草洗涤行业标准(WS_T 508-2016 医院医用织物洗涤消毒技术规范)；</w:t>
      </w:r>
    </w:p>
    <w:p w14:paraId="20A8061B">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（2）洗涤物的过水漂洗要透彻，避免因洗涤剂残留而出现泛黄变色或触摸布类表面有黏涩感；</w:t>
      </w:r>
    </w:p>
    <w:p w14:paraId="16F5107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（3）对于沾染污垢或被染色的部位，应做到清洗还原后与布料原色基本保持一致。</w:t>
      </w:r>
    </w:p>
    <w:p w14:paraId="1D43C2CE">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2.5缝补要求： </w:t>
      </w:r>
    </w:p>
    <w:p w14:paraId="296DA84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（1）医护人员工作服及病人衣服如出现缺失钮或有破损的，应及时规范缝钉；</w:t>
      </w:r>
    </w:p>
    <w:p w14:paraId="4F7C82EE">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（2）手术室布类如有破损，及时缝补，缝补针迹要求均匀、整齐；补钉的纽扣大小、颜色应与原来的纽扣基本一致，不可过大、过小或色差过大，纽扣由中标人提供；</w:t>
      </w:r>
    </w:p>
    <w:p w14:paraId="07659A62">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（3）破损衣物需缝补的，应在交接时向采购人提供补衣单，标明名称及数量，缝补时间不得超过2天。</w:t>
      </w:r>
    </w:p>
    <w:p w14:paraId="394DBF76">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★2.6洗衣房环境要求（投标文件中提供现场照片作为证明材料）：</w:t>
      </w:r>
    </w:p>
    <w:p w14:paraId="4F4A157C">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（1）内部布局合理，分污染区、半污染区、清洁区，区域划分清楚并有明显的标志，各区间有屏障相隔。</w:t>
      </w:r>
    </w:p>
    <w:p w14:paraId="7753C6DF">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（2）污染区为病人污衣物分检、清点、处理、清洗间；半污染区为医务人员污衣物（工作服、值班被服）分检、清点、处理及清洗间；清洁区为洗净衣物晾（烘）干、缝补、熨烫、摺叠、储存、发送间。</w:t>
      </w:r>
    </w:p>
    <w:p w14:paraId="4803992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2.7洗涤设备要求：</w:t>
      </w:r>
    </w:p>
    <w:p w14:paraId="573C5972">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洗衣机数量充足，可供医务人员及病人各类衣物专机专洗。</w:t>
      </w:r>
    </w:p>
    <w:p w14:paraId="696776D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2.8布服的分类和洗涤消毒要求：</w:t>
      </w:r>
    </w:p>
    <w:p w14:paraId="3A6DBCAB">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（1）病人布服和医务人员衣物（值班被服、工作服）必须分类和专机洗涤，不得混洗；我院衣物不能和其他医院的衣物混合洗。婴儿衣单独打包、专机清洗。</w:t>
      </w:r>
    </w:p>
    <w:p w14:paraId="2FBFB72A">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（2）一般污染布服：包括医务人员值班被服、办公楼出洗衣物。其洗涤消毒方法：棉质布服用1%消毒洗涤剂70℃以上温度（化纤布服只宜40℃～45℃）在洗衣机内洗25分钟，再用清水漂洗。</w:t>
      </w:r>
    </w:p>
    <w:p w14:paraId="77295CE9">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传染性布服：包括医务人员衣物，病人布服、手术室所有衣物和布服收集袋。根据受污染的程度分为：无明显污染的传染性布服、有明显血、脓、便污染的传染性布服、特殊传染性布服三类。其洗涤消毒方法分别为：</w:t>
      </w:r>
    </w:p>
    <w:p w14:paraId="43C928C2">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a.无明显污染的传染性布服：用含有效氯500mg/L的消毒洗衣粉溶液洗涤30～60分钟，然后用清水漂净。</w:t>
      </w:r>
    </w:p>
    <w:p w14:paraId="5278EA52">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b.有明显血、脓、便污染的传染性布服：在用热水洗涤前，先用冷洗涤液或1%～2%冷碱水将血、脓、便等有机物洗净，将该洗液煮沸消毒弃去，经清水漂洗后，再按第1条洗涤消毒。</w:t>
      </w:r>
    </w:p>
    <w:p w14:paraId="3CF8FEDF">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c.特殊传染性布服：指受特殊病原体污染的布服，用特殊专用的污衣袋或感染性废物黄色塑料袋包装，有明显标识的布服。先用1000mg/L含氯消毒剂浸泡消毒一小时，再按第1条洗涤消毒，并指定专人、专机清洗。</w:t>
      </w:r>
    </w:p>
    <w:p w14:paraId="77B52E64">
      <w:pPr>
        <w:pStyle w:val="9"/>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★2.9洗衣房各区域流程的使用及工作要求:（</w:t>
      </w:r>
      <w:r>
        <w:rPr>
          <w:rFonts w:hint="eastAsia"/>
          <w:color w:val="000000" w:themeColor="text1"/>
          <w14:textFill>
            <w14:solidFill>
              <w14:schemeClr w14:val="tx1"/>
            </w14:solidFill>
          </w14:textFill>
        </w:rPr>
        <w:t>需投标人内部工作流程要求作为证明文件）</w:t>
      </w:r>
    </w:p>
    <w:p w14:paraId="7BFBC44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(1)设洁污人流、物流通道。人流由洁到污，物流由污到洁，顺行通过，不得交叉或逆行。</w:t>
      </w:r>
    </w:p>
    <w:p w14:paraId="6F4C2E16">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(2)工作人员严格按工作流程指引，做好防护措施出入各区域，防护用品包括：工作服、口罩、手套、帽子、隔离衣、水鞋或塑胶密封胶鞋等（由中标人自行配置）。</w:t>
      </w:r>
    </w:p>
    <w:p w14:paraId="6D912390">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(3)各区域工人分工合作，不得在各区域随意走动，严禁由污染区未经更衣换鞋到清洁区，工作人员进入洗净衣物储存，必须洗手、换入室清洁拖鞋。患有化脓性皮肤病工作人员不得参与熨烫、摺叠衣物。</w:t>
      </w:r>
    </w:p>
    <w:p w14:paraId="0C3C2E9E">
      <w:pPr>
        <w:pStyle w:val="35"/>
        <w:ind w:firstLine="279" w:firstLineChars="133"/>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（4）工作人员必须严格执行洗衣房工作制度及各种工作流程。</w:t>
      </w:r>
    </w:p>
    <w:p w14:paraId="4E2C6077">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直接从事织物洗涤的工作人员上岗前必须到卫生防疫机构进行一次健康体检和消毒卫生知识及有关卫生标准的培训，取得健康体检合格证明和卫生培训合格证后方可上岗。患有活动性肺结核、病毒性肝炎、肠道传染病患者及病原携带者，化脓性或慢性渗出性皮肤病等各种传染性疾病患者不得从事洗衣及驻点工作。</w:t>
      </w:r>
    </w:p>
    <w:p w14:paraId="38346A38">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2.10布服晾（烘）干、熨烫、摺叠、储存要求:</w:t>
      </w:r>
    </w:p>
    <w:p w14:paraId="27678C5C">
      <w:pPr>
        <w:pStyle w:val="73"/>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(1)对工作人员和病人布服；一般污染和传染性的布服洗涤消毒后要分区晾（烘）干、熨烫（仅指工作服）、摺叠和储存，不得混杂。熨烫时要特别注意曾受或易受污染之处。</w:t>
      </w:r>
    </w:p>
    <w:p w14:paraId="3DEF096A">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(2)儿科布服应有专用烘干、摺叠、储存布服处，不可与其他布服混淆。</w:t>
      </w:r>
    </w:p>
    <w:p w14:paraId="376BC3B6">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2.11洗净布服质量要求:</w:t>
      </w:r>
    </w:p>
    <w:p w14:paraId="3BB660A4">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★(1)每年提供两次由市级及市级以上卫生防疫部门对洗净布服消毒效果的监测报告，达到相关标准。</w:t>
      </w:r>
    </w:p>
    <w:p w14:paraId="21F166D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(2)洗净布服要做到无异味、无臭味、无污渍、无血渍、无破损。</w:t>
      </w:r>
    </w:p>
    <w:p w14:paraId="7C100D20">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(3)免费对有破损、掉纽扣的衣物进行修补，实在不能修补的,以书面方式提请医院办理衣物报废。</w:t>
      </w:r>
    </w:p>
    <w:p w14:paraId="1C7AA87A">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2.12布服收集运送要求:</w:t>
      </w:r>
    </w:p>
    <w:p w14:paraId="731B5FF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(1)医务人员污布服（工作服、值班被服）与病人污布服必须分开、分类，清点、收集并分袋独立密封包装，不得混放。被血液污染或被传染性病人使用过的被服应放置于黄色塑料袋内，扎紧袋口，外贴隔离标志。</w:t>
      </w:r>
    </w:p>
    <w:p w14:paraId="585A37DD">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(2)每天按时到医院各科室收、送出洗的衣物，按数量送回，不能丢失衣物。</w:t>
      </w:r>
    </w:p>
    <w:p w14:paraId="535CD17B">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(3)收污衣物人员须做好个人防护措施，如穿戴防护服、手套、口罩、帽子等（由中标人自行配置）。</w:t>
      </w:r>
    </w:p>
    <w:p w14:paraId="4E0D8FD9">
      <w:pPr>
        <w:pStyle w:val="75"/>
        <w:autoSpaceDE/>
        <w:autoSpaceDN/>
        <w:adjustRightInd/>
        <w:spacing w:before="0" w:after="0"/>
        <w:ind w:firstLine="460" w:firstLineChars="200"/>
        <w:rPr>
          <w:rStyle w:val="74"/>
          <w:rFonts w:hint="eastAsia" w:hAnsi="宋体"/>
          <w:bCs w:val="0"/>
          <w:color w:val="000000" w:themeColor="text1"/>
          <w:kern w:val="2"/>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w:t>
      </w:r>
      <w:r>
        <w:rPr>
          <w:rStyle w:val="74"/>
          <w:rFonts w:hint="eastAsia" w:hAnsi="宋体"/>
          <w:bCs w:val="0"/>
          <w:color w:val="000000" w:themeColor="text1"/>
          <w:kern w:val="2"/>
          <w:sz w:val="21"/>
          <w:szCs w:val="21"/>
          <w14:textFill>
            <w14:solidFill>
              <w14:schemeClr w14:val="tx1"/>
            </w14:solidFill>
          </w14:textFill>
        </w:rPr>
        <w:t>中标人每次回收采购人单位的被服时，有责任清点、检查、核实被服物资的数量、是否有损坏（污渍或破损）等。同时鉴别被服布类的可洗涤程度，及时将已损坏的被服物资告知采购人。否则，视作无损坏的被服，如发现洗涤后被服的损坏或丢失情况，中标人将承担全部责任。</w:t>
      </w:r>
    </w:p>
    <w:p w14:paraId="607223C3">
      <w:pPr>
        <w:pStyle w:val="73"/>
        <w:ind w:firstLine="420" w:firstLineChars="200"/>
        <w:rPr>
          <w:rFonts w:hint="eastAsia" w:ascii="宋体" w:hAnsi="宋体" w:cs="宋体"/>
          <w:color w:val="000000" w:themeColor="text1"/>
          <w:szCs w:val="21"/>
          <w14:textFill>
            <w14:solidFill>
              <w14:schemeClr w14:val="tx1"/>
            </w14:solidFill>
          </w14:textFill>
        </w:rPr>
      </w:pPr>
    </w:p>
    <w:p w14:paraId="3421BA6F">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2.13布服收集运送工具配置要求：</w:t>
      </w:r>
    </w:p>
    <w:p w14:paraId="1D29BFA4">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运送车辆：运送机动车辆共1台，用于送衣和接衣。车辆在每次运送洁净布服前必须按照相关标准进行严格的消毒处理，每天先运送洁净布服后再接运污衣。装运洁净布服的车辆必须经过严格的消毒清洗和1小时以上的紫外线灭菌方能装车运送，禁止和污染布服和洁净布服混送。禁止洁污布服混合一起运送，违者罚违约金1000元/次。前往采购人院区载（收）布服时，须遵守采购人院区停车场管理规定及卸货注意事项。</w:t>
      </w:r>
    </w:p>
    <w:p w14:paraId="3BE2CCF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（2）运送通道：必须按我院规定的洁污专用通道装卸布服，不得交叉通行。</w:t>
      </w:r>
    </w:p>
    <w:p w14:paraId="5175CDBC">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收送布服：收集布服时传染性污染布服、有明显污染的病人布服、一般病人布服及医护工作人员的工作衣服、帽子和口罩应分开打包。布服收集袋应保持密闭直至清洗。所有洗净布服应按工作人员与病人、一般污染与传染性污染分类，并用不同的袋子或塑料箱运送。</w:t>
      </w:r>
    </w:p>
    <w:p w14:paraId="7CD1DAF6">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（4）装载采购人的污衣和洁衣所使用的袋(箱)应有采购人的全称或简称的明显标识，不能使用其它医院的袋(箱)。</w:t>
      </w:r>
    </w:p>
    <w:p w14:paraId="6806AE61">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★2.14洗衣房环境卫生、运送工具的清洁消毒要求：（</w:t>
      </w:r>
      <w:r>
        <w:rPr>
          <w:rFonts w:hint="eastAsia"/>
          <w:color w:val="000000" w:themeColor="text1"/>
          <w14:textFill>
            <w14:solidFill>
              <w14:schemeClr w14:val="tx1"/>
            </w14:solidFill>
          </w14:textFill>
        </w:rPr>
        <w:t>需投标人内部工作流程要求作为证明文件）</w:t>
      </w:r>
    </w:p>
    <w:p w14:paraId="3134662B">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（1）半污染区、污染区的清洁消毒：上班时打开窗户、保持良好通风，上、下午工作后用含500mg/L有效氯溶液拖地一次后，用紫外线灯照射1小时，并做好相关登记记录。</w:t>
      </w:r>
    </w:p>
    <w:p w14:paraId="2DAB8DC4">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（2）清洁区的保洁：上班时开窗通风，用清水擦拭桌、椅、工作台面、拖地一次，保持清洁。下班时关闭门窗，减少灰尘和风沙，地面再用清水拖擦一次。</w:t>
      </w:r>
    </w:p>
    <w:p w14:paraId="7DEE1CC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（3）机动车辆每天运送工作结束后，必须用10000mg/L含氯消毒剂进行车内外喷雾至表面湿润，作用60min，并做好相关记录。</w:t>
      </w:r>
    </w:p>
    <w:p w14:paraId="1C4D089B">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（4）洗衣房的污布服装卸手推车每日用1000mg/L含氯消毒剂擦拭消毒，洁净布服手推车每日用清水进行擦拭。</w:t>
      </w:r>
    </w:p>
    <w:p w14:paraId="21A345DD">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（5）清洁卫生用具分区标识，分区使用，不准跨区，用后清洁消毒、洗净挂起晾干。</w:t>
      </w:r>
    </w:p>
    <w:p w14:paraId="24A331B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（6）对洗后衣物、工作区空气、洗衣机把手、熨烫台、工作人员的手等每月进行监测。医院将随时对监测结果进行检查，并在每年年底，将所有月度监测结果复印件交医院存档。</w:t>
      </w:r>
    </w:p>
    <w:p w14:paraId="0F6000E6">
      <w:pPr>
        <w:pStyle w:val="35"/>
        <w:ind w:firstLine="200"/>
        <w:rPr>
          <w:rStyle w:val="74"/>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r>
        <w:rPr>
          <w:rStyle w:val="74"/>
          <w:rFonts w:hint="eastAsia" w:ascii="宋体" w:hAnsi="宋体" w:cs="宋体"/>
          <w:b/>
          <w:color w:val="000000" w:themeColor="text1"/>
          <w:szCs w:val="21"/>
          <w14:textFill>
            <w14:solidFill>
              <w14:schemeClr w14:val="tx1"/>
            </w14:solidFill>
          </w14:textFill>
        </w:rPr>
        <w:t>员工要求及服务要求</w:t>
      </w:r>
    </w:p>
    <w:p w14:paraId="353A62EE">
      <w:pPr>
        <w:pStyle w:val="35"/>
        <w:ind w:firstLine="279" w:firstLineChars="133"/>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中标人每日必需提供足够的现场驻点工作人员（不得少于3人），执行院区各区域清洁布服每日需求量的供应及污衣收取的工作，且载货驾驶不得列为现场工作人员。中标人现场驻点工作人员上岗前必须体检（要求合同签订后一个月内完成体检，并将员工体检资料交采购人保管）。</w:t>
      </w:r>
    </w:p>
    <w:p w14:paraId="3E56FEEB">
      <w:pPr>
        <w:pStyle w:val="35"/>
        <w:ind w:firstLine="210" w:firstLineChars="100"/>
        <w:rPr>
          <w:rStyle w:val="74"/>
          <w:rFonts w:hint="eastAsia"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3.2驻点员工必须身体健康，年龄不得超过60岁，初中或以上学历，</w:t>
      </w:r>
      <w:r>
        <w:rPr>
          <w:rFonts w:hint="eastAsia" w:ascii="宋体" w:hAnsi="宋体" w:cs="宋体"/>
          <w:color w:val="000000" w:themeColor="text1"/>
          <w:spacing w:val="-12"/>
          <w:szCs w:val="21"/>
          <w14:textFill>
            <w14:solidFill>
              <w14:schemeClr w14:val="tx1"/>
            </w14:solidFill>
          </w14:textFill>
        </w:rPr>
        <w:t>形象端正、遵纪守法、无犯罪记录、</w:t>
      </w:r>
      <w:r>
        <w:rPr>
          <w:rFonts w:hint="eastAsia" w:ascii="宋体" w:hAnsi="宋体" w:cs="宋体"/>
          <w:color w:val="000000" w:themeColor="text1"/>
          <w:spacing w:val="-13"/>
          <w:szCs w:val="21"/>
          <w14:textFill>
            <w14:solidFill>
              <w14:schemeClr w14:val="tx1"/>
            </w14:solidFill>
          </w14:textFill>
        </w:rPr>
        <w:t>无不良行为倾向，</w:t>
      </w:r>
      <w:r>
        <w:rPr>
          <w:rStyle w:val="74"/>
          <w:rFonts w:hint="eastAsia" w:ascii="宋体" w:hAnsi="宋体" w:cs="宋体"/>
          <w:color w:val="000000" w:themeColor="text1"/>
          <w:szCs w:val="21"/>
          <w14:textFill>
            <w14:solidFill>
              <w14:schemeClr w14:val="tx1"/>
            </w14:solidFill>
          </w14:textFill>
        </w:rPr>
        <w:t>在</w:t>
      </w:r>
      <w:r>
        <w:rPr>
          <w:rStyle w:val="74"/>
          <w:rFonts w:hint="eastAsia" w:ascii="宋体" w:hAnsi="宋体" w:cs="宋体"/>
          <w:color w:val="000000" w:themeColor="text1"/>
          <w:kern w:val="2"/>
          <w:szCs w:val="21"/>
          <w14:textFill>
            <w14:solidFill>
              <w14:schemeClr w14:val="tx1"/>
            </w14:solidFill>
          </w14:textFill>
        </w:rPr>
        <w:t>岗</w:t>
      </w:r>
      <w:r>
        <w:rPr>
          <w:rStyle w:val="74"/>
          <w:rFonts w:hint="eastAsia" w:ascii="宋体" w:hAnsi="宋体" w:cs="宋体"/>
          <w:color w:val="000000" w:themeColor="text1"/>
          <w:szCs w:val="21"/>
          <w14:textFill>
            <w14:solidFill>
              <w14:schemeClr w14:val="tx1"/>
            </w14:solidFill>
          </w14:textFill>
        </w:rPr>
        <w:t>时工求</w:t>
      </w:r>
      <w:r>
        <w:rPr>
          <w:rStyle w:val="74"/>
          <w:rFonts w:hint="eastAsia" w:ascii="宋体" w:hAnsi="宋体" w:cs="宋体"/>
          <w:bCs/>
          <w:color w:val="000000" w:themeColor="text1"/>
          <w:kern w:val="2"/>
          <w:szCs w:val="21"/>
          <w14:textFill>
            <w14:solidFill>
              <w14:schemeClr w14:val="tx1"/>
            </w14:solidFill>
          </w14:textFill>
        </w:rPr>
        <w:t>着装统一、佩戴工牌</w:t>
      </w:r>
      <w:r>
        <w:rPr>
          <w:rFonts w:hint="eastAsia" w:ascii="宋体" w:hAnsi="宋体" w:cs="宋体"/>
          <w:color w:val="000000" w:themeColor="text1"/>
          <w:szCs w:val="21"/>
          <w14:textFill>
            <w14:solidFill>
              <w14:schemeClr w14:val="tx1"/>
            </w14:solidFill>
          </w14:textFill>
        </w:rPr>
        <w:t>（服装制作及费用由中标人负责）</w:t>
      </w:r>
      <w:r>
        <w:rPr>
          <w:rStyle w:val="74"/>
          <w:rFonts w:hint="eastAsia" w:ascii="宋体" w:hAnsi="宋体" w:cs="宋体"/>
          <w:color w:val="000000" w:themeColor="text1"/>
          <w:kern w:val="2"/>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应遵守采购人出入门禁管制规定。</w:t>
      </w:r>
      <w:r>
        <w:rPr>
          <w:rStyle w:val="74"/>
          <w:rFonts w:hint="eastAsia" w:ascii="宋体" w:hAnsi="宋体" w:cs="宋体"/>
          <w:color w:val="000000" w:themeColor="text1"/>
          <w:kern w:val="2"/>
          <w:szCs w:val="21"/>
          <w14:textFill>
            <w14:solidFill>
              <w14:schemeClr w14:val="tx1"/>
            </w14:solidFill>
          </w14:textFill>
        </w:rPr>
        <w:t>采购人将不定期检查值班人员在岗情况，一旦发现值班人员无故脱岗或病区反映无人受理（采购人查证属实），支付采购人100元/次违约金。如因此影响采购人突发应急医疗的，将追究中标人的相应责任。</w:t>
      </w:r>
    </w:p>
    <w:p w14:paraId="68824421">
      <w:pPr>
        <w:pStyle w:val="75"/>
        <w:autoSpaceDE/>
        <w:autoSpaceDN/>
        <w:adjustRightInd/>
        <w:spacing w:before="0" w:after="0"/>
        <w:ind w:firstLine="230" w:firstLineChars="100"/>
        <w:rPr>
          <w:rStyle w:val="74"/>
          <w:rFonts w:hint="eastAsia" w:hAnsi="宋体"/>
          <w:bCs w:val="0"/>
          <w:color w:val="000000" w:themeColor="text1"/>
          <w:kern w:val="2"/>
          <w:sz w:val="21"/>
          <w:szCs w:val="21"/>
          <w14:textFill>
            <w14:solidFill>
              <w14:schemeClr w14:val="tx1"/>
            </w14:solidFill>
          </w14:textFill>
        </w:rPr>
      </w:pPr>
      <w:r>
        <w:rPr>
          <w:rStyle w:val="74"/>
          <w:rFonts w:hint="eastAsia" w:hAnsi="宋体"/>
          <w:color w:val="000000" w:themeColor="text1"/>
          <w:kern w:val="2"/>
          <w:sz w:val="21"/>
          <w:szCs w:val="21"/>
          <w14:textFill>
            <w14:solidFill>
              <w14:schemeClr w14:val="tx1"/>
            </w14:solidFill>
          </w14:textFill>
        </w:rPr>
        <w:t>3.3★</w:t>
      </w:r>
      <w:r>
        <w:rPr>
          <w:rStyle w:val="74"/>
          <w:rFonts w:hint="eastAsia" w:hAnsi="宋体"/>
          <w:bCs w:val="0"/>
          <w:color w:val="000000" w:themeColor="text1"/>
          <w:kern w:val="2"/>
          <w:sz w:val="21"/>
          <w:szCs w:val="21"/>
          <w14:textFill>
            <w14:solidFill>
              <w14:schemeClr w14:val="tx1"/>
            </w14:solidFill>
          </w14:textFill>
        </w:rPr>
        <w:t>中标人所派驻人员不准为有吸毒行为或盗窃行为人员；必须保守采购人及患者的秘密，不准拍工作内容以外的照片，不得将工作照片外传；不准到与工作无关的地方乱转。</w:t>
      </w:r>
    </w:p>
    <w:p w14:paraId="7E7129D6">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3.4中标人另须派管理人员一名驻场，管理人员须有大专或以上学历，且</w:t>
      </w:r>
      <w:r>
        <w:rPr>
          <w:rStyle w:val="74"/>
          <w:rFonts w:hint="eastAsia" w:ascii="宋体" w:hAnsi="宋体" w:cs="宋体"/>
          <w:color w:val="000000" w:themeColor="text1"/>
          <w:kern w:val="2"/>
          <w:szCs w:val="21"/>
          <w14:textFill>
            <w14:solidFill>
              <w14:schemeClr w14:val="tx1"/>
            </w14:solidFill>
          </w14:textFill>
        </w:rPr>
        <w:t>具有两年以上相关工作经验，</w:t>
      </w:r>
      <w:r>
        <w:rPr>
          <w:rFonts w:hint="eastAsia" w:ascii="宋体" w:hAnsi="宋体" w:cs="宋体"/>
          <w:color w:val="000000" w:themeColor="text1"/>
          <w:szCs w:val="21"/>
          <w14:textFill>
            <w14:solidFill>
              <w14:schemeClr w14:val="tx1"/>
            </w14:solidFill>
          </w14:textFill>
        </w:rPr>
        <w:t>每周来现场不少于3天。管理人员负责巡视日常收送工作质量，处理采购人投诉，并做好登记，配合采购人做好其他布服洗涤相关工作。</w:t>
      </w:r>
    </w:p>
    <w:p w14:paraId="2DF7B1BA">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3.5★在服务期内，中标人必须做好驻现场工作人员所需要的安全教育及安全措施，</w:t>
      </w:r>
      <w:r>
        <w:rPr>
          <w:rFonts w:hint="eastAsia" w:ascii="宋体" w:hAnsi="宋体" w:cs="宋体"/>
          <w:color w:val="000000" w:themeColor="text1"/>
          <w:spacing w:val="-12"/>
          <w:szCs w:val="21"/>
          <w14:textFill>
            <w14:solidFill>
              <w14:schemeClr w14:val="tx1"/>
            </w14:solidFill>
          </w14:textFill>
        </w:rPr>
        <w:t>保证其工作人员的安全，</w:t>
      </w:r>
      <w:r>
        <w:rPr>
          <w:rFonts w:hint="eastAsia" w:ascii="宋体" w:hAnsi="宋体" w:cs="宋体"/>
          <w:color w:val="000000" w:themeColor="text1"/>
          <w:szCs w:val="21"/>
          <w14:textFill>
            <w14:solidFill>
              <w14:schemeClr w14:val="tx1"/>
            </w14:solidFill>
          </w14:textFill>
        </w:rPr>
        <w:t>中标人</w:t>
      </w:r>
      <w:r>
        <w:rPr>
          <w:rFonts w:hint="eastAsia" w:ascii="宋体" w:hAnsi="宋体" w:cs="宋体"/>
          <w:color w:val="000000" w:themeColor="text1"/>
          <w:spacing w:val="-12"/>
          <w:szCs w:val="21"/>
          <w14:textFill>
            <w14:solidFill>
              <w14:schemeClr w14:val="tx1"/>
            </w14:solidFill>
          </w14:textFill>
        </w:rPr>
        <w:t>工作人员在采购人工作场所范围内发生事故的一切责任由中标人</w:t>
      </w:r>
      <w:r>
        <w:rPr>
          <w:rFonts w:hint="eastAsia" w:ascii="宋体" w:hAnsi="宋体" w:cs="宋体"/>
          <w:color w:val="000000" w:themeColor="text1"/>
          <w:spacing w:val="-9"/>
          <w:szCs w:val="21"/>
          <w14:textFill>
            <w14:solidFill>
              <w14:schemeClr w14:val="tx1"/>
            </w14:solidFill>
          </w14:textFill>
        </w:rPr>
        <w:t>负责。</w:t>
      </w:r>
    </w:p>
    <w:p w14:paraId="4645B983">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3.6★中标人须遵循《劳动法》、《劳动合同法》的有关规定与</w:t>
      </w:r>
      <w:r>
        <w:rPr>
          <w:rFonts w:hint="eastAsia" w:ascii="宋体" w:hAnsi="宋体" w:cs="宋体"/>
          <w:color w:val="000000" w:themeColor="text1"/>
          <w:spacing w:val="-10"/>
          <w:szCs w:val="21"/>
          <w14:textFill>
            <w14:solidFill>
              <w14:schemeClr w14:val="tx1"/>
            </w14:solidFill>
          </w14:textFill>
        </w:rPr>
        <w:t>其派驻人员</w:t>
      </w:r>
      <w:r>
        <w:rPr>
          <w:rFonts w:hint="eastAsia" w:ascii="宋体" w:hAnsi="宋体" w:cs="宋体"/>
          <w:color w:val="000000" w:themeColor="text1"/>
          <w:spacing w:val="-4"/>
          <w:szCs w:val="21"/>
          <w14:textFill>
            <w14:solidFill>
              <w14:schemeClr w14:val="tx1"/>
            </w14:solidFill>
          </w14:textFill>
        </w:rPr>
        <w:t>签订劳动合同，建立劳动关系，如因用工引起的劳动纠纷</w:t>
      </w:r>
      <w:r>
        <w:rPr>
          <w:rFonts w:hint="eastAsia" w:ascii="宋体" w:hAnsi="宋体" w:cs="宋体"/>
          <w:color w:val="000000" w:themeColor="text1"/>
          <w:spacing w:val="-5"/>
          <w:szCs w:val="21"/>
          <w14:textFill>
            <w14:solidFill>
              <w14:schemeClr w14:val="tx1"/>
            </w14:solidFill>
          </w14:textFill>
        </w:rPr>
        <w:t>问题由中标人</w:t>
      </w:r>
      <w:r>
        <w:rPr>
          <w:rFonts w:hint="eastAsia" w:ascii="宋体" w:hAnsi="宋体" w:cs="宋体"/>
          <w:color w:val="000000" w:themeColor="text1"/>
          <w:spacing w:val="1"/>
          <w:szCs w:val="21"/>
          <w14:textFill>
            <w14:solidFill>
              <w14:schemeClr w14:val="tx1"/>
            </w14:solidFill>
          </w14:textFill>
        </w:rPr>
        <w:t>负责解决</w:t>
      </w:r>
      <w:r>
        <w:rPr>
          <w:rFonts w:hint="eastAsia" w:ascii="宋体" w:hAnsi="宋体" w:cs="宋体"/>
          <w:b/>
          <w:color w:val="000000" w:themeColor="text1"/>
          <w:szCs w:val="21"/>
          <w14:textFill>
            <w14:solidFill>
              <w14:schemeClr w14:val="tx1"/>
            </w14:solidFill>
          </w14:textFill>
        </w:rPr>
        <w:t>(中标后要提供纸质盖章版及电子</w:t>
      </w:r>
      <w:r>
        <w:rPr>
          <w:rFonts w:hint="eastAsia" w:ascii="宋体" w:hAnsi="宋体" w:cs="宋体"/>
          <w:b/>
          <w:color w:val="000000" w:themeColor="text1"/>
          <w:spacing w:val="5"/>
          <w:szCs w:val="21"/>
          <w14:textFill>
            <w14:solidFill>
              <w14:schemeClr w14:val="tx1"/>
            </w14:solidFill>
          </w14:textFill>
        </w:rPr>
        <w:t>版的承诺书)</w:t>
      </w:r>
      <w:r>
        <w:rPr>
          <w:rFonts w:hint="eastAsia" w:ascii="宋体" w:hAnsi="宋体" w:cs="宋体"/>
          <w:color w:val="000000" w:themeColor="text1"/>
          <w:spacing w:val="1"/>
          <w:szCs w:val="21"/>
          <w14:textFill>
            <w14:solidFill>
              <w14:schemeClr w14:val="tx1"/>
            </w14:solidFill>
          </w14:textFill>
        </w:rPr>
        <w:t>。因中标人派驻人员与采购人产生劳动争议时，中标人应承担一切法律责任，并赔偿采购人因此遭受的一切经济损</w:t>
      </w:r>
      <w:r>
        <w:rPr>
          <w:rFonts w:hint="eastAsia" w:ascii="宋体" w:hAnsi="宋体" w:cs="宋体"/>
          <w:color w:val="000000" w:themeColor="text1"/>
          <w:spacing w:val="-13"/>
          <w:szCs w:val="21"/>
          <w14:textFill>
            <w14:solidFill>
              <w14:schemeClr w14:val="tx1"/>
            </w14:solidFill>
          </w14:textFill>
        </w:rPr>
        <w:t>失。</w:t>
      </w:r>
    </w:p>
    <w:p w14:paraId="2BB5B69D">
      <w:pPr>
        <w:pStyle w:val="35"/>
        <w:ind w:firstLine="200"/>
        <w:rPr>
          <w:rFonts w:hint="eastAsia" w:ascii="宋体" w:hAnsi="宋体" w:cs="宋体"/>
          <w:color w:val="000000" w:themeColor="text1"/>
          <w:spacing w:val="-1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w:t>
      </w:r>
      <w:r>
        <w:rPr>
          <w:rFonts w:hint="eastAsia" w:ascii="宋体" w:hAnsi="宋体" w:cs="宋体"/>
          <w:color w:val="000000" w:themeColor="text1"/>
          <w:spacing w:val="-2"/>
          <w:szCs w:val="21"/>
          <w14:textFill>
            <w14:solidFill>
              <w14:schemeClr w14:val="tx1"/>
            </w14:solidFill>
          </w14:textFill>
        </w:rPr>
        <w:t>人员待遇按广州市劳动用工相关标准执行，中标人应按广州市人社</w:t>
      </w:r>
      <w:r>
        <w:rPr>
          <w:rFonts w:hint="eastAsia" w:ascii="宋体" w:hAnsi="宋体" w:cs="宋体"/>
          <w:color w:val="000000" w:themeColor="text1"/>
          <w:spacing w:val="-13"/>
          <w:szCs w:val="21"/>
          <w14:textFill>
            <w14:solidFill>
              <w14:schemeClr w14:val="tx1"/>
            </w14:solidFill>
          </w14:textFill>
        </w:rPr>
        <w:t>部门的相关要求为工作人员交纳养老保险、失业保险、工伤、生育、医疗和住房</w:t>
      </w:r>
      <w:r>
        <w:rPr>
          <w:rFonts w:hint="eastAsia" w:ascii="宋体" w:hAnsi="宋体" w:cs="宋体"/>
          <w:color w:val="000000" w:themeColor="text1"/>
          <w:szCs w:val="21"/>
          <w14:textFill>
            <w14:solidFill>
              <w14:schemeClr w14:val="tx1"/>
            </w14:solidFill>
          </w14:textFill>
        </w:rPr>
        <w:t>公积金；同时须为工作人员购买员工意外保险</w:t>
      </w:r>
      <w:r>
        <w:rPr>
          <w:rFonts w:hint="eastAsia" w:ascii="宋体" w:hAnsi="宋体" w:cs="宋体"/>
          <w:b/>
          <w:color w:val="000000" w:themeColor="text1"/>
          <w:szCs w:val="21"/>
          <w14:textFill>
            <w14:solidFill>
              <w14:schemeClr w14:val="tx1"/>
            </w14:solidFill>
          </w14:textFill>
        </w:rPr>
        <w:t>(中标后要提供纸质盖章版及电子</w:t>
      </w:r>
      <w:r>
        <w:rPr>
          <w:rFonts w:hint="eastAsia" w:ascii="宋体" w:hAnsi="宋体" w:cs="宋体"/>
          <w:b/>
          <w:color w:val="000000" w:themeColor="text1"/>
          <w:spacing w:val="5"/>
          <w:szCs w:val="21"/>
          <w14:textFill>
            <w14:solidFill>
              <w14:schemeClr w14:val="tx1"/>
            </w14:solidFill>
          </w14:textFill>
        </w:rPr>
        <w:t>版的承诺书)</w:t>
      </w:r>
      <w:r>
        <w:rPr>
          <w:rFonts w:hint="eastAsia" w:ascii="宋体" w:hAnsi="宋体" w:cs="宋体"/>
          <w:color w:val="000000" w:themeColor="text1"/>
          <w:spacing w:val="5"/>
          <w:szCs w:val="21"/>
          <w14:textFill>
            <w14:solidFill>
              <w14:schemeClr w14:val="tx1"/>
            </w14:solidFill>
          </w14:textFill>
        </w:rPr>
        <w:t>。如采购人发现中标人未按国家规定为员</w:t>
      </w:r>
      <w:r>
        <w:rPr>
          <w:rFonts w:hint="eastAsia" w:ascii="宋体" w:hAnsi="宋体" w:cs="宋体"/>
          <w:color w:val="000000" w:themeColor="text1"/>
          <w:spacing w:val="4"/>
          <w:szCs w:val="21"/>
          <w14:textFill>
            <w14:solidFill>
              <w14:schemeClr w14:val="tx1"/>
            </w14:solidFill>
          </w14:textFill>
        </w:rPr>
        <w:t>工购买</w:t>
      </w:r>
      <w:r>
        <w:rPr>
          <w:rFonts w:hint="eastAsia" w:ascii="宋体" w:hAnsi="宋体" w:cs="宋体"/>
          <w:color w:val="000000" w:themeColor="text1"/>
          <w:spacing w:val="-11"/>
          <w:szCs w:val="21"/>
          <w14:textFill>
            <w14:solidFill>
              <w14:schemeClr w14:val="tx1"/>
            </w14:solidFill>
          </w14:textFill>
        </w:rPr>
        <w:t>“五险一金”,或未主动按规范给员工提供工资单明细的，违</w:t>
      </w:r>
      <w:r>
        <w:rPr>
          <w:rFonts w:hint="eastAsia" w:ascii="宋体" w:hAnsi="宋体" w:cs="宋体"/>
          <w:color w:val="000000" w:themeColor="text1"/>
          <w:spacing w:val="-12"/>
          <w:szCs w:val="21"/>
          <w14:textFill>
            <w14:solidFill>
              <w14:schemeClr w14:val="tx1"/>
            </w14:solidFill>
          </w14:textFill>
        </w:rPr>
        <w:t>约责任由中标人</w:t>
      </w:r>
      <w:r>
        <w:rPr>
          <w:rFonts w:hint="eastAsia" w:ascii="宋体" w:hAnsi="宋体" w:cs="宋体"/>
          <w:color w:val="000000" w:themeColor="text1"/>
          <w:spacing w:val="5"/>
          <w:szCs w:val="21"/>
          <w14:textFill>
            <w14:solidFill>
              <w14:schemeClr w14:val="tx1"/>
            </w14:solidFill>
          </w14:textFill>
        </w:rPr>
        <w:t>负责，由此造成的一切损失均由中标人负责，采购</w:t>
      </w:r>
      <w:r>
        <w:rPr>
          <w:rFonts w:hint="eastAsia" w:ascii="宋体" w:hAnsi="宋体" w:cs="宋体"/>
          <w:color w:val="000000" w:themeColor="text1"/>
          <w:spacing w:val="4"/>
          <w:szCs w:val="21"/>
          <w14:textFill>
            <w14:solidFill>
              <w14:schemeClr w14:val="tx1"/>
            </w14:solidFill>
          </w14:textFill>
        </w:rPr>
        <w:t>人无连</w:t>
      </w:r>
      <w:r>
        <w:rPr>
          <w:rFonts w:hint="eastAsia" w:ascii="宋体" w:hAnsi="宋体" w:cs="宋体"/>
          <w:color w:val="000000" w:themeColor="text1"/>
          <w:spacing w:val="-12"/>
          <w:szCs w:val="21"/>
          <w14:textFill>
            <w14:solidFill>
              <w14:schemeClr w14:val="tx1"/>
            </w14:solidFill>
          </w14:textFill>
        </w:rPr>
        <w:t>带关系和责任。</w:t>
      </w:r>
    </w:p>
    <w:p w14:paraId="1D75E055">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w:t>
      </w:r>
      <w:r>
        <w:rPr>
          <w:rStyle w:val="74"/>
          <w:rFonts w:hint="eastAsia" w:ascii="宋体" w:hAnsi="宋体" w:cs="宋体"/>
          <w:color w:val="000000" w:themeColor="text1"/>
          <w:kern w:val="2"/>
          <w:szCs w:val="21"/>
          <w14:textFill>
            <w14:solidFill>
              <w14:schemeClr w14:val="tx1"/>
            </w14:solidFill>
          </w14:textFill>
        </w:rPr>
        <w:t>采购人单位发生突发、紧急、特殊的应急情况时或有特殊任务需要紧急临时增加人员投入时，中标人及其员工应有服从采购人相关管理者的调遣和指挥并参与应急或值班工作，费用不另追加。</w:t>
      </w:r>
    </w:p>
    <w:p w14:paraId="5A675E85">
      <w:pPr>
        <w:pStyle w:val="35"/>
        <w:ind w:firstLine="200"/>
        <w:rPr>
          <w:rStyle w:val="74"/>
          <w:rFonts w:hint="eastAsia"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3.9</w:t>
      </w:r>
      <w:r>
        <w:rPr>
          <w:rStyle w:val="74"/>
          <w:rFonts w:hint="eastAsia" w:ascii="宋体" w:hAnsi="宋体" w:cs="宋体"/>
          <w:color w:val="000000" w:themeColor="text1"/>
          <w:kern w:val="2"/>
          <w:szCs w:val="21"/>
          <w14:textFill>
            <w14:solidFill>
              <w14:schemeClr w14:val="tx1"/>
            </w14:solidFill>
          </w14:textFill>
        </w:rPr>
        <w:t>中标人对各类岗位的员工不得随意更换，如需要更换须首先征得采购人的同意，同时更换的比例不超过各类工作人员的20%，在新的员工未到岗之前，原来的员工不得离开其岗位，新员工的综合素质不得低于原有的员工。</w:t>
      </w:r>
    </w:p>
    <w:p w14:paraId="7B8BF6C6">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3.10</w:t>
      </w:r>
      <w:r>
        <w:rPr>
          <w:rStyle w:val="74"/>
          <w:rFonts w:hint="eastAsia" w:ascii="宋体" w:hAnsi="宋体" w:cs="宋体"/>
          <w:color w:val="000000" w:themeColor="text1"/>
          <w:kern w:val="2"/>
          <w:szCs w:val="21"/>
          <w14:textFill>
            <w14:solidFill>
              <w14:schemeClr w14:val="tx1"/>
            </w14:solidFill>
          </w14:textFill>
        </w:rPr>
        <w:t>中标人应全面负责处理其服务范围内的各种冲突、纠纷，并承担由此引起的相应经济法律等责任。中标人雇佣的员工偷盗医院、患者财物的，采购人有权单独或会同中标人一起处理。处理措施包括但不仅限于赔礼道歉、经济赔偿、支付违约金直至追究民事和刑事责任，中标人应积极协助司法机关进行调查处理并需赔偿当事人相应的经济损失。</w:t>
      </w:r>
    </w:p>
    <w:p w14:paraId="5643D55E">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3.11</w:t>
      </w:r>
      <w:r>
        <w:rPr>
          <w:rStyle w:val="74"/>
          <w:rFonts w:hint="eastAsia" w:ascii="宋体" w:hAnsi="宋体" w:cs="宋体"/>
          <w:color w:val="000000" w:themeColor="text1"/>
          <w:kern w:val="2"/>
          <w:szCs w:val="21"/>
          <w14:textFill>
            <w14:solidFill>
              <w14:schemeClr w14:val="tx1"/>
            </w14:solidFill>
          </w14:textFill>
        </w:rPr>
        <w:t>因中标人员工的失职、渎职、违反规章制度导致病人伤害及由此引起的医疗纠纷，由中标人承担全部责任。</w:t>
      </w:r>
    </w:p>
    <w:p w14:paraId="0C2C40CE">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3.12</w:t>
      </w:r>
      <w:r>
        <w:rPr>
          <w:rStyle w:val="74"/>
          <w:rFonts w:hint="eastAsia" w:ascii="宋体" w:hAnsi="宋体" w:cs="宋体"/>
          <w:color w:val="000000" w:themeColor="text1"/>
          <w:kern w:val="2"/>
          <w:szCs w:val="21"/>
          <w14:textFill>
            <w14:solidFill>
              <w14:schemeClr w14:val="tx1"/>
            </w14:solidFill>
          </w14:textFill>
        </w:rPr>
        <w:t>中标人应加强管理，要求在采购人工作的所有人员严格遵守采购人的各项规章制度及行为规范。上班时间严禁吸烟，否则视为违约，违约金按照100元/次计算。在医院范围内严禁私自使用各种医院规定外的电器设备(如电饭锅等)，否则视为违约，违约金按照300元/次计算。中标人违反国家消防法及《医院消防管理规定》造成事故损失的，中标人须承担法律责任并赔偿因此造成采购人的一切经济损失。</w:t>
      </w:r>
    </w:p>
    <w:p w14:paraId="3395DFDD">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3.13</w:t>
      </w:r>
      <w:r>
        <w:rPr>
          <w:rStyle w:val="74"/>
          <w:rFonts w:hint="eastAsia" w:ascii="宋体" w:hAnsi="宋体" w:cs="宋体"/>
          <w:color w:val="000000" w:themeColor="text1"/>
          <w:kern w:val="2"/>
          <w:szCs w:val="21"/>
          <w14:textFill>
            <w14:solidFill>
              <w14:schemeClr w14:val="tx1"/>
            </w14:solidFill>
          </w14:textFill>
        </w:rPr>
        <w:t>中标人员工发生一切伤害事件（含工伤、职业暴露等），由中标人承担所有责任及经济赔偿。中标人员工在服务采购人工作过程中发生职业暴露，员工需按采购人要求进行操作流程处理，产生的费用由中标人负担。</w:t>
      </w:r>
    </w:p>
    <w:p w14:paraId="22F89039">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3.14如中标人现场工作人力不能满足采购人相关作业规范时，采购人有权要求中标人增加足够的现场工作人力。</w:t>
      </w:r>
    </w:p>
    <w:p w14:paraId="316F5D6C">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3.15中标人指派的工作人员经采购人业务管理单位认为不适任或不称职时，有权更换且在获书面通知10天内调换，不得拖延。如发现违法、违纪和向院方人员索要财物事件等事件，必须立即更换人员。</w:t>
      </w:r>
    </w:p>
    <w:p w14:paraId="75A5AB8C">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3.16</w:t>
      </w:r>
      <w:r>
        <w:rPr>
          <w:rStyle w:val="74"/>
          <w:rFonts w:hint="eastAsia" w:ascii="宋体" w:hAnsi="宋体" w:cs="宋体"/>
          <w:color w:val="000000" w:themeColor="text1"/>
          <w:kern w:val="2"/>
          <w:szCs w:val="21"/>
          <w14:textFill>
            <w14:solidFill>
              <w14:schemeClr w14:val="tx1"/>
            </w14:solidFill>
          </w14:textFill>
        </w:rPr>
        <w:t>进入采购人各科室、办公室、会议室的收送人员不得随意翻阅桌面材料、文件。进入重要敏感部门如财务办公室、收费处、档案室等更换被服时，应告知工作人员。</w:t>
      </w:r>
    </w:p>
    <w:p w14:paraId="0BBCC70C">
      <w:pPr>
        <w:ind w:firstLine="110" w:firstLineChars="50"/>
        <w:rPr>
          <w:rStyle w:val="74"/>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3.17</w:t>
      </w:r>
      <w:r>
        <w:rPr>
          <w:rStyle w:val="74"/>
          <w:rFonts w:hint="eastAsia" w:ascii="宋体" w:hAnsi="宋体" w:cs="宋体"/>
          <w:color w:val="000000" w:themeColor="text1"/>
          <w:szCs w:val="21"/>
          <w14:textFill>
            <w14:solidFill>
              <w14:schemeClr w14:val="tx1"/>
            </w14:solidFill>
          </w14:textFill>
        </w:rPr>
        <w:t>中标人员工在采购人单位工作期间，须遵守国家法律和采购人的规章制度，应尽到与采购人单位内部员工同等的义务，切实履行相关的工作制度和职责。违反相关制度，可视情节轻重，中标人支付采购人100元至500元的违约金及按采购人的相关制度处理。违约金从当月服务费中扣除。违法行为交由公安司法机关处理。</w:t>
      </w:r>
    </w:p>
    <w:p w14:paraId="260C779F">
      <w:pPr>
        <w:pStyle w:val="35"/>
        <w:ind w:firstLine="200"/>
        <w:rPr>
          <w:rStyle w:val="74"/>
          <w:rFonts w:hint="eastAsia"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3.18</w:t>
      </w:r>
      <w:r>
        <w:rPr>
          <w:rStyle w:val="74"/>
          <w:rFonts w:hint="eastAsia" w:ascii="宋体" w:hAnsi="宋体" w:cs="宋体"/>
          <w:color w:val="000000" w:themeColor="text1"/>
          <w:kern w:val="2"/>
          <w:szCs w:val="21"/>
          <w14:textFill>
            <w14:solidFill>
              <w14:schemeClr w14:val="tx1"/>
            </w14:solidFill>
          </w14:textFill>
        </w:rPr>
        <w:t>中标人员工发生的所有违反国家法律行为都需由中标人承担责任，并配合相关执法部门进行处理。</w:t>
      </w:r>
    </w:p>
    <w:p w14:paraId="644E6FEC">
      <w:pPr>
        <w:pStyle w:val="35"/>
        <w:widowControl w:val="0"/>
        <w:ind w:firstLine="210" w:firstLineChars="10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3.19中标人指派的工作人员经采购人业务管理单位认为不适任或不称职时，有权更换且在获书面通知10天内调换，不得拖延。如发现违法、违纪和向院方人员索要财物事件等事件，必须立即更换人员。</w:t>
      </w:r>
    </w:p>
    <w:p w14:paraId="2494F665">
      <w:pPr>
        <w:pStyle w:val="35"/>
        <w:widowControl w:val="0"/>
        <w:ind w:firstLine="105" w:firstLineChars="5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3.20</w:t>
      </w:r>
      <w:r>
        <w:rPr>
          <w:rStyle w:val="74"/>
          <w:rFonts w:hint="eastAsia" w:ascii="宋体" w:hAnsi="宋体" w:cs="宋体"/>
          <w:color w:val="000000" w:themeColor="text1"/>
          <w:kern w:val="2"/>
          <w:szCs w:val="21"/>
          <w14:textFill>
            <w14:solidFill>
              <w14:schemeClr w14:val="tx1"/>
            </w14:solidFill>
          </w14:textFill>
        </w:rPr>
        <w:t>.中标人履行合约应派驻符合安全规范之合格工作人员，并应于正式工作前，将工作人员名册、编组、配置及职务代理造册送采购人备查。（中标人派驻院区工作人员应为本国籍）人员如有异动，均应事先以口头或电话通知采购人。如中标人提供未列于名册内或未事先通知的人员，采购人可拒绝其进入院区作业。如因此导致作业迟延的，中标人应承担给付延迟的责任；如因此给采购人带来损失的，中标人应赔偿采购人遭受的所有损失。</w:t>
      </w:r>
      <w:r>
        <w:rPr>
          <w:rFonts w:hint="eastAsia" w:ascii="宋体" w:hAnsi="宋体" w:cs="宋体"/>
          <w:color w:val="000000" w:themeColor="text1"/>
          <w:szCs w:val="21"/>
          <w14:textFill>
            <w14:solidFill>
              <w14:schemeClr w14:val="tx1"/>
            </w14:solidFill>
          </w14:textFill>
        </w:rPr>
        <w:t>中标人应缴交派驻人员名册（包含照片、姓名、出生日期、身份证号码、地址、电话等基本资料），并派遣工作人员至采购人院内实地见习及操作，以利熟悉环境与作业程序。</w:t>
      </w:r>
    </w:p>
    <w:p w14:paraId="55EA8A6A">
      <w:pPr>
        <w:pStyle w:val="35"/>
        <w:widowControl w:val="0"/>
        <w:outlineLvl w:val="1"/>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4、其他作业规定</w:t>
      </w:r>
    </w:p>
    <w:p w14:paraId="10B15879">
      <w:pPr>
        <w:pStyle w:val="35"/>
        <w:widowControl w:val="0"/>
        <w:ind w:firstLine="315" w:firstLineChars="15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采购人目前被服暂存点（包括洁衣、污衣）交由中标人管理和使用，中标人应根据院感及被服存放相关要求，对采购人提供的暂存点现有照明、空调、电源、地面、天花等进行适当改造，改造方案应经采购人确认后方可执行，费用由中标人支付。中标人应遵守采购人一切管理规定，并接受指导监督。</w:t>
      </w:r>
    </w:p>
    <w:p w14:paraId="06594728">
      <w:pPr>
        <w:pStyle w:val="35"/>
        <w:widowControl w:val="0"/>
        <w:ind w:firstLine="210" w:firstLineChars="10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4.2采购人的环境及周边卫生，中标人应常保持清洁及宁静状态，并不得在采购人的处所内，从事任何违背政府法令的行为。</w:t>
      </w:r>
    </w:p>
    <w:p w14:paraId="6A262EEA">
      <w:pPr>
        <w:pStyle w:val="35"/>
        <w:widowControl w:val="0"/>
        <w:ind w:firstLine="210" w:firstLineChars="10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4.3中标人送达采购人的所有布服异常的处理：如采购人使用单位发现布服有破损、脏污、血渍、异味、绑带脱落、量不足等异常情形，经通知中标人管理干部后，中标人应于正常作业时间内立即更换合格的产品。</w:t>
      </w:r>
    </w:p>
    <w:p w14:paraId="7D9D4CB7">
      <w:pPr>
        <w:pStyle w:val="35"/>
        <w:widowControl w:val="0"/>
        <w:ind w:firstLine="210" w:firstLineChars="10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4.4中标人有义务维护作业场所环境的清洁卫生，作业场所应每日进行清洁维护工作。设备、工具用毕后应保持清洁，置放整齐；不得随意放置，妨害观瞻及影响安全。如有拾获财物、器械应缴交采购人管理单位依规定处理，不得侵占。</w:t>
      </w:r>
    </w:p>
    <w:p w14:paraId="2FD7624D">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4.5</w:t>
      </w:r>
      <w:r>
        <w:rPr>
          <w:rStyle w:val="74"/>
          <w:rFonts w:hint="eastAsia" w:ascii="宋体" w:hAnsi="宋体" w:cs="宋体"/>
          <w:color w:val="000000" w:themeColor="text1"/>
          <w:kern w:val="2"/>
          <w:szCs w:val="21"/>
          <w14:textFill>
            <w14:solidFill>
              <w14:schemeClr w14:val="tx1"/>
            </w14:solidFill>
          </w14:textFill>
        </w:rPr>
        <w:t>在物资运送过程中，不严格执行操作规程和相关制度导致物品损坏、丢失，造成院方经济损失的，中标人负责补回或赔偿。</w:t>
      </w:r>
    </w:p>
    <w:p w14:paraId="3590EC88">
      <w:pPr>
        <w:pStyle w:val="35"/>
        <w:widowControl w:val="0"/>
        <w:ind w:firstLine="105" w:firstLineChars="5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4.6采购人场所作业时，应符合采购人相关院感控制制度，并不得影响采购人形象或业务运作。中标人在院区内执行污衣物回收作业时，回收车需加装帆布覆盖或用污衣袋装置污布服，且不得任意将装载污衣的污衣车污衣袋随意放置于采购人走道、电梯口或任何空间。</w:t>
      </w:r>
    </w:p>
    <w:p w14:paraId="5D48A128">
      <w:pPr>
        <w:pStyle w:val="35"/>
        <w:widowControl w:val="0"/>
        <w:ind w:firstLine="105" w:firstLineChars="50"/>
        <w:outlineLvl w:val="1"/>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4.7履约期间如遇采购人召开与本项目相关管理协调会议，中标人应派全权代表出席，以利双方沟通，解决问题。</w:t>
      </w:r>
    </w:p>
    <w:p w14:paraId="19405937">
      <w:pPr>
        <w:pStyle w:val="35"/>
        <w:ind w:firstLine="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5、扣罚条款</w:t>
      </w:r>
    </w:p>
    <w:p w14:paraId="60554A22">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5.1含以上各扣罚条款</w:t>
      </w:r>
    </w:p>
    <w:p w14:paraId="2C1045FE">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科室投诉不按合同时间收送（特殊情况需提前跟采购人沟通），每发生一次，中标人均需向采购人支付违约金，以500元/次计算。没做到一收一送、送洁衣数量不够（依据前一天污衣单数量）、污衣袋/洁衣袋不够用、中标人服务态度差（和采购人人员发生争吵等），以上各种投诉情况每发生一次，中标人均需向采购人支付违约金，以100元/次投诉计算。</w:t>
      </w:r>
    </w:p>
    <w:p w14:paraId="2D21297C">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5.3丢失、损坏衣物的赔偿：中标人每月对丢失、损坏的工作服按原始价格向采购人赔偿；其他衣物布类按原始价格的50%向采购人赔偿。</w:t>
      </w:r>
    </w:p>
    <w:p w14:paraId="7D7AEB15">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5.4质量不达标（有污迹、未缝补）应及时回洗，超三天未返回处罚300元/次；一个月累计质量不达标超过10%的，扣减当月洗涤费的30%。</w:t>
      </w:r>
    </w:p>
    <w:p w14:paraId="588CCD39">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5.5中标人每次送净布服到采购人的使用科室时，必须与科室人员当面交接点清被服的数量，数物要相符，相互在送货单上签名确认。出现中标人弄虚作假，送货单上写的被服数量与实际数量不符的，每次给处以100元罚款，多次违反规定可加倍处罚。如果造成采购人重大经济损失的，可按违反合同规定处理，并追究赔偿责任。</w:t>
      </w:r>
    </w:p>
    <w:p w14:paraId="6D66DE64">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5.6因中标人原因，导致发生院感事件的，由中标人负全部责任。</w:t>
      </w:r>
    </w:p>
    <w:p w14:paraId="1BFFCA66">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5.7中标人于合同签订一月内向采购方提交相关的管理制度，工作流程和员工档案资料。每月以书面形式向采购人后勤部提供月工作总结如员工工作、培训和考核和存在问题的整改等情况。</w:t>
      </w:r>
    </w:p>
    <w:p w14:paraId="3BA6FC0B">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5.8</w:t>
      </w:r>
      <w:r>
        <w:rPr>
          <w:rStyle w:val="74"/>
          <w:rFonts w:hint="eastAsia" w:ascii="宋体" w:hAnsi="宋体" w:cs="宋体"/>
          <w:color w:val="000000" w:themeColor="text1"/>
          <w:kern w:val="2"/>
          <w:szCs w:val="21"/>
          <w14:textFill>
            <w14:solidFill>
              <w14:schemeClr w14:val="tx1"/>
            </w14:solidFill>
          </w14:textFill>
        </w:rPr>
        <w:t>中标人的员工在工作期间内不慎丢失采购人的其它物品时，由中标人负责赔偿。</w:t>
      </w:r>
    </w:p>
    <w:p w14:paraId="2E6CCA64">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5.9</w:t>
      </w:r>
      <w:r>
        <w:rPr>
          <w:rStyle w:val="74"/>
          <w:rFonts w:hint="eastAsia" w:ascii="宋体" w:hAnsi="宋体" w:cs="宋体"/>
          <w:color w:val="000000" w:themeColor="text1"/>
          <w:kern w:val="2"/>
          <w:szCs w:val="21"/>
          <w14:textFill>
            <w14:solidFill>
              <w14:schemeClr w14:val="tx1"/>
            </w14:solidFill>
          </w14:textFill>
        </w:rPr>
        <w:t>有以下行为之一的，给予中标人按每人每次1000元支付违约金且中标人立即更换人员（违约金在当月服务费用中扣除）：</w:t>
      </w:r>
    </w:p>
    <w:p w14:paraId="76C912E0">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Style w:val="74"/>
          <w:rFonts w:hint="eastAsia" w:ascii="宋体" w:hAnsi="宋体" w:cs="宋体"/>
          <w:color w:val="000000" w:themeColor="text1"/>
          <w:kern w:val="2"/>
          <w:szCs w:val="21"/>
          <w14:textFill>
            <w14:solidFill>
              <w14:schemeClr w14:val="tx1"/>
            </w14:solidFill>
          </w14:textFill>
        </w:rPr>
        <w:t>.对医疗废物进行分拣窃取的；</w:t>
      </w:r>
    </w:p>
    <w:p w14:paraId="6A4C4BCC">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Style w:val="74"/>
          <w:rFonts w:hint="eastAsia" w:ascii="宋体" w:hAnsi="宋体" w:cs="宋体"/>
          <w:color w:val="000000" w:themeColor="text1"/>
          <w:kern w:val="2"/>
          <w:szCs w:val="21"/>
          <w14:textFill>
            <w14:solidFill>
              <w14:schemeClr w14:val="tx1"/>
            </w14:solidFill>
          </w14:textFill>
        </w:rPr>
        <w:t>.偷盗医院、病人财物的；</w:t>
      </w:r>
    </w:p>
    <w:p w14:paraId="398BC8C5">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Style w:val="74"/>
          <w:rFonts w:hint="eastAsia" w:ascii="宋体" w:hAnsi="宋体" w:cs="宋体"/>
          <w:color w:val="000000" w:themeColor="text1"/>
          <w:kern w:val="2"/>
          <w:szCs w:val="21"/>
          <w14:textFill>
            <w14:solidFill>
              <w14:schemeClr w14:val="tx1"/>
            </w14:solidFill>
          </w14:textFill>
        </w:rPr>
        <w:t>.捡到医护人员、病人财物拒绝交还及索取收受红包者；</w:t>
      </w:r>
    </w:p>
    <w:p w14:paraId="45A4A0FC">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Style w:val="74"/>
          <w:rFonts w:hint="eastAsia" w:ascii="宋体" w:hAnsi="宋体" w:cs="宋体"/>
          <w:color w:val="000000" w:themeColor="text1"/>
          <w:kern w:val="2"/>
          <w:szCs w:val="21"/>
          <w14:textFill>
            <w14:solidFill>
              <w14:schemeClr w14:val="tx1"/>
            </w14:solidFill>
          </w14:textFill>
        </w:rPr>
        <w:t>.因中标人内部原因，员工拒绝工作影响医院工作的；</w:t>
      </w:r>
    </w:p>
    <w:p w14:paraId="4B4DFAAA">
      <w:pPr>
        <w:pStyle w:val="35"/>
        <w:ind w:firstLine="200"/>
        <w:rPr>
          <w:rStyle w:val="74"/>
          <w:rFonts w:hint="eastAsia"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Style w:val="74"/>
          <w:rFonts w:hint="eastAsia" w:ascii="宋体" w:hAnsi="宋体" w:cs="宋体"/>
          <w:color w:val="000000" w:themeColor="text1"/>
          <w:kern w:val="2"/>
          <w:szCs w:val="21"/>
          <w14:textFill>
            <w14:solidFill>
              <w14:schemeClr w14:val="tx1"/>
            </w14:solidFill>
          </w14:textFill>
        </w:rPr>
        <w:t>.严重违反采购人各项规章制度的。</w:t>
      </w:r>
    </w:p>
    <w:p w14:paraId="74A6A36A">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w:t>
      </w:r>
      <w:r>
        <w:rPr>
          <w:rStyle w:val="74"/>
          <w:rFonts w:hint="eastAsia" w:ascii="宋体" w:hAnsi="宋体" w:cs="宋体"/>
          <w:color w:val="000000" w:themeColor="text1"/>
          <w:szCs w:val="21"/>
          <w14:textFill>
            <w14:solidFill>
              <w14:schemeClr w14:val="tx1"/>
            </w14:solidFill>
          </w14:textFill>
        </w:rPr>
        <w:t>中标人的员工</w:t>
      </w:r>
      <w:r>
        <w:rPr>
          <w:rStyle w:val="74"/>
          <w:rFonts w:hint="eastAsia" w:ascii="宋体" w:hAnsi="宋体" w:cs="宋体"/>
          <w:color w:val="000000" w:themeColor="text1"/>
          <w:kern w:val="2"/>
          <w:szCs w:val="21"/>
          <w14:textFill>
            <w14:solidFill>
              <w14:schemeClr w14:val="tx1"/>
            </w14:solidFill>
          </w14:textFill>
        </w:rPr>
        <w:t>有以下行为之一的，按每人每次500元支付违约金（采购人有权直接在应付给中标人的服务费用中扣除，不足以扣除的中标人需另行支付给采购人）：</w:t>
      </w:r>
    </w:p>
    <w:p w14:paraId="605E0402">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Style w:val="74"/>
          <w:rFonts w:hint="eastAsia" w:ascii="宋体" w:hAnsi="宋体" w:cs="宋体"/>
          <w:color w:val="000000" w:themeColor="text1"/>
          <w:kern w:val="2"/>
          <w:szCs w:val="21"/>
          <w14:textFill>
            <w14:solidFill>
              <w14:schemeClr w14:val="tx1"/>
            </w14:solidFill>
          </w14:textFill>
        </w:rPr>
        <w:t>.在病区堆放纸皮等垃圾的；</w:t>
      </w:r>
    </w:p>
    <w:p w14:paraId="778234E3">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Style w:val="74"/>
          <w:rFonts w:hint="eastAsia" w:ascii="宋体" w:hAnsi="宋体" w:cs="宋体"/>
          <w:color w:val="000000" w:themeColor="text1"/>
          <w:kern w:val="2"/>
          <w:szCs w:val="21"/>
          <w14:textFill>
            <w14:solidFill>
              <w14:schemeClr w14:val="tx1"/>
            </w14:solidFill>
          </w14:textFill>
        </w:rPr>
        <w:t>.未经护士长许可拿走病人出院（死亡）后遗留物的；</w:t>
      </w:r>
    </w:p>
    <w:p w14:paraId="25E124CC">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Style w:val="74"/>
          <w:rFonts w:hint="eastAsia" w:ascii="宋体" w:hAnsi="宋体" w:cs="宋体"/>
          <w:color w:val="000000" w:themeColor="text1"/>
          <w:kern w:val="2"/>
          <w:szCs w:val="21"/>
          <w14:textFill>
            <w14:solidFill>
              <w14:schemeClr w14:val="tx1"/>
            </w14:solidFill>
          </w14:textFill>
        </w:rPr>
        <w:t>.未经许可擅自拿取办公室、护士站、值班房物品的；</w:t>
      </w:r>
    </w:p>
    <w:p w14:paraId="57CF724C">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Style w:val="74"/>
          <w:rFonts w:hint="eastAsia" w:ascii="宋体" w:hAnsi="宋体" w:cs="宋体"/>
          <w:color w:val="000000" w:themeColor="text1"/>
          <w:kern w:val="2"/>
          <w:szCs w:val="21"/>
          <w14:textFill>
            <w14:solidFill>
              <w14:schemeClr w14:val="tx1"/>
            </w14:solidFill>
          </w14:textFill>
        </w:rPr>
        <w:t>.未经许可擅自使用医院的医用手套、薄膜手套的；</w:t>
      </w:r>
    </w:p>
    <w:p w14:paraId="7D4C065D">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Style w:val="74"/>
          <w:rFonts w:hint="eastAsia" w:ascii="宋体" w:hAnsi="宋体" w:cs="宋体"/>
          <w:color w:val="000000" w:themeColor="text1"/>
          <w:kern w:val="2"/>
          <w:szCs w:val="21"/>
          <w14:textFill>
            <w14:solidFill>
              <w14:schemeClr w14:val="tx1"/>
            </w14:solidFill>
          </w14:textFill>
        </w:rPr>
        <w:t>.在病区用餐、躺在椅子上睡觉，在院内大声喧哗的；</w:t>
      </w:r>
    </w:p>
    <w:p w14:paraId="2154D86E">
      <w:pPr>
        <w:pStyle w:val="35"/>
        <w:ind w:firstLine="200"/>
        <w:rPr>
          <w:rStyle w:val="74"/>
          <w:rFonts w:hint="eastAsia" w:ascii="宋体" w:hAnsi="宋体" w:cs="宋体"/>
          <w:bCs/>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Style w:val="74"/>
          <w:rFonts w:hint="eastAsia" w:ascii="宋体" w:hAnsi="宋体" w:cs="宋体"/>
          <w:color w:val="000000" w:themeColor="text1"/>
          <w:kern w:val="2"/>
          <w:szCs w:val="21"/>
          <w14:textFill>
            <w14:solidFill>
              <w14:schemeClr w14:val="tx1"/>
            </w14:solidFill>
          </w14:textFill>
        </w:rPr>
        <w:t>.对生活垃圾进行分拣的，收捡各种垃圾进行售卖的；</w:t>
      </w:r>
    </w:p>
    <w:p w14:paraId="44CE9C56">
      <w:pPr>
        <w:pStyle w:val="35"/>
        <w:ind w:firstLine="200"/>
        <w:rPr>
          <w:rStyle w:val="74"/>
          <w:rFonts w:hint="eastAsia"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Style w:val="74"/>
          <w:rFonts w:hint="eastAsia" w:ascii="宋体" w:hAnsi="宋体" w:cs="宋体"/>
          <w:color w:val="000000" w:themeColor="text1"/>
          <w:kern w:val="2"/>
          <w:szCs w:val="21"/>
          <w14:textFill>
            <w14:solidFill>
              <w14:schemeClr w14:val="tx1"/>
            </w14:solidFill>
          </w14:textFill>
        </w:rPr>
        <w:t>.在上班时间闲聊、看电视的。</w:t>
      </w:r>
    </w:p>
    <w:p w14:paraId="79A6591F">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5.11中标人违反合同要求的规定，未能达到约定的服务目标，或出现重大服务失误，采购人有权要求终止合同；造成采购人经济损失的，中标人应给予采购人经济赔偿，并承担相应的法律责任。</w:t>
      </w:r>
    </w:p>
    <w:p w14:paraId="5E7F1060">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5.12如中标人未按规定的时间提供服务，延迟交付的布服（须返洗、缝补的布服除外）不计入布服洗涤数量清单，如影响采购人运作，每逾期一日，中标人应按延迟交付的布服数量的实际结算价5%的标准向采购人支付逾期违约金，并赔偿采购人实际损失。</w:t>
      </w:r>
    </w:p>
    <w:p w14:paraId="3D1807EC">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5.13</w:t>
      </w:r>
      <w:r>
        <w:rPr>
          <w:rStyle w:val="74"/>
          <w:rFonts w:hint="eastAsia" w:ascii="宋体" w:hAnsi="宋体" w:cs="宋体"/>
          <w:color w:val="000000" w:themeColor="text1"/>
          <w:kern w:val="2"/>
          <w:szCs w:val="21"/>
          <w14:textFill>
            <w14:solidFill>
              <w14:schemeClr w14:val="tx1"/>
            </w14:solidFill>
          </w14:textFill>
        </w:rPr>
        <w:t>.一旦发现被服布类上局部未洗净的污渍等，要在送达科室前进行返洗，</w:t>
      </w:r>
      <w:r>
        <w:rPr>
          <w:rFonts w:hint="eastAsia" w:ascii="宋体" w:hAnsi="宋体" w:cs="宋体"/>
          <w:color w:val="000000" w:themeColor="text1"/>
          <w:szCs w:val="21"/>
          <w14:textFill>
            <w14:solidFill>
              <w14:schemeClr w14:val="tx1"/>
            </w14:solidFill>
          </w14:textFill>
        </w:rPr>
        <w:t>如中标人送到采购人的洁净布服被抽检出不合格品，如混送，污迹，缺纽扣，漏缝补的布服不计入布服洗涤数量清单，且抽检不合格率超5%时（月抽检不合格数/月抽检总数）将受到不合格布服实际结算价50%的处罚。</w:t>
      </w:r>
    </w:p>
    <w:p w14:paraId="138A368E">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5.14采购人各科室一旦发生布服供应方面的（投诉）问题或中标人在服务过程中出现差错，中标人在30分钟内必须有一名管理人员到相关的科室或现场了解情况并进行相应的处理工作，如不及时处理引起科室再次投诉，每次扣罚150元；如因此影响采购人医疗正常运作，所有后果由中标人负责。</w:t>
      </w:r>
    </w:p>
    <w:p w14:paraId="1F1264CC">
      <w:pPr>
        <w:pStyle w:val="73"/>
        <w:ind w:firstLine="105" w:firstLineChars="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5.15中标人按时、按量、保证质量完成医院交给的洗涤和配送任务，若因中标人的缘故导致衣物布草洗涤质量达不到正常卫生标准，而影响采购人被服使用和供应，应在双方交接时提出并立即退回中标人免费回洗，填写返洗单，双方确认签名。次日送洁衣时一并送回，禁止欠缺科室被服，欠缺被服超过3天未及时处理完成的出现1次罚款300元。</w:t>
      </w:r>
    </w:p>
    <w:p w14:paraId="70866E97">
      <w:pPr>
        <w:pStyle w:val="7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5.16采购人交洗涤的衣物布草，中标人除洗干净、干燥、叠好、熨平外，还要对有破损或无钮扣的衣物布草给予免费缝补及补钉钮扣等工作。每月采购人报废总量限0.3%件以内，超出部分按原始价格的50%赔偿给采购人。报废后的衣物布巾，经采购人同意后交由中标人作补料用。</w:t>
      </w:r>
    </w:p>
    <w:p w14:paraId="5DC13407">
      <w:pPr>
        <w:pStyle w:val="35"/>
        <w:ind w:firstLine="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5.17每月</w:t>
      </w:r>
      <w:r>
        <w:rPr>
          <w:rFonts w:hint="eastAsia" w:ascii="宋体" w:hAnsi="宋体" w:cs="宋体"/>
          <w:bCs/>
          <w:color w:val="000000" w:themeColor="text1"/>
          <w:szCs w:val="21"/>
          <w14:textFill>
            <w14:solidFill>
              <w14:schemeClr w14:val="tx1"/>
            </w14:solidFill>
          </w14:textFill>
        </w:rPr>
        <w:t>医疗布服洗涤质量检查内容及评分表</w:t>
      </w:r>
      <w:r>
        <w:rPr>
          <w:rFonts w:hint="eastAsia" w:ascii="宋体" w:hAnsi="宋体" w:cs="宋体"/>
          <w:color w:val="000000" w:themeColor="text1"/>
          <w:szCs w:val="21"/>
          <w14:textFill>
            <w14:solidFill>
              <w14:schemeClr w14:val="tx1"/>
            </w14:solidFill>
          </w14:textFill>
        </w:rPr>
        <w:t>（以采购人</w:t>
      </w:r>
      <w:r>
        <w:rPr>
          <w:rFonts w:hint="eastAsia" w:ascii="宋体" w:hAnsi="宋体" w:cs="宋体"/>
          <w:bCs/>
          <w:color w:val="000000" w:themeColor="text1"/>
          <w:szCs w:val="21"/>
          <w14:textFill>
            <w14:solidFill>
              <w14:schemeClr w14:val="tx1"/>
            </w14:solidFill>
          </w14:textFill>
        </w:rPr>
        <w:t>质量检查评分表</w:t>
      </w:r>
      <w:r>
        <w:rPr>
          <w:rFonts w:hint="eastAsia" w:ascii="宋体" w:hAnsi="宋体" w:cs="宋体"/>
          <w:color w:val="000000" w:themeColor="text1"/>
          <w:szCs w:val="21"/>
          <w14:textFill>
            <w14:solidFill>
              <w14:schemeClr w14:val="tx1"/>
            </w14:solidFill>
          </w14:textFill>
        </w:rPr>
        <w:t>结果为准）达到90%（含）为合格，若低于90%，以每一分“不满意”200元进行扣罚。从当月洗涤费扣除。（扣分标准详见附件一）</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1620"/>
        <w:gridCol w:w="3404"/>
      </w:tblGrid>
      <w:tr w14:paraId="195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72" w:type="dxa"/>
            <w:tcBorders>
              <w:top w:val="single" w:color="auto" w:sz="4" w:space="0"/>
              <w:left w:val="single" w:color="auto" w:sz="4" w:space="0"/>
              <w:bottom w:val="single" w:color="auto" w:sz="4" w:space="0"/>
              <w:right w:val="single" w:color="auto" w:sz="4" w:space="0"/>
            </w:tcBorders>
            <w:vAlign w:val="center"/>
          </w:tcPr>
          <w:p w14:paraId="3CF18AA3">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满意度分段（%）</w:t>
            </w:r>
          </w:p>
        </w:tc>
        <w:tc>
          <w:tcPr>
            <w:tcW w:w="1620" w:type="dxa"/>
            <w:tcBorders>
              <w:top w:val="single" w:color="auto" w:sz="4" w:space="0"/>
              <w:left w:val="single" w:color="auto" w:sz="4" w:space="0"/>
              <w:bottom w:val="single" w:color="auto" w:sz="4" w:space="0"/>
              <w:right w:val="single" w:color="auto" w:sz="4" w:space="0"/>
            </w:tcBorders>
            <w:vAlign w:val="center"/>
          </w:tcPr>
          <w:p w14:paraId="13A68E09">
            <w:pPr>
              <w:pStyle w:val="3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扣罚标准</w:t>
            </w:r>
          </w:p>
        </w:tc>
        <w:tc>
          <w:tcPr>
            <w:tcW w:w="3404" w:type="dxa"/>
            <w:tcBorders>
              <w:top w:val="single" w:color="auto" w:sz="4" w:space="0"/>
              <w:left w:val="single" w:color="auto" w:sz="4" w:space="0"/>
              <w:bottom w:val="single" w:color="auto" w:sz="4" w:space="0"/>
              <w:right w:val="single" w:color="auto" w:sz="4" w:space="0"/>
            </w:tcBorders>
            <w:vAlign w:val="center"/>
          </w:tcPr>
          <w:p w14:paraId="7096E935">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0784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dxa"/>
            <w:tcBorders>
              <w:top w:val="single" w:color="auto" w:sz="4" w:space="0"/>
              <w:left w:val="single" w:color="auto" w:sz="4" w:space="0"/>
              <w:bottom w:val="single" w:color="auto" w:sz="4" w:space="0"/>
              <w:right w:val="single" w:color="auto" w:sz="4" w:space="0"/>
            </w:tcBorders>
            <w:vAlign w:val="center"/>
          </w:tcPr>
          <w:p w14:paraId="56245D35">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90（含）以上</w:t>
            </w:r>
          </w:p>
        </w:tc>
        <w:tc>
          <w:tcPr>
            <w:tcW w:w="1620" w:type="dxa"/>
            <w:tcBorders>
              <w:top w:val="single" w:color="auto" w:sz="4" w:space="0"/>
              <w:left w:val="single" w:color="auto" w:sz="4" w:space="0"/>
              <w:bottom w:val="single" w:color="auto" w:sz="4" w:space="0"/>
              <w:right w:val="single" w:color="auto" w:sz="4" w:space="0"/>
            </w:tcBorders>
            <w:vAlign w:val="center"/>
          </w:tcPr>
          <w:p w14:paraId="1D5B46D4">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404" w:type="dxa"/>
            <w:tcBorders>
              <w:top w:val="single" w:color="auto" w:sz="4" w:space="0"/>
              <w:left w:val="single" w:color="auto" w:sz="4" w:space="0"/>
              <w:bottom w:val="single" w:color="auto" w:sz="4" w:space="0"/>
              <w:right w:val="single" w:color="auto" w:sz="4" w:space="0"/>
            </w:tcBorders>
            <w:vAlign w:val="center"/>
          </w:tcPr>
          <w:p w14:paraId="35739400">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不扣月服务费</w:t>
            </w:r>
          </w:p>
        </w:tc>
      </w:tr>
      <w:tr w14:paraId="672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dxa"/>
            <w:tcBorders>
              <w:top w:val="single" w:color="auto" w:sz="4" w:space="0"/>
              <w:left w:val="single" w:color="auto" w:sz="4" w:space="0"/>
              <w:bottom w:val="single" w:color="auto" w:sz="4" w:space="0"/>
              <w:right w:val="single" w:color="auto" w:sz="4" w:space="0"/>
            </w:tcBorders>
            <w:vAlign w:val="center"/>
          </w:tcPr>
          <w:p w14:paraId="2EB93C3C">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90以下</w:t>
            </w:r>
          </w:p>
        </w:tc>
        <w:tc>
          <w:tcPr>
            <w:tcW w:w="1620" w:type="dxa"/>
            <w:tcBorders>
              <w:top w:val="single" w:color="auto" w:sz="4" w:space="0"/>
              <w:left w:val="single" w:color="auto" w:sz="4" w:space="0"/>
              <w:bottom w:val="single" w:color="auto" w:sz="4" w:space="0"/>
              <w:right w:val="single" w:color="auto" w:sz="4" w:space="0"/>
            </w:tcBorders>
            <w:vAlign w:val="center"/>
          </w:tcPr>
          <w:p w14:paraId="3A9F66B2">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200元/分</w:t>
            </w:r>
          </w:p>
        </w:tc>
        <w:tc>
          <w:tcPr>
            <w:tcW w:w="3404" w:type="dxa"/>
            <w:tcBorders>
              <w:top w:val="single" w:color="auto" w:sz="4" w:space="0"/>
              <w:left w:val="single" w:color="auto" w:sz="4" w:space="0"/>
              <w:bottom w:val="single" w:color="auto" w:sz="4" w:space="0"/>
              <w:right w:val="single" w:color="auto" w:sz="4" w:space="0"/>
            </w:tcBorders>
            <w:vAlign w:val="center"/>
          </w:tcPr>
          <w:p w14:paraId="4BF14535">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按实际不满意的分数进行扣罚结算</w:t>
            </w:r>
          </w:p>
        </w:tc>
      </w:tr>
      <w:tr w14:paraId="454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2" w:type="dxa"/>
            <w:tcBorders>
              <w:top w:val="single" w:color="auto" w:sz="4" w:space="0"/>
              <w:left w:val="single" w:color="auto" w:sz="4" w:space="0"/>
              <w:bottom w:val="single" w:color="auto" w:sz="4" w:space="0"/>
              <w:right w:val="single" w:color="auto" w:sz="4" w:space="0"/>
            </w:tcBorders>
            <w:vAlign w:val="center"/>
          </w:tcPr>
          <w:p w14:paraId="77617D30">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75(含)以下</w:t>
            </w:r>
          </w:p>
        </w:tc>
        <w:tc>
          <w:tcPr>
            <w:tcW w:w="1620" w:type="dxa"/>
            <w:tcBorders>
              <w:top w:val="single" w:color="auto" w:sz="4" w:space="0"/>
              <w:left w:val="single" w:color="auto" w:sz="4" w:space="0"/>
              <w:bottom w:val="single" w:color="auto" w:sz="4" w:space="0"/>
              <w:right w:val="single" w:color="auto" w:sz="4" w:space="0"/>
            </w:tcBorders>
            <w:vAlign w:val="center"/>
          </w:tcPr>
          <w:p w14:paraId="229AD06E">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按“90以下”标准处理</w:t>
            </w:r>
          </w:p>
        </w:tc>
        <w:tc>
          <w:tcPr>
            <w:tcW w:w="3404" w:type="dxa"/>
            <w:tcBorders>
              <w:top w:val="single" w:color="auto" w:sz="4" w:space="0"/>
              <w:left w:val="single" w:color="auto" w:sz="4" w:space="0"/>
              <w:bottom w:val="single" w:color="auto" w:sz="4" w:space="0"/>
              <w:right w:val="single" w:color="auto" w:sz="4" w:space="0"/>
            </w:tcBorders>
            <w:vAlign w:val="center"/>
          </w:tcPr>
          <w:p w14:paraId="575FDA36">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采购人有权中止合同</w:t>
            </w:r>
          </w:p>
        </w:tc>
      </w:tr>
    </w:tbl>
    <w:p w14:paraId="2F4E54BE">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对于每月</w:t>
      </w:r>
      <w:r>
        <w:rPr>
          <w:rFonts w:hint="eastAsia" w:ascii="宋体" w:hAnsi="宋体" w:cs="宋体"/>
          <w:bCs/>
          <w:color w:val="000000" w:themeColor="text1"/>
          <w:kern w:val="0"/>
          <w:szCs w:val="21"/>
          <w14:textFill>
            <w14:solidFill>
              <w14:schemeClr w14:val="tx1"/>
            </w14:solidFill>
          </w14:textFill>
        </w:rPr>
        <w:t>医疗布服洗涤质量检查内容</w:t>
      </w:r>
      <w:r>
        <w:rPr>
          <w:rFonts w:hint="eastAsia" w:ascii="宋体" w:hAnsi="宋体" w:cs="宋体"/>
          <w:color w:val="000000" w:themeColor="text1"/>
          <w:szCs w:val="21"/>
          <w14:textFill>
            <w14:solidFill>
              <w14:schemeClr w14:val="tx1"/>
            </w14:solidFill>
          </w14:textFill>
        </w:rPr>
        <w:t>中临床科室提出的布服洗涤存在问题，中标人应书面作出整改反馈，并由各临床科室负责人签名确认。</w:t>
      </w:r>
    </w:p>
    <w:p w14:paraId="2D636335">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5.17提前终止洗涤服务前30天，必须以书面形式通知对方。</w:t>
      </w:r>
    </w:p>
    <w:p w14:paraId="1EEBFEC0">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5.18全文提及的所有项目的罚款在当月洗涤服务费中一并扣除。</w:t>
      </w:r>
    </w:p>
    <w:p w14:paraId="6944EC3D">
      <w:pPr>
        <w:ind w:firstLine="440" w:firstLineChars="200"/>
        <w:rPr>
          <w:rFonts w:hint="eastAsia" w:ascii="宋体" w:hAnsi="宋体" w:cs="宋体"/>
          <w:color w:val="000000" w:themeColor="text1"/>
          <w:szCs w:val="21"/>
          <w14:textFill>
            <w14:solidFill>
              <w14:schemeClr w14:val="tx1"/>
            </w14:solidFill>
          </w14:textFill>
        </w:rPr>
      </w:pPr>
    </w:p>
    <w:p w14:paraId="79B23BF4">
      <w:pPr>
        <w:ind w:firstLine="44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三、商务要求</w:t>
      </w:r>
    </w:p>
    <w:p w14:paraId="5FB29077">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1、基本要求</w:t>
      </w:r>
    </w:p>
    <w:p w14:paraId="188EF998">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1.1此采购项目的技术要求实质性响应采购人全部需求，并提供经营资格、生产规模、技术能力等证明文件。</w:t>
      </w:r>
    </w:p>
    <w:p w14:paraId="093BC28C">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1.2中标人拟采取的管理方式。包括：内部管理架构、机构设置、运作机制、工作流程、信息反馈渠道、质量控制方式、应急预案等。</w:t>
      </w:r>
    </w:p>
    <w:p w14:paraId="1C77D872">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1.3服务人员配备。包括：主要负责人简历、服务人员数及配置等。</w:t>
      </w:r>
    </w:p>
    <w:p w14:paraId="098ECF4D">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1.4服务工作必需的物资装备计划情况。</w:t>
      </w:r>
    </w:p>
    <w:p w14:paraId="18B2C5E5">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1.5管理规章制度。包括单位内部岗位责任制、衣物洗涤运作制度和服务人员考核制度。</w:t>
      </w:r>
    </w:p>
    <w:p w14:paraId="46D510D8">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1.6档案的建立与管理。</w:t>
      </w:r>
    </w:p>
    <w:p w14:paraId="389BFE5A">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2、★服务期：合同签定之日起19个月，中标人于中标结果公布后签订合同并自合同签定之日起提前3天进场。本次项目服务期为19个月。服务期内服务费（即采购人累计支付中标人的最高服务费用）达到合同金额</w:t>
      </w:r>
      <w:r>
        <w:rPr>
          <w:rFonts w:hint="eastAsia"/>
          <w:color w:val="000000" w:themeColor="text1"/>
          <w14:textFill>
            <w14:solidFill>
              <w14:schemeClr w14:val="tx1"/>
            </w14:solidFill>
          </w14:textFill>
        </w:rPr>
        <w:t>（中标单价×80000件×19个月=合同金额）</w:t>
      </w:r>
      <w:r>
        <w:rPr>
          <w:rFonts w:hint="eastAsia" w:ascii="宋体" w:hAnsi="宋体" w:cs="宋体"/>
          <w:color w:val="000000" w:themeColor="text1"/>
          <w:szCs w:val="21"/>
          <w14:textFill>
            <w14:solidFill>
              <w14:schemeClr w14:val="tx1"/>
            </w14:solidFill>
          </w14:textFill>
        </w:rPr>
        <w:t>后，合同自动终止。</w:t>
      </w:r>
    </w:p>
    <w:p w14:paraId="115EE585">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3、★报价要求：</w:t>
      </w:r>
      <w:r>
        <w:rPr>
          <w:rFonts w:hint="eastAsia"/>
          <w:color w:val="000000" w:themeColor="text1"/>
          <w14:textFill>
            <w14:solidFill>
              <w14:schemeClr w14:val="tx1"/>
            </w14:solidFill>
          </w14:textFill>
        </w:rPr>
        <w:t>本项目要求</w:t>
      </w:r>
      <w:r>
        <w:rPr>
          <w:rFonts w:hint="eastAsia" w:ascii="宋体" w:hAnsi="宋体" w:cs="宋体"/>
          <w:color w:val="000000" w:themeColor="text1"/>
          <w:szCs w:val="21"/>
          <w14:textFill>
            <w14:solidFill>
              <w14:schemeClr w14:val="tx1"/>
            </w14:solidFill>
          </w14:textFill>
        </w:rPr>
        <w:t>报综合单价，综合单价为拟提供的完成本项目全部服务工作的每件布类单价（不论出洗布服大小，统一单价），最终结算价以每月的实际污衣数量计算洗涤付费（以每天双方签名的各科室洗衣单为计数依据）。投标报价中必须包含医疗布服洗涤、收送服务中所有成本，收发、运输、洗涤、包装、检验、完税、整个过程服务中的人工、运输工具等以及不可预见的一切费用。</w:t>
      </w:r>
      <w:bookmarkStart w:id="9" w:name="_GoBack"/>
      <w:bookmarkEnd w:id="9"/>
    </w:p>
    <w:p w14:paraId="57719161">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4、同类项目业绩要求：</w:t>
      </w:r>
      <w:r>
        <w:rPr>
          <w:rFonts w:hint="eastAsia"/>
          <w:color w:val="000000" w:themeColor="text1"/>
          <w14:textFill>
            <w14:solidFill>
              <w14:schemeClr w14:val="tx1"/>
            </w14:solidFill>
          </w14:textFill>
        </w:rPr>
        <w:t>投标人需具有医院同类项目经验</w:t>
      </w:r>
    </w:p>
    <w:p w14:paraId="0D6E6DF6">
      <w:pPr>
        <w:ind w:firstLine="442" w:firstLineChars="200"/>
        <w:rPr>
          <w:rFonts w:hint="eastAsia" w:ascii="宋体" w:hAnsi="宋体" w:cs="宋体"/>
          <w:b/>
          <w:bCs/>
          <w:color w:val="000000" w:themeColor="text1"/>
          <w:szCs w:val="21"/>
          <w14:textFill>
            <w14:solidFill>
              <w14:schemeClr w14:val="tx1"/>
            </w14:solidFill>
          </w14:textFill>
        </w:rPr>
      </w:pPr>
    </w:p>
    <w:p w14:paraId="419A2D72">
      <w:pPr>
        <w:ind w:firstLine="44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四、付款方式</w:t>
      </w:r>
    </w:p>
    <w:p w14:paraId="74794DEA">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1、合同价格：（以科室单位每月实际出洗的各布服数量×中标单价）-每月应扣罚金额（如有）=每月实际结算价。</w:t>
      </w:r>
    </w:p>
    <w:p w14:paraId="37FCC46D">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2、中标人每月5日（如遇节假日往后顺延）将上月的布服洗涤数量清单交由采购人后勤部门核对后，开具正式发票，由采购人在5个工作日内以支票或转账方式支付布服洗涤费。</w:t>
      </w:r>
    </w:p>
    <w:p w14:paraId="79EC09AA">
      <w:pPr>
        <w:ind w:firstLine="440" w:firstLineChars="200"/>
        <w:rPr>
          <w:rFonts w:hint="eastAsia" w:ascii="宋体" w:hAnsi="宋体" w:cs="宋体"/>
          <w:color w:val="000000" w:themeColor="text1"/>
          <w:szCs w:val="21"/>
          <w14:textFill>
            <w14:solidFill>
              <w14:schemeClr w14:val="tx1"/>
            </w14:solidFill>
          </w14:textFill>
        </w:rPr>
      </w:pPr>
    </w:p>
    <w:p w14:paraId="7BB4AB44">
      <w:pPr>
        <w:ind w:firstLine="44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五、服务及质量保证承诺</w:t>
      </w:r>
    </w:p>
    <w:p w14:paraId="7B300BB8">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人应保证按规范做好消毒工作，按质、按量、按时完成采购人交付的洗涤任务。如出现洗涤（药渍、汗渍、陈旧污渍、布草发霉和布草变质外）质量不合格的衣物而影响采购人衣物供应的，中标人应免费给予重洗。对破损、无纽扣的衣物给与缝补、钉扣。对于磨损率60%以上的衣物或无法缝补再无使用价值的，列清单随实物交采购人核实后作报废处理，中标人不能自行处理，报损率每次不能超过该批衣物的0.3%。因中标人原因，造成洗涤物破烂、脱色，中标人应按工作服原始价格向采购人赔偿；其他衣物布类按原始价格的50%向采购人赔偿。</w:t>
      </w:r>
    </w:p>
    <w:p w14:paraId="5F52F455">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2、中标人在管理服务期内遗失采购人提供的洗涤物的，应按工作服原始价格向采购人赔偿；其他衣物布类按原始价格的50%向采购人赔偿。</w:t>
      </w:r>
    </w:p>
    <w:p w14:paraId="6998A237">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3、因质量问题发生争议的，由广州市卫生检验部门进行相关的检验，检验结果符合质量技术标准时，检验费由采购人承担，否则，检验费由中标人承担。</w:t>
      </w:r>
    </w:p>
    <w:p w14:paraId="527933FA">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4、中标人若因服务不到位或洗涤质量不符合招标文件要求时，采购人单位有权随时要求返洗，因此造成采购人经济损失的，由中标人负责赔偿。</w:t>
      </w:r>
    </w:p>
    <w:p w14:paraId="2C50E8E5">
      <w:pPr>
        <w:ind w:firstLine="440" w:firstLineChars="200"/>
        <w:rPr>
          <w:rFonts w:hint="eastAsia" w:ascii="宋体" w:hAnsi="宋体" w:cs="宋体"/>
          <w:color w:val="000000" w:themeColor="text1"/>
          <w:szCs w:val="21"/>
          <w14:textFill>
            <w14:solidFill>
              <w14:schemeClr w14:val="tx1"/>
            </w14:solidFill>
          </w14:textFill>
        </w:rPr>
      </w:pPr>
    </w:p>
    <w:p w14:paraId="49351B31">
      <w:pPr>
        <w:ind w:firstLine="44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六、其它</w:t>
      </w:r>
    </w:p>
    <w:p w14:paraId="1ABE15CB">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1、中标人应提供洗衣厂洗涤车间全场实景照片及相关设备设施资料，并作为评审依据。</w:t>
      </w:r>
    </w:p>
    <w:p w14:paraId="2C22997D">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2、采购人在履约期间得视需要抽查、检查中标人的洗涤设备及过程，中标人应无条件配合，不得拒绝。</w:t>
      </w:r>
    </w:p>
    <w:p w14:paraId="57CD21E9">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3、中标人洗涤服务的组织机构必须完整，组织机构总人数必须足以满足采购人需求。</w:t>
      </w:r>
    </w:p>
    <w:p w14:paraId="537758C6">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4、中标人全部服务人员须符合有关卫生健康标准要求。</w:t>
      </w:r>
    </w:p>
    <w:p w14:paraId="17DE35E2">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5、中标人服务人员须遵守采购人有关规章制度和管理规定，如有违反或损害采购人利益的，采购人有拒绝中标人违规工作人员在此工作的权利。</w:t>
      </w:r>
    </w:p>
    <w:p w14:paraId="060685D2">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6、双方根据招标文件中采购人需求的内容拟定合同附件条款。</w:t>
      </w:r>
    </w:p>
    <w:p w14:paraId="0A6E8DC8">
      <w:pPr>
        <w:pStyle w:val="9"/>
        <w:ind w:firstLine="4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7、投标人在投标文件中需提供包括但不限于管理服务总体模式与配套措施、应急处理方案、信息化管理情况、项目管理组织架构、运作流程、管理计划等。</w:t>
      </w:r>
    </w:p>
    <w:p w14:paraId="5FD7C14F">
      <w:pPr>
        <w:pStyle w:val="9"/>
        <w:ind w:firstLine="4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8、中标人需为本项目内全院现有需外包洗涤的布服添加RFID水洗芯片。</w:t>
      </w:r>
    </w:p>
    <w:p w14:paraId="40F9141E">
      <w:pPr>
        <w:ind w:firstLine="440" w:firstLineChars="200"/>
        <w:rPr>
          <w:rFonts w:hint="eastAsia" w:ascii="宋体" w:hAnsi="宋体" w:cs="宋体"/>
          <w:color w:val="000000" w:themeColor="text1"/>
          <w:szCs w:val="21"/>
          <w14:textFill>
            <w14:solidFill>
              <w14:schemeClr w14:val="tx1"/>
            </w14:solidFill>
          </w14:textFill>
        </w:rPr>
      </w:pPr>
    </w:p>
    <w:p w14:paraId="3671DC5E">
      <w:pPr>
        <w:ind w:firstLine="44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七、采购人配合条件</w:t>
      </w:r>
    </w:p>
    <w:p w14:paraId="1A2DF4BC">
      <w:pPr>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中标人应列明在项目实施过程中要求采购人提供的配合条件。</w:t>
      </w:r>
    </w:p>
    <w:p w14:paraId="63DFD44B">
      <w:pPr>
        <w:ind w:firstLine="440" w:firstLineChars="200"/>
        <w:rPr>
          <w:rFonts w:hint="eastAsia" w:ascii="宋体" w:hAnsi="宋体" w:cs="宋体"/>
          <w:color w:val="000000" w:themeColor="text1"/>
          <w:szCs w:val="21"/>
          <w14:textFill>
            <w14:solidFill>
              <w14:schemeClr w14:val="tx1"/>
            </w14:solidFill>
          </w14:textFill>
        </w:rPr>
      </w:pPr>
    </w:p>
    <w:p w14:paraId="64181CF2">
      <w:pPr>
        <w:ind w:firstLine="440" w:firstLineChars="200"/>
        <w:rPr>
          <w:rFonts w:hint="eastAsia" w:ascii="宋体" w:hAnsi="宋体" w:cs="宋体"/>
          <w:color w:val="000000" w:themeColor="text1"/>
          <w:szCs w:val="21"/>
          <w14:textFill>
            <w14:solidFill>
              <w14:schemeClr w14:val="tx1"/>
            </w14:solidFill>
          </w14:textFill>
        </w:rPr>
      </w:pPr>
    </w:p>
    <w:p w14:paraId="2888B193">
      <w:pPr>
        <w:ind w:firstLine="440" w:firstLineChars="200"/>
        <w:rPr>
          <w:rFonts w:hint="eastAsia" w:ascii="宋体" w:hAnsi="宋体" w:cs="宋体"/>
          <w:color w:val="000000" w:themeColor="text1"/>
          <w:szCs w:val="21"/>
          <w14:textFill>
            <w14:solidFill>
              <w14:schemeClr w14:val="tx1"/>
            </w14:solidFill>
          </w14:textFill>
        </w:rPr>
      </w:pPr>
    </w:p>
    <w:p w14:paraId="0FBDB33E">
      <w:pPr>
        <w:ind w:firstLine="440" w:firstLineChars="200"/>
        <w:rPr>
          <w:rFonts w:hint="eastAsia" w:ascii="宋体" w:hAnsi="宋体" w:cs="宋体"/>
          <w:color w:val="000000" w:themeColor="text1"/>
          <w:szCs w:val="21"/>
          <w14:textFill>
            <w14:solidFill>
              <w14:schemeClr w14:val="tx1"/>
            </w14:solidFill>
          </w14:textFill>
        </w:rPr>
      </w:pPr>
    </w:p>
    <w:p w14:paraId="02A03E52">
      <w:pPr>
        <w:ind w:firstLine="440" w:firstLineChars="200"/>
        <w:rPr>
          <w:rFonts w:hint="eastAsia" w:ascii="宋体" w:hAnsi="宋体" w:cs="宋体"/>
          <w:color w:val="000000" w:themeColor="text1"/>
          <w:szCs w:val="21"/>
          <w14:textFill>
            <w14:solidFill>
              <w14:schemeClr w14:val="tx1"/>
            </w14:solidFill>
          </w14:textFill>
        </w:rPr>
      </w:pPr>
    </w:p>
    <w:p w14:paraId="52BF9C5C">
      <w:pPr>
        <w:rPr>
          <w:rFonts w:hint="eastAsia" w:ascii="宋体" w:hAnsi="宋体" w:cs="宋体"/>
          <w:bCs/>
          <w:color w:val="000000" w:themeColor="text1"/>
          <w:szCs w:val="21"/>
          <w14:textFill>
            <w14:solidFill>
              <w14:schemeClr w14:val="tx1"/>
            </w14:solidFill>
          </w14:textFill>
        </w:rPr>
      </w:pPr>
    </w:p>
    <w:p w14:paraId="10966A38">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p>
    <w:p w14:paraId="5E945E76">
      <w:pP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附件1</w:t>
      </w:r>
    </w:p>
    <w:tbl>
      <w:tblPr>
        <w:tblStyle w:val="22"/>
        <w:tblW w:w="8983" w:type="dxa"/>
        <w:jc w:val="center"/>
        <w:tblLayout w:type="fixed"/>
        <w:tblCellMar>
          <w:top w:w="15" w:type="dxa"/>
          <w:left w:w="15" w:type="dxa"/>
          <w:bottom w:w="15" w:type="dxa"/>
          <w:right w:w="15" w:type="dxa"/>
        </w:tblCellMar>
      </w:tblPr>
      <w:tblGrid>
        <w:gridCol w:w="1883"/>
        <w:gridCol w:w="2276"/>
        <w:gridCol w:w="2660"/>
        <w:gridCol w:w="1134"/>
        <w:gridCol w:w="1030"/>
      </w:tblGrid>
      <w:tr w14:paraId="589C6856">
        <w:tblPrEx>
          <w:tblCellMar>
            <w:top w:w="15" w:type="dxa"/>
            <w:left w:w="15" w:type="dxa"/>
            <w:bottom w:w="15" w:type="dxa"/>
            <w:right w:w="15" w:type="dxa"/>
          </w:tblCellMar>
        </w:tblPrEx>
        <w:trPr>
          <w:jc w:val="center"/>
        </w:trPr>
        <w:tc>
          <w:tcPr>
            <w:tcW w:w="8983" w:type="dxa"/>
            <w:gridSpan w:val="5"/>
            <w:tcBorders>
              <w:top w:val="single" w:color="000000" w:sz="4" w:space="0"/>
              <w:left w:val="single" w:color="000000" w:sz="4" w:space="0"/>
              <w:bottom w:val="single" w:color="000000" w:sz="4" w:space="0"/>
              <w:right w:val="single" w:color="000000" w:sz="4" w:space="0"/>
            </w:tcBorders>
            <w:vAlign w:val="center"/>
          </w:tcPr>
          <w:p w14:paraId="5C02D795">
            <w:pPr>
              <w:ind w:firstLine="660" w:firstLineChars="300"/>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广州市第一人民医院南沙医院医疗布服洗涤质量检查内容及评分表</w:t>
            </w:r>
          </w:p>
        </w:tc>
      </w:tr>
      <w:tr w14:paraId="3EBE272E">
        <w:tblPrEx>
          <w:tblCellMar>
            <w:top w:w="15" w:type="dxa"/>
            <w:left w:w="15" w:type="dxa"/>
            <w:bottom w:w="15" w:type="dxa"/>
            <w:right w:w="15" w:type="dxa"/>
          </w:tblCellMar>
        </w:tblPrEx>
        <w:trPr>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3EF2835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服务单位</w:t>
            </w:r>
          </w:p>
        </w:tc>
        <w:tc>
          <w:tcPr>
            <w:tcW w:w="2276" w:type="dxa"/>
            <w:tcBorders>
              <w:top w:val="single" w:color="000000" w:sz="4" w:space="0"/>
              <w:left w:val="single" w:color="000000" w:sz="4" w:space="0"/>
              <w:bottom w:val="single" w:color="000000" w:sz="4" w:space="0"/>
              <w:right w:val="single" w:color="000000" w:sz="4" w:space="0"/>
            </w:tcBorders>
            <w:vAlign w:val="center"/>
          </w:tcPr>
          <w:p w14:paraId="68D98926">
            <w:pPr>
              <w:rPr>
                <w:rFonts w:hint="eastAsia" w:ascii="宋体" w:hAnsi="宋体" w:cs="宋体"/>
                <w:color w:val="000000" w:themeColor="text1"/>
                <w:szCs w:val="21"/>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vAlign w:val="center"/>
          </w:tcPr>
          <w:p w14:paraId="523F61D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管理部门</w:t>
            </w:r>
          </w:p>
        </w:tc>
        <w:tc>
          <w:tcPr>
            <w:tcW w:w="2164" w:type="dxa"/>
            <w:gridSpan w:val="2"/>
            <w:tcBorders>
              <w:top w:val="single" w:color="000000" w:sz="4" w:space="0"/>
              <w:left w:val="single" w:color="000000" w:sz="4" w:space="0"/>
              <w:bottom w:val="single" w:color="000000" w:sz="4" w:space="0"/>
              <w:right w:val="single" w:color="000000" w:sz="4" w:space="0"/>
            </w:tcBorders>
            <w:vAlign w:val="center"/>
          </w:tcPr>
          <w:p w14:paraId="152645B0">
            <w:pPr>
              <w:rPr>
                <w:rFonts w:hint="eastAsia" w:ascii="宋体" w:hAnsi="宋体" w:cs="宋体"/>
                <w:color w:val="000000" w:themeColor="text1"/>
                <w:szCs w:val="21"/>
                <w14:textFill>
                  <w14:solidFill>
                    <w14:schemeClr w14:val="tx1"/>
                  </w14:solidFill>
                </w14:textFill>
              </w:rPr>
            </w:pPr>
          </w:p>
        </w:tc>
      </w:tr>
      <w:tr w14:paraId="3044A17B">
        <w:tblPrEx>
          <w:tblCellMar>
            <w:top w:w="15" w:type="dxa"/>
            <w:left w:w="15" w:type="dxa"/>
            <w:bottom w:w="15" w:type="dxa"/>
            <w:right w:w="15" w:type="dxa"/>
          </w:tblCellMar>
        </w:tblPrEx>
        <w:trPr>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2931DCC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检查人员</w:t>
            </w:r>
          </w:p>
        </w:tc>
        <w:tc>
          <w:tcPr>
            <w:tcW w:w="2276" w:type="dxa"/>
            <w:tcBorders>
              <w:top w:val="single" w:color="000000" w:sz="4" w:space="0"/>
              <w:left w:val="single" w:color="000000" w:sz="4" w:space="0"/>
              <w:bottom w:val="single" w:color="000000" w:sz="4" w:space="0"/>
              <w:right w:val="single" w:color="000000" w:sz="4" w:space="0"/>
            </w:tcBorders>
            <w:vAlign w:val="center"/>
          </w:tcPr>
          <w:p w14:paraId="31EEE4FC">
            <w:pPr>
              <w:rPr>
                <w:rFonts w:hint="eastAsia" w:ascii="宋体" w:hAnsi="宋体" w:cs="宋体"/>
                <w:color w:val="000000" w:themeColor="text1"/>
                <w:szCs w:val="21"/>
                <w14:textFill>
                  <w14:solidFill>
                    <w14:schemeClr w14:val="tx1"/>
                  </w14:solidFill>
                </w14:textFill>
              </w:rPr>
            </w:pPr>
          </w:p>
        </w:tc>
        <w:tc>
          <w:tcPr>
            <w:tcW w:w="2660" w:type="dxa"/>
            <w:tcBorders>
              <w:top w:val="single" w:color="000000" w:sz="4" w:space="0"/>
              <w:left w:val="single" w:color="000000" w:sz="4" w:space="0"/>
              <w:bottom w:val="single" w:color="000000" w:sz="4" w:space="0"/>
              <w:right w:val="single" w:color="000000" w:sz="4" w:space="0"/>
            </w:tcBorders>
            <w:vAlign w:val="center"/>
          </w:tcPr>
          <w:p w14:paraId="0160521C">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检查日期</w:t>
            </w:r>
          </w:p>
        </w:tc>
        <w:tc>
          <w:tcPr>
            <w:tcW w:w="2164" w:type="dxa"/>
            <w:gridSpan w:val="2"/>
            <w:tcBorders>
              <w:top w:val="single" w:color="000000" w:sz="4" w:space="0"/>
              <w:left w:val="single" w:color="000000" w:sz="4" w:space="0"/>
              <w:bottom w:val="single" w:color="000000" w:sz="4" w:space="0"/>
              <w:right w:val="single" w:color="000000" w:sz="4" w:space="0"/>
            </w:tcBorders>
            <w:vAlign w:val="center"/>
          </w:tcPr>
          <w:p w14:paraId="0FA5A328">
            <w:pPr>
              <w:rPr>
                <w:rFonts w:hint="eastAsia" w:ascii="宋体" w:hAnsi="宋体" w:cs="宋体"/>
                <w:color w:val="000000" w:themeColor="text1"/>
                <w:szCs w:val="21"/>
                <w14:textFill>
                  <w14:solidFill>
                    <w14:schemeClr w14:val="tx1"/>
                  </w14:solidFill>
                </w14:textFill>
              </w:rPr>
            </w:pPr>
          </w:p>
        </w:tc>
      </w:tr>
      <w:tr w14:paraId="3EA8250E">
        <w:tblPrEx>
          <w:tblCellMar>
            <w:top w:w="15" w:type="dxa"/>
            <w:left w:w="15" w:type="dxa"/>
            <w:bottom w:w="15" w:type="dxa"/>
            <w:right w:w="15" w:type="dxa"/>
          </w:tblCellMar>
        </w:tblPrEx>
        <w:trPr>
          <w:jc w:val="center"/>
        </w:trPr>
        <w:tc>
          <w:tcPr>
            <w:tcW w:w="1883" w:type="dxa"/>
            <w:tcBorders>
              <w:top w:val="single" w:color="000000" w:sz="4" w:space="0"/>
              <w:left w:val="single" w:color="000000" w:sz="4" w:space="0"/>
              <w:bottom w:val="single" w:color="000000" w:sz="4" w:space="0"/>
              <w:right w:val="single" w:color="000000" w:sz="4" w:space="0"/>
            </w:tcBorders>
            <w:vAlign w:val="center"/>
          </w:tcPr>
          <w:p w14:paraId="729BDE5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检查项目</w:t>
            </w: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7347F9B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检查内容及评分标准</w:t>
            </w:r>
          </w:p>
        </w:tc>
        <w:tc>
          <w:tcPr>
            <w:tcW w:w="1134" w:type="dxa"/>
            <w:tcBorders>
              <w:top w:val="single" w:color="000000" w:sz="4" w:space="0"/>
              <w:left w:val="single" w:color="000000" w:sz="4" w:space="0"/>
              <w:bottom w:val="single" w:color="000000" w:sz="4" w:space="0"/>
              <w:right w:val="single" w:color="000000" w:sz="4" w:space="0"/>
            </w:tcBorders>
            <w:vAlign w:val="center"/>
          </w:tcPr>
          <w:p w14:paraId="21BE567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扣分原因</w:t>
            </w:r>
          </w:p>
        </w:tc>
        <w:tc>
          <w:tcPr>
            <w:tcW w:w="1030" w:type="dxa"/>
            <w:tcBorders>
              <w:top w:val="single" w:color="000000" w:sz="4" w:space="0"/>
              <w:left w:val="single" w:color="000000" w:sz="4" w:space="0"/>
              <w:bottom w:val="single" w:color="000000" w:sz="4" w:space="0"/>
              <w:right w:val="single" w:color="000000" w:sz="4" w:space="0"/>
            </w:tcBorders>
            <w:vAlign w:val="center"/>
          </w:tcPr>
          <w:p w14:paraId="6078E834">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得分</w:t>
            </w:r>
          </w:p>
        </w:tc>
      </w:tr>
      <w:tr w14:paraId="7799C904">
        <w:tblPrEx>
          <w:tblCellMar>
            <w:top w:w="15" w:type="dxa"/>
            <w:left w:w="15" w:type="dxa"/>
            <w:bottom w:w="15" w:type="dxa"/>
            <w:right w:w="15" w:type="dxa"/>
          </w:tblCellMar>
        </w:tblPrEx>
        <w:trPr>
          <w:jc w:val="center"/>
        </w:trPr>
        <w:tc>
          <w:tcPr>
            <w:tcW w:w="1883" w:type="dxa"/>
            <w:vMerge w:val="restart"/>
            <w:tcBorders>
              <w:top w:val="single" w:color="000000" w:sz="4" w:space="0"/>
              <w:left w:val="single" w:color="000000" w:sz="4" w:space="0"/>
              <w:right w:val="single" w:color="000000" w:sz="4" w:space="0"/>
            </w:tcBorders>
            <w:vAlign w:val="center"/>
          </w:tcPr>
          <w:p w14:paraId="6C28EBF0">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质量控制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50分</w:t>
            </w: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7F8546C1">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洗涤布服干净，无人体污渍、血渍、食物油渍、尿垢、粪便、药渍等各种污渍残留，无其他杂物掺入。10分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7326E29C">
            <w:pPr>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2E31B9AB">
            <w:pPr>
              <w:rPr>
                <w:rFonts w:hint="eastAsia" w:ascii="宋体" w:hAnsi="宋体" w:cs="宋体"/>
                <w:color w:val="000000" w:themeColor="text1"/>
                <w:szCs w:val="21"/>
                <w14:textFill>
                  <w14:solidFill>
                    <w14:schemeClr w14:val="tx1"/>
                  </w14:solidFill>
                </w14:textFill>
              </w:rPr>
            </w:pPr>
          </w:p>
        </w:tc>
      </w:tr>
      <w:tr w14:paraId="4E839D87">
        <w:tblPrEx>
          <w:tblCellMar>
            <w:top w:w="15" w:type="dxa"/>
            <w:left w:w="15" w:type="dxa"/>
            <w:bottom w:w="15" w:type="dxa"/>
            <w:right w:w="15" w:type="dxa"/>
          </w:tblCellMar>
        </w:tblPrEx>
        <w:trPr>
          <w:jc w:val="center"/>
        </w:trPr>
        <w:tc>
          <w:tcPr>
            <w:tcW w:w="1883" w:type="dxa"/>
            <w:vMerge w:val="continue"/>
            <w:tcBorders>
              <w:left w:val="single" w:color="000000" w:sz="4" w:space="0"/>
              <w:right w:val="single" w:color="000000" w:sz="4" w:space="0"/>
            </w:tcBorders>
            <w:vAlign w:val="center"/>
          </w:tcPr>
          <w:p w14:paraId="6AFA3196">
            <w:pPr>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021440AA">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洗涤布服干燥，无潮湿不干现象。10分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65DA12AE">
            <w:pPr>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9705027">
            <w:pPr>
              <w:rPr>
                <w:rFonts w:hint="eastAsia" w:ascii="宋体" w:hAnsi="宋体" w:cs="宋体"/>
                <w:color w:val="000000" w:themeColor="text1"/>
                <w:szCs w:val="21"/>
                <w14:textFill>
                  <w14:solidFill>
                    <w14:schemeClr w14:val="tx1"/>
                  </w14:solidFill>
                </w14:textFill>
              </w:rPr>
            </w:pPr>
          </w:p>
        </w:tc>
      </w:tr>
      <w:tr w14:paraId="121C0C88">
        <w:tblPrEx>
          <w:tblCellMar>
            <w:top w:w="15" w:type="dxa"/>
            <w:left w:w="15" w:type="dxa"/>
            <w:bottom w:w="15" w:type="dxa"/>
            <w:right w:w="15" w:type="dxa"/>
          </w:tblCellMar>
        </w:tblPrEx>
        <w:trPr>
          <w:jc w:val="center"/>
        </w:trPr>
        <w:tc>
          <w:tcPr>
            <w:tcW w:w="1883" w:type="dxa"/>
            <w:vMerge w:val="continue"/>
            <w:tcBorders>
              <w:left w:val="single" w:color="000000" w:sz="4" w:space="0"/>
              <w:right w:val="single" w:color="000000" w:sz="4" w:space="0"/>
            </w:tcBorders>
            <w:vAlign w:val="center"/>
          </w:tcPr>
          <w:p w14:paraId="39448FF3">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1784ED04">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折叠整齐，工作服熨烫平整。10分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3D8A8769">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2DE255D0">
            <w:pPr>
              <w:pStyle w:val="73"/>
              <w:ind w:firstLine="420" w:firstLineChars="200"/>
              <w:rPr>
                <w:rFonts w:hint="eastAsia" w:ascii="宋体" w:hAnsi="宋体" w:cs="宋体"/>
                <w:color w:val="000000" w:themeColor="text1"/>
                <w:szCs w:val="21"/>
                <w14:textFill>
                  <w14:solidFill>
                    <w14:schemeClr w14:val="tx1"/>
                  </w14:solidFill>
                </w14:textFill>
              </w:rPr>
            </w:pPr>
          </w:p>
        </w:tc>
      </w:tr>
      <w:tr w14:paraId="05520601">
        <w:tblPrEx>
          <w:tblCellMar>
            <w:top w:w="15" w:type="dxa"/>
            <w:left w:w="15" w:type="dxa"/>
            <w:bottom w:w="15" w:type="dxa"/>
            <w:right w:w="15" w:type="dxa"/>
          </w:tblCellMar>
        </w:tblPrEx>
        <w:trPr>
          <w:trHeight w:val="120" w:hRule="atLeast"/>
          <w:jc w:val="center"/>
        </w:trPr>
        <w:tc>
          <w:tcPr>
            <w:tcW w:w="1883" w:type="dxa"/>
            <w:vMerge w:val="continue"/>
            <w:tcBorders>
              <w:left w:val="single" w:color="000000" w:sz="4" w:space="0"/>
              <w:right w:val="single" w:color="000000" w:sz="4" w:space="0"/>
            </w:tcBorders>
            <w:vAlign w:val="center"/>
          </w:tcPr>
          <w:p w14:paraId="578D0CA4">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0A913B85">
            <w:pPr>
              <w:pStyle w:val="7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对有破损或无钮扣的衣物布草给予免费缝补及补钉钮扣。10分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0724B9EC">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76604752">
            <w:pPr>
              <w:pStyle w:val="73"/>
              <w:ind w:firstLine="420" w:firstLineChars="200"/>
              <w:rPr>
                <w:rFonts w:hint="eastAsia" w:ascii="宋体" w:hAnsi="宋体" w:cs="宋体"/>
                <w:color w:val="000000" w:themeColor="text1"/>
                <w:szCs w:val="21"/>
                <w14:textFill>
                  <w14:solidFill>
                    <w14:schemeClr w14:val="tx1"/>
                  </w14:solidFill>
                </w14:textFill>
              </w:rPr>
            </w:pPr>
          </w:p>
        </w:tc>
      </w:tr>
      <w:tr w14:paraId="38E5A3D3">
        <w:tblPrEx>
          <w:tblCellMar>
            <w:top w:w="15" w:type="dxa"/>
            <w:left w:w="15" w:type="dxa"/>
            <w:bottom w:w="15" w:type="dxa"/>
            <w:right w:w="15" w:type="dxa"/>
          </w:tblCellMar>
        </w:tblPrEx>
        <w:trPr>
          <w:trHeight w:val="451" w:hRule="atLeast"/>
          <w:jc w:val="center"/>
        </w:trPr>
        <w:tc>
          <w:tcPr>
            <w:tcW w:w="1883" w:type="dxa"/>
            <w:vMerge w:val="continue"/>
            <w:tcBorders>
              <w:left w:val="single" w:color="000000" w:sz="4" w:space="0"/>
              <w:bottom w:val="single" w:color="000000" w:sz="4" w:space="0"/>
              <w:right w:val="single" w:color="000000" w:sz="4" w:space="0"/>
            </w:tcBorders>
            <w:vAlign w:val="center"/>
          </w:tcPr>
          <w:p w14:paraId="1A341F1F">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2AF6D4ED">
            <w:pPr>
              <w:pStyle w:val="73"/>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月报废总量限月出洗总量3%件以内。10分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50A4F893">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3F1E6755">
            <w:pPr>
              <w:pStyle w:val="73"/>
              <w:ind w:firstLine="420" w:firstLineChars="200"/>
              <w:rPr>
                <w:rFonts w:hint="eastAsia" w:ascii="宋体" w:hAnsi="宋体" w:cs="宋体"/>
                <w:color w:val="000000" w:themeColor="text1"/>
                <w:szCs w:val="21"/>
                <w14:textFill>
                  <w14:solidFill>
                    <w14:schemeClr w14:val="tx1"/>
                  </w14:solidFill>
                </w14:textFill>
              </w:rPr>
            </w:pPr>
          </w:p>
        </w:tc>
      </w:tr>
      <w:tr w14:paraId="5867EE37">
        <w:tblPrEx>
          <w:tblCellMar>
            <w:top w:w="15" w:type="dxa"/>
            <w:left w:w="15" w:type="dxa"/>
            <w:bottom w:w="15" w:type="dxa"/>
            <w:right w:w="15" w:type="dxa"/>
          </w:tblCellMar>
        </w:tblPrEx>
        <w:trPr>
          <w:jc w:val="center"/>
        </w:trPr>
        <w:tc>
          <w:tcPr>
            <w:tcW w:w="1883" w:type="dxa"/>
            <w:vMerge w:val="restart"/>
            <w:tcBorders>
              <w:top w:val="single" w:color="000000" w:sz="4" w:space="0"/>
              <w:left w:val="single" w:color="000000" w:sz="4" w:space="0"/>
              <w:bottom w:val="single" w:color="000000" w:sz="4" w:space="0"/>
              <w:right w:val="single" w:color="000000" w:sz="4" w:space="0"/>
            </w:tcBorders>
            <w:vAlign w:val="center"/>
          </w:tcPr>
          <w:p w14:paraId="2A376CCC">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服务质量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35分</w:t>
            </w: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1F077B3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现场工作人力足够，按时收送。5分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178446DB">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5472A926">
            <w:pPr>
              <w:pStyle w:val="73"/>
              <w:ind w:firstLine="420" w:firstLineChars="200"/>
              <w:rPr>
                <w:rFonts w:hint="eastAsia" w:ascii="宋体" w:hAnsi="宋体" w:cs="宋体"/>
                <w:color w:val="000000" w:themeColor="text1"/>
                <w:szCs w:val="21"/>
                <w14:textFill>
                  <w14:solidFill>
                    <w14:schemeClr w14:val="tx1"/>
                  </w14:solidFill>
                </w14:textFill>
              </w:rPr>
            </w:pPr>
          </w:p>
        </w:tc>
      </w:tr>
      <w:tr w14:paraId="2B270268">
        <w:tblPrEx>
          <w:tblCellMar>
            <w:top w:w="15" w:type="dxa"/>
            <w:left w:w="15" w:type="dxa"/>
            <w:bottom w:w="15" w:type="dxa"/>
            <w:right w:w="15" w:type="dxa"/>
          </w:tblCellMar>
        </w:tblPrEx>
        <w:trPr>
          <w:jc w:val="center"/>
        </w:trPr>
        <w:tc>
          <w:tcPr>
            <w:tcW w:w="1883" w:type="dxa"/>
            <w:vMerge w:val="continue"/>
            <w:tcBorders>
              <w:top w:val="single" w:color="000000" w:sz="4" w:space="0"/>
              <w:left w:val="single" w:color="000000" w:sz="4" w:space="0"/>
              <w:bottom w:val="single" w:color="000000" w:sz="4" w:space="0"/>
              <w:right w:val="single" w:color="000000" w:sz="4" w:space="0"/>
            </w:tcBorders>
            <w:vAlign w:val="center"/>
          </w:tcPr>
          <w:p w14:paraId="7965ED4B">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538545E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管理干部不定期到现场了解服务质量等情况，至少每周一次。5分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6004CF33">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75ED09BB">
            <w:pPr>
              <w:pStyle w:val="73"/>
              <w:ind w:firstLine="420" w:firstLineChars="200"/>
              <w:rPr>
                <w:rFonts w:hint="eastAsia" w:ascii="宋体" w:hAnsi="宋体" w:cs="宋体"/>
                <w:color w:val="000000" w:themeColor="text1"/>
                <w:szCs w:val="21"/>
                <w14:textFill>
                  <w14:solidFill>
                    <w14:schemeClr w14:val="tx1"/>
                  </w14:solidFill>
                </w14:textFill>
              </w:rPr>
            </w:pPr>
          </w:p>
        </w:tc>
      </w:tr>
      <w:tr w14:paraId="7F889D4B">
        <w:tblPrEx>
          <w:tblCellMar>
            <w:top w:w="15" w:type="dxa"/>
            <w:left w:w="15" w:type="dxa"/>
            <w:bottom w:w="15" w:type="dxa"/>
            <w:right w:w="15" w:type="dxa"/>
          </w:tblCellMar>
        </w:tblPrEx>
        <w:trPr>
          <w:jc w:val="center"/>
        </w:trPr>
        <w:tc>
          <w:tcPr>
            <w:tcW w:w="1883" w:type="dxa"/>
            <w:vMerge w:val="continue"/>
            <w:tcBorders>
              <w:top w:val="single" w:color="000000" w:sz="4" w:space="0"/>
              <w:left w:val="single" w:color="000000" w:sz="4" w:space="0"/>
              <w:bottom w:val="single" w:color="000000" w:sz="4" w:space="0"/>
              <w:right w:val="single" w:color="000000" w:sz="4" w:space="0"/>
            </w:tcBorders>
            <w:vAlign w:val="center"/>
          </w:tcPr>
          <w:p w14:paraId="76F50EFE">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2E658B42">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洗衣单、返洗单、衣物报废单、洗涤服务投诉单等均一式三联，有双方签名确认。5分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16E4A879">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425512D">
            <w:pPr>
              <w:pStyle w:val="73"/>
              <w:ind w:firstLine="420" w:firstLineChars="200"/>
              <w:rPr>
                <w:rFonts w:hint="eastAsia" w:ascii="宋体" w:hAnsi="宋体" w:cs="宋体"/>
                <w:color w:val="000000" w:themeColor="text1"/>
                <w:szCs w:val="21"/>
                <w14:textFill>
                  <w14:solidFill>
                    <w14:schemeClr w14:val="tx1"/>
                  </w14:solidFill>
                </w14:textFill>
              </w:rPr>
            </w:pPr>
          </w:p>
        </w:tc>
      </w:tr>
      <w:tr w14:paraId="15690951">
        <w:tblPrEx>
          <w:tblCellMar>
            <w:top w:w="15" w:type="dxa"/>
            <w:left w:w="15" w:type="dxa"/>
            <w:bottom w:w="15" w:type="dxa"/>
            <w:right w:w="15" w:type="dxa"/>
          </w:tblCellMar>
        </w:tblPrEx>
        <w:trPr>
          <w:jc w:val="center"/>
        </w:trPr>
        <w:tc>
          <w:tcPr>
            <w:tcW w:w="1883" w:type="dxa"/>
            <w:vMerge w:val="continue"/>
            <w:tcBorders>
              <w:top w:val="single" w:color="000000" w:sz="4" w:space="0"/>
              <w:left w:val="single" w:color="000000" w:sz="4" w:space="0"/>
              <w:bottom w:val="single" w:color="000000" w:sz="4" w:space="0"/>
              <w:right w:val="single" w:color="000000" w:sz="4" w:space="0"/>
            </w:tcBorders>
            <w:vAlign w:val="center"/>
          </w:tcPr>
          <w:p w14:paraId="463F8601">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7A8C8DD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每次送洁衣的数量及品种依照前一天的收污衣的数量及品种（以前一天的洗衣单、返洗单数量和品种为准）作验收，并将洁衣放入洁衣柜中。5分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41E2A84D">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461A90DD">
            <w:pPr>
              <w:pStyle w:val="73"/>
              <w:ind w:firstLine="420" w:firstLineChars="200"/>
              <w:rPr>
                <w:rFonts w:hint="eastAsia" w:ascii="宋体" w:hAnsi="宋体" w:cs="宋体"/>
                <w:color w:val="000000" w:themeColor="text1"/>
                <w:szCs w:val="21"/>
                <w14:textFill>
                  <w14:solidFill>
                    <w14:schemeClr w14:val="tx1"/>
                  </w14:solidFill>
                </w14:textFill>
              </w:rPr>
            </w:pPr>
          </w:p>
        </w:tc>
      </w:tr>
      <w:tr w14:paraId="227AF3C9">
        <w:tblPrEx>
          <w:tblCellMar>
            <w:top w:w="15" w:type="dxa"/>
            <w:left w:w="15" w:type="dxa"/>
            <w:bottom w:w="15" w:type="dxa"/>
            <w:right w:w="15" w:type="dxa"/>
          </w:tblCellMar>
        </w:tblPrEx>
        <w:trPr>
          <w:jc w:val="center"/>
        </w:trPr>
        <w:tc>
          <w:tcPr>
            <w:tcW w:w="1883" w:type="dxa"/>
            <w:vMerge w:val="continue"/>
            <w:tcBorders>
              <w:top w:val="single" w:color="000000" w:sz="4" w:space="0"/>
              <w:left w:val="single" w:color="000000" w:sz="4" w:space="0"/>
              <w:bottom w:val="single" w:color="000000" w:sz="4" w:space="0"/>
              <w:right w:val="single" w:color="000000" w:sz="4" w:space="0"/>
            </w:tcBorders>
            <w:vAlign w:val="center"/>
          </w:tcPr>
          <w:p w14:paraId="3711668C">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336C4205">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衣物布草洗涤质量达不到正常卫生标准，而影响院方被服使用和供应，在双方交接时提出并立即免费回洗，填写返洗单，双方确认签名，次日送洁衣时一并送回。5分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2545CBDF">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200A80E7">
            <w:pPr>
              <w:pStyle w:val="73"/>
              <w:ind w:firstLine="420" w:firstLineChars="200"/>
              <w:rPr>
                <w:rFonts w:hint="eastAsia" w:ascii="宋体" w:hAnsi="宋体" w:cs="宋体"/>
                <w:color w:val="000000" w:themeColor="text1"/>
                <w:szCs w:val="21"/>
                <w14:textFill>
                  <w14:solidFill>
                    <w14:schemeClr w14:val="tx1"/>
                  </w14:solidFill>
                </w14:textFill>
              </w:rPr>
            </w:pPr>
          </w:p>
        </w:tc>
      </w:tr>
      <w:tr w14:paraId="16117092">
        <w:tblPrEx>
          <w:tblCellMar>
            <w:top w:w="15" w:type="dxa"/>
            <w:left w:w="15" w:type="dxa"/>
            <w:bottom w:w="15" w:type="dxa"/>
            <w:right w:w="15" w:type="dxa"/>
          </w:tblCellMar>
        </w:tblPrEx>
        <w:trPr>
          <w:jc w:val="center"/>
        </w:trPr>
        <w:tc>
          <w:tcPr>
            <w:tcW w:w="1883" w:type="dxa"/>
            <w:vMerge w:val="continue"/>
            <w:tcBorders>
              <w:top w:val="single" w:color="000000" w:sz="4" w:space="0"/>
              <w:left w:val="single" w:color="000000" w:sz="4" w:space="0"/>
              <w:bottom w:val="single" w:color="000000" w:sz="4" w:space="0"/>
              <w:right w:val="single" w:color="000000" w:sz="4" w:space="0"/>
            </w:tcBorders>
            <w:vAlign w:val="center"/>
          </w:tcPr>
          <w:p w14:paraId="113D645A">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54393027">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每月洗涤问题调查后及时把反馈单交后勤设备管理科负责人签名，不断改进收送服务和洗涤工作质量等。5分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6076FA17">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AEB3BE3">
            <w:pPr>
              <w:pStyle w:val="73"/>
              <w:ind w:firstLine="420" w:firstLineChars="200"/>
              <w:rPr>
                <w:rFonts w:hint="eastAsia" w:ascii="宋体" w:hAnsi="宋体" w:cs="宋体"/>
                <w:color w:val="000000" w:themeColor="text1"/>
                <w:szCs w:val="21"/>
                <w14:textFill>
                  <w14:solidFill>
                    <w14:schemeClr w14:val="tx1"/>
                  </w14:solidFill>
                </w14:textFill>
              </w:rPr>
            </w:pPr>
          </w:p>
        </w:tc>
      </w:tr>
      <w:tr w14:paraId="1CB77961">
        <w:tblPrEx>
          <w:tblCellMar>
            <w:top w:w="15" w:type="dxa"/>
            <w:left w:w="15" w:type="dxa"/>
            <w:bottom w:w="15" w:type="dxa"/>
            <w:right w:w="15" w:type="dxa"/>
          </w:tblCellMar>
        </w:tblPrEx>
        <w:trPr>
          <w:jc w:val="center"/>
        </w:trPr>
        <w:tc>
          <w:tcPr>
            <w:tcW w:w="1883" w:type="dxa"/>
            <w:vMerge w:val="continue"/>
            <w:tcBorders>
              <w:top w:val="single" w:color="000000" w:sz="4" w:space="0"/>
              <w:left w:val="single" w:color="000000" w:sz="4" w:space="0"/>
              <w:bottom w:val="single" w:color="000000" w:sz="4" w:space="0"/>
              <w:right w:val="single" w:color="000000" w:sz="4" w:space="0"/>
            </w:tcBorders>
            <w:vAlign w:val="center"/>
          </w:tcPr>
          <w:p w14:paraId="1D88D8CC">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4C2E495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收送材料足用，服务态度良好。 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3EE1DE89">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11D83C7D">
            <w:pPr>
              <w:pStyle w:val="73"/>
              <w:ind w:firstLine="420" w:firstLineChars="200"/>
              <w:rPr>
                <w:rFonts w:hint="eastAsia" w:ascii="宋体" w:hAnsi="宋体" w:cs="宋体"/>
                <w:color w:val="000000" w:themeColor="text1"/>
                <w:szCs w:val="21"/>
                <w14:textFill>
                  <w14:solidFill>
                    <w14:schemeClr w14:val="tx1"/>
                  </w14:solidFill>
                </w14:textFill>
              </w:rPr>
            </w:pPr>
          </w:p>
        </w:tc>
      </w:tr>
      <w:tr w14:paraId="75D47A04">
        <w:tblPrEx>
          <w:tblCellMar>
            <w:top w:w="15" w:type="dxa"/>
            <w:left w:w="15" w:type="dxa"/>
            <w:bottom w:w="15" w:type="dxa"/>
            <w:right w:w="15" w:type="dxa"/>
          </w:tblCellMar>
        </w:tblPrEx>
        <w:trPr>
          <w:trHeight w:val="90" w:hRule="atLeast"/>
          <w:jc w:val="center"/>
        </w:trPr>
        <w:tc>
          <w:tcPr>
            <w:tcW w:w="1883" w:type="dxa"/>
            <w:vMerge w:val="restart"/>
            <w:tcBorders>
              <w:top w:val="single" w:color="000000" w:sz="4" w:space="0"/>
              <w:left w:val="single" w:color="000000" w:sz="4" w:space="0"/>
              <w:right w:val="single" w:color="000000" w:sz="4" w:space="0"/>
            </w:tcBorders>
            <w:vAlign w:val="center"/>
          </w:tcPr>
          <w:p w14:paraId="54FA2A1C">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安全措施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15分</w:t>
            </w: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3030C393">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用污衣袋将有色和无色、病人和工作人员的污衣物分开打包，对有色胶袋包装的衣物，按外包装上标明品种和数量给予登记。5分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2BED0074">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0CF85425">
            <w:pPr>
              <w:pStyle w:val="73"/>
              <w:ind w:firstLine="420" w:firstLineChars="200"/>
              <w:rPr>
                <w:rFonts w:hint="eastAsia" w:ascii="宋体" w:hAnsi="宋体" w:cs="宋体"/>
                <w:color w:val="000000" w:themeColor="text1"/>
                <w:szCs w:val="21"/>
                <w14:textFill>
                  <w14:solidFill>
                    <w14:schemeClr w14:val="tx1"/>
                  </w14:solidFill>
                </w14:textFill>
              </w:rPr>
            </w:pPr>
          </w:p>
        </w:tc>
      </w:tr>
      <w:tr w14:paraId="5AD5F573">
        <w:tblPrEx>
          <w:tblCellMar>
            <w:top w:w="15" w:type="dxa"/>
            <w:left w:w="15" w:type="dxa"/>
            <w:bottom w:w="15" w:type="dxa"/>
            <w:right w:w="15" w:type="dxa"/>
          </w:tblCellMar>
        </w:tblPrEx>
        <w:trPr>
          <w:jc w:val="center"/>
        </w:trPr>
        <w:tc>
          <w:tcPr>
            <w:tcW w:w="1883" w:type="dxa"/>
            <w:vMerge w:val="continue"/>
            <w:tcBorders>
              <w:left w:val="single" w:color="000000" w:sz="4" w:space="0"/>
              <w:right w:val="single" w:color="000000" w:sz="4" w:space="0"/>
            </w:tcBorders>
            <w:vAlign w:val="center"/>
          </w:tcPr>
          <w:p w14:paraId="7513F55F">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4CD86718">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为符合院感要求，不得在除污衣间外的院内任何地点进行污衣清点；传染性（感染性）的布服，分类收集并于污衣袋上注明病因及日期后，收回洗涤公司按要求处理。</w:t>
            </w:r>
            <w:r>
              <w:rPr>
                <w:rFonts w:hint="eastAsia" w:ascii="宋体" w:hAnsi="宋体" w:cs="宋体"/>
                <w:color w:val="000000" w:themeColor="text1"/>
                <w:kern w:val="0"/>
                <w:szCs w:val="21"/>
                <w14:textFill>
                  <w14:solidFill>
                    <w14:schemeClr w14:val="tx1"/>
                  </w14:solidFill>
                </w14:textFill>
              </w:rPr>
              <w:t>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798DE91B">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0255C19B">
            <w:pPr>
              <w:pStyle w:val="73"/>
              <w:ind w:firstLine="420" w:firstLineChars="200"/>
              <w:rPr>
                <w:rFonts w:hint="eastAsia" w:ascii="宋体" w:hAnsi="宋体" w:cs="宋体"/>
                <w:color w:val="000000" w:themeColor="text1"/>
                <w:szCs w:val="21"/>
                <w14:textFill>
                  <w14:solidFill>
                    <w14:schemeClr w14:val="tx1"/>
                  </w14:solidFill>
                </w14:textFill>
              </w:rPr>
            </w:pPr>
          </w:p>
        </w:tc>
      </w:tr>
      <w:tr w14:paraId="6947C62E">
        <w:tblPrEx>
          <w:tblCellMar>
            <w:top w:w="15" w:type="dxa"/>
            <w:left w:w="15" w:type="dxa"/>
            <w:bottom w:w="15" w:type="dxa"/>
            <w:right w:w="15" w:type="dxa"/>
          </w:tblCellMar>
        </w:tblPrEx>
        <w:trPr>
          <w:jc w:val="center"/>
        </w:trPr>
        <w:tc>
          <w:tcPr>
            <w:tcW w:w="1883" w:type="dxa"/>
            <w:vMerge w:val="continue"/>
            <w:tcBorders>
              <w:left w:val="single" w:color="000000" w:sz="4" w:space="0"/>
              <w:bottom w:val="single" w:color="auto" w:sz="4" w:space="0"/>
              <w:right w:val="single" w:color="000000" w:sz="4" w:space="0"/>
            </w:tcBorders>
            <w:vAlign w:val="center"/>
          </w:tcPr>
          <w:p w14:paraId="43DFDDEE">
            <w:pPr>
              <w:pStyle w:val="73"/>
              <w:ind w:firstLine="420" w:firstLineChars="200"/>
              <w:rPr>
                <w:rFonts w:hint="eastAsia" w:ascii="宋体" w:hAnsi="宋体" w:cs="宋体"/>
                <w:color w:val="000000" w:themeColor="text1"/>
                <w:szCs w:val="21"/>
                <w14:textFill>
                  <w14:solidFill>
                    <w14:schemeClr w14:val="tx1"/>
                  </w14:solidFill>
                </w14:textFill>
              </w:rPr>
            </w:pPr>
          </w:p>
        </w:tc>
        <w:tc>
          <w:tcPr>
            <w:tcW w:w="4936" w:type="dxa"/>
            <w:gridSpan w:val="2"/>
            <w:tcBorders>
              <w:top w:val="single" w:color="000000" w:sz="4" w:space="0"/>
              <w:left w:val="single" w:color="000000" w:sz="4" w:space="0"/>
              <w:bottom w:val="single" w:color="000000" w:sz="4" w:space="0"/>
              <w:right w:val="single" w:color="000000" w:sz="4" w:space="0"/>
            </w:tcBorders>
            <w:vAlign w:val="center"/>
          </w:tcPr>
          <w:p w14:paraId="13622A0A">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污衣、洁衣间的卫生和消毒（包括人员、清洁、消毒物品和工具）情况良好。5分</w:t>
            </w:r>
          </w:p>
        </w:tc>
        <w:tc>
          <w:tcPr>
            <w:tcW w:w="1134" w:type="dxa"/>
            <w:tcBorders>
              <w:top w:val="single" w:color="000000" w:sz="4" w:space="0"/>
              <w:left w:val="single" w:color="000000" w:sz="4" w:space="0"/>
              <w:bottom w:val="single" w:color="000000" w:sz="4" w:space="0"/>
              <w:right w:val="single" w:color="000000" w:sz="4" w:space="0"/>
            </w:tcBorders>
            <w:vAlign w:val="center"/>
          </w:tcPr>
          <w:p w14:paraId="29CCC23F">
            <w:pPr>
              <w:pStyle w:val="73"/>
              <w:ind w:firstLine="420" w:firstLineChars="200"/>
              <w:rPr>
                <w:rFonts w:hint="eastAsia" w:ascii="宋体" w:hAnsi="宋体" w:cs="宋体"/>
                <w:color w:val="000000" w:themeColor="text1"/>
                <w:szCs w:val="21"/>
                <w14:textFill>
                  <w14:solidFill>
                    <w14:schemeClr w14:val="tx1"/>
                  </w14:solidFill>
                </w14:textFill>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7A3C95CA">
            <w:pPr>
              <w:pStyle w:val="73"/>
              <w:ind w:firstLine="420" w:firstLineChars="200"/>
              <w:rPr>
                <w:rFonts w:hint="eastAsia" w:ascii="宋体" w:hAnsi="宋体" w:cs="宋体"/>
                <w:color w:val="000000" w:themeColor="text1"/>
                <w:szCs w:val="21"/>
                <w14:textFill>
                  <w14:solidFill>
                    <w14:schemeClr w14:val="tx1"/>
                  </w14:solidFill>
                </w14:textFill>
              </w:rPr>
            </w:pPr>
          </w:p>
        </w:tc>
      </w:tr>
      <w:tr w14:paraId="39C25B21">
        <w:tblPrEx>
          <w:tblCellMar>
            <w:top w:w="15" w:type="dxa"/>
            <w:left w:w="15" w:type="dxa"/>
            <w:bottom w:w="15" w:type="dxa"/>
            <w:right w:w="15" w:type="dxa"/>
          </w:tblCellMar>
        </w:tblPrEx>
        <w:trPr>
          <w:jc w:val="center"/>
        </w:trPr>
        <w:tc>
          <w:tcPr>
            <w:tcW w:w="8983" w:type="dxa"/>
            <w:gridSpan w:val="5"/>
            <w:tcBorders>
              <w:top w:val="single" w:color="auto" w:sz="4" w:space="0"/>
              <w:left w:val="single" w:color="auto" w:sz="4" w:space="0"/>
              <w:bottom w:val="single" w:color="auto" w:sz="4" w:space="0"/>
              <w:right w:val="single" w:color="000000" w:sz="4" w:space="0"/>
            </w:tcBorders>
            <w:vAlign w:val="center"/>
          </w:tcPr>
          <w:p w14:paraId="6D15A25D">
            <w:pPr>
              <w:pStyle w:val="73"/>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备注：由甲方后勤设备管理科检查评分后填写对乙方进行考核，评分表作为付款凭据之一</w:t>
            </w:r>
          </w:p>
        </w:tc>
      </w:tr>
    </w:tbl>
    <w:p w14:paraId="05B2B2C9">
      <w:pPr>
        <w:rPr>
          <w:color w:val="000000" w:themeColor="text1"/>
          <w14:textFill>
            <w14:solidFill>
              <w14:schemeClr w14:val="tx1"/>
            </w14:solidFill>
          </w14:textFill>
        </w:rPr>
      </w:pPr>
    </w:p>
    <w:p w14:paraId="60608E59">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12590D4">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07CA92F">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67340ED6">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53C12E2C">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40C817A">
      <w:pPr>
        <w:spacing w:line="300" w:lineRule="auto"/>
        <w:jc w:val="center"/>
        <w:rPr>
          <w:rFonts w:hint="eastAsia" w:ascii="宋体" w:hAnsi="宋体"/>
          <w:b/>
          <w:color w:val="000000" w:themeColor="text1"/>
          <w:sz w:val="48"/>
          <w:szCs w:val="48"/>
          <w:highlight w:val="none"/>
          <w:lang w:val="en-US" w:eastAsia="zh-CN"/>
          <w14:textFill>
            <w14:solidFill>
              <w14:schemeClr w14:val="tx1"/>
            </w14:solidFill>
          </w14:textFill>
        </w:rPr>
      </w:pPr>
    </w:p>
    <w:p w14:paraId="35CAC61B">
      <w:pPr>
        <w:spacing w:line="30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lang w:val="en-US" w:eastAsia="zh-CN"/>
          <w14:textFill>
            <w14:solidFill>
              <w14:schemeClr w14:val="tx1"/>
            </w14:solidFill>
          </w14:textFill>
        </w:rPr>
        <w:t>第二部分</w:t>
      </w:r>
      <w:r>
        <w:rPr>
          <w:rFonts w:hint="eastAsia" w:ascii="宋体" w:hAnsi="宋体"/>
          <w:b/>
          <w:color w:val="000000" w:themeColor="text1"/>
          <w:sz w:val="48"/>
          <w:szCs w:val="48"/>
          <w:highlight w:val="none"/>
          <w14:textFill>
            <w14:solidFill>
              <w14:schemeClr w14:val="tx1"/>
            </w14:solidFill>
          </w14:textFill>
        </w:rPr>
        <w:t>、补充附件</w:t>
      </w:r>
    </w:p>
    <w:p w14:paraId="7BA3CA6F">
      <w:pPr>
        <w:spacing w:line="30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注：以下部分的附件应后附在投标文件中，作为投标文件的一部分。</w:t>
      </w:r>
    </w:p>
    <w:p w14:paraId="1FEC93EE">
      <w:pPr>
        <w:spacing w:line="300" w:lineRule="auto"/>
        <w:rPr>
          <w:rFonts w:ascii="宋体" w:hAnsi="宋体"/>
          <w:b/>
          <w:color w:val="000000" w:themeColor="text1"/>
          <w:sz w:val="24"/>
          <w:szCs w:val="24"/>
          <w:highlight w:val="none"/>
          <w14:textFill>
            <w14:solidFill>
              <w14:schemeClr w14:val="tx1"/>
            </w14:solidFill>
          </w14:textFill>
        </w:rPr>
      </w:pPr>
    </w:p>
    <w:p w14:paraId="63B85E33">
      <w:pPr>
        <w:outlineLvl w:val="1"/>
        <w:rPr>
          <w:rFonts w:hint="eastAsia" w:ascii="宋体" w:hAnsi="宋体" w:eastAsia="宋体" w:cs="宋体"/>
          <w:b/>
          <w:color w:val="auto"/>
          <w:sz w:val="28"/>
          <w:szCs w:val="28"/>
        </w:rPr>
      </w:pPr>
      <w:r>
        <w:rPr>
          <w:rFonts w:ascii="宋体" w:hAnsi="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auto"/>
          <w:sz w:val="28"/>
          <w:szCs w:val="28"/>
        </w:rPr>
        <w:t>附件一、</w:t>
      </w:r>
      <w:bookmarkStart w:id="6" w:name="_Toc435514855"/>
      <w:bookmarkStart w:id="7" w:name="_Toc435515295"/>
      <w:bookmarkStart w:id="8" w:name="_Toc275865606"/>
      <w:r>
        <w:rPr>
          <w:rFonts w:hint="eastAsia" w:ascii="宋体" w:hAnsi="宋体" w:eastAsia="宋体" w:cs="宋体"/>
          <w:b/>
          <w:color w:val="auto"/>
          <w:sz w:val="28"/>
          <w:szCs w:val="28"/>
        </w:rPr>
        <w:t>资格文件</w:t>
      </w:r>
    </w:p>
    <w:p w14:paraId="252E4D30">
      <w:pPr>
        <w:outlineLvl w:val="1"/>
        <w:rPr>
          <w:rFonts w:hint="eastAsia" w:ascii="宋体" w:hAnsi="宋体" w:eastAsia="宋体" w:cs="宋体"/>
          <w:b/>
          <w:szCs w:val="21"/>
          <w:lang w:val="en-US" w:eastAsia="zh-CN"/>
        </w:rPr>
      </w:pPr>
    </w:p>
    <w:p w14:paraId="0B2DD77E">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6"/>
      <w:bookmarkEnd w:id="7"/>
      <w:bookmarkEnd w:id="8"/>
    </w:p>
    <w:p w14:paraId="5315C80E">
      <w:pPr>
        <w:adjustRightInd w:val="0"/>
        <w:snapToGrid w:val="0"/>
        <w:spacing w:line="360" w:lineRule="auto"/>
        <w:rPr>
          <w:rFonts w:hint="eastAsia" w:ascii="宋体" w:hAnsi="宋体" w:eastAsia="宋体" w:cs="宋体"/>
          <w:b/>
          <w:szCs w:val="21"/>
        </w:rPr>
      </w:pPr>
    </w:p>
    <w:p w14:paraId="26E641DD">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0D39D97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1D0E8479">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2F8F493A">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769F82C3">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65CFAC72">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2EE8E708">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4EA5893E">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14:paraId="170722A8">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14:paraId="5D692F58">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665889A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30C44DF0">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736C89E3">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073463AB">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288E1B33">
      <w:pPr>
        <w:adjustRightInd w:val="0"/>
        <w:snapToGrid w:val="0"/>
        <w:rPr>
          <w:rFonts w:hint="eastAsia" w:ascii="宋体" w:hAnsi="宋体" w:eastAsia="宋体" w:cs="宋体"/>
          <w:szCs w:val="21"/>
        </w:rPr>
      </w:pPr>
    </w:p>
    <w:p w14:paraId="08C58C17">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36D47053">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2E882796">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4DD28CBA">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99FC0D2">
      <w:pPr>
        <w:jc w:val="left"/>
        <w:rPr>
          <w:rFonts w:hint="eastAsia" w:ascii="宋体" w:hAnsi="宋体" w:eastAsia="宋体" w:cs="宋体"/>
          <w:b/>
          <w:sz w:val="24"/>
          <w:highlight w:val="none"/>
        </w:rPr>
      </w:pP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A17A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67B039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28218A36">
            <w:pPr>
              <w:topLinePunct/>
              <w:spacing w:line="440" w:lineRule="exact"/>
              <w:jc w:val="center"/>
              <w:rPr>
                <w:rFonts w:hint="eastAsia" w:ascii="宋体" w:hAnsi="宋体" w:eastAsia="宋体" w:cs="宋体"/>
                <w:szCs w:val="21"/>
                <w:highlight w:val="none"/>
              </w:rPr>
            </w:pPr>
          </w:p>
        </w:tc>
      </w:tr>
      <w:tr w14:paraId="289F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509AC7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2A52BC87">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940CE9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24402FE8">
            <w:pPr>
              <w:topLinePunct/>
              <w:spacing w:line="440" w:lineRule="exact"/>
              <w:jc w:val="center"/>
              <w:rPr>
                <w:rFonts w:hint="eastAsia" w:ascii="宋体" w:hAnsi="宋体" w:eastAsia="宋体" w:cs="宋体"/>
                <w:szCs w:val="21"/>
                <w:highlight w:val="none"/>
              </w:rPr>
            </w:pPr>
          </w:p>
        </w:tc>
      </w:tr>
      <w:tr w14:paraId="50BCE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0126D7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2BC308D5">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2FAB757D">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0AAA238E">
            <w:pPr>
              <w:topLinePunct/>
              <w:spacing w:line="440" w:lineRule="exact"/>
              <w:jc w:val="center"/>
              <w:rPr>
                <w:rFonts w:hint="eastAsia" w:ascii="宋体" w:hAnsi="宋体" w:eastAsia="宋体" w:cs="宋体"/>
                <w:szCs w:val="21"/>
                <w:highlight w:val="none"/>
              </w:rPr>
            </w:pPr>
          </w:p>
        </w:tc>
      </w:tr>
      <w:tr w14:paraId="7F7E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56A0D922">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53C69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2FACE6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1CFF9E7">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18A1D8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09AA1D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1AFBB9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34C2411C">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3FDFAD1">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41F65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51E123">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5CEF6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103FC2A">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4445B1E">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A29F1E">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432EA163">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21B3A7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F3BE3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0AA169">
            <w:pPr>
              <w:topLinePunct/>
              <w:spacing w:line="440" w:lineRule="exact"/>
              <w:jc w:val="center"/>
              <w:rPr>
                <w:rFonts w:hint="eastAsia" w:ascii="宋体" w:hAnsi="宋体" w:eastAsia="宋体" w:cs="宋体"/>
                <w:szCs w:val="21"/>
                <w:highlight w:val="none"/>
              </w:rPr>
            </w:pPr>
          </w:p>
        </w:tc>
      </w:tr>
      <w:tr w14:paraId="61EE1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48CFB19">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3A0005">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29F55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46D4F2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E8D8F5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B11CA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6EB4E4">
            <w:pPr>
              <w:topLinePunct/>
              <w:spacing w:line="440" w:lineRule="exact"/>
              <w:jc w:val="center"/>
              <w:rPr>
                <w:rFonts w:hint="eastAsia" w:ascii="宋体" w:hAnsi="宋体" w:eastAsia="宋体" w:cs="宋体"/>
                <w:szCs w:val="21"/>
                <w:highlight w:val="none"/>
              </w:rPr>
            </w:pPr>
          </w:p>
        </w:tc>
      </w:tr>
      <w:tr w14:paraId="02019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661745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ED484EA">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524B2D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5BAD3B06">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68FABE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F53D04">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149441">
            <w:pPr>
              <w:topLinePunct/>
              <w:spacing w:line="440" w:lineRule="exact"/>
              <w:jc w:val="center"/>
              <w:rPr>
                <w:rFonts w:hint="eastAsia" w:ascii="宋体" w:hAnsi="宋体" w:eastAsia="宋体" w:cs="宋体"/>
                <w:szCs w:val="21"/>
                <w:highlight w:val="none"/>
              </w:rPr>
            </w:pPr>
          </w:p>
        </w:tc>
      </w:tr>
      <w:tr w14:paraId="1DBA7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F74145D">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E25D1DC">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AD264E9">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423A4F6">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ED7A4A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72B31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607245">
            <w:pPr>
              <w:topLinePunct/>
              <w:spacing w:line="440" w:lineRule="exact"/>
              <w:jc w:val="center"/>
              <w:rPr>
                <w:rFonts w:hint="eastAsia" w:ascii="宋体" w:hAnsi="宋体" w:eastAsia="宋体" w:cs="宋体"/>
                <w:szCs w:val="21"/>
                <w:highlight w:val="none"/>
              </w:rPr>
            </w:pPr>
          </w:p>
        </w:tc>
      </w:tr>
      <w:tr w14:paraId="14F21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7F023E5">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5592661">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157305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9A92A40">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8F2360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A1519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FF5016">
            <w:pPr>
              <w:topLinePunct/>
              <w:spacing w:line="440" w:lineRule="exact"/>
              <w:jc w:val="center"/>
              <w:rPr>
                <w:rFonts w:hint="eastAsia" w:ascii="宋体" w:hAnsi="宋体" w:eastAsia="宋体" w:cs="宋体"/>
                <w:szCs w:val="21"/>
                <w:highlight w:val="none"/>
              </w:rPr>
            </w:pPr>
          </w:p>
        </w:tc>
      </w:tr>
      <w:tr w14:paraId="4E3A8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E3E638A">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4EA1D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EDAF6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7A962BB">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BBBAFE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67336E">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FF8404">
            <w:pPr>
              <w:topLinePunct/>
              <w:spacing w:line="440" w:lineRule="exact"/>
              <w:jc w:val="center"/>
              <w:rPr>
                <w:rFonts w:hint="eastAsia" w:ascii="宋体" w:hAnsi="宋体" w:eastAsia="宋体" w:cs="宋体"/>
                <w:szCs w:val="21"/>
                <w:highlight w:val="none"/>
              </w:rPr>
            </w:pPr>
          </w:p>
        </w:tc>
      </w:tr>
    </w:tbl>
    <w:p w14:paraId="019853BB">
      <w:pPr>
        <w:jc w:val="left"/>
        <w:rPr>
          <w:rFonts w:hint="eastAsia" w:ascii="宋体" w:hAnsi="宋体" w:eastAsia="宋体" w:cs="宋体"/>
          <w:szCs w:val="21"/>
          <w:highlight w:val="none"/>
        </w:rPr>
      </w:pPr>
    </w:p>
    <w:p w14:paraId="07EFB0B8">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556FA0D9">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277DFFBF">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28"/>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4C01AC0B">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04D331FA">
      <w:pPr>
        <w:ind w:left="405"/>
        <w:rPr>
          <w:rFonts w:hint="eastAsia" w:ascii="宋体" w:hAnsi="宋体" w:eastAsia="宋体" w:cs="宋体"/>
          <w:sz w:val="24"/>
          <w:highlight w:val="none"/>
        </w:rPr>
      </w:pPr>
    </w:p>
    <w:p w14:paraId="63F0DEDA">
      <w:pPr>
        <w:adjustRightInd w:val="0"/>
        <w:snapToGrid w:val="0"/>
        <w:spacing w:line="360" w:lineRule="auto"/>
        <w:ind w:firstLine="440" w:firstLineChars="200"/>
        <w:rPr>
          <w:rFonts w:hint="eastAsia" w:ascii="宋体" w:hAnsi="宋体" w:eastAsia="宋体" w:cs="宋体"/>
          <w:szCs w:val="21"/>
          <w:highlight w:val="none"/>
        </w:rPr>
      </w:pPr>
    </w:p>
    <w:p w14:paraId="6D975E7B">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12AAE94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04EECDC5">
      <w:pPr>
        <w:ind w:left="405"/>
        <w:rPr>
          <w:rFonts w:hint="eastAsia" w:ascii="宋体" w:hAnsi="宋体" w:eastAsia="宋体" w:cs="宋体"/>
          <w:b/>
          <w:szCs w:val="21"/>
          <w:highlight w:val="none"/>
        </w:rPr>
      </w:pPr>
    </w:p>
    <w:p w14:paraId="006B44C7">
      <w:pPr>
        <w:ind w:left="405"/>
        <w:rPr>
          <w:rFonts w:hint="eastAsia" w:ascii="宋体" w:hAnsi="宋体" w:eastAsia="宋体" w:cs="宋体"/>
          <w:b/>
          <w:szCs w:val="21"/>
          <w:highlight w:val="none"/>
        </w:rPr>
      </w:pPr>
    </w:p>
    <w:p w14:paraId="466E4628">
      <w:pPr>
        <w:ind w:left="405"/>
        <w:rPr>
          <w:rFonts w:hint="eastAsia" w:ascii="宋体" w:hAnsi="宋体" w:eastAsia="宋体" w:cs="宋体"/>
          <w:b/>
          <w:szCs w:val="21"/>
          <w:highlight w:val="none"/>
        </w:rPr>
      </w:pPr>
    </w:p>
    <w:p w14:paraId="2200465C">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341257B">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0ECA61EE">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01B5D50F">
      <w:pPr>
        <w:ind w:left="405"/>
        <w:rPr>
          <w:rFonts w:hint="eastAsia" w:ascii="宋体" w:hAnsi="宋体" w:eastAsia="宋体" w:cs="宋体"/>
          <w:b/>
          <w:szCs w:val="21"/>
          <w:highlight w:val="none"/>
        </w:rPr>
      </w:pPr>
    </w:p>
    <w:p w14:paraId="0C1D1584">
      <w:pPr>
        <w:ind w:left="405"/>
        <w:rPr>
          <w:rFonts w:hint="eastAsia" w:ascii="宋体" w:hAnsi="宋体" w:eastAsia="宋体" w:cs="宋体"/>
          <w:b/>
          <w:szCs w:val="21"/>
          <w:highlight w:val="none"/>
        </w:rPr>
      </w:pPr>
    </w:p>
    <w:p w14:paraId="2BBAB27E">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1454EA3C">
      <w:pPr>
        <w:rPr>
          <w:rFonts w:hint="eastAsia" w:ascii="宋体" w:hAnsi="宋体" w:eastAsia="宋体" w:cs="宋体"/>
          <w:b/>
          <w:szCs w:val="21"/>
          <w:highlight w:val="none"/>
        </w:rPr>
      </w:pPr>
    </w:p>
    <w:p w14:paraId="15353331">
      <w:pPr>
        <w:rPr>
          <w:rFonts w:hint="eastAsia" w:ascii="宋体" w:hAnsi="宋体" w:eastAsia="宋体" w:cs="宋体"/>
          <w:b/>
          <w:sz w:val="24"/>
          <w:highlight w:val="none"/>
        </w:rPr>
      </w:pPr>
    </w:p>
    <w:p w14:paraId="50B19BC9">
      <w:pPr>
        <w:rPr>
          <w:rFonts w:hint="eastAsia" w:ascii="宋体" w:hAnsi="宋体" w:eastAsia="宋体" w:cs="宋体"/>
          <w:b/>
          <w:sz w:val="24"/>
          <w:highlight w:val="none"/>
        </w:rPr>
      </w:pPr>
    </w:p>
    <w:p w14:paraId="674872AA">
      <w:pPr>
        <w:rPr>
          <w:rFonts w:hint="eastAsia" w:ascii="宋体" w:hAnsi="宋体" w:eastAsia="宋体" w:cs="宋体"/>
          <w:b/>
          <w:sz w:val="24"/>
          <w:highlight w:val="none"/>
        </w:rPr>
      </w:pPr>
    </w:p>
    <w:p w14:paraId="7DCDDF00">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29ABB111">
      <w:pPr>
        <w:rPr>
          <w:rFonts w:hint="eastAsia" w:hAnsi="宋体" w:cs="宋体"/>
          <w:b/>
          <w:sz w:val="24"/>
          <w:highlight w:val="none"/>
          <w:lang w:val="en-US" w:eastAsia="zh-CN"/>
        </w:rPr>
      </w:pPr>
      <w:r>
        <w:rPr>
          <w:rFonts w:hint="eastAsia" w:ascii="宋体" w:hAnsi="宋体" w:eastAsia="宋体" w:cs="宋体"/>
          <w:b/>
          <w:sz w:val="24"/>
          <w:highlight w:val="none"/>
          <w:lang w:val="en-US" w:eastAsia="zh-CN"/>
        </w:rPr>
        <w:t>1.3法定代表人授权代表声明函</w:t>
      </w:r>
    </w:p>
    <w:p w14:paraId="0EFA7D4B">
      <w:pPr>
        <w:jc w:val="center"/>
        <w:outlineLvl w:val="1"/>
        <w:rPr>
          <w:rFonts w:hint="eastAsia" w:ascii="宋体" w:hAnsi="宋体" w:eastAsia="宋体" w:cs="宋体"/>
          <w:b/>
          <w:sz w:val="28"/>
          <w:szCs w:val="28"/>
        </w:rPr>
      </w:pPr>
      <w:r>
        <w:rPr>
          <w:rFonts w:hint="eastAsia" w:ascii="宋体" w:hAnsi="宋体" w:eastAsia="宋体" w:cs="宋体"/>
          <w:b/>
          <w:szCs w:val="21"/>
        </w:rPr>
        <w:t>法定代表人授权代表声明函</w:t>
      </w:r>
    </w:p>
    <w:p w14:paraId="6A1D07C4">
      <w:pPr>
        <w:adjustRightInd w:val="0"/>
        <w:snapToGrid w:val="0"/>
        <w:spacing w:line="360" w:lineRule="auto"/>
        <w:rPr>
          <w:rFonts w:hint="eastAsia" w:ascii="宋体" w:hAnsi="宋体" w:eastAsia="宋体" w:cs="宋体"/>
          <w:b/>
          <w:szCs w:val="21"/>
        </w:rPr>
      </w:pPr>
    </w:p>
    <w:p w14:paraId="742BE0E6">
      <w:pPr>
        <w:adjustRightInd w:val="0"/>
        <w:snapToGrid w:val="0"/>
        <w:spacing w:line="360" w:lineRule="auto"/>
        <w:rPr>
          <w:rFonts w:hint="eastAsia" w:ascii="宋体" w:hAnsi="宋体" w:eastAsia="宋体" w:cs="宋体"/>
          <w:b/>
          <w:lang w:eastAsia="zh-CN"/>
        </w:rPr>
      </w:pPr>
      <w:r>
        <w:rPr>
          <w:rFonts w:hint="eastAsia" w:hAnsi="宋体" w:cs="宋体"/>
          <w:b/>
          <w:szCs w:val="21"/>
          <w:lang w:val="en-US" w:eastAsia="zh-CN"/>
        </w:rPr>
        <w:t>国义招标股份有限公司</w:t>
      </w:r>
      <w:r>
        <w:rPr>
          <w:rFonts w:hint="eastAsia" w:ascii="宋体" w:hAnsi="宋体" w:eastAsia="宋体" w:cs="宋体"/>
          <w:b/>
          <w:szCs w:val="21"/>
          <w:lang w:eastAsia="zh-CN"/>
        </w:rPr>
        <w:t>：</w:t>
      </w:r>
    </w:p>
    <w:p w14:paraId="416B6E9B">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hAnsi="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14:paraId="64F3447E">
      <w:pPr>
        <w:adjustRightInd w:val="0"/>
        <w:snapToGrid w:val="0"/>
        <w:spacing w:line="360" w:lineRule="auto"/>
        <w:ind w:firstLine="444" w:firstLineChars="202"/>
        <w:rPr>
          <w:rFonts w:hint="eastAsia" w:ascii="宋体" w:hAnsi="宋体" w:eastAsia="宋体" w:cs="宋体"/>
          <w:color w:val="auto"/>
          <w:highlight w:val="none"/>
        </w:rPr>
      </w:pPr>
      <w:r>
        <w:rPr>
          <w:rFonts w:hint="eastAsia" w:hAnsi="宋体" w:cs="宋体"/>
          <w:color w:val="auto"/>
          <w:highlight w:val="none"/>
          <w:lang w:val="en-US" w:eastAsia="zh-CN"/>
        </w:rPr>
        <w:t>代表</w:t>
      </w:r>
      <w:r>
        <w:rPr>
          <w:rFonts w:hint="eastAsia" w:ascii="宋体" w:hAnsi="宋体" w:eastAsia="宋体" w:cs="宋体"/>
          <w:color w:val="auto"/>
          <w:highlight w:val="none"/>
        </w:rPr>
        <w:t>本公司（企业）</w:t>
      </w:r>
      <w:r>
        <w:rPr>
          <w:rFonts w:hint="eastAsia" w:hAnsi="宋体" w:cs="宋体"/>
          <w:color w:val="auto"/>
          <w:highlight w:val="none"/>
          <w:lang w:val="en-US" w:eastAsia="zh-CN"/>
        </w:rPr>
        <w:t>参加本项目的</w:t>
      </w:r>
      <w:r>
        <w:rPr>
          <w:color w:val="000000" w:themeColor="text1"/>
          <w:highlight w:val="none"/>
          <w14:textFill>
            <w14:solidFill>
              <w14:schemeClr w14:val="tx1"/>
            </w14:solidFill>
          </w14:textFill>
        </w:rPr>
        <w:t xml:space="preserve"> </w:t>
      </w:r>
      <w:r>
        <w:rPr>
          <w:color w:val="000000" w:themeColor="text1"/>
          <w:highlight w:val="none"/>
          <w:u w:val="single"/>
          <w14:textFill>
            <w14:solidFill>
              <w14:schemeClr w14:val="tx1"/>
            </w14:solidFill>
          </w14:textFill>
        </w:rPr>
        <w:t>（姓名、职务）</w:t>
      </w:r>
      <w:r>
        <w:rPr>
          <w:color w:val="000000" w:themeColor="text1"/>
          <w:highlight w:val="none"/>
          <w14:textFill>
            <w14:solidFill>
              <w14:schemeClr w14:val="tx1"/>
            </w14:solidFill>
          </w14:textFill>
        </w:rPr>
        <w:t xml:space="preserve"> 作为我公司的</w:t>
      </w:r>
      <w:r>
        <w:rPr>
          <w:rFonts w:hint="eastAsia" w:ascii="宋体" w:hAnsi="宋体" w:eastAsia="宋体" w:cs="宋体"/>
          <w:szCs w:val="21"/>
        </w:rPr>
        <w:t>法定代表人授权代表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系</w:t>
      </w:r>
      <w:r>
        <w:rPr>
          <w:rFonts w:hint="eastAsia" w:ascii="宋体" w:hAnsi="宋体" w:eastAsia="宋体" w:cs="宋体"/>
          <w:color w:val="auto"/>
          <w:highlight w:val="none"/>
        </w:rPr>
        <w:t>本公司（企业）</w:t>
      </w:r>
      <w:r>
        <w:rPr>
          <w:rFonts w:hint="eastAsia"/>
          <w:color w:val="000000" w:themeColor="text1"/>
          <w:highlight w:val="none"/>
          <w:lang w:val="en-US" w:eastAsia="zh-CN"/>
          <w14:textFill>
            <w14:solidFill>
              <w14:schemeClr w14:val="tx1"/>
            </w14:solidFill>
          </w14:textFill>
        </w:rPr>
        <w:t>员工</w:t>
      </w:r>
      <w:r>
        <w:rPr>
          <w:rFonts w:hint="eastAsia" w:ascii="宋体" w:hAnsi="宋体" w:eastAsia="宋体" w:cs="宋体"/>
          <w:color w:val="auto"/>
          <w:highlight w:val="none"/>
        </w:rPr>
        <w:t>。</w:t>
      </w:r>
    </w:p>
    <w:p w14:paraId="0E82D14F">
      <w:pPr>
        <w:adjustRightInd w:val="0"/>
        <w:snapToGrid w:val="0"/>
        <w:spacing w:line="360" w:lineRule="auto"/>
        <w:ind w:firstLine="444" w:firstLineChars="202"/>
        <w:rPr>
          <w:rFonts w:hint="eastAsia" w:ascii="宋体" w:hAnsi="宋体" w:eastAsia="宋体" w:cs="宋体"/>
          <w:color w:val="auto"/>
          <w:highlight w:val="none"/>
        </w:rPr>
      </w:pPr>
    </w:p>
    <w:p w14:paraId="5358D682">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758E0821">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0E96E22E">
      <w:pPr>
        <w:rPr>
          <w:rFonts w:hint="default" w:ascii="宋体" w:hAnsi="宋体" w:eastAsia="宋体" w:cs="宋体"/>
          <w:b/>
          <w:bCs/>
          <w:highlight w:val="none"/>
          <w:lang w:val="en-US" w:eastAsia="zh-CN"/>
        </w:rPr>
      </w:pPr>
      <w:r>
        <w:rPr>
          <w:rFonts w:hint="eastAsia" w:hAnsi="宋体" w:cs="宋体"/>
          <w:b/>
          <w:bCs/>
          <w:highlight w:val="none"/>
          <w:lang w:val="en-US" w:eastAsia="zh-CN"/>
        </w:rPr>
        <w:t>法定代表人授权代表近六个月内任意一个月在投标人单位购买社保的证明材料。</w:t>
      </w:r>
    </w:p>
    <w:p w14:paraId="34645145">
      <w:pPr>
        <w:adjustRightInd w:val="0"/>
        <w:snapToGrid w:val="0"/>
        <w:rPr>
          <w:rFonts w:hint="eastAsia" w:ascii="宋体" w:hAnsi="宋体" w:eastAsia="宋体" w:cs="宋体"/>
          <w:szCs w:val="21"/>
        </w:rPr>
      </w:pPr>
    </w:p>
    <w:p w14:paraId="60EE37A5">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10AA1E93">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75F57D33">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574F250E">
      <w:pPr>
        <w:rPr>
          <w:rFonts w:hint="default" w:hAnsi="宋体" w:cs="宋体"/>
          <w:b/>
          <w:sz w:val="24"/>
          <w:highlight w:val="none"/>
          <w:lang w:val="en-US" w:eastAsia="zh-CN"/>
        </w:rPr>
      </w:pPr>
    </w:p>
    <w:p w14:paraId="27D649CC">
      <w:pPr>
        <w:rPr>
          <w:rFonts w:hint="eastAsia" w:ascii="宋体" w:hAnsi="宋体" w:eastAsia="宋体" w:cs="宋体"/>
          <w:b/>
          <w:sz w:val="24"/>
          <w:highlight w:val="none"/>
        </w:rPr>
      </w:pPr>
    </w:p>
    <w:p w14:paraId="06C9A491">
      <w:pPr>
        <w:rPr>
          <w:rFonts w:hint="eastAsia" w:ascii="宋体" w:hAnsi="宋体" w:eastAsia="宋体" w:cs="宋体"/>
          <w:b/>
          <w:sz w:val="24"/>
          <w:highlight w:val="none"/>
        </w:rPr>
      </w:pPr>
    </w:p>
    <w:p w14:paraId="537D60B8">
      <w:pPr>
        <w:rPr>
          <w:rFonts w:hint="eastAsia" w:ascii="宋体" w:hAnsi="宋体" w:eastAsia="宋体" w:cs="宋体"/>
          <w:b/>
          <w:sz w:val="24"/>
          <w:highlight w:val="none"/>
          <w:lang w:val="en-US" w:eastAsia="zh-CN"/>
        </w:rPr>
      </w:pPr>
    </w:p>
    <w:p w14:paraId="2B3FF898">
      <w:pPr>
        <w:rPr>
          <w:rFonts w:hint="eastAsia" w:ascii="宋体" w:hAnsi="宋体" w:eastAsia="宋体" w:cs="宋体"/>
          <w:b/>
          <w:sz w:val="24"/>
          <w:highlight w:val="none"/>
          <w:lang w:val="en-US" w:eastAsia="zh-CN"/>
        </w:rPr>
      </w:pPr>
    </w:p>
    <w:p w14:paraId="17A8B943">
      <w:pPr>
        <w:rPr>
          <w:rFonts w:hint="eastAsia" w:ascii="宋体" w:hAnsi="宋体" w:eastAsia="宋体" w:cs="宋体"/>
          <w:b/>
          <w:sz w:val="24"/>
          <w:highlight w:val="none"/>
          <w:lang w:val="en-US" w:eastAsia="zh-CN"/>
        </w:rPr>
      </w:pPr>
    </w:p>
    <w:p w14:paraId="7DFDE00C">
      <w:pPr>
        <w:rPr>
          <w:rFonts w:hint="eastAsia" w:ascii="宋体" w:hAnsi="宋体" w:eastAsia="宋体" w:cs="宋体"/>
          <w:b/>
          <w:sz w:val="24"/>
          <w:highlight w:val="none"/>
          <w:lang w:val="en-US" w:eastAsia="zh-CN"/>
        </w:rPr>
      </w:pPr>
    </w:p>
    <w:p w14:paraId="3E3EFB07">
      <w:pPr>
        <w:rPr>
          <w:rFonts w:hint="eastAsia" w:ascii="宋体" w:hAnsi="宋体" w:eastAsia="宋体" w:cs="宋体"/>
          <w:b/>
          <w:sz w:val="24"/>
          <w:highlight w:val="none"/>
          <w:lang w:val="en-US" w:eastAsia="zh-CN"/>
        </w:rPr>
      </w:pPr>
    </w:p>
    <w:p w14:paraId="777FA2D9">
      <w:pPr>
        <w:rPr>
          <w:rFonts w:hint="eastAsia" w:ascii="宋体" w:hAnsi="宋体" w:eastAsia="宋体" w:cs="宋体"/>
          <w:b/>
          <w:sz w:val="24"/>
          <w:highlight w:val="none"/>
          <w:lang w:val="en-US" w:eastAsia="zh-CN"/>
        </w:rPr>
      </w:pPr>
    </w:p>
    <w:p w14:paraId="667C89A3">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w:t>
      </w:r>
      <w:r>
        <w:rPr>
          <w:rFonts w:hint="eastAsia" w:hAnsi="宋体" w:cs="宋体"/>
          <w:b/>
          <w:sz w:val="24"/>
          <w:highlight w:val="none"/>
          <w:lang w:val="en-US" w:eastAsia="zh-CN"/>
        </w:rPr>
        <w:t>4</w:t>
      </w:r>
      <w:r>
        <w:rPr>
          <w:rFonts w:hint="eastAsia" w:ascii="宋体" w:hAnsi="宋体" w:eastAsia="宋体" w:cs="宋体"/>
          <w:b/>
          <w:sz w:val="24"/>
          <w:highlight w:val="none"/>
        </w:rPr>
        <w:t>其他资格证明文件</w:t>
      </w:r>
    </w:p>
    <w:p w14:paraId="5A190E2E">
      <w:pPr>
        <w:rPr>
          <w:rFonts w:hint="eastAsia" w:ascii="宋体" w:hAnsi="宋体" w:eastAsia="宋体" w:cs="宋体"/>
          <w:b/>
          <w:sz w:val="24"/>
          <w:highlight w:val="none"/>
        </w:rPr>
      </w:pPr>
    </w:p>
    <w:p w14:paraId="38D2F23A">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3D196163">
      <w:pPr>
        <w:autoSpaceDE w:val="0"/>
        <w:autoSpaceDN w:val="0"/>
        <w:ind w:right="1400"/>
        <w:rPr>
          <w:rFonts w:hint="eastAsia" w:ascii="宋体" w:hAnsi="宋体" w:eastAsia="宋体" w:cs="宋体"/>
          <w:sz w:val="24"/>
          <w:highlight w:val="none"/>
        </w:rPr>
      </w:pPr>
    </w:p>
    <w:p w14:paraId="25A411F9">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0D7C3093">
      <w:pPr>
        <w:rPr>
          <w:rFonts w:hint="eastAsia" w:ascii="宋体" w:hAnsi="宋体" w:eastAsia="宋体" w:cs="宋体"/>
          <w:b/>
          <w:color w:val="auto"/>
          <w:szCs w:val="21"/>
          <w:highlight w:val="none"/>
        </w:rPr>
      </w:pPr>
    </w:p>
    <w:p w14:paraId="669EBA87">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551EC9DD">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格式十八：采购代理服务费支付承诺书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3D765FF7">
      <w:pPr>
        <w:adjustRightInd w:val="0"/>
        <w:snapToGrid w:val="0"/>
        <w:spacing w:line="360" w:lineRule="auto"/>
        <w:rPr>
          <w:rFonts w:hint="eastAsia" w:ascii="宋体" w:hAnsi="宋体" w:eastAsia="宋体" w:cs="宋体"/>
          <w:b/>
          <w:color w:val="auto"/>
          <w:szCs w:val="21"/>
        </w:rPr>
      </w:pPr>
    </w:p>
    <w:p w14:paraId="577A2B2B">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14:paraId="06950D40">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14:paraId="37C68772">
      <w:pPr>
        <w:adjustRightInd w:val="0"/>
        <w:snapToGrid w:val="0"/>
        <w:ind w:firstLine="44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706C6ADB">
      <w:pPr>
        <w:adjustRightInd w:val="0"/>
        <w:snapToGrid w:val="0"/>
        <w:spacing w:line="360" w:lineRule="auto"/>
        <w:ind w:firstLine="44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7528F506">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14:paraId="58F634FB">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14:paraId="7BC33470">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14:paraId="6310AABF">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14:paraId="51B7DCDD">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35CA2192">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14:paraId="73A73C19">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14:paraId="3C07D358">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14:paraId="11772389">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490A093C">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14:paraId="4ED7594B">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14:paraId="0C7DDB6C">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14:paraId="2861D703">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14:paraId="61AFE2CA">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14:paraId="2795BA48">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14:paraId="305815B3">
      <w:pPr>
        <w:rPr>
          <w:rFonts w:hint="eastAsia" w:ascii="宋体" w:hAnsi="宋体" w:eastAsia="宋体" w:cs="宋体"/>
          <w:color w:val="auto"/>
          <w:szCs w:val="21"/>
        </w:rPr>
      </w:pPr>
      <w:r>
        <w:rPr>
          <w:rFonts w:hint="eastAsia" w:ascii="宋体" w:hAnsi="宋体" w:eastAsia="宋体" w:cs="宋体"/>
          <w:color w:val="auto"/>
          <w:szCs w:val="21"/>
        </w:rPr>
        <w:t>特此声明。</w:t>
      </w:r>
    </w:p>
    <w:p w14:paraId="26C633FB">
      <w:pPr>
        <w:rPr>
          <w:rFonts w:hint="eastAsia" w:ascii="宋体" w:hAnsi="宋体" w:eastAsia="宋体" w:cs="宋体"/>
          <w:color w:val="auto"/>
          <w:szCs w:val="21"/>
        </w:rPr>
      </w:pPr>
    </w:p>
    <w:p w14:paraId="58E09198">
      <w:pPr>
        <w:rPr>
          <w:rFonts w:hint="eastAsia" w:ascii="宋体" w:hAnsi="宋体" w:eastAsia="宋体" w:cs="宋体"/>
          <w:color w:val="auto"/>
          <w:szCs w:val="21"/>
        </w:rPr>
      </w:pPr>
    </w:p>
    <w:p w14:paraId="450E2A9F">
      <w:pPr>
        <w:rPr>
          <w:rFonts w:hint="eastAsia" w:ascii="宋体" w:hAnsi="宋体" w:eastAsia="宋体" w:cs="宋体"/>
          <w:color w:val="auto"/>
          <w:szCs w:val="21"/>
        </w:rPr>
      </w:pPr>
    </w:p>
    <w:p w14:paraId="05BFD9D2">
      <w:pPr>
        <w:rPr>
          <w:rFonts w:hint="eastAsia" w:ascii="宋体" w:hAnsi="宋体" w:eastAsia="宋体" w:cs="宋体"/>
          <w:color w:val="auto"/>
          <w:szCs w:val="21"/>
        </w:rPr>
      </w:pPr>
    </w:p>
    <w:p w14:paraId="0D24357B">
      <w:pPr>
        <w:rPr>
          <w:rFonts w:hint="eastAsia" w:ascii="宋体" w:hAnsi="宋体" w:eastAsia="宋体" w:cs="宋体"/>
          <w:color w:val="auto"/>
          <w:szCs w:val="21"/>
        </w:rPr>
      </w:pPr>
    </w:p>
    <w:p w14:paraId="55724393">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4A495A75">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1E254062">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23C00B5E">
      <w:pPr>
        <w:pStyle w:val="30"/>
        <w:rPr>
          <w:rFonts w:hint="eastAsia" w:ascii="宋体" w:hAnsi="宋体" w:eastAsia="宋体" w:cs="宋体"/>
        </w:rPr>
      </w:pPr>
    </w:p>
    <w:p w14:paraId="2E989094">
      <w:pPr>
        <w:pStyle w:val="30"/>
        <w:rPr>
          <w:rFonts w:hint="eastAsia" w:ascii="宋体" w:hAnsi="宋体" w:eastAsia="宋体" w:cs="宋体"/>
          <w:color w:val="auto"/>
          <w:szCs w:val="24"/>
          <w:lang w:val="en-US" w:eastAsia="zh-CN"/>
        </w:rPr>
      </w:pPr>
    </w:p>
    <w:p w14:paraId="210E0ABF">
      <w:pPr>
        <w:rPr>
          <w:rFonts w:hint="eastAsia" w:eastAsia="宋体" w:cs="Times New Roman"/>
          <w:lang w:val="en-US" w:eastAsia="zh-CN"/>
        </w:rPr>
      </w:pPr>
    </w:p>
    <w:p w14:paraId="4C929F1E">
      <w:pPr>
        <w:pStyle w:val="10"/>
        <w:tabs>
          <w:tab w:val="left" w:pos="2030"/>
          <w:tab w:val="left" w:pos="3323"/>
          <w:tab w:val="left" w:pos="3515"/>
        </w:tabs>
        <w:kinsoku w:val="0"/>
        <w:overflowPunct w:val="0"/>
        <w:ind w:right="104"/>
        <w:jc w:val="right"/>
        <w:rPr>
          <w:rFonts w:hint="eastAsia" w:hAnsi="宋体"/>
          <w:color w:val="000000" w:themeColor="text1"/>
          <w:highlight w:val="none"/>
          <w14:textFill>
            <w14:solidFill>
              <w14:schemeClr w14:val="tx1"/>
            </w14:solidFill>
          </w14:textFill>
        </w:rPr>
      </w:pPr>
    </w:p>
    <w:sectPr>
      <w:headerReference r:id="rId3" w:type="default"/>
      <w:footerReference r:id="rId4" w:type="default"/>
      <w:pgSz w:w="11900" w:h="16840"/>
      <w:pgMar w:top="1440" w:right="1080" w:bottom="1440" w:left="1080" w:header="567" w:footer="56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49B4">
    <w:pPr>
      <w:pStyle w:val="10"/>
      <w:kinsoku w:val="0"/>
      <w:overflowPunct w:val="0"/>
      <w:spacing w:line="14" w:lineRule="auto"/>
      <w:ind w:left="0"/>
      <w:rPr>
        <w:rFonts w:ascii="Times New Roman" w:eastAsia="等线"/>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17DA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D17DA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0FE26">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mJiY2RlMzMxNDdlZTIzMzVmNDYzYmNlNTYwODk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65C22"/>
    <w:rsid w:val="01DC19EE"/>
    <w:rsid w:val="024610D3"/>
    <w:rsid w:val="0311468D"/>
    <w:rsid w:val="032632FE"/>
    <w:rsid w:val="037606C3"/>
    <w:rsid w:val="04A309AD"/>
    <w:rsid w:val="04E3586E"/>
    <w:rsid w:val="05297156"/>
    <w:rsid w:val="062760CA"/>
    <w:rsid w:val="06367F91"/>
    <w:rsid w:val="063E7CAE"/>
    <w:rsid w:val="064061DE"/>
    <w:rsid w:val="07897C0E"/>
    <w:rsid w:val="082A1395"/>
    <w:rsid w:val="08B60D54"/>
    <w:rsid w:val="094628A0"/>
    <w:rsid w:val="09D91328"/>
    <w:rsid w:val="0ABC2331"/>
    <w:rsid w:val="0B3111FA"/>
    <w:rsid w:val="0B45387B"/>
    <w:rsid w:val="0BB57BA4"/>
    <w:rsid w:val="0C0076B8"/>
    <w:rsid w:val="0C6C37E1"/>
    <w:rsid w:val="0C9615C8"/>
    <w:rsid w:val="0D9C5751"/>
    <w:rsid w:val="0DC3421D"/>
    <w:rsid w:val="0DF76B00"/>
    <w:rsid w:val="0EDA155C"/>
    <w:rsid w:val="0F4F6CEE"/>
    <w:rsid w:val="0F9746D1"/>
    <w:rsid w:val="0FBD189C"/>
    <w:rsid w:val="0FDE4BDA"/>
    <w:rsid w:val="0FF07241"/>
    <w:rsid w:val="11655791"/>
    <w:rsid w:val="11B1466E"/>
    <w:rsid w:val="121D4674"/>
    <w:rsid w:val="12331A20"/>
    <w:rsid w:val="12437B24"/>
    <w:rsid w:val="12954B43"/>
    <w:rsid w:val="12DC670B"/>
    <w:rsid w:val="12F42BA4"/>
    <w:rsid w:val="131D1399"/>
    <w:rsid w:val="1396419C"/>
    <w:rsid w:val="15932B49"/>
    <w:rsid w:val="15A5072F"/>
    <w:rsid w:val="15E05662"/>
    <w:rsid w:val="17622BE9"/>
    <w:rsid w:val="1787048B"/>
    <w:rsid w:val="179C05CE"/>
    <w:rsid w:val="192C7506"/>
    <w:rsid w:val="193548E0"/>
    <w:rsid w:val="19440BD0"/>
    <w:rsid w:val="1A102318"/>
    <w:rsid w:val="1A206039"/>
    <w:rsid w:val="1B6553C6"/>
    <w:rsid w:val="1BBC4C34"/>
    <w:rsid w:val="1C3C11C6"/>
    <w:rsid w:val="1C7520F8"/>
    <w:rsid w:val="1CF72DBB"/>
    <w:rsid w:val="1D0B3468"/>
    <w:rsid w:val="1D1E53EE"/>
    <w:rsid w:val="1D506AA7"/>
    <w:rsid w:val="1E470BDB"/>
    <w:rsid w:val="1E7B7EAF"/>
    <w:rsid w:val="1FE401B3"/>
    <w:rsid w:val="20C462AC"/>
    <w:rsid w:val="21B73E88"/>
    <w:rsid w:val="222B693C"/>
    <w:rsid w:val="22A64485"/>
    <w:rsid w:val="24667DE3"/>
    <w:rsid w:val="247C0C4C"/>
    <w:rsid w:val="25DC0A00"/>
    <w:rsid w:val="262E3841"/>
    <w:rsid w:val="26AF2198"/>
    <w:rsid w:val="26B75F6B"/>
    <w:rsid w:val="27EC2A9F"/>
    <w:rsid w:val="28203CD5"/>
    <w:rsid w:val="287A337D"/>
    <w:rsid w:val="28800981"/>
    <w:rsid w:val="28A14A68"/>
    <w:rsid w:val="28F00B0D"/>
    <w:rsid w:val="298316DB"/>
    <w:rsid w:val="298F4F7D"/>
    <w:rsid w:val="29B80978"/>
    <w:rsid w:val="2AAD6736"/>
    <w:rsid w:val="2AD00E3A"/>
    <w:rsid w:val="2AE05796"/>
    <w:rsid w:val="2B3F6C91"/>
    <w:rsid w:val="2B9F71B1"/>
    <w:rsid w:val="2CAC0E49"/>
    <w:rsid w:val="2CC101CD"/>
    <w:rsid w:val="2D047A30"/>
    <w:rsid w:val="2D9F4E31"/>
    <w:rsid w:val="2F09761D"/>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5061741"/>
    <w:rsid w:val="354C01C6"/>
    <w:rsid w:val="355D635D"/>
    <w:rsid w:val="358E4C71"/>
    <w:rsid w:val="360F2EB9"/>
    <w:rsid w:val="36887E00"/>
    <w:rsid w:val="36963DEF"/>
    <w:rsid w:val="36D66C33"/>
    <w:rsid w:val="37021294"/>
    <w:rsid w:val="370B211A"/>
    <w:rsid w:val="379D6803"/>
    <w:rsid w:val="38194CD8"/>
    <w:rsid w:val="398C14D9"/>
    <w:rsid w:val="39C15F76"/>
    <w:rsid w:val="3AA01842"/>
    <w:rsid w:val="3ACF286E"/>
    <w:rsid w:val="3B6723E1"/>
    <w:rsid w:val="3C505CA8"/>
    <w:rsid w:val="3C9E7E8F"/>
    <w:rsid w:val="3CE81B00"/>
    <w:rsid w:val="3D5740DE"/>
    <w:rsid w:val="3E5A5EE4"/>
    <w:rsid w:val="3E5F5AA5"/>
    <w:rsid w:val="3E846C23"/>
    <w:rsid w:val="3EBC7BE3"/>
    <w:rsid w:val="401E2B51"/>
    <w:rsid w:val="40F26F47"/>
    <w:rsid w:val="41117688"/>
    <w:rsid w:val="412C237F"/>
    <w:rsid w:val="4155091F"/>
    <w:rsid w:val="41695A0F"/>
    <w:rsid w:val="41BA10CB"/>
    <w:rsid w:val="42303B8B"/>
    <w:rsid w:val="42423FD9"/>
    <w:rsid w:val="43A14604"/>
    <w:rsid w:val="43A33BF5"/>
    <w:rsid w:val="43A538BC"/>
    <w:rsid w:val="44E17F63"/>
    <w:rsid w:val="44F7014F"/>
    <w:rsid w:val="453B488F"/>
    <w:rsid w:val="45F15E70"/>
    <w:rsid w:val="46A64344"/>
    <w:rsid w:val="46D80127"/>
    <w:rsid w:val="477A5515"/>
    <w:rsid w:val="489706FC"/>
    <w:rsid w:val="48B733AA"/>
    <w:rsid w:val="48E20A96"/>
    <w:rsid w:val="4B117A90"/>
    <w:rsid w:val="4BB34F51"/>
    <w:rsid w:val="4D4D3AFB"/>
    <w:rsid w:val="4D683864"/>
    <w:rsid w:val="4DC46C4F"/>
    <w:rsid w:val="4DE173FF"/>
    <w:rsid w:val="4E58201F"/>
    <w:rsid w:val="50AE13D1"/>
    <w:rsid w:val="50D1098B"/>
    <w:rsid w:val="52D561B8"/>
    <w:rsid w:val="52DC0984"/>
    <w:rsid w:val="548B08B3"/>
    <w:rsid w:val="55242153"/>
    <w:rsid w:val="555F4A28"/>
    <w:rsid w:val="558F57DA"/>
    <w:rsid w:val="55A0038E"/>
    <w:rsid w:val="55DD4A42"/>
    <w:rsid w:val="567F1BCC"/>
    <w:rsid w:val="56D218E5"/>
    <w:rsid w:val="573F39B5"/>
    <w:rsid w:val="57B4119F"/>
    <w:rsid w:val="588A28B9"/>
    <w:rsid w:val="5A9164F8"/>
    <w:rsid w:val="5AFE1DDF"/>
    <w:rsid w:val="5B1C1D31"/>
    <w:rsid w:val="5D3A54D2"/>
    <w:rsid w:val="5DD46E27"/>
    <w:rsid w:val="5E997C33"/>
    <w:rsid w:val="5EB007B5"/>
    <w:rsid w:val="5EBC779A"/>
    <w:rsid w:val="60712622"/>
    <w:rsid w:val="61903065"/>
    <w:rsid w:val="61C030C6"/>
    <w:rsid w:val="6232236E"/>
    <w:rsid w:val="624C4474"/>
    <w:rsid w:val="62AC3A78"/>
    <w:rsid w:val="63B57AC3"/>
    <w:rsid w:val="64011757"/>
    <w:rsid w:val="6473529E"/>
    <w:rsid w:val="649E1F3D"/>
    <w:rsid w:val="64FD4B95"/>
    <w:rsid w:val="65E0162B"/>
    <w:rsid w:val="65E53E98"/>
    <w:rsid w:val="66424626"/>
    <w:rsid w:val="665971AE"/>
    <w:rsid w:val="667B1BFB"/>
    <w:rsid w:val="67A55BDE"/>
    <w:rsid w:val="6835600A"/>
    <w:rsid w:val="68A8667A"/>
    <w:rsid w:val="692E169F"/>
    <w:rsid w:val="69A37C09"/>
    <w:rsid w:val="6A2B3024"/>
    <w:rsid w:val="6A303659"/>
    <w:rsid w:val="6A4B2016"/>
    <w:rsid w:val="6AC344AB"/>
    <w:rsid w:val="6BA008BF"/>
    <w:rsid w:val="6BA1796A"/>
    <w:rsid w:val="6BA472B9"/>
    <w:rsid w:val="6BD77B3D"/>
    <w:rsid w:val="6C240F7A"/>
    <w:rsid w:val="6D00349A"/>
    <w:rsid w:val="6D600186"/>
    <w:rsid w:val="6E945E6C"/>
    <w:rsid w:val="6F835472"/>
    <w:rsid w:val="6F913D15"/>
    <w:rsid w:val="70A45725"/>
    <w:rsid w:val="710812D5"/>
    <w:rsid w:val="71227648"/>
    <w:rsid w:val="71411F9D"/>
    <w:rsid w:val="73BE4E40"/>
    <w:rsid w:val="762A69E2"/>
    <w:rsid w:val="76524E83"/>
    <w:rsid w:val="76AC04E9"/>
    <w:rsid w:val="7A6C1EDF"/>
    <w:rsid w:val="7A711B4A"/>
    <w:rsid w:val="7B16294B"/>
    <w:rsid w:val="7BC24922"/>
    <w:rsid w:val="7C19011C"/>
    <w:rsid w:val="7C331E4E"/>
    <w:rsid w:val="7C934E7B"/>
    <w:rsid w:val="7CC87214"/>
    <w:rsid w:val="7CCF5DDE"/>
    <w:rsid w:val="7D5738F9"/>
    <w:rsid w:val="7D5F62B6"/>
    <w:rsid w:val="7D707D52"/>
    <w:rsid w:val="7E3B10CB"/>
    <w:rsid w:val="7E8766DE"/>
    <w:rsid w:val="7F443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2">
    <w:name w:val="heading 1"/>
    <w:basedOn w:val="1"/>
    <w:next w:val="1"/>
    <w:link w:val="51"/>
    <w:qFormat/>
    <w:uiPriority w:val="9"/>
    <w:pPr>
      <w:ind w:left="3144" w:right="3120"/>
      <w:jc w:val="center"/>
      <w:outlineLvl w:val="0"/>
    </w:pPr>
    <w:rPr>
      <w:rFonts w:cs="Times New Roman"/>
      <w:b/>
      <w:bCs/>
      <w:kern w:val="44"/>
      <w:sz w:val="44"/>
      <w:szCs w:val="44"/>
    </w:rPr>
  </w:style>
  <w:style w:type="paragraph" w:styleId="3">
    <w:name w:val="heading 2"/>
    <w:basedOn w:val="1"/>
    <w:next w:val="1"/>
    <w:link w:val="60"/>
    <w:qFormat/>
    <w:uiPriority w:val="9"/>
    <w:pPr>
      <w:ind w:left="3150" w:right="3120"/>
      <w:jc w:val="center"/>
      <w:outlineLvl w:val="1"/>
    </w:pPr>
    <w:rPr>
      <w:rFonts w:ascii="等线 Light" w:hAnsi="等线 Light" w:eastAsia="等线 Light" w:cs="Times New Roman"/>
      <w:b/>
      <w:bCs/>
      <w:sz w:val="32"/>
      <w:szCs w:val="32"/>
    </w:rPr>
  </w:style>
  <w:style w:type="paragraph" w:styleId="4">
    <w:name w:val="heading 3"/>
    <w:basedOn w:val="1"/>
    <w:next w:val="1"/>
    <w:link w:val="56"/>
    <w:autoRedefine/>
    <w:qFormat/>
    <w:uiPriority w:val="9"/>
    <w:pPr>
      <w:spacing w:before="48"/>
      <w:ind w:left="3150" w:right="3120"/>
      <w:jc w:val="center"/>
      <w:outlineLvl w:val="2"/>
    </w:pPr>
    <w:rPr>
      <w:rFonts w:cs="Times New Roman"/>
      <w:b/>
      <w:bCs/>
      <w:sz w:val="32"/>
      <w:szCs w:val="32"/>
    </w:rPr>
  </w:style>
  <w:style w:type="paragraph" w:styleId="5">
    <w:name w:val="heading 4"/>
    <w:basedOn w:val="1"/>
    <w:next w:val="1"/>
    <w:link w:val="54"/>
    <w:qFormat/>
    <w:uiPriority w:val="9"/>
    <w:pPr>
      <w:spacing w:before="62"/>
      <w:ind w:left="200"/>
      <w:outlineLvl w:val="3"/>
    </w:pPr>
    <w:rPr>
      <w:rFonts w:ascii="等线 Light" w:hAnsi="等线 Light" w:eastAsia="等线 Light" w:cs="Times New Roman"/>
      <w:b/>
      <w:bCs/>
      <w:sz w:val="28"/>
      <w:szCs w:val="28"/>
    </w:rPr>
  </w:style>
  <w:style w:type="paragraph" w:styleId="6">
    <w:name w:val="heading 5"/>
    <w:basedOn w:val="1"/>
    <w:next w:val="1"/>
    <w:link w:val="62"/>
    <w:autoRedefine/>
    <w:qFormat/>
    <w:uiPriority w:val="9"/>
    <w:pPr>
      <w:ind w:left="412" w:hanging="207"/>
      <w:outlineLvl w:val="4"/>
    </w:pPr>
    <w:rPr>
      <w:rFonts w:cs="Times New Roman"/>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7">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8">
    <w:name w:val="Normal Indent"/>
    <w:basedOn w:val="1"/>
    <w:autoRedefine/>
    <w:qFormat/>
    <w:uiPriority w:val="0"/>
    <w:pPr>
      <w:ind w:firstLine="420"/>
    </w:pPr>
    <w:rPr>
      <w:szCs w:val="21"/>
    </w:rPr>
  </w:style>
  <w:style w:type="paragraph" w:styleId="9">
    <w:name w:val="annotation text"/>
    <w:basedOn w:val="1"/>
    <w:link w:val="53"/>
    <w:autoRedefine/>
    <w:unhideWhenUsed/>
    <w:qFormat/>
    <w:uiPriority w:val="99"/>
    <w:rPr>
      <w:rFonts w:cs="Times New Roman"/>
    </w:rPr>
  </w:style>
  <w:style w:type="paragraph" w:styleId="10">
    <w:name w:val="Body Text"/>
    <w:basedOn w:val="1"/>
    <w:link w:val="48"/>
    <w:qFormat/>
    <w:uiPriority w:val="99"/>
    <w:pPr>
      <w:ind w:left="590"/>
    </w:pPr>
    <w:rPr>
      <w:rFonts w:cs="Times New Roman"/>
      <w:szCs w:val="20"/>
    </w:rPr>
  </w:style>
  <w:style w:type="paragraph" w:styleId="11">
    <w:name w:val="Body Text Indent"/>
    <w:basedOn w:val="1"/>
    <w:next w:val="12"/>
    <w:qFormat/>
    <w:uiPriority w:val="0"/>
    <w:pPr>
      <w:ind w:firstLine="830" w:firstLineChars="352"/>
    </w:pPr>
    <w:rPr>
      <w:rFonts w:ascii="仿宋_GB2312" w:eastAsia="仿宋_GB2312"/>
      <w:sz w:val="32"/>
      <w:szCs w:val="20"/>
    </w:rPr>
  </w:style>
  <w:style w:type="paragraph" w:styleId="12">
    <w:name w:val="envelope return"/>
    <w:basedOn w:val="1"/>
    <w:autoRedefine/>
    <w:qFormat/>
    <w:uiPriority w:val="99"/>
    <w:pPr>
      <w:snapToGrid w:val="0"/>
    </w:pPr>
    <w:rPr>
      <w:rFonts w:ascii="Arial" w:hAnsi="Arial"/>
    </w:rPr>
  </w:style>
  <w:style w:type="paragraph" w:styleId="13">
    <w:name w:val="Plain Text"/>
    <w:basedOn w:val="1"/>
    <w:autoRedefine/>
    <w:qFormat/>
    <w:uiPriority w:val="0"/>
    <w:rPr>
      <w:rFonts w:ascii="宋体" w:hAnsi="Courier New" w:cs="Courier New"/>
      <w:szCs w:val="21"/>
    </w:rPr>
  </w:style>
  <w:style w:type="paragraph" w:styleId="14">
    <w:name w:val="Balloon Text"/>
    <w:basedOn w:val="1"/>
    <w:link w:val="58"/>
    <w:unhideWhenUsed/>
    <w:qFormat/>
    <w:uiPriority w:val="99"/>
    <w:rPr>
      <w:rFonts w:cs="Times New Roman"/>
      <w:sz w:val="18"/>
      <w:szCs w:val="18"/>
    </w:rPr>
  </w:style>
  <w:style w:type="paragraph" w:styleId="15">
    <w:name w:val="footer"/>
    <w:basedOn w:val="1"/>
    <w:link w:val="64"/>
    <w:autoRedefine/>
    <w:unhideWhenUsed/>
    <w:qFormat/>
    <w:uiPriority w:val="0"/>
    <w:pPr>
      <w:tabs>
        <w:tab w:val="center" w:pos="4153"/>
        <w:tab w:val="right" w:pos="8306"/>
      </w:tabs>
      <w:snapToGrid w:val="0"/>
    </w:pPr>
    <w:rPr>
      <w:rFonts w:cs="Times New Roman"/>
      <w:sz w:val="18"/>
      <w:szCs w:val="18"/>
    </w:rPr>
  </w:style>
  <w:style w:type="paragraph" w:styleId="16">
    <w:name w:val="header"/>
    <w:basedOn w:val="1"/>
    <w:link w:val="50"/>
    <w:autoRedefine/>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7">
    <w:name w:val="Body Text Indent 3"/>
    <w:basedOn w:val="1"/>
    <w:link w:val="59"/>
    <w:autoRedefine/>
    <w:unhideWhenUsed/>
    <w:qFormat/>
    <w:uiPriority w:val="99"/>
    <w:pPr>
      <w:spacing w:after="120"/>
      <w:ind w:left="420" w:leftChars="200"/>
    </w:pPr>
    <w:rPr>
      <w:rFonts w:cs="Times New Roman"/>
      <w:sz w:val="16"/>
      <w:szCs w:val="16"/>
    </w:rPr>
  </w:style>
  <w:style w:type="paragraph" w:styleId="18">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9">
    <w:name w:val="annotation subject"/>
    <w:basedOn w:val="9"/>
    <w:next w:val="9"/>
    <w:link w:val="55"/>
    <w:autoRedefine/>
    <w:unhideWhenUsed/>
    <w:qFormat/>
    <w:uiPriority w:val="99"/>
    <w:rPr>
      <w:b/>
      <w:bCs/>
    </w:rPr>
  </w:style>
  <w:style w:type="paragraph" w:styleId="20">
    <w:name w:val="Body Text First Indent"/>
    <w:basedOn w:val="10"/>
    <w:link w:val="52"/>
    <w:autoRedefine/>
    <w:unhideWhenUsed/>
    <w:qFormat/>
    <w:uiPriority w:val="99"/>
    <w:pPr>
      <w:spacing w:after="120"/>
      <w:ind w:left="0" w:firstLine="420" w:firstLineChars="100"/>
    </w:pPr>
    <w:rPr>
      <w:szCs w:val="22"/>
    </w:rPr>
  </w:style>
  <w:style w:type="paragraph" w:styleId="21">
    <w:name w:val="Body Text First Indent 2"/>
    <w:basedOn w:val="11"/>
    <w:qFormat/>
    <w:uiPriority w:val="0"/>
    <w:pPr>
      <w:spacing w:after="120"/>
      <w:ind w:left="420" w:leftChars="200"/>
    </w:pPr>
    <w:rPr>
      <w:rFonts w:ascii="Calibri" w:hAnsi="Calibri"/>
      <w:sz w:val="21"/>
    </w:rPr>
  </w:style>
  <w:style w:type="table" w:styleId="23">
    <w:name w:val="Table Grid"/>
    <w:basedOn w:val="2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autoRedefine/>
    <w:qFormat/>
    <w:uiPriority w:val="0"/>
    <w:rPr>
      <w:rFonts w:cs="Times New Roman"/>
    </w:rPr>
  </w:style>
  <w:style w:type="character" w:styleId="27">
    <w:name w:val="FollowedHyperlink"/>
    <w:basedOn w:val="24"/>
    <w:autoRedefine/>
    <w:unhideWhenUsed/>
    <w:qFormat/>
    <w:uiPriority w:val="99"/>
    <w:rPr>
      <w:color w:val="003B70"/>
      <w:u w:val="none"/>
    </w:rPr>
  </w:style>
  <w:style w:type="character" w:styleId="28">
    <w:name w:val="Hyperlink"/>
    <w:basedOn w:val="24"/>
    <w:autoRedefine/>
    <w:unhideWhenUsed/>
    <w:qFormat/>
    <w:uiPriority w:val="99"/>
    <w:rPr>
      <w:color w:val="003B70"/>
      <w:u w:val="none"/>
    </w:rPr>
  </w:style>
  <w:style w:type="character" w:styleId="29">
    <w:name w:val="annotation reference"/>
    <w:basedOn w:val="24"/>
    <w:autoRedefine/>
    <w:unhideWhenUsed/>
    <w:qFormat/>
    <w:uiPriority w:val="99"/>
    <w:rPr>
      <w:sz w:val="21"/>
      <w:szCs w:val="21"/>
    </w:rPr>
  </w:style>
  <w:style w:type="paragraph" w:customStyle="1" w:styleId="30">
    <w:name w:val="表格文字"/>
    <w:basedOn w:val="31"/>
    <w:next w:val="1"/>
    <w:autoRedefine/>
    <w:qFormat/>
    <w:uiPriority w:val="0"/>
    <w:pPr>
      <w:spacing w:before="25" w:after="25"/>
      <w:jc w:val="left"/>
    </w:pPr>
    <w:rPr>
      <w:bCs/>
      <w:spacing w:val="10"/>
      <w:kern w:val="0"/>
      <w:sz w:val="24"/>
      <w:szCs w:val="20"/>
    </w:rPr>
  </w:style>
  <w:style w:type="paragraph" w:customStyle="1" w:styleId="31">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Heading4"/>
    <w:basedOn w:val="1"/>
    <w:autoRedefine/>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4">
    <w:name w:val="图_0"/>
    <w:basedOn w:val="35"/>
    <w:autoRedefine/>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autoRedefine/>
    <w:qFormat/>
    <w:uiPriority w:val="1"/>
    <w:rPr>
      <w:sz w:val="24"/>
      <w:szCs w:val="24"/>
    </w:rPr>
  </w:style>
  <w:style w:type="paragraph" w:customStyle="1" w:styleId="37">
    <w:name w:val="_Style 3"/>
    <w:basedOn w:val="1"/>
    <w:next w:val="17"/>
    <w:autoRedefine/>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8">
    <w:name w:val="Char Char Char"/>
    <w:basedOn w:val="1"/>
    <w:autoRedefine/>
    <w:qFormat/>
    <w:uiPriority w:val="0"/>
    <w:rPr>
      <w:rFonts w:ascii="宋体" w:hAnsi="宋体"/>
      <w:b/>
      <w:sz w:val="28"/>
      <w:szCs w:val="28"/>
    </w:rPr>
  </w:style>
  <w:style w:type="paragraph" w:customStyle="1" w:styleId="39">
    <w:name w:val="正文1"/>
    <w:basedOn w:val="1"/>
    <w:next w:val="40"/>
    <w:autoRedefine/>
    <w:qFormat/>
    <w:uiPriority w:val="0"/>
    <w:pPr>
      <w:spacing w:line="360" w:lineRule="auto"/>
    </w:pPr>
    <w:rPr>
      <w:rFonts w:ascii="宋体" w:hAnsi="华文宋体"/>
      <w:kern w:val="20"/>
      <w:sz w:val="24"/>
      <w:szCs w:val="20"/>
    </w:rPr>
  </w:style>
  <w:style w:type="paragraph" w:customStyle="1" w:styleId="40">
    <w:name w:val="普通正文"/>
    <w:basedOn w:val="39"/>
    <w:autoRedefine/>
    <w:qFormat/>
    <w:uiPriority w:val="0"/>
    <w:pPr>
      <w:widowControl/>
      <w:spacing w:line="360" w:lineRule="atLeast"/>
      <w:ind w:firstLine="425"/>
    </w:pPr>
    <w:rPr>
      <w:kern w:val="21"/>
    </w:rPr>
  </w:style>
  <w:style w:type="paragraph" w:customStyle="1" w:styleId="41">
    <w:name w:val="TOC2"/>
    <w:basedOn w:val="1"/>
    <w:next w:val="1"/>
    <w:autoRedefine/>
    <w:qFormat/>
    <w:uiPriority w:val="0"/>
    <w:pPr>
      <w:ind w:left="420" w:leftChars="200"/>
    </w:pPr>
    <w:rPr>
      <w:rFonts w:ascii="Calibri" w:hAnsi="Calibri" w:eastAsia="仿宋"/>
      <w:sz w:val="24"/>
    </w:rPr>
  </w:style>
  <w:style w:type="paragraph" w:styleId="42">
    <w:name w:val="List Paragraph"/>
    <w:basedOn w:val="1"/>
    <w:autoRedefine/>
    <w:qFormat/>
    <w:uiPriority w:val="1"/>
    <w:pPr>
      <w:ind w:left="206" w:firstLine="384"/>
    </w:pPr>
    <w:rPr>
      <w:sz w:val="24"/>
      <w:szCs w:val="24"/>
    </w:rPr>
  </w:style>
  <w:style w:type="paragraph" w:customStyle="1" w:styleId="43">
    <w:name w:val="_Style 40"/>
    <w:autoRedefine/>
    <w:unhideWhenUsed/>
    <w:qFormat/>
    <w:uiPriority w:val="99"/>
    <w:rPr>
      <w:rFonts w:ascii="宋体" w:hAnsi="Times New Roman" w:eastAsia="宋体" w:cs="宋体"/>
      <w:sz w:val="22"/>
      <w:szCs w:val="22"/>
      <w:lang w:val="en-US" w:eastAsia="zh-CN" w:bidi="ar-SA"/>
    </w:rPr>
  </w:style>
  <w:style w:type="paragraph" w:customStyle="1" w:styleId="44">
    <w:name w:val="纯文本_0"/>
    <w:basedOn w:val="35"/>
    <w:autoRedefine/>
    <w:qFormat/>
    <w:uiPriority w:val="0"/>
    <w:rPr>
      <w:rFonts w:ascii="宋体" w:hAnsi="Courier New"/>
      <w:kern w:val="0"/>
      <w:sz w:val="20"/>
      <w:szCs w:val="21"/>
    </w:rPr>
  </w:style>
  <w:style w:type="paragraph" w:customStyle="1" w:styleId="45">
    <w:name w:val="RZ表格"/>
    <w:autoRedefine/>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font41"/>
    <w:autoRedefine/>
    <w:qFormat/>
    <w:uiPriority w:val="0"/>
    <w:rPr>
      <w:rFonts w:ascii="Calibri" w:hAnsi="Calibri" w:cs="Calibri"/>
      <w:color w:val="000000"/>
      <w:sz w:val="21"/>
      <w:szCs w:val="21"/>
      <w:u w:val="none"/>
    </w:rPr>
  </w:style>
  <w:style w:type="character" w:customStyle="1" w:styleId="48">
    <w:name w:val="正文文本 Char"/>
    <w:link w:val="10"/>
    <w:autoRedefine/>
    <w:semiHidden/>
    <w:qFormat/>
    <w:uiPriority w:val="99"/>
    <w:rPr>
      <w:rFonts w:ascii="宋体" w:hAnsi="Times New Roman" w:eastAsia="宋体" w:cs="宋体"/>
      <w:kern w:val="0"/>
      <w:sz w:val="22"/>
    </w:rPr>
  </w:style>
  <w:style w:type="character" w:customStyle="1" w:styleId="49">
    <w:name w:val="_Style 0"/>
    <w:autoRedefine/>
    <w:qFormat/>
    <w:uiPriority w:val="0"/>
    <w:rPr>
      <w:i/>
      <w:iCs/>
      <w:color w:val="808080"/>
    </w:rPr>
  </w:style>
  <w:style w:type="character" w:customStyle="1" w:styleId="50">
    <w:name w:val="页眉 Char"/>
    <w:link w:val="16"/>
    <w:autoRedefine/>
    <w:qFormat/>
    <w:uiPriority w:val="99"/>
    <w:rPr>
      <w:rFonts w:ascii="宋体" w:hAnsi="Times New Roman" w:eastAsia="宋体" w:cs="宋体"/>
      <w:kern w:val="0"/>
      <w:sz w:val="18"/>
      <w:szCs w:val="18"/>
    </w:rPr>
  </w:style>
  <w:style w:type="character" w:customStyle="1" w:styleId="51">
    <w:name w:val="标题 1 Char"/>
    <w:link w:val="2"/>
    <w:autoRedefine/>
    <w:qFormat/>
    <w:uiPriority w:val="9"/>
    <w:rPr>
      <w:rFonts w:ascii="宋体" w:hAnsi="Times New Roman" w:eastAsia="宋体" w:cs="宋体"/>
      <w:b/>
      <w:bCs/>
      <w:kern w:val="44"/>
      <w:sz w:val="44"/>
      <w:szCs w:val="44"/>
    </w:rPr>
  </w:style>
  <w:style w:type="character" w:customStyle="1" w:styleId="52">
    <w:name w:val="正文首行缩进 Char"/>
    <w:link w:val="20"/>
    <w:autoRedefine/>
    <w:semiHidden/>
    <w:qFormat/>
    <w:uiPriority w:val="99"/>
    <w:rPr>
      <w:rFonts w:ascii="宋体" w:hAnsi="Times New Roman" w:eastAsia="宋体" w:cs="宋体"/>
      <w:kern w:val="0"/>
      <w:sz w:val="22"/>
      <w:szCs w:val="22"/>
    </w:rPr>
  </w:style>
  <w:style w:type="character" w:customStyle="1" w:styleId="53">
    <w:name w:val="批注文字 Char"/>
    <w:link w:val="9"/>
    <w:autoRedefine/>
    <w:qFormat/>
    <w:uiPriority w:val="99"/>
    <w:rPr>
      <w:rFonts w:ascii="宋体" w:hAnsi="Times New Roman" w:eastAsia="宋体" w:cs="宋体"/>
      <w:sz w:val="22"/>
      <w:szCs w:val="22"/>
    </w:rPr>
  </w:style>
  <w:style w:type="character" w:customStyle="1" w:styleId="54">
    <w:name w:val="标题 4 Char"/>
    <w:link w:val="5"/>
    <w:autoRedefine/>
    <w:semiHidden/>
    <w:qFormat/>
    <w:uiPriority w:val="9"/>
    <w:rPr>
      <w:rFonts w:ascii="等线 Light" w:hAnsi="等线 Light" w:eastAsia="等线 Light" w:cs="Times New Roman"/>
      <w:b/>
      <w:bCs/>
      <w:kern w:val="0"/>
      <w:sz w:val="28"/>
      <w:szCs w:val="28"/>
    </w:rPr>
  </w:style>
  <w:style w:type="character" w:customStyle="1" w:styleId="55">
    <w:name w:val="批注主题 Char"/>
    <w:link w:val="19"/>
    <w:autoRedefine/>
    <w:semiHidden/>
    <w:qFormat/>
    <w:uiPriority w:val="99"/>
    <w:rPr>
      <w:rFonts w:ascii="宋体" w:hAnsi="Times New Roman" w:eastAsia="宋体" w:cs="宋体"/>
      <w:b/>
      <w:bCs/>
      <w:sz w:val="22"/>
      <w:szCs w:val="22"/>
    </w:rPr>
  </w:style>
  <w:style w:type="character" w:customStyle="1" w:styleId="56">
    <w:name w:val="标题 3 Char"/>
    <w:link w:val="4"/>
    <w:autoRedefine/>
    <w:semiHidden/>
    <w:qFormat/>
    <w:uiPriority w:val="9"/>
    <w:rPr>
      <w:rFonts w:ascii="宋体" w:hAnsi="Times New Roman" w:eastAsia="宋体" w:cs="宋体"/>
      <w:b/>
      <w:bCs/>
      <w:kern w:val="0"/>
      <w:sz w:val="32"/>
      <w:szCs w:val="32"/>
    </w:rPr>
  </w:style>
  <w:style w:type="character" w:customStyle="1" w:styleId="57">
    <w:name w:val="p141_0"/>
    <w:autoRedefine/>
    <w:qFormat/>
    <w:uiPriority w:val="0"/>
    <w:rPr>
      <w:rFonts w:ascii="Calibri" w:hAnsi="Calibri"/>
      <w:sz w:val="21"/>
      <w:szCs w:val="21"/>
    </w:rPr>
  </w:style>
  <w:style w:type="character" w:customStyle="1" w:styleId="58">
    <w:name w:val="批注框文本 Char"/>
    <w:link w:val="14"/>
    <w:autoRedefine/>
    <w:semiHidden/>
    <w:qFormat/>
    <w:uiPriority w:val="99"/>
    <w:rPr>
      <w:rFonts w:ascii="宋体" w:hAnsi="Times New Roman" w:eastAsia="宋体" w:cs="宋体"/>
      <w:sz w:val="18"/>
      <w:szCs w:val="18"/>
    </w:rPr>
  </w:style>
  <w:style w:type="character" w:customStyle="1" w:styleId="59">
    <w:name w:val="正文文本缩进 3 Char"/>
    <w:link w:val="17"/>
    <w:autoRedefine/>
    <w:semiHidden/>
    <w:qFormat/>
    <w:uiPriority w:val="99"/>
    <w:rPr>
      <w:rFonts w:ascii="宋体" w:hAnsi="Times New Roman" w:eastAsia="宋体" w:cs="宋体"/>
      <w:sz w:val="16"/>
      <w:szCs w:val="16"/>
    </w:rPr>
  </w:style>
  <w:style w:type="character" w:customStyle="1" w:styleId="60">
    <w:name w:val="标题 2 Char"/>
    <w:link w:val="3"/>
    <w:autoRedefine/>
    <w:semiHidden/>
    <w:qFormat/>
    <w:uiPriority w:val="9"/>
    <w:rPr>
      <w:rFonts w:ascii="等线 Light" w:hAnsi="等线 Light" w:eastAsia="等线 Light" w:cs="Times New Roman"/>
      <w:b/>
      <w:bCs/>
      <w:kern w:val="0"/>
      <w:sz w:val="32"/>
      <w:szCs w:val="32"/>
    </w:rPr>
  </w:style>
  <w:style w:type="character" w:customStyle="1" w:styleId="61">
    <w:name w:val="正文文本 字符1"/>
    <w:autoRedefine/>
    <w:semiHidden/>
    <w:qFormat/>
    <w:uiPriority w:val="99"/>
    <w:rPr>
      <w:rFonts w:ascii="宋体" w:hAnsi="Times New Roman" w:eastAsia="宋体" w:cs="宋体"/>
      <w:kern w:val="0"/>
      <w:sz w:val="22"/>
    </w:rPr>
  </w:style>
  <w:style w:type="character" w:customStyle="1" w:styleId="62">
    <w:name w:val="标题 5 Char"/>
    <w:link w:val="6"/>
    <w:autoRedefine/>
    <w:semiHidden/>
    <w:qFormat/>
    <w:uiPriority w:val="9"/>
    <w:rPr>
      <w:rFonts w:ascii="宋体" w:hAnsi="Times New Roman" w:eastAsia="宋体" w:cs="宋体"/>
      <w:b/>
      <w:bCs/>
      <w:kern w:val="0"/>
      <w:sz w:val="28"/>
      <w:szCs w:val="28"/>
    </w:rPr>
  </w:style>
  <w:style w:type="character" w:customStyle="1" w:styleId="63">
    <w:name w:val="不明显强调1"/>
    <w:autoRedefine/>
    <w:qFormat/>
    <w:uiPriority w:val="0"/>
    <w:rPr>
      <w:i/>
      <w:iCs/>
      <w:color w:val="808080"/>
    </w:rPr>
  </w:style>
  <w:style w:type="character" w:customStyle="1" w:styleId="64">
    <w:name w:val="页脚 Char"/>
    <w:link w:val="15"/>
    <w:autoRedefine/>
    <w:qFormat/>
    <w:uiPriority w:val="0"/>
    <w:rPr>
      <w:rFonts w:ascii="宋体" w:hAnsi="Times New Roman" w:eastAsia="宋体" w:cs="宋体"/>
      <w:kern w:val="0"/>
      <w:sz w:val="18"/>
      <w:szCs w:val="18"/>
    </w:rPr>
  </w:style>
  <w:style w:type="paragraph" w:customStyle="1" w:styleId="65">
    <w:name w:val="首行缩进"/>
    <w:basedOn w:val="1"/>
    <w:qFormat/>
    <w:uiPriority w:val="0"/>
    <w:pPr>
      <w:spacing w:line="360" w:lineRule="auto"/>
      <w:ind w:firstLine="420"/>
    </w:pPr>
    <w:rPr>
      <w:rFonts w:ascii="宋体" w:hAnsi="宋体" w:eastAsia="宋体"/>
    </w:rPr>
  </w:style>
  <w:style w:type="character" w:customStyle="1" w:styleId="66">
    <w:name w:val="font21"/>
    <w:basedOn w:val="24"/>
    <w:autoRedefine/>
    <w:qFormat/>
    <w:uiPriority w:val="0"/>
    <w:rPr>
      <w:rFonts w:hint="eastAsia" w:ascii="宋体" w:hAnsi="宋体" w:eastAsia="宋体" w:cs="宋体"/>
      <w:color w:val="333333"/>
      <w:sz w:val="20"/>
      <w:szCs w:val="20"/>
      <w:u w:val="none"/>
    </w:rPr>
  </w:style>
  <w:style w:type="paragraph" w:customStyle="1" w:styleId="67">
    <w:name w:val="Char Char1 Char Char Char Char Char Char Char Char Char Char"/>
    <w:basedOn w:val="1"/>
    <w:qFormat/>
    <w:uiPriority w:val="0"/>
    <w:rPr>
      <w:rFonts w:ascii="Tahoma" w:hAnsi="Tahoma"/>
      <w:sz w:val="24"/>
      <w:szCs w:val="20"/>
    </w:rPr>
  </w:style>
  <w:style w:type="paragraph" w:customStyle="1" w:styleId="68">
    <w:name w:val="null3"/>
    <w:hidden/>
    <w:qFormat/>
    <w:uiPriority w:val="0"/>
    <w:rPr>
      <w:rFonts w:hint="eastAsia" w:asciiTheme="minorHAnsi" w:hAnsiTheme="minorHAnsi" w:eastAsiaTheme="minorEastAsia" w:cstheme="minorBidi"/>
      <w:lang w:val="en-US" w:eastAsia="zh-Hans" w:bidi="ar-SA"/>
    </w:rPr>
  </w:style>
  <w:style w:type="character" w:customStyle="1" w:styleId="69">
    <w:name w:val="font51"/>
    <w:basedOn w:val="24"/>
    <w:qFormat/>
    <w:uiPriority w:val="0"/>
    <w:rPr>
      <w:rFonts w:hint="eastAsia" w:ascii="宋体" w:hAnsi="宋体" w:eastAsia="宋体" w:cs="宋体"/>
      <w:b/>
      <w:bCs/>
      <w:color w:val="000000"/>
      <w:sz w:val="22"/>
      <w:szCs w:val="22"/>
      <w:u w:val="none"/>
    </w:rPr>
  </w:style>
  <w:style w:type="character" w:customStyle="1" w:styleId="70">
    <w:name w:val="font01"/>
    <w:basedOn w:val="24"/>
    <w:qFormat/>
    <w:uiPriority w:val="0"/>
    <w:rPr>
      <w:rFonts w:hint="eastAsia" w:ascii="等线" w:hAnsi="等线" w:eastAsia="等线" w:cs="等线"/>
      <w:color w:val="000000"/>
      <w:sz w:val="22"/>
      <w:szCs w:val="22"/>
      <w:u w:val="none"/>
    </w:rPr>
  </w:style>
  <w:style w:type="paragraph" w:customStyle="1" w:styleId="7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2">
    <w:name w:val="normaltextrun"/>
    <w:qFormat/>
    <w:uiPriority w:val="0"/>
  </w:style>
  <w:style w:type="paragraph" w:customStyle="1" w:styleId="7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NormalCharacter"/>
    <w:qFormat/>
    <w:uiPriority w:val="0"/>
  </w:style>
  <w:style w:type="paragraph" w:customStyle="1" w:styleId="75">
    <w:name w:val="UserStyle_6"/>
    <w:basedOn w:val="1"/>
    <w:qFormat/>
    <w:uiPriority w:val="0"/>
    <w:pPr>
      <w:autoSpaceDE w:val="0"/>
      <w:autoSpaceDN w:val="0"/>
      <w:adjustRightInd w:val="0"/>
      <w:spacing w:before="25" w:after="25"/>
      <w:jc w:val="left"/>
    </w:pPr>
    <w:rPr>
      <w:rFonts w:ascii="宋体" w:hAnsi="Times New Roman" w:cs="宋体"/>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5113</Words>
  <Characters>5322</Characters>
  <Lines>634</Lines>
  <Paragraphs>178</Paragraphs>
  <TotalTime>2</TotalTime>
  <ScaleCrop>false</ScaleCrop>
  <LinksUpToDate>false</LinksUpToDate>
  <CharactersWithSpaces>5445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梁云亭</cp:lastModifiedBy>
  <cp:lastPrinted>2023-10-26T07:49:00Z</cp:lastPrinted>
  <dcterms:modified xsi:type="dcterms:W3CDTF">2025-04-22T02:49:58Z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2052-12.1.0.20784</vt:lpwstr>
  </property>
  <property fmtid="{D5CDD505-2E9C-101B-9397-08002B2CF9AE}" pid="4" name="ICV">
    <vt:lpwstr>A254415CA20A4AB485A36E38AA2BA942</vt:lpwstr>
  </property>
  <property fmtid="{D5CDD505-2E9C-101B-9397-08002B2CF9AE}" pid="5" name="KSOTemplateDocerSaveRecord">
    <vt:lpwstr>eyJoZGlkIjoiY2M1NWI0NmUyM2ZlYmQxYjcxZmQyNDkzNGQ1YTc0Y2QiLCJ1c2VySWQiOiI2NDYzNTY4ODUifQ==</vt:lpwstr>
  </property>
</Properties>
</file>