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441501-2025-00223</w:t>
      </w:r>
    </w:p>
    <w:p>
      <w:pPr>
        <w:pStyle w:val="null3"/>
        <w:jc w:val="center"/>
        <w:outlineLvl w:val="3"/>
      </w:pPr>
      <w:r>
        <w:rPr>
          <w:sz w:val="24"/>
          <w:b/>
        </w:rPr>
        <w:t>采购项目编号：</w:t>
      </w:r>
      <w:r>
        <w:rPr>
          <w:sz w:val="24"/>
          <w:b/>
        </w:rPr>
        <w:t>0724-2531SW900335</w:t>
      </w:r>
    </w:p>
    <w:p>
      <w:pPr>
        <w:pStyle w:val="null3"/>
        <w:jc w:val="center"/>
        <w:outlineLvl w:val="3"/>
      </w:pPr>
      <w:r>
        <w:rPr>
          <w:sz w:val="24"/>
          <w:b/>
        </w:rPr>
        <w:t>项目名称：</w:t>
      </w:r>
      <w:r>
        <w:rPr>
          <w:sz w:val="24"/>
          <w:b/>
        </w:rPr>
        <w:t>中山大学孙逸仙纪念医院深汕中心医院超声科设备采购项目</w:t>
      </w:r>
    </w:p>
    <w:p>
      <w:pPr>
        <w:pStyle w:val="null3"/>
        <w:jc w:val="center"/>
        <w:outlineLvl w:val="3"/>
      </w:pPr>
      <w:r>
        <w:rPr>
          <w:sz w:val="24"/>
          <w:b/>
        </w:rPr>
        <w:t>采购人：</w:t>
      </w:r>
      <w:r>
        <w:rPr>
          <w:sz w:val="24"/>
          <w:b/>
        </w:rPr>
        <w:t>中山大学孙逸仙纪念医院深汕中心医院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中山大学孙逸仙纪念医院深汕中心医院</w:t>
      </w:r>
      <w:r>
        <w:rPr/>
        <w:t>的委托，采用</w:t>
      </w:r>
      <w:r>
        <w:rPr/>
        <w:t>公开招标</w:t>
      </w:r>
      <w:r>
        <w:rPr/>
        <w:t>方式组织采购</w:t>
      </w:r>
      <w:r>
        <w:rPr/>
        <w:t>中山大学孙逸仙纪念医院深汕中心医院超声科设备采购项目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中山大学孙逸仙纪念医院深汕中心医院超声科设备采购项目</w:t>
      </w:r>
    </w:p>
    <w:p>
      <w:pPr>
        <w:pStyle w:val="null3"/>
        <w:ind w:firstLine="480"/>
      </w:pPr>
      <w:r>
        <w:rPr/>
        <w:t>采购计划编号：</w:t>
      </w:r>
      <w:r>
        <w:rPr/>
        <w:t>441501-2025-00223</w:t>
      </w:r>
    </w:p>
    <w:p>
      <w:pPr>
        <w:pStyle w:val="null3"/>
        <w:ind w:firstLine="480"/>
      </w:pPr>
      <w:r>
        <w:rPr/>
        <w:t>采购项目编号：</w:t>
      </w:r>
      <w:r>
        <w:rPr/>
        <w:t>0724-2531SW900335</w:t>
      </w:r>
    </w:p>
    <w:p>
      <w:pPr>
        <w:pStyle w:val="null3"/>
        <w:ind w:firstLine="480"/>
      </w:pPr>
      <w:r>
        <w:rPr/>
        <w:t>采购方式：</w:t>
      </w:r>
      <w:r>
        <w:rPr/>
        <w:t>公开招标</w:t>
      </w:r>
    </w:p>
    <w:p>
      <w:pPr>
        <w:pStyle w:val="null3"/>
        <w:ind w:firstLine="480"/>
      </w:pPr>
      <w:r>
        <w:rPr/>
        <w:t>预算金额：</w:t>
      </w:r>
      <w:r>
        <w:rPr/>
        <w:t>1,997,000.00</w:t>
      </w:r>
      <w:r>
        <w:rPr/>
        <w:t>元</w:t>
      </w:r>
    </w:p>
    <w:p>
      <w:pPr>
        <w:pStyle w:val="null3"/>
        <w:outlineLvl w:val="3"/>
      </w:pPr>
      <w:r>
        <w:rPr>
          <w:sz w:val="24"/>
          <w:b/>
        </w:rPr>
        <w:t>2.项目内容及需求情况（采购项目技术规格、参数及要求）</w:t>
      </w:r>
    </w:p>
    <w:p>
      <w:pPr>
        <w:pStyle w:val="null3"/>
      </w:pPr>
      <w:r>
        <w:rPr/>
        <w:t>采购包1(高档彩超(心脏专用)):</w:t>
      </w:r>
    </w:p>
    <w:p>
      <w:pPr>
        <w:pStyle w:val="null3"/>
      </w:pPr>
      <w:r>
        <w:rPr/>
        <w:t>采购包预算金额：1,997,000.00元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高档彩超 (心脏专用)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采购包1（高档彩超(心脏专用)）：</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采购包1（高档彩超(心脏专用)）：</w:t>
      </w:r>
    </w:p>
    <w:p>
      <w:pPr>
        <w:pStyle w:val="null3"/>
      </w:pPr>
      <w:r>
        <w:rPr/>
        <w:t>1)本采购包不接受联合体投标。</w:t>
      </w:r>
    </w:p>
    <w:p>
      <w:pPr>
        <w:pStyle w:val="null3"/>
      </w:pPr>
      <w:r>
        <w:rPr/>
        <w:t>2)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4)供应商必须符合法律、行政法规规定的其他条件</w:t>
      </w:r>
    </w:p>
    <w:p>
      <w:pPr>
        <w:pStyle w:val="null3"/>
      </w:pPr>
      <w:r>
        <w:rPr/>
        <w:t>5)单位负责人为同一人或者存在直接控股、管理关系的不同供应商，不得参加同一包号投标或者未划分包号的同一招标项目投标(投标人出具声明函)。</w:t>
      </w:r>
    </w:p>
    <w:p>
      <w:pPr>
        <w:pStyle w:val="null3"/>
      </w:pPr>
      <w:r>
        <w:rPr/>
        <w:t>6)为本项目提供整体设计、规范编制或者项目管理、监理、检测等服务的供应商，不得再参加本项目的其他采购活动(投标人出具声明函)。</w:t>
      </w:r>
    </w:p>
    <w:p>
      <w:pPr>
        <w:pStyle w:val="null3"/>
      </w:pPr>
      <w:r>
        <w:rPr/>
        <w:t>7)已获取本次采购文件。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中山大学孙逸仙纪念医院深汕中心医院</w:t>
      </w:r>
    </w:p>
    <w:p>
      <w:pPr>
        <w:pStyle w:val="null3"/>
        <w:ind w:firstLine="480"/>
      </w:pPr>
      <w:r>
        <w:rPr/>
        <w:t xml:space="preserve"> 地址：</w:t>
      </w:r>
      <w:r>
        <w:rPr/>
        <w:t>汕尾市城区东涌镇站前横二路1号</w:t>
      </w:r>
    </w:p>
    <w:p>
      <w:pPr>
        <w:pStyle w:val="null3"/>
        <w:ind w:firstLine="480"/>
      </w:pPr>
      <w:r>
        <w:rPr/>
        <w:t xml:space="preserve"> 联系方式：</w:t>
      </w:r>
      <w:r>
        <w:rPr/>
        <w:t>0660-3863370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0660-3390199、020-37861027、020-37860522</w:t>
      </w:r>
    </w:p>
    <w:p>
      <w:pPr>
        <w:pStyle w:val="null3"/>
        <w:outlineLvl w:val="3"/>
      </w:pPr>
      <w:r>
        <w:rPr>
          <w:sz w:val="24"/>
          <w:b/>
        </w:rPr>
        <w:t xml:space="preserve"> 3.项目联系方式</w:t>
      </w:r>
    </w:p>
    <w:p>
      <w:pPr>
        <w:pStyle w:val="null3"/>
        <w:ind w:firstLine="480"/>
      </w:pPr>
      <w:r>
        <w:rPr/>
        <w:t xml:space="preserve"> 项目联系人：</w:t>
      </w:r>
      <w:r>
        <w:rPr/>
        <w:t>刘冠华、杨旭华、余嘉安</w:t>
      </w:r>
    </w:p>
    <w:p>
      <w:pPr>
        <w:pStyle w:val="null3"/>
        <w:ind w:firstLine="480"/>
      </w:pPr>
      <w:r>
        <w:rPr/>
        <w:t xml:space="preserve"> 电话：</w:t>
      </w:r>
      <w:r>
        <w:rPr/>
        <w:t>0660-3390199、020-37861027、020-37860522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1234"/>
        <w:gridCol w:w="3611"/>
        <w:gridCol w:w="828"/>
        <w:gridCol w:w="2633"/>
      </w:tblGrid>
      <w:tr>
        <w:tc>
          <w:tcPr>
            <w:tcW w:type="dxa" w:w="1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8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高档彩超</w:t>
            </w:r>
            <w:r>
              <w:rPr>
                <w:sz w:val="21"/>
              </w:rPr>
              <w:t>(</w:t>
            </w:r>
            <w:r>
              <w:rPr>
                <w:sz w:val="21"/>
              </w:rPr>
              <w:t>心脏专用</w:t>
            </w:r>
            <w:r>
              <w:rPr>
                <w:sz w:val="21"/>
              </w:rPr>
              <w:t>)</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199.7</w:t>
            </w:r>
            <w:r>
              <w:rPr>
                <w:sz w:val="21"/>
              </w:rPr>
              <w:t>万元</w:t>
            </w:r>
          </w:p>
        </w:tc>
      </w:tr>
    </w:tbl>
    <w:p>
      <w:pPr>
        <w:pStyle w:val="null3"/>
        <w:ind w:firstLine="420"/>
        <w:jc w:val="both"/>
      </w:pPr>
      <w:r>
        <w:rPr>
          <w:sz w:val="21"/>
        </w:rPr>
        <w:t>投标人必须对</w:t>
      </w:r>
      <w:r>
        <w:rPr>
          <w:sz w:val="21"/>
        </w:rPr>
        <w:t>本项目</w:t>
      </w:r>
      <w:r>
        <w:rPr>
          <w:sz w:val="21"/>
        </w:rPr>
        <w:t>全部内容进</w:t>
      </w:r>
      <w:r>
        <w:rPr>
          <w:sz w:val="21"/>
        </w:rPr>
        <w:t>行</w:t>
      </w:r>
      <w:r>
        <w:rPr>
          <w:sz w:val="21"/>
        </w:rPr>
        <w:t>投标报价，如有缺漏或超出采购预算人民币</w:t>
      </w:r>
      <w:r>
        <w:rPr>
          <w:sz w:val="21"/>
        </w:rPr>
        <w:t>199.7</w:t>
      </w:r>
      <w:r>
        <w:rPr>
          <w:sz w:val="21"/>
        </w:rPr>
        <w:t>万元。将导致投标无效。</w:t>
      </w:r>
    </w:p>
    <w:p>
      <w:pPr>
        <w:pStyle w:val="null3"/>
        <w:ind w:firstLine="420"/>
        <w:jc w:val="both"/>
      </w:pPr>
      <w:r>
        <w:rPr>
          <w:sz w:val="21"/>
        </w:rPr>
        <w:t>本项目采购本国产品</w:t>
      </w:r>
    </w:p>
    <w:p>
      <w:pPr>
        <w:pStyle w:val="null3"/>
        <w:jc w:val="both"/>
      </w:pP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pPr>
      <w:r>
        <w:rPr/>
        <w:t>采购包1（高档彩超(心脏专用)）</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按采购人要求</w:t>
            </w:r>
          </w:p>
        </w:tc>
      </w:tr>
      <w:tr>
        <w:tc>
          <w:tcPr>
            <w:tcW w:type="dxa" w:w="4153"/>
          </w:tcPr>
          <w:p>
            <w:pPr>
              <w:pStyle w:val="null3"/>
            </w:pPr>
            <w:r>
              <w:rPr/>
              <w:t>标的提供的地点</w:t>
            </w:r>
          </w:p>
        </w:tc>
        <w:tc>
          <w:tcPr>
            <w:tcW w:type="dxa" w:w="4153"/>
          </w:tcPr>
          <w:p>
            <w:pPr>
              <w:pStyle w:val="null3"/>
            </w:pPr>
            <w:r>
              <w:rPr/>
              <w:t>按采购人要求</w:t>
            </w:r>
          </w:p>
        </w:tc>
      </w:tr>
      <w:tr/>
      <w:tr/>
      <w:tr>
        <w:tc>
          <w:tcPr>
            <w:tcW w:type="dxa" w:w="4153"/>
          </w:tcPr>
          <w:p>
            <w:pPr>
              <w:pStyle w:val="null3"/>
            </w:pPr>
            <w:r>
              <w:rPr/>
              <w:t>付款方式</w:t>
            </w:r>
          </w:p>
        </w:tc>
        <w:tc>
          <w:tcPr>
            <w:tcW w:type="dxa" w:w="4153"/>
          </w:tcPr>
          <w:p>
            <w:pPr>
              <w:pStyle w:val="null3"/>
            </w:pPr>
            <w:r>
              <w:rPr/>
              <w:t>第1期为(货款)：支付比例100%，★一、如中标单位为大型企业（依据《关于印发中小企业划型标准规定的通知》工信部联企业〔2011〕300号划分大型企业） 1）中标人与采购人签订合同后10天内以支票、保函、银行转账等非现金形式提交合同总额5%的履约保证金给采购人。 2）合同设备全部到工地或指定地点交付并完成安装及验收后，中标人凭采购人收货证明、使用部门调试使用意见（加盖采购人装备科公章）等资料，向采购人申请付款。 3）付款方式经采购人、中标人双方共同协议同意于货到验收合格后，采购人在收到相关申请资料及满足付款支付条件后10天内以银行转账支付合同金额的100%，待设备安装正常运行后采购人在收到相关申请资料后10天内无息退回5%履约保证金。 4）如不是医院自有资金项目，付款方式按相关经费要求支付。 ★二、如中标单位为中小企业（依据《关于印发中小企业划型标准规定的通知》工信部联企业〔2011〕300号划分中小企业） 1）合同签订后，中标人向采购人开具合同总价30%的发票及等额的预付款保函，满足付款支付条件后10天内支付合同总金额的30%； 2） 货物按照验收合格并通过相关部门的评定验收后，在收到中标人开具合同总价70%的发票及满足付款支付条件后10天内支付合同总金额的70%，若中标人没有违约行为，保函在验收合格后当月自动失效； 3） 如不是医院自有资金项目，付款方式按相关经费要求支付。。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1期：★1)、本项目质量应达到国家质量评定合格标准，通过第三方权威机构的验收，提供有效的验收报告。同时参考相关校准规范的要求出具仪器设备计量校准证书，相关费用由中标人承担。 ★2)、设备到货验收后，必须免费安装调试至能正常使用。中标人响应设备验收合格后，如果由厂家提供免费保修、维护及保养等服务，厂家承诺书应明确具体的项目名称。</w:t>
            </w:r>
          </w:p>
        </w:tc>
      </w:tr>
      <w:tr>
        <w:tc>
          <w:tcPr>
            <w:tcW w:type="dxa" w:w="4153"/>
          </w:tcPr>
          <w:p>
            <w:pPr>
              <w:pStyle w:val="null3"/>
            </w:pPr>
            <w:r>
              <w:rPr/>
              <w:t>履约保证金</w:t>
            </w:r>
          </w:p>
        </w:tc>
        <w:tc>
          <w:tcPr>
            <w:tcW w:type="dxa" w:w="4153"/>
          </w:tcPr>
          <w:p>
            <w:pPr>
              <w:pStyle w:val="null3"/>
            </w:pPr>
            <w:r>
              <w:rPr/>
              <w:t>收取比例：5%,说明：如中标单位为大型企业，中标人与采购人签订合同后10天内以支票、保函、银行转账等非现金形式提交合同总额5%的履约保证金给采购人；如中标单位为中小企业，则不收取履约保证金。</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投标人应报货交采购人指定地点/仓库（包括安装至指定位置）人民币含税价，并按开标一览表及投标明细报价表进行明细报价。</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质保期（服务期）</w:t>
            </w:r>
          </w:p>
        </w:tc>
        <w:tc>
          <w:tcPr>
            <w:tcW w:type="dxa" w:w="2076"/>
          </w:tcPr>
          <w:p>
            <w:pPr>
              <w:pStyle w:val="null3"/>
              <w:jc w:val="left"/>
            </w:pPr>
            <w:r>
              <w:rPr/>
              <w:t>质保期（服务期）：验收合格后所有设备免费保修期为 3年。需要提供原厂保修，所投产品出具针对本项目的原厂盖章售后服务承诺函。质保期内每年至少两次免费现场维护（包括整机清洁、维护保养、定期巡查、性能调整等内容），并提供保修、维护及保养说明</w:t>
            </w:r>
          </w:p>
        </w:tc>
      </w:tr>
      <w:tr>
        <w:tc>
          <w:tcPr>
            <w:tcW w:type="dxa" w:w="2076"/>
          </w:tcPr>
          <w:p/>
        </w:tc>
        <w:tc>
          <w:tcPr>
            <w:tcW w:type="dxa" w:w="2076"/>
          </w:tcPr>
          <w:p>
            <w:pPr>
              <w:pStyle w:val="null3"/>
              <w:jc w:val="center"/>
            </w:pPr>
            <w:r>
              <w:rPr/>
              <w:t>3</w:t>
            </w:r>
          </w:p>
        </w:tc>
        <w:tc>
          <w:tcPr>
            <w:tcW w:type="dxa" w:w="2076"/>
          </w:tcPr>
          <w:p>
            <w:pPr>
              <w:pStyle w:val="null3"/>
              <w:jc w:val="left"/>
            </w:pPr>
            <w:r>
              <w:rPr/>
              <w:t>培训要求</w:t>
            </w:r>
          </w:p>
        </w:tc>
        <w:tc>
          <w:tcPr>
            <w:tcW w:type="dxa" w:w="2076"/>
          </w:tcPr>
          <w:p>
            <w:pPr>
              <w:pStyle w:val="null3"/>
              <w:jc w:val="left"/>
            </w:pPr>
            <w:r>
              <w:rPr/>
              <w:t>（1）设备必须免费安装调试至能正常使用，并无偿培训采购人维修人员，主要内容为设备的基本结构、性能、主要部件的构造及修理，日常使用保养与管理，常见故障的排除、紧急情况的处理等，培训地点主要在设备安装现场或按采购人安排。 （2）中标人需提供详细的培训方案，包括但不限于培训内容和培训计划，保证两名或以上操作人员熟练掌握操作技术为止；如遇设备升级更新，中标人需及时提供更新操作指导。</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对采购人的服务通知，中标人4小时内派员到现场维修，在中标人承诺的质量保证期内，如经中标人两次维修或更换，货物仍不能达到合同约定的质量标准，采购人有权退货或要求更换，中标人应赔偿采购人因此遭受的损失。</w:t>
            </w:r>
          </w:p>
        </w:tc>
      </w:tr>
      <w:tr>
        <w:tc>
          <w:tcPr>
            <w:tcW w:type="dxa" w:w="2076"/>
          </w:tcPr>
          <w:p/>
        </w:tc>
        <w:tc>
          <w:tcPr>
            <w:tcW w:type="dxa" w:w="2076"/>
          </w:tcPr>
          <w:p>
            <w:pPr>
              <w:pStyle w:val="null3"/>
              <w:jc w:val="center"/>
            </w:pPr>
            <w:r>
              <w:rPr/>
              <w:t>5</w:t>
            </w:r>
          </w:p>
        </w:tc>
        <w:tc>
          <w:tcPr>
            <w:tcW w:type="dxa" w:w="2076"/>
          </w:tcPr>
          <w:p>
            <w:pPr>
              <w:pStyle w:val="null3"/>
              <w:jc w:val="left"/>
            </w:pPr>
            <w:r>
              <w:rPr/>
              <w:t>包装和运输</w:t>
            </w:r>
          </w:p>
        </w:tc>
        <w:tc>
          <w:tcPr>
            <w:tcW w:type="dxa" w:w="2076"/>
          </w:tcPr>
          <w:p>
            <w:pPr>
              <w:pStyle w:val="null3"/>
              <w:jc w:val="left"/>
            </w:pPr>
            <w:r>
              <w:rPr/>
              <w:t>（1）中标人应提供运至交付地点所需要的包装，包装应符合经济、牢固、美观的要求，采取防潮、防晒、防锈、防震及防止其它损坏的必要措施，以防止货物在运转中损坏或变质。 （2）包装必须要符合相关法律法规的要求，包括与环境、职业健康和安全有关的法律、法规标准。 （3）运输包装应根据产品的特点及国家相关标准标注有相应的运输标志。 （4）中标人负责将货物运输并卸载到采购人指定地点。</w:t>
            </w:r>
          </w:p>
        </w:tc>
      </w:tr>
      <w:tr>
        <w:tc>
          <w:tcPr>
            <w:tcW w:type="dxa" w:w="2076"/>
          </w:tcPr>
          <w:p/>
        </w:tc>
        <w:tc>
          <w:tcPr>
            <w:tcW w:type="dxa" w:w="2076"/>
          </w:tcPr>
          <w:p>
            <w:pPr>
              <w:pStyle w:val="null3"/>
              <w:jc w:val="center"/>
            </w:pPr>
            <w:r>
              <w:rPr/>
              <w:t>6</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7</w:t>
            </w:r>
          </w:p>
        </w:tc>
        <w:tc>
          <w:tcPr>
            <w:tcW w:type="dxa" w:w="2076"/>
          </w:tcPr>
          <w:p>
            <w:pPr>
              <w:pStyle w:val="null3"/>
              <w:jc w:val="left"/>
            </w:pPr>
            <w:r>
              <w:rPr/>
              <w:t>其它要求</w:t>
            </w:r>
          </w:p>
        </w:tc>
        <w:tc>
          <w:tcPr>
            <w:tcW w:type="dxa" w:w="2076"/>
          </w:tcPr>
          <w:p>
            <w:pPr>
              <w:pStyle w:val="null3"/>
              <w:jc w:val="left"/>
            </w:pPr>
            <w:r>
              <w:rPr/>
              <w:t>（1）如有相关耗材（三年以内要更换或耗损的）、试剂或易损器械（三年以内要更换或耗损的），请提供它们的优惠价格。 （2）电源插头符合使用科室现有的插座，如不符合需要提供相应的插头转换接口。院方只提供电源到机房总配电箱，机房的天花（含龙骨）、地面机座插座、底座、电线、电缆、线管（槽）及配电分箱等相关费用，由中标方负责。安装现场所涉及到的总承包管理配合费、配套服务费由中标方负责。 （3）采购合同签订且采购人发出通知后， 60天或以内完成交货至安装验收。（其中交货时间为 53 天或以内完成交货，安装时间为交货后 7 天完成安装） （4）国家法律法规规定的需计量强检、第三方验收的设备，其相应的计量强检费、第三方验收服务费等费用全由中标方负责。 ▲（5）按三甲医院信息化建设的标准来满足医院使用需求、配合包括但不限于电子病历系统应用水平分级评价5级标准、互联互通标准化成熟度等级测评4级甲等标准的改造，所提供的系统应满足智慧医院建设的整体要求，配合实现医院信息系统的一体化、无纸化、无窗口化、闭环化、同步化，例如提供设备网络接口、CA电子签名认证、统一门户登陆、检验检查结果对接医院核心系统及全景病历等服务，需要加强各部分业务与结算、支付环节的打通，要求与医院收费、结算等渠道，包括收费窗口、自助终端、微信平台等进行对接。</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高档彩超 (心脏专用)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1,997,000.00</w:t>
            </w:r>
          </w:p>
        </w:tc>
        <w:tc>
          <w:tcPr>
            <w:tcW w:type="dxa" w:w="831"/>
          </w:tcPr>
          <w:p>
            <w:pPr>
              <w:pStyle w:val="null3"/>
              <w:jc w:val="right"/>
            </w:pPr>
            <w:r>
              <w:rPr/>
              <w:t>1,997,000.00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高档彩超 (心脏专用)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总体要求：</w:t>
            </w:r>
          </w:p>
          <w:p>
            <w:pPr>
              <w:pStyle w:val="null3"/>
              <w:jc w:val="both"/>
            </w:pPr>
            <w:r>
              <w:rPr/>
              <w:t>★（</w:t>
            </w:r>
            <w:r>
              <w:rPr/>
              <w:t>1</w:t>
            </w:r>
            <w:r>
              <w:rPr/>
              <w:t>）、所投产品具有有效的医疗器械注册证明资料</w:t>
            </w:r>
          </w:p>
          <w:p>
            <w:pPr>
              <w:pStyle w:val="null3"/>
              <w:jc w:val="both"/>
            </w:pPr>
            <w:r>
              <w:rPr/>
              <w:t>（</w:t>
            </w:r>
            <w:r>
              <w:rPr/>
              <w:t>2</w:t>
            </w:r>
            <w:r>
              <w:rPr/>
              <w:t>）“★”号条款是关键技术参数，一项不符合即导致该投标人投标无效。所有投标人必须严格按照招标文件的内容进行填写，如不能填写请提供说明。“▲”号条款为评审时的重要技术参数，不作为投标无效条款。</w:t>
            </w:r>
          </w:p>
          <w:tbl>
            <w:tblPr>
              <w:tblInd w:type="dxa" w:w="120"/>
              <w:tblBorders>
                <w:top w:val="none" w:color="000000" w:sz="4"/>
                <w:left w:val="none" w:color="000000" w:sz="4"/>
                <w:bottom w:val="none" w:color="000000" w:sz="4"/>
                <w:right w:val="none" w:color="000000" w:sz="4"/>
                <w:insideH w:val="none"/>
                <w:insideV w:val="none"/>
              </w:tblBorders>
            </w:tblPr>
            <w:tblGrid>
              <w:gridCol w:w="973"/>
              <w:gridCol w:w="674"/>
              <w:gridCol w:w="3218"/>
              <w:gridCol w:w="689"/>
              <w:gridCol w:w="45"/>
            </w:tblGrid>
            <w:tr>
              <w:tc>
                <w:tcPr>
                  <w:tcW w:type="dxa" w:w="97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完整技术规格参数</w:t>
                  </w:r>
                </w:p>
                <w:p>
                  <w:pPr>
                    <w:pStyle w:val="null3"/>
                    <w:jc w:val="both"/>
                  </w:pPr>
                </w:p>
              </w:tc>
              <w:tc>
                <w:tcPr>
                  <w:tcW w:type="dxa" w:w="6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3952"/>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技术规格参数</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一、技术参数</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高档彩超</w:t>
                  </w:r>
                  <w:r>
                    <w:rPr>
                      <w:sz w:val="20"/>
                    </w:rPr>
                    <w:t>(</w:t>
                  </w:r>
                  <w:r>
                    <w:rPr>
                      <w:sz w:val="20"/>
                    </w:rPr>
                    <w:t>心脏专用</w:t>
                  </w:r>
                  <w:r>
                    <w:rPr>
                      <w:sz w:val="20"/>
                    </w:rPr>
                    <w:t>)</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w:t>
                  </w:r>
                  <w:r>
                    <w:rPr>
                      <w:sz w:val="20"/>
                    </w:rPr>
                    <w:t>技术参数</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1.1.1.</w:t>
                  </w:r>
                  <w:r>
                    <w:rPr>
                      <w:sz w:val="20"/>
                    </w:rPr>
                    <w:t>显示设备及操作系统技术参数配置要求</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1.1.1.1. </w:t>
                  </w:r>
                  <w:r>
                    <w:rPr>
                      <w:sz w:val="20"/>
                    </w:rPr>
                    <w:t>适用于超声科、麻醉科、心内科等心脏超声</w:t>
                  </w:r>
                  <w:r>
                    <w:rPr>
                      <w:sz w:val="20"/>
                    </w:rPr>
                    <w:t>,</w:t>
                  </w:r>
                  <w:r>
                    <w:rPr>
                      <w:sz w:val="20"/>
                    </w:rPr>
                    <w:t>医学专用彩色液晶监视器，≥</w:t>
                  </w:r>
                  <w:r>
                    <w:rPr>
                      <w:sz w:val="20"/>
                    </w:rPr>
                    <w:t xml:space="preserve">21 </w:t>
                  </w:r>
                  <w:r>
                    <w:rPr>
                      <w:sz w:val="20"/>
                    </w:rPr>
                    <w:t>英寸，不间断逐行扫描，可上下左右任意旋转，可前后折叠，控制面板支持抽拉式式键盘°</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6</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1.1.1.2. </w:t>
                  </w:r>
                  <w:r>
                    <w:rPr>
                      <w:sz w:val="20"/>
                    </w:rPr>
                    <w:t xml:space="preserve">具备彩色触摸屏， ≥ </w:t>
                  </w:r>
                  <w:r>
                    <w:rPr>
                      <w:sz w:val="20"/>
                    </w:rPr>
                    <w:t xml:space="preserve">12 </w:t>
                  </w:r>
                  <w:r>
                    <w:rPr>
                      <w:sz w:val="20"/>
                    </w:rPr>
                    <w:t>英寸，可通过手指滑动触摸屏进行翻页，直接点击触摸屏即可选择需要调节的参数，操作面板可上下左右进行高度调整及旋转</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7</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1.1.1.3. </w:t>
                  </w:r>
                  <w:r>
                    <w:rPr>
                      <w:sz w:val="20"/>
                    </w:rPr>
                    <w:t>功能分区控制面板，可升降、旋转、前后左右平移</w:t>
                  </w:r>
                  <w:r>
                    <w:rPr>
                      <w:sz w:val="20"/>
                    </w:rPr>
                    <w:t>,</w:t>
                  </w:r>
                  <w:r>
                    <w:rPr>
                      <w:sz w:val="20"/>
                    </w:rPr>
                    <w:t>电子锁定</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8</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1.1.1.4. </w:t>
                  </w:r>
                  <w:r>
                    <w:rPr>
                      <w:sz w:val="20"/>
                    </w:rPr>
                    <w:t>▲触摸屏能与显示器同步显示实时图像</w:t>
                  </w:r>
                  <w:r>
                    <w:rPr>
                      <w:sz w:val="20"/>
                    </w:rPr>
                    <w:t>,</w:t>
                  </w:r>
                  <w:r>
                    <w:rPr>
                      <w:sz w:val="20"/>
                    </w:rPr>
                    <w:t>支持食道探头</w:t>
                  </w:r>
                  <w:r>
                    <w:rPr>
                      <w:sz w:val="20"/>
                    </w:rPr>
                    <w:t>,</w:t>
                  </w:r>
                  <w:r>
                    <w:rPr>
                      <w:sz w:val="20"/>
                    </w:rPr>
                    <w:t>以满足术中操作的需要</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9</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1.1.1.5. </w:t>
                  </w:r>
                  <w:r>
                    <w:rPr>
                      <w:sz w:val="20"/>
                    </w:rPr>
                    <w:t>通用成像探头接口≥</w:t>
                  </w:r>
                  <w:r>
                    <w:rPr>
                      <w:sz w:val="20"/>
                    </w:rPr>
                    <w:t>4</w:t>
                  </w:r>
                  <w:r>
                    <w:rPr>
                      <w:sz w:val="20"/>
                    </w:rPr>
                    <w:t>个，无针式微型接口，可互通互用；接口需具备照明系统方便在暗室环境更换探头，同时支持探头需与同品牌台式机、便携机均可互通互用，</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10</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1.1.1.6. </w:t>
                  </w:r>
                  <w:r>
                    <w:rPr>
                      <w:sz w:val="20"/>
                    </w:rPr>
                    <w:t>所配软件为该机型厂家所发布的最新版本</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11</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1.1.2.</w:t>
                  </w:r>
                  <w:r>
                    <w:rPr>
                      <w:sz w:val="20"/>
                    </w:rPr>
                    <w:t>主机系统技术参数配置要求：</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12</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1.1.2.1. </w:t>
                  </w:r>
                  <w:r>
                    <w:rPr>
                      <w:sz w:val="20"/>
                    </w:rPr>
                    <w:t>全数字化波束形成器</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13</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1.1.2.2. </w:t>
                  </w:r>
                  <w:r>
                    <w:rPr>
                      <w:sz w:val="20"/>
                    </w:rPr>
                    <w:t>▲动态范围≥</w:t>
                  </w:r>
                  <w:r>
                    <w:rPr>
                      <w:sz w:val="20"/>
                    </w:rPr>
                    <w:t>320dB</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14</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1.1.2.3. </w:t>
                  </w:r>
                  <w:r>
                    <w:rPr>
                      <w:sz w:val="20"/>
                    </w:rPr>
                    <w:t>采用并行处理技术，依次接收原始声学数据，系统进行实时逐像素聚焦</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15</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1.1.2.4. </w:t>
                  </w:r>
                  <w:r>
                    <w:rPr>
                      <w:sz w:val="20"/>
                    </w:rPr>
                    <w:t>▲实时三维超声成像功能支持经食道心脏探头和经胸心脏探头</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16</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1.1.2.5. </w:t>
                  </w:r>
                  <w:r>
                    <w:rPr>
                      <w:sz w:val="20"/>
                    </w:rPr>
                    <w:t>▲支持实时任意多平面成像：支持二维及彩色模式，可同屏显示任意相交互的两幅图像</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17</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1.1.3.</w:t>
                  </w:r>
                  <w:r>
                    <w:rPr>
                      <w:sz w:val="20"/>
                    </w:rPr>
                    <w:t>探头技术参数配置要求：</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18</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1.1.3.1.</w:t>
                  </w:r>
                  <w:r>
                    <w:rPr>
                      <w:sz w:val="20"/>
                    </w:rPr>
                    <w:t>▲主机支持超宽频带频率，小儿单晶体相控阵心脏探头扇角≥</w:t>
                  </w:r>
                  <w:r>
                    <w:rPr>
                      <w:sz w:val="20"/>
                    </w:rPr>
                    <w:t>120</w:t>
                  </w:r>
                  <w:r>
                    <w:rPr>
                      <w:sz w:val="20"/>
                    </w:rPr>
                    <w:t>°</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19</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1.1.3.2.</w:t>
                  </w:r>
                  <w:r>
                    <w:rPr>
                      <w:sz w:val="20"/>
                    </w:rPr>
                    <w:t>▲主机支持单晶体探头技术支持成人经胸电子矩阵实时三维心脏探头、成人经食道电子矩阵实时三维心脏探头、儿童经胸电子矩阵实时三维探头、线阵探头、凸阵探头、儿童相控阵探头（提供注册证产品技术要求关键信息页）</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20</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1.1.3.3.</w:t>
                  </w:r>
                  <w:r>
                    <w:rPr>
                      <w:sz w:val="20"/>
                    </w:rPr>
                    <w:t>▲主机支持成人经胸电子矩阵实时三维探头、儿童经胸电子矩阵实时三维探头，（提供产品注册证产品技术要求关键信息页）</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21</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1.1.3.4. </w:t>
                  </w:r>
                  <w:r>
                    <w:rPr>
                      <w:sz w:val="20"/>
                    </w:rPr>
                    <w:t>可支持配置的经食道电子矩阵实时三维心脏探头具备抗电刀干扰功能</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22</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1.1.3.5. </w:t>
                  </w:r>
                  <w:r>
                    <w:rPr>
                      <w:sz w:val="20"/>
                    </w:rPr>
                    <w:t>可支持配置的经食道电子矩阵实时三维心脏探头频率≥</w:t>
                  </w:r>
                  <w:r>
                    <w:rPr>
                      <w:sz w:val="20"/>
                    </w:rPr>
                    <w:t>2-8MHz</w:t>
                  </w:r>
                  <w:r>
                    <w:rPr>
                      <w:sz w:val="20"/>
                    </w:rPr>
                    <w:t xml:space="preserve">，加长缆线；具备全功能，包括 </w:t>
                  </w:r>
                  <w:r>
                    <w:rPr>
                      <w:sz w:val="20"/>
                    </w:rPr>
                    <w:t>2D,Color,M mode,PW,CW,TDI</w:t>
                  </w:r>
                  <w:r>
                    <w:rPr>
                      <w:sz w:val="20"/>
                    </w:rPr>
                    <w:t>，</w:t>
                  </w:r>
                  <w:r>
                    <w:rPr>
                      <w:sz w:val="20"/>
                    </w:rPr>
                    <w:t>Live3D,Full volume, 3D color,3D Zoom, 3D Zoom Color</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23</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r>
                    <w:rPr>
                      <w:sz w:val="20"/>
                    </w:rPr>
                    <w:t>1.1.3.6.</w:t>
                  </w:r>
                  <w:r>
                    <w:rPr>
                      <w:sz w:val="20"/>
                    </w:rPr>
                    <w:t>电子矩阵实时三维线阵探头阵元数≥</w:t>
                  </w:r>
                  <w:r>
                    <w:rPr>
                      <w:sz w:val="20"/>
                    </w:rPr>
                    <w:t>50000</w:t>
                  </w:r>
                  <w:r>
                    <w:rPr>
                      <w:sz w:val="20"/>
                    </w:rPr>
                    <w:t>（提供产品注册证技术要求关键信息页）</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24</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1.1.4.</w:t>
                  </w:r>
                  <w:r>
                    <w:rPr>
                      <w:sz w:val="20"/>
                    </w:rPr>
                    <w:t>二维灰阶显像技术参数配置要求：</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25</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1.1.4.1. </w:t>
                  </w:r>
                  <w:r>
                    <w:rPr>
                      <w:sz w:val="20"/>
                    </w:rPr>
                    <w:t>具备自适应像素优化技术，可增强组织边界，抑制斑点噪声， ≥</w:t>
                  </w:r>
                  <w:r>
                    <w:rPr>
                      <w:sz w:val="20"/>
                    </w:rPr>
                    <w:t xml:space="preserve">3 </w:t>
                  </w:r>
                  <w:r>
                    <w:rPr>
                      <w:sz w:val="20"/>
                    </w:rPr>
                    <w:t>级可调</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26</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1.1.4.2. </w:t>
                  </w:r>
                  <w:r>
                    <w:rPr>
                      <w:sz w:val="20"/>
                    </w:rPr>
                    <w:t xml:space="preserve">一键优化 </w:t>
                  </w:r>
                  <w:r>
                    <w:rPr>
                      <w:sz w:val="20"/>
                    </w:rPr>
                    <w:t xml:space="preserve">TGC </w:t>
                  </w:r>
                  <w:r>
                    <w:rPr>
                      <w:sz w:val="20"/>
                    </w:rPr>
                    <w:t>曲线，可实时优化二维增益、对比度、动态范围</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27</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1.1.4.3. </w:t>
                  </w:r>
                  <w:r>
                    <w:rPr>
                      <w:sz w:val="20"/>
                    </w:rPr>
                    <w:t>单键持续增益补偿</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28</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1.1.4.4. </w:t>
                  </w:r>
                  <w:r>
                    <w:rPr>
                      <w:sz w:val="20"/>
                    </w:rPr>
                    <w:t>预设条件</w:t>
                  </w:r>
                  <w:r>
                    <w:rPr>
                      <w:sz w:val="20"/>
                    </w:rPr>
                    <w:t>:</w:t>
                  </w:r>
                  <w:r>
                    <w:rPr>
                      <w:sz w:val="20"/>
                    </w:rPr>
                    <w:t>针对不同的检查脏器</w:t>
                  </w:r>
                  <w:r>
                    <w:rPr>
                      <w:sz w:val="20"/>
                    </w:rPr>
                    <w:t>,</w:t>
                  </w:r>
                  <w:r>
                    <w:rPr>
                      <w:sz w:val="20"/>
                    </w:rPr>
                    <w:t>预置最佳化图像的检查条件</w:t>
                  </w:r>
                  <w:r>
                    <w:rPr>
                      <w:sz w:val="20"/>
                    </w:rPr>
                    <w:t xml:space="preserve">, </w:t>
                  </w:r>
                  <w:r>
                    <w:rPr>
                      <w:sz w:val="20"/>
                    </w:rPr>
                    <w:t>减少操作时的调节</w:t>
                  </w:r>
                  <w:r>
                    <w:rPr>
                      <w:sz w:val="20"/>
                    </w:rPr>
                    <w:t>,</w:t>
                  </w:r>
                  <w:r>
                    <w:rPr>
                      <w:sz w:val="20"/>
                    </w:rPr>
                    <w:t>及常用所需的外部调节及组合调节，每个探头可提供 ≥</w:t>
                  </w:r>
                  <w:r>
                    <w:rPr>
                      <w:sz w:val="20"/>
                    </w:rPr>
                    <w:t xml:space="preserve">3 </w:t>
                  </w:r>
                  <w:r>
                    <w:rPr>
                      <w:sz w:val="20"/>
                    </w:rPr>
                    <w:t>预设置</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29</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1.1.4.5. </w:t>
                  </w:r>
                  <w:r>
                    <w:rPr>
                      <w:sz w:val="20"/>
                    </w:rPr>
                    <w:t>增益调节</w:t>
                  </w:r>
                  <w:r>
                    <w:rPr>
                      <w:sz w:val="20"/>
                    </w:rPr>
                    <w:t xml:space="preserve">:2D/Color/Doppler </w:t>
                  </w:r>
                  <w:r>
                    <w:rPr>
                      <w:sz w:val="20"/>
                    </w:rPr>
                    <w:t>可独立调节</w:t>
                  </w:r>
                  <w:r>
                    <w:rPr>
                      <w:sz w:val="20"/>
                    </w:rPr>
                    <w:t xml:space="preserve">, TGC </w:t>
                  </w:r>
                  <w:r>
                    <w:rPr>
                      <w:sz w:val="20"/>
                    </w:rPr>
                    <w:t>分段≥</w:t>
                  </w:r>
                  <w:r>
                    <w:rPr>
                      <w:sz w:val="20"/>
                    </w:rPr>
                    <w:t>8</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30</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1.1.5.</w:t>
                  </w:r>
                  <w:r>
                    <w:rPr>
                      <w:sz w:val="20"/>
                    </w:rPr>
                    <w:t>频谱多普勒技术参数配置要求：</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31</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1.1.5.1.</w:t>
                  </w:r>
                  <w:r>
                    <w:rPr>
                      <w:sz w:val="20"/>
                    </w:rPr>
                    <w:t>方式</w:t>
                  </w:r>
                  <w:r>
                    <w:rPr>
                      <w:sz w:val="20"/>
                    </w:rPr>
                    <w:t xml:space="preserve">: </w:t>
                  </w:r>
                  <w:r>
                    <w:rPr>
                      <w:sz w:val="20"/>
                    </w:rPr>
                    <w:t xml:space="preserve">脉冲波多普勒 </w:t>
                  </w:r>
                  <w:r>
                    <w:rPr>
                      <w:sz w:val="20"/>
                    </w:rPr>
                    <w:t>PW,</w:t>
                  </w:r>
                  <w:r>
                    <w:rPr>
                      <w:sz w:val="20"/>
                    </w:rPr>
                    <w:t xml:space="preserve">连续波多普勒 </w:t>
                  </w:r>
                  <w:r>
                    <w:rPr>
                      <w:sz w:val="20"/>
                    </w:rPr>
                    <w:t>CW</w:t>
                  </w:r>
                  <w:r>
                    <w:rPr>
                      <w:sz w:val="20"/>
                    </w:rPr>
                    <w:t xml:space="preserve">，高重复频率脉冲多普勒 </w:t>
                  </w:r>
                  <w:r>
                    <w:rPr>
                      <w:sz w:val="20"/>
                    </w:rPr>
                    <w:t>HRPW</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32</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1.1.5.2.</w:t>
                  </w:r>
                  <w:r>
                    <w:rPr>
                      <w:sz w:val="20"/>
                    </w:rPr>
                    <w:t>电影回放≥</w:t>
                  </w:r>
                  <w:r>
                    <w:rPr>
                      <w:sz w:val="20"/>
                    </w:rPr>
                    <w:t xml:space="preserve">2000 </w:t>
                  </w:r>
                  <w:r>
                    <w:rPr>
                      <w:sz w:val="20"/>
                    </w:rPr>
                    <w:t>帧</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33</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1.1.5.3. </w:t>
                  </w:r>
                  <w:r>
                    <w:rPr>
                      <w:sz w:val="20"/>
                    </w:rPr>
                    <w:t>取样宽度及位置范围：宽度</w:t>
                  </w:r>
                  <w:r>
                    <w:rPr>
                      <w:sz w:val="20"/>
                    </w:rPr>
                    <w:t>0.5mm</w:t>
                  </w:r>
                  <w:r>
                    <w:rPr>
                      <w:sz w:val="20"/>
                    </w:rPr>
                    <w:t>至</w:t>
                  </w:r>
                  <w:r>
                    <w:rPr>
                      <w:sz w:val="20"/>
                    </w:rPr>
                    <w:t>20mm</w:t>
                  </w:r>
                  <w:r>
                    <w:rPr>
                      <w:sz w:val="20"/>
                    </w:rPr>
                    <w:t>多级可调</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34</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1.1.5.4. </w:t>
                  </w:r>
                  <w:r>
                    <w:rPr>
                      <w:sz w:val="20"/>
                    </w:rPr>
                    <w:t xml:space="preserve">提供 </w:t>
                  </w:r>
                  <w:r>
                    <w:rPr>
                      <w:sz w:val="20"/>
                    </w:rPr>
                    <w:t>PW</w:t>
                  </w:r>
                  <w:r>
                    <w:rPr>
                      <w:sz w:val="20"/>
                    </w:rPr>
                    <w:t>、</w:t>
                  </w:r>
                  <w:r>
                    <w:rPr>
                      <w:sz w:val="20"/>
                    </w:rPr>
                    <w:t>CW</w:t>
                  </w:r>
                  <w:r>
                    <w:rPr>
                      <w:sz w:val="20"/>
                    </w:rPr>
                    <w:t>、</w:t>
                  </w:r>
                  <w:r>
                    <w:rPr>
                      <w:sz w:val="20"/>
                    </w:rPr>
                    <w:t xml:space="preserve">HRPW </w:t>
                  </w:r>
                  <w:r>
                    <w:rPr>
                      <w:sz w:val="20"/>
                    </w:rPr>
                    <w:t>模式，高性能三同步成像</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35</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1.1.5.5. </w:t>
                  </w:r>
                  <w:r>
                    <w:rPr>
                      <w:sz w:val="20"/>
                    </w:rPr>
                    <w:t xml:space="preserve">多普勒血流测量与分析 </w:t>
                  </w:r>
                  <w:r>
                    <w:rPr>
                      <w:sz w:val="20"/>
                    </w:rPr>
                    <w:t>(</w:t>
                  </w:r>
                  <w:r>
                    <w:rPr>
                      <w:sz w:val="20"/>
                    </w:rPr>
                    <w:t>含自动多普勒频谱包络计算</w:t>
                  </w:r>
                  <w:r>
                    <w:rPr>
                      <w:sz w:val="20"/>
                    </w:rPr>
                    <w:t>);</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36</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1.1.5.6. </w:t>
                  </w:r>
                  <w:r>
                    <w:rPr>
                      <w:sz w:val="20"/>
                    </w:rPr>
                    <w:t>一键自动优化多普勒频谱，自动调整基线及量程</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37</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1.1.6.</w:t>
                  </w:r>
                  <w:r>
                    <w:rPr>
                      <w:sz w:val="20"/>
                    </w:rPr>
                    <w:t>彩色多普勒技术参数配置要求：</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38</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1.1.6.1. </w:t>
                  </w:r>
                  <w:r>
                    <w:rPr>
                      <w:sz w:val="20"/>
                    </w:rPr>
                    <w:t>显示方式</w:t>
                  </w:r>
                  <w:r>
                    <w:rPr>
                      <w:sz w:val="20"/>
                    </w:rPr>
                    <w:t>:</w:t>
                  </w:r>
                  <w:r>
                    <w:rPr>
                      <w:sz w:val="20"/>
                    </w:rPr>
                    <w:t>能量显示、速度显示、方差显示</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39</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1.1.6.2. </w:t>
                  </w:r>
                  <w:r>
                    <w:rPr>
                      <w:sz w:val="20"/>
                    </w:rPr>
                    <w:t>二维图像</w:t>
                  </w:r>
                  <w:r>
                    <w:rPr>
                      <w:sz w:val="20"/>
                    </w:rPr>
                    <w:t>/</w:t>
                  </w:r>
                  <w:r>
                    <w:rPr>
                      <w:sz w:val="20"/>
                    </w:rPr>
                    <w:t>频谱多普勒</w:t>
                  </w:r>
                  <w:r>
                    <w:rPr>
                      <w:sz w:val="20"/>
                    </w:rPr>
                    <w:t>/</w:t>
                  </w:r>
                  <w:r>
                    <w:rPr>
                      <w:sz w:val="20"/>
                    </w:rPr>
                    <w:t>彩色血流成像三同步显示</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40</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1.1.6.3. </w:t>
                  </w:r>
                  <w:r>
                    <w:rPr>
                      <w:sz w:val="20"/>
                    </w:rPr>
                    <w:t>彩色显示速度：最低平均血流显示速度≤</w:t>
                  </w:r>
                  <w:r>
                    <w:rPr>
                      <w:sz w:val="20"/>
                    </w:rPr>
                    <w:t>5mm/s</w:t>
                  </w:r>
                  <w:r>
                    <w:rPr>
                      <w:sz w:val="20"/>
                    </w:rPr>
                    <w:t>（非噪声信号）</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41</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1.1.6.4. </w:t>
                  </w:r>
                  <w:r>
                    <w:rPr>
                      <w:sz w:val="20"/>
                    </w:rPr>
                    <w:t xml:space="preserve">频谱多普勒最低测量速度：≤ </w:t>
                  </w:r>
                  <w:r>
                    <w:rPr>
                      <w:sz w:val="20"/>
                    </w:rPr>
                    <w:t>0.25mm/s (</w:t>
                  </w:r>
                  <w:r>
                    <w:rPr>
                      <w:sz w:val="20"/>
                    </w:rPr>
                    <w:t>非噪音信号</w:t>
                  </w:r>
                  <w:r>
                    <w:rPr>
                      <w:sz w:val="20"/>
                    </w:rPr>
                    <w:t>)</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42</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1.1.6.5. </w:t>
                  </w:r>
                  <w:r>
                    <w:rPr>
                      <w:sz w:val="20"/>
                    </w:rPr>
                    <w:t>自适应超宽频带彩色多普勒成像技术</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43</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1.1.6.6. </w:t>
                  </w:r>
                  <w:r>
                    <w:rPr>
                      <w:sz w:val="20"/>
                    </w:rPr>
                    <w:t>彩色能量图及方向能量图</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44</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1.1.6.7. </w:t>
                  </w:r>
                  <w:r>
                    <w:rPr>
                      <w:sz w:val="20"/>
                    </w:rPr>
                    <w:t>单键调节血流成像参数</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45</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1.1.6.8. </w:t>
                  </w:r>
                  <w:r>
                    <w:rPr>
                      <w:sz w:val="20"/>
                    </w:rPr>
                    <w:t>彩色对比及实时对比显像</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46</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1.1.7.</w:t>
                  </w:r>
                  <w:r>
                    <w:rPr>
                      <w:sz w:val="20"/>
                    </w:rPr>
                    <w:t>组织多普勒技术参数配置要求：</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47</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1.1.7.1. </w:t>
                  </w:r>
                  <w:r>
                    <w:rPr>
                      <w:sz w:val="20"/>
                    </w:rPr>
                    <w:t>高帧频彩色和脉冲波组织多普勒成像</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48</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1.1.7.2. </w:t>
                  </w:r>
                  <w:r>
                    <w:rPr>
                      <w:sz w:val="20"/>
                    </w:rPr>
                    <w:t xml:space="preserve">二维、彩色 </w:t>
                  </w:r>
                  <w:r>
                    <w:rPr>
                      <w:sz w:val="20"/>
                    </w:rPr>
                    <w:t xml:space="preserve">M </w:t>
                  </w:r>
                  <w:r>
                    <w:rPr>
                      <w:sz w:val="20"/>
                    </w:rPr>
                    <w:t>型、速度曲线同屏显示</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49</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1.1.7.3. </w:t>
                  </w:r>
                  <w:r>
                    <w:rPr>
                      <w:sz w:val="20"/>
                    </w:rPr>
                    <w:t>专业组织多普勒测量软件包</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50</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1.1.7.4. </w:t>
                  </w:r>
                  <w:r>
                    <w:rPr>
                      <w:sz w:val="20"/>
                    </w:rPr>
                    <w:t>可进行心肌应变及应变率定量分析</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51</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1.1.7.5. </w:t>
                  </w:r>
                  <w:r>
                    <w:rPr>
                      <w:sz w:val="20"/>
                    </w:rPr>
                    <w:t>动态组织追踪取样</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52</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1.1.8.</w:t>
                  </w:r>
                  <w:r>
                    <w:rPr>
                      <w:sz w:val="20"/>
                    </w:rPr>
                    <w:t>谐波成像技术参数配置要求：</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53</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1.1.8.1. </w:t>
                  </w:r>
                  <w:r>
                    <w:rPr>
                      <w:sz w:val="20"/>
                    </w:rPr>
                    <w:t>具备滤波式及脉冲反相谐波技术</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54</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1.1.9.</w:t>
                  </w:r>
                  <w:r>
                    <w:rPr>
                      <w:sz w:val="20"/>
                    </w:rPr>
                    <w:t>负荷超声心动图技术</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55</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1.1.9.1. </w:t>
                  </w:r>
                  <w:r>
                    <w:rPr>
                      <w:sz w:val="20"/>
                    </w:rPr>
                    <w:t>支持运动或药物负荷试验同步定量分析</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56</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1.1.9.2. </w:t>
                  </w:r>
                  <w:r>
                    <w:rPr>
                      <w:sz w:val="20"/>
                    </w:rPr>
                    <w:t>支持斑点追踪技术的定量分析</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57</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1.1.10.</w:t>
                  </w:r>
                  <w:r>
                    <w:rPr>
                      <w:sz w:val="20"/>
                    </w:rPr>
                    <w:t>造影成像及定量技术参数配置要求：</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58</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1.1.10.1.</w:t>
                  </w:r>
                  <w:r>
                    <w:rPr>
                      <w:sz w:val="20"/>
                    </w:rPr>
                    <w:t>▲具备心腔造影、心肌造影、血管造影、腹部造影成像及定量功能，造影功能同时支持相控阵探头、线阵探头、凸阵探头、电子矩阵实时三维线阵探头（提供产品注册证产品技术要求关键信息页）</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59</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1.1.11.</w:t>
                  </w:r>
                  <w:r>
                    <w:rPr>
                      <w:sz w:val="20"/>
                    </w:rPr>
                    <w:t>实时三维成像技术参数配置要求：</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60</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1.1.11.1. </w:t>
                  </w:r>
                  <w:r>
                    <w:rPr>
                      <w:sz w:val="20"/>
                    </w:rPr>
                    <w:t>三维成像模式</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61</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1.1.11.2. </w:t>
                  </w:r>
                  <w:r>
                    <w:rPr>
                      <w:sz w:val="20"/>
                    </w:rPr>
                    <w:t>实时三维成像</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62</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1.1.11.3. </w:t>
                  </w:r>
                  <w:r>
                    <w:rPr>
                      <w:sz w:val="20"/>
                    </w:rPr>
                    <w:t>实时三维血流成像</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63</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1.1.11.4. </w:t>
                  </w:r>
                  <w:r>
                    <w:rPr>
                      <w:sz w:val="20"/>
                    </w:rPr>
                    <w:t>实时三维全容积成像</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64</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1.1.11.5. </w:t>
                  </w:r>
                  <w:r>
                    <w:rPr>
                      <w:sz w:val="20"/>
                    </w:rPr>
                    <w:t>三维单心动周期容积成像</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65</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1.1.11.6. </w:t>
                  </w:r>
                  <w:r>
                    <w:rPr>
                      <w:sz w:val="20"/>
                    </w:rPr>
                    <w:t>三维多心动周期容积成像</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66</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1.1.11.7. </w:t>
                  </w:r>
                  <w:r>
                    <w:rPr>
                      <w:sz w:val="20"/>
                    </w:rPr>
                    <w:t>实时三维放大成像</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67</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1.1.11.8. </w:t>
                  </w:r>
                  <w:r>
                    <w:rPr>
                      <w:sz w:val="20"/>
                    </w:rPr>
                    <w:t>实时三维血流放大成像</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68</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1.1.11.9. </w:t>
                  </w:r>
                  <w:r>
                    <w:rPr>
                      <w:sz w:val="20"/>
                    </w:rPr>
                    <w:t>▲实时双容积视野成像，支持内面观和对面观，可一键同时显示同一心脏容积图像不同观察方向两个容积切面，支持实时和冻结状态下的经胸和经食管实时三维图像显示</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69</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1.1.11.10. </w:t>
                  </w:r>
                  <w:r>
                    <w:rPr>
                      <w:sz w:val="20"/>
                    </w:rPr>
                    <w:t>三维智能断层</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70</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1.1.11.11. </w:t>
                  </w:r>
                  <w:r>
                    <w:rPr>
                      <w:sz w:val="20"/>
                    </w:rPr>
                    <w:t>可获取≥</w:t>
                  </w:r>
                  <w:r>
                    <w:rPr>
                      <w:sz w:val="20"/>
                    </w:rPr>
                    <w:t xml:space="preserve">9 </w:t>
                  </w:r>
                  <w:r>
                    <w:rPr>
                      <w:sz w:val="20"/>
                    </w:rPr>
                    <w:t>切面</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71</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1.1.11.12. </w:t>
                  </w:r>
                  <w:r>
                    <w:rPr>
                      <w:sz w:val="20"/>
                    </w:rPr>
                    <w:t>显示≥</w:t>
                  </w:r>
                  <w:r>
                    <w:rPr>
                      <w:sz w:val="20"/>
                    </w:rPr>
                    <w:t xml:space="preserve">3 </w:t>
                  </w:r>
                  <w:r>
                    <w:rPr>
                      <w:sz w:val="20"/>
                    </w:rPr>
                    <w:t>个心尖切面和≥</w:t>
                  </w:r>
                  <w:r>
                    <w:rPr>
                      <w:sz w:val="20"/>
                    </w:rPr>
                    <w:t xml:space="preserve">3 </w:t>
                  </w:r>
                  <w:r>
                    <w:rPr>
                      <w:sz w:val="20"/>
                    </w:rPr>
                    <w:t>个短轴切面</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72</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1.1.11.13. </w:t>
                  </w:r>
                  <w:r>
                    <w:rPr>
                      <w:sz w:val="20"/>
                    </w:rPr>
                    <w:t xml:space="preserve">三维 </w:t>
                  </w:r>
                  <w:r>
                    <w:rPr>
                      <w:sz w:val="20"/>
                    </w:rPr>
                    <w:t xml:space="preserve">Z </w:t>
                  </w:r>
                  <w:r>
                    <w:rPr>
                      <w:sz w:val="20"/>
                    </w:rPr>
                    <w:t>平面智能旋转或两点剪切法</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73</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1.1.11.14. </w:t>
                  </w:r>
                  <w:r>
                    <w:rPr>
                      <w:sz w:val="20"/>
                    </w:rPr>
                    <w:t>三维多平面视图显示支持任意平面调整或自动四维标准切面显像</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74</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1.1.11.15. </w:t>
                  </w:r>
                  <w:r>
                    <w:rPr>
                      <w:sz w:val="20"/>
                    </w:rPr>
                    <w:t>三维彩色血流可选择性方向显示</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75</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1.1.11.16. </w:t>
                  </w:r>
                  <w:r>
                    <w:rPr>
                      <w:sz w:val="20"/>
                    </w:rPr>
                    <w:t>支持实时多平面成像及定量分析功能</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76</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1.1.11.17. </w:t>
                  </w:r>
                  <w:r>
                    <w:rPr>
                      <w:sz w:val="20"/>
                    </w:rPr>
                    <w:t>实时任意多平面成像：支持二维及彩色模式，可同屏显示任意相交互的两幅图像</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77</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1.1.11.18. </w:t>
                  </w:r>
                  <w:r>
                    <w:rPr>
                      <w:sz w:val="20"/>
                    </w:rPr>
                    <w:t>实时智能旋转成像</w:t>
                  </w:r>
                  <w:r>
                    <w:rPr>
                      <w:sz w:val="20"/>
                    </w:rPr>
                    <w:t>:</w:t>
                  </w:r>
                  <w:r>
                    <w:rPr>
                      <w:sz w:val="20"/>
                    </w:rPr>
                    <w:t xml:space="preserve">矩阵探头可实现 </w:t>
                  </w:r>
                  <w:r>
                    <w:rPr>
                      <w:sz w:val="20"/>
                    </w:rPr>
                    <w:t>0</w:t>
                  </w:r>
                  <w:r>
                    <w:rPr>
                      <w:sz w:val="20"/>
                    </w:rPr>
                    <w:t>－</w:t>
                  </w:r>
                  <w:r>
                    <w:rPr>
                      <w:sz w:val="20"/>
                    </w:rPr>
                    <w:t xml:space="preserve">360 </w:t>
                  </w:r>
                  <w:r>
                    <w:rPr>
                      <w:sz w:val="20"/>
                    </w:rPr>
                    <w:t>度任意平面显像</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78</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1.1.11.19. </w:t>
                  </w:r>
                  <w:r>
                    <w:rPr>
                      <w:sz w:val="20"/>
                    </w:rPr>
                    <w:t xml:space="preserve">三维智能切割： 感兴趣区 </w:t>
                  </w:r>
                  <w:r>
                    <w:rPr>
                      <w:sz w:val="20"/>
                    </w:rPr>
                    <w:t xml:space="preserve">360 </w:t>
                  </w:r>
                  <w:r>
                    <w:rPr>
                      <w:sz w:val="20"/>
                    </w:rPr>
                    <w:t>度取样可在二维参考切面中进行切割，同时获得三维图像</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79</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1.1.11.20. </w:t>
                  </w:r>
                  <w:r>
                    <w:rPr>
                      <w:sz w:val="20"/>
                    </w:rPr>
                    <w:t>▲三维模式下，具备实时三维彩色血流成像（提供产品注册证技术要求关键信息页），且支持左心室三维容积自动定量，可获得</w:t>
                  </w:r>
                  <w:r>
                    <w:rPr>
                      <w:sz w:val="20"/>
                    </w:rPr>
                    <w:t>ESV</w:t>
                  </w:r>
                  <w:r>
                    <w:rPr>
                      <w:sz w:val="20"/>
                    </w:rPr>
                    <w:t>、</w:t>
                  </w:r>
                  <w:r>
                    <w:rPr>
                      <w:sz w:val="20"/>
                    </w:rPr>
                    <w:t>EDV</w:t>
                  </w:r>
                  <w:r>
                    <w:rPr>
                      <w:sz w:val="20"/>
                    </w:rPr>
                    <w:t>、</w:t>
                  </w:r>
                  <w:r>
                    <w:rPr>
                      <w:sz w:val="20"/>
                    </w:rPr>
                    <w:t>EF</w:t>
                  </w:r>
                  <w:r>
                    <w:rPr>
                      <w:sz w:val="20"/>
                    </w:rPr>
                    <w:t>临床常用心功能参数，支持经胸三维容积图像分析，同时可支持基于四维容积数据的二尖瓣定量分析工具。（提供技术白皮书及附图同时证明）</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80</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1.1.12.</w:t>
                  </w:r>
                  <w:r>
                    <w:rPr>
                      <w:sz w:val="20"/>
                    </w:rPr>
                    <w:t>测量和分析技术参数配置要求：</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81</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1.1.12.1. </w:t>
                  </w:r>
                  <w:r>
                    <w:rPr>
                      <w:sz w:val="20"/>
                    </w:rPr>
                    <w:t>一般常规测量</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82</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1.1.12.2. </w:t>
                  </w:r>
                  <w:r>
                    <w:rPr>
                      <w:sz w:val="20"/>
                    </w:rPr>
                    <w:t>多普勒血流测量及分析</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83</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1.1.12.3. </w:t>
                  </w:r>
                  <w:r>
                    <w:rPr>
                      <w:sz w:val="20"/>
                    </w:rPr>
                    <w:t>心肌斑点追踪测量与分析</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84</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1.1.12.4. </w:t>
                  </w:r>
                  <w:r>
                    <w:rPr>
                      <w:sz w:val="20"/>
                    </w:rPr>
                    <w:t>自动、实时多普勒频谱波形分析</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85</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1.1.12.5. </w:t>
                  </w:r>
                  <w:r>
                    <w:rPr>
                      <w:sz w:val="20"/>
                    </w:rPr>
                    <w:t>负荷超声心动图定量技术</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86</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1.1.12.6. </w:t>
                  </w:r>
                  <w:r>
                    <w:rPr>
                      <w:sz w:val="20"/>
                    </w:rPr>
                    <w:t>自动二维心功能定量</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87</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1.1.12.7. </w:t>
                  </w:r>
                  <w:r>
                    <w:rPr>
                      <w:sz w:val="20"/>
                    </w:rPr>
                    <w:t xml:space="preserve">依据选择的心脏切面描记感兴趣区， 计算 </w:t>
                  </w:r>
                  <w:r>
                    <w:rPr>
                      <w:sz w:val="20"/>
                    </w:rPr>
                    <w:t>EF</w:t>
                  </w:r>
                  <w:r>
                    <w:rPr>
                      <w:sz w:val="20"/>
                    </w:rPr>
                    <w:t>，</w:t>
                  </w:r>
                  <w:r>
                    <w:rPr>
                      <w:sz w:val="20"/>
                    </w:rPr>
                    <w:t>ESV</w:t>
                  </w:r>
                  <w:r>
                    <w:rPr>
                      <w:sz w:val="20"/>
                    </w:rPr>
                    <w:t>，</w:t>
                  </w:r>
                  <w:r>
                    <w:rPr>
                      <w:sz w:val="20"/>
                    </w:rPr>
                    <w:t>EDV</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88</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1.1.12.8. </w:t>
                  </w:r>
                  <w:r>
                    <w:rPr>
                      <w:sz w:val="20"/>
                    </w:rPr>
                    <w:t xml:space="preserve">可提供更深层次报告页面，包括容积及左室有关收缩、舒张功能的高级参数 </w:t>
                  </w:r>
                  <w:r>
                    <w:rPr>
                      <w:sz w:val="20"/>
                    </w:rPr>
                    <w:t>LVEF</w:t>
                  </w:r>
                  <w:r>
                    <w:rPr>
                      <w:sz w:val="20"/>
                    </w:rPr>
                    <w:t>、</w:t>
                  </w:r>
                  <w:r>
                    <w:rPr>
                      <w:sz w:val="20"/>
                    </w:rPr>
                    <w:t>PER</w:t>
                  </w:r>
                  <w:r>
                    <w:rPr>
                      <w:sz w:val="20"/>
                    </w:rPr>
                    <w:t>、</w:t>
                  </w:r>
                  <w:r>
                    <w:rPr>
                      <w:sz w:val="20"/>
                    </w:rPr>
                    <w:t>PRFR</w:t>
                  </w:r>
                  <w:r>
                    <w:rPr>
                      <w:sz w:val="20"/>
                    </w:rPr>
                    <w:t>、</w:t>
                  </w:r>
                  <w:r>
                    <w:rPr>
                      <w:sz w:val="20"/>
                    </w:rPr>
                    <w:t>AFF</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89</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1.1.12.9. </w:t>
                  </w:r>
                  <w:r>
                    <w:rPr>
                      <w:sz w:val="20"/>
                    </w:rPr>
                    <w:t>▲自动组织瓣环位移功能可自动对二尖瓣和三尖瓣瓣环运动进行可视化定量分析，快速评估心脏整体功能</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90</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1.1.12.10. </w:t>
                  </w:r>
                  <w:r>
                    <w:rPr>
                      <w:sz w:val="20"/>
                    </w:rPr>
                    <w:t>自动心肌运动定量</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91</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1.1.12.11. </w:t>
                  </w:r>
                  <w:r>
                    <w:rPr>
                      <w:sz w:val="20"/>
                    </w:rPr>
                    <w:t>依据选择的心脏切面描记相应节段，进而测量整体和节段功能并生成表格，</w:t>
                  </w:r>
                  <w:r>
                    <w:rPr>
                      <w:sz w:val="20"/>
                    </w:rPr>
                    <w:t xml:space="preserve">17 </w:t>
                  </w:r>
                  <w:r>
                    <w:rPr>
                      <w:sz w:val="20"/>
                    </w:rPr>
                    <w:t>节段牛眼图，并可显示各种曲线； 此外还可计算</w:t>
                  </w:r>
                  <w:r>
                    <w:rPr>
                      <w:sz w:val="20"/>
                    </w:rPr>
                    <w:t>LVEF</w:t>
                  </w:r>
                  <w:r>
                    <w:rPr>
                      <w:sz w:val="20"/>
                    </w:rPr>
                    <w:t>、</w:t>
                  </w:r>
                  <w:r>
                    <w:rPr>
                      <w:sz w:val="20"/>
                    </w:rPr>
                    <w:t>ESV</w:t>
                  </w:r>
                  <w:r>
                    <w:rPr>
                      <w:sz w:val="20"/>
                    </w:rPr>
                    <w:t>、</w:t>
                  </w:r>
                  <w:r>
                    <w:rPr>
                      <w:sz w:val="20"/>
                    </w:rPr>
                    <w:t>EDV</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92</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1.1.12.12. </w:t>
                  </w:r>
                  <w:r>
                    <w:rPr>
                      <w:sz w:val="20"/>
                    </w:rPr>
                    <w:t>可使用存储剪辑分析</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93</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1.1.12.13. </w:t>
                  </w:r>
                  <w:r>
                    <w:rPr>
                      <w:sz w:val="20"/>
                    </w:rPr>
                    <w:t>心肌应变及应变率</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94</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1.1.12.14. </w:t>
                  </w:r>
                  <w:r>
                    <w:rPr>
                      <w:sz w:val="20"/>
                    </w:rPr>
                    <w:t xml:space="preserve">节段心肌取样，最多可到 </w:t>
                  </w:r>
                  <w:r>
                    <w:rPr>
                      <w:sz w:val="20"/>
                    </w:rPr>
                    <w:t xml:space="preserve">17 </w:t>
                  </w:r>
                  <w:r>
                    <w:rPr>
                      <w:sz w:val="20"/>
                    </w:rPr>
                    <w:t>节段</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95</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1.1.12.15. </w:t>
                  </w:r>
                  <w:r>
                    <w:rPr>
                      <w:sz w:val="20"/>
                    </w:rPr>
                    <w:t>多个心动周期数据显示</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96</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1.1.12.16. </w:t>
                  </w:r>
                  <w:r>
                    <w:rPr>
                      <w:sz w:val="20"/>
                    </w:rPr>
                    <w:t>各个节段各个心动周期曲线显示， 各个节段平均心动周期曲线显示，平均节段各个心动周期曲线显示，平均节段平均心动周期曲线显示</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97</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1.1.12.17. </w:t>
                  </w:r>
                  <w:r>
                    <w:rPr>
                      <w:sz w:val="20"/>
                    </w:rPr>
                    <w:t>快速显示峰值速度、达峰时间、应变、应变率、位移等多种参数</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98</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1.1.12.18. </w:t>
                  </w:r>
                  <w:r>
                    <w:rPr>
                      <w:sz w:val="20"/>
                    </w:rPr>
                    <w:t>相同时相任意节段数据对比</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99</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1.1.12.19. </w:t>
                  </w:r>
                  <w:r>
                    <w:rPr>
                      <w:sz w:val="20"/>
                    </w:rPr>
                    <w:t>血管中内膜厚度自动测量</w:t>
                  </w:r>
                  <w:r>
                    <w:rPr>
                      <w:sz w:val="20"/>
                    </w:rPr>
                    <w:t>:</w:t>
                  </w:r>
                  <w:r>
                    <w:rPr>
                      <w:sz w:val="20"/>
                    </w:rPr>
                    <w:t>要求对感兴趣区域内自动测量，无需手动描计，计算结果为一段距离内的平均值，提高测量的可靠性和可重复性，并可根据血管内中膜厚度不同进行优化设置</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100</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1.1.12.20. </w:t>
                  </w:r>
                  <w:r>
                    <w:rPr>
                      <w:sz w:val="20"/>
                    </w:rPr>
                    <w:t>感兴趣区定量</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101</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1.1.12.21. </w:t>
                  </w:r>
                  <w:r>
                    <w:rPr>
                      <w:sz w:val="20"/>
                    </w:rPr>
                    <w:t xml:space="preserve">≥ </w:t>
                  </w:r>
                  <w:r>
                    <w:rPr>
                      <w:sz w:val="20"/>
                    </w:rPr>
                    <w:t>10</w:t>
                  </w:r>
                  <w:r>
                    <w:rPr>
                      <w:sz w:val="20"/>
                    </w:rPr>
                    <w:t>个自定义的区域</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102</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1.1.12.22. </w:t>
                  </w:r>
                  <w:r>
                    <w:rPr>
                      <w:sz w:val="20"/>
                    </w:rPr>
                    <w:t>平均值、中位数和标准差计算</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103</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1.1.12.23. </w:t>
                  </w:r>
                  <w:r>
                    <w:rPr>
                      <w:sz w:val="20"/>
                    </w:rPr>
                    <w:t>时间－密度曲线或时间</w:t>
                  </w:r>
                  <w:r>
                    <w:rPr>
                      <w:sz w:val="20"/>
                    </w:rPr>
                    <w:t>-</w:t>
                  </w:r>
                  <w:r>
                    <w:rPr>
                      <w:sz w:val="20"/>
                    </w:rPr>
                    <w:t>容积曲线</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104</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1.1.12.24. </w:t>
                  </w:r>
                  <w:r>
                    <w:rPr>
                      <w:sz w:val="20"/>
                    </w:rPr>
                    <w:t>三维成像支持心腔内光源模式</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105</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1.1.12.25. </w:t>
                  </w:r>
                  <w:r>
                    <w:rPr>
                      <w:sz w:val="20"/>
                    </w:rPr>
                    <w:t xml:space="preserve">实时 </w:t>
                  </w:r>
                  <w:r>
                    <w:rPr>
                      <w:sz w:val="20"/>
                    </w:rPr>
                    <w:t xml:space="preserve">3D </w:t>
                  </w:r>
                  <w:r>
                    <w:rPr>
                      <w:sz w:val="20"/>
                    </w:rPr>
                    <w:t>数据组浏览和定量</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106</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1.1.12.26. </w:t>
                  </w:r>
                  <w:r>
                    <w:rPr>
                      <w:sz w:val="20"/>
                    </w:rPr>
                    <w:t>导航器图像控制</w:t>
                  </w:r>
                  <w:r>
                    <w:rPr>
                      <w:sz w:val="20"/>
                    </w:rPr>
                    <w:t xml:space="preserve">, </w:t>
                  </w:r>
                  <w:r>
                    <w:rPr>
                      <w:sz w:val="20"/>
                    </w:rPr>
                    <w:t>包括灰阶及彩色</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107</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1.1.12.27. </w:t>
                  </w:r>
                  <w:r>
                    <w:rPr>
                      <w:sz w:val="20"/>
                    </w:rPr>
                    <w:t>多平面视图</w:t>
                  </w:r>
                  <w:r>
                    <w:rPr>
                      <w:sz w:val="20"/>
                    </w:rPr>
                    <w:t xml:space="preserve">, </w:t>
                  </w:r>
                  <w:r>
                    <w:rPr>
                      <w:sz w:val="20"/>
                    </w:rPr>
                    <w:t>包括单层平面，平行平面，多平面重建处理</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108</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1.1.13.</w:t>
                  </w:r>
                  <w:r>
                    <w:rPr>
                      <w:sz w:val="20"/>
                    </w:rPr>
                    <w:t>超声图像及病案管理系统技术参数配置要求：</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109</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1.1.13.1. </w:t>
                  </w:r>
                  <w:r>
                    <w:rPr>
                      <w:sz w:val="20"/>
                    </w:rPr>
                    <w:t>动态图像采集、存储、一次连续采集多幅</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110</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1.1.13.2. </w:t>
                  </w:r>
                  <w:r>
                    <w:rPr>
                      <w:sz w:val="20"/>
                    </w:rPr>
                    <w:t>同屏电影回放≥</w:t>
                  </w:r>
                  <w:r>
                    <w:rPr>
                      <w:sz w:val="20"/>
                    </w:rPr>
                    <w:t xml:space="preserve">4 </w:t>
                  </w:r>
                  <w:r>
                    <w:rPr>
                      <w:sz w:val="20"/>
                    </w:rPr>
                    <w:t>画面</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111</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1.1.13.3. </w:t>
                  </w:r>
                  <w:r>
                    <w:rPr>
                      <w:sz w:val="20"/>
                    </w:rPr>
                    <w:t>存储图像及文档</w:t>
                  </w:r>
                  <w:r>
                    <w:rPr>
                      <w:sz w:val="20"/>
                    </w:rPr>
                    <w:t xml:space="preserve">: </w:t>
                  </w:r>
                  <w:r>
                    <w:rPr>
                      <w:sz w:val="20"/>
                    </w:rPr>
                    <w:t xml:space="preserve">≥ </w:t>
                  </w:r>
                  <w:r>
                    <w:rPr>
                      <w:sz w:val="20"/>
                    </w:rPr>
                    <w:t xml:space="preserve">1000G </w:t>
                  </w:r>
                  <w:r>
                    <w:rPr>
                      <w:sz w:val="20"/>
                    </w:rPr>
                    <w:t>硬盘 、机身自带≥</w:t>
                  </w:r>
                  <w:r>
                    <w:rPr>
                      <w:sz w:val="20"/>
                    </w:rPr>
                    <w:t>5</w:t>
                  </w:r>
                  <w:r>
                    <w:rPr>
                      <w:sz w:val="20"/>
                    </w:rPr>
                    <w:t>个</w:t>
                  </w:r>
                  <w:r>
                    <w:rPr>
                      <w:sz w:val="20"/>
                    </w:rPr>
                    <w:t xml:space="preserve">USB </w:t>
                  </w:r>
                  <w:r>
                    <w:rPr>
                      <w:sz w:val="20"/>
                    </w:rPr>
                    <w:t>存储</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112</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1.1.13.4. </w:t>
                  </w:r>
                  <w:r>
                    <w:rPr>
                      <w:sz w:val="20"/>
                    </w:rPr>
                    <w:t>报告存储</w:t>
                  </w:r>
                  <w:r>
                    <w:rPr>
                      <w:sz w:val="20"/>
                    </w:rPr>
                    <w:t>,</w:t>
                  </w:r>
                  <w:r>
                    <w:rPr>
                      <w:sz w:val="20"/>
                    </w:rPr>
                    <w:t>检索</w:t>
                  </w:r>
                  <w:r>
                    <w:rPr>
                      <w:sz w:val="20"/>
                    </w:rPr>
                    <w:t>,</w:t>
                  </w:r>
                  <w:r>
                    <w:rPr>
                      <w:sz w:val="20"/>
                    </w:rPr>
                    <w:t>统计</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113</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1.1.13.5. </w:t>
                  </w:r>
                  <w:r>
                    <w:rPr>
                      <w:sz w:val="20"/>
                    </w:rPr>
                    <w:t>为保护病人隐私，图像存储时可隐去病案信息进行存储</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114</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1.1.14.</w:t>
                  </w:r>
                  <w:r>
                    <w:rPr>
                      <w:sz w:val="20"/>
                    </w:rPr>
                    <w:t>参考信号技术参数配置要求：</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115</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1.1.14.1. </w:t>
                  </w:r>
                  <w:r>
                    <w:rPr>
                      <w:sz w:val="20"/>
                    </w:rPr>
                    <w:t>心电、心音</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116</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1.1.15.</w:t>
                  </w:r>
                  <w:r>
                    <w:rPr>
                      <w:sz w:val="20"/>
                    </w:rPr>
                    <w:t>输入</w:t>
                  </w:r>
                  <w:r>
                    <w:rPr>
                      <w:sz w:val="20"/>
                    </w:rPr>
                    <w:t>/</w:t>
                  </w:r>
                  <w:r>
                    <w:rPr>
                      <w:sz w:val="20"/>
                    </w:rPr>
                    <w:t>输出信号技术参数配置要求：</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117</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1.1.15.1. </w:t>
                  </w:r>
                  <w:r>
                    <w:rPr>
                      <w:sz w:val="20"/>
                    </w:rPr>
                    <w:t>输入： 外部视频； 输出： 高清输出</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118</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1.1.16.</w:t>
                  </w:r>
                  <w:r>
                    <w:rPr>
                      <w:sz w:val="20"/>
                    </w:rPr>
                    <w:t>超声功率输出调节技术参数配置要求</w:t>
                  </w:r>
                  <w:r>
                    <w:rPr>
                      <w:sz w:val="20"/>
                    </w:rPr>
                    <w:t>:</w:t>
                  </w:r>
                </w:p>
              </w:tc>
            </w:tr>
            <w:tr>
              <w:tc>
                <w:tcPr>
                  <w:tcW w:type="dxa" w:w="973"/>
                  <w:vMerge/>
                  <w:tcBorders>
                    <w:top w:val="singl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119</w:t>
                  </w:r>
                </w:p>
              </w:tc>
              <w:tc>
                <w:tcPr>
                  <w:tcW w:type="dxa" w:w="39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1.1.16.1. B/M</w:t>
                  </w:r>
                  <w:r>
                    <w:rPr>
                      <w:sz w:val="20"/>
                    </w:rPr>
                    <w:t>、</w:t>
                  </w:r>
                  <w:r>
                    <w:rPr>
                      <w:sz w:val="20"/>
                    </w:rPr>
                    <w:t>PW</w:t>
                  </w:r>
                  <w:r>
                    <w:rPr>
                      <w:sz w:val="20"/>
                    </w:rPr>
                    <w:t>、</w:t>
                  </w:r>
                  <w:r>
                    <w:rPr>
                      <w:sz w:val="20"/>
                    </w:rPr>
                    <w:t>CDFI</w:t>
                  </w:r>
                  <w:r>
                    <w:rPr>
                      <w:sz w:val="20"/>
                    </w:rPr>
                    <w:t>、输出功率选择多级可调</w:t>
                  </w:r>
                </w:p>
              </w:tc>
            </w:tr>
            <w:tr>
              <w:tc>
                <w:tcPr>
                  <w:tcW w:type="dxa" w:w="9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配置清单（明确配置设备名称及数量）</w:t>
                  </w:r>
                </w:p>
              </w:tc>
              <w:tc>
                <w:tcPr>
                  <w:tcW w:type="dxa" w:w="38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配置名称</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数量</w:t>
                  </w:r>
                </w:p>
              </w:tc>
              <w:tc>
                <w:tcPr>
                  <w:tcW w:type="dxa" w:w="4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single" w:color="000000" w:sz="4"/>
                    <w:right w:val="single" w:color="000000" w:sz="4"/>
                  </w:tcBorders>
                </w:tcPr>
                <w:p/>
              </w:tc>
              <w:tc>
                <w:tcPr>
                  <w:tcW w:type="dxa" w:w="38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心脏超声系统（由主机及</w:t>
                  </w:r>
                  <w:r>
                    <w:rPr>
                      <w:sz w:val="20"/>
                    </w:rPr>
                    <w:t>5</w:t>
                  </w:r>
                  <w:r>
                    <w:rPr>
                      <w:sz w:val="20"/>
                    </w:rPr>
                    <w:t>个标准配置）</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台</w:t>
                  </w:r>
                </w:p>
              </w:tc>
              <w:tc>
                <w:tcPr>
                  <w:tcW w:type="dxa" w:w="4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single" w:color="000000" w:sz="4"/>
                    <w:right w:val="single" w:color="000000" w:sz="4"/>
                  </w:tcBorders>
                </w:tcPr>
                <w:p/>
              </w:tc>
              <w:tc>
                <w:tcPr>
                  <w:tcW w:type="dxa" w:w="38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单晶体经胸二维心脏探头</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把</w:t>
                  </w:r>
                </w:p>
              </w:tc>
              <w:tc>
                <w:tcPr>
                  <w:tcW w:type="dxa" w:w="4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single" w:color="000000" w:sz="4"/>
                    <w:right w:val="single" w:color="000000" w:sz="4"/>
                  </w:tcBorders>
                </w:tcPr>
                <w:p/>
              </w:tc>
              <w:tc>
                <w:tcPr>
                  <w:tcW w:type="dxa" w:w="38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单晶体腹部探头</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把</w:t>
                  </w:r>
                </w:p>
              </w:tc>
              <w:tc>
                <w:tcPr>
                  <w:tcW w:type="dxa" w:w="4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single" w:color="000000" w:sz="4"/>
                    <w:right w:val="single" w:color="000000" w:sz="4"/>
                  </w:tcBorders>
                </w:tcPr>
                <w:p/>
              </w:tc>
              <w:tc>
                <w:tcPr>
                  <w:tcW w:type="dxa" w:w="38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单晶体小儿心脏探头</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把</w:t>
                  </w:r>
                </w:p>
              </w:tc>
              <w:tc>
                <w:tcPr>
                  <w:tcW w:type="dxa" w:w="4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single" w:color="000000" w:sz="4"/>
                    <w:right w:val="single" w:color="000000" w:sz="4"/>
                  </w:tcBorders>
                </w:tcPr>
                <w:p/>
              </w:tc>
              <w:tc>
                <w:tcPr>
                  <w:tcW w:type="dxa" w:w="38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新生儿心脏探头</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把</w:t>
                  </w:r>
                </w:p>
              </w:tc>
              <w:tc>
                <w:tcPr>
                  <w:tcW w:type="dxa" w:w="4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single" w:color="000000" w:sz="4"/>
                    <w:right w:val="single" w:color="000000" w:sz="4"/>
                  </w:tcBorders>
                </w:tcPr>
                <w:p/>
              </w:tc>
              <w:tc>
                <w:tcPr>
                  <w:tcW w:type="dxa" w:w="38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经胸矩阵三维心脏探头</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把</w:t>
                  </w:r>
                </w:p>
              </w:tc>
              <w:tc>
                <w:tcPr>
                  <w:tcW w:type="dxa" w:w="4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single" w:color="000000" w:sz="4"/>
                    <w:right w:val="single" w:color="000000" w:sz="4"/>
                  </w:tcBorders>
                </w:tcPr>
                <w:p/>
              </w:tc>
              <w:tc>
                <w:tcPr>
                  <w:tcW w:type="dxa" w:w="38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第三方配件要求超声工作站（包含但不限于工作站主机，采集卡，新端口）打印输出设备、超声操作椅、超声诊断床</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各</w:t>
                  </w:r>
                  <w:r>
                    <w:rPr>
                      <w:sz w:val="20"/>
                    </w:rPr>
                    <w:t>1</w:t>
                  </w:r>
                  <w:r>
                    <w:rPr>
                      <w:sz w:val="20"/>
                    </w:rPr>
                    <w:t>套</w:t>
                  </w:r>
                </w:p>
              </w:tc>
              <w:tc>
                <w:tcPr>
                  <w:tcW w:type="dxa" w:w="4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single" w:color="000000" w:sz="4"/>
                    <w:right w:val="single" w:color="000000" w:sz="4"/>
                  </w:tcBorders>
                </w:tcPr>
                <w:p/>
              </w:tc>
              <w:tc>
                <w:tcPr>
                  <w:tcW w:type="dxa" w:w="38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整机年度全包保修费三年（含探头）</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r>
                    <w:rPr>
                      <w:sz w:val="20"/>
                    </w:rPr>
                    <w:t>年</w:t>
                  </w:r>
                </w:p>
              </w:tc>
              <w:tc>
                <w:tcPr>
                  <w:tcW w:type="dxa" w:w="45"/>
                  <w:tcBorders>
                    <w:top w:val="none" w:color="000000" w:sz="4"/>
                    <w:left w:val="none" w:color="000000" w:sz="4"/>
                    <w:bottom w:val="none" w:color="000000" w:sz="4"/>
                    <w:right w:val="none" w:color="000000" w:sz="4"/>
                  </w:tcBorders>
                </w:tcPr>
                <w:p>
                  <w:pPr>
                    <w:pStyle w:val="null3"/>
                  </w:pPr>
                  <w:r>
                    <w:rPr>
                      <w:sz w:val="19"/>
                    </w:rPr>
                    <w:t xml:space="preserve"> </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中山大学孙逸仙纪念医院深汕中心医院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采购包1(高档彩超(心脏专用))：综合评分法,是指投标文件满足招标文件全部实质性要求，且按照评审因素的量化指标评审得分最高的投标人为中标候选人的评标方法。（最低报价不是中标的唯一依据。）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采购包1（高档彩超(心脏专用)）：</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采购包1（高档彩超(心脏专用)）：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8</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采购包1（高档彩超(心脏专用)）：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1）投标报价未超过本项目的采购预算人民币199.7万元 2） 对全部招标内容进行投标报价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采购包1(高档彩超(心脏专用)):</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(39.0分)</w:t>
            </w:r>
          </w:p>
        </w:tc>
        <w:tc>
          <w:tcPr>
            <w:tcW w:type="dxa" w:w="5076"/>
          </w:tcPr>
          <w:p>
            <w:pPr>
              <w:pStyle w:val="null3"/>
              <w:jc w:val="left"/>
            </w:pPr>
            <w:r>
              <w:rPr/>
              <w:t>投标人所投产品每满足一项用户需求书中带“▲”号的重要要求（共13项），得3分，合计39分； 所有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所投货物技术参数及性能与技术规格要求的符合性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所有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根据投标人针对本项目制定的培训方案进行评审： 根据采购需求中的培训要求内容，投标人提供的培训方案，优于采购需求的，得6分；能满足采购需求的，得3分；不能满足采购需求的，得0分。</w:t>
            </w:r>
          </w:p>
        </w:tc>
      </w:tr>
      <w:tr>
        <w:tc>
          <w:tcPr>
            <w:tcW w:type="dxa" w:w="922"/>
            <w:gridSpan w:val="2"/>
            <w:vMerge/>
          </w:tcPr>
          <w:p/>
        </w:tc>
        <w:tc>
          <w:tcPr>
            <w:tcW w:type="dxa" w:w="2307"/>
          </w:tcPr>
          <w:p>
            <w:pPr>
              <w:pStyle w:val="null3"/>
              <w:jc w:val="left"/>
            </w:pPr>
            <w:r>
              <w:rPr/>
              <w:t>质量保证及售后服务方案 (5.0分)</w:t>
            </w:r>
          </w:p>
        </w:tc>
        <w:tc>
          <w:tcPr>
            <w:tcW w:type="dxa" w:w="5076"/>
          </w:tcPr>
          <w:p>
            <w:pPr>
              <w:pStyle w:val="null3"/>
              <w:jc w:val="left"/>
            </w:pPr>
            <w:r>
              <w:rPr/>
              <w:t>根据投标人针对本项目所提供的售后服务方案，方案内容包括但不限于售后服务人员（专人跟进、服务沟通等）的安排、服务计划安排、响应时间的及时性、提供备品备件服务等内容进行评审：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5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3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注：每提供1项内容且表述完整、科学、可行，能体现投标人完全具备本项目履约能力的，得1.5分。提供体现投标人履约能力的方案或相关证明材料并加盖公章，不提供方案或相关证明材料的不得分。</w:t>
            </w:r>
          </w:p>
        </w:tc>
      </w:tr>
      <w:tr>
        <w:tc>
          <w:tcPr>
            <w:tcW w:type="dxa" w:w="922"/>
            <w:gridSpan w:val="2"/>
            <w:vMerge/>
          </w:tcPr>
          <w:p/>
        </w:tc>
        <w:tc>
          <w:tcPr>
            <w:tcW w:type="dxa" w:w="2307"/>
          </w:tcPr>
          <w:p>
            <w:pPr>
              <w:pStyle w:val="null3"/>
              <w:jc w:val="left"/>
            </w:pPr>
            <w:r>
              <w:rPr/>
              <w:t>投标人自2022年以来的同类设备的业绩 (4.0分)</w:t>
            </w:r>
          </w:p>
        </w:tc>
        <w:tc>
          <w:tcPr>
            <w:tcW w:type="dxa" w:w="5076"/>
          </w:tcPr>
          <w:p>
            <w:pPr>
              <w:pStyle w:val="null3"/>
              <w:jc w:val="left"/>
            </w:pPr>
            <w:r>
              <w:rPr/>
              <w:t>每提供一项同类项目业绩的合同或中标通知书复印件并加盖公章得1分，最高得4分，不提供不得分。 注：1.要求同时提供合同关键信息（含首页、签字页）证明文件作为得分依据。 2.通过合同关键信息无法判断是否得分的，还须同时提供能证明得分的其它证明资料，如项目报告或合同甲方出具的证明文件等。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u w:val="single"/>
        </w:rPr>
        <w:t>采购项目</w:t>
      </w:r>
    </w:p>
    <w:p>
      <w:pPr>
        <w:pStyle w:val="null3"/>
      </w:pPr>
      <w:r>
        <w:rPr/>
        <w:t xml:space="preserve"> </w:t>
      </w:r>
    </w:p>
    <w:p>
      <w:pPr>
        <w:pStyle w:val="null3"/>
      </w:pPr>
      <w:r>
        <w:rPr>
          <w:sz w:val="48"/>
          <w:b/>
        </w:rPr>
        <w:t>合</w:t>
      </w:r>
      <w:r>
        <w:rPr>
          <w:sz w:val="48"/>
          <w:b/>
        </w:rPr>
        <w:t>同</w:t>
      </w:r>
      <w:r>
        <w:rPr>
          <w:sz w:val="48"/>
          <w:b/>
        </w:rPr>
        <w:t>书</w:t>
      </w:r>
    </w:p>
    <w:p>
      <w:pPr>
        <w:pStyle w:val="null3"/>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32"/>
                <w:b/>
              </w:rPr>
              <w:t>项目编号：</w:t>
            </w:r>
            <w:r>
              <w:rPr>
                <w:sz w:val="21"/>
                <w:b/>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bl>
    <w:p>
      <w:pPr>
        <w:pStyle w:val="null3"/>
      </w:pPr>
      <w:r>
        <w:rPr>
          <w:sz w:val="36"/>
          <w:b/>
        </w:rPr>
        <w:t>中山大学孙逸仙纪念医院深汕中心医院采购合同</w:t>
      </w:r>
    </w:p>
    <w:p>
      <w:pPr>
        <w:pStyle w:val="null3"/>
      </w:pPr>
      <w:r>
        <w:rPr/>
        <w:t xml:space="preserve"> </w:t>
      </w:r>
    </w:p>
    <w:p>
      <w:pPr>
        <w:pStyle w:val="null3"/>
        <w:jc w:val="left"/>
      </w:pPr>
      <w:r>
        <w:rPr>
          <w:sz w:val="24"/>
        </w:rPr>
        <w:t>甲方：</w:t>
      </w:r>
    </w:p>
    <w:p>
      <w:pPr>
        <w:pStyle w:val="null3"/>
        <w:jc w:val="left"/>
      </w:pPr>
      <w:r>
        <w:rPr>
          <w:sz w:val="24"/>
        </w:rPr>
        <w:t>乙方：</w:t>
      </w:r>
    </w:p>
    <w:p>
      <w:pPr>
        <w:pStyle w:val="null3"/>
        <w:ind w:firstLine="480"/>
        <w:jc w:val="left"/>
      </w:pPr>
      <w:r>
        <w:rPr>
          <w:sz w:val="24"/>
        </w:rPr>
        <w:t>根据中华人民共和国现行法律法规，甲、乙双方经协商确定，甲方向乙方订购</w:t>
      </w:r>
      <w:r>
        <w:rPr>
          <w:sz w:val="24"/>
          <w:u w:val="single"/>
        </w:rPr>
        <w:t>医疗设备及其服务</w:t>
      </w:r>
      <w:r>
        <w:rPr>
          <w:sz w:val="24"/>
        </w:rPr>
        <w:t>，为明确双方责任和权利，特签订本合同，共同遵守。具体条款如下：</w:t>
      </w:r>
    </w:p>
    <w:p>
      <w:pPr>
        <w:pStyle w:val="null3"/>
        <w:ind w:firstLine="482"/>
        <w:jc w:val="left"/>
      </w:pPr>
      <w:r>
        <w:rPr>
          <w:sz w:val="24"/>
          <w:b/>
        </w:rPr>
        <w:t>1、</w:t>
      </w:r>
      <w:r>
        <w:rPr>
          <w:sz w:val="24"/>
          <w:b/>
        </w:rPr>
        <w:t>合同设备</w:t>
      </w:r>
    </w:p>
    <w:p>
      <w:pPr>
        <w:pStyle w:val="null3"/>
        <w:ind w:left="480"/>
        <w:jc w:val="left"/>
      </w:pPr>
      <w:r>
        <w:rPr>
          <w:sz w:val="24"/>
        </w:rPr>
        <w:t>乙方负责向甲方供应下表中所列场地器材配套设备及负责安装调试。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961"/>
        <w:gridCol w:w="1301"/>
        <w:gridCol w:w="645"/>
        <w:gridCol w:w="565"/>
        <w:gridCol w:w="531"/>
        <w:gridCol w:w="497"/>
        <w:gridCol w:w="893"/>
        <w:gridCol w:w="995"/>
        <w:gridCol w:w="1052"/>
        <w:gridCol w:w="803"/>
      </w:tblGrid>
      <w:tr>
        <w:tc>
          <w:tcPr>
            <w:tcW w:type="dxa" w:w="9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1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5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4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8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9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tc>
        <w:tc>
          <w:tcPr>
            <w:tcW w:type="dxa" w:w="10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8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随机配件</w:t>
            </w:r>
          </w:p>
        </w:tc>
      </w:tr>
      <w:tr>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b/>
        </w:rPr>
        <w:t>2、</w:t>
      </w:r>
      <w:r>
        <w:rPr>
          <w:sz w:val="24"/>
          <w:b/>
        </w:rPr>
        <w:t>合同总价</w:t>
      </w:r>
    </w:p>
    <w:p>
      <w:pPr>
        <w:pStyle w:val="null3"/>
        <w:ind w:firstLine="480"/>
        <w:jc w:val="both"/>
      </w:pPr>
      <w:r>
        <w:rPr>
          <w:sz w:val="24"/>
        </w:rPr>
        <w:t>总价为</w:t>
      </w:r>
      <w:r>
        <w:rPr>
          <w:sz w:val="24"/>
        </w:rPr>
        <w:t>(大写)：</w:t>
      </w:r>
      <w:r>
        <w:rPr>
          <w:sz w:val="21"/>
          <w:u w:val="single"/>
        </w:rPr>
        <w:t xml:space="preserve"> </w:t>
      </w:r>
      <w:r>
        <w:rPr>
          <w:sz w:val="21"/>
          <w:u w:val="single"/>
        </w:rPr>
        <w:t xml:space="preserve"> </w:t>
      </w:r>
      <w:r>
        <w:rPr>
          <w:sz w:val="24"/>
        </w:rPr>
        <w:t>元整，即</w:t>
      </w:r>
      <w:r>
        <w:rPr>
          <w:sz w:val="24"/>
        </w:rPr>
        <w:t>RMB</w:t>
      </w:r>
      <w:r>
        <w:rPr>
          <w:sz w:val="24"/>
          <w:u w:val="single"/>
        </w:rPr>
        <w:t>￥：</w:t>
      </w:r>
      <w:r>
        <w:rPr>
          <w:sz w:val="24"/>
        </w:rPr>
        <w:t>元，该合同总金额是设计、设备制造、包装、运输、安装、使用培训及验收合格之前及保修期与备品备件发生的所有含税费用。本合同执行期间合同总金额不变。</w:t>
      </w:r>
    </w:p>
    <w:p>
      <w:pPr>
        <w:pStyle w:val="null3"/>
        <w:jc w:val="left"/>
      </w:pPr>
      <w:r>
        <w:rPr>
          <w:sz w:val="24"/>
          <w:b/>
        </w:rPr>
        <w:t>3、</w:t>
      </w:r>
      <w:r>
        <w:rPr>
          <w:sz w:val="24"/>
          <w:b/>
        </w:rPr>
        <w:t>合同组成</w:t>
      </w:r>
    </w:p>
    <w:p>
      <w:pPr>
        <w:pStyle w:val="null3"/>
        <w:spacing w:after="120"/>
        <w:ind w:firstLine="480"/>
        <w:jc w:val="both"/>
      </w:pPr>
      <w:r>
        <w:rPr>
          <w:sz w:val="24"/>
        </w:rPr>
        <w:t>详细价格、技术说明及其它有关合同项目的特定信息由合同附件说明，所有附件及本项目的采购文件、响应文件、中标通知书、会议纪要等均为本合同不可分割之一部分。</w:t>
      </w:r>
    </w:p>
    <w:p>
      <w:pPr>
        <w:pStyle w:val="null3"/>
        <w:jc w:val="left"/>
      </w:pPr>
      <w:r>
        <w:rPr>
          <w:sz w:val="24"/>
          <w:b/>
        </w:rPr>
        <w:t>4、技术要求</w:t>
      </w:r>
    </w:p>
    <w:p>
      <w:pPr>
        <w:pStyle w:val="null3"/>
        <w:ind w:firstLine="480"/>
        <w:jc w:val="both"/>
      </w:pPr>
      <w:r>
        <w:rPr>
          <w:sz w:val="24"/>
        </w:rPr>
        <w:t>乙方所提供设备，必须符合国家有关规范和环保要求及甲方的技术要求，并提供设备的出厂测试报告。</w:t>
      </w:r>
    </w:p>
    <w:p>
      <w:pPr>
        <w:pStyle w:val="null3"/>
        <w:jc w:val="left"/>
      </w:pPr>
      <w:r>
        <w:rPr>
          <w:sz w:val="24"/>
          <w:b/>
        </w:rPr>
        <w:t>5、合同设备包装、交货、安装及验收</w:t>
      </w:r>
    </w:p>
    <w:p>
      <w:pPr>
        <w:pStyle w:val="null3"/>
        <w:jc w:val="left"/>
      </w:pPr>
      <w:r>
        <w:rPr>
          <w:sz w:val="24"/>
        </w:rPr>
        <w:t>（</w:t>
      </w:r>
      <w:r>
        <w:rPr>
          <w:sz w:val="24"/>
        </w:rPr>
        <w:t>1）  合同设备的包装</w:t>
      </w:r>
    </w:p>
    <w:p>
      <w:pPr>
        <w:pStyle w:val="null3"/>
        <w:ind w:firstLine="480"/>
        <w:jc w:val="both"/>
      </w:pPr>
      <w:r>
        <w:rPr>
          <w:sz w:val="24"/>
        </w:rPr>
        <w:t>1）设备的包装符合经济、牢固、美观的要求，应有良好的防湿、防锈、防潮、防雨、防腐及防碰撞的措施。凡由于包装不良造成的损失和由此产生的费用均由乙方承担。</w:t>
      </w:r>
    </w:p>
    <w:p>
      <w:pPr>
        <w:pStyle w:val="null3"/>
        <w:ind w:firstLine="480"/>
        <w:jc w:val="both"/>
      </w:pPr>
      <w:r>
        <w:rPr>
          <w:sz w:val="24"/>
        </w:rPr>
        <w:t>2）包装必须要符合相关法律法规的要求，包括与环境、职业健康和安全有关的法律、法规标准。</w:t>
      </w:r>
    </w:p>
    <w:p>
      <w:pPr>
        <w:pStyle w:val="null3"/>
        <w:ind w:firstLine="480"/>
        <w:jc w:val="both"/>
      </w:pPr>
      <w:r>
        <w:rPr>
          <w:sz w:val="24"/>
        </w:rPr>
        <w:t>3）运输包装应根据产品的特点及国家相关标准标注有相应的运输标志。</w:t>
      </w:r>
    </w:p>
    <w:p>
      <w:pPr>
        <w:pStyle w:val="null3"/>
        <w:ind w:firstLine="480"/>
        <w:jc w:val="both"/>
      </w:pPr>
      <w:r>
        <w:rPr>
          <w:sz w:val="24"/>
        </w:rPr>
        <w:t>（</w:t>
      </w:r>
      <w:r>
        <w:rPr>
          <w:sz w:val="24"/>
        </w:rPr>
        <w:t>2）  合同设备的交货</w:t>
      </w:r>
    </w:p>
    <w:p>
      <w:pPr>
        <w:pStyle w:val="null3"/>
        <w:ind w:firstLine="480"/>
        <w:jc w:val="both"/>
      </w:pPr>
      <w:r>
        <w:rPr>
          <w:sz w:val="24"/>
        </w:rPr>
        <w:t xml:space="preserve">1）乙方交货时间：采购合同签订且采购人发出通知后， </w:t>
      </w:r>
      <w:r>
        <w:rPr>
          <w:sz w:val="24"/>
        </w:rPr>
        <w:t>53</w:t>
      </w:r>
      <w:r>
        <w:rPr>
          <w:sz w:val="24"/>
        </w:rPr>
        <w:t>天或以内完成交货</w:t>
      </w:r>
      <w:r>
        <w:rPr>
          <w:sz w:val="24"/>
        </w:rPr>
        <w:t>。</w:t>
      </w:r>
      <w:r>
        <w:rPr>
          <w:sz w:val="21"/>
        </w:rPr>
        <w:t xml:space="preserve">    </w:t>
      </w:r>
      <w:r>
        <w:br/>
      </w:r>
      <w:r>
        <w:rPr>
          <w:sz w:val="24"/>
        </w:rPr>
        <w:t>2）乙方交货地点：运输及卸车至甲方指定地点。</w:t>
      </w:r>
    </w:p>
    <w:p>
      <w:pPr>
        <w:pStyle w:val="null3"/>
        <w:ind w:firstLine="480"/>
        <w:jc w:val="both"/>
      </w:pPr>
      <w:r>
        <w:rPr>
          <w:sz w:val="24"/>
        </w:rPr>
        <w:t>（</w:t>
      </w:r>
      <w:r>
        <w:rPr>
          <w:sz w:val="24"/>
        </w:rPr>
        <w:t>3）  合同设备的安装</w:t>
      </w:r>
    </w:p>
    <w:p>
      <w:pPr>
        <w:pStyle w:val="null3"/>
        <w:ind w:firstLine="480"/>
        <w:jc w:val="both"/>
      </w:pPr>
      <w:r>
        <w:rPr>
          <w:sz w:val="24"/>
        </w:rPr>
        <w:t>1）乙方负责合同项下的安装维修调试，一切费用由乙方负责。</w:t>
      </w:r>
    </w:p>
    <w:p>
      <w:pPr>
        <w:pStyle w:val="null3"/>
        <w:ind w:firstLine="480"/>
        <w:jc w:val="both"/>
      </w:pPr>
      <w:r>
        <w:rPr>
          <w:sz w:val="24"/>
        </w:rPr>
        <w:t>2）乙方安装时须对各安装场地内的其他设备、设施有良好保护措施。</w:t>
      </w:r>
    </w:p>
    <w:p>
      <w:pPr>
        <w:pStyle w:val="null3"/>
        <w:ind w:firstLine="480"/>
        <w:jc w:val="both"/>
      </w:pPr>
      <w:r>
        <w:rPr>
          <w:sz w:val="24"/>
        </w:rPr>
        <w:t>3）乙方交货后</w:t>
      </w:r>
      <w:r>
        <w:rPr>
          <w:sz w:val="21"/>
          <w:u w:val="single"/>
        </w:rPr>
        <w:t xml:space="preserve">   </w:t>
      </w:r>
      <w:r>
        <w:rPr>
          <w:sz w:val="24"/>
          <w:u w:val="single"/>
        </w:rPr>
        <w:t>7</w:t>
      </w:r>
      <w:r>
        <w:rPr>
          <w:sz w:val="21"/>
          <w:u w:val="single"/>
        </w:rPr>
        <w:t xml:space="preserve">   </w:t>
      </w:r>
      <w:r>
        <w:rPr>
          <w:sz w:val="24"/>
        </w:rPr>
        <w:t>天完成安装。</w:t>
      </w:r>
    </w:p>
    <w:p>
      <w:pPr>
        <w:pStyle w:val="null3"/>
        <w:ind w:firstLine="480"/>
        <w:jc w:val="both"/>
      </w:pPr>
      <w:r>
        <w:rPr>
          <w:sz w:val="24"/>
        </w:rPr>
        <w:t>4）电源插头符合使用科室现有的插座，如不符合需要提供相应的插头转换接口。甲方只提供电源到机房总配电箱，机房的天花（含龙骨）、地面机座插座、底座、电线、电缆、线管（槽）及配电分箱等相关费用，由乙方负责。安装现场所涉及到的总承包管理配合费、配套服务费由乙方负责。</w:t>
      </w:r>
    </w:p>
    <w:p>
      <w:pPr>
        <w:pStyle w:val="null3"/>
        <w:ind w:firstLine="480"/>
        <w:jc w:val="both"/>
      </w:pPr>
      <w:r>
        <w:rPr>
          <w:sz w:val="24"/>
        </w:rPr>
        <w:t>5)各种设备必须提供装箱清单，按合同清单验收货物。</w:t>
      </w:r>
    </w:p>
    <w:p>
      <w:pPr>
        <w:pStyle w:val="null3"/>
        <w:jc w:val="left"/>
      </w:pPr>
      <w:r>
        <w:rPr>
          <w:sz w:val="24"/>
        </w:rPr>
        <w:t>（</w:t>
      </w:r>
      <w:r>
        <w:rPr>
          <w:sz w:val="24"/>
        </w:rPr>
        <w:t>4）  设备的验收</w:t>
      </w:r>
    </w:p>
    <w:p>
      <w:pPr>
        <w:pStyle w:val="null3"/>
        <w:ind w:firstLine="480"/>
        <w:jc w:val="both"/>
      </w:pPr>
      <w:r>
        <w:rPr>
          <w:sz w:val="24"/>
        </w:rPr>
        <w:t>1）合同设备安装完成后进行验收，验收应在甲乙双方共同参加下进行。</w:t>
      </w:r>
    </w:p>
    <w:p>
      <w:pPr>
        <w:pStyle w:val="null3"/>
        <w:ind w:firstLine="480"/>
        <w:jc w:val="both"/>
      </w:pPr>
      <w:r>
        <w:rPr>
          <w:sz w:val="24"/>
        </w:rPr>
        <w:t>2）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480"/>
        <w:jc w:val="both"/>
      </w:pPr>
      <w:r>
        <w:rPr>
          <w:sz w:val="24"/>
        </w:rPr>
        <w:t>3）如果合同设备运输和安装过程中因事故造成货物短缺、损坏，乙方应及时安排换装，以保证合同设备安装的成功完成。换货的相关费用由乙方承担。</w:t>
      </w:r>
    </w:p>
    <w:p>
      <w:pPr>
        <w:pStyle w:val="null3"/>
        <w:ind w:firstLine="480"/>
        <w:jc w:val="both"/>
      </w:pPr>
      <w:r>
        <w:rPr>
          <w:sz w:val="24"/>
        </w:rPr>
        <w:t>4）本项目质量应达到国家质量评定合格标准，通过第三方权威机构的验收，提供有效的验收报告。同时参考相关校准规范的要求出具仪器设备计量校准证书，相关费用由乙方承担。</w:t>
      </w:r>
    </w:p>
    <w:p>
      <w:pPr>
        <w:pStyle w:val="null3"/>
        <w:ind w:firstLine="480"/>
        <w:jc w:val="both"/>
      </w:pPr>
      <w:r>
        <w:rPr>
          <w:sz w:val="24"/>
        </w:rPr>
        <w:t>5）乙方保证合同项下提供的设备不侵犯任何第三方的专利、商标或版权。否则，乙方须承担对第三方的专利或版权的侵权责任并承担因此而发生的所有费用。</w:t>
      </w:r>
    </w:p>
    <w:p>
      <w:pPr>
        <w:pStyle w:val="null3"/>
        <w:ind w:firstLine="480"/>
        <w:jc w:val="both"/>
      </w:pPr>
      <w:r>
        <w:rPr>
          <w:sz w:val="24"/>
        </w:rPr>
        <w:t>6)设备到货验收后，必须免费安装调试至能正常使用。乙方响应设备验收合格后，如果由厂家提供免费保修、维护及保养等服务，厂家承诺书应明确具体的项目名称。</w:t>
      </w:r>
    </w:p>
    <w:p>
      <w:pPr>
        <w:pStyle w:val="null3"/>
        <w:ind w:firstLine="482"/>
        <w:jc w:val="left"/>
      </w:pPr>
      <w:r>
        <w:rPr>
          <w:sz w:val="24"/>
          <w:b/>
        </w:rPr>
        <w:t>6、质量保证及培训、售后服务</w:t>
      </w:r>
    </w:p>
    <w:p>
      <w:pPr>
        <w:pStyle w:val="null3"/>
        <w:ind w:firstLine="480"/>
        <w:jc w:val="both"/>
      </w:pPr>
      <w:r>
        <w:rPr>
          <w:sz w:val="24"/>
        </w:rPr>
        <w:t>（</w:t>
      </w:r>
      <w:r>
        <w:rPr>
          <w:sz w:val="24"/>
        </w:rPr>
        <w:t>1）乙方保证合同设备是全新、未曾使用过、符合国家有关法律规定的产品，其质量、规格及技术特征符合合同附件的要求。</w:t>
      </w:r>
    </w:p>
    <w:p>
      <w:pPr>
        <w:pStyle w:val="null3"/>
        <w:ind w:firstLine="480"/>
        <w:jc w:val="both"/>
      </w:pPr>
      <w:r>
        <w:rPr>
          <w:sz w:val="24"/>
        </w:rPr>
        <w:t>（</w:t>
      </w:r>
      <w:r>
        <w:rPr>
          <w:sz w:val="24"/>
        </w:rPr>
        <w:t>2）合同设备保质保用期，为本项目有关部门验收签字之日起整机免费保修</w:t>
      </w:r>
      <w:r>
        <w:rPr>
          <w:sz w:val="21"/>
          <w:u w:val="single"/>
        </w:rPr>
        <w:t xml:space="preserve">  </w:t>
      </w:r>
      <w:r>
        <w:rPr>
          <w:sz w:val="24"/>
        </w:rPr>
        <w:t>年。每年至少</w:t>
      </w:r>
      <w:r>
        <w:rPr>
          <w:sz w:val="21"/>
          <w:u w:val="single"/>
        </w:rPr>
        <w:t xml:space="preserve"> </w:t>
      </w:r>
      <w:r>
        <w:rPr>
          <w:sz w:val="24"/>
          <w:u w:val="single"/>
        </w:rPr>
        <w:t xml:space="preserve">2 </w:t>
      </w:r>
      <w:r>
        <w:rPr>
          <w:sz w:val="24"/>
        </w:rPr>
        <w:t>次现场维护，现场维护包括但不限于</w:t>
      </w:r>
      <w:r>
        <w:rPr>
          <w:sz w:val="24"/>
          <w:u w:val="single"/>
        </w:rPr>
        <w:t xml:space="preserve"> </w:t>
      </w:r>
      <w:r>
        <w:rPr>
          <w:sz w:val="24"/>
          <w:u w:val="single"/>
        </w:rPr>
        <w:t>包括整机清洁、维护保养、定期巡查、性能调整等内容</w:t>
      </w:r>
      <w:r>
        <w:rPr>
          <w:sz w:val="24"/>
        </w:rPr>
        <w:t>。保质保用期内非因甲方的人为原因而出现产品质量及安装问题，由乙方负责包修、包换或包退，并承担因此而产生的一切费用。保修承担方为：</w:t>
      </w:r>
      <w:r>
        <w:rPr>
          <w:sz w:val="21"/>
          <w:u w:val="single"/>
        </w:rPr>
        <w:t xml:space="preserve">  </w:t>
      </w:r>
      <w:r>
        <w:rPr>
          <w:sz w:val="24"/>
        </w:rPr>
        <w:t>。（保修承担方与乙方不一致时，需要保修承担方提供具备法律效力的承诺函作为本协议附件，乙方同意与保修方共同无限承担连带责任）</w:t>
      </w:r>
    </w:p>
    <w:p>
      <w:pPr>
        <w:pStyle w:val="null3"/>
        <w:ind w:firstLine="480"/>
        <w:jc w:val="both"/>
      </w:pPr>
      <w:r>
        <w:rPr>
          <w:sz w:val="24"/>
        </w:rPr>
        <w:t>（</w:t>
      </w:r>
      <w:r>
        <w:rPr>
          <w:sz w:val="24"/>
        </w:rPr>
        <w:t>3）因设备的质量问题而发生争议，由广东省或汕尾市质检部门进行质量鉴定。设备符合质量标准的，鉴定费用由甲方承担，设备不符合质量标准的鉴定费用由乙方承担。</w:t>
      </w:r>
    </w:p>
    <w:p>
      <w:pPr>
        <w:pStyle w:val="null3"/>
        <w:ind w:firstLine="480"/>
        <w:jc w:val="both"/>
      </w:pPr>
      <w:r>
        <w:rPr>
          <w:sz w:val="24"/>
        </w:rPr>
        <w:t>（</w:t>
      </w:r>
      <w:r>
        <w:rPr>
          <w:sz w:val="24"/>
        </w:rPr>
        <w:t>4）乙方无偿培训甲方维修人员，主要内容为设备的基本结构、性能、主要部件的构造及修理，日常使用保养与管理，常见故障的排除、紧急情况的处理等，培训地点主要在设备安装现场或按甲方安排。</w:t>
      </w:r>
    </w:p>
    <w:p>
      <w:pPr>
        <w:pStyle w:val="null3"/>
        <w:ind w:firstLine="480"/>
        <w:jc w:val="both"/>
      </w:pPr>
      <w:r>
        <w:rPr>
          <w:sz w:val="24"/>
        </w:rPr>
        <w:t>（</w:t>
      </w:r>
      <w:r>
        <w:rPr>
          <w:sz w:val="24"/>
        </w:rPr>
        <w:t>5）乙方需提供详细的培训方案，包括但不限于培训内容和培训计划，保证两名或以上操作人员熟练掌握操作技术为止；如遇设备升级更新，乙方需及时提供更新操作指导。</w:t>
      </w:r>
    </w:p>
    <w:p>
      <w:pPr>
        <w:pStyle w:val="null3"/>
        <w:ind w:firstLine="480"/>
        <w:jc w:val="both"/>
      </w:pPr>
      <w:r>
        <w:rPr>
          <w:sz w:val="24"/>
        </w:rPr>
        <w:t>（</w:t>
      </w:r>
      <w:r>
        <w:rPr>
          <w:sz w:val="24"/>
        </w:rPr>
        <w:t>6）对甲方的服务通知，乙方4小时内派员到现场维修，在乙方承诺的质量保证期内，如经甲方两次维修或更换，货物仍不能达到合同约定的质量标准，甲方有权退货或要求更换，乙方应赔偿甲方因此遭受的损失。</w:t>
      </w:r>
    </w:p>
    <w:p>
      <w:pPr>
        <w:pStyle w:val="null3"/>
        <w:jc w:val="left"/>
      </w:pPr>
      <w:r>
        <w:rPr>
          <w:sz w:val="24"/>
          <w:b/>
        </w:rPr>
        <w:t>7、付款办法</w:t>
      </w:r>
    </w:p>
    <w:p>
      <w:pPr>
        <w:pStyle w:val="null3"/>
        <w:ind w:firstLine="480"/>
        <w:jc w:val="left"/>
      </w:pPr>
      <w:r>
        <w:rPr>
          <w:sz w:val="24"/>
        </w:rPr>
        <w:t>一、如乙方为大型企业（依据《关于印发中小企业划型标准规定的通知》工信部联企业〔</w:t>
      </w:r>
      <w:r>
        <w:rPr>
          <w:sz w:val="24"/>
        </w:rPr>
        <w:t>2011〕300号划分大型企业）</w:t>
      </w:r>
    </w:p>
    <w:p>
      <w:pPr>
        <w:pStyle w:val="null3"/>
        <w:ind w:firstLine="480"/>
        <w:jc w:val="left"/>
      </w:pPr>
      <w:r>
        <w:rPr>
          <w:sz w:val="24"/>
        </w:rPr>
        <w:t>1）乙方与甲方签订合同后10天内以支票、保函、银行转账等非现金形式提交合同总额5%的履约保证金给甲方。</w:t>
      </w:r>
    </w:p>
    <w:p>
      <w:pPr>
        <w:pStyle w:val="null3"/>
        <w:ind w:firstLine="480"/>
        <w:jc w:val="left"/>
      </w:pPr>
      <w:r>
        <w:rPr>
          <w:sz w:val="24"/>
        </w:rPr>
        <w:t>2）合同设备全部到工地或指定地点交付并完成安装及验收后，乙方凭甲方收货证明、使用部门调试使用意见（加盖甲方装备科公章）等资料，向甲方申请付款。</w:t>
      </w:r>
    </w:p>
    <w:p>
      <w:pPr>
        <w:pStyle w:val="null3"/>
        <w:ind w:firstLine="480"/>
        <w:jc w:val="left"/>
      </w:pPr>
      <w:r>
        <w:rPr>
          <w:sz w:val="24"/>
        </w:rPr>
        <w:t>3）付款方式经甲方、乙方双方共同协议同意于货到验收合格后，甲方在收到相关申请资料及满足付款支付条件后10天内以银行转账支付合同金额的100%，待设备安装正常运行后甲方在收到相关申请资料后10天内无息退回5%履约保证金。</w:t>
      </w:r>
    </w:p>
    <w:p>
      <w:pPr>
        <w:pStyle w:val="null3"/>
        <w:ind w:firstLine="480"/>
        <w:jc w:val="left"/>
      </w:pPr>
      <w:r>
        <w:rPr>
          <w:sz w:val="24"/>
        </w:rPr>
        <w:t xml:space="preserve"> </w:t>
      </w:r>
      <w:r>
        <w:rPr>
          <w:sz w:val="24"/>
        </w:rPr>
        <w:t>4）如不是医院自有资金项目，付款方式按相关经费要求支付。</w:t>
      </w:r>
    </w:p>
    <w:p>
      <w:pPr>
        <w:pStyle w:val="null3"/>
        <w:ind w:firstLine="480"/>
        <w:jc w:val="left"/>
      </w:pPr>
      <w:r>
        <w:rPr>
          <w:sz w:val="24"/>
        </w:rPr>
        <w:t>二、如乙方为中小企业（依据《关于印发中小企业划型标准规定的通知》工信部联企业〔</w:t>
      </w:r>
      <w:r>
        <w:rPr>
          <w:sz w:val="24"/>
        </w:rPr>
        <w:t>2011〕300号划分中小企业）</w:t>
      </w:r>
    </w:p>
    <w:p>
      <w:pPr>
        <w:pStyle w:val="null3"/>
        <w:ind w:firstLine="480"/>
        <w:jc w:val="left"/>
      </w:pPr>
      <w:r>
        <w:rPr>
          <w:sz w:val="24"/>
        </w:rPr>
        <w:t>1）合同签订后，乙方向甲方开具合同总价30%的发票及等额的预付款保函，满足付款支付条件后10天内支付合同总金额的30%；</w:t>
      </w:r>
    </w:p>
    <w:p>
      <w:pPr>
        <w:pStyle w:val="null3"/>
        <w:ind w:firstLine="480"/>
        <w:jc w:val="left"/>
      </w:pPr>
      <w:r>
        <w:rPr>
          <w:sz w:val="24"/>
        </w:rPr>
        <w:t>2）货物按照验收合格并通过相关部门的评定验收后，在收到乙方开具合同总价70%的发票及满足付款支付条件后10天内支付合同总金额的70%，若乙方没有违约行为，保函在验收合格后当月自动失效；</w:t>
      </w:r>
    </w:p>
    <w:p>
      <w:pPr>
        <w:pStyle w:val="null3"/>
        <w:ind w:firstLine="480"/>
        <w:jc w:val="left"/>
      </w:pPr>
      <w:r>
        <w:rPr>
          <w:sz w:val="24"/>
        </w:rPr>
        <w:t>3）如不是医院自有资金项目，付款方式按相关经费要求支付。</w:t>
      </w:r>
    </w:p>
    <w:p>
      <w:pPr>
        <w:pStyle w:val="null3"/>
        <w:ind w:firstLine="482"/>
        <w:jc w:val="left"/>
      </w:pPr>
      <w:r>
        <w:rPr>
          <w:sz w:val="24"/>
          <w:b/>
        </w:rPr>
        <w:t>8、技术服务</w:t>
      </w:r>
    </w:p>
    <w:p>
      <w:pPr>
        <w:pStyle w:val="null3"/>
        <w:ind w:firstLine="480"/>
        <w:jc w:val="both"/>
      </w:pPr>
      <w:r>
        <w:rPr>
          <w:sz w:val="24"/>
        </w:rPr>
        <w:t>乙方应派员到甲方指定地点配合工作，按甲方提供的合同执行进度计划，再配合甲方及有关单位，以此做好合同执行进度上的配合工作。</w:t>
      </w:r>
    </w:p>
    <w:p>
      <w:pPr>
        <w:pStyle w:val="null3"/>
        <w:ind w:firstLine="482"/>
        <w:jc w:val="left"/>
      </w:pPr>
      <w:r>
        <w:rPr>
          <w:sz w:val="24"/>
          <w:b/>
        </w:rPr>
        <w:t>9、不可抗力</w:t>
      </w:r>
    </w:p>
    <w:p>
      <w:pPr>
        <w:pStyle w:val="null3"/>
        <w:ind w:firstLine="480"/>
        <w:jc w:val="both"/>
      </w:pPr>
      <w:r>
        <w:rPr>
          <w:sz w:val="24"/>
        </w:rPr>
        <w:t>（</w:t>
      </w:r>
      <w:r>
        <w:rPr>
          <w:sz w:val="24"/>
        </w:rPr>
        <w:t>1）不可抗力指战争、严重火灾、洪水、台风、地震等或其它双方认定的不可抗力事件。</w:t>
      </w:r>
    </w:p>
    <w:p>
      <w:pPr>
        <w:pStyle w:val="null3"/>
        <w:ind w:firstLine="480"/>
        <w:jc w:val="both"/>
      </w:pPr>
      <w:r>
        <w:rPr>
          <w:sz w:val="24"/>
        </w:rPr>
        <w:t>（</w:t>
      </w:r>
      <w:r>
        <w:rPr>
          <w:sz w:val="24"/>
        </w:rPr>
        <w:t>2）签约双方中任何一方由于不可抗力影响合同执行时，发生不可抗力一方应尽快将事故通知另一方。在此情况下，乙方仍然有责任采取必要的措施加速供货，双方应通过友好协商解决本合同的执行问题</w:t>
      </w:r>
      <w:r>
        <w:rPr>
          <w:sz w:val="24"/>
          <w:b/>
        </w:rPr>
        <w:t>。</w:t>
      </w:r>
    </w:p>
    <w:p>
      <w:pPr>
        <w:pStyle w:val="null3"/>
        <w:jc w:val="left"/>
      </w:pPr>
      <w:r>
        <w:rPr>
          <w:sz w:val="24"/>
          <w:b/>
        </w:rPr>
        <w:t>10、索赔</w:t>
      </w:r>
    </w:p>
    <w:p>
      <w:pPr>
        <w:pStyle w:val="null3"/>
        <w:ind w:firstLine="480"/>
        <w:jc w:val="both"/>
      </w:pPr>
      <w:r>
        <w:rPr>
          <w:sz w:val="24"/>
        </w:rPr>
        <w:t>（</w:t>
      </w:r>
      <w:r>
        <w:rPr>
          <w:sz w:val="24"/>
        </w:rPr>
        <w:t>1）如有异议，甲方有权根据有关政府部门的检验结果向乙方提出索赔。</w:t>
      </w:r>
    </w:p>
    <w:p>
      <w:pPr>
        <w:pStyle w:val="null3"/>
        <w:ind w:firstLine="480"/>
        <w:jc w:val="both"/>
      </w:pPr>
      <w:r>
        <w:rPr>
          <w:sz w:val="24"/>
        </w:rPr>
        <w:t>（</w:t>
      </w:r>
      <w:r>
        <w:rPr>
          <w:sz w:val="24"/>
        </w:rPr>
        <w:t>2）在合同执行期间，如果乙方对甲方提出的索赔和差异负有责任，乙方应按照甲方同意的下列一种或多种方式解决索赔事宜。</w:t>
      </w:r>
    </w:p>
    <w:p>
      <w:pPr>
        <w:pStyle w:val="null3"/>
        <w:ind w:firstLine="480"/>
        <w:jc w:val="both"/>
      </w:pPr>
      <w:r>
        <w:rPr>
          <w:sz w:val="24"/>
        </w:rPr>
        <w:t>1）乙方同意退货，并按合同规定的同种货币将货款退还给甲方，并承担由此发生的一切损失和费用。</w:t>
      </w:r>
    </w:p>
    <w:p>
      <w:pPr>
        <w:pStyle w:val="null3"/>
        <w:ind w:firstLine="480"/>
        <w:jc w:val="both"/>
      </w:pPr>
      <w:r>
        <w:rPr>
          <w:sz w:val="24"/>
        </w:rPr>
        <w:t>2）根据货物低劣程度、损坏程度以及甲方所遭受损失的数额，甲乙双方商定降低货物的价格。</w:t>
      </w:r>
    </w:p>
    <w:p>
      <w:pPr>
        <w:pStyle w:val="null3"/>
        <w:ind w:firstLine="480"/>
        <w:jc w:val="both"/>
      </w:pPr>
      <w:r>
        <w:rPr>
          <w:sz w:val="24"/>
        </w:rPr>
        <w:t>3）用符合规格、质量和性能要求的新零件、部件或货物来更换有缺陷部分或修补缺陷的部份，乙方应承担一切费用和风险并负担甲方所发生的一切直接费用。同时，相应延长质量保证期。</w:t>
      </w:r>
    </w:p>
    <w:p>
      <w:pPr>
        <w:pStyle w:val="null3"/>
        <w:ind w:firstLine="480"/>
        <w:jc w:val="both"/>
      </w:pPr>
      <w:r>
        <w:rPr>
          <w:sz w:val="24"/>
        </w:rPr>
        <w:t>（</w:t>
      </w:r>
      <w:r>
        <w:rPr>
          <w:sz w:val="24"/>
        </w:rPr>
        <w:t>3） 如果在甲方发出索赔通知后30天内，乙方未作答复，上述索赔应视为已被乙方接受。甲方将从合同款项中扣回索赔金额。如果这些金额不足以补偿索赔金额，甲方有权向乙方提出不足部分的补偿。</w:t>
      </w:r>
    </w:p>
    <w:p>
      <w:pPr>
        <w:pStyle w:val="null3"/>
        <w:ind w:firstLine="480"/>
        <w:jc w:val="both"/>
      </w:pPr>
      <w:r>
        <w:rPr>
          <w:sz w:val="24"/>
        </w:rPr>
        <w:t>（</w:t>
      </w:r>
      <w:r>
        <w:rPr>
          <w:sz w:val="24"/>
        </w:rPr>
        <w:t>4）本合同所称之损失包括直接经济损失和合同履行后可以获得的利益及合理的调查费、评估费、公证费、诉讼费、交通费、律师费等相关法律费用。</w:t>
      </w:r>
    </w:p>
    <w:p>
      <w:pPr>
        <w:pStyle w:val="null3"/>
        <w:jc w:val="left"/>
      </w:pPr>
      <w:r>
        <w:rPr>
          <w:sz w:val="24"/>
          <w:b/>
        </w:rPr>
        <w:t>11、违约与处罚</w:t>
      </w:r>
    </w:p>
    <w:p>
      <w:pPr>
        <w:pStyle w:val="null3"/>
        <w:ind w:firstLine="480"/>
        <w:jc w:val="both"/>
      </w:pPr>
      <w:r>
        <w:rPr>
          <w:sz w:val="24"/>
        </w:rPr>
        <w:t>（</w:t>
      </w:r>
      <w:r>
        <w:rPr>
          <w:sz w:val="24"/>
        </w:rPr>
        <w:t>1）乙方未能按时交货，每拖延一天，须向甲方支付合同金额的5‰的违约金。</w:t>
      </w:r>
    </w:p>
    <w:p>
      <w:pPr>
        <w:pStyle w:val="null3"/>
        <w:ind w:firstLine="480"/>
        <w:jc w:val="both"/>
      </w:pPr>
      <w:r>
        <w:rPr>
          <w:sz w:val="24"/>
        </w:rPr>
        <w:t>（</w:t>
      </w:r>
      <w:r>
        <w:rPr>
          <w:sz w:val="24"/>
        </w:rPr>
        <w:t>2）乙方交付的货物不符合合同规定的，甲方有权拒收并不予退还履约保证金。</w:t>
      </w:r>
    </w:p>
    <w:p>
      <w:pPr>
        <w:pStyle w:val="null3"/>
        <w:ind w:firstLine="480"/>
        <w:jc w:val="both"/>
      </w:pPr>
      <w:r>
        <w:rPr>
          <w:sz w:val="24"/>
        </w:rPr>
        <w:t>（</w:t>
      </w:r>
      <w:r>
        <w:rPr>
          <w:sz w:val="24"/>
        </w:rPr>
        <w:t>3）乙方未能交付货物，则向甲方支付合同金额的7.5%的违约金。</w:t>
      </w:r>
    </w:p>
    <w:p>
      <w:pPr>
        <w:pStyle w:val="null3"/>
        <w:ind w:firstLine="480"/>
        <w:jc w:val="both"/>
      </w:pPr>
      <w:r>
        <w:rPr>
          <w:sz w:val="24"/>
        </w:rPr>
        <w:t>（</w:t>
      </w:r>
      <w:r>
        <w:rPr>
          <w:sz w:val="24"/>
        </w:rPr>
        <w:t>4）甲方无正当理由拒收货物/接受服务，到期拒付货物/服务款项的，甲方向乙方偿付本合同总价的7.5%的违约金。甲方逾期付款或逾期退还履约保证金，则每日按逾期金额的1‰向乙方偿付违约金，总金额不超过合同总价的3%。</w:t>
      </w:r>
    </w:p>
    <w:p>
      <w:pPr>
        <w:pStyle w:val="null3"/>
        <w:ind w:firstLine="480"/>
        <w:jc w:val="both"/>
      </w:pPr>
      <w:r>
        <w:rPr>
          <w:sz w:val="24"/>
        </w:rPr>
        <w:t>（</w:t>
      </w:r>
      <w:r>
        <w:rPr>
          <w:sz w:val="24"/>
        </w:rPr>
        <w:t>5</w:t>
      </w:r>
      <w:r>
        <w:rPr>
          <w:sz w:val="24"/>
        </w:rPr>
        <w:t>）</w:t>
      </w:r>
      <w:r>
        <w:rPr>
          <w:sz w:val="24"/>
        </w:rPr>
        <w:t>若乙方没有违约行为，乙方以支票、银行转账等形式提交履约保证金，则待设备安装正常运行后甲方在收到相关申请资料后</w:t>
      </w:r>
      <w:r>
        <w:rPr>
          <w:sz w:val="24"/>
        </w:rPr>
        <w:t>10天内原路退还履约保证金，以保函形式提交的履约保证金，则待设备安装正常运行后甲方在收到相关申请资料后次月自动失效。</w:t>
      </w:r>
    </w:p>
    <w:p>
      <w:pPr>
        <w:pStyle w:val="null3"/>
        <w:jc w:val="left"/>
      </w:pPr>
      <w:r>
        <w:rPr>
          <w:sz w:val="24"/>
          <w:b/>
        </w:rPr>
        <w:t>12、合同终止</w:t>
      </w:r>
    </w:p>
    <w:p>
      <w:pPr>
        <w:pStyle w:val="null3"/>
        <w:ind w:firstLine="480"/>
        <w:jc w:val="both"/>
      </w:pPr>
      <w:r>
        <w:rPr>
          <w:sz w:val="24"/>
        </w:rPr>
        <w:t>如果一方违反合同，并在收到对方违约通知书后</w:t>
      </w:r>
      <w:r>
        <w:rPr>
          <w:sz w:val="24"/>
        </w:rPr>
        <w:t>30天内仍未能改正违约的另一方可立即终止本合同。</w:t>
      </w:r>
    </w:p>
    <w:p>
      <w:pPr>
        <w:pStyle w:val="null3"/>
        <w:jc w:val="left"/>
      </w:pPr>
      <w:r>
        <w:rPr>
          <w:sz w:val="24"/>
          <w:b/>
        </w:rPr>
        <w:t>13、法律诉讼</w:t>
      </w:r>
    </w:p>
    <w:p>
      <w:pPr>
        <w:pStyle w:val="null3"/>
        <w:ind w:firstLine="480"/>
        <w:jc w:val="both"/>
      </w:pPr>
      <w:r>
        <w:rPr>
          <w:sz w:val="24"/>
        </w:rPr>
        <w:t>签约双方在履约中发生争执和分歧，双方应通过友好协商解决，若经协商不能达成协议时，则向甲方所在地人民法院提起诉讼。受理期间，双方应继续执行合同其余部份。</w:t>
      </w:r>
    </w:p>
    <w:p>
      <w:pPr>
        <w:pStyle w:val="null3"/>
        <w:jc w:val="left"/>
      </w:pPr>
      <w:r>
        <w:rPr>
          <w:sz w:val="24"/>
          <w:b/>
        </w:rPr>
        <w:t>14、其他</w:t>
      </w:r>
    </w:p>
    <w:p>
      <w:pPr>
        <w:pStyle w:val="null3"/>
        <w:ind w:firstLine="480"/>
        <w:jc w:val="both"/>
      </w:pPr>
      <w:r>
        <w:rPr>
          <w:sz w:val="24"/>
        </w:rPr>
        <w:t>本合同正本肆份，具有同等法律效力，甲方执叁份，乙方执壹份。本合同经双方法定代表人（委托代理人）签字并加盖单位合同印章之日起即时生效。</w:t>
      </w:r>
    </w:p>
    <w:p>
      <w:pPr>
        <w:pStyle w:val="null3"/>
        <w:ind w:firstLine="480"/>
        <w:jc w:val="both"/>
      </w:pPr>
      <w:r>
        <w:rPr>
          <w:sz w:val="24"/>
        </w:rPr>
        <w:t>本合同未尽事宜，由双方协商处理。</w:t>
      </w:r>
    </w:p>
    <w:tbl>
      <w:tblPr>
        <w:tblW w:w="0" w:type="auto"/>
        <w:tblBorders>
          <w:top w:val="none" w:color="000000" w:sz="4"/>
          <w:left w:val="none" w:color="000000" w:sz="4"/>
          <w:bottom w:val="none" w:color="000000" w:sz="4"/>
          <w:right w:val="none" w:color="000000" w:sz="4"/>
          <w:insideH w:val="none"/>
          <w:insideV w:val="none"/>
        </w:tblBorders>
      </w:tblPr>
      <w:tblGrid>
        <w:gridCol w:w="4070"/>
        <w:gridCol w:w="4223"/>
      </w:tblGrid>
      <w:tr>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甲方：中山大学孙逸仙纪念医院深汕中心医院</w:t>
            </w:r>
          </w:p>
        </w:tc>
        <w:tc>
          <w:tcPr>
            <w:tcW w:type="dxa" w:w="42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乙方：</w:t>
            </w:r>
          </w:p>
        </w:tc>
      </w:tr>
      <w:tr>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法人代表签名：</w:t>
            </w:r>
            <w:r>
              <w:rPr>
                <w:sz w:val="24"/>
              </w:rPr>
              <w:t xml:space="preserve">                        </w:t>
            </w:r>
          </w:p>
        </w:tc>
        <w:tc>
          <w:tcPr>
            <w:tcW w:type="dxa" w:w="42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法人代表签名：</w:t>
            </w:r>
          </w:p>
        </w:tc>
      </w:tr>
      <w:tr>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签约代表：</w:t>
            </w:r>
          </w:p>
        </w:tc>
        <w:tc>
          <w:tcPr>
            <w:tcW w:type="dxa" w:w="42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签约代表：</w:t>
            </w:r>
          </w:p>
        </w:tc>
      </w:tr>
      <w:tr>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地址：广东省汕尾市城区东涌镇站前横二路</w:t>
            </w:r>
            <w:r>
              <w:rPr>
                <w:sz w:val="24"/>
              </w:rPr>
              <w:t>1号</w:t>
            </w:r>
          </w:p>
        </w:tc>
        <w:tc>
          <w:tcPr>
            <w:tcW w:type="dxa" w:w="42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地址：</w:t>
            </w:r>
          </w:p>
        </w:tc>
      </w:tr>
      <w:tr>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电话：</w:t>
            </w:r>
            <w:r>
              <w:rPr>
                <w:sz w:val="24"/>
              </w:rPr>
              <w:t>06603863370</w:t>
            </w:r>
          </w:p>
        </w:tc>
        <w:tc>
          <w:tcPr>
            <w:tcW w:type="dxa" w:w="42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电话：</w:t>
            </w:r>
          </w:p>
        </w:tc>
      </w:tr>
      <w:tr>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传真：</w:t>
            </w:r>
            <w:r>
              <w:rPr>
                <w:sz w:val="24"/>
              </w:rPr>
              <w:t>/</w:t>
            </w:r>
          </w:p>
        </w:tc>
        <w:tc>
          <w:tcPr>
            <w:tcW w:type="dxa" w:w="42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传真：</w:t>
            </w:r>
            <w:r>
              <w:rPr>
                <w:sz w:val="24"/>
              </w:rPr>
              <w:t>/</w:t>
            </w:r>
          </w:p>
        </w:tc>
      </w:tr>
      <w:tr>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2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签约地点：中山大学孙逸仙纪念医院深汕中心医院</w:t>
            </w:r>
          </w:p>
        </w:tc>
        <w:tc>
          <w:tcPr>
            <w:tcW w:type="dxa" w:w="42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乙方项目联系人：</w:t>
            </w:r>
            <w:r>
              <w:rPr>
                <w:sz w:val="21"/>
                <w:u w:val="single"/>
              </w:rPr>
              <w:t xml:space="preserve">  </w:t>
            </w:r>
            <w:r>
              <w:rPr>
                <w:sz w:val="24"/>
              </w:rPr>
              <w:t>电话：</w:t>
            </w:r>
            <w:r>
              <w:rPr>
                <w:sz w:val="21"/>
                <w:u w:val="single"/>
              </w:rPr>
              <w:t xml:space="preserve">           </w:t>
            </w:r>
          </w:p>
        </w:tc>
      </w:tr>
    </w:tbl>
    <w:p>
      <w:pPr>
        <w:pStyle w:val="null3"/>
        <w:jc w:val="left"/>
      </w:pPr>
      <w:r>
        <w:rPr>
          <w:sz w:val="21"/>
        </w:rPr>
        <w:t xml:space="preserve">          </w:t>
      </w:r>
    </w:p>
    <w:p>
      <w:pPr>
        <w:pStyle w:val="null3"/>
        <w:jc w:val="left"/>
      </w:pPr>
      <w:r>
        <w:rPr/>
        <w:t xml:space="preserve"> </w:t>
      </w:r>
    </w:p>
    <w:p>
      <w:pPr>
        <w:pStyle w:val="null3"/>
        <w:ind w:firstLine="1124"/>
        <w:jc w:val="center"/>
      </w:pPr>
      <w:r>
        <w:rPr>
          <w:sz w:val="28"/>
          <w:b/>
        </w:rPr>
        <w:t>中山大学孙逸仙纪念医院深汕中心医院设备配置清单</w:t>
      </w:r>
    </w:p>
    <w:tbl>
      <w:tblPr>
        <w:tblW w:w="0" w:type="auto"/>
        <w:tblBorders>
          <w:top w:val="none" w:color="000000" w:sz="4"/>
          <w:left w:val="none" w:color="000000" w:sz="4"/>
          <w:bottom w:val="none" w:color="000000" w:sz="4"/>
          <w:right w:val="none" w:color="000000" w:sz="4"/>
          <w:insideH w:val="none"/>
          <w:insideV w:val="none"/>
        </w:tblBorders>
      </w:tblPr>
      <w:tblGrid>
        <w:gridCol w:w="545"/>
        <w:gridCol w:w="884"/>
        <w:gridCol w:w="1562"/>
        <w:gridCol w:w="1598"/>
        <w:gridCol w:w="581"/>
        <w:gridCol w:w="605"/>
        <w:gridCol w:w="835"/>
        <w:gridCol w:w="920"/>
        <w:gridCol w:w="775"/>
      </w:tblGrid>
      <w:tr>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产品代码</w:t>
            </w:r>
          </w:p>
        </w:tc>
        <w:tc>
          <w:tcPr>
            <w:tcW w:type="dxa" w:w="15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1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规格型号</w:t>
            </w:r>
          </w:p>
        </w:tc>
        <w:tc>
          <w:tcPr>
            <w:tcW w:type="dxa" w:w="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8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w:t>
            </w:r>
          </w:p>
        </w:tc>
        <w:tc>
          <w:tcPr>
            <w:tcW w:type="dxa" w:w="9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7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center"/>
      </w:pPr>
      <w:r>
        <w:rPr>
          <w:sz w:val="72"/>
          <w:color w:val="FF0000"/>
        </w:rPr>
        <w:t>中山大学孙逸仙纪念医院深汕中心医院</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 xml:space="preserve"> </w:t>
            </w:r>
          </w:p>
        </w:tc>
      </w:tr>
      <w:tr>
        <w:tc>
          <w:tcPr>
            <w:tcW w:type="dxa" w:w="4153"/>
          </w:tcPr>
          <w:p>
            <w:pPr>
              <w:pStyle w:val="null3"/>
            </w:pPr>
            <w:r>
              <w:rPr/>
              <w:t xml:space="preserve"> </w:t>
            </w:r>
          </w:p>
        </w:tc>
        <w:tc>
          <w:tcPr>
            <w:tcW w:type="dxa" w:w="4153"/>
          </w:tcPr>
          <w:p/>
        </w:tc>
      </w:tr>
    </w:tbl>
    <w:p>
      <w:pPr>
        <w:pStyle w:val="null3"/>
      </w:pPr>
      <w:r>
        <w:rPr>
          <w:sz w:val="30"/>
        </w:rPr>
        <w:t>项目名称：</w:t>
      </w:r>
    </w:p>
    <w:p>
      <w:pPr>
        <w:pStyle w:val="null3"/>
        <w:jc w:val="center"/>
      </w:pPr>
      <w:r>
        <w:rPr>
          <w:sz w:val="36"/>
          <w:b/>
        </w:rPr>
        <w:t>廉洁守约承诺书</w:t>
      </w:r>
    </w:p>
    <w:p>
      <w:pPr>
        <w:pStyle w:val="null3"/>
        <w:ind w:firstLine="560"/>
        <w:jc w:val="left"/>
      </w:pPr>
      <w:r>
        <w:rPr>
          <w:sz w:val="28"/>
        </w:rPr>
        <w:t>为加强医疗卫生行业作风建设，切实纠正损害人民群众利益的不正之风，保障合同双方的权利与义务，根据《中华人民共和国药品管理法》、《中华人民共和国执业医师法》、《中华人民共和国政府采购法》、《中华人民共和国招标投标法》等有关规定，结合中山大学孙逸仙纪念医院深汕中心医院（下称医院）的规章制度，我公司特作出以下廉洁守约承诺：</w:t>
      </w:r>
    </w:p>
    <w:p>
      <w:pPr>
        <w:pStyle w:val="null3"/>
        <w:ind w:firstLine="560"/>
        <w:jc w:val="left"/>
      </w:pPr>
      <w:r>
        <w:rPr>
          <w:sz w:val="28"/>
        </w:rPr>
        <w:t>一、我司及工作人员严格遵守医院的有关规定，不通过给予医院工作人员</w:t>
      </w:r>
      <w:r>
        <w:rPr>
          <w:sz w:val="28"/>
        </w:rPr>
        <w:t>“红包”（含礼品、礼金、消费卡和有价证券、股权、其他金融产品等财物，公司及工作人员安排、组织或者支付费用的宴请或者旅游、健身、娱乐等活动安排，下同）、贿赂、提成、物品及以其它不正当利益等手段进行促销；不以任何名义、形式给予医院工作人员及其特殊关系人“红包”、贿赂、提成、物品以及其他不正当利益，或邀请医院工作人员及其特殊关系人参加涉及商业利益的活动等。</w:t>
      </w:r>
    </w:p>
    <w:p>
      <w:pPr>
        <w:pStyle w:val="null3"/>
        <w:ind w:firstLine="560"/>
        <w:jc w:val="left"/>
      </w:pPr>
      <w:r>
        <w:rPr>
          <w:sz w:val="28"/>
        </w:rPr>
        <w:t>前款所称</w:t>
      </w:r>
      <w:r>
        <w:rPr>
          <w:sz w:val="28"/>
        </w:rPr>
        <w:t>“特殊关系人”，是指医院工作人员的近亲属、特殊利害关系人等 。</w:t>
      </w:r>
    </w:p>
    <w:p>
      <w:pPr>
        <w:pStyle w:val="null3"/>
        <w:ind w:firstLine="560"/>
        <w:jc w:val="left"/>
      </w:pPr>
      <w:r>
        <w:rPr>
          <w:sz w:val="28"/>
        </w:rPr>
        <w:t>二、我司及销售人员不在医院诊疗时间、诊疗区域进入各医疗科室进行产品推介活动，不干扰医务人员的医疗活动；未经医院批准，不在院内召开任何形式的产品宣传、推广活动；不在院内张贴、派发涉及产品的宣传资料和赠品。</w:t>
      </w:r>
    </w:p>
    <w:p>
      <w:pPr>
        <w:pStyle w:val="null3"/>
        <w:ind w:firstLine="560"/>
        <w:jc w:val="left"/>
      </w:pPr>
      <w:r>
        <w:rPr>
          <w:sz w:val="28"/>
        </w:rPr>
        <w:t>三、我司承诺需要在医院进行产品宣传、推广工作时，一定向医院相关职能部门提出书面申请。经审批后，由医院有组织、有计划地予以安排。</w:t>
      </w:r>
    </w:p>
    <w:p>
      <w:pPr>
        <w:pStyle w:val="null3"/>
        <w:ind w:firstLine="560"/>
        <w:jc w:val="left"/>
      </w:pPr>
      <w:r>
        <w:rPr>
          <w:sz w:val="28"/>
        </w:rPr>
        <w:t>四、我司承诺遵守国家有关招标采购法律法规规章，在参加医院招标采购活动时，保证诚信投标、不串标、不陪标，严格按照有关规定及合同执行。</w:t>
      </w:r>
    </w:p>
    <w:p>
      <w:pPr>
        <w:pStyle w:val="null3"/>
        <w:ind w:firstLine="560"/>
        <w:jc w:val="left"/>
      </w:pPr>
      <w:r>
        <w:rPr>
          <w:sz w:val="28"/>
        </w:rPr>
        <w:t>五、我司承诺</w:t>
      </w:r>
    </w:p>
    <w:p>
      <w:pPr>
        <w:pStyle w:val="null3"/>
        <w:ind w:firstLine="560"/>
        <w:jc w:val="left"/>
      </w:pPr>
      <w:r>
        <w:rPr>
          <w:sz w:val="27"/>
          <w:color w:val="222222"/>
          <w:shd w:fill="FFFFFF" w:val="clear"/>
        </w:rPr>
        <w:t>□</w:t>
      </w:r>
      <w:r>
        <w:rPr>
          <w:sz w:val="28"/>
        </w:rPr>
        <w:t>不销售、不使用假冒伪劣以及无生产批准文号或无相关经营许可证、经营注册证的药品、试剂、医疗设备、医疗器械、医用耗材及其它产品。（药品、医疗设备、医用耗材及其他货物的生产和经营企业勾选此项）</w:t>
      </w:r>
    </w:p>
    <w:p>
      <w:pPr>
        <w:pStyle w:val="null3"/>
        <w:ind w:firstLine="560"/>
        <w:jc w:val="left"/>
      </w:pPr>
      <w:r>
        <w:rPr>
          <w:sz w:val="27"/>
          <w:color w:val="222222"/>
          <w:shd w:fill="FFFFFF" w:val="clear"/>
        </w:rPr>
        <w:t>□</w:t>
      </w:r>
      <w:r>
        <w:rPr>
          <w:sz w:val="28"/>
        </w:rPr>
        <w:t>严格遵守国家关于市场准入、项目招标投标、工程建设、施工安装和市场活动等有关法律、法规、相关政策，不违反工程建设管理、施工安装和监理的规章制度。按照有关法律法规和程序开展业务工作，严格执行工程建设和监理的有关方针、政策，尤其是有关建筑施工安装和监理的强制性标准和规范。（工程建设项目勾选此项）</w:t>
      </w:r>
    </w:p>
    <w:p>
      <w:pPr>
        <w:pStyle w:val="null3"/>
        <w:ind w:firstLine="560"/>
        <w:jc w:val="left"/>
      </w:pPr>
      <w:r>
        <w:rPr>
          <w:sz w:val="28"/>
        </w:rPr>
        <w:t>六、我司承诺遵守《中华人民共和国政府采购法》第四十六条、《中华人民共和国招标投标法》第四十六条及医院招标采购相关规章制度的规定，在医院中标、成交通知书发出之日起二十日内，按照招标采购文件和中标人的投标文件或其他响应文件签订书面合同。</w:t>
      </w:r>
    </w:p>
    <w:p>
      <w:pPr>
        <w:pStyle w:val="null3"/>
        <w:ind w:firstLine="560"/>
        <w:jc w:val="left"/>
      </w:pPr>
      <w:r>
        <w:rPr>
          <w:sz w:val="28"/>
        </w:rPr>
        <w:t>若违反上述承诺，我司自愿接受中山大学孙逸仙纪念医院深汕中心医院以下处理：医院将我司违规行为予以曝光；医院取消我司中标资格并不予退还履约保证金；医院有权解除双方签订的买卖合同、技术服务合同及建筑工程施工合同等合同，停用相关产品，并断绝与我司业务往来，且不承担我司因此造成的任何损失；取消我司参加医院招标采购投标资格两年；报请上级主管部门，依据有关规定在系统内通报、公布药品、医疗设备、医用耗材违法违规情况及其它处理。</w:t>
      </w:r>
    </w:p>
    <w:p>
      <w:pPr>
        <w:pStyle w:val="null3"/>
        <w:ind w:firstLine="560"/>
        <w:jc w:val="left"/>
      </w:pPr>
      <w:r>
        <w:rPr>
          <w:sz w:val="28"/>
        </w:rPr>
        <w:t>双方订立买卖合同、技术服务合同、建筑工程施工合同等合同以后，本承诺书同时作为双方合同的构成部分。</w:t>
      </w:r>
    </w:p>
    <w:p>
      <w:pPr>
        <w:pStyle w:val="null3"/>
        <w:ind w:firstLine="560"/>
        <w:jc w:val="left"/>
      </w:pPr>
      <w:r>
        <w:rPr>
          <w:sz w:val="28"/>
        </w:rPr>
        <w:t>本承诺书一式两份，一份由医院相关职能部门保存，一份由经营单位保存。</w:t>
      </w:r>
    </w:p>
    <w:p>
      <w:pPr>
        <w:pStyle w:val="null3"/>
        <w:jc w:val="left"/>
      </w:pPr>
      <w:r>
        <w:rPr>
          <w:sz w:val="21"/>
        </w:rPr>
        <w:t xml:space="preserve">                       </w:t>
      </w:r>
    </w:p>
    <w:p>
      <w:pPr>
        <w:pStyle w:val="null3"/>
        <w:ind w:firstLine="435"/>
        <w:jc w:val="right"/>
      </w:pPr>
      <w:r>
        <w:rPr>
          <w:sz w:val="21"/>
        </w:rPr>
        <w:t xml:space="preserve">     </w:t>
      </w:r>
      <w:r>
        <w:rPr>
          <w:sz w:val="28"/>
        </w:rPr>
        <w:t>医药生产、经销单位名称：</w:t>
      </w:r>
      <w:r>
        <w:rPr>
          <w:sz w:val="21"/>
        </w:rPr>
        <w:t xml:space="preserve">                                     </w:t>
      </w:r>
      <w:r>
        <w:rPr>
          <w:sz w:val="28"/>
        </w:rPr>
        <w:t>（盖章）</w:t>
      </w:r>
    </w:p>
    <w:p>
      <w:pPr>
        <w:pStyle w:val="null3"/>
        <w:jc w:val="right"/>
      </w:pPr>
      <w:r>
        <w:rPr>
          <w:sz w:val="21"/>
        </w:rPr>
        <w:t xml:space="preserve">                        </w:t>
      </w:r>
      <w:r>
        <w:rPr>
          <w:sz w:val="28"/>
        </w:rPr>
        <w:t>单位负责人：</w:t>
      </w:r>
      <w:r>
        <w:rPr>
          <w:sz w:val="21"/>
          <w:u w:val="single"/>
        </w:rPr>
        <w:t xml:space="preserve">             </w:t>
      </w:r>
    </w:p>
    <w:p>
      <w:pPr>
        <w:pStyle w:val="null3"/>
        <w:ind w:firstLine="1820"/>
        <w:jc w:val="right"/>
      </w:pPr>
      <w:r>
        <w:rPr>
          <w:sz w:val="21"/>
        </w:rPr>
        <w:t xml:space="preserve">                           </w:t>
      </w:r>
      <w:r>
        <w:rPr>
          <w:sz w:val="28"/>
        </w:rPr>
        <w:t>（签名）</w:t>
      </w:r>
    </w:p>
    <w:p>
      <w:pPr>
        <w:pStyle w:val="null3"/>
        <w:jc w:val="right"/>
      </w:pPr>
      <w:r>
        <w:rPr>
          <w:sz w:val="21"/>
        </w:rPr>
        <w:t xml:space="preserve">             </w:t>
      </w:r>
      <w:r>
        <w:rPr>
          <w:sz w:val="28"/>
        </w:rPr>
        <w:t>日期：</w:t>
      </w:r>
      <w:r>
        <w:rPr>
          <w:sz w:val="28"/>
        </w:rPr>
        <w:t xml:space="preserve">           </w:t>
      </w:r>
      <w:r>
        <w:rPr>
          <w:sz w:val="28"/>
        </w:rPr>
        <w:t>年</w:t>
      </w:r>
      <w:r>
        <w:rPr>
          <w:sz w:val="28"/>
        </w:rPr>
        <w:t xml:space="preserve">    </w:t>
      </w:r>
      <w:r>
        <w:rPr>
          <w:sz w:val="28"/>
        </w:rPr>
        <w:t>月</w:t>
      </w:r>
      <w:r>
        <w:rPr>
          <w:sz w:val="28"/>
        </w:rPr>
        <w:t xml:space="preserve">    </w:t>
      </w:r>
      <w:r>
        <w:rPr>
          <w:sz w:val="28"/>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441501-2025-00223</w:t>
      </w:r>
    </w:p>
    <w:p>
      <w:pPr>
        <w:pStyle w:val="null3"/>
        <w:jc w:val="center"/>
        <w:outlineLvl w:val="3"/>
      </w:pPr>
      <w:r>
        <w:rPr>
          <w:sz w:val="24"/>
          <w:b/>
        </w:rPr>
        <w:t>采购项目编号：</w:t>
      </w:r>
      <w:r>
        <w:rPr>
          <w:sz w:val="24"/>
          <w:b/>
        </w:rPr>
        <w:t>0724-2531SW900335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中山大学孙逸仙纪念医院深汕中心医院超声科设备采购项目</w:t>
      </w:r>
      <w:r>
        <w:rPr>
          <w:u w:val="single"/>
        </w:rPr>
        <w:t>”</w:t>
      </w:r>
      <w:r>
        <w:rPr/>
        <w:t>项目的招标[采购项目编号为：</w:t>
      </w:r>
      <w:r>
        <w:rPr>
          <w:u w:val="single"/>
        </w:rPr>
        <w:t>0724-2531SW900335</w:t>
      </w:r>
      <w:r>
        <w:rPr/>
        <w:t>]，我方愿参与投标。</w:t>
      </w:r>
    </w:p>
    <w:p>
      <w:pPr>
        <w:pStyle w:val="null3"/>
        <w:ind w:firstLine="480"/>
      </w:pPr>
      <w:r>
        <w:rPr/>
        <w:t>我方确认收到贵方提供的</w:t>
      </w:r>
      <w:r>
        <w:rPr>
          <w:u w:val="single"/>
        </w:rPr>
        <w:t>“</w:t>
      </w:r>
      <w:r>
        <w:rPr>
          <w:u w:val="single"/>
        </w:rPr>
        <w:t>中山大学孙逸仙纪念医院深汕中心医院超声科设备采购项目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中山大学孙逸仙纪念医院深汕中心医院超声科设备采购项目</w:t>
      </w:r>
      <w:r>
        <w:rPr/>
        <w:t>”项目采购[采购项目编号为</w:t>
      </w:r>
      <w:r>
        <w:rPr/>
        <w:t>0724-2531SW900335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中山大学孙逸仙纪念医院深汕中心医院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中山大学孙逸仙纪念医院深汕中心医院超声科设备采购项目</w:t>
      </w:r>
      <w:r>
        <w:rPr/>
        <w:t>招标中获中标（采购项目编号：</w:t>
      </w:r>
      <w:r>
        <w:rPr/>
        <w:t>0724-2531SW900335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中山大学孙逸仙纪念医院深汕中心医院超声科设备采购项目</w:t>
      </w:r>
      <w:r>
        <w:rPr/>
        <w:t>”项目（采购项目编号：</w:t>
      </w:r>
      <w:r>
        <w:rPr/>
        <w:t>0724-2531SW900335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