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440001-2026-10597</w:t>
      </w:r>
    </w:p>
    <w:p>
      <w:pPr>
        <w:pStyle w:val="null3"/>
        <w:jc w:val="center"/>
        <w:outlineLvl w:val="3"/>
      </w:pPr>
      <w:r>
        <w:rPr>
          <w:sz w:val="24"/>
          <w:b/>
        </w:rPr>
        <w:t>采购项目编号：</w:t>
      </w:r>
      <w:r>
        <w:rPr>
          <w:sz w:val="24"/>
          <w:b/>
        </w:rPr>
        <w:t>0724-2621Z1911949</w:t>
      </w:r>
    </w:p>
    <w:p>
      <w:pPr>
        <w:pStyle w:val="null3"/>
        <w:jc w:val="center"/>
        <w:outlineLvl w:val="3"/>
      </w:pPr>
      <w:r>
        <w:rPr>
          <w:sz w:val="24"/>
          <w:b/>
        </w:rPr>
        <w:t>项目名称：</w:t>
      </w:r>
      <w:r>
        <w:rPr>
          <w:sz w:val="24"/>
          <w:b/>
        </w:rPr>
        <w:t>广东省生殖医院HIS、电子病历等系统软件和数据库运维服务项目</w:t>
      </w:r>
    </w:p>
    <w:p>
      <w:pPr>
        <w:pStyle w:val="null3"/>
        <w:jc w:val="center"/>
        <w:outlineLvl w:val="3"/>
      </w:pPr>
      <w:r>
        <w:rPr>
          <w:sz w:val="24"/>
          <w:b/>
        </w:rPr>
        <w:t>采购人：</w:t>
      </w:r>
      <w:r>
        <w:rPr>
          <w:sz w:val="24"/>
          <w:b/>
        </w:rPr>
        <w:t>广东省生殖科学研究所（广东省生殖医院）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广东省生殖科学研究所（广东省生殖医院）</w:t>
      </w:r>
      <w:r>
        <w:rPr/>
        <w:t>的委托，采用</w:t>
      </w:r>
      <w:r>
        <w:rPr/>
        <w:t>竞争性磋商</w:t>
      </w:r>
      <w:r>
        <w:rPr/>
        <w:t>方式组织采购</w:t>
      </w:r>
      <w:r>
        <w:rPr/>
        <w:t>广东省生殖医院HIS、电子病历等系统软件和数据库运维服务项目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广东省生殖医院HIS、电子病历等系统软件和数据库运维服务项目</w:t>
      </w:r>
    </w:p>
    <w:p>
      <w:pPr>
        <w:pStyle w:val="null3"/>
        <w:ind w:firstLine="480"/>
      </w:pPr>
      <w:r>
        <w:rPr/>
        <w:t>采购计划编号：</w:t>
      </w:r>
      <w:r>
        <w:rPr/>
        <w:t>440001-2026-10597</w:t>
      </w:r>
    </w:p>
    <w:p>
      <w:pPr>
        <w:pStyle w:val="null3"/>
        <w:ind w:firstLine="480"/>
      </w:pPr>
      <w:r>
        <w:rPr/>
        <w:t>采购项目编号：</w:t>
      </w:r>
      <w:r>
        <w:rPr/>
        <w:t>0724-2621Z1911949</w:t>
      </w:r>
    </w:p>
    <w:p>
      <w:pPr>
        <w:pStyle w:val="null3"/>
        <w:ind w:firstLine="480"/>
      </w:pPr>
      <w:r>
        <w:rPr/>
        <w:t>采购方式：</w:t>
      </w:r>
      <w:r>
        <w:rPr/>
        <w:t>竞争性磋商</w:t>
      </w:r>
    </w:p>
    <w:p>
      <w:pPr>
        <w:pStyle w:val="null3"/>
        <w:ind w:firstLine="480"/>
      </w:pPr>
      <w:r>
        <w:rPr/>
        <w:t>预算金额：</w:t>
      </w:r>
      <w:r>
        <w:rPr/>
        <w:t>738,000.00</w:t>
      </w:r>
      <w:r>
        <w:rPr/>
        <w:t>元</w:t>
      </w:r>
    </w:p>
    <w:p>
      <w:pPr>
        <w:pStyle w:val="null3"/>
        <w:outlineLvl w:val="3"/>
      </w:pPr>
      <w:r>
        <w:rPr>
          <w:sz w:val="24"/>
          <w:b/>
        </w:rPr>
        <w:t>2.项目内容及需求情况（采购项目技术规格、参数及要求）</w:t>
      </w:r>
    </w:p>
    <w:p>
      <w:pPr>
        <w:pStyle w:val="null3"/>
      </w:pPr>
      <w:r>
        <w:rPr/>
        <w:t>采购包1(HIS、电子病历等系统软件和数据库运维服务):</w:t>
      </w:r>
    </w:p>
    <w:p>
      <w:pPr>
        <w:pStyle w:val="null3"/>
      </w:pPr>
      <w:r>
        <w:rPr/>
        <w:t>采购包预算金额：738,000.00元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HIS、电子病历等系统软件和数据库运维服务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合同履行期限：自签订合同之日至合同约定的权利义务履行完毕。</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4）履行合同所必需的设备和专业技术能力：履行合同所必需的设备和专业技术能力证明文件或书面声明。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采购包1（HIS、电子病历等系统软件和数据库运维服务）：</w:t>
      </w:r>
      <w:r>
        <w:rPr/>
        <w:t>本采购包不属于专门面向中小企业采购的项目。（供应商如需提供《中小企业声明函》，本项目标的按照《中小企业划分标准规定》（工信部联企业[2011]300号）划分行业为：软件和信息技术服务业）。</w:t>
      </w:r>
    </w:p>
    <w:p>
      <w:pPr>
        <w:pStyle w:val="null3"/>
        <w:outlineLvl w:val="3"/>
      </w:pPr>
      <w:r>
        <w:rPr>
          <w:sz w:val="24"/>
          <w:b/>
        </w:rPr>
        <w:t>3.本项目特定的资格要求：</w:t>
      </w:r>
    </w:p>
    <w:p>
      <w:pPr>
        <w:pStyle w:val="null3"/>
      </w:pPr>
      <w:r>
        <w:rPr/>
        <w:t>采购包1（HIS、电子病历等系统软件和数据库运维服务）：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供应商出具声明函)</w:t>
      </w:r>
    </w:p>
    <w:p>
      <w:pPr>
        <w:pStyle w:val="null3"/>
      </w:pPr>
      <w:r>
        <w:rPr/>
        <w:t>3)本项目不接受联合体磋商。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广东省生殖科学研究所（广东省生殖医院）</w:t>
      </w:r>
    </w:p>
    <w:p>
      <w:pPr>
        <w:pStyle w:val="null3"/>
        <w:ind w:firstLine="480"/>
      </w:pPr>
      <w:r>
        <w:rPr/>
        <w:t>地址：</w:t>
      </w:r>
      <w:r>
        <w:rPr/>
        <w:t>广州市越秀区梅东路17号</w:t>
      </w:r>
    </w:p>
    <w:p>
      <w:pPr>
        <w:pStyle w:val="null3"/>
        <w:ind w:firstLine="480"/>
      </w:pPr>
      <w:r>
        <w:rPr/>
        <w:t>联系方式：</w:t>
      </w:r>
      <w:r>
        <w:rPr/>
        <w:t>020-87693502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540"/>
        <w:gridCol w:w="1815"/>
        <w:gridCol w:w="2925"/>
      </w:tblGrid>
      <w:tr>
        <w:tc>
          <w:tcPr>
            <w:tcW w:type="dxa" w:w="3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标的名称</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最高限价</w:t>
            </w:r>
            <w:r>
              <w:rPr>
                <w:sz w:val="21"/>
              </w:rPr>
              <w:t>(</w:t>
            </w:r>
            <w:r>
              <w:rPr>
                <w:sz w:val="21"/>
              </w:rPr>
              <w:t>人民币</w:t>
            </w:r>
            <w:r>
              <w:rPr>
                <w:sz w:val="21"/>
              </w:rPr>
              <w:t>/</w:t>
            </w:r>
            <w:r>
              <w:rPr>
                <w:sz w:val="21"/>
              </w:rPr>
              <w:t>元</w:t>
            </w:r>
            <w:r>
              <w:rPr>
                <w:sz w:val="21"/>
              </w:rPr>
              <w:t>)</w:t>
            </w:r>
          </w:p>
        </w:tc>
      </w:tr>
      <w:tr>
        <w:tc>
          <w:tcPr>
            <w:tcW w:type="dxa" w:w="3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HIS</w:t>
            </w:r>
            <w:r>
              <w:rPr>
                <w:sz w:val="19"/>
              </w:rPr>
              <w:t>、电子病历等系统软件和</w:t>
            </w:r>
          </w:p>
          <w:p>
            <w:pPr>
              <w:pStyle w:val="null3"/>
              <w:ind w:firstLine="380"/>
              <w:jc w:val="center"/>
            </w:pPr>
            <w:r>
              <w:rPr>
                <w:sz w:val="19"/>
              </w:rPr>
              <w:t>数据库运维服务</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年</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738,000.00</w:t>
            </w:r>
            <w:r>
              <w:rPr>
                <w:sz w:val="20"/>
              </w:rPr>
              <w:t>元</w:t>
            </w:r>
            <w:r>
              <w:rPr>
                <w:sz w:val="20"/>
              </w:rPr>
              <w:t>/</w:t>
            </w:r>
            <w:r>
              <w:rPr>
                <w:sz w:val="20"/>
              </w:rPr>
              <w:t>年</w:t>
            </w:r>
          </w:p>
        </w:tc>
      </w:tr>
    </w:tbl>
    <w:p>
      <w:pPr>
        <w:pStyle w:val="null3"/>
        <w:ind w:firstLine="480"/>
        <w:jc w:val="both"/>
      </w:pPr>
      <w:r>
        <w:rPr>
          <w:sz w:val="21"/>
        </w:rPr>
        <w:t>详细技术规范请参阅磋商文件中的用户需求书。供应商必须对本项目全部内容进行响应报价，如有缺漏，将导致报价无效。如报价超出最高限价，将导致报价无效。本项目采购本国服务。</w:t>
      </w:r>
    </w:p>
    <w:p>
      <w:pPr>
        <w:pStyle w:val="null3"/>
        <w:jc w:val="both"/>
      </w:pPr>
      <w:r>
        <w:rPr>
          <w:sz w:val="21"/>
        </w:rPr>
        <w:t>2.</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b/>
        </w:rPr>
        <w:t>（</w:t>
      </w:r>
      <w:r>
        <w:rPr>
          <w:b/>
        </w:rPr>
        <w:t>1</w:t>
      </w:r>
      <w:r>
        <w:rPr>
          <w:b/>
        </w:rPr>
        <w:t>）技术标准与要求</w:t>
      </w:r>
    </w:p>
    <w:p>
      <w:pPr>
        <w:pStyle w:val="null3"/>
      </w:pPr>
      <w:r>
        <w:rPr>
          <w:b/>
        </w:rPr>
        <w:t>附表一：</w:t>
      </w:r>
      <w:r>
        <w:rPr>
          <w:b/>
        </w:rPr>
        <w:t>HIS</w:t>
      </w:r>
      <w:r>
        <w:rPr>
          <w:b/>
        </w:rPr>
        <w:t>、电子病历等系统软件和数据库运维服务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69"/>
        <w:gridCol w:w="404"/>
        <w:gridCol w:w="5802"/>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参数性质</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5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运维服务模块清单</w:t>
            </w:r>
          </w:p>
          <w:tbl>
            <w:tblPr>
              <w:tblBorders>
                <w:top w:val="none" w:color="000000" w:sz="4"/>
                <w:left w:val="none" w:color="000000" w:sz="4"/>
                <w:bottom w:val="none" w:color="000000" w:sz="4"/>
                <w:right w:val="none" w:color="000000" w:sz="4"/>
                <w:insideH w:val="none"/>
                <w:insideV w:val="none"/>
              </w:tblBorders>
            </w:tblPr>
            <w:tblGrid>
              <w:gridCol w:w="555"/>
              <w:gridCol w:w="1680"/>
              <w:gridCol w:w="3330"/>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3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模块</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HIS和电子病历等系统软件</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HIS运维服务</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电子病历运维服务</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手术与麻醉系统运维</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血库管理系统运维</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合理用药系统运维</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患者移动服务平台运维服务</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云之家公有云产品订阅费（</w:t>
                  </w:r>
                  <w:r>
                    <w:rPr>
                      <w:sz w:val="20"/>
                    </w:rPr>
                    <w:t>100个用户数）</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各类接口（</w:t>
                  </w:r>
                  <w:r>
                    <w:rPr>
                      <w:sz w:val="20"/>
                    </w:rPr>
                    <w:t>13个）运维</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680"/>
                  <w:vMerge/>
                  <w:tcBorders>
                    <w:top w:val="none" w:color="000000" w:sz="4"/>
                    <w:left w:val="single" w:color="000000" w:sz="4"/>
                    <w:bottom w:val="single" w:color="000000" w:sz="4"/>
                    <w:right w:val="single" w:color="000000" w:sz="4"/>
                  </w:tcBorders>
                </w:tcP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定制化改造运维服务</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数据库系统运维</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2.HIS</w:t>
            </w:r>
            <w:r>
              <w:rPr>
                <w:sz w:val="19"/>
              </w:rPr>
              <w:t>、电子病历等系统软件服务内容</w:t>
            </w:r>
          </w:p>
          <w:tbl>
            <w:tblPr>
              <w:tblBorders>
                <w:top w:val="none" w:color="000000" w:sz="4"/>
                <w:left w:val="none" w:color="000000" w:sz="4"/>
                <w:bottom w:val="none" w:color="000000" w:sz="4"/>
                <w:right w:val="none" w:color="000000" w:sz="4"/>
                <w:insideH w:val="none"/>
                <w:insideV w:val="none"/>
              </w:tblBorders>
            </w:tblPr>
            <w:tblGrid>
              <w:gridCol w:w="420"/>
              <w:gridCol w:w="1740"/>
              <w:gridCol w:w="3390"/>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运维产品</w:t>
                  </w:r>
                </w:p>
              </w:tc>
              <w:tc>
                <w:tcPr>
                  <w:tcW w:type="dxa" w:w="3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产品模块</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门急诊挂号系统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门诊分诊系统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门诊医生工作站</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门诊收费系统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门诊配发药系统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门诊注射室系统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w:t>
                  </w:r>
                  <w:r>
                    <w:rPr>
                      <w:sz w:val="20"/>
                      <w:color w:val="000000"/>
                    </w:rPr>
                    <w:t>药房管理系统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住院收费管理系统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住院入出转系统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住院医生工作站</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抗菌药物分级管理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传染病上报管理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医技收费管理系统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住院护士工作站</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住院配发药系统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住院药房管理系统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药库管理系统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综合查询管理系统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系统维护管理系统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电子病历系统</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门诊结构化电子病历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住院结构化电子病历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护理结构化电子病历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临床路径系统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病历质控系统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病案借阅系统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住院病案在线编目</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EMPI</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病历浏览器</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手术与麻醉系统</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手术与麻醉系统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血库管理系统</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血库管理系统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合理用药系统</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合理用药系统</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患者移动服务平台</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患者移动服务平台</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相关软件云产品订阅费（</w:t>
                  </w:r>
                  <w:r>
                    <w:rPr>
                      <w:sz w:val="20"/>
                    </w:rPr>
                    <w:t>100个用户数）</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相关软件云产品订阅费（</w:t>
                  </w:r>
                  <w:r>
                    <w:rPr>
                      <w:sz w:val="20"/>
                    </w:rPr>
                    <w:t>100个用户数）</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HIS接口运维</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电子健康码全流程</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HIS-HRP接口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HIS-SPD接口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广东省全民健康信息平台数据采集接口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（新）医保移动支付（广州市医保</w:t>
                  </w:r>
                  <w:r>
                    <w:rPr>
                      <w:sz w:val="20"/>
                      <w:color w:val="000000"/>
                    </w:rPr>
                    <w:t>+省直医保）</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医保电子凭证接口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智能发药系统对接</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中药代煎接口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广州健康通接口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全量结算数据上传</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广州市检验检查结果互认接口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HIS-LIS接口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HIS-PACS接口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HIS-自助机接口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病房呼叫系统接口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医疗收费电子凭证结算数据上传</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广东省健康医疗信息共享授权接口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关键数据上传</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电子健康码腾讯安全</w:t>
                  </w:r>
                  <w:r>
                    <w:rPr>
                      <w:sz w:val="20"/>
                    </w:rPr>
                    <w:t>3.0方案</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精子库检查检验系统对接（</w:t>
                  </w:r>
                  <w:r>
                    <w:rPr>
                      <w:sz w:val="20"/>
                    </w:rPr>
                    <w:t>HIS）</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国家医保信息平台智能监管系统事前提醒功能应用接口</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门诊信息页数据采集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医保药品追溯码信息采集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740"/>
                  <w:vMerge/>
                  <w:tcBorders>
                    <w:top w:val="none" w:color="000000" w:sz="4"/>
                    <w:left w:val="single" w:color="000000" w:sz="4"/>
                    <w:bottom w:val="single" w:color="000000" w:sz="4"/>
                    <w:right w:val="single" w:color="000000" w:sz="4"/>
                  </w:tcBorders>
                </w:tcP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国家传染病前置软件接口</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3.HIS</w:t>
            </w:r>
            <w:r>
              <w:rPr>
                <w:sz w:val="19"/>
              </w:rPr>
              <w:t>、电子病历等系统软件</w:t>
            </w:r>
            <w:r>
              <w:rPr>
                <w:sz w:val="19"/>
              </w:rPr>
              <w:t>运维服务要求</w:t>
            </w:r>
          </w:p>
          <w:tbl>
            <w:tblPr>
              <w:tblBorders>
                <w:top w:val="none" w:color="000000" w:sz="4"/>
                <w:left w:val="none" w:color="000000" w:sz="4"/>
                <w:bottom w:val="none" w:color="000000" w:sz="4"/>
                <w:right w:val="none" w:color="000000" w:sz="4"/>
                <w:insideH w:val="none"/>
                <w:insideV w:val="none"/>
              </w:tblBorders>
            </w:tblPr>
            <w:tblGrid>
              <w:gridCol w:w="660"/>
              <w:gridCol w:w="930"/>
              <w:gridCol w:w="3450"/>
              <w:gridCol w:w="510"/>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3.1</w:t>
                  </w:r>
                  <w:r>
                    <w:rPr>
                      <w:sz w:val="20"/>
                    </w:rPr>
                    <w:t>、</w:t>
                  </w:r>
                  <w:r>
                    <w:rPr>
                      <w:sz w:val="20"/>
                      <w:b/>
                    </w:rPr>
                    <w:t>序号</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项目名称</w:t>
                  </w:r>
                </w:p>
              </w:tc>
              <w:tc>
                <w:tcPr>
                  <w:tcW w:type="dxa" w:w="3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运维服务内容及说明</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备注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HIS和电子病历等系统软件运维服务采购</w:t>
                  </w:r>
                </w:p>
                <w:p>
                  <w:pPr>
                    <w:pStyle w:val="null3"/>
                  </w:pPr>
                </w:p>
              </w:tc>
              <w:tc>
                <w:tcPr>
                  <w:tcW w:type="dxa" w:w="3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标准运维服务：</w:t>
                  </w:r>
                  <w:r>
                    <w:rPr>
                      <w:sz w:val="20"/>
                    </w:rPr>
                    <w:t>是指提供的应用支持、故障管理、</w:t>
                  </w:r>
                  <w:r>
                    <w:rPr>
                      <w:sz w:val="20"/>
                    </w:rPr>
                    <w:t>BUG管理、配置管理、环境管理等服务，以热线、远程以及现场三种服务方式提供。不限次数的热线和远程支持服务，以及定期的现场问题诊断和处理、问题提升处理和年度服务报告的专业服务产品。</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30"/>
                  <w:vMerge/>
                  <w:tcBorders>
                    <w:top w:val="none" w:color="000000" w:sz="4"/>
                    <w:left w:val="single" w:color="000000" w:sz="4"/>
                    <w:bottom w:val="single" w:color="000000" w:sz="4"/>
                    <w:right w:val="single" w:color="000000" w:sz="4"/>
                  </w:tcBorders>
                </w:tcPr>
                <w:p/>
              </w:tc>
              <w:tc>
                <w:tcPr>
                  <w:tcW w:type="dxa" w:w="3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定制化改造运维服务：</w:t>
                  </w:r>
                  <w:r>
                    <w:rPr>
                      <w:sz w:val="20"/>
                    </w:rPr>
                    <w:t>每年医院根据医保局、健康委等上级单位的文件通知，和实际业务流程有较大调整的情况下，双方协商必要性的改造内容，对在用系统进行定制化改造非标准改造。</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30"/>
                  <w:vMerge/>
                  <w:tcBorders>
                    <w:top w:val="none" w:color="000000" w:sz="4"/>
                    <w:left w:val="single" w:color="000000" w:sz="4"/>
                    <w:bottom w:val="single" w:color="000000" w:sz="4"/>
                    <w:right w:val="single" w:color="000000" w:sz="4"/>
                  </w:tcBorders>
                </w:tcPr>
                <w:p/>
              </w:tc>
              <w:tc>
                <w:tcPr>
                  <w:tcW w:type="dxa" w:w="3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季度运维报告：</w:t>
                  </w:r>
                  <w:r>
                    <w:rPr>
                      <w:sz w:val="20"/>
                    </w:rPr>
                    <w:t>运维服务实行日常管理制度，需要维护更新</w:t>
                  </w:r>
                  <w:r>
                    <w:rPr>
                      <w:sz w:val="20"/>
                    </w:rPr>
                    <w:t>“问题清单”，确保问题不遗失、有跟进、有结论，每季度提交季度小结(季度报告)。</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w:t>
            </w:r>
            <w:r>
              <w:rPr>
                <w:sz w:val="20"/>
              </w:rPr>
              <w:t>服务方式要求：</w:t>
            </w:r>
          </w:p>
          <w:p>
            <w:pPr>
              <w:pStyle w:val="null3"/>
            </w:pPr>
            <w:r>
              <w:rPr>
                <w:sz w:val="20"/>
              </w:rPr>
              <w:t>4.1提供方式：要求供应商设立客户服务中心7×24 小时热线，并需供应商提供客户服务热线电话。</w:t>
            </w:r>
          </w:p>
          <w:p>
            <w:pPr>
              <w:pStyle w:val="null3"/>
            </w:pPr>
            <w:r>
              <w:rPr>
                <w:sz w:val="20"/>
              </w:rPr>
              <w:t>4.2软件应用指导：指导医院进行软件设置、打印设置、功能操作（不包括业务流程实现），提升医院软件应用能力。</w:t>
            </w:r>
          </w:p>
          <w:p>
            <w:pPr>
              <w:pStyle w:val="null3"/>
            </w:pPr>
            <w:r>
              <w:rPr>
                <w:sz w:val="20"/>
              </w:rPr>
              <w:t>4.3数据服务：支持查找并修正数据错误，备份数据，恢复有效备份等等，保障数据安全。</w:t>
            </w:r>
          </w:p>
          <w:p>
            <w:pPr>
              <w:pStyle w:val="null3"/>
            </w:pPr>
            <w:r>
              <w:rPr>
                <w:sz w:val="20"/>
              </w:rPr>
              <w:t>4.4二线坐席远程故障诊断：支持为医院提供远程故障排查，保障医院软件的正常使用。</w:t>
            </w:r>
          </w:p>
          <w:p>
            <w:pPr>
              <w:pStyle w:val="null3"/>
              <w:jc w:val="both"/>
            </w:pPr>
            <w:r>
              <w:rPr>
                <w:sz w:val="19"/>
              </w:rPr>
              <w:t>4.5</w:t>
            </w:r>
            <w:r>
              <w:rPr>
                <w:sz w:val="19"/>
              </w:rPr>
              <w:t>服务报告：要求供应商提供季度以及年度服务报告，以及完善客户</w:t>
            </w:r>
            <w:r>
              <w:rPr>
                <w:sz w:val="19"/>
              </w:rPr>
              <w:t>IT系统的建议，确保软件系统运行更加稳定。</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750"/>
              <w:gridCol w:w="2355"/>
              <w:gridCol w:w="2460"/>
            </w:tblGrid>
            <w:tr>
              <w:tc>
                <w:tcPr>
                  <w:tcW w:type="dxa" w:w="7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服务故障分类</w:t>
                  </w:r>
                </w:p>
              </w:tc>
              <w:tc>
                <w:tcPr>
                  <w:tcW w:type="dxa" w:w="48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服务问题的分级及响应速度要求</w:t>
                  </w:r>
                </w:p>
              </w:tc>
            </w:tr>
            <w:tr>
              <w:tc>
                <w:tcPr>
                  <w:tcW w:type="dxa" w:w="750"/>
                  <w:vMerge/>
                  <w:tcBorders>
                    <w:top w:val="single" w:color="000000" w:sz="4"/>
                    <w:left w:val="single" w:color="000000" w:sz="4"/>
                    <w:bottom w:val="single" w:color="000000" w:sz="4"/>
                    <w:right w:val="single" w:color="000000" w:sz="4"/>
                  </w:tcBorders>
                </w:tcPr>
                <w:p/>
              </w:tc>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故障定义</w:t>
                  </w:r>
                </w:p>
              </w:tc>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响应速度</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一级故障</w:t>
                  </w:r>
                </w:p>
              </w:tc>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系统瘫痪，或对最终用户的业务运作有重大影响。</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立即响应，</w:t>
                  </w:r>
                  <w:r>
                    <w:rPr>
                      <w:sz w:val="20"/>
                    </w:rPr>
                    <w:t>1小时内远程维护或到达医院现场，采取相应解决方案直至系统可以运行或降至2-3级别的问题。</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二级故障</w:t>
                  </w:r>
                </w:p>
              </w:tc>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系统的操作性能严重降级，或由于系统性能失常严重影响用户的业务运作。</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30分钟内响应，2小时内远程维护或到达医院现场，并提供解决方案或替代方案。</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三级故障</w:t>
                  </w:r>
                </w:p>
              </w:tc>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系统的操作性能受损，但大部分业务运作仍可正常工作。</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4小时内响应，1个工作日内提供远程维护,并提供解决方案或替代方案，如需提供现场服务具体时间也可由双方协商拟定。</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四级故障</w:t>
                  </w:r>
                </w:p>
              </w:tc>
              <w:tc>
                <w:tcPr>
                  <w:tcW w:type="dxa" w:w="2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在产品（如设备、操作系统、数据库等）功能、安装或配置方面需要信息或支援，对用户的主要业务运作几乎或无影响。</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在</w:t>
                  </w:r>
                  <w:r>
                    <w:rPr>
                      <w:sz w:val="20"/>
                    </w:rPr>
                    <w:t>1个工作日内响应，2个工作日内远程维护,并提供解决方案或替代方案，需提供现场服务具体时间也可由双方协商拟定。</w:t>
                  </w:r>
                </w:p>
              </w:tc>
            </w:tr>
          </w:tbl>
          <w:p>
            <w:pPr>
              <w:pStyle w:val="null3"/>
              <w:jc w:val="both"/>
            </w:pPr>
            <w:r>
              <w:rPr>
                <w:sz w:val="19"/>
              </w:rPr>
              <w:t>注：以上到达现场时间均不含到达医院现场路途占用时间。</w:t>
            </w:r>
          </w:p>
          <w:p>
            <w:pPr>
              <w:pStyle w:val="null3"/>
              <w:numPr>
                <w:ilvl w:val="0"/>
                <w:numId w:val="1"/>
              </w:numPr>
              <w:jc w:val="both"/>
            </w:pPr>
            <w:r>
              <w:rPr>
                <w:sz w:val="19"/>
              </w:rPr>
              <w:t>服务问题的分级及响应速度要求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数据库运维服务</w:t>
            </w:r>
            <w:r>
              <w:rPr>
                <w:sz w:val="19"/>
              </w:rPr>
              <w:t>内容</w:t>
            </w:r>
          </w:p>
          <w:tbl>
            <w:tblPr>
              <w:tblBorders>
                <w:top w:val="none" w:color="000000" w:sz="4"/>
                <w:left w:val="none" w:color="000000" w:sz="4"/>
                <w:bottom w:val="none" w:color="000000" w:sz="4"/>
                <w:right w:val="none" w:color="000000" w:sz="4"/>
                <w:insideH w:val="none"/>
                <w:insideV w:val="none"/>
              </w:tblBorders>
            </w:tblPr>
            <w:tblGrid>
              <w:gridCol w:w="435"/>
              <w:gridCol w:w="630"/>
              <w:gridCol w:w="630"/>
              <w:gridCol w:w="3165"/>
              <w:gridCol w:w="690"/>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服务类别</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服务项目</w:t>
                  </w:r>
                </w:p>
              </w:tc>
              <w:tc>
                <w:tcPr>
                  <w:tcW w:type="dxa" w:w="3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服务内容描述</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服务数量</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数据库系统补丁升级</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数据库补丁升级</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根据数据库版本的管理和打补丁的需求，修复特定场景出现的数据库故障，将数据库升级到稳定的版本，发挥数据库软件应有的功能，提高数据库运行的稳定性和安全性</w:t>
                  </w:r>
                  <w:r>
                    <w:rPr>
                      <w:sz w:val="20"/>
                    </w:rPr>
                    <w:t>。</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服务期内按需执行</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数据库性能优化</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系统性能评估服务</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因供应商对系统性能有疑问或需评估系统性能指标参数，需要定期对系统性能指标进行采集与分析，为系统性能的优化与提升提供有效准确的数据参考。</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服务期内按需执行</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30"/>
                  <w:vMerge/>
                  <w:tcBorders>
                    <w:top w:val="none" w:color="000000" w:sz="4"/>
                    <w:left w:val="single" w:color="000000" w:sz="4"/>
                    <w:bottom w:val="single" w:color="000000" w:sz="4"/>
                    <w:right w:val="single" w:color="000000" w:sz="4"/>
                  </w:tcBorders>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数据库性能优化服务</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根据医院要求提供数据库巡检服务，找出数据库系统瓶颈，提出全面优化建议，制定并实施合理的调优方案。通过应用软件升级、优化配置参数等方式提高系统性能。</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服务期内按需执行</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数据库巡检</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生产环境巡检服务</w:t>
                  </w:r>
                </w:p>
              </w:tc>
              <w:tc>
                <w:tcPr>
                  <w:tcW w:type="dxa" w:w="31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1）结合应用系统数据库运维策略的要求，开展对数据库进行的专业性定期季度定检工作。包括HIS数据库，以及相关的ADG、OGG容灾库等。（例如：每</w:t>
                  </w:r>
                  <w:r>
                    <w:rPr>
                      <w:sz w:val="20"/>
                    </w:rPr>
                    <w:t>季度</w:t>
                  </w:r>
                  <w:r>
                    <w:rPr>
                      <w:sz w:val="20"/>
                    </w:rPr>
                    <w:t>提供一次巡检服务，则一年共提交</w:t>
                  </w:r>
                  <w:r>
                    <w:rPr>
                      <w:sz w:val="20"/>
                    </w:rPr>
                    <w:t>四</w:t>
                  </w:r>
                  <w:r>
                    <w:rPr>
                      <w:sz w:val="20"/>
                    </w:rPr>
                    <w:t>份季度巡检报告）。</w:t>
                  </w:r>
                </w:p>
                <w:p>
                  <w:pPr>
                    <w:pStyle w:val="null3"/>
                    <w:jc w:val="both"/>
                  </w:pPr>
                  <w:r>
                    <w:rPr>
                      <w:sz w:val="20"/>
                    </w:rPr>
                    <w:t>2）对可能出现的问题，提供科学预测并采取必要的预防和补救措施，防患于未然。</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现场巡检一次</w:t>
                  </w:r>
                </w:p>
              </w:tc>
            </w:tr>
            <w:tr>
              <w:tc>
                <w:tcPr>
                  <w:tcW w:type="dxa" w:w="435"/>
                  <w:vMerge/>
                  <w:tcBorders>
                    <w:top w:val="none" w:color="000000" w:sz="4"/>
                    <w:left w:val="single" w:color="000000" w:sz="4"/>
                    <w:bottom w:val="single" w:color="000000" w:sz="4"/>
                    <w:right w:val="single" w:color="000000" w:sz="4"/>
                  </w:tcBorders>
                </w:tcPr>
                <w:p/>
              </w:tc>
              <w:tc>
                <w:tcPr>
                  <w:tcW w:type="dxa" w:w="630"/>
                  <w:vMerge/>
                  <w:tcBorders>
                    <w:top w:val="none" w:color="000000" w:sz="4"/>
                    <w:left w:val="single" w:color="000000" w:sz="4"/>
                    <w:bottom w:val="single" w:color="000000" w:sz="4"/>
                    <w:right w:val="single" w:color="000000" w:sz="4"/>
                  </w:tcBorders>
                </w:tcPr>
                <w:p/>
              </w:tc>
              <w:tc>
                <w:tcPr>
                  <w:tcW w:type="dxa" w:w="630"/>
                  <w:vMerge/>
                  <w:tcBorders>
                    <w:top w:val="none" w:color="000000" w:sz="4"/>
                    <w:left w:val="single" w:color="000000" w:sz="4"/>
                    <w:bottom w:val="single" w:color="000000" w:sz="4"/>
                    <w:right w:val="single" w:color="000000" w:sz="4"/>
                  </w:tcBorders>
                </w:tcPr>
                <w:p/>
              </w:tc>
              <w:tc>
                <w:tcPr>
                  <w:tcW w:type="dxa" w:w="3165"/>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远程巡检一次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数据库故障处理</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日常故障处理服务</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1）分为一般故障处理服务、紧急救援服务等，对数据库平台软件提供远程故障处理和解决服务。（一年不超过15次的远程报障处理）。</w:t>
                  </w:r>
                </w:p>
                <w:p>
                  <w:pPr>
                    <w:pStyle w:val="null3"/>
                    <w:jc w:val="both"/>
                  </w:pPr>
                  <w:r>
                    <w:rPr>
                      <w:sz w:val="20"/>
                    </w:rPr>
                    <w:t>2）故障问题的分类和服务响应按《服务问题的分级及响应标准》执行。</w:t>
                  </w:r>
                </w:p>
                <w:p>
                  <w:pPr>
                    <w:pStyle w:val="null3"/>
                    <w:jc w:val="both"/>
                  </w:pPr>
                  <w:r>
                    <w:rPr>
                      <w:sz w:val="20"/>
                    </w:rPr>
                    <w:t>3）当数据库发生故障需要数据恢复时，提供技术支持服务，协助进行数据恢复。</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服务期内按需执行</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30"/>
                  <w:vMerge/>
                  <w:tcBorders>
                    <w:top w:val="none" w:color="000000" w:sz="4"/>
                    <w:left w:val="single" w:color="000000" w:sz="4"/>
                    <w:bottom w:val="single" w:color="000000" w:sz="4"/>
                    <w:right w:val="single" w:color="000000" w:sz="4"/>
                  </w:tcBorders>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现场服务</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1）发生数据库宕机等严重灾难性故障，且不能第一时间通过远程处理恢复正常的紧急故障现场服务。</w:t>
                  </w:r>
                </w:p>
                <w:p>
                  <w:pPr>
                    <w:pStyle w:val="null3"/>
                    <w:jc w:val="both"/>
                  </w:pPr>
                  <w:r>
                    <w:rPr>
                      <w:sz w:val="20"/>
                    </w:rPr>
                    <w:t>2）如遇不可抗因素无法远程或远程无法解决故障的，则协商技术人员提供现场服务。</w:t>
                  </w:r>
                </w:p>
                <w:p>
                  <w:pPr>
                    <w:pStyle w:val="null3"/>
                    <w:jc w:val="both"/>
                  </w:pPr>
                  <w:r>
                    <w:rPr>
                      <w:sz w:val="20"/>
                    </w:rPr>
                    <w:t>3）需要多方现场协同处理的技术服务以及由客户提出的现场技术支持服务。</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r>
              <w:rPr>
                <w:sz w:val="21"/>
              </w:rPr>
              <w:t xml:space="preserve"> </w:t>
            </w:r>
            <w:r>
              <w:rPr>
                <w:sz w:val="21"/>
              </w:rPr>
              <w:t>针对医院数据库和应用系统运行故障造成的影响及受损级别，</w:t>
            </w:r>
            <w:r>
              <w:rPr>
                <w:sz w:val="20"/>
              </w:rPr>
              <w:t>服务问题的分级及响应速度要求：</w:t>
            </w:r>
          </w:p>
          <w:tbl>
            <w:tblPr>
              <w:tblInd w:type="dxa" w:w="135"/>
              <w:tblBorders>
                <w:top w:val="none" w:color="000000" w:sz="4"/>
                <w:left w:val="none" w:color="000000" w:sz="4"/>
                <w:bottom w:val="none" w:color="000000" w:sz="4"/>
                <w:right w:val="none" w:color="000000" w:sz="4"/>
                <w:insideH w:val="none"/>
                <w:insideV w:val="none"/>
              </w:tblBorders>
            </w:tblPr>
            <w:tblGrid>
              <w:gridCol w:w="510"/>
              <w:gridCol w:w="2775"/>
              <w:gridCol w:w="2280"/>
            </w:tblGrid>
            <w:tr>
              <w:tc>
                <w:tcPr>
                  <w:tcW w:type="dxa" w:w="51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0"/>
                      <w:b/>
                    </w:rPr>
                    <w:t>故障级别</w:t>
                  </w:r>
                </w:p>
              </w:tc>
              <w:tc>
                <w:tcPr>
                  <w:tcW w:type="dxa" w:w="277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0"/>
                      <w:b/>
                    </w:rPr>
                    <w:t>故障情况描述</w:t>
                  </w:r>
                </w:p>
              </w:tc>
              <w:tc>
                <w:tcPr>
                  <w:tcW w:type="dxa" w:w="228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0"/>
                      <w:b/>
                    </w:rPr>
                    <w:t>响应及处理</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一级故障</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属于紧急故障；其具体现象为：数据库崩溃导致业务停止、数据丢失，或对最终用户的业务运作有重大影响；</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立即响应，</w:t>
                  </w:r>
                  <w:r>
                    <w:rPr>
                      <w:sz w:val="20"/>
                    </w:rPr>
                    <w:t>1 小时内提供处理方法，6 小时以内解决；或采取相应解决方案直至系统可以运行或降至2-3级别的问题。</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二级故障</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属于严重问题；其具体现象为：数据库软件故障导致部分应用系统不能正常运作，影响业务。</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30 分钟内响应，1小时内提供解决方案或替代方案，12 小时内解决。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三级故障</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属于较严重问题；其具体现象为：数据库性能异常或死锁等，导致部分业务受影响，但大部分业务运作仍可正常工作。</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1小时内响应，6小时内提供解决方案或替代方案。24小时内解决。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四级故障</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属于普通问题；其具体现象为：在产品（如设备、操作系统、数据库等）功能、安装或配置方面需要信息或支援，对用户的系统运作影响很小或无影响。</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3小时内响应，1个工作日内提供解决方案或替代方案。</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r>
              <w:rPr>
                <w:sz w:val="20"/>
              </w:rPr>
              <w:t>项目整体</w:t>
            </w:r>
            <w:r>
              <w:rPr>
                <w:sz w:val="20"/>
              </w:rPr>
              <w:t>人员配置要求</w:t>
            </w:r>
          </w:p>
          <w:p>
            <w:pPr>
              <w:pStyle w:val="null3"/>
              <w:jc w:val="both"/>
            </w:pPr>
            <w:r>
              <w:rPr>
                <w:sz w:val="20"/>
              </w:rPr>
              <w:t>供应商需保证具有合理的项目管理团队，</w:t>
            </w:r>
            <w:r>
              <w:rPr>
                <w:sz w:val="20"/>
              </w:rPr>
              <w:t>保证可按需提供现场服务人员</w:t>
            </w:r>
            <w:r>
              <w:rPr>
                <w:sz w:val="20"/>
              </w:rPr>
              <w:t>，其中</w:t>
            </w:r>
            <w:r>
              <w:rPr>
                <w:sz w:val="20"/>
              </w:rPr>
              <w:t>项目经理</w:t>
            </w:r>
            <w:r>
              <w:rPr>
                <w:sz w:val="20"/>
              </w:rPr>
              <w:t>1人，开发工程师不少于2人</w:t>
            </w:r>
            <w:r>
              <w:rPr>
                <w:sz w:val="20"/>
              </w:rPr>
              <w:t>，确保各种日常问题反馈、处理有快速直接的沟通通道，维护工程师应切实承担起维护责任，不得将问题调研、问题测试、系统升级等工作推诿给医院</w:t>
            </w:r>
            <w:r>
              <w:rPr>
                <w:sz w:val="20"/>
              </w:rPr>
              <w:t>。</w:t>
            </w:r>
            <w:r>
              <w:rPr>
                <w:sz w:val="20"/>
              </w:rPr>
              <w:t>能为项目提供较好的实施、部署、管理能力，服务团队具有同类项目经验</w:t>
            </w:r>
            <w:r>
              <w:rPr>
                <w:sz w:val="20"/>
              </w:rPr>
              <w:t>及相应的职称证书</w:t>
            </w:r>
            <w:r>
              <w:rPr>
                <w:sz w:val="20"/>
              </w:rPr>
              <w:t>。</w:t>
            </w:r>
            <w:r>
              <w:rPr>
                <w:sz w:val="20"/>
              </w:rPr>
              <w:t>。</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运维考核表</w:t>
            </w:r>
          </w:p>
          <w:tbl>
            <w:tblPr>
              <w:tblInd w:type="dxa" w:w="135"/>
              <w:tblBorders>
                <w:top w:val="none" w:color="000000" w:sz="4"/>
                <w:left w:val="none" w:color="000000" w:sz="4"/>
                <w:bottom w:val="none" w:color="000000" w:sz="4"/>
                <w:right w:val="none" w:color="000000" w:sz="4"/>
                <w:insideH w:val="none"/>
                <w:insideV w:val="none"/>
              </w:tblBorders>
            </w:tblPr>
            <w:tblGrid>
              <w:gridCol w:w="705"/>
              <w:gridCol w:w="2520"/>
              <w:gridCol w:w="2340"/>
            </w:tblGrid>
            <w:tr>
              <w:tc>
                <w:tcPr>
                  <w:tcW w:type="dxa" w:w="705"/>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1"/>
                      <w:b/>
                    </w:rPr>
                    <w:t>指标</w:t>
                  </w:r>
                </w:p>
              </w:tc>
              <w:tc>
                <w:tcPr>
                  <w:tcW w:type="dxa" w:w="252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1"/>
                      <w:b/>
                    </w:rPr>
                    <w:t>要求</w:t>
                  </w:r>
                </w:p>
              </w:tc>
              <w:tc>
                <w:tcPr>
                  <w:tcW w:type="dxa" w:w="234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1"/>
                      <w:b/>
                    </w:rPr>
                    <w:t>评分标准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人员配备</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有明确运维工程师小组</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没有的直接整体考核不及格</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服务季度报告</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季度报告应按时提交</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季度报告每少交一份扣</w:t>
                  </w:r>
                  <w:r>
                    <w:rPr>
                      <w:sz w:val="21"/>
                    </w:rPr>
                    <w:t>3分，</w:t>
                  </w:r>
                </w:p>
                <w:p>
                  <w:pPr>
                    <w:pStyle w:val="null3"/>
                    <w:jc w:val="both"/>
                  </w:pPr>
                  <w:r>
                    <w:rPr>
                      <w:sz w:val="21"/>
                    </w:rPr>
                    <w:t>下不封底。</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服务热线</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服务电话畅通，响应及时</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视实际情况扣分，最高可扣</w:t>
                  </w:r>
                  <w:r>
                    <w:rPr>
                      <w:sz w:val="21"/>
                    </w:rPr>
                    <w:t>3分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问题清单</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问题清单中的日常故障问题不遗失、有跟进、有结论，且应在当期维护期内处理完毕。</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清单中未处理的遗留问题完成率</w:t>
                  </w:r>
                  <w:r>
                    <w:rPr>
                      <w:sz w:val="21"/>
                    </w:rPr>
                    <w:t>90%及以上不扣分；80%-90%扣5分；80%以下扣10分。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软件环境冲突</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对软件环境冲突，运维服务商工程师应积极处理确保兼容性。</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问题不处理扣</w:t>
                  </w:r>
                  <w:r>
                    <w:rPr>
                      <w:sz w:val="21"/>
                    </w:rPr>
                    <w:t>3分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升级前先协商</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升级前，运维服务商应与医院事先协商获得医院同意并具体安排升级事项。</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出现一次没协商扣</w:t>
                  </w:r>
                  <w:r>
                    <w:rPr>
                      <w:sz w:val="21"/>
                    </w:rPr>
                    <w:t>2分。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升级前提交材料</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如需对本系统升级，运维服务商应提供相关的文档材料</w:t>
                  </w:r>
                  <w:r>
                    <w:rPr>
                      <w:sz w:val="21"/>
                    </w:rPr>
                    <w:t>(包括但不限于版本发布说明、测试报告)</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每缺一次升级文档材料，扣</w:t>
                  </w:r>
                  <w:r>
                    <w:rPr>
                      <w:sz w:val="21"/>
                    </w:rPr>
                    <w:t>2分。</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升级前备份</w:t>
                  </w:r>
                </w:p>
              </w:tc>
              <w:tc>
                <w:tcPr>
                  <w:tcW w:type="dxa" w:w="2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运维服务商应在升级前做好程序以及数据库的备份。</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每缺一次备份，扣</w:t>
                  </w:r>
                  <w:r>
                    <w:rPr>
                      <w:sz w:val="21"/>
                    </w:rPr>
                    <w:t>2分。</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5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考核结果与付费比例</w:t>
            </w:r>
          </w:p>
          <w:p>
            <w:pPr>
              <w:pStyle w:val="null3"/>
              <w:jc w:val="both"/>
            </w:pPr>
            <w:r>
              <w:rPr>
                <w:sz w:val="20"/>
              </w:rPr>
              <w:t>HIS</w:t>
            </w:r>
            <w:r>
              <w:rPr>
                <w:sz w:val="20"/>
              </w:rPr>
              <w:t>、电子病历等系统软件运维服务采购方案采购金额的</w:t>
            </w:r>
            <w:r>
              <w:rPr>
                <w:sz w:val="20"/>
              </w:rPr>
              <w:t>50%</w:t>
            </w:r>
            <w:r>
              <w:rPr>
                <w:sz w:val="20"/>
              </w:rPr>
              <w:t>用于考核运维服务质量，付费比例需根据考核结果而定，具体考核要求及付款比例如下：</w:t>
            </w:r>
          </w:p>
          <w:tbl>
            <w:tblPr>
              <w:tblInd w:type="dxa" w:w="120"/>
              <w:tblBorders>
                <w:top w:val="none" w:color="000000" w:sz="4"/>
                <w:left w:val="none" w:color="000000" w:sz="4"/>
                <w:bottom w:val="none" w:color="000000" w:sz="4"/>
                <w:right w:val="none" w:color="000000" w:sz="4"/>
                <w:insideH w:val="none"/>
                <w:insideV w:val="none"/>
              </w:tblBorders>
            </w:tblPr>
            <w:tblGrid>
              <w:gridCol w:w="870"/>
              <w:gridCol w:w="1245"/>
              <w:gridCol w:w="3330"/>
            </w:tblGrid>
            <w:tr>
              <w:tc>
                <w:tcPr>
                  <w:tcW w:type="dxa" w:w="87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both"/>
                  </w:pPr>
                  <w:r>
                    <w:rPr>
                      <w:sz w:val="21"/>
                      <w:b/>
                    </w:rPr>
                    <w:t>考核得分</w:t>
                  </w:r>
                </w:p>
              </w:tc>
              <w:tc>
                <w:tcPr>
                  <w:tcW w:type="dxa" w:w="1245"/>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1"/>
                      <w:b/>
                    </w:rPr>
                    <w:t>付费比例</w:t>
                  </w:r>
                </w:p>
              </w:tc>
              <w:tc>
                <w:tcPr>
                  <w:tcW w:type="dxa" w:w="333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1"/>
                      <w:b/>
                    </w:rPr>
                    <w:t>说明</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≥90分</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运维服务费尾款全额支付</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90分以上视为完全通过</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≥80分,＜90分</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运维服务费尾款扣</w:t>
                  </w:r>
                  <w:r>
                    <w:rPr>
                      <w:sz w:val="21"/>
                    </w:rPr>
                    <w:t>5%后支付</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90分以下为不完全通过。如成交供应商经过整改达到采购人要求，则减扣部分可以补发。</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≥60分,＜80分</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运维服务费尾款</w:t>
                  </w:r>
                  <w:r>
                    <w:rPr>
                      <w:sz w:val="21"/>
                    </w:rPr>
                    <w:t>10%后支付</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80分以下为不完全通过。如成交供应商经过整改达到采购人要求，则减扣部分可以补发。</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60分</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运维服务费尾款暂不支付</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60分以下为不及格，服务费暂不支付，成交供应商必须在一个月内完成整改，然后提请再次考核。</w:t>
                  </w:r>
                </w:p>
                <w:p>
                  <w:pPr>
                    <w:pStyle w:val="null3"/>
                    <w:jc w:val="both"/>
                  </w:pPr>
                  <w:r>
                    <w:rPr>
                      <w:sz w:val="21"/>
                    </w:rPr>
                    <w:t>再次考核及格以上的可以补发相应档次服务费。再次考核仍不及格的，视为成交供应商违约，按违约条款追责。</w:t>
                  </w:r>
                </w:p>
              </w:tc>
            </w:tr>
          </w:tbl>
          <w:p>
            <w:pPr>
              <w:pStyle w:val="null3"/>
              <w:jc w:val="both"/>
            </w:pP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62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pPr>
        <w:pStyle w:val="null3"/>
      </w:pPr>
      <w:r>
        <w:rPr/>
        <w:t>采购包1（HIS、电子病历等系统软件和数据库运维服务）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总期限3年，合同一年一签，采购人根据年度考核结果决定是否续签，不自动续签。</w:t>
            </w:r>
          </w:p>
        </w:tc>
      </w:tr>
      <w:tr>
        <w:tc>
          <w:tcPr>
            <w:tcW w:type="dxa" w:w="4153"/>
          </w:tcPr>
          <w:p>
            <w:pPr>
              <w:pStyle w:val="null3"/>
            </w:pPr>
            <w:r>
              <w:rPr/>
              <w:t>标的提供的地点</w:t>
            </w:r>
          </w:p>
        </w:tc>
        <w:tc>
          <w:tcPr>
            <w:tcW w:type="dxa" w:w="4153"/>
          </w:tcPr>
          <w:p>
            <w:pPr>
              <w:pStyle w:val="null3"/>
            </w:pPr>
            <w:r>
              <w:rPr/>
              <w:t>广东省生殖医院指定地点</w:t>
            </w:r>
          </w:p>
        </w:tc>
      </w:tr>
      <w:tr>
        <w:tc>
          <w:tcPr>
            <w:tcW w:type="dxa" w:w="4153"/>
          </w:tcPr>
          <w:p>
            <w:pPr>
              <w:pStyle w:val="null3"/>
            </w:pPr>
            <w:r>
              <w:rPr/>
              <w:t>付款方式</w:t>
            </w:r>
          </w:p>
        </w:tc>
        <w:tc>
          <w:tcPr>
            <w:tcW w:type="dxa" w:w="4153"/>
          </w:tcPr>
          <w:p>
            <w:pPr>
              <w:pStyle w:val="null3"/>
            </w:pPr>
            <w:r>
              <w:rPr/>
              <w:t>1期：支付比例50%,1）合同生效之日起5个工作日内，供应商必须向采购人提供本合同合格的发票；采购人在收到发票后的10个工作日内向供应商支付合同总金额的50%；</w:t>
            </w:r>
          </w:p>
          <w:p>
            <w:pPr>
              <w:pStyle w:val="null3"/>
            </w:pPr>
            <w:r>
              <w:rPr/>
              <w:t>2期：支付比例50%,2）剩余合同总金额的50%根据验收考核的结果与付费比例进行支付，并由双方签名确认后的10个工作日内，采购人向供应商支付对应比例金额。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1期：1)考核概述 1.维护服务考核按年度进行。 2.维护年度结束后10个工作日内，成交供应商提供年度考核材料，院方根据成交供应商的服务情况，结合实际调查和用户信息反馈，按照合同及各项服务要求，对服务管理各个流程的执行情况和成效、故障处理的完成时间、服务质量和成效进行考核。2)考核依据 考核内容依据采购文件、响应文件、合同、相关承诺及相关补充文件（包括但不限于日常报修记录表、定期巡检报告、需求记录单、信息安全相关记录文件，及年度满意度调查表等）进行。3)考核文件签署每年服务期满前一个月内，成交供应商需撰写服务完成考核报告，由采购人委派的负责人在审核后签署。</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采购文件附件，供应商应将采购公告的采购文件附件中“补充附件”内容填写好相关信息后附在响应文件。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HIS、电子病历等系统软件和数据库运维服务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738,000.00</w:t>
            </w:r>
          </w:p>
        </w:tc>
        <w:tc>
          <w:tcPr>
            <w:tcW w:type="dxa" w:w="933"/>
          </w:tcPr>
          <w:p>
            <w:pPr>
              <w:pStyle w:val="null3"/>
              <w:jc w:val="right"/>
            </w:pPr>
            <w:r>
              <w:rPr/>
              <w:t>738,000.00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HIS、电子病历等系统软件和数据库运维服务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广东省生殖科学研究所（广东省生殖医院）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采购机构代理服务收费标准：本项目代理服务费以预算金额为计算基数，参照国家计委[计价格[2002]1980号]文及国家发改委[2011 ]534号文招标代理服务收费标准差额定率累进法服务类计算收取。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HIS、电子病历等系统软件和数据库运维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采购包1（HIS、电子病历等系统软件和数据库运维服务）：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采购包1（HIS、电子病历等系统软件和数据库运维服务）：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履行合同所必需的设备和专业技术能力证明文件或书面声明。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供应商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本项目不接受联合体磋商。</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本采购包不属于专门面向中小企业采购的项目。（供应商如需提供《中小企业声明函》，本项目标的按照《中小企业划分标准规定》（工信部联企业[2011]300号）划分行业为：软件和信息技术服务业）。</w:t>
            </w:r>
          </w:p>
        </w:tc>
      </w:tr>
    </w:tbl>
    <w:p>
      <w:pPr>
        <w:pStyle w:val="null3"/>
        <w:ind w:firstLine="480"/>
      </w:pPr>
      <w:r>
        <w:rPr/>
        <w:t>表二符合性审查表：</w:t>
      </w:r>
    </w:p>
    <w:p>
      <w:pPr>
        <w:pStyle w:val="null3"/>
      </w:pPr>
      <w:r>
        <w:rPr/>
        <w:t>采购包1（HIS、电子病历等系统软件和数据库运维服务）：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1）响应报价未超过本项目内最高限价（采购预算）； 2）对本项目全部内容进行响应报价； 3）响应报价是唯一确定的。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实质性★项条款</w:t>
            </w:r>
          </w:p>
        </w:tc>
        <w:tc>
          <w:tcPr>
            <w:tcW w:type="dxa" w:w="4238"/>
          </w:tcPr>
          <w:p>
            <w:pPr>
              <w:pStyle w:val="null3"/>
            </w:pPr>
            <w:r>
              <w:rPr/>
              <w:t>满足磋商文件全部实质性★项条款</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w:t>
            </w:r>
          </w:p>
        </w:tc>
      </w:tr>
      <w:tr>
        <w:tc>
          <w:tcPr>
            <w:tcW w:type="dxa" w:w="890"/>
          </w:tcPr>
          <w:p>
            <w:pPr>
              <w:pStyle w:val="null3"/>
            </w:pPr>
            <w:r>
              <w:rPr/>
              <w:t>8</w:t>
            </w:r>
          </w:p>
        </w:tc>
        <w:tc>
          <w:tcPr>
            <w:tcW w:type="dxa" w:w="3178"/>
          </w:tcPr>
          <w:p>
            <w:pPr>
              <w:pStyle w:val="null3"/>
            </w:pPr>
            <w:r>
              <w:rPr/>
              <w:t>其他响应无效情形</w:t>
            </w:r>
          </w:p>
        </w:tc>
        <w:tc>
          <w:tcPr>
            <w:tcW w:type="dxa" w:w="4238"/>
          </w:tcPr>
          <w:p>
            <w:pPr>
              <w:pStyle w:val="null3"/>
            </w:pPr>
            <w:r>
              <w:rPr/>
              <w:t>不存在磋商文件规定的其他响应无效情形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采购包1(HIS、电子病历等系统软件和数据库运维服务):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采购需求中参数的响应情况 (20.0分)</w:t>
            </w:r>
          </w:p>
        </w:tc>
        <w:tc>
          <w:tcPr>
            <w:tcW w:type="dxa" w:w="5076"/>
          </w:tcPr>
          <w:p>
            <w:pPr>
              <w:pStyle w:val="null3"/>
              <w:jc w:val="left"/>
            </w:pPr>
            <w:r>
              <w:rPr/>
              <w:t>根据供应商对《采购需求》 中具体技术（参数）要求条款的响应程度进行评审（共10项）：全部满足得20分，存在负偏离（或未响应） 每项扣2分。 注：如采购需求中有明确提供的证明资料，则以采购需求中要求的为准，如采购需求中无明确证明材料的，则以供应商提供的《技术和服务要求响应表》的响应情况进行评审</w:t>
            </w:r>
          </w:p>
        </w:tc>
      </w:tr>
      <w:tr>
        <w:tc>
          <w:tcPr>
            <w:tcW w:type="dxa" w:w="922"/>
            <w:gridSpan w:val="2"/>
            <w:vMerge/>
          </w:tcPr>
          <w:p/>
        </w:tc>
        <w:tc>
          <w:tcPr>
            <w:tcW w:type="dxa" w:w="2307"/>
          </w:tcPr>
          <w:p>
            <w:pPr>
              <w:pStyle w:val="null3"/>
              <w:jc w:val="left"/>
            </w:pPr>
            <w:r>
              <w:rPr/>
              <w:t>研发能力 (10.0分)</w:t>
            </w:r>
          </w:p>
        </w:tc>
        <w:tc>
          <w:tcPr>
            <w:tcW w:type="dxa" w:w="5076"/>
          </w:tcPr>
          <w:p>
            <w:pPr>
              <w:pStyle w:val="null3"/>
              <w:jc w:val="left"/>
            </w:pPr>
            <w:r>
              <w:rPr/>
              <w:t>本次采购是对医院现有的HIS及电子病历等系统进行维护，要求供应商需具备相关软件研发能力，包括： 具有医院管理信息软件（HIS）、门诊结构化电子病历软件、医技管理软件、临床路径软件、病历质控软件、抗菌药管理软件、患者移动服务软件登记证书等相类型的著作权登记证书，每提供1个得2分，最高得10分，不提供不得分。 注：提供证书的扫描件，并加盖供应商公章。供应商所提供的软著关键字可略有不同，但内容需要与之匹配。</w:t>
            </w:r>
          </w:p>
        </w:tc>
      </w:tr>
      <w:tr>
        <w:tc>
          <w:tcPr>
            <w:tcW w:type="dxa" w:w="922"/>
            <w:gridSpan w:val="2"/>
            <w:vMerge/>
          </w:tcPr>
          <w:p/>
        </w:tc>
        <w:tc>
          <w:tcPr>
            <w:tcW w:type="dxa" w:w="2307"/>
          </w:tcPr>
          <w:p>
            <w:pPr>
              <w:pStyle w:val="null3"/>
              <w:jc w:val="left"/>
            </w:pPr>
            <w:r>
              <w:rPr/>
              <w:t>数据库运维服务方案 (15.0分)</w:t>
            </w:r>
          </w:p>
        </w:tc>
        <w:tc>
          <w:tcPr>
            <w:tcW w:type="dxa" w:w="5076"/>
          </w:tcPr>
          <w:p>
            <w:pPr>
              <w:pStyle w:val="null3"/>
              <w:jc w:val="left"/>
            </w:pPr>
            <w:r>
              <w:rPr/>
              <w:t>根据供应商提供的数据库运维服务方案进行评分，内容至少需包括：医院现有数据库及相关应用层运维服务、故障处理服务、数据库性能优化建议、数据库备份服务，数据库恢复服务等。 1.方案清晰明了，内容全部满足或优于采购需求的，得15分； 2.方案一般，内容基本满足采购需求的，得10分； 3.方案较差，内容不全的，部分满足采购需求的，得5分； 4.无相关方案的得0分。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根据供应商售后服务方案进行评审：包括但不限于供应商售后服务能力、售后服务流程、售后服务方式、服务响应时间、应急预案、售后服务点的技术力量等。 1.方案清晰、完善，可行性高，优于或完全满足采购需求的，得15分； 2.方案完善，可行性高，基本符合采购需求，得10分； 3.方案基本完整，具备一定可行性，部分符合项目需求，得5分； 4.方案不完整，可行性较差，不符合项目需求或未提供，得0分。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企业证书 (2.0分)</w:t>
            </w:r>
          </w:p>
        </w:tc>
        <w:tc>
          <w:tcPr>
            <w:tcW w:type="dxa" w:w="5076"/>
          </w:tcPr>
          <w:p>
            <w:pPr>
              <w:pStyle w:val="null3"/>
              <w:jc w:val="left"/>
            </w:pPr>
            <w:r>
              <w:rPr/>
              <w:t>具有质量管理体系认证证书，得2分； 注:需提供证书复印件和国家认监委网站【全国认证认可信息公共服务平台(cx.cnca.cn)】认证信息查询截图(截图需显示证书状态为有效)并加盖供应商公章。</w:t>
            </w:r>
          </w:p>
        </w:tc>
      </w:tr>
      <w:tr>
        <w:tc>
          <w:tcPr>
            <w:tcW w:type="dxa" w:w="922"/>
            <w:gridSpan w:val="2"/>
            <w:vMerge/>
          </w:tcPr>
          <w:p/>
        </w:tc>
        <w:tc>
          <w:tcPr>
            <w:tcW w:type="dxa" w:w="2307"/>
          </w:tcPr>
          <w:p>
            <w:pPr>
              <w:pStyle w:val="null3"/>
              <w:jc w:val="left"/>
            </w:pPr>
            <w:r>
              <w:rPr/>
              <w:t>服务团队 (8.0分)</w:t>
            </w:r>
          </w:p>
        </w:tc>
        <w:tc>
          <w:tcPr>
            <w:tcW w:type="dxa" w:w="5076"/>
          </w:tcPr>
          <w:p>
            <w:pPr>
              <w:pStyle w:val="null3"/>
              <w:jc w:val="left"/>
            </w:pPr>
            <w:r>
              <w:rPr/>
              <w:t>（一）项目经理（仅限1人）： 供应商拟指派本项目的项目经理具有信息系统项目管理师（高级）证书，得2分。 （二）项目团队资质： 项目团队中（不含项目经理） 1.团队成员具有数据库系统工程师证书，得1.5分； 2.团队成员中具有系统分析师证书，得1.5分； 3.团队成员中具有信息系统管理工程师证书，得1.5分； 4.团队成员中具有网络工程师证书，得1.5分。 本项最多得6分。 注：1.项目负责人及项目团队成员必须为供应商自有员工，提供相关人员相关证书及磋商截止日前由供应商为其缴交的载有社保部门印章的近三个月任意一个月的社保缴纳证明材料。 2. 每个团队成员证书可重复计算得分。</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供应商须提供同类项目业绩，每提供一个业绩得2分，本项最高得10分，不提供不得分。 注：提供合同扫描件或中标（成交）通知书等证明材料复印扫描件加盖公章。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pPr>
      <w:r>
        <w:rPr>
          <w:sz w:val="32"/>
          <w:b/>
        </w:rPr>
        <w:t>委托协议书</w:t>
      </w:r>
    </w:p>
    <w:p>
      <w:pPr>
        <w:pStyle w:val="null3"/>
      </w:pPr>
      <w:r>
        <w:rPr/>
        <w:t xml:space="preserve">                                                                  </w:t>
      </w:r>
      <w:r>
        <w:rPr/>
        <w:t>合同编号：</w:t>
      </w:r>
    </w:p>
    <w:p>
      <w:pPr>
        <w:pStyle w:val="null3"/>
        <w:jc w:val="both"/>
      </w:pPr>
      <w:r>
        <w:rPr>
          <w:sz w:val="21"/>
          <w:b/>
        </w:rPr>
        <w:t>甲方：</w:t>
      </w:r>
      <w:r>
        <w:rPr>
          <w:u w:val="single"/>
        </w:rPr>
        <w:t xml:space="preserve">  </w:t>
      </w:r>
    </w:p>
    <w:p>
      <w:pPr>
        <w:pStyle w:val="null3"/>
        <w:jc w:val="both"/>
      </w:pPr>
      <w:r>
        <w:rPr>
          <w:sz w:val="21"/>
        </w:rPr>
        <w:t>电话：</w:t>
      </w:r>
      <w:r>
        <w:rPr>
          <w:u w:val="single"/>
        </w:rPr>
        <w:t xml:space="preserve">  </w:t>
      </w:r>
      <w:r>
        <w:rPr>
          <w:sz w:val="21"/>
        </w:rPr>
        <w:t>传真</w:t>
      </w:r>
      <w:r>
        <w:rPr>
          <w:sz w:val="21"/>
        </w:rPr>
        <w:t>：</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spacing w:before="150" w:after="150"/>
        <w:jc w:val="both"/>
      </w:pPr>
      <w:r>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rPr>
        <w:t>　　合同金额为（大写）：</w:t>
      </w:r>
      <w:r>
        <w:rPr>
          <w:sz w:val="21"/>
        </w:rPr>
        <w:t>_____________元（￥_________元）人民币。</w:t>
      </w:r>
    </w:p>
    <w:p>
      <w:pPr>
        <w:pStyle w:val="null3"/>
        <w:jc w:val="both"/>
      </w:pPr>
      <w:r>
        <w:rPr>
          <w:sz w:val="21"/>
          <w:b/>
        </w:rPr>
        <w:t>二、服务范围</w:t>
      </w:r>
    </w:p>
    <w:p>
      <w:pPr>
        <w:pStyle w:val="null3"/>
        <w:jc w:val="both"/>
      </w:pPr>
      <w:r>
        <w:rPr>
          <w:sz w:val="21"/>
        </w:rPr>
        <w:t>　　甲方聘请乙方提供以下服务：</w:t>
      </w:r>
    </w:p>
    <w:p>
      <w:pPr>
        <w:pStyle w:val="null3"/>
        <w:jc w:val="both"/>
      </w:pPr>
      <w:r>
        <w:rPr>
          <w:sz w:val="21"/>
        </w:rPr>
        <w:t>详见合同附件</w:t>
      </w:r>
      <w:r>
        <w:rPr>
          <w:sz w:val="21"/>
        </w:rPr>
        <w:t>1：</w:t>
      </w:r>
      <w:r>
        <w:rPr>
          <w:sz w:val="21"/>
        </w:rPr>
        <w:t>采购需求</w:t>
      </w:r>
    </w:p>
    <w:p>
      <w:pPr>
        <w:pStyle w:val="null3"/>
        <w:jc w:val="both"/>
      </w:pPr>
      <w:r>
        <w:rPr>
          <w:sz w:val="21"/>
          <w:b/>
        </w:rPr>
        <w:t>三</w:t>
      </w:r>
      <w:r>
        <w:rPr>
          <w:sz w:val="21"/>
          <w:b/>
        </w:rPr>
        <w:t>、服务期间（项目完成期限）</w:t>
      </w:r>
    </w:p>
    <w:p>
      <w:pPr>
        <w:pStyle w:val="null3"/>
        <w:jc w:val="both"/>
      </w:pPr>
      <w:r>
        <w:rPr>
          <w:sz w:val="21"/>
        </w:rPr>
        <w:t>1.委托服务期间自______年______月至______年______月止。</w:t>
      </w:r>
    </w:p>
    <w:p>
      <w:pPr>
        <w:pStyle w:val="null3"/>
        <w:jc w:val="both"/>
      </w:pPr>
      <w:r>
        <w:rPr>
          <w:sz w:val="21"/>
          <w:b/>
        </w:rPr>
        <w:t>四</w:t>
      </w:r>
      <w:r>
        <w:rPr>
          <w:sz w:val="21"/>
          <w:b/>
        </w:rPr>
        <w:t>、付款方式</w:t>
      </w:r>
    </w:p>
    <w:p>
      <w:pPr>
        <w:pStyle w:val="null3"/>
        <w:jc w:val="both"/>
      </w:pPr>
      <w:r>
        <w:rPr>
          <w:sz w:val="21"/>
        </w:rPr>
        <w:t>　　由甲方按下列程序在</w:t>
      </w:r>
      <w:r>
        <w:rPr>
          <w:u w:val="single"/>
        </w:rPr>
        <w:t xml:space="preserve">       </w:t>
      </w:r>
      <w:r>
        <w:rPr>
          <w:sz w:val="21"/>
        </w:rPr>
        <w:t xml:space="preserve"> </w:t>
      </w:r>
      <w:r>
        <w:rPr>
          <w:sz w:val="21"/>
        </w:rPr>
        <w:t>内付款：</w:t>
      </w:r>
    </w:p>
    <w:p>
      <w:pPr>
        <w:pStyle w:val="null3"/>
        <w:jc w:val="both"/>
      </w:pPr>
      <w:r>
        <w:rPr>
          <w:sz w:val="21"/>
        </w:rPr>
        <w:t>1.在合同实施及服务人员到达服务地后__天内，甲方应将第一次付　　款总服务费的__(-%)付给乙方。</w:t>
      </w:r>
    </w:p>
    <w:p>
      <w:pPr>
        <w:pStyle w:val="null3"/>
        <w:jc w:val="both"/>
      </w:pPr>
      <w:r>
        <w:rPr>
          <w:sz w:val="21"/>
        </w:rPr>
        <w:t>2.第二次付款额应为总服务费的__(-%)，甲方应在乙方已经准备好，并递交了服务报告及其它相关文件，而这些报告和文件符合合同附件上的要求并被甲方验收后付给乙方。</w:t>
      </w:r>
    </w:p>
    <w:p>
      <w:pPr>
        <w:pStyle w:val="null3"/>
        <w:jc w:val="both"/>
      </w:pPr>
      <w:r>
        <w:rPr>
          <w:sz w:val="21"/>
        </w:rPr>
        <w:t>3.最后一次付款额应为总服务费的__(-%)，甲方应在乙方递交了服务总结报告和说明并完全履行合同完毕_________日内付给乙方。</w:t>
      </w:r>
    </w:p>
    <w:p>
      <w:pPr>
        <w:pStyle w:val="null3"/>
        <w:jc w:val="both"/>
      </w:pPr>
      <w:r>
        <w:rPr>
          <w:sz w:val="21"/>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both"/>
      </w:pPr>
      <w:r>
        <w:rPr>
          <w:sz w:val="21"/>
          <w:b/>
        </w:rPr>
        <w:t>五</w:t>
      </w:r>
      <w:r>
        <w:rPr>
          <w:sz w:val="21"/>
          <w:b/>
        </w:rPr>
        <w:t>、知识产权归属</w:t>
      </w:r>
    </w:p>
    <w:p>
      <w:pPr>
        <w:pStyle w:val="null3"/>
        <w:jc w:val="both"/>
      </w:pPr>
      <w:r>
        <w:rPr>
          <w:sz w:val="21"/>
        </w:rPr>
        <w:t>乙方保证在提供维保服务过程中不侵害第三方知识产权等合法权益，否则，由此引起的争议，后果概由乙方自行解决、承担，并赔偿因此给甲方带来的经济损失（包括但不限于直接经济损失，且以实际遭受损失为限）</w:t>
      </w:r>
      <w:r>
        <w:rPr>
          <w:sz w:val="21"/>
        </w:rPr>
        <w:t>。</w:t>
      </w:r>
    </w:p>
    <w:p>
      <w:pPr>
        <w:pStyle w:val="null3"/>
        <w:jc w:val="both"/>
      </w:pPr>
      <w:r>
        <w:rPr>
          <w:sz w:val="21"/>
          <w:b/>
        </w:rPr>
        <w:t>六</w:t>
      </w:r>
      <w:r>
        <w:rPr>
          <w:sz w:val="21"/>
          <w:b/>
        </w:rPr>
        <w:t>、保密</w:t>
      </w:r>
    </w:p>
    <w:p>
      <w:pPr>
        <w:pStyle w:val="null3"/>
        <w:jc w:val="both"/>
      </w:pPr>
      <w:r>
        <w:rPr>
          <w:sz w:val="21"/>
        </w:rPr>
        <w:t>1</w:t>
      </w:r>
      <w:r>
        <w:rPr>
          <w:sz w:val="21"/>
        </w:rPr>
        <w:t>、</w:t>
      </w:r>
      <w:r>
        <w:rPr>
          <w:sz w:val="21"/>
        </w:rPr>
        <w:t>乙方应对在履行本合同过程中获悉的甲方的有关数据机密、文档资料、商业秘密及甲方要求保密的其他信息，如患者隐私（以下简称</w:t>
      </w:r>
      <w:r>
        <w:rPr>
          <w:sz w:val="21"/>
        </w:rPr>
        <w:t>“保密信息”）严格保密，并采取相应的保密措施。乙方应承担的保密义务包括但不限于：</w:t>
      </w:r>
    </w:p>
    <w:p>
      <w:pPr>
        <w:pStyle w:val="null3"/>
        <w:jc w:val="both"/>
      </w:pPr>
      <w:r>
        <w:rPr>
          <w:sz w:val="21"/>
        </w:rPr>
        <w:t>1.1 未经甲方书面同意，不得将上述保密信息披露给任何第三人；</w:t>
      </w:r>
    </w:p>
    <w:p>
      <w:pPr>
        <w:pStyle w:val="null3"/>
        <w:jc w:val="both"/>
      </w:pPr>
      <w:r>
        <w:rPr>
          <w:sz w:val="21"/>
        </w:rPr>
        <w:t>1.2 不得将上述保密信息用于本合同以外的其他目的；</w:t>
      </w:r>
    </w:p>
    <w:p>
      <w:pPr>
        <w:pStyle w:val="null3"/>
        <w:jc w:val="both"/>
      </w:pPr>
      <w:r>
        <w:rPr>
          <w:sz w:val="21"/>
        </w:rPr>
        <w:t>1.3 在本合同终止或解除后或甲方要求时，及时将上述保密信息返还甲方或按甲方要求作适当处理。</w:t>
      </w:r>
    </w:p>
    <w:p>
      <w:pPr>
        <w:pStyle w:val="null3"/>
        <w:jc w:val="both"/>
      </w:pPr>
      <w:r>
        <w:rPr>
          <w:sz w:val="21"/>
        </w:rPr>
        <w:t>2</w:t>
      </w:r>
      <w:r>
        <w:rPr>
          <w:sz w:val="21"/>
        </w:rPr>
        <w:t>、</w:t>
      </w:r>
      <w:r>
        <w:rPr>
          <w:sz w:val="21"/>
        </w:rPr>
        <w:t>上述保密义务的期限至保密信息正式向社会公开之日或甲方书面解除乙方本合同项下保密义务之日止。</w:t>
      </w:r>
    </w:p>
    <w:p>
      <w:pPr>
        <w:pStyle w:val="null3"/>
        <w:jc w:val="both"/>
      </w:pPr>
      <w:r>
        <w:rPr>
          <w:sz w:val="21"/>
          <w:b/>
        </w:rPr>
        <w:t>七</w:t>
      </w:r>
      <w:r>
        <w:rPr>
          <w:sz w:val="21"/>
          <w:b/>
        </w:rPr>
        <w:t>、违约责任与赔偿损失</w:t>
      </w:r>
    </w:p>
    <w:p>
      <w:pPr>
        <w:pStyle w:val="null3"/>
        <w:jc w:val="both"/>
      </w:pPr>
      <w:r>
        <w:rPr>
          <w:sz w:val="21"/>
        </w:rPr>
        <w:t>1.乙方提供的服务不符合本合同规定的，甲方有权拒收，并且乙方须向甲方方支付本合同总价5%的违约金。</w:t>
      </w:r>
    </w:p>
    <w:p>
      <w:pPr>
        <w:pStyle w:val="null3"/>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3.甲方无正当理由拒收接受服务，到期拒付服务款项的，甲方向乙方偿付本合同总的5%的违约金。甲方人逾期付款，则每日按本合同总价的3‰向乙方偿付违约金。</w:t>
      </w:r>
    </w:p>
    <w:p>
      <w:pPr>
        <w:pStyle w:val="null3"/>
        <w:jc w:val="both"/>
      </w:pPr>
      <w:r>
        <w:rPr>
          <w:sz w:val="21"/>
        </w:rPr>
        <w:t>4</w:t>
      </w:r>
      <w:r>
        <w:rPr>
          <w:sz w:val="21"/>
        </w:rPr>
        <w:t>.其它违约责任按《中华人民共和国民法典(合同编)》处理。</w:t>
      </w:r>
    </w:p>
    <w:p>
      <w:pPr>
        <w:pStyle w:val="null3"/>
        <w:jc w:val="both"/>
      </w:pPr>
      <w:r>
        <w:rPr>
          <w:sz w:val="21"/>
          <w:b/>
        </w:rPr>
        <w:t>八</w:t>
      </w:r>
      <w:r>
        <w:rPr>
          <w:sz w:val="21"/>
          <w:b/>
        </w:rPr>
        <w:t>、争议的解决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jc w:val="both"/>
      </w:pPr>
      <w:r>
        <w:rPr>
          <w:sz w:val="21"/>
          <w:b/>
        </w:rPr>
        <w:t>九</w:t>
      </w:r>
      <w:r>
        <w:rPr>
          <w:sz w:val="21"/>
          <w:b/>
        </w:rPr>
        <w:t>、不可抗力</w:t>
      </w:r>
    </w:p>
    <w:p>
      <w:pPr>
        <w:pStyle w:val="null3"/>
        <w:jc w:val="both"/>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jc w:val="both"/>
      </w:pPr>
      <w:r>
        <w:rPr>
          <w:sz w:val="21"/>
        </w:rPr>
        <w:t>　　在中国境内、外发生的与本合同执行有关的一切税费均由乙方负担。</w:t>
      </w:r>
    </w:p>
    <w:p>
      <w:pPr>
        <w:pStyle w:val="null3"/>
        <w:jc w:val="both"/>
      </w:pPr>
      <w:r>
        <w:rPr>
          <w:sz w:val="21"/>
          <w:b/>
        </w:rPr>
        <w:t>十</w:t>
      </w:r>
      <w:r>
        <w:rPr>
          <w:sz w:val="21"/>
          <w:b/>
        </w:rPr>
        <w:t>一</w:t>
      </w:r>
      <w:r>
        <w:rPr>
          <w:sz w:val="21"/>
          <w:b/>
        </w:rPr>
        <w:t>、其它</w:t>
      </w:r>
    </w:p>
    <w:p>
      <w:pPr>
        <w:pStyle w:val="null3"/>
        <w:jc w:val="both"/>
      </w:pPr>
      <w:r>
        <w:rPr>
          <w:sz w:val="21"/>
        </w:rPr>
        <w:t>1.本合同所有附件、</w:t>
      </w:r>
      <w:r>
        <w:rPr>
          <w:sz w:val="21"/>
        </w:rPr>
        <w:t>采购</w:t>
      </w:r>
      <w:r>
        <w:rPr>
          <w:sz w:val="21"/>
        </w:rPr>
        <w:t>文件、</w:t>
      </w:r>
      <w:r>
        <w:rPr>
          <w:sz w:val="21"/>
        </w:rPr>
        <w:t>响应</w:t>
      </w:r>
      <w:r>
        <w:rPr>
          <w:sz w:val="21"/>
        </w:rPr>
        <w:t>文件、</w:t>
      </w:r>
      <w:r>
        <w:rPr>
          <w:sz w:val="21"/>
        </w:rPr>
        <w:t>成交</w:t>
      </w:r>
      <w:r>
        <w:rPr>
          <w:sz w:val="21"/>
        </w:rPr>
        <w:t>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 xml:space="preserve">   </w:t>
      </w:r>
      <w:r>
        <w:rPr>
          <w:sz w:val="21"/>
          <w:b/>
        </w:rPr>
        <w:t>十</w:t>
      </w:r>
      <w:r>
        <w:rPr>
          <w:sz w:val="21"/>
          <w:b/>
        </w:rPr>
        <w:t>二</w:t>
      </w:r>
      <w:r>
        <w:rPr>
          <w:sz w:val="21"/>
          <w:b/>
        </w:rPr>
        <w:t>、合同生效</w:t>
      </w:r>
    </w:p>
    <w:p>
      <w:pPr>
        <w:pStyle w:val="null3"/>
        <w:jc w:val="both"/>
      </w:pPr>
      <w:r>
        <w:rPr>
          <w:b/>
        </w:rPr>
        <w:t xml:space="preserve">       </w:t>
      </w:r>
      <w:r>
        <w:rPr>
          <w:sz w:val="21"/>
        </w:rPr>
        <w:t>1. 本合同在甲乙双方法人代表或其授权代表签字盖章后生效。</w:t>
      </w:r>
    </w:p>
    <w:p>
      <w:pPr>
        <w:pStyle w:val="null3"/>
      </w:pPr>
      <w:r>
        <w:rPr>
          <w:sz w:val="21"/>
        </w:rPr>
        <w:t xml:space="preserve">       </w:t>
      </w:r>
      <w:r>
        <w:rPr>
          <w:sz w:val="21"/>
        </w:rPr>
        <w:t>2. 合同一式  份。</w:t>
      </w:r>
    </w:p>
    <w:p>
      <w:pPr>
        <w:pStyle w:val="null3"/>
        <w:spacing w:before="15"/>
      </w:pPr>
      <w:r>
        <w:rPr>
          <w:sz w:val="21"/>
          <w:b/>
        </w:rPr>
        <w:t xml:space="preserve">   </w:t>
      </w:r>
      <w:r>
        <w:rPr>
          <w:sz w:val="21"/>
          <w:b/>
        </w:rPr>
        <w:t>十</w:t>
      </w:r>
      <w:r>
        <w:rPr>
          <w:sz w:val="21"/>
          <w:b/>
        </w:rPr>
        <w:t>三</w:t>
      </w:r>
      <w:r>
        <w:rPr>
          <w:sz w:val="21"/>
          <w:b/>
        </w:rPr>
        <w:t>、合同附件</w:t>
      </w:r>
    </w:p>
    <w:p>
      <w:pPr>
        <w:pStyle w:val="null3"/>
        <w:spacing w:before="15"/>
      </w:pPr>
      <w:r>
        <w:rPr>
          <w:sz w:val="21"/>
        </w:rPr>
        <w:t xml:space="preserve">    </w:t>
      </w:r>
      <w:r>
        <w:rPr>
          <w:sz w:val="21"/>
        </w:rPr>
        <w:t>1.采购需求</w:t>
      </w:r>
    </w:p>
    <w:p>
      <w:pPr>
        <w:pStyle w:val="null3"/>
      </w:pPr>
      <w:r>
        <w:rPr/>
        <w:t xml:space="preserve">    </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440001-2026-10597</w:t>
      </w:r>
    </w:p>
    <w:p>
      <w:pPr>
        <w:pStyle w:val="null3"/>
        <w:jc w:val="center"/>
        <w:outlineLvl w:val="3"/>
      </w:pPr>
      <w:r>
        <w:rPr>
          <w:sz w:val="24"/>
          <w:b/>
        </w:rPr>
        <w:t>采购项目编号：</w:t>
      </w:r>
      <w:r>
        <w:rPr>
          <w:sz w:val="24"/>
          <w:b/>
        </w:rPr>
        <w:t>0724-2621Z1911949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广东省生殖医院HIS、电子病历等系统软件和数据库运维服务项目</w:t>
      </w:r>
      <w:r>
        <w:rPr>
          <w:u w:val="single"/>
        </w:rPr>
        <w:t>”</w:t>
      </w:r>
      <w:r>
        <w:rPr/>
        <w:t>项目的竞争性磋商[采购项目编号为：</w:t>
      </w:r>
      <w:r>
        <w:rPr>
          <w:u w:val="single"/>
        </w:rPr>
        <w:t>0724-2621Z1911949</w:t>
      </w:r>
      <w:r>
        <w:rPr/>
        <w:t>]，我方愿参与响应。</w:t>
      </w:r>
    </w:p>
    <w:p>
      <w:pPr>
        <w:pStyle w:val="null3"/>
        <w:ind w:firstLine="480"/>
      </w:pPr>
      <w:r>
        <w:rPr/>
        <w:t>我方确认收到贵方提供的</w:t>
      </w:r>
      <w:r>
        <w:rPr>
          <w:u w:val="single"/>
        </w:rPr>
        <w:t>“</w:t>
      </w:r>
      <w:r>
        <w:rPr>
          <w:u w:val="single"/>
        </w:rPr>
        <w:t>广东省生殖医院HIS、电子病历等系统软件和数据库运维服务项目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广东省生殖医院HIS、电子病历等系统软件和数据库运维服务项目</w:t>
      </w:r>
      <w:r>
        <w:rPr/>
        <w:t>”项目采购[采购项目编号为</w:t>
      </w:r>
      <w:r>
        <w:rPr/>
        <w:t>0724-2621Z1911949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广东省生殖科学研究所（广东省生殖医院）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广东省生殖医院HIS、电子病历等系统软件和数据库运维服务项目</w:t>
      </w:r>
      <w:r>
        <w:rPr/>
        <w:t>（采购项目编号：</w:t>
      </w:r>
      <w:r>
        <w:rPr/>
        <w:t>0724-2621Z1911949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广东省生殖医院HIS、电子病历等系统软件和数据库运维服务项目</w:t>
      </w:r>
      <w:r>
        <w:rPr/>
        <w:t>”项目（采购项目编号：</w:t>
      </w:r>
      <w:r>
        <w:rPr/>
        <w:t>0724-2621Z1911949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