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hint="eastAsia" w:ascii="宋体" w:hAnsi="宋体"/>
          <w:b/>
          <w:color w:val="auto"/>
          <w:sz w:val="48"/>
          <w:szCs w:val="48"/>
          <w:highlight w:val="none"/>
          <w:lang w:val="en-US" w:eastAsia="zh-CN"/>
        </w:rPr>
      </w:pPr>
    </w:p>
    <w:p>
      <w:pPr>
        <w:tabs>
          <w:tab w:val="left" w:pos="720"/>
        </w:tabs>
        <w:spacing w:line="360" w:lineRule="auto"/>
        <w:jc w:val="center"/>
        <w:rPr>
          <w:rFonts w:ascii="宋体" w:hAnsi="宋体"/>
          <w:b/>
          <w:color w:val="auto"/>
          <w:sz w:val="48"/>
          <w:szCs w:val="48"/>
          <w:highlight w:val="none"/>
        </w:rPr>
      </w:pPr>
      <w:r>
        <w:rPr>
          <w:rFonts w:hint="eastAsia" w:ascii="宋体" w:hAnsi="宋体"/>
          <w:b/>
          <w:color w:val="auto"/>
          <w:sz w:val="48"/>
          <w:szCs w:val="48"/>
          <w:highlight w:val="none"/>
          <w:lang w:val="en-US" w:eastAsia="zh-CN"/>
        </w:rPr>
        <w:t>第一部分</w:t>
      </w:r>
      <w:r>
        <w:rPr>
          <w:rFonts w:hint="eastAsia" w:ascii="宋体" w:hAnsi="宋体"/>
          <w:b/>
          <w:color w:val="auto"/>
          <w:sz w:val="48"/>
          <w:szCs w:val="48"/>
          <w:highlight w:val="none"/>
        </w:rPr>
        <w:t>、用户需求书</w:t>
      </w:r>
    </w:p>
    <w:p>
      <w:pPr>
        <w:tabs>
          <w:tab w:val="left" w:pos="720"/>
        </w:tabs>
        <w:spacing w:line="360" w:lineRule="auto"/>
        <w:rPr>
          <w:rFonts w:ascii="宋体" w:hAnsi="宋体"/>
          <w:b/>
          <w:color w:val="auto"/>
          <w:sz w:val="48"/>
          <w:szCs w:val="48"/>
          <w:highlight w:val="none"/>
        </w:rPr>
      </w:pPr>
    </w:p>
    <w:p>
      <w:pPr>
        <w:spacing w:line="300" w:lineRule="auto"/>
        <w:rPr>
          <w:rFonts w:ascii="宋体" w:hAnsi="宋体"/>
          <w:b/>
          <w:color w:val="auto"/>
          <w:sz w:val="24"/>
          <w:szCs w:val="24"/>
          <w:highlight w:val="none"/>
        </w:rPr>
      </w:pPr>
      <w:r>
        <w:rPr>
          <w:rFonts w:ascii="宋体" w:hAnsi="宋体"/>
          <w:b/>
          <w:color w:val="auto"/>
          <w:sz w:val="24"/>
          <w:szCs w:val="24"/>
          <w:highlight w:val="none"/>
        </w:rPr>
        <w:br w:type="page"/>
      </w:r>
    </w:p>
    <w:p>
      <w:pPr>
        <w:numPr>
          <w:ilvl w:val="0"/>
          <w:numId w:val="0"/>
        </w:numPr>
        <w:spacing w:line="300" w:lineRule="auto"/>
        <w:jc w:val="center"/>
        <w:rPr>
          <w:rFonts w:hint="eastAsia" w:ascii="宋体" w:hAnsi="宋体"/>
          <w:b/>
          <w:bCs/>
          <w:color w:val="auto"/>
          <w:spacing w:val="10"/>
          <w:kern w:val="0"/>
          <w:sz w:val="28"/>
          <w:szCs w:val="28"/>
          <w:highlight w:val="none"/>
          <w:lang w:val="en-US" w:eastAsia="zh-CN"/>
        </w:rPr>
      </w:pPr>
      <w:r>
        <w:rPr>
          <w:rFonts w:hint="eastAsia" w:ascii="宋体" w:hAnsi="宋体"/>
          <w:b/>
          <w:bCs/>
          <w:color w:val="auto"/>
          <w:spacing w:val="10"/>
          <w:kern w:val="0"/>
          <w:sz w:val="28"/>
          <w:szCs w:val="28"/>
          <w:highlight w:val="none"/>
          <w:lang w:val="en-US" w:eastAsia="zh-CN"/>
        </w:rPr>
        <w:t>用户需求书</w:t>
      </w:r>
    </w:p>
    <w:p>
      <w:pPr>
        <w:autoSpaceDE/>
        <w:autoSpaceDN/>
        <w:adjustRightInd/>
        <w:ind w:firstLine="420" w:firstLineChars="200"/>
        <w:jc w:val="both"/>
        <w:rPr>
          <w:rFonts w:hAnsi="宋体"/>
          <w:bCs/>
          <w:color w:val="auto"/>
          <w:kern w:val="2"/>
          <w:sz w:val="21"/>
          <w:szCs w:val="21"/>
          <w:highlight w:val="none"/>
        </w:rPr>
      </w:pPr>
    </w:p>
    <w:p>
      <w:pPr>
        <w:widowControl w:val="0"/>
        <w:kinsoku w:val="0"/>
        <w:overflowPunct w:val="0"/>
        <w:autoSpaceDE w:val="0"/>
        <w:autoSpaceDN w:val="0"/>
        <w:adjustRightInd w:val="0"/>
        <w:ind w:left="0" w:firstLine="0"/>
        <w:outlineLvl w:val="4"/>
        <w:rPr>
          <w:rFonts w:hint="eastAsia" w:ascii="宋体" w:hAnsi="宋体" w:eastAsia="宋体" w:cs="宋体"/>
          <w:b/>
          <w:bCs/>
          <w:sz w:val="21"/>
          <w:szCs w:val="21"/>
          <w:highlight w:val="none"/>
          <w:lang w:val="en-US" w:eastAsia="zh-CN" w:bidi="ar-SA"/>
        </w:rPr>
      </w:pPr>
    </w:p>
    <w:p>
      <w:pPr>
        <w:widowControl w:val="0"/>
        <w:kinsoku w:val="0"/>
        <w:overflowPunct w:val="0"/>
        <w:autoSpaceDE w:val="0"/>
        <w:autoSpaceDN w:val="0"/>
        <w:adjustRightInd w:val="0"/>
        <w:ind w:left="0" w:firstLine="0"/>
        <w:outlineLvl w:val="4"/>
        <w:rPr>
          <w:rFonts w:hint="eastAsia" w:ascii="宋体" w:hAnsi="宋体" w:eastAsia="宋体" w:cs="宋体"/>
          <w:b/>
          <w:bCs/>
          <w:sz w:val="21"/>
          <w:szCs w:val="21"/>
          <w:highlight w:val="none"/>
          <w:lang w:val="en-US" w:eastAsia="zh-CN" w:bidi="ar-SA"/>
        </w:rPr>
      </w:pPr>
      <w:r>
        <w:rPr>
          <w:rFonts w:hint="eastAsia" w:ascii="宋体" w:hAnsi="宋体" w:eastAsia="宋体" w:cs="宋体"/>
          <w:b/>
          <w:bCs/>
          <w:sz w:val="21"/>
          <w:szCs w:val="21"/>
          <w:highlight w:val="none"/>
          <w:lang w:val="en-US" w:eastAsia="zh-CN" w:bidi="ar-SA"/>
        </w:rPr>
        <w:t>附表一：污水处理站外包运营服务</w:t>
      </w:r>
    </w:p>
    <w:p>
      <w:pPr>
        <w:spacing w:line="300" w:lineRule="auto"/>
        <w:ind w:firstLine="602" w:firstLineChars="200"/>
        <w:rPr>
          <w:rFonts w:hint="eastAsia" w:ascii="宋体" w:hAnsi="宋体" w:eastAsia="宋体" w:cs="宋体"/>
          <w:spacing w:val="10"/>
          <w:sz w:val="21"/>
          <w:szCs w:val="21"/>
          <w:highlight w:val="yellow"/>
        </w:rPr>
      </w:pPr>
      <w:r>
        <w:rPr>
          <w:rFonts w:hint="eastAsia" w:ascii="宋体" w:hAnsi="宋体" w:eastAsia="宋体" w:cs="宋体"/>
          <w:b/>
          <w:bCs/>
          <w:spacing w:val="10"/>
          <w:sz w:val="28"/>
          <w:szCs w:val="28"/>
          <w:highlight w:val="yellow"/>
        </w:rPr>
        <w:t>说明：投标人应对以下《用户需求书》的全部内容，逐条响应并填写《格式十五：技术和服务要求响应表》，仅对其中部分技术或服务内容的响应都被视为无效投标。</w:t>
      </w:r>
    </w:p>
    <w:p>
      <w:pPr>
        <w:widowControl w:val="0"/>
        <w:autoSpaceDE w:val="0"/>
        <w:autoSpaceDN w:val="0"/>
        <w:adjustRightInd w:val="0"/>
        <w:ind w:firstLine="0"/>
        <w:rPr>
          <w:rFonts w:hint="eastAsia" w:ascii="宋体" w:hAnsi="宋体" w:eastAsia="宋体" w:cs="宋体"/>
          <w:sz w:val="22"/>
          <w:szCs w:val="21"/>
          <w:highlight w:val="none"/>
          <w:lang w:val="en-US" w:eastAsia="zh-CN" w:bidi="ar-SA"/>
        </w:rPr>
      </w:pPr>
    </w:p>
    <w:p>
      <w:pP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一、项目基本概况介绍</w:t>
      </w:r>
      <w:bookmarkStart w:id="20" w:name="_GoBack"/>
      <w:bookmarkEnd w:id="20"/>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（一）项目名称：广州市第一人民医院采购污水处理站外包运营服务项目。</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（二）项目地点：广州市越秀区盘福路1号（总院）、广州市荔湾区花地大道南30~32号（鹤洞分院）</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（三）预期最大处理水量：总院2700m3/d，鹤洞分院20m3/d</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（四）项目描述：</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广州市第一人民医院（以下简称“市一医院”），始建于1899年，历经多次建设和发展，现有编制床位1990床（含鹤洞分院），医院设置专业学科50个。为了更好地为广大人民群众提供医疗服务，市委、市政府高度重视市一医院的整体扩建工作，配套改造污水处理站及院内给排水、供电等公用工程和道路硬地、绿化等室外工程。</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总院新污水处理站的设计能力为4000 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d，拟采用的处理工艺为“粗格栅+调节池+AAO/MBR膜生物反应池+次氯酸钠消毒”的组合污水处理工艺。污泥处理采用离心脱水一体机工艺，脱水后污泥含水率小于等于80%。主要建构筑物包括∶粗格栅、调节池、泵房、污泥池、AA0生化池、MBR膜池，消毒池，鼓风机房、加药间及控制值班室/仪表间等。</w:t>
      </w:r>
    </w:p>
    <w:p>
      <w:pPr>
        <w:tabs>
          <w:tab w:val="left" w:pos="105"/>
          <w:tab w:val="left" w:pos="210"/>
        </w:tabs>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鹤洞分院污水处站的设计能力为20 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/d，工艺采用“一级强化+单过硫酸氢钾复合盐消毒”，主要建构筑物包括：格栅池、调节池、水解酸化池、接触氧化池、沉淀池、清水池等。</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（五）设计工艺图（现场设备如有变化，以现场设备为准）</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1、工艺设备、管线清单表（图号JS-WS-GY-03-04）</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228715" cy="4396105"/>
            <wp:effectExtent l="0" t="0" r="635" b="4445"/>
            <wp:docPr id="3" name="图片 1" descr="市一污水治理--工艺(202001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市一污水治理--工艺(20200113)_07"/>
                    <pic:cNvPicPr>
                      <a:picLocks noChangeAspect="1"/>
                    </pic:cNvPicPr>
                  </pic:nvPicPr>
                  <pic:blipFill>
                    <a:blip r:embed="rId5"/>
                    <a:stretch>
                      <a:fillRect/>
                    </a:stretch>
                  </pic:blipFill>
                  <pic:spPr>
                    <a:xfrm>
                      <a:off x="0" y="0"/>
                      <a:ext cx="6228715" cy="4396105"/>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rPr>
        <w:t>2、鼓风机房设计说明（图号JS-WS-GY-04-02）</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232525" cy="4398010"/>
            <wp:effectExtent l="0" t="0" r="15875" b="2540"/>
            <wp:docPr id="4" name="图片 2" descr="市一污水治理--工艺(2020011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市一污水治理--工艺(20200113)_09"/>
                    <pic:cNvPicPr>
                      <a:picLocks noChangeAspect="1"/>
                    </pic:cNvPicPr>
                  </pic:nvPicPr>
                  <pic:blipFill>
                    <a:blip r:embed="rId6"/>
                    <a:stretch>
                      <a:fillRect/>
                    </a:stretch>
                  </pic:blipFill>
                  <pic:spPr>
                    <a:xfrm>
                      <a:off x="0" y="0"/>
                      <a:ext cx="6232525" cy="4398010"/>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3、次氯酸钠加药装置设备清单（图号JS-WS-GY-05-03）</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153150" cy="4347210"/>
            <wp:effectExtent l="0" t="0" r="0" b="15240"/>
            <wp:docPr id="9" name="图片 3" descr="市一污水治理--工艺(202001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市一污水治理--工艺(20200113)_12"/>
                    <pic:cNvPicPr>
                      <a:picLocks noChangeAspect="1"/>
                    </pic:cNvPicPr>
                  </pic:nvPicPr>
                  <pic:blipFill>
                    <a:blip r:embed="rId7"/>
                    <a:stretch>
                      <a:fillRect/>
                    </a:stretch>
                  </pic:blipFill>
                  <pic:spPr>
                    <a:xfrm>
                      <a:off x="0" y="0"/>
                      <a:ext cx="6153150" cy="4347210"/>
                    </a:xfrm>
                    <a:prstGeom prst="rect">
                      <a:avLst/>
                    </a:prstGeom>
                    <a:noFill/>
                    <a:ln>
                      <a:noFill/>
                    </a:ln>
                  </pic:spPr>
                </pic:pic>
              </a:graphicData>
            </a:graphic>
          </wp:inline>
        </w:drawing>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rPr>
        <w:t>4、污泥脱水工艺设计说明（图号JS-WS-GY-06-05）</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168390" cy="4353560"/>
            <wp:effectExtent l="0" t="0" r="3810" b="8890"/>
            <wp:docPr id="10" name="图片 4" descr="市一污水治理--工艺(2020011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市一污水治理--工艺(20200113)_17"/>
                    <pic:cNvPicPr>
                      <a:picLocks noChangeAspect="1"/>
                    </pic:cNvPicPr>
                  </pic:nvPicPr>
                  <pic:blipFill>
                    <a:blip r:embed="rId8"/>
                    <a:stretch>
                      <a:fillRect/>
                    </a:stretch>
                  </pic:blipFill>
                  <pic:spPr>
                    <a:xfrm>
                      <a:off x="0" y="0"/>
                      <a:ext cx="6168390" cy="4353560"/>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5、水泵间水泵设备清单（图号JS-WS-GY-07-03）</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170930" cy="4355465"/>
            <wp:effectExtent l="0" t="0" r="1270" b="6985"/>
            <wp:docPr id="8" name="图片 5" descr="市一污水治理--工艺(2020011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市一污水治理--工艺(20200113)_20"/>
                    <pic:cNvPicPr>
                      <a:picLocks noChangeAspect="1"/>
                    </pic:cNvPicPr>
                  </pic:nvPicPr>
                  <pic:blipFill>
                    <a:blip r:embed="rId9"/>
                    <a:stretch>
                      <a:fillRect/>
                    </a:stretch>
                  </pic:blipFill>
                  <pic:spPr>
                    <a:xfrm>
                      <a:off x="0" y="0"/>
                      <a:ext cx="6170930" cy="4355465"/>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rPr>
        <w:t>6、曝气材料清单（图号JS-WS-GY-08-04）</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147435" cy="4338955"/>
            <wp:effectExtent l="0" t="0" r="5715" b="4445"/>
            <wp:docPr id="7" name="图片 6" descr="市一污水治理--工艺(2020011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市一污水治理--工艺(20200113)_24"/>
                    <pic:cNvPicPr>
                      <a:picLocks noChangeAspect="1"/>
                    </pic:cNvPicPr>
                  </pic:nvPicPr>
                  <pic:blipFill>
                    <a:blip r:embed="rId10"/>
                    <a:stretch>
                      <a:fillRect/>
                    </a:stretch>
                  </pic:blipFill>
                  <pic:spPr>
                    <a:xfrm>
                      <a:off x="0" y="0"/>
                      <a:ext cx="6147435" cy="4338955"/>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7、污水站通风除臭设备材料清单（图号JS-WS-TF-06）</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6184265" cy="4364990"/>
            <wp:effectExtent l="0" t="0" r="6985" b="16510"/>
            <wp:docPr id="6" name="图片 7" descr="市一污水治理--除臭（2019092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市一污水治理--除臭（20190929)_06"/>
                    <pic:cNvPicPr>
                      <a:picLocks noChangeAspect="1"/>
                    </pic:cNvPicPr>
                  </pic:nvPicPr>
                  <pic:blipFill>
                    <a:blip r:embed="rId11"/>
                    <a:stretch>
                      <a:fillRect/>
                    </a:stretch>
                  </pic:blipFill>
                  <pic:spPr>
                    <a:xfrm>
                      <a:off x="0" y="0"/>
                      <a:ext cx="6184265" cy="4364990"/>
                    </a:xfrm>
                    <a:prstGeom prst="rect">
                      <a:avLst/>
                    </a:prstGeom>
                    <a:noFill/>
                    <a:ln>
                      <a:noFill/>
                    </a:ln>
                  </pic:spPr>
                </pic:pic>
              </a:graphicData>
            </a:graphic>
          </wp:inline>
        </w:drawing>
      </w:r>
    </w:p>
    <w:p>
      <w:pPr>
        <w:rPr>
          <w:rFonts w:hint="eastAsia" w:ascii="宋体" w:hAnsi="宋体"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rPr>
        <w:t>8、主要设备材料表（图号WS-DQ-003）</w:t>
      </w:r>
    </w:p>
    <w:p>
      <w:pPr>
        <w:widowControl w:val="0"/>
        <w:autoSpaceDE w:val="0"/>
        <w:autoSpaceDN w:val="0"/>
        <w:adjustRightInd w:val="0"/>
        <w:spacing w:beforeLines="0" w:line="240" w:lineRule="auto"/>
        <w:ind w:left="0" w:firstLine="0" w:firstLineChars="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drawing>
          <wp:inline distT="0" distB="0" distL="114300" distR="114300">
            <wp:extent cx="6184265" cy="4372610"/>
            <wp:effectExtent l="0" t="0" r="6985" b="8890"/>
            <wp:docPr id="5" name="图片 8" descr="市一污水治理--电气图--201910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市一污水治理--电气图--20191023_03"/>
                    <pic:cNvPicPr>
                      <a:picLocks noChangeAspect="1"/>
                    </pic:cNvPicPr>
                  </pic:nvPicPr>
                  <pic:blipFill>
                    <a:blip r:embed="rId12"/>
                    <a:stretch>
                      <a:fillRect/>
                    </a:stretch>
                  </pic:blipFill>
                  <pic:spPr>
                    <a:xfrm>
                      <a:off x="0" y="0"/>
                      <a:ext cx="6184265" cy="4372610"/>
                    </a:xfrm>
                    <a:prstGeom prst="rect">
                      <a:avLst/>
                    </a:prstGeom>
                    <a:noFill/>
                    <a:ln>
                      <a:noFill/>
                    </a:ln>
                  </pic:spPr>
                </pic:pic>
              </a:graphicData>
            </a:graphic>
          </wp:inline>
        </w:drawing>
      </w:r>
    </w:p>
    <w:p>
      <w:pPr>
        <w:widowControl w:val="0"/>
        <w:autoSpaceDE w:val="0"/>
        <w:autoSpaceDN w:val="0"/>
        <w:adjustRightInd w:val="0"/>
        <w:spacing w:beforeLines="0" w:line="240" w:lineRule="auto"/>
        <w:ind w:left="0" w:firstLine="0" w:firstLineChars="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9、鹤洞分院设备配件清单</w:t>
      </w:r>
    </w:p>
    <w:tbl>
      <w:tblPr>
        <w:tblStyle w:val="24"/>
        <w:tblW w:w="8520" w:type="dxa"/>
        <w:jc w:val="center"/>
        <w:tblLayout w:type="autofit"/>
        <w:tblCellMar>
          <w:top w:w="0" w:type="dxa"/>
          <w:left w:w="108" w:type="dxa"/>
          <w:bottom w:w="0" w:type="dxa"/>
          <w:right w:w="108" w:type="dxa"/>
        </w:tblCellMar>
      </w:tblPr>
      <w:tblGrid>
        <w:gridCol w:w="2129"/>
        <w:gridCol w:w="4882"/>
        <w:gridCol w:w="1509"/>
      </w:tblGrid>
      <w:tr>
        <w:tblPrEx>
          <w:tblCellMar>
            <w:top w:w="0" w:type="dxa"/>
            <w:left w:w="108" w:type="dxa"/>
            <w:bottom w:w="0" w:type="dxa"/>
            <w:right w:w="108" w:type="dxa"/>
          </w:tblCellMar>
        </w:tblPrEx>
        <w:trPr>
          <w:trHeight w:val="320" w:hRule="atLeast"/>
          <w:jc w:val="center"/>
        </w:trPr>
        <w:tc>
          <w:tcPr>
            <w:tcW w:w="852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鹤洞分院设备配件清单</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规格参数</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提升泵</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/h、H=17m、0.37kw、铸铁</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1台</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隔膜泵</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1台</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曝气风机</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漩涡风机、0.27kw</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2台</w:t>
            </w:r>
          </w:p>
        </w:tc>
      </w:tr>
      <w:tr>
        <w:tblPrEx>
          <w:tblCellMar>
            <w:top w:w="0" w:type="dxa"/>
            <w:left w:w="108" w:type="dxa"/>
            <w:bottom w:w="0" w:type="dxa"/>
            <w:right w:w="108" w:type="dxa"/>
          </w:tblCellMar>
        </w:tblPrEx>
        <w:trPr>
          <w:trHeight w:val="130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一体化处理系统</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碳钢防腐、3.0*2.0*1.8m、含投药系统、沉淀、生物填料、液位控制器、空压机</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r>
      <w:tr>
        <w:tblPrEx>
          <w:tblCellMar>
            <w:top w:w="0" w:type="dxa"/>
            <w:left w:w="108" w:type="dxa"/>
            <w:bottom w:w="0" w:type="dxa"/>
            <w:right w:w="108" w:type="dxa"/>
          </w:tblCellMar>
        </w:tblPrEx>
        <w:trPr>
          <w:trHeight w:val="63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污泥压滤系统</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含3平方压滤机、搅拌机、排泥电磁阀</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1套</w:t>
            </w:r>
          </w:p>
        </w:tc>
      </w:tr>
      <w:tr>
        <w:tblPrEx>
          <w:tblCellMar>
            <w:top w:w="0" w:type="dxa"/>
            <w:left w:w="108" w:type="dxa"/>
            <w:bottom w:w="0" w:type="dxa"/>
            <w:right w:w="108" w:type="dxa"/>
          </w:tblCellMar>
        </w:tblPrEx>
        <w:trPr>
          <w:trHeight w:val="939"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PVC管道、管件、阀门等</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提升、配药、曝气、搅拌、回流配管</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1批</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组合填料</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φ150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4批</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斜管架</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φ50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4套</w:t>
            </w:r>
          </w:p>
        </w:tc>
      </w:tr>
      <w:tr>
        <w:tblPrEx>
          <w:tblCellMar>
            <w:top w:w="0" w:type="dxa"/>
            <w:left w:w="108" w:type="dxa"/>
            <w:bottom w:w="0" w:type="dxa"/>
            <w:right w:w="108" w:type="dxa"/>
          </w:tblCellMar>
        </w:tblPrEx>
        <w:trPr>
          <w:trHeight w:val="63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自动化电控柜</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标准电柜</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1个</w:t>
            </w:r>
          </w:p>
        </w:tc>
      </w:tr>
      <w:tr>
        <w:tblPrEx>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电缆及配件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16mm2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1批</w:t>
            </w:r>
          </w:p>
        </w:tc>
      </w:tr>
    </w:tbl>
    <w:p>
      <w:pPr>
        <w:widowControl w:val="0"/>
        <w:autoSpaceDE w:val="0"/>
        <w:autoSpaceDN w:val="0"/>
        <w:adjustRightInd w:val="0"/>
        <w:spacing w:beforeLines="0" w:line="240" w:lineRule="auto"/>
        <w:ind w:left="0" w:firstLine="0" w:firstLineChars="0"/>
        <w:rPr>
          <w:rFonts w:hint="eastAsia" w:ascii="宋体" w:hAnsi="宋体" w:eastAsia="宋体" w:cs="宋体"/>
          <w:sz w:val="21"/>
          <w:szCs w:val="21"/>
          <w:highlight w:val="none"/>
          <w:lang w:val="en-US" w:eastAsia="zh-CN" w:bidi="ar-SA"/>
        </w:rPr>
      </w:pPr>
    </w:p>
    <w:p>
      <w:pPr>
        <w:widowControl w:val="0"/>
        <w:autoSpaceDE w:val="0"/>
        <w:autoSpaceDN w:val="0"/>
        <w:adjustRightInd/>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（六）污水处理站出水水质要求：</w:t>
      </w:r>
    </w:p>
    <w:p>
      <w:pPr>
        <w:widowControl w:val="0"/>
        <w:autoSpaceDE w:val="0"/>
        <w:autoSpaceDN w:val="0"/>
        <w:adjustRightInd/>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1、出水水质执行中华人民共和国《医疗机构水污染物排放标准》（GB 18466-2005）表 2“预处理标准”综合医疗机构和其他医疗机构水污染物排放限值（日均值）。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11"/>
        <w:gridCol w:w="1361"/>
        <w:gridCol w:w="1441"/>
        <w:gridCol w:w="1436"/>
        <w:gridCol w:w="1028"/>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trPr>
        <w:tc>
          <w:tcPr>
            <w:tcW w:w="9180" w:type="dxa"/>
            <w:gridSpan w:val="7"/>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部分污水处理设计出水水指标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180"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1211" w:type="dxa"/>
            <w:vAlign w:val="center"/>
          </w:tcPr>
          <w:p>
            <w:pPr>
              <w:snapToGrid w:val="0"/>
              <w:jc w:val="center"/>
              <w:rPr>
                <w:rFonts w:hint="eastAsia" w:ascii="宋体" w:hAnsi="宋体" w:eastAsia="宋体" w:cs="宋体"/>
                <w:sz w:val="21"/>
                <w:szCs w:val="21"/>
                <w:highlight w:val="none"/>
                <w:vertAlign w:val="subscript"/>
              </w:rPr>
            </w:pPr>
            <w:r>
              <w:rPr>
                <w:rFonts w:hint="eastAsia" w:ascii="宋体" w:hAnsi="宋体" w:eastAsia="宋体" w:cs="宋体"/>
                <w:sz w:val="21"/>
                <w:szCs w:val="21"/>
                <w:highlight w:val="none"/>
              </w:rPr>
              <w:t>BOD</w:t>
            </w:r>
            <w:r>
              <w:rPr>
                <w:rFonts w:hint="eastAsia" w:ascii="宋体" w:hAnsi="宋体" w:eastAsia="宋体" w:cs="宋体"/>
                <w:sz w:val="21"/>
                <w:szCs w:val="21"/>
                <w:highlight w:val="none"/>
                <w:vertAlign w:val="subscript"/>
              </w:rPr>
              <w:t>5</w:t>
            </w:r>
          </w:p>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（mg/L）</w:t>
            </w:r>
          </w:p>
        </w:tc>
        <w:tc>
          <w:tcPr>
            <w:tcW w:w="1361"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COD</w:t>
            </w:r>
            <w:r>
              <w:rPr>
                <w:rFonts w:hint="eastAsia" w:ascii="宋体" w:hAnsi="宋体" w:eastAsia="宋体" w:cs="宋体"/>
                <w:sz w:val="21"/>
                <w:szCs w:val="21"/>
                <w:highlight w:val="none"/>
                <w:vertAlign w:val="subscript"/>
              </w:rPr>
              <w:t>Cr</w:t>
            </w:r>
          </w:p>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（mg/L）</w:t>
            </w:r>
          </w:p>
        </w:tc>
        <w:tc>
          <w:tcPr>
            <w:tcW w:w="1441"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SS</w:t>
            </w:r>
          </w:p>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（mg/L）</w:t>
            </w:r>
          </w:p>
        </w:tc>
        <w:tc>
          <w:tcPr>
            <w:tcW w:w="1436"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出口总余氯（mg/L）</w:t>
            </w:r>
          </w:p>
        </w:tc>
        <w:tc>
          <w:tcPr>
            <w:tcW w:w="1028"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pH</w:t>
            </w:r>
          </w:p>
        </w:tc>
        <w:tc>
          <w:tcPr>
            <w:tcW w:w="1523"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粪大肠菌群（MPN/L）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80"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出水</w:t>
            </w:r>
          </w:p>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c>
          <w:tcPr>
            <w:tcW w:w="1211"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c>
          <w:tcPr>
            <w:tcW w:w="1361"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≤250</w:t>
            </w:r>
          </w:p>
        </w:tc>
        <w:tc>
          <w:tcPr>
            <w:tcW w:w="1441"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c>
          <w:tcPr>
            <w:tcW w:w="1436"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2-8</w:t>
            </w:r>
          </w:p>
        </w:tc>
        <w:tc>
          <w:tcPr>
            <w:tcW w:w="1028"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6～9</w:t>
            </w:r>
          </w:p>
        </w:tc>
        <w:tc>
          <w:tcPr>
            <w:tcW w:w="1523"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5000</w:t>
            </w:r>
          </w:p>
        </w:tc>
      </w:tr>
    </w:tbl>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2、突发公共卫生事件等应急情况，以政府相关管理部门发布的最新标准为准。</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p>
    <w:p>
      <w:pP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二、采购内容</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（一）采购清单：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785"/>
        <w:gridCol w:w="1996"/>
        <w:gridCol w:w="3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885" w:type="dxa"/>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标的名称</w:t>
            </w:r>
          </w:p>
        </w:tc>
        <w:tc>
          <w:tcPr>
            <w:tcW w:w="785" w:type="dxa"/>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1996" w:type="dxa"/>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单项采购预算</w:t>
            </w:r>
          </w:p>
        </w:tc>
        <w:tc>
          <w:tcPr>
            <w:tcW w:w="3732" w:type="dxa"/>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85"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污水处理站外包运营服务</w:t>
            </w:r>
          </w:p>
        </w:tc>
        <w:tc>
          <w:tcPr>
            <w:tcW w:w="785"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1项</w:t>
            </w:r>
          </w:p>
        </w:tc>
        <w:tc>
          <w:tcPr>
            <w:tcW w:w="1996"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1,610,000.00元</w:t>
            </w:r>
          </w:p>
        </w:tc>
        <w:tc>
          <w:tcPr>
            <w:tcW w:w="3732" w:type="dxa"/>
            <w:vAlign w:val="center"/>
          </w:tcPr>
          <w:p>
            <w:pPr>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rPr>
              <w:t>自合同签订生效之日起1年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885" w:type="dxa"/>
            <w:vAlign w:val="center"/>
          </w:tcPr>
          <w:p>
            <w:pPr>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rPr>
              <w:t>2000元以上的维修材料、零配件费</w:t>
            </w:r>
          </w:p>
        </w:tc>
        <w:tc>
          <w:tcPr>
            <w:tcW w:w="785"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1项</w:t>
            </w:r>
          </w:p>
        </w:tc>
        <w:tc>
          <w:tcPr>
            <w:tcW w:w="1996" w:type="dxa"/>
            <w:vAlign w:val="center"/>
          </w:tcPr>
          <w:p>
            <w:pPr>
              <w:jc w:val="center"/>
              <w:rPr>
                <w:rFonts w:hint="eastAsia" w:ascii="宋体" w:hAnsi="宋体" w:eastAsia="宋体" w:cs="宋体"/>
                <w:sz w:val="21"/>
                <w:szCs w:val="21"/>
                <w:highlight w:val="none"/>
                <w:lang w:val="zh-CN"/>
              </w:rPr>
            </w:pPr>
            <w:r>
              <w:rPr>
                <w:rFonts w:hint="eastAsia" w:ascii="宋体" w:hAnsi="宋体" w:eastAsia="宋体" w:cs="宋体"/>
                <w:sz w:val="21"/>
                <w:szCs w:val="21"/>
                <w:highlight w:val="none"/>
              </w:rPr>
              <w:t>450,000.00元</w:t>
            </w:r>
          </w:p>
        </w:tc>
        <w:tc>
          <w:tcPr>
            <w:tcW w:w="3732" w:type="dxa"/>
            <w:vAlign w:val="center"/>
          </w:tcPr>
          <w:p>
            <w:pPr>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rPr>
              <w:t>自合同签订生效之日起1年，或中标（合同）金额用完为止，以先到的条件为准。</w:t>
            </w:r>
          </w:p>
        </w:tc>
      </w:tr>
    </w:tbl>
    <w:p>
      <w:pPr>
        <w:rPr>
          <w:rFonts w:hint="eastAsia" w:ascii="宋体" w:hAnsi="宋体" w:eastAsia="宋体" w:cs="宋体"/>
          <w:sz w:val="21"/>
          <w:szCs w:val="21"/>
          <w:highlight w:val="none"/>
        </w:rPr>
      </w:pP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（二）采购标的需符合的国家相关标准、行业标准、地方标准或者其他标准、规范。</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1、《中华人民共和国环境保护法》 </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2、《中华人民共和国水污染防治法》 </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3、《中华人民共和国传染病防治法》</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4、《排污许可管理办法》（生态环境部令第32号）</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5、《排污许可证申请与核发技术规范总则》（中华人民共和国国家环境保护标准 HJ942-2018）</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6、《排污单位自行监测技术指南水处理》（中华人民共和国国家环境保护标准 HJ1083-202）</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7、《广东省地方标准水污染物排放标准》（DB44/26-2001）</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8、《医疗机构水污染物排放标准》（GB 18466-2005）</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9、《突发环境事件应急管理办法》 </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10、国家、省、市其他相关法律、法规、标准等。</w:t>
      </w:r>
    </w:p>
    <w:p>
      <w:pPr>
        <w:widowControl w:val="0"/>
        <w:autoSpaceDE w:val="0"/>
        <w:autoSpaceDN w:val="0"/>
        <w:adjustRightInd w:val="0"/>
        <w:ind w:left="590"/>
        <w:rPr>
          <w:rFonts w:hint="eastAsia" w:ascii="宋体" w:hAnsi="宋体" w:eastAsia="宋体" w:cs="宋体"/>
          <w:sz w:val="21"/>
          <w:szCs w:val="21"/>
          <w:highlight w:val="none"/>
          <w:lang w:val="en-US" w:eastAsia="zh-CN" w:bidi="ar-SA"/>
        </w:rPr>
      </w:pPr>
    </w:p>
    <w:p>
      <w:pP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三、服务内容</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Style w:val="31"/>
          <w:rFonts w:hint="eastAsia" w:ascii="Times New Roman" w:hAnsi="宋体" w:eastAsia="宋体" w:cs="Times New Roman"/>
          <w:highlight w:val="none"/>
        </w:rPr>
        <w:t>参照</w:t>
      </w:r>
      <w:r>
        <w:rPr>
          <w:rFonts w:hint="eastAsia" w:ascii="宋体" w:hAnsi="宋体" w:eastAsia="宋体" w:cs="宋体"/>
          <w:sz w:val="21"/>
          <w:szCs w:val="21"/>
          <w:highlight w:val="none"/>
        </w:rPr>
        <w:t>《医疗机构污水处理运维管理规范（TGZAEPI 003—2022）》提供运维管理服务，负责总院及鹤洞分院所有污水处理站污水日常运营管理，保证两个院区污水处理系统正常运行，污染物排放符合环保、卫生、疾控等相关行政主管部门要求的排放标准（《医疗机构水污染物排放标准》GB 18466-2005（如在合同履行期间国家或地方政府颁发新的排放标准则依照新的排放标准执行）），产生污染物无害化处理 100% 达标排放。按照相关法律法规、标准、规范制定日常运营管理计划、日常设施操作规范、污水污染事故应急方案等。因该项目采取“全承包”，中标人运营期间污染物排放不达标或排放手续不完全，由中标人自行承担由此引起的一切经济损失及其他连带责任，排污费由中标人承担，同时采购人有权对中标人扣罚当月运营费的5%，情节严重的，采购人有权解除合同，履约保证金不予退还。</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提供具有环境保护设施运行人员技能培训合格证书-污废水处理工资格证操作员及良好的技术人员，负责总院区和鹤洞分院污水处理站设备设施巡查，确保污水处理站系统设备24小时正常运行。制定岗位生产和安全责任制度，保证污水处理站不间断运转，保证污水达到有关排放标准要求。对系统设备、设施运行中出现的故障进行及时维修维护，制定《设备维护保养计划》，定期进行维护保养，定期清淤、清渣等。为保障运营管理人员的人身安全及意外保险，投标人应按社会劳动保险的有关规定，为员工购买养老、工伤、医疗、失业等保险。</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（三）巡查包括但不限于：</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1、格栅井：格栅每天巡查并清理漂浮物、悬浮物。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2、调节池：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2.1观察进入调节池水量规律性、水质外观等；根据调节池水量、水质适时调整后端污水处理系统；</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2.2检查调节池有无漂浮物或悬浮物，并及时清理；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2.3检查调节池提升泵管道、阀门的畅通性和密封性、阀门润滑性及其阀门开/关正确性；检查提升泵工作状态是否正常（水量、噪声、振动等）；检查空气管管道、阀门畅通性和密封性、阀门的润滑性及其阀门开/关正确性和开合度是否合适；检查提升泵控制系统是否正常。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3、厌氧池：</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3.1检查潜水搅拌机工作状态是否正常，控制系统是否正常；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3.2检查管道、阀门的畅通性和密封性、阀门润滑性及其阀门开/关正确性；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3.3检查硝化回流泵是否正常运行；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3.4检查厌氧池运行状况，并判断是否正常，主要包括：厌氧污泥的颜色、气味；出水效果等。 </w:t>
      </w:r>
    </w:p>
    <w:p>
      <w:pPr>
        <w:widowControl/>
        <w:ind w:firstLine="420" w:firstLineChars="20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4、缺氧池：</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4.1检查潜水搅拌机工作状态是否正常，控制系统是否正常；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4.2检查管道、阀门的畅通性和密封性、阀门润滑性及其阀门开/关正确性；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4.3检查曝气装置是否正常运行，好氧池曝气量的分布及曝气的均匀性；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4.4检查缺氧池运行状况，并判断是否正常，主要包括：缺氧池液面翻腾情况；缺氧池气泡的多少、色泽、粘性；污泥的颜色、气味；出水效果等。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5、好氧池：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5.1检查鼓风机工作状态是否正常（主要从声音、震动、风管压力、外壳温度、风量等判断），控制系统是否正常；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5.2检查风管管道、阀门的畅通性和密封性、阀门润滑性及其阀门开/关正确性；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5.3检查曝气装置是否正常运行，好氧池曝气量的分布及曝气的均匀性；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5.4检查好氧池运行状况，并判断是否正常，主要包括：好氧池液面翻腾情况；好氧池气泡的多少、色泽、粘性；活性污泥的颜色、气味；出水效果等。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6、MBR池：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6.1膜组件的正常运行，特别是曝气状态及生物处理尤其重要。每天巡查以下为日常检查内容：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①曝气状态：检查曝气空气量是否为标准量、以及是否为均一曝气。发现曝气空气量异常 、有明显的曝气不均一时，通过空气冲刷管调节，检查安装情况以及调整曝气等；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②活性污泥的颜色及气味：检查污泥的外观（正常的活性污泥的颜色为茶褐色）、气味，如果外观及气味有异常，请适当地对MLSS（固体颗粒浓度）、DO（溶解氧）、pH、水温、BOD负荷等数值进行检查；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③pH：正常的pH为6～8；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④水温：正常的水温为15～35 ℃；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⑤水位：请检查膜生物反应器的水位是否在正常范围内。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6.2为了维持膜组件的性能，定期按要求对MBR膜进行清洗。</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6.3除操作日常的系统在线自动反洗以外（物理清洗：鼓风机24小时连续空气清洗，化学清洗：1000mg/l的次氯酸钠通过反洗泵在线水反洗），每半年对MBR膜进行一次离线大规模彻底清洗（离线化学清洗，一般为全膜吊出浸洗），完成该项工作所产生全部费用由中标人负责，彻底清洗后需要保证膜通量达标。（在投标文件中提供承诺函（格式自拟））</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7、接触消毒池：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7.1检查电解次氯酸钠一体化设备运行情况；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7.2检查消毒药剂投加情况；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7.3检查消毒池液位情况；</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7.4定期取出水口水样进行化验（COD、SS、PH、余氯）；</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7.5定期巡查在线监测数据，发现异常应及时对数据进行分析，查找原因，并及时解决问题。</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8、在线监测仪维护：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每天对在线设备进行巡查，具体运行管理按照《污染源自动监控设施运行管理办法》（环发〔2008〕6号）、《污染源自动监控管理办法》（总局令 第28号）执行，检查药剂使用情况，及时补充药剂，对仪器进行校正等，保证在线监测仪正常运行（包括COD、氨氮、pH、流量等）</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9、污泥池：</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9.1检查潜水搅拌机运行情况；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9.2检查污泥管道、阀门畅通性和密封性、阀门润滑性及其阀门开/关正确性； </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9.3检查污泥切割机、污泥泵运行情况；</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9.4检查离心脱水机、絮凝剂设备运行情况，离心脱水机运行结束后应进行冲洗，检查冲洗系统的运行情况；</w:t>
      </w:r>
    </w:p>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9.5定期清运储泥罐内的污泥，检查污泥输送设备运行情况。</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四）负责加药系统的药剂调配及添加，严格按照污水处理管理程序每天认真组织投放定量药物，负责在线监控设施的日常运行，包括设备的日常保养、维护、校准、检修、建立齐全的设备与技术档案。投标人应具有相应的技术人员，具备污水站运营服务能力，从事本项目运营管理人员日常作业时，应配置安全作业的工具和使用劳动保护产品。</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五）检查并记录污水处理系统的正常运行情况，设备工作情况及设备日常维护工作，负责处理设备、电气设备的维护管理、故障排查、清洁保养等工作。建立日常工作记录台账，将每日进行的一切工作活动记录在册，包括开泵、关泵、清渣、投加药剂、定期清理格栅、清洗在线监测仪探头、运营、维修、交接值班时间和工作内容等。</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六）中标人应建立日常工作记录台簿，将每日进行的一切工作活动记录在册，包括开泵、关泵、投加药剂、定期清理格栅、维修、交接班时间和工作内容等。污水处理站运行工作应认真积极、紧急问题紧急处理,如实认真填写工作运营记录及表格。每天对设备进行常规巡查，及时发现设备缺陷,作出预防性鉴定,提交相关记录和处理意见，确保设备安全运行。</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★（七）中标人对采购人现有污水站设施运行进行管理和维护保养，保障设备的正常运行；维修材料、零配件单价2000元及以下项目由中标人负责，设施设备维修产生的所有费用包含在项目常规运营服务费用中；</w:t>
      </w:r>
      <w:bookmarkStart w:id="0" w:name="OLE_LINK1"/>
      <w:r>
        <w:rPr>
          <w:rFonts w:hint="eastAsia" w:ascii="宋体" w:hAnsi="宋体" w:eastAsia="宋体" w:cs="宋体"/>
          <w:sz w:val="21"/>
          <w:szCs w:val="21"/>
          <w:highlight w:val="none"/>
          <w:lang w:val="en-US" w:eastAsia="zh-CN" w:bidi="ar-SA"/>
        </w:rPr>
        <w:t>更换出来的故障零配件需要送返采购人仓库回收确认。</w:t>
      </w:r>
      <w:bookmarkEnd w:id="0"/>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1、中标人在运营过程中，如发现有污水处理设备的配件需要更换时，应第一时间以文字报告的形式向采购人进行汇报，由采购人完成相关核定和审批流程后，方可进行维修更换。</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2、下表为2000元及以下必须包含的材料清单，保证材料来源正规、质量合格与现有设备匹配且不影响、损坏现有设施设备：</w:t>
      </w:r>
    </w:p>
    <w:tbl>
      <w:tblPr>
        <w:tblStyle w:val="24"/>
        <w:tblW w:w="0" w:type="auto"/>
        <w:jc w:val="center"/>
        <w:tblLayout w:type="fixed"/>
        <w:tblCellMar>
          <w:top w:w="15" w:type="dxa"/>
          <w:left w:w="15" w:type="dxa"/>
          <w:bottom w:w="15" w:type="dxa"/>
          <w:right w:w="15" w:type="dxa"/>
        </w:tblCellMar>
      </w:tblPr>
      <w:tblGrid>
        <w:gridCol w:w="1080"/>
        <w:gridCol w:w="2145"/>
        <w:gridCol w:w="1080"/>
        <w:gridCol w:w="2325"/>
        <w:gridCol w:w="2670"/>
      </w:tblGrid>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品名</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型号</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球阀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DN25，PVC-U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止回阀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DN25，PVC-U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活接球阀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DN50，PVC-U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附壁式圆形阀门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直径D=400mm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附壁式圆形阀门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直径D=500mm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双法兰传力接头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鼓风机房设计说明（图号JS-WS-GY-04-02）</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双法兰传力接头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鼓风机房设计说明（图号JS-WS-GY-04-02）</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磁翻板液位计</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带触点信号输出和4-20mA信号输出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强排风机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全铝铸造防腐离心风机，Q≥204m³/h，风压≥1600Pa，N=0.4KW，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背压阀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0-0.4MPa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脉冲阻尼器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0.6L，0-06.MPa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酸洗泵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CQF-30R，220V，P=40W，20L/min</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酸洗储罐</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食品级PE材料，V=120L</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手动阀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DN100，PN=2.0MPa，SUS304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污泥脱水工艺设计说明（图号JS-WS-GY-06-05）</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除臭污泥泵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Q=15m³/h，扬程10m，功率0.75kw，铸铁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排污泵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Q=10m³/h，扬程15m，功率1.1kw，铸铁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剩余污泥泵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Q=10m³/h，扬程15m，功率1.1kw，铸铁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DN125，压力1.0MPa，UPVC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DN200，压力1.0MPa，UPVC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DN125，橡胶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DN150，橡胶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手动闸阀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闸阀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曝气材料清单（图号JS-WS-GY-08-04）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轴流风机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风量1300m³/h，风压140Pa，功率0.12KW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消声百叶</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1000*1000，铝合金</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屋顶轴流风机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风量2900m³/h，风压190Pa，功率0.25kw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蝶阀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DN100，SUS304，T：1.0mm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双联开关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照明灯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日关灯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40W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应急灯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220V，延时＞180min</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插座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等电位箱</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嵌入式</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施耐德，IC65ND/3P40A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施耐德，IC65ND/3P16A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施耐德，IC65ND/3P20A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施耐德，IC65ND/3P63A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施耐德，IC65ND/3P32A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施耐德，CVS250/3P160A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施耐德，CVS100/3P80A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施耐德，CVS100/3P25A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施耐德，LRD16C，0.9-13A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施耐德，LRD06C，1-1.6A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施耐德，LRD10C，4-6A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接触器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施耐德，LCD09M7C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49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接触器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施耐德，LCD12M7C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柜转换开关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柜停止按钮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柜启动按钮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柜指示灯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箱转换开关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箱停止按钮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箱启动按钮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箱指示灯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控制中继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RXM4LB2P7+RXZE1M4C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联动中继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RXM2LB2DB+RXZE1M2C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污泥电磁流量计：衬里（聚四氟乙烯）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材质：聚四氟乙烯（PTFE）</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衬里厚度：≥3.0mm</w:t>
            </w:r>
          </w:p>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适用于医药废水、强酸强碱介质（pH 0~14）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药液电磁流量计：衬里材料（PFA）</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材质：PFA（全氟烷氧基树脂）</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厚度：≥2.0mm</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耐温范围：-40℃~+200℃</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耐强酸/强碱介质（pH 0~14）</w:t>
            </w:r>
          </w:p>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与DN15管径完全匹配，无缝内衬工艺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电动葫芦：主起升电机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ZD131-4-3KW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电动葫芦：吊钩组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2T旋转吊钩</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次氯酸钠电解发生器：钛电极连接线缆</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条</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耐腐蚀屏蔽电缆，截面积≥16mm²</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在线氢气报警仪：防爆外壳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不锈钢，IP65防护</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离子除臭装置：传感器模块（温湿度/气体）</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与风机适配规格</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离子正压新风装置：高压电源模块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输入电压：AC 220V ±10%</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输出电压：DC 8-12kV（可调，匹配离子管电离需求）</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输出频率：1.5-2.5kHz</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功率范围：0.15-0.18kW</w:t>
            </w:r>
          </w:p>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保护功能：短路/过载/过温自动切断（符合医疗设备安全标准）</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回转式格栅：减速机轴承</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耐高温油脂润滑型</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分体式热效应空气流量计：信号转换模块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4-20mA输出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分体式热效应空气流量计：信号转换模块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4-20mA输出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氨氮在线检测仪：电磁阀组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耐腐蚀型（PTFE材质）</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余氯检测仪：余氯传感器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电极法/DPD法，0-30mg/L</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潜水搅拌机1：不锈钢导流罩</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材质：SUS304不锈钢（与搅拌机主体一致）</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内径：700mm（覆盖620mm叶轮，预留80mm流道空间）</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厚度：≥3.0mm</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内壁镜面抛光（Ra≤0.8μm）</w:t>
            </w:r>
          </w:p>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锥形扩口结构，轴向流占比≥85%，卡扣式法兰连接</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潜水搅拌机2：不锈钢导流罩</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材质：SUS304不锈钢（与搅拌机主体一致）</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内径：700mm（覆盖620mm叶轮，预留80mm流道空间）</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厚度：≥3.0mm</w:t>
            </w:r>
          </w:p>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内壁镜面抛光（Ra≤0.8μm）</w:t>
            </w:r>
          </w:p>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锥形扩口结构，轴向流占比≥85%，卡扣式法兰连接</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PLC 集成控制柜：电源模块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西门子SITOP</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监控系统：高清防水摄像头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200万像素/IP68/红外夜视</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中控电脑：防眩光显示器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21.5英寸/工业宽温屏</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中控电脑：PLC输入输出模块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适配西门子S7系列</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中控电脑：UPS蓄电池组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组</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12V/100Ah</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bl>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★（八）大修和涉及大型设备更换或</w:t>
      </w:r>
      <w:bookmarkStart w:id="1" w:name="OLE_LINK10"/>
      <w:r>
        <w:rPr>
          <w:rFonts w:hint="eastAsia" w:ascii="宋体" w:hAnsi="宋体" w:eastAsia="宋体" w:cs="宋体"/>
          <w:sz w:val="21"/>
          <w:szCs w:val="21"/>
          <w:highlight w:val="none"/>
          <w:lang w:val="en-US" w:eastAsia="zh-CN" w:bidi="ar-SA"/>
        </w:rPr>
        <w:t>维修材料、零配件</w:t>
      </w:r>
      <w:bookmarkEnd w:id="1"/>
      <w:r>
        <w:rPr>
          <w:rFonts w:hint="eastAsia" w:ascii="宋体" w:hAnsi="宋体" w:eastAsia="宋体" w:cs="宋体"/>
          <w:sz w:val="21"/>
          <w:szCs w:val="21"/>
          <w:highlight w:val="none"/>
          <w:lang w:val="en-US" w:eastAsia="zh-CN" w:bidi="ar-SA"/>
        </w:rPr>
        <w:t>单价超过2000元项目：</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bookmarkStart w:id="2" w:name="OLE_LINK12"/>
      <w:r>
        <w:rPr>
          <w:rFonts w:hint="eastAsia" w:ascii="宋体" w:hAnsi="宋体" w:eastAsia="宋体" w:cs="宋体"/>
          <w:sz w:val="21"/>
          <w:szCs w:val="21"/>
          <w:highlight w:val="none"/>
          <w:lang w:val="en-US" w:eastAsia="zh-CN" w:bidi="ar-SA"/>
        </w:rPr>
        <w:t>如需更换的维修材料、零配件</w:t>
      </w:r>
      <w:bookmarkEnd w:id="2"/>
      <w:r>
        <w:rPr>
          <w:rFonts w:hint="eastAsia" w:ascii="宋体" w:hAnsi="宋体" w:eastAsia="宋体" w:cs="宋体"/>
          <w:sz w:val="21"/>
          <w:szCs w:val="21"/>
          <w:highlight w:val="none"/>
          <w:lang w:val="en-US" w:eastAsia="zh-CN" w:bidi="ar-SA"/>
        </w:rPr>
        <w:t>不在</w:t>
      </w:r>
      <w:bookmarkStart w:id="3" w:name="OLE_LINK13"/>
      <w:r>
        <w:rPr>
          <w:rFonts w:hint="eastAsia" w:ascii="宋体" w:hAnsi="宋体" w:eastAsia="宋体" w:cs="宋体"/>
          <w:sz w:val="21"/>
          <w:szCs w:val="21"/>
          <w:highlight w:val="none"/>
          <w:lang w:val="en-US" w:eastAsia="zh-CN" w:bidi="ar-SA"/>
        </w:rPr>
        <w:t>下文“2000元以上的</w:t>
      </w:r>
      <w:bookmarkStart w:id="4" w:name="OLE_LINK9"/>
      <w:r>
        <w:rPr>
          <w:rFonts w:hint="eastAsia" w:ascii="宋体" w:hAnsi="宋体" w:eastAsia="宋体" w:cs="宋体"/>
          <w:sz w:val="21"/>
          <w:szCs w:val="21"/>
          <w:highlight w:val="none"/>
          <w:lang w:val="en-US" w:eastAsia="zh-CN" w:bidi="ar-SA"/>
        </w:rPr>
        <w:t>维修材料、零配件</w:t>
      </w:r>
      <w:bookmarkEnd w:id="4"/>
      <w:r>
        <w:rPr>
          <w:rFonts w:hint="eastAsia" w:ascii="宋体" w:hAnsi="宋体" w:eastAsia="宋体" w:cs="宋体"/>
          <w:sz w:val="21"/>
          <w:szCs w:val="21"/>
          <w:highlight w:val="none"/>
          <w:lang w:val="en-US" w:eastAsia="zh-CN" w:bidi="ar-SA"/>
        </w:rPr>
        <w:t>清单”内，</w:t>
      </w:r>
      <w:bookmarkEnd w:id="3"/>
      <w:bookmarkStart w:id="5" w:name="OLE_LINK14"/>
      <w:r>
        <w:rPr>
          <w:rFonts w:hint="eastAsia" w:ascii="宋体" w:hAnsi="宋体" w:eastAsia="宋体" w:cs="宋体"/>
          <w:sz w:val="21"/>
          <w:szCs w:val="21"/>
          <w:highlight w:val="none"/>
          <w:lang w:val="en-US" w:eastAsia="zh-CN" w:bidi="ar-SA"/>
        </w:rPr>
        <w:t>则</w:t>
      </w:r>
      <w:bookmarkEnd w:id="5"/>
      <w:r>
        <w:rPr>
          <w:rFonts w:hint="eastAsia" w:ascii="宋体" w:hAnsi="宋体" w:eastAsia="宋体" w:cs="宋体"/>
          <w:sz w:val="21"/>
          <w:szCs w:val="21"/>
          <w:highlight w:val="none"/>
          <w:lang w:val="en-US" w:eastAsia="zh-CN" w:bidi="ar-SA"/>
        </w:rPr>
        <w:t>由中标人提供项目所需维修材料、零配件的规格参数、型号、价格明细清单，送与采购人委托的第三方工程造价咨询公司审核（工程造价咨询公司审核依据为：《广东省通用安装工程综合定额（2018）》，材料采用同期广州市信息价和市场询价）</w:t>
      </w:r>
      <w:bookmarkStart w:id="6" w:name="OLE_LINK5"/>
      <w:r>
        <w:rPr>
          <w:rFonts w:hint="eastAsia" w:ascii="宋体" w:hAnsi="宋体" w:eastAsia="宋体" w:cs="宋体"/>
          <w:sz w:val="21"/>
          <w:szCs w:val="21"/>
          <w:highlight w:val="none"/>
          <w:lang w:val="en-US" w:eastAsia="zh-CN" w:bidi="ar-SA"/>
        </w:rPr>
        <w:t>。设备设施维修或更换完成后，中标人须附医院立项批复及验收报告等相关资料，交第三方工程造价咨询公司进行审核结算，费用从</w:t>
      </w:r>
      <w:r>
        <w:rPr>
          <w:rFonts w:hint="eastAsia" w:ascii="宋体" w:hAnsi="宋体" w:eastAsia="宋体" w:cs="宋体"/>
          <w:kern w:val="2"/>
          <w:sz w:val="21"/>
          <w:szCs w:val="21"/>
          <w:highlight w:val="none"/>
          <w:lang w:val="en-US" w:eastAsia="zh-CN" w:bidi="ar-SA"/>
        </w:rPr>
        <w:t>2000元以上的维修材料、零配件费预算</w:t>
      </w:r>
      <w:r>
        <w:rPr>
          <w:rFonts w:hint="eastAsia" w:ascii="宋体" w:hAnsi="宋体" w:eastAsia="宋体" w:cs="宋体"/>
          <w:sz w:val="21"/>
          <w:szCs w:val="21"/>
          <w:highlight w:val="none"/>
          <w:lang w:val="en-US" w:eastAsia="zh-CN" w:bidi="ar-SA"/>
        </w:rPr>
        <w:t>中支付，</w:t>
      </w:r>
      <w:bookmarkEnd w:id="6"/>
      <w:r>
        <w:rPr>
          <w:rFonts w:hint="eastAsia" w:ascii="宋体" w:hAnsi="宋体" w:eastAsia="宋体" w:cs="宋体"/>
          <w:sz w:val="21"/>
          <w:szCs w:val="21"/>
          <w:highlight w:val="none"/>
          <w:lang w:val="en-US" w:eastAsia="zh-CN" w:bidi="ar-SA"/>
        </w:rPr>
        <w:t>中标人免费提供技术支持及维修人力；如果</w:t>
      </w:r>
      <w:bookmarkStart w:id="7" w:name="OLE_LINK2"/>
      <w:r>
        <w:rPr>
          <w:rFonts w:hint="eastAsia" w:ascii="宋体" w:hAnsi="宋体" w:eastAsia="宋体" w:cs="宋体"/>
          <w:sz w:val="21"/>
          <w:szCs w:val="21"/>
          <w:highlight w:val="none"/>
          <w:lang w:val="en-US" w:eastAsia="zh-CN" w:bidi="ar-SA"/>
        </w:rPr>
        <w:t>第三方工程造价咨询公司</w:t>
      </w:r>
      <w:bookmarkEnd w:id="7"/>
      <w:r>
        <w:rPr>
          <w:rFonts w:hint="eastAsia" w:ascii="宋体" w:hAnsi="宋体" w:eastAsia="宋体" w:cs="宋体"/>
          <w:sz w:val="21"/>
          <w:szCs w:val="21"/>
          <w:highlight w:val="none"/>
          <w:lang w:val="en-US" w:eastAsia="zh-CN" w:bidi="ar-SA"/>
        </w:rPr>
        <w:t>审核报价低于人民币2000元（含人民币2000元）的，该费用包含在常规运营服务费中，不进行另外支付。更换出来的故障零配件需要送返采购人仓库回收确认，否则不支付相应的零配件费用。若因中标人人为损坏或保养不当导致的设备损坏，其更换费用及因此产生的损失、责任由中标人承担。</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2、如需更换的维修材料、零配件在下文“2000元以上的维修材料、零配件清单”内，则按照下表设备</w:t>
      </w:r>
      <w:bookmarkStart w:id="8" w:name="OLE_LINK15"/>
      <w:r>
        <w:rPr>
          <w:rFonts w:hint="eastAsia" w:ascii="宋体" w:hAnsi="宋体" w:eastAsia="宋体" w:cs="宋体"/>
          <w:sz w:val="21"/>
          <w:szCs w:val="21"/>
          <w:highlight w:val="none"/>
          <w:lang w:val="en-US" w:eastAsia="zh-CN" w:bidi="ar-SA"/>
        </w:rPr>
        <w:t>单价最高限价乘以1-中标优惠率据实结算</w:t>
      </w:r>
      <w:bookmarkEnd w:id="8"/>
      <w:r>
        <w:rPr>
          <w:rFonts w:hint="eastAsia" w:ascii="宋体" w:hAnsi="宋体" w:eastAsia="宋体" w:cs="宋体"/>
          <w:sz w:val="21"/>
          <w:szCs w:val="21"/>
          <w:highlight w:val="none"/>
          <w:lang w:val="en-US" w:eastAsia="zh-CN" w:bidi="ar-SA"/>
        </w:rPr>
        <w:t>（注：1：本项目下文所列“2000元以上的维修材料、零配件清单”项目清单已经采购人第三方工程造价咨询公司审核，投标人对需根据清单所列项目最高限价为基准价进行优惠率报价，如项目实施过程中需要更换清单中包含的维修材料、零配件，即直接按单价最高限价乘以1-优惠率据实结算：2、投标人需保证材料来源正规、质量合格与现有设备匹配且不影响、损坏现有设施设备）：</w:t>
      </w:r>
    </w:p>
    <w:tbl>
      <w:tblPr>
        <w:tblStyle w:val="24"/>
        <w:tblW w:w="96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354"/>
        <w:gridCol w:w="1425"/>
        <w:gridCol w:w="1980"/>
        <w:gridCol w:w="2370"/>
        <w:gridCol w:w="890"/>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39" w:hRule="atLeast"/>
          <w:jc w:val="center"/>
        </w:trPr>
        <w:tc>
          <w:tcPr>
            <w:tcW w:w="9694" w:type="dxa"/>
            <w:gridSpan w:val="6"/>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2000元以上的维修材料、零配件清单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一、鼓风机房设备及零部件清单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单价最高限价（人民币/元）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生化池鼓风机</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轴承（含电机轴承、转子）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双列角接触球轴承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联轴器弹性体</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聚氨酯材质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密封件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氟橡胶材质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电机主轴</w:t>
            </w:r>
          </w:p>
        </w:tc>
        <w:tc>
          <w:tcPr>
            <w:tcW w:w="2370" w:type="dxa"/>
            <w:tcBorders>
              <w:tl2br w:val="nil"/>
              <w:tr2bl w:val="nil"/>
            </w:tcBorders>
            <w:shd w:val="clear" w:color="auto" w:fill="FFFFFF"/>
            <w:vAlign w:val="center"/>
          </w:tcPr>
          <w:p>
            <w:pPr>
              <w:widowControl/>
              <w:autoSpaceDE/>
              <w:autoSpaceDN/>
              <w:adjustRightInd/>
              <w:jc w:val="center"/>
              <w:textAlignment w:val="center"/>
              <w:rPr>
                <w:rFonts w:ascii="宋体" w:hAnsi="Times New Roman" w:eastAsia="宋体" w:cs="宋体"/>
                <w:highlight w:val="none"/>
              </w:rPr>
            </w:pPr>
            <w:r>
              <w:rPr>
                <w:rFonts w:hint="eastAsia" w:ascii="宋体" w:hAnsi="Times New Roman" w:eastAsia="宋体" w:cs="宋体"/>
                <w:highlight w:val="none"/>
              </w:rPr>
              <w:t>材质：42CrMo合金钢（调质处理，抗疲劳强度≥800MPa），表面高频淬火，硬度HRC50-55，耐磨层深≥2mm</w:t>
            </w:r>
          </w:p>
          <w:p>
            <w:pPr>
              <w:widowControl/>
              <w:autoSpaceDE/>
              <w:autoSpaceDN/>
              <w:adjustRightInd/>
              <w:jc w:val="center"/>
              <w:textAlignment w:val="center"/>
              <w:rPr>
                <w:rFonts w:ascii="宋体" w:hAnsi="Times New Roman" w:eastAsia="宋体" w:cs="宋体"/>
                <w:highlight w:val="none"/>
              </w:rPr>
            </w:pPr>
            <w:r>
              <w:rPr>
                <w:rFonts w:hint="eastAsia" w:ascii="宋体" w:hAnsi="Times New Roman" w:eastAsia="宋体" w:cs="宋体"/>
                <w:highlight w:val="none"/>
              </w:rPr>
              <w:t>同轴度误差：≤0.01mm</w:t>
            </w:r>
          </w:p>
          <w:p>
            <w:pPr>
              <w:widowControl/>
              <w:autoSpaceDE/>
              <w:autoSpaceDN/>
              <w:adjustRightInd/>
              <w:jc w:val="center"/>
              <w:textAlignment w:val="center"/>
              <w:rPr>
                <w:rFonts w:ascii="宋体" w:hAnsi="Times New Roman" w:eastAsia="宋体" w:cs="宋体"/>
                <w:highlight w:val="none"/>
              </w:rPr>
            </w:pPr>
            <w:r>
              <w:rPr>
                <w:rFonts w:hint="eastAsia" w:ascii="宋体" w:hAnsi="Times New Roman" w:eastAsia="宋体" w:cs="宋体"/>
                <w:highlight w:val="none"/>
              </w:rPr>
              <w:t>动平衡等级：G2.5级（转速3000rpm时振动值≤2.8mm/s）</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Times New Roman" w:eastAsia="宋体" w:cs="宋体"/>
                <w:highlight w:val="none"/>
              </w:rPr>
              <w:t>轴径：Ø80±0.02mm（与转子过盈配合≤0.01mm）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5807.405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适配55kW电机及螺杆主机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冷却器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适配55kW散热需求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w:t>
            </w:r>
            <w:r>
              <w:rPr>
                <w:rFonts w:hint="eastAsia" w:ascii="宋体" w:hAnsi="宋体" w:eastAsia="宋体" w:cs="宋体"/>
                <w:sz w:val="21"/>
                <w:szCs w:val="21"/>
                <w:highlight w:val="none"/>
                <w:lang w:bidi="ar"/>
              </w:rPr>
              <w:br w:type="textWrapping"/>
            </w:r>
            <w:r>
              <w:rPr>
                <w:rFonts w:hint="eastAsia" w:ascii="宋体" w:hAnsi="宋体" w:eastAsia="宋体" w:cs="宋体"/>
                <w:sz w:val="21"/>
                <w:szCs w:val="21"/>
                <w:highlight w:val="none"/>
                <w:lang w:bidi="ar"/>
              </w:rPr>
              <w:t>（压力/温度传感器）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压力传感器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①量程：0~100kPa</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②精度：±0.5%FS</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③输出：4-20mA+HART协议</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温度传感器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①类型：PT100铂电阻</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②耐温：-20℃~+150℃</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③防护：IP67不锈钢壳体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条</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消音器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降噪至≤85dB(A)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电动蝶阀（进气）</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DN200，SUS304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4499.9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变频器控制系统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PLC+触摸屏，支持远程监控，IGBT功率模块，适配55KW螺杆鼓风机</w:t>
            </w:r>
          </w:p>
        </w:tc>
        <w:tc>
          <w:tcPr>
            <w:tcW w:w="89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MBR膜吹扫风机</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轴承（含电机轴承、转子）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双列角接触球轴承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联轴器弹性体</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聚氨酯材质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密封件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氟橡胶材质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电机主轴</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材质：42CrMo合金钢（调质处理，抗疲劳强度≥800MPa），表面高频淬火，硬度HRC50-55，耐磨层深≥2mm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同轴度误差：≤0.01mm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动平衡等级：G2.5级（转速3000rpm时振动值≤2.8mm/s）</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轴径：Ø100±0.02mm（与转子过盈配合≤0.01mm）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10262.26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适配90kW电机及螺杆主机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冷却器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适配90kW散热需求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w:t>
            </w:r>
            <w:r>
              <w:rPr>
                <w:rFonts w:hint="eastAsia" w:ascii="宋体" w:hAnsi="宋体" w:eastAsia="宋体" w:cs="宋体"/>
                <w:sz w:val="21"/>
                <w:szCs w:val="21"/>
                <w:highlight w:val="none"/>
                <w:lang w:bidi="ar"/>
              </w:rPr>
              <w:br w:type="textWrapping"/>
            </w:r>
            <w:r>
              <w:rPr>
                <w:rFonts w:hint="eastAsia" w:ascii="宋体" w:hAnsi="宋体" w:eastAsia="宋体" w:cs="宋体"/>
                <w:sz w:val="21"/>
                <w:szCs w:val="21"/>
                <w:highlight w:val="none"/>
                <w:lang w:bidi="ar"/>
              </w:rPr>
              <w:t>（压力/温度传感器）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压力传感器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①量程：0~100kPa</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②精度：±0.5%FS</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③输出：4-20mA+HART协议</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温度传感器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①类型：PT100铂电阻</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②耐温：-20℃~+150℃</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③防护：IP67不锈钢壳体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条</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消音器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降噪至≤85dB(A)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电动蝶阀（进气）</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DN300，SUS304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变频器控制系统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PLC+触摸屏，支持远程监控，IGBT功率模块，适配90KW螺杆鼓风机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二、污泥脱水设备及零部件清单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污泥电磁流量计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励磁线圈总成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工作频率：1MHz</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线圈结构：双绕组冗余设计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绝缘等级：H级（耐温180℃）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防护标准：IP68</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适配管径：DN80~DN300（兼容DN100需求）</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抗干扰能力：三重电磁屏蔽</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温度适应性：-25℃~+70℃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信号转换器电路板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输入信号：接收电极毫伏级信号（适配含固率≤10%的污泥）</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输出信号：</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①4~20mA模拟量（负载电阻≤750Ω）</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②RS485通讯（支持Modbus协议，接入DCS系统）</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③脉冲/频率输出</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显示界面：中英文双行LCD背光屏（瞬时流量、累计流量、流速实时显示）</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精度等级：±0.5%</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防护等级：IP65</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工作温度：-25℃~+60℃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抗干扰能力：三重电磁屏蔽</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电源适配：220V AC或24V DC</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自诊断功能：电极污染报警、空管检测</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参数配置：支持按键编程或HART协议远程调试</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超声波料位计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0~1,5m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药液电磁流量计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信号转换器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输入信号：毫伏级电极信号（支持低至0.1m/s流速）</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输出信号：</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4~20mA模拟量（负载电阻≤750Ω）</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RS485通讯（支持Modbus协议）</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显示界面：双行LCD背光屏（中英文切换，实时显示瞬时/累计流量）</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自诊断功能：空管报警、电极污染监测</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抗干扰设计：三重电磁屏蔽</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防护等级：IP65</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电源适配：24V DC（安全电压）或220V AC</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污泥池潜水搅拌机</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主机（含电机叶轮）</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电机功率：2.2kW</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密封系统：双机械密封</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防护等级：IP68</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绝缘等级：F级（耐温155℃，支持24小时连续运行）</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电缆防护：加强型橡胶密封套</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导轨系统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长度8.5m（含中间支撑架，抗振动设计）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叶轮（304不锈钢）</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叶轮直径：350mm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叶轮结构：后掠式三叶设计</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材质：SUS304不锈钢</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氨气在线检测仪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电化学传感器模组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零点漂移：≤±1%F.S/年（长期稳定性）</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抗干扰设计：三重电磁屏蔽</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防冷凝设计：湿度适应0~95%RH（非凝露）</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过滤膜可更换：防止污泥颗粒堵塞</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显示屏幕模组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显示类型：LCD背光屏（中英文双语切换）</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实时数据：瞬时值、最大值、TWA/STEL统计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报警指示：声光+振动三级警报（阈值可编程）</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防护等级：IP65</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可视角度：≥170°，强光下清晰辨识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硫化氢在线检测仪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电化学传感器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检测原理：电化学原理</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响应时间：T90 ≤ 20秒</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工作寿命：≥24个月（正常工况）</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温度补偿：支持-40℃~+70℃宽温域自适应</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防护设计：防尘过滤膜</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气泵模块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采样方式：内置泵吸式（流量500mL/min）</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采样距离：≥10米</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耐压范围：-0.5~2公斤</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过滤系统：</w:t>
            </w:r>
            <w:r>
              <w:rPr>
                <w:rFonts w:hint="eastAsia" w:ascii="宋体" w:hAnsi="宋体" w:eastAsia="宋体" w:cs="宋体"/>
                <w:sz w:val="21"/>
                <w:szCs w:val="21"/>
                <w:highlight w:val="none"/>
                <w:lang w:bidi="ar"/>
              </w:rPr>
              <w:t>配备</w:t>
            </w:r>
            <w:r>
              <w:rPr>
                <w:rFonts w:hint="eastAsia" w:ascii="宋体" w:hAnsi="宋体" w:eastAsia="宋体" w:cs="宋体"/>
                <w:sz w:val="21"/>
                <w:szCs w:val="21"/>
                <w:highlight w:val="none"/>
                <w:lang w:bidi="ar"/>
              </w:rPr>
              <w:t>湿度粉尘过滤器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主控电路板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处理核心：32位ARM芯片</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数据存储：10万条记录（支持实时/定时存储）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通信接口：USB + RS232</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自诊断功能：电极污染报警、空管检测、传感器寿命提醒</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电源管理：过充/过放/短路保护（3.6V锂电池，续航</w:t>
            </w:r>
            <w:r>
              <w:rPr>
                <w:rFonts w:hint="eastAsia" w:ascii="宋体" w:hAnsi="宋体" w:eastAsia="宋体" w:cs="宋体"/>
                <w:sz w:val="21"/>
                <w:szCs w:val="21"/>
                <w:highlight w:val="none"/>
                <w:lang w:bidi="ar"/>
              </w:rPr>
              <w:t>≥</w:t>
            </w:r>
            <w:r>
              <w:rPr>
                <w:rFonts w:hint="eastAsia" w:ascii="宋体" w:hAnsi="宋体" w:eastAsia="宋体" w:cs="宋体"/>
                <w:sz w:val="21"/>
                <w:szCs w:val="21"/>
                <w:highlight w:val="none"/>
                <w:lang w:bidi="ar"/>
              </w:rPr>
              <w:t>50小时）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反冲洗水泵</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Q=10m³h,H=40m,N=5.5KW，SUS304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电动球阀</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规格：DN100，SUS304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w:t>
            </w:r>
          </w:p>
        </w:tc>
        <w:tc>
          <w:tcPr>
            <w:tcW w:w="1425" w:type="dxa"/>
            <w:vMerge w:val="restart"/>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电动葫芦</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制动器总成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电磁制动器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2646.8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行走轮组</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合金钢轮（带轴承）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3650.58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三、水泵间设备及零部件清单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污泥提升泵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控制柜PLC模块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西门子S7-1200基础型</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MBR膜产水泵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铸铁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泵壳衬板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高铬铸铁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金属</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MBR清洗泵</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铸铁，直径200mm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污泥回流泵</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铸铁，直径200mm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尾水排放泵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碳化钨双端面密封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铸铁/高铬合金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主轴承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圆柱滚子轴承（NSK/SKF）</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泵轴总成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45#钢镀铬</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根</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联轴器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弹性柱销式联轴器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电机绕组</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铜线F级绝缘</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13835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产水电磁流量计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Q=0~300m³/h管径DN200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 xml:space="preserve">18191.33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尾水电磁流量计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Q=0~200m³/h管径DN250 PN0.6MPa，衬塑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 xml:space="preserve">22585.33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除臭污泥电磁流量计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Q=0~30m3h，管径DN100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污泥回流电磁流量计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Q=0~30m3h，管径DN100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17</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进水电磁流量计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Q=0~170m³/h管径DN150 PNO.6MPaa，衬塑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四、次氯酸钠加药装置设备及零部件清单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次氯酸钠电解发生器</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计量泵</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耐次氯酸钠腐蚀，流量150L/h</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020"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次氯酸钠成品加药装置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计量泵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防腐型隔膜计量泵，380V,N=0.75KW,Q=500L/hr,压力：0.5MPa,调整率：10~100%。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在线氢气报警仪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控制器主板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ARM芯片，RS485通讯</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软水装置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自动控制阀</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多路阀/全自动控制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溶盐装置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自动搅拌器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功率≥3kW，耐腐蚀材质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加盐计量泵</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Q=300L/h, P=0.6MPa, N=0.25KW</w:t>
            </w:r>
          </w:p>
        </w:tc>
        <w:tc>
          <w:tcPr>
            <w:tcW w:w="89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五、通风除臭系统设备及零部件清单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离子除臭装置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PLC+触摸屏，IP55防护</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预处理过滤器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过滤颗粒物≥5μm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离心风机主电机</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功率：6.5kW</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防护等级：IP55（防尘防水）</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额定转速：2900rpm（风压≥500Pa）</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材质：铸铁壳体+铝合金叶轮，防腐涂层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高压电源模块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输入电压：220V AC ±10%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输出电压：8~15kV（可调，适配5组离子管负载）</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电流稳定性：±1%（满载波动）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防护设计：三重过流/过压保护</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适配离子管：陶瓷基贵金属涂层管（单管功率≤220W）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2017.8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控制主板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处理器：ARM Cortex-M7内核</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通讯协议：RS485 Modbus RTU（支持DCS接入），HART协议</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控制功能：</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①离子管启停时序控制</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②风机联动（延迟关机保护）</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③故障自诊断（离子管失效/电源异常报警）</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存储能力：运行数据记录≥90天</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离子正压新风装置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离子发生器模块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工作电压：DC 5-12kV</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离子产生量：≥</w:t>
            </w:r>
            <w:r>
              <w:rPr>
                <w:rFonts w:ascii="宋体" w:hAnsi="宋体" w:eastAsia="宋体" w:cs="宋体"/>
                <w:sz w:val="21"/>
                <w:szCs w:val="21"/>
                <w:highlight w:val="none"/>
                <w:lang w:bidi="ar"/>
              </w:rPr>
              <w:t>2×10</w:t>
            </w:r>
            <w:r>
              <w:rPr>
                <w:rFonts w:ascii="Cambria Math" w:hAnsi="Cambria Math" w:eastAsia="宋体" w:cs="Cambria Math"/>
                <w:sz w:val="21"/>
                <w:szCs w:val="21"/>
                <w:highlight w:val="none"/>
                <w:lang w:bidi="ar"/>
              </w:rPr>
              <w:t>⁶</w:t>
            </w:r>
            <w:r>
              <w:rPr>
                <w:rFonts w:ascii="宋体" w:hAnsi="宋体" w:eastAsia="宋体" w:cs="宋体"/>
                <w:sz w:val="21"/>
                <w:szCs w:val="21"/>
                <w:highlight w:val="none"/>
                <w:lang w:bidi="ar"/>
              </w:rPr>
              <w:t xml:space="preserve"> pcs/cm</w:t>
            </w:r>
            <w:r>
              <w:rPr>
                <w:rFonts w:hint="eastAsia" w:ascii="宋体" w:hAnsi="宋体" w:eastAsia="宋体" w:cs="宋体"/>
                <w:sz w:val="21"/>
                <w:szCs w:val="21"/>
                <w:highlight w:val="none"/>
                <w:lang w:bidi="ar"/>
              </w:rPr>
              <w:t>³（</w:t>
            </w:r>
            <w:r>
              <w:rPr>
                <w:rFonts w:ascii="宋体" w:hAnsi="宋体" w:eastAsia="宋体" w:cs="宋体"/>
                <w:sz w:val="21"/>
                <w:szCs w:val="21"/>
                <w:highlight w:val="none"/>
                <w:lang w:bidi="ar"/>
              </w:rPr>
              <w:t>0.5m³</w:t>
            </w:r>
            <w:r>
              <w:rPr>
                <w:rFonts w:hint="eastAsia" w:ascii="宋体" w:hAnsi="宋体" w:eastAsia="宋体" w:cs="宋体"/>
                <w:sz w:val="21"/>
                <w:szCs w:val="21"/>
                <w:highlight w:val="none"/>
                <w:lang w:bidi="ar"/>
              </w:rPr>
              <w:t>空间实测）</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耐腐蚀设计：316L不锈钢发射针</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防护等级：IP54（防尘防溅水）</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臭氧控制：≤0.02ppm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变频器控制板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控制精度：风机转速±0.5% PWM调控</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输入输出接口：</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①4~20mA风压反馈信号（接DCS系统）</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②RS485通讯（支持Modbus协议）</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保护功能：</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①过载/短路自动断电</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②风机堵转报警</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适配功率：1.3kW风机（额定电流3A）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六、其他设备材料清单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柠檬酸投加装置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磁力泵（主泵+备泵）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流量59.5L/min，耐酸碱</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计量泵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与设施适配规格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回转式格栅</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主驱动电机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功率0.75kW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格栅底部拦渣板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不锈钢304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硝化液回流泵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硝化液回流泵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Q=200m³/h，H=0.5m，N=1.5kW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机械密封组件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耐腐蚀碳化硅材质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不锈钢304，φ250mm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1.5kW铜线绕组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MBR膜组件</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膜面积：580平方/组，膜通量：20.83/m2.h，PVDF材质，316L不锈钢框架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组</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单支膜元件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PVDF中空纤维膜，孔径≤0.1μm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膜支架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316L不锈钢，定制尺寸</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空气压缩机</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配套电机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5.5KW，380V</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13</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储气罐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容积0.3-0.5m³，压力1.6MPa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14</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分体式热效应空气流量计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DN250，铂金材质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电路板总成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防潮防尘设计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分体式热效应空气流量计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DN300，铂金材质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17</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电路板总成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防潮防尘设计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18</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超声波液位计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声波传感器探头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FDU91-RG2AA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19</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氨氮在线检测仪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氨氮电极传感器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量程0.1-300mg/L</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17600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20</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蠕动泵总成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适配氨氮检测仪流量需求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21</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数据采集模块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RS485/4-20mA输出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COD在线检测仪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数据采集模块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支持4G/网口传输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23</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蠕动泵总成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流量0.5-3L/min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24</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电极式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污泥浓度计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传感器探头</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蓝宝石玻璃，316L不锈钢</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26</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变送器主板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带LCD显示，IP65防护</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27</w:t>
            </w:r>
          </w:p>
        </w:tc>
        <w:tc>
          <w:tcPr>
            <w:tcW w:w="1425" w:type="dxa"/>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余氯检测仪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电路主板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主控芯片+信号放大器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仪表柜</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PLC控制器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西门子S7-1200，基本型</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29</w:t>
            </w:r>
          </w:p>
        </w:tc>
        <w:tc>
          <w:tcPr>
            <w:tcW w:w="1425" w:type="dxa"/>
            <w:vMerge w:val="continue"/>
            <w:tcBorders>
              <w:tl2br w:val="nil"/>
              <w:tr2bl w:val="nil"/>
            </w:tcBorders>
            <w:shd w:val="clear" w:color="auto" w:fill="FFFFFF"/>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液晶触摸屏</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威纶通MT8071IE，7寸</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pH在线检测仪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pH电极（传感器）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玻璃复合电极，可填充式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潜水搅拌机1</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结构：双机械密封（独立润滑腔设计）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密封面材质：碳化钨-碳化钨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设计寿命：≥25,000小时（正常工况）</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防护标准：IP68防水等级</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结构：后掠式三叶设计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材质：SUS304不锈钢一体铸造（厚度≥5mm）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直径：620mm（适配7.5kW推力需求）</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类型：深沟球轴承</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润滑方式：锂基脂密封润滑（免维护周期≥10,000小时）</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承重能力：轴向载荷≥8kN，径向载荷≥5kN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绝缘等级：F级（耐温155℃，支持24h连续运行）</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防护工艺：真空浸漆 + 环氧树脂封装</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温度保护：内置PT100热敏传感器（过热自动停机）</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线材：铜线（纯度≥99.9%）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潜水搅拌机2</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结构：双机械密封（独立润滑腔设计）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密封面材质：碳化钨-碳化钨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设计寿命：≥25,000小时（正常工况）</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防护标准：IP68防水等级</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结构：后掠式三叶设计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材质：SUS304不锈钢一体铸造（厚度≥5mm）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直径：620mm（适配4.0kW推力需求）</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类型：深沟球轴承</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润滑方式：锂基脂密封润滑（免维护周期≥10,000小时）</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承重能力：轴向载荷≥8kN，径向载荷≥5kN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导杆材质：SUS304不锈钢（直径Φ50mm，壁厚4mm）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支架结构：可旋转±60°底座 + 中间支撑架（防振动变形）</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适配深度：8.5m导轨标配2个支撑架</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固定方式：不锈钢膨胀螺栓</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抗振动设计：导杆中间支撑架间距≤2.5m</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齿轮箱总成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减速比：3.08:1（输入转速1480rpm → 输出480rpm）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齿轮材质：20CrMnTi渗碳淬火（硬度HRC58-62）</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密封设计：多重骨架油封（防渗水、防油泄漏）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6957.5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绝缘等级：F级（耐温155℃，支持24h连续运行）</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防护工艺：真空浸漆 + 环氧树脂封装</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温度保护：内置PT100热敏传感器（过热自动停机）</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线材：铜线（纯度≥99.9%）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潜水搅拌机3</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结构：双端面机械密封（独立油室隔离污泥）</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①动环：碳化钨（硬度≥85HRA）</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②静环：浸锑石墨（耐温≤120℃）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③O型圈：氟橡胶（FKM）耐腐蚀</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防护等级：IP68</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寿命：≥10万小时（正常工况）</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结构：后掠式三叶设计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材质：SUS304不锈钢一体铸造（厚度≥5mm）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直径：400mm（适配3.0kW推力需求）</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类型：双列角接触球轴承 + 圆柱滚子轴承组合</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参数：接触角30°，承载≥8kN</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润滑：食品级锂基脂（耐温-30℃~+150℃）</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防护：三重唇形密封防泥水侵入</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导杆材质：SUS304不锈钢（直径Φ50mm，壁厚4mm）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支架结构：可旋转±60°底座 + 中间支撑架（防振动变形）</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适配深度：8.5m导轨标配2个支撑架</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固定方式：不锈钢膨胀螺栓</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抗振动设计：导杆中间支撑架间距≤2.5m</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线材：铜线（纯度≥99.9%）</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防护工艺：真空浸漆 + 环氧树脂封装</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温升控制：≤80K（24小时连续运行）</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46</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潜水搅拌机4</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结构：双端面机械密封（独立油室隔离污泥）</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①动环：碳化钨（硬度≥85HRA）</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②静环：浸锑石墨（耐温≤120℃）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③O型圈：氟橡胶（FKM）耐腐蚀</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防护等级：IP68</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寿命：≥10万小时（正常工况）</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结构：后掠式三叶设计</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材质：SUS304不锈钢一体铸造（厚度≥5mm）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直径：260mm</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类型：双列角接触球轴承 + 圆柱滚子轴承组合</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参数：接触角30°，承载≥8kN</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润滑：食品级锂基脂（耐温-30℃~+150℃）</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防护：三重唇形密封防泥水侵入</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导杆材质：SUS304不锈钢（直径Φ50mm，壁厚4mm）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支架结构：可旋转±60°底座 + 中间支撑架（防振动变形）</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适配深度：8.5m导轨标配2个支撑架</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固定方式：不锈钢膨胀螺栓</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抗振动设计：导杆中间支撑架间距≤2.5m</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齿轮箱总成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减速比：1:6（输入转速980rpm→输出163rpm）</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传动效率：≥92%</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润滑方式：飞溅润滑（推荐VG320齿轮油）</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密封结构：双油封+迷宫式防水</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6957.5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51</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绝缘等级：F级（耐温155℃，连续运行）</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防护等级：IP68</w:t>
            </w:r>
          </w:p>
          <w:p>
            <w:pPr>
              <w:widowControl/>
              <w:autoSpaceDE/>
              <w:autoSpaceDN/>
              <w:adjustRightInd/>
              <w:jc w:val="center"/>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功率输出：1.5kW（额定电压380V，50Hz）</w:t>
            </w:r>
          </w:p>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绕组材质：铜线（纯度≥99.9%）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七、电气系统设备及零部件清单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 集成控制柜</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PLC控制模块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西门子S7-400X系列</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触摸屏（HMI）</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西门子KTP400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变频器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施耐德ATV310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八、监控及中控系统采购及零部件清单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b/>
                <w:bCs/>
                <w:kern w:val="2"/>
                <w:sz w:val="21"/>
                <w:szCs w:val="21"/>
                <w:highlight w:val="none"/>
              </w:rPr>
            </w:pPr>
            <w:r>
              <w:rPr>
                <w:rFonts w:hint="eastAsia" w:ascii="宋体" w:hAnsi="宋体" w:eastAsia="宋体" w:cs="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w:t>
            </w:r>
          </w:p>
        </w:tc>
        <w:tc>
          <w:tcPr>
            <w:tcW w:w="1425" w:type="dxa"/>
            <w:vMerge w:val="restart"/>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监控系统</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液位传感器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4-20mA输出/防腐材质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PLC控制器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西门子品牌，16通道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16850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网络交换机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华为，工业级/8口千兆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3550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视频存储服务器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8TB硬盘/支持30天循环录制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15600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中控电脑</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酷睿i5/8G内存/256G固态硬盘</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UPS不间断电源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10KVA/2小时续航</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 xml:space="preserve">11176.67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ascii="宋体" w:hAnsi="宋体" w:eastAsia="宋体" w:cs="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监控系统软件授权</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定制化开发/多点管理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bidi="ar"/>
              </w:rPr>
              <w:t>54000</w:t>
            </w:r>
          </w:p>
        </w:tc>
      </w:tr>
    </w:tbl>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（九）</w:t>
      </w:r>
      <w:bookmarkStart w:id="9" w:name="OLE_LINK16"/>
      <w:r>
        <w:rPr>
          <w:rFonts w:hint="eastAsia" w:ascii="宋体" w:hAnsi="宋体" w:eastAsia="宋体" w:cs="宋体"/>
          <w:sz w:val="21"/>
          <w:szCs w:val="21"/>
          <w:highlight w:val="none"/>
          <w:lang w:val="en-US" w:eastAsia="zh-CN" w:bidi="ar-SA"/>
        </w:rPr>
        <w:t>中标人</w:t>
      </w:r>
      <w:bookmarkEnd w:id="9"/>
      <w:r>
        <w:rPr>
          <w:rFonts w:hint="eastAsia" w:ascii="宋体" w:hAnsi="宋体" w:eastAsia="宋体" w:cs="宋体"/>
          <w:sz w:val="21"/>
          <w:szCs w:val="21"/>
          <w:highlight w:val="none"/>
          <w:lang w:val="en-US" w:eastAsia="zh-CN" w:bidi="ar-SA"/>
        </w:rPr>
        <w:t>的运营管理操作人员须穿着统一的制服，配戴专业上岗证，同时应接受过必要的培训，具备岗位的操作技能和资格，并将相关资格及培训记录加盖公章交采购人备案。</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w:t>
      </w:r>
      <w:bookmarkStart w:id="10" w:name="OLE_LINK17"/>
      <w:r>
        <w:rPr>
          <w:rFonts w:hint="eastAsia" w:ascii="宋体" w:hAnsi="宋体" w:eastAsia="宋体" w:cs="宋体"/>
          <w:sz w:val="21"/>
          <w:szCs w:val="21"/>
          <w:highlight w:val="none"/>
          <w:lang w:val="en-US" w:eastAsia="zh-CN" w:bidi="ar-SA"/>
        </w:rPr>
        <w:t>中标人</w:t>
      </w:r>
      <w:bookmarkEnd w:id="10"/>
      <w:r>
        <w:rPr>
          <w:rFonts w:hint="eastAsia" w:ascii="宋体" w:hAnsi="宋体" w:eastAsia="宋体" w:cs="宋体"/>
          <w:sz w:val="21"/>
          <w:szCs w:val="21"/>
          <w:highlight w:val="none"/>
          <w:lang w:val="en-US" w:eastAsia="zh-CN" w:bidi="ar-SA"/>
        </w:rPr>
        <w:t>应加强水质、发电机、噪音、污泥、大气等环境污染物检测工作，按照《排污许可证》的标准及规范出具具有CMA（中国计量认证）资质的第三方检测报告上报给</w:t>
      </w:r>
      <w:bookmarkStart w:id="11" w:name="OLE_LINK18"/>
      <w:r>
        <w:rPr>
          <w:rFonts w:hint="eastAsia" w:ascii="宋体" w:hAnsi="宋体" w:eastAsia="宋体" w:cs="宋体"/>
          <w:sz w:val="21"/>
          <w:szCs w:val="21"/>
          <w:highlight w:val="none"/>
          <w:lang w:val="en-US" w:eastAsia="zh-CN" w:bidi="ar-SA"/>
        </w:rPr>
        <w:t>采购人</w:t>
      </w:r>
      <w:bookmarkEnd w:id="11"/>
      <w:r>
        <w:rPr>
          <w:rFonts w:hint="eastAsia" w:ascii="宋体" w:hAnsi="宋体" w:eastAsia="宋体" w:cs="宋体"/>
          <w:sz w:val="21"/>
          <w:szCs w:val="21"/>
          <w:highlight w:val="none"/>
          <w:lang w:val="en-US" w:eastAsia="zh-CN" w:bidi="ar-SA"/>
        </w:rPr>
        <w:t xml:space="preserve">，并对数据真实性负责；如因数据真实性问题造成的相关责任由中标人负责。 如发现进水水质发生异常变化时，中标人应根据需要增加监测项目和频次，在落实相应处理措施的同时向采购人报告。分析报告应包括但不限于：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1、检测排放口余氯、接触池余氯、PH值等，频率不少于2次/日；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2、每周检测COD、SS值至少1次，并出具检测报告；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3、每月检测粪大肠杆菌至少1次，并出具检测报告；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4、每季度检测BOD、总氰化物、挥发酚、动植物油、阴离子表面活性剂、LAS、粪大肠杆菌、沙门氏菌、石油类、放射性α和β等至少1次，并出具检测报告；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5、每季度检测有组织、无组织废气和噪声至少1次，并出具检测报告；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6、每半年检测志贺氏菌至少1次，并出具检测报告；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 xml:space="preserve">7、每次污泥清掏前的应按相关要求进行监测，并出具检测报告； </w:t>
      </w:r>
    </w:p>
    <w:p>
      <w:pPr>
        <w:widowControl/>
        <w:ind w:firstLine="420" w:firstLineChars="200"/>
        <w:rPr>
          <w:rFonts w:hint="eastAsia" w:ascii="宋体" w:hAnsi="宋体" w:eastAsia="宋体" w:cs="宋体"/>
          <w:bCs/>
          <w:sz w:val="21"/>
          <w:szCs w:val="21"/>
          <w:highlight w:val="none"/>
          <w:shd w:val="clear" w:color="auto" w:fill="FFFFFF"/>
          <w:lang w:val="zh-CN"/>
        </w:rPr>
      </w:pPr>
      <w:r>
        <w:rPr>
          <w:rFonts w:hint="eastAsia" w:ascii="宋体" w:hAnsi="宋体" w:eastAsia="宋体" w:cs="宋体"/>
          <w:bCs/>
          <w:sz w:val="21"/>
          <w:szCs w:val="21"/>
          <w:highlight w:val="none"/>
          <w:shd w:val="clear" w:color="auto" w:fill="FFFFFF"/>
          <w:lang w:val="zh-CN"/>
        </w:rPr>
        <w:t>8、按国家最新政策需监测的其他内容。</w:t>
      </w:r>
    </w:p>
    <w:p>
      <w:pPr>
        <w:widowControl w:val="0"/>
        <w:autoSpaceDE w:val="0"/>
        <w:autoSpaceDN w:val="0"/>
        <w:adjustRightInd w:val="0"/>
        <w:spacing w:beforeLines="0" w:line="240" w:lineRule="auto"/>
        <w:ind w:left="0" w:firstLine="420" w:firstLineChars="200"/>
        <w:rPr>
          <w:rFonts w:hint="eastAsia" w:ascii="宋体" w:hAnsi="宋体" w:eastAsia="宋体" w:cs="宋体"/>
          <w:bCs/>
          <w:sz w:val="21"/>
          <w:szCs w:val="21"/>
          <w:highlight w:val="none"/>
          <w:shd w:val="clear" w:color="auto" w:fill="FFFFFF"/>
          <w:lang w:val="zh-CN" w:eastAsia="zh-CN" w:bidi="ar-SA"/>
        </w:rPr>
      </w:pPr>
      <w:r>
        <w:rPr>
          <w:rFonts w:hint="eastAsia" w:ascii="宋体" w:hAnsi="宋体" w:eastAsia="宋体" w:cs="宋体"/>
          <w:bCs/>
          <w:sz w:val="21"/>
          <w:szCs w:val="21"/>
          <w:highlight w:val="none"/>
          <w:shd w:val="clear" w:color="auto" w:fill="FFFFFF"/>
          <w:lang w:val="zh-CN" w:eastAsia="zh-CN" w:bidi="ar-SA"/>
        </w:rPr>
        <w:t>（十一）如中标人出现</w:t>
      </w:r>
      <w:r>
        <w:rPr>
          <w:rFonts w:hint="eastAsia" w:ascii="宋体" w:hAnsi="宋体" w:eastAsia="宋体" w:cs="宋体"/>
          <w:sz w:val="21"/>
          <w:szCs w:val="21"/>
          <w:highlight w:val="none"/>
          <w:lang w:val="en-US" w:eastAsia="zh-CN" w:bidi="ar-SA"/>
        </w:rPr>
        <w:t>污水处理站污染物检测</w:t>
      </w:r>
      <w:r>
        <w:rPr>
          <w:rFonts w:hint="eastAsia" w:ascii="宋体" w:hAnsi="宋体" w:eastAsia="宋体" w:cs="宋体"/>
          <w:bCs/>
          <w:sz w:val="21"/>
          <w:szCs w:val="21"/>
          <w:highlight w:val="none"/>
          <w:shd w:val="clear" w:color="auto" w:fill="FFFFFF"/>
          <w:lang w:val="zh-CN" w:eastAsia="zh-CN" w:bidi="ar-SA"/>
        </w:rPr>
        <w:t>不达标的情况下，采购人下达整改通知书，整改后仍不达标的，下达再次整改通知书。再次整改仍不合格的，采购人有权解除合同。</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★（十二）如发生设备故障或突发事件，中标人必须配合采购人做好应急处理方案及配合，确保污染物达标排放，地震、战争两项不可抗力的因素除外。</w:t>
      </w:r>
      <w:r>
        <w:rPr>
          <w:rFonts w:hint="eastAsia" w:ascii="Calibri" w:hAnsi="宋体" w:eastAsia="宋体" w:cs="宋体"/>
          <w:sz w:val="21"/>
          <w:szCs w:val="21"/>
          <w:highlight w:val="none"/>
          <w:lang w:val="en-US" w:eastAsia="zh-CN" w:bidi="ar-SA"/>
        </w:rPr>
        <w:t>（在投标文件中提供承诺函（格式自拟））</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bookmarkStart w:id="12" w:name="OLE_LINK19"/>
      <w:r>
        <w:rPr>
          <w:rFonts w:hint="eastAsia" w:ascii="宋体" w:hAnsi="宋体" w:eastAsia="宋体" w:cs="宋体"/>
          <w:sz w:val="21"/>
          <w:szCs w:val="21"/>
          <w:highlight w:val="none"/>
          <w:lang w:val="en-US" w:eastAsia="zh-CN" w:bidi="ar-SA"/>
        </w:rPr>
        <w:t>★</w:t>
      </w:r>
      <w:bookmarkEnd w:id="12"/>
      <w:r>
        <w:rPr>
          <w:rFonts w:hint="eastAsia" w:ascii="宋体" w:hAnsi="宋体" w:eastAsia="宋体" w:cs="宋体"/>
          <w:sz w:val="21"/>
          <w:szCs w:val="21"/>
          <w:highlight w:val="none"/>
          <w:lang w:val="en-US" w:eastAsia="zh-CN" w:bidi="ar-SA"/>
        </w:rPr>
        <w:t>（十三）中标人工作人员需做好职业防护，中标人工作人员发生职业暴露应按医院职业暴露处理报告流程进行处理和上报，发生工伤、计生等劳资纠纷和产生的一切费用由中标人自行负责，与采购人无关。</w:t>
      </w:r>
      <w:r>
        <w:rPr>
          <w:rFonts w:hint="eastAsia" w:ascii="Calibri" w:hAnsi="宋体" w:eastAsia="宋体" w:cs="宋体"/>
          <w:sz w:val="21"/>
          <w:szCs w:val="21"/>
          <w:highlight w:val="none"/>
          <w:lang w:val="en-US" w:eastAsia="zh-CN" w:bidi="ar-SA"/>
        </w:rPr>
        <w:t>（在投标文件中提供承诺函（格式自拟））</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四）中标人接管污水处理站后，必须严格执行《中华人民共和国环境保护法》、《突发环境事件应急管理办法》及地方有关法律法规、标准，遵守现行颁布的环境管理规章制度及有关政策。确保污染物排放达标，能够通过环保部门相关环境检测，并按服务清单完成工作内容，按要求对污水排放进行水质检测出具报告，并认真做好相关记录。协助医院配合当地生态环境部门及政府部门的例行检查，做好各种迎接检查准备工作。中标人应按甲方的要求配合做好各项检查及迎检有关工作，如第三方检测或地方生态环境部门检查发现污水处理站排放的污染物不达标，按附件一“污水处理管理扣罚细则”处理，由中标人承担责任及罚款并立刻进行整改处理，如经处理后仍不能达标，采购人则有权解除合同，履约保证金不予退还。</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（十五）</w:t>
      </w:r>
      <w:r>
        <w:rPr>
          <w:rFonts w:hint="eastAsia" w:ascii="宋体" w:hAnsi="宋体" w:eastAsia="宋体" w:cs="宋体"/>
          <w:bCs/>
          <w:sz w:val="21"/>
          <w:szCs w:val="21"/>
          <w:highlight w:val="none"/>
          <w:shd w:val="clear" w:color="auto" w:fill="FFFFFF"/>
          <w:lang w:val="zh-CN" w:eastAsia="zh-CN" w:bidi="ar-SA"/>
        </w:rPr>
        <w:t>中标人</w:t>
      </w:r>
      <w:r>
        <w:rPr>
          <w:rFonts w:hint="eastAsia" w:ascii="宋体" w:hAnsi="宋体" w:eastAsia="宋体" w:cs="宋体"/>
          <w:sz w:val="21"/>
          <w:szCs w:val="21"/>
          <w:highlight w:val="none"/>
          <w:lang w:val="en-US" w:eastAsia="zh-CN" w:bidi="ar-SA"/>
        </w:rPr>
        <w:t>负责两个院区污水处理站所需的所有消耗品及药剂（如草酸/柠檬酸、无碘食盐、次氯酸钠、聚丙烯酰胺、单过硫酸氢钾复合盐等的采购、使用、存放以及回收处置，所有使用的消毒药剂及测试试剂，必须为有效期内、合法、合规。主要污水处理消毒剂参数：</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1、总院采用电解盐次氯酸钠发生器，原料参数要求：GBT5461-2016</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559"/>
        <w:gridCol w:w="15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restart"/>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4536" w:type="dxa"/>
            <w:gridSpan w:val="3"/>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continue"/>
            <w:vAlign w:val="center"/>
          </w:tcPr>
          <w:p>
            <w:pPr>
              <w:widowControl/>
              <w:spacing w:line="360" w:lineRule="auto"/>
              <w:ind w:firstLine="420"/>
              <w:jc w:val="center"/>
              <w:rPr>
                <w:rFonts w:hint="eastAsia" w:ascii="宋体" w:hAnsi="宋体" w:eastAsia="宋体" w:cs="宋体"/>
                <w:sz w:val="21"/>
                <w:szCs w:val="21"/>
                <w:highlight w:val="none"/>
              </w:rPr>
            </w:pPr>
          </w:p>
        </w:tc>
        <w:tc>
          <w:tcPr>
            <w:tcW w:w="4536" w:type="dxa"/>
            <w:gridSpan w:val="3"/>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精制盐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continue"/>
            <w:vAlign w:val="center"/>
          </w:tcPr>
          <w:p>
            <w:pPr>
              <w:widowControl/>
              <w:spacing w:line="360" w:lineRule="auto"/>
              <w:jc w:val="center"/>
              <w:rPr>
                <w:rFonts w:hint="eastAsia" w:ascii="宋体" w:hAnsi="宋体" w:eastAsia="宋体" w:cs="宋体"/>
                <w:sz w:val="21"/>
                <w:szCs w:val="21"/>
                <w:highlight w:val="none"/>
              </w:rPr>
            </w:pP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优级</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一级</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粒度</w:t>
            </w:r>
          </w:p>
        </w:tc>
        <w:tc>
          <w:tcPr>
            <w:tcW w:w="4536" w:type="dxa"/>
            <w:gridSpan w:val="3"/>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在下列某一范围内应不少于75g/100g。</w:t>
            </w:r>
          </w:p>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----大粒：2mm~4mm</w:t>
            </w:r>
          </w:p>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----中粒：0.3mm~2.8mm</w:t>
            </w:r>
          </w:p>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----小粒：0.15mm~0.85mm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白度/度≥</w:t>
            </w: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80</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75</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氯化钠（以湿基计）/（g/100g)≥</w:t>
            </w: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99.1</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98.5</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硫酸根/（g/100g)≤</w:t>
            </w: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0.40</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0.60</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水分/（g/100g)≤</w:t>
            </w: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0.30</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0.50</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水不溶物/（g/100g)≤</w:t>
            </w:r>
          </w:p>
        </w:tc>
        <w:tc>
          <w:tcPr>
            <w:tcW w:w="1559"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0.03</w:t>
            </w:r>
          </w:p>
        </w:tc>
        <w:tc>
          <w:tcPr>
            <w:tcW w:w="1560"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0.07</w:t>
            </w:r>
          </w:p>
        </w:tc>
        <w:tc>
          <w:tcPr>
            <w:tcW w:w="14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0.10</w:t>
            </w:r>
          </w:p>
        </w:tc>
      </w:tr>
    </w:tbl>
    <w:p>
      <w:pPr>
        <w:widowControl/>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2、鹤洞分院采用活性氧消毒，投放单过硫酸氢钾消毒粉，原料参数要求：HGT5562-2019</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41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过硫酸氢钾的质量分数%   ≥</w:t>
            </w:r>
          </w:p>
        </w:tc>
        <w:tc>
          <w:tcPr>
            <w:tcW w:w="41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钾（K）的质量分数%  ≥</w:t>
            </w:r>
          </w:p>
        </w:tc>
        <w:tc>
          <w:tcPr>
            <w:tcW w:w="41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总有效氧氯的质量分数（以Cl计）%</w:t>
            </w:r>
          </w:p>
        </w:tc>
        <w:tc>
          <w:tcPr>
            <w:tcW w:w="41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pH值(10g/L水溶液，25℃）</w:t>
            </w:r>
          </w:p>
        </w:tc>
        <w:tc>
          <w:tcPr>
            <w:tcW w:w="4117" w:type="dxa"/>
            <w:vAlign w:val="center"/>
          </w:tcPr>
          <w:p>
            <w:pPr>
              <w:widowControl/>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3.0~6.0</w:t>
            </w:r>
          </w:p>
        </w:tc>
      </w:tr>
    </w:tbl>
    <w:p>
      <w:pPr>
        <w:widowControl w:val="0"/>
        <w:autoSpaceDE w:val="0"/>
        <w:autoSpaceDN w:val="0"/>
        <w:adjustRightInd w:val="0"/>
        <w:spacing w:beforeLines="0" w:line="240" w:lineRule="auto"/>
        <w:ind w:left="0" w:firstLine="0" w:firstLineChars="0"/>
        <w:rPr>
          <w:rFonts w:hint="eastAsia" w:ascii="宋体" w:hAnsi="宋体" w:eastAsia="宋体" w:cs="宋体"/>
          <w:sz w:val="21"/>
          <w:szCs w:val="21"/>
          <w:highlight w:val="none"/>
          <w:lang w:val="en-US" w:eastAsia="zh-CN" w:bidi="ar-SA"/>
        </w:rPr>
      </w:pP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六）负责清理两院区的化粪池、油池和管道疏通。确保池子与管道无堵塞、无因操作不当导致的渗漏，在采购人提出清理要求后，及时响应核实，紧急情况需要2小时内到场处理，因处理不及时或不当造成渗漏污染，由中标人负责全面清理消毒。清理时，做好先抽排污水后抽渣的步骤，并做好拍照存档记录。医院两院区粪池、油池共约35个，服务期内高压疏通管道约2200米，清理粪池、油池约1800吨。中标人需要确保完成该项工作的合规性和安全性</w:t>
      </w:r>
      <w:r>
        <w:rPr>
          <w:rFonts w:hint="eastAsia" w:ascii="宋体" w:hAnsi="宋体" w:eastAsia="宋体" w:cs="宋体"/>
          <w:sz w:val="21"/>
          <w:szCs w:val="21"/>
          <w:highlight w:val="none"/>
          <w:lang w:val="en-US" w:eastAsia="zh-CN" w:bidi="ar-SA"/>
        </w:rPr>
        <w:t>，服务期内配合采购人提供各政府监管部门要求的相关合规证明材料及清理疏通记录。</w:t>
      </w:r>
      <w:r>
        <w:rPr>
          <w:rFonts w:hint="eastAsia" w:ascii="宋体" w:hAnsi="宋体" w:eastAsia="宋体" w:cs="宋体"/>
          <w:sz w:val="21"/>
          <w:szCs w:val="21"/>
          <w:highlight w:val="none"/>
          <w:lang w:val="en-US" w:eastAsia="zh-CN" w:bidi="ar-SA"/>
        </w:rPr>
        <w:t>因运营单位未及时响应或非法处置废物导致的不良事件，由中标人承担由此引起的一切经济损失及其他连带责任。</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（十七）合法合规做好两个院区的污水站污泥清运处置工作，中标后中标人根据《中华人民共和国环境保护法》、《广州市生态环境局 广州市卫生健康委关于进一步加强医院污泥管理的通知》要求，委托具有相关危险废物处置资质、道路运输资质的单位为医院提供污泥清运处置服务，中标人应与采购人及所委托的污泥清运处置单位签订三方协议，每次清运按要求创建联单申报。</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八）为医院提供污水处理技术方面的咨询和指导，负责办理医院的应急管理服务备案及提供环保相关证照申请填报服务。提供合规合法的突发事件应急处置服务，如临时停电安排应急发电、各种情况导致的污水外溢应急抽排水及污水管网堵塞临时安排吸污车疏通等，因运营单位未及时响应或失误导致污水排放不达标，由该单位承担由此引起的一切经济损失及其他连带责任。</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（十九）负责鹤洞分院的除臭设备活性炭采购、更换和处置，需要委托具有固体废物回收处置能力的单位进行处置并提供回单，不可随意处置。</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（二十）做好污水处理站5S（整理（Seiri）、整顿（Seiton）、清扫（Seiso）、清洁（Seiketsu）和素养（Shitsuke），“五常法”。），保持污水处理站环境卫生整洁。</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（二十一）中标人负责污水处理站在线检测仪器运维、检测对比、校准、试剂、废液回收。</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（二十二）提供突发事件应急服务，协助办理排污相关手续及相关资料。</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（二十三）每年进行应急演练和总结，由投标人分别于当年5月、11月进行污水处理系统应急演练，并做总结报告上交管理部门审核、存档。</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（二十四）本项目合同期限到期后，投标人应将所有资料无条件移交给采购人并履行保密义务，且保证资料的真实与完整。</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（二十五）合同期限内，投标人需协助采购人办理排污相关手续及提供相关资料，提供突发事件应急服务。</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（二十六）具体实施细则要求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60"/>
        <w:gridCol w:w="7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560" w:type="dxa"/>
            <w:vAlign w:val="center"/>
          </w:tcPr>
          <w:p>
            <w:pPr>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项目</w:t>
            </w:r>
          </w:p>
        </w:tc>
        <w:tc>
          <w:tcPr>
            <w:tcW w:w="7162" w:type="dxa"/>
            <w:vAlign w:val="center"/>
          </w:tcPr>
          <w:p>
            <w:pPr>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560"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运营服务</w:t>
            </w: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运营、维修养护计划方案及质量控制和保证计划。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中标人应制定完善的运营管理网络机构图表。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明确的承包责任条文，含对当地环保管理机构的承诺以及对采购人的管理、运营承诺。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建立健全的考核制度。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建立健全的运营参数及设备完好率，记录考核交接班制度。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保证给排水系统正常运行使用，保证水质符合国家标准。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560"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设备仪表运营维修、保养制度</w:t>
            </w: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建有设备保养清单，明确设备保养内容及制度。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设备完好率记录和检修计划申报表。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设备保养记录，含材料消耗记录。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仪表保养检验记录。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电气设备的运营及安全可靠性记录。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制定完善的设备仪表运营完好性考核和奖惩制度。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560" w:type="dxa"/>
            <w:vMerge w:val="restart"/>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现场管理</w:t>
            </w: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加强日常检查巡视，防止跑、冒、滴、漏。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对管路、水箱、阀门等进行日常维护和定期检修。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确保门、窗、地面、玻璃等设施无破损、残缺，能正常使用。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定期对污水处理设施进行清通、养护及清除污垢，保证排水系统通畅。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对电气设备定期巡视维护和重点检测。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加强日常维护检修，公共使用的照明灯具、线路、开关保证完好，确保用电安全。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及时发现并解决故障，零修合格率100%，保证设备完好率95%（不含）以上。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4" w:type="dxa"/>
            <w:vMerge w:val="continue"/>
            <w:vAlign w:val="center"/>
          </w:tcPr>
          <w:p>
            <w:pPr>
              <w:snapToGrid w:val="0"/>
              <w:jc w:val="center"/>
              <w:rPr>
                <w:rFonts w:hint="eastAsia" w:ascii="宋体" w:hAnsi="宋体" w:eastAsia="宋体" w:cs="宋体"/>
                <w:sz w:val="21"/>
                <w:szCs w:val="21"/>
                <w:highlight w:val="none"/>
              </w:rPr>
            </w:pPr>
          </w:p>
        </w:tc>
        <w:tc>
          <w:tcPr>
            <w:tcW w:w="1560" w:type="dxa"/>
            <w:vMerge w:val="continue"/>
            <w:vAlign w:val="center"/>
          </w:tcPr>
          <w:p>
            <w:pPr>
              <w:snapToGrid w:val="0"/>
              <w:jc w:val="center"/>
              <w:rPr>
                <w:rFonts w:hint="eastAsia" w:ascii="宋体" w:hAnsi="宋体" w:eastAsia="宋体" w:cs="宋体"/>
                <w:sz w:val="21"/>
                <w:szCs w:val="21"/>
                <w:highlight w:val="none"/>
              </w:rPr>
            </w:pP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保证污水处理站环境卫生整洁。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560"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资料管理</w:t>
            </w: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保证交给采购人的各项档案资料的完整性、完好性。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560" w:type="dxa"/>
            <w:vAlign w:val="center"/>
          </w:tcPr>
          <w:p>
            <w:pPr>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服务受理</w:t>
            </w:r>
          </w:p>
        </w:tc>
        <w:tc>
          <w:tcPr>
            <w:tcW w:w="7162" w:type="dxa"/>
            <w:vAlign w:val="center"/>
          </w:tcPr>
          <w:p>
            <w:pPr>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保证有效投诉后的处理整改率100%；保证管理服务用户总满意率90%（不含）以上。</w:t>
            </w:r>
          </w:p>
        </w:tc>
      </w:tr>
    </w:tbl>
    <w:p>
      <w:pPr>
        <w:rPr>
          <w:rFonts w:hint="eastAsia" w:ascii="宋体" w:hAnsi="宋体" w:eastAsia="宋体" w:cs="宋体"/>
          <w:sz w:val="21"/>
          <w:szCs w:val="21"/>
          <w:highlight w:val="none"/>
        </w:rPr>
      </w:pPr>
    </w:p>
    <w:p>
      <w:pPr>
        <w:rPr>
          <w:rFonts w:ascii="宋体" w:hAnsi="Times New Roman"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四、报价要求：</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1、本项目采用“全承包”方式，采购人只负责水费、电费，中标人负责包含人工工资、药剂费、污泥处置费、污泥运输费及排污费、日常设备维修保养费、2000元及以下的维修材料、零配件费、环保相关证照申请填报服务费、应急服务费、日常水质检测费、环保监测费、化验费、营运管理费、税费、劳保、办公、社保及其它的所有费用。</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2、投标人应结合自身的实际能力，综合考虑项目实施过程中可能影响投标报价的风险因素，投标报价应包含本项目实施过程中发生的所有费用，采购人不再另行支付任何费用。</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3、本项目各分项中标（合同）金额及中标（合同）总金额计算方式：</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（1）污水处理站外包运营服务中标（合同）金额=单项采购预算×（1-中标</w:t>
      </w:r>
      <w:bookmarkStart w:id="13" w:name="OLE_LINK22"/>
      <w:r>
        <w:rPr>
          <w:rFonts w:hint="eastAsia" w:ascii="宋体" w:hAnsi="Times New Roman" w:eastAsia="宋体" w:cs="宋体"/>
          <w:bCs/>
          <w:spacing w:val="10"/>
          <w:sz w:val="21"/>
          <w:szCs w:val="21"/>
          <w:highlight w:val="none"/>
          <w:lang w:val="en-US" w:eastAsia="zh-CN" w:bidi="ar-SA"/>
        </w:rPr>
        <w:t>分项</w:t>
      </w:r>
      <w:bookmarkEnd w:id="13"/>
      <w:r>
        <w:rPr>
          <w:rFonts w:hint="eastAsia" w:ascii="宋体" w:hAnsi="Times New Roman" w:eastAsia="宋体" w:cs="宋体"/>
          <w:bCs/>
          <w:spacing w:val="10"/>
          <w:sz w:val="21"/>
          <w:szCs w:val="21"/>
          <w:highlight w:val="none"/>
          <w:lang w:val="en-US" w:eastAsia="zh-CN" w:bidi="ar-SA"/>
        </w:rPr>
        <w:t>优惠率）；</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（2）2000元以上的维修材料、零配件费中标（合同）金额=单项采购预算×（1-中标分项优惠率）；</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（5）本项目中标（合同）总金额＝上述（1）+（2）。</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4、投标人根据下表填报污水处理站外包运营服务、2000元以上的维修材料、零配件费二部分分别填报分项优惠率，如有分项优惠率报价缺漏，视为无效投标。分项优惠率作为中标后的结算优惠率。</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分项优惠率报价</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3324"/>
        <w:gridCol w:w="1084"/>
        <w:gridCol w:w="2802"/>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30" w:type="pct"/>
            <w:vAlign w:val="center"/>
          </w:tcPr>
          <w:p>
            <w:pPr>
              <w:widowControl/>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554" w:type="pct"/>
            <w:vAlign w:val="center"/>
          </w:tcPr>
          <w:p>
            <w:pPr>
              <w:widowControl/>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采购内容</w:t>
            </w:r>
          </w:p>
        </w:tc>
        <w:tc>
          <w:tcPr>
            <w:tcW w:w="507" w:type="pct"/>
            <w:vAlign w:val="center"/>
          </w:tcPr>
          <w:p>
            <w:pPr>
              <w:widowControl/>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1310" w:type="pct"/>
            <w:vAlign w:val="center"/>
          </w:tcPr>
          <w:p>
            <w:pPr>
              <w:widowControl/>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采购预算（元）</w:t>
            </w:r>
          </w:p>
        </w:tc>
        <w:tc>
          <w:tcPr>
            <w:tcW w:w="1198" w:type="pct"/>
            <w:vAlign w:val="center"/>
          </w:tcPr>
          <w:p>
            <w:pPr>
              <w:widowControl/>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分项优惠率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30" w:type="pct"/>
            <w:vAlign w:val="center"/>
          </w:tcPr>
          <w:p>
            <w:pPr>
              <w:widowControl/>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1</w:t>
            </w:r>
          </w:p>
        </w:tc>
        <w:tc>
          <w:tcPr>
            <w:tcW w:w="1554" w:type="pct"/>
            <w:vAlign w:val="center"/>
          </w:tcPr>
          <w:p>
            <w:pPr>
              <w:widowControl/>
              <w:jc w:val="center"/>
              <w:rPr>
                <w:rFonts w:hint="eastAsia" w:ascii="宋体" w:hAnsi="宋体" w:eastAsia="宋体" w:cs="宋体"/>
                <w:b/>
                <w:sz w:val="21"/>
                <w:szCs w:val="21"/>
                <w:highlight w:val="none"/>
              </w:rPr>
            </w:pPr>
            <w:bookmarkStart w:id="14" w:name="OLE_LINK20"/>
            <w:r>
              <w:rPr>
                <w:rFonts w:hint="eastAsia" w:ascii="宋体" w:hAnsi="宋体" w:eastAsia="宋体" w:cs="宋体"/>
                <w:kern w:val="2"/>
                <w:sz w:val="21"/>
                <w:szCs w:val="21"/>
                <w:highlight w:val="none"/>
              </w:rPr>
              <w:t>污水处理站外包运营服务</w:t>
            </w:r>
            <w:bookmarkEnd w:id="14"/>
          </w:p>
        </w:tc>
        <w:tc>
          <w:tcPr>
            <w:tcW w:w="507" w:type="pct"/>
            <w:vAlign w:val="center"/>
          </w:tcPr>
          <w:p>
            <w:pPr>
              <w:widowControl/>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1项</w:t>
            </w:r>
          </w:p>
        </w:tc>
        <w:tc>
          <w:tcPr>
            <w:tcW w:w="1310" w:type="pct"/>
            <w:vAlign w:val="center"/>
          </w:tcPr>
          <w:p>
            <w:pPr>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rPr>
              <w:t>1,610,000.00</w:t>
            </w:r>
          </w:p>
        </w:tc>
        <w:tc>
          <w:tcPr>
            <w:tcW w:w="1198" w:type="pct"/>
            <w:vAlign w:val="center"/>
          </w:tcPr>
          <w:p>
            <w:pPr>
              <w:widowControl/>
              <w:jc w:val="center"/>
              <w:rPr>
                <w:rFonts w:hint="eastAsia" w:ascii="宋体" w:hAnsi="宋体" w:eastAsia="宋体" w:cs="宋体"/>
                <w:b/>
                <w:sz w:val="21"/>
                <w:szCs w:val="21"/>
                <w:highlight w:val="none"/>
              </w:rPr>
            </w:pPr>
            <w:r>
              <w:rPr>
                <w:rFonts w:hint="eastAsia" w:ascii="宋体" w:hAnsi="宋体" w:eastAsia="宋体" w:cs="宋体"/>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widowControl/>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2</w:t>
            </w:r>
          </w:p>
        </w:tc>
        <w:tc>
          <w:tcPr>
            <w:tcW w:w="1554" w:type="pct"/>
            <w:vAlign w:val="center"/>
          </w:tcPr>
          <w:p>
            <w:pPr>
              <w:widowControl/>
              <w:jc w:val="center"/>
              <w:rPr>
                <w:rFonts w:hint="eastAsia" w:ascii="宋体" w:hAnsi="宋体" w:eastAsia="宋体" w:cs="宋体"/>
                <w:b/>
                <w:sz w:val="21"/>
                <w:szCs w:val="21"/>
                <w:highlight w:val="none"/>
              </w:rPr>
            </w:pPr>
            <w:bookmarkStart w:id="15" w:name="OLE_LINK21"/>
            <w:r>
              <w:rPr>
                <w:rFonts w:hint="eastAsia" w:ascii="宋体" w:hAnsi="宋体" w:eastAsia="宋体" w:cs="宋体"/>
                <w:kern w:val="2"/>
                <w:sz w:val="21"/>
                <w:szCs w:val="21"/>
                <w:highlight w:val="none"/>
              </w:rPr>
              <w:t>2000元以上的维修材料、零配件费</w:t>
            </w:r>
            <w:bookmarkEnd w:id="15"/>
          </w:p>
        </w:tc>
        <w:tc>
          <w:tcPr>
            <w:tcW w:w="507" w:type="pct"/>
            <w:vAlign w:val="center"/>
          </w:tcPr>
          <w:p>
            <w:pPr>
              <w:widowControl/>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1项</w:t>
            </w:r>
          </w:p>
        </w:tc>
        <w:tc>
          <w:tcPr>
            <w:tcW w:w="1310" w:type="pct"/>
            <w:vAlign w:val="center"/>
          </w:tcPr>
          <w:p>
            <w:pPr>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rPr>
              <w:t>450,000.00</w:t>
            </w:r>
          </w:p>
        </w:tc>
        <w:tc>
          <w:tcPr>
            <w:tcW w:w="1198" w:type="pct"/>
            <w:vAlign w:val="center"/>
          </w:tcPr>
          <w:p>
            <w:pPr>
              <w:widowControl/>
              <w:jc w:val="center"/>
              <w:rPr>
                <w:rFonts w:hint="eastAsia" w:ascii="宋体" w:hAnsi="宋体" w:eastAsia="宋体" w:cs="宋体"/>
                <w:b/>
                <w:sz w:val="21"/>
                <w:szCs w:val="21"/>
                <w:highlight w:val="none"/>
              </w:rPr>
            </w:pPr>
            <w:r>
              <w:rPr>
                <w:rFonts w:hint="eastAsia" w:ascii="宋体" w:hAnsi="宋体" w:eastAsia="宋体" w:cs="宋体"/>
                <w:sz w:val="21"/>
                <w:szCs w:val="21"/>
                <w:highlight w:val="none"/>
                <w:u w:val="single"/>
              </w:rPr>
              <w:t xml:space="preserve">     %</w:t>
            </w:r>
          </w:p>
        </w:tc>
      </w:tr>
    </w:tbl>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4.1加权投标优惠率=【污水处理站外包运营服务分项优惠率×78%+2000元以上的维修材料、零配件费分项优惠率×22%】×100%。</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例如：【污水处理站外包运营服务分项优惠率10%×78%+2000元以上的维修材料、零配件费分项优惠率分项优惠率15%×22%】×100%=加权投标优惠率11.1%。</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r>
        <w:rPr>
          <w:rFonts w:hint="eastAsia" w:ascii="宋体" w:hAnsi="Times New Roman" w:eastAsia="宋体" w:cs="宋体"/>
          <w:bCs/>
          <w:spacing w:val="10"/>
          <w:sz w:val="21"/>
          <w:szCs w:val="21"/>
          <w:highlight w:val="none"/>
          <w:lang w:val="en-US" w:eastAsia="zh-CN" w:bidi="ar-SA"/>
        </w:rPr>
        <w:t>4.2投标人需要将“加权投标优惠率”的计算结果在广东省政府采购智慧云平台中作为项目总报价填入系统，加权投标优惠率仅参与评审时的价格评价计算价格评分，保留小数点后两位（四舍五入）。如分项报价优惠率加权计算结果与填报加权投标优惠率不一致的，以分项报价优惠率加权计算结果为准。修正后的报价经投标人书面确认后产生约束力，投标人不确认的，视为无效投标。</w:t>
      </w:r>
    </w:p>
    <w:p>
      <w:pPr>
        <w:rPr>
          <w:rFonts w:hint="eastAsia" w:ascii="宋体" w:hAnsi="宋体" w:eastAsia="宋体" w:cs="宋体"/>
          <w:b/>
          <w:bCs/>
          <w:sz w:val="21"/>
          <w:szCs w:val="21"/>
          <w:highlight w:val="none"/>
        </w:rPr>
      </w:pPr>
    </w:p>
    <w:p>
      <w:pP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五、人员要求</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（一）现场驻点运行人员需持有环保部门或环保部门委托的中介机构颁发的环境保护设施运行人员技能培训合格证书（污水处理工）或环境保护设施运行人员技能培训合格证书（自动监控（污废水）运行工）。</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（二）总院污水处理站实行每天24小时值班制度，要求有驻点人员24小时在岗，确保污水处理站系统设备每天 24 小时正常运行和污染物达标排放。鹤洞分院根据院区、站点规模及污水处理量等实际情况，驻点人员工作时间为每天7:30-12:00和14:00-17:30，其余时段如遇突发应急情况，中标人需要在接到通知的2个小时内赶到现场处置。</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（三）因站内设备设施维护管理涉及下井操作，中标人需要配备具有有限空间作业资格的持有</w:t>
      </w:r>
      <w:r>
        <w:rPr>
          <w:rFonts w:hint="eastAsia" w:ascii="Calibri" w:hAnsi="宋体" w:eastAsia="宋体" w:cs="宋体"/>
          <w:sz w:val="21"/>
          <w:szCs w:val="21"/>
          <w:highlight w:val="none"/>
          <w:lang w:val="en-US" w:eastAsia="zh-CN" w:bidi="ar-SA"/>
        </w:rPr>
        <w:t>特种作业操作证的</w:t>
      </w:r>
      <w:r>
        <w:rPr>
          <w:rFonts w:hint="eastAsia" w:ascii="宋体" w:hAnsi="宋体" w:eastAsia="宋体" w:cs="宋体"/>
          <w:sz w:val="21"/>
          <w:szCs w:val="21"/>
          <w:highlight w:val="none"/>
          <w:lang w:val="en-US" w:eastAsia="zh-CN" w:bidi="ar-SA"/>
        </w:rPr>
        <w:t>专业技术人员。</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（四）各级行政监管部门现场督导、检查和医院大型督导、检查，项目经理必须提前安排好各项事项做好迎检准备并在现场迎检。</w:t>
      </w:r>
    </w:p>
    <w:p>
      <w:pPr>
        <w:widowControl w:val="0"/>
        <w:autoSpaceDE w:val="0"/>
        <w:autoSpaceDN w:val="0"/>
        <w:adjustRightInd w:val="0"/>
        <w:spacing w:beforeLines="0" w:line="240" w:lineRule="auto"/>
        <w:ind w:left="0" w:firstLine="420" w:firstLineChars="200"/>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（五）岗位配置数量不少于下表要求：（提供承诺函，格式自拟）</w:t>
      </w:r>
    </w:p>
    <w:tbl>
      <w:tblPr>
        <w:tblStyle w:val="24"/>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3543"/>
        <w:gridCol w:w="198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院区</w:t>
            </w: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岗位名称</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岗位数量（个）</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至少配置人员数量（人）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restart"/>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两院区（非驻点）</w:t>
            </w: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项目经理</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机电维修主管</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信息系统维修</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环境检测</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有限空间作业员</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restart"/>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市一总院（驻点）</w:t>
            </w: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总院驻点运行</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驻点技术维修</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鹤洞分院（驻点）</w:t>
            </w:r>
          </w:p>
        </w:tc>
        <w:tc>
          <w:tcPr>
            <w:tcW w:w="3543"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驻点技术维修兼任驻点运行</w:t>
            </w:r>
          </w:p>
        </w:tc>
        <w:tc>
          <w:tcPr>
            <w:tcW w:w="1985" w:type="dxa"/>
            <w:vAlign w:val="center"/>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c>
          <w:tcPr>
            <w:tcW w:w="2551" w:type="dxa"/>
          </w:tcPr>
          <w:p>
            <w:pPr>
              <w:widowControl w:val="0"/>
              <w:autoSpaceDE w:val="0"/>
              <w:autoSpaceDN w:val="0"/>
              <w:adjustRightInd w:val="0"/>
              <w:spacing w:beforeLines="0" w:line="240" w:lineRule="auto"/>
              <w:ind w:left="0" w:firstLine="0" w:firstLineChars="0"/>
              <w:jc w:val="center"/>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1</w:t>
            </w:r>
          </w:p>
        </w:tc>
      </w:tr>
    </w:tbl>
    <w:p>
      <w:pPr>
        <w:widowControl w:val="0"/>
        <w:autoSpaceDE w:val="0"/>
        <w:autoSpaceDN w:val="0"/>
        <w:adjustRightInd w:val="0"/>
        <w:spacing w:before="0" w:after="0"/>
        <w:ind w:firstLine="420" w:firstLineChars="200"/>
        <w:rPr>
          <w:rFonts w:hint="eastAsia" w:ascii="宋体" w:hAnsi="宋体" w:eastAsia="宋体" w:cs="宋体"/>
          <w:bCs w:val="0"/>
          <w:spacing w:val="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（六）具体人员要求</w:t>
      </w:r>
    </w:p>
    <w:p>
      <w:pPr>
        <w:widowControl w:val="0"/>
        <w:autoSpaceDE w:val="0"/>
        <w:autoSpaceDN w:val="0"/>
        <w:adjustRightInd w:val="0"/>
        <w:spacing w:before="0" w:after="0"/>
        <w:ind w:firstLine="420" w:firstLineChars="200"/>
        <w:rPr>
          <w:rFonts w:hint="eastAsia" w:ascii="宋体" w:hAnsi="宋体" w:eastAsia="宋体" w:cs="宋体"/>
          <w:bCs w:val="0"/>
          <w:spacing w:val="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1、项目经理：需具有环境工程助理工程师或以上证书，具有建筑施工企业主要负责人安全生产考核合格证书。</w:t>
      </w:r>
    </w:p>
    <w:p>
      <w:pPr>
        <w:widowControl w:val="0"/>
        <w:autoSpaceDE w:val="0"/>
        <w:autoSpaceDN w:val="0"/>
        <w:adjustRightInd w:val="0"/>
        <w:spacing w:before="0" w:after="0"/>
        <w:ind w:firstLine="420" w:firstLineChars="200"/>
        <w:rPr>
          <w:rFonts w:hint="eastAsia" w:ascii="宋体" w:hAnsi="宋体" w:eastAsia="宋体" w:cs="宋体"/>
          <w:bCs w:val="0"/>
          <w:spacing w:val="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2、机电维修主管：需具有机械设备修理人员职业资格，具有低压电工作业特种作业操作证。</w:t>
      </w:r>
    </w:p>
    <w:p>
      <w:pPr>
        <w:widowControl w:val="0"/>
        <w:autoSpaceDE w:val="0"/>
        <w:autoSpaceDN w:val="0"/>
        <w:adjustRightInd w:val="0"/>
        <w:spacing w:before="0" w:after="0"/>
        <w:ind w:firstLine="420" w:firstLineChars="200"/>
        <w:rPr>
          <w:rFonts w:hint="eastAsia" w:ascii="宋体" w:hAnsi="宋体" w:eastAsia="宋体" w:cs="宋体"/>
          <w:bCs w:val="0"/>
          <w:spacing w:val="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3、环境检测人员：需具有水质检验工职业资格。</w:t>
      </w:r>
    </w:p>
    <w:p>
      <w:pPr>
        <w:widowControl w:val="0"/>
        <w:autoSpaceDE w:val="0"/>
        <w:autoSpaceDN w:val="0"/>
        <w:adjustRightInd w:val="0"/>
        <w:spacing w:before="0" w:after="0"/>
        <w:ind w:firstLine="420" w:firstLineChars="200"/>
        <w:rPr>
          <w:rFonts w:ascii="宋体" w:hAnsi="Times New Roman" w:cs="宋体" w:eastAsiaTheme="minorEastAsia"/>
          <w:bCs/>
          <w:spacing w:val="1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4、信息系统维修人员：需要具备计算机技术与软件专业技术资格</w:t>
      </w:r>
      <w:r>
        <w:rPr>
          <w:rFonts w:hint="eastAsia" w:asciiTheme="minorEastAsia" w:hAnsiTheme="minorEastAsia" w:eastAsiaTheme="minorEastAsia" w:cstheme="minorEastAsia"/>
          <w:bCs/>
          <w:spacing w:val="10"/>
          <w:sz w:val="21"/>
          <w:szCs w:val="21"/>
          <w:highlight w:val="none"/>
          <w:lang w:val="en-US" w:eastAsia="zh-CN" w:bidi="ar-SA"/>
        </w:rPr>
        <w:t>。</w:t>
      </w:r>
    </w:p>
    <w:p>
      <w:pPr>
        <w:widowControl w:val="0"/>
        <w:autoSpaceDE w:val="0"/>
        <w:autoSpaceDN w:val="0"/>
        <w:adjustRightInd w:val="0"/>
        <w:spacing w:before="0" w:after="0"/>
        <w:ind w:firstLine="420" w:firstLineChars="200"/>
        <w:rPr>
          <w:rFonts w:hint="eastAsia" w:ascii="宋体" w:hAnsi="宋体" w:cs="宋体" w:eastAsiaTheme="minorEastAsia"/>
          <w:bCs w:val="0"/>
          <w:spacing w:val="0"/>
          <w:sz w:val="21"/>
          <w:szCs w:val="21"/>
          <w:highlight w:val="none"/>
          <w:lang w:val="en-US" w:eastAsia="zh-CN" w:bidi="ar-SA"/>
        </w:rPr>
      </w:pPr>
      <w:r>
        <w:rPr>
          <w:rFonts w:hint="eastAsia" w:ascii="宋体" w:hAnsi="宋体" w:eastAsia="宋体" w:cs="宋体"/>
          <w:bCs w:val="0"/>
          <w:spacing w:val="0"/>
          <w:sz w:val="21"/>
          <w:szCs w:val="21"/>
          <w:highlight w:val="none"/>
          <w:lang w:val="en-US" w:eastAsia="zh-CN" w:bidi="ar-SA"/>
        </w:rPr>
        <w:t>5、</w:t>
      </w:r>
      <w:r>
        <w:rPr>
          <w:rFonts w:hint="eastAsia" w:asciiTheme="minorEastAsia" w:hAnsiTheme="minorEastAsia" w:eastAsiaTheme="minorEastAsia" w:cstheme="minorEastAsia"/>
          <w:bCs/>
          <w:spacing w:val="10"/>
          <w:sz w:val="21"/>
          <w:szCs w:val="21"/>
          <w:highlight w:val="none"/>
          <w:lang w:val="en-US" w:eastAsia="zh-CN" w:bidi="ar-SA"/>
        </w:rPr>
        <w:t>现场驻点技术维修人员</w:t>
      </w:r>
      <w:r>
        <w:rPr>
          <w:rFonts w:hint="eastAsia" w:ascii="宋体" w:hAnsi="宋体" w:eastAsia="宋体" w:cs="宋体"/>
          <w:bCs w:val="0"/>
          <w:spacing w:val="0"/>
          <w:sz w:val="21"/>
          <w:szCs w:val="21"/>
          <w:highlight w:val="none"/>
          <w:lang w:val="en-US" w:eastAsia="zh-CN" w:bidi="ar-SA"/>
        </w:rPr>
        <w:t>：</w:t>
      </w:r>
      <w:r>
        <w:rPr>
          <w:rFonts w:hint="eastAsia" w:asciiTheme="minorEastAsia" w:hAnsiTheme="minorEastAsia" w:eastAsiaTheme="minorEastAsia" w:cstheme="minorEastAsia"/>
          <w:bCs/>
          <w:spacing w:val="10"/>
          <w:sz w:val="21"/>
          <w:szCs w:val="21"/>
          <w:highlight w:val="none"/>
          <w:lang w:val="en-US" w:eastAsia="zh-CN" w:bidi="ar-SA"/>
        </w:rPr>
        <w:t>同时具有①低压电工作业特种作业操作证、②环保部门（或环保部门委托的中介机构）颁发的环境保护设施运行人员技能培训合格证书（污水处理工）或环境保护设施运行人员技能培训合格证书（自动监控（污废水）运行工）。</w:t>
      </w:r>
    </w:p>
    <w:p>
      <w:pPr>
        <w:rPr>
          <w:rFonts w:ascii="宋体" w:hAnsi="Times New Roman" w:eastAsia="宋体" w:cs="宋体"/>
          <w:sz w:val="21"/>
          <w:szCs w:val="21"/>
          <w:highlight w:val="none"/>
        </w:rPr>
      </w:pPr>
    </w:p>
    <w:p>
      <w:pPr>
        <w:rPr>
          <w:rFonts w:hint="eastAsia" w:ascii="宋体" w:hAnsi="宋体" w:eastAsia="宋体" w:cs="宋体"/>
          <w:sz w:val="21"/>
          <w:szCs w:val="21"/>
          <w:highlight w:val="none"/>
        </w:rPr>
      </w:pPr>
      <w:r>
        <w:rPr>
          <w:rFonts w:hint="eastAsia" w:ascii="宋体" w:hAnsi="宋体" w:eastAsia="宋体" w:cs="宋体"/>
          <w:b/>
          <w:bCs/>
          <w:sz w:val="21"/>
          <w:szCs w:val="21"/>
          <w:highlight w:val="none"/>
        </w:rPr>
        <w:t>六、其他服务要求</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安排足够工作人员长期进驻采购人现场，持证上岗，确保采购人污水处理系统设施及污水排放的正常运转，保证调派至采购人的工作人员能遵守采购人的各种规章制度，中标人人员一切薪资、福利均由中标人负责。</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（二）中标人工作人员发生安全事故由中标人单独承担一切法律责任及赔偿(包括但不限于采购人因此产生的诉讼费﹑律师费﹑检测费等)。</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（三）应依照国家或广州市制定相关标准严格执行日常工作，保证政府部门或相关执法部门（环保部门监测、疾控部门、医院监管部门）监测结果百分百达标。</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（四）承包期间负责污水处理系统范围内所有设备、设施的维护、维修并承担一切费用。</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（五）保证污水处理系统范围内的环境卫生。</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（六）保证污水处理系统范围内不作其他用途。</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（七）中标人驻院工作人员应服从污水监管部门工作人员安排，随时配合省、市、区环保部门或医院监管部门采样检测工作。正常上班时间不得离岗，且务必保持联络通畅。</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（八）提供持有有效期内相关营业执照、环境保护设施运营组织服务认证证书三级或以上、进驻人员上岗证书，前往当地环保部门及采购人监管部门办理备案。</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（九）遵守采购人规章制度，服从采购人的监督管理，按照合同约定完成服务工作，并符合合同约定的质量标准。</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（十）如因中标人行为造成设施设备损坏或被盗、丢失的，中标人应向采购人赔偿全部损失。 </w:t>
      </w:r>
    </w:p>
    <w:p>
      <w:pPr>
        <w:widowControl/>
        <w:ind w:firstLine="420" w:firstLineChars="200"/>
        <w:rPr>
          <w:rFonts w:hint="eastAsia" w:ascii="宋体" w:hAnsi="宋体" w:eastAsia="宋体" w:cs="宋体"/>
          <w:sz w:val="21"/>
          <w:szCs w:val="21"/>
          <w:highlight w:val="none"/>
        </w:rPr>
      </w:pPr>
      <w:r>
        <w:rPr>
          <w:rFonts w:hint="eastAsia" w:ascii="宋体" w:hAnsi="Times New Roman" w:eastAsia="宋体" w:cs="宋体"/>
          <w:sz w:val="21"/>
          <w:szCs w:val="21"/>
          <w:highlight w:val="none"/>
        </w:rPr>
        <w:t>（十一）投标人应提供</w:t>
      </w:r>
      <w:r>
        <w:rPr>
          <w:rFonts w:hint="eastAsia" w:ascii="宋体" w:hAnsi="宋体" w:eastAsia="宋体" w:cs="宋体"/>
          <w:sz w:val="21"/>
          <w:szCs w:val="21"/>
          <w:highlight w:val="none"/>
        </w:rPr>
        <w:t>运营维护方案、项目理解及重难点分析、安全防护方案及应急措施、药剂消毒实施方案。</w:t>
      </w:r>
    </w:p>
    <w:p>
      <w:pPr>
        <w:widowControl w:val="0"/>
        <w:autoSpaceDE w:val="0"/>
        <w:autoSpaceDN w:val="0"/>
        <w:adjustRightInd w:val="0"/>
        <w:spacing w:before="25" w:after="25"/>
        <w:rPr>
          <w:rFonts w:ascii="宋体" w:hAnsi="Times New Roman" w:eastAsia="宋体" w:cs="宋体"/>
          <w:bCs/>
          <w:spacing w:val="10"/>
          <w:sz w:val="21"/>
          <w:szCs w:val="21"/>
          <w:highlight w:val="none"/>
          <w:lang w:val="en-US" w:eastAsia="zh-CN" w:bidi="ar-SA"/>
        </w:rPr>
      </w:pPr>
    </w:p>
    <w:p>
      <w:pPr>
        <w:autoSpaceDE/>
        <w:autoSpaceDN/>
        <w:adjustRightInd/>
        <w:jc w:val="both"/>
        <w:rPr>
          <w:rFonts w:ascii="Calibri" w:hAnsi="Calibri" w:eastAsia="宋体" w:cs="Times New Roman"/>
          <w:kern w:val="2"/>
          <w:sz w:val="21"/>
          <w:szCs w:val="21"/>
          <w:highlight w:val="none"/>
        </w:rPr>
      </w:pPr>
      <w:r>
        <w:rPr>
          <w:rFonts w:hint="eastAsia" w:ascii="Calibri" w:hAnsi="Calibri" w:eastAsia="宋体" w:cs="Times New Roman"/>
          <w:b/>
          <w:kern w:val="2"/>
          <w:sz w:val="21"/>
          <w:szCs w:val="21"/>
          <w:highlight w:val="none"/>
        </w:rPr>
        <w:t>七、采购人</w:t>
      </w:r>
      <w:r>
        <w:rPr>
          <w:rFonts w:ascii="Calibri" w:hAnsi="Calibri" w:eastAsia="宋体" w:cs="Times New Roman"/>
          <w:b/>
          <w:kern w:val="2"/>
          <w:sz w:val="21"/>
          <w:szCs w:val="21"/>
          <w:highlight w:val="none"/>
        </w:rPr>
        <w:t>权利义务</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（一）代表和维护产权人、使用人的合法权益。</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（二）审定</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拟定的管理制度和管理服务年度计划，并提出合理化建议，督促</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健全应有的制度规程、工作规范等；</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（三）检查监督</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管理工作的实施及制度的执行情况；</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（四）负责收集、整理管理所需全部图纸、档案、资料，适时提供给</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（五）对</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不称职的工作人员，</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有权要求</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限期更换；</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（六）协助</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做好管理工作；</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（七）按时按采购需求的付款方式支付费用给</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（八）招标（或采购）文件、投标（或响应）文件及合同附件中约定的</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其它权利义务。</w:t>
      </w:r>
    </w:p>
    <w:p>
      <w:pPr>
        <w:autoSpaceDE/>
        <w:autoSpaceDN/>
        <w:adjustRightInd/>
        <w:jc w:val="both"/>
        <w:rPr>
          <w:rFonts w:ascii="Calibri" w:hAnsi="Calibri" w:eastAsia="宋体" w:cs="Times New Roman"/>
          <w:b/>
          <w:kern w:val="2"/>
          <w:sz w:val="21"/>
          <w:szCs w:val="21"/>
          <w:highlight w:val="none"/>
        </w:rPr>
      </w:pPr>
    </w:p>
    <w:p>
      <w:pPr>
        <w:autoSpaceDE/>
        <w:autoSpaceDN/>
        <w:adjustRightInd/>
        <w:jc w:val="both"/>
        <w:rPr>
          <w:rFonts w:ascii="Calibri" w:hAnsi="Calibri" w:eastAsia="宋体" w:cs="Times New Roman"/>
          <w:kern w:val="2"/>
          <w:sz w:val="21"/>
          <w:szCs w:val="21"/>
          <w:highlight w:val="none"/>
        </w:rPr>
      </w:pPr>
      <w:r>
        <w:rPr>
          <w:rFonts w:hint="eastAsia" w:ascii="Calibri" w:hAnsi="Calibri" w:eastAsia="宋体" w:cs="Times New Roman"/>
          <w:b/>
          <w:kern w:val="2"/>
          <w:sz w:val="21"/>
          <w:szCs w:val="21"/>
          <w:highlight w:val="none"/>
        </w:rPr>
        <w:t>八、中标人</w:t>
      </w:r>
      <w:r>
        <w:rPr>
          <w:rFonts w:ascii="Calibri" w:hAnsi="Calibri" w:eastAsia="宋体" w:cs="Times New Roman"/>
          <w:b/>
          <w:kern w:val="2"/>
          <w:sz w:val="21"/>
          <w:szCs w:val="21"/>
          <w:highlight w:val="none"/>
        </w:rPr>
        <w:t>权利义务</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（一）根据有关法律法规及本合同的约定，制订管理制度，编制管理年度计划，并经</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审定后实施。</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（二）未经</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书面同意，不得将本项目以任何形式分包或转包给</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（或中标联合体）之外的第三方，如有违反，</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有权终止与</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签订的服务合同。并限期</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在规定的时间内移交服务项目及有关档案资料，同时</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不予退还履约保证金。</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（三）负责编制管理年度计划。</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（四）对</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员工违反法规、规章的行为，有责任告知</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处理。</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（五）在服务过程中发生的事故应及时告知</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；所服务的设施需要维修、保养的，应事先告知</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（六）在本服务过程中对无法解决的事项或设施需要维修、保养的，要及时向</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反映。</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（七）在服务期内，</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必须做好工作人员所需要的安全教育及安全措施，保证工作人员的安全，</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工作人员在</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工作范围内发生事故的一切责任由</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负责。</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（八）</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的服务人员要有符合国家规定的上岗证，要严格审查，没有刑事犯罪记录，重要岗位人员聘用要经</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审定。同时，</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的服务人员须严格按照</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的医疗流程提供相关服务。</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（九）</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员工的工资、社会保险等福利,必须符合国家有关规定。</w:t>
      </w:r>
    </w:p>
    <w:p>
      <w:pPr>
        <w:autoSpaceDE/>
        <w:autoSpaceDN/>
        <w:adjustRightInd/>
        <w:ind w:firstLine="420" w:firstLineChars="200"/>
        <w:jc w:val="both"/>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（十）本合同终止时，</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必须在</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要求的时间内及时移交本服务事项，并向</w:t>
      </w:r>
      <w:r>
        <w:rPr>
          <w:rFonts w:hint="eastAsia" w:ascii="Calibri" w:hAnsi="Calibri" w:eastAsia="宋体" w:cs="Times New Roman"/>
          <w:kern w:val="2"/>
          <w:sz w:val="21"/>
          <w:szCs w:val="21"/>
          <w:highlight w:val="none"/>
        </w:rPr>
        <w:t>采购人</w:t>
      </w:r>
      <w:r>
        <w:rPr>
          <w:rFonts w:ascii="Calibri" w:hAnsi="Calibri" w:eastAsia="宋体" w:cs="Times New Roman"/>
          <w:kern w:val="2"/>
          <w:sz w:val="21"/>
          <w:szCs w:val="21"/>
          <w:highlight w:val="none"/>
        </w:rPr>
        <w:t>移交全部有关档案资料。</w:t>
      </w:r>
    </w:p>
    <w:p>
      <w:pPr>
        <w:widowControl/>
        <w:ind w:firstLine="420" w:firstLineChars="200"/>
        <w:rPr>
          <w:rFonts w:ascii="Calibri" w:hAnsi="Calibri" w:eastAsia="宋体" w:cs="Times New Roman"/>
          <w:kern w:val="2"/>
          <w:sz w:val="21"/>
          <w:szCs w:val="21"/>
          <w:highlight w:val="none"/>
        </w:rPr>
      </w:pPr>
      <w:r>
        <w:rPr>
          <w:rFonts w:ascii="Calibri" w:hAnsi="Calibri" w:eastAsia="宋体" w:cs="Times New Roman"/>
          <w:kern w:val="2"/>
          <w:sz w:val="21"/>
          <w:szCs w:val="21"/>
          <w:highlight w:val="none"/>
        </w:rPr>
        <w:t>（十一）招标文件、合同及其附件、中约定的及投标文件中承诺的</w:t>
      </w:r>
      <w:r>
        <w:rPr>
          <w:rFonts w:hint="eastAsia" w:ascii="Calibri" w:hAnsi="Calibri" w:eastAsia="宋体" w:cs="Times New Roman"/>
          <w:kern w:val="2"/>
          <w:sz w:val="21"/>
          <w:szCs w:val="21"/>
          <w:highlight w:val="none"/>
        </w:rPr>
        <w:t>中标人</w:t>
      </w:r>
      <w:r>
        <w:rPr>
          <w:rFonts w:ascii="Calibri" w:hAnsi="Calibri" w:eastAsia="宋体" w:cs="Times New Roman"/>
          <w:kern w:val="2"/>
          <w:sz w:val="21"/>
          <w:szCs w:val="21"/>
          <w:highlight w:val="none"/>
        </w:rPr>
        <w:t>其它权利义务。</w:t>
      </w:r>
    </w:p>
    <w:p>
      <w:pPr>
        <w:widowControl w:val="0"/>
        <w:autoSpaceDE w:val="0"/>
        <w:autoSpaceDN w:val="0"/>
        <w:adjustRightInd w:val="0"/>
        <w:spacing w:before="25" w:after="25"/>
        <w:rPr>
          <w:rFonts w:ascii="宋体" w:hAnsi="Times New Roman" w:eastAsia="宋体" w:cs="宋体"/>
          <w:bCs/>
          <w:spacing w:val="10"/>
          <w:sz w:val="24"/>
          <w:szCs w:val="20"/>
          <w:highlight w:val="none"/>
          <w:lang w:val="en-US" w:eastAsia="zh-CN" w:bidi="ar-SA"/>
        </w:rPr>
      </w:pPr>
    </w:p>
    <w:p>
      <w:pPr>
        <w:widowControl/>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附件一：</w:t>
      </w:r>
    </w:p>
    <w:p>
      <w:pPr>
        <w:snapToGrid w:val="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污水处理管理扣罚细则</w:t>
      </w:r>
    </w:p>
    <w:tbl>
      <w:tblPr>
        <w:tblStyle w:val="24"/>
        <w:tblW w:w="0" w:type="auto"/>
        <w:tblInd w:w="-106" w:type="dxa"/>
        <w:tblLayout w:type="fixed"/>
        <w:tblCellMar>
          <w:top w:w="0" w:type="dxa"/>
          <w:left w:w="108" w:type="dxa"/>
          <w:bottom w:w="0" w:type="dxa"/>
          <w:right w:w="108" w:type="dxa"/>
        </w:tblCellMar>
      </w:tblPr>
      <w:tblGrid>
        <w:gridCol w:w="960"/>
        <w:gridCol w:w="564"/>
        <w:gridCol w:w="3224"/>
        <w:gridCol w:w="1073"/>
        <w:gridCol w:w="4451"/>
      </w:tblGrid>
      <w:tr>
        <w:tblPrEx>
          <w:tblCellMar>
            <w:top w:w="0" w:type="dxa"/>
            <w:left w:w="108" w:type="dxa"/>
            <w:bottom w:w="0" w:type="dxa"/>
            <w:right w:w="108" w:type="dxa"/>
          </w:tblCellMar>
        </w:tblPrEx>
        <w:trPr>
          <w:trHeight w:val="499" w:hRule="atLeast"/>
          <w:tblHeader/>
        </w:trPr>
        <w:tc>
          <w:tcPr>
            <w:tcW w:w="9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类别</w:t>
            </w:r>
          </w:p>
        </w:tc>
        <w:tc>
          <w:tcPr>
            <w:tcW w:w="564"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3224"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考核内容</w:t>
            </w:r>
          </w:p>
        </w:tc>
        <w:tc>
          <w:tcPr>
            <w:tcW w:w="107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检查</w:t>
            </w:r>
          </w:p>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方式</w:t>
            </w:r>
          </w:p>
        </w:tc>
        <w:tc>
          <w:tcPr>
            <w:tcW w:w="445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月考评标准</w:t>
            </w:r>
          </w:p>
        </w:tc>
      </w:tr>
      <w:tr>
        <w:tblPrEx>
          <w:tblCellMar>
            <w:top w:w="0" w:type="dxa"/>
            <w:left w:w="108" w:type="dxa"/>
            <w:bottom w:w="0" w:type="dxa"/>
            <w:right w:w="108" w:type="dxa"/>
          </w:tblCellMar>
        </w:tblPrEx>
        <w:trPr>
          <w:trHeight w:val="615" w:hRule="atLeast"/>
        </w:trPr>
        <w:tc>
          <w:tcPr>
            <w:tcW w:w="960"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一、水质与药品管理</w:t>
            </w: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需提供消证字号许可证的药品，无合格许可证需提供《卫生安全评价报告》及省卫计委出具合格的《消毒产品卫生安全评价报告》，污水水质排放指标达到《医疗机构水污染物排放标准》。</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抽查和相关部门检查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1.1 污水水质不达标，扣罚2000元/次。</w:t>
            </w:r>
          </w:p>
        </w:tc>
      </w:tr>
      <w:tr>
        <w:tblPrEx>
          <w:tblCellMar>
            <w:top w:w="0" w:type="dxa"/>
            <w:left w:w="108" w:type="dxa"/>
            <w:bottom w:w="0" w:type="dxa"/>
            <w:right w:w="108" w:type="dxa"/>
          </w:tblCellMar>
        </w:tblPrEx>
        <w:trPr>
          <w:trHeight w:val="76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1.2 污水水质不达标，收到环保等相关部门处罚的，中标人需负全责及赔偿全部罚款，采购人扣罚当月服务费的5%并有权终止合同。</w:t>
            </w:r>
          </w:p>
        </w:tc>
      </w:tr>
      <w:tr>
        <w:tblPrEx>
          <w:tblCellMar>
            <w:top w:w="0" w:type="dxa"/>
            <w:left w:w="108" w:type="dxa"/>
            <w:bottom w:w="0" w:type="dxa"/>
            <w:right w:w="108" w:type="dxa"/>
          </w:tblCellMar>
        </w:tblPrEx>
        <w:trPr>
          <w:trHeight w:val="63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1.3 站内使用的各项药剂、消毒药品不合格，扣罚10000元/次。</w:t>
            </w:r>
          </w:p>
        </w:tc>
      </w:tr>
      <w:tr>
        <w:tblPrEx>
          <w:tblCellMar>
            <w:top w:w="0" w:type="dxa"/>
            <w:left w:w="108" w:type="dxa"/>
            <w:bottom w:w="0" w:type="dxa"/>
            <w:right w:w="108" w:type="dxa"/>
          </w:tblCellMar>
        </w:tblPrEx>
        <w:trPr>
          <w:trHeight w:val="894" w:hRule="atLeast"/>
        </w:trPr>
        <w:tc>
          <w:tcPr>
            <w:tcW w:w="960" w:type="dxa"/>
            <w:vMerge w:val="restart"/>
            <w:tcBorders>
              <w:top w:val="nil"/>
              <w:left w:val="single" w:color="auto" w:sz="4" w:space="0"/>
              <w:bottom w:val="single" w:color="000000"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二、人员持证、劳动纪律及应急预案</w:t>
            </w:r>
          </w:p>
        </w:tc>
        <w:tc>
          <w:tcPr>
            <w:tcW w:w="56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3224"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污水站运营工作人员健立专业培训的岗前培训等培训档案记录。</w:t>
            </w:r>
          </w:p>
        </w:tc>
        <w:tc>
          <w:tcPr>
            <w:tcW w:w="1073"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建立培训档案，档案不齐，责令整改，一周内未完成整改，扣罚200元/每人。</w:t>
            </w:r>
          </w:p>
        </w:tc>
      </w:tr>
      <w:tr>
        <w:tblPrEx>
          <w:tblCellMar>
            <w:top w:w="0" w:type="dxa"/>
            <w:left w:w="108" w:type="dxa"/>
            <w:bottom w:w="0" w:type="dxa"/>
            <w:right w:w="108" w:type="dxa"/>
          </w:tblCellMar>
        </w:tblPrEx>
        <w:trPr>
          <w:trHeight w:val="60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建全污水站的人员组织架构、工作制度、岗位职责、技术操作规程和应急预案。</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3.1 人员架构与实际人员不一致，每缺1人扣罚10000元，并责令整改。</w:t>
            </w:r>
          </w:p>
        </w:tc>
      </w:tr>
      <w:tr>
        <w:tblPrEx>
          <w:tblCellMar>
            <w:top w:w="0" w:type="dxa"/>
            <w:left w:w="108" w:type="dxa"/>
            <w:bottom w:w="0" w:type="dxa"/>
            <w:right w:w="108" w:type="dxa"/>
          </w:tblCellMar>
        </w:tblPrEx>
        <w:trPr>
          <w:trHeight w:val="87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3.2、工作制度、岗位职责、操作规程和应急预案不齐全，责令整改，一周内未完成整改，扣罚2000元/项/次。</w:t>
            </w:r>
          </w:p>
        </w:tc>
      </w:tr>
      <w:tr>
        <w:tblPrEx>
          <w:tblCellMar>
            <w:top w:w="0" w:type="dxa"/>
            <w:left w:w="108" w:type="dxa"/>
            <w:bottom w:w="0" w:type="dxa"/>
            <w:right w:w="108" w:type="dxa"/>
          </w:tblCellMar>
        </w:tblPrEx>
        <w:trPr>
          <w:trHeight w:val="51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污水站工作制度及应急预案需挂上墙。</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4.1 相关资格证未挂上墙或过期资格证挂上墙，扣罚400元/每证/次。</w:t>
            </w:r>
          </w:p>
        </w:tc>
      </w:tr>
      <w:tr>
        <w:tblPrEx>
          <w:tblCellMar>
            <w:top w:w="0" w:type="dxa"/>
            <w:left w:w="108" w:type="dxa"/>
            <w:bottom w:w="0" w:type="dxa"/>
            <w:right w:w="108" w:type="dxa"/>
          </w:tblCellMar>
        </w:tblPrEx>
        <w:trPr>
          <w:trHeight w:val="46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4.2 工作制度未挂上墙，扣罚200元/次。</w:t>
            </w:r>
          </w:p>
        </w:tc>
      </w:tr>
      <w:tr>
        <w:tblPrEx>
          <w:tblCellMar>
            <w:top w:w="0" w:type="dxa"/>
            <w:left w:w="108" w:type="dxa"/>
            <w:bottom w:w="0" w:type="dxa"/>
            <w:right w:w="108" w:type="dxa"/>
          </w:tblCellMar>
        </w:tblPrEx>
        <w:trPr>
          <w:trHeight w:val="42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4.3 应急预案未挂上墙，扣罚200元/次。</w:t>
            </w:r>
          </w:p>
        </w:tc>
      </w:tr>
      <w:tr>
        <w:tblPrEx>
          <w:tblCellMar>
            <w:top w:w="0" w:type="dxa"/>
            <w:left w:w="108" w:type="dxa"/>
            <w:bottom w:w="0" w:type="dxa"/>
            <w:right w:w="108" w:type="dxa"/>
          </w:tblCellMar>
        </w:tblPrEx>
        <w:trPr>
          <w:trHeight w:val="100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3224"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中标人员工必须严格执行有关安全操作规程；加强安全防范教育培训，避免作业期间发生意外事故。</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如因未做好安全防护、告知义务等防范措施，粗暴作业，如发生意外事故的，由中标人负责赔偿责任，并酌情扣罚200—1000元/项/次。</w:t>
            </w:r>
          </w:p>
        </w:tc>
      </w:tr>
      <w:tr>
        <w:tblPrEx>
          <w:tblCellMar>
            <w:top w:w="0" w:type="dxa"/>
            <w:left w:w="108" w:type="dxa"/>
            <w:bottom w:w="0" w:type="dxa"/>
            <w:right w:w="108" w:type="dxa"/>
          </w:tblCellMar>
        </w:tblPrEx>
        <w:trPr>
          <w:trHeight w:val="75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restart"/>
            <w:tcBorders>
              <w:top w:val="nil"/>
              <w:left w:val="single" w:color="auto" w:sz="4" w:space="0"/>
              <w:bottom w:val="single" w:color="000000"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3224" w:type="dxa"/>
            <w:vMerge w:val="restart"/>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中标人制定运营排班表，运营人员必须严格执行岗位责任制,遵守上下班、交接班制度和劳动纪律。</w:t>
            </w:r>
          </w:p>
        </w:tc>
        <w:tc>
          <w:tcPr>
            <w:tcW w:w="1073" w:type="dxa"/>
            <w:vMerge w:val="restart"/>
            <w:tcBorders>
              <w:top w:val="nil"/>
              <w:left w:val="single" w:color="auto" w:sz="4" w:space="0"/>
              <w:bottom w:val="single" w:color="000000"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6.1 员工穿着统一、整洁；佩戴工作证，上班人员未按要求穿劳保用具的扣罚200元/项/次。</w:t>
            </w:r>
          </w:p>
        </w:tc>
      </w:tr>
      <w:tr>
        <w:tblPrEx>
          <w:tblCellMar>
            <w:top w:w="0" w:type="dxa"/>
            <w:left w:w="108" w:type="dxa"/>
            <w:bottom w:w="0" w:type="dxa"/>
            <w:right w:w="108" w:type="dxa"/>
          </w:tblCellMar>
        </w:tblPrEx>
        <w:trPr>
          <w:trHeight w:val="1020" w:hRule="atLeast"/>
        </w:trPr>
        <w:tc>
          <w:tcPr>
            <w:tcW w:w="960"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1073" w:type="dxa"/>
            <w:vMerge w:val="continue"/>
            <w:tcBorders>
              <w:top w:val="nil"/>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6.2 如经检查发现上班迟到、早退；无故串岗、离岗、旷工、怠工、酗酒、赌博、会客等违反劳动纪律的事项，扣减200元/项/次。</w:t>
            </w:r>
          </w:p>
        </w:tc>
      </w:tr>
      <w:tr>
        <w:tblPrEx>
          <w:tblCellMar>
            <w:top w:w="0" w:type="dxa"/>
            <w:left w:w="108" w:type="dxa"/>
            <w:bottom w:w="0" w:type="dxa"/>
            <w:right w:w="108" w:type="dxa"/>
          </w:tblCellMar>
        </w:tblPrEx>
        <w:trPr>
          <w:trHeight w:val="690" w:hRule="atLeast"/>
        </w:trPr>
        <w:tc>
          <w:tcPr>
            <w:tcW w:w="9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三、设备设施运行管理</w:t>
            </w: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按相关规范及标准做好污水处理的日常跟踪检测及记录，保证污水处理运营符合相关监督要求。</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日常污水检测参数（如PH，余氧等）不按规范检测，每缺一项扣罚400元/每次。</w:t>
            </w:r>
          </w:p>
        </w:tc>
      </w:tr>
      <w:tr>
        <w:tblPrEx>
          <w:tblCellMar>
            <w:top w:w="0" w:type="dxa"/>
            <w:left w:w="108" w:type="dxa"/>
            <w:bottom w:w="0" w:type="dxa"/>
            <w:right w:w="108" w:type="dxa"/>
          </w:tblCellMar>
        </w:tblPrEx>
        <w:trPr>
          <w:trHeight w:val="825"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建立污水站运行数据记录，包括日常运行投放药量、污水处理量、污水站清理废渣数量、淤泥池清理记录和日常设备维护保养记录等。</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8.1发现故意停止投放消毒药品，扣罚10000元/次，并责令改正；</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8.2 发现不按规范处理废渣扣罚10000元/次，并责令改正；</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8.3抽查发现投药量、污水处理量、清理废渣数量、清理淤泥记录、日常设备维护记录等每缺一项扣200元/次。</w:t>
            </w:r>
          </w:p>
        </w:tc>
      </w:tr>
      <w:tr>
        <w:tblPrEx>
          <w:tblCellMar>
            <w:top w:w="0" w:type="dxa"/>
            <w:left w:w="108" w:type="dxa"/>
            <w:bottom w:w="0" w:type="dxa"/>
            <w:right w:w="108" w:type="dxa"/>
          </w:tblCellMar>
        </w:tblPrEx>
        <w:trPr>
          <w:trHeight w:val="75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建立及完善污水站设备设施的台帐档案，台帐档案需符合环保及上级相关检查部门的检查要求。</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污水站台帐不符合相关部门检查要求，责令整改，一周未完成整改扣罚200元/次，相关部门复查未整改扣罚当月运营费30%。</w:t>
            </w:r>
          </w:p>
        </w:tc>
      </w:tr>
      <w:tr>
        <w:tblPrEx>
          <w:tblCellMar>
            <w:top w:w="0" w:type="dxa"/>
            <w:left w:w="108" w:type="dxa"/>
            <w:bottom w:w="0" w:type="dxa"/>
            <w:right w:w="108" w:type="dxa"/>
          </w:tblCellMar>
        </w:tblPrEx>
        <w:trPr>
          <w:trHeight w:val="945" w:hRule="atLeast"/>
        </w:trPr>
        <w:tc>
          <w:tcPr>
            <w:tcW w:w="960" w:type="dxa"/>
            <w:vMerge w:val="continue"/>
            <w:tcBorders>
              <w:top w:val="single" w:color="auto" w:sz="4" w:space="0"/>
              <w:left w:val="single" w:color="auto"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3224"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污水站主体设备（如曝气泵、调节池水泵、机械格栅、投药泵等）故障需及时上报采购人；污水站发生水浸事件需立即上报甲方。</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10.1 污水站主体设备故障未及时上报，扣罚300元/次，未及时维修处理</w:t>
            </w:r>
            <w:bookmarkStart w:id="16" w:name="OLE_LINK3"/>
            <w:r>
              <w:rPr>
                <w:rFonts w:hint="eastAsia" w:ascii="宋体" w:hAnsi="宋体" w:eastAsia="宋体" w:cs="宋体"/>
                <w:sz w:val="21"/>
                <w:szCs w:val="21"/>
                <w:highlight w:val="none"/>
              </w:rPr>
              <w:t>扣罚1000元/次</w:t>
            </w:r>
            <w:bookmarkEnd w:id="16"/>
            <w:r>
              <w:rPr>
                <w:rFonts w:hint="eastAsia" w:ascii="宋体" w:hAnsi="宋体" w:eastAsia="宋体" w:cs="宋体"/>
                <w:sz w:val="21"/>
                <w:szCs w:val="21"/>
                <w:highlight w:val="none"/>
              </w:rPr>
              <w:t>；</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10.2 污水站发生水浸事件未立刻上报，扣罚500元/次，未及时处理导致设备损坏扣罚1000元/次。</w:t>
            </w:r>
          </w:p>
        </w:tc>
      </w:tr>
      <w:tr>
        <w:tblPrEx>
          <w:tblCellMar>
            <w:top w:w="0" w:type="dxa"/>
            <w:left w:w="108" w:type="dxa"/>
            <w:bottom w:w="0" w:type="dxa"/>
            <w:right w:w="108" w:type="dxa"/>
          </w:tblCellMar>
        </w:tblPrEx>
        <w:trPr>
          <w:trHeight w:val="795" w:hRule="atLeast"/>
        </w:trPr>
        <w:tc>
          <w:tcPr>
            <w:tcW w:w="960" w:type="dxa"/>
            <w:vMerge w:val="continue"/>
            <w:tcBorders>
              <w:left w:val="single" w:color="auto"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3224"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每月制定运营情况报告（包括运营情况、存在问题、分析、解决方案等）。</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每个月第二周内提交上月运营情况报告，未提交运营报告不予办理上一</w:t>
            </w:r>
            <w:r>
              <w:rPr>
                <w:rStyle w:val="31"/>
                <w:rFonts w:hint="eastAsia" w:ascii="Times New Roman" w:hAnsi="宋体" w:eastAsia="宋体" w:cs="Times New Roman"/>
                <w:highlight w:val="none"/>
              </w:rPr>
              <w:t>结算周期</w:t>
            </w:r>
            <w:r>
              <w:rPr>
                <w:rFonts w:hint="eastAsia" w:ascii="宋体" w:hAnsi="宋体" w:eastAsia="宋体" w:cs="宋体"/>
                <w:sz w:val="21"/>
                <w:szCs w:val="21"/>
                <w:highlight w:val="none"/>
              </w:rPr>
              <w:t>运营费用申请，责令整改，二周内未完成整改扣罚200元/次。</w:t>
            </w:r>
          </w:p>
        </w:tc>
      </w:tr>
      <w:tr>
        <w:tblPrEx>
          <w:tblCellMar>
            <w:top w:w="0" w:type="dxa"/>
            <w:left w:w="108" w:type="dxa"/>
            <w:bottom w:w="0" w:type="dxa"/>
            <w:right w:w="108" w:type="dxa"/>
          </w:tblCellMar>
        </w:tblPrEx>
        <w:trPr>
          <w:trHeight w:val="795" w:hRule="atLeast"/>
        </w:trPr>
        <w:tc>
          <w:tcPr>
            <w:tcW w:w="960" w:type="dxa"/>
            <w:vMerge w:val="continue"/>
            <w:tcBorders>
              <w:left w:val="single" w:color="auto" w:sz="4" w:space="0"/>
              <w:bottom w:val="single" w:color="000000" w:sz="4" w:space="0"/>
              <w:right w:val="single" w:color="auto" w:sz="4" w:space="0"/>
            </w:tcBorders>
            <w:vAlign w:val="center"/>
          </w:tcPr>
          <w:p>
            <w:pPr>
              <w:rPr>
                <w:rFonts w:hint="eastAsia" w:ascii="宋体" w:hAnsi="宋体" w:eastAsia="宋体" w:cs="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3224"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其他违反合同规定的日常工作要求</w:t>
            </w:r>
          </w:p>
        </w:tc>
        <w:tc>
          <w:tcPr>
            <w:tcW w:w="1073"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根据实际情况扣罚200-600元/次。</w:t>
            </w:r>
          </w:p>
        </w:tc>
      </w:tr>
    </w:tbl>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hAnsi="宋体"/>
          <w:color w:val="auto"/>
          <w:highlight w:val="none"/>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pStyle w:val="2"/>
        <w:rPr>
          <w:rFonts w:hint="eastAsia" w:ascii="宋体" w:hAnsi="宋体"/>
          <w:b/>
          <w:color w:val="auto"/>
          <w:sz w:val="48"/>
          <w:szCs w:val="48"/>
          <w:highlight w:val="none"/>
          <w:lang w:val="en-US" w:eastAsia="zh-CN"/>
        </w:rPr>
      </w:pPr>
    </w:p>
    <w:p>
      <w:pPr>
        <w:rPr>
          <w:rFonts w:hint="eastAsia" w:ascii="宋体" w:hAnsi="宋体"/>
          <w:b/>
          <w:color w:val="auto"/>
          <w:sz w:val="48"/>
          <w:szCs w:val="48"/>
          <w:highlight w:val="none"/>
          <w:lang w:val="en-US" w:eastAsia="zh-CN"/>
        </w:rPr>
      </w:pPr>
    </w:p>
    <w:p>
      <w:pPr>
        <w:pStyle w:val="2"/>
        <w:rPr>
          <w:rFonts w:hint="eastAsia" w:ascii="宋体" w:hAnsi="宋体"/>
          <w:b/>
          <w:color w:val="auto"/>
          <w:sz w:val="48"/>
          <w:szCs w:val="48"/>
          <w:highlight w:val="none"/>
          <w:lang w:val="en-US" w:eastAsia="zh-CN"/>
        </w:rPr>
      </w:pPr>
    </w:p>
    <w:p>
      <w:pPr>
        <w:rPr>
          <w:rFonts w:hint="eastAsia" w:ascii="宋体" w:hAnsi="宋体"/>
          <w:b/>
          <w:color w:val="auto"/>
          <w:sz w:val="48"/>
          <w:szCs w:val="48"/>
          <w:highlight w:val="none"/>
          <w:lang w:val="en-US" w:eastAsia="zh-CN"/>
        </w:rPr>
      </w:pPr>
    </w:p>
    <w:p>
      <w:pPr>
        <w:pStyle w:val="2"/>
        <w:rPr>
          <w:rFonts w:hint="eastAsia" w:ascii="宋体" w:hAnsi="宋体"/>
          <w:b/>
          <w:color w:val="auto"/>
          <w:sz w:val="48"/>
          <w:szCs w:val="48"/>
          <w:highlight w:val="none"/>
          <w:lang w:val="en-US" w:eastAsia="zh-CN"/>
        </w:rPr>
      </w:pPr>
    </w:p>
    <w:p>
      <w:pPr>
        <w:rPr>
          <w:rFonts w:hint="eastAsia"/>
          <w:highlight w:val="none"/>
          <w:lang w:val="en-US" w:eastAsia="zh-CN"/>
        </w:rPr>
      </w:pPr>
    </w:p>
    <w:p>
      <w:pPr>
        <w:spacing w:line="300" w:lineRule="auto"/>
        <w:jc w:val="center"/>
        <w:rPr>
          <w:rFonts w:hint="eastAsia" w:ascii="宋体" w:hAnsi="宋体"/>
          <w:b/>
          <w:color w:val="auto"/>
          <w:sz w:val="48"/>
          <w:szCs w:val="48"/>
          <w:highlight w:val="none"/>
          <w:lang w:val="en-US" w:eastAsia="zh-CN"/>
        </w:rPr>
      </w:pPr>
    </w:p>
    <w:p>
      <w:pPr>
        <w:spacing w:line="300" w:lineRule="auto"/>
        <w:jc w:val="center"/>
        <w:rPr>
          <w:rFonts w:ascii="宋体" w:hAnsi="宋体"/>
          <w:b/>
          <w:color w:val="auto"/>
          <w:sz w:val="48"/>
          <w:szCs w:val="48"/>
          <w:highlight w:val="none"/>
        </w:rPr>
      </w:pPr>
      <w:r>
        <w:rPr>
          <w:rFonts w:hint="eastAsia" w:ascii="宋体" w:hAnsi="宋体"/>
          <w:b/>
          <w:color w:val="auto"/>
          <w:sz w:val="48"/>
          <w:szCs w:val="48"/>
          <w:highlight w:val="none"/>
          <w:lang w:val="en-US" w:eastAsia="zh-CN"/>
        </w:rPr>
        <w:t>第二部分</w:t>
      </w:r>
      <w:r>
        <w:rPr>
          <w:rFonts w:hint="eastAsia" w:ascii="宋体" w:hAnsi="宋体"/>
          <w:b/>
          <w:color w:val="auto"/>
          <w:sz w:val="48"/>
          <w:szCs w:val="48"/>
          <w:highlight w:val="none"/>
        </w:rPr>
        <w:t>、补充附件</w:t>
      </w:r>
    </w:p>
    <w:p>
      <w:pPr>
        <w:spacing w:line="300" w:lineRule="auto"/>
        <w:jc w:val="center"/>
        <w:rPr>
          <w:rFonts w:ascii="宋体" w:hAnsi="宋体"/>
          <w:b/>
          <w:color w:val="auto"/>
          <w:sz w:val="24"/>
          <w:szCs w:val="24"/>
          <w:highlight w:val="none"/>
        </w:rPr>
      </w:pPr>
      <w:r>
        <w:rPr>
          <w:rFonts w:hint="eastAsia" w:ascii="宋体" w:hAnsi="宋体"/>
          <w:b/>
          <w:color w:val="auto"/>
          <w:sz w:val="24"/>
          <w:szCs w:val="24"/>
          <w:highlight w:val="none"/>
        </w:rPr>
        <w:t>注：以下部分的附件应后附在投标文件中，作为投标文件的一部分。</w:t>
      </w:r>
    </w:p>
    <w:p>
      <w:pPr>
        <w:spacing w:line="300" w:lineRule="auto"/>
        <w:rPr>
          <w:rFonts w:ascii="宋体" w:hAnsi="宋体"/>
          <w:b/>
          <w:color w:val="auto"/>
          <w:sz w:val="24"/>
          <w:szCs w:val="24"/>
          <w:highlight w:val="none"/>
        </w:rPr>
      </w:pPr>
    </w:p>
    <w:p>
      <w:pPr>
        <w:outlineLvl w:val="1"/>
        <w:rPr>
          <w:rFonts w:hint="eastAsia" w:ascii="宋体" w:hAnsi="宋体" w:eastAsia="宋体" w:cs="宋体"/>
          <w:b/>
          <w:color w:val="auto"/>
          <w:sz w:val="28"/>
          <w:szCs w:val="28"/>
          <w:highlight w:val="none"/>
        </w:rPr>
      </w:pPr>
      <w:r>
        <w:rPr>
          <w:rFonts w:ascii="宋体" w:hAnsi="宋体"/>
          <w:b/>
          <w:color w:val="auto"/>
          <w:sz w:val="24"/>
          <w:szCs w:val="24"/>
          <w:highlight w:val="none"/>
        </w:rPr>
        <w:br w:type="page"/>
      </w:r>
      <w:r>
        <w:rPr>
          <w:rFonts w:hint="eastAsia" w:ascii="宋体" w:hAnsi="宋体" w:eastAsia="宋体" w:cs="宋体"/>
          <w:b/>
          <w:bCs/>
          <w:color w:val="auto"/>
          <w:spacing w:val="10"/>
          <w:kern w:val="0"/>
          <w:sz w:val="28"/>
          <w:szCs w:val="28"/>
          <w:highlight w:val="none"/>
        </w:rPr>
        <w:t>附件一、</w:t>
      </w:r>
      <w:bookmarkStart w:id="17" w:name="_Toc435515295"/>
      <w:bookmarkStart w:id="18" w:name="_Toc275865606"/>
      <w:bookmarkStart w:id="19" w:name="_Toc435514855"/>
      <w:r>
        <w:rPr>
          <w:rFonts w:hint="eastAsia" w:ascii="宋体" w:hAnsi="宋体" w:eastAsia="宋体" w:cs="宋体"/>
          <w:b/>
          <w:bCs/>
          <w:color w:val="auto"/>
          <w:spacing w:val="10"/>
          <w:kern w:val="0"/>
          <w:sz w:val="28"/>
          <w:szCs w:val="28"/>
          <w:highlight w:val="none"/>
        </w:rPr>
        <w:t>资格文件</w:t>
      </w:r>
    </w:p>
    <w:p>
      <w:pPr>
        <w:outlineLvl w:val="1"/>
        <w:rPr>
          <w:rFonts w:hint="eastAsia" w:ascii="宋体" w:hAnsi="宋体" w:eastAsia="宋体" w:cs="宋体"/>
          <w:b/>
          <w:color w:val="auto"/>
          <w:szCs w:val="21"/>
          <w:highlight w:val="none"/>
          <w:lang w:val="en-US" w:eastAsia="zh-CN"/>
        </w:rPr>
      </w:pPr>
    </w:p>
    <w:p>
      <w:pPr>
        <w:outlineLvl w:val="1"/>
        <w:rPr>
          <w:rFonts w:hint="eastAsia" w:ascii="宋体" w:hAnsi="宋体" w:eastAsia="宋体" w:cs="宋体"/>
          <w:b/>
          <w:color w:val="auto"/>
          <w:sz w:val="28"/>
          <w:szCs w:val="28"/>
          <w:highlight w:val="none"/>
        </w:rPr>
      </w:pPr>
      <w:r>
        <w:rPr>
          <w:rFonts w:hint="eastAsia" w:ascii="宋体" w:hAnsi="宋体" w:eastAsia="宋体" w:cs="宋体"/>
          <w:b/>
          <w:color w:val="auto"/>
          <w:szCs w:val="21"/>
          <w:highlight w:val="none"/>
          <w:lang w:val="en-US" w:eastAsia="zh-CN"/>
        </w:rPr>
        <w:t>1.1</w:t>
      </w:r>
      <w:r>
        <w:rPr>
          <w:rFonts w:hint="eastAsia" w:ascii="宋体" w:hAnsi="宋体" w:eastAsia="宋体" w:cs="宋体"/>
          <w:b/>
          <w:color w:val="auto"/>
          <w:szCs w:val="21"/>
          <w:highlight w:val="none"/>
        </w:rPr>
        <w:t>投标人资格声明函</w:t>
      </w:r>
      <w:bookmarkEnd w:id="17"/>
      <w:bookmarkEnd w:id="18"/>
      <w:bookmarkEnd w:id="19"/>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szCs w:val="21"/>
          <w:highlight w:val="none"/>
        </w:rPr>
        <w:t>国义招标股份有限公司</w:t>
      </w:r>
      <w:r>
        <w:rPr>
          <w:rFonts w:hint="eastAsia" w:ascii="宋体" w:hAnsi="宋体" w:eastAsia="宋体" w:cs="宋体"/>
          <w:b/>
          <w:color w:val="auto"/>
          <w:szCs w:val="21"/>
          <w:highlight w:val="none"/>
          <w:lang w:eastAsia="zh-CN"/>
        </w:rPr>
        <w:t>：</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关于贵公司</w:t>
      </w:r>
      <w:r>
        <w:rPr>
          <w:rFonts w:hint="eastAsia" w:ascii="宋体" w:hAnsi="宋体" w:eastAsia="宋体" w:cs="宋体"/>
          <w:color w:val="auto"/>
          <w:highlight w:val="none"/>
          <w:u w:val="single"/>
        </w:rPr>
        <w:t>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w:t>
      </w:r>
      <w:r>
        <w:rPr>
          <w:rFonts w:hint="eastAsia" w:ascii="宋体" w:hAnsi="宋体" w:eastAsia="宋体" w:cs="宋体"/>
          <w:color w:val="auto"/>
          <w:highlight w:val="none"/>
        </w:rPr>
        <w:t>日发布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项目（项目编号：0724-XXXXXXXX）的采购公告，本公司（企业）愿意参加投标，并声明：</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(1)本公司（企业）具备《中华人民共和国政府采购法》第二十二条资格条件，并已清楚招标文件的要求及有关文件规定。</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(2)本公司（企业）具有良好的商业信誉和健全的财务会计制度</w:t>
      </w:r>
      <w:r>
        <w:rPr>
          <w:rFonts w:hint="eastAsia" w:ascii="宋体" w:hAnsi="宋体" w:eastAsia="宋体" w:cs="宋体"/>
          <w:color w:val="auto"/>
          <w:highlight w:val="none"/>
          <w:lang w:val="zh-CN"/>
        </w:rPr>
        <w:t>；</w:t>
      </w:r>
      <w:r>
        <w:rPr>
          <w:rFonts w:hint="eastAsia" w:ascii="宋体" w:hAnsi="宋体" w:eastAsia="宋体" w:cs="宋体"/>
          <w:color w:val="auto"/>
          <w:highlight w:val="none"/>
        </w:rPr>
        <w:t>有依法缴纳税收和社会保障资金的良好记录</w:t>
      </w:r>
      <w:r>
        <w:rPr>
          <w:rFonts w:hint="eastAsia" w:ascii="宋体" w:hAnsi="宋体" w:eastAsia="宋体" w:cs="宋体"/>
          <w:color w:val="auto"/>
          <w:highlight w:val="none"/>
          <w:lang w:val="zh-CN"/>
        </w:rPr>
        <w:t>；</w:t>
      </w:r>
      <w:r>
        <w:rPr>
          <w:rFonts w:hint="eastAsia" w:ascii="宋体" w:hAnsi="宋体" w:eastAsia="宋体" w:cs="宋体"/>
          <w:color w:val="auto"/>
          <w:highlight w:val="none"/>
        </w:rPr>
        <w:t>具有履行合同所必需的设备和专业技术能力，且本公司（企业）参加政府采购活动前3年内在经营活动中没有重大违法记录。否则，由此所造成的损失、不良后果及法律责任，一律由我公司（企业）承担。</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(3)关于本企业信用情况，经对“信用中国”网站（www.creditchina.gov.cn）、“中国政府采购网”（ www.ccgp.gov.cn）信用记录信息的查询，截至规定的投标截止时间，我司没有被列入失信被执行人、税收违法黑名单、政府采购、环境保护、知识产权等领域严重违法失信行为记录名单中。</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(4)经核实，本公司不存在以下情况：单位负责人为同一人或者存在直接控股、管理关系的不同供应商，参加同一合同项下的政府采购活动。</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(5) 经核实，本公司不存在以下情况：为采购项目提供整体设计、规范编制或者项目管理、监理、检测等服务的供应商，再参加该采购项目的其他采购活动。</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（6）本公司不属于联合体投标，承诺如果中标不分包转包。</w:t>
      </w:r>
    </w:p>
    <w:p>
      <w:pPr>
        <w:adjustRightInd w:val="0"/>
        <w:snapToGrid w:val="0"/>
        <w:spacing w:line="360" w:lineRule="auto"/>
        <w:ind w:firstLine="444" w:firstLineChars="202"/>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本公司</w:t>
      </w:r>
      <w:r>
        <w:rPr>
          <w:rFonts w:hint="eastAsia" w:ascii="宋体" w:hAnsi="宋体" w:eastAsia="宋体" w:cs="宋体"/>
          <w:color w:val="auto"/>
          <w:highlight w:val="none"/>
          <w:lang w:eastAsia="zh-CN"/>
        </w:rPr>
        <w:t>符合法律、行政法规规定的其他条件。</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本次招标采购活动中，本单位保证全部投标文件和问题的回答是真实和有效的，并对所提供资料的真实性和正确性承担法律责任。</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如有违法、违规、弄虚作假行为，所造成的损失、不良后果及法律责任，一律由我公司（企业）承担。</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color w:val="auto"/>
          <w:highlight w:val="none"/>
        </w:rPr>
        <w:t>特此声明！</w:t>
      </w:r>
    </w:p>
    <w:p>
      <w:pPr>
        <w:spacing w:line="360" w:lineRule="auto"/>
        <w:rPr>
          <w:rFonts w:hint="eastAsia" w:ascii="宋体" w:hAnsi="宋体" w:eastAsia="宋体" w:cs="宋体"/>
          <w:color w:val="auto"/>
          <w:highlight w:val="none"/>
        </w:rPr>
      </w:pPr>
      <w:r>
        <w:rPr>
          <w:rFonts w:hint="eastAsia" w:ascii="宋体" w:hAnsi="宋体" w:eastAsia="宋体" w:cs="宋体"/>
          <w:b/>
          <w:color w:val="auto"/>
          <w:highlight w:val="none"/>
        </w:rPr>
        <w:t>附件：</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企业股东构成情况表</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28"/>
          <w:szCs w:val="28"/>
          <w:highlight w:val="none"/>
        </w:rPr>
        <w:t>企业股东构成情况表</w:t>
      </w:r>
    </w:p>
    <w:p>
      <w:pPr>
        <w:jc w:val="left"/>
        <w:rPr>
          <w:rFonts w:hint="eastAsia" w:ascii="宋体" w:hAnsi="宋体" w:eastAsia="宋体" w:cs="宋体"/>
          <w:b/>
          <w:color w:val="auto"/>
          <w:sz w:val="24"/>
          <w:highlight w:val="none"/>
        </w:rPr>
      </w:pP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股东类型</w:t>
            </w:r>
          </w:p>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身份证号</w:t>
            </w:r>
          </w:p>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宋体" w:hAnsi="宋体" w:eastAsia="宋体" w:cs="宋体"/>
                <w:color w:val="auto"/>
                <w:szCs w:val="21"/>
                <w:highlight w:val="none"/>
              </w:rPr>
            </w:pPr>
          </w:p>
        </w:tc>
      </w:tr>
    </w:tbl>
    <w:p>
      <w:pPr>
        <w:jc w:val="left"/>
        <w:rPr>
          <w:rFonts w:hint="eastAsia" w:ascii="宋体" w:hAnsi="宋体" w:eastAsia="宋体" w:cs="宋体"/>
          <w:color w:val="auto"/>
          <w:szCs w:val="21"/>
          <w:highlight w:val="none"/>
        </w:rPr>
      </w:pP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1.股东或出资人为自然人的，填写自然人姓名及身份证号；股东或出资人为法人的，填写法人企业全称及统一社会信用代码。出资方式填写：货物、实物、工艺产权和非专利技术、土地使用权等。</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 w:val="20"/>
          <w:szCs w:val="18"/>
          <w:highlight w:val="none"/>
        </w:rPr>
        <w:t>投标人必须如实填写股东构成情况</w:t>
      </w:r>
      <w:r>
        <w:rPr>
          <w:rFonts w:hint="eastAsia" w:ascii="宋体" w:hAnsi="宋体" w:eastAsia="宋体" w:cs="宋体"/>
          <w:color w:val="auto"/>
          <w:szCs w:val="21"/>
          <w:highlight w:val="none"/>
        </w:rPr>
        <w:t>，具体信息情况应与“国家企业信用信息公示系统” (网站：</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"http://www.gsxt.gov.cn)查询的信息一致。" </w:instrText>
      </w:r>
      <w:r>
        <w:rPr>
          <w:rFonts w:hint="eastAsia" w:ascii="宋体" w:hAnsi="宋体" w:eastAsia="宋体" w:cs="宋体"/>
          <w:color w:val="auto"/>
          <w:szCs w:val="21"/>
          <w:highlight w:val="none"/>
        </w:rPr>
        <w:fldChar w:fldCharType="separate"/>
      </w:r>
      <w:r>
        <w:rPr>
          <w:rStyle w:val="30"/>
          <w:rFonts w:hint="eastAsia" w:ascii="宋体" w:hAnsi="宋体" w:eastAsia="宋体" w:cs="宋体"/>
          <w:color w:val="auto"/>
          <w:szCs w:val="21"/>
          <w:highlight w:val="none"/>
        </w:rPr>
        <w:t>http://www.gsxt.gov.cn)查询的信息一致。</w:t>
      </w:r>
      <w:r>
        <w:rPr>
          <w:rFonts w:hint="eastAsia" w:ascii="宋体" w:hAnsi="宋体" w:eastAsia="宋体" w:cs="宋体"/>
          <w:color w:val="auto"/>
          <w:szCs w:val="21"/>
          <w:highlight w:val="none"/>
        </w:rPr>
        <w:fldChar w:fldCharType="end"/>
      </w:r>
    </w:p>
    <w:p>
      <w:pPr>
        <w:tabs>
          <w:tab w:val="left" w:pos="654"/>
          <w:tab w:val="left" w:pos="1734"/>
          <w:tab w:val="left" w:pos="2814"/>
          <w:tab w:val="left" w:pos="3894"/>
          <w:tab w:val="left" w:pos="5334"/>
          <w:tab w:val="left" w:pos="6414"/>
          <w:tab w:val="left" w:pos="7254"/>
          <w:tab w:val="left" w:pos="8574"/>
          <w:tab w:val="left" w:pos="9654"/>
        </w:tabs>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.2政府采购活动信用记录自查承诺函</w:t>
      </w:r>
    </w:p>
    <w:p>
      <w:pPr>
        <w:ind w:left="405"/>
        <w:rPr>
          <w:rFonts w:hint="eastAsia" w:ascii="宋体" w:hAnsi="宋体" w:eastAsia="宋体" w:cs="宋体"/>
          <w:color w:val="auto"/>
          <w:sz w:val="24"/>
          <w:highlight w:val="none"/>
        </w:rPr>
      </w:pPr>
    </w:p>
    <w:p>
      <w:pPr>
        <w:adjustRightInd w:val="0"/>
        <w:snapToGrid w:val="0"/>
        <w:spacing w:line="360" w:lineRule="auto"/>
        <w:ind w:firstLine="440" w:firstLineChars="200"/>
        <w:rPr>
          <w:rFonts w:hint="eastAsia" w:ascii="宋体" w:hAnsi="宋体" w:eastAsia="宋体" w:cs="宋体"/>
          <w:color w:val="auto"/>
          <w:szCs w:val="21"/>
          <w:highlight w:val="none"/>
        </w:rPr>
      </w:pPr>
    </w:p>
    <w:p>
      <w:pPr>
        <w:tabs>
          <w:tab w:val="left" w:pos="654"/>
          <w:tab w:val="left" w:pos="1734"/>
          <w:tab w:val="left" w:pos="2814"/>
          <w:tab w:val="left" w:pos="3894"/>
          <w:tab w:val="left" w:pos="5334"/>
          <w:tab w:val="left" w:pos="6414"/>
          <w:tab w:val="left" w:pos="7254"/>
          <w:tab w:val="left" w:pos="8574"/>
          <w:tab w:val="left" w:pos="9654"/>
        </w:tabs>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国义招标股份有限公司：</w:t>
      </w:r>
    </w:p>
    <w:p>
      <w:pPr>
        <w:tabs>
          <w:tab w:val="left" w:pos="654"/>
          <w:tab w:val="left" w:pos="1734"/>
          <w:tab w:val="left" w:pos="2814"/>
          <w:tab w:val="left" w:pos="3894"/>
          <w:tab w:val="left" w:pos="5334"/>
          <w:tab w:val="left" w:pos="6414"/>
          <w:tab w:val="left" w:pos="7254"/>
          <w:tab w:val="left" w:pos="8574"/>
          <w:tab w:val="left" w:pos="9654"/>
        </w:tabs>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  关于本企业信用情况，经对“信用中国”网站（www.creditchina.gov.cn）中企业信用信息、“中国政府采购网”（ www.ccgp.gov.cn）“政府采购严重违法失信行为信息记录”的网上查询，截至规定的投标截止时间，我司没有被列入失信被执行人、税收违法黑名单、政府采购严重违法失信行为记录名单及其他不符合规定条件的供应商名单中。特此承诺！</w:t>
      </w: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ind w:left="405"/>
        <w:rPr>
          <w:rFonts w:hint="eastAsia" w:ascii="宋体" w:hAnsi="宋体" w:eastAsia="宋体" w:cs="宋体"/>
          <w:b/>
          <w:color w:val="auto"/>
          <w:szCs w:val="21"/>
          <w:highlight w:val="none"/>
        </w:rPr>
      </w:pPr>
    </w:p>
    <w:p>
      <w:pPr>
        <w:ind w:left="405"/>
        <w:rPr>
          <w:rFonts w:hint="eastAsia" w:ascii="宋体" w:hAnsi="宋体" w:eastAsia="宋体" w:cs="宋体"/>
          <w:b/>
          <w:color w:val="auto"/>
          <w:szCs w:val="21"/>
          <w:highlight w:val="none"/>
        </w:rPr>
      </w:pPr>
    </w:p>
    <w:p>
      <w:pP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备注：采购方将对函件内容的真实性和有效性进行审查、验证，如有造假或情况不一致，将导致投标无效！</w:t>
      </w:r>
    </w:p>
    <w:p>
      <w:pPr>
        <w:rPr>
          <w:rFonts w:hint="eastAsia" w:ascii="宋体" w:hAnsi="宋体" w:eastAsia="宋体" w:cs="宋体"/>
          <w:b/>
          <w:color w:val="auto"/>
          <w:szCs w:val="21"/>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br w:type="page"/>
      </w:r>
    </w:p>
    <w:p>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1.3法定代表人授权代表声明函</w:t>
      </w:r>
    </w:p>
    <w:p>
      <w:pPr>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Cs w:val="21"/>
          <w:highlight w:val="none"/>
        </w:rPr>
        <w:t>法定代表人授权代表声明函</w:t>
      </w:r>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highlight w:val="none"/>
          <w:lang w:eastAsia="zh-CN"/>
        </w:rPr>
      </w:pPr>
      <w:r>
        <w:rPr>
          <w:rFonts w:hint="eastAsia" w:ascii="宋体" w:hAnsi="宋体" w:eastAsia="宋体" w:cs="宋体"/>
          <w:b/>
          <w:color w:val="auto"/>
          <w:szCs w:val="21"/>
          <w:highlight w:val="none"/>
          <w:lang w:val="en-US" w:eastAsia="zh-CN"/>
        </w:rPr>
        <w:t>国义招标股份有限公司</w:t>
      </w:r>
      <w:r>
        <w:rPr>
          <w:rFonts w:hint="eastAsia" w:ascii="宋体" w:hAnsi="宋体" w:eastAsia="宋体" w:cs="宋体"/>
          <w:b/>
          <w:color w:val="auto"/>
          <w:szCs w:val="21"/>
          <w:highlight w:val="none"/>
          <w:lang w:eastAsia="zh-CN"/>
        </w:rPr>
        <w:t>：</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rPr>
        <w:t>关于贵公司</w:t>
      </w:r>
      <w:r>
        <w:rPr>
          <w:rFonts w:hint="eastAsia" w:ascii="宋体" w:hAnsi="宋体" w:eastAsia="宋体" w:cs="宋体"/>
          <w:color w:val="auto"/>
          <w:highlight w:val="none"/>
          <w:u w:val="single"/>
        </w:rPr>
        <w:t>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w:t>
      </w:r>
      <w:r>
        <w:rPr>
          <w:rFonts w:hint="eastAsia" w:ascii="宋体" w:hAnsi="宋体" w:eastAsia="宋体" w:cs="宋体"/>
          <w:color w:val="auto"/>
          <w:highlight w:val="none"/>
        </w:rPr>
        <w:t>日发布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项目（项目编号：0724-XXXXXXXX）的采购</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，本公司（企业）愿意参加投标，并声明：</w:t>
      </w:r>
    </w:p>
    <w:p>
      <w:pPr>
        <w:adjustRightInd w:val="0"/>
        <w:snapToGrid w:val="0"/>
        <w:spacing w:line="360" w:lineRule="auto"/>
        <w:ind w:firstLine="444" w:firstLineChars="20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代表</w:t>
      </w:r>
      <w:r>
        <w:rPr>
          <w:rFonts w:hint="eastAsia" w:ascii="宋体" w:hAnsi="宋体" w:eastAsia="宋体" w:cs="宋体"/>
          <w:color w:val="auto"/>
          <w:highlight w:val="none"/>
        </w:rPr>
        <w:t>本公司（企业）</w:t>
      </w:r>
      <w:r>
        <w:rPr>
          <w:rFonts w:hint="eastAsia" w:ascii="宋体" w:hAnsi="宋体" w:eastAsia="宋体" w:cs="宋体"/>
          <w:color w:val="auto"/>
          <w:highlight w:val="none"/>
          <w:lang w:val="en-US" w:eastAsia="zh-CN"/>
        </w:rPr>
        <w:t>参加本项目的</w:t>
      </w:r>
      <w:r>
        <w:rPr>
          <w:rFonts w:ascii="宋体" w:hAnsi="Times New Roman" w:eastAsia="宋体" w:cs="宋体"/>
          <w:color w:val="auto"/>
          <w:highlight w:val="none"/>
        </w:rPr>
        <w:t xml:space="preserve"> </w:t>
      </w:r>
      <w:r>
        <w:rPr>
          <w:rFonts w:ascii="宋体" w:hAnsi="Times New Roman" w:eastAsia="宋体" w:cs="宋体"/>
          <w:color w:val="auto"/>
          <w:highlight w:val="none"/>
          <w:u w:val="single"/>
        </w:rPr>
        <w:t>（姓名、职务）</w:t>
      </w:r>
      <w:r>
        <w:rPr>
          <w:rFonts w:ascii="宋体" w:hAnsi="Times New Roman" w:eastAsia="宋体" w:cs="宋体"/>
          <w:color w:val="auto"/>
          <w:highlight w:val="none"/>
        </w:rPr>
        <w:t xml:space="preserve"> 作为我公司的</w:t>
      </w:r>
      <w:r>
        <w:rPr>
          <w:rFonts w:hint="eastAsia" w:ascii="宋体" w:hAnsi="宋体" w:eastAsia="宋体" w:cs="宋体"/>
          <w:color w:val="auto"/>
          <w:szCs w:val="21"/>
          <w:highlight w:val="none"/>
        </w:rPr>
        <w:t>法定代表人授权代表</w:t>
      </w:r>
      <w:r>
        <w:rPr>
          <w:rFonts w:hint="eastAsia" w:ascii="宋体" w:hAnsi="Times New Roman" w:eastAsia="宋体" w:cs="宋体"/>
          <w:color w:val="auto"/>
          <w:highlight w:val="none"/>
          <w:lang w:eastAsia="zh-CN"/>
        </w:rPr>
        <w:t>，</w:t>
      </w:r>
      <w:r>
        <w:rPr>
          <w:rFonts w:hint="eastAsia" w:ascii="宋体" w:hAnsi="Times New Roman" w:eastAsia="宋体" w:cs="宋体"/>
          <w:color w:val="auto"/>
          <w:highlight w:val="none"/>
          <w:lang w:val="en-US" w:eastAsia="zh-CN"/>
        </w:rPr>
        <w:t>系</w:t>
      </w:r>
      <w:r>
        <w:rPr>
          <w:rFonts w:hint="eastAsia" w:ascii="宋体" w:hAnsi="宋体" w:eastAsia="宋体" w:cs="宋体"/>
          <w:color w:val="auto"/>
          <w:highlight w:val="none"/>
        </w:rPr>
        <w:t>本公司（企业）</w:t>
      </w:r>
      <w:r>
        <w:rPr>
          <w:rFonts w:hint="eastAsia" w:ascii="宋体" w:hAnsi="Times New Roman" w:eastAsia="宋体" w:cs="宋体"/>
          <w:color w:val="auto"/>
          <w:highlight w:val="none"/>
          <w:lang w:val="en-US" w:eastAsia="zh-CN"/>
        </w:rPr>
        <w:t>员工</w:t>
      </w:r>
      <w:r>
        <w:rPr>
          <w:rFonts w:hint="eastAsia" w:ascii="宋体" w:hAnsi="宋体" w:eastAsia="宋体" w:cs="宋体"/>
          <w:color w:val="auto"/>
          <w:highlight w:val="none"/>
        </w:rPr>
        <w:t>。</w:t>
      </w:r>
    </w:p>
    <w:p>
      <w:pPr>
        <w:adjustRightInd w:val="0"/>
        <w:snapToGrid w:val="0"/>
        <w:spacing w:line="360" w:lineRule="auto"/>
        <w:ind w:firstLine="444" w:firstLineChars="202"/>
        <w:rPr>
          <w:rFonts w:hint="eastAsia" w:ascii="宋体" w:hAnsi="宋体" w:eastAsia="宋体" w:cs="宋体"/>
          <w:color w:val="auto"/>
          <w:highlight w:val="none"/>
        </w:rPr>
      </w:pP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color w:val="auto"/>
          <w:highlight w:val="none"/>
        </w:rPr>
        <w:t>特此声明！</w:t>
      </w:r>
    </w:p>
    <w:p>
      <w:pPr>
        <w:spacing w:line="360" w:lineRule="auto"/>
        <w:rPr>
          <w:rFonts w:hint="eastAsia" w:ascii="宋体" w:hAnsi="宋体" w:eastAsia="宋体" w:cs="宋体"/>
          <w:color w:val="auto"/>
          <w:highlight w:val="none"/>
        </w:rPr>
      </w:pPr>
      <w:r>
        <w:rPr>
          <w:rFonts w:hint="eastAsia" w:ascii="宋体" w:hAnsi="宋体" w:eastAsia="宋体" w:cs="宋体"/>
          <w:b/>
          <w:color w:val="auto"/>
          <w:highlight w:val="none"/>
        </w:rPr>
        <w:t>附件：</w:t>
      </w:r>
    </w:p>
    <w:p>
      <w:pP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法定代表人授权代表近六个月内任意一个月在投标人单位购买社保的证明材料。</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投标人法定代表人（或法定代表人授权代表）签字：</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投标人名称（加盖公章）：</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pPr>
        <w:rPr>
          <w:rFonts w:hint="default"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lang w:val="en-US" w:eastAsia="zh-CN"/>
        </w:rPr>
      </w:pPr>
    </w:p>
    <w:p>
      <w:pP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其他资格证明文件</w:t>
      </w:r>
    </w:p>
    <w:p>
      <w:pPr>
        <w:rPr>
          <w:rFonts w:hint="eastAsia" w:ascii="宋体" w:hAnsi="宋体" w:eastAsia="宋体" w:cs="宋体"/>
          <w:b/>
          <w:color w:val="auto"/>
          <w:sz w:val="24"/>
          <w:highlight w:val="none"/>
        </w:rPr>
      </w:pPr>
    </w:p>
    <w:p>
      <w:pPr>
        <w:autoSpaceDE w:val="0"/>
        <w:autoSpaceDN w:val="0"/>
        <w:ind w:right="1400"/>
        <w:rPr>
          <w:rFonts w:hint="eastAsia" w:ascii="宋体" w:hAnsi="宋体" w:eastAsia="宋体" w:cs="宋体"/>
          <w:color w:val="auto"/>
          <w:sz w:val="24"/>
          <w:highlight w:val="none"/>
        </w:rPr>
      </w:pPr>
      <w:r>
        <w:rPr>
          <w:rFonts w:hint="eastAsia" w:ascii="宋体" w:hAnsi="宋体" w:eastAsia="宋体" w:cs="宋体"/>
          <w:color w:val="auto"/>
          <w:sz w:val="24"/>
          <w:highlight w:val="none"/>
        </w:rPr>
        <w:t>一、有效的营业执照副本复印件（如非“三证合一”证照，同时提供税务登记证及组织机构代码证副本复印件）（加盖公章）</w:t>
      </w:r>
    </w:p>
    <w:p>
      <w:pPr>
        <w:autoSpaceDE w:val="0"/>
        <w:autoSpaceDN w:val="0"/>
        <w:ind w:right="1400"/>
        <w:rPr>
          <w:rFonts w:hint="eastAsia" w:ascii="宋体" w:hAnsi="宋体" w:eastAsia="宋体" w:cs="宋体"/>
          <w:color w:val="auto"/>
          <w:sz w:val="24"/>
          <w:highlight w:val="none"/>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、详见招标文件第一</w:t>
      </w:r>
      <w:r>
        <w:rPr>
          <w:rFonts w:hint="eastAsia" w:ascii="宋体" w:hAnsi="宋体" w:eastAsia="宋体" w:cs="宋体"/>
          <w:color w:val="auto"/>
          <w:sz w:val="24"/>
          <w:highlight w:val="none"/>
          <w:lang w:val="en-US" w:eastAsia="zh-CN"/>
        </w:rPr>
        <w:t>章</w:t>
      </w:r>
      <w:r>
        <w:rPr>
          <w:rFonts w:hint="eastAsia" w:ascii="宋体" w:hAnsi="宋体" w:eastAsia="宋体" w:cs="宋体"/>
          <w:color w:val="auto"/>
          <w:sz w:val="24"/>
          <w:highlight w:val="none"/>
        </w:rPr>
        <w:t>“投标邀请”中的“投标人资格</w:t>
      </w:r>
      <w:r>
        <w:rPr>
          <w:rFonts w:hint="eastAsia" w:ascii="宋体" w:hAnsi="宋体" w:eastAsia="宋体" w:cs="宋体"/>
          <w:color w:val="auto"/>
          <w:sz w:val="24"/>
          <w:highlight w:val="none"/>
          <w:lang w:val="en-US" w:eastAsia="zh-CN"/>
        </w:rPr>
        <w:t>要求</w:t>
      </w:r>
      <w:r>
        <w:rPr>
          <w:rFonts w:hint="eastAsia" w:ascii="宋体" w:hAnsi="宋体" w:eastAsia="宋体" w:cs="宋体"/>
          <w:color w:val="auto"/>
          <w:sz w:val="24"/>
          <w:highlight w:val="none"/>
        </w:rPr>
        <w:t>”</w:t>
      </w:r>
    </w:p>
    <w:p>
      <w:pPr>
        <w:rPr>
          <w:rFonts w:hint="eastAsia" w:ascii="宋体" w:hAnsi="宋体" w:eastAsia="宋体" w:cs="宋体"/>
          <w:b/>
          <w:color w:val="auto"/>
          <w:szCs w:val="21"/>
          <w:highlight w:val="none"/>
        </w:rPr>
      </w:pPr>
    </w:p>
    <w:p>
      <w:pPr>
        <w:spacing w:before="25" w:after="25"/>
        <w:jc w:val="left"/>
        <w:outlineLvl w:val="0"/>
        <w:rPr>
          <w:rFonts w:hint="eastAsia" w:ascii="宋体" w:hAnsi="宋体" w:eastAsia="宋体" w:cs="宋体"/>
          <w:b/>
          <w:bCs/>
          <w:color w:val="auto"/>
          <w:spacing w:val="10"/>
          <w:kern w:val="0"/>
          <w:sz w:val="28"/>
          <w:szCs w:val="28"/>
          <w:highlight w:val="none"/>
        </w:rPr>
      </w:pPr>
      <w:r>
        <w:rPr>
          <w:rFonts w:hint="eastAsia" w:ascii="宋体" w:hAnsi="宋体" w:eastAsia="宋体" w:cs="宋体"/>
          <w:b/>
          <w:bCs/>
          <w:color w:val="auto"/>
          <w:spacing w:val="10"/>
          <w:kern w:val="0"/>
          <w:sz w:val="24"/>
          <w:szCs w:val="24"/>
          <w:highlight w:val="none"/>
        </w:rPr>
        <w:br w:type="page"/>
      </w:r>
      <w:r>
        <w:rPr>
          <w:rFonts w:hint="eastAsia" w:ascii="宋体" w:hAnsi="宋体" w:eastAsia="宋体" w:cs="宋体"/>
          <w:b/>
          <w:bCs/>
          <w:color w:val="auto"/>
          <w:spacing w:val="10"/>
          <w:kern w:val="0"/>
          <w:sz w:val="28"/>
          <w:szCs w:val="28"/>
          <w:highlight w:val="none"/>
        </w:rPr>
        <w:t>附件二、中标服务费承诺书（格式）</w:t>
      </w:r>
    </w:p>
    <w:p>
      <w:pPr>
        <w:adjustRightInd w:val="0"/>
        <w:snapToGrid w:val="0"/>
        <w:spacing w:line="360" w:lineRule="auto"/>
        <w:rPr>
          <w:rFonts w:hint="eastAsia" w:ascii="宋体" w:hAnsi="宋体" w:eastAsia="宋体" w:cs="宋体"/>
          <w:b/>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本招标文件第六章</w:t>
      </w:r>
      <w:r>
        <w:rPr>
          <w:rFonts w:hint="eastAsia" w:ascii="宋体" w:hAnsi="宋体" w:eastAsia="宋体" w:cs="宋体"/>
          <w:b w:val="0"/>
          <w:bCs/>
          <w:color w:val="auto"/>
          <w:highlight w:val="none"/>
        </w:rPr>
        <w:t>投标文件格式</w:t>
      </w:r>
      <w:r>
        <w:rPr>
          <w:rFonts w:hint="eastAsia" w:ascii="宋体" w:hAnsi="宋体" w:eastAsia="宋体" w:cs="宋体"/>
          <w:b w:val="0"/>
          <w:bCs/>
          <w:color w:val="auto"/>
          <w:highlight w:val="none"/>
          <w:lang w:val="en-US" w:eastAsia="zh-CN"/>
        </w:rPr>
        <w:t>的</w:t>
      </w:r>
      <w:r>
        <w:rPr>
          <w:rFonts w:hint="eastAsia" w:ascii="宋体" w:hAnsi="宋体" w:eastAsia="宋体" w:cs="宋体"/>
          <w:b w:val="0"/>
          <w:bCs/>
          <w:color w:val="auto"/>
          <w:highlight w:val="none"/>
        </w:rPr>
        <w:t>要求</w:t>
      </w:r>
      <w:r>
        <w:rPr>
          <w:rFonts w:hint="eastAsia" w:ascii="宋体" w:hAnsi="宋体" w:eastAsia="宋体" w:cs="宋体"/>
          <w:b w:val="0"/>
          <w:bCs/>
          <w:color w:val="auto"/>
          <w:highlight w:val="none"/>
          <w:lang w:val="en-US" w:eastAsia="zh-CN"/>
        </w:rPr>
        <w:t>中“</w:t>
      </w:r>
      <w:r>
        <w:rPr>
          <w:rFonts w:hint="eastAsia" w:ascii="宋体" w:hAnsi="宋体" w:eastAsia="宋体" w:cs="宋体"/>
          <w:b w:val="0"/>
          <w:bCs/>
          <w:color w:val="auto"/>
          <w:szCs w:val="21"/>
          <w:highlight w:val="none"/>
          <w:lang w:val="en-US" w:eastAsia="zh-CN"/>
        </w:rPr>
        <w:t>格式十八：采购代理服务费支付承诺书</w:t>
      </w:r>
      <w:r>
        <w:rPr>
          <w:rFonts w:hint="eastAsia" w:ascii="宋体" w:hAnsi="宋体" w:eastAsia="宋体" w:cs="宋体"/>
          <w:b w:val="0"/>
          <w:bCs/>
          <w:color w:val="auto"/>
          <w:highlight w:val="none"/>
          <w:lang w:val="en-US" w:eastAsia="zh-CN"/>
        </w:rPr>
        <w:t>”不适用，请根据以下格式填写</w:t>
      </w:r>
      <w:r>
        <w:rPr>
          <w:rFonts w:hint="eastAsia" w:ascii="宋体" w:hAnsi="宋体" w:eastAsia="宋体" w:cs="宋体"/>
          <w:b w:val="0"/>
          <w:bCs/>
          <w:color w:val="auto"/>
          <w:szCs w:val="21"/>
          <w:highlight w:val="none"/>
          <w:lang w:eastAsia="zh-CN"/>
        </w:rPr>
        <w:t>）</w:t>
      </w:r>
    </w:p>
    <w:p>
      <w:pPr>
        <w:adjustRightInd w:val="0"/>
        <w:snapToGrid w:val="0"/>
        <w:spacing w:line="360" w:lineRule="auto"/>
        <w:rPr>
          <w:rFonts w:hint="eastAsia" w:ascii="宋体" w:hAnsi="宋体" w:eastAsia="宋体" w:cs="宋体"/>
          <w:b/>
          <w:color w:val="auto"/>
          <w:szCs w:val="21"/>
          <w:highlight w:val="none"/>
        </w:rPr>
      </w:pPr>
    </w:p>
    <w:p>
      <w:pPr>
        <w:adjustRightInd w:val="0"/>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国义招标股份有限公司：</w:t>
      </w:r>
    </w:p>
    <w:p>
      <w:pPr>
        <w:adjustRightInd w:val="0"/>
        <w:snapToGrid w:val="0"/>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w:t>
      </w:r>
      <w:r>
        <w:rPr>
          <w:rFonts w:hint="eastAsia" w:ascii="宋体" w:hAnsi="宋体" w:eastAsia="宋体" w:cs="宋体"/>
          <w:color w:val="auto"/>
          <w:szCs w:val="21"/>
          <w:highlight w:val="none"/>
          <w:u w:val="single"/>
        </w:rPr>
        <w:t xml:space="preserve">   （投标人名称）   </w:t>
      </w:r>
      <w:r>
        <w:rPr>
          <w:rFonts w:hint="eastAsia" w:ascii="宋体" w:hAnsi="宋体" w:eastAsia="宋体" w:cs="宋体"/>
          <w:color w:val="auto"/>
          <w:szCs w:val="21"/>
          <w:highlight w:val="none"/>
        </w:rPr>
        <w:t>公司在参加在贵司进行的</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(项目编号：)招标中如获中标，我司保证在领取“中标通知书”前，按本项目投标人须知相关规定向贵司缴纳 “中标服务费”。</w:t>
      </w:r>
    </w:p>
    <w:p>
      <w:pPr>
        <w:adjustRightInd w:val="0"/>
        <w:snapToGrid w:val="0"/>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如我方违约，愿凭贵方开出的违约通知，按上述承付金额的200%由采购人在支付我司的合同款中代为扣付。</w:t>
      </w:r>
    </w:p>
    <w:p>
      <w:pPr>
        <w:adjustRightInd w:val="0"/>
        <w:snapToGrid w:val="0"/>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另关于我司缴纳中标服务费后开具中标服务费发票的事宜，我司声明如下：</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A：</w:t>
      </w:r>
      <w:r>
        <w:rPr>
          <w:rFonts w:hint="eastAsia" w:ascii="宋体" w:hAnsi="宋体" w:eastAsia="宋体" w:cs="宋体"/>
          <w:color w:val="auto"/>
          <w:szCs w:val="21"/>
          <w:highlight w:val="none"/>
        </w:rPr>
        <w:t>如需开具</w:t>
      </w:r>
      <w:r>
        <w:rPr>
          <w:rFonts w:hint="eastAsia" w:ascii="宋体" w:hAnsi="宋体" w:eastAsia="宋体" w:cs="宋体"/>
          <w:b/>
          <w:color w:val="auto"/>
          <w:szCs w:val="21"/>
          <w:highlight w:val="none"/>
          <w:u w:val="single"/>
        </w:rPr>
        <w:t>增值税普通发票</w:t>
      </w:r>
      <w:r>
        <w:rPr>
          <w:rFonts w:hint="eastAsia" w:ascii="宋体" w:hAnsi="宋体" w:eastAsia="宋体" w:cs="宋体"/>
          <w:color w:val="auto"/>
          <w:szCs w:val="21"/>
          <w:highlight w:val="none"/>
        </w:rPr>
        <w:t>，请于下方（ ）打“√”</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）请向我司开具中标费的“</w:t>
      </w:r>
      <w:r>
        <w:rPr>
          <w:rFonts w:hint="eastAsia" w:ascii="宋体" w:hAnsi="宋体" w:eastAsia="宋体" w:cs="宋体"/>
          <w:b/>
          <w:color w:val="auto"/>
          <w:szCs w:val="21"/>
          <w:highlight w:val="none"/>
          <w:u w:val="single"/>
        </w:rPr>
        <w:t>增值税普通发票</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，开票信息如下：</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color w:val="auto"/>
          <w:szCs w:val="21"/>
          <w:highlight w:val="none"/>
        </w:rPr>
        <w:t>我司工商注册名称为：；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2、纳税人识别号（国税）/或统一社会信用代码：</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B：</w:t>
      </w:r>
      <w:r>
        <w:rPr>
          <w:rFonts w:hint="eastAsia" w:ascii="宋体" w:hAnsi="宋体" w:eastAsia="宋体" w:cs="宋体"/>
          <w:color w:val="auto"/>
          <w:szCs w:val="21"/>
          <w:highlight w:val="none"/>
        </w:rPr>
        <w:t>如需开具增值税专用发票，请于下方（ ）打“√”,并提供相关资料</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）请向我司开具中标费的“</w:t>
      </w:r>
      <w:r>
        <w:rPr>
          <w:rFonts w:hint="eastAsia" w:ascii="宋体" w:hAnsi="宋体" w:eastAsia="宋体" w:cs="宋体"/>
          <w:b/>
          <w:color w:val="auto"/>
          <w:szCs w:val="21"/>
          <w:highlight w:val="none"/>
          <w:u w:val="single"/>
        </w:rPr>
        <w:t>增值税专用发票</w:t>
      </w:r>
      <w:r>
        <w:rPr>
          <w:rFonts w:hint="eastAsia" w:ascii="宋体" w:hAnsi="宋体" w:eastAsia="宋体" w:cs="宋体"/>
          <w:b/>
          <w:color w:val="auto"/>
          <w:szCs w:val="21"/>
          <w:highlight w:val="none"/>
        </w:rPr>
        <w:t>”</w:t>
      </w:r>
      <w:r>
        <w:rPr>
          <w:rFonts w:hint="eastAsia" w:ascii="宋体" w:hAnsi="宋体" w:eastAsia="宋体" w:cs="宋体"/>
          <w:color w:val="auto"/>
          <w:szCs w:val="21"/>
          <w:highlight w:val="none"/>
        </w:rPr>
        <w:t>，开票信息为：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1、我司工商注册名称：</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2、纳税人识别号（国税）/或统一社会信用代码：</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3、注册地址：</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4、办公电话（固话）：</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5、开户银行及账号：</w:t>
      </w:r>
      <w:r>
        <w:rPr>
          <w:rFonts w:hint="eastAsia" w:ascii="宋体" w:hAnsi="宋体" w:eastAsia="宋体" w:cs="宋体"/>
          <w:color w:val="auto"/>
          <w:szCs w:val="21"/>
          <w:highlight w:val="none"/>
          <w:u w:val="single"/>
        </w:rPr>
        <w:t xml:space="preserve">    （请填写）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6、一般纳税人资格证书/或加盖了税务局“增值税一般纳税人”条章的国税登记证扫描件/或在所属国税局网站的查询结果截图</w:t>
      </w:r>
      <w:r>
        <w:rPr>
          <w:rFonts w:hint="eastAsia" w:ascii="宋体" w:hAnsi="宋体" w:eastAsia="宋体" w:cs="宋体"/>
          <w:color w:val="auto"/>
          <w:szCs w:val="21"/>
          <w:highlight w:val="none"/>
          <w:u w:val="single"/>
        </w:rPr>
        <w:t>（截图后附）</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中标单位联系人：， 手机</w:t>
      </w:r>
      <w:r>
        <w:rPr>
          <w:rFonts w:hint="eastAsia" w:ascii="宋体" w:hAnsi="宋体" w:eastAsia="宋体" w:cs="宋体"/>
          <w:color w:val="auto"/>
          <w:szCs w:val="21"/>
          <w:highlight w:val="none"/>
          <w:u w:val="single"/>
        </w:rPr>
        <w:t>号：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单位地址：电话：传真：</w:t>
      </w:r>
      <w:r>
        <w:rPr>
          <w:rFonts w:hint="eastAsia" w:ascii="宋体" w:hAnsi="宋体" w:eastAsia="宋体" w:cs="宋体"/>
          <w:color w:val="auto"/>
          <w:szCs w:val="21"/>
          <w:highlight w:val="none"/>
          <w:u w:val="single"/>
        </w:rPr>
        <w:t xml:space="preserve">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特此声明。</w:t>
      </w: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投标人法定代表人（或法定代表人授权代表）签字：                   </w:t>
      </w:r>
    </w:p>
    <w:p>
      <w:pPr>
        <w:rPr>
          <w:rFonts w:hint="eastAsia" w:ascii="宋体" w:hAnsi="宋体" w:eastAsia="宋体" w:cs="宋体"/>
          <w:color w:val="auto"/>
          <w:szCs w:val="24"/>
          <w:highlight w:val="none"/>
        </w:rPr>
      </w:pPr>
      <w:r>
        <w:rPr>
          <w:rFonts w:hint="eastAsia" w:ascii="宋体" w:hAnsi="宋体" w:eastAsia="宋体" w:cs="宋体"/>
          <w:color w:val="auto"/>
          <w:szCs w:val="21"/>
          <w:highlight w:val="none"/>
        </w:rPr>
        <w:t xml:space="preserve">投标人名称（加盖公章）：                </w:t>
      </w:r>
    </w:p>
    <w:p>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日期：年</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月</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日</w:t>
      </w:r>
    </w:p>
    <w:p>
      <w:pPr>
        <w:pStyle w:val="12"/>
        <w:tabs>
          <w:tab w:val="left" w:pos="2030"/>
          <w:tab w:val="left" w:pos="3323"/>
          <w:tab w:val="left" w:pos="3515"/>
        </w:tabs>
        <w:kinsoku w:val="0"/>
        <w:overflowPunct w:val="0"/>
        <w:ind w:right="104"/>
        <w:jc w:val="right"/>
        <w:rPr>
          <w:rFonts w:hint="eastAsia" w:hAnsi="宋体"/>
          <w:color w:val="auto"/>
          <w:highlight w:val="none"/>
        </w:rPr>
      </w:pPr>
    </w:p>
    <w:sectPr>
      <w:footerReference r:id="rId3" w:type="default"/>
      <w:pgSz w:w="11900" w:h="16840"/>
      <w:pgMar w:top="500" w:right="520" w:bottom="280" w:left="900" w:header="0" w:footer="1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ind w:left="0"/>
      <w:rPr>
        <w:rFonts w:ascii="Times New Roman" w:eastAsia="等线"/>
        <w:sz w:val="20"/>
      </w:rPr>
    </w:pPr>
    <w:r>
      <mc:AlternateContent>
        <mc:Choice Requires="wps">
          <w:drawing>
            <wp:anchor distT="0" distB="0" distL="114300" distR="114300" simplePos="0" relativeHeight="251659264" behindDoc="1" locked="0" layoutInCell="0" allowOverlap="1">
              <wp:simplePos x="0" y="0"/>
              <wp:positionH relativeFrom="page">
                <wp:posOffset>3459480</wp:posOffset>
              </wp:positionH>
              <wp:positionV relativeFrom="page">
                <wp:posOffset>10494645</wp:posOffset>
              </wp:positionV>
              <wp:extent cx="633095" cy="2032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33095" cy="203200"/>
                      </a:xfrm>
                      <a:prstGeom prst="rect">
                        <a:avLst/>
                      </a:prstGeom>
                      <a:noFill/>
                      <a:ln>
                        <a:noFill/>
                      </a:ln>
                    </wps:spPr>
                    <wps:txbx>
                      <w:txbxContent>
                        <w:p>
                          <w:pPr>
                            <w:pStyle w:val="12"/>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wps:txbx>
                    <wps:bodyPr wrap="square" lIns="0" tIns="0" rIns="0" bIns="0" upright="1"/>
                  </wps:wsp>
                </a:graphicData>
              </a:graphic>
            </wp:anchor>
          </w:drawing>
        </mc:Choice>
        <mc:Fallback>
          <w:pict>
            <v:shape id="文本框 2" o:spid="_x0000_s1026" o:spt="202" type="#_x0000_t202" style="position:absolute;left:0pt;margin-left:272.4pt;margin-top:826.35pt;height:16pt;width:49.85pt;mso-position-horizontal-relative:page;mso-position-vertical-relative:page;z-index:-251657216;mso-width-relative:page;mso-height-relative:page;" filled="f" stroked="f" coordsize="21600,21600" o:allowincell="f" o:gfxdata="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VD13bAAAADQEAAA8AAAAAAAAAAQAgAAAAIgAAAGRycy9kb3du&#10;cmV2LnhtbFBLAQIUABQAAAAIAIdO4kBbN6CtwwEAAH8DAAAOAAAAAAAAAAEAIAAAACoBAABkcnMv&#10;ZTJvRG9jLnhtbFBLBQYAAAAABgAGAFkBAABfBQAAAAA=&#10;">
              <v:fill on="f" focussize="0,0"/>
              <v:stroke on="f"/>
              <v:imagedata o:title=""/>
              <o:lock v:ext="edit" aspectratio="f"/>
              <v:textbox inset="0mm,0mm,0mm,0mm">
                <w:txbxContent>
                  <w:p>
                    <w:pPr>
                      <w:pStyle w:val="12"/>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doNotCompress"/>
  <w:doNotValidateAgainstSchema/>
  <w:doNotDemarcateInvalidXml/>
  <w:compat>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lMDBlOTM5ZTdlNWYzYWQ0OWUwNTg4M2EwNGNkYjEifQ=="/>
  </w:docVars>
  <w:rsids>
    <w:rsidRoot w:val="00172A27"/>
    <w:rsid w:val="00014475"/>
    <w:rsid w:val="00025C71"/>
    <w:rsid w:val="00042BC5"/>
    <w:rsid w:val="0005686F"/>
    <w:rsid w:val="000743C4"/>
    <w:rsid w:val="00074AC1"/>
    <w:rsid w:val="00075B80"/>
    <w:rsid w:val="00081D64"/>
    <w:rsid w:val="000B241F"/>
    <w:rsid w:val="000C54D7"/>
    <w:rsid w:val="000D768B"/>
    <w:rsid w:val="000E6780"/>
    <w:rsid w:val="00106E3C"/>
    <w:rsid w:val="00145B3D"/>
    <w:rsid w:val="00162D01"/>
    <w:rsid w:val="001655B7"/>
    <w:rsid w:val="00167FCA"/>
    <w:rsid w:val="0017344F"/>
    <w:rsid w:val="00190F8F"/>
    <w:rsid w:val="00192CF9"/>
    <w:rsid w:val="001C097A"/>
    <w:rsid w:val="001C2E41"/>
    <w:rsid w:val="001C72D2"/>
    <w:rsid w:val="001D43F0"/>
    <w:rsid w:val="001F2B68"/>
    <w:rsid w:val="002009B6"/>
    <w:rsid w:val="00235363"/>
    <w:rsid w:val="00240695"/>
    <w:rsid w:val="0024547E"/>
    <w:rsid w:val="00245ECE"/>
    <w:rsid w:val="0027271F"/>
    <w:rsid w:val="00272855"/>
    <w:rsid w:val="0027321D"/>
    <w:rsid w:val="002843ED"/>
    <w:rsid w:val="00286726"/>
    <w:rsid w:val="00286AF7"/>
    <w:rsid w:val="00293061"/>
    <w:rsid w:val="002A768F"/>
    <w:rsid w:val="002B32A7"/>
    <w:rsid w:val="002B3779"/>
    <w:rsid w:val="002C340F"/>
    <w:rsid w:val="002D66AB"/>
    <w:rsid w:val="002D7E03"/>
    <w:rsid w:val="002F4F34"/>
    <w:rsid w:val="002F70BE"/>
    <w:rsid w:val="0032177B"/>
    <w:rsid w:val="00323217"/>
    <w:rsid w:val="003440BE"/>
    <w:rsid w:val="00350D3E"/>
    <w:rsid w:val="00360044"/>
    <w:rsid w:val="003714C9"/>
    <w:rsid w:val="003716AD"/>
    <w:rsid w:val="003825FB"/>
    <w:rsid w:val="00387C9A"/>
    <w:rsid w:val="003A7EBD"/>
    <w:rsid w:val="003B03AD"/>
    <w:rsid w:val="003E3EC7"/>
    <w:rsid w:val="003F25F8"/>
    <w:rsid w:val="00422D21"/>
    <w:rsid w:val="00444BCF"/>
    <w:rsid w:val="00462D22"/>
    <w:rsid w:val="00482839"/>
    <w:rsid w:val="00491FBB"/>
    <w:rsid w:val="00492D24"/>
    <w:rsid w:val="004970B6"/>
    <w:rsid w:val="004A1BCB"/>
    <w:rsid w:val="004A5B59"/>
    <w:rsid w:val="004B0112"/>
    <w:rsid w:val="004B06A8"/>
    <w:rsid w:val="004B2567"/>
    <w:rsid w:val="004B2924"/>
    <w:rsid w:val="004B5D7F"/>
    <w:rsid w:val="004C1B53"/>
    <w:rsid w:val="00512AB0"/>
    <w:rsid w:val="00520EA5"/>
    <w:rsid w:val="005304D2"/>
    <w:rsid w:val="00545CCA"/>
    <w:rsid w:val="005629F8"/>
    <w:rsid w:val="0056575C"/>
    <w:rsid w:val="0057305C"/>
    <w:rsid w:val="005873CC"/>
    <w:rsid w:val="00587754"/>
    <w:rsid w:val="005926B4"/>
    <w:rsid w:val="00596787"/>
    <w:rsid w:val="005B110A"/>
    <w:rsid w:val="005B7191"/>
    <w:rsid w:val="00602EF5"/>
    <w:rsid w:val="006035C6"/>
    <w:rsid w:val="006158F9"/>
    <w:rsid w:val="00615A93"/>
    <w:rsid w:val="00617E56"/>
    <w:rsid w:val="00625AE0"/>
    <w:rsid w:val="0063636D"/>
    <w:rsid w:val="00637E8E"/>
    <w:rsid w:val="0065013D"/>
    <w:rsid w:val="00650B2A"/>
    <w:rsid w:val="00653E89"/>
    <w:rsid w:val="00664DB1"/>
    <w:rsid w:val="006A6610"/>
    <w:rsid w:val="006B6E41"/>
    <w:rsid w:val="006C6D53"/>
    <w:rsid w:val="006F5DEA"/>
    <w:rsid w:val="00700584"/>
    <w:rsid w:val="00704E73"/>
    <w:rsid w:val="00706951"/>
    <w:rsid w:val="007268BA"/>
    <w:rsid w:val="007470FC"/>
    <w:rsid w:val="0075488F"/>
    <w:rsid w:val="00754EB6"/>
    <w:rsid w:val="00784299"/>
    <w:rsid w:val="007950A2"/>
    <w:rsid w:val="007975AF"/>
    <w:rsid w:val="007A2F54"/>
    <w:rsid w:val="007B0DF6"/>
    <w:rsid w:val="007C6E25"/>
    <w:rsid w:val="007D02AB"/>
    <w:rsid w:val="007E2656"/>
    <w:rsid w:val="00820D7C"/>
    <w:rsid w:val="00822ADF"/>
    <w:rsid w:val="0082791B"/>
    <w:rsid w:val="00842506"/>
    <w:rsid w:val="00856924"/>
    <w:rsid w:val="00876613"/>
    <w:rsid w:val="008772CF"/>
    <w:rsid w:val="00883075"/>
    <w:rsid w:val="008844A2"/>
    <w:rsid w:val="00886554"/>
    <w:rsid w:val="00892A7A"/>
    <w:rsid w:val="00894004"/>
    <w:rsid w:val="008D00E6"/>
    <w:rsid w:val="009069B9"/>
    <w:rsid w:val="00921528"/>
    <w:rsid w:val="00924AFB"/>
    <w:rsid w:val="00926A75"/>
    <w:rsid w:val="009322E7"/>
    <w:rsid w:val="00945C7D"/>
    <w:rsid w:val="00946530"/>
    <w:rsid w:val="00965A5F"/>
    <w:rsid w:val="00974E8E"/>
    <w:rsid w:val="00980294"/>
    <w:rsid w:val="00982C40"/>
    <w:rsid w:val="00994B88"/>
    <w:rsid w:val="00996114"/>
    <w:rsid w:val="009A4D3A"/>
    <w:rsid w:val="009B149E"/>
    <w:rsid w:val="009B5D1E"/>
    <w:rsid w:val="009E24E4"/>
    <w:rsid w:val="009E2579"/>
    <w:rsid w:val="009E7145"/>
    <w:rsid w:val="00A00CB3"/>
    <w:rsid w:val="00A045B5"/>
    <w:rsid w:val="00A4272E"/>
    <w:rsid w:val="00A66E7D"/>
    <w:rsid w:val="00A8515C"/>
    <w:rsid w:val="00A865F7"/>
    <w:rsid w:val="00AA3F14"/>
    <w:rsid w:val="00AB0BFE"/>
    <w:rsid w:val="00AB17AC"/>
    <w:rsid w:val="00AB4835"/>
    <w:rsid w:val="00AB6B52"/>
    <w:rsid w:val="00AC74A0"/>
    <w:rsid w:val="00AE171E"/>
    <w:rsid w:val="00B63698"/>
    <w:rsid w:val="00B661C7"/>
    <w:rsid w:val="00B74BA9"/>
    <w:rsid w:val="00B8208E"/>
    <w:rsid w:val="00B82B8A"/>
    <w:rsid w:val="00B82FAE"/>
    <w:rsid w:val="00B915F7"/>
    <w:rsid w:val="00B9438E"/>
    <w:rsid w:val="00BC1C37"/>
    <w:rsid w:val="00BC2B5C"/>
    <w:rsid w:val="00BE2053"/>
    <w:rsid w:val="00BF09DC"/>
    <w:rsid w:val="00BF38FF"/>
    <w:rsid w:val="00BF3C7F"/>
    <w:rsid w:val="00C160EB"/>
    <w:rsid w:val="00C25464"/>
    <w:rsid w:val="00C320A0"/>
    <w:rsid w:val="00C341FA"/>
    <w:rsid w:val="00C34FC7"/>
    <w:rsid w:val="00C54EFC"/>
    <w:rsid w:val="00C70ACA"/>
    <w:rsid w:val="00C81383"/>
    <w:rsid w:val="00C82DC9"/>
    <w:rsid w:val="00C863AE"/>
    <w:rsid w:val="00C9557E"/>
    <w:rsid w:val="00CC1DD8"/>
    <w:rsid w:val="00CC3232"/>
    <w:rsid w:val="00D0519B"/>
    <w:rsid w:val="00D05EB4"/>
    <w:rsid w:val="00D11C3D"/>
    <w:rsid w:val="00D25206"/>
    <w:rsid w:val="00D355FB"/>
    <w:rsid w:val="00D41D2C"/>
    <w:rsid w:val="00D4605B"/>
    <w:rsid w:val="00D623AA"/>
    <w:rsid w:val="00D8518F"/>
    <w:rsid w:val="00D96EC7"/>
    <w:rsid w:val="00DA12BF"/>
    <w:rsid w:val="00DA7138"/>
    <w:rsid w:val="00DF248E"/>
    <w:rsid w:val="00DF3222"/>
    <w:rsid w:val="00E07FD2"/>
    <w:rsid w:val="00E31F64"/>
    <w:rsid w:val="00E3728D"/>
    <w:rsid w:val="00E4357B"/>
    <w:rsid w:val="00E47B47"/>
    <w:rsid w:val="00E5166B"/>
    <w:rsid w:val="00E644A0"/>
    <w:rsid w:val="00E87A80"/>
    <w:rsid w:val="00E87CEC"/>
    <w:rsid w:val="00EA1BA6"/>
    <w:rsid w:val="00EA4C58"/>
    <w:rsid w:val="00EB67EC"/>
    <w:rsid w:val="00EE11F9"/>
    <w:rsid w:val="00EE7425"/>
    <w:rsid w:val="00EF6C8D"/>
    <w:rsid w:val="00F00080"/>
    <w:rsid w:val="00F01B03"/>
    <w:rsid w:val="00F03FF4"/>
    <w:rsid w:val="00F06C20"/>
    <w:rsid w:val="00F10699"/>
    <w:rsid w:val="00F1075B"/>
    <w:rsid w:val="00F10E4C"/>
    <w:rsid w:val="00F176CD"/>
    <w:rsid w:val="00F26324"/>
    <w:rsid w:val="00F273C5"/>
    <w:rsid w:val="00F3275E"/>
    <w:rsid w:val="00F4576C"/>
    <w:rsid w:val="00F545AB"/>
    <w:rsid w:val="00F715BA"/>
    <w:rsid w:val="00F8200E"/>
    <w:rsid w:val="00F86DE9"/>
    <w:rsid w:val="00F92A8F"/>
    <w:rsid w:val="00FA6CF1"/>
    <w:rsid w:val="00FC0049"/>
    <w:rsid w:val="00FC376F"/>
    <w:rsid w:val="00FF30E1"/>
    <w:rsid w:val="01506B97"/>
    <w:rsid w:val="01565C22"/>
    <w:rsid w:val="01DC19EE"/>
    <w:rsid w:val="024610D3"/>
    <w:rsid w:val="0311468D"/>
    <w:rsid w:val="032632FE"/>
    <w:rsid w:val="037606C3"/>
    <w:rsid w:val="04A309AD"/>
    <w:rsid w:val="04E3586E"/>
    <w:rsid w:val="05297156"/>
    <w:rsid w:val="05481259"/>
    <w:rsid w:val="062760CA"/>
    <w:rsid w:val="06367F91"/>
    <w:rsid w:val="063E7CAE"/>
    <w:rsid w:val="064061DE"/>
    <w:rsid w:val="07897C0E"/>
    <w:rsid w:val="082A1395"/>
    <w:rsid w:val="08B60D54"/>
    <w:rsid w:val="094628A0"/>
    <w:rsid w:val="09826815"/>
    <w:rsid w:val="09D91328"/>
    <w:rsid w:val="0A9B53E8"/>
    <w:rsid w:val="0ABC2331"/>
    <w:rsid w:val="0B3111FA"/>
    <w:rsid w:val="0B45387B"/>
    <w:rsid w:val="0BB57BA4"/>
    <w:rsid w:val="0C0076B8"/>
    <w:rsid w:val="0C6C37E1"/>
    <w:rsid w:val="0C6D48C1"/>
    <w:rsid w:val="0C9615C8"/>
    <w:rsid w:val="0DC3421D"/>
    <w:rsid w:val="0DF76B00"/>
    <w:rsid w:val="0EDA155C"/>
    <w:rsid w:val="0F4F6CEE"/>
    <w:rsid w:val="0F9746D1"/>
    <w:rsid w:val="0F983238"/>
    <w:rsid w:val="0FBD189C"/>
    <w:rsid w:val="0FDE4BDA"/>
    <w:rsid w:val="0FF07241"/>
    <w:rsid w:val="10D97638"/>
    <w:rsid w:val="11655791"/>
    <w:rsid w:val="11B1466E"/>
    <w:rsid w:val="121D4674"/>
    <w:rsid w:val="12954B43"/>
    <w:rsid w:val="12DC670B"/>
    <w:rsid w:val="12F42BA4"/>
    <w:rsid w:val="12F86E3A"/>
    <w:rsid w:val="131D1399"/>
    <w:rsid w:val="15932B49"/>
    <w:rsid w:val="15A5072F"/>
    <w:rsid w:val="15E05662"/>
    <w:rsid w:val="1787048B"/>
    <w:rsid w:val="179C05CE"/>
    <w:rsid w:val="192C7506"/>
    <w:rsid w:val="193548E0"/>
    <w:rsid w:val="19440BD0"/>
    <w:rsid w:val="1A102318"/>
    <w:rsid w:val="1A206039"/>
    <w:rsid w:val="1B6553C6"/>
    <w:rsid w:val="1BBC4C34"/>
    <w:rsid w:val="1C3C11C6"/>
    <w:rsid w:val="1C7520F8"/>
    <w:rsid w:val="1D0B3468"/>
    <w:rsid w:val="1D1E53EE"/>
    <w:rsid w:val="1D506AA7"/>
    <w:rsid w:val="1DC05620"/>
    <w:rsid w:val="1E470BDB"/>
    <w:rsid w:val="1E7B7EAF"/>
    <w:rsid w:val="1FE401B3"/>
    <w:rsid w:val="20C462AC"/>
    <w:rsid w:val="21B73E88"/>
    <w:rsid w:val="21D80A7B"/>
    <w:rsid w:val="222B693C"/>
    <w:rsid w:val="22A64485"/>
    <w:rsid w:val="24667DE3"/>
    <w:rsid w:val="247C0C4C"/>
    <w:rsid w:val="25DC0A00"/>
    <w:rsid w:val="262E3841"/>
    <w:rsid w:val="26AF2198"/>
    <w:rsid w:val="26B75F6B"/>
    <w:rsid w:val="27EC2A9F"/>
    <w:rsid w:val="28203CD5"/>
    <w:rsid w:val="287A337D"/>
    <w:rsid w:val="28800981"/>
    <w:rsid w:val="28A14A68"/>
    <w:rsid w:val="28F00B0D"/>
    <w:rsid w:val="298F4F7D"/>
    <w:rsid w:val="29A7551B"/>
    <w:rsid w:val="29B80978"/>
    <w:rsid w:val="2AAD6736"/>
    <w:rsid w:val="2AD00E3A"/>
    <w:rsid w:val="2AE05796"/>
    <w:rsid w:val="2B3F6C91"/>
    <w:rsid w:val="2B9F71B1"/>
    <w:rsid w:val="2BD93B03"/>
    <w:rsid w:val="2CAC0E49"/>
    <w:rsid w:val="2CC101CD"/>
    <w:rsid w:val="2D047A30"/>
    <w:rsid w:val="2D9F4E31"/>
    <w:rsid w:val="306B332E"/>
    <w:rsid w:val="308C5F48"/>
    <w:rsid w:val="30CB2D3F"/>
    <w:rsid w:val="311913D0"/>
    <w:rsid w:val="313E75B5"/>
    <w:rsid w:val="31C45AE8"/>
    <w:rsid w:val="31E17C98"/>
    <w:rsid w:val="32326DEE"/>
    <w:rsid w:val="329A66A2"/>
    <w:rsid w:val="32B71199"/>
    <w:rsid w:val="338962BA"/>
    <w:rsid w:val="33D854F6"/>
    <w:rsid w:val="33DE3C29"/>
    <w:rsid w:val="34010037"/>
    <w:rsid w:val="3412744D"/>
    <w:rsid w:val="3431735D"/>
    <w:rsid w:val="345F5981"/>
    <w:rsid w:val="35061741"/>
    <w:rsid w:val="354C01C6"/>
    <w:rsid w:val="355D635D"/>
    <w:rsid w:val="358E4C71"/>
    <w:rsid w:val="360F2EB9"/>
    <w:rsid w:val="36887E00"/>
    <w:rsid w:val="36963DEF"/>
    <w:rsid w:val="36D66C33"/>
    <w:rsid w:val="37021294"/>
    <w:rsid w:val="37096D0D"/>
    <w:rsid w:val="370B211A"/>
    <w:rsid w:val="379D6803"/>
    <w:rsid w:val="38194CD8"/>
    <w:rsid w:val="398C14D9"/>
    <w:rsid w:val="39C15F76"/>
    <w:rsid w:val="3A805BBF"/>
    <w:rsid w:val="3AA01842"/>
    <w:rsid w:val="3ACF286E"/>
    <w:rsid w:val="3B3C7214"/>
    <w:rsid w:val="3C505CA8"/>
    <w:rsid w:val="3C9E7E8F"/>
    <w:rsid w:val="3CE81B00"/>
    <w:rsid w:val="3D5740DE"/>
    <w:rsid w:val="3E5A5EE4"/>
    <w:rsid w:val="3E5F5AA5"/>
    <w:rsid w:val="3E846C23"/>
    <w:rsid w:val="3EBC7BE3"/>
    <w:rsid w:val="401E2B51"/>
    <w:rsid w:val="40F26F47"/>
    <w:rsid w:val="41117688"/>
    <w:rsid w:val="412C237F"/>
    <w:rsid w:val="4155091F"/>
    <w:rsid w:val="41695A0F"/>
    <w:rsid w:val="41BA10CB"/>
    <w:rsid w:val="42303B8B"/>
    <w:rsid w:val="42423FD9"/>
    <w:rsid w:val="43A14604"/>
    <w:rsid w:val="43A33BF5"/>
    <w:rsid w:val="43A538BC"/>
    <w:rsid w:val="447A7099"/>
    <w:rsid w:val="44F7014F"/>
    <w:rsid w:val="453B488F"/>
    <w:rsid w:val="456E692D"/>
    <w:rsid w:val="45F15E70"/>
    <w:rsid w:val="46A64344"/>
    <w:rsid w:val="46D80127"/>
    <w:rsid w:val="489706FC"/>
    <w:rsid w:val="48B733AA"/>
    <w:rsid w:val="48E20A96"/>
    <w:rsid w:val="4A5240A2"/>
    <w:rsid w:val="4A8E7608"/>
    <w:rsid w:val="4AB167DD"/>
    <w:rsid w:val="4B117A90"/>
    <w:rsid w:val="4BB34F51"/>
    <w:rsid w:val="4CFF0216"/>
    <w:rsid w:val="4D4D3AFB"/>
    <w:rsid w:val="4D683864"/>
    <w:rsid w:val="4DC46C4F"/>
    <w:rsid w:val="4E58201F"/>
    <w:rsid w:val="4FD04A87"/>
    <w:rsid w:val="50AE13D1"/>
    <w:rsid w:val="522830D1"/>
    <w:rsid w:val="52D561B8"/>
    <w:rsid w:val="52DC0984"/>
    <w:rsid w:val="548B08B3"/>
    <w:rsid w:val="55242153"/>
    <w:rsid w:val="555F4A28"/>
    <w:rsid w:val="558F57DA"/>
    <w:rsid w:val="55A0038E"/>
    <w:rsid w:val="55DD4A42"/>
    <w:rsid w:val="567F1BCC"/>
    <w:rsid w:val="56D218E5"/>
    <w:rsid w:val="573F39B5"/>
    <w:rsid w:val="57B4119F"/>
    <w:rsid w:val="588A28B9"/>
    <w:rsid w:val="5A48573D"/>
    <w:rsid w:val="5A9164F8"/>
    <w:rsid w:val="5AFE1DDF"/>
    <w:rsid w:val="5B1C1D31"/>
    <w:rsid w:val="5DD46E27"/>
    <w:rsid w:val="5E193D09"/>
    <w:rsid w:val="5E997C33"/>
    <w:rsid w:val="5EB007B5"/>
    <w:rsid w:val="5EBC779A"/>
    <w:rsid w:val="60712622"/>
    <w:rsid w:val="61903065"/>
    <w:rsid w:val="61C030C6"/>
    <w:rsid w:val="6232236E"/>
    <w:rsid w:val="624C4474"/>
    <w:rsid w:val="62AC3A78"/>
    <w:rsid w:val="63B57AC3"/>
    <w:rsid w:val="64011757"/>
    <w:rsid w:val="6473529E"/>
    <w:rsid w:val="649E1F3D"/>
    <w:rsid w:val="65E0162B"/>
    <w:rsid w:val="65E53E98"/>
    <w:rsid w:val="66424626"/>
    <w:rsid w:val="665971AE"/>
    <w:rsid w:val="667B1BFB"/>
    <w:rsid w:val="67A55BDE"/>
    <w:rsid w:val="68A8667A"/>
    <w:rsid w:val="692E169F"/>
    <w:rsid w:val="69A37C09"/>
    <w:rsid w:val="6A2B3024"/>
    <w:rsid w:val="6A303659"/>
    <w:rsid w:val="6A4B2016"/>
    <w:rsid w:val="6AC344AB"/>
    <w:rsid w:val="6BA008BF"/>
    <w:rsid w:val="6BA1796A"/>
    <w:rsid w:val="6BA472B9"/>
    <w:rsid w:val="6BD77B3D"/>
    <w:rsid w:val="6C240F7A"/>
    <w:rsid w:val="6D185F70"/>
    <w:rsid w:val="6D600186"/>
    <w:rsid w:val="6EA541AD"/>
    <w:rsid w:val="6F835472"/>
    <w:rsid w:val="6F913D15"/>
    <w:rsid w:val="70A45725"/>
    <w:rsid w:val="710812D5"/>
    <w:rsid w:val="71227648"/>
    <w:rsid w:val="71411F9D"/>
    <w:rsid w:val="73BE4E40"/>
    <w:rsid w:val="762A69E2"/>
    <w:rsid w:val="76524E83"/>
    <w:rsid w:val="76AC04E9"/>
    <w:rsid w:val="76C60833"/>
    <w:rsid w:val="77F97A47"/>
    <w:rsid w:val="7A6C1EDF"/>
    <w:rsid w:val="7A711B4A"/>
    <w:rsid w:val="7B16294B"/>
    <w:rsid w:val="7C19011C"/>
    <w:rsid w:val="7C331E4E"/>
    <w:rsid w:val="7C934E7B"/>
    <w:rsid w:val="7C9A5431"/>
    <w:rsid w:val="7CCF5DDE"/>
    <w:rsid w:val="7D5738F9"/>
    <w:rsid w:val="7D5F62B6"/>
    <w:rsid w:val="7D707D52"/>
    <w:rsid w:val="7DC279B4"/>
    <w:rsid w:val="7E8766DE"/>
    <w:rsid w:val="7EB16339"/>
    <w:rsid w:val="7FEC1F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宋体" w:hAnsi="Times New Roman" w:eastAsia="宋体" w:cs="宋体"/>
      <w:sz w:val="22"/>
      <w:szCs w:val="22"/>
      <w:lang w:val="en-US" w:eastAsia="zh-CN" w:bidi="ar-SA"/>
    </w:rPr>
  </w:style>
  <w:style w:type="paragraph" w:styleId="3">
    <w:name w:val="heading 1"/>
    <w:basedOn w:val="1"/>
    <w:next w:val="1"/>
    <w:link w:val="50"/>
    <w:qFormat/>
    <w:uiPriority w:val="9"/>
    <w:pPr>
      <w:ind w:left="3144" w:right="3120"/>
      <w:jc w:val="center"/>
      <w:outlineLvl w:val="0"/>
    </w:pPr>
    <w:rPr>
      <w:rFonts w:cs="Times New Roman"/>
      <w:b/>
      <w:bCs/>
      <w:kern w:val="44"/>
      <w:sz w:val="44"/>
      <w:szCs w:val="44"/>
    </w:rPr>
  </w:style>
  <w:style w:type="paragraph" w:styleId="4">
    <w:name w:val="heading 2"/>
    <w:basedOn w:val="1"/>
    <w:next w:val="1"/>
    <w:link w:val="59"/>
    <w:qFormat/>
    <w:uiPriority w:val="9"/>
    <w:pPr>
      <w:ind w:left="3150" w:right="3120"/>
      <w:jc w:val="center"/>
      <w:outlineLvl w:val="1"/>
    </w:pPr>
    <w:rPr>
      <w:rFonts w:ascii="等线 Light" w:hAnsi="等线 Light" w:eastAsia="等线 Light" w:cs="Times New Roman"/>
      <w:b/>
      <w:bCs/>
      <w:sz w:val="32"/>
      <w:szCs w:val="32"/>
    </w:rPr>
  </w:style>
  <w:style w:type="paragraph" w:styleId="5">
    <w:name w:val="heading 3"/>
    <w:basedOn w:val="1"/>
    <w:next w:val="1"/>
    <w:link w:val="55"/>
    <w:qFormat/>
    <w:uiPriority w:val="9"/>
    <w:pPr>
      <w:spacing w:before="48"/>
      <w:ind w:left="3150" w:right="3120"/>
      <w:jc w:val="center"/>
      <w:outlineLvl w:val="2"/>
    </w:pPr>
    <w:rPr>
      <w:rFonts w:cs="Times New Roman"/>
      <w:b/>
      <w:bCs/>
      <w:sz w:val="32"/>
      <w:szCs w:val="32"/>
    </w:rPr>
  </w:style>
  <w:style w:type="paragraph" w:styleId="6">
    <w:name w:val="heading 4"/>
    <w:basedOn w:val="1"/>
    <w:next w:val="1"/>
    <w:link w:val="53"/>
    <w:qFormat/>
    <w:uiPriority w:val="9"/>
    <w:pPr>
      <w:spacing w:before="62"/>
      <w:ind w:left="200"/>
      <w:outlineLvl w:val="3"/>
    </w:pPr>
    <w:rPr>
      <w:rFonts w:ascii="等线 Light" w:hAnsi="等线 Light" w:eastAsia="等线 Light" w:cs="Times New Roman"/>
      <w:b/>
      <w:bCs/>
      <w:sz w:val="28"/>
      <w:szCs w:val="28"/>
    </w:rPr>
  </w:style>
  <w:style w:type="paragraph" w:styleId="7">
    <w:name w:val="heading 5"/>
    <w:basedOn w:val="1"/>
    <w:next w:val="1"/>
    <w:link w:val="61"/>
    <w:qFormat/>
    <w:uiPriority w:val="9"/>
    <w:pPr>
      <w:ind w:left="412" w:hanging="207"/>
      <w:outlineLvl w:val="4"/>
    </w:pPr>
    <w:rPr>
      <w:rFonts w:cs="Times New Roman"/>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next w:val="1"/>
    <w:qFormat/>
    <w:uiPriority w:val="0"/>
    <w:pPr>
      <w:spacing w:before="25" w:after="25"/>
      <w:jc w:val="left"/>
    </w:pPr>
    <w:rPr>
      <w:bCs/>
      <w:spacing w:val="10"/>
      <w:kern w:val="0"/>
      <w:sz w:val="24"/>
      <w:szCs w:val="20"/>
    </w:rPr>
  </w:style>
  <w:style w:type="paragraph" w:styleId="8">
    <w:name w:val="index 8"/>
    <w:next w:val="1"/>
    <w:qFormat/>
    <w:uiPriority w:val="0"/>
    <w:pPr>
      <w:widowControl w:val="0"/>
      <w:ind w:left="2940"/>
      <w:jc w:val="both"/>
    </w:pPr>
    <w:rPr>
      <w:rFonts w:ascii="方正仿宋_GBK" w:hAnsi="Calibri" w:eastAsia="方正仿宋_GBK" w:cs="宋体"/>
      <w:kern w:val="2"/>
      <w:sz w:val="32"/>
      <w:szCs w:val="28"/>
      <w:lang w:val="en-US" w:eastAsia="zh-CN" w:bidi="ar-SA"/>
    </w:rPr>
  </w:style>
  <w:style w:type="paragraph" w:styleId="9">
    <w:name w:val="Normal Indent"/>
    <w:basedOn w:val="1"/>
    <w:next w:val="10"/>
    <w:qFormat/>
    <w:uiPriority w:val="0"/>
    <w:pPr>
      <w:ind w:firstLine="420"/>
    </w:pPr>
    <w:rPr>
      <w:szCs w:val="21"/>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annotation text"/>
    <w:basedOn w:val="1"/>
    <w:link w:val="52"/>
    <w:unhideWhenUsed/>
    <w:qFormat/>
    <w:uiPriority w:val="99"/>
    <w:rPr>
      <w:rFonts w:cs="Times New Roman"/>
    </w:rPr>
  </w:style>
  <w:style w:type="paragraph" w:styleId="12">
    <w:name w:val="Body Text"/>
    <w:basedOn w:val="1"/>
    <w:next w:val="1"/>
    <w:link w:val="47"/>
    <w:qFormat/>
    <w:uiPriority w:val="99"/>
    <w:pPr>
      <w:ind w:left="590"/>
    </w:pPr>
    <w:rPr>
      <w:rFonts w:cs="Times New Roman"/>
      <w:szCs w:val="20"/>
    </w:rPr>
  </w:style>
  <w:style w:type="paragraph" w:styleId="13">
    <w:name w:val="Body Text Indent"/>
    <w:basedOn w:val="1"/>
    <w:next w:val="14"/>
    <w:qFormat/>
    <w:uiPriority w:val="0"/>
    <w:pPr>
      <w:ind w:firstLine="830" w:firstLineChars="352"/>
    </w:pPr>
    <w:rPr>
      <w:rFonts w:ascii="仿宋_GB2312" w:eastAsia="仿宋_GB2312"/>
      <w:sz w:val="32"/>
      <w:szCs w:val="20"/>
    </w:rPr>
  </w:style>
  <w:style w:type="paragraph" w:styleId="14">
    <w:name w:val="envelope return"/>
    <w:basedOn w:val="1"/>
    <w:qFormat/>
    <w:uiPriority w:val="99"/>
    <w:pPr>
      <w:snapToGrid w:val="0"/>
    </w:pPr>
    <w:rPr>
      <w:rFonts w:ascii="Arial" w:hAnsi="Arial"/>
    </w:rPr>
  </w:style>
  <w:style w:type="paragraph" w:styleId="15">
    <w:name w:val="Plain Text"/>
    <w:basedOn w:val="1"/>
    <w:qFormat/>
    <w:uiPriority w:val="0"/>
    <w:rPr>
      <w:rFonts w:ascii="宋体" w:hAnsi="Courier New" w:cs="Courier New"/>
      <w:szCs w:val="21"/>
    </w:rPr>
  </w:style>
  <w:style w:type="paragraph" w:styleId="16">
    <w:name w:val="Balloon Text"/>
    <w:basedOn w:val="1"/>
    <w:link w:val="57"/>
    <w:unhideWhenUsed/>
    <w:qFormat/>
    <w:uiPriority w:val="99"/>
    <w:rPr>
      <w:rFonts w:cs="Times New Roman"/>
      <w:sz w:val="18"/>
      <w:szCs w:val="18"/>
    </w:rPr>
  </w:style>
  <w:style w:type="paragraph" w:styleId="17">
    <w:name w:val="footer"/>
    <w:basedOn w:val="1"/>
    <w:link w:val="63"/>
    <w:unhideWhenUsed/>
    <w:qFormat/>
    <w:uiPriority w:val="0"/>
    <w:pPr>
      <w:tabs>
        <w:tab w:val="center" w:pos="4153"/>
        <w:tab w:val="right" w:pos="8306"/>
      </w:tabs>
      <w:snapToGrid w:val="0"/>
    </w:pPr>
    <w:rPr>
      <w:rFonts w:cs="Times New Roman"/>
      <w:sz w:val="18"/>
      <w:szCs w:val="18"/>
    </w:rPr>
  </w:style>
  <w:style w:type="paragraph" w:styleId="18">
    <w:name w:val="header"/>
    <w:basedOn w:val="1"/>
    <w:link w:val="49"/>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19">
    <w:name w:val="Body Text Indent 3"/>
    <w:basedOn w:val="1"/>
    <w:link w:val="58"/>
    <w:unhideWhenUsed/>
    <w:qFormat/>
    <w:uiPriority w:val="99"/>
    <w:pPr>
      <w:spacing w:after="120"/>
      <w:ind w:left="420" w:leftChars="200"/>
    </w:pPr>
    <w:rPr>
      <w:rFonts w:cs="Times New Roman"/>
      <w:sz w:val="16"/>
      <w:szCs w:val="16"/>
    </w:rPr>
  </w:style>
  <w:style w:type="paragraph" w:styleId="20">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21">
    <w:name w:val="annotation subject"/>
    <w:basedOn w:val="11"/>
    <w:next w:val="11"/>
    <w:link w:val="54"/>
    <w:unhideWhenUsed/>
    <w:qFormat/>
    <w:uiPriority w:val="99"/>
    <w:rPr>
      <w:b/>
      <w:bCs/>
    </w:rPr>
  </w:style>
  <w:style w:type="paragraph" w:styleId="22">
    <w:name w:val="Body Text First Indent"/>
    <w:basedOn w:val="12"/>
    <w:link w:val="51"/>
    <w:unhideWhenUsed/>
    <w:qFormat/>
    <w:uiPriority w:val="99"/>
    <w:pPr>
      <w:spacing w:after="120"/>
      <w:ind w:left="0" w:firstLine="420" w:firstLineChars="100"/>
    </w:pPr>
    <w:rPr>
      <w:szCs w:val="22"/>
    </w:rPr>
  </w:style>
  <w:style w:type="paragraph" w:styleId="23">
    <w:name w:val="Body Text First Indent 2"/>
    <w:basedOn w:val="13"/>
    <w:qFormat/>
    <w:uiPriority w:val="0"/>
    <w:pPr>
      <w:spacing w:after="120"/>
      <w:ind w:left="420" w:leftChars="200"/>
    </w:pPr>
    <w:rPr>
      <w:rFonts w:ascii="Calibri" w:hAnsi="Calibri"/>
      <w:sz w:val="21"/>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qFormat/>
    <w:uiPriority w:val="0"/>
    <w:rPr>
      <w:rFonts w:cs="Times New Roman"/>
    </w:rPr>
  </w:style>
  <w:style w:type="character" w:styleId="29">
    <w:name w:val="FollowedHyperlink"/>
    <w:basedOn w:val="26"/>
    <w:unhideWhenUsed/>
    <w:qFormat/>
    <w:uiPriority w:val="99"/>
    <w:rPr>
      <w:color w:val="003B70"/>
      <w:u w:val="none"/>
    </w:rPr>
  </w:style>
  <w:style w:type="character" w:styleId="30">
    <w:name w:val="Hyperlink"/>
    <w:basedOn w:val="26"/>
    <w:unhideWhenUsed/>
    <w:qFormat/>
    <w:uiPriority w:val="99"/>
    <w:rPr>
      <w:color w:val="003B70"/>
      <w:u w:val="none"/>
    </w:rPr>
  </w:style>
  <w:style w:type="character" w:styleId="31">
    <w:name w:val="annotation reference"/>
    <w:unhideWhenUsed/>
    <w:qFormat/>
    <w:uiPriority w:val="99"/>
    <w:rPr>
      <w:sz w:val="21"/>
      <w:szCs w:val="21"/>
    </w:rPr>
  </w:style>
  <w:style w:type="paragraph" w:customStyle="1" w:styleId="32">
    <w:name w:val="Heading4"/>
    <w:basedOn w:val="1"/>
    <w:qFormat/>
    <w:uiPriority w:val="0"/>
    <w:pPr>
      <w:keepNext/>
      <w:keepLines/>
      <w:widowControl w:val="0"/>
      <w:suppressLineNumbers w:val="0"/>
      <w:snapToGrid w:val="0"/>
      <w:spacing w:before="200" w:beforeAutospacing="0" w:line="360" w:lineRule="auto"/>
      <w:jc w:val="both"/>
    </w:pPr>
    <w:rPr>
      <w:rFonts w:hint="default" w:ascii="Cambria" w:hAnsi="Cambria" w:eastAsia="宋体" w:cs="Times New Roman"/>
      <w:b/>
      <w:i/>
      <w:color w:val="4F81BD"/>
      <w:kern w:val="0"/>
      <w:sz w:val="20"/>
      <w:szCs w:val="20"/>
      <w:lang w:val="en-US" w:eastAsia="zh-CN" w:bidi="ar"/>
    </w:rPr>
  </w:style>
  <w:style w:type="paragraph" w:customStyle="1" w:styleId="33">
    <w:name w:val="图_0"/>
    <w:basedOn w:val="34"/>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34">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Table Paragraph"/>
    <w:basedOn w:val="1"/>
    <w:qFormat/>
    <w:uiPriority w:val="1"/>
    <w:rPr>
      <w:sz w:val="24"/>
      <w:szCs w:val="24"/>
    </w:rPr>
  </w:style>
  <w:style w:type="paragraph" w:customStyle="1" w:styleId="36">
    <w:name w:val="_Style 3"/>
    <w:basedOn w:val="1"/>
    <w:next w:val="19"/>
    <w:qFormat/>
    <w:uiPriority w:val="0"/>
    <w:pPr>
      <w:autoSpaceDE/>
      <w:autoSpaceDN/>
      <w:adjustRightInd/>
      <w:ind w:firstLine="420" w:firstLineChars="200"/>
      <w:jc w:val="both"/>
    </w:pPr>
    <w:rPr>
      <w:rFonts w:ascii="Calibri" w:hAnsi="Calibri" w:eastAsia="Calibri" w:cs="Times New Roman"/>
      <w:kern w:val="2"/>
      <w:lang w:eastAsia="en-US"/>
    </w:rPr>
  </w:style>
  <w:style w:type="paragraph" w:customStyle="1" w:styleId="37">
    <w:name w:val="Char Char Char"/>
    <w:basedOn w:val="1"/>
    <w:qFormat/>
    <w:uiPriority w:val="0"/>
    <w:rPr>
      <w:rFonts w:ascii="宋体" w:hAnsi="宋体"/>
      <w:b/>
      <w:sz w:val="28"/>
      <w:szCs w:val="28"/>
    </w:rPr>
  </w:style>
  <w:style w:type="paragraph" w:customStyle="1" w:styleId="38">
    <w:name w:val="正文1"/>
    <w:basedOn w:val="1"/>
    <w:next w:val="39"/>
    <w:qFormat/>
    <w:uiPriority w:val="0"/>
    <w:pPr>
      <w:spacing w:line="360" w:lineRule="auto"/>
    </w:pPr>
    <w:rPr>
      <w:rFonts w:ascii="宋体" w:hAnsi="华文宋体"/>
      <w:kern w:val="20"/>
      <w:sz w:val="24"/>
      <w:szCs w:val="20"/>
    </w:rPr>
  </w:style>
  <w:style w:type="paragraph" w:customStyle="1" w:styleId="39">
    <w:name w:val="普通正文"/>
    <w:basedOn w:val="38"/>
    <w:qFormat/>
    <w:uiPriority w:val="0"/>
    <w:pPr>
      <w:widowControl/>
      <w:spacing w:line="360" w:lineRule="atLeast"/>
      <w:ind w:firstLine="425"/>
    </w:pPr>
    <w:rPr>
      <w:kern w:val="21"/>
    </w:rPr>
  </w:style>
  <w:style w:type="paragraph" w:customStyle="1" w:styleId="40">
    <w:name w:val="TOC2"/>
    <w:basedOn w:val="1"/>
    <w:next w:val="1"/>
    <w:qFormat/>
    <w:uiPriority w:val="0"/>
    <w:pPr>
      <w:ind w:left="420" w:leftChars="200"/>
    </w:pPr>
    <w:rPr>
      <w:rFonts w:ascii="Calibri" w:hAnsi="Calibri" w:eastAsia="仿宋"/>
      <w:sz w:val="24"/>
    </w:rPr>
  </w:style>
  <w:style w:type="paragraph" w:styleId="41">
    <w:name w:val="List Paragraph"/>
    <w:basedOn w:val="1"/>
    <w:qFormat/>
    <w:uiPriority w:val="1"/>
    <w:pPr>
      <w:ind w:left="206" w:firstLine="384"/>
    </w:pPr>
    <w:rPr>
      <w:sz w:val="24"/>
      <w:szCs w:val="24"/>
    </w:rPr>
  </w:style>
  <w:style w:type="paragraph" w:customStyle="1" w:styleId="42">
    <w:name w:val="_Style 40"/>
    <w:unhideWhenUsed/>
    <w:qFormat/>
    <w:uiPriority w:val="99"/>
    <w:rPr>
      <w:rFonts w:ascii="宋体" w:hAnsi="Times New Roman" w:eastAsia="宋体" w:cs="宋体"/>
      <w:sz w:val="22"/>
      <w:szCs w:val="22"/>
      <w:lang w:val="en-US" w:eastAsia="zh-CN" w:bidi="ar-SA"/>
    </w:rPr>
  </w:style>
  <w:style w:type="paragraph" w:customStyle="1" w:styleId="43">
    <w:name w:val="纯文本_0"/>
    <w:basedOn w:val="34"/>
    <w:qFormat/>
    <w:uiPriority w:val="0"/>
    <w:rPr>
      <w:rFonts w:ascii="宋体" w:hAnsi="Courier New"/>
      <w:kern w:val="0"/>
      <w:sz w:val="20"/>
      <w:szCs w:val="21"/>
    </w:rPr>
  </w:style>
  <w:style w:type="paragraph" w:customStyle="1" w:styleId="44">
    <w:name w:val="RZ表格"/>
    <w:qFormat/>
    <w:uiPriority w:val="0"/>
    <w:pPr>
      <w:textAlignment w:val="center"/>
    </w:pPr>
    <w:rPr>
      <w:rFonts w:ascii="Times New Roman" w:hAnsi="Times New Roman" w:eastAsia="宋体" w:cs="Times New Roman"/>
      <w:bCs/>
      <w:sz w:val="22"/>
      <w:szCs w:val="24"/>
      <w:lang w:val="en-US" w:eastAsia="zh-CN" w:bidi="ar-SA"/>
    </w:rPr>
  </w:style>
  <w:style w:type="paragraph" w:customStyle="1" w:styleId="45">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font41"/>
    <w:qFormat/>
    <w:uiPriority w:val="0"/>
    <w:rPr>
      <w:rFonts w:ascii="Calibri" w:hAnsi="Calibri" w:cs="Calibri"/>
      <w:color w:val="000000"/>
      <w:sz w:val="21"/>
      <w:szCs w:val="21"/>
      <w:u w:val="none"/>
    </w:rPr>
  </w:style>
  <w:style w:type="character" w:customStyle="1" w:styleId="47">
    <w:name w:val="正文文本 Char"/>
    <w:link w:val="12"/>
    <w:semiHidden/>
    <w:qFormat/>
    <w:uiPriority w:val="99"/>
    <w:rPr>
      <w:rFonts w:ascii="宋体" w:hAnsi="Times New Roman" w:eastAsia="宋体" w:cs="宋体"/>
      <w:kern w:val="0"/>
      <w:sz w:val="22"/>
    </w:rPr>
  </w:style>
  <w:style w:type="character" w:customStyle="1" w:styleId="48">
    <w:name w:val="_Style 0"/>
    <w:qFormat/>
    <w:uiPriority w:val="0"/>
    <w:rPr>
      <w:i/>
      <w:iCs/>
      <w:color w:val="808080"/>
    </w:rPr>
  </w:style>
  <w:style w:type="character" w:customStyle="1" w:styleId="49">
    <w:name w:val="页眉 Char"/>
    <w:link w:val="18"/>
    <w:qFormat/>
    <w:uiPriority w:val="99"/>
    <w:rPr>
      <w:rFonts w:ascii="宋体" w:hAnsi="Times New Roman" w:eastAsia="宋体" w:cs="宋体"/>
      <w:kern w:val="0"/>
      <w:sz w:val="18"/>
      <w:szCs w:val="18"/>
    </w:rPr>
  </w:style>
  <w:style w:type="character" w:customStyle="1" w:styleId="50">
    <w:name w:val="标题 1 Char"/>
    <w:link w:val="3"/>
    <w:qFormat/>
    <w:uiPriority w:val="9"/>
    <w:rPr>
      <w:rFonts w:ascii="宋体" w:hAnsi="Times New Roman" w:eastAsia="宋体" w:cs="宋体"/>
      <w:b/>
      <w:bCs/>
      <w:kern w:val="44"/>
      <w:sz w:val="44"/>
      <w:szCs w:val="44"/>
    </w:rPr>
  </w:style>
  <w:style w:type="character" w:customStyle="1" w:styleId="51">
    <w:name w:val="正文首行缩进 Char"/>
    <w:link w:val="22"/>
    <w:semiHidden/>
    <w:qFormat/>
    <w:uiPriority w:val="99"/>
    <w:rPr>
      <w:rFonts w:ascii="宋体" w:hAnsi="Times New Roman" w:eastAsia="宋体" w:cs="宋体"/>
      <w:kern w:val="0"/>
      <w:sz w:val="22"/>
      <w:szCs w:val="22"/>
    </w:rPr>
  </w:style>
  <w:style w:type="character" w:customStyle="1" w:styleId="52">
    <w:name w:val="批注文字 Char"/>
    <w:link w:val="11"/>
    <w:qFormat/>
    <w:uiPriority w:val="99"/>
    <w:rPr>
      <w:rFonts w:ascii="宋体" w:hAnsi="Times New Roman" w:eastAsia="宋体" w:cs="宋体"/>
      <w:sz w:val="22"/>
      <w:szCs w:val="22"/>
    </w:rPr>
  </w:style>
  <w:style w:type="character" w:customStyle="1" w:styleId="53">
    <w:name w:val="标题 4 Char"/>
    <w:link w:val="6"/>
    <w:semiHidden/>
    <w:qFormat/>
    <w:uiPriority w:val="9"/>
    <w:rPr>
      <w:rFonts w:ascii="等线 Light" w:hAnsi="等线 Light" w:eastAsia="等线 Light" w:cs="Times New Roman"/>
      <w:b/>
      <w:bCs/>
      <w:kern w:val="0"/>
      <w:sz w:val="28"/>
      <w:szCs w:val="28"/>
    </w:rPr>
  </w:style>
  <w:style w:type="character" w:customStyle="1" w:styleId="54">
    <w:name w:val="批注主题 Char"/>
    <w:link w:val="21"/>
    <w:semiHidden/>
    <w:qFormat/>
    <w:uiPriority w:val="99"/>
    <w:rPr>
      <w:rFonts w:ascii="宋体" w:hAnsi="Times New Roman" w:eastAsia="宋体" w:cs="宋体"/>
      <w:b/>
      <w:bCs/>
      <w:sz w:val="22"/>
      <w:szCs w:val="22"/>
    </w:rPr>
  </w:style>
  <w:style w:type="character" w:customStyle="1" w:styleId="55">
    <w:name w:val="标题 3 Char"/>
    <w:link w:val="5"/>
    <w:semiHidden/>
    <w:qFormat/>
    <w:uiPriority w:val="9"/>
    <w:rPr>
      <w:rFonts w:ascii="宋体" w:hAnsi="Times New Roman" w:eastAsia="宋体" w:cs="宋体"/>
      <w:b/>
      <w:bCs/>
      <w:kern w:val="0"/>
      <w:sz w:val="32"/>
      <w:szCs w:val="32"/>
    </w:rPr>
  </w:style>
  <w:style w:type="character" w:customStyle="1" w:styleId="56">
    <w:name w:val="p141_0"/>
    <w:qFormat/>
    <w:uiPriority w:val="0"/>
    <w:rPr>
      <w:rFonts w:ascii="Calibri" w:hAnsi="Calibri"/>
      <w:sz w:val="21"/>
      <w:szCs w:val="21"/>
    </w:rPr>
  </w:style>
  <w:style w:type="character" w:customStyle="1" w:styleId="57">
    <w:name w:val="批注框文本 Char"/>
    <w:link w:val="16"/>
    <w:semiHidden/>
    <w:qFormat/>
    <w:uiPriority w:val="99"/>
    <w:rPr>
      <w:rFonts w:ascii="宋体" w:hAnsi="Times New Roman" w:eastAsia="宋体" w:cs="宋体"/>
      <w:sz w:val="18"/>
      <w:szCs w:val="18"/>
    </w:rPr>
  </w:style>
  <w:style w:type="character" w:customStyle="1" w:styleId="58">
    <w:name w:val="正文文本缩进 3 Char"/>
    <w:link w:val="19"/>
    <w:semiHidden/>
    <w:qFormat/>
    <w:uiPriority w:val="99"/>
    <w:rPr>
      <w:rFonts w:ascii="宋体" w:hAnsi="Times New Roman" w:eastAsia="宋体" w:cs="宋体"/>
      <w:sz w:val="16"/>
      <w:szCs w:val="16"/>
    </w:rPr>
  </w:style>
  <w:style w:type="character" w:customStyle="1" w:styleId="59">
    <w:name w:val="标题 2 Char"/>
    <w:link w:val="4"/>
    <w:semiHidden/>
    <w:qFormat/>
    <w:uiPriority w:val="9"/>
    <w:rPr>
      <w:rFonts w:ascii="等线 Light" w:hAnsi="等线 Light" w:eastAsia="等线 Light" w:cs="Times New Roman"/>
      <w:b/>
      <w:bCs/>
      <w:kern w:val="0"/>
      <w:sz w:val="32"/>
      <w:szCs w:val="32"/>
    </w:rPr>
  </w:style>
  <w:style w:type="character" w:customStyle="1" w:styleId="60">
    <w:name w:val="正文文本 字符1"/>
    <w:semiHidden/>
    <w:qFormat/>
    <w:uiPriority w:val="99"/>
    <w:rPr>
      <w:rFonts w:ascii="宋体" w:hAnsi="Times New Roman" w:eastAsia="宋体" w:cs="宋体"/>
      <w:kern w:val="0"/>
      <w:sz w:val="22"/>
    </w:rPr>
  </w:style>
  <w:style w:type="character" w:customStyle="1" w:styleId="61">
    <w:name w:val="标题 5 Char"/>
    <w:link w:val="7"/>
    <w:semiHidden/>
    <w:qFormat/>
    <w:uiPriority w:val="9"/>
    <w:rPr>
      <w:rFonts w:ascii="宋体" w:hAnsi="Times New Roman" w:eastAsia="宋体" w:cs="宋体"/>
      <w:b/>
      <w:bCs/>
      <w:kern w:val="0"/>
      <w:sz w:val="28"/>
      <w:szCs w:val="28"/>
    </w:rPr>
  </w:style>
  <w:style w:type="character" w:customStyle="1" w:styleId="62">
    <w:name w:val="不明显强调1"/>
    <w:qFormat/>
    <w:uiPriority w:val="0"/>
    <w:rPr>
      <w:i/>
      <w:iCs/>
      <w:color w:val="808080"/>
    </w:rPr>
  </w:style>
  <w:style w:type="character" w:customStyle="1" w:styleId="63">
    <w:name w:val="页脚 Char"/>
    <w:link w:val="17"/>
    <w:qFormat/>
    <w:uiPriority w:val="0"/>
    <w:rPr>
      <w:rFonts w:ascii="宋体" w:hAnsi="Times New Roman" w:eastAsia="宋体" w:cs="宋体"/>
      <w:kern w:val="0"/>
      <w:sz w:val="18"/>
      <w:szCs w:val="18"/>
    </w:rPr>
  </w:style>
  <w:style w:type="paragraph" w:customStyle="1" w:styleId="64">
    <w:name w:val="首行缩进"/>
    <w:basedOn w:val="1"/>
    <w:qFormat/>
    <w:uiPriority w:val="0"/>
    <w:pPr>
      <w:spacing w:line="360" w:lineRule="auto"/>
      <w:ind w:firstLine="420"/>
    </w:pPr>
    <w:rPr>
      <w:rFonts w:ascii="宋体" w:hAnsi="宋体" w:eastAsia="宋体"/>
    </w:rPr>
  </w:style>
  <w:style w:type="character" w:customStyle="1" w:styleId="65">
    <w:name w:val="NormalCharacter"/>
    <w:qFormat/>
    <w:uiPriority w:val="0"/>
  </w:style>
  <w:style w:type="paragraph" w:customStyle="1" w:styleId="66">
    <w:name w:val="null3"/>
    <w:qFormat/>
    <w:uiPriority w:val="0"/>
    <w:rPr>
      <w:rFonts w:hint="eastAsia" w:ascii="Calibri" w:hAnsi="Calibri" w:eastAsia="宋体" w:cs="Times New Roman"/>
      <w:lang w:val="en-US" w:eastAsia="zh-Hans"/>
    </w:rPr>
  </w:style>
  <w:style w:type="character" w:customStyle="1" w:styleId="67">
    <w:name w:val="font101"/>
    <w:qFormat/>
    <w:uiPriority w:val="0"/>
    <w:rPr>
      <w:rFonts w:hint="eastAsia" w:ascii="宋体" w:hAnsi="宋体" w:eastAsia="宋体" w:cs="宋体"/>
      <w:b/>
      <w:bCs/>
      <w:color w:val="000000"/>
      <w:sz w:val="24"/>
      <w:szCs w:val="24"/>
      <w:u w:val="none"/>
    </w:rPr>
  </w:style>
  <w:style w:type="character" w:customStyle="1" w:styleId="68">
    <w:name w:val="font91"/>
    <w:qFormat/>
    <w:uiPriority w:val="0"/>
    <w:rPr>
      <w:rFonts w:hint="eastAsia" w:ascii="宋体" w:hAnsi="宋体" w:eastAsia="宋体" w:cs="宋体"/>
      <w:color w:val="000000"/>
      <w:sz w:val="22"/>
      <w:szCs w:val="22"/>
      <w:u w:val="none"/>
    </w:rPr>
  </w:style>
  <w:style w:type="character" w:customStyle="1" w:styleId="69">
    <w:name w:val="font112"/>
    <w:qFormat/>
    <w:uiPriority w:val="0"/>
    <w:rPr>
      <w:rFonts w:hint="eastAsia" w:ascii="宋体" w:hAnsi="宋体" w:eastAsia="宋体" w:cs="宋体"/>
      <w:color w:val="000000"/>
      <w:sz w:val="24"/>
      <w:szCs w:val="24"/>
      <w:u w:val="none"/>
    </w:rPr>
  </w:style>
  <w:style w:type="character" w:customStyle="1" w:styleId="70">
    <w:name w:val="font61"/>
    <w:qFormat/>
    <w:uiPriority w:val="0"/>
    <w:rPr>
      <w:rFonts w:hint="default" w:ascii="Times New Roman" w:hAnsi="Times New Roman" w:cs="Times New Roman"/>
      <w:color w:val="000000"/>
      <w:sz w:val="24"/>
      <w:szCs w:val="24"/>
      <w:u w:val="none"/>
    </w:rPr>
  </w:style>
  <w:style w:type="character" w:customStyle="1" w:styleId="71">
    <w:name w:val="font51"/>
    <w:qFormat/>
    <w:uiPriority w:val="0"/>
    <w:rPr>
      <w:rFonts w:hint="default" w:ascii="Times New Roman" w:hAnsi="Times New Roman" w:cs="Times New Roman"/>
      <w:color w:val="000000"/>
      <w:sz w:val="22"/>
      <w:szCs w:val="22"/>
      <w:u w:val="none"/>
    </w:rPr>
  </w:style>
  <w:style w:type="character" w:customStyle="1" w:styleId="72">
    <w:name w:val="font121"/>
    <w:qFormat/>
    <w:uiPriority w:val="0"/>
    <w:rPr>
      <w:rFonts w:hint="eastAsia" w:ascii="宋体" w:hAnsi="宋体" w:eastAsia="宋体" w:cs="宋体"/>
      <w:color w:val="000000"/>
      <w:sz w:val="22"/>
      <w:szCs w:val="22"/>
      <w:u w:val="none"/>
    </w:rPr>
  </w:style>
  <w:style w:type="character" w:customStyle="1" w:styleId="73">
    <w:name w:val="font71"/>
    <w:qFormat/>
    <w:uiPriority w:val="0"/>
    <w:rPr>
      <w:rFonts w:hint="default" w:ascii="Times New Roman" w:hAnsi="Times New Roman" w:cs="Times New Roman"/>
      <w:color w:val="000000"/>
      <w:sz w:val="22"/>
      <w:szCs w:val="22"/>
      <w:u w:val="none"/>
    </w:rPr>
  </w:style>
  <w:style w:type="character" w:customStyle="1" w:styleId="74">
    <w:name w:val="font31"/>
    <w:qFormat/>
    <w:uiPriority w:val="0"/>
    <w:rPr>
      <w:rFonts w:hint="eastAsia" w:ascii="宋体" w:hAnsi="宋体" w:eastAsia="宋体" w:cs="宋体"/>
      <w:color w:val="000000"/>
      <w:sz w:val="22"/>
      <w:szCs w:val="22"/>
      <w:u w:val="none"/>
    </w:rPr>
  </w:style>
  <w:style w:type="paragraph" w:customStyle="1" w:styleId="75">
    <w:name w:val="列出段落1"/>
    <w:qFormat/>
    <w:uiPriority w:val="0"/>
    <w:pPr>
      <w:widowControl w:val="0"/>
      <w:autoSpaceDE w:val="0"/>
      <w:autoSpaceDN w:val="0"/>
      <w:adjustRightInd w:val="0"/>
      <w:spacing w:beforeLines="100" w:line="360" w:lineRule="auto"/>
      <w:ind w:left="425" w:firstLine="420" w:firstLineChars="200"/>
    </w:pPr>
    <w:rPr>
      <w:rFonts w:ascii="Calibri" w:hAnsi="Calibri" w:eastAsia="宋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6134</Words>
  <Characters>6346</Characters>
  <Lines>634</Lines>
  <Paragraphs>178</Paragraphs>
  <TotalTime>1</TotalTime>
  <ScaleCrop>false</ScaleCrop>
  <LinksUpToDate>false</LinksUpToDate>
  <CharactersWithSpaces>6649</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2022-02-21T07:40:00Z</dcterms:created>
  <dc:creator>国义</dc:creator>
  <cp:lastModifiedBy>沈倩彤</cp:lastModifiedBy>
  <cp:lastPrinted>2023-10-26T07:49:00Z</cp:lastPrinted>
  <dcterms:modified xsi:type="dcterms:W3CDTF">2025-07-16T04:17:04Z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wkhtmltopdf 0.12.5</vt:lpwstr>
  </property>
  <property fmtid="{D5CDD505-2E9C-101B-9397-08002B2CF9AE}" pid="3" name="KSOProductBuildVer">
    <vt:lpwstr>2052-11.8.6.11020</vt:lpwstr>
  </property>
  <property fmtid="{D5CDD505-2E9C-101B-9397-08002B2CF9AE}" pid="4" name="ICV">
    <vt:lpwstr>A1DC9DB37A4449F9B8DF77012235FC64</vt:lpwstr>
  </property>
</Properties>
</file>