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FE77">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EDB942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2B7E442">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B6628E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C68736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D040CF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4234820">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6BDBEBB7">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9D19EB4">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3EDC9BCD">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2"/>
        <w:gridCol w:w="3780"/>
        <w:gridCol w:w="632"/>
        <w:gridCol w:w="1274"/>
      </w:tblGrid>
      <w:tr w14:paraId="54A17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28946B">
            <w:pPr>
              <w:pStyle w:val="69"/>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包号</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174C21B">
            <w:pPr>
              <w:pStyle w:val="69"/>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标的名称</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66FEAF">
            <w:pPr>
              <w:pStyle w:val="69"/>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98A55D">
            <w:pPr>
              <w:pStyle w:val="69"/>
              <w:jc w:val="center"/>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采购预算</w:t>
            </w:r>
          </w:p>
        </w:tc>
      </w:tr>
      <w:tr w14:paraId="50AE8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D21D80">
            <w:pPr>
              <w:pStyle w:val="69"/>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0A7A77">
            <w:pPr>
              <w:pStyle w:val="69"/>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流式细胞仪及全自动加样样品处理系统</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61CC34">
            <w:pPr>
              <w:pStyle w:val="69"/>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1套</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7745CF">
            <w:pPr>
              <w:pStyle w:val="69"/>
              <w:jc w:val="center"/>
              <w:rPr>
                <w:rFonts w:hint="eastAsia" w:eastAsiaTheme="minorEastAsia"/>
                <w:color w:val="000000" w:themeColor="text1"/>
                <w:highlight w:val="none"/>
                <w:lang w:eastAsia="zh-CN"/>
                <w14:textFill>
                  <w14:solidFill>
                    <w14:schemeClr w14:val="tx1"/>
                  </w14:solidFill>
                </w14:textFill>
              </w:rPr>
            </w:pPr>
            <w:r>
              <w:rPr>
                <w:color w:val="000000" w:themeColor="text1"/>
                <w:sz w:val="21"/>
                <w:highlight w:val="none"/>
                <w14:textFill>
                  <w14:solidFill>
                    <w14:schemeClr w14:val="tx1"/>
                  </w14:solidFill>
                </w14:textFill>
              </w:rPr>
              <w:t>¥</w:t>
            </w:r>
            <w:r>
              <w:rPr>
                <w:rFonts w:hint="eastAsia"/>
                <w:color w:val="000000" w:themeColor="text1"/>
                <w:sz w:val="21"/>
                <w:highlight w:val="none"/>
                <w:lang w:eastAsia="zh-CN"/>
                <w14:textFill>
                  <w14:solidFill>
                    <w14:schemeClr w14:val="tx1"/>
                  </w14:solidFill>
                </w14:textFill>
              </w:rPr>
              <w:t>500,000.00</w:t>
            </w:r>
          </w:p>
        </w:tc>
      </w:tr>
      <w:tr w14:paraId="43D49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6A820C">
            <w:pPr>
              <w:pStyle w:val="69"/>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59CEE3">
            <w:pPr>
              <w:pStyle w:val="69"/>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 xml:space="preserve">急性透析和体外血液治疗机 </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DD7628">
            <w:pPr>
              <w:pStyle w:val="69"/>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1套</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F904A4">
            <w:pPr>
              <w:pStyle w:val="69"/>
              <w:jc w:val="center"/>
              <w:rPr>
                <w:rFonts w:hint="eastAsia" w:eastAsiaTheme="minorEastAsia"/>
                <w:color w:val="000000" w:themeColor="text1"/>
                <w:highlight w:val="none"/>
                <w:lang w:eastAsia="zh-CN"/>
                <w14:textFill>
                  <w14:solidFill>
                    <w14:schemeClr w14:val="tx1"/>
                  </w14:solidFill>
                </w14:textFill>
              </w:rPr>
            </w:pPr>
            <w:r>
              <w:rPr>
                <w:color w:val="000000" w:themeColor="text1"/>
                <w:sz w:val="21"/>
                <w:highlight w:val="none"/>
                <w14:textFill>
                  <w14:solidFill>
                    <w14:schemeClr w14:val="tx1"/>
                  </w14:solidFill>
                </w14:textFill>
              </w:rPr>
              <w:t>¥</w:t>
            </w:r>
            <w:r>
              <w:rPr>
                <w:rFonts w:hint="eastAsia"/>
                <w:color w:val="000000" w:themeColor="text1"/>
                <w:sz w:val="21"/>
                <w:highlight w:val="none"/>
                <w:lang w:eastAsia="zh-CN"/>
                <w14:textFill>
                  <w14:solidFill>
                    <w14:schemeClr w14:val="tx1"/>
                  </w14:solidFill>
                </w14:textFill>
              </w:rPr>
              <w:t>280,000.00</w:t>
            </w:r>
          </w:p>
        </w:tc>
      </w:tr>
      <w:tr w14:paraId="6080A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91E78F">
            <w:pPr>
              <w:pStyle w:val="69"/>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981B43">
            <w:pPr>
              <w:pStyle w:val="69"/>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血细胞分离机</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AB6F8E">
            <w:pPr>
              <w:pStyle w:val="69"/>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1台</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6C1B2">
            <w:pPr>
              <w:pStyle w:val="69"/>
              <w:jc w:val="center"/>
              <w:rPr>
                <w:rFonts w:hint="eastAsia" w:eastAsiaTheme="minorEastAsia"/>
                <w:color w:val="000000" w:themeColor="text1"/>
                <w:highlight w:val="none"/>
                <w:lang w:eastAsia="zh-CN"/>
                <w14:textFill>
                  <w14:solidFill>
                    <w14:schemeClr w14:val="tx1"/>
                  </w14:solidFill>
                </w14:textFill>
              </w:rPr>
            </w:pPr>
            <w:r>
              <w:rPr>
                <w:color w:val="000000" w:themeColor="text1"/>
                <w:sz w:val="21"/>
                <w:highlight w:val="none"/>
                <w14:textFill>
                  <w14:solidFill>
                    <w14:schemeClr w14:val="tx1"/>
                  </w14:solidFill>
                </w14:textFill>
              </w:rPr>
              <w:t>¥</w:t>
            </w:r>
            <w:r>
              <w:rPr>
                <w:rFonts w:hint="eastAsia"/>
                <w:color w:val="000000" w:themeColor="text1"/>
                <w:sz w:val="21"/>
                <w:highlight w:val="none"/>
                <w:lang w:eastAsia="zh-CN"/>
                <w14:textFill>
                  <w14:solidFill>
                    <w14:schemeClr w14:val="tx1"/>
                  </w14:solidFill>
                </w14:textFill>
              </w:rPr>
              <w:t>380,000.00</w:t>
            </w:r>
          </w:p>
        </w:tc>
      </w:tr>
    </w:tbl>
    <w:p w14:paraId="20172E61">
      <w:pPr>
        <w:pStyle w:val="69"/>
        <w:ind w:firstLine="420"/>
        <w:jc w:val="both"/>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本项目</w:t>
      </w:r>
      <w:r>
        <w:rPr>
          <w:rFonts w:hint="eastAsia"/>
          <w:color w:val="000000" w:themeColor="text1"/>
          <w:sz w:val="21"/>
          <w:highlight w:val="none"/>
          <w:lang w:val="en-US" w:eastAsia="zh-CN"/>
          <w14:textFill>
            <w14:solidFill>
              <w14:schemeClr w14:val="tx1"/>
            </w14:solidFill>
          </w14:textFill>
        </w:rPr>
        <w:t>包2、包3</w:t>
      </w:r>
      <w:r>
        <w:rPr>
          <w:color w:val="000000" w:themeColor="text1"/>
          <w:sz w:val="21"/>
          <w:highlight w:val="none"/>
          <w14:textFill>
            <w14:solidFill>
              <w14:schemeClr w14:val="tx1"/>
            </w14:solidFill>
          </w14:textFill>
        </w:rPr>
        <w:t>经政府采购管理部门同意，采购本国</w:t>
      </w:r>
      <w:r>
        <w:rPr>
          <w:rFonts w:hint="eastAsia"/>
          <w:color w:val="000000" w:themeColor="text1"/>
          <w:sz w:val="21"/>
          <w:highlight w:val="none"/>
          <w:lang w:val="en-US" w:eastAsia="zh-CN"/>
          <w14:textFill>
            <w14:solidFill>
              <w14:schemeClr w14:val="tx1"/>
            </w14:solidFill>
          </w14:textFill>
        </w:rPr>
        <w:t>产品</w:t>
      </w:r>
      <w:r>
        <w:rPr>
          <w:color w:val="000000" w:themeColor="text1"/>
          <w:sz w:val="21"/>
          <w:highlight w:val="none"/>
          <w14:textFill>
            <w14:solidFill>
              <w14:schemeClr w14:val="tx1"/>
            </w14:solidFill>
          </w14:textFill>
        </w:rPr>
        <w:t>或不属于国家法律法规政策明确规定限制的进口产品。（注：进口产品是指通过中国海关报关验放进入中国境内且产自关境外的产品，含已进入中国境内并在国内市场有销售的进口产品）。本项目</w:t>
      </w:r>
      <w:r>
        <w:rPr>
          <w:rFonts w:hint="eastAsia"/>
          <w:color w:val="000000" w:themeColor="text1"/>
          <w:sz w:val="21"/>
          <w:highlight w:val="none"/>
          <w:lang w:val="en-US" w:eastAsia="zh-CN"/>
          <w14:textFill>
            <w14:solidFill>
              <w14:schemeClr w14:val="tx1"/>
            </w14:solidFill>
          </w14:textFill>
        </w:rPr>
        <w:t>包1</w:t>
      </w:r>
      <w:r>
        <w:rPr>
          <w:color w:val="000000" w:themeColor="text1"/>
          <w:sz w:val="21"/>
          <w:highlight w:val="none"/>
          <w14:textFill>
            <w14:solidFill>
              <w14:schemeClr w14:val="tx1"/>
            </w14:solidFill>
          </w14:textFill>
        </w:rPr>
        <w:t>采购本国</w:t>
      </w:r>
      <w:r>
        <w:rPr>
          <w:rFonts w:hint="eastAsia"/>
          <w:color w:val="000000" w:themeColor="text1"/>
          <w:sz w:val="21"/>
          <w:highlight w:val="none"/>
          <w:lang w:val="en-US" w:eastAsia="zh-CN"/>
          <w14:textFill>
            <w14:solidFill>
              <w14:schemeClr w14:val="tx1"/>
            </w14:solidFill>
          </w14:textFill>
        </w:rPr>
        <w:t>产品</w:t>
      </w:r>
      <w:bookmarkStart w:id="3" w:name="_GoBack"/>
      <w:bookmarkEnd w:id="3"/>
      <w:r>
        <w:rPr>
          <w:color w:val="000000" w:themeColor="text1"/>
          <w:sz w:val="21"/>
          <w:highlight w:val="none"/>
          <w14:textFill>
            <w14:solidFill>
              <w14:schemeClr w14:val="tx1"/>
            </w14:solidFill>
          </w14:textFill>
        </w:rPr>
        <w:t>。</w:t>
      </w:r>
    </w:p>
    <w:p w14:paraId="7614009B">
      <w:pPr>
        <w:pStyle w:val="69"/>
        <w:spacing w:line="240" w:lineRule="auto"/>
        <w:rPr>
          <w:rFonts w:hint="eastAsia" w:ascii="宋体" w:hAnsi="宋体" w:eastAsia="宋体" w:cs="宋体"/>
          <w:b/>
          <w:color w:val="000000"/>
          <w:sz w:val="21"/>
          <w:szCs w:val="21"/>
        </w:rPr>
      </w:pPr>
    </w:p>
    <w:p w14:paraId="7DF95EE7">
      <w:pPr>
        <w:pStyle w:val="69"/>
        <w:spacing w:line="240" w:lineRule="auto"/>
        <w:rPr>
          <w:rFonts w:hint="eastAsia" w:ascii="宋体" w:hAnsi="宋体" w:eastAsia="宋体" w:cs="宋体"/>
          <w:sz w:val="21"/>
          <w:szCs w:val="21"/>
        </w:rPr>
      </w:pPr>
      <w:r>
        <w:rPr>
          <w:rFonts w:hint="eastAsia" w:ascii="宋体" w:hAnsi="宋体" w:eastAsia="宋体" w:cs="宋体"/>
          <w:b/>
          <w:color w:val="000000"/>
          <w:sz w:val="21"/>
          <w:szCs w:val="21"/>
        </w:rPr>
        <w:t>说明：打“★”号条款为实质性条款，若有任何一条负偏离或不满足则导致投标（响应）无效。</w:t>
      </w:r>
    </w:p>
    <w:p w14:paraId="0D6C2064">
      <w:pPr>
        <w:pStyle w:val="69"/>
        <w:spacing w:line="240" w:lineRule="auto"/>
        <w:rPr>
          <w:rFonts w:hint="eastAsia" w:ascii="宋体" w:hAnsi="宋体" w:eastAsia="宋体" w:cs="宋体"/>
          <w:sz w:val="21"/>
          <w:szCs w:val="21"/>
        </w:rPr>
      </w:pPr>
      <w:r>
        <w:rPr>
          <w:rFonts w:hint="eastAsia" w:ascii="宋体" w:hAnsi="宋体" w:eastAsia="宋体" w:cs="宋体"/>
          <w:b/>
          <w:color w:val="000000"/>
          <w:sz w:val="21"/>
          <w:szCs w:val="21"/>
        </w:rPr>
        <w:t>打“▲”号条款为重要技术参数（如有），若有部分“▲”条款未响应或不满足，将根据评审要求影响其得分，但不作为无效投标（响应）条款。</w:t>
      </w:r>
    </w:p>
    <w:p w14:paraId="5325B2FA">
      <w:pPr>
        <w:spacing w:line="240" w:lineRule="auto"/>
        <w:rPr>
          <w:rFonts w:hint="eastAsia" w:ascii="宋体" w:hAnsi="宋体" w:eastAsia="宋体" w:cs="宋体"/>
          <w:sz w:val="21"/>
          <w:szCs w:val="21"/>
        </w:rPr>
      </w:pPr>
    </w:p>
    <w:p w14:paraId="4F5786C7">
      <w:pPr>
        <w:spacing w:line="240" w:lineRule="auto"/>
        <w:jc w:val="center"/>
        <w:rPr>
          <w:rFonts w:hint="eastAsia" w:ascii="宋体" w:hAnsi="宋体" w:eastAsia="宋体" w:cs="宋体"/>
          <w:b/>
          <w:bCs/>
          <w:sz w:val="21"/>
          <w:szCs w:val="21"/>
        </w:rPr>
      </w:pPr>
    </w:p>
    <w:p w14:paraId="52E52128">
      <w:pPr>
        <w:pStyle w:val="69"/>
        <w:jc w:val="center"/>
        <w:rPr>
          <w:rFonts w:hint="eastAsia" w:eastAsiaTheme="minorEastAsia"/>
          <w:color w:val="000000" w:themeColor="text1"/>
          <w:highlight w:val="none"/>
          <w:lang w:eastAsia="zh-CN"/>
          <w14:textFill>
            <w14:solidFill>
              <w14:schemeClr w14:val="tx1"/>
            </w14:solidFill>
          </w14:textFill>
        </w:rPr>
      </w:pPr>
      <w:r>
        <w:rPr>
          <w:b/>
          <w:color w:val="000000" w:themeColor="text1"/>
          <w:sz w:val="21"/>
          <w:highlight w:val="none"/>
          <w14:textFill>
            <w14:solidFill>
              <w14:schemeClr w14:val="tx1"/>
            </w14:solidFill>
          </w14:textFill>
        </w:rPr>
        <w:t>包1：</w:t>
      </w:r>
      <w:r>
        <w:rPr>
          <w:rFonts w:hint="eastAsia"/>
          <w:b/>
          <w:color w:val="000000" w:themeColor="text1"/>
          <w:sz w:val="21"/>
          <w:highlight w:val="none"/>
          <w:lang w:eastAsia="zh-CN"/>
          <w14:textFill>
            <w14:solidFill>
              <w14:schemeClr w14:val="tx1"/>
            </w14:solidFill>
          </w14:textFill>
        </w:rPr>
        <w:t>流式细胞仪及全自动加样样品处理系统</w:t>
      </w:r>
    </w:p>
    <w:p w14:paraId="4D7C5791">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855"/>
        <w:gridCol w:w="750"/>
        <w:gridCol w:w="2010"/>
        <w:gridCol w:w="1725"/>
      </w:tblGrid>
      <w:tr w14:paraId="718A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93" w:type="dxa"/>
            <w:vAlign w:val="center"/>
          </w:tcPr>
          <w:p w14:paraId="3638240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55" w:type="dxa"/>
            <w:vAlign w:val="center"/>
          </w:tcPr>
          <w:p w14:paraId="22CBE06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50" w:type="dxa"/>
            <w:vAlign w:val="center"/>
          </w:tcPr>
          <w:p w14:paraId="026D063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2010" w:type="dxa"/>
            <w:vAlign w:val="center"/>
          </w:tcPr>
          <w:p w14:paraId="1BB07E0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1725" w:type="dxa"/>
            <w:vAlign w:val="center"/>
          </w:tcPr>
          <w:p w14:paraId="5CDEFC8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14:paraId="17F9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493" w:type="dxa"/>
            <w:vAlign w:val="center"/>
          </w:tcPr>
          <w:p w14:paraId="6B48726E">
            <w:pPr>
              <w:pStyle w:val="18"/>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流式细胞仪及全自动加样样品处理系统</w:t>
            </w:r>
          </w:p>
        </w:tc>
        <w:tc>
          <w:tcPr>
            <w:tcW w:w="855" w:type="dxa"/>
            <w:vAlign w:val="center"/>
          </w:tcPr>
          <w:p w14:paraId="555ADDC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750" w:type="dxa"/>
            <w:vAlign w:val="center"/>
          </w:tcPr>
          <w:p w14:paraId="19FAB97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010" w:type="dxa"/>
            <w:vAlign w:val="center"/>
          </w:tcPr>
          <w:p w14:paraId="2E45DD9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p>
        </w:tc>
        <w:tc>
          <w:tcPr>
            <w:tcW w:w="1725" w:type="dxa"/>
            <w:vAlign w:val="center"/>
          </w:tcPr>
          <w:p w14:paraId="495333D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A02321900-临床检验设备</w:t>
            </w:r>
          </w:p>
        </w:tc>
      </w:tr>
    </w:tbl>
    <w:p w14:paraId="57D9D3F4">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14:paraId="5AA51D9E">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14:paraId="0B6E186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p>
    <w:p w14:paraId="19AB17BD">
      <w:pPr>
        <w:widowControl/>
        <w:jc w:val="left"/>
        <w:rPr>
          <w:rStyle w:val="30"/>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r>
        <w:rPr>
          <w:rFonts w:hint="eastAsia" w:ascii="宋体" w:hAnsi="宋体" w:eastAsia="宋体" w:cs="宋体"/>
          <w:color w:val="000000" w:themeColor="text1"/>
          <w:kern w:val="0"/>
          <w:sz w:val="21"/>
          <w:szCs w:val="21"/>
          <w:highlight w:val="none"/>
          <w14:textFill>
            <w14:solidFill>
              <w14:schemeClr w14:val="tx1"/>
            </w14:solidFill>
          </w14:textFill>
        </w:rPr>
        <w:t>用于</w:t>
      </w:r>
      <w:r>
        <w:rPr>
          <w:rStyle w:val="30"/>
          <w:rFonts w:hint="eastAsia" w:ascii="宋体" w:hAnsi="宋体" w:eastAsia="宋体" w:cs="宋体"/>
          <w:color w:val="000000" w:themeColor="text1"/>
          <w:sz w:val="21"/>
          <w:szCs w:val="21"/>
          <w:highlight w:val="none"/>
          <w14:textFill>
            <w14:solidFill>
              <w14:schemeClr w14:val="tx1"/>
            </w14:solidFill>
          </w14:textFill>
        </w:rPr>
        <w:t>流体动力学原理对细胞进行聚焦，再通过激光激发产生散射光荧光等信号，实现对细胞已标记信号的定量分析，用于包括细胞凋亡、周期、免疫分型、淋巴细胞亚群、细胞因子检测等分析。设备需配备样本前处理，用于常规加样、细胞孵育、离心等上机前处理。</w:t>
      </w:r>
    </w:p>
    <w:p w14:paraId="6E53CEB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14:paraId="0978DBA3">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配置488±5nm和638±5nm，全固体激光器，功率均≥50mw</w:t>
      </w:r>
    </w:p>
    <w:p w14:paraId="69282411">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荧光检测通道≥6，蓝激光下≥4，红激光下≥2，每一个荧光检测通道对应独立的检测器及带通滤光片，非共用，可更换的带通滤光片≥11</w:t>
      </w:r>
    </w:p>
    <w:p w14:paraId="37C5F085">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采用APD检测器非PMT，检测器可通过操作软件进行电压调节。（</w:t>
      </w:r>
      <w:r>
        <w:rPr>
          <w:rFonts w:hint="eastAsia"/>
          <w:color w:val="000000" w:themeColor="text1"/>
          <w:highlight w:val="none"/>
          <w:lang w:val="en-US" w:eastAsia="zh-CN"/>
          <w14:textFill>
            <w14:solidFill>
              <w14:schemeClr w14:val="tx1"/>
            </w14:solidFill>
          </w14:textFill>
        </w:rPr>
        <w:t>投标文件中提供产品说明书及产品官方彩页或检测报告作为证明材料</w:t>
      </w:r>
      <w:r>
        <w:rPr>
          <w:rFonts w:hint="eastAsia" w:ascii="宋体" w:hAnsi="宋体" w:eastAsia="宋体" w:cs="宋体"/>
          <w:color w:val="000000" w:themeColor="text1"/>
          <w:sz w:val="21"/>
          <w:szCs w:val="21"/>
          <w:highlight w:val="none"/>
          <w14:textFill>
            <w14:solidFill>
              <w14:schemeClr w14:val="tx1"/>
            </w14:solidFill>
          </w14:textFill>
        </w:rPr>
        <w:t>）</w:t>
      </w:r>
    </w:p>
    <w:p w14:paraId="4DA39EFD">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4.荧光灵敏度：FITC的荧光灵敏度少于30 MESF，PE的荧光灵敏度少于10 MESF（</w:t>
      </w:r>
      <w:r>
        <w:rPr>
          <w:rFonts w:hint="eastAsia"/>
          <w:color w:val="000000" w:themeColor="text1"/>
          <w:highlight w:val="none"/>
          <w:lang w:val="en-US" w:eastAsia="zh-CN"/>
          <w14:textFill>
            <w14:solidFill>
              <w14:schemeClr w14:val="tx1"/>
            </w14:solidFill>
          </w14:textFill>
        </w:rPr>
        <w:t>投标文件中提供显示相应数据的官网截图或彩页作为证明材料</w:t>
      </w:r>
      <w:r>
        <w:rPr>
          <w:rFonts w:hint="eastAsia" w:ascii="宋体" w:hAnsi="宋体" w:eastAsia="宋体" w:cs="宋体"/>
          <w:color w:val="000000" w:themeColor="text1"/>
          <w:sz w:val="21"/>
          <w:szCs w:val="21"/>
          <w:highlight w:val="none"/>
          <w14:textFill>
            <w14:solidFill>
              <w14:schemeClr w14:val="tx1"/>
            </w14:solidFill>
          </w14:textFill>
        </w:rPr>
        <w:t>）</w:t>
      </w:r>
    </w:p>
    <w:p w14:paraId="51DB883B">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▲5.进样方式蠕动泵或正压进样（非柱塞泵或注射泵或负压持续进样方式，</w:t>
      </w:r>
      <w:r>
        <w:rPr>
          <w:rFonts w:hint="eastAsia"/>
          <w:color w:val="000000" w:themeColor="text1"/>
          <w:highlight w:val="none"/>
          <w:lang w:val="en-US" w:eastAsia="zh-CN"/>
          <w14:textFill>
            <w14:solidFill>
              <w14:schemeClr w14:val="tx1"/>
            </w14:solidFill>
          </w14:textFill>
        </w:rPr>
        <w:t>投标文件中提供显示相应功能的官网截图或彩页作为证明材料</w:t>
      </w:r>
      <w:r>
        <w:rPr>
          <w:rFonts w:hint="eastAsia" w:ascii="宋体" w:hAnsi="宋体" w:eastAsia="宋体" w:cs="宋体"/>
          <w:color w:val="000000" w:themeColor="text1"/>
          <w:sz w:val="21"/>
          <w:szCs w:val="21"/>
          <w:highlight w:val="none"/>
          <w14:textFill>
            <w14:solidFill>
              <w14:schemeClr w14:val="tx1"/>
            </w14:solidFill>
          </w14:textFill>
        </w:rPr>
        <w:t>）</w:t>
      </w:r>
    </w:p>
    <w:p w14:paraId="07A67F72">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▲6.自动进样器一个，单独安装：配置≥30管的自动上样器，上样模式为圆盘式自动进样，样品涡旋震荡混匀，非整盘混匀或搅拌混匀（</w:t>
      </w:r>
      <w:r>
        <w:rPr>
          <w:rFonts w:hint="eastAsia"/>
          <w:color w:val="000000" w:themeColor="text1"/>
          <w:highlight w:val="none"/>
          <w:lang w:val="en-US" w:eastAsia="zh-CN"/>
          <w14:textFill>
            <w14:solidFill>
              <w14:schemeClr w14:val="tx1"/>
            </w14:solidFill>
          </w14:textFill>
        </w:rPr>
        <w:t>投标文件中提供官网截图或彩页及配置清单作为证明材料</w:t>
      </w:r>
      <w:r>
        <w:rPr>
          <w:rFonts w:hint="eastAsia" w:ascii="宋体" w:hAnsi="宋体" w:eastAsia="宋体" w:cs="宋体"/>
          <w:color w:val="000000" w:themeColor="text1"/>
          <w:sz w:val="21"/>
          <w:szCs w:val="21"/>
          <w:highlight w:val="none"/>
          <w14:textFill>
            <w14:solidFill>
              <w14:schemeClr w14:val="tx1"/>
            </w14:solidFill>
          </w14:textFill>
        </w:rPr>
        <w:t>）</w:t>
      </w:r>
    </w:p>
    <w:p w14:paraId="7191332D">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7.光路设计：固定一体化光路，数值孔径≧1.3NA。</w:t>
      </w:r>
    </w:p>
    <w:p w14:paraId="568100FC">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8.补偿调节：全矩阵荧光补偿，可脱机补偿，自动补偿。支持补偿库功能，可以存储多色实验中荧光染料的溢出值。调节电压后补偿矩阵自动计算。</w:t>
      </w:r>
    </w:p>
    <w:p w14:paraId="39DDCA80">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9.配套临床软件2套，软件无密码狗限制，可任意安装。</w:t>
      </w:r>
    </w:p>
    <w:p w14:paraId="7F89EC26">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▲10.投标品牌在国家卫健委临检中心已开展室间质评的项目</w:t>
      </w:r>
      <w:r>
        <w:rPr>
          <w:rFonts w:hint="eastAsia"/>
          <w:color w:val="000000" w:themeColor="text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具备独立仪器分组，且同一样本编码下通过室间质评实验室家数≥100家（以</w:t>
      </w:r>
      <w:r>
        <w:rPr>
          <w:rFonts w:hint="eastAsia"/>
          <w:color w:val="000000" w:themeColor="text1"/>
          <w:highlight w:val="none"/>
          <w:lang w:val="en-US" w:eastAsia="zh-CN"/>
          <w14:textFill>
            <w14:solidFill>
              <w14:schemeClr w14:val="tx1"/>
            </w14:solidFill>
          </w14:textFill>
        </w:rPr>
        <w:t>2024年至今</w:t>
      </w:r>
      <w:r>
        <w:rPr>
          <w:rFonts w:hint="eastAsia" w:ascii="宋体" w:hAnsi="宋体" w:eastAsia="宋体" w:cs="宋体"/>
          <w:color w:val="000000" w:themeColor="text1"/>
          <w:sz w:val="21"/>
          <w:szCs w:val="21"/>
          <w:highlight w:val="none"/>
          <w14:textFill>
            <w14:solidFill>
              <w14:schemeClr w14:val="tx1"/>
            </w14:solidFill>
          </w14:textFill>
        </w:rPr>
        <w:t>数据为准）提供网站截屏。</w:t>
      </w:r>
    </w:p>
    <w:p w14:paraId="6B1AD106">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▲11.投标品牌需具备淋巴亚群相关检测Ⅲ类注册证，同时具有其他相关临床检测注册试剂盒，单抗类具有100种以上备案证明（提供注册证及备案证明）。</w:t>
      </w:r>
    </w:p>
    <w:p w14:paraId="24163E2A">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样本处理系统加样精度血样</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3%,试剂</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p>
    <w:p w14:paraId="232DA80D">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样本处理系统携带污染率≤0.1%</w:t>
      </w:r>
    </w:p>
    <w:p w14:paraId="7EA8FA78">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样本处理系统样本混匀时间1s-180s可调。</w:t>
      </w:r>
    </w:p>
    <w:p w14:paraId="518FE6E1">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样本处理系统样本混匀速度100-1000rpm可调</w:t>
      </w:r>
    </w:p>
    <w:p w14:paraId="61B6FFD5">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样本处理系统适配项目：淋巴细胞亚群、细胞因子</w:t>
      </w:r>
    </w:p>
    <w:p w14:paraId="23672748">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样本处理系统内置紫外消毒系统</w:t>
      </w:r>
    </w:p>
    <w:p w14:paraId="055CC579">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样本处理系统仪器故障要求12小时内应答，24小时形成解决方案。</w:t>
      </w:r>
    </w:p>
    <w:p w14:paraId="08B226F1">
      <w:pPr>
        <w:pStyle w:val="11"/>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样本处理系统设备软件免费升级</w:t>
      </w:r>
    </w:p>
    <w:p w14:paraId="7CE797E4">
      <w:pPr>
        <w:widowControl/>
        <w:tabs>
          <w:tab w:val="left" w:pos="420"/>
        </w:tabs>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（四）配置清单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891"/>
        <w:gridCol w:w="638"/>
        <w:gridCol w:w="638"/>
      </w:tblGrid>
      <w:tr w14:paraId="2DE5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5BBB05A8">
            <w:pPr>
              <w:pStyle w:val="11"/>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891" w:type="dxa"/>
            <w:vAlign w:val="center"/>
          </w:tcPr>
          <w:p w14:paraId="30D4D360">
            <w:pPr>
              <w:pStyle w:val="11"/>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配置名称</w:t>
            </w:r>
          </w:p>
        </w:tc>
        <w:tc>
          <w:tcPr>
            <w:tcW w:w="0" w:type="auto"/>
            <w:vAlign w:val="center"/>
          </w:tcPr>
          <w:p w14:paraId="6FBDDF71">
            <w:pPr>
              <w:pStyle w:val="11"/>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0" w:type="auto"/>
            <w:vAlign w:val="center"/>
          </w:tcPr>
          <w:p w14:paraId="6231DC86">
            <w:pPr>
              <w:pStyle w:val="11"/>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r>
      <w:tr w14:paraId="5A32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66A3AA7C">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891" w:type="dxa"/>
            <w:vAlign w:val="center"/>
          </w:tcPr>
          <w:p w14:paraId="7788AA0F">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系统工作站和医用监视器组件</w:t>
            </w:r>
          </w:p>
        </w:tc>
        <w:tc>
          <w:tcPr>
            <w:tcW w:w="0" w:type="auto"/>
            <w:vAlign w:val="center"/>
          </w:tcPr>
          <w:p w14:paraId="654B93F5">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vAlign w:val="center"/>
          </w:tcPr>
          <w:p w14:paraId="1F7803AF">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11F0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4E9DF831">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891" w:type="dxa"/>
            <w:vAlign w:val="center"/>
          </w:tcPr>
          <w:p w14:paraId="1D4752DC">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自动进样器</w:t>
            </w:r>
          </w:p>
        </w:tc>
        <w:tc>
          <w:tcPr>
            <w:tcW w:w="0" w:type="auto"/>
            <w:vAlign w:val="center"/>
          </w:tcPr>
          <w:p w14:paraId="54427A58">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155C5332">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28A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4BEFE3F9">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891" w:type="dxa"/>
            <w:vAlign w:val="center"/>
          </w:tcPr>
          <w:p w14:paraId="4D09B753">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鞘液</w:t>
            </w:r>
          </w:p>
        </w:tc>
        <w:tc>
          <w:tcPr>
            <w:tcW w:w="0" w:type="auto"/>
            <w:vAlign w:val="center"/>
          </w:tcPr>
          <w:p w14:paraId="08CACC43">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670AE966">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434D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714DE83A">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891" w:type="dxa"/>
            <w:vAlign w:val="center"/>
          </w:tcPr>
          <w:p w14:paraId="54D2EEDB">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质控荧光微球</w:t>
            </w:r>
          </w:p>
        </w:tc>
        <w:tc>
          <w:tcPr>
            <w:tcW w:w="0" w:type="auto"/>
            <w:vAlign w:val="center"/>
          </w:tcPr>
          <w:p w14:paraId="3B223614">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2A817409">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31F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05480A8F">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3891" w:type="dxa"/>
            <w:vAlign w:val="center"/>
          </w:tcPr>
          <w:p w14:paraId="37C9CED1">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碱性清洗液</w:t>
            </w:r>
          </w:p>
        </w:tc>
        <w:tc>
          <w:tcPr>
            <w:tcW w:w="0" w:type="auto"/>
            <w:vAlign w:val="center"/>
          </w:tcPr>
          <w:p w14:paraId="540FEA9C">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01A855D7">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162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254D95C7">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3891" w:type="dxa"/>
            <w:vAlign w:val="center"/>
          </w:tcPr>
          <w:p w14:paraId="2C77B232">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流式细胞仪清洗液</w:t>
            </w:r>
          </w:p>
        </w:tc>
        <w:tc>
          <w:tcPr>
            <w:tcW w:w="0" w:type="auto"/>
            <w:vAlign w:val="center"/>
          </w:tcPr>
          <w:p w14:paraId="06FC0185">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0CD302E1">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54DF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649836D5">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3891" w:type="dxa"/>
            <w:vAlign w:val="center"/>
          </w:tcPr>
          <w:p w14:paraId="177162D9">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数据采集及分析软件</w:t>
            </w:r>
          </w:p>
        </w:tc>
        <w:tc>
          <w:tcPr>
            <w:tcW w:w="0" w:type="auto"/>
            <w:vAlign w:val="center"/>
          </w:tcPr>
          <w:p w14:paraId="4A33C7F2">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vAlign w:val="center"/>
          </w:tcPr>
          <w:p w14:paraId="132BD7B1">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0BCD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5A54E5E3">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3891" w:type="dxa"/>
            <w:vAlign w:val="center"/>
          </w:tcPr>
          <w:p w14:paraId="08AE0128">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6全矩阵、全自动颜色补偿、补偿库</w:t>
            </w:r>
          </w:p>
        </w:tc>
        <w:tc>
          <w:tcPr>
            <w:tcW w:w="0" w:type="auto"/>
            <w:vAlign w:val="center"/>
          </w:tcPr>
          <w:p w14:paraId="69DF3EF6">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6502FAA9">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1F54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7245FC9A">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3891" w:type="dxa"/>
            <w:vAlign w:val="center"/>
          </w:tcPr>
          <w:p w14:paraId="452C17AC">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4L鞘液容器, </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4L废液容器，以及容器座</w:t>
            </w:r>
          </w:p>
        </w:tc>
        <w:tc>
          <w:tcPr>
            <w:tcW w:w="0" w:type="auto"/>
            <w:vAlign w:val="center"/>
          </w:tcPr>
          <w:p w14:paraId="4C218E63">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0" w:type="auto"/>
            <w:vAlign w:val="center"/>
          </w:tcPr>
          <w:p w14:paraId="05807AC7">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w:t>
            </w:r>
          </w:p>
        </w:tc>
      </w:tr>
      <w:tr w14:paraId="5AF4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58AC09E2">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891" w:type="dxa"/>
            <w:vAlign w:val="center"/>
          </w:tcPr>
          <w:p w14:paraId="0AEC1D17">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密码狗</w:t>
            </w:r>
          </w:p>
        </w:tc>
        <w:tc>
          <w:tcPr>
            <w:tcW w:w="0" w:type="auto"/>
            <w:vAlign w:val="center"/>
          </w:tcPr>
          <w:p w14:paraId="25B53553">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vAlign w:val="center"/>
          </w:tcPr>
          <w:p w14:paraId="33931E46">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r>
      <w:tr w14:paraId="03E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vAlign w:val="center"/>
          </w:tcPr>
          <w:p w14:paraId="5A81B3EB">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3891" w:type="dxa"/>
            <w:vAlign w:val="center"/>
          </w:tcPr>
          <w:p w14:paraId="3CE02F10">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流式管</w:t>
            </w:r>
          </w:p>
        </w:tc>
        <w:tc>
          <w:tcPr>
            <w:tcW w:w="0" w:type="auto"/>
            <w:vAlign w:val="center"/>
          </w:tcPr>
          <w:p w14:paraId="7F7A59D7">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0" w:type="auto"/>
            <w:vAlign w:val="center"/>
          </w:tcPr>
          <w:p w14:paraId="13D595ED">
            <w:pPr>
              <w:pStyle w:val="11"/>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箱</w:t>
            </w:r>
          </w:p>
        </w:tc>
      </w:tr>
    </w:tbl>
    <w:p w14:paraId="6BA3C46B">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14:paraId="04B3372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1.提供至少5年的免费质保服务，包括设备故障维修、软件升级等。</w:t>
      </w:r>
    </w:p>
    <w:p w14:paraId="6A57BDC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后设立24小时客服热线，确保在设备使用过程中能够及时解决各类问题。</w:t>
      </w:r>
    </w:p>
    <w:p w14:paraId="4318DA6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14:paraId="2B8084F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14:paraId="7C795A0E">
      <w:pPr>
        <w:jc w:val="left"/>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（六）基本要求</w:t>
      </w:r>
    </w:p>
    <w:p w14:paraId="5680CDFC">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w:t>
      </w:r>
      <w:r>
        <w:rPr>
          <w:rFonts w:hint="eastAsia" w:ascii="宋体" w:hAnsi="宋体" w:eastAsia="宋体" w:cs="宋体"/>
          <w:color w:val="000000" w:themeColor="text1"/>
          <w:sz w:val="21"/>
          <w:highlight w:val="none"/>
          <w14:textFill>
            <w14:solidFill>
              <w14:schemeClr w14:val="tx1"/>
            </w14:solidFill>
          </w14:textFill>
        </w:rPr>
        <w:t>（如国家有相关规定）</w:t>
      </w:r>
      <w:r>
        <w:rPr>
          <w:rFonts w:hint="eastAsia" w:ascii="宋体" w:hAnsi="宋体" w:eastAsia="宋体" w:cs="宋体"/>
          <w:color w:val="000000" w:themeColor="text1"/>
          <w:sz w:val="21"/>
          <w:szCs w:val="21"/>
          <w:highlight w:val="none"/>
          <w14:textFill>
            <w14:solidFill>
              <w14:schemeClr w14:val="tx1"/>
            </w14:solidFill>
          </w14:textFill>
        </w:rPr>
        <w:t>。仪器必须具备二类医疗器械所必须的国内审批，</w:t>
      </w:r>
      <w:r>
        <w:rPr>
          <w:rFonts w:hint="eastAsia" w:ascii="宋体" w:hAnsi="宋体" w:eastAsia="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为非订制式；</w:t>
      </w:r>
    </w:p>
    <w:p w14:paraId="77CAA18A">
      <w:pPr>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生产厂家</w:t>
      </w:r>
      <w:r>
        <w:rPr>
          <w:rFonts w:hint="eastAsia" w:ascii="宋体"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与注册证一致，且支持原机≥13个以上荧光检测通道（提供第三方检测报告</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作为</w:t>
      </w:r>
      <w:r>
        <w:rPr>
          <w:rFonts w:hint="eastAsia" w:ascii="宋体" w:hAnsi="宋体" w:eastAsia="宋体" w:cs="宋体"/>
          <w:color w:val="000000" w:themeColor="text1"/>
          <w:sz w:val="21"/>
          <w:szCs w:val="21"/>
          <w:highlight w:val="none"/>
          <w14:textFill>
            <w14:solidFill>
              <w14:schemeClr w14:val="tx1"/>
            </w14:solidFill>
          </w14:textFill>
        </w:rPr>
        <w:t>证明材料，复印件加盖投标人公章）</w:t>
      </w:r>
    </w:p>
    <w:p w14:paraId="266B22FA">
      <w:pPr>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.如投标人为代理经销商，应提供制造商对所投产品的合法授权函。</w:t>
      </w:r>
    </w:p>
    <w:p w14:paraId="403A57ED">
      <w:pPr>
        <w:pStyle w:val="69"/>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（七）其他要求</w:t>
      </w:r>
    </w:p>
    <w:p w14:paraId="36845071">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投标文件中应提供项目实施方案、售后服务方案、培训方案等。</w:t>
      </w:r>
    </w:p>
    <w:p w14:paraId="1082B53D">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14:paraId="016FA5A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14:paraId="3333A06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14:paraId="3CD21D91">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14:paraId="63C51F1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14:paraId="1C467FE9">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14:paraId="57A5DD3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40D32E36">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14:paraId="00A0B53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14:paraId="3055ED62">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14:paraId="6B80849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14:paraId="3C6C99B2">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14:paraId="1C50ED43">
      <w:pPr>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14:paraId="67AADB29">
      <w:pPr>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327281A2">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14:paraId="6DE3E17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14:paraId="5A4C91B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14:paraId="467F7924">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14:paraId="23573B7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14:paraId="6491E2F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14:paraId="45CCD9CB">
      <w:pPr>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14:paraId="5ECC2DE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0%,1.合同的款项以人民币转账方式支付。若属国库支付项目的，其支付时间按财政部相关规定执行。 2.签订合同之日起5个工作日内凭合同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0%发票由采购人向中标人支付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0%合同款；</w:t>
      </w:r>
    </w:p>
    <w:p w14:paraId="5A0A5CCC">
      <w:pPr>
        <w:jc w:val="left"/>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0%,3.合同设备全部到指定地点交付并完成安装及验收后，中标人凭（1）送货单；（2）合同剩余</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0%发票；（3）安装验收报告，由采购人在收到发票后5个工作日内支付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0%合同款给中标人。4.付款方式：银行转账。</w:t>
      </w:r>
    </w:p>
    <w:p w14:paraId="3AF1EEBB">
      <w:pPr>
        <w:pStyle w:val="69"/>
        <w:jc w:val="both"/>
        <w:rPr>
          <w:color w:val="000000" w:themeColor="text1"/>
          <w:highlight w:val="none"/>
          <w14:textFill>
            <w14:solidFill>
              <w14:schemeClr w14:val="tx1"/>
            </w14:solidFill>
          </w14:textFill>
        </w:rPr>
      </w:pPr>
    </w:p>
    <w:p w14:paraId="39C05FCD">
      <w:pPr>
        <w:pStyle w:val="69"/>
        <w:ind w:firstLine="420"/>
        <w:jc w:val="center"/>
        <w:rPr>
          <w:rFonts w:hint="eastAsia" w:eastAsiaTheme="minorEastAsia"/>
          <w:color w:val="000000" w:themeColor="text1"/>
          <w:highlight w:val="none"/>
          <w:lang w:eastAsia="zh-CN"/>
          <w14:textFill>
            <w14:solidFill>
              <w14:schemeClr w14:val="tx1"/>
            </w14:solidFill>
          </w14:textFill>
        </w:rPr>
      </w:pPr>
      <w:r>
        <w:rPr>
          <w:b/>
          <w:color w:val="000000" w:themeColor="text1"/>
          <w:sz w:val="21"/>
          <w:highlight w:val="none"/>
          <w14:textFill>
            <w14:solidFill>
              <w14:schemeClr w14:val="tx1"/>
            </w14:solidFill>
          </w14:textFill>
        </w:rPr>
        <w:t>包2：</w:t>
      </w:r>
      <w:r>
        <w:rPr>
          <w:rFonts w:hint="eastAsia"/>
          <w:b/>
          <w:color w:val="000000" w:themeColor="text1"/>
          <w:sz w:val="21"/>
          <w:highlight w:val="none"/>
          <w:lang w:eastAsia="zh-CN"/>
          <w14:textFill>
            <w14:solidFill>
              <w14:schemeClr w14:val="tx1"/>
            </w14:solidFill>
          </w14:textFill>
        </w:rPr>
        <w:t xml:space="preserve">急性透析和体外血液治疗机 </w:t>
      </w:r>
    </w:p>
    <w:p w14:paraId="3E495A7C">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915"/>
        <w:gridCol w:w="975"/>
        <w:gridCol w:w="1965"/>
        <w:gridCol w:w="1875"/>
      </w:tblGrid>
      <w:tr w14:paraId="11C8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43" w:type="dxa"/>
            <w:vAlign w:val="center"/>
          </w:tcPr>
          <w:p w14:paraId="107477A1">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915" w:type="dxa"/>
            <w:vAlign w:val="center"/>
          </w:tcPr>
          <w:p w14:paraId="7F7B11E5">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75" w:type="dxa"/>
            <w:vAlign w:val="center"/>
          </w:tcPr>
          <w:p w14:paraId="563E57C9">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965" w:type="dxa"/>
            <w:vAlign w:val="center"/>
          </w:tcPr>
          <w:p w14:paraId="252C9A14">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采购预算（万元）</w:t>
            </w:r>
          </w:p>
        </w:tc>
        <w:tc>
          <w:tcPr>
            <w:tcW w:w="1875" w:type="dxa"/>
            <w:vAlign w:val="center"/>
          </w:tcPr>
          <w:p w14:paraId="5D0C5A51">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w:t>
            </w:r>
          </w:p>
        </w:tc>
      </w:tr>
      <w:tr w14:paraId="31CE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643" w:type="dxa"/>
            <w:vAlign w:val="center"/>
          </w:tcPr>
          <w:p w14:paraId="3E21BECA">
            <w:pPr>
              <w:pStyle w:val="18"/>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急性透析和体外血液治疗机</w:t>
            </w:r>
          </w:p>
        </w:tc>
        <w:tc>
          <w:tcPr>
            <w:tcW w:w="915" w:type="dxa"/>
            <w:vAlign w:val="center"/>
          </w:tcPr>
          <w:p w14:paraId="79ED1BCD">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975" w:type="dxa"/>
            <w:vAlign w:val="center"/>
          </w:tcPr>
          <w:p w14:paraId="3A89F655">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965" w:type="dxa"/>
            <w:vAlign w:val="center"/>
          </w:tcPr>
          <w:p w14:paraId="3FF8B086">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875" w:type="dxa"/>
            <w:shd w:val="clear" w:color="auto" w:fill="auto"/>
            <w:vAlign w:val="center"/>
          </w:tcPr>
          <w:p w14:paraId="3196EF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A02329900-其他医疗设备</w:t>
            </w:r>
          </w:p>
        </w:tc>
      </w:tr>
    </w:tbl>
    <w:p w14:paraId="42C470C6">
      <w:pPr>
        <w:pStyle w:val="11"/>
        <w:spacing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14:paraId="674CAEEC">
      <w:pPr>
        <w:pStyle w:val="11"/>
        <w:spacing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（一）项目需执行的国家相关标准、行业标准、地方标准或者其他标准、规范：</w:t>
      </w:r>
      <w:r>
        <w:rPr>
          <w:rFonts w:hint="eastAsia" w:ascii="宋体" w:hAnsi="宋体" w:eastAsia="宋体" w:cs="宋体"/>
          <w:color w:val="000000" w:themeColor="text1"/>
          <w:sz w:val="21"/>
          <w:szCs w:val="21"/>
          <w:highlight w:val="none"/>
          <w14:textFill>
            <w14:solidFill>
              <w14:schemeClr w14:val="tx1"/>
            </w14:solidFill>
          </w14:textFill>
        </w:rPr>
        <w:t>包含且不限于《医疗器械注册管理办法》、《医疗器械唯一标识系统规则》。</w:t>
      </w:r>
    </w:p>
    <w:p w14:paraId="4034BD4E">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（二）项目基本概况介绍</w:t>
      </w:r>
      <w:r>
        <w:rPr>
          <w:rFonts w:hint="eastAsia" w:ascii="宋体" w:hAnsi="宋体" w:eastAsia="宋体" w:cs="宋体"/>
          <w:color w:val="000000" w:themeColor="text1"/>
          <w:sz w:val="21"/>
          <w:szCs w:val="21"/>
          <w:highlight w:val="none"/>
          <w14:textFill>
            <w14:solidFill>
              <w14:schemeClr w14:val="tx1"/>
            </w14:solidFill>
          </w14:textFill>
        </w:rPr>
        <w:t>（项目背景、项目需实现的功能或目标等）</w:t>
      </w:r>
    </w:p>
    <w:p w14:paraId="4251EF96">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本项目设备</w:t>
      </w:r>
      <w:r>
        <w:rPr>
          <w:rFonts w:hint="eastAsia" w:ascii="宋体" w:hAnsi="宋体" w:eastAsia="宋体" w:cs="宋体"/>
          <w:color w:val="000000" w:themeColor="text1"/>
          <w:kern w:val="0"/>
          <w:sz w:val="21"/>
          <w:szCs w:val="21"/>
          <w:highlight w:val="none"/>
          <w14:textFill>
            <w14:solidFill>
              <w14:schemeClr w14:val="tx1"/>
            </w14:solidFill>
          </w14:textFill>
        </w:rPr>
        <w:t>用于</w:t>
      </w:r>
      <w:r>
        <w:rPr>
          <w:rFonts w:hint="eastAsia" w:ascii="宋体" w:hAnsi="宋体" w:eastAsia="宋体" w:cs="宋体"/>
          <w:color w:val="000000" w:themeColor="text1"/>
          <w:sz w:val="21"/>
          <w:szCs w:val="21"/>
          <w:highlight w:val="none"/>
          <w:lang w:val="en-US" w:eastAsia="zh-CN"/>
          <w14:textFill>
            <w14:solidFill>
              <w14:schemeClr w14:val="tx1"/>
            </w14:solidFill>
          </w14:textFill>
        </w:rPr>
        <w:t>危重患者的肾功能支持、代谢废物清除、抗体的清除及内环境稳定，尤其适用于合并多器官功能障碍、血流动力学不稳定或高代谢状态的患者。</w:t>
      </w:r>
    </w:p>
    <w:p w14:paraId="06214380">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（三）参数要求</w:t>
      </w:r>
    </w:p>
    <w:p w14:paraId="1863A45F">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性能先进，可提供全面冶疗方案：</w:t>
      </w:r>
    </w:p>
    <w:p w14:paraId="5A38E18D">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可提供全面治疗方案，满足体外抗凝及临床科研要求</w:t>
      </w:r>
    </w:p>
    <w:p w14:paraId="51C13FD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连续性静—静脉血滤（CVVH）</w:t>
      </w:r>
    </w:p>
    <w:p w14:paraId="05E12009">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连续性静—静脉血透（CVVHD）</w:t>
      </w:r>
    </w:p>
    <w:p w14:paraId="6A42EAD8">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连续性静—静脉血液透析滤过（CVVHDF）</w:t>
      </w:r>
    </w:p>
    <w:p w14:paraId="1500B974">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连续性静—静脉血液透析滤过 前稀释（Pre-CVVHDF）</w:t>
      </w:r>
    </w:p>
    <w:p w14:paraId="4EBB4439">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 连续性静—静脉血液透析滤过 后稀释（Post-CVVHDF）</w:t>
      </w:r>
    </w:p>
    <w:p w14:paraId="509626B8">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 连续性静—静脉血滤 前后同时稀释（Pre-post CVVH）</w:t>
      </w:r>
    </w:p>
    <w:p w14:paraId="319CD05F">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具备枸橼酸抗凝和同步补钙治疗模式（CVVHD/CVVHDF）</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投标文件中提供产品说明书或产品彩页作为证明材料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F7AD673">
      <w:pPr>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提供双重分离治疗，可开展血脂清除及自身免疫抗体复合物清除治疗；</w:t>
      </w:r>
    </w:p>
    <w:p w14:paraId="7B582B43">
      <w:pPr>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提供血液灌流功能。</w:t>
      </w:r>
    </w:p>
    <w:p w14:paraId="720D271A">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流量泵和肝素泵的要求</w:t>
      </w:r>
    </w:p>
    <w:p w14:paraId="1431FFA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1动力泵装置：要求</w:t>
      </w:r>
      <w:r>
        <w:rPr>
          <w:rFonts w:hint="eastAsia"/>
          <w:color w:val="000000" w:themeColor="text1"/>
          <w:highlight w:val="none"/>
          <w:lang w:val="en-US" w:eastAsia="zh-CN"/>
          <w14:textFill>
            <w14:solidFill>
              <w14:schemeClr w14:val="tx1"/>
            </w14:solidFill>
          </w14:textFill>
        </w:rPr>
        <w:t>配备至少</w:t>
      </w:r>
      <w:r>
        <w:rPr>
          <w:rFonts w:hint="eastAsia" w:ascii="宋体" w:hAnsi="宋体" w:eastAsia="宋体" w:cs="宋体"/>
          <w:color w:val="000000" w:themeColor="text1"/>
          <w:sz w:val="21"/>
          <w:szCs w:val="21"/>
          <w:highlight w:val="none"/>
          <w14:textFill>
            <w14:solidFill>
              <w14:schemeClr w14:val="tx1"/>
            </w14:solidFill>
          </w14:textFill>
        </w:rPr>
        <w:t>7个泵，</w:t>
      </w:r>
      <w:r>
        <w:rPr>
          <w:rFonts w:hint="eastAsia" w:ascii="宋体" w:hAnsi="宋体" w:eastAsia="宋体" w:cs="宋体"/>
          <w:color w:val="000000" w:themeColor="text1"/>
          <w:kern w:val="0"/>
          <w:sz w:val="21"/>
          <w:szCs w:val="21"/>
          <w:highlight w:val="none"/>
          <w14:textFill>
            <w14:solidFill>
              <w14:schemeClr w14:val="tx1"/>
            </w14:solidFill>
          </w14:textFill>
        </w:rPr>
        <w:t>血泵、置换液泵、透析液泵、废液泵、内置肝素泵，枸橼酸泵,钙泵,</w:t>
      </w:r>
      <w:r>
        <w:rPr>
          <w:rFonts w:hint="eastAsia" w:ascii="宋体" w:hAnsi="宋体" w:eastAsia="宋体" w:cs="宋体"/>
          <w:color w:val="000000" w:themeColor="text1"/>
          <w:sz w:val="21"/>
          <w:szCs w:val="21"/>
          <w:highlight w:val="none"/>
          <w14:textFill>
            <w14:solidFill>
              <w14:schemeClr w14:val="tx1"/>
            </w14:solidFill>
          </w14:textFill>
        </w:rPr>
        <w:t>和机器一体化设计;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投标文件中提供产品说明书或产品彩页作为证明材料</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DFD049E">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1）血  流  量：≥10～500ml/min</w:t>
      </w:r>
    </w:p>
    <w:p w14:paraId="00076C2C">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2）置换液流量：≥10～80ml/min</w:t>
      </w:r>
    </w:p>
    <w:p w14:paraId="617E9D52">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3）透析液流量：≥10～80ml/min</w:t>
      </w:r>
    </w:p>
    <w:p w14:paraId="0408563F">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4）滤过液流量：≥0～180ml/min</w:t>
      </w:r>
    </w:p>
    <w:p w14:paraId="38AAECDD">
      <w:pPr>
        <w:pStyle w:val="13"/>
        <w:keepNext w:val="0"/>
        <w:keepLines w:val="0"/>
        <w:pageBreakBefore w:val="0"/>
        <w:kinsoku/>
        <w:wordWrap/>
        <w:overflowPunct/>
        <w:topLinePunct w:val="0"/>
        <w:bidi w:val="0"/>
        <w:snapToGrid/>
        <w:spacing w:line="240"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2枸橼酸泵和钙泵必须与机器实现一体化联动, 而不用外接的注射泵, 实时同步，自动计算及精确补充枸橼酸和钙溶液,减少手工操作不精确带来的误差和酸中毒。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投标文件中提供产品说明书或产品彩页作为证明材料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A042ABA">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1）枸椽酸流速：≥10～600ml/h；</w:t>
      </w:r>
    </w:p>
    <w:p w14:paraId="44C093C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2）枸椽酸剂量：≥2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0mmol/L血液； 枸椽酸/血液：增量≤0.1mmol/L</w:t>
      </w:r>
    </w:p>
    <w:p w14:paraId="04DB7B5C">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3）钙流速：</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1～100ml/h</w:t>
      </w:r>
    </w:p>
    <w:p w14:paraId="4F7F0D8A">
      <w:pPr>
        <w:pStyle w:val="13"/>
        <w:keepNext w:val="0"/>
        <w:keepLines w:val="0"/>
        <w:pageBreakBefore w:val="0"/>
        <w:kinsoku/>
        <w:wordWrap/>
        <w:overflowPunct/>
        <w:topLinePunct w:val="0"/>
        <w:bidi w:val="0"/>
        <w:snapToGrid/>
        <w:spacing w:line="240" w:lineRule="auto"/>
        <w:ind w:lef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4）钙剂量：0～3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0mmol/L滤过液；</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钙/滤过液：增量≤0.1mmol/L</w:t>
      </w:r>
      <w:r>
        <w:rPr>
          <w:rFonts w:hint="eastAsia" w:ascii="宋体" w:hAnsi="宋体" w:eastAsia="宋体" w:cs="宋体"/>
          <w:color w:val="000000" w:themeColor="text1"/>
          <w:sz w:val="21"/>
          <w:szCs w:val="21"/>
          <w:highlight w:val="none"/>
          <w:lang w:eastAsia="zh-CN"/>
          <w14:textFill>
            <w14:solidFill>
              <w14:schemeClr w14:val="tx1"/>
            </w14:solidFill>
          </w14:textFill>
        </w:rPr>
        <w:t>；（投标文件中提供产品说明书或产品彩页作为证明材料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382A521">
      <w:pPr>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2.3一体化肝素泵，可选用30</w:t>
      </w:r>
      <w:r>
        <w:rPr>
          <w:rFonts w:hint="eastAsia" w:ascii="宋体" w:hAnsi="宋体" w:eastAsia="宋体" w:cs="宋体"/>
          <w:color w:val="000000" w:themeColor="text1"/>
          <w:sz w:val="21"/>
          <w:szCs w:val="21"/>
          <w:highlight w:val="none"/>
          <w14:textFill>
            <w14:solidFill>
              <w14:schemeClr w14:val="tx1"/>
            </w14:solidFill>
          </w14:textFill>
        </w:rPr>
        <w:t>ml</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ml</w:t>
      </w:r>
      <w:r>
        <w:rPr>
          <w:rFonts w:hint="eastAsia" w:ascii="宋体" w:hAnsi="宋体" w:eastAsia="宋体" w:cs="宋体"/>
          <w:color w:val="000000" w:themeColor="text1"/>
          <w:sz w:val="21"/>
          <w:szCs w:val="21"/>
          <w:highlight w:val="none"/>
          <w:lang w:eastAsia="zh-CN"/>
          <w14:textFill>
            <w14:solidFill>
              <w14:schemeClr w14:val="tx1"/>
            </w14:solidFill>
          </w14:textFill>
        </w:rPr>
        <w:t>规格注射；</w:t>
      </w:r>
    </w:p>
    <w:p w14:paraId="5A88AEE5">
      <w:pPr>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1）注射泵(抗凝剂)连续流速</w:t>
      </w:r>
      <w:r>
        <w:rPr>
          <w:rFonts w:hint="eastAsia" w:ascii="宋体" w:hAnsi="宋体" w:eastAsia="宋体" w:cs="宋体"/>
          <w:color w:val="000000" w:themeColor="text1"/>
          <w:sz w:val="21"/>
          <w:szCs w:val="21"/>
          <w:highlight w:val="none"/>
          <w14:textFill>
            <w14:solidFill>
              <w14:schemeClr w14:val="tx1"/>
            </w14:solidFill>
          </w14:textFill>
        </w:rPr>
        <w:t>≥0.5～25ml/h</w:t>
      </w:r>
      <w:r>
        <w:rPr>
          <w:rFonts w:hint="eastAsia" w:ascii="宋体" w:hAnsi="宋体" w:eastAsia="宋体" w:cs="宋体"/>
          <w:color w:val="000000" w:themeColor="text1"/>
          <w:sz w:val="21"/>
          <w:szCs w:val="21"/>
          <w:highlight w:val="none"/>
          <w:lang w:val="en-US" w:eastAsia="zh-CN"/>
          <w14:textFill>
            <w14:solidFill>
              <w14:schemeClr w14:val="tx1"/>
            </w14:solidFill>
          </w14:textFill>
        </w:rPr>
        <w:t>, 增量：</w:t>
      </w:r>
      <w:r>
        <w:rPr>
          <w:rFonts w:hint="eastAsia" w:ascii="宋体" w:hAnsi="宋体" w:eastAsia="宋体" w:cs="宋体"/>
          <w:color w:val="000000" w:themeColor="text1"/>
          <w:sz w:val="21"/>
          <w:szCs w:val="21"/>
          <w:highlight w:val="none"/>
          <w14:textFill>
            <w14:solidFill>
              <w14:schemeClr w14:val="tx1"/>
            </w14:solidFill>
          </w14:textFill>
        </w:rPr>
        <w:t>≥0.1ml/h；</w:t>
      </w:r>
    </w:p>
    <w:p w14:paraId="28C2C232">
      <w:pPr>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2.4超滤系统</w:t>
      </w:r>
    </w:p>
    <w:p w14:paraId="58603236">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1）采用重量超滤控制系统；</w:t>
      </w:r>
    </w:p>
    <w:p w14:paraId="4DEF68B5">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2）净超滤率≥0-990mL/h （净重损失）增量≤10mL/h；</w:t>
      </w:r>
    </w:p>
    <w:p w14:paraId="54BE94DC">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）净重损失≤10ml/h</w:t>
      </w:r>
    </w:p>
    <w:p w14:paraId="324DF03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监测系统</w:t>
      </w:r>
    </w:p>
    <w:p w14:paraId="22DE6D2F">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1压力监测</w:t>
      </w:r>
    </w:p>
    <w:p w14:paraId="27FDC48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1）输入压力：显示范围≥-300 至 +300 mmHg；精度±10 mmHg；</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317DBC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2）回流压力：显示范围≥-100 至 +500 mmHg；精度±10 mmHg；</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ECDF880">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3）跨 膜 压：显示范围≥-300 至 +520 mmHg；精度±12 mmHg；</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145B340">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4）滤器前压力：测量范围≥-50至+750 mmHg； 精度 ±10 mmHg；</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252B779">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5）空气探测器: 测量方式：超声波传输</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灵敏度：气泡、血液泡沫或微气泡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ED1F00">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6）光学探测器: 测量方式：红外线传输； 功能：探测血液 -无血；</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4E3816E">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7）漏血探测器：测量方式：光学；  灵敏度：≤0.5 mL / min 失血（HCT 32％ 的血液）；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2BEF172">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2安全及防干扰设置</w:t>
      </w:r>
    </w:p>
    <w:p w14:paraId="31C064A4">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1）≥30秒钟内的环境干扰（振动）对平衡系统无影响，无报警；</w:t>
      </w:r>
    </w:p>
    <w:p w14:paraId="082D3E9E">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2）系统电击防护类型</w:t>
      </w:r>
      <w:r>
        <w:rPr>
          <w:rFonts w:hint="eastAsia"/>
          <w:color w:val="000000" w:themeColor="text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达到安全级数I；</w:t>
      </w:r>
    </w:p>
    <w:p w14:paraId="009B34D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▲3）系统电击防护程度</w:t>
      </w:r>
      <w:r>
        <w:rPr>
          <w:rFonts w:hint="eastAsia"/>
          <w:color w:val="000000" w:themeColor="text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达到CF级，可安全、同时使用心脏仪器（包括心电监护仪器、除颤仪等）；（投标文件中提供产品说明书或产品彩页作为证明材料）</w:t>
      </w:r>
    </w:p>
    <w:p w14:paraId="5FA538DB">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4）内置后备电源，在紧急断电的情况下维持≥15分钟，并自动转移至紧急操作模式；</w:t>
      </w:r>
    </w:p>
    <w:p w14:paraId="4620E089">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系统结构</w:t>
      </w:r>
    </w:p>
    <w:p w14:paraId="1DE9D7DD">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1配置≥15”,彩色液晶</w:t>
      </w:r>
      <w:r>
        <w:rPr>
          <w:rFonts w:hint="eastAsia"/>
          <w:color w:val="000000" w:themeColor="text1"/>
          <w:highlight w:val="none"/>
          <w:lang w:val="en-US" w:eastAsia="zh-CN"/>
          <w14:textFill>
            <w14:solidFill>
              <w14:schemeClr w14:val="tx1"/>
            </w14:solidFill>
          </w14:textFill>
        </w:rPr>
        <w:t>触摸医用监视器</w:t>
      </w:r>
      <w:r>
        <w:rPr>
          <w:rFonts w:hint="eastAsia" w:ascii="宋体" w:hAnsi="宋体" w:eastAsia="宋体" w:cs="宋体"/>
          <w:color w:val="000000" w:themeColor="text1"/>
          <w:sz w:val="21"/>
          <w:szCs w:val="21"/>
          <w:highlight w:val="none"/>
          <w14:textFill>
            <w14:solidFill>
              <w14:schemeClr w14:val="tx1"/>
            </w14:solidFill>
          </w14:textFill>
        </w:rPr>
        <w:t>，清晰显示操作指南；投标文件中提供产品说明书或产品彩页作为证明材料）</w:t>
      </w:r>
    </w:p>
    <w:p w14:paraId="66A6D42E">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w:t>
      </w:r>
      <w:r>
        <w:rPr>
          <w:rFonts w:hint="eastAsia" w:ascii="宋体" w:hAnsi="宋体" w:eastAsia="宋体" w:cs="宋体"/>
          <w:color w:val="000000" w:themeColor="text1"/>
          <w:sz w:val="21"/>
          <w:szCs w:val="21"/>
          <w:highlight w:val="none"/>
          <w14:textFill>
            <w14:solidFill>
              <w14:schemeClr w14:val="tx1"/>
            </w14:solidFill>
          </w14:textFill>
        </w:rPr>
        <w:t>有智能软件，可在线辅助操作、分析报警原因并提供解决故障的方案；</w:t>
      </w:r>
    </w:p>
    <w:p w14:paraId="1852BF44">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3开机自动校准、检测，并可在治疗过程中进行周期性的核对校准；</w:t>
      </w:r>
    </w:p>
    <w:p w14:paraId="33E9D20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4平衡系统</w:t>
      </w:r>
    </w:p>
    <w:p w14:paraId="333374E3">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▲1）具备≥4个称重天平，分别为:置换液秤、透析液秤、滤过液秤1、滤过液称2；对每个液体进行单独称重,达到液体的精准控制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（投标文件中提供产品说明书或产品彩页作为证明材料）</w:t>
      </w:r>
    </w:p>
    <w:p w14:paraId="07D377C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▲2）称放置换液、透析液的天平位置于机器上端，称放滤过液的天平位于机器下端，严格防止院感。（</w:t>
      </w:r>
      <w:r>
        <w:rPr>
          <w:rFonts w:hint="eastAsia"/>
          <w:color w:val="000000" w:themeColor="text1"/>
          <w:highlight w:val="none"/>
          <w:lang w:val="en-US" w:eastAsia="zh-CN"/>
          <w14:textFill>
            <w14:solidFill>
              <w14:schemeClr w14:val="tx1"/>
            </w14:solidFill>
          </w14:textFill>
        </w:rPr>
        <w:t>投标文件中提供产品说明书或产品彩页作为证明材料</w:t>
      </w:r>
      <w:r>
        <w:rPr>
          <w:rFonts w:hint="eastAsia" w:ascii="宋体" w:hAnsi="宋体" w:eastAsia="宋体" w:cs="宋体"/>
          <w:color w:val="000000" w:themeColor="text1"/>
          <w:sz w:val="21"/>
          <w:szCs w:val="21"/>
          <w:highlight w:val="none"/>
          <w14:textFill>
            <w14:solidFill>
              <w14:schemeClr w14:val="tx1"/>
            </w14:solidFill>
          </w14:textFill>
        </w:rPr>
        <w:t>）</w:t>
      </w:r>
    </w:p>
    <w:p w14:paraId="3DC7C8E3">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3）称重天平在治疗过程中需有周期性的平衡测试，从而保证平衡系统的动态准确性；</w:t>
      </w:r>
    </w:p>
    <w:p w14:paraId="60690060">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▲4）每个称重天平的最大负荷达到≥12 Kg；（</w:t>
      </w:r>
      <w:r>
        <w:rPr>
          <w:rFonts w:hint="eastAsia"/>
          <w:color w:val="000000" w:themeColor="text1"/>
          <w:highlight w:val="none"/>
          <w:lang w:val="en-US" w:eastAsia="zh-CN"/>
          <w14:textFill>
            <w14:solidFill>
              <w14:schemeClr w14:val="tx1"/>
            </w14:solidFill>
          </w14:textFill>
        </w:rPr>
        <w:t>投标文件中提供产品说明书或产品彩页作为证明材料</w:t>
      </w:r>
      <w:r>
        <w:rPr>
          <w:rFonts w:hint="eastAsia" w:ascii="宋体" w:hAnsi="宋体" w:eastAsia="宋体" w:cs="宋体"/>
          <w:color w:val="000000" w:themeColor="text1"/>
          <w:sz w:val="21"/>
          <w:szCs w:val="21"/>
          <w:highlight w:val="none"/>
          <w14:textFill>
            <w14:solidFill>
              <w14:schemeClr w14:val="tx1"/>
            </w14:solidFill>
          </w14:textFill>
        </w:rPr>
        <w:t>）</w:t>
      </w:r>
    </w:p>
    <w:p w14:paraId="37A60761">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▲5）一次性可装载透析液/置换液达到≥24 Kg；（投标文件中提供产品说明书或产品彩页作为证明材料）</w:t>
      </w:r>
    </w:p>
    <w:p w14:paraId="60218734">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6）滤过液袋最大在机容量达到≥20 L；</w:t>
      </w:r>
    </w:p>
    <w:p w14:paraId="292F77BA">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7）24小时总置换液量误差≤100ml或≤1%；</w:t>
      </w:r>
    </w:p>
    <w:p w14:paraId="59EC754D">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5加热系统</w:t>
      </w:r>
    </w:p>
    <w:p w14:paraId="522F7633">
      <w:pPr>
        <w:pStyle w:val="11"/>
        <w:keepNext w:val="0"/>
        <w:keepLines w:val="0"/>
        <w:pageBreakBefore w:val="0"/>
        <w:kinsoku/>
        <w:wordWrap/>
        <w:overflowPunct/>
        <w:topLinePunct w:val="0"/>
        <w:bidi w:val="0"/>
        <w:snapToGrid/>
        <w:spacing w:line="240" w:lineRule="auto"/>
        <w:ind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▲1）具备独立的</w:t>
      </w:r>
      <w:r>
        <w:rPr>
          <w:rFonts w:hint="eastAsia"/>
          <w:color w:val="000000" w:themeColor="text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两个囊式加热系统，可直接、同时加热置换液和透析液，温度可控；（投标文件中提供产品说明书或产品彩页作为证明材料）</w:t>
      </w:r>
    </w:p>
    <w:p w14:paraId="29BB1101">
      <w:pPr>
        <w:pStyle w:val="11"/>
        <w:keepNext w:val="0"/>
        <w:keepLines w:val="0"/>
        <w:pageBreakBefore w:val="0"/>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置换液/透析液温度范围：≤35～39度, 可调；</w:t>
      </w:r>
    </w:p>
    <w:p w14:paraId="6267BB9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耗材:</w:t>
      </w:r>
    </w:p>
    <w:p w14:paraId="7FA2D98D">
      <w:pPr>
        <w:pStyle w:val="13"/>
        <w:keepNext w:val="0"/>
        <w:keepLines w:val="0"/>
        <w:pageBreakBefore w:val="0"/>
        <w:kinsoku/>
        <w:wordWrap/>
        <w:overflowPunct/>
        <w:topLinePunct w:val="0"/>
        <w:bidi w:val="0"/>
        <w:snapToGrid/>
        <w:spacing w:line="240"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1采用开放式盒装管路系统，管路自动安装，可以自由选择血液滤器；</w:t>
      </w:r>
    </w:p>
    <w:p w14:paraId="70E2A53E">
      <w:pPr>
        <w:pStyle w:val="13"/>
        <w:keepNext w:val="0"/>
        <w:keepLines w:val="0"/>
        <w:pageBreakBefore w:val="0"/>
        <w:kinsoku/>
        <w:wordWrap/>
        <w:overflowPunct/>
        <w:topLinePunct w:val="0"/>
        <w:bidi w:val="0"/>
        <w:snapToGrid/>
        <w:spacing w:line="240"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2配套盒装管路 HD（动/静脉管路系统，滤过液管路系统，透析液管路系统，枸橼酸管路于动脉管路系统及钙剂管路系统）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HDF（动/静脉管路系统，滤过液管路系统，透析液管路系统，置换液管路系统，枸橼酸管路于动脉管路系统及钙剂管路系统）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HDF (动/静脉管路系统，滤过液管路系统，透析液管路系统，置换液管路系统）带接头，便于与各种滤器连接；</w:t>
      </w:r>
    </w:p>
    <w:p w14:paraId="3CA2B71B">
      <w:pPr>
        <w:pStyle w:val="13"/>
        <w:keepNext w:val="0"/>
        <w:keepLines w:val="0"/>
        <w:pageBreakBefore w:val="0"/>
        <w:kinsoku/>
        <w:wordWrap/>
        <w:overflowPunct/>
        <w:topLinePunct w:val="0"/>
        <w:bidi w:val="0"/>
        <w:snapToGrid/>
        <w:spacing w:line="240"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w:t>
      </w:r>
      <w:r>
        <w:rPr>
          <w:rFonts w:hint="eastAsia" w:ascii="宋体" w:hAnsi="宋体" w:eastAsia="宋体" w:cs="宋体"/>
          <w:color w:val="000000" w:themeColor="text1"/>
          <w:sz w:val="21"/>
          <w:szCs w:val="21"/>
          <w:highlight w:val="none"/>
          <w14:textFill>
            <w14:solidFill>
              <w14:schemeClr w14:val="tx1"/>
            </w14:solidFill>
          </w14:textFill>
        </w:rPr>
        <w:t>采用配套使用的废液袋采集废液；</w:t>
      </w:r>
    </w:p>
    <w:p w14:paraId="75F84DC2">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其它功能</w:t>
      </w:r>
    </w:p>
    <w:p w14:paraId="7720E67F">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1全自动安装管路，全自动预冲管路；</w:t>
      </w:r>
    </w:p>
    <w:p w14:paraId="32CB0915">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2开机自动校准、检测，并可在治疗过程中进行周期性的核对校准；</w:t>
      </w:r>
    </w:p>
    <w:p w14:paraId="35349E41">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3可以自由选择前稀释或后稀释；</w:t>
      </w:r>
    </w:p>
    <w:p w14:paraId="1286DC41">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4可以预先设定频繁使用的特殊治疗参数，使操控简单化；</w:t>
      </w:r>
    </w:p>
    <w:p w14:paraId="37C619A6">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pacing w:val="-6"/>
          <w:sz w:val="21"/>
          <w:szCs w:val="21"/>
          <w:highlight w:val="none"/>
          <w14:textFill>
            <w14:solidFill>
              <w14:schemeClr w14:val="tx1"/>
            </w14:solidFill>
          </w14:textFill>
        </w:rPr>
        <w:t>血泵自动装管，并在显示屏上清晰的显示出管路的流程路径、注解，并以不同颜色区分标识；</w:t>
      </w:r>
    </w:p>
    <w:p w14:paraId="3C528FEE">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6与治疗相关的参数、治疗记录及报警记录持续保持≥48小时；</w:t>
      </w:r>
    </w:p>
    <w:p w14:paraId="568287F9">
      <w:pPr>
        <w:pStyle w:val="11"/>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7治疗数据以图表方式显示。</w:t>
      </w:r>
    </w:p>
    <w:p w14:paraId="70BE19C5">
      <w:pPr>
        <w:keepNext w:val="0"/>
        <w:keepLines w:val="0"/>
        <w:pageBreakBefore w:val="0"/>
        <w:widowControl/>
        <w:tabs>
          <w:tab w:val="left" w:pos="420"/>
        </w:tabs>
        <w:kinsoku/>
        <w:wordWrap/>
        <w:overflowPunct/>
        <w:topLinePunct w:val="0"/>
        <w:bidi w:val="0"/>
        <w:snapToGrid/>
        <w:spacing w:line="240" w:lineRule="auto"/>
        <w:textAlignment w:val="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（四）配置清单</w:t>
      </w:r>
    </w:p>
    <w:p w14:paraId="17B1BEB5">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 </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15英寸可调节触摸屏医用监视器</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7D0A2FBC">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血泵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45134FCB">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超滤液泵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24A530A2">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置换液泵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4D3B6363">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透析液泵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1EFAFD1E">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肝素泵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33E3200F">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7.一体化</w:t>
      </w:r>
      <w:r>
        <w:rPr>
          <w:rFonts w:hint="eastAsia" w:ascii="宋体" w:hAnsi="宋体" w:eastAsia="宋体" w:cs="宋体"/>
          <w:color w:val="000000" w:themeColor="text1"/>
          <w:kern w:val="0"/>
          <w:sz w:val="21"/>
          <w:szCs w:val="21"/>
          <w:highlight w:val="none"/>
          <w14:textFill>
            <w14:solidFill>
              <w14:schemeClr w14:val="tx1"/>
            </w14:solidFill>
          </w14:textFill>
        </w:rPr>
        <w:t>枸橼酸泵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68CA00CE">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8.一体化</w:t>
      </w:r>
      <w:r>
        <w:rPr>
          <w:rFonts w:hint="eastAsia" w:ascii="宋体" w:hAnsi="宋体" w:eastAsia="宋体" w:cs="宋体"/>
          <w:color w:val="000000" w:themeColor="text1"/>
          <w:kern w:val="0"/>
          <w:sz w:val="21"/>
          <w:szCs w:val="21"/>
          <w:highlight w:val="none"/>
          <w14:textFill>
            <w14:solidFill>
              <w14:schemeClr w14:val="tx1"/>
            </w14:solidFill>
          </w14:textFill>
        </w:rPr>
        <w:t>钙泵</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344E0A17">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液体平衡称重系统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1套</w:t>
      </w:r>
    </w:p>
    <w:p w14:paraId="24DCD3C6">
      <w:pPr>
        <w:keepNext w:val="0"/>
        <w:keepLines w:val="0"/>
        <w:pageBreakBefore w:val="0"/>
        <w:widowControl/>
        <w:tabs>
          <w:tab w:val="left" w:pos="420"/>
        </w:tabs>
        <w:kinsoku/>
        <w:wordWrap/>
        <w:overflowPunct/>
        <w:topLinePunct w:val="0"/>
        <w:bidi w:val="0"/>
        <w:snapToGrid/>
        <w:spacing w:line="240" w:lineRule="auto"/>
        <w:textAlignment w:val="auto"/>
        <w:rPr>
          <w:rStyle w:val="26"/>
          <w:rFonts w:hint="eastAsia" w:ascii="宋体" w:hAnsi="宋体" w:eastAsia="宋体" w:cs="宋体"/>
          <w:b w:val="0"/>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电休克保护级别标识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1个</w:t>
      </w:r>
    </w:p>
    <w:p w14:paraId="539C5B29">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（五）质保期及售后服务要求</w:t>
      </w:r>
    </w:p>
    <w:p w14:paraId="20D419BC">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1.提供至少3年的免费质保服务，包括设备故障维修、软件升级等。</w:t>
      </w:r>
    </w:p>
    <w:p w14:paraId="557CAB93">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后设立24小时客服热线，确保在设备使用过程中能够及时解决各类问题。</w:t>
      </w:r>
    </w:p>
    <w:p w14:paraId="30DF5518">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3.提供每季度至少一次的设备巡检和维护服务，确保设备长期稳定运行。</w:t>
      </w:r>
    </w:p>
    <w:p w14:paraId="768ECD06">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4.提供完善的培训和技术支持服务，确保医护人员能够熟练掌握设备操作。</w:t>
      </w:r>
    </w:p>
    <w:p w14:paraId="0DB9CB7D">
      <w:pPr>
        <w:widowControl/>
        <w:tabs>
          <w:tab w:val="left" w:pos="420"/>
        </w:tabs>
        <w:spacing w:line="240" w:lineRule="auto"/>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Style w:val="26"/>
          <w:rFonts w:hint="eastAsia" w:ascii="宋体" w:hAnsi="宋体" w:eastAsia="宋体" w:cs="宋体"/>
          <w:color w:val="000000" w:themeColor="text1"/>
          <w:sz w:val="21"/>
          <w:szCs w:val="21"/>
          <w:highlight w:val="none"/>
          <w:shd w:val="clear" w:color="auto" w:fill="FDFDF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六）基本要求</w:t>
      </w:r>
    </w:p>
    <w:p w14:paraId="70D787F6">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★1.所投设备具有有效的医疗器械注册证明</w:t>
      </w:r>
      <w:r>
        <w:rPr>
          <w:rFonts w:hint="eastAsia" w:ascii="宋体" w:hAnsi="宋体" w:eastAsia="宋体" w:cs="宋体"/>
          <w:color w:val="000000" w:themeColor="text1"/>
          <w:sz w:val="21"/>
          <w:highlight w:val="none"/>
          <w14:textFill>
            <w14:solidFill>
              <w14:schemeClr w14:val="tx1"/>
            </w14:solidFill>
          </w14:textFill>
        </w:rPr>
        <w:t>（如国家有相关规定）</w:t>
      </w:r>
      <w:r>
        <w:rPr>
          <w:rFonts w:hint="eastAsia" w:ascii="宋体" w:hAnsi="宋体" w:eastAsia="宋体" w:cs="宋体"/>
          <w:color w:val="000000" w:themeColor="text1"/>
          <w:sz w:val="21"/>
          <w:szCs w:val="21"/>
          <w:highlight w:val="none"/>
          <w14:textFill>
            <w14:solidFill>
              <w14:schemeClr w14:val="tx1"/>
            </w14:solidFill>
          </w14:textFill>
        </w:rPr>
        <w:t>。</w:t>
      </w:r>
    </w:p>
    <w:p w14:paraId="7DDAD6FD">
      <w:pPr>
        <w:spacing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▲2.如投标人为代理经销商，应提供制造商对所投产品的合法授权函。</w:t>
      </w:r>
    </w:p>
    <w:p w14:paraId="3F393ABF">
      <w:pPr>
        <w:pStyle w:val="69"/>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（七）其他要求</w:t>
      </w:r>
    </w:p>
    <w:p w14:paraId="36EB934C">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投标文件中应提供项目实施方案、售后服务方案、培训方案等。</w:t>
      </w:r>
    </w:p>
    <w:p w14:paraId="26A6BBA7">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p>
    <w:p w14:paraId="4B1D9E90">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二、交货要求</w:t>
      </w:r>
    </w:p>
    <w:p w14:paraId="0BEFB4A4">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（一）交货期：合同签订后收到采购人供货通知后30日历天内交货、安装、调试。</w:t>
      </w:r>
    </w:p>
    <w:p w14:paraId="1CC69611">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（二）交货地点：广州市第一人民医院（采购人指定地点）。中标人需按有关标准提供货物的包装，并采用恰当的方式将货物运抵交货地点。</w:t>
      </w:r>
    </w:p>
    <w:p w14:paraId="6BF5C583">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三、包装、运输及到货检验</w:t>
      </w:r>
    </w:p>
    <w:p w14:paraId="7E5834DB">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1.设备需由原厂包装，包装箱内需有下列随箱资料：产品合格证（包括出厂试验数据）、产品使用说明书、随箱清单等。</w:t>
      </w:r>
    </w:p>
    <w:p w14:paraId="009CC724">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2.中标人负责所有设备从出厂到安装现场的运输。</w:t>
      </w:r>
    </w:p>
    <w:p w14:paraId="07BC43D7">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14:paraId="71DDFB82">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四、安装调试要求</w:t>
      </w:r>
    </w:p>
    <w:p w14:paraId="2679F84E">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1.安装和调试应由具备相应资质和能力的专业技术人员执行，确保设备的正确安装和功能的正常发挥。</w:t>
      </w:r>
    </w:p>
    <w:p w14:paraId="5E62A714">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2.安装前应确保产品名称、型号、规格、生产企业信息、医疗器械注册证编号等信息明确无误。</w:t>
      </w:r>
    </w:p>
    <w:p w14:paraId="1343A1CB">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3.在安装和调试过程中，必须遵守相应的操作规程和标准，以确保过程的准确性和可靠性。</w:t>
      </w:r>
    </w:p>
    <w:p w14:paraId="57F76449">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4.在验收过程中，应有详细的报告记录测试和调试的结果，确保所有功能都符合规定的要求。</w:t>
      </w:r>
    </w:p>
    <w:p w14:paraId="188BEA4D">
      <w:pPr>
        <w:spacing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五、验收要求和验收标准</w:t>
      </w:r>
    </w:p>
    <w:p w14:paraId="1C9C4986">
      <w:pPr>
        <w:widowControl/>
        <w:tabs>
          <w:tab w:val="left" w:pos="420"/>
        </w:tabs>
        <w:spacing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shd w:val="clear" w:color="auto" w:fill="FDFDF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72DA5FF0">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六、培训要求</w:t>
      </w:r>
    </w:p>
    <w:p w14:paraId="3B6481AA">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1.须提供设备使用维护培训，使采购人使用人员能掌握设备的结构原理、检修方法与操作要点。</w:t>
      </w:r>
    </w:p>
    <w:p w14:paraId="493C092A">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2.培训应包括医疗设备的安全使用知识，包括设备的使用期限、禁忌、注意事项等。</w:t>
      </w:r>
    </w:p>
    <w:p w14:paraId="2D0BA73E">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3.培训内容应涵盖设备的维护和保养方法，以及特殊运输、贮存的条件和方法。</w:t>
      </w:r>
    </w:p>
    <w:p w14:paraId="5D374204">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4.培训应包括设备故障和问题应急处理，以便在紧急情况下能够迅速有效地采取措施。</w:t>
      </w:r>
    </w:p>
    <w:p w14:paraId="4D8A5818">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5.培训应包括对医疗器械质量控制的理解和实践，确保设备在使用过程中的质量和性能。</w:t>
      </w:r>
    </w:p>
    <w:p w14:paraId="67277316">
      <w:pPr>
        <w:spacing w:line="240" w:lineRule="auto"/>
        <w:jc w:val="left"/>
        <w:rPr>
          <w:rFonts w:hint="eastAsia" w:ascii="宋体" w:hAnsi="宋体" w:eastAsia="宋体" w:cs="宋体"/>
          <w:b/>
          <w:bCs/>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14:paraId="7988FC3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0%,1.合同的款项以人民币转账方式支付。若属国库支付项目的，其支付时间按财政部相关规定执行。 2.签订合同之日起5个工作日内凭合同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0%发票由采购人向中标人支付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0%合同款；</w:t>
      </w:r>
    </w:p>
    <w:p w14:paraId="16397FB0">
      <w:pPr>
        <w:widowControl/>
        <w:tabs>
          <w:tab w:val="left" w:pos="420"/>
        </w:tabs>
        <w:spacing w:line="240" w:lineRule="auto"/>
        <w:rPr>
          <w:rFonts w:hint="eastAsia" w:ascii="宋体" w:hAnsi="宋体" w:eastAsia="宋体" w:cs="宋体"/>
          <w:color w:val="000000" w:themeColor="text1"/>
          <w:sz w:val="21"/>
          <w:szCs w:val="21"/>
          <w:highlight w:val="none"/>
          <w:shd w:val="clear" w:color="auto" w:fill="FDFDF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0%,3.合同设备全部到指定地点交付并完成安装及验收后，中标人凭（1）送货单；（2）合同剩余</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0%发票；（3）安装验收报告，由采购人在收到发票后5个工作日内支付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0%合同款给中标人。4.付款方式：银行转账。</w:t>
      </w:r>
    </w:p>
    <w:p w14:paraId="2964D89E">
      <w:pPr>
        <w:pStyle w:val="69"/>
        <w:jc w:val="both"/>
        <w:rPr>
          <w:color w:val="000000" w:themeColor="text1"/>
          <w:highlight w:val="none"/>
          <w14:textFill>
            <w14:solidFill>
              <w14:schemeClr w14:val="tx1"/>
            </w14:solidFill>
          </w14:textFill>
        </w:rPr>
      </w:pPr>
    </w:p>
    <w:p w14:paraId="35F463E6">
      <w:pPr>
        <w:pStyle w:val="69"/>
        <w:spacing w:after="165"/>
        <w:ind w:firstLine="420"/>
        <w:jc w:val="center"/>
        <w:rPr>
          <w:b/>
          <w:color w:val="000000" w:themeColor="text1"/>
          <w:sz w:val="21"/>
          <w:highlight w:val="none"/>
          <w14:textFill>
            <w14:solidFill>
              <w14:schemeClr w14:val="tx1"/>
            </w14:solidFill>
          </w14:textFill>
        </w:rPr>
      </w:pPr>
    </w:p>
    <w:p w14:paraId="4C2A2794">
      <w:pPr>
        <w:pStyle w:val="69"/>
        <w:spacing w:after="165"/>
        <w:ind w:firstLine="420"/>
        <w:jc w:val="center"/>
        <w:rPr>
          <w:rFonts w:hint="eastAsia" w:eastAsiaTheme="minorEastAsia"/>
          <w:color w:val="000000" w:themeColor="text1"/>
          <w:highlight w:val="none"/>
          <w:lang w:eastAsia="zh-CN"/>
          <w14:textFill>
            <w14:solidFill>
              <w14:schemeClr w14:val="tx1"/>
            </w14:solidFill>
          </w14:textFill>
        </w:rPr>
      </w:pPr>
      <w:r>
        <w:rPr>
          <w:b/>
          <w:color w:val="000000" w:themeColor="text1"/>
          <w:sz w:val="21"/>
          <w:highlight w:val="none"/>
          <w14:textFill>
            <w14:solidFill>
              <w14:schemeClr w14:val="tx1"/>
            </w14:solidFill>
          </w14:textFill>
        </w:rPr>
        <w:t>包3：</w:t>
      </w:r>
      <w:r>
        <w:rPr>
          <w:rFonts w:hint="eastAsia"/>
          <w:b/>
          <w:color w:val="000000" w:themeColor="text1"/>
          <w:sz w:val="21"/>
          <w:highlight w:val="none"/>
          <w:lang w:eastAsia="zh-CN"/>
          <w14:textFill>
            <w14:solidFill>
              <w14:schemeClr w14:val="tx1"/>
            </w14:solidFill>
          </w14:textFill>
        </w:rPr>
        <w:t>血细胞分离机</w:t>
      </w:r>
    </w:p>
    <w:p w14:paraId="1014C228">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一、采购需求</w:t>
      </w:r>
    </w:p>
    <w:tbl>
      <w:tblPr>
        <w:tblStyle w:val="23"/>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35"/>
        <w:gridCol w:w="810"/>
        <w:gridCol w:w="2055"/>
        <w:gridCol w:w="2638"/>
      </w:tblGrid>
      <w:tr w14:paraId="2279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70" w:type="dxa"/>
            <w:vAlign w:val="center"/>
          </w:tcPr>
          <w:p w14:paraId="0EE801E2">
            <w:pPr>
              <w:spacing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标的名称</w:t>
            </w:r>
          </w:p>
        </w:tc>
        <w:tc>
          <w:tcPr>
            <w:tcW w:w="735" w:type="dxa"/>
            <w:vAlign w:val="center"/>
          </w:tcPr>
          <w:p w14:paraId="535DBE4D">
            <w:pPr>
              <w:spacing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810" w:type="dxa"/>
            <w:vAlign w:val="center"/>
          </w:tcPr>
          <w:p w14:paraId="233FA1A0">
            <w:pPr>
              <w:spacing w:line="24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2055" w:type="dxa"/>
            <w:vAlign w:val="center"/>
          </w:tcPr>
          <w:p w14:paraId="785215E5">
            <w:pPr>
              <w:pStyle w:val="69"/>
              <w:spacing w:after="0" w:line="240" w:lineRule="auto"/>
              <w:jc w:val="cente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采购预算（万元）</w:t>
            </w:r>
          </w:p>
        </w:tc>
        <w:tc>
          <w:tcPr>
            <w:tcW w:w="2638" w:type="dxa"/>
            <w:vAlign w:val="center"/>
          </w:tcPr>
          <w:p w14:paraId="2AF47549">
            <w:pPr>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品目</w:t>
            </w:r>
          </w:p>
        </w:tc>
      </w:tr>
      <w:tr w14:paraId="2D89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70" w:type="dxa"/>
            <w:vAlign w:val="center"/>
          </w:tcPr>
          <w:p w14:paraId="78A0CDFF">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血细胞分离机</w:t>
            </w:r>
          </w:p>
        </w:tc>
        <w:tc>
          <w:tcPr>
            <w:tcW w:w="735" w:type="dxa"/>
            <w:vAlign w:val="center"/>
          </w:tcPr>
          <w:p w14:paraId="25E13A60">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810" w:type="dxa"/>
            <w:vAlign w:val="center"/>
          </w:tcPr>
          <w:p w14:paraId="1A551106">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055" w:type="dxa"/>
            <w:vAlign w:val="center"/>
          </w:tcPr>
          <w:p w14:paraId="6AFB77D6">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38 </w:t>
            </w:r>
          </w:p>
        </w:tc>
        <w:tc>
          <w:tcPr>
            <w:tcW w:w="2638" w:type="dxa"/>
            <w:shd w:val="clear" w:color="auto" w:fill="auto"/>
            <w:vAlign w:val="center"/>
          </w:tcPr>
          <w:p w14:paraId="60EE97B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A02322100体外循环设备</w:t>
            </w:r>
          </w:p>
        </w:tc>
      </w:tr>
    </w:tbl>
    <w:p w14:paraId="2690FD12">
      <w:pPr>
        <w:pStyle w:val="11"/>
        <w:spacing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报价包含各项税费、交通运输费、保险、装卸费、安装等合同实施过程中应预见或不可预见费用等所有费用。</w:t>
      </w:r>
    </w:p>
    <w:p w14:paraId="77A620D0">
      <w:pPr>
        <w:keepNext w:val="0"/>
        <w:keepLines w:val="0"/>
        <w:widowControl/>
        <w:suppressLineNumbers w:val="0"/>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 xml:space="preserve">（一）项目需执行的国家相关标准、行业标准、地方标准或者其他标准、规范： </w:t>
      </w:r>
    </w:p>
    <w:p w14:paraId="2748B1D6">
      <w:pPr>
        <w:keepNext w:val="0"/>
        <w:keepLines w:val="0"/>
        <w:widowControl/>
        <w:suppressLineNumbers w:val="0"/>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包含且不限于《医疗器械注册管理办法》、《医疗器械唯一标识系统规则》。</w:t>
      </w:r>
    </w:p>
    <w:p w14:paraId="06B8CECF">
      <w:pPr>
        <w:spacing w:line="24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）项目基本概况介绍</w:t>
      </w:r>
    </w:p>
    <w:p w14:paraId="5881B137">
      <w:pPr>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kern w:val="0"/>
          <w:sz w:val="21"/>
          <w:szCs w:val="21"/>
          <w:highlight w:val="none"/>
          <w14:textFill>
            <w14:solidFill>
              <w14:schemeClr w14:val="tx1"/>
            </w14:solidFill>
          </w14:textFill>
        </w:rPr>
        <w:t>用于</w:t>
      </w:r>
    </w:p>
    <w:p w14:paraId="7000907C">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1.富血小板血浆PRP采集用于创伤骨科、康复科、整形美容科、皮肤科等的治疗；</w:t>
      </w:r>
    </w:p>
    <w:p w14:paraId="7DE2EDF1">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2.血液异常成分的纠正：移植物抗宿主反应时的抗体祛除，细胞因子风暴的抗体祛除，血浆置换治疗神经内科的格林巴利患者、全血浆置换、半血浆置换术、淋巴血浆置换术；</w:t>
      </w:r>
    </w:p>
    <w:p w14:paraId="2CFD76D2">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3.单个核细胞采集、免疫细胞的采集与白细胞祛除、干细胞治疗骨不连；</w:t>
      </w:r>
    </w:p>
    <w:p w14:paraId="38112CE9">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4.血浆吸附治疗自身性免疫疾病、脑卒中吸附脂肪等。</w:t>
      </w:r>
    </w:p>
    <w:p w14:paraId="699BF5F3">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）参数要求</w:t>
      </w:r>
    </w:p>
    <w:p w14:paraId="78956A40">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1.全血流速范围：10-120ml/min。（最低流速达约10ml/min，保证安全用于低体重儿童）。</w:t>
      </w:r>
    </w:p>
    <w:p w14:paraId="70320767">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▲2.血浆置换组件体外循环量：≤180ml，最低循环血量≤120ml。</w:t>
      </w:r>
    </w:p>
    <w:p w14:paraId="1E88D60C">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▲3.单个核细胞采集功能、白细胞去除、血浆置换功能、红细胞采集、血小板采集功能、血浆吸附功能、PRP制备、骨髓淘洗功能；（投标文件中提供产品说明书或产品彩页作为证明材料）。</w:t>
      </w:r>
    </w:p>
    <w:p w14:paraId="58BEE468">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4.离心机转数不大于2200转/分钟，并且可以调节离心机转速。</w:t>
      </w:r>
    </w:p>
    <w:p w14:paraId="268EEE3B">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5.工作方式：同时具备单针采集、双针全血连续流动式分离模式。</w:t>
      </w:r>
    </w:p>
    <w:p w14:paraId="7CEC0644">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▲6.CD34＋采集效率最大可达≥92%。</w:t>
      </w:r>
    </w:p>
    <w:p w14:paraId="473F5686">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▲7.血浆置换效率最大可达≥87%。</w:t>
      </w:r>
    </w:p>
    <w:p w14:paraId="1783E2F1">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color w:val="000000" w:themeColor="text1"/>
          <w:highlight w:val="none"/>
          <w14:textFill>
            <w14:solidFill>
              <w14:schemeClr w14:val="tx1"/>
            </w14:solidFill>
          </w14:textFill>
        </w:rPr>
        <w:t>至少具备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五泵系统，设有独立抗凝剂泵，全自动计算并控制抗凝剂剂量，抗凝剂全血比例调节范围不超过：1:6～1:25。</w:t>
      </w:r>
    </w:p>
    <w:p w14:paraId="0CEE0720">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9.血小板丢失数量可调节控制，血小板采集浓度0-10000⁹个/L可以调节。</w:t>
      </w:r>
    </w:p>
    <w:p w14:paraId="1BF6391D">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▲10.具备单针血小板采集功能及对应的注册的耗材及程序，在说明书体现。</w:t>
      </w:r>
    </w:p>
    <w:p w14:paraId="0793137D">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至少</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配备三个离心分离盘：一号分离盘用于实现干细胞采集和血浆置换，血浆吸附，二号分离盘用于实现血小板采集或去除，三号分离盘用于拓展新项目。</w:t>
      </w:r>
    </w:p>
    <w:p w14:paraId="2143E6EA">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▲12.自动预测计算 CD34＋细胞收率功能。</w:t>
      </w:r>
    </w:p>
    <w:p w14:paraId="39F5738C">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13.具备检测第三方吸附器的跨膜压探测接口，总共</w:t>
      </w:r>
      <w:r>
        <w:rPr>
          <w:rFonts w:hint="eastAsia"/>
          <w:color w:val="000000" w:themeColor="text1"/>
          <w:highlight w:val="none"/>
          <w:lang w:val="en-US"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3个压力探测口。</w:t>
      </w:r>
    </w:p>
    <w:p w14:paraId="305765AF">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14.治疗性血浆置换时，机器自动计算去除血浆量及置换量，置换液体平衡：范围 30%—150%，可选择置换液类型，机器本身自动调整抗凝剂用量。</w:t>
      </w:r>
    </w:p>
    <w:p w14:paraId="43789FD4">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15.整机电池：真正断电保护，断电时能继续运行至少10 分钟，保证将体外血液安全回输给患者；恢复供电后保留原先参数并继续分离（投标文件中提供产品说明书或产品彩页作为证明材料）。</w:t>
      </w:r>
    </w:p>
    <w:p w14:paraId="2ABBFEC5">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16.治疗性红细胞去除与置换时，自动计算去除或置换的红细胞量，可设定去除后的目标红细胞压积。</w:t>
      </w:r>
    </w:p>
    <w:p w14:paraId="147A24C8">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17.采集白细胞时，具备4个过程：采集项、浓缩项、泵出白膜项、收集白膜项。以及在泵出白膜项与收集白膜项两个项中，具备可提前终止的按键截取白膜。</w:t>
      </w:r>
    </w:p>
    <w:p w14:paraId="0C524E4F">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▲18.利用光学界面监视器自动控制界面，具备不少于8个分离腔上的光学孔。（投标文件中提供产品说明书或产品彩页作为证明材料）。</w:t>
      </w:r>
    </w:p>
    <w:p w14:paraId="72AFD337">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▲19.自动保持静脉开放功能：全自动维持入路和回路静脉开放（KVO），无须手动调节。即报警后能够保持进液端和回输端的通路通畅，不易堵塞。</w:t>
      </w:r>
    </w:p>
    <w:p w14:paraId="5E802BF1">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20.具备空气探测器、具有红外精确抗凝剂滴速监测器，同时通过独立的抗凝剂泵精确控制抗凝剂入量。</w:t>
      </w:r>
    </w:p>
    <w:p w14:paraId="01FF132B">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▲21.具备界面控制。（投标文件中提供产品说明书或产品彩页作为证明材料）。</w:t>
      </w:r>
    </w:p>
    <w:p w14:paraId="6DA351E1">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22.具有离心室漏液（漏血）监测。</w:t>
      </w:r>
    </w:p>
    <w:p w14:paraId="7E4AC8B9">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23.具有离心室温度监测。</w:t>
      </w:r>
    </w:p>
    <w:p w14:paraId="6F6B4486">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24.具有置换液空管监测。</w:t>
      </w:r>
    </w:p>
    <w:p w14:paraId="5B49B7AD">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25.具有血浆管路溶血监测器。</w:t>
      </w:r>
    </w:p>
    <w:p w14:paraId="02F4EE5E">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26.具有细胞监测器、自动界面探测器。</w:t>
      </w:r>
    </w:p>
    <w:p w14:paraId="566BFDFA">
      <w:pPr>
        <w:keepNext w:val="0"/>
        <w:keepLines w:val="0"/>
        <w:widowControl/>
        <w:suppressLineNumbers w:val="0"/>
        <w:spacing w:line="240" w:lineRule="auto"/>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（四）配置清单</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526"/>
        <w:gridCol w:w="638"/>
        <w:gridCol w:w="638"/>
      </w:tblGrid>
      <w:tr w14:paraId="6D58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E15FFFA">
            <w:pPr>
              <w:keepNext w:val="0"/>
              <w:keepLines w:val="0"/>
              <w:widowControl/>
              <w:suppressLineNumbers w:val="0"/>
              <w:spacing w:line="240" w:lineRule="auto"/>
              <w:jc w:val="cente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t>序号</w:t>
            </w:r>
          </w:p>
        </w:tc>
        <w:tc>
          <w:tcPr>
            <w:tcW w:w="0" w:type="auto"/>
          </w:tcPr>
          <w:p w14:paraId="64602157">
            <w:pPr>
              <w:keepNext w:val="0"/>
              <w:keepLines w:val="0"/>
              <w:widowControl/>
              <w:suppressLineNumbers w:val="0"/>
              <w:spacing w:line="240" w:lineRule="auto"/>
              <w:jc w:val="cente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t>配置名称</w:t>
            </w:r>
          </w:p>
        </w:tc>
        <w:tc>
          <w:tcPr>
            <w:tcW w:w="0" w:type="auto"/>
          </w:tcPr>
          <w:p w14:paraId="3BFA8DD3">
            <w:pPr>
              <w:keepNext w:val="0"/>
              <w:keepLines w:val="0"/>
              <w:widowControl/>
              <w:suppressLineNumbers w:val="0"/>
              <w:spacing w:line="240" w:lineRule="auto"/>
              <w:jc w:val="cente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t>数量</w:t>
            </w:r>
          </w:p>
        </w:tc>
        <w:tc>
          <w:tcPr>
            <w:tcW w:w="0" w:type="auto"/>
          </w:tcPr>
          <w:p w14:paraId="50935C21">
            <w:pPr>
              <w:keepNext w:val="0"/>
              <w:keepLines w:val="0"/>
              <w:widowControl/>
              <w:suppressLineNumbers w:val="0"/>
              <w:spacing w:line="240" w:lineRule="auto"/>
              <w:jc w:val="cente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t>单位</w:t>
            </w:r>
          </w:p>
        </w:tc>
      </w:tr>
      <w:tr w14:paraId="542E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5961DFB">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1</w:t>
            </w:r>
          </w:p>
        </w:tc>
        <w:tc>
          <w:tcPr>
            <w:tcW w:w="0" w:type="auto"/>
          </w:tcPr>
          <w:p w14:paraId="6FDE8BEC">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血液成分分离机主机</w:t>
            </w:r>
          </w:p>
        </w:tc>
        <w:tc>
          <w:tcPr>
            <w:tcW w:w="0" w:type="auto"/>
          </w:tcPr>
          <w:p w14:paraId="57FDF77A">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1</w:t>
            </w:r>
          </w:p>
        </w:tc>
        <w:tc>
          <w:tcPr>
            <w:tcW w:w="0" w:type="auto"/>
          </w:tcPr>
          <w:p w14:paraId="571E2E2A">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台</w:t>
            </w:r>
          </w:p>
        </w:tc>
      </w:tr>
      <w:tr w14:paraId="15D6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92912E8">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2</w:t>
            </w:r>
          </w:p>
        </w:tc>
        <w:tc>
          <w:tcPr>
            <w:tcW w:w="0" w:type="auto"/>
          </w:tcPr>
          <w:p w14:paraId="4AC08AB9">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血液成分分离机系统软件</w:t>
            </w:r>
          </w:p>
        </w:tc>
        <w:tc>
          <w:tcPr>
            <w:tcW w:w="0" w:type="auto"/>
          </w:tcPr>
          <w:p w14:paraId="3BD2CB0E">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1</w:t>
            </w:r>
          </w:p>
        </w:tc>
        <w:tc>
          <w:tcPr>
            <w:tcW w:w="0" w:type="auto"/>
          </w:tcPr>
          <w:p w14:paraId="1D94C2C7">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个</w:t>
            </w:r>
          </w:p>
        </w:tc>
      </w:tr>
      <w:tr w14:paraId="41AA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C6176CD">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3</w:t>
            </w:r>
          </w:p>
        </w:tc>
        <w:tc>
          <w:tcPr>
            <w:tcW w:w="0" w:type="auto"/>
          </w:tcPr>
          <w:p w14:paraId="3C3C585C">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献血者提示显示屏</w:t>
            </w:r>
          </w:p>
        </w:tc>
        <w:tc>
          <w:tcPr>
            <w:tcW w:w="0" w:type="auto"/>
          </w:tcPr>
          <w:p w14:paraId="2667E7FA">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1</w:t>
            </w:r>
          </w:p>
        </w:tc>
        <w:tc>
          <w:tcPr>
            <w:tcW w:w="0" w:type="auto"/>
          </w:tcPr>
          <w:p w14:paraId="3DB73BC3">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个</w:t>
            </w:r>
          </w:p>
        </w:tc>
      </w:tr>
      <w:tr w14:paraId="3B08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9306D50">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4</w:t>
            </w:r>
          </w:p>
        </w:tc>
        <w:tc>
          <w:tcPr>
            <w:tcW w:w="0" w:type="auto"/>
          </w:tcPr>
          <w:p w14:paraId="71B7B42A">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说明书</w:t>
            </w:r>
          </w:p>
        </w:tc>
        <w:tc>
          <w:tcPr>
            <w:tcW w:w="0" w:type="auto"/>
          </w:tcPr>
          <w:p w14:paraId="3C059C71">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1</w:t>
            </w:r>
          </w:p>
        </w:tc>
        <w:tc>
          <w:tcPr>
            <w:tcW w:w="0" w:type="auto"/>
          </w:tcPr>
          <w:p w14:paraId="1EB8CA81">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本</w:t>
            </w:r>
          </w:p>
        </w:tc>
      </w:tr>
      <w:tr w14:paraId="4FEA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C879FF7">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5</w:t>
            </w:r>
          </w:p>
        </w:tc>
        <w:tc>
          <w:tcPr>
            <w:tcW w:w="0" w:type="auto"/>
          </w:tcPr>
          <w:p w14:paraId="04D767AF">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操作指示卡</w:t>
            </w:r>
          </w:p>
        </w:tc>
        <w:tc>
          <w:tcPr>
            <w:tcW w:w="0" w:type="auto"/>
          </w:tcPr>
          <w:p w14:paraId="31CA6B31">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4</w:t>
            </w:r>
          </w:p>
        </w:tc>
        <w:tc>
          <w:tcPr>
            <w:tcW w:w="0" w:type="auto"/>
          </w:tcPr>
          <w:p w14:paraId="1670E324">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张</w:t>
            </w:r>
          </w:p>
        </w:tc>
      </w:tr>
      <w:tr w14:paraId="366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EC47B0F">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6</w:t>
            </w:r>
          </w:p>
        </w:tc>
        <w:tc>
          <w:tcPr>
            <w:tcW w:w="0" w:type="auto"/>
          </w:tcPr>
          <w:p w14:paraId="0EE9DB62">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分离盘</w:t>
            </w:r>
          </w:p>
        </w:tc>
        <w:tc>
          <w:tcPr>
            <w:tcW w:w="0" w:type="auto"/>
          </w:tcPr>
          <w:p w14:paraId="10C3BFD9">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3</w:t>
            </w:r>
          </w:p>
        </w:tc>
        <w:tc>
          <w:tcPr>
            <w:tcW w:w="0" w:type="auto"/>
          </w:tcPr>
          <w:p w14:paraId="0F161E1B">
            <w:pPr>
              <w:keepNext w:val="0"/>
              <w:keepLines w:val="0"/>
              <w:widowControl/>
              <w:suppressLineNumbers w:val="0"/>
              <w:spacing w:line="240" w:lineRule="auto"/>
              <w:jc w:val="cente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个</w:t>
            </w:r>
          </w:p>
        </w:tc>
      </w:tr>
    </w:tbl>
    <w:p w14:paraId="5086EE79">
      <w:pPr>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）质保期及售后服务要求</w:t>
      </w:r>
    </w:p>
    <w:p w14:paraId="7B6F9DC2">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设备安装调试验收合格后原厂质保</w:t>
      </w:r>
      <w:r>
        <w:rPr>
          <w:rFonts w:hint="eastAsia"/>
          <w:color w:val="000000" w:themeColor="text1"/>
          <w:highlight w:val="none"/>
          <w:lang w:val="en-US" w:eastAsia="zh-CN"/>
          <w14:textFill>
            <w14:solidFill>
              <w14:schemeClr w14:val="tx1"/>
            </w14:solidFill>
          </w14:textFill>
        </w:rPr>
        <w:t>不少于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年。在质保期内，设备零配件及其维修的有关费用及软件终身升级皆不得额外收取费用，并保证终身负责维修。</w:t>
      </w:r>
    </w:p>
    <w:p w14:paraId="2336D657">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2.所有产品在接到用户安装要求后的 3 个工作日内派遣专业工程师到达用户现场执行安装。</w:t>
      </w:r>
    </w:p>
    <w:p w14:paraId="3236DFF6">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3.承诺设备安装后提供</w:t>
      </w:r>
      <w:r>
        <w:rPr>
          <w:rFonts w:hint="eastAsia"/>
          <w:color w:val="000000" w:themeColor="text1"/>
          <w:highlight w:val="none"/>
          <w:lang w:val="en-US" w:eastAsia="zh-CN"/>
          <w14:textFill>
            <w14:solidFill>
              <w14:schemeClr w14:val="tx1"/>
            </w14:solidFill>
          </w14:textFill>
        </w:rPr>
        <w:t>至少</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2 次免费的；完善的操作人员培训服务： </w:t>
      </w:r>
    </w:p>
    <w:p w14:paraId="6F9CB979">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4.设备安装使用后，每年将派专业工程师提供至少 2 次拜访。进行现场的回访、维护、培训及答疑。</w:t>
      </w:r>
    </w:p>
    <w:p w14:paraId="0C2FC444">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5.在使用设备的过程中发生的任何问题，承诺工作日内在接到通知后1小时内给予答复。如电话无法解决，专业工程师可在 48 小时内到达现场。</w:t>
      </w:r>
    </w:p>
    <w:p w14:paraId="1A0BB97A">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val="0"/>
          <w:color w:val="000000" w:themeColor="text1"/>
          <w:sz w:val="21"/>
          <w:szCs w:val="21"/>
          <w:highlight w:val="none"/>
          <w14:textFill>
            <w14:solidFill>
              <w14:schemeClr w14:val="tx1"/>
            </w14:solidFill>
          </w14:textFill>
        </w:rPr>
        <w:t>）基本要求</w:t>
      </w:r>
    </w:p>
    <w:p w14:paraId="30CA59C4">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所投设备具有有效的医疗器械注册证明（如国家有相关规定）。</w:t>
      </w:r>
    </w:p>
    <w:p w14:paraId="211C83BE">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如投标人为代理经销商，应提供制造商对所投产品的合法授权函。</w:t>
      </w:r>
    </w:p>
    <w:p w14:paraId="6604A299">
      <w:pPr>
        <w:pStyle w:val="69"/>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（七）其他要求</w:t>
      </w:r>
    </w:p>
    <w:p w14:paraId="3E94653A">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投标文件中应提供项目实施方案、售后服务方案、培训方案等。</w:t>
      </w:r>
    </w:p>
    <w:p w14:paraId="6BA72110">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p>
    <w:p w14:paraId="7FBCC816">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二、交货要求</w:t>
      </w:r>
    </w:p>
    <w:p w14:paraId="23D9116A">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（一）交货期：合同签订后</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color w:val="000000" w:themeColor="text1"/>
          <w:sz w:val="21"/>
          <w:szCs w:val="21"/>
          <w:highlight w:val="none"/>
          <w14:textFill>
            <w14:solidFill>
              <w14:schemeClr w14:val="tx1"/>
            </w14:solidFill>
          </w14:textFill>
        </w:rPr>
        <w:t>收到采购人供货通知后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日历天内交货、安装、调试和验收。</w:t>
      </w:r>
    </w:p>
    <w:p w14:paraId="33C4C412">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（二）交货地点：采购人指定地点。中标人需按有关标准提供货物的包装，并采用恰当的方式将货物运抵交货地点。</w:t>
      </w:r>
    </w:p>
    <w:p w14:paraId="25C9DB87">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三、包装、运输及到货检验</w:t>
      </w:r>
    </w:p>
    <w:p w14:paraId="052356BB">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设备需由原厂包装，包装箱内需有下列随箱资料：产品合格证（包括出厂试验数据）、产品使用说明书、随箱清单等。</w:t>
      </w:r>
    </w:p>
    <w:p w14:paraId="45195FAA">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成交供应商</w:t>
      </w:r>
      <w:r>
        <w:rPr>
          <w:rFonts w:hint="eastAsia" w:ascii="宋体" w:hAnsi="宋体" w:eastAsia="宋体" w:cs="宋体"/>
          <w:b w:val="0"/>
          <w:bCs/>
          <w:color w:val="000000" w:themeColor="text1"/>
          <w:sz w:val="21"/>
          <w:szCs w:val="21"/>
          <w:highlight w:val="none"/>
          <w14:textFill>
            <w14:solidFill>
              <w14:schemeClr w14:val="tx1"/>
            </w14:solidFill>
          </w14:textFill>
        </w:rPr>
        <w:t>负责所有设备从出厂到安装现场的运输。</w:t>
      </w:r>
    </w:p>
    <w:p w14:paraId="2A8D052E">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双方将依据有关规定，对到货的规格、数量等进行检验。</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color w:val="000000" w:themeColor="text1"/>
          <w:sz w:val="21"/>
          <w:szCs w:val="21"/>
          <w:highlight w:val="none"/>
          <w14:textFill>
            <w14:solidFill>
              <w14:schemeClr w14:val="tx1"/>
            </w14:solidFill>
          </w14:textFill>
        </w:rPr>
        <w:t>需对其全部产品、零件、配件、介质造册登记，并与装箱单对比，如有出入需立即书面记录，由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color w:val="000000" w:themeColor="text1"/>
          <w:sz w:val="21"/>
          <w:szCs w:val="21"/>
          <w:highlight w:val="none"/>
          <w14:textFill>
            <w14:solidFill>
              <w14:schemeClr w14:val="tx1"/>
            </w14:solidFill>
          </w14:textFill>
        </w:rPr>
        <w:t>解决，如影响安装则按合同有关条款处理。登记册作为验收文档之一。</w:t>
      </w:r>
    </w:p>
    <w:p w14:paraId="7F1D3274">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四、安装调试要求</w:t>
      </w:r>
    </w:p>
    <w:p w14:paraId="4E2C34BF">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安装和调试应由具备厂家培训证书的专业技术人员执行，确保设备的正确安装和功能的正常发挥。</w:t>
      </w:r>
    </w:p>
    <w:p w14:paraId="320D2630">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安装前应确保产品名称、型号、规格、生产企业信息、医疗器械注册证编号等信息明确无误。</w:t>
      </w:r>
    </w:p>
    <w:p w14:paraId="4AE83E7B">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在安装和调试过程中，必须遵守相应的操作规程和标准，以确保过程的准确性和可靠性。</w:t>
      </w:r>
    </w:p>
    <w:p w14:paraId="47804010">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在验收过程中，应有详细的报告记录测试和调试的结果，确保所有功能都符合规定的要求。</w:t>
      </w:r>
    </w:p>
    <w:p w14:paraId="5FF63DD2">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五、验收要求和验收标准</w:t>
      </w:r>
    </w:p>
    <w:p w14:paraId="47090774">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设备到货后依照招标文件及中标人投标文件响应内容中关于货物的技术规格要求和质量标准进行验收，必须免费安装调试至能正常使用，并免费培训操作。</w:t>
      </w:r>
    </w:p>
    <w:p w14:paraId="14EA8B93">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六、培训要求</w:t>
      </w:r>
    </w:p>
    <w:p w14:paraId="0C6447B6">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须提供设备使用维护培训，使采购人使用人员能掌握设备的结构原理、检修方法与操作要点。</w:t>
      </w:r>
    </w:p>
    <w:p w14:paraId="1751E577">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培训应包括医疗设备的安全使用知识，包括设备的使用期限、禁忌、注意事项等。</w:t>
      </w:r>
    </w:p>
    <w:p w14:paraId="3E9E83E9">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培训内容应涵盖设备的维护和保养方法，以及特殊运输、贮存的条件和方法。</w:t>
      </w:r>
    </w:p>
    <w:p w14:paraId="3627C18A">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培训应包括设备故障和问题应急处理，以便在紧急情况下能够迅速有效地采取措施。</w:t>
      </w:r>
    </w:p>
    <w:p w14:paraId="533A0075">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培训应包括对医疗器械质量控制的理解和实践，确保设备在使用过程中的质量和性能。</w:t>
      </w:r>
    </w:p>
    <w:p w14:paraId="14A569B0">
      <w:pPr>
        <w:widowControl/>
        <w:tabs>
          <w:tab w:val="left" w:pos="420"/>
          <w:tab w:val="left" w:pos="720"/>
          <w:tab w:val="left" w:pos="1440"/>
        </w:tabs>
        <w:spacing w:line="240" w:lineRule="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val="0"/>
          <w:color w:val="000000" w:themeColor="text1"/>
          <w:sz w:val="21"/>
          <w:szCs w:val="21"/>
          <w:highlight w:val="none"/>
          <w14:textFill>
            <w14:solidFill>
              <w14:schemeClr w14:val="tx1"/>
            </w14:solidFill>
          </w14:textFill>
        </w:rPr>
        <w:t>、付款方式</w:t>
      </w:r>
    </w:p>
    <w:p w14:paraId="13BEB9E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1期：支付比例</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0%,1.合同的款项以人民币转账方式支付。若属国库支付项目的，其支付时间按财政部相关规定执行。 2.签订合同之日起5个工作日内凭合同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0%发票由采购人向中标人支付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0%合同款；</w:t>
      </w:r>
    </w:p>
    <w:p w14:paraId="0DE4C02B">
      <w:pPr>
        <w:widowControl/>
        <w:tabs>
          <w:tab w:val="left" w:pos="420"/>
          <w:tab w:val="left" w:pos="720"/>
          <w:tab w:val="left" w:pos="1440"/>
        </w:tabs>
        <w:spacing w:line="240" w:lineRule="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2期：支付比例</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0%,3.合同设备全部到指定地点交付并完成安装及验收后，中标人凭（1）送货单；（2）合同剩余</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0%发票；（3）安装验收报告，由采购人在收到发票后5个工作日内支付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0%合同款给中标人。4.付款方式：银行转账。</w:t>
      </w:r>
    </w:p>
    <w:p w14:paraId="133EDE3B">
      <w:pPr>
        <w:spacing w:after="0" w:line="240" w:lineRule="auto"/>
        <w:rPr>
          <w:color w:val="000000" w:themeColor="text1"/>
          <w14:textFill>
            <w14:solidFill>
              <w14:schemeClr w14:val="tx1"/>
            </w14:solidFill>
          </w14:textFill>
        </w:rPr>
      </w:pPr>
    </w:p>
    <w:p w14:paraId="6EBC528A">
      <w:pPr>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0561A7BB">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14:paraId="748CAB63">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8A890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CE51905">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BEAF52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F418CC7">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09A3FF0">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7C6B5C4">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E2D6E37">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5F47F7EC">
      <w:pPr>
        <w:spacing w:line="300" w:lineRule="auto"/>
        <w:rPr>
          <w:rFonts w:ascii="宋体" w:hAnsi="宋体"/>
          <w:b/>
          <w:color w:val="000000" w:themeColor="text1"/>
          <w:sz w:val="24"/>
          <w:szCs w:val="24"/>
          <w:highlight w:val="none"/>
          <w14:textFill>
            <w14:solidFill>
              <w14:schemeClr w14:val="tx1"/>
            </w14:solidFill>
          </w14:textFill>
        </w:rPr>
      </w:pPr>
    </w:p>
    <w:p w14:paraId="6F1FBDC8">
      <w:pPr>
        <w:outlineLvl w:val="1"/>
        <w:rPr>
          <w:rFonts w:hint="eastAsia" w:ascii="宋体" w:hAnsi="宋体" w:eastAsia="宋体" w:cs="宋体"/>
          <w:b/>
          <w:color w:val="auto"/>
          <w:sz w:val="28"/>
          <w:szCs w:val="28"/>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auto"/>
          <w:sz w:val="28"/>
          <w:szCs w:val="28"/>
        </w:rPr>
        <w:t>附件一、</w:t>
      </w:r>
      <w:bookmarkStart w:id="0" w:name="_Toc435514855"/>
      <w:bookmarkStart w:id="1" w:name="_Toc435515295"/>
      <w:bookmarkStart w:id="2" w:name="_Toc275865606"/>
      <w:r>
        <w:rPr>
          <w:rFonts w:hint="eastAsia" w:ascii="宋体" w:hAnsi="宋体" w:eastAsia="宋体" w:cs="宋体"/>
          <w:b/>
          <w:color w:val="auto"/>
          <w:sz w:val="28"/>
          <w:szCs w:val="28"/>
        </w:rPr>
        <w:t>资格文件</w:t>
      </w:r>
    </w:p>
    <w:p w14:paraId="4D3E7121">
      <w:pPr>
        <w:outlineLvl w:val="1"/>
        <w:rPr>
          <w:rFonts w:hint="eastAsia" w:ascii="宋体" w:hAnsi="宋体" w:eastAsia="宋体" w:cs="宋体"/>
          <w:b/>
          <w:szCs w:val="21"/>
          <w:lang w:val="en-US" w:eastAsia="zh-CN"/>
        </w:rPr>
      </w:pPr>
    </w:p>
    <w:p w14:paraId="0FB7443F">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09404081">
      <w:pPr>
        <w:adjustRightInd w:val="0"/>
        <w:snapToGrid w:val="0"/>
        <w:spacing w:line="360" w:lineRule="auto"/>
        <w:rPr>
          <w:rFonts w:hint="eastAsia" w:ascii="宋体" w:hAnsi="宋体" w:eastAsia="宋体" w:cs="宋体"/>
          <w:b/>
          <w:szCs w:val="21"/>
        </w:rPr>
      </w:pPr>
    </w:p>
    <w:p w14:paraId="15F5002E">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168DF35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5B9AD56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4410A82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53910E1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FC11F8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3B928D5C">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4DB34063">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691ABAB6">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14:paraId="4D69099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02EC4135">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2DA31208">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683043C">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4C99F5C9">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461E50D0">
      <w:pPr>
        <w:adjustRightInd w:val="0"/>
        <w:snapToGrid w:val="0"/>
        <w:rPr>
          <w:rFonts w:hint="eastAsia" w:ascii="宋体" w:hAnsi="宋体" w:eastAsia="宋体" w:cs="宋体"/>
          <w:szCs w:val="21"/>
        </w:rPr>
      </w:pPr>
    </w:p>
    <w:p w14:paraId="1BEAF9A4">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6F17EF8B">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62EC4CEE">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17AECCA8">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305EF9C">
      <w:pPr>
        <w:jc w:val="left"/>
        <w:rPr>
          <w:rFonts w:hint="eastAsia" w:ascii="宋体" w:hAnsi="宋体" w:eastAsia="宋体" w:cs="宋体"/>
          <w:b/>
          <w:sz w:val="24"/>
          <w:highlight w:val="none"/>
        </w:rPr>
      </w:pP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DC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8F7740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7AF1FBB">
            <w:pPr>
              <w:topLinePunct/>
              <w:spacing w:line="440" w:lineRule="exact"/>
              <w:jc w:val="center"/>
              <w:rPr>
                <w:rFonts w:hint="eastAsia" w:ascii="宋体" w:hAnsi="宋体" w:eastAsia="宋体" w:cs="宋体"/>
                <w:szCs w:val="21"/>
                <w:highlight w:val="none"/>
              </w:rPr>
            </w:pPr>
          </w:p>
        </w:tc>
      </w:tr>
      <w:tr w14:paraId="00E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8A314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C561A4E">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9375F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0BDDBBD">
            <w:pPr>
              <w:topLinePunct/>
              <w:spacing w:line="440" w:lineRule="exact"/>
              <w:jc w:val="center"/>
              <w:rPr>
                <w:rFonts w:hint="eastAsia" w:ascii="宋体" w:hAnsi="宋体" w:eastAsia="宋体" w:cs="宋体"/>
                <w:szCs w:val="21"/>
                <w:highlight w:val="none"/>
              </w:rPr>
            </w:pPr>
          </w:p>
        </w:tc>
      </w:tr>
      <w:tr w14:paraId="19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D7213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AC5AC91">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DC784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EC3D27A">
            <w:pPr>
              <w:topLinePunct/>
              <w:spacing w:line="440" w:lineRule="exact"/>
              <w:jc w:val="center"/>
              <w:rPr>
                <w:rFonts w:hint="eastAsia" w:ascii="宋体" w:hAnsi="宋体" w:eastAsia="宋体" w:cs="宋体"/>
                <w:szCs w:val="21"/>
                <w:highlight w:val="none"/>
              </w:rPr>
            </w:pPr>
          </w:p>
        </w:tc>
      </w:tr>
      <w:tr w14:paraId="6A12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AC90B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1A05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1885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2C55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9A1B3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A14B5F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B49FE5A">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5E91CB9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BCDAD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E855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79F86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3C00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A189C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E7E26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4920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A479D0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A6268C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8F0A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2A54A">
            <w:pPr>
              <w:topLinePunct/>
              <w:spacing w:line="440" w:lineRule="exact"/>
              <w:jc w:val="center"/>
              <w:rPr>
                <w:rFonts w:hint="eastAsia" w:ascii="宋体" w:hAnsi="宋体" w:eastAsia="宋体" w:cs="宋体"/>
                <w:szCs w:val="21"/>
                <w:highlight w:val="none"/>
              </w:rPr>
            </w:pPr>
          </w:p>
        </w:tc>
      </w:tr>
      <w:tr w14:paraId="122B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03F87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8A4F5">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710B9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4A0776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69614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EB5E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018DA">
            <w:pPr>
              <w:topLinePunct/>
              <w:spacing w:line="440" w:lineRule="exact"/>
              <w:jc w:val="center"/>
              <w:rPr>
                <w:rFonts w:hint="eastAsia" w:ascii="宋体" w:hAnsi="宋体" w:eastAsia="宋体" w:cs="宋体"/>
                <w:szCs w:val="21"/>
                <w:highlight w:val="none"/>
              </w:rPr>
            </w:pPr>
          </w:p>
        </w:tc>
      </w:tr>
      <w:tr w14:paraId="63EC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B8629C">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66116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4160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DBF82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721F8B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8C82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FE4EF">
            <w:pPr>
              <w:topLinePunct/>
              <w:spacing w:line="440" w:lineRule="exact"/>
              <w:jc w:val="center"/>
              <w:rPr>
                <w:rFonts w:hint="eastAsia" w:ascii="宋体" w:hAnsi="宋体" w:eastAsia="宋体" w:cs="宋体"/>
                <w:szCs w:val="21"/>
                <w:highlight w:val="none"/>
              </w:rPr>
            </w:pPr>
          </w:p>
        </w:tc>
      </w:tr>
      <w:tr w14:paraId="4641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BC684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28F69F">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93414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449DE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5417B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3FCF9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F7ECE">
            <w:pPr>
              <w:topLinePunct/>
              <w:spacing w:line="440" w:lineRule="exact"/>
              <w:jc w:val="center"/>
              <w:rPr>
                <w:rFonts w:hint="eastAsia" w:ascii="宋体" w:hAnsi="宋体" w:eastAsia="宋体" w:cs="宋体"/>
                <w:szCs w:val="21"/>
                <w:highlight w:val="none"/>
              </w:rPr>
            </w:pPr>
          </w:p>
        </w:tc>
      </w:tr>
      <w:tr w14:paraId="26A6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4D82F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648A8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B4F60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7470D1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D2DDC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4732E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8E7F">
            <w:pPr>
              <w:topLinePunct/>
              <w:spacing w:line="440" w:lineRule="exact"/>
              <w:jc w:val="center"/>
              <w:rPr>
                <w:rFonts w:hint="eastAsia" w:ascii="宋体" w:hAnsi="宋体" w:eastAsia="宋体" w:cs="宋体"/>
                <w:szCs w:val="21"/>
                <w:highlight w:val="none"/>
              </w:rPr>
            </w:pPr>
          </w:p>
        </w:tc>
      </w:tr>
      <w:tr w14:paraId="75AF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EDAB2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B1568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6F12">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7069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FC9A60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0E16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6DB29">
            <w:pPr>
              <w:topLinePunct/>
              <w:spacing w:line="440" w:lineRule="exact"/>
              <w:jc w:val="center"/>
              <w:rPr>
                <w:rFonts w:hint="eastAsia" w:ascii="宋体" w:hAnsi="宋体" w:eastAsia="宋体" w:cs="宋体"/>
                <w:szCs w:val="21"/>
                <w:highlight w:val="none"/>
              </w:rPr>
            </w:pPr>
          </w:p>
        </w:tc>
      </w:tr>
    </w:tbl>
    <w:p w14:paraId="79C6E042">
      <w:pPr>
        <w:jc w:val="left"/>
        <w:rPr>
          <w:rFonts w:hint="eastAsia" w:ascii="宋体" w:hAnsi="宋体" w:eastAsia="宋体" w:cs="宋体"/>
          <w:szCs w:val="21"/>
          <w:highlight w:val="none"/>
        </w:rPr>
      </w:pPr>
    </w:p>
    <w:p w14:paraId="180E564F">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21724352">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197632AF">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2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01A9997E">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30E594B5">
      <w:pPr>
        <w:ind w:left="405"/>
        <w:rPr>
          <w:rFonts w:hint="eastAsia" w:ascii="宋体" w:hAnsi="宋体" w:eastAsia="宋体" w:cs="宋体"/>
          <w:sz w:val="24"/>
          <w:highlight w:val="none"/>
        </w:rPr>
      </w:pPr>
    </w:p>
    <w:p w14:paraId="43F93EC2">
      <w:pPr>
        <w:adjustRightInd w:val="0"/>
        <w:snapToGrid w:val="0"/>
        <w:spacing w:line="360" w:lineRule="auto"/>
        <w:ind w:firstLine="440" w:firstLineChars="200"/>
        <w:rPr>
          <w:rFonts w:hint="eastAsia" w:ascii="宋体" w:hAnsi="宋体" w:eastAsia="宋体" w:cs="宋体"/>
          <w:szCs w:val="21"/>
          <w:highlight w:val="none"/>
        </w:rPr>
      </w:pPr>
    </w:p>
    <w:p w14:paraId="53ECB1A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1B7530E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69333F88">
      <w:pPr>
        <w:ind w:left="405"/>
        <w:rPr>
          <w:rFonts w:hint="eastAsia" w:ascii="宋体" w:hAnsi="宋体" w:eastAsia="宋体" w:cs="宋体"/>
          <w:b/>
          <w:szCs w:val="21"/>
          <w:highlight w:val="none"/>
        </w:rPr>
      </w:pPr>
    </w:p>
    <w:p w14:paraId="53282AF6">
      <w:pPr>
        <w:ind w:left="405"/>
        <w:rPr>
          <w:rFonts w:hint="eastAsia" w:ascii="宋体" w:hAnsi="宋体" w:eastAsia="宋体" w:cs="宋体"/>
          <w:b/>
          <w:szCs w:val="21"/>
          <w:highlight w:val="none"/>
        </w:rPr>
      </w:pPr>
    </w:p>
    <w:p w14:paraId="6507C5FD">
      <w:pPr>
        <w:ind w:left="405"/>
        <w:rPr>
          <w:rFonts w:hint="eastAsia" w:ascii="宋体" w:hAnsi="宋体" w:eastAsia="宋体" w:cs="宋体"/>
          <w:b/>
          <w:szCs w:val="21"/>
          <w:highlight w:val="none"/>
        </w:rPr>
      </w:pPr>
    </w:p>
    <w:p w14:paraId="148505E7">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6D34FB8B">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D0588B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0DC6EB3E">
      <w:pPr>
        <w:ind w:left="405"/>
        <w:rPr>
          <w:rFonts w:hint="eastAsia" w:ascii="宋体" w:hAnsi="宋体" w:eastAsia="宋体" w:cs="宋体"/>
          <w:b/>
          <w:szCs w:val="21"/>
          <w:highlight w:val="none"/>
        </w:rPr>
      </w:pPr>
    </w:p>
    <w:p w14:paraId="3FF79C82">
      <w:pPr>
        <w:ind w:left="405"/>
        <w:rPr>
          <w:rFonts w:hint="eastAsia" w:ascii="宋体" w:hAnsi="宋体" w:eastAsia="宋体" w:cs="宋体"/>
          <w:b/>
          <w:szCs w:val="21"/>
          <w:highlight w:val="none"/>
        </w:rPr>
      </w:pPr>
    </w:p>
    <w:p w14:paraId="00B4FA4D">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0EDE5759">
      <w:pPr>
        <w:rPr>
          <w:rFonts w:hint="eastAsia" w:ascii="宋体" w:hAnsi="宋体" w:eastAsia="宋体" w:cs="宋体"/>
          <w:b/>
          <w:szCs w:val="21"/>
          <w:highlight w:val="none"/>
        </w:rPr>
      </w:pPr>
    </w:p>
    <w:p w14:paraId="37D279A1">
      <w:pPr>
        <w:rPr>
          <w:rFonts w:hint="eastAsia" w:ascii="宋体" w:hAnsi="宋体" w:eastAsia="宋体" w:cs="宋体"/>
          <w:b/>
          <w:sz w:val="24"/>
          <w:highlight w:val="none"/>
        </w:rPr>
      </w:pPr>
    </w:p>
    <w:p w14:paraId="156F02A9">
      <w:pPr>
        <w:rPr>
          <w:rFonts w:hint="eastAsia" w:ascii="宋体" w:hAnsi="宋体" w:eastAsia="宋体" w:cs="宋体"/>
          <w:b/>
          <w:sz w:val="24"/>
          <w:highlight w:val="none"/>
        </w:rPr>
      </w:pPr>
    </w:p>
    <w:p w14:paraId="15934E39">
      <w:pPr>
        <w:rPr>
          <w:rFonts w:hint="eastAsia" w:ascii="宋体" w:hAnsi="宋体" w:eastAsia="宋体" w:cs="宋体"/>
          <w:b/>
          <w:sz w:val="24"/>
          <w:highlight w:val="none"/>
        </w:rPr>
      </w:pPr>
    </w:p>
    <w:p w14:paraId="0D150DC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7B0B8ACD">
      <w:pPr>
        <w:rPr>
          <w:rFonts w:hint="eastAsia" w:hAnsi="宋体" w:cs="宋体"/>
          <w:b/>
          <w:sz w:val="24"/>
          <w:highlight w:val="none"/>
          <w:lang w:val="en-US" w:eastAsia="zh-CN"/>
        </w:rPr>
      </w:pPr>
      <w:r>
        <w:rPr>
          <w:rFonts w:hint="eastAsia" w:ascii="宋体" w:hAnsi="宋体" w:eastAsia="宋体" w:cs="宋体"/>
          <w:b/>
          <w:sz w:val="24"/>
          <w:highlight w:val="none"/>
          <w:lang w:val="en-US" w:eastAsia="zh-CN"/>
        </w:rPr>
        <w:t>1.3法定代表人授权代表声明函</w:t>
      </w:r>
    </w:p>
    <w:p w14:paraId="470C4B71">
      <w:pPr>
        <w:jc w:val="center"/>
        <w:outlineLvl w:val="1"/>
        <w:rPr>
          <w:rFonts w:hint="eastAsia" w:ascii="宋体" w:hAnsi="宋体" w:eastAsia="宋体" w:cs="宋体"/>
          <w:b/>
          <w:sz w:val="28"/>
          <w:szCs w:val="28"/>
        </w:rPr>
      </w:pPr>
      <w:r>
        <w:rPr>
          <w:rFonts w:hint="eastAsia" w:ascii="宋体" w:hAnsi="宋体" w:eastAsia="宋体" w:cs="宋体"/>
          <w:b/>
          <w:szCs w:val="21"/>
        </w:rPr>
        <w:t>法定代表人授权代表声明函</w:t>
      </w:r>
    </w:p>
    <w:p w14:paraId="11B4697B">
      <w:pPr>
        <w:adjustRightInd w:val="0"/>
        <w:snapToGrid w:val="0"/>
        <w:spacing w:line="360" w:lineRule="auto"/>
        <w:rPr>
          <w:rFonts w:hint="eastAsia" w:ascii="宋体" w:hAnsi="宋体" w:eastAsia="宋体" w:cs="宋体"/>
          <w:b/>
          <w:szCs w:val="21"/>
        </w:rPr>
      </w:pPr>
    </w:p>
    <w:p w14:paraId="58AC48DF">
      <w:pPr>
        <w:adjustRightInd w:val="0"/>
        <w:snapToGrid w:val="0"/>
        <w:spacing w:line="360" w:lineRule="auto"/>
        <w:rPr>
          <w:rFonts w:hint="eastAsia" w:ascii="宋体" w:hAnsi="宋体" w:eastAsia="宋体" w:cs="宋体"/>
          <w:b/>
          <w:lang w:eastAsia="zh-CN"/>
        </w:rPr>
      </w:pPr>
      <w:r>
        <w:rPr>
          <w:rFonts w:hint="eastAsia" w:hAnsi="宋体" w:cs="宋体"/>
          <w:b/>
          <w:szCs w:val="21"/>
          <w:lang w:val="en-US" w:eastAsia="zh-CN"/>
        </w:rPr>
        <w:t>国义招标股份有限公司</w:t>
      </w:r>
      <w:r>
        <w:rPr>
          <w:rFonts w:hint="eastAsia" w:ascii="宋体" w:hAnsi="宋体" w:eastAsia="宋体" w:cs="宋体"/>
          <w:b/>
          <w:szCs w:val="21"/>
          <w:lang w:eastAsia="zh-CN"/>
        </w:rPr>
        <w:t>：</w:t>
      </w:r>
    </w:p>
    <w:p w14:paraId="5705645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hAnsi="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14:paraId="447A19FE">
      <w:pPr>
        <w:adjustRightInd w:val="0"/>
        <w:snapToGrid w:val="0"/>
        <w:spacing w:line="360" w:lineRule="auto"/>
        <w:ind w:firstLine="444" w:firstLineChars="202"/>
        <w:rPr>
          <w:rFonts w:hint="eastAsia" w:ascii="宋体" w:hAnsi="宋体" w:eastAsia="宋体" w:cs="宋体"/>
          <w:color w:val="auto"/>
          <w:highlight w:val="none"/>
        </w:rPr>
      </w:pPr>
      <w:r>
        <w:rPr>
          <w:rFonts w:hint="eastAsia" w:hAnsi="宋体" w:cs="宋体"/>
          <w:color w:val="auto"/>
          <w:highlight w:val="none"/>
          <w:lang w:val="en-US" w:eastAsia="zh-CN"/>
        </w:rPr>
        <w:t>代表</w:t>
      </w:r>
      <w:r>
        <w:rPr>
          <w:rFonts w:hint="eastAsia" w:ascii="宋体" w:hAnsi="宋体" w:eastAsia="宋体" w:cs="宋体"/>
          <w:color w:val="auto"/>
          <w:highlight w:val="none"/>
        </w:rPr>
        <w:t>本公司（企业）</w:t>
      </w:r>
      <w:r>
        <w:rPr>
          <w:rFonts w:hint="eastAsia" w:hAnsi="宋体" w:cs="宋体"/>
          <w:color w:val="auto"/>
          <w:highlight w:val="none"/>
          <w:lang w:val="en-US" w:eastAsia="zh-CN"/>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szCs w:val="21"/>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auto"/>
          <w:highlight w:val="none"/>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auto"/>
          <w:highlight w:val="none"/>
        </w:rPr>
        <w:t>。</w:t>
      </w:r>
    </w:p>
    <w:p w14:paraId="621441FB">
      <w:pPr>
        <w:adjustRightInd w:val="0"/>
        <w:snapToGrid w:val="0"/>
        <w:spacing w:line="360" w:lineRule="auto"/>
        <w:ind w:firstLine="444" w:firstLineChars="202"/>
        <w:rPr>
          <w:rFonts w:hint="eastAsia" w:ascii="宋体" w:hAnsi="宋体" w:eastAsia="宋体" w:cs="宋体"/>
          <w:color w:val="auto"/>
          <w:highlight w:val="none"/>
        </w:rPr>
      </w:pPr>
    </w:p>
    <w:p w14:paraId="1C540690">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FBF1845">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6A25C78B">
      <w:pPr>
        <w:rPr>
          <w:rFonts w:hint="default" w:ascii="宋体" w:hAnsi="宋体" w:eastAsia="宋体" w:cs="宋体"/>
          <w:b/>
          <w:bCs/>
          <w:highlight w:val="none"/>
          <w:lang w:val="en-US" w:eastAsia="zh-CN"/>
        </w:rPr>
      </w:pPr>
      <w:r>
        <w:rPr>
          <w:rFonts w:hint="eastAsia" w:hAnsi="宋体" w:cs="宋体"/>
          <w:b/>
          <w:bCs/>
          <w:highlight w:val="none"/>
          <w:lang w:val="en-US" w:eastAsia="zh-CN"/>
        </w:rPr>
        <w:t>法定代表人授权代表近六个月内任意一个月在投标人单位购买社保的证明材料。</w:t>
      </w:r>
    </w:p>
    <w:p w14:paraId="4DDE07D6">
      <w:pPr>
        <w:adjustRightInd w:val="0"/>
        <w:snapToGrid w:val="0"/>
        <w:rPr>
          <w:rFonts w:hint="eastAsia" w:ascii="宋体" w:hAnsi="宋体" w:eastAsia="宋体" w:cs="宋体"/>
          <w:szCs w:val="21"/>
        </w:rPr>
      </w:pPr>
    </w:p>
    <w:p w14:paraId="3F80031D">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550D5C36">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4208DEB6">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2EE0272D">
      <w:pPr>
        <w:rPr>
          <w:rFonts w:hint="default" w:hAnsi="宋体" w:cs="宋体"/>
          <w:b/>
          <w:sz w:val="24"/>
          <w:highlight w:val="none"/>
          <w:lang w:val="en-US" w:eastAsia="zh-CN"/>
        </w:rPr>
      </w:pPr>
    </w:p>
    <w:p w14:paraId="77A302D2">
      <w:pPr>
        <w:rPr>
          <w:rFonts w:hint="eastAsia" w:ascii="宋体" w:hAnsi="宋体" w:eastAsia="宋体" w:cs="宋体"/>
          <w:b/>
          <w:sz w:val="24"/>
          <w:highlight w:val="none"/>
        </w:rPr>
      </w:pPr>
    </w:p>
    <w:p w14:paraId="6F1615D1">
      <w:pPr>
        <w:rPr>
          <w:rFonts w:hint="eastAsia" w:ascii="宋体" w:hAnsi="宋体" w:eastAsia="宋体" w:cs="宋体"/>
          <w:b/>
          <w:sz w:val="24"/>
          <w:highlight w:val="none"/>
        </w:rPr>
      </w:pPr>
    </w:p>
    <w:p w14:paraId="16ABF60D">
      <w:pPr>
        <w:rPr>
          <w:rFonts w:hint="eastAsia" w:ascii="宋体" w:hAnsi="宋体" w:eastAsia="宋体" w:cs="宋体"/>
          <w:b/>
          <w:sz w:val="24"/>
          <w:highlight w:val="none"/>
          <w:lang w:val="en-US" w:eastAsia="zh-CN"/>
        </w:rPr>
      </w:pPr>
    </w:p>
    <w:p w14:paraId="5BD2781C">
      <w:pPr>
        <w:rPr>
          <w:rFonts w:hint="eastAsia" w:ascii="宋体" w:hAnsi="宋体" w:eastAsia="宋体" w:cs="宋体"/>
          <w:b/>
          <w:sz w:val="24"/>
          <w:highlight w:val="none"/>
          <w:lang w:val="en-US" w:eastAsia="zh-CN"/>
        </w:rPr>
      </w:pPr>
    </w:p>
    <w:p w14:paraId="6CC83F1D">
      <w:pPr>
        <w:rPr>
          <w:rFonts w:hint="eastAsia" w:ascii="宋体" w:hAnsi="宋体" w:eastAsia="宋体" w:cs="宋体"/>
          <w:b/>
          <w:sz w:val="24"/>
          <w:highlight w:val="none"/>
          <w:lang w:val="en-US" w:eastAsia="zh-CN"/>
        </w:rPr>
      </w:pPr>
    </w:p>
    <w:p w14:paraId="34F1644C">
      <w:pPr>
        <w:rPr>
          <w:rFonts w:hint="eastAsia" w:ascii="宋体" w:hAnsi="宋体" w:eastAsia="宋体" w:cs="宋体"/>
          <w:b/>
          <w:sz w:val="24"/>
          <w:highlight w:val="none"/>
          <w:lang w:val="en-US" w:eastAsia="zh-CN"/>
        </w:rPr>
      </w:pPr>
    </w:p>
    <w:p w14:paraId="4E917B82">
      <w:pPr>
        <w:rPr>
          <w:rFonts w:hint="eastAsia" w:ascii="宋体" w:hAnsi="宋体" w:eastAsia="宋体" w:cs="宋体"/>
          <w:b/>
          <w:sz w:val="24"/>
          <w:highlight w:val="none"/>
          <w:lang w:val="en-US" w:eastAsia="zh-CN"/>
        </w:rPr>
      </w:pPr>
    </w:p>
    <w:p w14:paraId="7E192005">
      <w:pPr>
        <w:rPr>
          <w:rFonts w:hint="eastAsia" w:ascii="宋体" w:hAnsi="宋体" w:eastAsia="宋体" w:cs="宋体"/>
          <w:b/>
          <w:sz w:val="24"/>
          <w:highlight w:val="none"/>
          <w:lang w:val="en-US" w:eastAsia="zh-CN"/>
        </w:rPr>
      </w:pPr>
    </w:p>
    <w:p w14:paraId="293B11CF">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w:t>
      </w:r>
      <w:r>
        <w:rPr>
          <w:rFonts w:hint="eastAsia" w:hAnsi="宋体" w:cs="宋体"/>
          <w:b/>
          <w:sz w:val="24"/>
          <w:highlight w:val="none"/>
          <w:lang w:val="en-US" w:eastAsia="zh-CN"/>
        </w:rPr>
        <w:t>4</w:t>
      </w:r>
      <w:r>
        <w:rPr>
          <w:rFonts w:hint="eastAsia" w:ascii="宋体" w:hAnsi="宋体" w:eastAsia="宋体" w:cs="宋体"/>
          <w:b/>
          <w:sz w:val="24"/>
          <w:highlight w:val="none"/>
        </w:rPr>
        <w:t>其他资格证明文件</w:t>
      </w:r>
    </w:p>
    <w:p w14:paraId="519EE6B7">
      <w:pPr>
        <w:rPr>
          <w:rFonts w:hint="eastAsia" w:ascii="宋体" w:hAnsi="宋体" w:eastAsia="宋体" w:cs="宋体"/>
          <w:b/>
          <w:sz w:val="24"/>
          <w:highlight w:val="none"/>
        </w:rPr>
      </w:pPr>
    </w:p>
    <w:p w14:paraId="6FA2F720">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21F6F4AB">
      <w:pPr>
        <w:autoSpaceDE w:val="0"/>
        <w:autoSpaceDN w:val="0"/>
        <w:ind w:right="1400"/>
        <w:rPr>
          <w:rFonts w:hint="eastAsia" w:ascii="宋体" w:hAnsi="宋体" w:eastAsia="宋体" w:cs="宋体"/>
          <w:sz w:val="24"/>
          <w:highlight w:val="none"/>
        </w:rPr>
      </w:pPr>
    </w:p>
    <w:p w14:paraId="7D16B67D">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630607DE">
      <w:pPr>
        <w:rPr>
          <w:rFonts w:hint="eastAsia" w:ascii="宋体" w:hAnsi="宋体" w:eastAsia="宋体" w:cs="宋体"/>
          <w:b/>
          <w:color w:val="auto"/>
          <w:szCs w:val="21"/>
          <w:highlight w:val="none"/>
        </w:rPr>
      </w:pPr>
    </w:p>
    <w:p w14:paraId="69E33784">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5E67FE0C">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401CAB2D">
      <w:pPr>
        <w:adjustRightInd w:val="0"/>
        <w:snapToGrid w:val="0"/>
        <w:spacing w:line="360" w:lineRule="auto"/>
        <w:rPr>
          <w:rFonts w:hint="eastAsia" w:ascii="宋体" w:hAnsi="宋体" w:eastAsia="宋体" w:cs="宋体"/>
          <w:b/>
          <w:color w:val="auto"/>
          <w:szCs w:val="21"/>
        </w:rPr>
      </w:pPr>
    </w:p>
    <w:p w14:paraId="5F2D7D5C">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14:paraId="311F8914">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14:paraId="6C3C45C7">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2129CE6B">
      <w:pPr>
        <w:adjustRightInd w:val="0"/>
        <w:snapToGrid w:val="0"/>
        <w:spacing w:line="360" w:lineRule="auto"/>
        <w:ind w:firstLine="44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15C507C">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14:paraId="15883A67">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14:paraId="1CDB4050">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14:paraId="191F6427">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14:paraId="0D61106E">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7B15F212">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14:paraId="09E774A1">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14:paraId="33D28513">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14:paraId="1B5C1D3D">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48BE9834">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14:paraId="55CC1B7C">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14:paraId="4E22BC12">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14:paraId="4848F4F3">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14:paraId="184E69EE">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14:paraId="754C8666">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14:paraId="355FC867">
      <w:pPr>
        <w:rPr>
          <w:rFonts w:hint="eastAsia" w:ascii="宋体" w:hAnsi="宋体" w:eastAsia="宋体" w:cs="宋体"/>
          <w:color w:val="auto"/>
          <w:szCs w:val="21"/>
        </w:rPr>
      </w:pPr>
      <w:r>
        <w:rPr>
          <w:rFonts w:hint="eastAsia" w:ascii="宋体" w:hAnsi="宋体" w:eastAsia="宋体" w:cs="宋体"/>
          <w:color w:val="auto"/>
          <w:szCs w:val="21"/>
        </w:rPr>
        <w:t>特此声明。</w:t>
      </w:r>
    </w:p>
    <w:p w14:paraId="3D654967">
      <w:pPr>
        <w:rPr>
          <w:rFonts w:hint="eastAsia" w:ascii="宋体" w:hAnsi="宋体" w:eastAsia="宋体" w:cs="宋体"/>
          <w:color w:val="auto"/>
          <w:szCs w:val="21"/>
        </w:rPr>
      </w:pPr>
    </w:p>
    <w:p w14:paraId="587029A1">
      <w:pPr>
        <w:rPr>
          <w:rFonts w:hint="eastAsia" w:ascii="宋体" w:hAnsi="宋体" w:eastAsia="宋体" w:cs="宋体"/>
          <w:color w:val="auto"/>
          <w:szCs w:val="21"/>
        </w:rPr>
      </w:pPr>
    </w:p>
    <w:p w14:paraId="40EC6F49">
      <w:pPr>
        <w:rPr>
          <w:rFonts w:hint="eastAsia" w:ascii="宋体" w:hAnsi="宋体" w:eastAsia="宋体" w:cs="宋体"/>
          <w:color w:val="auto"/>
          <w:szCs w:val="21"/>
        </w:rPr>
      </w:pPr>
    </w:p>
    <w:p w14:paraId="4EAF5E82">
      <w:pPr>
        <w:rPr>
          <w:rFonts w:hint="eastAsia" w:ascii="宋体" w:hAnsi="宋体" w:eastAsia="宋体" w:cs="宋体"/>
          <w:color w:val="auto"/>
          <w:szCs w:val="21"/>
        </w:rPr>
      </w:pPr>
    </w:p>
    <w:p w14:paraId="4EE2D9C4">
      <w:pPr>
        <w:rPr>
          <w:rFonts w:hint="eastAsia" w:ascii="宋体" w:hAnsi="宋体" w:eastAsia="宋体" w:cs="宋体"/>
          <w:color w:val="auto"/>
          <w:szCs w:val="21"/>
        </w:rPr>
      </w:pPr>
    </w:p>
    <w:p w14:paraId="28763547">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4BAC4045">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0F8ADEA5">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76FA48AE">
      <w:pPr>
        <w:pStyle w:val="31"/>
        <w:rPr>
          <w:rFonts w:hint="eastAsia" w:ascii="宋体" w:hAnsi="宋体" w:eastAsia="宋体" w:cs="宋体"/>
        </w:rPr>
      </w:pPr>
    </w:p>
    <w:p w14:paraId="77B2DD34">
      <w:pPr>
        <w:pStyle w:val="31"/>
        <w:rPr>
          <w:rFonts w:hint="eastAsia" w:ascii="宋体" w:hAnsi="宋体" w:eastAsia="宋体" w:cs="宋体"/>
          <w:color w:val="auto"/>
          <w:szCs w:val="24"/>
          <w:lang w:val="en-US" w:eastAsia="zh-CN"/>
        </w:rPr>
      </w:pPr>
    </w:p>
    <w:p w14:paraId="557B6E71">
      <w:pPr>
        <w:rPr>
          <w:rFonts w:hint="eastAsia" w:eastAsia="宋体" w:cs="Times New Roman"/>
          <w:lang w:val="en-US" w:eastAsia="zh-CN"/>
        </w:rPr>
      </w:pPr>
    </w:p>
    <w:p w14:paraId="4F6F36D0">
      <w:pPr>
        <w:pStyle w:val="13"/>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3AF9">
    <w:pPr>
      <w:pStyle w:val="13"/>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9DB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9DB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1F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76"/>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38913C4"/>
    <w:rsid w:val="04A309AD"/>
    <w:rsid w:val="04E3586E"/>
    <w:rsid w:val="05297156"/>
    <w:rsid w:val="062760CA"/>
    <w:rsid w:val="06367F91"/>
    <w:rsid w:val="063E7CAE"/>
    <w:rsid w:val="064061DE"/>
    <w:rsid w:val="07897C0E"/>
    <w:rsid w:val="082A1395"/>
    <w:rsid w:val="08B4403A"/>
    <w:rsid w:val="08B60D54"/>
    <w:rsid w:val="094628A0"/>
    <w:rsid w:val="09D91328"/>
    <w:rsid w:val="0ABC2331"/>
    <w:rsid w:val="0B3111FA"/>
    <w:rsid w:val="0B45387B"/>
    <w:rsid w:val="0BA70B3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92C7506"/>
    <w:rsid w:val="193548E0"/>
    <w:rsid w:val="19440BD0"/>
    <w:rsid w:val="1A102318"/>
    <w:rsid w:val="1A206039"/>
    <w:rsid w:val="1B6553C6"/>
    <w:rsid w:val="1BBC4C34"/>
    <w:rsid w:val="1C3C11C6"/>
    <w:rsid w:val="1C7520F8"/>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706D9A"/>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8F1C37"/>
    <w:rsid w:val="36963DEF"/>
    <w:rsid w:val="36D66C33"/>
    <w:rsid w:val="37021294"/>
    <w:rsid w:val="370B211A"/>
    <w:rsid w:val="379D6803"/>
    <w:rsid w:val="38194CD8"/>
    <w:rsid w:val="398C14D9"/>
    <w:rsid w:val="39C15F76"/>
    <w:rsid w:val="3AA01842"/>
    <w:rsid w:val="3ACF286E"/>
    <w:rsid w:val="3C3C48C9"/>
    <w:rsid w:val="3C505CA8"/>
    <w:rsid w:val="3C9E7E8F"/>
    <w:rsid w:val="3CE81B00"/>
    <w:rsid w:val="3D5740DE"/>
    <w:rsid w:val="3E5A5EE4"/>
    <w:rsid w:val="3E5F5AA5"/>
    <w:rsid w:val="3E846C23"/>
    <w:rsid w:val="3EBC7BE3"/>
    <w:rsid w:val="401E2B51"/>
    <w:rsid w:val="40250D42"/>
    <w:rsid w:val="4085194C"/>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BF6E87"/>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73F39B5"/>
    <w:rsid w:val="57B4119F"/>
    <w:rsid w:val="588A28B9"/>
    <w:rsid w:val="5A9164F8"/>
    <w:rsid w:val="5AFE1DDF"/>
    <w:rsid w:val="5B1C1D31"/>
    <w:rsid w:val="5D3A54D2"/>
    <w:rsid w:val="5DD46E27"/>
    <w:rsid w:val="5E997C33"/>
    <w:rsid w:val="5EB007B5"/>
    <w:rsid w:val="5EBC779A"/>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4767D5"/>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BF800EC"/>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5">
    <w:name w:val="heading 1"/>
    <w:basedOn w:val="1"/>
    <w:next w:val="1"/>
    <w:link w:val="52"/>
    <w:qFormat/>
    <w:uiPriority w:val="9"/>
    <w:pPr>
      <w:ind w:left="3144" w:right="3120"/>
      <w:jc w:val="center"/>
      <w:outlineLvl w:val="0"/>
    </w:pPr>
    <w:rPr>
      <w:rFonts w:cs="Times New Roman"/>
      <w:b/>
      <w:bCs/>
      <w:kern w:val="44"/>
      <w:sz w:val="44"/>
      <w:szCs w:val="44"/>
    </w:rPr>
  </w:style>
  <w:style w:type="paragraph" w:styleId="6">
    <w:name w:val="heading 2"/>
    <w:basedOn w:val="1"/>
    <w:next w:val="1"/>
    <w:link w:val="61"/>
    <w:qFormat/>
    <w:uiPriority w:val="9"/>
    <w:pPr>
      <w:ind w:left="3150" w:right="3120"/>
      <w:jc w:val="center"/>
      <w:outlineLvl w:val="1"/>
    </w:pPr>
    <w:rPr>
      <w:rFonts w:ascii="等线 Light" w:hAnsi="等线 Light" w:eastAsia="等线 Light" w:cs="Times New Roman"/>
      <w:b/>
      <w:bCs/>
      <w:sz w:val="32"/>
      <w:szCs w:val="32"/>
    </w:rPr>
  </w:style>
  <w:style w:type="paragraph" w:styleId="7">
    <w:name w:val="heading 3"/>
    <w:basedOn w:val="1"/>
    <w:next w:val="1"/>
    <w:link w:val="57"/>
    <w:qFormat/>
    <w:uiPriority w:val="9"/>
    <w:pPr>
      <w:spacing w:before="48"/>
      <w:ind w:left="3150" w:right="3120"/>
      <w:jc w:val="center"/>
      <w:outlineLvl w:val="2"/>
    </w:pPr>
    <w:rPr>
      <w:rFonts w:cs="Times New Roman"/>
      <w:b/>
      <w:bCs/>
      <w:sz w:val="32"/>
      <w:szCs w:val="32"/>
    </w:rPr>
  </w:style>
  <w:style w:type="paragraph" w:styleId="8">
    <w:name w:val="heading 4"/>
    <w:basedOn w:val="1"/>
    <w:next w:val="1"/>
    <w:link w:val="55"/>
    <w:qFormat/>
    <w:uiPriority w:val="9"/>
    <w:pPr>
      <w:spacing w:before="62"/>
      <w:ind w:left="200"/>
      <w:outlineLvl w:val="3"/>
    </w:pPr>
    <w:rPr>
      <w:rFonts w:ascii="等线 Light" w:hAnsi="等线 Light" w:eastAsia="等线 Light" w:cs="Times New Roman"/>
      <w:b/>
      <w:bCs/>
      <w:sz w:val="28"/>
      <w:szCs w:val="28"/>
    </w:rPr>
  </w:style>
  <w:style w:type="paragraph" w:styleId="9">
    <w:name w:val="heading 5"/>
    <w:basedOn w:val="1"/>
    <w:next w:val="1"/>
    <w:link w:val="63"/>
    <w:qFormat/>
    <w:uiPriority w:val="9"/>
    <w:pPr>
      <w:ind w:left="412" w:hanging="207"/>
      <w:outlineLvl w:val="4"/>
    </w:pPr>
    <w:rPr>
      <w:rFonts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Calibri" w:hAnsi="Calibri"/>
      <w:sz w:val="21"/>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qFormat/>
    <w:uiPriority w:val="99"/>
    <w:pPr>
      <w:snapToGrid w:val="0"/>
    </w:pPr>
    <w:rPr>
      <w:rFonts w:ascii="Arial" w:hAnsi="Arial"/>
    </w:rPr>
  </w:style>
  <w:style w:type="paragraph" w:styleId="10">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11">
    <w:name w:val="Normal Indent"/>
    <w:basedOn w:val="1"/>
    <w:qFormat/>
    <w:uiPriority w:val="0"/>
    <w:pPr>
      <w:ind w:firstLine="420"/>
    </w:pPr>
    <w:rPr>
      <w:szCs w:val="21"/>
    </w:rPr>
  </w:style>
  <w:style w:type="paragraph" w:styleId="12">
    <w:name w:val="annotation text"/>
    <w:basedOn w:val="1"/>
    <w:link w:val="54"/>
    <w:unhideWhenUsed/>
    <w:qFormat/>
    <w:uiPriority w:val="99"/>
    <w:rPr>
      <w:rFonts w:cs="Times New Roman"/>
    </w:rPr>
  </w:style>
  <w:style w:type="paragraph" w:styleId="13">
    <w:name w:val="Body Text"/>
    <w:basedOn w:val="1"/>
    <w:next w:val="3"/>
    <w:link w:val="49"/>
    <w:qFormat/>
    <w:uiPriority w:val="99"/>
    <w:pPr>
      <w:ind w:left="590"/>
    </w:pPr>
    <w:rPr>
      <w:rFonts w:cs="Times New Roman"/>
      <w:szCs w:val="20"/>
    </w:r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9"/>
    <w:unhideWhenUsed/>
    <w:qFormat/>
    <w:uiPriority w:val="99"/>
    <w:rPr>
      <w:rFonts w:cs="Times New Roman"/>
      <w:sz w:val="18"/>
      <w:szCs w:val="18"/>
    </w:rPr>
  </w:style>
  <w:style w:type="paragraph" w:styleId="17">
    <w:name w:val="footer"/>
    <w:basedOn w:val="1"/>
    <w:link w:val="65"/>
    <w:unhideWhenUsed/>
    <w:qFormat/>
    <w:uiPriority w:val="0"/>
    <w:pPr>
      <w:tabs>
        <w:tab w:val="center" w:pos="4153"/>
        <w:tab w:val="right" w:pos="8306"/>
      </w:tabs>
      <w:snapToGrid w:val="0"/>
    </w:pPr>
    <w:rPr>
      <w:rFonts w:cs="Times New Roman"/>
      <w:sz w:val="18"/>
      <w:szCs w:val="18"/>
    </w:rPr>
  </w:style>
  <w:style w:type="paragraph" w:styleId="18">
    <w:name w:val="header"/>
    <w:basedOn w:val="1"/>
    <w:link w:val="51"/>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Body Text Indent 3"/>
    <w:basedOn w:val="1"/>
    <w:link w:val="60"/>
    <w:unhideWhenUsed/>
    <w:qFormat/>
    <w:uiPriority w:val="99"/>
    <w:pPr>
      <w:spacing w:after="120"/>
      <w:ind w:left="420" w:leftChars="200"/>
    </w:pPr>
    <w:rPr>
      <w:rFonts w:cs="Times New Roman"/>
      <w:sz w:val="16"/>
      <w:szCs w:val="16"/>
    </w:rPr>
  </w:style>
  <w:style w:type="paragraph" w:styleId="2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1">
    <w:name w:val="annotation subject"/>
    <w:basedOn w:val="12"/>
    <w:next w:val="12"/>
    <w:link w:val="56"/>
    <w:unhideWhenUsed/>
    <w:qFormat/>
    <w:uiPriority w:val="99"/>
    <w:rPr>
      <w:b/>
      <w:bCs/>
    </w:rPr>
  </w:style>
  <w:style w:type="paragraph" w:styleId="22">
    <w:name w:val="Body Text First Indent"/>
    <w:basedOn w:val="13"/>
    <w:link w:val="53"/>
    <w:unhideWhenUsed/>
    <w:qFormat/>
    <w:uiPriority w:val="99"/>
    <w:pPr>
      <w:spacing w:after="120"/>
      <w:ind w:left="0" w:firstLine="420" w:firstLineChars="100"/>
    </w:pPr>
    <w:rPr>
      <w:szCs w:val="22"/>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rPr>
      <w:rFonts w:cs="Times New Roman"/>
    </w:rPr>
  </w:style>
  <w:style w:type="character" w:styleId="28">
    <w:name w:val="FollowedHyperlink"/>
    <w:basedOn w:val="25"/>
    <w:unhideWhenUsed/>
    <w:qFormat/>
    <w:uiPriority w:val="99"/>
    <w:rPr>
      <w:color w:val="003B70"/>
      <w:u w:val="none"/>
    </w:rPr>
  </w:style>
  <w:style w:type="character" w:styleId="29">
    <w:name w:val="Hyperlink"/>
    <w:basedOn w:val="25"/>
    <w:unhideWhenUsed/>
    <w:qFormat/>
    <w:uiPriority w:val="99"/>
    <w:rPr>
      <w:color w:val="003B70"/>
      <w:u w:val="none"/>
    </w:rPr>
  </w:style>
  <w:style w:type="character" w:styleId="30">
    <w:name w:val="annotation reference"/>
    <w:basedOn w:val="25"/>
    <w:unhideWhenUsed/>
    <w:qFormat/>
    <w:uiPriority w:val="99"/>
    <w:rPr>
      <w:sz w:val="21"/>
      <w:szCs w:val="21"/>
    </w:rPr>
  </w:style>
  <w:style w:type="paragraph" w:customStyle="1" w:styleId="31">
    <w:name w:val="表格文字"/>
    <w:basedOn w:val="32"/>
    <w:next w:val="1"/>
    <w:qFormat/>
    <w:uiPriority w:val="0"/>
    <w:pPr>
      <w:spacing w:before="25" w:after="25"/>
      <w:jc w:val="left"/>
    </w:pPr>
    <w:rPr>
      <w:bCs/>
      <w:spacing w:val="10"/>
      <w:kern w:val="0"/>
      <w:sz w:val="24"/>
      <w:szCs w:val="20"/>
    </w:rPr>
  </w:style>
  <w:style w:type="paragraph" w:customStyle="1" w:styleId="3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5">
    <w:name w:val="图_0"/>
    <w:basedOn w:val="36"/>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Table Paragraph"/>
    <w:basedOn w:val="1"/>
    <w:qFormat/>
    <w:uiPriority w:val="1"/>
    <w:rPr>
      <w:sz w:val="24"/>
      <w:szCs w:val="24"/>
    </w:rPr>
  </w:style>
  <w:style w:type="paragraph" w:customStyle="1" w:styleId="38">
    <w:name w:val="_Style 3"/>
    <w:basedOn w:val="1"/>
    <w:next w:val="19"/>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9">
    <w:name w:val="Char Char Char"/>
    <w:basedOn w:val="1"/>
    <w:qFormat/>
    <w:uiPriority w:val="0"/>
    <w:rPr>
      <w:rFonts w:ascii="宋体" w:hAnsi="宋体"/>
      <w:b/>
      <w:sz w:val="28"/>
      <w:szCs w:val="28"/>
    </w:rPr>
  </w:style>
  <w:style w:type="paragraph" w:customStyle="1" w:styleId="40">
    <w:name w:val="正文1"/>
    <w:basedOn w:val="1"/>
    <w:next w:val="41"/>
    <w:qFormat/>
    <w:uiPriority w:val="0"/>
    <w:pPr>
      <w:spacing w:line="360" w:lineRule="auto"/>
    </w:pPr>
    <w:rPr>
      <w:rFonts w:ascii="宋体" w:hAnsi="华文宋体"/>
      <w:kern w:val="20"/>
      <w:sz w:val="24"/>
      <w:szCs w:val="20"/>
    </w:rPr>
  </w:style>
  <w:style w:type="paragraph" w:customStyle="1" w:styleId="41">
    <w:name w:val="普通正文"/>
    <w:basedOn w:val="40"/>
    <w:qFormat/>
    <w:uiPriority w:val="0"/>
    <w:pPr>
      <w:widowControl/>
      <w:spacing w:line="360" w:lineRule="atLeast"/>
      <w:ind w:firstLine="425"/>
    </w:pPr>
    <w:rPr>
      <w:kern w:val="21"/>
    </w:rPr>
  </w:style>
  <w:style w:type="paragraph" w:customStyle="1" w:styleId="42">
    <w:name w:val="TOC2"/>
    <w:basedOn w:val="1"/>
    <w:next w:val="1"/>
    <w:qFormat/>
    <w:uiPriority w:val="0"/>
    <w:pPr>
      <w:ind w:left="420" w:leftChars="200"/>
    </w:pPr>
    <w:rPr>
      <w:rFonts w:ascii="Calibri" w:hAnsi="Calibri" w:eastAsia="仿宋"/>
      <w:sz w:val="24"/>
    </w:rPr>
  </w:style>
  <w:style w:type="paragraph" w:styleId="43">
    <w:name w:val="List Paragraph"/>
    <w:basedOn w:val="1"/>
    <w:qFormat/>
    <w:uiPriority w:val="1"/>
    <w:pPr>
      <w:ind w:left="206" w:firstLine="384"/>
    </w:pPr>
    <w:rPr>
      <w:sz w:val="24"/>
      <w:szCs w:val="24"/>
    </w:rPr>
  </w:style>
  <w:style w:type="paragraph" w:customStyle="1" w:styleId="44">
    <w:name w:val="_Style 40"/>
    <w:unhideWhenUsed/>
    <w:qFormat/>
    <w:uiPriority w:val="99"/>
    <w:rPr>
      <w:rFonts w:ascii="宋体" w:hAnsi="Times New Roman" w:eastAsia="宋体" w:cs="宋体"/>
      <w:sz w:val="22"/>
      <w:szCs w:val="22"/>
      <w:lang w:val="en-US" w:eastAsia="zh-CN" w:bidi="ar-SA"/>
    </w:rPr>
  </w:style>
  <w:style w:type="paragraph" w:customStyle="1" w:styleId="45">
    <w:name w:val="纯文本_0"/>
    <w:basedOn w:val="36"/>
    <w:qFormat/>
    <w:uiPriority w:val="0"/>
    <w:rPr>
      <w:rFonts w:ascii="宋体" w:hAnsi="Courier New"/>
      <w:kern w:val="0"/>
      <w:sz w:val="20"/>
      <w:szCs w:val="21"/>
    </w:rPr>
  </w:style>
  <w:style w:type="paragraph" w:customStyle="1" w:styleId="46">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font41"/>
    <w:qFormat/>
    <w:uiPriority w:val="0"/>
    <w:rPr>
      <w:rFonts w:ascii="Calibri" w:hAnsi="Calibri" w:cs="Calibri"/>
      <w:color w:val="000000"/>
      <w:sz w:val="21"/>
      <w:szCs w:val="21"/>
      <w:u w:val="none"/>
    </w:rPr>
  </w:style>
  <w:style w:type="character" w:customStyle="1" w:styleId="49">
    <w:name w:val="正文文本 Char"/>
    <w:link w:val="13"/>
    <w:semiHidden/>
    <w:qFormat/>
    <w:uiPriority w:val="99"/>
    <w:rPr>
      <w:rFonts w:ascii="宋体" w:hAnsi="Times New Roman" w:eastAsia="宋体" w:cs="宋体"/>
      <w:kern w:val="0"/>
      <w:sz w:val="22"/>
    </w:rPr>
  </w:style>
  <w:style w:type="character" w:customStyle="1" w:styleId="50">
    <w:name w:val="_Style 0"/>
    <w:qFormat/>
    <w:uiPriority w:val="0"/>
    <w:rPr>
      <w:i/>
      <w:iCs/>
      <w:color w:val="808080"/>
    </w:rPr>
  </w:style>
  <w:style w:type="character" w:customStyle="1" w:styleId="51">
    <w:name w:val="页眉 Char"/>
    <w:link w:val="18"/>
    <w:qFormat/>
    <w:uiPriority w:val="99"/>
    <w:rPr>
      <w:rFonts w:ascii="宋体" w:hAnsi="Times New Roman" w:eastAsia="宋体" w:cs="宋体"/>
      <w:kern w:val="0"/>
      <w:sz w:val="18"/>
      <w:szCs w:val="18"/>
    </w:rPr>
  </w:style>
  <w:style w:type="character" w:customStyle="1" w:styleId="52">
    <w:name w:val="标题 1 Char"/>
    <w:link w:val="5"/>
    <w:qFormat/>
    <w:uiPriority w:val="9"/>
    <w:rPr>
      <w:rFonts w:ascii="宋体" w:hAnsi="Times New Roman" w:eastAsia="宋体" w:cs="宋体"/>
      <w:b/>
      <w:bCs/>
      <w:kern w:val="44"/>
      <w:sz w:val="44"/>
      <w:szCs w:val="44"/>
    </w:rPr>
  </w:style>
  <w:style w:type="character" w:customStyle="1" w:styleId="53">
    <w:name w:val="正文首行缩进 Char"/>
    <w:link w:val="22"/>
    <w:semiHidden/>
    <w:qFormat/>
    <w:uiPriority w:val="99"/>
    <w:rPr>
      <w:rFonts w:ascii="宋体" w:hAnsi="Times New Roman" w:eastAsia="宋体" w:cs="宋体"/>
      <w:kern w:val="0"/>
      <w:sz w:val="22"/>
      <w:szCs w:val="22"/>
    </w:rPr>
  </w:style>
  <w:style w:type="character" w:customStyle="1" w:styleId="54">
    <w:name w:val="批注文字 Char"/>
    <w:link w:val="12"/>
    <w:qFormat/>
    <w:uiPriority w:val="99"/>
    <w:rPr>
      <w:rFonts w:ascii="宋体" w:hAnsi="Times New Roman" w:eastAsia="宋体" w:cs="宋体"/>
      <w:sz w:val="22"/>
      <w:szCs w:val="22"/>
    </w:rPr>
  </w:style>
  <w:style w:type="character" w:customStyle="1" w:styleId="55">
    <w:name w:val="标题 4 Char"/>
    <w:link w:val="8"/>
    <w:semiHidden/>
    <w:qFormat/>
    <w:uiPriority w:val="9"/>
    <w:rPr>
      <w:rFonts w:ascii="等线 Light" w:hAnsi="等线 Light" w:eastAsia="等线 Light" w:cs="Times New Roman"/>
      <w:b/>
      <w:bCs/>
      <w:kern w:val="0"/>
      <w:sz w:val="28"/>
      <w:szCs w:val="28"/>
    </w:rPr>
  </w:style>
  <w:style w:type="character" w:customStyle="1" w:styleId="56">
    <w:name w:val="批注主题 Char"/>
    <w:link w:val="21"/>
    <w:semiHidden/>
    <w:qFormat/>
    <w:uiPriority w:val="99"/>
    <w:rPr>
      <w:rFonts w:ascii="宋体" w:hAnsi="Times New Roman" w:eastAsia="宋体" w:cs="宋体"/>
      <w:b/>
      <w:bCs/>
      <w:sz w:val="22"/>
      <w:szCs w:val="22"/>
    </w:rPr>
  </w:style>
  <w:style w:type="character" w:customStyle="1" w:styleId="57">
    <w:name w:val="标题 3 Char"/>
    <w:link w:val="7"/>
    <w:semiHidden/>
    <w:qFormat/>
    <w:uiPriority w:val="9"/>
    <w:rPr>
      <w:rFonts w:ascii="宋体" w:hAnsi="Times New Roman" w:eastAsia="宋体" w:cs="宋体"/>
      <w:b/>
      <w:bCs/>
      <w:kern w:val="0"/>
      <w:sz w:val="32"/>
      <w:szCs w:val="32"/>
    </w:rPr>
  </w:style>
  <w:style w:type="character" w:customStyle="1" w:styleId="58">
    <w:name w:val="p141_0"/>
    <w:qFormat/>
    <w:uiPriority w:val="0"/>
    <w:rPr>
      <w:rFonts w:ascii="Calibri" w:hAnsi="Calibri"/>
      <w:sz w:val="21"/>
      <w:szCs w:val="21"/>
    </w:rPr>
  </w:style>
  <w:style w:type="character" w:customStyle="1" w:styleId="59">
    <w:name w:val="批注框文本 Char"/>
    <w:link w:val="16"/>
    <w:semiHidden/>
    <w:qFormat/>
    <w:uiPriority w:val="99"/>
    <w:rPr>
      <w:rFonts w:ascii="宋体" w:hAnsi="Times New Roman" w:eastAsia="宋体" w:cs="宋体"/>
      <w:sz w:val="18"/>
      <w:szCs w:val="18"/>
    </w:rPr>
  </w:style>
  <w:style w:type="character" w:customStyle="1" w:styleId="60">
    <w:name w:val="正文文本缩进 3 Char"/>
    <w:link w:val="19"/>
    <w:semiHidden/>
    <w:qFormat/>
    <w:uiPriority w:val="99"/>
    <w:rPr>
      <w:rFonts w:ascii="宋体" w:hAnsi="Times New Roman" w:eastAsia="宋体" w:cs="宋体"/>
      <w:sz w:val="16"/>
      <w:szCs w:val="16"/>
    </w:rPr>
  </w:style>
  <w:style w:type="character" w:customStyle="1" w:styleId="61">
    <w:name w:val="标题 2 Char"/>
    <w:link w:val="6"/>
    <w:semiHidden/>
    <w:qFormat/>
    <w:uiPriority w:val="9"/>
    <w:rPr>
      <w:rFonts w:ascii="等线 Light" w:hAnsi="等线 Light" w:eastAsia="等线 Light" w:cs="Times New Roman"/>
      <w:b/>
      <w:bCs/>
      <w:kern w:val="0"/>
      <w:sz w:val="32"/>
      <w:szCs w:val="32"/>
    </w:rPr>
  </w:style>
  <w:style w:type="character" w:customStyle="1" w:styleId="62">
    <w:name w:val="正文文本 字符1"/>
    <w:semiHidden/>
    <w:qFormat/>
    <w:uiPriority w:val="99"/>
    <w:rPr>
      <w:rFonts w:ascii="宋体" w:hAnsi="Times New Roman" w:eastAsia="宋体" w:cs="宋体"/>
      <w:kern w:val="0"/>
      <w:sz w:val="22"/>
    </w:rPr>
  </w:style>
  <w:style w:type="character" w:customStyle="1" w:styleId="63">
    <w:name w:val="标题 5 Char"/>
    <w:link w:val="9"/>
    <w:semiHidden/>
    <w:qFormat/>
    <w:uiPriority w:val="9"/>
    <w:rPr>
      <w:rFonts w:ascii="宋体" w:hAnsi="Times New Roman" w:eastAsia="宋体" w:cs="宋体"/>
      <w:b/>
      <w:bCs/>
      <w:kern w:val="0"/>
      <w:sz w:val="28"/>
      <w:szCs w:val="28"/>
    </w:rPr>
  </w:style>
  <w:style w:type="character" w:customStyle="1" w:styleId="64">
    <w:name w:val="不明显强调1"/>
    <w:qFormat/>
    <w:uiPriority w:val="0"/>
    <w:rPr>
      <w:i/>
      <w:iCs/>
      <w:color w:val="808080"/>
    </w:rPr>
  </w:style>
  <w:style w:type="character" w:customStyle="1" w:styleId="65">
    <w:name w:val="页脚 Char"/>
    <w:link w:val="17"/>
    <w:qFormat/>
    <w:uiPriority w:val="0"/>
    <w:rPr>
      <w:rFonts w:ascii="宋体" w:hAnsi="Times New Roman" w:eastAsia="宋体" w:cs="宋体"/>
      <w:kern w:val="0"/>
      <w:sz w:val="18"/>
      <w:szCs w:val="18"/>
    </w:rPr>
  </w:style>
  <w:style w:type="paragraph" w:customStyle="1" w:styleId="66">
    <w:name w:val="首行缩进"/>
    <w:basedOn w:val="1"/>
    <w:qFormat/>
    <w:uiPriority w:val="0"/>
    <w:pPr>
      <w:spacing w:line="360" w:lineRule="auto"/>
      <w:ind w:firstLine="420"/>
    </w:pPr>
    <w:rPr>
      <w:rFonts w:ascii="宋体" w:hAnsi="宋体" w:eastAsia="宋体"/>
    </w:rPr>
  </w:style>
  <w:style w:type="character" w:customStyle="1" w:styleId="67">
    <w:name w:val="font21"/>
    <w:basedOn w:val="25"/>
    <w:qFormat/>
    <w:uiPriority w:val="0"/>
    <w:rPr>
      <w:rFonts w:hint="eastAsia" w:ascii="宋体" w:hAnsi="宋体" w:eastAsia="宋体" w:cs="宋体"/>
      <w:color w:val="333333"/>
      <w:sz w:val="20"/>
      <w:szCs w:val="20"/>
      <w:u w:val="none"/>
    </w:rPr>
  </w:style>
  <w:style w:type="paragraph" w:customStyle="1" w:styleId="68">
    <w:name w:val="Char Char1 Char Char Char Char Char Char Char Char Char Char"/>
    <w:basedOn w:val="1"/>
    <w:qFormat/>
    <w:uiPriority w:val="0"/>
    <w:rPr>
      <w:rFonts w:ascii="Tahoma" w:hAnsi="Tahoma"/>
      <w:sz w:val="24"/>
      <w:szCs w:val="20"/>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character" w:customStyle="1" w:styleId="70">
    <w:name w:val="font51"/>
    <w:basedOn w:val="25"/>
    <w:qFormat/>
    <w:uiPriority w:val="0"/>
    <w:rPr>
      <w:rFonts w:hint="eastAsia" w:ascii="宋体" w:hAnsi="宋体" w:eastAsia="宋体" w:cs="宋体"/>
      <w:b/>
      <w:bCs/>
      <w:color w:val="000000"/>
      <w:sz w:val="22"/>
      <w:szCs w:val="22"/>
      <w:u w:val="none"/>
    </w:rPr>
  </w:style>
  <w:style w:type="character" w:customStyle="1" w:styleId="71">
    <w:name w:val="font01"/>
    <w:basedOn w:val="25"/>
    <w:qFormat/>
    <w:uiPriority w:val="0"/>
    <w:rPr>
      <w:rFonts w:hint="eastAsia" w:ascii="等线" w:hAnsi="等线" w:eastAsia="等线" w:cs="等线"/>
      <w:color w:val="000000"/>
      <w:sz w:val="22"/>
      <w:szCs w:val="22"/>
      <w:u w:val="none"/>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3">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4">
    <w:name w:val="正文缩进1"/>
    <w:basedOn w:val="1"/>
    <w:qFormat/>
    <w:uiPriority w:val="0"/>
    <w:pPr>
      <w:ind w:firstLine="420"/>
    </w:pPr>
    <w:rPr>
      <w:szCs w:val="20"/>
    </w:rPr>
  </w:style>
  <w:style w:type="paragraph" w:customStyle="1" w:styleId="75">
    <w:name w:val="正文-manu"/>
    <w:basedOn w:val="1"/>
    <w:qFormat/>
    <w:uiPriority w:val="0"/>
    <w:pPr>
      <w:spacing w:line="300" w:lineRule="auto"/>
    </w:pPr>
    <w:rPr>
      <w:b/>
      <w:kern w:val="0"/>
      <w:sz w:val="24"/>
      <w:szCs w:val="20"/>
    </w:rPr>
  </w:style>
  <w:style w:type="paragraph" w:customStyle="1" w:styleId="76">
    <w:name w:val="技_三级"/>
    <w:basedOn w:val="1"/>
    <w:qFormat/>
    <w:uiPriority w:val="0"/>
    <w:pPr>
      <w:numPr>
        <w:ilvl w:val="2"/>
        <w:numId w:val="1"/>
      </w:numPr>
      <w:tabs>
        <w:tab w:val="left" w:pos="720"/>
      </w:tabs>
      <w:ind w:left="100"/>
      <w:outlineLvl w:val="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1417</Words>
  <Characters>1550</Characters>
  <Lines>634</Lines>
  <Paragraphs>178</Paragraphs>
  <TotalTime>0</TotalTime>
  <ScaleCrop>false</ScaleCrop>
  <LinksUpToDate>false</LinksUpToDate>
  <CharactersWithSpaces>1553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2025-09-02T08:21:36Z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2052-12.1.0.22529</vt:lpwstr>
  </property>
  <property fmtid="{D5CDD505-2E9C-101B-9397-08002B2CF9AE}" pid="4" name="ICV">
    <vt:lpwstr>A254415CA20A4AB485A36E38AA2BA942</vt:lpwstr>
  </property>
  <property fmtid="{D5CDD505-2E9C-101B-9397-08002B2CF9AE}" pid="5" name="KSOTemplateDocerSaveRecord">
    <vt:lpwstr>eyJoZGlkIjoiY2UxZmJiY2RlMzMxNDdlZTIzMzVmNDYzYmNlNTYwODkiLCJ1c2VySWQiOiI2NDYzNTY4ODUifQ==</vt:lpwstr>
  </property>
</Properties>
</file>