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440901-2025-03748</w:t>
      </w:r>
    </w:p>
    <w:p>
      <w:pPr>
        <w:pStyle w:val="null3"/>
        <w:jc w:val="center"/>
        <w:outlineLvl w:val="3"/>
      </w:pPr>
      <w:r>
        <w:rPr>
          <w:sz w:val="24"/>
          <w:b/>
        </w:rPr>
        <w:t>采购项目编号：</w:t>
      </w:r>
      <w:r>
        <w:rPr>
          <w:sz w:val="24"/>
          <w:b/>
        </w:rPr>
        <w:t>0724-2531Z1437485</w:t>
      </w:r>
    </w:p>
    <w:p>
      <w:pPr>
        <w:pStyle w:val="null3"/>
        <w:jc w:val="center"/>
        <w:outlineLvl w:val="3"/>
      </w:pPr>
      <w:r>
        <w:rPr>
          <w:sz w:val="24"/>
          <w:b/>
        </w:rPr>
        <w:t>项目名称：</w:t>
      </w:r>
      <w:r>
        <w:rPr>
          <w:sz w:val="24"/>
          <w:b/>
        </w:rPr>
        <w:t>茂名市中医院医疗设备采购项目(二次)</w:t>
      </w:r>
    </w:p>
    <w:p>
      <w:pPr>
        <w:pStyle w:val="null3"/>
        <w:jc w:val="center"/>
        <w:outlineLvl w:val="3"/>
      </w:pPr>
      <w:r>
        <w:rPr>
          <w:sz w:val="24"/>
          <w:b/>
        </w:rPr>
        <w:t>采购人：</w:t>
      </w:r>
      <w:r>
        <w:rPr>
          <w:sz w:val="24"/>
          <w:b/>
        </w:rPr>
        <w:t>茂名市中医院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茂名市中医院</w:t>
      </w:r>
      <w:r>
        <w:rPr/>
        <w:t>的委托，采用</w:t>
      </w:r>
      <w:r>
        <w:rPr/>
        <w:t>公开招标</w:t>
      </w:r>
      <w:r>
        <w:rPr/>
        <w:t>方式组织采购</w:t>
      </w:r>
      <w:r>
        <w:rPr/>
        <w:t>茂名市中医院医疗设备采购项目(二次)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茂名市中医院医疗设备采购项目(二次)</w:t>
      </w:r>
    </w:p>
    <w:p>
      <w:pPr>
        <w:pStyle w:val="null3"/>
        <w:ind w:firstLine="480"/>
      </w:pPr>
      <w:r>
        <w:rPr/>
        <w:t>采购计划编号：</w:t>
      </w:r>
      <w:r>
        <w:rPr/>
        <w:t>440901-2025-03748</w:t>
      </w:r>
    </w:p>
    <w:p>
      <w:pPr>
        <w:pStyle w:val="null3"/>
        <w:ind w:firstLine="480"/>
      </w:pPr>
      <w:r>
        <w:rPr/>
        <w:t>采购项目编号：</w:t>
      </w:r>
      <w:r>
        <w:rPr/>
        <w:t>0724-2531Z1437485</w:t>
      </w:r>
    </w:p>
    <w:p>
      <w:pPr>
        <w:pStyle w:val="null3"/>
        <w:ind w:firstLine="480"/>
      </w:pPr>
      <w:r>
        <w:rPr/>
        <w:t>采购方式：</w:t>
      </w:r>
      <w:r>
        <w:rPr/>
        <w:t>公开招标</w:t>
      </w:r>
    </w:p>
    <w:p>
      <w:pPr>
        <w:pStyle w:val="null3"/>
        <w:ind w:firstLine="480"/>
      </w:pPr>
      <w:r>
        <w:rPr/>
        <w:t>预算金额：</w:t>
      </w:r>
      <w:r>
        <w:rPr/>
        <w:t>32,000,000.00</w:t>
      </w:r>
      <w:r>
        <w:rPr/>
        <w:t>元</w:t>
      </w:r>
    </w:p>
    <w:p>
      <w:pPr>
        <w:pStyle w:val="null3"/>
        <w:outlineLvl w:val="3"/>
      </w:pPr>
      <w:r>
        <w:rPr>
          <w:sz w:val="24"/>
          <w:b/>
        </w:rPr>
        <w:t>2.项目内容及需求情况（采购项目技术规格、参数及要求）</w:t>
      </w:r>
    </w:p>
    <w:p>
      <w:pPr>
        <w:pStyle w:val="null3"/>
      </w:pPr>
      <w:r>
        <w:rPr/>
        <w:t>采购包1(医用电子直线加速器):</w:t>
      </w:r>
    </w:p>
    <w:p>
      <w:pPr>
        <w:pStyle w:val="null3"/>
      </w:pPr>
      <w:r>
        <w:rPr/>
        <w:t>采购包预算金额：32,000,000.00元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医用放射射线治疗设备</w:t>
            </w:r>
          </w:p>
        </w:tc>
        <w:tc>
          <w:tcPr>
            <w:tcW w:type="dxa" w:w="2136"/>
          </w:tcPr>
          <w:p>
            <w:pPr>
              <w:pStyle w:val="null3"/>
            </w:pPr>
            <w:r>
              <w:rPr/>
              <w:t>医用电子直线加速器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p>
      <w:pPr>
        <w:pStyle w:val="null3"/>
      </w:pPr>
      <w:r>
        <w:rPr/>
        <w:t>4）履行合同所必需的设备和专业技术能力：投标文件中提供《茂名市政府采购资格信用承诺函》，详见附件格式（供应商中标后提供具有履行合同所必需的设备和专业技术能力的证明文件。）。</w:t>
      </w:r>
    </w:p>
    <w:p>
      <w:pPr>
        <w:pStyle w:val="null3"/>
      </w:pPr>
      <w:r>
        <w:rPr/>
        <w:t>5）参加采购活动前3年内，在经营活动中没有重大违法记录：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p>
      <w:pPr>
        <w:pStyle w:val="null3"/>
        <w:outlineLvl w:val="3"/>
      </w:pPr>
      <w:r>
        <w:rPr>
          <w:sz w:val="24"/>
          <w:b/>
        </w:rPr>
        <w:t>2.落实政府采购政策需满足的资格要求：</w:t>
      </w:r>
    </w:p>
    <w:p>
      <w:pPr>
        <w:pStyle w:val="null3"/>
        <w:jc w:val="left"/>
      </w:pPr>
      <w:r>
        <w:rPr/>
        <w:t>采购包1（医用电子直线加速器）：</w:t>
      </w:r>
      <w:r>
        <w:rPr/>
        <w:t>本项目不属于专门面向中小企业预留采购份额的项目。</w:t>
      </w:r>
    </w:p>
    <w:p>
      <w:pPr>
        <w:pStyle w:val="null3"/>
        <w:outlineLvl w:val="3"/>
      </w:pPr>
      <w:r>
        <w:rPr>
          <w:sz w:val="24"/>
          <w:b/>
        </w:rPr>
        <w:t>3.本项目特定的资格要求：</w:t>
      </w:r>
    </w:p>
    <w:p>
      <w:pPr>
        <w:pStyle w:val="null3"/>
      </w:pPr>
      <w:r>
        <w:rPr/>
        <w:t>采购包1（医用电子直线加速器）：</w:t>
      </w:r>
    </w:p>
    <w:p>
      <w:pPr>
        <w:pStyle w:val="null3"/>
      </w:pPr>
      <w:r>
        <w:rPr/>
        <w:t>1)供应商未被列入“信用中国”网站(www.creditchina.gov.cn)“记录失信被执行人或重大税收违法案件当事人名单”记录名单；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5)具备医疗器械经营许可证（如投标人为代理经销商）或医疗器械生产许可证（如投标人为制造商）。（如国家另有规定，则适用其规定）。</w:t>
      </w:r>
    </w:p>
    <w:p>
      <w:pPr>
        <w:pStyle w:val="null3"/>
      </w:pPr>
      <w:r>
        <w:rPr/>
        <w:t>6)供应商应具备有效的《辐射安全许可证》，且许可证规定的种类和范围能够满足本项目投标需要。（如国家另有规定，则适用其规定）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茂名市中医院</w:t>
      </w:r>
    </w:p>
    <w:p>
      <w:pPr>
        <w:pStyle w:val="null3"/>
        <w:ind w:firstLine="480"/>
      </w:pPr>
      <w:r>
        <w:rPr/>
        <w:t xml:space="preserve"> 地址：</w:t>
      </w:r>
      <w:r>
        <w:rPr/>
        <w:t>广东省茂名市油城五路7号大院</w:t>
      </w:r>
    </w:p>
    <w:p>
      <w:pPr>
        <w:pStyle w:val="null3"/>
        <w:ind w:firstLine="480"/>
      </w:pPr>
      <w:r>
        <w:rPr/>
        <w:t xml:space="preserve"> 联系方式：</w:t>
      </w:r>
      <w:r>
        <w:rPr/>
        <w:t>0668-2281766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rPr>
        <w:t>1</w:t>
      </w:r>
      <w:r>
        <w:rPr>
          <w:sz w:val="32"/>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34"/>
        <w:gridCol w:w="4111"/>
        <w:gridCol w:w="1248"/>
        <w:gridCol w:w="2010"/>
      </w:tblGrid>
      <w:tr>
        <w:tc>
          <w:tcPr>
            <w:tcW w:type="dxa" w:w="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包组</w:t>
            </w:r>
          </w:p>
        </w:tc>
        <w:tc>
          <w:tcPr>
            <w:tcW w:type="dxa" w:w="4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数量（套）</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采购预算（万元）</w:t>
            </w:r>
          </w:p>
        </w:tc>
      </w:tr>
      <w:tr>
        <w:tc>
          <w:tcPr>
            <w:tcW w:type="dxa" w:w="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医用电子直线加速器</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3200</w:t>
            </w:r>
          </w:p>
        </w:tc>
      </w:tr>
    </w:tbl>
    <w:p>
      <w:pPr>
        <w:pStyle w:val="null3"/>
        <w:jc w:val="both"/>
      </w:pPr>
      <w:r>
        <w:rPr>
          <w:sz w:val="32"/>
          <w:b/>
        </w:rPr>
        <w:t>2.</w:t>
      </w:r>
      <w:r>
        <w:rPr>
          <w:sz w:val="32"/>
          <w:b/>
        </w:rPr>
        <w:t>总体要求：</w:t>
      </w:r>
    </w:p>
    <w:p>
      <w:pPr>
        <w:pStyle w:val="null3"/>
        <w:ind w:firstLine="444"/>
        <w:jc w:val="both"/>
      </w:pPr>
      <w:r>
        <w:rPr>
          <w:sz w:val="21"/>
        </w:rPr>
        <w:t>(1)</w:t>
      </w:r>
      <w:r>
        <w:rPr>
          <w:sz w:val="21"/>
        </w:rPr>
        <w:t>投标人必须对本项目（所投包号内）的所有内容进行投标。</w:t>
      </w:r>
    </w:p>
    <w:p>
      <w:pPr>
        <w:pStyle w:val="null3"/>
        <w:ind w:firstLine="444"/>
        <w:jc w:val="both"/>
      </w:pPr>
      <w:r>
        <w:rPr>
          <w:sz w:val="21"/>
        </w:rPr>
        <w:t>(2)</w:t>
      </w:r>
      <w:r>
        <w:rPr>
          <w:sz w:val="21"/>
        </w:rPr>
        <w:t>投标人漏报的单价或每单价投标中漏报、少报的费用，视为此项费用已包含在投标中，中标后不得再向采购人收取任何费用。</w:t>
      </w:r>
    </w:p>
    <w:p>
      <w:pPr>
        <w:pStyle w:val="null3"/>
        <w:ind w:firstLine="444"/>
        <w:jc w:val="both"/>
      </w:pPr>
      <w:r>
        <w:rPr>
          <w:sz w:val="21"/>
        </w:rPr>
        <w:t>（</w:t>
      </w:r>
      <w:r>
        <w:rPr>
          <w:sz w:val="21"/>
        </w:rPr>
        <w:t>3</w:t>
      </w:r>
      <w:r>
        <w:rPr>
          <w:sz w:val="21"/>
        </w:rPr>
        <w:t>）投标人所投产品需对“用户需求书”中所有技术条款一一响应。</w:t>
      </w:r>
    </w:p>
    <w:p>
      <w:pPr>
        <w:pStyle w:val="null3"/>
        <w:ind w:firstLine="444"/>
        <w:jc w:val="both"/>
      </w:pPr>
      <w:r>
        <w:rPr>
          <w:sz w:val="21"/>
        </w:rPr>
        <w:t>（</w:t>
      </w:r>
      <w:r>
        <w:rPr>
          <w:sz w:val="21"/>
        </w:rPr>
        <w:t>4</w:t>
      </w:r>
      <w:r>
        <w:rPr>
          <w:sz w:val="21"/>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p>
    <w:p>
      <w:pPr>
        <w:pStyle w:val="null3"/>
        <w:ind w:firstLine="444"/>
        <w:jc w:val="both"/>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要求供货保障方案完整，生产经销计划详尽，配备多维度及时供货措施，供货渠道稳定充足，有风险应对预案，完全匹配项目需求。</w:t>
      </w:r>
    </w:p>
    <w:p>
      <w:pPr>
        <w:pStyle w:val="null3"/>
        <w:ind w:firstLine="444"/>
        <w:jc w:val="both"/>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44"/>
        <w:jc w:val="both"/>
      </w:pPr>
      <w:r>
        <w:rPr>
          <w:sz w:val="21"/>
        </w:rPr>
        <w:t>(7)</w:t>
      </w:r>
      <w:r>
        <w:rPr>
          <w:sz w:val="21"/>
        </w:rPr>
        <w:t>同类项目经验：投标文件提供自</w:t>
      </w:r>
      <w:r>
        <w:rPr>
          <w:sz w:val="21"/>
        </w:rPr>
        <w:t>2022</w:t>
      </w:r>
      <w:r>
        <w:rPr>
          <w:sz w:val="21"/>
        </w:rPr>
        <w:t>年</w:t>
      </w:r>
      <w:r>
        <w:rPr>
          <w:sz w:val="21"/>
        </w:rPr>
        <w:t>1</w:t>
      </w:r>
      <w:r>
        <w:rPr>
          <w:sz w:val="21"/>
        </w:rPr>
        <w:t>月</w:t>
      </w:r>
      <w:r>
        <w:rPr>
          <w:sz w:val="21"/>
        </w:rPr>
        <w:t>1</w:t>
      </w:r>
      <w:r>
        <w:rPr>
          <w:sz w:val="21"/>
        </w:rPr>
        <w:t>日以来（以合同签订时间为准）所投医用电子直线加速器供货经验，投标文件提供合同关键页</w:t>
      </w:r>
      <w:r>
        <w:rPr>
          <w:sz w:val="21"/>
        </w:rPr>
        <w:t>(</w:t>
      </w:r>
      <w:r>
        <w:rPr>
          <w:sz w:val="21"/>
        </w:rPr>
        <w:t>合同内容中须含有该厂家所投医用电子直线加速器且同品牌同类型的，该业绩针对产品本身，不限定供货方身份：合同中须包含双方单位名称、签字盖章及日期</w:t>
      </w:r>
      <w:r>
        <w:rPr>
          <w:sz w:val="21"/>
        </w:rPr>
        <w:t>)</w:t>
      </w:r>
      <w:r>
        <w:rPr>
          <w:sz w:val="21"/>
        </w:rPr>
        <w:t>。</w:t>
      </w:r>
    </w:p>
    <w:p>
      <w:pPr>
        <w:pStyle w:val="null3"/>
        <w:ind w:firstLine="444"/>
        <w:jc w:val="both"/>
      </w:pPr>
      <w:r>
        <w:rPr>
          <w:sz w:val="21"/>
        </w:rPr>
        <w:t>有关</w:t>
      </w:r>
      <w:r>
        <w:rPr>
          <w:sz w:val="21"/>
          <w:b/>
        </w:rPr>
        <w:t>具体技术</w:t>
      </w:r>
      <w:r>
        <w:rPr>
          <w:sz w:val="21"/>
          <w:b/>
        </w:rPr>
        <w:t>(</w:t>
      </w:r>
      <w:r>
        <w:rPr>
          <w:sz w:val="21"/>
          <w:b/>
        </w:rPr>
        <w:t>参数</w:t>
      </w:r>
      <w:r>
        <w:rPr>
          <w:sz w:val="21"/>
          <w:b/>
        </w:rPr>
        <w:t>)</w:t>
      </w:r>
      <w:r>
        <w:rPr>
          <w:sz w:val="21"/>
          <w:b/>
        </w:rPr>
        <w:t>要求中</w:t>
      </w:r>
      <w:r>
        <w:rPr>
          <w:sz w:val="21"/>
        </w:rPr>
        <w:t>需求仅作为技术</w:t>
      </w:r>
      <w:r>
        <w:rPr>
          <w:sz w:val="21"/>
        </w:rPr>
        <w:t>/</w:t>
      </w:r>
      <w:r>
        <w:rPr>
          <w:sz w:val="21"/>
        </w:rPr>
        <w:t>服务的客观描述，无限制性或指向性，投标方案必须满足或优于。</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需求有关政策、标准、规范等，如有更新的，以最新现行版本为准。</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需求所述的</w:t>
      </w:r>
      <w:r>
        <w:rPr>
          <w:sz w:val="21"/>
        </w:rPr>
        <w:t>“大于”“小于”“以上”“以下”等描述或符号均包含本数。</w:t>
      </w:r>
    </w:p>
    <w:p>
      <w:pPr>
        <w:pStyle w:val="null3"/>
        <w:jc w:val="both"/>
      </w:pPr>
      <w:r>
        <w:rPr>
          <w:sz w:val="21"/>
        </w:rPr>
        <w:t>除另有说明外，</w:t>
      </w:r>
      <w:r>
        <w:rPr>
          <w:sz w:val="21"/>
          <w:b/>
        </w:rPr>
        <w:t>具体技术</w:t>
      </w:r>
      <w:r>
        <w:rPr>
          <w:sz w:val="21"/>
          <w:b/>
        </w:rPr>
        <w:t>(</w:t>
      </w:r>
      <w:r>
        <w:rPr>
          <w:sz w:val="21"/>
          <w:b/>
        </w:rPr>
        <w:t>参数</w:t>
      </w:r>
      <w:r>
        <w:rPr>
          <w:sz w:val="21"/>
          <w:b/>
        </w:rPr>
        <w:t>)</w:t>
      </w:r>
      <w:r>
        <w:rPr>
          <w:sz w:val="21"/>
          <w:b/>
        </w:rPr>
        <w:t>要求中</w:t>
      </w:r>
      <w:r>
        <w:rPr>
          <w:sz w:val="21"/>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jc w:val="both"/>
      </w:pPr>
      <w:r>
        <w:rPr>
          <w:sz w:val="21"/>
          <w:b/>
        </w:rPr>
        <w:t>具体技术</w:t>
      </w:r>
      <w:r>
        <w:rPr>
          <w:sz w:val="21"/>
          <w:b/>
        </w:rPr>
        <w:t>(</w:t>
      </w:r>
      <w:r>
        <w:rPr>
          <w:sz w:val="21"/>
          <w:b/>
        </w:rPr>
        <w:t>参数</w:t>
      </w:r>
      <w:r>
        <w:rPr>
          <w:sz w:val="21"/>
          <w:b/>
        </w:rPr>
        <w:t>)</w:t>
      </w:r>
      <w:r>
        <w:rPr>
          <w:sz w:val="21"/>
          <w:b/>
        </w:rPr>
        <w:t>要求中</w:t>
      </w:r>
      <w:r>
        <w:rPr>
          <w:sz w:val="21"/>
        </w:rPr>
        <w:t>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★属于节能产品政府采购品目清单中强制采购的产品，须具备国家确定的认证机构出具的、处于有效期之内的节能产品认证证书。（投标文件提供书面承诺函并加盖公章）</w:t>
      </w:r>
    </w:p>
    <w:p>
      <w:pPr>
        <w:pStyle w:val="null3"/>
        <w:jc w:val="center"/>
      </w:pPr>
      <w:r>
        <w:rPr>
          <w:sz w:val="24"/>
          <w:b/>
        </w:rPr>
        <w:t>用户需求书</w:t>
      </w:r>
    </w:p>
    <w:p>
      <w:pPr>
        <w:pStyle w:val="null3"/>
        <w:spacing w:before="150" w:after="150"/>
        <w:jc w:val="center"/>
      </w:pPr>
      <w:r>
        <w:rPr>
          <w:sz w:val="21"/>
          <w:b/>
        </w:rPr>
        <w:t>医用电子直线加速器</w:t>
      </w:r>
      <w:r>
        <w:rPr>
          <w:sz w:val="21"/>
          <w:b/>
        </w:rPr>
        <w:t>-</w:t>
      </w:r>
      <w:r>
        <w:rPr>
          <w:sz w:val="21"/>
          <w:b/>
        </w:rPr>
        <w:t>技术要求</w:t>
      </w:r>
    </w:p>
    <w:tbl>
      <w:tblPr>
        <w:tblW w:w="0" w:type="auto"/>
        <w:tblBorders>
          <w:top w:val="none" w:color="000000" w:sz="4"/>
          <w:left w:val="none" w:color="000000" w:sz="4"/>
          <w:bottom w:val="none" w:color="000000" w:sz="4"/>
          <w:right w:val="none" w:color="000000" w:sz="4"/>
          <w:insideH w:val="none"/>
          <w:insideV w:val="none"/>
        </w:tblBorders>
      </w:tblPr>
      <w:tblGrid>
        <w:gridCol w:w="1583"/>
        <w:gridCol w:w="6721"/>
      </w:tblGrid>
      <w:tr>
        <w:tc>
          <w:tcPr>
            <w:tcW w:type="dxa" w:w="15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技术规格要求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主系统要求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基本要求：可开展</w:t>
            </w:r>
            <w:r>
              <w:rPr>
                <w:sz w:val="21"/>
              </w:rPr>
              <w:t>3D-CRT</w:t>
            </w:r>
            <w:r>
              <w:rPr>
                <w:sz w:val="21"/>
              </w:rPr>
              <w:t>三维适形、</w:t>
            </w:r>
            <w:r>
              <w:rPr>
                <w:sz w:val="21"/>
              </w:rPr>
              <w:t>IMRT</w:t>
            </w:r>
            <w:r>
              <w:rPr>
                <w:sz w:val="21"/>
              </w:rPr>
              <w:t>调强放疗（静态、动态）、</w:t>
            </w:r>
            <w:r>
              <w:rPr>
                <w:sz w:val="21"/>
              </w:rPr>
              <w:t>IGRT</w:t>
            </w:r>
            <w:r>
              <w:rPr>
                <w:sz w:val="21"/>
              </w:rPr>
              <w:t>图像引导、</w:t>
            </w:r>
            <w:r>
              <w:rPr>
                <w:sz w:val="21"/>
              </w:rPr>
              <w:t>VMAT</w:t>
            </w:r>
            <w:r>
              <w:rPr>
                <w:sz w:val="21"/>
              </w:rPr>
              <w:t>容积旋转调强放疗、</w:t>
            </w:r>
            <w:r>
              <w:rPr>
                <w:sz w:val="21"/>
              </w:rPr>
              <w:t>SRS/SBRT</w:t>
            </w:r>
            <w:r>
              <w:rPr>
                <w:sz w:val="21"/>
              </w:rPr>
              <w:t>立体定向放射外科。</w:t>
            </w:r>
          </w:p>
          <w:p>
            <w:pPr>
              <w:pStyle w:val="null3"/>
              <w:jc w:val="both"/>
            </w:pPr>
            <w:r>
              <w:rPr>
                <w:sz w:val="21"/>
              </w:rPr>
              <w:t>适应症：主机设备可用于对人体适合接受放射治疗的病灶和肿瘤提供立体定向放射外科治疗和放射治疗，其中立体定向放射外科治疗可用于放疗临床应用成熟、疗效确切的良性疾病和部分功能性疾病。</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全自动自检系统：开机</w:t>
            </w:r>
            <w:r>
              <w:rPr>
                <w:sz w:val="21"/>
              </w:rPr>
              <w:t>5min</w:t>
            </w:r>
            <w:r>
              <w:rPr>
                <w:sz w:val="21"/>
              </w:rPr>
              <w:t>全自动设备性能检测，治疗等中心小大</w:t>
            </w:r>
            <w:r>
              <w:rPr>
                <w:sz w:val="21"/>
              </w:rPr>
              <w:t>/</w:t>
            </w:r>
            <w:r>
              <w:rPr>
                <w:sz w:val="21"/>
              </w:rPr>
              <w:t>位置，治疗等中心</w:t>
            </w:r>
            <w:r>
              <w:rPr>
                <w:sz w:val="21"/>
              </w:rPr>
              <w:t>MV&amp;KV</w:t>
            </w:r>
            <w:r>
              <w:rPr>
                <w:sz w:val="21"/>
              </w:rPr>
              <w:t>影像等中心的符合性、准直器旋转偏差、机架到位精度、</w:t>
            </w:r>
            <w:r>
              <w:rPr>
                <w:sz w:val="21"/>
              </w:rPr>
              <w:t>MLC</w:t>
            </w:r>
            <w:r>
              <w:rPr>
                <w:sz w:val="21"/>
              </w:rPr>
              <w:t>叶片位置精度、铅门位置精度、束流输出量一致性检查、束流离轴比一致性检查、射束等中心点偏移等参数。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射野剂量验证系统：内置化射野剂量验证系统，快速测量与验证，确保治疗计划一致性和治疗效果，并提高治疗效率。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加速管类型：驻波或行波</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微波功率源：速调管或磁控管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微波输出的峰值功率：</w:t>
            </w:r>
            <w:r>
              <w:rPr>
                <w:sz w:val="21"/>
              </w:rPr>
              <w:t>≥</w:t>
            </w:r>
            <w:r>
              <w:rPr>
                <w:sz w:val="21"/>
              </w:rPr>
              <w:t>5MW</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电子枪：三极数字化栅控电子枪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电子枪结构设计：可以单独从加速管拆卸下来，便于更换，使机器的停机时间缩短到最小。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束流偏转与输出系统：</w:t>
            </w:r>
            <w:r>
              <w:rPr>
                <w:sz w:val="21"/>
              </w:rPr>
              <w:t>270</w:t>
            </w:r>
            <w:r>
              <w:rPr>
                <w:sz w:val="21"/>
              </w:rPr>
              <w:t>度磁偏转系统或直出式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系统内部的计算机控制体系应具有临床应用模式，特殊治疗应用模式，拍片模式，物理模式和维修模式。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嵌入式高效</w:t>
            </w:r>
            <w:r>
              <w:rPr>
                <w:sz w:val="21"/>
              </w:rPr>
              <w:t>MPC</w:t>
            </w:r>
            <w:r>
              <w:rPr>
                <w:sz w:val="21"/>
              </w:rPr>
              <w:t>模块</w:t>
            </w:r>
            <w:r>
              <w:rPr>
                <w:sz w:val="21"/>
              </w:rPr>
              <w:t>QA</w:t>
            </w:r>
            <w:r>
              <w:rPr>
                <w:sz w:val="21"/>
              </w:rPr>
              <w:t>功能，</w:t>
            </w:r>
            <w:r>
              <w:rPr>
                <w:sz w:val="21"/>
              </w:rPr>
              <w:t>QA</w:t>
            </w:r>
            <w:r>
              <w:rPr>
                <w:sz w:val="21"/>
              </w:rPr>
              <w:t>软件整合于加速器控制台，利用专用模体和机载</w:t>
            </w:r>
            <w:r>
              <w:rPr>
                <w:sz w:val="21"/>
              </w:rPr>
              <w:t>kV/MV</w:t>
            </w:r>
            <w:r>
              <w:rPr>
                <w:sz w:val="21"/>
              </w:rPr>
              <w:t>影像系统，可在</w:t>
            </w:r>
            <w:r>
              <w:rPr>
                <w:sz w:val="21"/>
              </w:rPr>
              <w:t>5</w:t>
            </w:r>
            <w:r>
              <w:rPr>
                <w:sz w:val="21"/>
              </w:rPr>
              <w:t>分钟之内快速完成下述</w:t>
            </w:r>
            <w:r>
              <w:rPr>
                <w:sz w:val="21"/>
              </w:rPr>
              <w:t>QA</w:t>
            </w:r>
            <w:r>
              <w:rPr>
                <w:sz w:val="21"/>
              </w:rPr>
              <w:t>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机械性能检查：</w:t>
            </w:r>
          </w:p>
          <w:p>
            <w:pPr>
              <w:pStyle w:val="null3"/>
              <w:jc w:val="both"/>
            </w:pPr>
            <w:r>
              <w:rPr>
                <w:sz w:val="21"/>
              </w:rPr>
              <w:t>(1)</w:t>
            </w:r>
            <w:r>
              <w:rPr>
                <w:sz w:val="21"/>
              </w:rPr>
              <w:t>治疗等中心范围</w:t>
            </w:r>
            <w:r>
              <w:rPr>
                <w:sz w:val="21"/>
              </w:rPr>
              <w:t>/</w:t>
            </w:r>
            <w:r>
              <w:rPr>
                <w:sz w:val="21"/>
              </w:rPr>
              <w:t>定位</w:t>
            </w:r>
          </w:p>
          <w:p>
            <w:pPr>
              <w:pStyle w:val="null3"/>
              <w:jc w:val="both"/>
            </w:pPr>
            <w:r>
              <w:rPr>
                <w:sz w:val="21"/>
              </w:rPr>
              <w:t>(2)</w:t>
            </w:r>
            <w:r>
              <w:rPr>
                <w:sz w:val="21"/>
              </w:rPr>
              <w:t>治疗等中心与</w:t>
            </w:r>
            <w:r>
              <w:rPr>
                <w:sz w:val="21"/>
              </w:rPr>
              <w:t>MV&amp;kV</w:t>
            </w:r>
            <w:r>
              <w:rPr>
                <w:sz w:val="21"/>
              </w:rPr>
              <w:t>影像等中心的一致性</w:t>
            </w:r>
          </w:p>
          <w:p>
            <w:pPr>
              <w:pStyle w:val="null3"/>
              <w:jc w:val="both"/>
            </w:pPr>
            <w:r>
              <w:rPr>
                <w:sz w:val="21"/>
              </w:rPr>
              <w:t>(3)</w:t>
            </w:r>
            <w:r>
              <w:rPr>
                <w:sz w:val="21"/>
              </w:rPr>
              <w:t>准直器旋转误差</w:t>
            </w:r>
          </w:p>
          <w:p>
            <w:pPr>
              <w:pStyle w:val="null3"/>
              <w:jc w:val="both"/>
            </w:pPr>
            <w:r>
              <w:rPr>
                <w:sz w:val="21"/>
              </w:rPr>
              <w:t>(4)</w:t>
            </w:r>
            <w:r>
              <w:rPr>
                <w:sz w:val="21"/>
              </w:rPr>
              <w:t>机架定位精度</w:t>
            </w:r>
          </w:p>
          <w:p>
            <w:pPr>
              <w:pStyle w:val="null3"/>
              <w:jc w:val="both"/>
            </w:pPr>
            <w:r>
              <w:rPr>
                <w:sz w:val="21"/>
              </w:rPr>
              <w:t>(5)</w:t>
            </w:r>
            <w:r>
              <w:rPr>
                <w:sz w:val="21"/>
              </w:rPr>
              <w:t>治疗床摆位精度</w:t>
            </w:r>
          </w:p>
          <w:p>
            <w:pPr>
              <w:pStyle w:val="null3"/>
              <w:jc w:val="both"/>
            </w:pPr>
            <w:r>
              <w:rPr>
                <w:sz w:val="21"/>
              </w:rPr>
              <w:t>(6)MLC</w:t>
            </w:r>
            <w:r>
              <w:rPr>
                <w:sz w:val="21"/>
              </w:rPr>
              <w:t>叶片位置</w:t>
            </w:r>
          </w:p>
          <w:p>
            <w:pPr>
              <w:pStyle w:val="null3"/>
              <w:jc w:val="both"/>
            </w:pPr>
            <w:r>
              <w:rPr>
                <w:sz w:val="21"/>
              </w:rPr>
              <w:t>(7)</w:t>
            </w:r>
            <w:r>
              <w:rPr>
                <w:sz w:val="21"/>
              </w:rPr>
              <w:t>铅门位置精度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束流性能检查：</w:t>
            </w:r>
          </w:p>
          <w:p>
            <w:pPr>
              <w:pStyle w:val="null3"/>
              <w:jc w:val="both"/>
            </w:pPr>
            <w:r>
              <w:rPr>
                <w:sz w:val="21"/>
              </w:rPr>
              <w:t>(1)</w:t>
            </w:r>
            <w:r>
              <w:rPr>
                <w:sz w:val="21"/>
              </w:rPr>
              <w:t>束流输出量一致性检查</w:t>
            </w:r>
          </w:p>
          <w:p>
            <w:pPr>
              <w:pStyle w:val="null3"/>
              <w:jc w:val="both"/>
            </w:pPr>
            <w:r>
              <w:rPr>
                <w:sz w:val="21"/>
              </w:rPr>
              <w:t>(2)</w:t>
            </w:r>
            <w:r>
              <w:rPr>
                <w:sz w:val="21"/>
              </w:rPr>
              <w:t>束流离轴比一致性检查</w:t>
            </w:r>
          </w:p>
          <w:p>
            <w:pPr>
              <w:pStyle w:val="null3"/>
              <w:jc w:val="both"/>
            </w:pPr>
            <w:r>
              <w:rPr>
                <w:sz w:val="21"/>
              </w:rPr>
              <w:t>(3)</w:t>
            </w:r>
            <w:r>
              <w:rPr>
                <w:sz w:val="21"/>
              </w:rPr>
              <w:t>束流中心偏移量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线束流特性</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射线能量：</w:t>
            </w:r>
          </w:p>
          <w:p>
            <w:pPr>
              <w:pStyle w:val="null3"/>
              <w:jc w:val="both"/>
            </w:pPr>
            <w:r>
              <w:rPr>
                <w:sz w:val="21"/>
              </w:rPr>
              <w:t>具备</w:t>
            </w:r>
            <w:r>
              <w:rPr>
                <w:sz w:val="21"/>
              </w:rPr>
              <w:t>X</w:t>
            </w:r>
            <w:r>
              <w:rPr>
                <w:sz w:val="21"/>
              </w:rPr>
              <w:t>线高剂量率模式</w:t>
            </w:r>
            <w:r>
              <w:rPr>
                <w:sz w:val="21"/>
              </w:rPr>
              <w:t>6MV FFF</w:t>
            </w:r>
            <w:r>
              <w:rPr>
                <w:sz w:val="21"/>
              </w:rPr>
              <w:t>；常规剂量率模式≥</w:t>
            </w:r>
            <w:r>
              <w:rPr>
                <w:sz w:val="21"/>
              </w:rPr>
              <w:t>600MU/min</w:t>
            </w:r>
            <w:r>
              <w:rPr>
                <w:sz w:val="21"/>
              </w:rPr>
              <w:t>，高剂量率模式≥</w:t>
            </w:r>
            <w:r>
              <w:rPr>
                <w:sz w:val="21"/>
              </w:rPr>
              <w:t>1400MU/min</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w:t>
            </w:r>
            <w:r>
              <w:rPr>
                <w:sz w:val="21"/>
              </w:rPr>
              <w:t>X</w:t>
            </w:r>
            <w:r>
              <w:rPr>
                <w:sz w:val="21"/>
              </w:rPr>
              <w:t>射线能量挡最大剂量建成深度</w:t>
            </w:r>
            <w:r>
              <w:rPr>
                <w:sz w:val="21"/>
              </w:rPr>
              <w:t>Dmax</w:t>
            </w:r>
            <w:r>
              <w:rPr>
                <w:sz w:val="21"/>
              </w:rPr>
              <w:t>（</w:t>
            </w:r>
            <w:r>
              <w:rPr>
                <w:sz w:val="21"/>
              </w:rPr>
              <w:t>SSD=100cm</w:t>
            </w:r>
            <w:r>
              <w:rPr>
                <w:sz w:val="21"/>
              </w:rPr>
              <w:t>，</w:t>
            </w:r>
            <w:r>
              <w:rPr>
                <w:sz w:val="21"/>
              </w:rPr>
              <w:t>10</w:t>
            </w:r>
            <w:r>
              <w:rPr>
                <w:sz w:val="21"/>
              </w:rPr>
              <w:t>×</w:t>
            </w:r>
            <w:r>
              <w:rPr>
                <w:sz w:val="21"/>
              </w:rPr>
              <w:t>10cm</w:t>
            </w:r>
            <w:r>
              <w:rPr>
                <w:sz w:val="21"/>
              </w:rPr>
              <w:t>射野）：</w:t>
            </w:r>
          </w:p>
          <w:p>
            <w:pPr>
              <w:pStyle w:val="null3"/>
              <w:jc w:val="both"/>
            </w:pPr>
            <w:r>
              <w:rPr>
                <w:sz w:val="21"/>
              </w:rPr>
              <w:t>常规剂量率模式：</w:t>
            </w:r>
            <w:r>
              <w:rPr>
                <w:sz w:val="21"/>
              </w:rPr>
              <w:t>6MV</w:t>
            </w:r>
            <w:r>
              <w:rPr>
                <w:sz w:val="21"/>
              </w:rPr>
              <w:t>：</w:t>
            </w:r>
            <w:r>
              <w:rPr>
                <w:sz w:val="21"/>
              </w:rPr>
              <w:t>1.5cm</w:t>
            </w:r>
            <w:r>
              <w:rPr>
                <w:sz w:val="21"/>
              </w:rPr>
              <w:t>±</w:t>
            </w:r>
            <w:r>
              <w:rPr>
                <w:sz w:val="21"/>
              </w:rPr>
              <w:t>0.15cm</w:t>
            </w:r>
            <w:r>
              <w:rPr>
                <w:sz w:val="21"/>
              </w:rPr>
              <w:t>；</w:t>
            </w:r>
            <w:r>
              <w:rPr>
                <w:sz w:val="21"/>
              </w:rPr>
              <w:t>10MV</w:t>
            </w:r>
            <w:r>
              <w:rPr>
                <w:sz w:val="21"/>
              </w:rPr>
              <w:t>：</w:t>
            </w:r>
            <w:r>
              <w:rPr>
                <w:sz w:val="21"/>
              </w:rPr>
              <w:t>2.4cm</w:t>
            </w:r>
            <w:r>
              <w:rPr>
                <w:sz w:val="21"/>
              </w:rPr>
              <w:t>±</w:t>
            </w:r>
            <w:r>
              <w:rPr>
                <w:sz w:val="21"/>
              </w:rPr>
              <w:t>0.15cm</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w:t>
            </w:r>
            <w:r>
              <w:rPr>
                <w:sz w:val="21"/>
              </w:rPr>
              <w:t>X</w:t>
            </w:r>
            <w:r>
              <w:rPr>
                <w:sz w:val="21"/>
              </w:rPr>
              <w:t>射线能量挡百分深度剂量（水下</w:t>
            </w:r>
            <w:r>
              <w:rPr>
                <w:sz w:val="21"/>
              </w:rPr>
              <w:t>10cm</w:t>
            </w:r>
            <w:r>
              <w:rPr>
                <w:sz w:val="21"/>
              </w:rPr>
              <w:t>，</w:t>
            </w:r>
            <w:r>
              <w:rPr>
                <w:sz w:val="21"/>
              </w:rPr>
              <w:t>SSD=100cm</w:t>
            </w:r>
            <w:r>
              <w:rPr>
                <w:sz w:val="21"/>
              </w:rPr>
              <w:t>，</w:t>
            </w:r>
            <w:r>
              <w:rPr>
                <w:sz w:val="21"/>
              </w:rPr>
              <w:t>10</w:t>
            </w:r>
            <w:r>
              <w:rPr>
                <w:sz w:val="21"/>
              </w:rPr>
              <w:t>×</w:t>
            </w:r>
            <w:r>
              <w:rPr>
                <w:sz w:val="21"/>
              </w:rPr>
              <w:t>10cm</w:t>
            </w:r>
            <w:r>
              <w:rPr>
                <w:sz w:val="21"/>
              </w:rPr>
              <w:t>射野）：</w:t>
            </w:r>
          </w:p>
          <w:p>
            <w:pPr>
              <w:pStyle w:val="null3"/>
              <w:jc w:val="both"/>
            </w:pPr>
            <w:r>
              <w:rPr>
                <w:sz w:val="21"/>
              </w:rPr>
              <w:t>常规剂量率模式：</w:t>
            </w:r>
            <w:r>
              <w:rPr>
                <w:sz w:val="21"/>
              </w:rPr>
              <w:t>6MV</w:t>
            </w:r>
            <w:r>
              <w:rPr>
                <w:sz w:val="21"/>
              </w:rPr>
              <w:t>：</w:t>
            </w:r>
            <w:r>
              <w:rPr>
                <w:sz w:val="21"/>
              </w:rPr>
              <w:t>67.2%</w:t>
            </w:r>
            <w:r>
              <w:rPr>
                <w:sz w:val="21"/>
              </w:rPr>
              <w:t>±</w:t>
            </w:r>
            <w:r>
              <w:rPr>
                <w:sz w:val="21"/>
              </w:rPr>
              <w:t>1.0%</w:t>
            </w:r>
            <w:r>
              <w:rPr>
                <w:sz w:val="21"/>
              </w:rPr>
              <w:t>；</w:t>
            </w:r>
            <w:r>
              <w:rPr>
                <w:sz w:val="21"/>
              </w:rPr>
              <w:t>10MV</w:t>
            </w:r>
            <w:r>
              <w:rPr>
                <w:sz w:val="21"/>
              </w:rPr>
              <w:t>：</w:t>
            </w:r>
            <w:r>
              <w:rPr>
                <w:sz w:val="21"/>
              </w:rPr>
              <w:t>74.1%</w:t>
            </w:r>
            <w:r>
              <w:rPr>
                <w:sz w:val="21"/>
              </w:rPr>
              <w:t>±</w:t>
            </w:r>
            <w:r>
              <w:rPr>
                <w:sz w:val="21"/>
              </w:rPr>
              <w:t>1.0%</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射线平坦度</w:t>
            </w:r>
            <w:r>
              <w:rPr>
                <w:sz w:val="21"/>
              </w:rPr>
              <w:t>(</w:t>
            </w:r>
            <w:r>
              <w:rPr>
                <w:sz w:val="21"/>
              </w:rPr>
              <w:t>水下</w:t>
            </w:r>
            <w:r>
              <w:rPr>
                <w:sz w:val="21"/>
              </w:rPr>
              <w:t>10cm</w:t>
            </w:r>
            <w:r>
              <w:rPr>
                <w:sz w:val="21"/>
              </w:rPr>
              <w:t>，</w:t>
            </w:r>
            <w:r>
              <w:rPr>
                <w:sz w:val="21"/>
              </w:rPr>
              <w:t>SSD=100cm)</w:t>
            </w:r>
            <w:r>
              <w:rPr>
                <w:sz w:val="21"/>
              </w:rPr>
              <w:t>：≤±</w:t>
            </w:r>
            <w:r>
              <w:rPr>
                <w:sz w:val="21"/>
              </w:rPr>
              <w:t>3.0%(</w:t>
            </w:r>
            <w:r>
              <w:rPr>
                <w:sz w:val="21"/>
              </w:rPr>
              <w:t>高剂量率模式除外</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射线对称性</w:t>
            </w:r>
            <w:r>
              <w:rPr>
                <w:sz w:val="21"/>
              </w:rPr>
              <w:t>(</w:t>
            </w:r>
            <w:r>
              <w:rPr>
                <w:sz w:val="21"/>
              </w:rPr>
              <w:t>水下</w:t>
            </w:r>
            <w:r>
              <w:rPr>
                <w:sz w:val="21"/>
              </w:rPr>
              <w:t>10cm</w:t>
            </w:r>
            <w:r>
              <w:rPr>
                <w:sz w:val="21"/>
              </w:rPr>
              <w:t>，</w:t>
            </w:r>
            <w:r>
              <w:rPr>
                <w:sz w:val="21"/>
              </w:rPr>
              <w:t>SSD=100cm)</w:t>
            </w:r>
            <w:r>
              <w:rPr>
                <w:sz w:val="21"/>
              </w:rPr>
              <w:t>：≤</w:t>
            </w:r>
            <w:r>
              <w:rPr>
                <w:sz w:val="21"/>
              </w:rPr>
              <w:t>2.0%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常规剂量率模式</w:t>
            </w:r>
            <w:r>
              <w:rPr>
                <w:sz w:val="21"/>
              </w:rPr>
              <w:t>≥</w:t>
            </w:r>
            <w:r>
              <w:rPr>
                <w:sz w:val="21"/>
              </w:rPr>
              <w:t>600MU/min</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高剂量率模式</w:t>
            </w:r>
            <w:r>
              <w:rPr>
                <w:sz w:val="21"/>
              </w:rPr>
              <w:t>≥</w:t>
            </w:r>
            <w:r>
              <w:rPr>
                <w:sz w:val="21"/>
              </w:rPr>
              <w:t>1400MU/min(6X)</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高剂量率</w:t>
            </w:r>
            <w:r>
              <w:rPr>
                <w:sz w:val="21"/>
              </w:rPr>
              <w:t>FFF</w:t>
            </w:r>
            <w:r>
              <w:rPr>
                <w:sz w:val="21"/>
              </w:rPr>
              <w:t>模式：≥</w:t>
            </w:r>
            <w:r>
              <w:rPr>
                <w:sz w:val="21"/>
              </w:rPr>
              <w:t>40</w:t>
            </w:r>
            <w:r>
              <w:rPr>
                <w:sz w:val="21"/>
              </w:rPr>
              <w:t>×</w:t>
            </w:r>
            <w:r>
              <w:rPr>
                <w:sz w:val="21"/>
              </w:rPr>
              <w:t>40cm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电子线束流特性</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电子线能量：提供</w:t>
            </w:r>
            <w:r>
              <w:rPr>
                <w:sz w:val="21"/>
              </w:rPr>
              <w:t>5</w:t>
            </w:r>
            <w:r>
              <w:rPr>
                <w:sz w:val="21"/>
              </w:rPr>
              <w:t>档，包括</w:t>
            </w:r>
            <w:r>
              <w:rPr>
                <w:sz w:val="21"/>
              </w:rPr>
              <w:t>6</w:t>
            </w:r>
            <w:r>
              <w:rPr>
                <w:sz w:val="21"/>
              </w:rPr>
              <w:t>、</w:t>
            </w:r>
            <w:r>
              <w:rPr>
                <w:sz w:val="21"/>
              </w:rPr>
              <w:t>9</w:t>
            </w:r>
            <w:r>
              <w:rPr>
                <w:sz w:val="21"/>
              </w:rPr>
              <w:t>、</w:t>
            </w:r>
            <w:r>
              <w:rPr>
                <w:sz w:val="21"/>
              </w:rPr>
              <w:t>12</w:t>
            </w:r>
            <w:r>
              <w:rPr>
                <w:sz w:val="21"/>
              </w:rPr>
              <w:t>、</w:t>
            </w:r>
            <w:r>
              <w:rPr>
                <w:sz w:val="21"/>
              </w:rPr>
              <w:t>16</w:t>
            </w:r>
            <w:r>
              <w:rPr>
                <w:sz w:val="21"/>
              </w:rPr>
              <w:t>、</w:t>
            </w:r>
            <w:r>
              <w:rPr>
                <w:sz w:val="21"/>
              </w:rPr>
              <w:t>18MeV</w:t>
            </w:r>
            <w:r>
              <w:rPr>
                <w:sz w:val="21"/>
              </w:rPr>
              <w:t>或其他能量档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电子线平坦度：</w:t>
            </w:r>
            <w:r>
              <w:rPr>
                <w:sz w:val="21"/>
              </w:rPr>
              <w:t>≤±</w:t>
            </w:r>
            <w:r>
              <w:rPr>
                <w:sz w:val="21"/>
              </w:rPr>
              <w:t>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电子线对称性：</w:t>
            </w:r>
            <w:r>
              <w:rPr>
                <w:sz w:val="21"/>
              </w:rPr>
              <w:t>≤</w:t>
            </w:r>
            <w:r>
              <w:rPr>
                <w:sz w:val="21"/>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3.4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常规电子线最大剂量率：</w:t>
            </w:r>
            <w:r>
              <w:rPr>
                <w:sz w:val="21"/>
              </w:rPr>
              <w:t>≥</w:t>
            </w:r>
            <w:r>
              <w:rPr>
                <w:sz w:val="21"/>
              </w:rPr>
              <w:t>600MU/min</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电子线中的</w:t>
            </w:r>
            <w:r>
              <w:rPr>
                <w:sz w:val="21"/>
              </w:rPr>
              <w:t>X</w:t>
            </w:r>
            <w:r>
              <w:rPr>
                <w:sz w:val="21"/>
              </w:rPr>
              <w:t>线污染：≤</w:t>
            </w:r>
            <w:r>
              <w:rPr>
                <w:sz w:val="21"/>
              </w:rPr>
              <w:t>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提供一套</w:t>
            </w:r>
            <w:r>
              <w:rPr>
                <w:sz w:val="21"/>
              </w:rPr>
              <w:t>5</w:t>
            </w:r>
            <w:r>
              <w:rPr>
                <w:sz w:val="21"/>
              </w:rPr>
              <w:t>个电子线限光筒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限光筒安全性：具有机械安全防碰撞联锁装置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剂量监测系统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出束稳定时间：</w:t>
            </w:r>
            <w:r>
              <w:rPr>
                <w:sz w:val="21"/>
              </w:rPr>
              <w:t>≤</w:t>
            </w:r>
            <w:r>
              <w:rPr>
                <w:sz w:val="21"/>
              </w:rPr>
              <w:t>0.5s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剂量稳定性误差：在</w:t>
            </w:r>
            <w:r>
              <w:rPr>
                <w:sz w:val="21"/>
              </w:rPr>
              <w:t>5</w:t>
            </w:r>
            <w:r>
              <w:rPr>
                <w:sz w:val="21"/>
              </w:rPr>
              <w:t>个工作日内稳定性偏差≤</w:t>
            </w:r>
            <w:r>
              <w:rPr>
                <w:sz w:val="21"/>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射线的纵向和横向对称度参数超过下述数值则启动连锁：</w:t>
            </w:r>
            <w:r>
              <w:rPr>
                <w:sz w:val="21"/>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剂量伺服系统：保证引出的束流具有优异的剂量学指标，充分满足国家标准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4.5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电离室结构：密封式四通道电离室</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机械运动系统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机架旋转角度范围：</w:t>
            </w:r>
            <w:r>
              <w:rPr>
                <w:sz w:val="21"/>
              </w:rPr>
              <w:t>≥±</w:t>
            </w:r>
            <w:r>
              <w:rPr>
                <w:sz w:val="21"/>
              </w:rPr>
              <w:t>180</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机架旋转精度：</w:t>
            </w:r>
            <w:r>
              <w:rPr>
                <w:sz w:val="21"/>
              </w:rPr>
              <w:t>≤</w:t>
            </w:r>
            <w:r>
              <w:rPr>
                <w:sz w:val="21"/>
              </w:rPr>
              <w:t>0.3</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源轴距</w:t>
            </w:r>
            <w:r>
              <w:rPr>
                <w:sz w:val="21"/>
              </w:rPr>
              <w:t>(SAD)</w:t>
            </w:r>
            <w:r>
              <w:rPr>
                <w:sz w:val="21"/>
              </w:rPr>
              <w:t>：</w:t>
            </w:r>
            <w:r>
              <w:rPr>
                <w:sz w:val="21"/>
              </w:rPr>
              <w:t>100</w:t>
            </w:r>
            <w:r>
              <w:rPr>
                <w:sz w:val="21"/>
              </w:rPr>
              <w:t>±</w:t>
            </w:r>
            <w:r>
              <w:rPr>
                <w:sz w:val="21"/>
              </w:rPr>
              <w:t>0.2cm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等中心高度：</w:t>
            </w:r>
            <w:r>
              <w:rPr>
                <w:sz w:val="21"/>
              </w:rPr>
              <w:t>≤</w:t>
            </w:r>
            <w:r>
              <w:rPr>
                <w:sz w:val="21"/>
              </w:rPr>
              <w:t>130cm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等中心到机头的净空间：</w:t>
            </w:r>
            <w:r>
              <w:rPr>
                <w:sz w:val="21"/>
              </w:rPr>
              <w:t>≥</w:t>
            </w:r>
            <w:r>
              <w:rPr>
                <w:sz w:val="21"/>
              </w:rPr>
              <w:t>41.5cm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5.6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机架和准直器等中心精度：</w:t>
            </w:r>
            <w:r>
              <w:rPr>
                <w:sz w:val="21"/>
              </w:rPr>
              <w:t>≤±</w:t>
            </w:r>
            <w:r>
              <w:rPr>
                <w:sz w:val="21"/>
              </w:rPr>
              <w:t>0.5mm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5.7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独立准直器系统：具备两层独立准直器</w:t>
            </w:r>
            <w:r>
              <w:rPr>
                <w:sz w:val="21"/>
              </w:rPr>
              <w:t>（</w:t>
            </w:r>
            <w:r>
              <w:rPr>
                <w:sz w:val="21"/>
              </w:rPr>
              <w:t>不包含多叶准直器系统</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上层独立准直器移动范围：</w:t>
            </w:r>
            <w:r>
              <w:rPr>
                <w:sz w:val="21"/>
              </w:rPr>
              <w:t>-10cm</w:t>
            </w:r>
            <w:r>
              <w:rPr>
                <w:sz w:val="21"/>
              </w:rPr>
              <w:t>到</w:t>
            </w:r>
            <w:r>
              <w:rPr>
                <w:sz w:val="21"/>
              </w:rPr>
              <w:t>+20cm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下层独立准直器移动范围：</w:t>
            </w:r>
            <w:r>
              <w:rPr>
                <w:sz w:val="21"/>
              </w:rPr>
              <w:t>-2cm</w:t>
            </w:r>
            <w:r>
              <w:rPr>
                <w:sz w:val="21"/>
              </w:rPr>
              <w:t>到</w:t>
            </w:r>
            <w:r>
              <w:rPr>
                <w:sz w:val="21"/>
              </w:rPr>
              <w:t>+20cm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准直器系统旋转精度：</w:t>
            </w:r>
            <w:r>
              <w:rPr>
                <w:sz w:val="21"/>
              </w:rPr>
              <w:t>≤±</w:t>
            </w:r>
            <w:r>
              <w:rPr>
                <w:sz w:val="21"/>
              </w:rPr>
              <w:t>0.5</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独立准直器射线穿射率：</w:t>
            </w:r>
            <w:r>
              <w:rPr>
                <w:sz w:val="21"/>
              </w:rPr>
              <w:t>≤</w:t>
            </w:r>
            <w:r>
              <w:rPr>
                <w:sz w:val="21"/>
              </w:rPr>
              <w:t>0.5%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多叶光栅系统</w:t>
            </w:r>
            <w:r>
              <w:rPr>
                <w:sz w:val="21"/>
              </w:rPr>
              <w:t>（</w:t>
            </w:r>
            <w:r>
              <w:rPr>
                <w:sz w:val="21"/>
              </w:rPr>
              <w:t>多叶准直器系统</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内置式电动多叶准直器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叶片在等中心处的投影宽度</w:t>
            </w:r>
            <w:r>
              <w:rPr>
                <w:sz w:val="21"/>
              </w:rPr>
              <w:t>(</w:t>
            </w:r>
            <w:r>
              <w:rPr>
                <w:sz w:val="21"/>
              </w:rPr>
              <w:t>中间</w:t>
            </w:r>
            <w:r>
              <w:rPr>
                <w:sz w:val="21"/>
              </w:rPr>
              <w:t>20cm)</w:t>
            </w:r>
            <w:r>
              <w:rPr>
                <w:sz w:val="21"/>
              </w:rPr>
              <w:t>：≤</w:t>
            </w:r>
            <w:r>
              <w:rPr>
                <w:sz w:val="21"/>
              </w:rPr>
              <w:t>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叶片数量：</w:t>
            </w:r>
            <w:r>
              <w:rPr>
                <w:sz w:val="21"/>
              </w:rPr>
              <w:t>≥</w:t>
            </w:r>
            <w:r>
              <w:rPr>
                <w:sz w:val="21"/>
              </w:rPr>
              <w:t>120</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叶片运动速度：</w:t>
            </w:r>
            <w:r>
              <w:rPr>
                <w:sz w:val="21"/>
              </w:rPr>
              <w:t>≥</w:t>
            </w:r>
            <w:r>
              <w:rPr>
                <w:sz w:val="21"/>
              </w:rPr>
              <w:t>2.5cm/s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叶片位置精度：</w:t>
            </w:r>
            <w:r>
              <w:rPr>
                <w:sz w:val="21"/>
              </w:rPr>
              <w:t>≤±</w:t>
            </w:r>
            <w:r>
              <w:rPr>
                <w:sz w:val="21"/>
              </w:rPr>
              <w:t>1mm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多叶准直器最大照射野：</w:t>
            </w:r>
            <w:r>
              <w:rPr>
                <w:sz w:val="21"/>
              </w:rPr>
              <w:t>40cm</w:t>
            </w:r>
            <w:r>
              <w:rPr>
                <w:sz w:val="21"/>
              </w:rPr>
              <w:t>×</w:t>
            </w:r>
            <w:r>
              <w:rPr>
                <w:sz w:val="21"/>
              </w:rPr>
              <w:t>40cm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多叶准直器可进行动态叉指状运动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独立准直器和多叶准直器联合漏射率：</w:t>
            </w:r>
            <w:r>
              <w:rPr>
                <w:sz w:val="21"/>
              </w:rPr>
              <w:t>≤</w:t>
            </w:r>
            <w:r>
              <w:rPr>
                <w:sz w:val="21"/>
              </w:rPr>
              <w:t>0.0</w:t>
            </w:r>
            <w:r>
              <w:rPr>
                <w:sz w:val="21"/>
              </w:rPr>
              <w:t>5</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叶片端面过等中心距离：</w:t>
            </w:r>
            <w:r>
              <w:rPr>
                <w:sz w:val="21"/>
              </w:rPr>
              <w:t>≥</w:t>
            </w:r>
            <w:r>
              <w:rPr>
                <w:sz w:val="21"/>
              </w:rPr>
              <w:t>15</w:t>
            </w:r>
            <w:r>
              <w:rPr>
                <w:sz w:val="21"/>
              </w:rPr>
              <w:t>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叶片端面半影值</w:t>
            </w:r>
            <w:r>
              <w:rPr>
                <w:sz w:val="21"/>
              </w:rPr>
              <w:t>(6MV</w:t>
            </w:r>
            <w:r>
              <w:rPr>
                <w:sz w:val="21"/>
              </w:rPr>
              <w:t>，</w:t>
            </w:r>
            <w:r>
              <w:rPr>
                <w:sz w:val="21"/>
              </w:rPr>
              <w:t>Dmax</w:t>
            </w:r>
            <w:r>
              <w:rPr>
                <w:sz w:val="21"/>
              </w:rPr>
              <w:t>，</w:t>
            </w:r>
            <w:r>
              <w:rPr>
                <w:sz w:val="21"/>
              </w:rPr>
              <w:t>SAD=100cm</w:t>
            </w:r>
            <w:r>
              <w:rPr>
                <w:sz w:val="21"/>
              </w:rPr>
              <w:t>，</w:t>
            </w:r>
            <w:r>
              <w:rPr>
                <w:sz w:val="21"/>
              </w:rPr>
              <w:t>10</w:t>
            </w:r>
            <w:r>
              <w:rPr>
                <w:sz w:val="21"/>
              </w:rPr>
              <w:t>×</w:t>
            </w:r>
            <w:r>
              <w:rPr>
                <w:sz w:val="21"/>
              </w:rPr>
              <w:t>10cm</w:t>
            </w:r>
            <w:r>
              <w:rPr>
                <w:sz w:val="21"/>
              </w:rPr>
              <w:t>射野</w:t>
            </w:r>
            <w:r>
              <w:rPr>
                <w:sz w:val="21"/>
              </w:rPr>
              <w:t>)</w:t>
            </w:r>
            <w:r>
              <w:rPr>
                <w:sz w:val="21"/>
              </w:rPr>
              <w:t>：≤</w:t>
            </w:r>
            <w:r>
              <w:rPr>
                <w:sz w:val="21"/>
              </w:rPr>
              <w:t>5.5mm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支持静态调强放疗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支持动态调强放疗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支持快速容积旋转调强放疗，机架旋转速度、照射野形状、剂量率均可连续动态变化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支持门控容积旋转调强放疗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支持大分割放疗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支持立体定向放射外科治疗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高精度六维治疗床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8.1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碳纤维六维治疗床运动控制：水平运动和等中心转动可手动或电动，其它运动可电动。所有电动可无级调速。所有运动可远程控制。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负载能力：</w:t>
            </w:r>
            <w:r>
              <w:rPr>
                <w:sz w:val="21"/>
              </w:rPr>
              <w:t>≥</w:t>
            </w:r>
            <w:r>
              <w:rPr>
                <w:sz w:val="21"/>
              </w:rPr>
              <w:t>200kg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垂直移动范围</w:t>
            </w:r>
            <w:r>
              <w:rPr>
                <w:sz w:val="21"/>
              </w:rPr>
              <w:t>≥</w:t>
            </w:r>
            <w:r>
              <w:rPr>
                <w:sz w:val="21"/>
              </w:rPr>
              <w:t>96cm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前后移动范围</w:t>
            </w:r>
            <w:r>
              <w:rPr>
                <w:sz w:val="21"/>
              </w:rPr>
              <w:t>≥</w:t>
            </w:r>
            <w:r>
              <w:rPr>
                <w:sz w:val="21"/>
              </w:rPr>
              <w:t>145cm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左右移动范围</w:t>
            </w:r>
            <w:r>
              <w:rPr>
                <w:sz w:val="21"/>
              </w:rPr>
              <w:t>≥±</w:t>
            </w:r>
            <w:r>
              <w:rPr>
                <w:sz w:val="21"/>
              </w:rPr>
              <w:t>24.5cm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治疗床的等中心旋转体范围</w:t>
            </w:r>
            <w:r>
              <w:rPr>
                <w:sz w:val="21"/>
              </w:rPr>
              <w:t>≥±</w:t>
            </w:r>
            <w:r>
              <w:rPr>
                <w:sz w:val="21"/>
              </w:rPr>
              <w:t>95</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治疗床的等中心旋转误差</w:t>
            </w:r>
            <w:r>
              <w:rPr>
                <w:sz w:val="21"/>
              </w:rPr>
              <w:t>≤±</w:t>
            </w:r>
            <w:r>
              <w:rPr>
                <w:sz w:val="21"/>
              </w:rPr>
              <w:t>0.5</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在等中心旋转</w:t>
            </w:r>
            <w:r>
              <w:rPr>
                <w:sz w:val="21"/>
              </w:rPr>
              <w:t>±</w:t>
            </w:r>
            <w:r>
              <w:rPr>
                <w:sz w:val="21"/>
              </w:rPr>
              <w:t>6</w:t>
            </w:r>
            <w:r>
              <w:rPr>
                <w:sz w:val="21"/>
              </w:rPr>
              <w:t>˚之内的旋转误差：≤</w:t>
            </w:r>
            <w:r>
              <w:rPr>
                <w:sz w:val="21"/>
              </w:rPr>
              <w:t>0.3</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在等中心点</w:t>
            </w:r>
            <w:r>
              <w:rPr>
                <w:sz w:val="21"/>
              </w:rPr>
              <w:t>±</w:t>
            </w:r>
            <w:r>
              <w:rPr>
                <w:sz w:val="21"/>
              </w:rPr>
              <w:t>5cm</w:t>
            </w:r>
            <w:r>
              <w:rPr>
                <w:sz w:val="21"/>
              </w:rPr>
              <w:t>内，摆位误差：≤</w:t>
            </w:r>
            <w:r>
              <w:rPr>
                <w:sz w:val="21"/>
              </w:rPr>
              <w:t>0.6mm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kV</w:t>
            </w:r>
            <w:r>
              <w:rPr>
                <w:sz w:val="21"/>
              </w:rPr>
              <w:t>级</w:t>
            </w:r>
            <w:r>
              <w:rPr>
                <w:sz w:val="21"/>
              </w:rPr>
              <w:t>X</w:t>
            </w:r>
            <w:r>
              <w:rPr>
                <w:sz w:val="21"/>
              </w:rPr>
              <w:t>线影像系统（机载</w:t>
            </w:r>
            <w:r>
              <w:rPr>
                <w:sz w:val="21"/>
              </w:rPr>
              <w:t>CBCT</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线球管阳极热容量：≥</w:t>
            </w:r>
            <w:r>
              <w:rPr>
                <w:sz w:val="21"/>
              </w:rPr>
              <w:t>1200000HU</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线球管最大阳极散热率：≥</w:t>
            </w:r>
            <w:r>
              <w:rPr>
                <w:sz w:val="21"/>
              </w:rPr>
              <w:t>3000HU/s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X</w:t>
            </w:r>
            <w:r>
              <w:rPr>
                <w:sz w:val="21"/>
              </w:rPr>
              <w:t>线球管标称焦点尺寸：≤</w:t>
            </w:r>
            <w:r>
              <w:rPr>
                <w:sz w:val="21"/>
              </w:rPr>
              <w:t>0.4mm</w:t>
            </w:r>
            <w:r>
              <w:rPr>
                <w:sz w:val="21"/>
              </w:rPr>
              <w:t>和≤</w:t>
            </w:r>
            <w:r>
              <w:rPr>
                <w:sz w:val="21"/>
              </w:rPr>
              <w:t>1.0mm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高压发生器最大功率：</w:t>
            </w:r>
            <w:r>
              <w:rPr>
                <w:sz w:val="21"/>
              </w:rPr>
              <w:t>≥</w:t>
            </w:r>
            <w:r>
              <w:rPr>
                <w:sz w:val="21"/>
              </w:rPr>
              <w:t>50kW</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kV</w:t>
            </w:r>
            <w:r>
              <w:rPr>
                <w:sz w:val="21"/>
              </w:rPr>
              <w:t>范围：</w:t>
            </w:r>
            <w:r>
              <w:rPr>
                <w:sz w:val="21"/>
              </w:rPr>
              <w:t>40kV</w:t>
            </w:r>
            <w:r>
              <w:rPr>
                <w:sz w:val="21"/>
              </w:rPr>
              <w:t>到</w:t>
            </w:r>
            <w:r>
              <w:rPr>
                <w:sz w:val="21"/>
              </w:rPr>
              <w:t>140kV</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非晶硅平板探测器尺寸：</w:t>
            </w:r>
            <w:r>
              <w:rPr>
                <w:sz w:val="21"/>
              </w:rPr>
              <w:t>≥</w:t>
            </w:r>
            <w:r>
              <w:rPr>
                <w:sz w:val="21"/>
              </w:rPr>
              <w:t>39cm</w:t>
            </w:r>
            <w:r>
              <w:rPr>
                <w:sz w:val="21"/>
              </w:rPr>
              <w:t>×</w:t>
            </w:r>
            <w:r>
              <w:rPr>
                <w:sz w:val="21"/>
              </w:rPr>
              <w:t>29cm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探测器最大像素矩阵：</w:t>
            </w:r>
            <w:r>
              <w:rPr>
                <w:sz w:val="21"/>
              </w:rPr>
              <w:t>≥</w:t>
            </w:r>
            <w:r>
              <w:rPr>
                <w:sz w:val="21"/>
              </w:rPr>
              <w:t>1024</w:t>
            </w:r>
            <w:r>
              <w:rPr>
                <w:sz w:val="21"/>
              </w:rPr>
              <w:t>×</w:t>
            </w:r>
            <w:r>
              <w:rPr>
                <w:sz w:val="21"/>
              </w:rPr>
              <w:t>1024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图像采集帧频</w:t>
            </w:r>
            <w:r>
              <w:rPr>
                <w:sz w:val="21"/>
              </w:rPr>
              <w:t>≥</w:t>
            </w:r>
            <w:r>
              <w:rPr>
                <w:sz w:val="21"/>
              </w:rPr>
              <w:t>10</w:t>
            </w:r>
            <w:r>
              <w:rPr>
                <w:sz w:val="21"/>
              </w:rPr>
              <w:t>帧</w:t>
            </w:r>
            <w:r>
              <w:rPr>
                <w:sz w:val="21"/>
              </w:rPr>
              <w:t>/</w:t>
            </w:r>
            <w:r>
              <w:rPr>
                <w:sz w:val="21"/>
              </w:rPr>
              <w:t>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MV</w:t>
            </w:r>
            <w:r>
              <w:rPr>
                <w:sz w:val="21"/>
              </w:rPr>
              <w:t>与</w:t>
            </w:r>
            <w:r>
              <w:rPr>
                <w:sz w:val="21"/>
              </w:rPr>
              <w:t>KV</w:t>
            </w:r>
            <w:r>
              <w:rPr>
                <w:sz w:val="21"/>
              </w:rPr>
              <w:t>等中心一致性：≤</w:t>
            </w:r>
            <w:r>
              <w:rPr>
                <w:sz w:val="21"/>
              </w:rPr>
              <w:t>0.5mm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具有防碰撞安全连锁功能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软件要求（或满足临床同等档次的功能）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2D</w:t>
            </w:r>
            <w:r>
              <w:rPr>
                <w:sz w:val="21"/>
              </w:rPr>
              <w:t>拍片功能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2D/3D</w:t>
            </w:r>
            <w:r>
              <w:rPr>
                <w:sz w:val="21"/>
              </w:rPr>
              <w:t>匹配功能，通过</w:t>
            </w:r>
            <w:r>
              <w:rPr>
                <w:sz w:val="21"/>
              </w:rPr>
              <w:t>2D</w:t>
            </w:r>
            <w:r>
              <w:rPr>
                <w:sz w:val="21"/>
              </w:rPr>
              <w:t>正交平片与计划</w:t>
            </w:r>
            <w:r>
              <w:rPr>
                <w:sz w:val="21"/>
              </w:rPr>
              <w:t>CT</w:t>
            </w:r>
            <w:r>
              <w:rPr>
                <w:sz w:val="21"/>
              </w:rPr>
              <w:t>比较计算，得出治疗床摆位误差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kV</w:t>
            </w:r>
            <w:r>
              <w:rPr>
                <w:sz w:val="21"/>
              </w:rPr>
              <w:t>透视模式，</w:t>
            </w:r>
            <w:r>
              <w:rPr>
                <w:sz w:val="21"/>
              </w:rPr>
              <w:t>DRR</w:t>
            </w:r>
            <w:r>
              <w:rPr>
                <w:sz w:val="21"/>
              </w:rPr>
              <w:t>靶区轮廓可叠加在透视图像中</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9.2.4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提供自动触发成像功能：在治疗过程中，依据预设的条件，在特定的机架角度、时间间隔、照射剂量（</w:t>
            </w:r>
            <w:r>
              <w:rPr>
                <w:sz w:val="21"/>
              </w:rPr>
              <w:t>MU</w:t>
            </w:r>
            <w:r>
              <w:rPr>
                <w:sz w:val="21"/>
              </w:rPr>
              <w:t>）或呼吸时相下触发</w:t>
            </w:r>
            <w:r>
              <w:rPr>
                <w:sz w:val="21"/>
              </w:rPr>
              <w:t>kV</w:t>
            </w:r>
            <w:r>
              <w:rPr>
                <w:sz w:val="21"/>
              </w:rPr>
              <w:t>图像采集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提供自动暂停射束功能：自动识别触发影像中标记物，定量分析摆位误差，一旦超出预设的限值，可自动暂停束流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w:t>
            </w:r>
            <w:r>
              <w:rPr>
                <w:sz w:val="21"/>
              </w:rPr>
              <w:t>重建视野（</w:t>
            </w:r>
            <w:r>
              <w:rPr>
                <w:sz w:val="21"/>
              </w:rPr>
              <w:t>FOV</w:t>
            </w:r>
            <w:r>
              <w:rPr>
                <w:sz w:val="21"/>
              </w:rPr>
              <w:t>）：头部≥</w:t>
            </w:r>
            <w:r>
              <w:rPr>
                <w:sz w:val="21"/>
              </w:rPr>
              <w:t>24cm</w:t>
            </w:r>
            <w:r>
              <w:rPr>
                <w:sz w:val="21"/>
              </w:rPr>
              <w:t>；体部≥</w:t>
            </w:r>
            <w:r>
              <w:rPr>
                <w:sz w:val="21"/>
              </w:rPr>
              <w:t>45cm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w:t>
            </w:r>
            <w:r>
              <w:rPr>
                <w:sz w:val="21"/>
              </w:rPr>
              <w:t>标准重建长度：≥</w:t>
            </w:r>
            <w:r>
              <w:rPr>
                <w:sz w:val="21"/>
              </w:rPr>
              <w:t>16cm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提供延伸长度</w:t>
            </w:r>
            <w:r>
              <w:rPr>
                <w:sz w:val="21"/>
              </w:rPr>
              <w:t>CBCT</w:t>
            </w:r>
            <w:r>
              <w:rPr>
                <w:sz w:val="21"/>
              </w:rPr>
              <w:t>功能，可将接续采集的多个</w:t>
            </w:r>
            <w:r>
              <w:rPr>
                <w:sz w:val="21"/>
              </w:rPr>
              <w:t>CBCT</w:t>
            </w:r>
            <w:r>
              <w:rPr>
                <w:sz w:val="21"/>
              </w:rPr>
              <w:t>自动拼接起来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FDK</w:t>
            </w:r>
            <w:r>
              <w:rPr>
                <w:sz w:val="21"/>
              </w:rPr>
              <w:t>标准</w:t>
            </w:r>
            <w:r>
              <w:rPr>
                <w:sz w:val="21"/>
              </w:rPr>
              <w:t>CBCT</w:t>
            </w:r>
            <w:r>
              <w:rPr>
                <w:sz w:val="21"/>
              </w:rPr>
              <w:t>重建方法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w:t>
            </w:r>
            <w:r>
              <w:rPr>
                <w:sz w:val="21"/>
              </w:rPr>
              <w:t>最小重建层厚：≤</w:t>
            </w:r>
            <w:r>
              <w:rPr>
                <w:sz w:val="21"/>
              </w:rPr>
              <w:t>1mm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w:t>
            </w:r>
            <w:r>
              <w:rPr>
                <w:sz w:val="21"/>
              </w:rPr>
              <w:t>最高空间分辨率：≥</w:t>
            </w:r>
            <w:r>
              <w:rPr>
                <w:sz w:val="21"/>
              </w:rPr>
              <w:t>10lp/cm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CBCT</w:t>
            </w:r>
            <w:r>
              <w:rPr>
                <w:sz w:val="21"/>
              </w:rPr>
              <w:t>的</w:t>
            </w:r>
            <w:r>
              <w:rPr>
                <w:sz w:val="21"/>
              </w:rPr>
              <w:t>HU</w:t>
            </w:r>
            <w:r>
              <w:rPr>
                <w:sz w:val="21"/>
              </w:rPr>
              <w:t>精度：≤±</w:t>
            </w:r>
            <w:r>
              <w:rPr>
                <w:sz w:val="21"/>
              </w:rPr>
              <w:t>50HU</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9.2.13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提供门控</w:t>
            </w:r>
            <w:r>
              <w:rPr>
                <w:sz w:val="21"/>
              </w:rPr>
              <w:t>CBCT</w:t>
            </w:r>
            <w:r>
              <w:rPr>
                <w:sz w:val="21"/>
              </w:rPr>
              <w:t>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提供短弧</w:t>
            </w:r>
            <w:r>
              <w:rPr>
                <w:sz w:val="21"/>
              </w:rPr>
              <w:t>CBCT</w:t>
            </w:r>
            <w:r>
              <w:rPr>
                <w:sz w:val="21"/>
              </w:rPr>
              <w:t>功能，最短弧度≤</w:t>
            </w:r>
            <w:r>
              <w:rPr>
                <w:sz w:val="21"/>
              </w:rPr>
              <w:t>140</w:t>
            </w:r>
            <w:r>
              <w:rPr>
                <w:sz w:val="21"/>
              </w:rPr>
              <w:t>度，可在单次屏气条件下完成</w:t>
            </w:r>
            <w:r>
              <w:rPr>
                <w:sz w:val="21"/>
              </w:rPr>
              <w:t>CBCT</w:t>
            </w:r>
            <w:r>
              <w:rPr>
                <w:sz w:val="21"/>
              </w:rPr>
              <w:t>数据采集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9.2.15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4DCBCT</w:t>
            </w:r>
            <w:r>
              <w:rPr>
                <w:sz w:val="21"/>
              </w:rPr>
              <w:t>四维影像引导功能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提供四维图像引导放疗：</w:t>
            </w:r>
            <w:r>
              <w:rPr>
                <w:sz w:val="21"/>
              </w:rPr>
              <w:t>4D-CBCT</w:t>
            </w:r>
            <w:r>
              <w:rPr>
                <w:sz w:val="21"/>
              </w:rPr>
              <w:t>肿瘤运动管理模式。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支持患者自由呼吸下的四维</w:t>
            </w:r>
            <w:r>
              <w:rPr>
                <w:sz w:val="21"/>
              </w:rPr>
              <w:t>CBCT</w:t>
            </w:r>
            <w:r>
              <w:rPr>
                <w:sz w:val="21"/>
              </w:rPr>
              <w:t>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4D</w:t>
            </w:r>
            <w:r>
              <w:rPr>
                <w:sz w:val="21"/>
              </w:rPr>
              <w:t>四维动态管理系统可与加速器物理连接，并可自动同步控制加速器的出束。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实现靶区和运动器官随呼吸时相的</w:t>
            </w:r>
            <w:r>
              <w:rPr>
                <w:sz w:val="21"/>
              </w:rPr>
              <w:t>CBCT</w:t>
            </w:r>
            <w:r>
              <w:rPr>
                <w:sz w:val="21"/>
              </w:rPr>
              <w:t>影像。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4D</w:t>
            </w:r>
            <w:r>
              <w:rPr>
                <w:sz w:val="21"/>
              </w:rPr>
              <w:t>四维图像引导放疗过程，把握治疗中的呼吸运动规律，按需调整治疗对策。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提供基于运动补偿的</w:t>
            </w:r>
            <w:r>
              <w:rPr>
                <w:sz w:val="21"/>
              </w:rPr>
              <w:t>4D-CBCT</w:t>
            </w:r>
            <w:r>
              <w:rPr>
                <w:sz w:val="21"/>
              </w:rPr>
              <w:t>优质图像重建功能。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9.2.15.7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快速对比</w:t>
            </w:r>
            <w:r>
              <w:rPr>
                <w:sz w:val="21"/>
              </w:rPr>
              <w:t>4D CT</w:t>
            </w:r>
            <w:r>
              <w:rPr>
                <w:sz w:val="21"/>
              </w:rPr>
              <w:t>计划影像。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电子射野影像系统（</w:t>
            </w:r>
            <w:r>
              <w:rPr>
                <w:sz w:val="21"/>
              </w:rPr>
              <w:t>EPID</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图像采集装置应采用非晶硅平板成像器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图像成像器的有效感应面积：</w:t>
            </w:r>
            <w:r>
              <w:rPr>
                <w:sz w:val="21"/>
              </w:rPr>
              <w:t>≥</w:t>
            </w:r>
            <w:r>
              <w:rPr>
                <w:sz w:val="21"/>
              </w:rPr>
              <w:t>41cm</w:t>
            </w:r>
            <w:r>
              <w:rPr>
                <w:sz w:val="21"/>
              </w:rPr>
              <w:t>×</w:t>
            </w:r>
            <w:r>
              <w:rPr>
                <w:sz w:val="21"/>
              </w:rPr>
              <w:t>41cm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像素矩阵大小：</w:t>
            </w:r>
            <w:r>
              <w:rPr>
                <w:sz w:val="21"/>
              </w:rPr>
              <w:t>≥</w:t>
            </w:r>
            <w:r>
              <w:rPr>
                <w:sz w:val="21"/>
              </w:rPr>
              <w:t>1024</w:t>
            </w:r>
            <w:r>
              <w:rPr>
                <w:sz w:val="21"/>
              </w:rPr>
              <w:t>×</w:t>
            </w:r>
            <w:r>
              <w:rPr>
                <w:sz w:val="21"/>
              </w:rPr>
              <w:t>1024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图像采集帧频：</w:t>
            </w:r>
            <w:r>
              <w:rPr>
                <w:sz w:val="21"/>
              </w:rPr>
              <w:t>≥</w:t>
            </w:r>
            <w:r>
              <w:rPr>
                <w:sz w:val="21"/>
              </w:rPr>
              <w:t>20</w:t>
            </w:r>
            <w:r>
              <w:rPr>
                <w:sz w:val="21"/>
              </w:rPr>
              <w:t>帧</w:t>
            </w:r>
            <w:r>
              <w:rPr>
                <w:sz w:val="21"/>
              </w:rPr>
              <w:t>/</w:t>
            </w:r>
            <w:r>
              <w:rPr>
                <w:sz w:val="21"/>
              </w:rPr>
              <w:t>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能够支持</w:t>
            </w:r>
            <w:r>
              <w:rPr>
                <w:sz w:val="21"/>
              </w:rPr>
              <w:t>FFF</w:t>
            </w:r>
            <w:r>
              <w:rPr>
                <w:sz w:val="21"/>
              </w:rPr>
              <w:t>高剂量率成像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成像器可以三维运动，沿射束中轴运动范围大于</w:t>
            </w:r>
            <w:r>
              <w:rPr>
                <w:sz w:val="21"/>
              </w:rPr>
              <w:t>50cm</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成像器可远程控制其自动收回和展开，展开时间</w:t>
            </w:r>
            <w:r>
              <w:rPr>
                <w:sz w:val="21"/>
              </w:rPr>
              <w:t>≤</w:t>
            </w:r>
            <w:r>
              <w:rPr>
                <w:sz w:val="21"/>
              </w:rPr>
              <w:t>10s</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成像器</w:t>
            </w:r>
            <w:r>
              <w:rPr>
                <w:sz w:val="21"/>
              </w:rPr>
              <w:t>Z</w:t>
            </w:r>
            <w:r>
              <w:rPr>
                <w:sz w:val="21"/>
              </w:rPr>
              <w:t>轴方向移动范围（与等中心点距离）：≥</w:t>
            </w:r>
            <w:r>
              <w:rPr>
                <w:sz w:val="21"/>
              </w:rPr>
              <w:t>80cm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具有防碰撞安全连锁功能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软件要求（或满足临床同等档次的功能）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能与放疗专用网络系统实现联网</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可同时察看实时成像和对比参考图像（模拟机图像、</w:t>
            </w:r>
            <w:r>
              <w:rPr>
                <w:sz w:val="21"/>
              </w:rPr>
              <w:t>DRR</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图像采集后可自动进行图像增强处理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图像采集后自动关闭加速器的射线输出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可自动</w:t>
            </w:r>
            <w:r>
              <w:rPr>
                <w:sz w:val="21"/>
              </w:rPr>
              <w:t>/</w:t>
            </w:r>
            <w:r>
              <w:rPr>
                <w:sz w:val="21"/>
              </w:rPr>
              <w:t>手动调节窗宽</w:t>
            </w:r>
            <w:r>
              <w:rPr>
                <w:sz w:val="21"/>
              </w:rPr>
              <w:t>/</w:t>
            </w:r>
            <w:r>
              <w:rPr>
                <w:sz w:val="21"/>
              </w:rPr>
              <w:t>窗位。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图像放大</w:t>
            </w:r>
            <w:r>
              <w:rPr>
                <w:sz w:val="21"/>
              </w:rPr>
              <w:t>/</w:t>
            </w:r>
            <w:r>
              <w:rPr>
                <w:sz w:val="21"/>
              </w:rPr>
              <w:t>缩小显示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图像编辑功能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几何测量功能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栅格覆盖显示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自动照射野边界搜索</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统计直方图的计算和显示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可回放运动图像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可进行文字标注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定位匹配功能：可对参考图像和实时成像进行照射野边界和解剖结构定位匹配的检测并可进行位移的测量，从而确定照射野的摆位误差。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DICOM</w:t>
            </w:r>
            <w:r>
              <w:rPr>
                <w:sz w:val="21"/>
              </w:rPr>
              <w:t>输入、输出接口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治疗中</w:t>
            </w:r>
            <w:r>
              <w:rPr>
                <w:sz w:val="21"/>
              </w:rPr>
              <w:t>MV</w:t>
            </w:r>
            <w:r>
              <w:rPr>
                <w:sz w:val="21"/>
              </w:rPr>
              <w:t>成像功能：在治疗过程中，依据预设的条件，在特定的机架角度、时间间隔、照射剂量（</w:t>
            </w:r>
            <w:r>
              <w:rPr>
                <w:sz w:val="21"/>
              </w:rPr>
              <w:t>MU</w:t>
            </w:r>
            <w:r>
              <w:rPr>
                <w:sz w:val="21"/>
              </w:rPr>
              <w:t>）或呼吸时相下触发</w:t>
            </w:r>
            <w:r>
              <w:rPr>
                <w:sz w:val="21"/>
              </w:rPr>
              <w:t>MV</w:t>
            </w:r>
            <w:r>
              <w:rPr>
                <w:sz w:val="21"/>
              </w:rPr>
              <w:t>图像采集。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自动化性能检查功能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自动性能检查时间：</w:t>
            </w:r>
            <w:r>
              <w:rPr>
                <w:sz w:val="21"/>
              </w:rPr>
              <w:t>≤</w:t>
            </w:r>
            <w:r>
              <w:rPr>
                <w:sz w:val="21"/>
              </w:rPr>
              <w:t>5</w:t>
            </w:r>
            <w:r>
              <w:rPr>
                <w:sz w:val="21"/>
              </w:rPr>
              <w:t>分钟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支持治疗等中心精度检查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支持治疗等中心与</w:t>
            </w:r>
            <w:r>
              <w:rPr>
                <w:sz w:val="21"/>
              </w:rPr>
              <w:t>MV&amp;kV</w:t>
            </w:r>
            <w:r>
              <w:rPr>
                <w:sz w:val="21"/>
              </w:rPr>
              <w:t>影像等中心的一致性检查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支持准直器旋转精度检查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支持机架旋转精度检查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支持治疗床定位精度检查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MLC</w:t>
            </w:r>
            <w:r>
              <w:rPr>
                <w:sz w:val="21"/>
              </w:rPr>
              <w:t>叶片位置精度检查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支持准直器位置精度检查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支持射束输出一致性检查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支持射束中心偏移量检查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呼吸门控系统（或满足临床同等档次的功能）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12.1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提供加速器端自由呼吸式门控系统</w:t>
            </w:r>
            <w:r>
              <w:rPr>
                <w:sz w:val="21"/>
              </w:rPr>
              <w:t>1</w:t>
            </w:r>
            <w:r>
              <w:rPr>
                <w:sz w:val="21"/>
              </w:rPr>
              <w:t>套、支持门控</w:t>
            </w:r>
            <w:r>
              <w:rPr>
                <w:sz w:val="21"/>
              </w:rPr>
              <w:t>4D-CT</w:t>
            </w:r>
            <w:r>
              <w:rPr>
                <w:sz w:val="21"/>
              </w:rPr>
              <w:t>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12.2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配备可视化呼吸训练装置（</w:t>
            </w:r>
            <w:r>
              <w:rPr>
                <w:sz w:val="21"/>
              </w:rPr>
              <w:t>VCD</w:t>
            </w:r>
            <w:r>
              <w:rPr>
                <w:sz w:val="21"/>
              </w:rPr>
              <w:t>）</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提供幅度门控、相位门控和屏气门控等多种门控技术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支持治疗前透视验证，将</w:t>
            </w:r>
            <w:r>
              <w:rPr>
                <w:sz w:val="21"/>
              </w:rPr>
              <w:t>DRR</w:t>
            </w:r>
            <w:r>
              <w:rPr>
                <w:sz w:val="21"/>
              </w:rPr>
              <w:t>中的轮廓或计划中的结构叠加到透视影像上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支持呼吸门控放射治疗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支持呼吸门控下的容积旋转调强放疗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支持治疗中呼吸门控自动触发成像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束流开启的门控信号最大响应时间</w:t>
            </w:r>
            <w:r>
              <w:rPr>
                <w:sz w:val="21"/>
              </w:rPr>
              <w:t>≤</w:t>
            </w:r>
            <w:r>
              <w:rPr>
                <w:sz w:val="21"/>
              </w:rPr>
              <w:t>0.5</w:t>
            </w:r>
            <w:r>
              <w:rPr>
                <w:sz w:val="21"/>
              </w:rPr>
              <w:t>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支持的最大呼吸频率（每分钟呼吸次数）</w:t>
            </w:r>
            <w:r>
              <w:rPr>
                <w:sz w:val="21"/>
              </w:rPr>
              <w:t>≥</w:t>
            </w:r>
            <w:r>
              <w:rPr>
                <w:sz w:val="21"/>
              </w:rPr>
              <w:t>25</w:t>
            </w:r>
            <w:r>
              <w:rPr>
                <w:sz w:val="21"/>
              </w:rPr>
              <w:t>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启动呼吸门控系统的最小运动幅度</w:t>
            </w:r>
            <w:r>
              <w:rPr>
                <w:sz w:val="21"/>
              </w:rPr>
              <w:t>≥</w:t>
            </w:r>
            <w:r>
              <w:rPr>
                <w:sz w:val="21"/>
              </w:rPr>
              <w:t>4mm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配套设备及附件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提供稳压电源</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提供水冷机</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提供激光定位系统</w:t>
            </w:r>
            <w:r>
              <w:rPr>
                <w:sz w:val="21"/>
              </w:rPr>
              <w:t>1</w:t>
            </w:r>
            <w:r>
              <w:rPr>
                <w:sz w:val="21"/>
              </w:rPr>
              <w:t>套（绿光）</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提供监视与对讲系统</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提供楔形板</w:t>
            </w:r>
            <w:r>
              <w:rPr>
                <w:sz w:val="21"/>
              </w:rPr>
              <w:t>1</w:t>
            </w:r>
            <w:r>
              <w:rPr>
                <w:sz w:val="21"/>
              </w:rPr>
              <w:t>套，包括</w:t>
            </w:r>
            <w:r>
              <w:rPr>
                <w:sz w:val="21"/>
              </w:rPr>
              <w:t>15</w:t>
            </w:r>
            <w:r>
              <w:rPr>
                <w:sz w:val="21"/>
              </w:rPr>
              <w:t>、</w:t>
            </w:r>
            <w:r>
              <w:rPr>
                <w:sz w:val="21"/>
              </w:rPr>
              <w:t>30</w:t>
            </w:r>
            <w:r>
              <w:rPr>
                <w:sz w:val="21"/>
              </w:rPr>
              <w:t>、</w:t>
            </w:r>
            <w:r>
              <w:rPr>
                <w:sz w:val="21"/>
              </w:rPr>
              <w:t>45</w:t>
            </w:r>
            <w:r>
              <w:rPr>
                <w:sz w:val="21"/>
              </w:rPr>
              <w:t>和</w:t>
            </w:r>
            <w:r>
              <w:rPr>
                <w:sz w:val="21"/>
              </w:rPr>
              <w:t>60</w:t>
            </w:r>
            <w:r>
              <w:rPr>
                <w:sz w:val="21"/>
              </w:rPr>
              <w:t>度</w:t>
            </w:r>
            <w:r>
              <w:rPr>
                <w:sz w:val="21"/>
              </w:rPr>
              <w:t>4</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提供挡铅托盘</w:t>
            </w:r>
            <w:r>
              <w:rPr>
                <w:sz w:val="21"/>
              </w:rPr>
              <w:t>25</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提供维修工具</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提供质控模体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CatPhan</w:t>
            </w:r>
            <w:r>
              <w:rPr>
                <w:sz w:val="21"/>
              </w:rPr>
              <w:t>模体，用于测量</w:t>
            </w:r>
            <w:r>
              <w:rPr>
                <w:sz w:val="21"/>
              </w:rPr>
              <w:t>CBCT</w:t>
            </w:r>
            <w:r>
              <w:rPr>
                <w:sz w:val="21"/>
              </w:rPr>
              <w:t>图像对比度、空间分辨率和均匀性的模体。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Leeds TOR 18FG</w:t>
            </w:r>
            <w:r>
              <w:rPr>
                <w:sz w:val="21"/>
              </w:rPr>
              <w:t>模体，用于测量</w:t>
            </w:r>
            <w:r>
              <w:rPr>
                <w:sz w:val="21"/>
              </w:rPr>
              <w:t>kV</w:t>
            </w:r>
            <w:r>
              <w:rPr>
                <w:sz w:val="21"/>
              </w:rPr>
              <w:t>成像系统的空间分辨率和对比度。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w:t>
            </w:r>
            <w:r>
              <w:rPr>
                <w:sz w:val="21"/>
              </w:rPr>
              <w:t>MV</w:t>
            </w:r>
            <w:r>
              <w:rPr>
                <w:sz w:val="21"/>
              </w:rPr>
              <w:t>对比度模体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13.8.4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提供几何参数模体，用于图像引导治疗流程的质量控制。</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治疗计划系统硬件要求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计划系统由：</w:t>
            </w:r>
            <w:r>
              <w:rPr>
                <w:sz w:val="21"/>
              </w:rPr>
              <w:t>4</w:t>
            </w:r>
            <w:r>
              <w:rPr>
                <w:sz w:val="21"/>
              </w:rPr>
              <w:t>台物理师工作平台（治疗计划设计、计算、图像融合、靶区智能勾画、计划评估等功能）、</w:t>
            </w:r>
            <w:r>
              <w:rPr>
                <w:sz w:val="21"/>
              </w:rPr>
              <w:t>5</w:t>
            </w:r>
            <w:r>
              <w:rPr>
                <w:sz w:val="21"/>
              </w:rPr>
              <w:t>台医生工作平台</w:t>
            </w:r>
            <w:r>
              <w:rPr>
                <w:sz w:val="21"/>
              </w:rPr>
              <w:t>(</w:t>
            </w:r>
            <w:r>
              <w:rPr>
                <w:sz w:val="21"/>
              </w:rPr>
              <w:t>图像融合、靶区智能勾画、计划评估等功能</w:t>
            </w:r>
            <w:r>
              <w:rPr>
                <w:sz w:val="21"/>
              </w:rPr>
              <w:t>)</w:t>
            </w:r>
            <w:r>
              <w:rPr>
                <w:sz w:val="21"/>
              </w:rPr>
              <w:t>，以及支持运行该系统所必需的软件和硬件。工作平台要求具备不间断备用电源功能。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物理师工作平台硬件要求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中央处理器：相当于双核</w:t>
            </w:r>
            <w:r>
              <w:rPr>
                <w:sz w:val="21"/>
              </w:rPr>
              <w:t>Intel Xeon Silver 4110</w:t>
            </w:r>
            <w:r>
              <w:rPr>
                <w:sz w:val="21"/>
              </w:rPr>
              <w:t>或以上，主频≥</w:t>
            </w:r>
            <w:r>
              <w:rPr>
                <w:sz w:val="21"/>
              </w:rPr>
              <w:t>2.8GHz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随机存取存储器：主机内存</w:t>
            </w:r>
            <w:r>
              <w:rPr>
                <w:sz w:val="21"/>
              </w:rPr>
              <w:t>≥</w:t>
            </w:r>
            <w:r>
              <w:rPr>
                <w:sz w:val="21"/>
              </w:rPr>
              <w:t>256 GB (4</w:t>
            </w:r>
            <w:r>
              <w:rPr>
                <w:sz w:val="21"/>
              </w:rPr>
              <w:t>×</w:t>
            </w:r>
            <w:r>
              <w:rPr>
                <w:sz w:val="21"/>
              </w:rPr>
              <w:t>8GB) DDR4</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磁盘存储器：容量</w:t>
            </w:r>
            <w:r>
              <w:rPr>
                <w:sz w:val="21"/>
              </w:rPr>
              <w:t>≥</w:t>
            </w:r>
            <w:r>
              <w:rPr>
                <w:sz w:val="21"/>
              </w:rPr>
              <w:t>2TB SATA HDD</w:t>
            </w:r>
            <w:r>
              <w:rPr>
                <w:sz w:val="21"/>
              </w:rPr>
              <w:t>，≥</w:t>
            </w:r>
            <w:r>
              <w:rPr>
                <w:sz w:val="21"/>
              </w:rPr>
              <w:t>2TB SSD</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显示卡：相当于</w:t>
            </w:r>
            <w:r>
              <w:rPr>
                <w:sz w:val="21"/>
              </w:rPr>
              <w:t>NVidia Quadro P600</w:t>
            </w:r>
            <w:r>
              <w:rPr>
                <w:sz w:val="21"/>
              </w:rPr>
              <w:t>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终端显示器：尺寸</w:t>
            </w:r>
            <w:r>
              <w:rPr>
                <w:sz w:val="21"/>
              </w:rPr>
              <w:t>≥</w:t>
            </w:r>
            <w:r>
              <w:rPr>
                <w:sz w:val="21"/>
              </w:rPr>
              <w:t>27</w:t>
            </w:r>
            <w:r>
              <w:rPr>
                <w:sz w:val="21"/>
              </w:rPr>
              <w:t>英寸，分辨率≥</w:t>
            </w:r>
            <w:r>
              <w:rPr>
                <w:sz w:val="21"/>
              </w:rPr>
              <w:t>1920</w:t>
            </w:r>
            <w:r>
              <w:rPr>
                <w:sz w:val="21"/>
              </w:rPr>
              <w:t>×</w:t>
            </w:r>
            <w:r>
              <w:rPr>
                <w:sz w:val="21"/>
              </w:rPr>
              <w:t>1080</w:t>
            </w:r>
            <w:r>
              <w:rPr>
                <w:sz w:val="21"/>
              </w:rPr>
              <w:t>，带键盘和鼠标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 xml:space="preserve">Windows </w:t>
            </w:r>
            <w:r>
              <w:rPr>
                <w:sz w:val="21"/>
              </w:rPr>
              <w:t xml:space="preserve">企业版 </w:t>
            </w:r>
            <w:r>
              <w:rPr>
                <w:sz w:val="21"/>
              </w:rPr>
              <w:t>(64</w:t>
            </w:r>
            <w:r>
              <w:rPr>
                <w:sz w:val="21"/>
              </w:rPr>
              <w:t>位</w:t>
            </w:r>
            <w:r>
              <w:rPr>
                <w:sz w:val="21"/>
              </w:rPr>
              <w:t>)</w:t>
            </w:r>
            <w:r>
              <w:rPr>
                <w:sz w:val="21"/>
              </w:rPr>
              <w:t>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图形处理器：相当于</w:t>
            </w:r>
            <w:r>
              <w:rPr>
                <w:sz w:val="21"/>
              </w:rPr>
              <w:t>NVidia P5000</w:t>
            </w:r>
            <w:r>
              <w:rPr>
                <w:sz w:val="21"/>
              </w:rPr>
              <w:t>或以上，内存≥</w:t>
            </w:r>
            <w:r>
              <w:rPr>
                <w:sz w:val="21"/>
              </w:rPr>
              <w:t>32GB</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医生工作平台硬件要求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i7</w:t>
            </w:r>
            <w:r>
              <w:rPr>
                <w:sz w:val="21"/>
              </w:rPr>
              <w:t>或以上，主频≥</w:t>
            </w:r>
            <w:r>
              <w:rPr>
                <w:sz w:val="21"/>
              </w:rPr>
              <w:t>3GHz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随机存取存储器：内存</w:t>
            </w:r>
            <w:r>
              <w:rPr>
                <w:sz w:val="21"/>
              </w:rPr>
              <w:t>≥</w:t>
            </w:r>
            <w:r>
              <w:rPr>
                <w:sz w:val="21"/>
              </w:rPr>
              <w:t>128GB DDR3</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磁盘存储器：容量</w:t>
            </w:r>
            <w:r>
              <w:rPr>
                <w:sz w:val="21"/>
              </w:rPr>
              <w:t>≥</w:t>
            </w:r>
            <w:r>
              <w:rPr>
                <w:sz w:val="21"/>
              </w:rPr>
              <w:t>2TB SSD</w:t>
            </w:r>
            <w:r>
              <w:rPr>
                <w:sz w:val="21"/>
              </w:rPr>
              <w:t>硬盘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显示卡：相当于</w:t>
            </w:r>
            <w:r>
              <w:rPr>
                <w:sz w:val="21"/>
              </w:rPr>
              <w:t>Intel HD Graphics 4600</w:t>
            </w:r>
            <w:r>
              <w:rPr>
                <w:sz w:val="21"/>
              </w:rPr>
              <w:t>或以上，带双显示接口和单</w:t>
            </w:r>
            <w:r>
              <w:rPr>
                <w:sz w:val="21"/>
              </w:rPr>
              <w:t>VGA</w:t>
            </w:r>
            <w:r>
              <w:rPr>
                <w:sz w:val="21"/>
              </w:rPr>
              <w:t>输出</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终端显示器：尺寸</w:t>
            </w:r>
            <w:r>
              <w:rPr>
                <w:sz w:val="21"/>
              </w:rPr>
              <w:t>≥</w:t>
            </w:r>
            <w:r>
              <w:rPr>
                <w:sz w:val="21"/>
              </w:rPr>
              <w:t>27</w:t>
            </w:r>
            <w:r>
              <w:rPr>
                <w:sz w:val="21"/>
              </w:rPr>
              <w:t>英寸，分辨率≥</w:t>
            </w:r>
            <w:r>
              <w:rPr>
                <w:sz w:val="21"/>
              </w:rPr>
              <w:t>1920</w:t>
            </w:r>
            <w:r>
              <w:rPr>
                <w:sz w:val="21"/>
              </w:rPr>
              <w:t>×</w:t>
            </w:r>
            <w:r>
              <w:rPr>
                <w:sz w:val="21"/>
              </w:rPr>
              <w:t>1080</w:t>
            </w:r>
            <w:r>
              <w:rPr>
                <w:sz w:val="21"/>
              </w:rPr>
              <w:t>，带键盘和鼠标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w:t>
            </w:r>
            <w:r>
              <w:rPr>
                <w:sz w:val="21"/>
              </w:rPr>
              <w:t>企业版</w:t>
            </w:r>
            <w:r>
              <w:rPr>
                <w:sz w:val="21"/>
              </w:rPr>
              <w:t>(64</w:t>
            </w:r>
            <w:r>
              <w:rPr>
                <w:sz w:val="21"/>
              </w:rPr>
              <w:t>位</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治疗计划系统软件要求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软件基本环境（智能勾画工作平台、靶区自动勾画系统，能实现＞</w:t>
            </w:r>
            <w:r>
              <w:rPr>
                <w:sz w:val="21"/>
              </w:rPr>
              <w:t>10</w:t>
            </w:r>
            <w:r>
              <w:rPr>
                <w:sz w:val="21"/>
              </w:rPr>
              <w:t>个癌症病种靶区勾画，＞</w:t>
            </w:r>
            <w:r>
              <w:rPr>
                <w:sz w:val="21"/>
              </w:rPr>
              <w:t>100</w:t>
            </w:r>
            <w:r>
              <w:rPr>
                <w:sz w:val="21"/>
              </w:rPr>
              <w:t>种正常器官勾画）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系统架构：系统应基于</w:t>
            </w:r>
            <w:r>
              <w:rPr>
                <w:sz w:val="21"/>
              </w:rPr>
              <w:t>“客户～服务器”模式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临床与管理数据库：数据库应是关系型数据库管理系统。应建立在符合</w:t>
            </w:r>
            <w:r>
              <w:rPr>
                <w:sz w:val="21"/>
              </w:rPr>
              <w:t>ANSII</w:t>
            </w:r>
            <w:r>
              <w:rPr>
                <w:sz w:val="21"/>
              </w:rPr>
              <w:t>规定标准的</w:t>
            </w:r>
            <w:r>
              <w:rPr>
                <w:sz w:val="21"/>
              </w:rPr>
              <w:t>SQL</w:t>
            </w:r>
            <w:r>
              <w:rPr>
                <w:sz w:val="21"/>
              </w:rPr>
              <w:t>语言上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数据传输协议：支持</w:t>
            </w:r>
            <w:r>
              <w:rPr>
                <w:sz w:val="21"/>
              </w:rPr>
              <w:t>HL-7</w:t>
            </w:r>
            <w:r>
              <w:rPr>
                <w:sz w:val="21"/>
              </w:rPr>
              <w:t>接口协议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软件功能要求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影像配准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CT</w:t>
            </w:r>
            <w:r>
              <w:rPr>
                <w:sz w:val="21"/>
              </w:rPr>
              <w:t>、</w:t>
            </w:r>
            <w:r>
              <w:rPr>
                <w:sz w:val="21"/>
              </w:rPr>
              <w:t>MRI</w:t>
            </w:r>
            <w:r>
              <w:rPr>
                <w:sz w:val="21"/>
              </w:rPr>
              <w:t>、</w:t>
            </w:r>
            <w:r>
              <w:rPr>
                <w:sz w:val="21"/>
              </w:rPr>
              <w:t>CBCT</w:t>
            </w:r>
            <w:r>
              <w:rPr>
                <w:sz w:val="21"/>
              </w:rPr>
              <w:t>、</w:t>
            </w:r>
            <w:r>
              <w:rPr>
                <w:sz w:val="21"/>
              </w:rPr>
              <w:t>PET</w:t>
            </w:r>
            <w:r>
              <w:rPr>
                <w:sz w:val="21"/>
              </w:rPr>
              <w:t>的配准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支持影像的刚性配准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支持影像的形变配准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配准结果评估工具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2.2.2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轮廓结构勾画（原厂）要求物理师工作平台以及放疗医生工作平台均可支持在</w:t>
            </w:r>
            <w:r>
              <w:rPr>
                <w:sz w:val="21"/>
              </w:rPr>
              <w:t>4DCT</w:t>
            </w:r>
            <w:r>
              <w:rPr>
                <w:sz w:val="21"/>
              </w:rPr>
              <w:t>上进行靶区勾画。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基于经验知识库的自动勾画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预置专家图谱库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检索肿瘤部位和分期说明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支持创建自定义图谱库</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能够编辑现有专家库中的病例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提供解剖图谱，描述各解剖结构详细信息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w:t>
            </w:r>
            <w:r>
              <w:rPr>
                <w:sz w:val="21"/>
              </w:rPr>
              <w:t>2</w:t>
            </w:r>
            <w:r>
              <w:rPr>
                <w:sz w:val="21"/>
              </w:rPr>
              <w:t>个图谱的自动勾画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肺肿瘤自动勾画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PET</w:t>
            </w:r>
            <w:r>
              <w:rPr>
                <w:sz w:val="21"/>
              </w:rPr>
              <w:t>阈值勾画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支持自动</w:t>
            </w:r>
            <w:r>
              <w:rPr>
                <w:sz w:val="21"/>
              </w:rPr>
              <w:t>SUV</w:t>
            </w:r>
            <w:r>
              <w:rPr>
                <w:sz w:val="21"/>
              </w:rPr>
              <w:t>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应支持多模态影像勾画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4D</w:t>
            </w:r>
            <w:r>
              <w:rPr>
                <w:sz w:val="21"/>
              </w:rPr>
              <w:t>影像数据处理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支持生成</w:t>
            </w:r>
            <w:r>
              <w:rPr>
                <w:sz w:val="21"/>
              </w:rPr>
              <w:t>MIP</w:t>
            </w:r>
            <w:r>
              <w:rPr>
                <w:sz w:val="21"/>
              </w:rPr>
              <w:t>、</w:t>
            </w:r>
            <w:r>
              <w:rPr>
                <w:sz w:val="21"/>
              </w:rPr>
              <w:t>AIP</w:t>
            </w:r>
            <w:r>
              <w:rPr>
                <w:sz w:val="21"/>
              </w:rPr>
              <w:t>和</w:t>
            </w:r>
            <w:r>
              <w:rPr>
                <w:sz w:val="21"/>
              </w:rPr>
              <w:t>minIP</w:t>
            </w:r>
            <w:r>
              <w:rPr>
                <w:sz w:val="21"/>
              </w:rPr>
              <w:t>图像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可合成照射靶体积</w:t>
            </w:r>
            <w:r>
              <w:rPr>
                <w:sz w:val="21"/>
              </w:rPr>
              <w:t>ITV</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可进行刚性、形变的</w:t>
            </w:r>
            <w:r>
              <w:rPr>
                <w:sz w:val="21"/>
              </w:rPr>
              <w:t>4D</w:t>
            </w:r>
            <w:r>
              <w:rPr>
                <w:sz w:val="21"/>
              </w:rPr>
              <w:t>结构派生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可浏览呼吸幅度曲线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4D</w:t>
            </w:r>
            <w:r>
              <w:rPr>
                <w:sz w:val="21"/>
              </w:rPr>
              <w:t>体积统计，评估质心和体积变化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2.2.2.4.6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支持勾画和计划射野上播放</w:t>
            </w:r>
            <w:r>
              <w:rPr>
                <w:sz w:val="21"/>
              </w:rPr>
              <w:t>4D</w:t>
            </w:r>
            <w:r>
              <w:rPr>
                <w:sz w:val="21"/>
              </w:rPr>
              <w:t>电影</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支持临床协议模板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支持野中野技术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支持补偿器计划设计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支持正向放疗计划设计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支持逆向调强放疗计划设计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支持放射治疗设备间的治疗迁移</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同型号机型，束流完全匹配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可直接切换到其他同型号机型进行治疗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2.2.3.4.4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支持将治疗切换到同一供应商的其他机型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支持逆向调强放疗计划设计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支持对调强放疗计划的优化过程</w:t>
            </w:r>
            <w:r>
              <w:rPr>
                <w:sz w:val="21"/>
              </w:rPr>
              <w:t>GPU</w:t>
            </w:r>
            <w:r>
              <w:rPr>
                <w:sz w:val="21"/>
              </w:rPr>
              <w:t>加速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2.2.3.7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VMAT</w:t>
            </w:r>
            <w:r>
              <w:rPr>
                <w:sz w:val="21"/>
              </w:rPr>
              <w:t>容积旋转调强立体定向</w:t>
            </w:r>
            <w:r>
              <w:rPr>
                <w:sz w:val="21"/>
              </w:rPr>
              <w:t>SBRT</w:t>
            </w:r>
            <w:r>
              <w:rPr>
                <w:sz w:val="21"/>
              </w:rPr>
              <w:t>、影像引导</w:t>
            </w:r>
            <w:r>
              <w:rPr>
                <w:sz w:val="21"/>
              </w:rPr>
              <w:t>IGRT</w:t>
            </w:r>
            <w:r>
              <w:rPr>
                <w:sz w:val="21"/>
              </w:rPr>
              <w:t>放疗技术</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支持射野自动避让选定的危及器官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支持自动优化射野衔接剂量分布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支持加载计划模板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可设定射束在特定机架角度暂停出束（角度避让）</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支持优化目标模板</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2.2.3.13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支持生物函数的剂量优化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剂量计算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支持各向异性解析算法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GPU</w:t>
            </w:r>
            <w:r>
              <w:rPr>
                <w:sz w:val="21"/>
              </w:rPr>
              <w:t>对调强放射治疗计划的计算加速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患者计划质量保证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提供射野剂量验证算法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提供射野剂量验证系统功能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射野剂量计算支持基于成像系统的</w:t>
            </w:r>
            <w:r>
              <w:rPr>
                <w:sz w:val="21"/>
              </w:rPr>
              <w:t>IMRT</w:t>
            </w:r>
            <w:r>
              <w:rPr>
                <w:sz w:val="21"/>
              </w:rPr>
              <w:t>射野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提供实时计划通量验证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射野剂量计算支持基于成像系统的</w:t>
            </w:r>
            <w:r>
              <w:rPr>
                <w:sz w:val="21"/>
              </w:rPr>
              <w:t>VMAT</w:t>
            </w:r>
            <w:r>
              <w:rPr>
                <w:sz w:val="21"/>
              </w:rPr>
              <w:t>、</w:t>
            </w:r>
            <w:r>
              <w:rPr>
                <w:sz w:val="21"/>
              </w:rPr>
              <w:t>SBRT</w:t>
            </w:r>
            <w:r>
              <w:rPr>
                <w:sz w:val="21"/>
              </w:rPr>
              <w:t>、影像引导</w:t>
            </w:r>
            <w:r>
              <w:rPr>
                <w:sz w:val="21"/>
              </w:rPr>
              <w:t>IGRT</w:t>
            </w:r>
            <w:r>
              <w:rPr>
                <w:sz w:val="21"/>
              </w:rPr>
              <w:t>射野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不须增加模体即可进行验证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支持验证水箱和模体计划</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支持模体中的点</w:t>
            </w:r>
            <w:r>
              <w:rPr>
                <w:sz w:val="21"/>
              </w:rPr>
              <w:t>/</w:t>
            </w:r>
            <w:r>
              <w:rPr>
                <w:sz w:val="21"/>
              </w:rPr>
              <w:t>线剂量计算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支持水等效深度</w:t>
            </w:r>
            <w:r>
              <w:rPr>
                <w:sz w:val="21"/>
              </w:rPr>
              <w:t>/</w:t>
            </w:r>
            <w:r>
              <w:rPr>
                <w:sz w:val="21"/>
              </w:rPr>
              <w:t>距离测量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2.2.5.10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能预先配置数据以支持射野剂量计算算法</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计划评估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支持并排计划剂量分布比较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支持多个结构、多个计划的</w:t>
            </w:r>
            <w:r>
              <w:rPr>
                <w:sz w:val="21"/>
              </w:rPr>
              <w:t>DVH</w:t>
            </w:r>
            <w:r>
              <w:rPr>
                <w:sz w:val="21"/>
              </w:rPr>
              <w:t>比较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支持外照射计划的叠加和相减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支持近距离治疗计划的叠加和相减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2.2.6.5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支持外照射计划的鲁棒性评估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用程序接口（</w:t>
            </w:r>
            <w:r>
              <w:rPr>
                <w:sz w:val="21"/>
              </w:rPr>
              <w:t>API</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应提供官方</w:t>
            </w:r>
            <w:r>
              <w:rPr>
                <w:sz w:val="21"/>
              </w:rPr>
              <w:t>API</w:t>
            </w:r>
            <w:r>
              <w:rPr>
                <w:sz w:val="21"/>
              </w:rPr>
              <w:t>程序编写文档</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应用程序接口应支持计划、</w:t>
            </w:r>
            <w:r>
              <w:rPr>
                <w:sz w:val="21"/>
              </w:rPr>
              <w:t>DVH</w:t>
            </w:r>
            <w:r>
              <w:rPr>
                <w:sz w:val="21"/>
              </w:rPr>
              <w:t>、剂量、结构和图像数据的访问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支持优化目标、参数和通量数据的访问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支持射野、附件参数的数据访问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支持可视化编程</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2.2.7.6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支持整个计划设计的自动化</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肿瘤放疗信息管理系统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网络信息管理系统硬件要求（放疗信息系统可实现电子医嘱、预约管理、医嘱任务流转、叫号管理等，可连接医院</w:t>
            </w:r>
            <w:r>
              <w:rPr>
                <w:sz w:val="21"/>
              </w:rPr>
              <w:t>HIS</w:t>
            </w:r>
            <w:r>
              <w:rPr>
                <w:sz w:val="21"/>
              </w:rPr>
              <w:t>系统，收费系统，具备国考模块，可实现至少五级电子病历。可与医院现有质子信息系统连接，实现病人数据信息共享）</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数据处理设备：</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中央处理器：相当于</w:t>
            </w:r>
            <w:r>
              <w:rPr>
                <w:sz w:val="21"/>
              </w:rPr>
              <w:t>Intel Xeon</w:t>
            </w:r>
            <w:r>
              <w:rPr>
                <w:sz w:val="21"/>
              </w:rPr>
              <w:t>≥</w:t>
            </w:r>
            <w:r>
              <w:rPr>
                <w:sz w:val="21"/>
              </w:rPr>
              <w:t>10</w:t>
            </w:r>
            <w:r>
              <w:rPr>
                <w:sz w:val="21"/>
              </w:rPr>
              <w:t>核处理器</w:t>
            </w:r>
            <w:r>
              <w:rPr>
                <w:sz w:val="21"/>
              </w:rPr>
              <w:t>2</w:t>
            </w:r>
            <w:r>
              <w:rPr>
                <w:sz w:val="21"/>
              </w:rPr>
              <w:t>颗，主频≥</w:t>
            </w:r>
            <w:r>
              <w:rPr>
                <w:sz w:val="21"/>
              </w:rPr>
              <w:t>2.2GHz</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r>
              <w:rPr>
                <w:sz w:val="21"/>
              </w:rPr>
              <w:t>≥</w:t>
            </w:r>
            <w:r>
              <w:rPr>
                <w:sz w:val="21"/>
              </w:rPr>
              <w:t>64G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w:t>
            </w:r>
            <w:r>
              <w:rPr>
                <w:sz w:val="21"/>
              </w:rPr>
              <w:t>11</w:t>
            </w:r>
            <w:r>
              <w:rPr>
                <w:sz w:val="21"/>
              </w:rPr>
              <w:t>块</w:t>
            </w:r>
            <w:r>
              <w:rPr>
                <w:sz w:val="21"/>
              </w:rPr>
              <w:t>1TB</w:t>
            </w:r>
            <w:r>
              <w:rPr>
                <w:sz w:val="21"/>
              </w:rPr>
              <w:t>固态硬盘</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电源：双电源</w:t>
            </w:r>
            <w:r>
              <w:rPr>
                <w:sz w:val="21"/>
              </w:rPr>
              <w:t>1100</w:t>
            </w:r>
            <w:r>
              <w:rPr>
                <w:sz w:val="21"/>
              </w:rPr>
              <w:t>瓦</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Windows Server 2019</w:t>
            </w:r>
            <w:r>
              <w:rPr>
                <w:sz w:val="21"/>
              </w:rPr>
              <w:t>标准版操作系统或以上级别的系统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网络工作平台数量：</w:t>
            </w:r>
            <w:r>
              <w:rPr>
                <w:sz w:val="21"/>
              </w:rPr>
              <w:t>≥</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中央处理器：</w:t>
            </w:r>
            <w:r>
              <w:rPr>
                <w:sz w:val="21"/>
              </w:rPr>
              <w:t>Intel i5</w:t>
            </w:r>
            <w:r>
              <w:rPr>
                <w:sz w:val="21"/>
              </w:rPr>
              <w:t>系列或以上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内存：</w:t>
            </w:r>
            <w:r>
              <w:rPr>
                <w:sz w:val="21"/>
              </w:rPr>
              <w:t>≥</w:t>
            </w:r>
            <w:r>
              <w:rPr>
                <w:sz w:val="21"/>
              </w:rPr>
              <w:t>2</w:t>
            </w:r>
            <w:r>
              <w:rPr>
                <w:sz w:val="21"/>
              </w:rPr>
              <w:t>×</w:t>
            </w:r>
            <w:r>
              <w:rPr>
                <w:sz w:val="21"/>
              </w:rPr>
              <w:t>4G</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w:t>
            </w:r>
            <w:r>
              <w:rPr>
                <w:sz w:val="21"/>
              </w:rPr>
              <w:t>1TB</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操作系统：</w:t>
            </w:r>
            <w:r>
              <w:rPr>
                <w:sz w:val="21"/>
              </w:rPr>
              <w:t>WIN 10 PRO 64</w:t>
            </w:r>
            <w:r>
              <w:rPr>
                <w:sz w:val="21"/>
              </w:rPr>
              <w:t>位操作系统或以上级别的系统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网络信息管理系统软件要求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放疗数据库应用软件：所有的病人治疗数据，包括文字资料、图像资料、治疗计划数据和治疗过程中产生的图像和文字数据等，均应储存在服务器数据库中，以方便管理、备份和所有联网工作平台的信息资源共享。</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用户级别限制：服务器软件能设置各工作平台用户的使用权限</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可设置多台加速器的机械参数和治疗参数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提供病人登记注册和病例资料管理功能</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支持分次放疗、等中心旋转放疗、非共面放疗、多叶准直器不规则野照射、适形放疗、调强放疗、容积旋转治疗等所有外照射放疗技术的应用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具有治疗参数的</w:t>
            </w:r>
            <w:r>
              <w:rPr>
                <w:sz w:val="21"/>
              </w:rPr>
              <w:t>“自动记录和验证”功能，可设置误差允许范围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提供创建可视化治疗路径的工具，以提高工作流程效率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提供肿瘤放疗管理功能模块，具有基础统计数据信息、诊断信息、分期信息、放射治疗数据管理、治疗报告、费用统计和工作流管理工具。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提供肿瘤影像管理功能模块，可以让用户浏览患者的影像，通过定位影像与治疗影像的对比来确认患者摆位是否正确，还提供对患者的</w:t>
            </w:r>
            <w:r>
              <w:rPr>
                <w:sz w:val="21"/>
              </w:rPr>
              <w:t>MV</w:t>
            </w:r>
            <w:r>
              <w:rPr>
                <w:sz w:val="21"/>
              </w:rPr>
              <w:t>、</w:t>
            </w:r>
            <w:r>
              <w:rPr>
                <w:sz w:val="21"/>
              </w:rPr>
              <w:t>kV</w:t>
            </w:r>
            <w:r>
              <w:rPr>
                <w:sz w:val="21"/>
              </w:rPr>
              <w:t>平片以及</w:t>
            </w:r>
            <w:r>
              <w:rPr>
                <w:sz w:val="21"/>
              </w:rPr>
              <w:t>CBCT</w:t>
            </w:r>
            <w:r>
              <w:rPr>
                <w:sz w:val="21"/>
              </w:rPr>
              <w:t>影像的增强和分析工具。</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提供疾病管理功能模块，包含电子病例（</w:t>
            </w:r>
            <w:r>
              <w:rPr>
                <w:sz w:val="21"/>
              </w:rPr>
              <w:t>EMR</w:t>
            </w:r>
            <w:r>
              <w:rPr>
                <w:sz w:val="21"/>
              </w:rPr>
              <w:t>）功能，使临床工作人员在患者的整个治疗流程中都可以对患者健康信息进行评估、监测、记录和存档。用户可以在文档工作区对电子病例（</w:t>
            </w:r>
            <w:r>
              <w:rPr>
                <w:sz w:val="21"/>
              </w:rPr>
              <w:t>EMR</w:t>
            </w:r>
            <w:r>
              <w:rPr>
                <w:sz w:val="21"/>
              </w:rPr>
              <w:t>）中患者相关文档进行创建、显示和储存，包括文档批准。</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提供报告管理模块，具有基于报表设计程序的报告创建工具，允许按照用户自己的需要创建报告和修改报告。</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配套原厂操作台。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直线加速器配套第三方放疗质控、个人防护、摆位定位设备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第一部分：放疗质控设备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射线束扫描系统</w:t>
            </w:r>
            <w:r>
              <w:rPr>
                <w:sz w:val="21"/>
              </w:rPr>
              <w:t>(</w:t>
            </w:r>
            <w:r>
              <w:rPr>
                <w:sz w:val="21"/>
              </w:rPr>
              <w:t>容积旋转调强验证系统</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用于患者计划验证和机器</w:t>
            </w:r>
            <w:r>
              <w:rPr>
                <w:sz w:val="21"/>
              </w:rPr>
              <w:t>QA</w:t>
            </w:r>
            <w:r>
              <w:rPr>
                <w:sz w:val="21"/>
              </w:rPr>
              <w:t>的（</w:t>
            </w:r>
            <w:r>
              <w:rPr>
                <w:sz w:val="21"/>
              </w:rPr>
              <w:t>V-MAT</w:t>
            </w:r>
            <w:r>
              <w:rPr>
                <w:sz w:val="21"/>
              </w:rPr>
              <w:t>、</w:t>
            </w:r>
            <w:r>
              <w:rPr>
                <w:sz w:val="21"/>
              </w:rPr>
              <w:t>SBRT</w:t>
            </w:r>
            <w:r>
              <w:rPr>
                <w:sz w:val="21"/>
              </w:rPr>
              <w:t>、</w:t>
            </w:r>
            <w:r>
              <w:rPr>
                <w:sz w:val="21"/>
              </w:rPr>
              <w:t>IGRT</w:t>
            </w:r>
            <w:r>
              <w:rPr>
                <w:sz w:val="21"/>
              </w:rPr>
              <w:t>）三维验证计划系统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w:t>
            </w:r>
            <w:r>
              <w:rPr>
                <w:sz w:val="21"/>
                <w:b/>
              </w:rPr>
              <w:t>1.1.2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含有适用于辐射剂量测量的</w:t>
            </w:r>
            <w:r>
              <w:rPr>
                <w:sz w:val="21"/>
              </w:rPr>
              <w:t>≥</w:t>
            </w:r>
            <w:r>
              <w:rPr>
                <w:sz w:val="21"/>
              </w:rPr>
              <w:t>1300</w:t>
            </w:r>
            <w:r>
              <w:rPr>
                <w:sz w:val="21"/>
              </w:rPr>
              <w:t>个探头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探测器分布区域</w:t>
            </w:r>
            <w:r>
              <w:rPr>
                <w:sz w:val="21"/>
              </w:rPr>
              <w:t>≥</w:t>
            </w:r>
            <w:r>
              <w:rPr>
                <w:sz w:val="21"/>
              </w:rPr>
              <w:t>20</w:t>
            </w:r>
            <w:r>
              <w:rPr>
                <w:sz w:val="21"/>
              </w:rPr>
              <w:t>×</w:t>
            </w:r>
            <w:r>
              <w:rPr>
                <w:sz w:val="21"/>
              </w:rPr>
              <w:t>20cm</w:t>
            </w:r>
            <w:r>
              <w:rPr>
                <w:sz w:val="21"/>
                <w:vertAlign w:val="superscript"/>
              </w:rPr>
              <w:t>2</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探测器非平面分布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可满足容积旋转调强验证，可进行相对剂量和绝对剂量分析比较，可完成</w:t>
            </w:r>
            <w:r>
              <w:rPr>
                <w:sz w:val="21"/>
              </w:rPr>
              <w:t>DTA</w:t>
            </w:r>
            <w:r>
              <w:rPr>
                <w:sz w:val="21"/>
              </w:rPr>
              <w:t>和</w:t>
            </w:r>
            <w:r>
              <w:rPr>
                <w:sz w:val="21"/>
              </w:rPr>
              <w:t>Gamma</w:t>
            </w:r>
            <w:r>
              <w:rPr>
                <w:sz w:val="21"/>
              </w:rPr>
              <w:t>计算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三维水箱</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测量箱体形状：圆形或方形，可将探测器置于三维空间内任何位置</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有效扫描范围</w:t>
            </w:r>
            <w:r>
              <w:rPr>
                <w:sz w:val="21"/>
              </w:rPr>
              <w:t>≥</w:t>
            </w:r>
            <w:r>
              <w:rPr>
                <w:sz w:val="21"/>
              </w:rPr>
              <w:t>500</w:t>
            </w:r>
            <w:r>
              <w:rPr>
                <w:sz w:val="21"/>
              </w:rPr>
              <w:t>×</w:t>
            </w:r>
            <w:r>
              <w:rPr>
                <w:sz w:val="21"/>
              </w:rPr>
              <w:t>500</w:t>
            </w:r>
            <w:r>
              <w:rPr>
                <w:sz w:val="21"/>
              </w:rPr>
              <w:t>×</w:t>
            </w:r>
            <w:r>
              <w:rPr>
                <w:sz w:val="21"/>
              </w:rPr>
              <w:t>400mm(X/Y/Z)</w:t>
            </w:r>
            <w:r>
              <w:rPr>
                <w:sz w:val="21"/>
              </w:rPr>
              <w:t>；垂直距离≥</w:t>
            </w:r>
            <w:r>
              <w:rPr>
                <w:sz w:val="21"/>
              </w:rPr>
              <w:t>400mm</w:t>
            </w:r>
            <w:r>
              <w:rPr>
                <w:sz w:val="21"/>
              </w:rPr>
              <w:t>；扫描直径不移动水箱，扫描直径≥</w:t>
            </w:r>
            <w:r>
              <w:rPr>
                <w:sz w:val="21"/>
              </w:rPr>
              <w:t>500mm</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连续扫描及步进式扫描两种扫描模式</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定位精度：</w:t>
            </w:r>
            <w:r>
              <w:rPr>
                <w:sz w:val="21"/>
              </w:rPr>
              <w:t>≤</w:t>
            </w:r>
            <w:r>
              <w:rPr>
                <w:sz w:val="21"/>
              </w:rPr>
              <w:t>0.1mm</w:t>
            </w:r>
            <w:r>
              <w:rPr>
                <w:sz w:val="21"/>
              </w:rPr>
              <w:t>，需提供有国家认定资质的相关单位出具的校准测试证书证明。</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自动摆位功能；自动调整水箱箱体位置、角度，实现自动摆位功能；自动寻找中心点，无需手动调节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绝对剂量仪</w:t>
            </w:r>
            <w:r>
              <w:rPr>
                <w:sz w:val="21"/>
              </w:rPr>
              <w:t>2</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符合如下国际标准</w:t>
            </w:r>
          </w:p>
          <w:p>
            <w:pPr>
              <w:pStyle w:val="null3"/>
              <w:jc w:val="both"/>
            </w:pPr>
            <w:r>
              <w:rPr>
                <w:sz w:val="21"/>
              </w:rPr>
              <w:t xml:space="preserve">IEC 60731 </w:t>
            </w:r>
            <w:r>
              <w:rPr>
                <w:sz w:val="21"/>
              </w:rPr>
              <w:t>标准的放射治疗剂量计</w:t>
            </w:r>
          </w:p>
          <w:p>
            <w:pPr>
              <w:pStyle w:val="null3"/>
              <w:jc w:val="both"/>
            </w:pPr>
            <w:r>
              <w:rPr>
                <w:sz w:val="21"/>
              </w:rPr>
              <w:t xml:space="preserve">IEC 62467-1 </w:t>
            </w:r>
            <w:r>
              <w:rPr>
                <w:sz w:val="21"/>
              </w:rPr>
              <w:t>标准中的近距离治疗剂量计</w:t>
            </w:r>
          </w:p>
          <w:p>
            <w:pPr>
              <w:pStyle w:val="null3"/>
              <w:jc w:val="both"/>
            </w:pPr>
            <w:r>
              <w:rPr>
                <w:sz w:val="21"/>
              </w:rPr>
              <w:t xml:space="preserve">IEC 61674 </w:t>
            </w:r>
            <w:r>
              <w:rPr>
                <w:sz w:val="21"/>
              </w:rPr>
              <w:t>标准的放射诊断剂量计</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长期稳定性：＜</w:t>
            </w:r>
            <w:r>
              <w:rPr>
                <w:sz w:val="21"/>
              </w:rPr>
              <w:t>±</w:t>
            </w:r>
            <w:r>
              <w:rPr>
                <w:sz w:val="21"/>
              </w:rPr>
              <w:t>0.1%</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重复性：＜</w:t>
            </w:r>
            <w:r>
              <w:rPr>
                <w:sz w:val="21"/>
              </w:rPr>
              <w:t>±</w:t>
            </w:r>
            <w:r>
              <w:rPr>
                <w:sz w:val="21"/>
              </w:rPr>
              <w:t>0.25%</w:t>
            </w:r>
            <w:r>
              <w:rPr>
                <w:sz w:val="21"/>
              </w:rPr>
              <w:t>；非线性：≤±</w:t>
            </w:r>
            <w:r>
              <w:rPr>
                <w:sz w:val="21"/>
              </w:rPr>
              <w:t>0.25%</w:t>
            </w:r>
            <w:r>
              <w:rPr>
                <w:sz w:val="21"/>
              </w:rPr>
              <w:t>；零漂：≤±</w:t>
            </w:r>
            <w:r>
              <w:rPr>
                <w:sz w:val="21"/>
              </w:rPr>
              <w:t>0.25%</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晨检仪</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用于直线加速器的</w:t>
            </w:r>
            <w:r>
              <w:rPr>
                <w:sz w:val="21"/>
              </w:rPr>
              <w:t>QA</w:t>
            </w:r>
            <w:r>
              <w:rPr>
                <w:sz w:val="21"/>
              </w:rPr>
              <w:t>测量和稳定性检测工具；中心轴剂量、均整性、楔形角、对称性和射线质的稳定性检测等。</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13</w:t>
            </w:r>
            <w:r>
              <w:rPr>
                <w:sz w:val="21"/>
              </w:rPr>
              <w:t>个电离室探头</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0.6cc</w:t>
            </w:r>
            <w:r>
              <w:rPr>
                <w:sz w:val="21"/>
              </w:rPr>
              <w:t>指形电离室（需完成首次国家检定）</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小野剂量测量探测器</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等中心检测仪</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固体水</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固体水由</w:t>
            </w:r>
            <w:r>
              <w:rPr>
                <w:sz w:val="21"/>
              </w:rPr>
              <w:t>33</w:t>
            </w:r>
            <w:r>
              <w:rPr>
                <w:sz w:val="21"/>
              </w:rPr>
              <w:t>片</w:t>
            </w:r>
            <w:r>
              <w:rPr>
                <w:sz w:val="21"/>
              </w:rPr>
              <w:t>30cm</w:t>
            </w:r>
            <w:r>
              <w:rPr>
                <w:sz w:val="21"/>
              </w:rPr>
              <w:t>×</w:t>
            </w:r>
            <w:r>
              <w:rPr>
                <w:sz w:val="21"/>
              </w:rPr>
              <w:t>30cm</w:t>
            </w:r>
            <w:r>
              <w:rPr>
                <w:sz w:val="21"/>
              </w:rPr>
              <w:t>不同厚度的薄片组成：</w:t>
            </w:r>
            <w:r>
              <w:rPr>
                <w:sz w:val="21"/>
              </w:rPr>
              <w:t>10mm</w:t>
            </w:r>
            <w:r>
              <w:rPr>
                <w:sz w:val="21"/>
              </w:rPr>
              <w:t>厚的</w:t>
            </w:r>
            <w:r>
              <w:rPr>
                <w:sz w:val="21"/>
              </w:rPr>
              <w:t>29</w:t>
            </w:r>
            <w:r>
              <w:rPr>
                <w:sz w:val="21"/>
              </w:rPr>
              <w:t>块，</w:t>
            </w:r>
            <w:r>
              <w:rPr>
                <w:sz w:val="21"/>
              </w:rPr>
              <w:t>5mm</w:t>
            </w:r>
            <w:r>
              <w:rPr>
                <w:sz w:val="21"/>
              </w:rPr>
              <w:t>厚的</w:t>
            </w:r>
            <w:r>
              <w:rPr>
                <w:sz w:val="21"/>
              </w:rPr>
              <w:t>1</w:t>
            </w:r>
            <w:r>
              <w:rPr>
                <w:sz w:val="21"/>
              </w:rPr>
              <w:t>块，</w:t>
            </w:r>
            <w:r>
              <w:rPr>
                <w:sz w:val="21"/>
              </w:rPr>
              <w:t>2mm</w:t>
            </w:r>
            <w:r>
              <w:rPr>
                <w:sz w:val="21"/>
              </w:rPr>
              <w:t>厚的</w:t>
            </w:r>
            <w:r>
              <w:rPr>
                <w:sz w:val="21"/>
              </w:rPr>
              <w:t>2</w:t>
            </w:r>
            <w:r>
              <w:rPr>
                <w:sz w:val="21"/>
              </w:rPr>
              <w:t>块，</w:t>
            </w:r>
            <w:r>
              <w:rPr>
                <w:sz w:val="21"/>
              </w:rPr>
              <w:t>1mm</w:t>
            </w:r>
            <w:r>
              <w:rPr>
                <w:sz w:val="21"/>
              </w:rPr>
              <w:t>厚的</w:t>
            </w:r>
            <w:r>
              <w:rPr>
                <w:sz w:val="21"/>
              </w:rPr>
              <w:t>1</w:t>
            </w:r>
            <w:r>
              <w:rPr>
                <w:sz w:val="21"/>
              </w:rPr>
              <w:t>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胶片扫描仪</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端对端立体定向放疗</w:t>
            </w:r>
            <w:r>
              <w:rPr>
                <w:sz w:val="21"/>
              </w:rPr>
              <w:t>SBRT</w:t>
            </w:r>
            <w:r>
              <w:rPr>
                <w:sz w:val="21"/>
              </w:rPr>
              <w:t>验证系统</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可实现</w:t>
            </w:r>
            <w:r>
              <w:rPr>
                <w:sz w:val="21"/>
              </w:rPr>
              <w:t>CT</w:t>
            </w:r>
            <w:r>
              <w:rPr>
                <w:sz w:val="21"/>
              </w:rPr>
              <w:t>、</w:t>
            </w:r>
            <w:r>
              <w:rPr>
                <w:sz w:val="21"/>
              </w:rPr>
              <w:t>MRI</w:t>
            </w:r>
            <w:r>
              <w:rPr>
                <w:sz w:val="21"/>
              </w:rPr>
              <w:t>的图像精度测量，</w:t>
            </w:r>
            <w:r>
              <w:rPr>
                <w:sz w:val="21"/>
              </w:rPr>
              <w:t>CT/MRI</w:t>
            </w:r>
            <w:r>
              <w:rPr>
                <w:sz w:val="21"/>
              </w:rPr>
              <w:t>图像融合测量，绝对剂量、相对剂量验证</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探头数量</w:t>
            </w:r>
            <w:r>
              <w:rPr>
                <w:sz w:val="21"/>
              </w:rPr>
              <w:t>≥</w:t>
            </w:r>
            <w:r>
              <w:rPr>
                <w:sz w:val="21"/>
              </w:rPr>
              <w:t>1000</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第二部分：个人防护设备</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个人剂量仪</w:t>
            </w:r>
            <w:r>
              <w:rPr>
                <w:sz w:val="21"/>
              </w:rPr>
              <w:t>8</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射线报警仪（壁挂式，安装在操作间）</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辐射巡检仪（用于环保部门检查使用）</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温湿度计</w:t>
            </w:r>
            <w:r>
              <w:rPr>
                <w:sz w:val="21"/>
              </w:rPr>
              <w:t>2</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空气压力表</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射线防护用品（包括但不限于铅衣、铅帽、铅围脖、铅围裙）：</w:t>
            </w:r>
            <w:r>
              <w:rPr>
                <w:sz w:val="21"/>
              </w:rPr>
              <w:t>2</w:t>
            </w:r>
            <w:r>
              <w:rPr>
                <w:sz w:val="21"/>
              </w:rPr>
              <w:t>套成人（大号、中号各</w:t>
            </w:r>
            <w:r>
              <w:rPr>
                <w:sz w:val="21"/>
              </w:rPr>
              <w:t>1</w:t>
            </w:r>
            <w:r>
              <w:rPr>
                <w:sz w:val="21"/>
              </w:rPr>
              <w:t>）、</w:t>
            </w:r>
            <w:r>
              <w:rPr>
                <w:sz w:val="21"/>
              </w:rPr>
              <w:t>1</w:t>
            </w:r>
            <w:r>
              <w:rPr>
                <w:sz w:val="21"/>
              </w:rPr>
              <w:t>套儿童</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三</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第三部分：模室设备及摆位定位系统</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一体化碳纤维底座</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用途：肿瘤放射治疗病人固定，自由设置组合不同定位方案，实现头颈部、胸肺、乳腺、腹部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尺寸：</w:t>
            </w:r>
            <w:r>
              <w:rPr>
                <w:sz w:val="21"/>
              </w:rPr>
              <w:t>≥</w:t>
            </w:r>
            <w:r>
              <w:rPr>
                <w:sz w:val="21"/>
              </w:rPr>
              <w:t>1430</w:t>
            </w:r>
            <w:r>
              <w:rPr>
                <w:sz w:val="21"/>
              </w:rPr>
              <w:t>×</w:t>
            </w:r>
            <w:r>
              <w:rPr>
                <w:sz w:val="21"/>
              </w:rPr>
              <w:t>610/530</w:t>
            </w:r>
            <w:r>
              <w:rPr>
                <w:sz w:val="21"/>
              </w:rPr>
              <w:t>×</w:t>
            </w:r>
            <w:r>
              <w:rPr>
                <w:sz w:val="21"/>
              </w:rPr>
              <w:t>22mm</w:t>
            </w:r>
            <w:r>
              <w:rPr>
                <w:sz w:val="21"/>
              </w:rPr>
              <w:t>。</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头枕固定方式具有嵌入式及卡位</w:t>
            </w:r>
            <w:r>
              <w:rPr>
                <w:sz w:val="21"/>
              </w:rPr>
              <w:t>2</w:t>
            </w:r>
            <w:r>
              <w:rPr>
                <w:sz w:val="21"/>
              </w:rPr>
              <w:t>种方式，卡位方式可以根据患者体型上下调节。</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具有臂托接口，臂托水平摆动角度</w:t>
            </w:r>
            <w:r>
              <w:rPr>
                <w:sz w:val="21"/>
              </w:rPr>
              <w:t>5</w:t>
            </w:r>
            <w:r>
              <w:rPr>
                <w:sz w:val="21"/>
              </w:rPr>
              <w:t>档可调，高度</w:t>
            </w:r>
            <w:r>
              <w:rPr>
                <w:sz w:val="21"/>
              </w:rPr>
              <w:t>5</w:t>
            </w:r>
            <w:r>
              <w:rPr>
                <w:sz w:val="21"/>
              </w:rPr>
              <w:t>挡可调。</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2</w:t>
            </w:r>
            <w:r>
              <w:rPr>
                <w:sz w:val="21"/>
              </w:rPr>
              <w:t>组头颈肩膜固定孔位，可提供</w:t>
            </w:r>
            <w:r>
              <w:rPr>
                <w:sz w:val="21"/>
              </w:rPr>
              <w:t>2</w:t>
            </w:r>
            <w:r>
              <w:rPr>
                <w:sz w:val="21"/>
              </w:rPr>
              <w:t>种不同宽度组合，方便不同体型患者使用。</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底座上有</w:t>
            </w:r>
            <w:r>
              <w:rPr>
                <w:sz w:val="21"/>
              </w:rPr>
              <w:t>1400mm</w:t>
            </w:r>
            <w:r>
              <w:rPr>
                <w:sz w:val="21"/>
              </w:rPr>
              <w:t>长度刻度尺，便于在激光灯下对位。</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俯卧位盆腔系统</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碳纤维乳腺托架</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翼型板颈肩胸固定架</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颈胸部定位膜（胸部、乳腺等）</w:t>
            </w:r>
            <w:r>
              <w:rPr>
                <w:sz w:val="21"/>
              </w:rPr>
              <w:t>30</w:t>
            </w:r>
            <w:r>
              <w:rPr>
                <w:sz w:val="21"/>
              </w:rPr>
              <w:t>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恒温水箱</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恒温烤箱</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有膜组织补偿胶（</w:t>
            </w:r>
            <w:r>
              <w:rPr>
                <w:sz w:val="21"/>
              </w:rPr>
              <w:t>0.5cm</w:t>
            </w:r>
            <w:r>
              <w:rPr>
                <w:sz w:val="21"/>
              </w:rPr>
              <w:t>）</w:t>
            </w:r>
            <w:r>
              <w:rPr>
                <w:sz w:val="21"/>
              </w:rPr>
              <w:t>1</w:t>
            </w:r>
            <w:r>
              <w:rPr>
                <w:sz w:val="21"/>
              </w:rPr>
              <w:t>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有膜组织补偿胶（</w:t>
            </w:r>
            <w:r>
              <w:rPr>
                <w:sz w:val="21"/>
              </w:rPr>
              <w:t>1cm</w:t>
            </w:r>
            <w:r>
              <w:rPr>
                <w:sz w:val="21"/>
              </w:rPr>
              <w:t>）</w:t>
            </w:r>
            <w:r>
              <w:rPr>
                <w:sz w:val="21"/>
              </w:rPr>
              <w:t>1</w:t>
            </w:r>
            <w:r>
              <w:rPr>
                <w:sz w:val="21"/>
              </w:rPr>
              <w:t>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等中心检测仪</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真空垫</w:t>
            </w:r>
            <w:r>
              <w:rPr>
                <w:sz w:val="21"/>
              </w:rPr>
              <w:t>10</w:t>
            </w:r>
            <w:r>
              <w:rPr>
                <w:sz w:val="21"/>
              </w:rPr>
              <w:t>张</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真空泵</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电子防潮箱</w:t>
            </w:r>
            <w:r>
              <w:rPr>
                <w:sz w:val="21"/>
              </w:rPr>
              <w:t>1</w:t>
            </w:r>
            <w:r>
              <w:rPr>
                <w:sz w:val="21"/>
              </w:rPr>
              <w:t>个</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SBRT</w:t>
            </w:r>
            <w:r>
              <w:rPr>
                <w:sz w:val="21"/>
              </w:rPr>
              <w:t>体部压腹板固定架（含手部固定件）</w:t>
            </w:r>
            <w:r>
              <w:rPr>
                <w:sz w:val="21"/>
              </w:rPr>
              <w:t>3</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电子线自动切割机</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熔铅炉</w:t>
            </w:r>
            <w:r>
              <w:rPr>
                <w:sz w:val="21"/>
              </w:rPr>
              <w:t>1</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配套备用电源（保证设备连续运行）</w:t>
            </w:r>
            <w:r>
              <w:rPr>
                <w:sz w:val="21"/>
              </w:rPr>
              <w:t>1</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多联式空调</w:t>
            </w:r>
            <w:r>
              <w:rPr>
                <w:sz w:val="21"/>
              </w:rPr>
              <w:t>2</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工业除湿机</w:t>
            </w:r>
            <w:r>
              <w:rPr>
                <w:sz w:val="21"/>
              </w:rPr>
              <w:t>2</w:t>
            </w:r>
            <w:r>
              <w:rPr>
                <w:sz w:val="21"/>
              </w:rPr>
              <w:t>套</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工作平台</w:t>
            </w:r>
            <w:r>
              <w:rPr>
                <w:sz w:val="21"/>
              </w:rPr>
              <w:t>4</w:t>
            </w:r>
            <w:r>
              <w:rPr>
                <w:sz w:val="21"/>
              </w:rPr>
              <w:t>台。</w:t>
            </w:r>
          </w:p>
        </w:tc>
      </w:tr>
      <w:tr>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配套专用打印机</w:t>
            </w:r>
            <w:r>
              <w:rPr>
                <w:sz w:val="21"/>
              </w:rPr>
              <w:t>4</w:t>
            </w:r>
            <w:r>
              <w:rPr>
                <w:sz w:val="21"/>
              </w:rPr>
              <w:t>台</w:t>
            </w:r>
          </w:p>
        </w:tc>
      </w:tr>
    </w:tbl>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pPr>
      <w:r>
        <w:rPr/>
        <w:t>采购包1（医用电子直线加速器）</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签订合同后，中标供应商收到采购人通知发货之日起90天内完成安装、调试并交付使用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1期：支付比例30%,合同签订后10个工作日内(中小企业为5个工作日内)采购人向中标人支付合同款项30%作为预付款；</w:t>
            </w:r>
          </w:p>
          <w:p>
            <w:pPr>
              <w:pStyle w:val="null3"/>
            </w:pPr>
            <w:r>
              <w:rPr/>
              <w:t>2期：支付比例70%,货物安装调试验收合格后，采购人收到中标人提供的合同款项有效税务发票且审核无误后，10个工作日内向中标人支付合同款项70%。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1期：1.采购人收到中标人的验收申请后7日内组织验收。 2.货物若有国家标准按照国家标准验收，若无国家标准按行业标准验收。 3.采购人组织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2.质保期，中标人对本合同标的提供不少于3 年的质保期（技术要求中另有说明的以说明为准），质保期自采购人在验收合格单上签字之日起计算。质保期内，中标人负责对其提供的货物及其系统上门进行硬件维修、软件升级，不再向采购人收取任何费用，但人为因素或自然灾害造成的损坏除外。质保期内, 中标人在接到系统故障或问题告知后，响应时间不得超过1小时，到达现场不得超过2个小时，4小时内排除故障，如果设备的故障在检修24小时后仍无法排除，中标人提供不低于故障设备规格、型号、性能的备用设备供采购人代用，直至故障设备修复，如果需要更换配件的，更换的配件跟被更换的品牌、类型相一致或者是同类更高档次的替代品，后者需征得采购人管理人员同意。</w:t>
            </w:r>
          </w:p>
          <w:p>
            <w:pPr>
              <w:pStyle w:val="null3"/>
            </w:pPr>
            <w:r>
              <w:rPr/>
              <w:t>3.完全理解并接受合同条款要求，包括：合同标的、数量、质量、价款或者报酬、履行期限、履行地点和方式、违约责任和解决争议方法等，详见第五章 合同文本。</w:t>
            </w:r>
          </w:p>
          <w:p>
            <w:pPr>
              <w:pStyle w:val="null3"/>
            </w:pPr>
            <w:r>
              <w:rPr/>
              <w:t>4.真实性和有效性，同意采购方以任何形式对我方投标文件内容及采购方认为有必要的相关资料的真实性和有效性进行审查、验证。</w:t>
            </w:r>
          </w:p>
          <w:p>
            <w:pPr>
              <w:pStyle w:val="null3"/>
            </w:pPr>
            <w:r>
              <w:rPr/>
              <w:t>5.招标文件附件，投标人应将招标公告的招标文件附件中“补充附件”内容填写好相关信息后附在投标文件中。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医用放射射线治疗设备</w:t>
            </w:r>
          </w:p>
        </w:tc>
        <w:tc>
          <w:tcPr>
            <w:tcW w:type="dxa" w:w="831"/>
          </w:tcPr>
          <w:p>
            <w:pPr>
              <w:pStyle w:val="null3"/>
              <w:jc w:val="left"/>
            </w:pPr>
            <w:r>
              <w:rPr/>
              <w:t>医用电子直线加速器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32,000,000.00</w:t>
            </w:r>
          </w:p>
        </w:tc>
        <w:tc>
          <w:tcPr>
            <w:tcW w:type="dxa" w:w="831"/>
          </w:tcPr>
          <w:p>
            <w:pPr>
              <w:pStyle w:val="null3"/>
              <w:jc w:val="right"/>
            </w:pPr>
            <w:r>
              <w:rPr/>
              <w:t>32,000,000.00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医用电子直线加速器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采购机构代理服务收费标准：本次招标向中标供应商收取的中标服务费，具体如下： 以项目采购预算金额作为收费计算依据，按差额定率累进法计算收取。预算金额的各部分费率如下：预算金额（万元）100以下的，费率1.5%；100-500的，费率1.1%；500-1000的，费率0.8%；1000-5000的，费率0.5%；5000-10000的，费率0.25。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根据《茂名市财政局茂名市金融工作局中国人民银行茂名市中心支行关于开展政府采购合同融资工作的通知》（茂财采购[2021]12号），参与政府采购的中小微企业可凭借政府采购合同，利用“中征平台”、“省中小融平台”等平台向金融机构申请融资，获得无财产抵押贷款。</w:t>
            </w:r>
          </w:p>
          <w:p>
            <w:pPr>
              <w:pStyle w:val="null3"/>
              <w:jc w:val="left"/>
            </w:pPr>
            <w:r>
              <w:rPr/>
              <w:t>有关专门面向中小企业采购，本项目不属于专门面向中小企业采购的项目。依照《政府采购促进中小企业发展管理办法》（财库〔2020〕46号）规定，本项目符合“按照办法规定预留采购份额无法确保充分供应、充分竞争，或者存在可能影响政府采购目标实现”的情形，为非专门面向中小企业预留采购份额的项目。</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政府采购监督管理机构名称：茂名市财政局政府采购监管科</w:t>
      </w:r>
    </w:p>
    <w:p>
      <w:pPr>
        <w:pStyle w:val="null3"/>
      </w:pPr>
      <w:r>
        <w:rPr/>
        <w:t>地 址：茂名市茂南区双山三路13号大院1号楼2楼</w:t>
      </w:r>
    </w:p>
    <w:p>
      <w:pPr>
        <w:pStyle w:val="null3"/>
      </w:pPr>
      <w:r>
        <w:rPr/>
        <w:t>电 话：0668-2291458 0668-2282538</w:t>
      </w:r>
    </w:p>
    <w:p>
      <w:pPr>
        <w:pStyle w:val="null3"/>
      </w:pPr>
      <w:r>
        <w:rPr/>
        <w:t>邮 编：525000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采购包1(医用电子直线加速器)：综合评分法,是指投标文件满足招标文件全部实质性要求，且按照评审因素的量化指标评审得分最高的投标人为中标候选人的评标方法。（最低报价不是中标的唯一依据。）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采购包1（医用电子直线加速器）：</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采购包1（医用电子直线加速器）：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茂名市政府采购资格信用承诺函》，详见附件格式（供应商中标后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茂名市政府采购资格信用承诺函》，详见附件格式（供应商中标后提供2023年度或2024年度有效的财务报表（告）或投标截止日前3个月内任意1个月财务报表或基本开户银行(或基本存款账户行)出具的银行资信证明，其他组织或自然人可提供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投标文件中提供《茂名市政府采购资格信用承诺函》，详见附件格式（供应商中标后提供具有履行合同所必需的设备和专业技术能力的证明文件。）。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茂名市政府采购资格信用承诺函》，详见附件格式。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 不处于中国政府采购网(www.ccgp.gov.cn)“政府采购严重违法失信行为信息记录”中的禁止参加政府采购活动期间。（以采购代理机构于投标（响应） 截止时间当天在“信用中国”网站（www.creditchina.gov.cn） 及中国政府采购网 （http://www.ccgp.gov.cn/）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已获取本次采购文件。(具体方式详见本项目公告）</w:t>
            </w:r>
          </w:p>
        </w:tc>
        <w:tc>
          <w:tcPr>
            <w:tcW w:type="dxa" w:w="4238"/>
          </w:tcPr>
          <w:p>
            <w:pPr>
              <w:pStyle w:val="null3"/>
            </w:pPr>
            <w:r>
              <w:rPr/>
              <w:t>已获取本次采购文件。(具体方式详见本项目公告）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特殊资格1</w:t>
            </w:r>
          </w:p>
        </w:tc>
        <w:tc>
          <w:tcPr>
            <w:tcW w:type="dxa" w:w="4238"/>
          </w:tcPr>
          <w:p>
            <w:pPr>
              <w:pStyle w:val="null3"/>
            </w:pPr>
            <w:r>
              <w:rPr/>
              <w:t>具备医疗器械经营许可证（如投标人为代理经销商）或医疗器械生产许可证（如投标人为制造商）。（如国家另有规定，则适用其规定）。</w:t>
            </w:r>
          </w:p>
        </w:tc>
      </w:tr>
      <w:tr>
        <w:tc>
          <w:tcPr>
            <w:tcW w:type="dxa" w:w="890"/>
          </w:tcPr>
          <w:p>
            <w:pPr>
              <w:pStyle w:val="null3"/>
            </w:pPr>
            <w:r>
              <w:rPr/>
              <w:t>11</w:t>
            </w:r>
          </w:p>
        </w:tc>
        <w:tc>
          <w:tcPr>
            <w:tcW w:type="dxa" w:w="3178"/>
          </w:tcPr>
          <w:p>
            <w:pPr>
              <w:pStyle w:val="null3"/>
            </w:pPr>
            <w:r>
              <w:rPr/>
              <w:t>特殊资格2</w:t>
            </w:r>
          </w:p>
        </w:tc>
        <w:tc>
          <w:tcPr>
            <w:tcW w:type="dxa" w:w="4238"/>
          </w:tcPr>
          <w:p>
            <w:pPr>
              <w:pStyle w:val="null3"/>
            </w:pPr>
            <w:r>
              <w:rPr/>
              <w:t>供应商应具备有效的《辐射安全许可证》，且许可证规定的种类和范围能够满足本项目投标需要。（如国家另有规定，则适用其规定）</w:t>
            </w:r>
          </w:p>
        </w:tc>
      </w:tr>
      <w:tr>
        <w:tc>
          <w:tcPr>
            <w:tcW w:type="dxa" w:w="890"/>
          </w:tcPr>
          <w:p>
            <w:pPr>
              <w:pStyle w:val="null3"/>
            </w:pPr>
            <w:r>
              <w:rPr/>
              <w:t>12</w:t>
            </w:r>
          </w:p>
        </w:tc>
        <w:tc>
          <w:tcPr>
            <w:tcW w:type="dxa" w:w="3178"/>
          </w:tcPr>
          <w:p>
            <w:pPr>
              <w:pStyle w:val="null3"/>
            </w:pPr>
            <w:r>
              <w:rPr/>
              <w:t>本项目不属于专门面向中小企业预留采购份额的项目。</w:t>
            </w:r>
          </w:p>
        </w:tc>
        <w:tc>
          <w:tcPr>
            <w:tcW w:type="dxa" w:w="4238"/>
          </w:tcPr>
          <w:p>
            <w:pPr>
              <w:pStyle w:val="null3"/>
            </w:pPr>
            <w:r>
              <w:rPr/>
              <w:t>本项目不属于专门面向中小企业预留采购份额的项目。</w:t>
            </w:r>
          </w:p>
        </w:tc>
      </w:tr>
    </w:tbl>
    <w:p>
      <w:pPr>
        <w:pStyle w:val="null3"/>
        <w:ind w:firstLine="480"/>
      </w:pPr>
      <w:r>
        <w:rPr/>
        <w:t>表二符合性审查表：</w:t>
      </w:r>
    </w:p>
    <w:p>
      <w:pPr>
        <w:pStyle w:val="null3"/>
      </w:pPr>
      <w:r>
        <w:rPr/>
        <w:t>采购包1（医用电子直线加速器）：</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采购包1(医用电子直线加速器):</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(5.0分)</w:t>
            </w:r>
          </w:p>
        </w:tc>
        <w:tc>
          <w:tcPr>
            <w:tcW w:type="dxa" w:w="5076"/>
          </w:tcPr>
          <w:p>
            <w:pPr>
              <w:pStyle w:val="null3"/>
              <w:jc w:val="left"/>
            </w:pPr>
            <w:r>
              <w:rPr/>
              <w:t>具体技术(参数)要求中其他未标注“★”或“▲”的一般技术参数的响应情况进行评审： 未标注“★”或“▲”的一般技术参数共计286项， 根据未标注“★”或“▲”的一般技术参数数量中，完全满足或优于的条款数量，与条款总数量的比值来计分。即，本小项得分=完全满足或优于的条款数量÷条款总数量×本小项分值5分，计算结果四舍五入，保留2位小数。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具体技术(参数)要求中带▲号的重要条款的响应情况 (35.0分)</w:t>
            </w:r>
          </w:p>
        </w:tc>
        <w:tc>
          <w:tcPr>
            <w:tcW w:type="dxa" w:w="5076"/>
          </w:tcPr>
          <w:p>
            <w:pPr>
              <w:pStyle w:val="null3"/>
              <w:jc w:val="left"/>
            </w:pPr>
            <w:r>
              <w:rPr/>
              <w:t>具体技术(参数)要求中重要技术参数（带“▲”技术参数）的响应程度： 带“▲”技术参数共计14项，优于或完全满足采购需求的，得本项满分，每有一项负偏离的扣2.5分。 注：（1）以最细一级条款作为单项条款，含有下一级条款且本身仅作为标题的不计入条款数量。其中，如果标注“▲”的条款含有下一级的，整体视为一项“▲”条款；如果非标题条款的下一级已有标注“▲”条款的，条款本身及其下一级均计入条款数量；配置要求表格每一行视为一条单项条款。 （2）对于用户需求书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5分：技术方案基本涵盖需求，设备性能良好、选型配置较合理，制造检验标准较规范，有质量追溯和改进措施，满足项目基本要求。 1分：技术方案内容简略，设备性能与选型仅作简要说明，制造检验标准模糊，质量追溯及改进机制不完善，对项目需求回应不足。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(10.0分)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10分：供货保障方案完整，生产经销计划详尽，配备多维度及时供货措施，供货渠道稳定充足，有风险应对预案，完全匹配项目需求。 5分：方案包含生产经销计划、供货措施及渠道说明，供货渠道能满足基本需求，可保障项目正常供货。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4分：涵盖各服务环节计划，有基本应急方案，能满足项目常规售后需求，服务内容及费用说明清晰。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同类项目经验 (2.0分)</w:t>
            </w:r>
          </w:p>
        </w:tc>
        <w:tc>
          <w:tcPr>
            <w:tcW w:type="dxa" w:w="5076"/>
          </w:tcPr>
          <w:p>
            <w:pPr>
              <w:pStyle w:val="null3"/>
              <w:jc w:val="left"/>
            </w:pPr>
            <w:r>
              <w:rPr/>
              <w:t>投标文件提供自2022年1月1日以来（以合同签订时间为准）所投医用电子直线加速器供货经验，每提供1项得1分，最高2分。 注：投标文件提供合同关键页(合同内容中须含有该厂家所投医用电子直线加速器且同品牌同类型的，该业绩针对产品本身，不限定供货方身份：合同中须包含双方单位名称、签字盖章及日期)；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综合得分且投标报价相同的并列。中标候选人并列的，采购人可委托评标委员会按下列顺序比较确定中标供应商：（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医疗器械产品购销合同</w:t>
      </w:r>
    </w:p>
    <w:p>
      <w:pPr>
        <w:pStyle w:val="null3"/>
        <w:jc w:val="both"/>
      </w:pPr>
      <w:r>
        <w:rPr>
          <w:sz w:val="21"/>
        </w:rPr>
        <w:t xml:space="preserve">                                                     </w:t>
      </w:r>
      <w:r>
        <w:rPr>
          <w:sz w:val="21"/>
        </w:rPr>
        <w:t>合同编号：</w:t>
      </w:r>
    </w:p>
    <w:p>
      <w:pPr>
        <w:pStyle w:val="null3"/>
        <w:ind w:firstLine="420"/>
        <w:jc w:val="both"/>
      </w:pPr>
      <w:r>
        <w:rPr>
          <w:sz w:val="21"/>
        </w:rPr>
        <w:t>甲方：</w:t>
      </w:r>
      <w:r>
        <w:rPr>
          <w:sz w:val="21"/>
          <w:u w:val="single"/>
        </w:rPr>
        <w:t xml:space="preserve">   </w:t>
      </w:r>
      <w:r>
        <w:rPr>
          <w:sz w:val="21"/>
          <w:u w:val="single"/>
        </w:rPr>
        <w:t>茂名市中医院</w:t>
      </w:r>
      <w:r>
        <w:rPr>
          <w:sz w:val="21"/>
          <w:u w:val="single"/>
        </w:rPr>
        <w:t xml:space="preserve">        </w:t>
      </w:r>
    </w:p>
    <w:p>
      <w:pPr>
        <w:pStyle w:val="null3"/>
        <w:ind w:firstLine="420"/>
        <w:jc w:val="both"/>
      </w:pPr>
      <w:r>
        <w:rPr>
          <w:sz w:val="21"/>
        </w:rPr>
        <w:t>地址：</w:t>
      </w:r>
      <w:r>
        <w:rPr>
          <w:sz w:val="21"/>
          <w:u w:val="single"/>
        </w:rPr>
        <w:t xml:space="preserve"> </w:t>
      </w:r>
      <w:r>
        <w:rPr>
          <w:sz w:val="21"/>
          <w:u w:val="single"/>
        </w:rPr>
        <w:t>茂名市茂南区油城五路</w:t>
      </w:r>
      <w:r>
        <w:rPr>
          <w:sz w:val="21"/>
          <w:u w:val="single"/>
        </w:rPr>
        <w:t>7</w:t>
      </w:r>
      <w:r>
        <w:rPr>
          <w:sz w:val="21"/>
          <w:u w:val="single"/>
        </w:rPr>
        <w:t>号</w:t>
      </w:r>
    </w:p>
    <w:p>
      <w:pPr>
        <w:pStyle w:val="null3"/>
        <w:ind w:firstLine="420"/>
        <w:jc w:val="both"/>
      </w:pPr>
      <w:r>
        <w:rPr>
          <w:sz w:val="21"/>
        </w:rPr>
        <w:t>联系电话：</w:t>
      </w:r>
      <w:r>
        <w:rPr>
          <w:sz w:val="21"/>
          <w:u w:val="single"/>
        </w:rPr>
        <w:t xml:space="preserve">  </w:t>
      </w:r>
      <w:r>
        <w:rPr>
          <w:sz w:val="21"/>
          <w:u w:val="single"/>
        </w:rPr>
        <w:t xml:space="preserve">0668-2281766        </w:t>
      </w:r>
    </w:p>
    <w:p>
      <w:pPr>
        <w:pStyle w:val="null3"/>
        <w:jc w:val="both"/>
      </w:pPr>
      <w:r>
        <w:rPr>
          <w:sz w:val="21"/>
        </w:rPr>
        <w:t>乙方：</w:t>
      </w:r>
      <w:r>
        <w:rPr>
          <w:u w:val="single"/>
        </w:rPr>
        <w:t xml:space="preserve">                               </w:t>
      </w:r>
    </w:p>
    <w:p>
      <w:pPr>
        <w:pStyle w:val="null3"/>
        <w:ind w:firstLine="420"/>
        <w:jc w:val="both"/>
      </w:pPr>
      <w:r>
        <w:rPr>
          <w:sz w:val="21"/>
        </w:rPr>
        <w:t>地址：</w:t>
      </w:r>
      <w:r>
        <w:rPr>
          <w:u w:val="single"/>
        </w:rPr>
        <w:t xml:space="preserve">                                </w:t>
      </w:r>
    </w:p>
    <w:p>
      <w:pPr>
        <w:pStyle w:val="null3"/>
        <w:ind w:firstLine="420"/>
        <w:jc w:val="both"/>
      </w:pPr>
      <w:r>
        <w:rPr>
          <w:sz w:val="21"/>
        </w:rPr>
        <w:t>联系电话：</w:t>
      </w:r>
      <w:r>
        <w:rPr>
          <w:u w:val="single"/>
        </w:rPr>
        <w:t xml:space="preserve">                            </w:t>
      </w:r>
    </w:p>
    <w:p>
      <w:pPr>
        <w:pStyle w:val="null3"/>
        <w:ind w:firstLine="420"/>
        <w:jc w:val="both"/>
      </w:pPr>
      <w:r>
        <w:rPr>
          <w:sz w:val="21"/>
        </w:rPr>
        <w:t>经甲方与乙方自愿、平等协商，根据中华人民共和国相关法律法规订立本合同，以资共同信守：</w:t>
      </w:r>
    </w:p>
    <w:p>
      <w:pPr>
        <w:pStyle w:val="null3"/>
        <w:jc w:val="both"/>
      </w:pPr>
      <w:r>
        <w:rPr>
          <w:sz w:val="24"/>
          <w:b/>
        </w:rPr>
        <w:t>一、合同标的</w:t>
      </w:r>
    </w:p>
    <w:p>
      <w:pPr>
        <w:pStyle w:val="null3"/>
        <w:ind w:left="360"/>
        <w:jc w:val="both"/>
      </w:pPr>
      <w:r>
        <w:rPr>
          <w:sz w:val="21"/>
        </w:rPr>
        <w:t>1.</w:t>
      </w:r>
      <w:r>
        <w:rPr>
          <w:sz w:val="21"/>
        </w:rPr>
        <w:t>本合同标的为</w:t>
      </w:r>
      <w:r>
        <w:rPr>
          <w:u w:val="single"/>
        </w:rPr>
        <w:t xml:space="preserve">             </w:t>
      </w:r>
      <w:r>
        <w:rPr>
          <w:sz w:val="21"/>
        </w:rPr>
        <w:t>，包括研发、设计、货物供货、安装、调试、培训、验收、技术服务（包括技术资料、图纸的提供）、质保期保障等的全部内容。</w:t>
      </w:r>
    </w:p>
    <w:p>
      <w:pPr>
        <w:pStyle w:val="null3"/>
        <w:spacing w:after="150"/>
        <w:ind w:left="360"/>
        <w:jc w:val="both"/>
      </w:pPr>
      <w:r>
        <w:rPr>
          <w:sz w:val="21"/>
        </w:rPr>
        <w:t>2.</w:t>
      </w:r>
      <w:r>
        <w:rPr>
          <w:sz w:val="21"/>
        </w:rPr>
        <w:t>供货货物名称、型号、规格、数量：</w:t>
      </w:r>
    </w:p>
    <w:tbl>
      <w:tblPr>
        <w:tblW w:w="0" w:type="auto"/>
        <w:tblBorders>
          <w:top w:val="none" w:color="000000" w:sz="4"/>
          <w:left w:val="none" w:color="000000" w:sz="4"/>
          <w:bottom w:val="none" w:color="000000" w:sz="4"/>
          <w:right w:val="none" w:color="000000" w:sz="4"/>
          <w:insideH w:val="none"/>
          <w:insideV w:val="none"/>
        </w:tblBorders>
      </w:tblPr>
      <w:tblGrid>
        <w:gridCol w:w="396"/>
        <w:gridCol w:w="913"/>
        <w:gridCol w:w="1019"/>
        <w:gridCol w:w="1065"/>
        <w:gridCol w:w="1126"/>
        <w:gridCol w:w="578"/>
        <w:gridCol w:w="532"/>
        <w:gridCol w:w="1004"/>
        <w:gridCol w:w="1187"/>
        <w:gridCol w:w="487"/>
      </w:tblGrid>
      <w:tr>
        <w:tc>
          <w:tcPr>
            <w:tcW w:type="dxa" w:w="130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10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注册证号或者备案凭证编号</w:t>
            </w:r>
          </w:p>
        </w:tc>
        <w:tc>
          <w:tcPr>
            <w:tcW w:type="dxa" w:w="5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0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价款总额（元）</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309"/>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0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0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1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5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0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11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19"/>
              </w:rPr>
              <w:t xml:space="preserve"> </w:t>
            </w:r>
          </w:p>
        </w:tc>
        <w:tc>
          <w:tcPr>
            <w:tcW w:type="dxa" w:w="48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830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合计总金额（大写）</w:t>
            </w:r>
            <w:r>
              <w:rPr>
                <w:sz w:val="19"/>
                <w:u w:val="single"/>
              </w:rPr>
              <w:t xml:space="preserve">              </w:t>
            </w:r>
            <w:r>
              <w:rPr>
                <w:sz w:val="21"/>
                <w:shd w:fill="FFFFFF" w:val="clear"/>
              </w:rPr>
              <w:t>，（小写）</w:t>
            </w:r>
            <w:r>
              <w:rPr>
                <w:sz w:val="19"/>
                <w:u w:val="single"/>
              </w:rPr>
              <w:t xml:space="preserve">              </w:t>
            </w:r>
            <w:r>
              <w:rPr>
                <w:sz w:val="21"/>
                <w:shd w:fill="FFFFFF" w:val="clear"/>
              </w:rPr>
              <w:t>元</w:t>
            </w:r>
            <w:r>
              <w:rPr>
                <w:sz w:val="19"/>
              </w:rPr>
              <w:t xml:space="preserve">  </w:t>
            </w:r>
          </w:p>
        </w:tc>
      </w:tr>
      <w:tr>
        <w:tc>
          <w:tcPr>
            <w:tcW w:type="dxa" w:w="396"/>
            <w:tcBorders>
              <w:top w:val="none" w:color="000000" w:sz="4"/>
              <w:left w:val="single" w:color="000000" w:sz="4"/>
              <w:bottom w:val="single" w:color="000000" w:sz="4"/>
              <w:right w:val="single" w:color="FFFFFF" w:sz="4"/>
            </w:tcBorders>
            <w:shd w:fill="FFFFFF"/>
            <w:tcMar>
              <w:top w:type="dxa" w:w="0"/>
              <w:left w:type="dxa" w:w="105"/>
              <w:bottom w:type="dxa" w:w="0"/>
              <w:right w:type="dxa" w:w="105"/>
            </w:tcMar>
            <w:vAlign w:val="top"/>
          </w:tcPr>
          <w:p>
            <w:pPr>
              <w:pStyle w:val="null3"/>
              <w:ind w:left="120" w:right="120"/>
              <w:jc w:val="center"/>
            </w:pPr>
            <w:r>
              <w:rPr>
                <w:sz w:val="21"/>
              </w:rPr>
              <w:t>备注</w:t>
            </w:r>
          </w:p>
        </w:tc>
        <w:tc>
          <w:tcPr>
            <w:tcW w:type="dxa" w:w="7911"/>
            <w:gridSpan w:val="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left="285"/>
              <w:jc w:val="both"/>
            </w:pPr>
            <w:r>
              <w:rPr>
                <w:sz w:val="21"/>
              </w:rPr>
              <w:t xml:space="preserve">1. </w:t>
            </w:r>
            <w:r>
              <w:rPr>
                <w:sz w:val="21"/>
              </w:rPr>
              <w:t>产品注册证或者备案凭证及证件、乙方公司证件、中标通知书、配置清单、产品类型较多时可另附表格等作为本合同附件。</w:t>
            </w:r>
          </w:p>
        </w:tc>
      </w:tr>
    </w:tbl>
    <w:p>
      <w:pPr>
        <w:pStyle w:val="null3"/>
        <w:jc w:val="both"/>
      </w:pPr>
      <w:r>
        <w:rPr>
          <w:sz w:val="24"/>
          <w:b/>
        </w:rPr>
        <w:t>二、价格</w:t>
      </w:r>
    </w:p>
    <w:p>
      <w:pPr>
        <w:pStyle w:val="null3"/>
        <w:ind w:left="360"/>
        <w:jc w:val="both"/>
      </w:pPr>
      <w:r>
        <w:rPr>
          <w:sz w:val="21"/>
        </w:rPr>
        <w:t>1.</w:t>
      </w:r>
      <w:r>
        <w:rPr>
          <w:sz w:val="21"/>
        </w:rPr>
        <w:t>合同总金额：（大写）</w:t>
      </w:r>
      <w:r>
        <w:rPr>
          <w:u w:val="single"/>
        </w:rPr>
        <w:t xml:space="preserve">              </w:t>
      </w:r>
      <w:r>
        <w:rPr>
          <w:sz w:val="21"/>
        </w:rPr>
        <w:t xml:space="preserve">  </w:t>
      </w:r>
      <w:r>
        <w:rPr>
          <w:sz w:val="21"/>
        </w:rPr>
        <w:t>，（小写）</w:t>
      </w:r>
      <w:r>
        <w:rPr>
          <w:u w:val="single"/>
        </w:rPr>
        <w:t xml:space="preserve">          </w:t>
      </w:r>
      <w:r>
        <w:rPr>
          <w:sz w:val="21"/>
        </w:rPr>
        <w:t>元。（价格明细单见合同附件）</w:t>
      </w:r>
    </w:p>
    <w:p>
      <w:pPr>
        <w:pStyle w:val="null3"/>
        <w:ind w:left="360"/>
        <w:jc w:val="both"/>
      </w:pPr>
      <w:r>
        <w:rPr>
          <w:sz w:val="21"/>
        </w:rPr>
        <w:t>2.</w:t>
      </w:r>
      <w:r>
        <w:rPr>
          <w:sz w:val="21"/>
        </w:rPr>
        <w:t>合同总金额包括乙方设计、安装、随机零配件、标配工具、运输保险、调试、培训、质保期服务、各项税费及合同实施过程中不可预见费用等。</w:t>
      </w:r>
    </w:p>
    <w:p>
      <w:pPr>
        <w:pStyle w:val="null3"/>
        <w:ind w:left="360"/>
        <w:jc w:val="both"/>
      </w:pPr>
      <w:r>
        <w:rPr>
          <w:sz w:val="21"/>
        </w:rPr>
        <w:t>3.</w:t>
      </w:r>
      <w:r>
        <w:rPr>
          <w:sz w:val="21"/>
        </w:rPr>
        <w:t>如果单价和数量的乘积与总价不一致时，以单价为准并修正总价。（修正总价不得超成交总价）</w:t>
      </w:r>
    </w:p>
    <w:p>
      <w:pPr>
        <w:pStyle w:val="null3"/>
        <w:jc w:val="both"/>
      </w:pPr>
      <w:r>
        <w:rPr>
          <w:sz w:val="24"/>
          <w:b/>
        </w:rPr>
        <w:t>三、付款条款：</w:t>
      </w:r>
      <w:r>
        <w:rPr>
          <w:sz w:val="24"/>
        </w:rPr>
        <w:t>（单位：元，币种：人民币）</w:t>
      </w:r>
      <w:r>
        <w:rPr>
          <w:b/>
        </w:rPr>
        <w:t xml:space="preserve"> </w:t>
      </w:r>
    </w:p>
    <w:p>
      <w:pPr>
        <w:pStyle w:val="null3"/>
        <w:ind w:left="360"/>
        <w:jc w:val="both"/>
      </w:pPr>
      <w:r>
        <w:rPr>
          <w:sz w:val="21"/>
        </w:rPr>
        <w:t>1.1</w:t>
      </w:r>
      <w:r>
        <w:rPr>
          <w:sz w:val="21"/>
        </w:rPr>
        <w:t>期</w:t>
      </w:r>
      <w:r>
        <w:rPr>
          <w:sz w:val="21"/>
        </w:rPr>
        <w:t>:</w:t>
      </w:r>
      <w:r>
        <w:rPr>
          <w:sz w:val="21"/>
        </w:rPr>
        <w:t>支付比例</w:t>
      </w:r>
      <w:r>
        <w:rPr>
          <w:sz w:val="21"/>
          <w:u w:val="single"/>
        </w:rPr>
        <w:t>3</w:t>
      </w:r>
      <w:r>
        <w:rPr>
          <w:sz w:val="21"/>
          <w:u w:val="single"/>
        </w:rPr>
        <w:t xml:space="preserve">0 </w:t>
      </w:r>
      <w:r>
        <w:rPr>
          <w:sz w:val="21"/>
        </w:rPr>
        <w:t>%</w:t>
      </w:r>
      <w:r>
        <w:rPr>
          <w:sz w:val="21"/>
        </w:rPr>
        <w:t>，合同签订后</w:t>
      </w:r>
      <w:r>
        <w:rPr>
          <w:sz w:val="21"/>
        </w:rPr>
        <w:t xml:space="preserve">10 </w:t>
      </w:r>
      <w:r>
        <w:rPr>
          <w:sz w:val="21"/>
        </w:rPr>
        <w:t>个工作日内</w:t>
      </w:r>
      <w:r>
        <w:rPr>
          <w:sz w:val="21"/>
        </w:rPr>
        <w:t>(</w:t>
      </w:r>
      <w:r>
        <w:rPr>
          <w:sz w:val="21"/>
        </w:rPr>
        <w:t>中小企业为</w:t>
      </w:r>
      <w:r>
        <w:rPr>
          <w:sz w:val="21"/>
        </w:rPr>
        <w:t>5</w:t>
      </w:r>
      <w:r>
        <w:rPr>
          <w:sz w:val="21"/>
        </w:rPr>
        <w:t>个工作日内</w:t>
      </w:r>
      <w:r>
        <w:rPr>
          <w:sz w:val="21"/>
        </w:rPr>
        <w:t>)</w:t>
      </w:r>
      <w:r>
        <w:rPr>
          <w:sz w:val="21"/>
        </w:rPr>
        <w:t>甲方向乙方支付合同款项</w:t>
      </w:r>
      <w:r>
        <w:rPr>
          <w:sz w:val="21"/>
          <w:u w:val="single"/>
        </w:rPr>
        <w:t>3</w:t>
      </w:r>
      <w:r>
        <w:rPr>
          <w:sz w:val="21"/>
          <w:u w:val="single"/>
        </w:rPr>
        <w:t xml:space="preserve">0 </w:t>
      </w:r>
      <w:r>
        <w:rPr>
          <w:sz w:val="21"/>
        </w:rPr>
        <w:t>%</w:t>
      </w:r>
      <w:r>
        <w:rPr>
          <w:sz w:val="21"/>
        </w:rPr>
        <w:t>作为预付款；</w:t>
      </w:r>
    </w:p>
    <w:p>
      <w:pPr>
        <w:pStyle w:val="null3"/>
        <w:ind w:left="360"/>
        <w:jc w:val="both"/>
      </w:pPr>
      <w:r>
        <w:rPr>
          <w:sz w:val="21"/>
        </w:rPr>
        <w:t>2.2</w:t>
      </w:r>
      <w:r>
        <w:rPr>
          <w:sz w:val="21"/>
        </w:rPr>
        <w:t>期</w:t>
      </w:r>
      <w:r>
        <w:rPr>
          <w:sz w:val="21"/>
        </w:rPr>
        <w:t>:</w:t>
      </w:r>
      <w:r>
        <w:rPr>
          <w:sz w:val="21"/>
        </w:rPr>
        <w:t>支付比例</w:t>
      </w:r>
      <w:r>
        <w:rPr>
          <w:u w:val="single"/>
        </w:rPr>
        <w:t xml:space="preserve"> </w:t>
      </w:r>
      <w:r>
        <w:rPr>
          <w:sz w:val="21"/>
          <w:u w:val="single"/>
        </w:rPr>
        <w:t>7</w:t>
      </w:r>
      <w:r>
        <w:rPr>
          <w:sz w:val="21"/>
          <w:u w:val="single"/>
        </w:rPr>
        <w:t xml:space="preserve">0 </w:t>
      </w:r>
      <w:r>
        <w:rPr>
          <w:sz w:val="21"/>
        </w:rPr>
        <w:t>%</w:t>
      </w:r>
      <w:r>
        <w:rPr>
          <w:sz w:val="21"/>
        </w:rPr>
        <w:t>，货物安装调试验收合格后，甲方收到乙方提供的合同款项有效税务发票且审核无误后，</w:t>
      </w:r>
      <w:r>
        <w:rPr>
          <w:sz w:val="21"/>
        </w:rPr>
        <w:t>10</w:t>
      </w:r>
      <w:r>
        <w:rPr>
          <w:sz w:val="21"/>
        </w:rPr>
        <w:t>个工作日内向乙方支付合同款项</w:t>
      </w:r>
      <w:r>
        <w:rPr>
          <w:u w:val="single"/>
        </w:rPr>
        <w:t xml:space="preserve"> </w:t>
      </w:r>
      <w:r>
        <w:rPr>
          <w:sz w:val="21"/>
          <w:u w:val="single"/>
        </w:rPr>
        <w:t>7</w:t>
      </w:r>
      <w:r>
        <w:rPr>
          <w:sz w:val="21"/>
          <w:u w:val="single"/>
        </w:rPr>
        <w:t xml:space="preserve">0 </w:t>
      </w:r>
      <w:r>
        <w:rPr>
          <w:sz w:val="21"/>
        </w:rPr>
        <w:t>%</w:t>
      </w:r>
      <w:r>
        <w:rPr>
          <w:sz w:val="21"/>
        </w:rPr>
        <w:t>。</w:t>
      </w:r>
    </w:p>
    <w:p>
      <w:pPr>
        <w:pStyle w:val="null3"/>
        <w:ind w:left="360"/>
        <w:jc w:val="both"/>
      </w:pPr>
      <w:r>
        <w:rPr>
          <w:sz w:val="21"/>
        </w:rPr>
        <w:t>3.</w:t>
      </w:r>
      <w:r>
        <w:rPr>
          <w:sz w:val="21"/>
        </w:rPr>
        <w:t>付款方式：</w:t>
      </w:r>
      <w:r>
        <w:rPr>
          <w:sz w:val="21"/>
          <w:u w:val="single"/>
        </w:rPr>
        <w:t xml:space="preserve"> </w:t>
      </w:r>
      <w:r>
        <w:rPr>
          <w:sz w:val="21"/>
          <w:u w:val="single"/>
        </w:rPr>
        <w:t>银行转账</w:t>
      </w:r>
      <w:r>
        <w:rPr>
          <w:sz w:val="21"/>
          <w:u w:val="single"/>
        </w:rPr>
        <w:t xml:space="preserve">  </w:t>
      </w:r>
      <w:r>
        <w:rPr>
          <w:sz w:val="21"/>
        </w:rPr>
        <w:t>。乙方指定的付款账户如下：</w:t>
      </w:r>
    </w:p>
    <w:p>
      <w:pPr>
        <w:pStyle w:val="null3"/>
        <w:ind w:firstLine="420"/>
        <w:jc w:val="both"/>
      </w:pPr>
      <w:r>
        <w:rPr>
          <w:sz w:val="21"/>
        </w:rPr>
        <w:t>收款人：</w:t>
      </w:r>
      <w:r>
        <w:rPr>
          <w:u w:val="single"/>
        </w:rPr>
        <w:t xml:space="preserve">                            </w:t>
      </w:r>
    </w:p>
    <w:p>
      <w:pPr>
        <w:pStyle w:val="null3"/>
        <w:ind w:firstLine="420"/>
        <w:jc w:val="both"/>
      </w:pPr>
      <w:r>
        <w:rPr>
          <w:sz w:val="21"/>
        </w:rPr>
        <w:t>开户行：</w:t>
      </w:r>
      <w:r>
        <w:rPr>
          <w:u w:val="single"/>
        </w:rPr>
        <w:t xml:space="preserve">                            </w:t>
      </w:r>
    </w:p>
    <w:p>
      <w:pPr>
        <w:pStyle w:val="null3"/>
        <w:ind w:firstLine="420"/>
        <w:jc w:val="both"/>
      </w:pPr>
      <w:r>
        <w:rPr>
          <w:sz w:val="21"/>
        </w:rPr>
        <w:t>账</w:t>
      </w:r>
      <w:r>
        <w:rPr>
          <w:sz w:val="21"/>
        </w:rPr>
        <w:t xml:space="preserve">  </w:t>
      </w:r>
      <w:r>
        <w:rPr>
          <w:sz w:val="21"/>
        </w:rPr>
        <w:t>号：</w:t>
      </w:r>
      <w:r>
        <w:rPr>
          <w:u w:val="single"/>
        </w:rPr>
        <w:t xml:space="preserve">                             </w:t>
      </w:r>
    </w:p>
    <w:p>
      <w:pPr>
        <w:pStyle w:val="null3"/>
        <w:jc w:val="both"/>
      </w:pPr>
      <w:r>
        <w:rPr>
          <w:sz w:val="24"/>
          <w:b/>
        </w:rPr>
        <w:t>四、产品运输、交付、验收、安装及培训：</w:t>
      </w:r>
    </w:p>
    <w:p>
      <w:pPr>
        <w:pStyle w:val="null3"/>
        <w:ind w:left="360"/>
        <w:jc w:val="both"/>
      </w:pPr>
      <w:r>
        <w:rPr>
          <w:sz w:val="21"/>
        </w:rPr>
        <w:t>1.</w:t>
      </w:r>
      <w:r>
        <w:rPr>
          <w:sz w:val="21"/>
        </w:rPr>
        <w:t>乙方应对本合同项下其承担的全部工作实施有效管理，以确保实施进度符合以下的要求：在合同签定后，</w:t>
      </w:r>
      <w:r>
        <w:rPr>
          <w:b/>
          <w:u w:val="single"/>
        </w:rPr>
        <w:t xml:space="preserve"> </w:t>
      </w:r>
      <w:r>
        <w:rPr>
          <w:u w:val="single"/>
        </w:rPr>
        <w:t xml:space="preserve">  </w:t>
      </w:r>
      <w:r>
        <w:rPr>
          <w:b/>
          <w:u w:val="single"/>
        </w:rPr>
        <w:t xml:space="preserve"> </w:t>
      </w:r>
      <w:r>
        <w:rPr>
          <w:sz w:val="21"/>
        </w:rPr>
        <w:t>天（日历日）内完成货物至下款指定到货地点卸货、供货、移交、安装、调试、验收并交付甲方使用。</w:t>
      </w:r>
    </w:p>
    <w:p>
      <w:pPr>
        <w:pStyle w:val="null3"/>
        <w:ind w:left="360"/>
        <w:jc w:val="both"/>
      </w:pPr>
      <w:r>
        <w:rPr>
          <w:sz w:val="21"/>
        </w:rPr>
        <w:t>2.</w:t>
      </w:r>
      <w:r>
        <w:rPr>
          <w:sz w:val="21"/>
        </w:rPr>
        <w:t>乙方所提供的货物必须为</w:t>
      </w:r>
      <w:r>
        <w:rPr>
          <w:i/>
          <w:u w:val="single"/>
        </w:rPr>
        <w:t xml:space="preserve"> </w:t>
      </w:r>
      <w:r>
        <w:rPr>
          <w:sz w:val="21"/>
          <w:u w:val="single"/>
        </w:rPr>
        <w:t>（填写生产厂商名称）</w:t>
      </w:r>
      <w:r>
        <w:rPr>
          <w:sz w:val="21"/>
          <w:u w:val="single"/>
        </w:rPr>
        <w:t xml:space="preserve">  </w:t>
      </w:r>
      <w:r>
        <w:rPr>
          <w:sz w:val="21"/>
        </w:rPr>
        <w:t>全新的（原装）产品（含零部件、配件、随机工具、技术文件等），包装外观完好、无破损，货物为全新和未使用过的，货物表面洁净完好、无划伤、无碰撞、无锈迹，并按</w:t>
      </w:r>
      <w:r>
        <w:rPr>
          <w:sz w:val="21"/>
          <w:u w:val="single"/>
        </w:rPr>
        <w:t>（填写生产厂商名称）</w:t>
      </w:r>
      <w:r>
        <w:rPr>
          <w:i/>
          <w:u w:val="single"/>
        </w:rPr>
        <w:t xml:space="preserve">  </w:t>
      </w:r>
      <w:r>
        <w:rPr>
          <w:sz w:val="21"/>
        </w:rPr>
        <w:t>的正规渠道订货与进货，出厂日期距离货物交付之日不得超过六个月。</w:t>
      </w:r>
    </w:p>
    <w:p>
      <w:pPr>
        <w:pStyle w:val="null3"/>
        <w:ind w:left="360"/>
        <w:jc w:val="both"/>
      </w:pPr>
      <w:r>
        <w:rPr>
          <w:sz w:val="21"/>
        </w:rPr>
        <w:t>3.</w:t>
      </w:r>
      <w:r>
        <w:rPr>
          <w:sz w:val="21"/>
        </w:rPr>
        <w:t>乙方运输、贮存医疗器械，应当符合医疗器械说明书和标签标示的要求；对温度、湿度等环境条件有特殊要求的，应当采取相应措施，保证医疗器械的安全、有效。</w:t>
      </w:r>
    </w:p>
    <w:p>
      <w:pPr>
        <w:pStyle w:val="null3"/>
        <w:ind w:left="360"/>
        <w:jc w:val="both"/>
      </w:pPr>
      <w:r>
        <w:rPr>
          <w:sz w:val="21"/>
        </w:rPr>
        <w:t>4.</w:t>
      </w:r>
      <w:r>
        <w:rPr>
          <w:sz w:val="21"/>
        </w:rPr>
        <w:t>到货及安装地点：</w:t>
      </w:r>
      <w:r>
        <w:rPr>
          <w:sz w:val="21"/>
          <w:u w:val="single"/>
        </w:rPr>
        <w:t xml:space="preserve"> </w:t>
      </w:r>
      <w:r>
        <w:rPr>
          <w:sz w:val="21"/>
          <w:u w:val="single"/>
        </w:rPr>
        <w:t>茂名市中医院（甲方指定地点）</w:t>
      </w:r>
      <w:r>
        <w:rPr>
          <w:sz w:val="21"/>
          <w:u w:val="single"/>
        </w:rPr>
        <w:t xml:space="preserve">  </w:t>
      </w:r>
      <w:r>
        <w:rPr>
          <w:sz w:val="21"/>
        </w:rPr>
        <w:t>。</w:t>
      </w:r>
    </w:p>
    <w:p>
      <w:pPr>
        <w:pStyle w:val="null3"/>
        <w:ind w:left="360"/>
        <w:jc w:val="both"/>
      </w:pPr>
      <w:r>
        <w:rPr>
          <w:sz w:val="21"/>
        </w:rPr>
        <w:t>5.</w:t>
      </w:r>
      <w:r>
        <w:rPr>
          <w:sz w:val="21"/>
        </w:rPr>
        <w:t>乙方必须在供货同时向甲方提供所有有关本合同执行的技术文件。如果项目必需但合同又未作规定的要乙方才能提供的技术文件，乙方也应及时向甲方提供。技术文件可以是手册、图纸或其他形式的文件资料。上述技术文件应包含保证甲方能够正确进行安装、操作、检查、维修、维护、测试、调试、验收和运作的需要的所有内容。</w:t>
      </w:r>
    </w:p>
    <w:p>
      <w:pPr>
        <w:pStyle w:val="null3"/>
        <w:ind w:left="360"/>
        <w:jc w:val="both"/>
      </w:pPr>
      <w:r>
        <w:rPr>
          <w:sz w:val="21"/>
        </w:rPr>
        <w:t>6.</w:t>
      </w:r>
      <w:r>
        <w:rPr>
          <w:sz w:val="21"/>
        </w:rPr>
        <w:t>乙方应在签定合同后</w:t>
      </w:r>
      <w:r>
        <w:rPr>
          <w:u w:val="single"/>
        </w:rPr>
        <w:t xml:space="preserve">      </w:t>
      </w:r>
      <w:r>
        <w:rPr>
          <w:sz w:val="21"/>
        </w:rPr>
        <w:t>天内向甲方提出产品安装、调试应准备的条件。乙方必须在测试与验收前，向甲方提供按本合同的技术规格、技术规范的要求进行的测试与验收方案。</w:t>
      </w:r>
    </w:p>
    <w:p>
      <w:pPr>
        <w:pStyle w:val="null3"/>
        <w:ind w:left="360"/>
        <w:jc w:val="both"/>
      </w:pPr>
      <w:r>
        <w:rPr>
          <w:sz w:val="21"/>
        </w:rPr>
        <w:t>7.</w:t>
      </w:r>
      <w:r>
        <w:rPr>
          <w:sz w:val="21"/>
        </w:rPr>
        <w:t>货物抵达甲方指定地点后，甲乙双方商定日期，双方一起开箱验货，不得单方面开箱，由乙方免费现场安装调试，验收所需易耗品必须由乙方负责提供。在仪器设备安装调试过程中，乙方对甲方技术人员就仪器设备的维护、使用及开发等方面进行在位培训，直至用户能熟练操作为止。</w:t>
      </w:r>
    </w:p>
    <w:p>
      <w:pPr>
        <w:pStyle w:val="null3"/>
        <w:jc w:val="both"/>
      </w:pPr>
      <w:r>
        <w:rPr>
          <w:sz w:val="24"/>
          <w:b/>
        </w:rPr>
        <w:t>五、产品质量</w:t>
      </w:r>
    </w:p>
    <w:p>
      <w:pPr>
        <w:pStyle w:val="null3"/>
        <w:ind w:left="360"/>
        <w:jc w:val="both"/>
      </w:pPr>
      <w:r>
        <w:rPr>
          <w:sz w:val="21"/>
        </w:rPr>
        <w:t>1.</w:t>
      </w:r>
      <w:r>
        <w:rPr>
          <w:sz w:val="21"/>
        </w:rPr>
        <w:t>本合同所指的货物及服务以采购文件和合同项下所述的标准和要求进行验收，如采购文件与合同的标准和要求有冲突的，以采购文件为准。</w:t>
      </w:r>
    </w:p>
    <w:p>
      <w:pPr>
        <w:pStyle w:val="null3"/>
        <w:ind w:left="360"/>
        <w:jc w:val="both"/>
      </w:pPr>
      <w:r>
        <w:rPr>
          <w:sz w:val="21"/>
        </w:rPr>
        <w:t>2.</w:t>
      </w:r>
      <w:r>
        <w:rPr>
          <w:sz w:val="21"/>
        </w:rPr>
        <w:t>每台设备上均应钉有铭牌</w:t>
      </w:r>
      <w:r>
        <w:rPr>
          <w:sz w:val="21"/>
        </w:rPr>
        <w:t>(</w:t>
      </w:r>
      <w:r>
        <w:rPr>
          <w:sz w:val="21"/>
        </w:rPr>
        <w:t>内容包括：制造商</w:t>
      </w:r>
      <w:r>
        <w:rPr>
          <w:sz w:val="21"/>
        </w:rPr>
        <w:t>,</w:t>
      </w:r>
      <w:r>
        <w:rPr>
          <w:sz w:val="21"/>
        </w:rPr>
        <w:t>设备名称、型号规格、序列号</w:t>
      </w:r>
      <w:r>
        <w:rPr>
          <w:sz w:val="21"/>
        </w:rPr>
        <w:t>(</w:t>
      </w:r>
      <w:r>
        <w:rPr>
          <w:sz w:val="21"/>
        </w:rPr>
        <w:t>详见设备清单</w:t>
      </w:r>
      <w:r>
        <w:rPr>
          <w:sz w:val="21"/>
        </w:rPr>
        <w:t>)</w:t>
      </w:r>
      <w:r>
        <w:rPr>
          <w:sz w:val="21"/>
        </w:rPr>
        <w:t>等</w:t>
      </w:r>
      <w:r>
        <w:rPr>
          <w:sz w:val="21"/>
        </w:rPr>
        <w:t>)</w:t>
      </w:r>
      <w:r>
        <w:rPr>
          <w:sz w:val="21"/>
        </w:rPr>
        <w:t>并附有产品质量检验合格标志。</w:t>
      </w:r>
    </w:p>
    <w:p>
      <w:pPr>
        <w:pStyle w:val="null3"/>
        <w:ind w:left="360"/>
        <w:jc w:val="both"/>
      </w:pPr>
      <w:r>
        <w:rPr>
          <w:sz w:val="21"/>
        </w:rPr>
        <w:t>3.</w:t>
      </w:r>
      <w:r>
        <w:rPr>
          <w:sz w:val="21"/>
        </w:rPr>
        <w:t>甲方有权检验和测试乙方所提供的货物，以确认货物是否符合合同规定的要求，并且不承担额外的费用，测试及验收工作由甲方组织，检验和测试在甲方的货物最终使用场地进行。</w:t>
      </w:r>
    </w:p>
    <w:p>
      <w:pPr>
        <w:pStyle w:val="null3"/>
        <w:ind w:left="360"/>
        <w:jc w:val="both"/>
      </w:pPr>
      <w:r>
        <w:rPr>
          <w:sz w:val="21"/>
        </w:rPr>
        <w:t>4.</w:t>
      </w:r>
      <w:r>
        <w:rPr>
          <w:sz w:val="21"/>
        </w:rPr>
        <w:t>经甲方对乙方提供的货物及服务进行验收，若发现乙方提供的货物或服务不符合合同规定的质量要求，甲方可以拒绝接受该货物或服务，乙方应更换被拒绝的货物或服务，或者免费进行必要的修改以满足规定的要求，甲方也可选择解除合同。甲方拒收货物或者解除合同的，合同标的物毁损、丢失的风险由乙方承担。</w:t>
      </w:r>
    </w:p>
    <w:p>
      <w:pPr>
        <w:pStyle w:val="null3"/>
        <w:ind w:left="360"/>
        <w:jc w:val="both"/>
      </w:pPr>
      <w:r>
        <w:rPr>
          <w:sz w:val="21"/>
        </w:rPr>
        <w:t>5.</w:t>
      </w:r>
      <w:r>
        <w:rPr>
          <w:sz w:val="21"/>
        </w:rPr>
        <w:t>甲方在货物到达的目的地后对货物进行检验、测试及必要时拒绝接受货物的权力将不会因为货物在乙方或其分包人的驻地已通过了甲方或其代表的检验、测试和认可而受到限制或放弃。</w:t>
      </w:r>
    </w:p>
    <w:p>
      <w:pPr>
        <w:pStyle w:val="null3"/>
        <w:jc w:val="both"/>
      </w:pPr>
      <w:r>
        <w:rPr>
          <w:sz w:val="24"/>
          <w:b/>
        </w:rPr>
        <w:t>六、售后服务</w:t>
      </w:r>
    </w:p>
    <w:p>
      <w:pPr>
        <w:pStyle w:val="null3"/>
        <w:ind w:left="360"/>
        <w:jc w:val="both"/>
      </w:pPr>
      <w:r>
        <w:rPr>
          <w:sz w:val="21"/>
        </w:rPr>
        <w:t>1.</w:t>
      </w:r>
      <w:r>
        <w:rPr>
          <w:sz w:val="21"/>
        </w:rPr>
        <w:t>乙方负责提供合同标的现场操作、运行、维护、修理的培训方案及必需的培训资料，并对甲方受训人员进行操作、维修培训。</w:t>
      </w:r>
    </w:p>
    <w:p>
      <w:pPr>
        <w:pStyle w:val="null3"/>
        <w:ind w:left="360"/>
        <w:jc w:val="both"/>
      </w:pPr>
      <w:r>
        <w:rPr>
          <w:sz w:val="21"/>
        </w:rPr>
        <w:t>2.</w:t>
      </w:r>
      <w:r>
        <w:rPr>
          <w:sz w:val="21"/>
        </w:rPr>
        <w:t>乙方对本合同标的提供</w:t>
      </w:r>
      <w:r>
        <w:rPr>
          <w:u w:val="single"/>
        </w:rPr>
        <w:t xml:space="preserve">       </w:t>
      </w:r>
      <w:r>
        <w:rPr>
          <w:sz w:val="21"/>
        </w:rPr>
        <w:t>年免费质保期，质保期自甲方在验收合格单上签字之日起计算。质保期内，乙方负责对其提供的货物及其系统上门进行硬件维修、软件升级，不再向甲方收取任何费用，但人为因素或自然灾害造成的损坏除外。质保期内</w:t>
      </w:r>
      <w:r>
        <w:rPr>
          <w:sz w:val="21"/>
        </w:rPr>
        <w:t xml:space="preserve">, </w:t>
      </w:r>
      <w:r>
        <w:rPr>
          <w:sz w:val="21"/>
        </w:rPr>
        <w:t>乙方在接到系统故障或问题告知后，响应时间</w:t>
      </w:r>
      <w:r>
        <w:rPr>
          <w:sz w:val="21"/>
        </w:rPr>
        <w:t>(</w:t>
      </w:r>
      <w:r>
        <w:rPr>
          <w:sz w:val="21"/>
        </w:rPr>
        <w:t>热线电话</w:t>
      </w:r>
      <w:r>
        <w:rPr>
          <w:sz w:val="21"/>
        </w:rPr>
        <w:t>:</w:t>
      </w:r>
      <w:r>
        <w:rPr>
          <w:u w:val="single"/>
        </w:rPr>
        <w:t xml:space="preserve">               </w:t>
      </w:r>
      <w:r>
        <w:rPr>
          <w:sz w:val="21"/>
        </w:rPr>
        <w:t>)</w:t>
      </w:r>
      <w:r>
        <w:rPr>
          <w:sz w:val="21"/>
        </w:rPr>
        <w:t>不得超过</w:t>
      </w:r>
      <w:r>
        <w:rPr>
          <w:sz w:val="21"/>
        </w:rPr>
        <w:t>1</w:t>
      </w:r>
      <w:r>
        <w:rPr>
          <w:sz w:val="21"/>
        </w:rPr>
        <w:t>小时，到达现场不得超过</w:t>
      </w:r>
      <w:r>
        <w:rPr>
          <w:sz w:val="21"/>
        </w:rPr>
        <w:t>2</w:t>
      </w:r>
      <w:r>
        <w:rPr>
          <w:sz w:val="21"/>
        </w:rPr>
        <w:t>个小时，</w:t>
      </w:r>
      <w:r>
        <w:rPr>
          <w:sz w:val="21"/>
        </w:rPr>
        <w:t>4</w:t>
      </w:r>
      <w:r>
        <w:rPr>
          <w:sz w:val="21"/>
        </w:rPr>
        <w:t>小时内排除故障，如果设备的故障在检修</w:t>
      </w:r>
      <w:r>
        <w:rPr>
          <w:sz w:val="21"/>
        </w:rPr>
        <w:t>24</w:t>
      </w:r>
      <w:r>
        <w:rPr>
          <w:sz w:val="21"/>
        </w:rPr>
        <w:t>小时后仍无法排除，乙方提供不低于故障设备规格、型号、性能的备用设备供甲方代用，直至故障设备修复，如果需要更换配件的，更换的配件跟被更换的品牌、类型相一致或者是同类更高档次的替代品，后者需征得甲方管理人员同意。</w:t>
      </w:r>
    </w:p>
    <w:p>
      <w:pPr>
        <w:pStyle w:val="null3"/>
        <w:ind w:left="360"/>
        <w:jc w:val="both"/>
      </w:pPr>
      <w:r>
        <w:rPr>
          <w:sz w:val="21"/>
        </w:rPr>
        <w:t>3.</w:t>
      </w:r>
      <w:r>
        <w:rPr>
          <w:sz w:val="21"/>
        </w:rPr>
        <w:t>质保期内对故障的报修，如乙方未能做到上款的服务承诺，甲方可采取必要的补救措施，但其风险和费用由乙方承担，甲方根据合同规定对乙方行使的其它权力不受影响。由于乙方的保证服务不到位，质保期的到期时间将顺延。</w:t>
      </w:r>
    </w:p>
    <w:p>
      <w:pPr>
        <w:pStyle w:val="null3"/>
        <w:ind w:left="360"/>
        <w:jc w:val="both"/>
      </w:pPr>
      <w:r>
        <w:rPr>
          <w:sz w:val="21"/>
        </w:rPr>
        <w:t>4.</w:t>
      </w:r>
      <w:r>
        <w:rPr>
          <w:sz w:val="21"/>
        </w:rPr>
        <w:t>质保期满后，若有零部件出现故障，经权威部门鉴定属于寿命异常问题（明显短于该零部件正常寿命）时，则由乙方负责免费更换及维修。</w:t>
      </w:r>
    </w:p>
    <w:p>
      <w:pPr>
        <w:pStyle w:val="null3"/>
        <w:ind w:left="360"/>
        <w:jc w:val="both"/>
      </w:pPr>
      <w:r>
        <w:rPr>
          <w:sz w:val="21"/>
        </w:rPr>
        <w:t>5.</w:t>
      </w:r>
      <w:r>
        <w:rPr>
          <w:sz w:val="21"/>
        </w:rPr>
        <w:t>质保期满后，应甲方要求，乙方应（参考当时的市场价格）按优惠价格与甲方签订定期维修保养合同及提供甲方所需零配件。在备件停止生产的情况下，乙方应事先将要停止生产的计划通知甲方，使甲方有足够的时间采购所需备件；在备件停止生产后，乙方应免费向甲方提供备件的图纸、资料。</w:t>
      </w:r>
    </w:p>
    <w:p>
      <w:pPr>
        <w:pStyle w:val="null3"/>
        <w:jc w:val="both"/>
      </w:pPr>
      <w:r>
        <w:rPr>
          <w:sz w:val="24"/>
          <w:b/>
        </w:rPr>
        <w:t>七、知识产权</w:t>
      </w:r>
    </w:p>
    <w:p>
      <w:pPr>
        <w:pStyle w:val="null3"/>
        <w:ind w:left="360"/>
        <w:jc w:val="both"/>
      </w:pPr>
      <w:r>
        <w:rPr>
          <w:sz w:val="21"/>
        </w:rPr>
        <w:t>1.</w:t>
      </w:r>
      <w:r>
        <w:rPr>
          <w:sz w:val="21"/>
        </w:rPr>
        <w:t>乙方应保证，甲方在中华人民共和国使用该货物或货物的任何一部分时，如受第三方提出的侵犯其专利权、商标权或其他知识产权的起诉，由乙方承担一切责任。</w:t>
      </w:r>
    </w:p>
    <w:p>
      <w:pPr>
        <w:pStyle w:val="null3"/>
        <w:ind w:left="360"/>
        <w:jc w:val="both"/>
      </w:pPr>
      <w:r>
        <w:rPr>
          <w:sz w:val="21"/>
        </w:rPr>
        <w:t>2.</w:t>
      </w:r>
      <w:r>
        <w:rPr>
          <w:sz w:val="21"/>
        </w:rPr>
        <w:t>乙方为执行本合同而提供的技术资料、软件的使用权归甲方所有。</w:t>
      </w:r>
    </w:p>
    <w:p>
      <w:pPr>
        <w:pStyle w:val="null3"/>
        <w:jc w:val="both"/>
      </w:pPr>
      <w:r>
        <w:rPr>
          <w:sz w:val="24"/>
          <w:b/>
        </w:rPr>
        <w:t>八、产权与风险转移</w:t>
      </w:r>
    </w:p>
    <w:p>
      <w:pPr>
        <w:pStyle w:val="null3"/>
        <w:ind w:firstLine="420"/>
        <w:jc w:val="both"/>
      </w:pPr>
      <w:r>
        <w:rPr>
          <w:sz w:val="21"/>
        </w:rPr>
        <w:t>本合同标的产权与风险转移遵守如下约定：</w:t>
      </w:r>
    </w:p>
    <w:p>
      <w:pPr>
        <w:pStyle w:val="null3"/>
        <w:ind w:left="360"/>
        <w:jc w:val="both"/>
      </w:pPr>
      <w:r>
        <w:rPr>
          <w:sz w:val="21"/>
        </w:rPr>
        <w:t>1.</w:t>
      </w:r>
      <w:r>
        <w:rPr>
          <w:sz w:val="21"/>
        </w:rPr>
        <w:t>乙方交由承运人运输的在途货物，毁损、灭失的风险由乙方承担。</w:t>
      </w:r>
    </w:p>
    <w:p>
      <w:pPr>
        <w:pStyle w:val="null3"/>
        <w:ind w:left="360"/>
        <w:jc w:val="both"/>
      </w:pPr>
      <w:r>
        <w:rPr>
          <w:sz w:val="21"/>
        </w:rPr>
        <w:t>2.</w:t>
      </w:r>
      <w:r>
        <w:rPr>
          <w:sz w:val="21"/>
        </w:rPr>
        <w:t>货物的产权，损坏、灭失的风险，在货物通过验收合格交付使用时起由乙方转移至甲方。</w:t>
      </w:r>
    </w:p>
    <w:p>
      <w:pPr>
        <w:pStyle w:val="null3"/>
        <w:ind w:left="360"/>
        <w:jc w:val="both"/>
      </w:pPr>
      <w:r>
        <w:rPr>
          <w:sz w:val="21"/>
        </w:rPr>
        <w:t>3.</w:t>
      </w:r>
      <w:r>
        <w:rPr>
          <w:sz w:val="21"/>
        </w:rPr>
        <w:t>因货物验收不合格甲方拒收，或双方已解除合同，货物毁损、灭失的风险由乙方承担。</w:t>
      </w:r>
    </w:p>
    <w:p>
      <w:pPr>
        <w:pStyle w:val="null3"/>
        <w:ind w:left="360"/>
        <w:jc w:val="both"/>
      </w:pPr>
      <w:r>
        <w:rPr>
          <w:sz w:val="21"/>
        </w:rPr>
        <w:t>4.</w:t>
      </w:r>
      <w:r>
        <w:rPr>
          <w:sz w:val="21"/>
        </w:rPr>
        <w:t>产权和风险的转移，不影响因乙方履行义务不符合约定，甲方要求其承担违约责任的权利。</w:t>
      </w:r>
    </w:p>
    <w:p>
      <w:pPr>
        <w:pStyle w:val="null3"/>
        <w:jc w:val="both"/>
      </w:pPr>
      <w:r>
        <w:rPr>
          <w:sz w:val="24"/>
          <w:b/>
        </w:rPr>
        <w:t>九、违约责任</w:t>
      </w:r>
    </w:p>
    <w:p>
      <w:pPr>
        <w:pStyle w:val="null3"/>
        <w:ind w:left="360"/>
        <w:jc w:val="both"/>
      </w:pPr>
      <w:r>
        <w:rPr>
          <w:sz w:val="21"/>
        </w:rPr>
        <w:t>(</w:t>
      </w:r>
      <w:r>
        <w:rPr>
          <w:sz w:val="21"/>
        </w:rPr>
        <w:t>一）迟延交付责任</w:t>
      </w:r>
    </w:p>
    <w:p>
      <w:pPr>
        <w:pStyle w:val="null3"/>
        <w:ind w:left="360"/>
        <w:jc w:val="both"/>
      </w:pPr>
      <w:r>
        <w:rPr>
          <w:sz w:val="21"/>
        </w:rPr>
        <w:t>1.</w:t>
      </w:r>
      <w:r>
        <w:rPr>
          <w:sz w:val="21"/>
        </w:rPr>
        <w:t>乙方未能在约定期限内交付货物或提供服务（不可抗力情形除外），每逾期一日应按合同总金额的</w:t>
      </w:r>
      <w:r>
        <w:rPr>
          <w:sz w:val="21"/>
        </w:rPr>
        <w:t>0.3</w:t>
      </w:r>
      <w:r>
        <w:rPr>
          <w:sz w:val="21"/>
        </w:rPr>
        <w:t>‰向甲方支付违约金。逾期违约金累计上限不超过合同总金额的</w:t>
      </w:r>
      <w:r>
        <w:rPr>
          <w:sz w:val="21"/>
        </w:rPr>
        <w:t>5%</w:t>
      </w:r>
      <w:r>
        <w:rPr>
          <w:sz w:val="21"/>
        </w:rPr>
        <w:t>。</w:t>
      </w:r>
    </w:p>
    <w:p>
      <w:pPr>
        <w:pStyle w:val="null3"/>
        <w:ind w:left="360"/>
        <w:jc w:val="both"/>
      </w:pPr>
      <w:r>
        <w:rPr>
          <w:sz w:val="21"/>
        </w:rPr>
        <w:t>2.</w:t>
      </w:r>
      <w:r>
        <w:rPr>
          <w:sz w:val="21"/>
        </w:rPr>
        <w:t>出现下列情形之一，甲方有权书面通知解除合同：</w:t>
      </w:r>
    </w:p>
    <w:p>
      <w:pPr>
        <w:pStyle w:val="null3"/>
        <w:ind w:left="240" w:firstLine="420"/>
        <w:jc w:val="both"/>
      </w:pPr>
      <w:r>
        <w:rPr>
          <w:sz w:val="21"/>
        </w:rPr>
        <w:t xml:space="preserve">(1) </w:t>
      </w:r>
      <w:r>
        <w:rPr>
          <w:sz w:val="21"/>
        </w:rPr>
        <w:t>逾期交付超过</w:t>
      </w:r>
      <w:r>
        <w:rPr>
          <w:sz w:val="21"/>
        </w:rPr>
        <w:t>30</w:t>
      </w:r>
      <w:r>
        <w:rPr>
          <w:sz w:val="21"/>
        </w:rPr>
        <w:t>个日历日（含本数）；</w:t>
      </w:r>
    </w:p>
    <w:p>
      <w:pPr>
        <w:pStyle w:val="null3"/>
        <w:ind w:left="240" w:firstLine="420"/>
        <w:jc w:val="both"/>
      </w:pPr>
      <w:r>
        <w:rPr>
          <w:sz w:val="21"/>
        </w:rPr>
        <w:t xml:space="preserve">(2) </w:t>
      </w:r>
      <w:r>
        <w:rPr>
          <w:sz w:val="21"/>
        </w:rPr>
        <w:t>迟延履行导致合同目的无法实现。</w:t>
      </w:r>
    </w:p>
    <w:p>
      <w:pPr>
        <w:pStyle w:val="null3"/>
        <w:ind w:left="360"/>
        <w:jc w:val="both"/>
      </w:pPr>
      <w:r>
        <w:rPr>
          <w:sz w:val="21"/>
        </w:rPr>
        <w:t>3.</w:t>
      </w:r>
      <w:r>
        <w:rPr>
          <w:sz w:val="21"/>
        </w:rPr>
        <w:t>合同解除后，乙方应于收到通知之日起</w:t>
      </w:r>
      <w:r>
        <w:rPr>
          <w:sz w:val="21"/>
        </w:rPr>
        <w:t>5</w:t>
      </w:r>
      <w:r>
        <w:rPr>
          <w:sz w:val="21"/>
        </w:rPr>
        <w:t>个工作日内返还已收取款项，并按合同总金额的</w:t>
      </w:r>
      <w:r>
        <w:rPr>
          <w:sz w:val="21"/>
        </w:rPr>
        <w:t>5%</w:t>
      </w:r>
      <w:r>
        <w:rPr>
          <w:sz w:val="21"/>
        </w:rPr>
        <w:t>支付解约违约金。甲方因合同解除产生的实际损失（包括但不限于另行采购的差价损失、仓储费用等）超过解约违约金的，乙方应承担差额赔偿责任。</w:t>
      </w:r>
    </w:p>
    <w:p>
      <w:pPr>
        <w:pStyle w:val="null3"/>
        <w:ind w:left="360"/>
        <w:jc w:val="both"/>
      </w:pPr>
      <w:r>
        <w:rPr>
          <w:sz w:val="21"/>
        </w:rPr>
        <w:t>(</w:t>
      </w:r>
      <w:r>
        <w:rPr>
          <w:sz w:val="21"/>
        </w:rPr>
        <w:t>二）货物质量责任</w:t>
      </w:r>
    </w:p>
    <w:p>
      <w:pPr>
        <w:pStyle w:val="null3"/>
        <w:ind w:left="360"/>
        <w:jc w:val="both"/>
      </w:pPr>
      <w:r>
        <w:rPr>
          <w:sz w:val="21"/>
        </w:rPr>
        <w:t>1.</w:t>
      </w:r>
      <w:r>
        <w:rPr>
          <w:sz w:val="21"/>
        </w:rPr>
        <w:t>货物不符合质量要求或技术标准的，如外观破损，货物已使用过的，货物表面划伤、碰撞、锈迹等，甲方应在到货后</w:t>
      </w:r>
      <w:r>
        <w:rPr>
          <w:sz w:val="21"/>
        </w:rPr>
        <w:t>15</w:t>
      </w:r>
      <w:r>
        <w:rPr>
          <w:sz w:val="21"/>
        </w:rPr>
        <w:t>个工作日内提出书面异议。乙方应自收到异议通知之日起</w:t>
      </w:r>
      <w:r>
        <w:rPr>
          <w:sz w:val="21"/>
        </w:rPr>
        <w:t>10</w:t>
      </w:r>
      <w:r>
        <w:rPr>
          <w:sz w:val="21"/>
        </w:rPr>
        <w:t>个工作日内完成修复</w:t>
      </w:r>
      <w:r>
        <w:rPr>
          <w:sz w:val="21"/>
        </w:rPr>
        <w:t>/</w:t>
      </w:r>
      <w:r>
        <w:rPr>
          <w:sz w:val="21"/>
        </w:rPr>
        <w:t>更换，并承担由此产生的全部费用。</w:t>
      </w:r>
    </w:p>
    <w:p>
      <w:pPr>
        <w:pStyle w:val="null3"/>
        <w:ind w:left="360"/>
        <w:jc w:val="both"/>
      </w:pPr>
      <w:r>
        <w:rPr>
          <w:sz w:val="21"/>
        </w:rPr>
        <w:t>2.</w:t>
      </w:r>
      <w:r>
        <w:rPr>
          <w:sz w:val="21"/>
        </w:rPr>
        <w:t>出现下列情形，甲方有权拒收货物并要求赔偿：</w:t>
      </w:r>
    </w:p>
    <w:p>
      <w:pPr>
        <w:pStyle w:val="null3"/>
        <w:ind w:firstLine="630"/>
        <w:jc w:val="both"/>
      </w:pPr>
      <w:r>
        <w:rPr>
          <w:sz w:val="21"/>
        </w:rPr>
        <w:t xml:space="preserve">(1) </w:t>
      </w:r>
      <w:r>
        <w:rPr>
          <w:sz w:val="21"/>
        </w:rPr>
        <w:t>经两次修复</w:t>
      </w:r>
      <w:r>
        <w:rPr>
          <w:sz w:val="21"/>
        </w:rPr>
        <w:t>/</w:t>
      </w:r>
      <w:r>
        <w:rPr>
          <w:sz w:val="21"/>
        </w:rPr>
        <w:t>更换仍不符合约定标准；</w:t>
      </w:r>
    </w:p>
    <w:p>
      <w:pPr>
        <w:pStyle w:val="null3"/>
        <w:ind w:firstLine="630"/>
        <w:jc w:val="both"/>
      </w:pPr>
      <w:r>
        <w:rPr>
          <w:sz w:val="21"/>
        </w:rPr>
        <w:t xml:space="preserve">(2) </w:t>
      </w:r>
      <w:r>
        <w:rPr>
          <w:sz w:val="21"/>
        </w:rPr>
        <w:t>质量瑕疵导致货物无法实现基本使用功能；</w:t>
      </w:r>
    </w:p>
    <w:p>
      <w:pPr>
        <w:pStyle w:val="null3"/>
        <w:ind w:firstLine="630"/>
        <w:jc w:val="both"/>
      </w:pPr>
      <w:r>
        <w:rPr>
          <w:sz w:val="21"/>
        </w:rPr>
        <w:t xml:space="preserve">(3) </w:t>
      </w:r>
      <w:r>
        <w:rPr>
          <w:sz w:val="21"/>
        </w:rPr>
        <w:t>乙方未在约定期限内完成补救。</w:t>
      </w:r>
    </w:p>
    <w:p>
      <w:pPr>
        <w:pStyle w:val="null3"/>
        <w:ind w:left="360"/>
        <w:jc w:val="both"/>
      </w:pPr>
      <w:r>
        <w:rPr>
          <w:sz w:val="21"/>
        </w:rPr>
        <w:t>3.</w:t>
      </w:r>
      <w:r>
        <w:rPr>
          <w:sz w:val="21"/>
        </w:rPr>
        <w:t>甲方选择拒收的，乙方应按合同总金额的</w:t>
      </w:r>
      <w:r>
        <w:rPr>
          <w:sz w:val="21"/>
        </w:rPr>
        <w:t>5%</w:t>
      </w:r>
      <w:r>
        <w:rPr>
          <w:sz w:val="21"/>
        </w:rPr>
        <w:t>支付质量违约金，并赔偿甲方为接收货物所支出的必要费用。</w:t>
      </w:r>
    </w:p>
    <w:p>
      <w:pPr>
        <w:pStyle w:val="null3"/>
        <w:ind w:left="360"/>
        <w:jc w:val="both"/>
      </w:pPr>
      <w:r>
        <w:rPr>
          <w:sz w:val="21"/>
        </w:rPr>
        <w:t>(</w:t>
      </w:r>
      <w:r>
        <w:rPr>
          <w:sz w:val="21"/>
        </w:rPr>
        <w:t>三）甲方违约责任</w:t>
      </w:r>
    </w:p>
    <w:p>
      <w:pPr>
        <w:pStyle w:val="null3"/>
        <w:ind w:firstLine="210"/>
        <w:jc w:val="both"/>
      </w:pPr>
      <w:r>
        <w:rPr>
          <w:sz w:val="21"/>
        </w:rPr>
        <w:t>（</w:t>
      </w:r>
      <w:r>
        <w:rPr>
          <w:sz w:val="21"/>
        </w:rPr>
        <w:t>1</w:t>
      </w:r>
      <w:r>
        <w:rPr>
          <w:sz w:val="21"/>
        </w:rPr>
        <w:t>）</w:t>
      </w:r>
      <w:r>
        <w:rPr>
          <w:sz w:val="21"/>
        </w:rPr>
        <w:t>甲方未按合同约定支付款项的，每逾期一日，按应付未付金额的</w:t>
      </w:r>
      <w:r>
        <w:rPr>
          <w:sz w:val="21"/>
        </w:rPr>
        <w:t>0.1</w:t>
      </w:r>
      <w:r>
        <w:rPr>
          <w:sz w:val="21"/>
        </w:rPr>
        <w:t>‰向乙方支付违约金，累计违约金不超过合同总金额的</w:t>
      </w:r>
      <w:r>
        <w:rPr>
          <w:sz w:val="21"/>
        </w:rPr>
        <w:t>3%</w:t>
      </w:r>
      <w:r>
        <w:rPr>
          <w:sz w:val="21"/>
        </w:rPr>
        <w:t>。</w:t>
      </w:r>
    </w:p>
    <w:p>
      <w:pPr>
        <w:pStyle w:val="null3"/>
        <w:jc w:val="both"/>
      </w:pPr>
      <w:r>
        <w:rPr>
          <w:sz w:val="21"/>
          <w:b/>
        </w:rPr>
        <w:t>十、</w:t>
      </w:r>
      <w:r>
        <w:rPr>
          <w:sz w:val="24"/>
          <w:b/>
        </w:rPr>
        <w:t>争议解决方式</w:t>
      </w:r>
    </w:p>
    <w:p>
      <w:pPr>
        <w:pStyle w:val="null3"/>
        <w:ind w:left="360"/>
        <w:jc w:val="both"/>
      </w:pPr>
      <w:r>
        <w:rPr>
          <w:sz w:val="21"/>
        </w:rPr>
        <w:t>1.</w:t>
      </w:r>
      <w:r>
        <w:rPr>
          <w:sz w:val="21"/>
        </w:rPr>
        <w:t>因履行本合同所发生的争议或纠纷，双方应通过友好协商解决，协商不成的，双方一致同意向甲方所在地法院提起诉讼。</w:t>
      </w:r>
    </w:p>
    <w:p>
      <w:pPr>
        <w:pStyle w:val="null3"/>
        <w:jc w:val="both"/>
      </w:pPr>
      <w:r>
        <w:rPr>
          <w:sz w:val="21"/>
          <w:b/>
        </w:rPr>
        <w:t>十一、其他</w:t>
      </w:r>
      <w:r>
        <w:rPr>
          <w:sz w:val="21"/>
          <w:b/>
        </w:rPr>
        <w:t xml:space="preserve">   </w:t>
      </w:r>
    </w:p>
    <w:p>
      <w:pPr>
        <w:pStyle w:val="null3"/>
        <w:ind w:left="360"/>
        <w:jc w:val="both"/>
      </w:pPr>
      <w:r>
        <w:rPr>
          <w:sz w:val="21"/>
        </w:rPr>
        <w:t>1.</w:t>
      </w:r>
      <w:r>
        <w:rPr>
          <w:sz w:val="21"/>
        </w:rPr>
        <w:t>本合同附件是本合同的组成部分，与本合同具有同等法律效力。对于本合同的变更、提前终止须以书面合同书、经双方盖章的形式作出；本合同的未尽事宜，可由双方订立补充协议约定。</w:t>
      </w:r>
    </w:p>
    <w:p>
      <w:pPr>
        <w:pStyle w:val="null3"/>
        <w:ind w:left="360"/>
        <w:jc w:val="both"/>
      </w:pPr>
      <w:r>
        <w:rPr>
          <w:sz w:val="21"/>
        </w:rPr>
        <w:t>2.</w:t>
      </w:r>
      <w:r>
        <w:rPr>
          <w:sz w:val="21"/>
        </w:rPr>
        <w:t>本合同一式</w:t>
      </w:r>
      <w:r>
        <w:rPr>
          <w:sz w:val="21"/>
          <w:u w:val="single"/>
        </w:rPr>
        <w:t xml:space="preserve"> </w:t>
      </w:r>
      <w:r>
        <w:rPr>
          <w:sz w:val="21"/>
          <w:u w:val="single"/>
        </w:rPr>
        <w:t>叁</w:t>
      </w:r>
      <w:r>
        <w:rPr>
          <w:sz w:val="21"/>
        </w:rPr>
        <w:t>份，甲方持</w:t>
      </w:r>
      <w:r>
        <w:rPr>
          <w:sz w:val="21"/>
          <w:u w:val="single"/>
        </w:rPr>
        <w:t xml:space="preserve"> </w:t>
      </w:r>
      <w:r>
        <w:rPr>
          <w:sz w:val="21"/>
          <w:u w:val="single"/>
        </w:rPr>
        <w:t>贰</w:t>
      </w:r>
      <w:r>
        <w:rPr>
          <w:sz w:val="21"/>
        </w:rPr>
        <w:t>份</w:t>
      </w:r>
      <w:r>
        <w:rPr>
          <w:sz w:val="21"/>
        </w:rPr>
        <w:t>,</w:t>
      </w:r>
      <w:r>
        <w:rPr>
          <w:sz w:val="21"/>
        </w:rPr>
        <w:t>乙方持</w:t>
      </w:r>
      <w:r>
        <w:rPr>
          <w:sz w:val="21"/>
          <w:u w:val="single"/>
        </w:rPr>
        <w:t xml:space="preserve"> </w:t>
      </w:r>
      <w:r>
        <w:rPr>
          <w:sz w:val="21"/>
          <w:u w:val="single"/>
        </w:rPr>
        <w:t>壹</w:t>
      </w:r>
      <w:r>
        <w:rPr>
          <w:sz w:val="21"/>
        </w:rPr>
        <w:t>份，每一份具有同等法律效力，本合同、补充协议自双方签字并盖章之日起生效。</w:t>
      </w:r>
    </w:p>
    <w:p>
      <w:pPr>
        <w:pStyle w:val="null3"/>
        <w:ind w:firstLine="480"/>
        <w:jc w:val="both"/>
      </w:pPr>
      <w:r>
        <w:rPr>
          <w:sz w:val="21"/>
          <w:b/>
        </w:rPr>
        <w:t>关于政府采购合同融资贷款</w:t>
      </w:r>
    </w:p>
    <w:p>
      <w:pPr>
        <w:pStyle w:val="null3"/>
        <w:ind w:firstLine="480"/>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ind w:firstLine="480"/>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both"/>
      </w:pPr>
      <w:r>
        <w:rPr/>
        <w:t xml:space="preserve"> </w:t>
      </w:r>
    </w:p>
    <w:p>
      <w:pPr>
        <w:pStyle w:val="null3"/>
        <w:ind w:left="780"/>
        <w:jc w:val="left"/>
      </w:pPr>
      <w:r>
        <w:rPr>
          <w:sz w:val="21"/>
        </w:rPr>
        <w:t>（以下无正文，为双方签字页）</w:t>
      </w:r>
    </w:p>
    <w:p>
      <w:pPr>
        <w:pStyle w:val="null3"/>
        <w:jc w:val="left"/>
      </w:pPr>
      <w:r>
        <w:rPr>
          <w:sz w:val="21"/>
        </w:rPr>
        <w:t>甲方（盖章）：茂名市中医院</w:t>
      </w:r>
      <w:r>
        <w:rPr>
          <w:sz w:val="21"/>
        </w:rPr>
        <w:t xml:space="preserve">                         </w:t>
      </w:r>
      <w:r>
        <w:rPr>
          <w:sz w:val="21"/>
        </w:rPr>
        <w:t>乙方（盖章）：</w:t>
      </w:r>
    </w:p>
    <w:p>
      <w:pPr>
        <w:pStyle w:val="null3"/>
        <w:jc w:val="both"/>
      </w:pPr>
      <w:r>
        <w:rPr>
          <w:sz w:val="21"/>
        </w:rPr>
        <w:t>法人代表：</w:t>
      </w:r>
      <w:r>
        <w:rPr>
          <w:sz w:val="21"/>
        </w:rPr>
        <w:t xml:space="preserve">                                         </w:t>
      </w:r>
      <w:r>
        <w:rPr>
          <w:sz w:val="21"/>
        </w:rPr>
        <w:t>法人代表：</w:t>
      </w:r>
    </w:p>
    <w:p>
      <w:pPr>
        <w:pStyle w:val="null3"/>
        <w:jc w:val="both"/>
      </w:pPr>
      <w:r>
        <w:rPr/>
        <w:t xml:space="preserve">   </w:t>
      </w:r>
    </w:p>
    <w:p>
      <w:pPr>
        <w:pStyle w:val="null3"/>
        <w:jc w:val="both"/>
      </w:pPr>
      <w:r>
        <w:rPr>
          <w:sz w:val="21"/>
        </w:rPr>
        <w:t>签约代表：</w:t>
      </w:r>
      <w:r>
        <w:rPr>
          <w:sz w:val="21"/>
        </w:rPr>
        <w:t xml:space="preserve">                                         </w:t>
      </w:r>
      <w:r>
        <w:rPr>
          <w:sz w:val="21"/>
        </w:rPr>
        <w:t>签约代表：</w:t>
      </w:r>
    </w:p>
    <w:p>
      <w:pPr>
        <w:pStyle w:val="null3"/>
        <w:jc w:val="both"/>
      </w:pPr>
      <w:r>
        <w:rPr>
          <w:sz w:val="21"/>
        </w:rPr>
        <w:t>签订日期：</w:t>
      </w:r>
      <w:r>
        <w:rPr>
          <w:sz w:val="21"/>
        </w:rPr>
        <w:t xml:space="preserve">                                         </w:t>
      </w:r>
      <w:r>
        <w:rPr>
          <w:sz w:val="21"/>
        </w:rPr>
        <w:t>签订日期：</w:t>
      </w:r>
    </w:p>
    <w:p>
      <w:pPr>
        <w:pStyle w:val="null3"/>
        <w:jc w:val="both"/>
      </w:pPr>
      <w:r>
        <w:rPr>
          <w:sz w:val="21"/>
        </w:rPr>
        <w:t>签订地点：茂名市</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440901-2025-03748</w:t>
      </w:r>
    </w:p>
    <w:p>
      <w:pPr>
        <w:pStyle w:val="null3"/>
        <w:jc w:val="center"/>
        <w:outlineLvl w:val="3"/>
      </w:pPr>
      <w:r>
        <w:rPr>
          <w:sz w:val="24"/>
          <w:b/>
        </w:rPr>
        <w:t>采购项目编号：</w:t>
      </w:r>
      <w:r>
        <w:rPr>
          <w:sz w:val="24"/>
          <w:b/>
        </w:rPr>
        <w:t>0724-2531Z1437485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茂名市中医院医疗设备采购项目(二次)</w:t>
      </w:r>
      <w:r>
        <w:rPr>
          <w:u w:val="single"/>
        </w:rPr>
        <w:t>”</w:t>
      </w:r>
      <w:r>
        <w:rPr/>
        <w:t>项目的招标[采购项目编号为：</w:t>
      </w:r>
      <w:r>
        <w:rPr>
          <w:u w:val="single"/>
        </w:rPr>
        <w:t>0724-2531Z1437485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茂名市中医院医疗设备采购项目(二次)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茂名市中医院医疗设备采购项目(二次)</w:t>
      </w:r>
      <w:r>
        <w:rPr/>
        <w:t>”项目采购[采购项目编号为</w:t>
      </w:r>
      <w:r>
        <w:rPr/>
        <w:t>0724-2531Z1437485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茂名市中医院医疗设备采购项目(二次)</w:t>
      </w:r>
      <w:r>
        <w:rPr/>
        <w:t>招标中获中标（采购项目编号：</w:t>
      </w:r>
      <w:r>
        <w:rPr/>
        <w:t>0724-2531Z1437485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茂名市中医院医疗设备采购项目(二次)</w:t>
      </w:r>
      <w:r>
        <w:rPr/>
        <w:t>”项目（采购项目编号：</w:t>
      </w:r>
      <w:r>
        <w:rPr/>
        <w:t>0724-2531Z1437485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