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2017C">
      <w:pPr>
        <w:bidi w:val="0"/>
        <w:jc w:val="center"/>
        <w:rPr>
          <w:rFonts w:hint="eastAsia"/>
          <w:b/>
          <w:bCs/>
          <w:sz w:val="44"/>
          <w:szCs w:val="44"/>
        </w:rPr>
      </w:pPr>
    </w:p>
    <w:p w14:paraId="3CFB3BBF">
      <w:pPr>
        <w:bidi w:val="0"/>
        <w:jc w:val="center"/>
        <w:rPr>
          <w:rFonts w:hint="eastAsia"/>
          <w:b/>
          <w:bCs/>
          <w:sz w:val="44"/>
          <w:szCs w:val="44"/>
        </w:rPr>
      </w:pPr>
    </w:p>
    <w:p w14:paraId="00C11EE7">
      <w:pPr>
        <w:spacing w:line="360" w:lineRule="auto"/>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AI一体化管控平台研究与建设公开招标</w:t>
      </w:r>
    </w:p>
    <w:p w14:paraId="0AFD3961">
      <w:pPr>
        <w:spacing w:line="360" w:lineRule="auto"/>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31C913FA">
      <w:pPr>
        <w:spacing w:line="360" w:lineRule="auto"/>
        <w:ind w:left="0" w:leftChars="0" w:firstLine="0" w:firstLineChars="0"/>
        <w:jc w:val="center"/>
        <w:rPr>
          <w:rFonts w:hint="eastAsia" w:asciiTheme="minorEastAsia" w:hAnsiTheme="minorEastAsia" w:eastAsiaTheme="minorEastAsia" w:cstheme="minorEastAsia"/>
          <w:b/>
          <w:sz w:val="84"/>
          <w:szCs w:val="84"/>
          <w:highlight w:val="none"/>
        </w:rPr>
      </w:pPr>
    </w:p>
    <w:p w14:paraId="3FD0A120">
      <w:pPr>
        <w:spacing w:line="360" w:lineRule="auto"/>
        <w:ind w:left="0" w:leftChars="0" w:firstLine="0" w:firstLineChars="0"/>
        <w:jc w:val="center"/>
        <w:rPr>
          <w:rFonts w:hint="eastAsia" w:asciiTheme="minorEastAsia" w:hAnsiTheme="minorEastAsia" w:eastAsiaTheme="minorEastAsia" w:cstheme="minorEastAsia"/>
          <w:b/>
          <w:sz w:val="84"/>
          <w:szCs w:val="84"/>
          <w:highlight w:val="none"/>
        </w:rPr>
      </w:pPr>
    </w:p>
    <w:p w14:paraId="2AC29E31">
      <w:pPr>
        <w:spacing w:line="360" w:lineRule="auto"/>
        <w:ind w:left="0" w:leftChars="0" w:firstLine="0" w:firstLineChars="0"/>
        <w:jc w:val="center"/>
        <w:rPr>
          <w:rFonts w:hint="eastAsia" w:asciiTheme="minorEastAsia" w:hAnsiTheme="minorEastAsia" w:eastAsiaTheme="minorEastAsia" w:cstheme="minorEastAsia"/>
          <w:b/>
          <w:sz w:val="84"/>
          <w:szCs w:val="84"/>
          <w:highlight w:val="none"/>
        </w:rPr>
      </w:pPr>
      <w:r>
        <w:rPr>
          <w:rFonts w:hint="eastAsia" w:asciiTheme="minorEastAsia" w:hAnsiTheme="minorEastAsia" w:eastAsiaTheme="minorEastAsia" w:cstheme="minorEastAsia"/>
          <w:sz w:val="72"/>
          <w:szCs w:val="72"/>
          <w:highlight w:val="none"/>
        </w:rPr>
        <w:drawing>
          <wp:anchor distT="0" distB="0" distL="114300" distR="114300" simplePos="0" relativeHeight="251659264" behindDoc="1" locked="0" layoutInCell="1" allowOverlap="1">
            <wp:simplePos x="0" y="0"/>
            <wp:positionH relativeFrom="column">
              <wp:posOffset>748030</wp:posOffset>
            </wp:positionH>
            <wp:positionV relativeFrom="paragraph">
              <wp:posOffset>750570</wp:posOffset>
            </wp:positionV>
            <wp:extent cx="4442460" cy="1398270"/>
            <wp:effectExtent l="0" t="0" r="7620" b="381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5"/>
                    <a:stretch>
                      <a:fillRect/>
                    </a:stretch>
                  </pic:blipFill>
                  <pic:spPr>
                    <a:xfrm>
                      <a:off x="0" y="0"/>
                      <a:ext cx="4442460" cy="1398270"/>
                    </a:xfrm>
                    <a:prstGeom prst="rect">
                      <a:avLst/>
                    </a:prstGeom>
                    <a:noFill/>
                    <a:ln>
                      <a:noFill/>
                    </a:ln>
                  </pic:spPr>
                </pic:pic>
              </a:graphicData>
            </a:graphic>
          </wp:anchor>
        </w:drawing>
      </w:r>
      <w:r>
        <w:rPr>
          <w:rFonts w:hint="eastAsia" w:asciiTheme="minorEastAsia" w:hAnsiTheme="minorEastAsia" w:eastAsiaTheme="minorEastAsia" w:cstheme="minorEastAsia"/>
          <w:b/>
          <w:sz w:val="84"/>
          <w:szCs w:val="84"/>
          <w:highlight w:val="none"/>
        </w:rPr>
        <w:t>招 标 文 件</w:t>
      </w:r>
    </w:p>
    <w:p w14:paraId="251D1C3E">
      <w:pPr>
        <w:spacing w:line="360" w:lineRule="auto"/>
        <w:jc w:val="center"/>
        <w:rPr>
          <w:rFonts w:hint="eastAsia" w:asciiTheme="minorEastAsia" w:hAnsiTheme="minorEastAsia" w:eastAsiaTheme="minorEastAsia" w:cstheme="minorEastAsia"/>
          <w:b/>
          <w:sz w:val="96"/>
          <w:szCs w:val="96"/>
          <w:highlight w:val="none"/>
        </w:rPr>
      </w:pPr>
    </w:p>
    <w:p w14:paraId="32B93302">
      <w:pPr>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eastAsia" w:asciiTheme="minorEastAsia" w:hAnsiTheme="minorEastAsia" w:eastAsiaTheme="minorEastAsia" w:cstheme="minorEastAsia"/>
          <w:b/>
          <w:bCs/>
          <w:kern w:val="2"/>
          <w:sz w:val="32"/>
          <w:szCs w:val="32"/>
          <w:lang w:eastAsia="zh-CN" w:bidi="ar-SA"/>
        </w:rPr>
      </w:pPr>
      <w:bookmarkStart w:id="0" w:name="_Toc13823"/>
      <w:bookmarkStart w:id="1" w:name="_Toc29476"/>
      <w:bookmarkStart w:id="2" w:name="_Toc8866"/>
    </w:p>
    <w:p w14:paraId="29F080B0">
      <w:pPr>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b/>
          <w:bCs/>
          <w:kern w:val="2"/>
          <w:sz w:val="32"/>
          <w:szCs w:val="32"/>
          <w:lang w:eastAsia="zh-CN" w:bidi="ar-SA"/>
        </w:rPr>
        <w:t>招标编号：</w:t>
      </w:r>
      <w:bookmarkEnd w:id="0"/>
      <w:bookmarkEnd w:id="1"/>
      <w:bookmarkEnd w:id="2"/>
      <w:r>
        <w:rPr>
          <w:rFonts w:hint="eastAsia" w:asciiTheme="minorEastAsia" w:hAnsiTheme="minorEastAsia" w:eastAsiaTheme="minorEastAsia" w:cstheme="minorEastAsia"/>
          <w:b/>
          <w:bCs/>
          <w:kern w:val="2"/>
          <w:sz w:val="32"/>
          <w:szCs w:val="32"/>
          <w:lang w:val="en-US" w:eastAsia="zh-CN" w:bidi="ar-SA"/>
        </w:rPr>
        <w:t>CKZB2026010</w:t>
      </w:r>
    </w:p>
    <w:p w14:paraId="1CAD0972">
      <w:pPr>
        <w:spacing w:line="360" w:lineRule="auto"/>
        <w:ind w:firstLine="0" w:firstLineChars="0"/>
        <w:jc w:val="distribute"/>
        <w:rPr>
          <w:rFonts w:hint="eastAsia" w:asciiTheme="minorEastAsia" w:hAnsiTheme="minorEastAsia" w:eastAsiaTheme="minorEastAsia" w:cstheme="minorEastAsia"/>
          <w:b/>
          <w:bCs/>
          <w:kern w:val="2"/>
          <w:sz w:val="32"/>
          <w:szCs w:val="32"/>
          <w:highlight w:val="none"/>
          <w:lang w:eastAsia="zh-CN" w:bidi="ar-SA"/>
        </w:rPr>
      </w:pPr>
    </w:p>
    <w:p w14:paraId="00A0D841">
      <w:pPr>
        <w:pStyle w:val="96"/>
        <w:ind w:left="0" w:leftChars="0" w:firstLine="0" w:firstLineChars="0"/>
        <w:rPr>
          <w:rFonts w:hint="eastAsia"/>
          <w:lang w:eastAsia="zh-CN"/>
        </w:rPr>
      </w:pPr>
    </w:p>
    <w:p w14:paraId="4F225FC1">
      <w:pPr>
        <w:pStyle w:val="96"/>
        <w:ind w:left="0" w:leftChars="0" w:firstLine="0" w:firstLineChars="0"/>
        <w:rPr>
          <w:rFonts w:hint="eastAsia"/>
          <w:lang w:eastAsia="zh-CN"/>
        </w:rPr>
      </w:pPr>
    </w:p>
    <w:p w14:paraId="1AF8C814">
      <w:pPr>
        <w:spacing w:line="360" w:lineRule="auto"/>
        <w:ind w:firstLine="0" w:firstLineChars="0"/>
        <w:jc w:val="distribute"/>
        <w:rPr>
          <w:rFonts w:hint="eastAsia" w:asciiTheme="minorEastAsia" w:hAnsiTheme="minorEastAsia" w:eastAsiaTheme="minorEastAsia" w:cstheme="minorEastAsia"/>
          <w:b/>
          <w:bCs/>
          <w:kern w:val="2"/>
          <w:sz w:val="32"/>
          <w:szCs w:val="32"/>
          <w:highlight w:val="none"/>
          <w:lang w:eastAsia="zh-CN" w:bidi="ar-SA"/>
        </w:rPr>
      </w:pPr>
      <w:r>
        <w:rPr>
          <w:rFonts w:hint="eastAsia" w:asciiTheme="minorEastAsia" w:hAnsiTheme="minorEastAsia" w:eastAsiaTheme="minorEastAsia" w:cstheme="minorEastAsia"/>
          <w:b/>
          <w:bCs/>
          <w:kern w:val="2"/>
          <w:sz w:val="32"/>
          <w:szCs w:val="32"/>
          <w:highlight w:val="none"/>
          <w:lang w:val="en-US" w:eastAsia="zh-CN" w:bidi="ar-SA"/>
        </w:rPr>
        <w:t>采购人</w:t>
      </w:r>
      <w:r>
        <w:rPr>
          <w:rFonts w:hint="eastAsia" w:asciiTheme="minorEastAsia" w:hAnsiTheme="minorEastAsia" w:eastAsiaTheme="minorEastAsia" w:cstheme="minorEastAsia"/>
          <w:b/>
          <w:bCs/>
          <w:kern w:val="2"/>
          <w:sz w:val="32"/>
          <w:szCs w:val="32"/>
          <w:highlight w:val="none"/>
          <w:lang w:eastAsia="zh-CN" w:bidi="ar-SA"/>
        </w:rPr>
        <w:t>：中煤科工集团重庆研究院有限公司（单位公章）</w:t>
      </w:r>
    </w:p>
    <w:p w14:paraId="34D480FA">
      <w:pPr>
        <w:pStyle w:val="96"/>
        <w:rPr>
          <w:rFonts w:hint="eastAsia" w:asciiTheme="minorEastAsia" w:hAnsiTheme="minorEastAsia" w:eastAsiaTheme="minorEastAsia" w:cstheme="minorEastAsia"/>
          <w:b/>
          <w:bCs/>
          <w:kern w:val="2"/>
          <w:sz w:val="32"/>
          <w:szCs w:val="32"/>
          <w:highlight w:val="none"/>
          <w:lang w:eastAsia="zh-CN" w:bidi="ar-SA"/>
        </w:rPr>
      </w:pPr>
    </w:p>
    <w:p w14:paraId="4C56E7AD">
      <w:pPr>
        <w:spacing w:line="360" w:lineRule="auto"/>
        <w:ind w:firstLine="0" w:firstLineChars="0"/>
        <w:jc w:val="distribute"/>
        <w:rPr>
          <w:rFonts w:hint="eastAsia" w:asciiTheme="minorEastAsia" w:hAnsiTheme="minorEastAsia" w:eastAsiaTheme="minorEastAsia" w:cstheme="minorEastAsia"/>
          <w:b/>
          <w:bCs/>
          <w:kern w:val="2"/>
          <w:sz w:val="32"/>
          <w:szCs w:val="32"/>
          <w:highlight w:val="none"/>
          <w:lang w:eastAsia="zh-CN" w:bidi="ar-SA"/>
        </w:rPr>
      </w:pPr>
      <w:r>
        <w:rPr>
          <w:rFonts w:hint="eastAsia" w:asciiTheme="minorEastAsia" w:hAnsiTheme="minorEastAsia" w:eastAsiaTheme="minorEastAsia" w:cstheme="minorEastAsia"/>
          <w:b/>
          <w:bCs/>
          <w:kern w:val="2"/>
          <w:sz w:val="32"/>
          <w:szCs w:val="32"/>
          <w:highlight w:val="none"/>
          <w:lang w:eastAsia="zh-CN" w:bidi="ar-SA"/>
        </w:rPr>
        <w:t>招标代理机构：国义招标股份有限公司（单位公章）</w:t>
      </w:r>
    </w:p>
    <w:p w14:paraId="105D6065">
      <w:pPr>
        <w:spacing w:line="360" w:lineRule="auto"/>
        <w:ind w:firstLine="0" w:firstLineChars="0"/>
        <w:jc w:val="distribute"/>
        <w:rPr>
          <w:rFonts w:hint="eastAsia" w:asciiTheme="minorEastAsia" w:hAnsiTheme="minorEastAsia" w:eastAsiaTheme="minorEastAsia" w:cstheme="minorEastAsia"/>
          <w:b/>
          <w:bCs/>
          <w:kern w:val="2"/>
          <w:sz w:val="32"/>
          <w:szCs w:val="32"/>
          <w:highlight w:val="none"/>
          <w:lang w:eastAsia="zh-CN" w:bidi="ar-SA"/>
        </w:rPr>
      </w:pPr>
    </w:p>
    <w:p w14:paraId="76F4C0E1">
      <w:pPr>
        <w:pStyle w:val="96"/>
        <w:rPr>
          <w:rFonts w:hint="eastAsia"/>
          <w:lang w:eastAsia="zh-CN"/>
        </w:rPr>
      </w:pPr>
    </w:p>
    <w:p w14:paraId="7293BFA7">
      <w:pPr>
        <w:spacing w:line="360" w:lineRule="auto"/>
        <w:ind w:firstLine="0" w:firstLineChars="0"/>
        <w:jc w:val="center"/>
        <w:rPr>
          <w:rFonts w:hint="eastAsia" w:asciiTheme="minorEastAsia" w:hAnsiTheme="minorEastAsia" w:eastAsiaTheme="minorEastAsia" w:cstheme="minorEastAsia"/>
          <w:b/>
          <w:bCs/>
          <w:kern w:val="2"/>
          <w:sz w:val="32"/>
          <w:szCs w:val="32"/>
          <w:highlight w:val="none"/>
          <w:lang w:eastAsia="zh-CN" w:bidi="ar-SA"/>
        </w:rPr>
      </w:pPr>
      <w:r>
        <w:rPr>
          <w:rFonts w:hint="eastAsia" w:asciiTheme="minorEastAsia" w:hAnsiTheme="minorEastAsia" w:eastAsiaTheme="minorEastAsia" w:cstheme="minorEastAsia"/>
          <w:b/>
          <w:bCs/>
          <w:kern w:val="2"/>
          <w:sz w:val="32"/>
          <w:szCs w:val="32"/>
          <w:highlight w:val="none"/>
          <w:lang w:eastAsia="zh-CN" w:bidi="ar-SA"/>
        </w:rPr>
        <w:t>二〇二</w:t>
      </w:r>
      <w:r>
        <w:rPr>
          <w:rFonts w:hint="eastAsia" w:asciiTheme="minorEastAsia" w:hAnsiTheme="minorEastAsia" w:eastAsiaTheme="minorEastAsia" w:cstheme="minorEastAsia"/>
          <w:b/>
          <w:bCs/>
          <w:kern w:val="2"/>
          <w:sz w:val="32"/>
          <w:szCs w:val="32"/>
          <w:highlight w:val="none"/>
          <w:lang w:val="en-US" w:eastAsia="zh-CN" w:bidi="ar-SA"/>
        </w:rPr>
        <w:t>六</w:t>
      </w:r>
      <w:r>
        <w:rPr>
          <w:rFonts w:hint="eastAsia" w:asciiTheme="minorEastAsia" w:hAnsiTheme="minorEastAsia" w:eastAsiaTheme="minorEastAsia" w:cstheme="minorEastAsia"/>
          <w:b/>
          <w:bCs/>
          <w:kern w:val="2"/>
          <w:sz w:val="32"/>
          <w:szCs w:val="32"/>
          <w:highlight w:val="none"/>
          <w:lang w:eastAsia="zh-CN" w:bidi="ar-SA"/>
        </w:rPr>
        <w:t>年</w:t>
      </w:r>
      <w:r>
        <w:rPr>
          <w:rFonts w:hint="eastAsia" w:asciiTheme="minorEastAsia" w:hAnsiTheme="minorEastAsia" w:eastAsiaTheme="minorEastAsia" w:cstheme="minorEastAsia"/>
          <w:b/>
          <w:bCs/>
          <w:kern w:val="2"/>
          <w:sz w:val="32"/>
          <w:szCs w:val="32"/>
          <w:highlight w:val="none"/>
          <w:lang w:val="en-US" w:eastAsia="zh-CN" w:bidi="ar-SA"/>
        </w:rPr>
        <w:t>七</w:t>
      </w:r>
      <w:r>
        <w:rPr>
          <w:rFonts w:hint="eastAsia" w:asciiTheme="minorEastAsia" w:hAnsiTheme="minorEastAsia" w:eastAsiaTheme="minorEastAsia" w:cstheme="minorEastAsia"/>
          <w:b/>
          <w:bCs/>
          <w:kern w:val="2"/>
          <w:sz w:val="32"/>
          <w:szCs w:val="32"/>
          <w:highlight w:val="none"/>
          <w:lang w:eastAsia="zh-CN" w:bidi="ar-SA"/>
        </w:rPr>
        <w:t>月</w:t>
      </w:r>
    </w:p>
    <w:p w14:paraId="125D1F4E">
      <w:pPr>
        <w:spacing w:line="360" w:lineRule="auto"/>
        <w:rPr>
          <w:rFonts w:hint="eastAsia" w:asciiTheme="minorEastAsia" w:hAnsiTheme="minorEastAsia" w:eastAsiaTheme="minorEastAsia" w:cstheme="minorEastAsia"/>
          <w:highlight w:val="none"/>
        </w:rPr>
        <w:sectPr>
          <w:headerReference r:id="rId6" w:type="first"/>
          <w:footerReference r:id="rId8" w:type="first"/>
          <w:headerReference r:id="rId5" w:type="default"/>
          <w:footerReference r:id="rId7" w:type="default"/>
          <w:pgSz w:w="11906" w:h="16838"/>
          <w:pgMar w:top="1440" w:right="1800" w:bottom="1440" w:left="1800" w:header="851" w:footer="992" w:gutter="0"/>
          <w:paperSrc w:first="7" w:other="7"/>
          <w:pgNumType w:fmt="decimal" w:start="1"/>
          <w:cols w:space="425" w:num="1"/>
          <w:titlePg/>
          <w:docGrid w:type="lines" w:linePitch="312" w:charSpace="0"/>
        </w:sectPr>
      </w:pPr>
    </w:p>
    <w:sdt>
      <w:sdtPr>
        <w:rPr>
          <w:rFonts w:hint="eastAsia" w:asciiTheme="minorEastAsia" w:hAnsiTheme="minorEastAsia" w:eastAsiaTheme="minorEastAsia" w:cstheme="minorEastAsia"/>
          <w:color w:val="000000"/>
          <w:sz w:val="24"/>
          <w:szCs w:val="24"/>
          <w:highlight w:val="none"/>
          <w:lang w:val="zh-CN" w:eastAsia="en-US" w:bidi="en-US"/>
        </w:rPr>
        <w:id w:val="735598770"/>
        <w:docPartObj>
          <w:docPartGallery w:val="Table of Contents"/>
          <w:docPartUnique/>
        </w:docPartObj>
      </w:sdtPr>
      <w:sdtEndPr>
        <w:rPr>
          <w:rFonts w:hint="eastAsia" w:asciiTheme="minorEastAsia" w:hAnsiTheme="minorEastAsia" w:eastAsiaTheme="minorEastAsia" w:cstheme="minorEastAsia"/>
          <w:b/>
          <w:bCs/>
          <w:color w:val="000000"/>
          <w:sz w:val="24"/>
          <w:szCs w:val="24"/>
          <w:highlight w:val="none"/>
          <w:lang w:val="zh-CN" w:eastAsia="en-US" w:bidi="en-US"/>
        </w:rPr>
      </w:sdtEndPr>
      <w:sdtContent>
        <w:p w14:paraId="4BB56D10">
          <w:pPr>
            <w:pStyle w:val="141"/>
            <w:ind w:firstLine="480" w:firstLineChars="200"/>
            <w:jc w:val="center"/>
            <w:rPr>
              <w:rFonts w:hint="eastAsia" w:asciiTheme="minorEastAsia" w:hAnsiTheme="minorEastAsia" w:eastAsiaTheme="minorEastAsia" w:cstheme="minorEastAsia"/>
              <w:b/>
              <w:bCs/>
              <w:color w:val="auto"/>
              <w:highlight w:val="none"/>
            </w:rPr>
          </w:pPr>
          <w:bookmarkStart w:id="3" w:name="_Toc4077"/>
          <w:bookmarkStart w:id="4" w:name="bookmark37"/>
          <w:bookmarkStart w:id="5" w:name="bookmark36"/>
          <w:bookmarkStart w:id="6" w:name="bookmark35"/>
          <w:r>
            <w:rPr>
              <w:rFonts w:hint="eastAsia" w:asciiTheme="minorEastAsia" w:hAnsiTheme="minorEastAsia" w:eastAsiaTheme="minorEastAsia" w:cstheme="minorEastAsia"/>
              <w:b/>
              <w:bCs/>
              <w:color w:val="auto"/>
              <w:highlight w:val="none"/>
              <w:lang w:val="zh-CN"/>
            </w:rPr>
            <w:t>目</w:t>
          </w:r>
          <w:r>
            <w:rPr>
              <w:rFonts w:hint="eastAsia" w:asciiTheme="minorEastAsia" w:hAnsiTheme="minorEastAsia" w:eastAsiaTheme="minorEastAsia" w:cstheme="minorEastAsia"/>
              <w:b/>
              <w:bCs/>
              <w:color w:val="auto"/>
              <w:highlight w:val="none"/>
              <w:lang w:val="en-US" w:eastAsia="zh-CN"/>
            </w:rPr>
            <w:t xml:space="preserve">  </w:t>
          </w:r>
          <w:r>
            <w:rPr>
              <w:rFonts w:hint="eastAsia" w:asciiTheme="minorEastAsia" w:hAnsiTheme="minorEastAsia" w:eastAsiaTheme="minorEastAsia" w:cstheme="minorEastAsia"/>
              <w:b/>
              <w:bCs/>
              <w:color w:val="auto"/>
              <w:highlight w:val="none"/>
              <w:lang w:val="zh-CN"/>
            </w:rPr>
            <w:t>录</w:t>
          </w:r>
        </w:p>
        <w:p w14:paraId="42749AAB">
          <w:pPr>
            <w:pStyle w:val="59"/>
            <w:tabs>
              <w:tab w:val="right" w:leader="dot" w:pos="9292"/>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TOC \o "1-3" \h \z \u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_Toc31006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lang w:eastAsia="zh-CN"/>
            </w:rPr>
            <w:t>第一章 招标公告</w:t>
          </w:r>
          <w:r>
            <w:tab/>
          </w:r>
          <w:r>
            <w:fldChar w:fldCharType="begin"/>
          </w:r>
          <w:r>
            <w:instrText xml:space="preserve"> PAGEREF _Toc31006 \h </w:instrText>
          </w:r>
          <w:r>
            <w:fldChar w:fldCharType="separate"/>
          </w:r>
          <w:r>
            <w:t>1</w:t>
          </w:r>
          <w:r>
            <w:fldChar w:fldCharType="end"/>
          </w:r>
          <w:r>
            <w:rPr>
              <w:rFonts w:hint="eastAsia" w:asciiTheme="minorEastAsia" w:hAnsiTheme="minorEastAsia" w:eastAsiaTheme="minorEastAsia" w:cstheme="minorEastAsia"/>
              <w:highlight w:val="none"/>
            </w:rPr>
            <w:fldChar w:fldCharType="end"/>
          </w:r>
        </w:p>
        <w:p w14:paraId="04AC1B9D">
          <w:pPr>
            <w:pStyle w:val="59"/>
            <w:tabs>
              <w:tab w:val="right" w:leader="dot" w:pos="9292"/>
            </w:tabs>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_Toc18771 </w:instrText>
          </w:r>
          <w:r>
            <w:rPr>
              <w:rFonts w:hint="eastAsia" w:asciiTheme="minorEastAsia" w:hAnsiTheme="minorEastAsia" w:eastAsiaTheme="minorEastAsia" w:cstheme="minorEastAsia"/>
              <w:bCs/>
              <w:highlight w:val="none"/>
              <w:lang w:val="zh-CN"/>
            </w:rPr>
            <w:fldChar w:fldCharType="separate"/>
          </w:r>
          <w:r>
            <w:rPr>
              <w:rFonts w:hint="eastAsia"/>
              <w:bCs/>
              <w:szCs w:val="32"/>
              <w:lang w:eastAsia="zh-CN"/>
            </w:rPr>
            <w:t>招标公告</w:t>
          </w:r>
          <w:r>
            <w:tab/>
          </w:r>
          <w:r>
            <w:fldChar w:fldCharType="begin"/>
          </w:r>
          <w:r>
            <w:instrText xml:space="preserve"> PAGEREF _Toc18771 \h </w:instrText>
          </w:r>
          <w:r>
            <w:fldChar w:fldCharType="separate"/>
          </w:r>
          <w:r>
            <w:t>1</w:t>
          </w:r>
          <w:r>
            <w:fldChar w:fldCharType="end"/>
          </w:r>
          <w:r>
            <w:rPr>
              <w:rFonts w:hint="eastAsia" w:asciiTheme="minorEastAsia" w:hAnsiTheme="minorEastAsia" w:eastAsiaTheme="minorEastAsia" w:cstheme="minorEastAsia"/>
              <w:bCs/>
              <w:highlight w:val="none"/>
              <w:lang w:val="zh-CN"/>
            </w:rPr>
            <w:fldChar w:fldCharType="end"/>
          </w:r>
        </w:p>
        <w:p w14:paraId="557018F6">
          <w:pPr>
            <w:pStyle w:val="59"/>
            <w:tabs>
              <w:tab w:val="right" w:leader="dot" w:pos="9292"/>
            </w:tabs>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_Toc18329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highlight w:val="none"/>
              <w:lang w:eastAsia="zh-CN"/>
            </w:rPr>
            <w:t>第二章 投标人须知</w:t>
          </w:r>
          <w:r>
            <w:tab/>
          </w:r>
          <w:r>
            <w:fldChar w:fldCharType="begin"/>
          </w:r>
          <w:r>
            <w:instrText xml:space="preserve"> PAGEREF _Toc18329 \h </w:instrText>
          </w:r>
          <w:r>
            <w:fldChar w:fldCharType="separate"/>
          </w:r>
          <w:r>
            <w:t>6</w:t>
          </w:r>
          <w:r>
            <w:fldChar w:fldCharType="end"/>
          </w:r>
          <w:r>
            <w:rPr>
              <w:rFonts w:hint="eastAsia" w:asciiTheme="minorEastAsia" w:hAnsiTheme="minorEastAsia" w:eastAsiaTheme="minorEastAsia" w:cstheme="minorEastAsia"/>
              <w:bCs/>
              <w:highlight w:val="none"/>
              <w:lang w:val="zh-CN"/>
            </w:rPr>
            <w:fldChar w:fldCharType="end"/>
          </w:r>
        </w:p>
        <w:p w14:paraId="2D7F4606">
          <w:pPr>
            <w:pStyle w:val="59"/>
            <w:tabs>
              <w:tab w:val="right" w:leader="dot" w:pos="9292"/>
            </w:tabs>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_Toc8193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highlight w:val="none"/>
              <w:lang w:val="en-US" w:eastAsia="zh-CN"/>
            </w:rPr>
            <w:t>一、</w:t>
          </w:r>
          <w:r>
            <w:rPr>
              <w:rFonts w:hint="eastAsia" w:asciiTheme="minorEastAsia" w:hAnsiTheme="minorEastAsia" w:eastAsiaTheme="minorEastAsia" w:cstheme="minorEastAsia"/>
              <w:highlight w:val="none"/>
              <w:lang w:eastAsia="zh-CN"/>
            </w:rPr>
            <w:t>投标人须知前附表</w:t>
          </w:r>
          <w:r>
            <w:tab/>
          </w:r>
          <w:r>
            <w:fldChar w:fldCharType="begin"/>
          </w:r>
          <w:r>
            <w:instrText xml:space="preserve"> PAGEREF _Toc8193 \h </w:instrText>
          </w:r>
          <w:r>
            <w:fldChar w:fldCharType="separate"/>
          </w:r>
          <w:r>
            <w:t>6</w:t>
          </w:r>
          <w:r>
            <w:fldChar w:fldCharType="end"/>
          </w:r>
          <w:r>
            <w:rPr>
              <w:rFonts w:hint="eastAsia" w:asciiTheme="minorEastAsia" w:hAnsiTheme="minorEastAsia" w:eastAsiaTheme="minorEastAsia" w:cstheme="minorEastAsia"/>
              <w:bCs/>
              <w:highlight w:val="none"/>
              <w:lang w:val="zh-CN"/>
            </w:rPr>
            <w:fldChar w:fldCharType="end"/>
          </w:r>
        </w:p>
        <w:p w14:paraId="1F7D9C96">
          <w:pPr>
            <w:pStyle w:val="59"/>
            <w:tabs>
              <w:tab w:val="right" w:leader="dot" w:pos="9292"/>
            </w:tabs>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_Toc32074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lang w:eastAsia="zh-CN"/>
            </w:rPr>
            <w:t>招标文件</w:t>
          </w:r>
          <w:r>
            <w:tab/>
          </w:r>
          <w:r>
            <w:fldChar w:fldCharType="begin"/>
          </w:r>
          <w:r>
            <w:instrText xml:space="preserve"> PAGEREF _Toc32074 \h </w:instrText>
          </w:r>
          <w:r>
            <w:fldChar w:fldCharType="separate"/>
          </w:r>
          <w:r>
            <w:t>13</w:t>
          </w:r>
          <w:r>
            <w:fldChar w:fldCharType="end"/>
          </w:r>
          <w:r>
            <w:rPr>
              <w:rFonts w:hint="eastAsia" w:asciiTheme="minorEastAsia" w:hAnsiTheme="minorEastAsia" w:eastAsiaTheme="minorEastAsia" w:cstheme="minorEastAsia"/>
              <w:bCs/>
              <w:highlight w:val="none"/>
              <w:lang w:val="zh-CN"/>
            </w:rPr>
            <w:fldChar w:fldCharType="end"/>
          </w:r>
        </w:p>
        <w:p w14:paraId="179B01A8">
          <w:pPr>
            <w:pStyle w:val="59"/>
            <w:tabs>
              <w:tab w:val="right" w:leader="dot" w:pos="9292"/>
            </w:tabs>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_Toc29456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lang w:eastAsia="zh-CN"/>
            </w:rPr>
            <w:t>投标文件</w:t>
          </w:r>
          <w:r>
            <w:tab/>
          </w:r>
          <w:r>
            <w:fldChar w:fldCharType="begin"/>
          </w:r>
          <w:r>
            <w:instrText xml:space="preserve"> PAGEREF _Toc29456 \h </w:instrText>
          </w:r>
          <w:r>
            <w:fldChar w:fldCharType="separate"/>
          </w:r>
          <w:r>
            <w:t>13</w:t>
          </w:r>
          <w:r>
            <w:fldChar w:fldCharType="end"/>
          </w:r>
          <w:r>
            <w:rPr>
              <w:rFonts w:hint="eastAsia" w:asciiTheme="minorEastAsia" w:hAnsiTheme="minorEastAsia" w:eastAsiaTheme="minorEastAsia" w:cstheme="minorEastAsia"/>
              <w:bCs/>
              <w:highlight w:val="none"/>
              <w:lang w:val="zh-CN"/>
            </w:rPr>
            <w:fldChar w:fldCharType="end"/>
          </w:r>
        </w:p>
        <w:p w14:paraId="0D0CDC69">
          <w:pPr>
            <w:pStyle w:val="59"/>
            <w:tabs>
              <w:tab w:val="right" w:leader="dot" w:pos="9292"/>
            </w:tabs>
            <w:rPr>
              <w:rFonts w:hint="eastAsia" w:eastAsiaTheme="minorEastAsia"/>
              <w:lang w:val="en-US" w:eastAsia="zh-CN"/>
            </w:rPr>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_Toc4128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lang w:eastAsia="zh-CN"/>
            </w:rPr>
            <w:t>评标</w:t>
          </w:r>
          <w:r>
            <w:tab/>
          </w:r>
          <w:r>
            <w:fldChar w:fldCharType="begin"/>
          </w:r>
          <w:r>
            <w:instrText xml:space="preserve"> PAGEREF _Toc4128 \h </w:instrText>
          </w:r>
          <w:r>
            <w:fldChar w:fldCharType="separate"/>
          </w:r>
          <w:r>
            <w:t>14</w:t>
          </w:r>
          <w:r>
            <w:fldChar w:fldCharType="end"/>
          </w:r>
          <w:r>
            <w:rPr>
              <w:rFonts w:hint="eastAsia" w:asciiTheme="minorEastAsia" w:hAnsiTheme="minorEastAsia" w:eastAsiaTheme="minorEastAsia" w:cstheme="minorEastAsia"/>
              <w:bCs/>
              <w:highlight w:val="none"/>
              <w:lang w:val="zh-CN"/>
            </w:rPr>
            <w:fldChar w:fldCharType="end"/>
          </w:r>
        </w:p>
        <w:p w14:paraId="54105896">
          <w:pPr>
            <w:pStyle w:val="59"/>
            <w:tabs>
              <w:tab w:val="right" w:leader="dot" w:pos="9292"/>
            </w:tabs>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_Toc11517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highlight w:val="none"/>
              <w:lang w:val="en-US" w:eastAsia="zh-CN"/>
            </w:rPr>
            <w:t>五、</w:t>
          </w:r>
          <w:r>
            <w:rPr>
              <w:rFonts w:hint="eastAsia" w:asciiTheme="minorEastAsia" w:hAnsiTheme="minorEastAsia" w:eastAsiaTheme="minorEastAsia" w:cstheme="minorEastAsia"/>
              <w:highlight w:val="none"/>
              <w:lang w:eastAsia="zh-CN"/>
            </w:rPr>
            <w:t>合同授予</w:t>
          </w:r>
          <w:r>
            <w:tab/>
          </w:r>
          <w:r>
            <w:fldChar w:fldCharType="begin"/>
          </w:r>
          <w:r>
            <w:instrText xml:space="preserve"> PAGEREF _Toc11517 \h </w:instrText>
          </w:r>
          <w:r>
            <w:fldChar w:fldCharType="separate"/>
          </w:r>
          <w:r>
            <w:t>14</w:t>
          </w:r>
          <w:r>
            <w:fldChar w:fldCharType="end"/>
          </w:r>
          <w:r>
            <w:rPr>
              <w:rFonts w:hint="eastAsia" w:asciiTheme="minorEastAsia" w:hAnsiTheme="minorEastAsia" w:eastAsiaTheme="minorEastAsia" w:cstheme="minorEastAsia"/>
              <w:bCs/>
              <w:highlight w:val="none"/>
              <w:lang w:val="zh-CN"/>
            </w:rPr>
            <w:fldChar w:fldCharType="end"/>
          </w:r>
        </w:p>
        <w:p w14:paraId="1ECE33CC">
          <w:pPr>
            <w:pStyle w:val="59"/>
            <w:tabs>
              <w:tab w:val="right" w:leader="dot" w:pos="9292"/>
            </w:tabs>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_Toc31492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lang w:eastAsia="zh-CN"/>
            </w:rPr>
            <w:t>纪律和监督</w:t>
          </w:r>
          <w:r>
            <w:tab/>
          </w:r>
          <w:r>
            <w:fldChar w:fldCharType="begin"/>
          </w:r>
          <w:r>
            <w:instrText xml:space="preserve"> PAGEREF _Toc31492 \h </w:instrText>
          </w:r>
          <w:r>
            <w:fldChar w:fldCharType="separate"/>
          </w:r>
          <w:r>
            <w:t>14</w:t>
          </w:r>
          <w:r>
            <w:fldChar w:fldCharType="end"/>
          </w:r>
          <w:r>
            <w:rPr>
              <w:rFonts w:hint="eastAsia" w:asciiTheme="minorEastAsia" w:hAnsiTheme="minorEastAsia" w:eastAsiaTheme="minorEastAsia" w:cstheme="minorEastAsia"/>
              <w:bCs/>
              <w:highlight w:val="none"/>
              <w:lang w:val="zh-CN"/>
            </w:rPr>
            <w:fldChar w:fldCharType="end"/>
          </w:r>
        </w:p>
        <w:p w14:paraId="6B2F93A0">
          <w:pPr>
            <w:pStyle w:val="59"/>
            <w:tabs>
              <w:tab w:val="right" w:leader="dot" w:pos="9292"/>
            </w:tabs>
            <w:rPr>
              <w:rFonts w:hint="eastAsia" w:eastAsiaTheme="minorEastAsia"/>
              <w:lang w:val="en-US" w:eastAsia="zh-CN"/>
            </w:rPr>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_Toc10678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lang w:eastAsia="zh-CN"/>
            </w:rPr>
            <w:t xml:space="preserve">第三章 </w:t>
          </w:r>
          <w:r>
            <w:rPr>
              <w:rFonts w:hint="eastAsia" w:asciiTheme="minorEastAsia" w:hAnsiTheme="minorEastAsia" w:eastAsiaTheme="minorEastAsia" w:cstheme="minorEastAsia"/>
              <w:lang w:val="en-US" w:eastAsia="zh-CN"/>
            </w:rPr>
            <w:t>年度</w:t>
          </w:r>
          <w:r>
            <w:rPr>
              <w:rFonts w:hint="eastAsia" w:asciiTheme="minorEastAsia" w:hAnsiTheme="minorEastAsia" w:eastAsiaTheme="minorEastAsia" w:cstheme="minorEastAsia"/>
              <w:highlight w:val="none"/>
              <w:lang w:val="en-US" w:eastAsia="zh-CN"/>
            </w:rPr>
            <w:t>协议</w:t>
          </w:r>
          <w:r>
            <w:tab/>
          </w:r>
          <w:r>
            <w:rPr>
              <w:rFonts w:hint="eastAsia"/>
              <w:lang w:val="en-US" w:eastAsia="zh-CN"/>
            </w:rPr>
            <w:t>1</w:t>
          </w:r>
          <w:r>
            <w:rPr>
              <w:rFonts w:hint="eastAsia" w:asciiTheme="minorEastAsia" w:hAnsiTheme="minorEastAsia" w:eastAsiaTheme="minorEastAsia" w:cstheme="minorEastAsia"/>
              <w:bCs/>
              <w:highlight w:val="none"/>
              <w:lang w:val="zh-CN"/>
            </w:rPr>
            <w:fldChar w:fldCharType="end"/>
          </w:r>
          <w:r>
            <w:rPr>
              <w:rFonts w:hint="eastAsia" w:asciiTheme="minorEastAsia" w:hAnsiTheme="minorEastAsia" w:eastAsiaTheme="minorEastAsia" w:cstheme="minorEastAsia"/>
              <w:bCs/>
              <w:highlight w:val="none"/>
              <w:lang w:val="en-US" w:eastAsia="zh-CN"/>
            </w:rPr>
            <w:t>7</w:t>
          </w:r>
        </w:p>
        <w:p w14:paraId="7F5DF01B">
          <w:pPr>
            <w:pStyle w:val="59"/>
            <w:tabs>
              <w:tab w:val="right" w:leader="dot" w:pos="9292"/>
            </w:tabs>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_Toc7878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lang w:eastAsia="zh-CN"/>
            </w:rPr>
            <w:t>第四章 评标办法</w:t>
          </w:r>
          <w:r>
            <w:rPr>
              <w:rFonts w:hint="eastAsia" w:asciiTheme="minorEastAsia" w:hAnsiTheme="minorEastAsia" w:eastAsiaTheme="minorEastAsia" w:cstheme="minorEastAsia"/>
              <w:highlight w:val="none"/>
            </w:rPr>
            <w:t>（综合评估法）</w:t>
          </w:r>
          <w:r>
            <w:tab/>
          </w:r>
          <w:r>
            <w:fldChar w:fldCharType="begin"/>
          </w:r>
          <w:r>
            <w:instrText xml:space="preserve"> PAGEREF _Toc7878 \h </w:instrText>
          </w:r>
          <w:r>
            <w:fldChar w:fldCharType="separate"/>
          </w:r>
          <w:r>
            <w:t>24</w:t>
          </w:r>
          <w:r>
            <w:fldChar w:fldCharType="end"/>
          </w:r>
          <w:r>
            <w:rPr>
              <w:rFonts w:hint="eastAsia" w:asciiTheme="minorEastAsia" w:hAnsiTheme="minorEastAsia" w:eastAsiaTheme="minorEastAsia" w:cstheme="minorEastAsia"/>
              <w:bCs/>
              <w:highlight w:val="none"/>
              <w:lang w:val="zh-CN"/>
            </w:rPr>
            <w:fldChar w:fldCharType="end"/>
          </w:r>
        </w:p>
        <w:p w14:paraId="675E516E">
          <w:pPr>
            <w:pStyle w:val="59"/>
            <w:tabs>
              <w:tab w:val="right" w:leader="dot" w:pos="9292"/>
            </w:tabs>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_Toc25121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highlight w:val="none"/>
              <w:lang w:val="en-US" w:eastAsia="zh-CN"/>
            </w:rPr>
            <w:t>一</w:t>
          </w:r>
          <w:r>
            <w:rPr>
              <w:rFonts w:hint="eastAsia" w:asciiTheme="minorEastAsia" w:hAnsiTheme="minorEastAsia" w:eastAsiaTheme="minorEastAsia" w:cstheme="minorEastAsia"/>
              <w:highlight w:val="none"/>
              <w:lang w:eastAsia="zh-CN"/>
            </w:rPr>
            <w:t>、评标方法</w:t>
          </w:r>
          <w:r>
            <w:tab/>
          </w:r>
          <w:r>
            <w:fldChar w:fldCharType="begin"/>
          </w:r>
          <w:r>
            <w:instrText xml:space="preserve"> PAGEREF _Toc25121 \h </w:instrText>
          </w:r>
          <w:r>
            <w:fldChar w:fldCharType="separate"/>
          </w:r>
          <w:r>
            <w:t>29</w:t>
          </w:r>
          <w:r>
            <w:fldChar w:fldCharType="end"/>
          </w:r>
          <w:r>
            <w:rPr>
              <w:rFonts w:hint="eastAsia" w:asciiTheme="minorEastAsia" w:hAnsiTheme="minorEastAsia" w:eastAsiaTheme="minorEastAsia" w:cstheme="minorEastAsia"/>
              <w:bCs/>
              <w:highlight w:val="none"/>
              <w:lang w:val="zh-CN"/>
            </w:rPr>
            <w:fldChar w:fldCharType="end"/>
          </w:r>
        </w:p>
        <w:p w14:paraId="63513587">
          <w:pPr>
            <w:pStyle w:val="59"/>
            <w:tabs>
              <w:tab w:val="right" w:leader="dot" w:pos="9292"/>
            </w:tabs>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_Toc19995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rPr>
            <w:t>评审标准</w:t>
          </w:r>
          <w:r>
            <w:tab/>
          </w:r>
          <w:r>
            <w:fldChar w:fldCharType="begin"/>
          </w:r>
          <w:r>
            <w:instrText xml:space="preserve"> PAGEREF _Toc19995 \h </w:instrText>
          </w:r>
          <w:r>
            <w:fldChar w:fldCharType="separate"/>
          </w:r>
          <w:r>
            <w:t>30</w:t>
          </w:r>
          <w:r>
            <w:fldChar w:fldCharType="end"/>
          </w:r>
          <w:r>
            <w:rPr>
              <w:rFonts w:hint="eastAsia" w:asciiTheme="minorEastAsia" w:hAnsiTheme="minorEastAsia" w:eastAsiaTheme="minorEastAsia" w:cstheme="minorEastAsia"/>
              <w:bCs/>
              <w:highlight w:val="none"/>
              <w:lang w:val="zh-CN"/>
            </w:rPr>
            <w:fldChar w:fldCharType="end"/>
          </w:r>
        </w:p>
        <w:p w14:paraId="69F7CCA4">
          <w:pPr>
            <w:pStyle w:val="59"/>
            <w:tabs>
              <w:tab w:val="right" w:leader="dot" w:pos="9292"/>
            </w:tabs>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_Toc16999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rPr>
            <w:t>评标程序</w:t>
          </w:r>
          <w:r>
            <w:tab/>
          </w:r>
          <w:r>
            <w:fldChar w:fldCharType="begin"/>
          </w:r>
          <w:r>
            <w:instrText xml:space="preserve"> PAGEREF _Toc16999 \h </w:instrText>
          </w:r>
          <w:r>
            <w:fldChar w:fldCharType="separate"/>
          </w:r>
          <w:r>
            <w:t>30</w:t>
          </w:r>
          <w:r>
            <w:fldChar w:fldCharType="end"/>
          </w:r>
          <w:r>
            <w:rPr>
              <w:rFonts w:hint="eastAsia" w:asciiTheme="minorEastAsia" w:hAnsiTheme="minorEastAsia" w:eastAsiaTheme="minorEastAsia" w:cstheme="minorEastAsia"/>
              <w:bCs/>
              <w:highlight w:val="none"/>
              <w:lang w:val="zh-CN"/>
            </w:rPr>
            <w:fldChar w:fldCharType="end"/>
          </w:r>
        </w:p>
        <w:p w14:paraId="0D5FB7FC">
          <w:pPr>
            <w:pStyle w:val="59"/>
            <w:tabs>
              <w:tab w:val="right" w:leader="dot" w:pos="9292"/>
            </w:tabs>
            <w:rPr>
              <w:rFonts w:hint="eastAsia" w:eastAsiaTheme="minorEastAsia"/>
              <w:lang w:val="en-US" w:eastAsia="zh-CN"/>
            </w:rPr>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_Toc21795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highlight w:val="none"/>
              <w:lang w:val="en-US" w:eastAsia="zh-CN"/>
            </w:rPr>
            <w:t>四、评标纪律</w:t>
          </w:r>
          <w:r>
            <w:tab/>
          </w:r>
          <w:r>
            <w:fldChar w:fldCharType="begin"/>
          </w:r>
          <w:r>
            <w:instrText xml:space="preserve"> PAGEREF _Toc21795 \h </w:instrText>
          </w:r>
          <w:r>
            <w:fldChar w:fldCharType="separate"/>
          </w:r>
          <w:r>
            <w:t>31</w:t>
          </w:r>
          <w:r>
            <w:fldChar w:fldCharType="end"/>
          </w:r>
          <w:r>
            <w:rPr>
              <w:rFonts w:hint="eastAsia" w:asciiTheme="minorEastAsia" w:hAnsiTheme="minorEastAsia" w:eastAsiaTheme="minorEastAsia" w:cstheme="minorEastAsia"/>
              <w:bCs/>
              <w:highlight w:val="none"/>
              <w:lang w:val="zh-CN"/>
            </w:rPr>
            <w:fldChar w:fldCharType="end"/>
          </w:r>
        </w:p>
        <w:p w14:paraId="3EA19057">
          <w:pPr>
            <w:pStyle w:val="59"/>
            <w:tabs>
              <w:tab w:val="right" w:leader="dot" w:pos="9292"/>
            </w:tabs>
            <w:rPr>
              <w:rFonts w:hint="eastAsia" w:eastAsiaTheme="minorEastAsia"/>
              <w:lang w:val="en-US" w:eastAsia="zh-CN"/>
            </w:rPr>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_Toc21630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lang w:val="en-US" w:eastAsia="zh-CN"/>
            </w:rPr>
            <w:t xml:space="preserve">第五章 </w:t>
          </w:r>
          <w:r>
            <w:rPr>
              <w:rFonts w:hint="eastAsia" w:asciiTheme="minorEastAsia" w:hAnsiTheme="minorEastAsia" w:eastAsiaTheme="minorEastAsia" w:cstheme="minorEastAsia"/>
              <w:highlight w:val="none"/>
              <w:lang w:eastAsia="zh-CN"/>
            </w:rPr>
            <w:t>招标清单</w:t>
          </w:r>
          <w:r>
            <w:rPr>
              <w:rFonts w:hint="eastAsia" w:asciiTheme="minorEastAsia" w:hAnsiTheme="minorEastAsia" w:eastAsiaTheme="minorEastAsia" w:cstheme="minorEastAsia"/>
              <w:highlight w:val="none"/>
              <w:lang w:val="en-US" w:eastAsia="zh-CN"/>
            </w:rPr>
            <w:t>及技术规格书</w:t>
          </w:r>
          <w:r>
            <w:tab/>
          </w:r>
          <w:r>
            <w:rPr>
              <w:rFonts w:hint="eastAsia"/>
              <w:lang w:val="en-US" w:eastAsia="zh-CN"/>
            </w:rPr>
            <w:t>3</w:t>
          </w:r>
          <w:r>
            <w:rPr>
              <w:rFonts w:hint="eastAsia" w:asciiTheme="minorEastAsia" w:hAnsiTheme="minorEastAsia" w:eastAsiaTheme="minorEastAsia" w:cstheme="minorEastAsia"/>
              <w:bCs/>
              <w:highlight w:val="none"/>
              <w:lang w:val="zh-CN"/>
            </w:rPr>
            <w:fldChar w:fldCharType="end"/>
          </w:r>
          <w:r>
            <w:rPr>
              <w:rFonts w:hint="eastAsia" w:asciiTheme="minorEastAsia" w:hAnsiTheme="minorEastAsia" w:eastAsiaTheme="minorEastAsia" w:cstheme="minorEastAsia"/>
              <w:bCs/>
              <w:highlight w:val="none"/>
              <w:lang w:val="en-US" w:eastAsia="zh-CN"/>
            </w:rPr>
            <w:t>3</w:t>
          </w:r>
        </w:p>
        <w:p w14:paraId="4AD05D59">
          <w:pPr>
            <w:pStyle w:val="59"/>
            <w:tabs>
              <w:tab w:val="right" w:leader="dot" w:pos="9292"/>
            </w:tabs>
            <w:rPr>
              <w:rFonts w:hint="eastAsia" w:eastAsiaTheme="minorEastAsia"/>
              <w:lang w:val="en-US" w:eastAsia="zh-CN"/>
            </w:rPr>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_Toc11079 </w:instrText>
          </w:r>
          <w:r>
            <w:rPr>
              <w:rFonts w:hint="eastAsia" w:asciiTheme="minorEastAsia" w:hAnsiTheme="minorEastAsia" w:eastAsiaTheme="minorEastAsia" w:cstheme="minorEastAsia"/>
              <w:bCs/>
              <w:highlight w:val="none"/>
              <w:lang w:val="zh-CN"/>
            </w:rPr>
            <w:fldChar w:fldCharType="separate"/>
          </w:r>
          <w:r>
            <w:rPr>
              <w:rFonts w:hint="eastAsia"/>
              <w:bCs/>
              <w:szCs w:val="28"/>
              <w:lang w:val="en-US" w:eastAsia="zh-CN"/>
            </w:rPr>
            <w:t>一、</w:t>
          </w:r>
          <w:r>
            <w:rPr>
              <w:rFonts w:hint="eastAsia"/>
              <w:bCs/>
              <w:szCs w:val="28"/>
              <w:lang w:eastAsia="zh-CN"/>
            </w:rPr>
            <w:t>招标</w:t>
          </w:r>
          <w:r>
            <w:rPr>
              <w:rFonts w:hint="eastAsia"/>
              <w:bCs/>
              <w:szCs w:val="28"/>
              <w:lang w:val="en-US" w:eastAsia="zh-CN"/>
            </w:rPr>
            <w:t>清单</w:t>
          </w:r>
          <w:r>
            <w:tab/>
          </w:r>
          <w:r>
            <w:rPr>
              <w:rFonts w:hint="eastAsia"/>
              <w:lang w:val="en-US" w:eastAsia="zh-CN"/>
            </w:rPr>
            <w:t>3</w:t>
          </w:r>
          <w:r>
            <w:rPr>
              <w:rFonts w:hint="eastAsia" w:asciiTheme="minorEastAsia" w:hAnsiTheme="minorEastAsia" w:eastAsiaTheme="minorEastAsia" w:cstheme="minorEastAsia"/>
              <w:bCs/>
              <w:highlight w:val="none"/>
              <w:lang w:val="zh-CN"/>
            </w:rPr>
            <w:fldChar w:fldCharType="end"/>
          </w:r>
          <w:r>
            <w:rPr>
              <w:rFonts w:hint="eastAsia" w:asciiTheme="minorEastAsia" w:hAnsiTheme="minorEastAsia" w:eastAsiaTheme="minorEastAsia" w:cstheme="minorEastAsia"/>
              <w:bCs/>
              <w:highlight w:val="none"/>
              <w:lang w:val="en-US" w:eastAsia="zh-CN"/>
            </w:rPr>
            <w:t>3</w:t>
          </w:r>
        </w:p>
        <w:p w14:paraId="7446B64C">
          <w:pPr>
            <w:pStyle w:val="59"/>
            <w:tabs>
              <w:tab w:val="right" w:leader="dot" w:pos="9292"/>
            </w:tabs>
            <w:rPr>
              <w:rFonts w:hint="eastAsia" w:eastAsiaTheme="minorEastAsia"/>
              <w:lang w:val="en-US" w:eastAsia="zh-CN"/>
            </w:rPr>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_Toc15567 </w:instrText>
          </w:r>
          <w:r>
            <w:rPr>
              <w:rFonts w:hint="eastAsia" w:asciiTheme="minorEastAsia" w:hAnsiTheme="minorEastAsia" w:eastAsiaTheme="minorEastAsia" w:cstheme="minorEastAsia"/>
              <w:bCs/>
              <w:highlight w:val="none"/>
              <w:lang w:val="zh-CN"/>
            </w:rPr>
            <w:fldChar w:fldCharType="separate"/>
          </w:r>
          <w:r>
            <w:rPr>
              <w:rFonts w:hint="eastAsia" w:cs="宋体"/>
              <w:szCs w:val="32"/>
              <w:highlight w:val="none"/>
              <w:lang w:val="en-US" w:eastAsia="zh-CN"/>
            </w:rPr>
            <w:t>二、</w:t>
          </w:r>
          <w:r>
            <w:rPr>
              <w:rFonts w:hint="eastAsia" w:ascii="宋体" w:hAnsi="宋体" w:cs="宋体"/>
              <w:szCs w:val="32"/>
              <w:highlight w:val="none"/>
            </w:rPr>
            <w:t>技术</w:t>
          </w:r>
          <w:r>
            <w:rPr>
              <w:rFonts w:hint="eastAsia" w:cs="宋体"/>
              <w:szCs w:val="32"/>
              <w:highlight w:val="none"/>
              <w:lang w:val="en-US" w:eastAsia="zh-CN"/>
            </w:rPr>
            <w:t>规格及其要求</w:t>
          </w:r>
          <w:r>
            <w:tab/>
          </w:r>
          <w:r>
            <w:rPr>
              <w:rFonts w:hint="eastAsia"/>
              <w:lang w:val="en-US" w:eastAsia="zh-CN"/>
            </w:rPr>
            <w:t>34</w:t>
          </w:r>
          <w:r>
            <w:rPr>
              <w:rFonts w:hint="eastAsia" w:asciiTheme="minorEastAsia" w:hAnsiTheme="minorEastAsia" w:eastAsiaTheme="minorEastAsia" w:cstheme="minorEastAsia"/>
              <w:bCs/>
              <w:highlight w:val="none"/>
              <w:lang w:val="zh-CN"/>
            </w:rPr>
            <w:fldChar w:fldCharType="end"/>
          </w:r>
        </w:p>
        <w:p w14:paraId="2927E764">
          <w:pPr>
            <w:pStyle w:val="59"/>
            <w:tabs>
              <w:tab w:val="right" w:leader="dot" w:pos="9292"/>
            </w:tabs>
            <w:rPr>
              <w:rFonts w:hint="eastAsia" w:eastAsiaTheme="minorEastAsia"/>
              <w:lang w:val="en-US" w:eastAsia="zh-CN"/>
            </w:rPr>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_Toc19295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szCs w:val="40"/>
              <w:lang w:eastAsia="zh-CN"/>
            </w:rPr>
            <w:t xml:space="preserve">第六章 </w:t>
          </w:r>
          <w:r>
            <w:rPr>
              <w:rFonts w:hint="eastAsia" w:asciiTheme="minorEastAsia" w:hAnsiTheme="minorEastAsia" w:eastAsiaTheme="minorEastAsia" w:cstheme="minorEastAsia"/>
              <w:szCs w:val="40"/>
              <w:highlight w:val="none"/>
              <w:lang w:eastAsia="zh-CN"/>
            </w:rPr>
            <w:t>投标文件格式</w:t>
          </w:r>
          <w:r>
            <w:tab/>
          </w:r>
          <w:r>
            <w:rPr>
              <w:rFonts w:hint="eastAsia"/>
              <w:lang w:val="en-US" w:eastAsia="zh-CN"/>
            </w:rPr>
            <w:t>4</w:t>
          </w:r>
          <w:r>
            <w:rPr>
              <w:rFonts w:hint="eastAsia" w:asciiTheme="minorEastAsia" w:hAnsiTheme="minorEastAsia" w:eastAsiaTheme="minorEastAsia" w:cstheme="minorEastAsia"/>
              <w:bCs/>
              <w:highlight w:val="none"/>
              <w:lang w:val="zh-CN"/>
            </w:rPr>
            <w:fldChar w:fldCharType="end"/>
          </w:r>
          <w:r>
            <w:rPr>
              <w:rFonts w:hint="eastAsia" w:asciiTheme="minorEastAsia" w:hAnsiTheme="minorEastAsia" w:eastAsiaTheme="minorEastAsia" w:cstheme="minorEastAsia"/>
              <w:bCs/>
              <w:highlight w:val="none"/>
              <w:lang w:val="en-US" w:eastAsia="zh-CN"/>
            </w:rPr>
            <w:t>2</w:t>
          </w:r>
        </w:p>
        <w:p w14:paraId="69D55B7E">
          <w:pPr>
            <w:pStyle w:val="59"/>
            <w:tabs>
              <w:tab w:val="right" w:leader="dot" w:pos="9292"/>
            </w:tabs>
            <w:rPr>
              <w:rFonts w:hint="eastAsia" w:eastAsiaTheme="minorEastAsia"/>
              <w:lang w:val="en-US" w:eastAsia="zh-CN"/>
            </w:rPr>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_Toc9651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szCs w:val="24"/>
              <w:highlight w:val="none"/>
              <w:lang w:val="en-US" w:eastAsia="zh-CN"/>
            </w:rPr>
            <w:t>一、投标函部分（包含投标报价</w:t>
          </w:r>
          <w:r>
            <w:rPr>
              <w:rFonts w:hint="eastAsia" w:asciiTheme="minorEastAsia" w:hAnsiTheme="minorEastAsia" w:eastAsiaTheme="minorEastAsia" w:cstheme="minorEastAsia"/>
              <w:bCs w:val="0"/>
              <w:i w:val="0"/>
              <w:iCs w:val="0"/>
              <w:caps w:val="0"/>
              <w:spacing w:val="0"/>
              <w:szCs w:val="24"/>
              <w:highlight w:val="none"/>
              <w:shd w:val="clear" w:fill="FFFFFF"/>
              <w:lang w:eastAsia="zh-CN"/>
            </w:rPr>
            <w:t>及资格证明文件</w:t>
          </w:r>
          <w:r>
            <w:rPr>
              <w:rFonts w:hint="eastAsia" w:asciiTheme="minorEastAsia" w:hAnsiTheme="minorEastAsia" w:eastAsiaTheme="minorEastAsia" w:cstheme="minorEastAsia"/>
              <w:szCs w:val="24"/>
              <w:highlight w:val="none"/>
              <w:lang w:val="en-US" w:eastAsia="zh-CN"/>
            </w:rPr>
            <w:t>）</w:t>
          </w:r>
          <w:r>
            <w:tab/>
          </w:r>
          <w:r>
            <w:rPr>
              <w:rFonts w:hint="eastAsia"/>
              <w:lang w:val="en-US" w:eastAsia="zh-CN"/>
            </w:rPr>
            <w:t>4</w:t>
          </w:r>
          <w:r>
            <w:rPr>
              <w:rFonts w:hint="eastAsia" w:asciiTheme="minorEastAsia" w:hAnsiTheme="minorEastAsia" w:eastAsiaTheme="minorEastAsia" w:cstheme="minorEastAsia"/>
              <w:bCs/>
              <w:highlight w:val="none"/>
              <w:lang w:val="zh-CN"/>
            </w:rPr>
            <w:fldChar w:fldCharType="end"/>
          </w:r>
          <w:r>
            <w:rPr>
              <w:rFonts w:hint="eastAsia" w:asciiTheme="minorEastAsia" w:hAnsiTheme="minorEastAsia" w:eastAsiaTheme="minorEastAsia" w:cstheme="minorEastAsia"/>
              <w:bCs/>
              <w:highlight w:val="none"/>
              <w:lang w:val="en-US" w:eastAsia="zh-CN"/>
            </w:rPr>
            <w:t>4</w:t>
          </w:r>
        </w:p>
        <w:p w14:paraId="39C2642E">
          <w:pPr>
            <w:pStyle w:val="59"/>
            <w:tabs>
              <w:tab w:val="right" w:leader="dot" w:pos="9292"/>
            </w:tabs>
            <w:rPr>
              <w:rFonts w:hint="eastAsia" w:eastAsiaTheme="minorEastAsia"/>
              <w:lang w:val="en-US" w:eastAsia="zh-CN"/>
            </w:rPr>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_Toc10849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szCs w:val="24"/>
              <w:highlight w:val="none"/>
              <w:lang w:val="en-US" w:eastAsia="zh-CN"/>
            </w:rPr>
            <w:t>二、</w:t>
          </w:r>
          <w:r>
            <w:rPr>
              <w:rFonts w:hint="eastAsia" w:asciiTheme="minorEastAsia" w:hAnsiTheme="minorEastAsia" w:eastAsiaTheme="minorEastAsia" w:cstheme="minorEastAsia"/>
              <w:highlight w:val="none"/>
              <w:lang w:eastAsia="zh-CN"/>
            </w:rPr>
            <w:t>商务部分（包含资格审查）资料</w:t>
          </w:r>
          <w:r>
            <w:tab/>
          </w:r>
          <w:r>
            <w:rPr>
              <w:rFonts w:hint="eastAsia"/>
              <w:lang w:val="en-US" w:eastAsia="zh-CN"/>
            </w:rPr>
            <w:t>5</w:t>
          </w:r>
          <w:r>
            <w:rPr>
              <w:rFonts w:hint="eastAsia" w:asciiTheme="minorEastAsia" w:hAnsiTheme="minorEastAsia" w:eastAsiaTheme="minorEastAsia" w:cstheme="minorEastAsia"/>
              <w:bCs/>
              <w:highlight w:val="none"/>
              <w:lang w:val="zh-CN"/>
            </w:rPr>
            <w:fldChar w:fldCharType="end"/>
          </w:r>
          <w:r>
            <w:rPr>
              <w:rFonts w:hint="eastAsia" w:asciiTheme="minorEastAsia" w:hAnsiTheme="minorEastAsia" w:eastAsiaTheme="minorEastAsia" w:cstheme="minorEastAsia"/>
              <w:bCs/>
              <w:highlight w:val="none"/>
              <w:lang w:val="en-US" w:eastAsia="zh-CN"/>
            </w:rPr>
            <w:t>0</w:t>
          </w:r>
        </w:p>
        <w:p w14:paraId="16D1340E">
          <w:pPr>
            <w:pStyle w:val="59"/>
            <w:tabs>
              <w:tab w:val="right" w:leader="dot" w:pos="9292"/>
            </w:tabs>
            <w:rPr>
              <w:rFonts w:hint="eastAsia" w:eastAsiaTheme="minorEastAsia"/>
              <w:lang w:val="en-US" w:eastAsia="zh-CN"/>
            </w:rPr>
          </w:pPr>
          <w:r>
            <w:rPr>
              <w:rFonts w:hint="eastAsia" w:asciiTheme="minorEastAsia" w:hAnsiTheme="minorEastAsia" w:eastAsiaTheme="minorEastAsia" w:cstheme="minorEastAsia"/>
              <w:bCs/>
              <w:highlight w:val="none"/>
              <w:lang w:val="zh-CN"/>
            </w:rPr>
            <w:fldChar w:fldCharType="begin"/>
          </w:r>
          <w:r>
            <w:rPr>
              <w:rFonts w:hint="eastAsia" w:asciiTheme="minorEastAsia" w:hAnsiTheme="minorEastAsia" w:eastAsiaTheme="minorEastAsia" w:cstheme="minorEastAsia"/>
              <w:bCs/>
              <w:highlight w:val="none"/>
              <w:lang w:val="zh-CN"/>
            </w:rPr>
            <w:instrText xml:space="preserve"> HYPERLINK \l _Toc32741 </w:instrText>
          </w:r>
          <w:r>
            <w:rPr>
              <w:rFonts w:hint="eastAsia" w:asciiTheme="minorEastAsia" w:hAnsiTheme="minorEastAsia" w:eastAsiaTheme="minorEastAsia" w:cstheme="minorEastAsia"/>
              <w:bCs/>
              <w:highlight w:val="none"/>
              <w:lang w:val="zh-CN"/>
            </w:rPr>
            <w:fldChar w:fldCharType="separate"/>
          </w:r>
          <w:r>
            <w:rPr>
              <w:rFonts w:hint="eastAsia" w:asciiTheme="minorEastAsia" w:hAnsiTheme="minorEastAsia" w:eastAsiaTheme="minorEastAsia" w:cstheme="minorEastAsia"/>
              <w:szCs w:val="24"/>
              <w:lang w:val="en-US" w:eastAsia="zh-CN"/>
            </w:rPr>
            <w:t>三、</w:t>
          </w:r>
          <w:r>
            <w:rPr>
              <w:rFonts w:hint="eastAsia" w:asciiTheme="minorEastAsia" w:hAnsiTheme="minorEastAsia" w:eastAsiaTheme="minorEastAsia" w:cstheme="minorEastAsia"/>
              <w:lang w:val="en-US" w:eastAsia="zh-CN"/>
            </w:rPr>
            <w:t>技术部分</w:t>
          </w:r>
          <w:r>
            <w:rPr>
              <w:rFonts w:hint="eastAsia" w:asciiTheme="minorEastAsia" w:hAnsiTheme="minorEastAsia" w:eastAsiaTheme="minorEastAsia" w:cstheme="minorEastAsia"/>
              <w:lang w:eastAsia="zh-CN"/>
            </w:rPr>
            <w:t>资料</w:t>
          </w:r>
          <w:r>
            <w:tab/>
          </w:r>
          <w:r>
            <w:rPr>
              <w:rFonts w:hint="eastAsia"/>
              <w:lang w:val="en-US" w:eastAsia="zh-CN"/>
            </w:rPr>
            <w:t>5</w:t>
          </w:r>
          <w:r>
            <w:rPr>
              <w:rFonts w:hint="eastAsia" w:asciiTheme="minorEastAsia" w:hAnsiTheme="minorEastAsia" w:eastAsiaTheme="minorEastAsia" w:cstheme="minorEastAsia"/>
              <w:bCs/>
              <w:highlight w:val="none"/>
              <w:lang w:val="zh-CN"/>
            </w:rPr>
            <w:fldChar w:fldCharType="end"/>
          </w:r>
          <w:r>
            <w:rPr>
              <w:rFonts w:hint="eastAsia" w:asciiTheme="minorEastAsia" w:hAnsiTheme="minorEastAsia" w:eastAsiaTheme="minorEastAsia" w:cstheme="minorEastAsia"/>
              <w:bCs/>
              <w:highlight w:val="none"/>
              <w:lang w:val="en-US" w:eastAsia="zh-CN"/>
            </w:rPr>
            <w:t>3</w:t>
          </w:r>
        </w:p>
        <w:p w14:paraId="4A159EEA">
          <w:pPr>
            <w:pStyle w:val="74"/>
            <w:tabs>
              <w:tab w:val="right" w:leader="dot" w:pos="9292"/>
            </w:tabs>
            <w:ind w:left="0" w:leftChars="0" w:firstLine="0" w:firstLineChars="0"/>
          </w:pPr>
        </w:p>
        <w:p w14:paraId="20382250">
          <w:pPr>
            <w:ind w:firstLine="0" w:firstLineChars="0"/>
            <w:rPr>
              <w:rFonts w:hint="eastAsia" w:asciiTheme="minorEastAsia" w:hAnsiTheme="minorEastAsia" w:eastAsiaTheme="minorEastAsia" w:cstheme="minorEastAsia"/>
              <w:highlight w:val="none"/>
              <w:lang w:eastAsia="zh-CN"/>
            </w:rPr>
            <w:sectPr>
              <w:headerReference r:id="rId9" w:type="default"/>
              <w:footerReference r:id="rId10" w:type="default"/>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highlight w:val="none"/>
              <w:lang w:val="zh-CN"/>
            </w:rPr>
            <w:fldChar w:fldCharType="end"/>
          </w:r>
        </w:p>
      </w:sdtContent>
    </w:sdt>
    <w:p w14:paraId="656988D6">
      <w:pPr>
        <w:pStyle w:val="84"/>
        <w:rPr>
          <w:rFonts w:hint="eastAsia"/>
          <w:b/>
          <w:bCs/>
          <w:sz w:val="32"/>
          <w:szCs w:val="32"/>
          <w:lang w:eastAsia="zh-CN"/>
        </w:rPr>
      </w:pPr>
      <w:bookmarkStart w:id="7" w:name="_Toc31006"/>
      <w:bookmarkStart w:id="8" w:name="_Toc19225"/>
      <w:r>
        <w:rPr>
          <w:rFonts w:hint="eastAsia" w:asciiTheme="minorEastAsia" w:hAnsiTheme="minorEastAsia" w:eastAsiaTheme="minorEastAsia" w:cstheme="minorEastAsia"/>
          <w:highlight w:val="none"/>
          <w:lang w:eastAsia="zh-CN"/>
        </w:rPr>
        <w:t>第一章 招标公告</w:t>
      </w:r>
      <w:bookmarkEnd w:id="3"/>
      <w:bookmarkEnd w:id="4"/>
      <w:bookmarkEnd w:id="7"/>
      <w:bookmarkEnd w:id="8"/>
      <w:bookmarkStart w:id="290" w:name="_GoBack"/>
      <w:bookmarkEnd w:id="290"/>
      <w:bookmarkStart w:id="9" w:name="_Toc18771"/>
      <w:bookmarkStart w:id="10" w:name="bookmark39"/>
    </w:p>
    <w:p w14:paraId="7912CE33">
      <w:pPr>
        <w:bidi w:val="0"/>
        <w:jc w:val="center"/>
        <w:outlineLvl w:val="0"/>
        <w:rPr>
          <w:rFonts w:hint="eastAsia"/>
          <w:b/>
          <w:bCs/>
          <w:sz w:val="32"/>
          <w:szCs w:val="32"/>
          <w:lang w:val="en-US" w:eastAsia="zh-CN"/>
        </w:rPr>
      </w:pPr>
      <w:r>
        <w:rPr>
          <w:rFonts w:hint="eastAsia"/>
          <w:b/>
          <w:bCs/>
          <w:sz w:val="32"/>
          <w:szCs w:val="32"/>
          <w:lang w:val="en-US" w:eastAsia="zh-CN"/>
        </w:rPr>
        <w:t>AI一体化管控平台研究与建设公开招标</w:t>
      </w:r>
    </w:p>
    <w:p w14:paraId="5BFCCBD4">
      <w:pPr>
        <w:bidi w:val="0"/>
        <w:jc w:val="center"/>
        <w:outlineLvl w:val="0"/>
        <w:rPr>
          <w:rFonts w:hint="eastAsia"/>
          <w:b/>
          <w:bCs/>
          <w:sz w:val="32"/>
          <w:szCs w:val="32"/>
          <w:lang w:eastAsia="zh-CN"/>
        </w:rPr>
      </w:pPr>
      <w:r>
        <w:rPr>
          <w:rFonts w:hint="eastAsia"/>
          <w:b/>
          <w:bCs/>
          <w:sz w:val="32"/>
          <w:szCs w:val="32"/>
          <w:lang w:eastAsia="zh-CN"/>
        </w:rPr>
        <w:t>招标公告</w:t>
      </w:r>
      <w:bookmarkEnd w:id="5"/>
      <w:bookmarkEnd w:id="6"/>
      <w:bookmarkEnd w:id="9"/>
      <w:bookmarkEnd w:id="10"/>
    </w:p>
    <w:p w14:paraId="39463877">
      <w:pPr>
        <w:pStyle w:val="4"/>
        <w:widowControl/>
        <w:numPr>
          <w:ilvl w:val="1"/>
          <w:numId w:val="0"/>
        </w:numPr>
        <w:spacing w:before="240" w:after="240" w:line="360" w:lineRule="auto"/>
        <w:jc w:val="both"/>
        <w:outlineLvl w:val="9"/>
        <w:rPr>
          <w:rFonts w:hint="eastAsia" w:asciiTheme="minorEastAsia" w:hAnsiTheme="minorEastAsia" w:eastAsiaTheme="minorEastAsia" w:cstheme="minorEastAsia"/>
          <w:bCs/>
          <w:snapToGrid w:val="0"/>
          <w:kern w:val="2"/>
          <w:sz w:val="32"/>
          <w:szCs w:val="40"/>
          <w:highlight w:val="none"/>
          <w:lang w:eastAsia="zh-CN" w:bidi="ar-SA"/>
        </w:rPr>
      </w:pPr>
      <w:bookmarkStart w:id="11" w:name="bookmark40"/>
      <w:bookmarkEnd w:id="11"/>
      <w:bookmarkStart w:id="12" w:name="_Toc32278"/>
      <w:bookmarkStart w:id="13" w:name="_Toc8432"/>
      <w:r>
        <w:rPr>
          <w:rFonts w:hint="eastAsia" w:asciiTheme="minorEastAsia" w:hAnsiTheme="minorEastAsia" w:eastAsiaTheme="minorEastAsia" w:cstheme="minorEastAsia"/>
          <w:bCs/>
          <w:snapToGrid w:val="0"/>
          <w:kern w:val="2"/>
          <w:sz w:val="32"/>
          <w:szCs w:val="40"/>
          <w:highlight w:val="none"/>
          <w:lang w:val="en-US" w:eastAsia="zh-CN" w:bidi="ar-SA"/>
        </w:rPr>
        <w:t>一、</w:t>
      </w:r>
      <w:r>
        <w:rPr>
          <w:rFonts w:hint="eastAsia" w:asciiTheme="minorEastAsia" w:hAnsiTheme="minorEastAsia" w:eastAsiaTheme="minorEastAsia" w:cstheme="minorEastAsia"/>
          <w:bCs/>
          <w:snapToGrid w:val="0"/>
          <w:kern w:val="2"/>
          <w:sz w:val="32"/>
          <w:szCs w:val="40"/>
          <w:highlight w:val="none"/>
          <w:lang w:eastAsia="zh-CN" w:bidi="ar-SA"/>
        </w:rPr>
        <w:t>招标条件</w:t>
      </w:r>
      <w:bookmarkEnd w:id="12"/>
      <w:bookmarkEnd w:id="13"/>
    </w:p>
    <w:p w14:paraId="55830411">
      <w:pPr>
        <w:pageBreakBefore w:val="0"/>
        <w:kinsoku/>
        <w:overflowPunct/>
        <w:topLinePunct w:val="0"/>
        <w:bidi w:val="0"/>
        <w:spacing w:line="360" w:lineRule="auto"/>
        <w:ind w:firstLine="482"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u w:val="single"/>
          <w:lang w:eastAsia="zh-CN"/>
        </w:rPr>
        <w:t>国义招标股份有限公司</w:t>
      </w:r>
      <w:r>
        <w:rPr>
          <w:rFonts w:hint="eastAsia" w:asciiTheme="minorEastAsia" w:hAnsiTheme="minorEastAsia" w:eastAsiaTheme="minorEastAsia" w:cstheme="minorEastAsia"/>
          <w:sz w:val="24"/>
          <w:szCs w:val="24"/>
          <w:highlight w:val="none"/>
          <w:lang w:eastAsia="zh-CN"/>
        </w:rPr>
        <w:t>（以下简称“招标代理机构”）受</w:t>
      </w:r>
      <w:r>
        <w:rPr>
          <w:rFonts w:hint="eastAsia" w:asciiTheme="minorEastAsia" w:hAnsiTheme="minorEastAsia" w:eastAsiaTheme="minorEastAsia" w:cstheme="minorEastAsia"/>
          <w:b/>
          <w:bCs/>
          <w:sz w:val="24"/>
          <w:szCs w:val="24"/>
          <w:highlight w:val="none"/>
          <w:u w:val="single"/>
          <w:lang w:eastAsia="zh-CN"/>
        </w:rPr>
        <w:t>中煤科工集团重庆研究院有限公司</w:t>
      </w:r>
      <w:r>
        <w:rPr>
          <w:rFonts w:hint="eastAsia" w:asciiTheme="minorEastAsia" w:hAnsiTheme="minorEastAsia" w:eastAsiaTheme="minorEastAsia" w:cstheme="minorEastAsia"/>
          <w:sz w:val="24"/>
          <w:szCs w:val="24"/>
          <w:highlight w:val="none"/>
          <w:lang w:eastAsia="zh-CN"/>
        </w:rPr>
        <w:t>（以下简称“采购人”）委托，</w:t>
      </w:r>
      <w:r>
        <w:rPr>
          <w:rFonts w:hint="eastAsia" w:asciiTheme="minorEastAsia" w:hAnsiTheme="minorEastAsia" w:cstheme="minorEastAsia"/>
          <w:sz w:val="24"/>
          <w:szCs w:val="24"/>
          <w:highlight w:val="none"/>
          <w:lang w:val="en-US" w:eastAsia="zh-CN"/>
        </w:rPr>
        <w:t>对</w:t>
      </w:r>
      <w:r>
        <w:rPr>
          <w:rFonts w:hint="eastAsia" w:asciiTheme="minorEastAsia" w:hAnsiTheme="minorEastAsia" w:eastAsiaTheme="minorEastAsia" w:cstheme="minorEastAsia"/>
          <w:sz w:val="24"/>
          <w:szCs w:val="24"/>
          <w:highlight w:val="none"/>
          <w:lang w:val="en-US" w:eastAsia="zh-CN"/>
        </w:rPr>
        <w:t>AI一体化管控平台研究与建设进</w:t>
      </w:r>
      <w:r>
        <w:rPr>
          <w:rFonts w:hint="eastAsia" w:asciiTheme="minorEastAsia" w:hAnsiTheme="minorEastAsia" w:eastAsiaTheme="minorEastAsia" w:cstheme="minorEastAsia"/>
          <w:sz w:val="24"/>
          <w:szCs w:val="24"/>
          <w:highlight w:val="none"/>
          <w:lang w:eastAsia="zh-CN"/>
        </w:rPr>
        <w:t>行国内公开招标，欢迎有意向的投标人参与竞标，现将有关事项公告如下：</w:t>
      </w:r>
    </w:p>
    <w:p w14:paraId="13069E45">
      <w:pPr>
        <w:pStyle w:val="4"/>
        <w:widowControl/>
        <w:numPr>
          <w:ilvl w:val="1"/>
          <w:numId w:val="0"/>
        </w:numPr>
        <w:spacing w:before="240" w:after="240" w:line="360" w:lineRule="auto"/>
        <w:jc w:val="both"/>
        <w:outlineLvl w:val="9"/>
        <w:rPr>
          <w:rFonts w:hint="eastAsia" w:asciiTheme="minorEastAsia" w:hAnsiTheme="minorEastAsia" w:eastAsiaTheme="minorEastAsia" w:cstheme="minorEastAsia"/>
          <w:b w:val="0"/>
          <w:color w:val="auto"/>
          <w:kern w:val="2"/>
          <w:sz w:val="24"/>
          <w:szCs w:val="24"/>
          <w:highlight w:val="none"/>
          <w:lang w:val="en-US" w:eastAsia="zh-CN" w:bidi="ar-SA"/>
        </w:rPr>
      </w:pPr>
      <w:bookmarkStart w:id="14" w:name="bookmark41"/>
      <w:bookmarkEnd w:id="14"/>
      <w:bookmarkStart w:id="15" w:name="_Toc26178"/>
      <w:bookmarkStart w:id="16" w:name="_Toc28873"/>
      <w:r>
        <w:rPr>
          <w:rFonts w:hint="eastAsia" w:asciiTheme="minorEastAsia" w:hAnsiTheme="minorEastAsia" w:eastAsiaTheme="minorEastAsia" w:cstheme="minorEastAsia"/>
          <w:bCs/>
          <w:snapToGrid w:val="0"/>
          <w:kern w:val="2"/>
          <w:sz w:val="32"/>
          <w:szCs w:val="40"/>
          <w:highlight w:val="none"/>
          <w:lang w:val="en-US" w:eastAsia="zh-CN" w:bidi="ar-SA"/>
        </w:rPr>
        <w:t>二、</w:t>
      </w:r>
      <w:r>
        <w:rPr>
          <w:rFonts w:hint="eastAsia" w:asciiTheme="minorEastAsia" w:hAnsiTheme="minorEastAsia" w:eastAsiaTheme="minorEastAsia" w:cstheme="minorEastAsia"/>
          <w:b/>
          <w:bCs/>
          <w:snapToGrid w:val="0"/>
          <w:kern w:val="2"/>
          <w:sz w:val="30"/>
          <w:szCs w:val="30"/>
          <w:highlight w:val="none"/>
          <w:lang w:eastAsia="zh-CN" w:bidi="ar-SA"/>
        </w:rPr>
        <w:t>项目概况</w:t>
      </w:r>
      <w:r>
        <w:rPr>
          <w:rFonts w:hint="eastAsia" w:asciiTheme="minorEastAsia" w:hAnsiTheme="minorEastAsia" w:eastAsiaTheme="minorEastAsia" w:cstheme="minorEastAsia"/>
          <w:b/>
          <w:bCs/>
          <w:color w:val="auto"/>
          <w:kern w:val="2"/>
          <w:sz w:val="30"/>
          <w:szCs w:val="30"/>
          <w:highlight w:val="none"/>
          <w:lang w:val="en-US" w:eastAsia="zh-CN" w:bidi="ar-SA"/>
        </w:rPr>
        <w:t>与招标范围</w:t>
      </w:r>
      <w:bookmarkEnd w:id="15"/>
      <w:bookmarkEnd w:id="16"/>
    </w:p>
    <w:p w14:paraId="04048B9B">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2.1项目名称：AI一体化管控平台研究与建设公开招标。</w:t>
      </w:r>
    </w:p>
    <w:p w14:paraId="7AB4726E">
      <w:pPr>
        <w:pageBreakBefore w:val="0"/>
        <w:kinsoku/>
        <w:overflowPunct/>
        <w:topLinePunct w:val="0"/>
        <w:bidi w:val="0"/>
        <w:spacing w:line="360" w:lineRule="auto"/>
        <w:ind w:firstLine="480" w:firstLineChars="200"/>
        <w:textAlignment w:val="auto"/>
        <w:rPr>
          <w:rFonts w:hint="default"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2.2招标内容：详见第五章《招标清单》。</w:t>
      </w:r>
    </w:p>
    <w:p w14:paraId="136040DB">
      <w:pPr>
        <w:pageBreakBefore w:val="0"/>
        <w:numPr>
          <w:ilvl w:val="0"/>
          <w:numId w:val="0"/>
        </w:numPr>
        <w:kinsoku/>
        <w:overflowPunct/>
        <w:topLinePunct w:val="0"/>
        <w:bidi w:val="0"/>
        <w:spacing w:line="360" w:lineRule="auto"/>
        <w:ind w:leftChars="200"/>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2.3标的物产品参数要求：详见第五章《技术规格及要求》。</w:t>
      </w:r>
    </w:p>
    <w:p w14:paraId="1AB3FE35">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2.4服务期：</w:t>
      </w:r>
      <w:r>
        <w:rPr>
          <w:rFonts w:hint="eastAsia" w:asciiTheme="minorEastAsia" w:hAnsiTheme="minorEastAsia" w:cstheme="minorEastAsia"/>
          <w:b w:val="0"/>
          <w:color w:val="auto"/>
          <w:kern w:val="2"/>
          <w:sz w:val="24"/>
          <w:szCs w:val="24"/>
          <w:highlight w:val="none"/>
          <w:lang w:val="en-US" w:eastAsia="zh-CN" w:bidi="ar-SA"/>
        </w:rPr>
        <w:t>2</w:t>
      </w:r>
      <w:r>
        <w:rPr>
          <w:rFonts w:hint="eastAsia" w:asciiTheme="minorEastAsia" w:hAnsiTheme="minorEastAsia" w:eastAsiaTheme="minorEastAsia" w:cstheme="minorEastAsia"/>
          <w:b w:val="0"/>
          <w:color w:val="auto"/>
          <w:kern w:val="2"/>
          <w:sz w:val="24"/>
          <w:szCs w:val="24"/>
          <w:highlight w:val="none"/>
          <w:lang w:val="en-US" w:eastAsia="zh-CN" w:bidi="ar-SA"/>
        </w:rPr>
        <w:t>年；</w:t>
      </w:r>
    </w:p>
    <w:p w14:paraId="672610DE">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eastAsia="zh-CN"/>
        </w:rPr>
        <w:t>交货地点：</w:t>
      </w:r>
      <w:r>
        <w:rPr>
          <w:rFonts w:hint="eastAsia" w:asciiTheme="minorEastAsia" w:hAnsiTheme="minorEastAsia" w:eastAsiaTheme="minorEastAsia" w:cstheme="minorEastAsia"/>
          <w:color w:val="auto"/>
          <w:sz w:val="24"/>
          <w:szCs w:val="24"/>
          <w:highlight w:val="none"/>
          <w:lang w:val="en-US" w:eastAsia="zh-CN"/>
        </w:rPr>
        <w:t>采购人指定地点（中国境内）</w:t>
      </w:r>
      <w:r>
        <w:rPr>
          <w:rFonts w:hint="eastAsia" w:asciiTheme="minorEastAsia" w:hAnsiTheme="minorEastAsia" w:eastAsiaTheme="minorEastAsia" w:cstheme="minorEastAsia"/>
          <w:color w:val="auto"/>
          <w:sz w:val="24"/>
          <w:szCs w:val="24"/>
          <w:highlight w:val="none"/>
          <w:lang w:eastAsia="zh-CN"/>
        </w:rPr>
        <w:t>；</w:t>
      </w:r>
    </w:p>
    <w:p w14:paraId="5A42842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质量要求：</w:t>
      </w:r>
      <w:r>
        <w:rPr>
          <w:rFonts w:hint="eastAsia" w:asciiTheme="minorEastAsia" w:hAnsiTheme="minorEastAsia" w:eastAsiaTheme="minorEastAsia" w:cstheme="minorEastAsia"/>
          <w:color w:val="auto"/>
          <w:sz w:val="24"/>
          <w:szCs w:val="24"/>
          <w:highlight w:val="none"/>
          <w:lang w:eastAsia="zh-CN"/>
        </w:rPr>
        <w:t>符合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baidu.com/link?url=jqXVVROzmG2NtLEGBjMVCaG2M-aiTWox1-oQImQ-3prrrkQx2bXd-3zQ3Q0IGFTTPe2iBkA94LXPYt1H3E2aHGT9_BcvGpRTajTaOOUhkwdb4-jlPPQqNF3K4FClpQ8drqEVA4Kk0yeONOWpomT9g4tHh6p1NyHyE0jhgvyfAuRDg907jfoNXGA2H7ebFBJ0YiEgU2L1sXvrOF0PJYk7VAf_UkCFUhYorWS2oAVuC0qUVXPtskq_bTMJlSgjdXMc" \t "_blank"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中华人民共和国产品质量法</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要求</w:t>
      </w:r>
      <w:r>
        <w:rPr>
          <w:rFonts w:hint="eastAsia" w:asciiTheme="minorEastAsia" w:hAnsiTheme="minorEastAsia" w:eastAsiaTheme="minorEastAsia" w:cstheme="minorEastAsia"/>
          <w:color w:val="auto"/>
          <w:sz w:val="24"/>
          <w:szCs w:val="24"/>
          <w:highlight w:val="none"/>
        </w:rPr>
        <w:t>，达到国家和行业技术标准；</w:t>
      </w:r>
    </w:p>
    <w:p w14:paraId="70E0603C">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7中标单位：1家。</w:t>
      </w:r>
    </w:p>
    <w:p w14:paraId="7865BC0D">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2.8后期采购方式：招标完成后，根据最终招标结果，向中标单位发布中标通知书，并与中标单位签订合同，严格按照本次招标清单内的最终成交价执行。</w:t>
      </w:r>
    </w:p>
    <w:p w14:paraId="6FCF7765">
      <w:pPr>
        <w:pStyle w:val="4"/>
        <w:widowControl/>
        <w:numPr>
          <w:ilvl w:val="1"/>
          <w:numId w:val="0"/>
        </w:numPr>
        <w:spacing w:before="240" w:after="240" w:line="360" w:lineRule="auto"/>
        <w:jc w:val="both"/>
        <w:outlineLvl w:val="9"/>
        <w:rPr>
          <w:rFonts w:hint="eastAsia" w:asciiTheme="minorEastAsia" w:hAnsiTheme="minorEastAsia" w:eastAsiaTheme="minorEastAsia" w:cstheme="minorEastAsia"/>
          <w:bCs/>
          <w:snapToGrid w:val="0"/>
          <w:kern w:val="2"/>
          <w:sz w:val="32"/>
          <w:szCs w:val="40"/>
          <w:highlight w:val="none"/>
          <w:lang w:eastAsia="zh-CN" w:bidi="ar-SA"/>
        </w:rPr>
      </w:pPr>
      <w:bookmarkStart w:id="17" w:name="bookmark42"/>
      <w:bookmarkEnd w:id="17"/>
      <w:bookmarkStart w:id="18" w:name="_Toc2644"/>
      <w:bookmarkStart w:id="19" w:name="_Toc5048"/>
      <w:r>
        <w:rPr>
          <w:rFonts w:hint="eastAsia" w:asciiTheme="minorEastAsia" w:hAnsiTheme="minorEastAsia" w:eastAsiaTheme="minorEastAsia" w:cstheme="minorEastAsia"/>
          <w:bCs/>
          <w:snapToGrid w:val="0"/>
          <w:kern w:val="2"/>
          <w:sz w:val="32"/>
          <w:szCs w:val="40"/>
          <w:highlight w:val="none"/>
          <w:lang w:val="en-US" w:eastAsia="zh-CN" w:bidi="ar-SA"/>
        </w:rPr>
        <w:t>三、</w:t>
      </w:r>
      <w:r>
        <w:rPr>
          <w:rFonts w:hint="eastAsia" w:asciiTheme="minorEastAsia" w:hAnsiTheme="minorEastAsia" w:eastAsiaTheme="minorEastAsia" w:cstheme="minorEastAsia"/>
          <w:bCs/>
          <w:snapToGrid w:val="0"/>
          <w:kern w:val="2"/>
          <w:sz w:val="32"/>
          <w:szCs w:val="40"/>
          <w:highlight w:val="none"/>
          <w:lang w:eastAsia="zh-CN" w:bidi="ar-SA"/>
        </w:rPr>
        <w:t>投标人资格要求</w:t>
      </w:r>
      <w:bookmarkEnd w:id="18"/>
      <w:bookmarkEnd w:id="19"/>
    </w:p>
    <w:p w14:paraId="5C34C878">
      <w:pPr>
        <w:spacing w:line="360" w:lineRule="auto"/>
        <w:rPr>
          <w:rFonts w:hint="eastAsia" w:asciiTheme="minorEastAsia" w:hAnsiTheme="minorEastAsia" w:eastAsiaTheme="minorEastAsia" w:cstheme="minorEastAsia"/>
          <w:sz w:val="24"/>
          <w:szCs w:val="24"/>
          <w:highlight w:val="none"/>
        </w:rPr>
      </w:pPr>
      <w:bookmarkStart w:id="20" w:name="bookmark43"/>
      <w:bookmarkEnd w:id="20"/>
      <w:bookmarkStart w:id="21" w:name="_Toc8084"/>
      <w:r>
        <w:rPr>
          <w:rFonts w:hint="eastAsia" w:asciiTheme="minorEastAsia" w:hAnsiTheme="minorEastAsia" w:eastAsiaTheme="minorEastAsia" w:cstheme="minorEastAsia"/>
          <w:sz w:val="24"/>
          <w:szCs w:val="24"/>
          <w:highlight w:val="none"/>
        </w:rPr>
        <w:t>本次招标采用资格后审方式，投标人须具备以下资格条件：</w:t>
      </w:r>
    </w:p>
    <w:p w14:paraId="59A52CD9">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投标人必须</w:t>
      </w:r>
      <w:r>
        <w:rPr>
          <w:rFonts w:hint="eastAsia" w:asciiTheme="minorEastAsia" w:hAnsiTheme="minorEastAsia" w:eastAsiaTheme="minorEastAsia" w:cstheme="minorEastAsia"/>
          <w:sz w:val="24"/>
          <w:szCs w:val="24"/>
          <w:highlight w:val="none"/>
          <w:lang w:eastAsia="zh-CN"/>
        </w:rPr>
        <w:t>是在</w:t>
      </w:r>
      <w:r>
        <w:rPr>
          <w:rFonts w:hint="eastAsia" w:asciiTheme="minorEastAsia" w:hAnsiTheme="minorEastAsia" w:eastAsiaTheme="minorEastAsia" w:cstheme="minorEastAsia"/>
          <w:sz w:val="24"/>
          <w:szCs w:val="24"/>
          <w:highlight w:val="none"/>
        </w:rPr>
        <w:t>中华人民共和国境内注册的具有独立法人资格的企业，本次招标内容必须在其经营范围内并具备国家、行业要求的</w:t>
      </w:r>
      <w:r>
        <w:rPr>
          <w:rFonts w:hint="eastAsia" w:asciiTheme="minorEastAsia" w:hAnsiTheme="minorEastAsia" w:eastAsiaTheme="minorEastAsia" w:cstheme="minorEastAsia"/>
          <w:sz w:val="24"/>
          <w:szCs w:val="24"/>
          <w:highlight w:val="none"/>
          <w:lang w:val="en-US" w:eastAsia="zh-CN"/>
        </w:rPr>
        <w:t>相关</w:t>
      </w:r>
      <w:r>
        <w:rPr>
          <w:rFonts w:hint="eastAsia" w:asciiTheme="minorEastAsia" w:hAnsiTheme="minorEastAsia" w:eastAsiaTheme="minorEastAsia" w:cstheme="minorEastAsia"/>
          <w:sz w:val="24"/>
          <w:szCs w:val="24"/>
          <w:highlight w:val="none"/>
        </w:rPr>
        <w:t>资质，且企业实力与标的额相匹配；</w:t>
      </w:r>
    </w:p>
    <w:p w14:paraId="21E13CC4">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具有良好的商业信誉,被列入失信企业“黑名单”或者发生过严重违约行为的企业不得参与本次投标；</w:t>
      </w:r>
    </w:p>
    <w:p w14:paraId="1C02F63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投标人的主要股东、公司经理层及以上的管理人员为同一人或者存在控股、管理关系的不同单位不得参与本次投标，若已中标的取消中标资格；</w:t>
      </w:r>
    </w:p>
    <w:p w14:paraId="016474F8">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lang w:eastAsia="zh-CN"/>
        </w:rPr>
      </w:pPr>
      <w:r>
        <w:rPr>
          <w:rFonts w:hint="eastAsia" w:asciiTheme="minorEastAsia" w:hAnsiTheme="minorEastAsia" w:eastAsiaTheme="minorEastAsia" w:cstheme="minorEastAsia"/>
          <w:sz w:val="24"/>
          <w:szCs w:val="24"/>
          <w:highlight w:val="none"/>
          <w:lang w:val="en-US" w:eastAsia="zh-CN"/>
        </w:rPr>
        <w:t>近三年内在经营活动中没有重大违法记录及发生重大质量问题；</w:t>
      </w:r>
    </w:p>
    <w:p w14:paraId="20F3602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完成</w:t>
      </w:r>
      <w:r>
        <w:rPr>
          <w:rFonts w:hint="eastAsia" w:asciiTheme="minorEastAsia" w:hAnsiTheme="minorEastAsia" w:eastAsiaTheme="minorEastAsia" w:cstheme="minorEastAsia"/>
          <w:color w:val="auto"/>
          <w:kern w:val="0"/>
          <w:highlight w:val="none"/>
        </w:rPr>
        <w:t>中国煤炭科工集团</w:t>
      </w:r>
      <w:r>
        <w:rPr>
          <w:rFonts w:hint="eastAsia" w:asciiTheme="minorEastAsia" w:hAnsiTheme="minorEastAsia" w:eastAsiaTheme="minorEastAsia" w:cstheme="minorEastAsia"/>
          <w:color w:val="000000"/>
          <w:sz w:val="24"/>
          <w:szCs w:val="28"/>
          <w:highlight w:val="none"/>
        </w:rPr>
        <w:t>重庆研究院有限公司供应商门户网（https://cqsrm.ccteg.cn:8443/）</w:t>
      </w:r>
      <w:r>
        <w:rPr>
          <w:rFonts w:hint="eastAsia" w:asciiTheme="minorEastAsia" w:hAnsiTheme="minorEastAsia" w:eastAsiaTheme="minorEastAsia" w:cstheme="minorEastAsia"/>
          <w:sz w:val="24"/>
          <w:szCs w:val="24"/>
          <w:highlight w:val="none"/>
          <w:lang w:val="en-US" w:eastAsia="zh-CN"/>
        </w:rPr>
        <w:t>供应商注册及报名登记。</w:t>
      </w:r>
    </w:p>
    <w:p w14:paraId="18835D8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本项目不接受联合体投标。</w:t>
      </w:r>
    </w:p>
    <w:p w14:paraId="371F3ED1">
      <w:pPr>
        <w:pStyle w:val="4"/>
        <w:widowControl/>
        <w:numPr>
          <w:ilvl w:val="1"/>
          <w:numId w:val="0"/>
        </w:numPr>
        <w:spacing w:before="240" w:after="240" w:line="360" w:lineRule="auto"/>
        <w:jc w:val="both"/>
        <w:outlineLvl w:val="9"/>
        <w:rPr>
          <w:rFonts w:hint="eastAsia" w:asciiTheme="minorEastAsia" w:hAnsiTheme="minorEastAsia" w:eastAsiaTheme="minorEastAsia" w:cstheme="minorEastAsia"/>
          <w:bCs/>
          <w:snapToGrid w:val="0"/>
          <w:kern w:val="2"/>
          <w:sz w:val="32"/>
          <w:szCs w:val="40"/>
          <w:highlight w:val="none"/>
          <w:lang w:eastAsia="zh-CN" w:bidi="ar-SA"/>
        </w:rPr>
      </w:pPr>
      <w:bookmarkStart w:id="22" w:name="_Toc27356"/>
      <w:r>
        <w:rPr>
          <w:rFonts w:hint="eastAsia" w:asciiTheme="minorEastAsia" w:hAnsiTheme="minorEastAsia" w:eastAsiaTheme="minorEastAsia" w:cstheme="minorEastAsia"/>
          <w:bCs/>
          <w:snapToGrid w:val="0"/>
          <w:kern w:val="2"/>
          <w:sz w:val="32"/>
          <w:szCs w:val="40"/>
          <w:highlight w:val="none"/>
          <w:lang w:val="en-US" w:eastAsia="zh-CN" w:bidi="ar-SA"/>
        </w:rPr>
        <w:t>四、</w:t>
      </w:r>
      <w:r>
        <w:rPr>
          <w:rFonts w:hint="eastAsia" w:asciiTheme="minorEastAsia" w:hAnsiTheme="minorEastAsia" w:eastAsiaTheme="minorEastAsia" w:cstheme="minorEastAsia"/>
          <w:bCs/>
          <w:snapToGrid w:val="0"/>
          <w:kern w:val="2"/>
          <w:sz w:val="32"/>
          <w:szCs w:val="40"/>
          <w:highlight w:val="none"/>
          <w:lang w:eastAsia="zh-CN" w:bidi="ar-SA"/>
        </w:rPr>
        <w:t>招标文件的获取</w:t>
      </w:r>
      <w:bookmarkEnd w:id="21"/>
      <w:bookmarkEnd w:id="22"/>
    </w:p>
    <w:p w14:paraId="534BF8EE">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8"/>
          <w:highlight w:val="none"/>
          <w:lang w:val="en-US" w:eastAsia="zh-CN"/>
        </w:rPr>
      </w:pPr>
      <w:bookmarkStart w:id="23" w:name="bookmark44"/>
      <w:bookmarkEnd w:id="23"/>
      <w:bookmarkStart w:id="24" w:name="_Toc11448"/>
      <w:r>
        <w:rPr>
          <w:rFonts w:hint="eastAsia" w:asciiTheme="minorEastAsia" w:hAnsiTheme="minorEastAsia" w:eastAsiaTheme="minorEastAsia" w:cstheme="minorEastAsia"/>
          <w:color w:val="auto"/>
          <w:sz w:val="24"/>
          <w:szCs w:val="28"/>
          <w:highlight w:val="none"/>
          <w:lang w:val="en-US" w:eastAsia="zh-CN"/>
        </w:rPr>
        <w:t>4</w:t>
      </w:r>
      <w:r>
        <w:rPr>
          <w:rFonts w:hint="eastAsia" w:asciiTheme="minorEastAsia" w:hAnsiTheme="minorEastAsia" w:eastAsiaTheme="minorEastAsia" w:cstheme="minorEastAsia"/>
          <w:color w:val="auto"/>
          <w:sz w:val="24"/>
          <w:szCs w:val="28"/>
          <w:highlight w:val="none"/>
        </w:rPr>
        <w:t>.1报名和文件发售期：</w:t>
      </w:r>
      <w:r>
        <w:rPr>
          <w:rFonts w:hint="eastAsia" w:asciiTheme="minorEastAsia" w:hAnsiTheme="minorEastAsia" w:eastAsiaTheme="minorEastAsia" w:cstheme="minorEastAsia"/>
          <w:b/>
          <w:bCs/>
          <w:color w:val="auto"/>
          <w:sz w:val="24"/>
          <w:szCs w:val="28"/>
          <w:highlight w:val="none"/>
          <w:u w:val="single"/>
        </w:rPr>
        <w:t>202</w:t>
      </w:r>
      <w:r>
        <w:rPr>
          <w:rFonts w:hint="eastAsia" w:asciiTheme="minorEastAsia" w:hAnsiTheme="minorEastAsia" w:eastAsiaTheme="minorEastAsia" w:cstheme="minorEastAsia"/>
          <w:b/>
          <w:bCs/>
          <w:color w:val="auto"/>
          <w:sz w:val="24"/>
          <w:szCs w:val="28"/>
          <w:highlight w:val="none"/>
          <w:u w:val="single"/>
          <w:lang w:val="en-US" w:eastAsia="zh-CN"/>
        </w:rPr>
        <w:t>6</w:t>
      </w:r>
      <w:r>
        <w:rPr>
          <w:rFonts w:hint="eastAsia" w:asciiTheme="minorEastAsia" w:hAnsiTheme="minorEastAsia" w:eastAsiaTheme="minorEastAsia" w:cstheme="minorEastAsia"/>
          <w:b/>
          <w:bCs/>
          <w:color w:val="auto"/>
          <w:sz w:val="24"/>
          <w:szCs w:val="28"/>
          <w:highlight w:val="none"/>
          <w:u w:val="single"/>
        </w:rPr>
        <w:t>年</w:t>
      </w:r>
      <w:r>
        <w:rPr>
          <w:rFonts w:hint="eastAsia" w:asciiTheme="minorEastAsia" w:hAnsiTheme="minorEastAsia" w:eastAsiaTheme="minorEastAsia" w:cstheme="minorEastAsia"/>
          <w:b/>
          <w:bCs/>
          <w:color w:val="auto"/>
          <w:sz w:val="24"/>
          <w:szCs w:val="28"/>
          <w:highlight w:val="none"/>
          <w:u w:val="single"/>
          <w:lang w:val="en-US" w:eastAsia="zh-CN"/>
        </w:rPr>
        <w:t>7</w:t>
      </w:r>
      <w:r>
        <w:rPr>
          <w:rFonts w:hint="eastAsia" w:asciiTheme="minorEastAsia" w:hAnsiTheme="minorEastAsia" w:eastAsiaTheme="minorEastAsia" w:cstheme="minorEastAsia"/>
          <w:b/>
          <w:bCs/>
          <w:color w:val="auto"/>
          <w:sz w:val="24"/>
          <w:szCs w:val="28"/>
          <w:highlight w:val="none"/>
          <w:u w:val="single"/>
        </w:rPr>
        <w:t>月</w:t>
      </w:r>
      <w:r>
        <w:rPr>
          <w:rFonts w:hint="eastAsia" w:asciiTheme="minorEastAsia" w:hAnsiTheme="minorEastAsia" w:eastAsiaTheme="minorEastAsia" w:cstheme="minorEastAsia"/>
          <w:b/>
          <w:bCs/>
          <w:color w:val="auto"/>
          <w:sz w:val="24"/>
          <w:szCs w:val="28"/>
          <w:highlight w:val="none"/>
          <w:u w:val="single"/>
          <w:lang w:val="en-US" w:eastAsia="zh-CN"/>
        </w:rPr>
        <w:t>20</w:t>
      </w:r>
      <w:r>
        <w:rPr>
          <w:rFonts w:hint="eastAsia" w:asciiTheme="minorEastAsia" w:hAnsiTheme="minorEastAsia" w:eastAsiaTheme="minorEastAsia" w:cstheme="minorEastAsia"/>
          <w:b/>
          <w:bCs/>
          <w:color w:val="auto"/>
          <w:sz w:val="24"/>
          <w:szCs w:val="28"/>
          <w:highlight w:val="none"/>
          <w:u w:val="single"/>
        </w:rPr>
        <w:t>日至202</w:t>
      </w:r>
      <w:r>
        <w:rPr>
          <w:rFonts w:hint="eastAsia" w:asciiTheme="minorEastAsia" w:hAnsiTheme="minorEastAsia" w:eastAsiaTheme="minorEastAsia" w:cstheme="minorEastAsia"/>
          <w:b/>
          <w:bCs/>
          <w:color w:val="auto"/>
          <w:sz w:val="24"/>
          <w:szCs w:val="28"/>
          <w:highlight w:val="none"/>
          <w:u w:val="single"/>
          <w:lang w:val="en-US" w:eastAsia="zh-CN"/>
        </w:rPr>
        <w:t>6</w:t>
      </w:r>
      <w:r>
        <w:rPr>
          <w:rFonts w:hint="eastAsia" w:asciiTheme="minorEastAsia" w:hAnsiTheme="minorEastAsia" w:eastAsiaTheme="minorEastAsia" w:cstheme="minorEastAsia"/>
          <w:b/>
          <w:bCs/>
          <w:color w:val="auto"/>
          <w:sz w:val="24"/>
          <w:szCs w:val="28"/>
          <w:highlight w:val="none"/>
          <w:u w:val="single"/>
        </w:rPr>
        <w:t>年</w:t>
      </w:r>
      <w:r>
        <w:rPr>
          <w:rFonts w:hint="eastAsia" w:asciiTheme="minorEastAsia" w:hAnsiTheme="minorEastAsia" w:eastAsiaTheme="minorEastAsia" w:cstheme="minorEastAsia"/>
          <w:b/>
          <w:bCs/>
          <w:color w:val="auto"/>
          <w:sz w:val="24"/>
          <w:szCs w:val="28"/>
          <w:highlight w:val="none"/>
          <w:u w:val="single"/>
          <w:lang w:val="en-US" w:eastAsia="zh-CN"/>
        </w:rPr>
        <w:t>7</w:t>
      </w:r>
      <w:r>
        <w:rPr>
          <w:rFonts w:hint="eastAsia" w:asciiTheme="minorEastAsia" w:hAnsiTheme="minorEastAsia" w:eastAsiaTheme="minorEastAsia" w:cstheme="minorEastAsia"/>
          <w:b/>
          <w:bCs/>
          <w:color w:val="auto"/>
          <w:sz w:val="24"/>
          <w:szCs w:val="28"/>
          <w:highlight w:val="none"/>
          <w:u w:val="single"/>
        </w:rPr>
        <w:t>月</w:t>
      </w:r>
      <w:r>
        <w:rPr>
          <w:rFonts w:hint="eastAsia" w:asciiTheme="minorEastAsia" w:hAnsiTheme="minorEastAsia" w:eastAsiaTheme="minorEastAsia" w:cstheme="minorEastAsia"/>
          <w:b/>
          <w:bCs/>
          <w:color w:val="auto"/>
          <w:sz w:val="24"/>
          <w:szCs w:val="28"/>
          <w:highlight w:val="none"/>
          <w:u w:val="single"/>
          <w:lang w:val="en-US" w:eastAsia="zh-CN"/>
        </w:rPr>
        <w:t>24</w:t>
      </w:r>
      <w:r>
        <w:rPr>
          <w:rFonts w:hint="eastAsia" w:asciiTheme="minorEastAsia" w:hAnsiTheme="minorEastAsia" w:eastAsiaTheme="minorEastAsia" w:cstheme="minorEastAsia"/>
          <w:b/>
          <w:bCs/>
          <w:color w:val="auto"/>
          <w:sz w:val="24"/>
          <w:szCs w:val="28"/>
          <w:highlight w:val="none"/>
          <w:u w:val="single"/>
        </w:rPr>
        <w:t>日09:00-17:30</w:t>
      </w:r>
      <w:r>
        <w:rPr>
          <w:rFonts w:hint="eastAsia" w:asciiTheme="minorEastAsia" w:hAnsiTheme="minorEastAsia" w:eastAsiaTheme="minorEastAsia" w:cstheme="minorEastAsia"/>
          <w:b/>
          <w:bCs/>
          <w:color w:val="auto"/>
          <w:sz w:val="24"/>
          <w:szCs w:val="28"/>
          <w:highlight w:val="none"/>
          <w:u w:val="single"/>
          <w:lang w:eastAsia="zh-CN"/>
        </w:rPr>
        <w:t>。</w:t>
      </w:r>
    </w:p>
    <w:p w14:paraId="3815F866">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.2招标文件售价：人民币</w:t>
      </w:r>
      <w:r>
        <w:rPr>
          <w:rFonts w:hint="eastAsia" w:asciiTheme="minorEastAsia" w:hAnsiTheme="minorEastAsia" w:eastAsiaTheme="minorEastAsia" w:cstheme="minorEastAsia"/>
          <w:color w:val="auto"/>
          <w:sz w:val="24"/>
          <w:szCs w:val="24"/>
          <w:highlight w:val="none"/>
          <w:lang w:val="en-US" w:eastAsia="zh-CN"/>
        </w:rPr>
        <w:t>300</w:t>
      </w:r>
      <w:r>
        <w:rPr>
          <w:rFonts w:hint="eastAsia" w:asciiTheme="minorEastAsia" w:hAnsiTheme="minorEastAsia" w:eastAsiaTheme="minorEastAsia" w:cstheme="minorEastAsia"/>
          <w:color w:val="auto"/>
          <w:sz w:val="24"/>
          <w:szCs w:val="24"/>
          <w:highlight w:val="none"/>
        </w:rPr>
        <w:t>.00元/份（售后不退）。</w:t>
      </w:r>
    </w:p>
    <w:p w14:paraId="3A336B56">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.3招标文件获取方式：</w:t>
      </w:r>
    </w:p>
    <w:p w14:paraId="54EB8F1E">
      <w:pPr>
        <w:pageBreakBefore w:val="0"/>
        <w:wordWrap/>
        <w:topLinePunct w:val="0"/>
        <w:bidi w:val="0"/>
        <w:spacing w:line="360" w:lineRule="auto"/>
        <w:ind w:firstLine="480" w:firstLineChars="200"/>
        <w:jc w:val="both"/>
        <w:textAlignment w:val="auto"/>
        <w:rPr>
          <w:rFonts w:hint="eastAsia" w:asciiTheme="minorEastAsia" w:hAnsiTheme="minorEastAsia" w:eastAsiaTheme="minorEastAsia" w:cstheme="minorEastAsia"/>
          <w:sz w:val="24"/>
          <w:szCs w:val="28"/>
          <w:highlight w:val="none"/>
        </w:rPr>
      </w:pPr>
      <w:bookmarkStart w:id="25" w:name="_Hlk57108489"/>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000000"/>
          <w:sz w:val="24"/>
          <w:szCs w:val="28"/>
          <w:highlight w:val="none"/>
        </w:rPr>
        <w:t>有意参与本项目投标的潜在投标人请在参与本项目投标报名前在</w:t>
      </w:r>
      <w:r>
        <w:rPr>
          <w:rFonts w:hint="eastAsia" w:asciiTheme="minorEastAsia" w:hAnsiTheme="minorEastAsia" w:eastAsiaTheme="minorEastAsia" w:cstheme="minorEastAsia"/>
          <w:color w:val="auto"/>
          <w:kern w:val="0"/>
          <w:highlight w:val="none"/>
        </w:rPr>
        <w:t>中国煤炭科工集团</w:t>
      </w:r>
      <w:r>
        <w:rPr>
          <w:rFonts w:hint="eastAsia" w:asciiTheme="minorEastAsia" w:hAnsiTheme="minorEastAsia" w:eastAsiaTheme="minorEastAsia" w:cstheme="minorEastAsia"/>
          <w:color w:val="000000"/>
          <w:sz w:val="24"/>
          <w:szCs w:val="28"/>
          <w:highlight w:val="none"/>
        </w:rPr>
        <w:t>重庆研究院有限公司供应商门户网（https://cqsrm.ccteg.cn:8443/）完成供应商注册</w:t>
      </w:r>
      <w:r>
        <w:rPr>
          <w:rFonts w:hint="eastAsia" w:asciiTheme="minorEastAsia" w:hAnsiTheme="minorEastAsia" w:eastAsiaTheme="minorEastAsia" w:cstheme="minorEastAsia"/>
          <w:sz w:val="24"/>
          <w:szCs w:val="24"/>
          <w:highlight w:val="none"/>
          <w:lang w:val="en-US" w:eastAsia="zh-CN"/>
        </w:rPr>
        <w:t>及报名登记</w:t>
      </w:r>
      <w:r>
        <w:rPr>
          <w:rFonts w:hint="eastAsia" w:asciiTheme="minorEastAsia" w:hAnsiTheme="minorEastAsia" w:eastAsiaTheme="minorEastAsia" w:cstheme="minorEastAsia"/>
          <w:color w:val="000000"/>
          <w:sz w:val="24"/>
          <w:szCs w:val="28"/>
          <w:highlight w:val="none"/>
        </w:rPr>
        <w:t>。</w:t>
      </w:r>
    </w:p>
    <w:p w14:paraId="5D651718">
      <w:pPr>
        <w:pageBreakBefore w:val="0"/>
        <w:kinsoku/>
        <w:overflowPunct/>
        <w:topLinePunct w:val="0"/>
        <w:bidi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.3.2完成上述操作后，投标人需将加盖公司</w:t>
      </w:r>
      <w:r>
        <w:rPr>
          <w:rFonts w:hint="eastAsia" w:asciiTheme="minorEastAsia" w:hAnsiTheme="minorEastAsia" w:eastAsia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rPr>
        <w:t>章后的法定代表人身份证</w:t>
      </w:r>
      <w:r>
        <w:rPr>
          <w:rFonts w:hint="eastAsia" w:asciiTheme="minorEastAsia" w:hAnsiTheme="minorEastAsia" w:eastAsiaTheme="minorEastAsia" w:cstheme="minorEastAsia"/>
          <w:color w:val="auto"/>
          <w:sz w:val="24"/>
          <w:szCs w:val="24"/>
          <w:highlight w:val="none"/>
          <w:lang w:val="en-US" w:eastAsia="zh-CN"/>
        </w:rPr>
        <w:t>扫描件或</w:t>
      </w:r>
      <w:r>
        <w:rPr>
          <w:rFonts w:hint="eastAsia" w:asciiTheme="minorEastAsia" w:hAnsiTheme="minorEastAsia" w:eastAsiaTheme="minorEastAsia" w:cstheme="minorEastAsia"/>
          <w:color w:val="auto"/>
          <w:sz w:val="24"/>
          <w:szCs w:val="24"/>
          <w:highlight w:val="none"/>
        </w:rPr>
        <w:t>授权委托书</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、营业执照副本扫描件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招标文件发售登记表（详见附件）</w:t>
      </w:r>
      <w:r>
        <w:rPr>
          <w:rFonts w:hint="eastAsia" w:asciiTheme="minorEastAsia" w:hAnsiTheme="minorEastAsia" w:eastAsiaTheme="minorEastAsia" w:cstheme="minorEastAsia"/>
          <w:color w:val="auto"/>
          <w:sz w:val="24"/>
          <w:szCs w:val="24"/>
          <w:highlight w:val="none"/>
          <w:lang w:eastAsia="zh-CN"/>
        </w:rPr>
        <w:t>发送至</w:t>
      </w:r>
      <w:r>
        <w:rPr>
          <w:rFonts w:hint="eastAsia" w:asciiTheme="minorEastAsia" w:hAnsiTheme="minorEastAsia" w:eastAsiaTheme="minorEastAsia" w:cstheme="minorEastAsia"/>
          <w:color w:val="auto"/>
          <w:sz w:val="24"/>
          <w:szCs w:val="24"/>
          <w:highlight w:val="none"/>
        </w:rPr>
        <w:t>邮箱（cq@ebidding.com，请注明单位名称及联系方式）,并足额</w:t>
      </w:r>
      <w:r>
        <w:rPr>
          <w:rFonts w:hint="eastAsia" w:asciiTheme="minorEastAsia" w:hAnsiTheme="minorEastAsia" w:eastAsiaTheme="minorEastAsia" w:cstheme="minorEastAsia"/>
          <w:color w:val="auto"/>
          <w:sz w:val="24"/>
          <w:szCs w:val="24"/>
          <w:highlight w:val="none"/>
          <w:lang w:eastAsia="zh-CN"/>
        </w:rPr>
        <w:t>缴纳</w:t>
      </w:r>
      <w:r>
        <w:rPr>
          <w:rFonts w:hint="eastAsia" w:asciiTheme="minorEastAsia" w:hAnsiTheme="minorEastAsia" w:eastAsiaTheme="minorEastAsia" w:cstheme="minorEastAsia"/>
          <w:color w:val="auto"/>
          <w:sz w:val="24"/>
          <w:szCs w:val="24"/>
          <w:highlight w:val="none"/>
        </w:rPr>
        <w:t>本项目文件费。（投标人将文件费汇至招标文件发售登记表</w:t>
      </w:r>
      <w:r>
        <w:rPr>
          <w:rFonts w:hint="eastAsia" w:asciiTheme="minorEastAsia" w:hAnsiTheme="minorEastAsia" w:eastAsiaTheme="minorEastAsia" w:cstheme="minorEastAsia"/>
          <w:color w:val="auto"/>
          <w:sz w:val="24"/>
          <w:szCs w:val="24"/>
          <w:highlight w:val="none"/>
          <w:lang w:val="en-US" w:eastAsia="zh-CN"/>
        </w:rPr>
        <w:t>指定</w:t>
      </w:r>
      <w:r>
        <w:rPr>
          <w:rFonts w:hint="eastAsia" w:asciiTheme="minorEastAsia" w:hAnsiTheme="minorEastAsia" w:eastAsiaTheme="minorEastAsia" w:cstheme="minorEastAsia"/>
          <w:color w:val="auto"/>
          <w:sz w:val="24"/>
          <w:szCs w:val="24"/>
          <w:highlight w:val="none"/>
        </w:rPr>
        <w:t>账户，汇款时务必注明“</w:t>
      </w:r>
      <w:r>
        <w:rPr>
          <w:rFonts w:hint="eastAsia" w:cs="宋体"/>
          <w:sz w:val="24"/>
          <w:highlight w:val="none"/>
          <w:lang w:val="en-US" w:eastAsia="zh-CN"/>
        </w:rPr>
        <w:t>AI一体化管控平台研究与建设</w:t>
      </w:r>
      <w:r>
        <w:rPr>
          <w:rFonts w:hint="eastAsia" w:asciiTheme="minorEastAsia" w:hAnsiTheme="minorEastAsia" w:eastAsiaTheme="minorEastAsia" w:cstheme="minorEastAsia"/>
          <w:b w:val="0"/>
          <w:bCs w:val="0"/>
          <w:color w:val="auto"/>
          <w:sz w:val="24"/>
          <w:szCs w:val="24"/>
          <w:highlight w:val="none"/>
          <w:u w:val="none"/>
          <w:lang w:eastAsia="zh-CN"/>
        </w:rPr>
        <w:t>公开招标</w:t>
      </w:r>
      <w:r>
        <w:rPr>
          <w:rFonts w:hint="eastAsia" w:asciiTheme="minorEastAsia" w:hAnsiTheme="minorEastAsia" w:eastAsiaTheme="minorEastAsia" w:cstheme="minorEastAsia"/>
          <w:color w:val="auto"/>
          <w:sz w:val="24"/>
          <w:szCs w:val="24"/>
          <w:highlight w:val="none"/>
          <w:lang w:val="en-US" w:eastAsia="zh-CN"/>
        </w:rPr>
        <w:t>文件费</w:t>
      </w:r>
      <w:r>
        <w:rPr>
          <w:rFonts w:hint="eastAsia" w:asciiTheme="minorEastAsia" w:hAnsiTheme="minorEastAsia" w:eastAsiaTheme="minorEastAsia" w:cstheme="minorEastAsia"/>
          <w:color w:val="auto"/>
          <w:sz w:val="24"/>
          <w:szCs w:val="24"/>
          <w:highlight w:val="none"/>
        </w:rPr>
        <w:t>”字样，否则，因款项用途不明导致投标无效等后果由投标人自行承担。）报名完成并经核实后将招标文件以电子版本形式发送给投标人。</w:t>
      </w:r>
    </w:p>
    <w:bookmarkEnd w:id="25"/>
    <w:p w14:paraId="2FCE1326">
      <w:pPr>
        <w:pageBreakBefore w:val="0"/>
        <w:kinsoku/>
        <w:overflowPunct/>
        <w:topLinePunct w:val="0"/>
        <w:bidi w:val="0"/>
        <w:spacing w:line="360" w:lineRule="auto"/>
        <w:ind w:firstLine="480" w:firstLineChars="200"/>
        <w:jc w:val="both"/>
        <w:textAlignment w:val="auto"/>
        <w:rPr>
          <w:rFonts w:hint="eastAsia" w:asciiTheme="minorEastAsia" w:hAnsiTheme="minorEastAsia" w:eastAsiaTheme="minorEastAsia" w:cstheme="minorEastAsia"/>
          <w:bCs/>
          <w:snapToGrid w:val="0"/>
          <w:kern w:val="2"/>
          <w:sz w:val="32"/>
          <w:szCs w:val="40"/>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.4只有在规定时间内完成了</w:t>
      </w:r>
      <w:r>
        <w:rPr>
          <w:rFonts w:hint="eastAsia" w:asciiTheme="minorEastAsia" w:hAnsiTheme="minorEastAsia" w:eastAsiaTheme="minorEastAsia" w:cstheme="minorEastAsia"/>
          <w:color w:val="000000"/>
          <w:sz w:val="24"/>
          <w:szCs w:val="28"/>
          <w:highlight w:val="none"/>
        </w:rPr>
        <w:t>供应商门户网</w:t>
      </w:r>
      <w:r>
        <w:rPr>
          <w:rFonts w:hint="eastAsia" w:asciiTheme="minorEastAsia" w:hAnsiTheme="minorEastAsia" w:eastAsiaTheme="minorEastAsia" w:cstheme="minorEastAsia"/>
          <w:color w:val="auto"/>
          <w:sz w:val="24"/>
          <w:szCs w:val="24"/>
          <w:highlight w:val="none"/>
        </w:rPr>
        <w:t>注册和在文件发售期内购买了招标文件的投标人，其投标文件</w:t>
      </w:r>
      <w:r>
        <w:rPr>
          <w:rFonts w:hint="eastAsia" w:asciiTheme="minorEastAsia" w:hAnsiTheme="minorEastAsia" w:eastAsiaTheme="minorEastAsia" w:cstheme="minorEastAsia"/>
          <w:color w:val="auto"/>
          <w:sz w:val="24"/>
          <w:szCs w:val="24"/>
          <w:highlight w:val="none"/>
          <w:lang w:eastAsia="zh-CN"/>
        </w:rPr>
        <w:t>才能</w:t>
      </w:r>
      <w:r>
        <w:rPr>
          <w:rFonts w:hint="eastAsia" w:asciiTheme="minorEastAsia" w:hAnsiTheme="minorEastAsia" w:eastAsiaTheme="minorEastAsia" w:cstheme="minorEastAsia"/>
          <w:color w:val="auto"/>
          <w:sz w:val="24"/>
          <w:szCs w:val="24"/>
          <w:highlight w:val="none"/>
        </w:rPr>
        <w:t>被接收。</w:t>
      </w:r>
    </w:p>
    <w:p w14:paraId="4ADC7C5C">
      <w:pPr>
        <w:pStyle w:val="4"/>
        <w:widowControl/>
        <w:numPr>
          <w:ilvl w:val="1"/>
          <w:numId w:val="0"/>
        </w:numPr>
        <w:spacing w:before="240" w:after="240" w:line="360" w:lineRule="auto"/>
        <w:jc w:val="both"/>
        <w:outlineLvl w:val="9"/>
        <w:rPr>
          <w:rFonts w:hint="eastAsia" w:asciiTheme="minorEastAsia" w:hAnsiTheme="minorEastAsia" w:eastAsiaTheme="minorEastAsia" w:cstheme="minorEastAsia"/>
          <w:sz w:val="24"/>
          <w:szCs w:val="24"/>
          <w:highlight w:val="none"/>
          <w:lang w:val="en-US" w:eastAsia="zh-CN"/>
        </w:rPr>
      </w:pPr>
      <w:bookmarkStart w:id="26" w:name="_Toc10360"/>
      <w:r>
        <w:rPr>
          <w:rFonts w:hint="eastAsia" w:asciiTheme="minorEastAsia" w:hAnsiTheme="minorEastAsia" w:eastAsiaTheme="minorEastAsia" w:cstheme="minorEastAsia"/>
          <w:bCs/>
          <w:snapToGrid w:val="0"/>
          <w:kern w:val="2"/>
          <w:sz w:val="32"/>
          <w:szCs w:val="40"/>
          <w:highlight w:val="none"/>
          <w:lang w:val="en-US" w:eastAsia="zh-CN" w:bidi="ar-SA"/>
        </w:rPr>
        <w:t>五、投标文件的递交</w:t>
      </w:r>
      <w:bookmarkEnd w:id="24"/>
      <w:bookmarkEnd w:id="26"/>
      <w:bookmarkStart w:id="27" w:name="bookmark45"/>
      <w:bookmarkEnd w:id="27"/>
    </w:p>
    <w:p w14:paraId="007EAAE6">
      <w:pPr>
        <w:pageBreakBefore w:val="0"/>
        <w:widowControl/>
        <w:wordWrap/>
        <w:topLinePunct w:val="0"/>
        <w:bidi w:val="0"/>
        <w:spacing w:before="75" w:after="75"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.1本项目</w:t>
      </w:r>
      <w:r>
        <w:rPr>
          <w:rFonts w:hint="eastAsia" w:cs="宋体"/>
          <w:color w:val="auto"/>
          <w:kern w:val="0"/>
          <w:sz w:val="24"/>
          <w:szCs w:val="24"/>
          <w:highlight w:val="none"/>
          <w:lang w:eastAsia="zh-CN"/>
        </w:rPr>
        <w:t>要求投标人递交</w:t>
      </w:r>
      <w:r>
        <w:rPr>
          <w:rFonts w:hint="eastAsia" w:ascii="宋体" w:hAnsi="宋体" w:eastAsia="宋体" w:cs="宋体"/>
          <w:b/>
          <w:bCs/>
          <w:color w:val="auto"/>
          <w:kern w:val="0"/>
          <w:sz w:val="24"/>
          <w:szCs w:val="24"/>
          <w:highlight w:val="none"/>
          <w:u w:val="single"/>
        </w:rPr>
        <w:t>纸质版投标文件</w:t>
      </w:r>
      <w:r>
        <w:rPr>
          <w:rFonts w:hint="eastAsia" w:cs="宋体"/>
          <w:b/>
          <w:bCs/>
          <w:color w:val="auto"/>
          <w:kern w:val="0"/>
          <w:sz w:val="24"/>
          <w:szCs w:val="24"/>
          <w:highlight w:val="none"/>
          <w:u w:val="single"/>
          <w:lang w:eastAsia="zh-CN"/>
        </w:rPr>
        <w:t>，并在</w:t>
      </w:r>
      <w:r>
        <w:rPr>
          <w:rFonts w:hint="eastAsia" w:ascii="宋体" w:hAnsi="宋体" w:eastAsia="宋体" w:cs="宋体"/>
          <w:b/>
          <w:bCs/>
          <w:color w:val="auto"/>
          <w:kern w:val="0"/>
          <w:sz w:val="24"/>
          <w:szCs w:val="24"/>
          <w:highlight w:val="none"/>
          <w:u w:val="single"/>
        </w:rPr>
        <w:t>供应商</w:t>
      </w:r>
      <w:r>
        <w:rPr>
          <w:rFonts w:hint="eastAsia" w:cs="宋体"/>
          <w:b/>
          <w:bCs/>
          <w:color w:val="auto"/>
          <w:kern w:val="0"/>
          <w:sz w:val="24"/>
          <w:szCs w:val="24"/>
          <w:highlight w:val="none"/>
          <w:u w:val="single"/>
          <w:lang w:eastAsia="zh-CN"/>
        </w:rPr>
        <w:t>门户网上传</w:t>
      </w:r>
      <w:r>
        <w:rPr>
          <w:rFonts w:hint="eastAsia" w:ascii="宋体" w:hAnsi="宋体" w:eastAsia="宋体" w:cs="宋体"/>
          <w:b/>
          <w:bCs/>
          <w:color w:val="auto"/>
          <w:kern w:val="0"/>
          <w:sz w:val="24"/>
          <w:szCs w:val="24"/>
          <w:highlight w:val="none"/>
          <w:u w:val="single"/>
        </w:rPr>
        <w:t>电子版投标</w:t>
      </w:r>
      <w:r>
        <w:rPr>
          <w:rFonts w:hint="eastAsia" w:cs="宋体"/>
          <w:b/>
          <w:bCs/>
          <w:color w:val="auto"/>
          <w:kern w:val="0"/>
          <w:sz w:val="24"/>
          <w:szCs w:val="24"/>
          <w:highlight w:val="none"/>
          <w:u w:val="single"/>
          <w:lang w:eastAsia="zh-CN"/>
        </w:rPr>
        <w:t>文件</w:t>
      </w:r>
      <w:r>
        <w:rPr>
          <w:rFonts w:hint="eastAsia" w:ascii="宋体" w:hAnsi="宋体" w:eastAsia="宋体" w:cs="宋体"/>
          <w:color w:val="auto"/>
          <w:kern w:val="0"/>
          <w:sz w:val="24"/>
          <w:szCs w:val="24"/>
          <w:highlight w:val="none"/>
        </w:rPr>
        <w:t>。</w:t>
      </w:r>
    </w:p>
    <w:p w14:paraId="3AF97424">
      <w:pPr>
        <w:pageBreakBefore w:val="0"/>
        <w:widowControl/>
        <w:wordWrap/>
        <w:topLinePunct w:val="0"/>
        <w:bidi w:val="0"/>
        <w:spacing w:before="75" w:after="75"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w:t>
      </w:r>
      <w:r>
        <w:rPr>
          <w:rFonts w:hint="eastAsia" w:ascii="宋体" w:hAnsi="宋体" w:eastAsia="宋体" w:cs="宋体"/>
          <w:b/>
          <w:bCs/>
          <w:color w:val="auto"/>
          <w:kern w:val="0"/>
          <w:sz w:val="24"/>
          <w:szCs w:val="24"/>
          <w:highlight w:val="none"/>
        </w:rPr>
        <w:t>纸质递交方式</w:t>
      </w:r>
      <w:r>
        <w:rPr>
          <w:rFonts w:hint="eastAsia" w:ascii="宋体" w:hAnsi="宋体" w:eastAsia="宋体" w:cs="宋体"/>
          <w:color w:val="auto"/>
          <w:kern w:val="0"/>
          <w:sz w:val="24"/>
          <w:szCs w:val="24"/>
          <w:highlight w:val="none"/>
        </w:rPr>
        <w:t>：纸质投标文件允许</w:t>
      </w:r>
      <w:r>
        <w:rPr>
          <w:rFonts w:hint="eastAsia" w:ascii="宋体" w:hAnsi="宋体" w:eastAsia="宋体" w:cs="宋体"/>
          <w:b/>
          <w:bCs/>
          <w:color w:val="auto"/>
          <w:kern w:val="0"/>
          <w:sz w:val="24"/>
          <w:szCs w:val="24"/>
          <w:highlight w:val="none"/>
        </w:rPr>
        <w:t>邮寄送达</w:t>
      </w:r>
      <w:r>
        <w:rPr>
          <w:rFonts w:hint="eastAsia" w:ascii="宋体" w:hAnsi="宋体" w:eastAsia="宋体" w:cs="宋体"/>
          <w:color w:val="auto"/>
          <w:kern w:val="0"/>
          <w:sz w:val="24"/>
          <w:szCs w:val="24"/>
          <w:highlight w:val="none"/>
        </w:rPr>
        <w:t>或</w:t>
      </w:r>
      <w:r>
        <w:rPr>
          <w:rFonts w:hint="eastAsia" w:ascii="宋体" w:hAnsi="宋体" w:eastAsia="宋体" w:cs="宋体"/>
          <w:b/>
          <w:bCs/>
          <w:color w:val="auto"/>
          <w:kern w:val="0"/>
          <w:sz w:val="24"/>
          <w:szCs w:val="24"/>
          <w:highlight w:val="none"/>
        </w:rPr>
        <w:t>现场递交</w:t>
      </w:r>
      <w:r>
        <w:rPr>
          <w:rFonts w:hint="eastAsia" w:ascii="宋体" w:hAnsi="宋体" w:eastAsia="宋体" w:cs="宋体"/>
          <w:color w:val="auto"/>
          <w:kern w:val="0"/>
          <w:sz w:val="24"/>
          <w:szCs w:val="24"/>
          <w:highlight w:val="none"/>
        </w:rPr>
        <w:t>，投标人可自行选择递交方式，但均应在</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.3项规定的时间前递交或签收。</w:t>
      </w:r>
    </w:p>
    <w:p w14:paraId="298E18EA">
      <w:pPr>
        <w:pageBreakBefore w:val="0"/>
        <w:widowControl/>
        <w:wordWrap/>
        <w:topLinePunct w:val="0"/>
        <w:bidi w:val="0"/>
        <w:spacing w:before="75" w:after="75"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.3投标文件递交截止时间：</w:t>
      </w:r>
      <w:r>
        <w:rPr>
          <w:rFonts w:hint="eastAsia" w:ascii="宋体" w:hAnsi="宋体" w:eastAsia="宋体" w:cs="宋体"/>
          <w:b/>
          <w:bCs/>
          <w:color w:val="auto"/>
          <w:kern w:val="0"/>
          <w:sz w:val="24"/>
          <w:szCs w:val="24"/>
          <w:highlight w:val="none"/>
          <w:u w:val="single"/>
        </w:rPr>
        <w:t>202</w:t>
      </w:r>
      <w:r>
        <w:rPr>
          <w:rFonts w:hint="eastAsia" w:ascii="宋体" w:hAnsi="宋体" w:eastAsia="宋体" w:cs="宋体"/>
          <w:b/>
          <w:bCs/>
          <w:color w:val="auto"/>
          <w:kern w:val="0"/>
          <w:sz w:val="24"/>
          <w:szCs w:val="24"/>
          <w:highlight w:val="none"/>
          <w:u w:val="single"/>
          <w:lang w:val="en-US" w:eastAsia="zh-CN"/>
        </w:rPr>
        <w:t>6</w:t>
      </w:r>
      <w:r>
        <w:rPr>
          <w:rFonts w:hint="eastAsia" w:ascii="宋体" w:hAnsi="宋体" w:eastAsia="宋体" w:cs="宋体"/>
          <w:b/>
          <w:bCs/>
          <w:color w:val="auto"/>
          <w:kern w:val="0"/>
          <w:sz w:val="24"/>
          <w:szCs w:val="24"/>
          <w:highlight w:val="none"/>
          <w:u w:val="single"/>
        </w:rPr>
        <w:t>年</w:t>
      </w:r>
      <w:r>
        <w:rPr>
          <w:rStyle w:val="91"/>
          <w:rFonts w:hint="eastAsia" w:cs="宋体"/>
          <w:b/>
          <w:bCs/>
          <w:color w:val="auto"/>
          <w:sz w:val="24"/>
          <w:szCs w:val="28"/>
          <w:highlight w:val="none"/>
          <w:u w:val="single"/>
          <w:lang w:val="en-US" w:eastAsia="zh-CN"/>
        </w:rPr>
        <w:t>8</w:t>
      </w:r>
      <w:r>
        <w:rPr>
          <w:rStyle w:val="91"/>
          <w:rFonts w:hint="eastAsia" w:ascii="宋体" w:hAnsi="宋体" w:eastAsia="宋体" w:cs="宋体"/>
          <w:b/>
          <w:bCs/>
          <w:color w:val="auto"/>
          <w:sz w:val="24"/>
          <w:szCs w:val="28"/>
          <w:highlight w:val="none"/>
          <w:u w:val="single"/>
        </w:rPr>
        <w:t>月</w:t>
      </w:r>
      <w:r>
        <w:rPr>
          <w:rStyle w:val="91"/>
          <w:rFonts w:hint="eastAsia" w:cs="宋体"/>
          <w:b/>
          <w:bCs/>
          <w:color w:val="auto"/>
          <w:sz w:val="24"/>
          <w:szCs w:val="28"/>
          <w:highlight w:val="none"/>
          <w:u w:val="single"/>
          <w:lang w:val="en-US" w:eastAsia="zh-CN"/>
        </w:rPr>
        <w:t>6</w:t>
      </w:r>
      <w:r>
        <w:rPr>
          <w:rStyle w:val="91"/>
          <w:rFonts w:hint="eastAsia" w:ascii="宋体" w:hAnsi="宋体" w:eastAsia="宋体" w:cs="宋体"/>
          <w:b/>
          <w:bCs/>
          <w:color w:val="auto"/>
          <w:sz w:val="24"/>
          <w:szCs w:val="28"/>
          <w:highlight w:val="none"/>
          <w:u w:val="single"/>
        </w:rPr>
        <w:t>日</w:t>
      </w:r>
      <w:r>
        <w:rPr>
          <w:rFonts w:hint="eastAsia" w:cs="宋体"/>
          <w:b/>
          <w:bCs/>
          <w:color w:val="auto"/>
          <w:kern w:val="0"/>
          <w:sz w:val="24"/>
          <w:szCs w:val="24"/>
          <w:highlight w:val="none"/>
          <w:u w:val="single"/>
          <w:lang w:val="en-US" w:eastAsia="zh-CN"/>
        </w:rPr>
        <w:t>09</w:t>
      </w:r>
      <w:r>
        <w:rPr>
          <w:rFonts w:hint="eastAsia" w:ascii="宋体" w:hAnsi="宋体" w:eastAsia="宋体" w:cs="宋体"/>
          <w:b/>
          <w:bCs/>
          <w:color w:val="auto"/>
          <w:kern w:val="0"/>
          <w:sz w:val="24"/>
          <w:szCs w:val="24"/>
          <w:highlight w:val="none"/>
          <w:u w:val="single"/>
        </w:rPr>
        <w:t>时</w:t>
      </w:r>
      <w:r>
        <w:rPr>
          <w:rFonts w:hint="eastAsia" w:cs="宋体"/>
          <w:b/>
          <w:bCs/>
          <w:color w:val="auto"/>
          <w:kern w:val="0"/>
          <w:sz w:val="24"/>
          <w:szCs w:val="24"/>
          <w:highlight w:val="none"/>
          <w:u w:val="single"/>
          <w:lang w:val="en-US" w:eastAsia="zh-CN"/>
        </w:rPr>
        <w:t>3</w:t>
      </w:r>
      <w:r>
        <w:rPr>
          <w:rFonts w:hint="eastAsia" w:ascii="宋体" w:hAnsi="宋体" w:eastAsia="宋体" w:cs="宋体"/>
          <w:b/>
          <w:bCs/>
          <w:color w:val="auto"/>
          <w:kern w:val="0"/>
          <w:sz w:val="24"/>
          <w:szCs w:val="24"/>
          <w:highlight w:val="none"/>
          <w:u w:val="single"/>
          <w:lang w:val="en-US" w:eastAsia="zh-CN"/>
        </w:rPr>
        <w:t>0</w:t>
      </w:r>
      <w:r>
        <w:rPr>
          <w:rFonts w:hint="eastAsia" w:ascii="宋体" w:hAnsi="宋体" w:eastAsia="宋体" w:cs="宋体"/>
          <w:b/>
          <w:bCs/>
          <w:color w:val="auto"/>
          <w:kern w:val="0"/>
          <w:sz w:val="24"/>
          <w:szCs w:val="24"/>
          <w:highlight w:val="none"/>
          <w:u w:val="single"/>
        </w:rPr>
        <w:t>分</w:t>
      </w:r>
      <w:r>
        <w:rPr>
          <w:rFonts w:hint="eastAsia" w:ascii="宋体" w:hAnsi="宋体" w:eastAsia="宋体" w:cs="宋体"/>
          <w:b/>
          <w:bCs/>
          <w:color w:val="auto"/>
          <w:kern w:val="0"/>
          <w:sz w:val="24"/>
          <w:szCs w:val="24"/>
          <w:highlight w:val="none"/>
        </w:rPr>
        <w:t>（北京时间）</w:t>
      </w:r>
      <w:r>
        <w:rPr>
          <w:rFonts w:hint="eastAsia" w:ascii="宋体" w:hAnsi="宋体" w:eastAsia="宋体" w:cs="宋体"/>
          <w:color w:val="auto"/>
          <w:kern w:val="0"/>
          <w:sz w:val="24"/>
          <w:szCs w:val="24"/>
          <w:highlight w:val="none"/>
        </w:rPr>
        <w:t>。</w:t>
      </w:r>
    </w:p>
    <w:p w14:paraId="26735945">
      <w:pPr>
        <w:pageBreakBefore w:val="0"/>
        <w:widowControl/>
        <w:wordWrap/>
        <w:topLinePunct w:val="0"/>
        <w:bidi w:val="0"/>
        <w:spacing w:before="75" w:after="75" w:line="360" w:lineRule="auto"/>
        <w:ind w:firstLine="480"/>
        <w:jc w:val="left"/>
        <w:textAlignment w:val="auto"/>
        <w:rPr>
          <w:rFonts w:hint="eastAsia" w:ascii="宋体" w:hAnsi="宋体" w:eastAsia="宋体" w:cs="宋体"/>
          <w:color w:val="auto"/>
          <w:sz w:val="24"/>
          <w:szCs w:val="28"/>
          <w:highlight w:val="none"/>
          <w:u w:val="none"/>
          <w:lang w:val="en-US"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纸质投标文件</w:t>
      </w:r>
      <w:r>
        <w:rPr>
          <w:rFonts w:hint="eastAsia" w:ascii="宋体" w:hAnsi="宋体" w:eastAsia="宋体" w:cs="宋体"/>
          <w:b/>
          <w:bCs/>
          <w:color w:val="auto"/>
          <w:kern w:val="0"/>
          <w:sz w:val="24"/>
          <w:szCs w:val="24"/>
          <w:highlight w:val="none"/>
        </w:rPr>
        <w:t>邮寄信息</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收件地址： 重庆市九龙</w:t>
      </w:r>
      <w:r>
        <w:rPr>
          <w:rFonts w:hint="eastAsia" w:ascii="宋体" w:hAnsi="宋体" w:eastAsia="宋体" w:cs="宋体"/>
          <w:color w:val="auto"/>
          <w:sz w:val="24"/>
          <w:szCs w:val="24"/>
          <w:highlight w:val="none"/>
          <w:lang w:val="en-US" w:eastAsia="zh-CN"/>
        </w:rPr>
        <w:t>坡</w:t>
      </w:r>
      <w:r>
        <w:rPr>
          <w:rFonts w:hint="eastAsia" w:ascii="宋体" w:hAnsi="宋体" w:eastAsia="宋体" w:cs="宋体"/>
          <w:color w:val="auto"/>
          <w:sz w:val="24"/>
          <w:szCs w:val="24"/>
          <w:highlight w:val="none"/>
        </w:rPr>
        <w:t xml:space="preserve">区科城路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号，收件人：</w:t>
      </w:r>
      <w:r>
        <w:rPr>
          <w:rFonts w:hint="eastAsia" w:ascii="宋体" w:hAnsi="宋体" w:eastAsia="宋体" w:cs="宋体"/>
          <w:color w:val="auto"/>
          <w:sz w:val="24"/>
          <w:szCs w:val="24"/>
          <w:highlight w:val="none"/>
          <w:lang w:val="en-US" w:eastAsia="zh-CN"/>
        </w:rPr>
        <w:t>杨</w:t>
      </w:r>
      <w:r>
        <w:rPr>
          <w:rFonts w:hint="eastAsia" w:ascii="宋体" w:hAnsi="宋体" w:eastAsia="宋体" w:cs="宋体"/>
          <w:color w:val="auto"/>
          <w:sz w:val="24"/>
          <w:szCs w:val="24"/>
          <w:highlight w:val="none"/>
        </w:rPr>
        <w:t>老师，</w:t>
      </w:r>
      <w:r>
        <w:rPr>
          <w:rFonts w:hint="eastAsia" w:ascii="宋体" w:hAnsi="宋体" w:eastAsia="宋体" w:cs="宋体"/>
          <w:color w:val="auto"/>
          <w:sz w:val="24"/>
          <w:szCs w:val="28"/>
          <w:highlight w:val="none"/>
          <w:u w:val="none"/>
          <w:lang w:val="en-US" w:eastAsia="zh-CN"/>
        </w:rPr>
        <w:t>电话：</w:t>
      </w:r>
      <w:r>
        <w:rPr>
          <w:rFonts w:hint="eastAsia" w:ascii="宋体" w:hAnsi="宋体" w:eastAsia="宋体" w:cs="宋体"/>
          <w:color w:val="auto"/>
          <w:highlight w:val="none"/>
          <w:lang w:val="en-US" w:eastAsia="zh-CN"/>
        </w:rPr>
        <w:t>19936132304</w:t>
      </w:r>
      <w:r>
        <w:rPr>
          <w:rFonts w:hint="eastAsia" w:ascii="宋体" w:hAnsi="宋体" w:eastAsia="宋体" w:cs="宋体"/>
          <w:color w:val="auto"/>
          <w:sz w:val="24"/>
          <w:szCs w:val="28"/>
          <w:highlight w:val="none"/>
          <w:u w:val="none"/>
          <w:lang w:val="en-US" w:eastAsia="zh-CN"/>
        </w:rPr>
        <w:t>；</w:t>
      </w:r>
    </w:p>
    <w:p w14:paraId="2B3A7702">
      <w:pPr>
        <w:pageBreakBefore w:val="0"/>
        <w:widowControl/>
        <w:wordWrap/>
        <w:topLinePunct w:val="0"/>
        <w:bidi w:val="0"/>
        <w:spacing w:before="75" w:after="75" w:line="360" w:lineRule="auto"/>
        <w:ind w:firstLine="480"/>
        <w:jc w:val="left"/>
        <w:textAlignment w:val="auto"/>
        <w:rPr>
          <w:rFonts w:hint="eastAsia" w:ascii="宋体" w:hAnsi="宋体" w:eastAsia="宋体" w:cs="宋体"/>
          <w:color w:val="auto"/>
          <w:sz w:val="24"/>
          <w:szCs w:val="28"/>
          <w:highlight w:val="none"/>
          <w:u w:val="none"/>
          <w:lang w:val="en-US" w:eastAsia="zh-CN"/>
        </w:rPr>
      </w:pPr>
      <w:r>
        <w:rPr>
          <w:rFonts w:hint="eastAsia" w:ascii="宋体" w:hAnsi="宋体" w:eastAsia="宋体" w:cs="宋体"/>
          <w:color w:val="auto"/>
          <w:sz w:val="24"/>
          <w:szCs w:val="28"/>
          <w:highlight w:val="none"/>
          <w:u w:val="none"/>
          <w:lang w:val="en-US" w:eastAsia="zh-CN"/>
        </w:rPr>
        <w:t>5.5纸质投标文件现场递交地点：暂定重庆市九龙坡区科城路 6 号 （具体地点以通知为准）。</w:t>
      </w:r>
    </w:p>
    <w:p w14:paraId="53DE689D">
      <w:pPr>
        <w:pageBreakBefore w:val="0"/>
        <w:widowControl/>
        <w:wordWrap/>
        <w:topLinePunct w:val="0"/>
        <w:bidi w:val="0"/>
        <w:spacing w:before="75" w:after="75" w:line="360" w:lineRule="auto"/>
        <w:ind w:firstLine="480"/>
        <w:jc w:val="left"/>
        <w:textAlignment w:val="auto"/>
        <w:rPr>
          <w:rFonts w:hint="eastAsia" w:ascii="宋体" w:hAnsi="宋体" w:eastAsia="宋体" w:cs="宋体"/>
          <w:sz w:val="24"/>
          <w:szCs w:val="28"/>
          <w:highlight w:val="none"/>
          <w:u w:val="none"/>
          <w:lang w:val="en-US" w:eastAsia="zh-CN"/>
        </w:rPr>
      </w:pPr>
      <w:r>
        <w:rPr>
          <w:rFonts w:hint="eastAsia" w:ascii="宋体" w:hAnsi="宋体" w:eastAsia="宋体" w:cs="宋体"/>
          <w:color w:val="auto"/>
          <w:sz w:val="24"/>
          <w:szCs w:val="28"/>
          <w:highlight w:val="none"/>
          <w:u w:val="none"/>
          <w:lang w:val="en-US" w:eastAsia="zh-CN"/>
        </w:rPr>
        <w:t>5.6电子版投标文件上传：在投标文件递交截止时间（即2026年</w:t>
      </w:r>
      <w:r>
        <w:rPr>
          <w:rFonts w:hint="eastAsia" w:cs="宋体"/>
          <w:color w:val="auto"/>
          <w:sz w:val="24"/>
          <w:szCs w:val="28"/>
          <w:highlight w:val="none"/>
          <w:u w:val="none"/>
          <w:lang w:val="en-US" w:eastAsia="zh-CN"/>
        </w:rPr>
        <w:t>8</w:t>
      </w:r>
      <w:r>
        <w:rPr>
          <w:rFonts w:hint="eastAsia" w:ascii="宋体" w:hAnsi="宋体" w:eastAsia="宋体" w:cs="宋体"/>
          <w:color w:val="auto"/>
          <w:sz w:val="24"/>
          <w:szCs w:val="28"/>
          <w:highlight w:val="none"/>
          <w:u w:val="none"/>
          <w:lang w:val="en-US" w:eastAsia="zh-CN"/>
        </w:rPr>
        <w:t>月</w:t>
      </w:r>
      <w:r>
        <w:rPr>
          <w:rFonts w:hint="eastAsia" w:cs="宋体"/>
          <w:color w:val="auto"/>
          <w:sz w:val="24"/>
          <w:szCs w:val="28"/>
          <w:highlight w:val="none"/>
          <w:u w:val="none"/>
          <w:lang w:val="en-US" w:eastAsia="zh-CN"/>
        </w:rPr>
        <w:t>6</w:t>
      </w:r>
      <w:r>
        <w:rPr>
          <w:rFonts w:hint="eastAsia" w:ascii="宋体" w:hAnsi="宋体" w:eastAsia="宋体" w:cs="宋体"/>
          <w:color w:val="auto"/>
          <w:sz w:val="24"/>
          <w:szCs w:val="28"/>
          <w:highlight w:val="none"/>
          <w:u w:val="none"/>
          <w:lang w:val="en-US" w:eastAsia="zh-CN"/>
        </w:rPr>
        <w:t>日</w:t>
      </w:r>
      <w:r>
        <w:rPr>
          <w:rFonts w:hint="eastAsia" w:cs="宋体"/>
          <w:color w:val="auto"/>
          <w:sz w:val="24"/>
          <w:szCs w:val="28"/>
          <w:highlight w:val="none"/>
          <w:u w:val="none"/>
          <w:lang w:val="en-US" w:eastAsia="zh-CN"/>
        </w:rPr>
        <w:t>09</w:t>
      </w:r>
      <w:r>
        <w:rPr>
          <w:rFonts w:hint="eastAsia" w:ascii="宋体" w:hAnsi="宋体" w:eastAsia="宋体" w:cs="宋体"/>
          <w:color w:val="auto"/>
          <w:sz w:val="24"/>
          <w:szCs w:val="28"/>
          <w:highlight w:val="none"/>
          <w:u w:val="none"/>
          <w:lang w:val="en-US" w:eastAsia="zh-CN"/>
        </w:rPr>
        <w:t>时</w:t>
      </w:r>
      <w:r>
        <w:rPr>
          <w:rFonts w:hint="eastAsia" w:cs="宋体"/>
          <w:color w:val="auto"/>
          <w:sz w:val="24"/>
          <w:szCs w:val="28"/>
          <w:highlight w:val="none"/>
          <w:u w:val="none"/>
          <w:lang w:val="en-US" w:eastAsia="zh-CN"/>
        </w:rPr>
        <w:t>3</w:t>
      </w:r>
      <w:r>
        <w:rPr>
          <w:rFonts w:hint="eastAsia" w:ascii="宋体" w:hAnsi="宋体" w:eastAsia="宋体" w:cs="宋体"/>
          <w:color w:val="auto"/>
          <w:sz w:val="24"/>
          <w:szCs w:val="28"/>
          <w:highlight w:val="none"/>
          <w:u w:val="none"/>
          <w:lang w:val="en-US" w:eastAsia="zh-CN"/>
        </w:rPr>
        <w:t>0分）前，供应商通过登录中国煤炭科工集团重庆研究院有限公司供应商门户网进入系</w:t>
      </w:r>
      <w:r>
        <w:rPr>
          <w:rFonts w:hint="eastAsia" w:ascii="宋体" w:hAnsi="宋体" w:eastAsia="宋体" w:cs="宋体"/>
          <w:sz w:val="24"/>
          <w:szCs w:val="28"/>
          <w:highlight w:val="none"/>
          <w:u w:val="none"/>
          <w:lang w:val="en-US" w:eastAsia="zh-CN"/>
        </w:rPr>
        <w:t>统中选择投标项目上传电子版投标文件。注：上传后请加密投标文件并在开标前进行解密。</w:t>
      </w:r>
    </w:p>
    <w:p w14:paraId="181AFD82">
      <w:pPr>
        <w:pageBreakBefore w:val="0"/>
        <w:widowControl/>
        <w:wordWrap/>
        <w:topLinePunct w:val="0"/>
        <w:bidi w:val="0"/>
        <w:spacing w:before="75" w:after="75" w:line="360" w:lineRule="auto"/>
        <w:ind w:firstLine="480"/>
        <w:jc w:val="left"/>
        <w:textAlignment w:val="auto"/>
        <w:rPr>
          <w:rFonts w:hint="eastAsia" w:ascii="宋体" w:hAnsi="宋体" w:eastAsia="宋体" w:cs="宋体"/>
          <w:sz w:val="24"/>
          <w:szCs w:val="28"/>
          <w:highlight w:val="none"/>
          <w:u w:val="none"/>
          <w:lang w:val="en-US" w:eastAsia="zh-CN"/>
        </w:rPr>
      </w:pPr>
      <w:r>
        <w:rPr>
          <w:rFonts w:hint="eastAsia" w:ascii="宋体" w:hAnsi="宋体" w:eastAsia="宋体" w:cs="宋体"/>
          <w:sz w:val="24"/>
          <w:szCs w:val="28"/>
          <w:highlight w:val="none"/>
          <w:u w:val="none"/>
          <w:lang w:val="en-US" w:eastAsia="zh-CN"/>
        </w:rPr>
        <w:t>5.7特别说明：</w:t>
      </w:r>
    </w:p>
    <w:p w14:paraId="43F8934C">
      <w:pPr>
        <w:pageBreakBefore w:val="0"/>
        <w:widowControl/>
        <w:wordWrap/>
        <w:topLinePunct w:val="0"/>
        <w:bidi w:val="0"/>
        <w:spacing w:before="75" w:after="75" w:line="360" w:lineRule="auto"/>
        <w:ind w:firstLine="480"/>
        <w:jc w:val="left"/>
        <w:textAlignment w:val="auto"/>
        <w:rPr>
          <w:rFonts w:hint="eastAsia" w:ascii="宋体" w:hAnsi="宋体" w:eastAsia="宋体" w:cs="宋体"/>
          <w:sz w:val="24"/>
          <w:szCs w:val="28"/>
          <w:highlight w:val="none"/>
          <w:u w:val="none"/>
          <w:lang w:val="en-US" w:eastAsia="zh-CN"/>
        </w:rPr>
      </w:pPr>
      <w:r>
        <w:rPr>
          <w:rFonts w:hint="eastAsia" w:ascii="宋体" w:hAnsi="宋体" w:eastAsia="宋体" w:cs="宋体"/>
          <w:sz w:val="24"/>
          <w:szCs w:val="28"/>
          <w:highlight w:val="none"/>
          <w:u w:val="none"/>
          <w:lang w:val="en-US" w:eastAsia="zh-CN"/>
        </w:rPr>
        <w:t>（1）请自行考虑邮寄时效性，邮寄方式送达应以采购人实际收到时间为准，而不是以“邮戳为准”，超过投标截止时间的将被采购人拒绝。</w:t>
      </w:r>
    </w:p>
    <w:p w14:paraId="7EA51628">
      <w:pPr>
        <w:pageBreakBefore w:val="0"/>
        <w:widowControl/>
        <w:wordWrap/>
        <w:topLinePunct w:val="0"/>
        <w:bidi w:val="0"/>
        <w:spacing w:before="75" w:after="75" w:line="360" w:lineRule="auto"/>
        <w:ind w:firstLine="480"/>
        <w:jc w:val="left"/>
        <w:textAlignment w:val="auto"/>
        <w:rPr>
          <w:rFonts w:hint="eastAsia" w:ascii="宋体" w:hAnsi="宋体" w:eastAsia="宋体" w:cs="宋体"/>
          <w:sz w:val="24"/>
          <w:szCs w:val="28"/>
          <w:highlight w:val="none"/>
          <w:u w:val="none"/>
          <w:lang w:val="en-US" w:eastAsia="zh-CN"/>
        </w:rPr>
      </w:pPr>
      <w:r>
        <w:rPr>
          <w:rFonts w:hint="eastAsia" w:ascii="宋体" w:hAnsi="宋体" w:eastAsia="宋体" w:cs="宋体"/>
          <w:sz w:val="24"/>
          <w:szCs w:val="28"/>
          <w:highlight w:val="none"/>
          <w:u w:val="none"/>
          <w:lang w:val="en-US" w:eastAsia="zh-CN"/>
        </w:rPr>
        <w:t>（2）投标人因为递交地点发生错误而逾期送达投标文件的，将被采购人拒绝接收。</w:t>
      </w:r>
    </w:p>
    <w:p w14:paraId="3165D330">
      <w:pPr>
        <w:pageBreakBefore w:val="0"/>
        <w:widowControl/>
        <w:wordWrap/>
        <w:topLinePunct w:val="0"/>
        <w:bidi w:val="0"/>
        <w:spacing w:before="75" w:after="75" w:line="360" w:lineRule="auto"/>
        <w:ind w:firstLine="480"/>
        <w:jc w:val="left"/>
        <w:textAlignment w:val="auto"/>
        <w:rPr>
          <w:rFonts w:hint="eastAsia" w:ascii="宋体" w:hAnsi="宋体" w:eastAsia="宋体" w:cs="宋体"/>
          <w:sz w:val="24"/>
          <w:szCs w:val="28"/>
          <w:highlight w:val="none"/>
          <w:u w:val="none"/>
          <w:lang w:val="en-US" w:eastAsia="zh-CN"/>
        </w:rPr>
      </w:pPr>
      <w:r>
        <w:rPr>
          <w:rFonts w:hint="eastAsia" w:ascii="宋体" w:hAnsi="宋体" w:eastAsia="宋体" w:cs="宋体"/>
          <w:sz w:val="24"/>
          <w:szCs w:val="28"/>
          <w:highlight w:val="none"/>
          <w:u w:val="none"/>
          <w:lang w:val="en-US" w:eastAsia="zh-CN"/>
        </w:rPr>
        <w:t>（3）采购人收到投标文件后，在开标截止时间前</w:t>
      </w:r>
      <w:r>
        <w:rPr>
          <w:rFonts w:hint="eastAsia" w:cs="宋体"/>
          <w:sz w:val="24"/>
          <w:szCs w:val="28"/>
          <w:highlight w:val="none"/>
          <w:u w:val="none"/>
          <w:lang w:val="en-US" w:eastAsia="zh-CN"/>
        </w:rPr>
        <w:t>，任何</w:t>
      </w:r>
      <w:r>
        <w:rPr>
          <w:rFonts w:hint="eastAsia" w:ascii="宋体" w:hAnsi="宋体" w:eastAsia="宋体" w:cs="宋体"/>
          <w:sz w:val="24"/>
          <w:szCs w:val="28"/>
          <w:highlight w:val="none"/>
          <w:u w:val="none"/>
          <w:lang w:val="en-US" w:eastAsia="zh-CN"/>
        </w:rPr>
        <w:t>单位和个人不得开启投标文件。</w:t>
      </w:r>
    </w:p>
    <w:p w14:paraId="6244E329">
      <w:pPr>
        <w:pStyle w:val="4"/>
        <w:widowControl/>
        <w:numPr>
          <w:ilvl w:val="1"/>
          <w:numId w:val="0"/>
        </w:numPr>
        <w:spacing w:before="240" w:after="240" w:line="360" w:lineRule="auto"/>
        <w:jc w:val="both"/>
        <w:outlineLvl w:val="9"/>
        <w:rPr>
          <w:rFonts w:hint="eastAsia" w:asciiTheme="minorEastAsia" w:hAnsiTheme="minorEastAsia" w:eastAsiaTheme="minorEastAsia" w:cstheme="minorEastAsia"/>
          <w:bCs/>
          <w:snapToGrid w:val="0"/>
          <w:kern w:val="2"/>
          <w:sz w:val="32"/>
          <w:szCs w:val="40"/>
          <w:highlight w:val="none"/>
          <w:lang w:val="en-US" w:eastAsia="zh-CN" w:bidi="ar-SA"/>
        </w:rPr>
      </w:pPr>
      <w:bookmarkStart w:id="28" w:name="_Toc24060"/>
      <w:r>
        <w:rPr>
          <w:rFonts w:hint="eastAsia" w:asciiTheme="minorEastAsia" w:hAnsiTheme="minorEastAsia" w:eastAsiaTheme="minorEastAsia" w:cstheme="minorEastAsia"/>
          <w:bCs/>
          <w:snapToGrid w:val="0"/>
          <w:kern w:val="2"/>
          <w:sz w:val="32"/>
          <w:szCs w:val="40"/>
          <w:highlight w:val="none"/>
          <w:lang w:val="en-US" w:eastAsia="zh-CN" w:bidi="ar-SA"/>
        </w:rPr>
        <w:t>六、发布公告的媒介</w:t>
      </w:r>
      <w:bookmarkEnd w:id="28"/>
    </w:p>
    <w:p w14:paraId="0F5A0FA5">
      <w:pPr>
        <w:spacing w:line="360" w:lineRule="auto"/>
        <w:ind w:firstLine="480" w:firstLineChars="200"/>
        <w:jc w:val="both"/>
        <w:rPr>
          <w:rFonts w:hint="eastAsia"/>
          <w:lang w:val="en-US" w:eastAsia="zh-CN"/>
        </w:rPr>
      </w:pPr>
      <w:bookmarkStart w:id="29" w:name="bookmark46"/>
      <w:bookmarkEnd w:id="29"/>
      <w:bookmarkStart w:id="30" w:name="_Toc22778"/>
      <w:r>
        <w:rPr>
          <w:rFonts w:hint="eastAsia" w:asciiTheme="minorEastAsia" w:hAnsiTheme="minorEastAsia" w:eastAsiaTheme="minorEastAsia" w:cstheme="minorEastAsia"/>
          <w:kern w:val="2"/>
          <w:sz w:val="24"/>
          <w:szCs w:val="28"/>
          <w:lang w:eastAsia="zh-CN" w:bidi="ar-SA"/>
        </w:rPr>
        <w:t>本项目招标公告在中煤科工集团重庆研究院有限公司</w:t>
      </w:r>
      <w:r>
        <w:rPr>
          <w:rFonts w:hint="eastAsia" w:asciiTheme="minorEastAsia" w:hAnsiTheme="minorEastAsia" w:eastAsiaTheme="minorEastAsia" w:cstheme="minorEastAsia"/>
          <w:kern w:val="2"/>
          <w:sz w:val="24"/>
          <w:szCs w:val="28"/>
          <w:lang w:val="en-US" w:eastAsia="zh-CN" w:bidi="ar-SA"/>
        </w:rPr>
        <w:t>网</w:t>
      </w:r>
      <w:r>
        <w:rPr>
          <w:rFonts w:hint="eastAsia" w:asciiTheme="minorEastAsia" w:hAnsiTheme="minorEastAsia" w:eastAsiaTheme="minorEastAsia" w:cstheme="minorEastAsia"/>
          <w:kern w:val="2"/>
          <w:sz w:val="24"/>
          <w:szCs w:val="28"/>
          <w:lang w:eastAsia="zh-CN" w:bidi="ar-SA"/>
        </w:rPr>
        <w:t>（</w:t>
      </w:r>
      <w:r>
        <w:rPr>
          <w:rFonts w:hint="eastAsia" w:asciiTheme="minorEastAsia" w:hAnsiTheme="minorEastAsia" w:eastAsiaTheme="minorEastAsia" w:cstheme="minorEastAsia"/>
          <w:kern w:val="2"/>
          <w:sz w:val="24"/>
          <w:szCs w:val="28"/>
          <w:lang w:eastAsia="zh-CN" w:bidi="ar-SA"/>
        </w:rPr>
        <w:fldChar w:fldCharType="begin"/>
      </w:r>
      <w:r>
        <w:rPr>
          <w:rFonts w:hint="eastAsia" w:asciiTheme="minorEastAsia" w:hAnsiTheme="minorEastAsia" w:eastAsiaTheme="minorEastAsia" w:cstheme="minorEastAsia"/>
          <w:kern w:val="2"/>
          <w:sz w:val="24"/>
          <w:szCs w:val="28"/>
          <w:lang w:eastAsia="zh-CN" w:bidi="ar-SA"/>
        </w:rPr>
        <w:instrText xml:space="preserve"> HYPERLINK "http://cqccteg.ccteg.cn/" \h </w:instrText>
      </w:r>
      <w:r>
        <w:rPr>
          <w:rFonts w:hint="eastAsia" w:asciiTheme="minorEastAsia" w:hAnsiTheme="minorEastAsia" w:eastAsiaTheme="minorEastAsia" w:cstheme="minorEastAsia"/>
          <w:kern w:val="2"/>
          <w:sz w:val="24"/>
          <w:szCs w:val="28"/>
          <w:lang w:eastAsia="zh-CN" w:bidi="ar-SA"/>
        </w:rPr>
        <w:fldChar w:fldCharType="separate"/>
      </w:r>
      <w:r>
        <w:rPr>
          <w:rFonts w:hint="eastAsia" w:asciiTheme="minorEastAsia" w:hAnsiTheme="minorEastAsia" w:eastAsiaTheme="minorEastAsia" w:cstheme="minorEastAsia"/>
          <w:kern w:val="2"/>
          <w:sz w:val="24"/>
          <w:szCs w:val="28"/>
          <w:lang w:eastAsia="zh-CN" w:bidi="ar-SA"/>
        </w:rPr>
        <w:t>http://cqccteg.ccteg.cn/</w:t>
      </w:r>
      <w:r>
        <w:rPr>
          <w:rFonts w:hint="eastAsia" w:asciiTheme="minorEastAsia" w:hAnsiTheme="minorEastAsia" w:eastAsiaTheme="minorEastAsia" w:cstheme="minorEastAsia"/>
          <w:kern w:val="2"/>
          <w:sz w:val="24"/>
          <w:szCs w:val="28"/>
          <w:lang w:eastAsia="zh-CN" w:bidi="ar-SA"/>
        </w:rPr>
        <w:fldChar w:fldCharType="end"/>
      </w:r>
      <w:r>
        <w:rPr>
          <w:rFonts w:hint="eastAsia" w:asciiTheme="minorEastAsia" w:hAnsiTheme="minorEastAsia" w:eastAsiaTheme="minorEastAsia" w:cstheme="minorEastAsia"/>
          <w:kern w:val="2"/>
          <w:sz w:val="24"/>
          <w:szCs w:val="28"/>
          <w:lang w:eastAsia="zh-CN" w:bidi="ar-SA"/>
        </w:rPr>
        <w:t>）、中国煤炭科工集团重庆研究院有限公司供应商门户网（https://cqsrm.ccteg.cn:8443/）、中国采购与招标网（https://www.chinabidding.com.cn/）上发布。</w:t>
      </w:r>
    </w:p>
    <w:p w14:paraId="63F4B7B6">
      <w:pPr>
        <w:pStyle w:val="4"/>
        <w:widowControl/>
        <w:numPr>
          <w:ilvl w:val="1"/>
          <w:numId w:val="0"/>
        </w:numPr>
        <w:spacing w:before="240" w:after="240" w:line="360" w:lineRule="auto"/>
        <w:jc w:val="both"/>
        <w:outlineLvl w:val="9"/>
        <w:rPr>
          <w:rFonts w:hint="eastAsia" w:asciiTheme="minorEastAsia" w:hAnsiTheme="minorEastAsia" w:eastAsiaTheme="minorEastAsia" w:cstheme="minorEastAsia"/>
          <w:bCs/>
          <w:snapToGrid w:val="0"/>
          <w:kern w:val="2"/>
          <w:sz w:val="32"/>
          <w:szCs w:val="40"/>
          <w:highlight w:val="none"/>
          <w:lang w:val="en-US" w:eastAsia="zh-CN" w:bidi="ar-SA"/>
        </w:rPr>
      </w:pPr>
      <w:bookmarkStart w:id="31" w:name="_Toc3731"/>
      <w:r>
        <w:rPr>
          <w:rFonts w:hint="eastAsia" w:asciiTheme="minorEastAsia" w:hAnsiTheme="minorEastAsia" w:eastAsiaTheme="minorEastAsia" w:cstheme="minorEastAsia"/>
          <w:bCs/>
          <w:snapToGrid w:val="0"/>
          <w:kern w:val="2"/>
          <w:sz w:val="32"/>
          <w:szCs w:val="40"/>
          <w:highlight w:val="none"/>
          <w:lang w:val="en-US" w:eastAsia="zh-CN" w:bidi="ar-SA"/>
        </w:rPr>
        <w:t>七、联系方式</w:t>
      </w:r>
      <w:bookmarkEnd w:id="30"/>
      <w:bookmarkEnd w:id="31"/>
    </w:p>
    <w:p w14:paraId="08D31EF1">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采购人：中煤科工集团重庆研究院有限公司</w:t>
      </w:r>
    </w:p>
    <w:p w14:paraId="546B684A">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地址：重庆市九龙坡区科城路6号</w:t>
      </w:r>
    </w:p>
    <w:p w14:paraId="6A589DD6">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 xml:space="preserve">联系人：沈先生   </w:t>
      </w:r>
    </w:p>
    <w:p w14:paraId="23181C5F">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联系电话： 023-68683512</w:t>
      </w:r>
    </w:p>
    <w:p w14:paraId="44E3542A">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招标代理机构：国义招标股份有限公司</w:t>
      </w:r>
    </w:p>
    <w:p w14:paraId="4E3D1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地址：重庆市渝北区新溉大道99号</w:t>
      </w:r>
    </w:p>
    <w:p w14:paraId="7476EB17">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联系人：杨先生</w:t>
      </w:r>
    </w:p>
    <w:p w14:paraId="2116B0E4">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Cs w:val="28"/>
          <w:highlight w:val="none"/>
          <w:lang w:eastAsia="zh-CN"/>
        </w:rPr>
        <w:sectPr>
          <w:footerReference r:id="rId11" w:type="default"/>
          <w:pgSz w:w="11906" w:h="16838"/>
          <w:pgMar w:top="1440" w:right="1134" w:bottom="1440" w:left="1134" w:header="851" w:footer="992" w:gutter="0"/>
          <w:pgNumType w:fmt="decimal" w:start="1"/>
          <w:cols w:space="425" w:num="1"/>
          <w:docGrid w:type="lines" w:linePitch="312" w:charSpace="0"/>
        </w:sectPr>
      </w:pPr>
      <w:r>
        <w:rPr>
          <w:rFonts w:hint="eastAsia" w:asciiTheme="minorEastAsia" w:hAnsiTheme="minorEastAsia" w:eastAsiaTheme="minorEastAsia" w:cstheme="minorEastAsia"/>
          <w:kern w:val="2"/>
          <w:sz w:val="24"/>
          <w:szCs w:val="28"/>
          <w:lang w:val="en-US" w:eastAsia="zh-CN" w:bidi="ar-SA"/>
        </w:rPr>
        <w:t xml:space="preserve">联系电话：023-63117088 /19936132304    </w:t>
      </w:r>
      <w:r>
        <w:rPr>
          <w:rFonts w:hint="eastAsia" w:asciiTheme="minorEastAsia" w:hAnsiTheme="minorEastAsia" w:eastAsiaTheme="minorEastAsia" w:cstheme="minorEastAsia"/>
          <w:szCs w:val="28"/>
          <w:highlight w:val="none"/>
          <w:lang w:eastAsia="zh-CN"/>
        </w:rPr>
        <w:t xml:space="preserve"> </w:t>
      </w:r>
    </w:p>
    <w:p w14:paraId="7CD667D9">
      <w:pPr>
        <w:pageBreakBefore w:val="0"/>
        <w:kinsoku/>
        <w:overflowPunct/>
        <w:topLinePunct w:val="0"/>
        <w:bidi w:val="0"/>
        <w:spacing w:line="360" w:lineRule="auto"/>
        <w:jc w:val="left"/>
        <w:textAlignment w:val="auto"/>
        <w:rPr>
          <w:rFonts w:hint="eastAsia" w:asciiTheme="minorEastAsia" w:hAnsiTheme="minorEastAsia" w:eastAsiaTheme="minorEastAsia" w:cstheme="minorEastAsia"/>
          <w:b/>
          <w:bCs/>
          <w:sz w:val="22"/>
          <w:highlight w:val="none"/>
        </w:rPr>
      </w:pPr>
      <w:r>
        <w:rPr>
          <w:rFonts w:hint="eastAsia" w:asciiTheme="minorEastAsia" w:hAnsiTheme="minorEastAsia" w:eastAsiaTheme="minorEastAsia" w:cstheme="minorEastAsia"/>
          <w:b/>
          <w:bCs/>
          <w:sz w:val="22"/>
          <w:highlight w:val="none"/>
        </w:rPr>
        <w:t>附件：招标文件发售登记表</w:t>
      </w:r>
    </w:p>
    <w:p w14:paraId="2BF8F6E9">
      <w:pPr>
        <w:jc w:val="cente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lang w:val="en-US" w:eastAsia="zh-CN"/>
        </w:rPr>
        <w:t>招标</w:t>
      </w:r>
      <w:r>
        <w:rPr>
          <w:rFonts w:hint="eastAsia" w:asciiTheme="minorEastAsia" w:hAnsiTheme="minorEastAsia" w:eastAsiaTheme="minorEastAsia" w:cstheme="minorEastAsia"/>
          <w:b/>
          <w:bCs/>
          <w:sz w:val="44"/>
          <w:szCs w:val="44"/>
          <w:highlight w:val="none"/>
        </w:rPr>
        <w:t>文件发售登记表</w:t>
      </w:r>
    </w:p>
    <w:tbl>
      <w:tblPr>
        <w:tblStyle w:val="88"/>
        <w:tblW w:w="10125" w:type="dxa"/>
        <w:tblInd w:w="-6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2686"/>
        <w:gridCol w:w="1719"/>
        <w:gridCol w:w="3127"/>
      </w:tblGrid>
      <w:tr w14:paraId="7BA3E0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125" w:type="dxa"/>
            <w:gridSpan w:val="4"/>
            <w:noWrap w:val="0"/>
            <w:vAlign w:val="center"/>
          </w:tcPr>
          <w:p w14:paraId="108F678C">
            <w:pPr>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r>
              <w:rPr>
                <w:rFonts w:hint="eastAsia" w:cs="宋体"/>
                <w:sz w:val="24"/>
                <w:highlight w:val="none"/>
                <w:lang w:val="en-US" w:eastAsia="zh-CN"/>
              </w:rPr>
              <w:t>AI一体化管控平台研究与建设</w:t>
            </w:r>
            <w:r>
              <w:rPr>
                <w:rFonts w:hint="eastAsia" w:ascii="宋体" w:hAnsi="宋体" w:eastAsia="宋体" w:cs="宋体"/>
                <w:sz w:val="24"/>
                <w:highlight w:val="none"/>
                <w:lang w:val="en-US" w:eastAsia="zh-CN"/>
              </w:rPr>
              <w:t>公开招标</w:t>
            </w:r>
          </w:p>
        </w:tc>
      </w:tr>
      <w:tr w14:paraId="5CE115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593" w:type="dxa"/>
            <w:noWrap w:val="0"/>
            <w:vAlign w:val="center"/>
          </w:tcPr>
          <w:p w14:paraId="768045B8">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名称</w:t>
            </w:r>
          </w:p>
        </w:tc>
        <w:tc>
          <w:tcPr>
            <w:tcW w:w="7532" w:type="dxa"/>
            <w:gridSpan w:val="3"/>
            <w:noWrap w:val="0"/>
            <w:vAlign w:val="bottom"/>
          </w:tcPr>
          <w:p w14:paraId="50BF17C1">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rPr>
              <w:t>公章）</w:t>
            </w:r>
          </w:p>
        </w:tc>
      </w:tr>
      <w:tr w14:paraId="31028D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593" w:type="dxa"/>
            <w:noWrap w:val="0"/>
            <w:vAlign w:val="center"/>
          </w:tcPr>
          <w:p w14:paraId="17813481">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
        </w:tc>
        <w:tc>
          <w:tcPr>
            <w:tcW w:w="2686" w:type="dxa"/>
            <w:noWrap w:val="0"/>
            <w:vAlign w:val="center"/>
          </w:tcPr>
          <w:p w14:paraId="31D3DC1A">
            <w:pPr>
              <w:spacing w:line="360" w:lineRule="exact"/>
              <w:jc w:val="center"/>
              <w:rPr>
                <w:rFonts w:hint="eastAsia" w:asciiTheme="minorEastAsia" w:hAnsiTheme="minorEastAsia" w:eastAsiaTheme="minorEastAsia" w:cstheme="minorEastAsia"/>
                <w:sz w:val="24"/>
                <w:szCs w:val="24"/>
                <w:highlight w:val="none"/>
              </w:rPr>
            </w:pPr>
          </w:p>
        </w:tc>
        <w:tc>
          <w:tcPr>
            <w:tcW w:w="1719" w:type="dxa"/>
            <w:noWrap w:val="0"/>
            <w:vAlign w:val="center"/>
          </w:tcPr>
          <w:p w14:paraId="0D905987">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w:t>
            </w:r>
          </w:p>
          <w:p w14:paraId="5F9D2BCE">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（手机）</w:t>
            </w:r>
          </w:p>
        </w:tc>
        <w:tc>
          <w:tcPr>
            <w:tcW w:w="3127" w:type="dxa"/>
            <w:noWrap w:val="0"/>
            <w:vAlign w:val="center"/>
          </w:tcPr>
          <w:p w14:paraId="1B2251C6">
            <w:pPr>
              <w:spacing w:line="360" w:lineRule="exact"/>
              <w:jc w:val="center"/>
              <w:rPr>
                <w:rFonts w:hint="eastAsia" w:asciiTheme="minorEastAsia" w:hAnsiTheme="minorEastAsia" w:eastAsiaTheme="minorEastAsia" w:cstheme="minorEastAsia"/>
                <w:sz w:val="24"/>
                <w:szCs w:val="24"/>
                <w:highlight w:val="none"/>
              </w:rPr>
            </w:pPr>
          </w:p>
        </w:tc>
      </w:tr>
      <w:tr w14:paraId="4038D6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93" w:type="dxa"/>
            <w:noWrap w:val="0"/>
            <w:vAlign w:val="center"/>
          </w:tcPr>
          <w:p w14:paraId="728575F3">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电子邮箱</w:t>
            </w:r>
          </w:p>
        </w:tc>
        <w:tc>
          <w:tcPr>
            <w:tcW w:w="7532" w:type="dxa"/>
            <w:gridSpan w:val="3"/>
            <w:noWrap w:val="0"/>
            <w:vAlign w:val="center"/>
          </w:tcPr>
          <w:p w14:paraId="0E25AB9A">
            <w:pPr>
              <w:spacing w:line="360" w:lineRule="exact"/>
              <w:jc w:val="center"/>
              <w:rPr>
                <w:rFonts w:hint="eastAsia" w:asciiTheme="minorEastAsia" w:hAnsiTheme="minorEastAsia" w:eastAsiaTheme="minorEastAsia" w:cstheme="minorEastAsia"/>
                <w:sz w:val="24"/>
                <w:szCs w:val="24"/>
                <w:highlight w:val="none"/>
              </w:rPr>
            </w:pPr>
          </w:p>
        </w:tc>
      </w:tr>
      <w:tr w14:paraId="69D19E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593" w:type="dxa"/>
            <w:noWrap w:val="0"/>
            <w:vAlign w:val="center"/>
          </w:tcPr>
          <w:p w14:paraId="1738F31E">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单位地址</w:t>
            </w:r>
          </w:p>
        </w:tc>
        <w:tc>
          <w:tcPr>
            <w:tcW w:w="7532" w:type="dxa"/>
            <w:gridSpan w:val="3"/>
            <w:noWrap w:val="0"/>
            <w:vAlign w:val="center"/>
          </w:tcPr>
          <w:p w14:paraId="427261EA">
            <w:pPr>
              <w:spacing w:line="360" w:lineRule="exact"/>
              <w:jc w:val="left"/>
              <w:rPr>
                <w:rFonts w:hint="eastAsia" w:asciiTheme="minorEastAsia" w:hAnsiTheme="minorEastAsia" w:eastAsiaTheme="minorEastAsia" w:cstheme="minorEastAsia"/>
                <w:sz w:val="24"/>
                <w:szCs w:val="24"/>
                <w:highlight w:val="none"/>
              </w:rPr>
            </w:pPr>
          </w:p>
        </w:tc>
      </w:tr>
      <w:tr w14:paraId="5AC8F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25" w:type="dxa"/>
            <w:gridSpan w:val="4"/>
            <w:noWrap w:val="0"/>
            <w:vAlign w:val="center"/>
          </w:tcPr>
          <w:p w14:paraId="7F5993F9">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投标人需将加盖公司</w:t>
            </w:r>
            <w:r>
              <w:rPr>
                <w:rFonts w:hint="eastAsia" w:asciiTheme="minorEastAsia" w:hAnsiTheme="minorEastAsia" w:eastAsia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rPr>
              <w:t>章后的法定代表人身份证</w:t>
            </w:r>
            <w:r>
              <w:rPr>
                <w:rFonts w:hint="eastAsia" w:asciiTheme="minorEastAsia" w:hAnsiTheme="minorEastAsia" w:eastAsiaTheme="minorEastAsia" w:cstheme="minorEastAsia"/>
                <w:color w:val="auto"/>
                <w:sz w:val="24"/>
                <w:szCs w:val="24"/>
                <w:highlight w:val="none"/>
                <w:lang w:val="en-US" w:eastAsia="zh-CN"/>
              </w:rPr>
              <w:t>扫描件或</w:t>
            </w:r>
            <w:r>
              <w:rPr>
                <w:rFonts w:hint="eastAsia" w:asciiTheme="minorEastAsia" w:hAnsiTheme="minorEastAsia" w:eastAsiaTheme="minorEastAsia" w:cstheme="minorEastAsia"/>
                <w:color w:val="auto"/>
                <w:sz w:val="24"/>
                <w:szCs w:val="24"/>
                <w:highlight w:val="none"/>
              </w:rPr>
              <w:t>授权委托书</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、营业执照副本扫描件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招标文件发售登记表（详见附件）</w:t>
            </w:r>
            <w:r>
              <w:rPr>
                <w:rFonts w:hint="eastAsia" w:asciiTheme="minorEastAsia" w:hAnsiTheme="minorEastAsia" w:eastAsiaTheme="minorEastAsia" w:cstheme="minorEastAsia"/>
                <w:color w:val="auto"/>
                <w:sz w:val="24"/>
                <w:szCs w:val="24"/>
                <w:highlight w:val="none"/>
                <w:lang w:eastAsia="zh-CN"/>
              </w:rPr>
              <w:t>发送至</w:t>
            </w:r>
            <w:r>
              <w:rPr>
                <w:rFonts w:hint="eastAsia" w:asciiTheme="minorEastAsia" w:hAnsiTheme="minorEastAsia" w:eastAsiaTheme="minorEastAsia" w:cstheme="minorEastAsia"/>
                <w:color w:val="auto"/>
                <w:sz w:val="24"/>
                <w:szCs w:val="24"/>
                <w:highlight w:val="none"/>
              </w:rPr>
              <w:t>邮箱（cq@ebidding.com，请注明单位名称及联系方式）,并足额交纳本项目文件费。（投标人将文件费汇至下方账户，汇款时务必注明</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cs="宋体"/>
                <w:sz w:val="24"/>
                <w:highlight w:val="none"/>
                <w:lang w:val="en-US" w:eastAsia="zh-CN"/>
              </w:rPr>
              <w:t>AI一体化管控平台研究与建设</w:t>
            </w:r>
            <w:r>
              <w:rPr>
                <w:rFonts w:hint="eastAsia" w:ascii="宋体" w:hAnsi="宋体" w:eastAsia="宋体" w:cs="宋体"/>
                <w:sz w:val="24"/>
                <w:highlight w:val="none"/>
                <w:lang w:val="en-US" w:eastAsia="zh-CN"/>
              </w:rPr>
              <w:t>公开招标</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文件费”字样，否则因款项用途不明导致投标无效等后果由投标人自行承担。）</w:t>
            </w:r>
          </w:p>
          <w:p w14:paraId="479981EE">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汇款账户信息如下：</w:t>
            </w:r>
          </w:p>
          <w:p w14:paraId="365A3BEC">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公司账户：国义招标股份有限公司重庆分公司</w:t>
            </w:r>
          </w:p>
          <w:p w14:paraId="145A1068">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户 行：招商银行股份有限公司重庆北部新区支行</w:t>
            </w:r>
          </w:p>
          <w:p w14:paraId="70428142">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号：123911499910101</w:t>
            </w:r>
          </w:p>
          <w:p w14:paraId="6468D8B0">
            <w:pPr>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报名完成并经</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核实后将招标文件以电子版本形式发送给投标人。</w:t>
            </w:r>
          </w:p>
          <w:p w14:paraId="063C7265">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招标文件售价：人民币</w:t>
            </w:r>
            <w:r>
              <w:rPr>
                <w:rFonts w:hint="eastAsia" w:asciiTheme="minorEastAsia" w:hAnsiTheme="minorEastAsia" w:eastAsiaTheme="minorEastAsia" w:cstheme="minorEastAsia"/>
                <w:color w:val="auto"/>
                <w:sz w:val="24"/>
                <w:szCs w:val="24"/>
                <w:highlight w:val="none"/>
                <w:lang w:val="en-US" w:eastAsia="zh-CN"/>
              </w:rPr>
              <w:t>300</w:t>
            </w:r>
            <w:r>
              <w:rPr>
                <w:rFonts w:hint="eastAsia" w:asciiTheme="minorEastAsia" w:hAnsiTheme="minorEastAsia" w:eastAsiaTheme="minorEastAsia" w:cstheme="minorEastAsia"/>
                <w:color w:val="auto"/>
                <w:sz w:val="24"/>
                <w:szCs w:val="24"/>
                <w:highlight w:val="none"/>
              </w:rPr>
              <w:t>.00元/份（售后不退）。</w:t>
            </w:r>
          </w:p>
        </w:tc>
      </w:tr>
      <w:tr w14:paraId="5A38A8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125" w:type="dxa"/>
            <w:gridSpan w:val="4"/>
            <w:noWrap w:val="0"/>
            <w:vAlign w:val="center"/>
          </w:tcPr>
          <w:p w14:paraId="4C72D73A">
            <w:pPr>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报名和文件发售期：</w:t>
            </w:r>
            <w:r>
              <w:rPr>
                <w:rFonts w:hint="eastAsia" w:asciiTheme="minorEastAsia" w:hAnsiTheme="minorEastAsia" w:eastAsiaTheme="minorEastAsia" w:cstheme="minorEastAsia"/>
                <w:b/>
                <w:bCs/>
                <w:color w:val="auto"/>
                <w:sz w:val="24"/>
                <w:szCs w:val="28"/>
                <w:highlight w:val="none"/>
                <w:u w:val="single"/>
              </w:rPr>
              <w:t>202</w:t>
            </w:r>
            <w:r>
              <w:rPr>
                <w:rFonts w:hint="eastAsia" w:asciiTheme="minorEastAsia" w:hAnsiTheme="minorEastAsia" w:eastAsiaTheme="minorEastAsia" w:cstheme="minorEastAsia"/>
                <w:b/>
                <w:bCs/>
                <w:color w:val="auto"/>
                <w:sz w:val="24"/>
                <w:szCs w:val="28"/>
                <w:highlight w:val="none"/>
                <w:u w:val="single"/>
                <w:lang w:val="en-US" w:eastAsia="zh-CN"/>
              </w:rPr>
              <w:t>6</w:t>
            </w:r>
            <w:r>
              <w:rPr>
                <w:rFonts w:hint="eastAsia" w:asciiTheme="minorEastAsia" w:hAnsiTheme="minorEastAsia" w:eastAsiaTheme="minorEastAsia" w:cstheme="minorEastAsia"/>
                <w:b/>
                <w:bCs/>
                <w:color w:val="auto"/>
                <w:sz w:val="24"/>
                <w:szCs w:val="28"/>
                <w:highlight w:val="none"/>
                <w:u w:val="single"/>
              </w:rPr>
              <w:t>年</w:t>
            </w:r>
            <w:r>
              <w:rPr>
                <w:rFonts w:hint="eastAsia" w:asciiTheme="minorEastAsia" w:hAnsiTheme="minorEastAsia" w:eastAsiaTheme="minorEastAsia" w:cstheme="minorEastAsia"/>
                <w:b/>
                <w:bCs/>
                <w:color w:val="auto"/>
                <w:sz w:val="24"/>
                <w:szCs w:val="28"/>
                <w:highlight w:val="none"/>
                <w:u w:val="single"/>
                <w:lang w:val="en-US" w:eastAsia="zh-CN"/>
              </w:rPr>
              <w:t>7</w:t>
            </w:r>
            <w:r>
              <w:rPr>
                <w:rFonts w:hint="eastAsia" w:asciiTheme="minorEastAsia" w:hAnsiTheme="minorEastAsia" w:eastAsiaTheme="minorEastAsia" w:cstheme="minorEastAsia"/>
                <w:b/>
                <w:bCs/>
                <w:color w:val="auto"/>
                <w:sz w:val="24"/>
                <w:szCs w:val="28"/>
                <w:highlight w:val="none"/>
                <w:u w:val="single"/>
              </w:rPr>
              <w:t>月</w:t>
            </w:r>
            <w:r>
              <w:rPr>
                <w:rFonts w:hint="eastAsia" w:asciiTheme="minorEastAsia" w:hAnsiTheme="minorEastAsia" w:eastAsiaTheme="minorEastAsia" w:cstheme="minorEastAsia"/>
                <w:b/>
                <w:bCs/>
                <w:color w:val="auto"/>
                <w:sz w:val="24"/>
                <w:szCs w:val="28"/>
                <w:highlight w:val="none"/>
                <w:u w:val="single"/>
                <w:lang w:val="en-US" w:eastAsia="zh-CN"/>
              </w:rPr>
              <w:t>20</w:t>
            </w:r>
            <w:r>
              <w:rPr>
                <w:rFonts w:hint="eastAsia" w:asciiTheme="minorEastAsia" w:hAnsiTheme="minorEastAsia" w:eastAsiaTheme="minorEastAsia" w:cstheme="minorEastAsia"/>
                <w:b/>
                <w:bCs/>
                <w:color w:val="auto"/>
                <w:sz w:val="24"/>
                <w:szCs w:val="28"/>
                <w:highlight w:val="none"/>
                <w:u w:val="single"/>
              </w:rPr>
              <w:t>日至202</w:t>
            </w:r>
            <w:r>
              <w:rPr>
                <w:rFonts w:hint="eastAsia" w:asciiTheme="minorEastAsia" w:hAnsiTheme="minorEastAsia" w:eastAsiaTheme="minorEastAsia" w:cstheme="minorEastAsia"/>
                <w:b/>
                <w:bCs/>
                <w:color w:val="auto"/>
                <w:sz w:val="24"/>
                <w:szCs w:val="28"/>
                <w:highlight w:val="none"/>
                <w:u w:val="single"/>
                <w:lang w:val="en-US" w:eastAsia="zh-CN"/>
              </w:rPr>
              <w:t>6</w:t>
            </w:r>
            <w:r>
              <w:rPr>
                <w:rFonts w:hint="eastAsia" w:asciiTheme="minorEastAsia" w:hAnsiTheme="minorEastAsia" w:eastAsiaTheme="minorEastAsia" w:cstheme="minorEastAsia"/>
                <w:b/>
                <w:bCs/>
                <w:color w:val="auto"/>
                <w:sz w:val="24"/>
                <w:szCs w:val="28"/>
                <w:highlight w:val="none"/>
                <w:u w:val="single"/>
              </w:rPr>
              <w:t>年</w:t>
            </w:r>
            <w:r>
              <w:rPr>
                <w:rFonts w:hint="eastAsia" w:asciiTheme="minorEastAsia" w:hAnsiTheme="minorEastAsia" w:eastAsiaTheme="minorEastAsia" w:cstheme="minorEastAsia"/>
                <w:b/>
                <w:bCs/>
                <w:color w:val="auto"/>
                <w:sz w:val="24"/>
                <w:szCs w:val="28"/>
                <w:highlight w:val="none"/>
                <w:u w:val="single"/>
                <w:lang w:val="en-US" w:eastAsia="zh-CN"/>
              </w:rPr>
              <w:t>7</w:t>
            </w:r>
            <w:r>
              <w:rPr>
                <w:rFonts w:hint="eastAsia" w:asciiTheme="minorEastAsia" w:hAnsiTheme="minorEastAsia" w:eastAsiaTheme="minorEastAsia" w:cstheme="minorEastAsia"/>
                <w:b/>
                <w:bCs/>
                <w:color w:val="auto"/>
                <w:sz w:val="24"/>
                <w:szCs w:val="28"/>
                <w:highlight w:val="none"/>
                <w:u w:val="single"/>
              </w:rPr>
              <w:t>月</w:t>
            </w:r>
            <w:r>
              <w:rPr>
                <w:rFonts w:hint="eastAsia" w:asciiTheme="minorEastAsia" w:hAnsiTheme="minorEastAsia" w:eastAsiaTheme="minorEastAsia" w:cstheme="minorEastAsia"/>
                <w:b/>
                <w:bCs/>
                <w:color w:val="auto"/>
                <w:sz w:val="24"/>
                <w:szCs w:val="28"/>
                <w:highlight w:val="none"/>
                <w:u w:val="single"/>
                <w:lang w:val="en-US" w:eastAsia="zh-CN"/>
              </w:rPr>
              <w:t>24</w:t>
            </w:r>
            <w:r>
              <w:rPr>
                <w:rFonts w:hint="eastAsia" w:asciiTheme="minorEastAsia" w:hAnsiTheme="minorEastAsia" w:eastAsiaTheme="minorEastAsia" w:cstheme="minorEastAsia"/>
                <w:b/>
                <w:bCs/>
                <w:color w:val="auto"/>
                <w:sz w:val="24"/>
                <w:szCs w:val="28"/>
                <w:highlight w:val="none"/>
                <w:u w:val="single"/>
              </w:rPr>
              <w:t>日09:00-17:30</w:t>
            </w:r>
            <w:r>
              <w:rPr>
                <w:rFonts w:hint="eastAsia" w:asciiTheme="minorEastAsia" w:hAnsiTheme="minorEastAsia" w:eastAsiaTheme="minorEastAsia" w:cstheme="minorEastAsia"/>
                <w:b/>
                <w:bCs/>
                <w:color w:val="auto"/>
                <w:sz w:val="24"/>
                <w:szCs w:val="28"/>
                <w:highlight w:val="none"/>
                <w:u w:val="single"/>
                <w:lang w:eastAsia="zh-CN"/>
              </w:rPr>
              <w:t>。</w:t>
            </w:r>
            <w:r>
              <w:rPr>
                <w:rFonts w:hint="eastAsia" w:asciiTheme="minorEastAsia" w:hAnsiTheme="minorEastAsia" w:eastAsiaTheme="minorEastAsia" w:cstheme="minorEastAsia"/>
                <w:color w:val="auto"/>
                <w:sz w:val="24"/>
                <w:szCs w:val="24"/>
                <w:highlight w:val="none"/>
              </w:rPr>
              <w:t>（工作时间）</w:t>
            </w:r>
          </w:p>
        </w:tc>
      </w:tr>
      <w:tr w14:paraId="6BDEF0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0125" w:type="dxa"/>
            <w:gridSpan w:val="4"/>
            <w:noWrap w:val="0"/>
            <w:vAlign w:val="center"/>
          </w:tcPr>
          <w:p w14:paraId="262BBB2A">
            <w:pPr>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联系</w:t>
            </w:r>
            <w:r>
              <w:rPr>
                <w:rFonts w:hint="eastAsia" w:asciiTheme="minorEastAsia" w:hAnsiTheme="minorEastAsia" w:eastAsiaTheme="minorEastAsia" w:cstheme="minorEastAsia"/>
                <w:sz w:val="24"/>
                <w:szCs w:val="24"/>
                <w:highlight w:val="none"/>
              </w:rPr>
              <w:t>人：</w:t>
            </w:r>
            <w:r>
              <w:rPr>
                <w:rFonts w:hint="eastAsia" w:asciiTheme="minorEastAsia" w:hAnsiTheme="minorEastAsia" w:eastAsiaTheme="minorEastAsia" w:cstheme="minorEastAsia"/>
                <w:sz w:val="24"/>
                <w:szCs w:val="24"/>
                <w:highlight w:val="none"/>
                <w:lang w:val="en-US" w:eastAsia="zh-CN"/>
              </w:rPr>
              <w:t>杨</w:t>
            </w:r>
            <w:r>
              <w:rPr>
                <w:rFonts w:hint="eastAsia" w:asciiTheme="minorEastAsia" w:hAnsiTheme="minorEastAsia" w:eastAsiaTheme="minorEastAsia" w:cstheme="minorEastAsia"/>
                <w:sz w:val="24"/>
                <w:szCs w:val="24"/>
                <w:highlight w:val="none"/>
                <w:lang w:eastAsia="zh-CN"/>
              </w:rPr>
              <w:t>老师</w:t>
            </w:r>
            <w:r>
              <w:rPr>
                <w:rFonts w:hint="eastAsia" w:asciiTheme="minorEastAsia" w:hAnsiTheme="minorEastAsia" w:eastAsiaTheme="minorEastAsia" w:cstheme="minorEastAsia"/>
                <w:sz w:val="24"/>
                <w:szCs w:val="24"/>
                <w:highlight w:val="none"/>
              </w:rPr>
              <w:t xml:space="preserve"> 023-63117088</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/19936132304</w:t>
            </w:r>
          </w:p>
        </w:tc>
      </w:tr>
    </w:tbl>
    <w:p w14:paraId="6DFB1003">
      <w:pPr>
        <w:pStyle w:val="97"/>
        <w:rPr>
          <w:rFonts w:hint="eastAsia" w:asciiTheme="minorEastAsia" w:hAnsiTheme="minorEastAsia" w:eastAsiaTheme="minorEastAsia" w:cstheme="minorEastAsia"/>
          <w:szCs w:val="28"/>
          <w:highlight w:val="none"/>
          <w:lang w:eastAsia="zh-CN"/>
        </w:rPr>
      </w:pPr>
    </w:p>
    <w:p w14:paraId="166B5C57">
      <w:pPr>
        <w:pStyle w:val="97"/>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br w:type="page"/>
      </w:r>
    </w:p>
    <w:p w14:paraId="6A8FBD50">
      <w:pPr>
        <w:pStyle w:val="84"/>
        <w:rPr>
          <w:rFonts w:hint="eastAsia" w:asciiTheme="minorEastAsia" w:hAnsiTheme="minorEastAsia" w:eastAsiaTheme="minorEastAsia" w:cstheme="minorEastAsia"/>
          <w:highlight w:val="none"/>
          <w:lang w:eastAsia="zh-CN"/>
        </w:rPr>
      </w:pPr>
      <w:bookmarkStart w:id="32" w:name="_Toc29906"/>
      <w:bookmarkStart w:id="33" w:name="bookmark49"/>
      <w:bookmarkStart w:id="34" w:name="bookmark48"/>
      <w:bookmarkStart w:id="35" w:name="_Toc18329"/>
      <w:bookmarkStart w:id="36" w:name="bookmark47"/>
      <w:bookmarkStart w:id="37" w:name="_Toc19043"/>
      <w:r>
        <w:rPr>
          <w:rFonts w:hint="eastAsia" w:asciiTheme="minorEastAsia" w:hAnsiTheme="minorEastAsia" w:eastAsiaTheme="minorEastAsia" w:cstheme="minorEastAsia"/>
          <w:highlight w:val="none"/>
          <w:lang w:eastAsia="zh-CN"/>
        </w:rPr>
        <w:t>第二章 投标人须知</w:t>
      </w:r>
      <w:bookmarkEnd w:id="32"/>
      <w:bookmarkEnd w:id="33"/>
      <w:bookmarkEnd w:id="34"/>
      <w:bookmarkEnd w:id="35"/>
      <w:bookmarkEnd w:id="36"/>
      <w:bookmarkEnd w:id="37"/>
    </w:p>
    <w:p w14:paraId="38A30163">
      <w:pPr>
        <w:pStyle w:val="4"/>
        <w:numPr>
          <w:ilvl w:val="0"/>
          <w:numId w:val="0"/>
        </w:numPr>
        <w:ind w:leftChars="-59" w:hanging="151" w:hangingChars="47"/>
        <w:outlineLvl w:val="0"/>
        <w:rPr>
          <w:rFonts w:hint="default" w:asciiTheme="minorEastAsia" w:hAnsiTheme="minorEastAsia" w:eastAsiaTheme="minorEastAsia" w:cstheme="minorEastAsia"/>
          <w:highlight w:val="none"/>
          <w:lang w:val="en-US" w:eastAsia="zh-CN"/>
        </w:rPr>
      </w:pPr>
      <w:bookmarkStart w:id="38" w:name="_Toc22459"/>
      <w:bookmarkStart w:id="39" w:name="_Toc8193"/>
      <w:r>
        <w:rPr>
          <w:rFonts w:hint="eastAsia" w:asciiTheme="minorEastAsia" w:hAnsiTheme="minorEastAsia" w:eastAsiaTheme="minorEastAsia" w:cstheme="minorEastAsia"/>
          <w:highlight w:val="none"/>
          <w:lang w:val="en-US" w:eastAsia="zh-CN"/>
        </w:rPr>
        <w:t>一、</w:t>
      </w:r>
      <w:r>
        <w:rPr>
          <w:rFonts w:hint="eastAsia" w:asciiTheme="minorEastAsia" w:hAnsiTheme="minorEastAsia" w:eastAsiaTheme="minorEastAsia" w:cstheme="minorEastAsia"/>
          <w:highlight w:val="none"/>
          <w:lang w:eastAsia="zh-CN"/>
        </w:rPr>
        <w:t>投标人须知前附表</w:t>
      </w:r>
      <w:bookmarkEnd w:id="38"/>
      <w:bookmarkEnd w:id="39"/>
    </w:p>
    <w:p w14:paraId="09C414DE">
      <w:pPr>
        <w:spacing w:line="360" w:lineRule="auto"/>
        <w:ind w:firstLine="422"/>
        <w:rPr>
          <w:rFonts w:hint="eastAsia" w:asciiTheme="minorEastAsia" w:hAnsiTheme="minorEastAsia" w:eastAsiaTheme="minorEastAsia" w:cstheme="minorEastAsia"/>
          <w:b w:val="0"/>
          <w:bCs w:val="0"/>
          <w:highlight w:val="none"/>
          <w:lang w:eastAsia="zh-CN"/>
        </w:rPr>
      </w:pPr>
      <w:r>
        <w:rPr>
          <w:rFonts w:hint="eastAsia" w:asciiTheme="minorEastAsia" w:hAnsiTheme="minorEastAsia" w:eastAsiaTheme="minorEastAsia" w:cstheme="minorEastAsia"/>
          <w:b w:val="0"/>
          <w:bCs w:val="0"/>
          <w:sz w:val="24"/>
          <w:szCs w:val="24"/>
          <w:highlight w:val="none"/>
        </w:rPr>
        <w:t>注：“投标人须知前附表”是“投标人须知”正文相应条款针对本具体项目的具体修改和补充，两者有矛盾时以“投标人须知前附表”相应条款为准。</w:t>
      </w:r>
    </w:p>
    <w:tbl>
      <w:tblPr>
        <w:tblStyle w:val="89"/>
        <w:tblpPr w:leftFromText="180" w:rightFromText="180" w:vertAnchor="text" w:tblpXSpec="center" w:tblpY="1"/>
        <w:tblOverlap w:val="never"/>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214"/>
        <w:gridCol w:w="6143"/>
      </w:tblGrid>
      <w:tr w14:paraId="20DF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288" w:type="dxa"/>
            <w:vAlign w:val="center"/>
          </w:tcPr>
          <w:p w14:paraId="7D9C6EDB">
            <w:pPr>
              <w:spacing w:line="240" w:lineRule="auto"/>
              <w:ind w:firstLine="0" w:firstLineChars="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条款号</w:t>
            </w:r>
          </w:p>
        </w:tc>
        <w:tc>
          <w:tcPr>
            <w:tcW w:w="2214" w:type="dxa"/>
            <w:vAlign w:val="center"/>
          </w:tcPr>
          <w:p w14:paraId="1B0E7951">
            <w:pPr>
              <w:spacing w:line="240" w:lineRule="auto"/>
              <w:ind w:firstLine="0" w:firstLineChars="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条款名称</w:t>
            </w:r>
          </w:p>
        </w:tc>
        <w:tc>
          <w:tcPr>
            <w:tcW w:w="6143" w:type="dxa"/>
            <w:vAlign w:val="center"/>
          </w:tcPr>
          <w:p w14:paraId="0CE63968">
            <w:pPr>
              <w:spacing w:line="240" w:lineRule="auto"/>
              <w:ind w:firstLine="0" w:firstLineChars="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编</w:t>
            </w:r>
            <w:r>
              <w:rPr>
                <w:rFonts w:hint="eastAsia" w:asciiTheme="minorEastAsia" w:hAnsiTheme="minorEastAsia" w:eastAsiaTheme="minorEastAsia" w:cstheme="minorEastAsia"/>
                <w:b/>
                <w:highlight w:val="none"/>
                <w:lang w:val="en-US" w:eastAsia="zh-CN"/>
              </w:rPr>
              <w:t xml:space="preserve"> </w:t>
            </w:r>
            <w:r>
              <w:rPr>
                <w:rFonts w:hint="eastAsia" w:asciiTheme="minorEastAsia" w:hAnsiTheme="minorEastAsia" w:eastAsiaTheme="minorEastAsia" w:cstheme="minorEastAsia"/>
                <w:b/>
                <w:highlight w:val="none"/>
              </w:rPr>
              <w:t>列</w:t>
            </w:r>
            <w:r>
              <w:rPr>
                <w:rFonts w:hint="eastAsia" w:asciiTheme="minorEastAsia" w:hAnsiTheme="minorEastAsia" w:eastAsiaTheme="minorEastAsia" w:cstheme="minorEastAsia"/>
                <w:b/>
                <w:highlight w:val="none"/>
                <w:lang w:val="en-US" w:eastAsia="zh-CN"/>
              </w:rPr>
              <w:t xml:space="preserve"> </w:t>
            </w:r>
            <w:r>
              <w:rPr>
                <w:rFonts w:hint="eastAsia" w:asciiTheme="minorEastAsia" w:hAnsiTheme="minorEastAsia" w:eastAsiaTheme="minorEastAsia" w:cstheme="minorEastAsia"/>
                <w:b/>
                <w:highlight w:val="none"/>
              </w:rPr>
              <w:t>内</w:t>
            </w:r>
            <w:r>
              <w:rPr>
                <w:rFonts w:hint="eastAsia" w:asciiTheme="minorEastAsia" w:hAnsiTheme="minorEastAsia" w:eastAsiaTheme="minorEastAsia" w:cstheme="minorEastAsia"/>
                <w:b/>
                <w:highlight w:val="none"/>
                <w:lang w:val="en-US" w:eastAsia="zh-CN"/>
              </w:rPr>
              <w:t xml:space="preserve"> </w:t>
            </w:r>
            <w:r>
              <w:rPr>
                <w:rFonts w:hint="eastAsia" w:asciiTheme="minorEastAsia" w:hAnsiTheme="minorEastAsia" w:eastAsiaTheme="minorEastAsia" w:cstheme="minorEastAsia"/>
                <w:b/>
                <w:highlight w:val="none"/>
              </w:rPr>
              <w:t>容</w:t>
            </w:r>
          </w:p>
        </w:tc>
      </w:tr>
      <w:tr w14:paraId="54CF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4F5EFBF0">
            <w:pPr>
              <w:numPr>
                <w:ilvl w:val="0"/>
                <w:numId w:val="13"/>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7D2697EB">
            <w:pPr>
              <w:keepNext w:val="0"/>
              <w:keepLines w:val="0"/>
              <w:pageBreakBefore w:val="0"/>
              <w:widowControl w:val="0"/>
              <w:kinsoku/>
              <w:wordWrap/>
              <w:overflowPunct/>
              <w:topLinePunct w:val="0"/>
              <w:bidi w:val="0"/>
              <w:spacing w:line="360" w:lineRule="auto"/>
              <w:ind w:left="0" w:leftChars="0" w:firstLine="0" w:firstLineChars="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采购人</w:t>
            </w:r>
          </w:p>
        </w:tc>
        <w:tc>
          <w:tcPr>
            <w:tcW w:w="6143" w:type="dxa"/>
            <w:vAlign w:val="center"/>
          </w:tcPr>
          <w:p w14:paraId="114DFC7B">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采购人：中煤科工集团重庆研究院有限公司</w:t>
            </w:r>
          </w:p>
          <w:p w14:paraId="2A8C525E">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地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址：重庆市九龙坡区科城路6号</w:t>
            </w:r>
          </w:p>
          <w:p w14:paraId="611FBBCE">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联系</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z w:val="24"/>
                <w:szCs w:val="24"/>
                <w:highlight w:val="none"/>
                <w:lang w:val="en-US" w:eastAsia="zh-CN"/>
              </w:rPr>
              <w:t>沈先生</w:t>
            </w:r>
            <w:r>
              <w:rPr>
                <w:rFonts w:hint="eastAsia" w:asciiTheme="minorEastAsia" w:hAnsiTheme="minorEastAsia" w:eastAsiaTheme="minorEastAsia" w:cstheme="minorEastAsia"/>
                <w:sz w:val="24"/>
                <w:szCs w:val="24"/>
                <w:highlight w:val="none"/>
                <w:lang w:eastAsia="zh-CN"/>
              </w:rPr>
              <w:t xml:space="preserve">   </w:t>
            </w:r>
          </w:p>
          <w:p w14:paraId="18133062">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联系电话：</w:t>
            </w:r>
            <w:r>
              <w:rPr>
                <w:rFonts w:hint="eastAsia" w:asciiTheme="minorEastAsia" w:hAnsiTheme="minorEastAsia" w:eastAsiaTheme="minorEastAsia" w:cstheme="minorEastAsia"/>
                <w:sz w:val="24"/>
                <w:szCs w:val="24"/>
                <w:highlight w:val="none"/>
                <w:lang w:val="en-US" w:eastAsia="zh-CN"/>
              </w:rPr>
              <w:t>023-68683512</w:t>
            </w:r>
          </w:p>
          <w:p w14:paraId="6774C321">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default" w:asciiTheme="minorEastAsia" w:hAnsiTheme="minorEastAsia" w:eastAsiaTheme="minorEastAsia" w:cstheme="minorEastAsia"/>
                <w:sz w:val="24"/>
                <w:szCs w:val="24"/>
                <w:highlight w:val="none"/>
                <w:lang w:val="en-US" w:eastAsia="zh-TW"/>
              </w:rPr>
            </w:pPr>
            <w:r>
              <w:rPr>
                <w:rFonts w:hint="eastAsia" w:asciiTheme="minorEastAsia" w:hAnsiTheme="minorEastAsia" w:eastAsiaTheme="minorEastAsia" w:cstheme="minorEastAsia"/>
                <w:sz w:val="24"/>
                <w:szCs w:val="24"/>
                <w:highlight w:val="none"/>
                <w:lang w:val="zh-TW" w:eastAsia="zh-TW"/>
              </w:rPr>
              <w:t>技术联系人</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en-US" w:eastAsia="zh-CN"/>
              </w:rPr>
              <w:t>李先生</w:t>
            </w:r>
          </w:p>
          <w:p w14:paraId="65C21576">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zh-TW" w:eastAsia="zh-TW"/>
              </w:rPr>
              <w:t>联系电话：</w:t>
            </w:r>
            <w:r>
              <w:rPr>
                <w:rFonts w:hint="eastAsia" w:asciiTheme="minorEastAsia" w:hAnsiTheme="minorEastAsia" w:eastAsiaTheme="minorEastAsia" w:cstheme="minorEastAsia"/>
                <w:sz w:val="24"/>
                <w:szCs w:val="24"/>
                <w:highlight w:val="none"/>
                <w:lang w:val="en-US" w:eastAsia="zh-CN"/>
              </w:rPr>
              <w:t>13996384167</w:t>
            </w:r>
          </w:p>
        </w:tc>
      </w:tr>
      <w:tr w14:paraId="46D5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03FA3C18">
            <w:pPr>
              <w:numPr>
                <w:ilvl w:val="0"/>
                <w:numId w:val="13"/>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7E82A86F">
            <w:pPr>
              <w:keepNext w:val="0"/>
              <w:keepLines w:val="0"/>
              <w:pageBreakBefore w:val="0"/>
              <w:widowControl w:val="0"/>
              <w:kinsoku/>
              <w:wordWrap/>
              <w:overflowPunct/>
              <w:topLinePunct w:val="0"/>
              <w:bidi w:val="0"/>
              <w:spacing w:line="360" w:lineRule="auto"/>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招标代理机构</w:t>
            </w:r>
          </w:p>
        </w:tc>
        <w:tc>
          <w:tcPr>
            <w:tcW w:w="6143" w:type="dxa"/>
            <w:vAlign w:val="center"/>
          </w:tcPr>
          <w:p w14:paraId="6D12FCBC">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招标代理机构：</w:t>
            </w:r>
            <w:r>
              <w:rPr>
                <w:rFonts w:hint="eastAsia" w:asciiTheme="minorEastAsia" w:hAnsiTheme="minorEastAsia" w:eastAsiaTheme="minorEastAsia" w:cstheme="minorEastAsia"/>
                <w:sz w:val="24"/>
                <w:szCs w:val="24"/>
                <w:highlight w:val="none"/>
              </w:rPr>
              <w:t>国义招标股份有限公司</w:t>
            </w:r>
          </w:p>
          <w:p w14:paraId="6F76BA78">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地</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址：</w:t>
            </w:r>
            <w:r>
              <w:rPr>
                <w:rFonts w:hint="eastAsia" w:asciiTheme="minorEastAsia" w:hAnsiTheme="minorEastAsia" w:eastAsiaTheme="minorEastAsia" w:cstheme="minorEastAsia"/>
                <w:sz w:val="24"/>
                <w:szCs w:val="24"/>
                <w:highlight w:val="none"/>
              </w:rPr>
              <w:t>重庆市渝北区新溉大道99号</w:t>
            </w:r>
          </w:p>
          <w:p w14:paraId="0018D4D8">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联系人：</w:t>
            </w:r>
            <w:r>
              <w:rPr>
                <w:rFonts w:hint="eastAsia" w:asciiTheme="minorEastAsia" w:hAnsiTheme="minorEastAsia" w:eastAsiaTheme="minorEastAsia" w:cstheme="minorEastAsia"/>
                <w:sz w:val="24"/>
                <w:szCs w:val="24"/>
                <w:highlight w:val="none"/>
              </w:rPr>
              <w:t>杨</w:t>
            </w:r>
            <w:r>
              <w:rPr>
                <w:rFonts w:hint="eastAsia" w:asciiTheme="minorEastAsia" w:hAnsiTheme="minorEastAsia" w:eastAsiaTheme="minorEastAsia" w:cstheme="minorEastAsia"/>
                <w:sz w:val="24"/>
                <w:szCs w:val="24"/>
                <w:highlight w:val="none"/>
                <w:lang w:val="en-US" w:eastAsia="zh-CN"/>
              </w:rPr>
              <w:t>先生</w:t>
            </w:r>
            <w:r>
              <w:rPr>
                <w:rFonts w:hint="eastAsia" w:asciiTheme="minorEastAsia" w:hAnsiTheme="minorEastAsia" w:eastAsiaTheme="minorEastAsia" w:cstheme="minorEastAsia"/>
                <w:sz w:val="24"/>
                <w:szCs w:val="24"/>
                <w:highlight w:val="none"/>
                <w:lang w:eastAsia="zh-CN"/>
              </w:rPr>
              <w:t xml:space="preserve"> </w:t>
            </w:r>
          </w:p>
          <w:p w14:paraId="7CCD7D8D">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eastAsia="zh-CN"/>
              </w:rPr>
              <w:t>联系电话：</w:t>
            </w:r>
            <w:r>
              <w:rPr>
                <w:rFonts w:hint="eastAsia" w:asciiTheme="minorEastAsia" w:hAnsiTheme="minorEastAsia" w:eastAsiaTheme="minorEastAsia" w:cstheme="minorEastAsia"/>
                <w:sz w:val="24"/>
                <w:szCs w:val="24"/>
                <w:highlight w:val="none"/>
                <w:lang w:val="en-US" w:eastAsia="zh-CN"/>
              </w:rPr>
              <w:t>023-63117088/</w:t>
            </w:r>
            <w:r>
              <w:rPr>
                <w:rFonts w:hint="eastAsia" w:asciiTheme="minorEastAsia" w:hAnsiTheme="minorEastAsia" w:eastAsiaTheme="minorEastAsia" w:cstheme="minorEastAsia"/>
                <w:sz w:val="24"/>
                <w:szCs w:val="24"/>
                <w:highlight w:val="none"/>
              </w:rPr>
              <w:t>19936132304</w:t>
            </w:r>
            <w:r>
              <w:rPr>
                <w:rFonts w:hint="eastAsia" w:asciiTheme="minorEastAsia" w:hAnsiTheme="minorEastAsia" w:eastAsiaTheme="minorEastAsia" w:cstheme="minorEastAsia"/>
                <w:sz w:val="24"/>
                <w:szCs w:val="24"/>
                <w:highlight w:val="none"/>
                <w:lang w:eastAsia="zh-CN"/>
              </w:rPr>
              <w:t xml:space="preserve">  </w:t>
            </w:r>
          </w:p>
        </w:tc>
      </w:tr>
      <w:tr w14:paraId="1B28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0559CFDD">
            <w:pPr>
              <w:numPr>
                <w:ilvl w:val="0"/>
                <w:numId w:val="13"/>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1DD8D660">
            <w:pPr>
              <w:spacing w:line="360" w:lineRule="auto"/>
              <w:ind w:left="0"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tc>
        <w:tc>
          <w:tcPr>
            <w:tcW w:w="6143" w:type="dxa"/>
            <w:vAlign w:val="center"/>
          </w:tcPr>
          <w:p w14:paraId="5E91B2C5">
            <w:pPr>
              <w:spacing w:line="360" w:lineRule="auto"/>
              <w:ind w:left="0" w:leftChars="0"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en-US" w:eastAsia="zh-CN"/>
              </w:rPr>
              <w:t>AI一体化管控平台研究与建设公开招标</w:t>
            </w:r>
          </w:p>
        </w:tc>
      </w:tr>
      <w:tr w14:paraId="6985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88" w:type="dxa"/>
            <w:vAlign w:val="center"/>
          </w:tcPr>
          <w:p w14:paraId="2BC520B1">
            <w:pPr>
              <w:numPr>
                <w:ilvl w:val="0"/>
                <w:numId w:val="13"/>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7A899660">
            <w:pPr>
              <w:spacing w:line="360" w:lineRule="auto"/>
              <w:ind w:left="0"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项目地点</w:t>
            </w:r>
          </w:p>
        </w:tc>
        <w:tc>
          <w:tcPr>
            <w:tcW w:w="6143" w:type="dxa"/>
            <w:vAlign w:val="center"/>
          </w:tcPr>
          <w:p w14:paraId="70FAC778">
            <w:pPr>
              <w:spacing w:line="360" w:lineRule="auto"/>
              <w:ind w:left="0" w:leftChars="0" w:firstLine="0" w:firstLineChars="0"/>
              <w:jc w:val="left"/>
              <w:rPr>
                <w:rFonts w:hint="default" w:asciiTheme="minorEastAsia" w:hAnsiTheme="minorEastAsia" w:eastAsiaTheme="minorEastAsia" w:cstheme="minorEastAsia"/>
                <w:sz w:val="24"/>
                <w:szCs w:val="24"/>
                <w:highlight w:val="none"/>
                <w:lang w:val="en-US" w:eastAsia="zh-TW"/>
              </w:rPr>
            </w:pPr>
            <w:r>
              <w:rPr>
                <w:rFonts w:hint="eastAsia" w:asciiTheme="minorEastAsia" w:hAnsiTheme="minorEastAsia" w:eastAsiaTheme="minorEastAsia" w:cstheme="minorEastAsia"/>
                <w:sz w:val="24"/>
                <w:szCs w:val="24"/>
                <w:highlight w:val="none"/>
                <w:lang w:val="en-US" w:eastAsia="zh-CN"/>
              </w:rPr>
              <w:t>按合同约定</w:t>
            </w:r>
          </w:p>
        </w:tc>
      </w:tr>
      <w:tr w14:paraId="5FFE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2DA7A434">
            <w:pPr>
              <w:numPr>
                <w:ilvl w:val="0"/>
                <w:numId w:val="13"/>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53CBADC7">
            <w:pPr>
              <w:spacing w:line="360" w:lineRule="auto"/>
              <w:ind w:left="0"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交货地点</w:t>
            </w:r>
          </w:p>
        </w:tc>
        <w:tc>
          <w:tcPr>
            <w:tcW w:w="6143" w:type="dxa"/>
            <w:shd w:val="clear" w:color="auto" w:fill="auto"/>
            <w:vAlign w:val="center"/>
          </w:tcPr>
          <w:p w14:paraId="08865181">
            <w:pPr>
              <w:spacing w:line="360" w:lineRule="auto"/>
              <w:ind w:left="0" w:leftChars="0" w:firstLine="0" w:firstLine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同本表1.4</w:t>
            </w:r>
          </w:p>
        </w:tc>
      </w:tr>
      <w:tr w14:paraId="3278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288" w:type="dxa"/>
            <w:vAlign w:val="center"/>
          </w:tcPr>
          <w:p w14:paraId="086F0CCE">
            <w:pPr>
              <w:numPr>
                <w:ilvl w:val="0"/>
                <w:numId w:val="13"/>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5F29DAA8">
            <w:pPr>
              <w:spacing w:line="360" w:lineRule="auto"/>
              <w:ind w:left="0" w:leftChars="0"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交货方式</w:t>
            </w:r>
          </w:p>
        </w:tc>
        <w:tc>
          <w:tcPr>
            <w:tcW w:w="6143" w:type="dxa"/>
            <w:vAlign w:val="center"/>
          </w:tcPr>
          <w:p w14:paraId="49D77F1B">
            <w:pPr>
              <w:spacing w:line="360" w:lineRule="auto"/>
              <w:ind w:left="0" w:leftChars="0"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rPr>
              <w:t>现场交货：供货单位负责办理运输和保险，将货物运抵现场。有关运输、卸货、搬运和保险的一切费用由供货单位承担。货物运抵现场验收确认后的日期为该批货物交货日期。</w:t>
            </w:r>
          </w:p>
        </w:tc>
      </w:tr>
      <w:tr w14:paraId="49CC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43BE7759">
            <w:pPr>
              <w:numPr>
                <w:ilvl w:val="0"/>
                <w:numId w:val="13"/>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4D6939D8">
            <w:pPr>
              <w:spacing w:line="360" w:lineRule="auto"/>
              <w:ind w:left="0"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资金情况</w:t>
            </w:r>
          </w:p>
        </w:tc>
        <w:tc>
          <w:tcPr>
            <w:tcW w:w="6143" w:type="dxa"/>
            <w:vAlign w:val="center"/>
          </w:tcPr>
          <w:p w14:paraId="6153B07A">
            <w:pPr>
              <w:spacing w:line="360" w:lineRule="auto"/>
              <w:ind w:left="0" w:leftChars="0"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企业自有经营资金</w:t>
            </w:r>
          </w:p>
        </w:tc>
      </w:tr>
      <w:tr w14:paraId="626A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7CAC54B8">
            <w:pPr>
              <w:numPr>
                <w:ilvl w:val="0"/>
                <w:numId w:val="13"/>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6F834499">
            <w:pPr>
              <w:spacing w:line="360" w:lineRule="auto"/>
              <w:ind w:left="0"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资金落实情况</w:t>
            </w:r>
          </w:p>
        </w:tc>
        <w:tc>
          <w:tcPr>
            <w:tcW w:w="6143" w:type="dxa"/>
            <w:vAlign w:val="center"/>
          </w:tcPr>
          <w:p w14:paraId="4DB1A861">
            <w:pPr>
              <w:spacing w:line="360" w:lineRule="auto"/>
              <w:ind w:left="0" w:leftChars="0"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rPr>
              <w:t>资金已落实。</w:t>
            </w:r>
          </w:p>
        </w:tc>
      </w:tr>
      <w:tr w14:paraId="2305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2E9B11E4">
            <w:pPr>
              <w:numPr>
                <w:ilvl w:val="0"/>
                <w:numId w:val="13"/>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47631F9D">
            <w:pPr>
              <w:spacing w:line="360" w:lineRule="auto"/>
              <w:ind w:left="0"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踏勘现场</w:t>
            </w:r>
          </w:p>
        </w:tc>
        <w:tc>
          <w:tcPr>
            <w:tcW w:w="6143" w:type="dxa"/>
            <w:vAlign w:val="center"/>
          </w:tcPr>
          <w:p w14:paraId="33E68CB9">
            <w:pPr>
              <w:spacing w:line="360" w:lineRule="auto"/>
              <w:ind w:left="0" w:leftChars="0"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不组织。</w:t>
            </w:r>
          </w:p>
        </w:tc>
      </w:tr>
      <w:tr w14:paraId="49E4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3DF2459F">
            <w:pPr>
              <w:numPr>
                <w:ilvl w:val="0"/>
                <w:numId w:val="13"/>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4EEF295B">
            <w:pPr>
              <w:spacing w:line="360" w:lineRule="auto"/>
              <w:ind w:left="0"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投标预备会</w:t>
            </w:r>
          </w:p>
        </w:tc>
        <w:tc>
          <w:tcPr>
            <w:tcW w:w="6143" w:type="dxa"/>
            <w:vAlign w:val="center"/>
          </w:tcPr>
          <w:p w14:paraId="62875722">
            <w:pPr>
              <w:spacing w:line="360" w:lineRule="auto"/>
              <w:ind w:left="0" w:leftChars="0"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不召开。</w:t>
            </w:r>
          </w:p>
        </w:tc>
      </w:tr>
      <w:tr w14:paraId="73DF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315E6EB8">
            <w:pPr>
              <w:numPr>
                <w:ilvl w:val="0"/>
                <w:numId w:val="13"/>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3D8D415E">
            <w:pPr>
              <w:spacing w:line="360" w:lineRule="auto"/>
              <w:ind w:left="0"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分包</w:t>
            </w:r>
          </w:p>
        </w:tc>
        <w:tc>
          <w:tcPr>
            <w:tcW w:w="6143" w:type="dxa"/>
            <w:vAlign w:val="center"/>
          </w:tcPr>
          <w:p w14:paraId="27F7ECBC">
            <w:pPr>
              <w:spacing w:line="360" w:lineRule="auto"/>
              <w:ind w:left="0" w:leftChars="0"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不允许。</w:t>
            </w:r>
          </w:p>
        </w:tc>
      </w:tr>
      <w:tr w14:paraId="407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02125EE3">
            <w:pPr>
              <w:numPr>
                <w:ilvl w:val="0"/>
                <w:numId w:val="13"/>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7B65B724">
            <w:pPr>
              <w:spacing w:line="360" w:lineRule="auto"/>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招标</w:t>
            </w:r>
            <w:r>
              <w:rPr>
                <w:rFonts w:hint="eastAsia" w:asciiTheme="minorEastAsia" w:hAnsiTheme="minorEastAsia" w:eastAsiaTheme="minorEastAsia" w:cstheme="minorEastAsia"/>
                <w:sz w:val="24"/>
                <w:szCs w:val="24"/>
                <w:highlight w:val="none"/>
                <w:lang w:val="en-US" w:eastAsia="zh-CN"/>
              </w:rPr>
              <w:t>范围</w:t>
            </w:r>
          </w:p>
        </w:tc>
        <w:tc>
          <w:tcPr>
            <w:tcW w:w="6143" w:type="dxa"/>
            <w:vAlign w:val="center"/>
          </w:tcPr>
          <w:p w14:paraId="4A966C19">
            <w:pPr>
              <w:spacing w:line="360" w:lineRule="auto"/>
              <w:ind w:left="0" w:leftChars="0" w:firstLine="0" w:firstLineChars="0"/>
              <w:jc w:val="left"/>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eastAsia="zh-CN"/>
              </w:rPr>
              <w:t>详见</w:t>
            </w:r>
            <w:r>
              <w:rPr>
                <w:rFonts w:hint="eastAsia" w:asciiTheme="minorEastAsia" w:hAnsiTheme="minorEastAsia" w:eastAsiaTheme="minorEastAsia" w:cstheme="minorEastAsia"/>
                <w:sz w:val="24"/>
                <w:szCs w:val="24"/>
                <w:highlight w:val="none"/>
                <w:lang w:val="en-US" w:eastAsia="zh-CN"/>
              </w:rPr>
              <w:t>第五章</w:t>
            </w:r>
            <w:r>
              <w:rPr>
                <w:rFonts w:hint="eastAsia" w:asciiTheme="minorEastAsia" w:hAnsiTheme="minorEastAsia" w:eastAsiaTheme="minorEastAsia" w:cstheme="minorEastAsia"/>
                <w:sz w:val="24"/>
                <w:szCs w:val="24"/>
                <w:highlight w:val="none"/>
                <w:lang w:eastAsia="zh-CN"/>
              </w:rPr>
              <w:t>招标清单及技术要求</w:t>
            </w:r>
          </w:p>
        </w:tc>
      </w:tr>
      <w:tr w14:paraId="0BF5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62D1D64D">
            <w:pPr>
              <w:numPr>
                <w:ilvl w:val="0"/>
                <w:numId w:val="13"/>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6A3478F3">
            <w:pPr>
              <w:spacing w:line="360" w:lineRule="auto"/>
              <w:ind w:left="0"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是否接受联合体投标</w:t>
            </w:r>
          </w:p>
        </w:tc>
        <w:tc>
          <w:tcPr>
            <w:tcW w:w="6143" w:type="dxa"/>
            <w:vAlign w:val="center"/>
          </w:tcPr>
          <w:p w14:paraId="577A7A8E">
            <w:pPr>
              <w:spacing w:line="360" w:lineRule="auto"/>
              <w:ind w:left="0" w:leftChars="0" w:firstLine="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TW"/>
              </w:rPr>
              <w:t>不接受。</w:t>
            </w:r>
          </w:p>
        </w:tc>
      </w:tr>
      <w:tr w14:paraId="6420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7BBF8430">
            <w:pPr>
              <w:numPr>
                <w:ilvl w:val="0"/>
                <w:numId w:val="13"/>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498279AA">
            <w:pPr>
              <w:spacing w:line="360" w:lineRule="auto"/>
              <w:ind w:left="0"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w:t>
            </w:r>
          </w:p>
        </w:tc>
        <w:tc>
          <w:tcPr>
            <w:tcW w:w="6143" w:type="dxa"/>
            <w:vAlign w:val="center"/>
          </w:tcPr>
          <w:p w14:paraId="4775E0DA">
            <w:pPr>
              <w:spacing w:line="360" w:lineRule="auto"/>
              <w:ind w:left="0" w:leftChars="0" w:firstLine="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无</w:t>
            </w:r>
          </w:p>
        </w:tc>
      </w:tr>
      <w:tr w14:paraId="6BC8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88" w:type="dxa"/>
            <w:vAlign w:val="center"/>
          </w:tcPr>
          <w:p w14:paraId="244E67E4">
            <w:pPr>
              <w:numPr>
                <w:ilvl w:val="0"/>
                <w:numId w:val="13"/>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01435129">
            <w:pPr>
              <w:spacing w:line="360" w:lineRule="auto"/>
              <w:ind w:left="0" w:leftChars="0"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是否允许递交备选投标方案</w:t>
            </w:r>
          </w:p>
        </w:tc>
        <w:tc>
          <w:tcPr>
            <w:tcW w:w="6143" w:type="dxa"/>
            <w:vAlign w:val="center"/>
          </w:tcPr>
          <w:p w14:paraId="34E5147A">
            <w:pPr>
              <w:spacing w:line="360" w:lineRule="auto"/>
              <w:ind w:left="0" w:leftChars="0"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不允许。</w:t>
            </w:r>
          </w:p>
        </w:tc>
      </w:tr>
      <w:tr w14:paraId="2F57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40CE8500">
            <w:pPr>
              <w:numPr>
                <w:ilvl w:val="0"/>
                <w:numId w:val="14"/>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6D43E4F1">
            <w:pPr>
              <w:ind w:firstLine="0" w:firstLineChars="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lang w:val="zh-TW" w:eastAsia="zh-CN"/>
              </w:rPr>
              <w:t>投标人资质条件、能力和信誉</w:t>
            </w:r>
          </w:p>
        </w:tc>
        <w:tc>
          <w:tcPr>
            <w:tcW w:w="6143" w:type="dxa"/>
            <w:vAlign w:val="center"/>
          </w:tcPr>
          <w:p w14:paraId="5CDC6EA9">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rPr>
            </w:pPr>
            <w:bookmarkStart w:id="40" w:name="OLE_LINK8"/>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资格条件</w:t>
            </w:r>
          </w:p>
          <w:p w14:paraId="5560CC12">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本项目招标实行资格后审，投标人应具备以下资格条件：</w:t>
            </w:r>
          </w:p>
          <w:bookmarkEnd w:id="40"/>
          <w:p w14:paraId="7804A0DB">
            <w:pPr>
              <w:keepNext w:val="0"/>
              <w:keepLines w:val="0"/>
              <w:pageBreakBefore w:val="0"/>
              <w:widowControl w:val="0"/>
              <w:numPr>
                <w:ilvl w:val="0"/>
                <w:numId w:val="15"/>
              </w:numPr>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投标人必须</w:t>
            </w:r>
            <w:r>
              <w:rPr>
                <w:rFonts w:hint="eastAsia" w:asciiTheme="minorEastAsia" w:hAnsiTheme="minorEastAsia" w:eastAsiaTheme="minorEastAsia" w:cstheme="minorEastAsia"/>
                <w:sz w:val="24"/>
                <w:szCs w:val="24"/>
                <w:highlight w:val="none"/>
                <w:lang w:eastAsia="zh-CN"/>
              </w:rPr>
              <w:t>是在</w:t>
            </w:r>
            <w:r>
              <w:rPr>
                <w:rFonts w:hint="eastAsia" w:asciiTheme="minorEastAsia" w:hAnsiTheme="minorEastAsia" w:eastAsiaTheme="minorEastAsia" w:cstheme="minorEastAsia"/>
                <w:sz w:val="24"/>
                <w:szCs w:val="24"/>
                <w:highlight w:val="none"/>
              </w:rPr>
              <w:t>中华人民共和国境内注册的具有独立法人资格的企业，本次招标内容必须在其经营范围内并具备国家、行业要求的</w:t>
            </w:r>
            <w:r>
              <w:rPr>
                <w:rFonts w:hint="eastAsia" w:asciiTheme="minorEastAsia" w:hAnsiTheme="minorEastAsia" w:eastAsiaTheme="minorEastAsia" w:cstheme="minorEastAsia"/>
                <w:sz w:val="24"/>
                <w:szCs w:val="24"/>
                <w:highlight w:val="none"/>
                <w:lang w:val="en-US" w:eastAsia="zh-CN"/>
              </w:rPr>
              <w:t>相关</w:t>
            </w:r>
            <w:r>
              <w:rPr>
                <w:rFonts w:hint="eastAsia" w:asciiTheme="minorEastAsia" w:hAnsiTheme="minorEastAsia" w:eastAsiaTheme="minorEastAsia" w:cstheme="minorEastAsia"/>
                <w:sz w:val="24"/>
                <w:szCs w:val="24"/>
                <w:highlight w:val="none"/>
              </w:rPr>
              <w:t>资质，且企业实力与标的额相匹配；</w:t>
            </w:r>
          </w:p>
          <w:p w14:paraId="4B4FADF9">
            <w:pPr>
              <w:pageBreakBefore w:val="0"/>
              <w:kinsoku/>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投标人的主要股东、公司经理层及以上的管理人员为同一人或者存在控股、管理关系的不同单位不得参与本次投标，若已中标的取消中标资格；</w:t>
            </w:r>
          </w:p>
          <w:p w14:paraId="5D238EA9">
            <w:pPr>
              <w:pStyle w:val="96"/>
              <w:ind w:left="0" w:leftChars="0" w:firstLine="0" w:firstLineChars="0"/>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【投标人须提供营业执照副本复印件并加盖投标人单位公章】</w:t>
            </w:r>
          </w:p>
          <w:p w14:paraId="754752B5">
            <w:pPr>
              <w:keepNext w:val="0"/>
              <w:keepLines w:val="0"/>
              <w:pageBreakBefore w:val="0"/>
              <w:widowControl w:val="0"/>
              <w:numPr>
                <w:ilvl w:val="0"/>
                <w:numId w:val="16"/>
              </w:numPr>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zh-TW" w:eastAsia="zh-TW"/>
              </w:rPr>
              <w:t>财务状况</w:t>
            </w:r>
            <w:r>
              <w:rPr>
                <w:rFonts w:hint="eastAsia" w:asciiTheme="minorEastAsia" w:hAnsiTheme="minorEastAsia" w:eastAsiaTheme="minorEastAsia" w:cstheme="minorEastAsia"/>
                <w:sz w:val="24"/>
                <w:szCs w:val="24"/>
                <w:highlight w:val="none"/>
                <w:lang w:val="zh-TW" w:eastAsia="zh-CN"/>
              </w:rPr>
              <w:t>：</w:t>
            </w:r>
          </w:p>
          <w:p w14:paraId="745CCDF7">
            <w:pPr>
              <w:pStyle w:val="96"/>
              <w:numPr>
                <w:ilvl w:val="0"/>
                <w:numId w:val="0"/>
              </w:numPr>
              <w:ind w:leftChars="0" w:firstLine="482" w:firstLineChars="200"/>
              <w:jc w:val="both"/>
              <w:rPr>
                <w:rFonts w:hint="eastAsia" w:asciiTheme="minorEastAsia" w:hAnsiTheme="minorEastAsia" w:eastAsiaTheme="minorEastAsia" w:cstheme="minorEastAsia"/>
                <w:b/>
                <w:bCs/>
                <w:sz w:val="24"/>
                <w:szCs w:val="24"/>
                <w:highlight w:val="none"/>
                <w:lang w:val="zh-TW" w:eastAsia="zh-CN"/>
              </w:rPr>
            </w:pPr>
            <w:r>
              <w:rPr>
                <w:rFonts w:hint="eastAsia" w:asciiTheme="minorEastAsia" w:hAnsiTheme="minorEastAsia" w:eastAsiaTheme="minorEastAsia" w:cstheme="minorEastAsia"/>
                <w:b/>
                <w:bCs/>
                <w:color w:val="auto"/>
                <w:sz w:val="24"/>
                <w:szCs w:val="24"/>
                <w:highlight w:val="none"/>
                <w:lang w:val="en-US" w:eastAsia="zh-CN" w:bidi="en-US"/>
              </w:rPr>
              <w:t>提交2024年财务报表，须至少包括现金流量表、资产负债表、利润表的复印件并加盖单位公章。</w:t>
            </w:r>
          </w:p>
          <w:p w14:paraId="462925B1">
            <w:pPr>
              <w:keepNext w:val="0"/>
              <w:keepLines w:val="0"/>
              <w:pageBreakBefore w:val="0"/>
              <w:widowControl w:val="0"/>
              <w:numPr>
                <w:ilvl w:val="0"/>
                <w:numId w:val="0"/>
              </w:numPr>
              <w:kinsoku/>
              <w:wordWrap/>
              <w:overflowPunct/>
              <w:topLinePunct w:val="0"/>
              <w:bidi w:val="0"/>
              <w:spacing w:line="360" w:lineRule="auto"/>
              <w:ind w:leftChars="0"/>
              <w:jc w:val="both"/>
              <w:textAlignment w:val="auto"/>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lang w:val="zh-TW" w:eastAsia="zh-TW"/>
              </w:rPr>
              <w:t>信誉要求：</w:t>
            </w:r>
          </w:p>
          <w:p w14:paraId="7EE4C21C">
            <w:p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在“信用中国”网没有被列入失信惩戒信息记录、“国家信用信息公示系统”没有被列入严重违法失信企业名单（黑名单）信息记录、“中国裁判文书网”的判决案件中没有投标人或其法定代表人行贿、受贿等不良记录。</w:t>
            </w:r>
          </w:p>
          <w:p w14:paraId="696CB586">
            <w:pPr>
              <w:pStyle w:val="96"/>
              <w:spacing w:line="360" w:lineRule="auto"/>
              <w:ind w:firstLine="0" w:firstLineChars="0"/>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【提供“信用中国”“国家</w:t>
            </w:r>
            <w:r>
              <w:rPr>
                <w:rFonts w:hint="eastAsia" w:asciiTheme="minorEastAsia" w:hAnsiTheme="minorEastAsia" w:eastAsiaTheme="minorEastAsia" w:cstheme="minorEastAsia"/>
                <w:b/>
                <w:bCs/>
                <w:sz w:val="24"/>
                <w:szCs w:val="24"/>
                <w:highlight w:val="none"/>
                <w:lang w:eastAsia="zh-CN"/>
              </w:rPr>
              <w:t>信用信息公示系统</w:t>
            </w:r>
            <w:r>
              <w:rPr>
                <w:rFonts w:hint="eastAsia" w:asciiTheme="minorEastAsia" w:hAnsiTheme="minorEastAsia" w:eastAsiaTheme="minorEastAsia" w:cstheme="minorEastAsia"/>
                <w:b/>
                <w:bCs/>
                <w:sz w:val="24"/>
                <w:szCs w:val="24"/>
                <w:highlight w:val="none"/>
              </w:rPr>
              <w:t>”“中国裁判文书网”资信网站</w:t>
            </w:r>
            <w:r>
              <w:rPr>
                <w:rFonts w:hint="eastAsia" w:asciiTheme="minorEastAsia" w:hAnsiTheme="minorEastAsia" w:eastAsiaTheme="minorEastAsia" w:cstheme="minorEastAsia"/>
                <w:b/>
                <w:bCs/>
                <w:sz w:val="24"/>
                <w:szCs w:val="24"/>
                <w:highlight w:val="none"/>
                <w:lang w:eastAsia="zh-CN"/>
              </w:rPr>
              <w:t>的截图</w:t>
            </w:r>
            <w:r>
              <w:rPr>
                <w:rFonts w:hint="eastAsia" w:asciiTheme="minorEastAsia" w:hAnsiTheme="minorEastAsia" w:eastAsiaTheme="minorEastAsia" w:cstheme="minorEastAsia"/>
                <w:b/>
                <w:bCs/>
                <w:sz w:val="24"/>
                <w:szCs w:val="24"/>
                <w:highlight w:val="none"/>
              </w:rPr>
              <w:t>】</w:t>
            </w:r>
          </w:p>
          <w:p w14:paraId="4EBC7229">
            <w:pPr>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2、单位负责人、主要股东为同一人或者存在控股、管理关系的不同单位不得参与本项目；被列入失信企业黑名单或发生过严重违约行为的企业不得参与本项目；近三年内在经营活动中没有重大违法记录</w:t>
            </w:r>
            <w:r>
              <w:rPr>
                <w:rFonts w:hint="eastAsia" w:asciiTheme="minorEastAsia" w:hAnsiTheme="minorEastAsia" w:eastAsiaTheme="minorEastAsia" w:cstheme="minorEastAsia"/>
                <w:sz w:val="24"/>
                <w:szCs w:val="24"/>
                <w:highlight w:val="none"/>
                <w:lang w:eastAsia="zh-CN"/>
              </w:rPr>
              <w:t>且未</w:t>
            </w:r>
            <w:r>
              <w:rPr>
                <w:rFonts w:hint="eastAsia" w:asciiTheme="minorEastAsia" w:hAnsiTheme="minorEastAsia" w:eastAsiaTheme="minorEastAsia" w:cstheme="minorEastAsia"/>
                <w:sz w:val="24"/>
                <w:szCs w:val="24"/>
                <w:highlight w:val="none"/>
              </w:rPr>
              <w:t>发生重大质量问题。</w:t>
            </w:r>
          </w:p>
          <w:p w14:paraId="7CAFC408">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【投标人自行承诺，并加盖投标人单位公章】</w:t>
            </w:r>
          </w:p>
          <w:p w14:paraId="51207065">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lang w:val="zh-TW" w:eastAsia="zh-CN"/>
              </w:rPr>
              <w:t>投标人不得存在下列情形之一：</w:t>
            </w:r>
          </w:p>
          <w:p w14:paraId="7A99DDE7">
            <w:pPr>
              <w:keepNext w:val="0"/>
              <w:keepLines w:val="0"/>
              <w:pageBreakBefore w:val="0"/>
              <w:widowControl w:val="0"/>
              <w:kinsoku/>
              <w:wordWrap/>
              <w:overflowPunct/>
              <w:topLinePunct w:val="0"/>
              <w:bidi w:val="0"/>
              <w:spacing w:line="360" w:lineRule="auto"/>
              <w:ind w:left="0" w:leftChars="0" w:firstLine="480" w:firstLineChars="200"/>
              <w:jc w:val="both"/>
              <w:textAlignment w:val="auto"/>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zh-TW" w:eastAsia="zh-CN"/>
              </w:rPr>
              <w:t>与采购人存在利害关系可能影响招标公正性的法人、其他组织或者个人；</w:t>
            </w:r>
          </w:p>
          <w:p w14:paraId="3B5093BB">
            <w:pPr>
              <w:keepNext w:val="0"/>
              <w:keepLines w:val="0"/>
              <w:pageBreakBefore w:val="0"/>
              <w:widowControl w:val="0"/>
              <w:kinsoku/>
              <w:wordWrap/>
              <w:overflowPunct/>
              <w:topLinePunct w:val="0"/>
              <w:bidi w:val="0"/>
              <w:spacing w:line="360" w:lineRule="auto"/>
              <w:ind w:left="0" w:leftChars="0" w:firstLine="480" w:firstLineChars="200"/>
              <w:jc w:val="both"/>
              <w:textAlignment w:val="auto"/>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zh-TW" w:eastAsia="zh-CN"/>
              </w:rPr>
              <w:t>为本项目提供招标代理服务的；</w:t>
            </w:r>
          </w:p>
          <w:p w14:paraId="27375276">
            <w:pPr>
              <w:keepNext w:val="0"/>
              <w:keepLines w:val="0"/>
              <w:pageBreakBefore w:val="0"/>
              <w:widowControl w:val="0"/>
              <w:kinsoku/>
              <w:wordWrap/>
              <w:overflowPunct/>
              <w:topLinePunct w:val="0"/>
              <w:bidi w:val="0"/>
              <w:spacing w:line="360" w:lineRule="auto"/>
              <w:ind w:left="0" w:leftChars="0" w:firstLine="480" w:firstLineChars="200"/>
              <w:jc w:val="both"/>
              <w:textAlignment w:val="auto"/>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zh-TW" w:eastAsia="zh-CN"/>
              </w:rPr>
              <w:t>与本项目的监理人或代</w:t>
            </w:r>
            <w:r>
              <w:rPr>
                <w:rFonts w:hint="eastAsia" w:asciiTheme="minorEastAsia" w:hAnsiTheme="minorEastAsia" w:eastAsiaTheme="minorEastAsia" w:cstheme="minorEastAsia"/>
                <w:sz w:val="24"/>
                <w:szCs w:val="24"/>
                <w:highlight w:val="none"/>
                <w:lang w:val="en-US" w:eastAsia="zh-CN"/>
              </w:rPr>
              <w:t>理</w:t>
            </w:r>
            <w:r>
              <w:rPr>
                <w:rFonts w:hint="eastAsia" w:asciiTheme="minorEastAsia" w:hAnsiTheme="minorEastAsia" w:eastAsiaTheme="minorEastAsia" w:cstheme="minorEastAsia"/>
                <w:sz w:val="24"/>
                <w:szCs w:val="24"/>
                <w:highlight w:val="none"/>
                <w:lang w:val="zh-TW" w:eastAsia="zh-CN"/>
              </w:rPr>
              <w:t>人或招标代理机构同为一个法定代表人的；</w:t>
            </w:r>
          </w:p>
          <w:p w14:paraId="494A16B0">
            <w:pPr>
              <w:keepNext w:val="0"/>
              <w:keepLines w:val="0"/>
              <w:pageBreakBefore w:val="0"/>
              <w:widowControl w:val="0"/>
              <w:kinsoku/>
              <w:wordWrap/>
              <w:overflowPunct/>
              <w:topLinePunct w:val="0"/>
              <w:bidi w:val="0"/>
              <w:spacing w:line="360" w:lineRule="auto"/>
              <w:ind w:left="0" w:leftChars="0" w:firstLine="480" w:firstLineChars="200"/>
              <w:jc w:val="both"/>
              <w:textAlignment w:val="auto"/>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zh-TW" w:eastAsia="zh-CN"/>
              </w:rPr>
              <w:t>被责令停产、暂扣或吊销执照；</w:t>
            </w:r>
          </w:p>
          <w:p w14:paraId="3C7772A4">
            <w:pPr>
              <w:keepNext w:val="0"/>
              <w:keepLines w:val="0"/>
              <w:pageBreakBefore w:val="0"/>
              <w:widowControl w:val="0"/>
              <w:kinsoku/>
              <w:wordWrap/>
              <w:overflowPunct/>
              <w:topLinePunct w:val="0"/>
              <w:bidi w:val="0"/>
              <w:spacing w:line="360" w:lineRule="auto"/>
              <w:ind w:left="0" w:leftChars="0" w:firstLine="480" w:firstLineChars="200"/>
              <w:jc w:val="both"/>
              <w:textAlignment w:val="auto"/>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zh-TW" w:eastAsia="zh-CN"/>
              </w:rPr>
              <w:t>被暂停或取消投标资格的；</w:t>
            </w:r>
          </w:p>
          <w:p w14:paraId="76373E2C">
            <w:pPr>
              <w:keepNext w:val="0"/>
              <w:keepLines w:val="0"/>
              <w:pageBreakBefore w:val="0"/>
              <w:widowControl w:val="0"/>
              <w:kinsoku/>
              <w:wordWrap/>
              <w:overflowPunct/>
              <w:topLinePunct w:val="0"/>
              <w:bidi w:val="0"/>
              <w:spacing w:line="360" w:lineRule="auto"/>
              <w:ind w:left="0" w:leftChars="0" w:firstLine="480" w:firstLineChars="200"/>
              <w:jc w:val="both"/>
              <w:textAlignment w:val="auto"/>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zh-TW" w:eastAsia="zh-CN"/>
              </w:rPr>
              <w:t>财产被接管或冻结的。</w:t>
            </w:r>
          </w:p>
          <w:p w14:paraId="24DF6316">
            <w:pPr>
              <w:keepNext w:val="0"/>
              <w:keepLines w:val="0"/>
              <w:pageBreakBefore w:val="0"/>
              <w:widowControl w:val="0"/>
              <w:kinsoku/>
              <w:wordWrap/>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特别说明：</w:t>
            </w:r>
          </w:p>
          <w:p w14:paraId="46432D4C">
            <w:pPr>
              <w:keepNext w:val="0"/>
              <w:keepLines w:val="0"/>
              <w:pageBreakBefore w:val="0"/>
              <w:widowControl w:val="0"/>
              <w:kinsoku/>
              <w:wordWrap/>
              <w:overflowPunct/>
              <w:topLinePunct w:val="0"/>
              <w:bidi w:val="0"/>
              <w:spacing w:line="360" w:lineRule="auto"/>
              <w:ind w:left="0" w:leftChars="0" w:firstLine="240" w:firstLineChars="100"/>
              <w:jc w:val="both"/>
              <w:textAlignment w:val="auto"/>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val="zh-TW" w:eastAsia="zh-CN"/>
              </w:rPr>
              <w:t>（1）上述</w:t>
            </w:r>
            <w:r>
              <w:rPr>
                <w:rFonts w:hint="eastAsia" w:asciiTheme="minorEastAsia" w:hAnsiTheme="minorEastAsia" w:eastAsiaTheme="minorEastAsia" w:cstheme="minorEastAsia"/>
                <w:sz w:val="24"/>
                <w:szCs w:val="24"/>
                <w:highlight w:val="none"/>
                <w:lang w:val="en-US" w:eastAsia="zh-CN"/>
              </w:rPr>
              <w:t>要求</w:t>
            </w:r>
            <w:r>
              <w:rPr>
                <w:rFonts w:hint="eastAsia" w:asciiTheme="minorEastAsia" w:hAnsiTheme="minorEastAsia" w:eastAsiaTheme="minorEastAsia" w:cstheme="minorEastAsia"/>
                <w:sz w:val="24"/>
                <w:szCs w:val="24"/>
                <w:highlight w:val="none"/>
                <w:lang w:val="zh-TW" w:eastAsia="zh-CN"/>
              </w:rPr>
              <w:t>须提交的相关证明材料均为扫描件（</w:t>
            </w:r>
            <w:r>
              <w:rPr>
                <w:rFonts w:hint="eastAsia" w:asciiTheme="minorEastAsia" w:hAnsiTheme="minorEastAsia" w:eastAsiaTheme="minorEastAsia" w:cstheme="minorEastAsia"/>
                <w:sz w:val="24"/>
                <w:szCs w:val="24"/>
                <w:highlight w:val="none"/>
                <w:lang w:val="en-US" w:eastAsia="zh-CN"/>
              </w:rPr>
              <w:t>原件或复印件的扫描件均可</w:t>
            </w:r>
            <w:r>
              <w:rPr>
                <w:rFonts w:hint="eastAsia" w:asciiTheme="minorEastAsia" w:hAnsiTheme="minorEastAsia" w:eastAsiaTheme="minorEastAsia" w:cstheme="minorEastAsia"/>
                <w:sz w:val="24"/>
                <w:szCs w:val="24"/>
                <w:highlight w:val="none"/>
                <w:lang w:val="zh-TW" w:eastAsia="zh-CN"/>
              </w:rPr>
              <w:t>）</w:t>
            </w:r>
            <w:r>
              <w:rPr>
                <w:rFonts w:hint="eastAsia" w:asciiTheme="minorEastAsia" w:hAnsiTheme="minorEastAsia" w:eastAsiaTheme="minorEastAsia" w:cstheme="minorEastAsia"/>
                <w:sz w:val="24"/>
                <w:szCs w:val="24"/>
                <w:highlight w:val="none"/>
                <w:lang w:val="en-US" w:eastAsia="zh-CN"/>
              </w:rPr>
              <w:t>并加盖投标人单位公章</w:t>
            </w:r>
            <w:r>
              <w:rPr>
                <w:rFonts w:hint="eastAsia" w:asciiTheme="minorEastAsia" w:hAnsiTheme="minorEastAsia" w:eastAsiaTheme="minorEastAsia" w:cstheme="minorEastAsia"/>
                <w:sz w:val="24"/>
                <w:szCs w:val="24"/>
                <w:highlight w:val="none"/>
                <w:lang w:val="zh-TW" w:eastAsia="zh-CN"/>
              </w:rPr>
              <w:t>，扫描件须清晰可辨，有一条不满足，则投标文件由评标委员会作否决投标处理。</w:t>
            </w:r>
          </w:p>
          <w:p w14:paraId="35D24769">
            <w:pPr>
              <w:pStyle w:val="97"/>
              <w:ind w:left="0" w:leftChars="0" w:firstLine="240" w:firstLineChars="100"/>
              <w:jc w:val="both"/>
              <w:rPr>
                <w:rFonts w:hint="eastAsia" w:asciiTheme="minorEastAsia" w:hAnsiTheme="minorEastAsia" w:eastAsiaTheme="minorEastAsia" w:cstheme="minorEastAsia"/>
                <w:snapToGrid w:val="0"/>
                <w:sz w:val="24"/>
                <w:szCs w:val="24"/>
                <w:shd w:val="clear" w:color="auto" w:fill="FFFFFF"/>
                <w:lang w:eastAsia="zh-CN"/>
              </w:rPr>
            </w:pPr>
            <w:r>
              <w:rPr>
                <w:rFonts w:hint="eastAsia" w:asciiTheme="minorEastAsia" w:hAnsiTheme="minorEastAsia" w:eastAsiaTheme="minorEastAsia" w:cstheme="minorEastAsia"/>
                <w:kern w:val="2"/>
                <w:sz w:val="24"/>
                <w:szCs w:val="24"/>
                <w:highlight w:val="none"/>
                <w:lang w:val="zh-TW" w:eastAsia="zh-CN" w:bidi="ar-SA"/>
              </w:rPr>
              <w:t>（2）采购人在合同签订前均有权对投标人提供的资料进行核实，若发现弄虚作假，</w:t>
            </w:r>
            <w:r>
              <w:rPr>
                <w:rFonts w:hint="eastAsia" w:asciiTheme="minorEastAsia" w:hAnsiTheme="minorEastAsia" w:eastAsiaTheme="minorEastAsia" w:cstheme="minorEastAsia"/>
                <w:kern w:val="2"/>
                <w:sz w:val="24"/>
                <w:szCs w:val="24"/>
                <w:highlight w:val="none"/>
                <w:lang w:val="en-US" w:eastAsia="zh-CN" w:bidi="ar-SA"/>
              </w:rPr>
              <w:t>按相关规定</w:t>
            </w:r>
            <w:r>
              <w:rPr>
                <w:rFonts w:hint="eastAsia" w:asciiTheme="minorEastAsia" w:hAnsiTheme="minorEastAsia" w:eastAsiaTheme="minorEastAsia" w:cstheme="minorEastAsia"/>
                <w:kern w:val="2"/>
                <w:sz w:val="24"/>
                <w:szCs w:val="24"/>
                <w:highlight w:val="none"/>
                <w:lang w:val="zh-TW" w:eastAsia="zh-CN" w:bidi="ar-SA"/>
              </w:rPr>
              <w:t>取消其中标资格，其投标保证金</w:t>
            </w:r>
            <w:r>
              <w:rPr>
                <w:rFonts w:hint="eastAsia" w:asciiTheme="minorEastAsia" w:hAnsiTheme="minorEastAsia" w:eastAsiaTheme="minorEastAsia" w:cstheme="minorEastAsia"/>
                <w:kern w:val="2"/>
                <w:sz w:val="24"/>
                <w:szCs w:val="24"/>
                <w:highlight w:val="none"/>
                <w:lang w:val="en-US" w:eastAsia="zh-CN" w:bidi="ar-SA"/>
              </w:rPr>
              <w:t>以现金形式交纳的</w:t>
            </w:r>
            <w:r>
              <w:rPr>
                <w:rFonts w:hint="eastAsia" w:asciiTheme="minorEastAsia" w:hAnsiTheme="minorEastAsia" w:eastAsiaTheme="minorEastAsia" w:cstheme="minorEastAsia"/>
                <w:kern w:val="2"/>
                <w:sz w:val="24"/>
                <w:szCs w:val="24"/>
                <w:highlight w:val="none"/>
                <w:lang w:val="zh-TW" w:eastAsia="zh-CN" w:bidi="ar-SA"/>
              </w:rPr>
              <w:t>不予退还，投标人承担因此造成的相关责任并赔偿相应损失。</w:t>
            </w:r>
          </w:p>
        </w:tc>
      </w:tr>
      <w:tr w14:paraId="6030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3771B173">
            <w:pPr>
              <w:numPr>
                <w:ilvl w:val="0"/>
                <w:numId w:val="14"/>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19CE6F4E">
            <w:pPr>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交付时间</w:t>
            </w:r>
          </w:p>
        </w:tc>
        <w:tc>
          <w:tcPr>
            <w:tcW w:w="6143" w:type="dxa"/>
            <w:vAlign w:val="center"/>
          </w:tcPr>
          <w:p w14:paraId="217A0418">
            <w:pPr>
              <w:pStyle w:val="97"/>
              <w:ind w:left="0" w:leftChars="0" w:firstLine="0" w:firstLineChars="0"/>
              <w:jc w:val="both"/>
              <w:rPr>
                <w:rFonts w:hint="eastAsia" w:asciiTheme="minorEastAsia" w:hAnsiTheme="minorEastAsia" w:eastAsiaTheme="minorEastAsia" w:cstheme="minorEastAsia"/>
                <w:kern w:val="2"/>
                <w:sz w:val="24"/>
                <w:szCs w:val="24"/>
                <w:highlight w:val="none"/>
                <w:lang w:val="zh-TW" w:eastAsia="zh-CN" w:bidi="ar-SA"/>
              </w:rPr>
            </w:pPr>
            <w:r>
              <w:rPr>
                <w:rFonts w:hint="eastAsia" w:asciiTheme="minorEastAsia" w:hAnsiTheme="minorEastAsia" w:eastAsiaTheme="minorEastAsia" w:cstheme="minorEastAsia"/>
                <w:kern w:val="2"/>
                <w:sz w:val="24"/>
                <w:szCs w:val="24"/>
                <w:highlight w:val="none"/>
                <w:lang w:val="zh-TW" w:eastAsia="zh-CN" w:bidi="ar-SA"/>
              </w:rPr>
              <w:t>由投标单位根据招标文件</w:t>
            </w:r>
            <w:r>
              <w:rPr>
                <w:rFonts w:hint="eastAsia" w:asciiTheme="minorEastAsia" w:hAnsiTheme="minorEastAsia" w:eastAsiaTheme="minorEastAsia" w:cstheme="minorEastAsia"/>
                <w:kern w:val="2"/>
                <w:sz w:val="24"/>
                <w:szCs w:val="24"/>
                <w:highlight w:val="none"/>
                <w:lang w:val="en-US" w:eastAsia="zh-CN" w:bidi="ar-SA"/>
              </w:rPr>
              <w:t>要求</w:t>
            </w:r>
            <w:r>
              <w:rPr>
                <w:rFonts w:hint="eastAsia" w:asciiTheme="minorEastAsia" w:hAnsiTheme="minorEastAsia" w:eastAsiaTheme="minorEastAsia" w:cstheme="minorEastAsia"/>
                <w:kern w:val="2"/>
                <w:sz w:val="24"/>
                <w:szCs w:val="24"/>
                <w:highlight w:val="none"/>
                <w:lang w:val="zh-TW" w:eastAsia="zh-CN" w:bidi="ar-SA"/>
              </w:rPr>
              <w:t>进行承诺最短供货期 （供货期开始时间为：下订单次日开始计算）</w:t>
            </w:r>
          </w:p>
          <w:p w14:paraId="32882D5A">
            <w:pPr>
              <w:pStyle w:val="97"/>
              <w:ind w:left="0" w:leftChars="0" w:firstLine="0" w:firstLineChars="0"/>
              <w:jc w:val="both"/>
              <w:rPr>
                <w:rFonts w:hint="eastAsia" w:asciiTheme="minorEastAsia" w:hAnsiTheme="minorEastAsia" w:eastAsiaTheme="minorEastAsia" w:cstheme="minorEastAsia"/>
                <w:b w:val="0"/>
                <w:bCs w:val="0"/>
                <w:i w:val="0"/>
                <w:iCs w:val="0"/>
                <w:smallCaps w:val="0"/>
                <w:strike w:val="0"/>
                <w:color w:val="000000"/>
                <w:spacing w:val="0"/>
                <w:w w:val="100"/>
                <w:position w:val="0"/>
                <w:sz w:val="24"/>
                <w:szCs w:val="24"/>
                <w:lang w:val="zh-TW" w:eastAsia="zh-CN"/>
              </w:rPr>
            </w:pPr>
            <w:r>
              <w:rPr>
                <w:rFonts w:hint="eastAsia" w:asciiTheme="minorEastAsia" w:hAnsiTheme="minorEastAsia" w:eastAsiaTheme="minorEastAsia" w:cstheme="minorEastAsia"/>
                <w:snapToGrid w:val="0"/>
                <w:sz w:val="24"/>
                <w:szCs w:val="24"/>
                <w:shd w:val="clear" w:color="auto" w:fill="FFFFFF"/>
                <w:lang w:eastAsia="zh-CN"/>
              </w:rPr>
              <w:t>注：</w:t>
            </w:r>
            <w:r>
              <w:rPr>
                <w:rFonts w:hint="eastAsia" w:asciiTheme="minorEastAsia" w:hAnsiTheme="minorEastAsia" w:eastAsiaTheme="minorEastAsia" w:cstheme="minorEastAsia"/>
                <w:b/>
                <w:sz w:val="24"/>
                <w:szCs w:val="24"/>
                <w:lang w:eastAsia="zh-CN"/>
              </w:rPr>
              <w:t>各投标人必须承诺为常态化可执行情况，对明显存在非常态化情况承诺的不给分。</w:t>
            </w:r>
          </w:p>
        </w:tc>
      </w:tr>
      <w:tr w14:paraId="5FA4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73356637">
            <w:pPr>
              <w:numPr>
                <w:ilvl w:val="0"/>
                <w:numId w:val="14"/>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5C840443">
            <w:pPr>
              <w:ind w:firstLine="0" w:firstLineChars="0"/>
              <w:jc w:val="center"/>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rPr>
              <w:t>质量保证期</w:t>
            </w:r>
          </w:p>
        </w:tc>
        <w:tc>
          <w:tcPr>
            <w:tcW w:w="6143" w:type="dxa"/>
            <w:vAlign w:val="center"/>
          </w:tcPr>
          <w:p w14:paraId="16F6629D">
            <w:pPr>
              <w:numPr>
                <w:ilvl w:val="0"/>
                <w:numId w:val="0"/>
              </w:numPr>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spacing w:val="0"/>
                <w:w w:val="100"/>
                <w:position w:val="0"/>
                <w:sz w:val="24"/>
                <w:szCs w:val="24"/>
              </w:rPr>
              <w:t>由投标单位根据招标文件进行</w:t>
            </w:r>
            <w:r>
              <w:rPr>
                <w:rFonts w:hint="eastAsia" w:asciiTheme="minorEastAsia" w:hAnsiTheme="minorEastAsia" w:cstheme="minorEastAsia"/>
                <w:color w:val="000000"/>
                <w:spacing w:val="0"/>
                <w:w w:val="100"/>
                <w:position w:val="0"/>
                <w:sz w:val="24"/>
                <w:szCs w:val="24"/>
                <w:lang w:val="en-US" w:eastAsia="zh-CN"/>
              </w:rPr>
              <w:t>自行</w:t>
            </w:r>
            <w:r>
              <w:rPr>
                <w:rFonts w:hint="eastAsia" w:asciiTheme="minorEastAsia" w:hAnsiTheme="minorEastAsia" w:eastAsiaTheme="minorEastAsia" w:cstheme="minorEastAsia"/>
                <w:color w:val="000000"/>
                <w:spacing w:val="0"/>
                <w:w w:val="100"/>
                <w:position w:val="0"/>
                <w:sz w:val="24"/>
                <w:szCs w:val="24"/>
              </w:rPr>
              <w:t>承诺</w:t>
            </w:r>
            <w:r>
              <w:rPr>
                <w:rFonts w:hint="eastAsia" w:asciiTheme="minorEastAsia" w:hAnsiTheme="minorEastAsia" w:eastAsiaTheme="minorEastAsia" w:cstheme="minorEastAsia"/>
                <w:color w:val="000000"/>
                <w:spacing w:val="0"/>
                <w:w w:val="100"/>
                <w:position w:val="0"/>
                <w:sz w:val="24"/>
                <w:szCs w:val="24"/>
                <w:lang w:eastAsia="zh-CN"/>
              </w:rPr>
              <w:t>。</w:t>
            </w:r>
          </w:p>
        </w:tc>
      </w:tr>
      <w:tr w14:paraId="4C70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288" w:type="dxa"/>
            <w:vAlign w:val="center"/>
          </w:tcPr>
          <w:p w14:paraId="287E95C1">
            <w:pPr>
              <w:numPr>
                <w:ilvl w:val="0"/>
                <w:numId w:val="14"/>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581557D2">
            <w:pPr>
              <w:spacing w:line="360" w:lineRule="auto"/>
              <w:ind w:left="0"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质量要求</w:t>
            </w:r>
          </w:p>
        </w:tc>
        <w:tc>
          <w:tcPr>
            <w:tcW w:w="6143" w:type="dxa"/>
            <w:vAlign w:val="center"/>
          </w:tcPr>
          <w:p w14:paraId="7A591D14">
            <w:pPr>
              <w:spacing w:line="360" w:lineRule="auto"/>
              <w:ind w:left="0" w:leftChars="0" w:firstLine="0" w:firstLine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符合国家《</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www.baidu.com/link?url=jqXVVROzmG2NtLEGBjMVCaG2M-aiTWox1-oQImQ-3prrrkQx2bXd-3zQ3Q0IGFTTPe2iBkA94LXPYt1H3E2aHGT9_BcvGpRTajTaOOUhkwdb4-jlPPQqNF3K4FClpQ8drqEVA4Kk0yeONOWpomT9g4tHh6p1NyHyE0jhgvyfAuRDg907jfoNXGA2H7ebFBJ0YiEgU2L1sXvrOF0PJYk7VAf_UkCFUhYorWS2oAVuC0qUVXPtskq_bTMJlSgjdXMc" \t "_blank"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中华人民共和国产品质量法</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》的要求及规定，达到国家和行业技术标准</w:t>
            </w:r>
            <w:r>
              <w:rPr>
                <w:rFonts w:hint="eastAsia" w:asciiTheme="minorEastAsia" w:hAnsiTheme="minorEastAsia" w:eastAsiaTheme="minorEastAsia" w:cstheme="minorEastAsia"/>
                <w:sz w:val="24"/>
                <w:szCs w:val="24"/>
                <w:highlight w:val="none"/>
                <w:lang w:eastAsia="zh-CN"/>
              </w:rPr>
              <w:t>。</w:t>
            </w:r>
          </w:p>
        </w:tc>
      </w:tr>
      <w:tr w14:paraId="7D71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88" w:type="dxa"/>
            <w:vAlign w:val="center"/>
          </w:tcPr>
          <w:p w14:paraId="44E9466A">
            <w:pPr>
              <w:numPr>
                <w:ilvl w:val="0"/>
                <w:numId w:val="14"/>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33E95271">
            <w:pPr>
              <w:ind w:firstLine="0" w:firstLineChars="0"/>
              <w:jc w:val="center"/>
              <w:rPr>
                <w:rFonts w:hint="eastAsia" w:asciiTheme="minorEastAsia" w:hAnsiTheme="minorEastAsia" w:eastAsiaTheme="minorEastAsia" w:cstheme="minorEastAsia"/>
                <w:sz w:val="24"/>
                <w:szCs w:val="24"/>
                <w:highlight w:val="yellow"/>
                <w:lang w:val="zh-TW" w:eastAsia="zh-CN"/>
              </w:rPr>
            </w:pPr>
            <w:r>
              <w:rPr>
                <w:rFonts w:hint="eastAsia" w:asciiTheme="minorEastAsia" w:hAnsiTheme="minorEastAsia" w:eastAsiaTheme="minorEastAsia" w:cstheme="minorEastAsia"/>
                <w:sz w:val="24"/>
                <w:szCs w:val="24"/>
                <w:highlight w:val="none"/>
              </w:rPr>
              <w:t>付款方式</w:t>
            </w:r>
          </w:p>
        </w:tc>
        <w:tc>
          <w:tcPr>
            <w:tcW w:w="6143" w:type="dxa"/>
            <w:vAlign w:val="center"/>
          </w:tcPr>
          <w:p w14:paraId="165D27D1">
            <w:pPr>
              <w:numPr>
                <w:ilvl w:val="0"/>
                <w:numId w:val="0"/>
              </w:numPr>
              <w:jc w:val="both"/>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000000"/>
                <w:spacing w:val="0"/>
                <w:w w:val="100"/>
                <w:position w:val="0"/>
                <w:sz w:val="24"/>
                <w:szCs w:val="24"/>
              </w:rPr>
              <w:t>由投标单位根据招标文件进行</w:t>
            </w:r>
            <w:r>
              <w:rPr>
                <w:rFonts w:hint="eastAsia" w:asciiTheme="minorEastAsia" w:hAnsiTheme="minorEastAsia" w:cstheme="minorEastAsia"/>
                <w:color w:val="000000"/>
                <w:spacing w:val="0"/>
                <w:w w:val="100"/>
                <w:position w:val="0"/>
                <w:sz w:val="24"/>
                <w:szCs w:val="24"/>
                <w:lang w:val="en-US" w:eastAsia="zh-CN"/>
              </w:rPr>
              <w:t>自行</w:t>
            </w:r>
            <w:r>
              <w:rPr>
                <w:rFonts w:hint="eastAsia" w:asciiTheme="minorEastAsia" w:hAnsiTheme="minorEastAsia" w:eastAsiaTheme="minorEastAsia" w:cstheme="minorEastAsia"/>
                <w:color w:val="000000"/>
                <w:spacing w:val="0"/>
                <w:w w:val="100"/>
                <w:position w:val="0"/>
                <w:sz w:val="24"/>
                <w:szCs w:val="24"/>
              </w:rPr>
              <w:t>承诺</w:t>
            </w:r>
            <w:r>
              <w:rPr>
                <w:rFonts w:hint="eastAsia" w:asciiTheme="minorEastAsia" w:hAnsiTheme="minorEastAsia" w:eastAsiaTheme="minorEastAsia" w:cstheme="minorEastAsia"/>
                <w:color w:val="000000"/>
                <w:spacing w:val="0"/>
                <w:w w:val="100"/>
                <w:position w:val="0"/>
                <w:sz w:val="24"/>
                <w:szCs w:val="24"/>
                <w:lang w:eastAsia="zh-CN"/>
              </w:rPr>
              <w:t>。</w:t>
            </w:r>
          </w:p>
        </w:tc>
      </w:tr>
      <w:tr w14:paraId="5BBE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88" w:type="dxa"/>
            <w:vAlign w:val="center"/>
          </w:tcPr>
          <w:p w14:paraId="0F4D9865">
            <w:pPr>
              <w:numPr>
                <w:ilvl w:val="0"/>
                <w:numId w:val="14"/>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055F06A9">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w:t>
            </w:r>
          </w:p>
        </w:tc>
        <w:tc>
          <w:tcPr>
            <w:tcW w:w="6143" w:type="dxa"/>
            <w:vAlign w:val="center"/>
          </w:tcPr>
          <w:p w14:paraId="3D84065C">
            <w:pPr>
              <w:numPr>
                <w:ilvl w:val="0"/>
                <w:numId w:val="17"/>
              </w:numPr>
              <w:ind w:left="0" w:firstLine="0" w:firstLineChars="0"/>
              <w:jc w:val="both"/>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投标保证金的金额：人民币</w:t>
            </w:r>
            <w:r>
              <w:rPr>
                <w:rFonts w:hint="eastAsia" w:asciiTheme="minorEastAsia" w:hAnsiTheme="minorEastAsia" w:eastAsiaTheme="minorEastAsia" w:cstheme="minorEastAsia"/>
                <w:b/>
                <w:bCs/>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lang w:val="zh-TW" w:eastAsia="zh-TW"/>
              </w:rPr>
              <w:t>。</w:t>
            </w:r>
          </w:p>
          <w:p w14:paraId="1B45A34A">
            <w:pPr>
              <w:numPr>
                <w:ilvl w:val="0"/>
                <w:numId w:val="17"/>
              </w:numPr>
              <w:ind w:left="0" w:firstLine="0" w:firstLineChars="0"/>
              <w:jc w:val="both"/>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投标保证金交款形式及要求：投标保证金可采用银行转账、银行保函、电子保函、保证保险等依法合规形式提交</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TW" w:eastAsia="zh-TW"/>
              </w:rPr>
              <w:t>银行转账</w:t>
            </w:r>
            <w:r>
              <w:rPr>
                <w:rFonts w:hint="eastAsia" w:asciiTheme="minorEastAsia" w:hAnsi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lang w:val="zh-TW" w:eastAsia="zh-TW"/>
              </w:rPr>
              <w:t>考虑汇入时间风险，如同城汇入、异地汇入、跨行汇入的时间要求。</w:t>
            </w:r>
            <w:r>
              <w:rPr>
                <w:rFonts w:hint="eastAsia" w:asciiTheme="minorEastAsia" w:hAnsiTheme="minorEastAsia" w:cstheme="minorEastAsia"/>
                <w:color w:val="auto"/>
                <w:sz w:val="24"/>
                <w:szCs w:val="24"/>
                <w:highlight w:val="none"/>
                <w:lang w:val="en-US" w:eastAsia="zh-CN"/>
              </w:rPr>
              <w:t>必须保证</w:t>
            </w:r>
            <w:r>
              <w:rPr>
                <w:rFonts w:hint="eastAsia" w:asciiTheme="minorEastAsia" w:hAnsiTheme="minorEastAsia" w:eastAsiaTheme="minorEastAsia" w:cstheme="minorEastAsia"/>
                <w:color w:val="auto"/>
                <w:sz w:val="24"/>
                <w:szCs w:val="24"/>
                <w:highlight w:val="none"/>
                <w:lang w:val="zh-TW" w:eastAsia="zh-TW"/>
              </w:rPr>
              <w:t>在投标文件递交截止时间前</w:t>
            </w:r>
            <w:r>
              <w:rPr>
                <w:rFonts w:hint="eastAsia" w:asciiTheme="minorEastAsia" w:hAnsiTheme="minorEastAsia" w:eastAsiaTheme="minorEastAsia" w:cstheme="minorEastAsia"/>
                <w:color w:val="auto"/>
                <w:sz w:val="24"/>
                <w:szCs w:val="24"/>
                <w:highlight w:val="none"/>
                <w:lang w:val="zh-TW" w:eastAsia="zh-CN"/>
              </w:rPr>
              <w:t>到账</w:t>
            </w:r>
            <w:r>
              <w:rPr>
                <w:rFonts w:hint="eastAsia" w:asciiTheme="minorEastAsia" w:hAnsiTheme="minorEastAsia" w:eastAsiaTheme="minorEastAsia" w:cstheme="minorEastAsia"/>
                <w:color w:val="auto"/>
                <w:sz w:val="24"/>
                <w:szCs w:val="24"/>
                <w:highlight w:val="none"/>
                <w:lang w:val="zh-TW" w:eastAsia="zh-TW"/>
              </w:rPr>
              <w:t>。</w:t>
            </w:r>
          </w:p>
          <w:p w14:paraId="2F80412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投标保证金账户及账号：</w:t>
            </w:r>
          </w:p>
          <w:p w14:paraId="6184A60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公司账户：国义招标股份有限公司重庆分公司</w:t>
            </w:r>
          </w:p>
          <w:p w14:paraId="20C42BB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户 行：招商银行股份有限公司重庆北部新区支行</w:t>
            </w:r>
          </w:p>
          <w:p w14:paraId="0DD4B07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账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号：123911499910101</w:t>
            </w:r>
          </w:p>
          <w:p w14:paraId="39DD7DC1">
            <w:pPr>
              <w:pageBreakBefore w:val="0"/>
              <w:kinsoku/>
              <w:overflowPunct/>
              <w:topLinePunct w:val="0"/>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投标人必须在付款凭证备注栏中注明</w:t>
            </w:r>
            <w:r>
              <w:rPr>
                <w:rFonts w:hint="eastAsia" w:asciiTheme="minorEastAsia" w:hAnsiTheme="minorEastAsia" w:eastAsiaTheme="minorEastAsia" w:cstheme="minorEastAsia"/>
                <w:b/>
                <w:bCs/>
                <w:color w:val="auto"/>
                <w:sz w:val="24"/>
                <w:szCs w:val="24"/>
                <w:highlight w:val="none"/>
                <w:u w:val="single"/>
                <w:lang w:eastAsia="zh-CN"/>
              </w:rPr>
              <w:t>AI一体化管控平台研究与建设公开招标</w:t>
            </w:r>
            <w:r>
              <w:rPr>
                <w:rFonts w:hint="eastAsia" w:asciiTheme="minorEastAsia" w:hAnsiTheme="minorEastAsia" w:eastAsiaTheme="minorEastAsia" w:cstheme="minorEastAsia"/>
                <w:color w:val="auto"/>
                <w:sz w:val="24"/>
                <w:szCs w:val="24"/>
                <w:highlight w:val="none"/>
                <w:lang w:val="zh-TW" w:eastAsia="zh-TW"/>
              </w:rPr>
              <w:t>投标保证金（可简写）。</w:t>
            </w:r>
          </w:p>
          <w:p w14:paraId="7CAC9C8E">
            <w:pPr>
              <w:numPr>
                <w:ilvl w:val="0"/>
                <w:numId w:val="17"/>
              </w:numPr>
              <w:ind w:left="0" w:firstLine="0" w:firstLineChars="0"/>
              <w:jc w:val="both"/>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投标保证金的缴纳验证：现场确认。</w:t>
            </w:r>
          </w:p>
          <w:p w14:paraId="6CB49E63">
            <w:pPr>
              <w:numPr>
                <w:ilvl w:val="0"/>
                <w:numId w:val="17"/>
              </w:numPr>
              <w:ind w:lef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TW"/>
              </w:rPr>
              <w:t>投标保证金的退还</w:t>
            </w:r>
            <w:r>
              <w:rPr>
                <w:rFonts w:hint="eastAsia" w:asciiTheme="minorEastAsia" w:hAnsiTheme="minorEastAsia" w:eastAsiaTheme="minorEastAsia" w:cstheme="minorEastAsia"/>
                <w:color w:val="auto"/>
                <w:sz w:val="24"/>
                <w:szCs w:val="24"/>
                <w:highlight w:val="none"/>
                <w:lang w:val="zh-TW" w:eastAsia="zh-CN"/>
              </w:rPr>
              <w:t>：</w:t>
            </w:r>
            <w:r>
              <w:rPr>
                <w:rFonts w:hint="eastAsia" w:asciiTheme="minorEastAsia" w:hAnsiTheme="minorEastAsia" w:eastAsiaTheme="minorEastAsia" w:cstheme="minorEastAsia"/>
                <w:color w:val="auto"/>
                <w:sz w:val="24"/>
                <w:szCs w:val="24"/>
                <w:highlight w:val="none"/>
                <w:lang w:eastAsia="zh-CN"/>
              </w:rPr>
              <w:t>按国家相关法律、规定退还。</w:t>
            </w:r>
          </w:p>
          <w:p w14:paraId="1ED304B5">
            <w:pPr>
              <w:numPr>
                <w:ilvl w:val="0"/>
                <w:numId w:val="17"/>
              </w:numPr>
              <w:ind w:left="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有下列情形之一的，投标保证金将不予退还：</w:t>
            </w:r>
          </w:p>
          <w:p w14:paraId="6B81F875">
            <w:pPr>
              <w:ind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在投标文件有效期内撤销或修改其投标文件；</w:t>
            </w:r>
          </w:p>
          <w:p w14:paraId="58FE681F">
            <w:pPr>
              <w:ind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中标候选人在收到中标通知书后，无正当理由拒签合同协议书或未按招标文件规定提交履约担保的；</w:t>
            </w:r>
          </w:p>
          <w:p w14:paraId="5D4A6CFF">
            <w:pPr>
              <w:pStyle w:val="21"/>
              <w:ind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法律法规和招标文件规定的其他情形。</w:t>
            </w:r>
          </w:p>
        </w:tc>
      </w:tr>
      <w:tr w14:paraId="5DFB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1288" w:type="dxa"/>
            <w:vAlign w:val="center"/>
          </w:tcPr>
          <w:p w14:paraId="0DA5ED1D">
            <w:pPr>
              <w:numPr>
                <w:ilvl w:val="0"/>
                <w:numId w:val="18"/>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34B63BBD">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投标人质疑招标文件的截止时间</w:t>
            </w:r>
          </w:p>
        </w:tc>
        <w:tc>
          <w:tcPr>
            <w:tcW w:w="6143" w:type="dxa"/>
            <w:vAlign w:val="center"/>
          </w:tcPr>
          <w:p w14:paraId="71B864B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rPr>
              <w:t>投标人在收到招标文件后应仔细阅读和检查招标文件的全部内容。如发现缺页或附件不全，应及时提出，以便补齐。如有疑问，请在</w:t>
            </w:r>
            <w:r>
              <w:rPr>
                <w:rFonts w:hint="eastAsia" w:asciiTheme="minorEastAsia" w:hAnsiTheme="minorEastAsia" w:eastAsiaTheme="minorEastAsia" w:cstheme="minorEastAsia"/>
                <w:b/>
                <w:bCs/>
                <w:color w:val="auto"/>
                <w:sz w:val="24"/>
                <w:szCs w:val="24"/>
                <w:highlight w:val="none"/>
                <w:u w:val="single"/>
              </w:rPr>
              <w:t>202</w:t>
            </w:r>
            <w:r>
              <w:rPr>
                <w:rFonts w:hint="eastAsia" w:asciiTheme="minorEastAsia" w:hAnsiTheme="minorEastAsia" w:eastAsiaTheme="minorEastAsia" w:cstheme="minorEastAsia"/>
                <w:b/>
                <w:bCs/>
                <w:color w:val="auto"/>
                <w:sz w:val="24"/>
                <w:szCs w:val="24"/>
                <w:highlight w:val="none"/>
                <w:u w:val="single"/>
                <w:lang w:val="en-US" w:eastAsia="zh-CN"/>
              </w:rPr>
              <w:t>6</w:t>
            </w:r>
            <w:r>
              <w:rPr>
                <w:rFonts w:hint="eastAsia" w:asciiTheme="minorEastAsia" w:hAnsiTheme="minorEastAsia" w:eastAsiaTheme="minorEastAsia" w:cstheme="minorEastAsia"/>
                <w:b/>
                <w:bCs/>
                <w:color w:val="auto"/>
                <w:sz w:val="24"/>
                <w:szCs w:val="24"/>
                <w:highlight w:val="none"/>
                <w:u w:val="single"/>
              </w:rPr>
              <w:t>年</w:t>
            </w:r>
            <w:r>
              <w:rPr>
                <w:rFonts w:hint="eastAsia" w:asciiTheme="minorEastAsia" w:hAnsiTheme="minorEastAsia" w:eastAsiaTheme="minorEastAsia" w:cstheme="minorEastAsia"/>
                <w:b/>
                <w:bCs/>
                <w:color w:val="auto"/>
                <w:sz w:val="24"/>
                <w:szCs w:val="24"/>
                <w:highlight w:val="none"/>
                <w:u w:val="single"/>
                <w:lang w:val="en-US" w:eastAsia="zh-CN"/>
              </w:rPr>
              <w:t>7</w:t>
            </w:r>
            <w:r>
              <w:rPr>
                <w:rFonts w:hint="eastAsia" w:asciiTheme="minorEastAsia" w:hAnsiTheme="minorEastAsia" w:eastAsiaTheme="minorEastAsia" w:cstheme="minorEastAsia"/>
                <w:b/>
                <w:bCs/>
                <w:color w:val="auto"/>
                <w:sz w:val="24"/>
                <w:szCs w:val="24"/>
                <w:highlight w:val="none"/>
                <w:u w:val="single"/>
              </w:rPr>
              <w:t>月</w:t>
            </w:r>
            <w:r>
              <w:rPr>
                <w:rFonts w:hint="eastAsia" w:asciiTheme="minorEastAsia" w:hAnsiTheme="minorEastAsia" w:eastAsiaTheme="minorEastAsia" w:cstheme="minorEastAsia"/>
                <w:b/>
                <w:bCs/>
                <w:color w:val="auto"/>
                <w:sz w:val="24"/>
                <w:szCs w:val="24"/>
                <w:highlight w:val="none"/>
                <w:u w:val="single"/>
                <w:lang w:val="en-US" w:eastAsia="zh-CN"/>
              </w:rPr>
              <w:t>24</w:t>
            </w:r>
            <w:r>
              <w:rPr>
                <w:rFonts w:hint="eastAsia" w:asciiTheme="minorEastAsia" w:hAnsiTheme="minorEastAsia" w:eastAsiaTheme="minorEastAsia" w:cstheme="minorEastAsia"/>
                <w:b/>
                <w:bCs/>
                <w:color w:val="auto"/>
                <w:sz w:val="24"/>
                <w:szCs w:val="24"/>
                <w:highlight w:val="none"/>
                <w:u w:val="single"/>
              </w:rPr>
              <w:t>日1</w:t>
            </w:r>
            <w:r>
              <w:rPr>
                <w:rFonts w:hint="eastAsia" w:asciiTheme="minorEastAsia" w:hAnsiTheme="minorEastAsia" w:eastAsiaTheme="minorEastAsia" w:cstheme="minorEastAsia"/>
                <w:b/>
                <w:bCs/>
                <w:color w:val="auto"/>
                <w:sz w:val="24"/>
                <w:szCs w:val="24"/>
                <w:highlight w:val="none"/>
                <w:u w:val="single"/>
                <w:lang w:val="en-US" w:eastAsia="zh-CN"/>
              </w:rPr>
              <w:t>7</w:t>
            </w:r>
            <w:r>
              <w:rPr>
                <w:rFonts w:hint="eastAsia" w:asciiTheme="minorEastAsia" w:hAnsiTheme="minorEastAsia" w:eastAsiaTheme="minorEastAsia" w:cstheme="minorEastAsia"/>
                <w:b/>
                <w:bCs/>
                <w:color w:val="auto"/>
                <w:sz w:val="24"/>
                <w:szCs w:val="24"/>
                <w:highlight w:val="none"/>
                <w:u w:val="single"/>
              </w:rPr>
              <w:t>时</w:t>
            </w:r>
            <w:r>
              <w:rPr>
                <w:rFonts w:hint="eastAsia" w:asciiTheme="minorEastAsia" w:hAnsiTheme="minorEastAsia" w:eastAsiaTheme="minorEastAsia" w:cstheme="minorEastAsia"/>
                <w:b/>
                <w:bCs/>
                <w:color w:val="auto"/>
                <w:sz w:val="24"/>
                <w:szCs w:val="24"/>
                <w:highlight w:val="none"/>
                <w:u w:val="single"/>
                <w:lang w:val="en-US" w:eastAsia="zh-CN"/>
              </w:rPr>
              <w:t>3</w:t>
            </w:r>
            <w:r>
              <w:rPr>
                <w:rFonts w:hint="eastAsia" w:asciiTheme="minorEastAsia" w:hAnsiTheme="minorEastAsia" w:eastAsiaTheme="minorEastAsia" w:cstheme="minorEastAsia"/>
                <w:b/>
                <w:bCs/>
                <w:color w:val="auto"/>
                <w:sz w:val="24"/>
                <w:szCs w:val="24"/>
                <w:highlight w:val="none"/>
                <w:u w:val="single"/>
              </w:rPr>
              <w:t>0分（北京时间，下同）</w:t>
            </w:r>
            <w:r>
              <w:rPr>
                <w:rFonts w:hint="eastAsia" w:asciiTheme="minorEastAsia" w:hAnsiTheme="minorEastAsia" w:eastAsiaTheme="minorEastAsia" w:cstheme="minorEastAsia"/>
                <w:color w:val="auto"/>
                <w:sz w:val="24"/>
                <w:szCs w:val="24"/>
                <w:highlight w:val="none"/>
              </w:rPr>
              <w:t>前将盖章后的质疑内容</w:t>
            </w:r>
            <w:r>
              <w:rPr>
                <w:rFonts w:hint="eastAsia" w:asciiTheme="minorEastAsia" w:hAnsiTheme="minorEastAsia" w:eastAsiaTheme="minorEastAsia" w:cstheme="minorEastAsia"/>
                <w:color w:val="auto"/>
                <w:sz w:val="24"/>
                <w:szCs w:val="24"/>
                <w:highlight w:val="none"/>
                <w:lang w:eastAsia="zh-CN"/>
              </w:rPr>
              <w:t>发送至招标代理机构</w:t>
            </w:r>
            <w:r>
              <w:rPr>
                <w:rFonts w:hint="eastAsia" w:asciiTheme="minorEastAsia" w:hAnsiTheme="minorEastAsia" w:eastAsiaTheme="minorEastAsia" w:cstheme="minorEastAsia"/>
                <w:color w:val="auto"/>
                <w:sz w:val="24"/>
                <w:szCs w:val="24"/>
                <w:highlight w:val="none"/>
              </w:rPr>
              <w:t>邮箱（cq@ebidding.com），并电话告知，未按规定提交的质疑，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有权不予受理。</w:t>
            </w:r>
          </w:p>
        </w:tc>
      </w:tr>
      <w:tr w14:paraId="4CFA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288" w:type="dxa"/>
            <w:vAlign w:val="center"/>
          </w:tcPr>
          <w:p w14:paraId="334F34F7">
            <w:pPr>
              <w:numPr>
                <w:ilvl w:val="0"/>
                <w:numId w:val="18"/>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43BD8889">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采购人对招标文件答疑的截止时间</w:t>
            </w:r>
          </w:p>
        </w:tc>
        <w:tc>
          <w:tcPr>
            <w:tcW w:w="6143" w:type="dxa"/>
            <w:vAlign w:val="center"/>
          </w:tcPr>
          <w:p w14:paraId="1E5A661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在认为有必要对投标人所提问题进行答复或对招标文件进行补充时，请于</w:t>
            </w:r>
            <w:r>
              <w:rPr>
                <w:rFonts w:hint="eastAsia" w:asciiTheme="minorEastAsia" w:hAnsiTheme="minorEastAsia" w:eastAsiaTheme="minorEastAsia" w:cstheme="minorEastAsia"/>
                <w:b/>
                <w:bCs/>
                <w:color w:val="auto"/>
                <w:sz w:val="24"/>
                <w:szCs w:val="24"/>
                <w:highlight w:val="none"/>
                <w:u w:val="single"/>
              </w:rPr>
              <w:t>202</w:t>
            </w:r>
            <w:r>
              <w:rPr>
                <w:rFonts w:hint="eastAsia" w:asciiTheme="minorEastAsia" w:hAnsiTheme="minorEastAsia" w:eastAsiaTheme="minorEastAsia" w:cstheme="minorEastAsia"/>
                <w:b/>
                <w:bCs/>
                <w:color w:val="auto"/>
                <w:sz w:val="24"/>
                <w:szCs w:val="24"/>
                <w:highlight w:val="none"/>
                <w:u w:val="single"/>
                <w:lang w:val="en-US" w:eastAsia="zh-CN"/>
              </w:rPr>
              <w:t>6</w:t>
            </w:r>
            <w:r>
              <w:rPr>
                <w:rFonts w:hint="eastAsia" w:asciiTheme="minorEastAsia" w:hAnsiTheme="minorEastAsia" w:eastAsiaTheme="minorEastAsia" w:cstheme="minorEastAsia"/>
                <w:b/>
                <w:bCs/>
                <w:color w:val="auto"/>
                <w:sz w:val="24"/>
                <w:szCs w:val="24"/>
                <w:highlight w:val="none"/>
                <w:u w:val="single"/>
              </w:rPr>
              <w:t>年</w:t>
            </w:r>
            <w:r>
              <w:rPr>
                <w:rFonts w:hint="eastAsia" w:asciiTheme="minorEastAsia" w:hAnsiTheme="minorEastAsia" w:eastAsiaTheme="minorEastAsia" w:cstheme="minorEastAsia"/>
                <w:b/>
                <w:bCs/>
                <w:color w:val="auto"/>
                <w:sz w:val="24"/>
                <w:szCs w:val="24"/>
                <w:highlight w:val="none"/>
                <w:u w:val="single"/>
                <w:lang w:val="en-US" w:eastAsia="zh-CN"/>
              </w:rPr>
              <w:t>7</w:t>
            </w:r>
            <w:r>
              <w:rPr>
                <w:rFonts w:hint="eastAsia" w:asciiTheme="minorEastAsia" w:hAnsiTheme="minorEastAsia" w:eastAsiaTheme="minorEastAsia" w:cstheme="minorEastAsia"/>
                <w:b/>
                <w:bCs/>
                <w:color w:val="auto"/>
                <w:sz w:val="24"/>
                <w:szCs w:val="24"/>
                <w:highlight w:val="none"/>
                <w:u w:val="single"/>
              </w:rPr>
              <w:t>月</w:t>
            </w:r>
            <w:r>
              <w:rPr>
                <w:rFonts w:hint="eastAsia" w:asciiTheme="minorEastAsia" w:hAnsiTheme="minorEastAsia" w:eastAsiaTheme="minorEastAsia" w:cstheme="minorEastAsia"/>
                <w:b/>
                <w:bCs/>
                <w:color w:val="auto"/>
                <w:sz w:val="24"/>
                <w:szCs w:val="24"/>
                <w:highlight w:val="none"/>
                <w:u w:val="single"/>
                <w:lang w:val="en-US" w:eastAsia="zh-CN"/>
              </w:rPr>
              <w:t>26</w:t>
            </w:r>
            <w:r>
              <w:rPr>
                <w:rFonts w:hint="eastAsia" w:asciiTheme="minorEastAsia" w:hAnsiTheme="minorEastAsia" w:eastAsiaTheme="minorEastAsia" w:cstheme="minorEastAsia"/>
                <w:b/>
                <w:bCs/>
                <w:color w:val="auto"/>
                <w:sz w:val="24"/>
                <w:szCs w:val="24"/>
                <w:highlight w:val="none"/>
                <w:u w:val="single"/>
              </w:rPr>
              <w:t>日1</w:t>
            </w:r>
            <w:r>
              <w:rPr>
                <w:rFonts w:hint="eastAsia" w:asciiTheme="minorEastAsia" w:hAnsiTheme="minorEastAsia" w:eastAsiaTheme="minorEastAsia" w:cstheme="minorEastAsia"/>
                <w:b/>
                <w:bCs/>
                <w:color w:val="auto"/>
                <w:sz w:val="24"/>
                <w:szCs w:val="24"/>
                <w:highlight w:val="none"/>
                <w:u w:val="single"/>
                <w:lang w:val="en-US" w:eastAsia="zh-CN"/>
              </w:rPr>
              <w:t>7</w:t>
            </w:r>
            <w:r>
              <w:rPr>
                <w:rFonts w:hint="eastAsia" w:asciiTheme="minorEastAsia" w:hAnsiTheme="minorEastAsia" w:eastAsiaTheme="minorEastAsia" w:cstheme="minorEastAsia"/>
                <w:b/>
                <w:bCs/>
                <w:color w:val="auto"/>
                <w:sz w:val="24"/>
                <w:szCs w:val="24"/>
                <w:highlight w:val="none"/>
                <w:u w:val="single"/>
              </w:rPr>
              <w:t>时</w:t>
            </w:r>
            <w:r>
              <w:rPr>
                <w:rFonts w:hint="eastAsia" w:asciiTheme="minorEastAsia" w:hAnsiTheme="minorEastAsia" w:eastAsiaTheme="minorEastAsia" w:cstheme="minorEastAsia"/>
                <w:b/>
                <w:bCs/>
                <w:color w:val="auto"/>
                <w:sz w:val="24"/>
                <w:szCs w:val="24"/>
                <w:highlight w:val="none"/>
                <w:u w:val="single"/>
                <w:lang w:val="en-US" w:eastAsia="zh-CN"/>
              </w:rPr>
              <w:t>3</w:t>
            </w:r>
            <w:r>
              <w:rPr>
                <w:rFonts w:hint="eastAsia" w:asciiTheme="minorEastAsia" w:hAnsiTheme="minorEastAsia" w:eastAsiaTheme="minorEastAsia" w:cstheme="minorEastAsia"/>
                <w:b/>
                <w:bCs/>
                <w:color w:val="auto"/>
                <w:sz w:val="24"/>
                <w:szCs w:val="24"/>
                <w:highlight w:val="none"/>
                <w:u w:val="single"/>
              </w:rPr>
              <w:t>0分</w:t>
            </w:r>
            <w:r>
              <w:rPr>
                <w:rFonts w:hint="eastAsia" w:asciiTheme="minorEastAsia" w:hAnsiTheme="minorEastAsia" w:eastAsiaTheme="minorEastAsia" w:cstheme="minorEastAsia"/>
                <w:b/>
                <w:bCs/>
                <w:color w:val="auto"/>
                <w:sz w:val="24"/>
                <w:szCs w:val="24"/>
                <w:highlight w:val="none"/>
                <w:u w:val="single"/>
                <w:lang w:eastAsia="zh-CN"/>
              </w:rPr>
              <w:t>前</w:t>
            </w:r>
            <w:r>
              <w:rPr>
                <w:rFonts w:hint="eastAsia" w:asciiTheme="minorEastAsia" w:hAnsiTheme="minorEastAsia" w:eastAsiaTheme="minorEastAsia" w:cstheme="minorEastAsia"/>
                <w:color w:val="auto"/>
                <w:sz w:val="24"/>
                <w:szCs w:val="24"/>
                <w:highlight w:val="none"/>
              </w:rPr>
              <w:t>以电子邮件的形式向所有领取招标文件的投标人作出答复，并将答复内容和补充内容作为招标文件的一部分。</w:t>
            </w:r>
          </w:p>
        </w:tc>
      </w:tr>
      <w:tr w14:paraId="3E2E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0786D12E">
            <w:pPr>
              <w:numPr>
                <w:ilvl w:val="0"/>
                <w:numId w:val="19"/>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7B8FDF32">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投标文件的组成</w:t>
            </w:r>
          </w:p>
        </w:tc>
        <w:tc>
          <w:tcPr>
            <w:tcW w:w="6143" w:type="dxa"/>
            <w:vAlign w:val="center"/>
          </w:tcPr>
          <w:p w14:paraId="11064DA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eastAsia="zh-CN"/>
              </w:rPr>
              <w:t>投</w:t>
            </w:r>
            <w:r>
              <w:rPr>
                <w:rFonts w:hint="eastAsia" w:asciiTheme="minorEastAsia" w:hAnsiTheme="minorEastAsia" w:eastAsiaTheme="minorEastAsia" w:cstheme="minorEastAsia"/>
                <w:sz w:val="24"/>
                <w:szCs w:val="24"/>
                <w:highlight w:val="none"/>
                <w:lang w:val="zh-TW" w:eastAsia="zh-TW"/>
              </w:rPr>
              <w:t>标文件由投标函部分、</w:t>
            </w:r>
            <w:r>
              <w:rPr>
                <w:rFonts w:hint="eastAsia" w:ascii="宋体" w:hAnsi="宋体"/>
                <w:sz w:val="24"/>
                <w:szCs w:val="24"/>
                <w:highlight w:val="none"/>
                <w:lang w:eastAsia="zh-CN"/>
              </w:rPr>
              <w:t>资格审查资料</w:t>
            </w:r>
            <w:r>
              <w:rPr>
                <w:rFonts w:hint="eastAsia" w:ascii="宋体" w:hAnsi="宋体"/>
                <w:sz w:val="24"/>
                <w:szCs w:val="24"/>
                <w:highlight w:val="none"/>
                <w:lang w:val="en-US" w:eastAsia="zh-CN"/>
              </w:rPr>
              <w:t>及承诺函</w:t>
            </w:r>
            <w:r>
              <w:rPr>
                <w:rFonts w:hint="eastAsia" w:ascii="宋体" w:hAnsi="宋体"/>
                <w:sz w:val="24"/>
                <w:szCs w:val="24"/>
                <w:highlight w:val="none"/>
                <w:lang w:eastAsia="zh-CN"/>
              </w:rPr>
              <w:t>等部分</w:t>
            </w:r>
            <w:r>
              <w:rPr>
                <w:rFonts w:hint="eastAsia" w:asciiTheme="minorEastAsia" w:hAnsiTheme="minorEastAsia" w:eastAsiaTheme="minorEastAsia" w:cstheme="minorEastAsia"/>
                <w:sz w:val="24"/>
                <w:szCs w:val="24"/>
                <w:highlight w:val="none"/>
                <w:lang w:eastAsia="zh-CN"/>
              </w:rPr>
              <w:t>组成。</w:t>
            </w:r>
          </w:p>
        </w:tc>
      </w:tr>
      <w:tr w14:paraId="2CB6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4CD8D64F">
            <w:pPr>
              <w:numPr>
                <w:ilvl w:val="0"/>
                <w:numId w:val="19"/>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16959B5C">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投标文件编制</w:t>
            </w:r>
          </w:p>
        </w:tc>
        <w:tc>
          <w:tcPr>
            <w:tcW w:w="6143" w:type="dxa"/>
            <w:vAlign w:val="center"/>
          </w:tcPr>
          <w:p w14:paraId="3846052E">
            <w:pPr>
              <w:numPr>
                <w:ilvl w:val="0"/>
                <w:numId w:val="0"/>
              </w:numPr>
              <w:ind w:firstLine="0" w:firstLine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bidi="en-US"/>
              </w:rPr>
              <w:t>1、</w:t>
            </w:r>
            <w:r>
              <w:rPr>
                <w:rFonts w:hint="eastAsia" w:asciiTheme="minorEastAsia" w:hAnsiTheme="minorEastAsia" w:eastAsiaTheme="minorEastAsia" w:cstheme="minorEastAsia"/>
                <w:sz w:val="24"/>
                <w:szCs w:val="24"/>
                <w:highlight w:val="none"/>
                <w:lang w:eastAsia="zh-CN"/>
              </w:rPr>
              <w:t>投标文件采用的语言与文字：汉语、中文简体，其他语言必须翻译成汉语。</w:t>
            </w:r>
          </w:p>
          <w:p w14:paraId="6AA71084">
            <w:pPr>
              <w:pStyle w:val="21"/>
              <w:numPr>
                <w:ilvl w:val="0"/>
                <w:numId w:val="0"/>
              </w:numPr>
              <w:ind w:firstLine="0" w:firstLine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bidi="en-US"/>
              </w:rPr>
              <w:t>2、</w:t>
            </w:r>
            <w:r>
              <w:rPr>
                <w:rFonts w:hint="eastAsia" w:asciiTheme="minorEastAsia" w:hAnsiTheme="minorEastAsia" w:eastAsiaTheme="minorEastAsia" w:cstheme="minorEastAsia"/>
                <w:sz w:val="24"/>
                <w:szCs w:val="24"/>
                <w:highlight w:val="none"/>
                <w:lang w:eastAsia="zh-CN"/>
              </w:rPr>
              <w:t>计量单位：法定计量单位，所有价格方面采用人民币计价。</w:t>
            </w:r>
          </w:p>
        </w:tc>
      </w:tr>
      <w:tr w14:paraId="3411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6AEE01A9">
            <w:pPr>
              <w:numPr>
                <w:ilvl w:val="0"/>
                <w:numId w:val="19"/>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5AA29468">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构成投标文件的其他材料</w:t>
            </w:r>
          </w:p>
        </w:tc>
        <w:tc>
          <w:tcPr>
            <w:tcW w:w="6143" w:type="dxa"/>
            <w:vAlign w:val="center"/>
          </w:tcPr>
          <w:p w14:paraId="21606285">
            <w:pPr>
              <w:ind w:firstLine="0" w:firstLine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TW"/>
              </w:rPr>
              <w:t>招标文件规定的和投标人认为应该提供的所有材料。</w:t>
            </w:r>
          </w:p>
        </w:tc>
      </w:tr>
      <w:tr w14:paraId="4770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6794E575">
            <w:pPr>
              <w:numPr>
                <w:ilvl w:val="0"/>
                <w:numId w:val="19"/>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3505EE33">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投标报价</w:t>
            </w:r>
          </w:p>
        </w:tc>
        <w:tc>
          <w:tcPr>
            <w:tcW w:w="6143" w:type="dxa"/>
            <w:vAlign w:val="center"/>
          </w:tcPr>
          <w:p w14:paraId="1EABCC42">
            <w:pPr>
              <w:tabs>
                <w:tab w:val="left" w:pos="546"/>
                <w:tab w:val="left" w:pos="711"/>
              </w:tabs>
              <w:snapToGrid w:val="0"/>
              <w:ind w:firstLine="0" w:firstLineChars="0"/>
              <w:jc w:val="both"/>
              <w:rPr>
                <w:rFonts w:hint="default"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eastAsia="zh-CN"/>
              </w:rPr>
              <w:t>一、</w:t>
            </w:r>
            <w:r>
              <w:rPr>
                <w:rFonts w:hint="eastAsia" w:asciiTheme="minorEastAsia" w:hAnsiTheme="minorEastAsia" w:eastAsiaTheme="minorEastAsia" w:cstheme="minorEastAsia"/>
                <w:b/>
                <w:bCs w:val="0"/>
                <w:color w:val="auto"/>
                <w:sz w:val="24"/>
                <w:szCs w:val="24"/>
                <w:highlight w:val="none"/>
                <w:lang w:val="en-US" w:eastAsia="zh-CN"/>
              </w:rPr>
              <w:t>限价</w:t>
            </w:r>
          </w:p>
          <w:p w14:paraId="67014CD1">
            <w:pPr>
              <w:keepNext w:val="0"/>
              <w:keepLines w:val="0"/>
              <w:pageBreakBefore w:val="0"/>
              <w:widowControl w:val="0"/>
              <w:tabs>
                <w:tab w:val="left" w:pos="546"/>
                <w:tab w:val="left" w:pos="711"/>
              </w:tabs>
              <w:kinsoku/>
              <w:wordWrap/>
              <w:overflowPunct/>
              <w:topLinePunct w:val="0"/>
              <w:autoSpaceDE/>
              <w:autoSpaceDN/>
              <w:bidi w:val="0"/>
              <w:adjustRightInd/>
              <w:snapToGrid w:val="0"/>
              <w:spacing w:line="360" w:lineRule="auto"/>
              <w:ind w:firstLine="482"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最高限价为人民币</w:t>
            </w:r>
            <w:r>
              <w:rPr>
                <w:rFonts w:hint="eastAsia" w:asciiTheme="minorEastAsia" w:hAnsiTheme="minorEastAsia" w:eastAsiaTheme="minorEastAsia" w:cstheme="minorEastAsia"/>
                <w:b/>
                <w:bCs/>
                <w:color w:val="auto"/>
                <w:sz w:val="24"/>
                <w:szCs w:val="24"/>
                <w:highlight w:val="none"/>
                <w:lang w:val="en-US" w:eastAsia="zh-CN"/>
              </w:rPr>
              <w:t>39</w:t>
            </w:r>
            <w:r>
              <w:rPr>
                <w:rFonts w:hint="eastAsia" w:asciiTheme="minorEastAsia" w:hAnsi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val="en-US" w:eastAsia="zh-CN"/>
              </w:rPr>
              <w:t>0000</w:t>
            </w:r>
            <w:r>
              <w:rPr>
                <w:rFonts w:hint="eastAsia" w:asciiTheme="minorEastAsia" w:hAnsiTheme="minorEastAsia" w:eastAsiaTheme="minorEastAsia" w:cstheme="minorEastAsia"/>
                <w:b/>
                <w:bCs/>
                <w:color w:val="auto"/>
                <w:sz w:val="24"/>
                <w:szCs w:val="24"/>
                <w:highlight w:val="none"/>
                <w:lang w:eastAsia="zh-CN"/>
              </w:rPr>
              <w:t>.00元；大写</w:t>
            </w:r>
            <w:r>
              <w:rPr>
                <w:rFonts w:hint="eastAsia" w:asciiTheme="minorEastAsia" w:hAnsiTheme="minorEastAsia" w:eastAsiaTheme="minorEastAsia" w:cstheme="minorEastAsia"/>
                <w:b/>
                <w:bCs/>
                <w:color w:val="auto"/>
                <w:sz w:val="24"/>
                <w:szCs w:val="24"/>
                <w:highlight w:val="none"/>
                <w:lang w:val="en-US" w:eastAsia="zh-CN"/>
              </w:rPr>
              <w:t>叁佰玖拾</w:t>
            </w:r>
            <w:r>
              <w:rPr>
                <w:rFonts w:hint="eastAsia" w:asciiTheme="minorEastAsia" w:hAnsiTheme="minorEastAsia" w:cstheme="minorEastAsia"/>
                <w:b/>
                <w:bCs/>
                <w:color w:val="auto"/>
                <w:sz w:val="24"/>
                <w:szCs w:val="24"/>
                <w:highlight w:val="none"/>
                <w:lang w:val="en-US" w:eastAsia="zh-CN"/>
              </w:rPr>
              <w:t>贰</w:t>
            </w:r>
            <w:r>
              <w:rPr>
                <w:rFonts w:hint="eastAsia" w:asciiTheme="minorEastAsia" w:hAnsiTheme="minorEastAsia" w:eastAsiaTheme="minorEastAsia" w:cstheme="minorEastAsia"/>
                <w:b/>
                <w:bCs/>
                <w:color w:val="auto"/>
                <w:sz w:val="24"/>
                <w:szCs w:val="24"/>
                <w:highlight w:val="none"/>
                <w:lang w:val="en-US" w:eastAsia="zh-CN"/>
              </w:rPr>
              <w:t>万</w:t>
            </w:r>
            <w:r>
              <w:rPr>
                <w:rFonts w:hint="eastAsia" w:asciiTheme="minorEastAsia" w:hAnsiTheme="minorEastAsia" w:eastAsiaTheme="minorEastAsia" w:cstheme="minorEastAsia"/>
                <w:b/>
                <w:bCs/>
                <w:color w:val="auto"/>
                <w:sz w:val="24"/>
                <w:szCs w:val="24"/>
                <w:highlight w:val="none"/>
                <w:lang w:eastAsia="zh-CN"/>
              </w:rPr>
              <w:t>元整（含</w:t>
            </w:r>
            <w:r>
              <w:rPr>
                <w:rFonts w:hint="eastAsia" w:asciiTheme="minorEastAsia" w:hAnsiTheme="minorEastAsia" w:eastAsiaTheme="minorEastAsia" w:cstheme="minorEastAsia"/>
                <w:b/>
                <w:bCs/>
                <w:color w:val="auto"/>
                <w:sz w:val="24"/>
                <w:szCs w:val="24"/>
                <w:highlight w:val="none"/>
                <w:lang w:val="en-US" w:eastAsia="zh-CN"/>
              </w:rPr>
              <w:t>13%增值</w:t>
            </w:r>
            <w:r>
              <w:rPr>
                <w:rFonts w:hint="eastAsia" w:asciiTheme="minorEastAsia" w:hAnsiTheme="minorEastAsia" w:eastAsiaTheme="minorEastAsia" w:cstheme="minorEastAsia"/>
                <w:b/>
                <w:bCs/>
                <w:color w:val="auto"/>
                <w:sz w:val="24"/>
                <w:szCs w:val="24"/>
                <w:highlight w:val="none"/>
                <w:lang w:eastAsia="zh-CN"/>
              </w:rPr>
              <w:t>税）</w:t>
            </w:r>
            <w:r>
              <w:rPr>
                <w:rFonts w:hint="eastAsia" w:asciiTheme="minorEastAsia" w:hAnsiTheme="minorEastAsia" w:eastAsiaTheme="minorEastAsia" w:cstheme="minorEastAsia"/>
                <w:color w:val="auto"/>
                <w:sz w:val="24"/>
                <w:szCs w:val="24"/>
                <w:highlight w:val="none"/>
                <w:lang w:eastAsia="zh-CN"/>
              </w:rPr>
              <w:t>。</w:t>
            </w:r>
          </w:p>
          <w:p w14:paraId="0D2B9BAA">
            <w:pPr>
              <w:keepNext w:val="0"/>
              <w:keepLines w:val="0"/>
              <w:pageBreakBefore w:val="0"/>
              <w:widowControl w:val="0"/>
              <w:tabs>
                <w:tab w:val="left" w:pos="546"/>
                <w:tab w:val="left" w:pos="711"/>
              </w:tabs>
              <w:kinsoku/>
              <w:wordWrap/>
              <w:overflowPunct/>
              <w:topLinePunct w:val="0"/>
              <w:autoSpaceDE/>
              <w:autoSpaceDN/>
              <w:bidi w:val="0"/>
              <w:adjustRightInd/>
              <w:snapToGrid w:val="0"/>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lang w:eastAsia="zh-CN"/>
              </w:rPr>
              <w:t>投标人所报价格均不得超过招标文件规定的最高限价，否则按无效投标文件处理。</w:t>
            </w:r>
          </w:p>
          <w:p w14:paraId="2FD85960">
            <w:pPr>
              <w:keepNext w:val="0"/>
              <w:keepLines w:val="0"/>
              <w:pageBreakBefore w:val="0"/>
              <w:widowControl w:val="0"/>
              <w:tabs>
                <w:tab w:val="left" w:pos="546"/>
                <w:tab w:val="left" w:pos="711"/>
              </w:tabs>
              <w:kinsoku/>
              <w:wordWrap/>
              <w:overflowPunct/>
              <w:topLinePunct w:val="0"/>
              <w:autoSpaceDE/>
              <w:autoSpaceDN/>
              <w:bidi w:val="0"/>
              <w:adjustRightInd/>
              <w:snapToGrid w:val="0"/>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二、报价说明</w:t>
            </w:r>
          </w:p>
          <w:p w14:paraId="6511B629">
            <w:pPr>
              <w:keepNext w:val="0"/>
              <w:keepLines w:val="0"/>
              <w:pageBreakBefore w:val="0"/>
              <w:widowControl w:val="0"/>
              <w:tabs>
                <w:tab w:val="left" w:pos="546"/>
                <w:tab w:val="left" w:pos="711"/>
              </w:tabs>
              <w:kinsoku/>
              <w:wordWrap/>
              <w:overflowPunct/>
              <w:topLinePunct w:val="0"/>
              <w:autoSpaceDE/>
              <w:autoSpaceDN/>
              <w:bidi w:val="0"/>
              <w:adjustRightInd/>
              <w:snapToGrid w:val="0"/>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1.投标人应自主考察现场及运输条件，自主确定运输路线、运输方式，根据招标文件中规定的货物品种、供货方式及自身实力和市场情况自主报价。投标人应</w:t>
            </w:r>
            <w:r>
              <w:rPr>
                <w:rFonts w:hint="eastAsia" w:asciiTheme="minorEastAsia" w:hAnsiTheme="minorEastAsia" w:eastAsiaTheme="minorEastAsia" w:cstheme="minorEastAsia"/>
                <w:color w:val="auto"/>
                <w:sz w:val="24"/>
                <w:szCs w:val="24"/>
                <w:highlight w:val="none"/>
                <w:lang w:val="en-US" w:eastAsia="zh-CN"/>
              </w:rPr>
              <w:t>按</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eastAsia="zh-CN"/>
              </w:rPr>
              <w:t>招标清单及技术要求”</w:t>
            </w:r>
            <w:r>
              <w:rPr>
                <w:rFonts w:hint="eastAsia" w:asciiTheme="minorEastAsia" w:hAnsiTheme="minorEastAsia" w:eastAsiaTheme="minorEastAsia" w:cstheme="minorEastAsia"/>
                <w:color w:val="auto"/>
                <w:sz w:val="24"/>
                <w:szCs w:val="24"/>
                <w:highlight w:val="none"/>
              </w:rPr>
              <w:t>给出的所有内容进行</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val="en-US" w:eastAsia="zh-CN"/>
              </w:rPr>
              <w:t>并填写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投标货物分项报价明细表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不得有遗漏，若清单报价有遗漏将视为不响应招标文件要求，其投标将被否决。</w:t>
            </w:r>
          </w:p>
          <w:p w14:paraId="7618DF2B">
            <w:pPr>
              <w:keepNext w:val="0"/>
              <w:keepLines w:val="0"/>
              <w:pageBreakBefore w:val="0"/>
              <w:widowControl w:val="0"/>
              <w:tabs>
                <w:tab w:val="left" w:pos="546"/>
                <w:tab w:val="left" w:pos="711"/>
              </w:tabs>
              <w:kinsoku/>
              <w:wordWrap/>
              <w:overflowPunct/>
              <w:topLinePunct w:val="0"/>
              <w:autoSpaceDE/>
              <w:autoSpaceDN/>
              <w:bidi w:val="0"/>
              <w:adjustRightInd/>
              <w:snapToGrid w:val="0"/>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2.本次招标的报价为供货单位运至</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指定地点的货物的综合单价及总价。报价包括质量保证期内的维修、维护、保养、人员培训（如有）</w:t>
            </w:r>
            <w:r>
              <w:rPr>
                <w:rFonts w:hint="eastAsia" w:asciiTheme="minorEastAsia" w:hAnsiTheme="minorEastAsia" w:eastAsiaTheme="minorEastAsia" w:cstheme="minorEastAsia"/>
                <w:color w:val="auto"/>
                <w:sz w:val="24"/>
                <w:szCs w:val="24"/>
                <w:highlight w:val="none"/>
                <w:lang w:eastAsia="zh-CN"/>
              </w:rPr>
              <w:t>以及其他相关</w:t>
            </w:r>
            <w:r>
              <w:rPr>
                <w:rFonts w:hint="eastAsia" w:asciiTheme="minorEastAsia" w:hAnsiTheme="minorEastAsia" w:eastAsiaTheme="minorEastAsia" w:cstheme="minorEastAsia"/>
                <w:color w:val="auto"/>
                <w:sz w:val="24"/>
                <w:szCs w:val="24"/>
                <w:highlight w:val="none"/>
              </w:rPr>
              <w:t>伴随服务等工作内容产生的一切费用以及因此产生的所有税费（如关税、增值税等)。</w:t>
            </w:r>
          </w:p>
          <w:p w14:paraId="10477FDC">
            <w:pPr>
              <w:keepNext w:val="0"/>
              <w:keepLines w:val="0"/>
              <w:pageBreakBefore w:val="0"/>
              <w:widowControl w:val="0"/>
              <w:tabs>
                <w:tab w:val="left" w:pos="546"/>
                <w:tab w:val="left" w:pos="711"/>
              </w:tabs>
              <w:kinsoku/>
              <w:wordWrap/>
              <w:overflowPunct/>
              <w:topLinePunct w:val="0"/>
              <w:autoSpaceDE/>
              <w:autoSpaceDN/>
              <w:bidi w:val="0"/>
              <w:adjustRightInd/>
              <w:snapToGrid w:val="0"/>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3.投标人可根据</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提供的货物清单，以及自身的供货能力，按招标文件的要求进行投标，并按照采购清单内容填报单价，不得填报零报价或负报价。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若出现零报价</w:t>
            </w:r>
            <w:r>
              <w:rPr>
                <w:rFonts w:hint="eastAsia" w:asciiTheme="minorEastAsia" w:hAnsiTheme="minorEastAsia" w:eastAsiaTheme="minorEastAsia" w:cstheme="minorEastAsia"/>
                <w:color w:val="auto"/>
                <w:sz w:val="24"/>
                <w:szCs w:val="24"/>
                <w:highlight w:val="none"/>
              </w:rPr>
              <w:t>或负报价</w:t>
            </w:r>
            <w:r>
              <w:rPr>
                <w:rFonts w:hint="eastAsia" w:asciiTheme="minorEastAsia" w:hAnsiTheme="minorEastAsia" w:eastAsiaTheme="minorEastAsia" w:cstheme="minorEastAsia"/>
                <w:color w:val="auto"/>
                <w:sz w:val="24"/>
                <w:szCs w:val="24"/>
                <w:highlight w:val="none"/>
                <w:lang w:val="en-US" w:eastAsia="zh-CN"/>
              </w:rPr>
              <w:t>按照投标最高价补齐后作为投标单位的投标报价</w:t>
            </w:r>
            <w:r>
              <w:rPr>
                <w:rFonts w:hint="eastAsia" w:asciiTheme="minorEastAsia" w:hAnsiTheme="minorEastAsia" w:eastAsiaTheme="minorEastAsia" w:cstheme="minorEastAsia"/>
                <w:color w:val="auto"/>
                <w:sz w:val="24"/>
                <w:szCs w:val="24"/>
                <w:highlight w:val="none"/>
                <w:lang w:eastAsia="zh-CN"/>
              </w:rPr>
              <w:t>）。</w:t>
            </w:r>
          </w:p>
          <w:p w14:paraId="4E4BE9E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highlight w:val="none"/>
                <w:lang w:eastAsia="zh-CN"/>
              </w:rPr>
              <w:t>任何有选择的报价将不予接受，只允许有一个报价，严禁采用整体优惠等方式进行报价，若采用此报价不作评标依据。</w:t>
            </w:r>
          </w:p>
          <w:p w14:paraId="1A9E65A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评标委员会将采用单价*数量的合价进行汇总后作为该投标单位的投标报价。</w:t>
            </w:r>
          </w:p>
          <w:p w14:paraId="365666D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为便于评标，要求投标人应严格按照招标清单序号进行排序，如有自行调整清单序号与产品名目造成与招标清单不一致将按废标处理。</w:t>
            </w:r>
          </w:p>
          <w:p w14:paraId="2CF45CC3">
            <w:pPr>
              <w:keepNext w:val="0"/>
              <w:keepLines w:val="0"/>
              <w:pageBreakBefore w:val="0"/>
              <w:widowControl w:val="0"/>
              <w:kinsoku/>
              <w:wordWrap/>
              <w:overflowPunct/>
              <w:topLinePunct w:val="0"/>
              <w:autoSpaceDE/>
              <w:autoSpaceDN/>
              <w:bidi w:val="0"/>
              <w:adjustRightInd/>
              <w:ind w:firstLine="0" w:firstLineChars="0"/>
              <w:jc w:val="both"/>
              <w:textAlignment w:val="auto"/>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b/>
                <w:bCs/>
                <w:sz w:val="24"/>
                <w:szCs w:val="24"/>
                <w:highlight w:val="none"/>
                <w:lang w:eastAsia="zh-CN"/>
              </w:rPr>
              <w:t>注意：</w:t>
            </w:r>
            <w:r>
              <w:rPr>
                <w:rFonts w:hint="eastAsia" w:asciiTheme="minorEastAsia" w:hAnsiTheme="minorEastAsia" w:eastAsiaTheme="minorEastAsia" w:cstheme="minorEastAsia"/>
                <w:b/>
                <w:bCs/>
                <w:sz w:val="24"/>
                <w:szCs w:val="24"/>
                <w:highlight w:val="none"/>
                <w:lang w:val="zh-TW" w:eastAsia="zh-TW"/>
              </w:rPr>
              <w:t>如虚报价格</w:t>
            </w:r>
            <w:r>
              <w:rPr>
                <w:rFonts w:hint="eastAsia" w:asciiTheme="minorEastAsia" w:hAnsiTheme="minorEastAsia" w:eastAsiaTheme="minorEastAsia" w:cstheme="minorEastAsia"/>
                <w:b/>
                <w:bCs/>
                <w:sz w:val="24"/>
                <w:szCs w:val="24"/>
                <w:highlight w:val="none"/>
                <w:lang w:val="zh-TW" w:eastAsia="zh-CN"/>
              </w:rPr>
              <w:t>、</w:t>
            </w:r>
            <w:r>
              <w:rPr>
                <w:rFonts w:hint="eastAsia" w:asciiTheme="minorEastAsia" w:hAnsiTheme="minorEastAsia" w:eastAsiaTheme="minorEastAsia" w:cstheme="minorEastAsia"/>
                <w:b/>
                <w:bCs/>
                <w:sz w:val="24"/>
                <w:szCs w:val="24"/>
                <w:highlight w:val="none"/>
                <w:lang w:val="en-US" w:eastAsia="zh-CN"/>
              </w:rPr>
              <w:t>提供虚假</w:t>
            </w:r>
            <w:r>
              <w:rPr>
                <w:rFonts w:hint="eastAsia" w:asciiTheme="minorEastAsia" w:hAnsiTheme="minorEastAsia" w:eastAsiaTheme="minorEastAsia" w:cstheme="minorEastAsia"/>
                <w:b/>
                <w:bCs/>
                <w:sz w:val="24"/>
                <w:szCs w:val="24"/>
                <w:highlight w:val="none"/>
                <w:lang w:val="zh-TW" w:eastAsia="zh-TW"/>
              </w:rPr>
              <w:t>授权文件等</w:t>
            </w:r>
            <w:r>
              <w:rPr>
                <w:rFonts w:hint="eastAsia" w:asciiTheme="minorEastAsia" w:hAnsiTheme="minorEastAsia" w:eastAsiaTheme="minorEastAsia" w:cstheme="minorEastAsia"/>
                <w:b/>
                <w:bCs/>
                <w:sz w:val="24"/>
                <w:szCs w:val="24"/>
                <w:highlight w:val="none"/>
                <w:lang w:val="en-US" w:eastAsia="zh-CN"/>
              </w:rPr>
              <w:t>产生</w:t>
            </w:r>
            <w:r>
              <w:rPr>
                <w:rFonts w:hint="eastAsia" w:asciiTheme="minorEastAsia" w:hAnsiTheme="minorEastAsia" w:eastAsiaTheme="minorEastAsia" w:cstheme="minorEastAsia"/>
                <w:b/>
                <w:bCs/>
                <w:sz w:val="24"/>
                <w:szCs w:val="24"/>
                <w:highlight w:val="none"/>
                <w:lang w:val="zh-TW" w:eastAsia="zh-TW"/>
              </w:rPr>
              <w:t>恶意竞争，导致后期无法及时提供售前售后技术服务、供货及质保，将取消供应商资格，列入重庆院不诚信合作单位，并追究法律责任，取消后续所有投标资格。</w:t>
            </w:r>
          </w:p>
        </w:tc>
      </w:tr>
      <w:tr w14:paraId="0B5A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370BF90B">
            <w:pPr>
              <w:numPr>
                <w:ilvl w:val="0"/>
                <w:numId w:val="19"/>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1CC4A074">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w:t>
            </w:r>
          </w:p>
        </w:tc>
        <w:tc>
          <w:tcPr>
            <w:tcW w:w="6143" w:type="dxa"/>
            <w:vAlign w:val="center"/>
          </w:tcPr>
          <w:p w14:paraId="0EA048B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90</w:t>
            </w:r>
            <w:r>
              <w:rPr>
                <w:rFonts w:hint="eastAsia" w:asciiTheme="minorEastAsia" w:hAnsiTheme="minorEastAsia" w:eastAsiaTheme="minorEastAsia" w:cstheme="minorEastAsia"/>
                <w:sz w:val="24"/>
                <w:szCs w:val="24"/>
                <w:highlight w:val="none"/>
                <w:lang w:val="zh-TW" w:eastAsia="zh-TW"/>
              </w:rPr>
              <w:t>日历天（从提交投标文件截止日起计算）。</w:t>
            </w:r>
          </w:p>
        </w:tc>
      </w:tr>
      <w:tr w14:paraId="414D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53DC56AC">
            <w:pPr>
              <w:numPr>
                <w:ilvl w:val="0"/>
                <w:numId w:val="19"/>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127BB077">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投标文件份数</w:t>
            </w:r>
          </w:p>
        </w:tc>
        <w:tc>
          <w:tcPr>
            <w:tcW w:w="6143" w:type="dxa"/>
            <w:vAlign w:val="center"/>
          </w:tcPr>
          <w:p w14:paraId="307EA19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color w:val="auto"/>
                <w:sz w:val="24"/>
                <w:szCs w:val="24"/>
                <w:highlight w:val="none"/>
              </w:rPr>
              <w:t>投标文件数量：投标文件正本一份，副本</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份，电子文档一份（以U盘形式提交电子版本的投标文件，电子版应为可编辑word文档、Excel文档等）。</w:t>
            </w:r>
          </w:p>
        </w:tc>
      </w:tr>
      <w:tr w14:paraId="2D4C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6F2DF017">
            <w:pPr>
              <w:numPr>
                <w:ilvl w:val="0"/>
                <w:numId w:val="19"/>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0B360417">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签字或盖章要求</w:t>
            </w:r>
          </w:p>
        </w:tc>
        <w:tc>
          <w:tcPr>
            <w:tcW w:w="6143" w:type="dxa"/>
            <w:vAlign w:val="center"/>
          </w:tcPr>
          <w:p w14:paraId="2EB071E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本须知第</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项规定提供的资料复印件均需加盖单位鲜公章，投标文件格式中要求签字盖章的地方须按要求签字盖章</w:t>
            </w:r>
            <w:r>
              <w:rPr>
                <w:rFonts w:hint="eastAsia" w:asciiTheme="minorEastAsia" w:hAnsiTheme="minorEastAsia" w:eastAsiaTheme="minorEastAsia" w:cstheme="minorEastAsia"/>
                <w:color w:val="auto"/>
                <w:sz w:val="24"/>
                <w:szCs w:val="24"/>
                <w:highlight w:val="none"/>
                <w:lang w:eastAsia="zh-CN"/>
              </w:rPr>
              <w:t>。</w:t>
            </w:r>
          </w:p>
        </w:tc>
      </w:tr>
      <w:tr w14:paraId="124C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1302A97B">
            <w:pPr>
              <w:numPr>
                <w:ilvl w:val="0"/>
                <w:numId w:val="19"/>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27DB0EC1">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装订要求</w:t>
            </w:r>
          </w:p>
        </w:tc>
        <w:tc>
          <w:tcPr>
            <w:tcW w:w="6143" w:type="dxa"/>
            <w:vAlign w:val="center"/>
          </w:tcPr>
          <w:p w14:paraId="734A6E8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投标文件按以下要求进行装订：</w:t>
            </w:r>
          </w:p>
          <w:p w14:paraId="58EEBF8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投标文件内容按第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章规定的</w:t>
            </w:r>
            <w:r>
              <w:rPr>
                <w:rFonts w:hint="eastAsia" w:asciiTheme="minorEastAsia" w:hAnsiTheme="minorEastAsia" w:eastAsiaTheme="minorEastAsia" w:cstheme="minorEastAsia"/>
                <w:color w:val="auto"/>
                <w:sz w:val="24"/>
                <w:szCs w:val="24"/>
                <w:highlight w:val="none"/>
                <w:lang w:val="en-US" w:eastAsia="zh-CN"/>
              </w:rPr>
              <w:t>内容</w:t>
            </w:r>
            <w:r>
              <w:rPr>
                <w:rFonts w:hint="eastAsia" w:asciiTheme="minorEastAsia" w:hAnsiTheme="minorEastAsia" w:eastAsiaTheme="minorEastAsia" w:cstheme="minorEastAsia"/>
                <w:color w:val="auto"/>
                <w:sz w:val="24"/>
                <w:szCs w:val="24"/>
                <w:highlight w:val="none"/>
              </w:rPr>
              <w:t>装订成册，并应编制目录，逐页标注页码。</w:t>
            </w:r>
          </w:p>
          <w:p w14:paraId="405A4A7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文件分为正本和副本，正本文件内签字和盖章须为原件。副本可为正本的复印件，但应在副本封面加盖投标人单位公章，同时须在投标文件封面上注明“正本”、“副本”。电子文档单独封装后装入投标文件袋中。</w:t>
            </w:r>
          </w:p>
          <w:p w14:paraId="3096966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投标文件应</w:t>
            </w:r>
            <w:r>
              <w:rPr>
                <w:rFonts w:hint="eastAsia" w:asciiTheme="minorEastAsia" w:hAnsiTheme="minorEastAsia" w:eastAsiaTheme="minorEastAsia" w:cstheme="minorEastAsia"/>
                <w:b/>
                <w:bCs/>
                <w:color w:val="auto"/>
                <w:sz w:val="24"/>
                <w:szCs w:val="24"/>
                <w:highlight w:val="none"/>
              </w:rPr>
              <w:t>采用胶装</w:t>
            </w:r>
            <w:r>
              <w:rPr>
                <w:rFonts w:hint="eastAsia" w:asciiTheme="minorEastAsia" w:hAnsiTheme="minorEastAsia" w:eastAsiaTheme="minorEastAsia" w:cstheme="minorEastAsia"/>
                <w:color w:val="auto"/>
                <w:sz w:val="24"/>
                <w:szCs w:val="24"/>
                <w:highlight w:val="none"/>
              </w:rPr>
              <w:t>方式，非胶装的投标文件评标委员会有权按废标处理。</w:t>
            </w:r>
          </w:p>
        </w:tc>
      </w:tr>
      <w:tr w14:paraId="7229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723EBAC5">
            <w:pPr>
              <w:numPr>
                <w:ilvl w:val="0"/>
                <w:numId w:val="19"/>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685C17E7">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投标文件的密封</w:t>
            </w:r>
          </w:p>
        </w:tc>
        <w:tc>
          <w:tcPr>
            <w:tcW w:w="6143" w:type="dxa"/>
            <w:vAlign w:val="center"/>
          </w:tcPr>
          <w:p w14:paraId="6B0D8EE8">
            <w:pPr>
              <w:pStyle w:val="157"/>
              <w:keepNext w:val="0"/>
              <w:keepLines w:val="0"/>
              <w:pageBreakBefore w:val="0"/>
              <w:widowControl w:val="0"/>
              <w:shd w:val="clear" w:color="auto" w:fill="FFFFFF"/>
              <w:kinsoku/>
              <w:wordWrap/>
              <w:overflowPunct/>
              <w:topLinePunct w:val="0"/>
              <w:bidi w:val="0"/>
              <w:adjustRightInd/>
              <w:snapToGrid/>
              <w:spacing w:line="360" w:lineRule="auto"/>
              <w:ind w:lef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color w:val="auto"/>
                <w:spacing w:val="-4"/>
                <w:sz w:val="24"/>
                <w:szCs w:val="24"/>
                <w:highlight w:val="none"/>
              </w:rPr>
              <w:t>文件</w:t>
            </w:r>
            <w:r>
              <w:rPr>
                <w:rFonts w:hint="eastAsia" w:asciiTheme="minorEastAsia" w:hAnsiTheme="minorEastAsia" w:eastAsiaTheme="minorEastAsia" w:cstheme="minorEastAsia"/>
                <w:color w:val="auto"/>
                <w:sz w:val="24"/>
                <w:szCs w:val="24"/>
                <w:highlight w:val="none"/>
              </w:rPr>
              <w:t>应密封包装，并在封套的封口处加盖投标人单位公章；</w:t>
            </w:r>
          </w:p>
          <w:p w14:paraId="461A1F00">
            <w:pPr>
              <w:pStyle w:val="157"/>
              <w:keepNext w:val="0"/>
              <w:keepLines w:val="0"/>
              <w:pageBreakBefore w:val="0"/>
              <w:widowControl w:val="0"/>
              <w:shd w:val="clear" w:color="auto" w:fill="FFFFFF"/>
              <w:kinsoku/>
              <w:wordWrap/>
              <w:overflowPunct/>
              <w:topLinePunct w:val="0"/>
              <w:bidi w:val="0"/>
              <w:adjustRightInd/>
              <w:snapToGrid/>
              <w:spacing w:line="360" w:lineRule="auto"/>
              <w:ind w:left="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投标袋上应按4.</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条规定编制并盖章。</w:t>
            </w:r>
          </w:p>
          <w:p w14:paraId="31E09F89">
            <w:pPr>
              <w:keepNext w:val="0"/>
              <w:keepLines w:val="0"/>
              <w:pageBreakBefore w:val="0"/>
              <w:widowControl w:val="0"/>
              <w:kinsoku/>
              <w:wordWrap/>
              <w:overflowPunct/>
              <w:topLinePunct w:val="0"/>
              <w:bidi w:val="0"/>
              <w:adjustRightInd/>
              <w:snapToGrid/>
              <w:ind w:left="0" w:firstLine="0" w:firstLineChars="0"/>
              <w:jc w:val="left"/>
              <w:textAlignment w:val="auto"/>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如果投标文件没有按上述规定密封，其投标文件会被拒绝接收，后果由投标人自己承担。</w:t>
            </w:r>
          </w:p>
        </w:tc>
      </w:tr>
      <w:tr w14:paraId="6776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45A1EC60">
            <w:pPr>
              <w:numPr>
                <w:ilvl w:val="0"/>
                <w:numId w:val="19"/>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428702F8">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封套上写明</w:t>
            </w:r>
          </w:p>
        </w:tc>
        <w:tc>
          <w:tcPr>
            <w:tcW w:w="6143" w:type="dxa"/>
            <w:vAlign w:val="center"/>
          </w:tcPr>
          <w:p w14:paraId="54DD527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在“投标文件”纸质袋上应注明：</w:t>
            </w:r>
          </w:p>
          <w:p w14:paraId="09AF05B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名称：</w:t>
            </w:r>
          </w:p>
          <w:p w14:paraId="64B4F93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49D85D2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  （单位公章）</w:t>
            </w:r>
          </w:p>
          <w:p w14:paraId="5B74F25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b/>
                <w:bCs/>
                <w:color w:val="auto"/>
                <w:sz w:val="24"/>
                <w:szCs w:val="24"/>
                <w:highlight w:val="none"/>
                <w:u w:val="single"/>
                <w:lang w:val="en-US" w:eastAsia="zh-CN"/>
              </w:rPr>
              <w:t>2026</w:t>
            </w:r>
            <w:r>
              <w:rPr>
                <w:rFonts w:hint="eastAsia" w:asciiTheme="minorEastAsia" w:hAnsiTheme="minorEastAsia" w:eastAsiaTheme="minorEastAsia" w:cstheme="minorEastAsia"/>
                <w:b/>
                <w:bCs/>
                <w:color w:val="auto"/>
                <w:sz w:val="24"/>
                <w:szCs w:val="24"/>
                <w:highlight w:val="none"/>
              </w:rPr>
              <w:t>年</w:t>
            </w:r>
            <w:r>
              <w:rPr>
                <w:rFonts w:hint="eastAsia" w:asciiTheme="minorEastAsia" w:hAnsiTheme="minorEastAsia" w:eastAsiaTheme="minorEastAsia" w:cstheme="minorEastAsia"/>
                <w:b/>
                <w:bCs/>
                <w:color w:val="auto"/>
                <w:sz w:val="24"/>
                <w:szCs w:val="24"/>
                <w:highlight w:val="none"/>
                <w:u w:val="single"/>
                <w:lang w:val="en-US" w:eastAsia="zh-CN"/>
              </w:rPr>
              <w:t>8</w:t>
            </w:r>
            <w:r>
              <w:rPr>
                <w:rFonts w:hint="eastAsia" w:asciiTheme="minorEastAsia" w:hAnsiTheme="minorEastAsia" w:eastAsiaTheme="minorEastAsia" w:cstheme="minorEastAsia"/>
                <w:b/>
                <w:bCs/>
                <w:color w:val="auto"/>
                <w:sz w:val="24"/>
                <w:szCs w:val="24"/>
                <w:highlight w:val="none"/>
                <w:u w:val="none"/>
                <w:lang w:val="en-US" w:eastAsia="zh-CN"/>
              </w:rPr>
              <w:t>月</w:t>
            </w:r>
            <w:r>
              <w:rPr>
                <w:rFonts w:hint="eastAsia" w:asciiTheme="minorEastAsia" w:hAnsiTheme="minorEastAsia" w:eastAsiaTheme="minorEastAsia" w:cstheme="minorEastAsia"/>
                <w:b/>
                <w:bCs/>
                <w:color w:val="auto"/>
                <w:sz w:val="24"/>
                <w:szCs w:val="24"/>
                <w:highlight w:val="none"/>
                <w:u w:val="single"/>
                <w:lang w:val="en-US" w:eastAsia="zh-CN"/>
              </w:rPr>
              <w:t>6</w:t>
            </w:r>
            <w:r>
              <w:rPr>
                <w:rFonts w:hint="eastAsia" w:asciiTheme="minorEastAsia" w:hAnsiTheme="minorEastAsia" w:eastAsiaTheme="minorEastAsia" w:cstheme="minorEastAsia"/>
                <w:b/>
                <w:bCs/>
                <w:color w:val="auto"/>
                <w:sz w:val="24"/>
                <w:szCs w:val="24"/>
                <w:highlight w:val="none"/>
                <w:u w:val="none"/>
              </w:rPr>
              <w:t>日</w:t>
            </w:r>
            <w:r>
              <w:rPr>
                <w:rFonts w:hint="eastAsia" w:asciiTheme="minorEastAsia" w:hAnsiTheme="minorEastAsia" w:eastAsiaTheme="minorEastAsia" w:cstheme="minorEastAsia"/>
                <w:b/>
                <w:bCs/>
                <w:color w:val="auto"/>
                <w:sz w:val="24"/>
                <w:szCs w:val="24"/>
                <w:highlight w:val="none"/>
                <w:u w:val="single"/>
                <w:lang w:val="en-US" w:eastAsia="zh-CN"/>
              </w:rPr>
              <w:t>09</w:t>
            </w:r>
            <w:r>
              <w:rPr>
                <w:rFonts w:hint="eastAsia" w:asciiTheme="minorEastAsia" w:hAnsiTheme="minorEastAsia" w:eastAsiaTheme="minorEastAsia" w:cstheme="minorEastAsia"/>
                <w:b/>
                <w:bCs/>
                <w:color w:val="auto"/>
                <w:sz w:val="24"/>
                <w:szCs w:val="24"/>
                <w:highlight w:val="none"/>
              </w:rPr>
              <w:t>时</w:t>
            </w:r>
            <w:r>
              <w:rPr>
                <w:rFonts w:hint="eastAsia" w:asciiTheme="minorEastAsia" w:hAnsiTheme="minorEastAsia" w:eastAsiaTheme="minorEastAsia" w:cstheme="minorEastAsia"/>
                <w:b/>
                <w:bCs/>
                <w:color w:val="auto"/>
                <w:sz w:val="24"/>
                <w:szCs w:val="24"/>
                <w:highlight w:val="none"/>
                <w:u w:val="single"/>
                <w:lang w:val="en-US" w:eastAsia="zh-CN"/>
              </w:rPr>
              <w:t>30</w:t>
            </w:r>
            <w:r>
              <w:rPr>
                <w:rFonts w:hint="eastAsia" w:asciiTheme="minorEastAsia" w:hAnsiTheme="minorEastAsia" w:eastAsiaTheme="minorEastAsia" w:cstheme="minorEastAsia"/>
                <w:b/>
                <w:bCs/>
                <w:color w:val="auto"/>
                <w:sz w:val="24"/>
                <w:szCs w:val="24"/>
                <w:highlight w:val="none"/>
                <w:lang w:val="en-US" w:eastAsia="zh-CN"/>
              </w:rPr>
              <w:t>分</w:t>
            </w:r>
            <w:r>
              <w:rPr>
                <w:rFonts w:hint="eastAsia" w:asciiTheme="minorEastAsia" w:hAnsiTheme="minorEastAsia" w:eastAsiaTheme="minorEastAsia" w:cstheme="minorEastAsia"/>
                <w:color w:val="auto"/>
                <w:sz w:val="24"/>
                <w:szCs w:val="24"/>
                <w:highlight w:val="none"/>
              </w:rPr>
              <w:t>前不得开启</w:t>
            </w:r>
          </w:p>
        </w:tc>
      </w:tr>
      <w:tr w14:paraId="511F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288" w:type="dxa"/>
            <w:vAlign w:val="center"/>
          </w:tcPr>
          <w:p w14:paraId="0548AEB2">
            <w:pPr>
              <w:numPr>
                <w:ilvl w:val="0"/>
                <w:numId w:val="20"/>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33003BC0">
            <w:pPr>
              <w:spacing w:line="360" w:lineRule="auto"/>
              <w:ind w:left="0" w:leftChars="0"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highlight w:val="none"/>
              </w:rPr>
              <w:t>递交投标文件截止时间</w:t>
            </w:r>
          </w:p>
        </w:tc>
        <w:tc>
          <w:tcPr>
            <w:tcW w:w="6143" w:type="dxa"/>
            <w:vAlign w:val="center"/>
          </w:tcPr>
          <w:p w14:paraId="61381AC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both"/>
              <w:textAlignment w:val="auto"/>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color w:val="auto"/>
                <w:sz w:val="24"/>
                <w:szCs w:val="24"/>
                <w:highlight w:val="none"/>
              </w:rPr>
              <w:t>与招标公告一致</w:t>
            </w:r>
          </w:p>
        </w:tc>
      </w:tr>
      <w:tr w14:paraId="49FB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7837C087">
            <w:pPr>
              <w:numPr>
                <w:ilvl w:val="0"/>
                <w:numId w:val="20"/>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435788AD">
            <w:pPr>
              <w:spacing w:line="360" w:lineRule="auto"/>
              <w:ind w:left="0" w:leftChars="0"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highlight w:val="none"/>
              </w:rPr>
              <w:t>开标地点</w:t>
            </w:r>
          </w:p>
        </w:tc>
        <w:tc>
          <w:tcPr>
            <w:tcW w:w="6143" w:type="dxa"/>
            <w:vAlign w:val="center"/>
          </w:tcPr>
          <w:p w14:paraId="0476F5B9">
            <w:pPr>
              <w:spacing w:line="360" w:lineRule="auto"/>
              <w:ind w:left="0" w:leftChars="0" w:firstLine="0" w:firstLineChars="0"/>
              <w:jc w:val="both"/>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color w:val="auto"/>
                <w:sz w:val="24"/>
                <w:szCs w:val="24"/>
                <w:highlight w:val="none"/>
              </w:rPr>
              <w:t>重庆市九龙坡区科城路6号</w:t>
            </w:r>
            <w:r>
              <w:rPr>
                <w:rFonts w:hint="eastAsia" w:asciiTheme="minorEastAsia" w:hAnsiTheme="minorEastAsia" w:eastAsiaTheme="minorEastAsia" w:cstheme="minorEastAsia"/>
                <w:color w:val="auto"/>
                <w:sz w:val="24"/>
                <w:szCs w:val="24"/>
                <w:highlight w:val="none"/>
                <w:lang w:val="en-US" w:eastAsia="zh-CN"/>
              </w:rPr>
              <w:t>1012</w:t>
            </w:r>
            <w:r>
              <w:rPr>
                <w:rFonts w:hint="eastAsia" w:asciiTheme="minorEastAsia" w:hAnsiTheme="minorEastAsia" w:eastAsiaTheme="minorEastAsia" w:cstheme="minorEastAsia"/>
                <w:color w:val="auto"/>
                <w:sz w:val="24"/>
                <w:szCs w:val="24"/>
                <w:highlight w:val="none"/>
              </w:rPr>
              <w:t>会议室（如有变动以代理机构通知为准）</w:t>
            </w:r>
          </w:p>
        </w:tc>
      </w:tr>
      <w:tr w14:paraId="7857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7A847F8C">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2017EE18">
            <w:pPr>
              <w:spacing w:line="360" w:lineRule="auto"/>
              <w:ind w:left="0" w:leftChars="0"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递交样品截止时间及地址</w:t>
            </w:r>
          </w:p>
        </w:tc>
        <w:tc>
          <w:tcPr>
            <w:tcW w:w="6143" w:type="dxa"/>
            <w:vAlign w:val="center"/>
          </w:tcPr>
          <w:p w14:paraId="30534DD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无</w:t>
            </w:r>
          </w:p>
        </w:tc>
      </w:tr>
      <w:tr w14:paraId="1859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88" w:type="dxa"/>
            <w:vAlign w:val="center"/>
          </w:tcPr>
          <w:p w14:paraId="3B2CB22A">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6CD39AD1">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投标文件拒收条款</w:t>
            </w:r>
          </w:p>
        </w:tc>
        <w:tc>
          <w:tcPr>
            <w:tcW w:w="6143" w:type="dxa"/>
            <w:vAlign w:val="center"/>
          </w:tcPr>
          <w:p w14:paraId="594D25B8">
            <w:pPr>
              <w:pStyle w:val="97"/>
              <w:ind w:firstLine="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出现下列情况之一的投标文件应当拒收：</w:t>
            </w:r>
          </w:p>
          <w:p w14:paraId="1B789277">
            <w:pPr>
              <w:pStyle w:val="97"/>
              <w:numPr>
                <w:ilvl w:val="0"/>
                <w:numId w:val="0"/>
              </w:numPr>
              <w:adjustRightInd w:val="0"/>
              <w:ind w:left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逾期送达、未送达指定地点的投标文件；</w:t>
            </w:r>
          </w:p>
          <w:p w14:paraId="496E4A25">
            <w:pPr>
              <w:pStyle w:val="97"/>
              <w:numPr>
                <w:ilvl w:val="0"/>
                <w:numId w:val="0"/>
              </w:numPr>
              <w:adjustRightInd w:val="0"/>
              <w:ind w:left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未按招标文件要求密封的</w:t>
            </w:r>
            <w:r>
              <w:rPr>
                <w:rFonts w:hint="eastAsia" w:asciiTheme="minorEastAsia" w:hAnsiTheme="minorEastAsia" w:eastAsiaTheme="minorEastAsia" w:cstheme="minorEastAsia"/>
                <w:sz w:val="24"/>
                <w:szCs w:val="24"/>
                <w:highlight w:val="none"/>
                <w:lang w:val="en-US" w:eastAsia="zh-CN"/>
              </w:rPr>
              <w:t>投</w:t>
            </w:r>
            <w:r>
              <w:rPr>
                <w:rFonts w:hint="eastAsia" w:asciiTheme="minorEastAsia" w:hAnsiTheme="minorEastAsia" w:eastAsiaTheme="minorEastAsia" w:cstheme="minorEastAsia"/>
                <w:sz w:val="24"/>
                <w:szCs w:val="24"/>
                <w:highlight w:val="none"/>
                <w:lang w:eastAsia="zh-CN"/>
              </w:rPr>
              <w:t>标文件，但仅存在微小偏差且不影响信息保密的除外；</w:t>
            </w:r>
          </w:p>
          <w:p w14:paraId="2F78BDC9">
            <w:pPr>
              <w:adjustRightInd w:val="0"/>
              <w:ind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en-US" w:eastAsia="zh-CN"/>
              </w:rPr>
              <w:t>3、未</w:t>
            </w:r>
            <w:r>
              <w:rPr>
                <w:rFonts w:hint="eastAsia" w:asciiTheme="minorEastAsia" w:hAnsiTheme="minorEastAsia" w:eastAsiaTheme="minorEastAsia" w:cstheme="minorEastAsia"/>
                <w:color w:val="auto"/>
                <w:sz w:val="24"/>
                <w:szCs w:val="24"/>
                <w:highlight w:val="none"/>
              </w:rPr>
              <w:t>在规定时间内完成了</w:t>
            </w:r>
            <w:r>
              <w:rPr>
                <w:rFonts w:hint="eastAsia" w:asciiTheme="minorEastAsia" w:hAnsiTheme="minorEastAsia" w:eastAsiaTheme="minorEastAsia" w:cstheme="minorEastAsia"/>
                <w:color w:val="auto"/>
                <w:sz w:val="24"/>
                <w:szCs w:val="24"/>
                <w:highlight w:val="none"/>
                <w:lang w:val="en-US" w:eastAsia="zh-CN"/>
              </w:rPr>
              <w:t>供应商门户网</w:t>
            </w:r>
            <w:r>
              <w:rPr>
                <w:rFonts w:hint="eastAsia" w:asciiTheme="minorEastAsia" w:hAnsiTheme="minorEastAsia" w:eastAsiaTheme="minorEastAsia" w:cstheme="minorEastAsia"/>
                <w:color w:val="auto"/>
                <w:sz w:val="24"/>
                <w:szCs w:val="24"/>
                <w:highlight w:val="none"/>
              </w:rPr>
              <w:t>投标人注册和在文件发售期内购买了招标文件的投标人</w:t>
            </w:r>
          </w:p>
        </w:tc>
      </w:tr>
      <w:tr w14:paraId="4899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09210045">
            <w:pPr>
              <w:numPr>
                <w:ilvl w:val="0"/>
                <w:numId w:val="20"/>
              </w:numPr>
              <w:spacing w:line="240" w:lineRule="auto"/>
              <w:ind w:left="425" w:leftChars="0" w:hanging="425"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6668B797">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开标</w:t>
            </w:r>
            <w:r>
              <w:rPr>
                <w:rFonts w:hint="eastAsia" w:asciiTheme="minorEastAsia" w:hAnsiTheme="minorEastAsia" w:eastAsiaTheme="minorEastAsia" w:cstheme="minorEastAsia"/>
                <w:sz w:val="24"/>
                <w:szCs w:val="24"/>
                <w:highlight w:val="none"/>
                <w:lang w:val="en-US" w:eastAsia="zh-CN"/>
              </w:rPr>
              <w:t>方式和</w:t>
            </w:r>
            <w:r>
              <w:rPr>
                <w:rFonts w:hint="eastAsia" w:asciiTheme="minorEastAsia" w:hAnsiTheme="minorEastAsia" w:eastAsiaTheme="minorEastAsia" w:cstheme="minorEastAsia"/>
                <w:sz w:val="24"/>
                <w:szCs w:val="24"/>
                <w:highlight w:val="none"/>
              </w:rPr>
              <w:t>程序</w:t>
            </w:r>
          </w:p>
        </w:tc>
        <w:tc>
          <w:tcPr>
            <w:tcW w:w="6143" w:type="dxa"/>
            <w:vAlign w:val="center"/>
          </w:tcPr>
          <w:p w14:paraId="7DC0C36C">
            <w:pPr>
              <w:pStyle w:val="138"/>
              <w:numPr>
                <w:ilvl w:val="-1"/>
                <w:numId w:val="0"/>
              </w:numPr>
              <w:ind w:left="0" w:leftChars="0"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en-US" w:eastAsia="zh-CN"/>
              </w:rPr>
              <w:t>现场开标，按招标代理机构的开标流程进行。</w:t>
            </w:r>
          </w:p>
        </w:tc>
      </w:tr>
      <w:tr w14:paraId="11C0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38B603C4">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61FA38F5">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开标时间和地点</w:t>
            </w:r>
          </w:p>
        </w:tc>
        <w:tc>
          <w:tcPr>
            <w:tcW w:w="6143" w:type="dxa"/>
            <w:vAlign w:val="center"/>
          </w:tcPr>
          <w:p w14:paraId="32E37C2D">
            <w:pPr>
              <w:ind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none"/>
                <w:lang w:val="zh-TW" w:eastAsia="zh-TW"/>
              </w:rPr>
              <w:t>开标时</w:t>
            </w:r>
            <w:r>
              <w:rPr>
                <w:rFonts w:hint="eastAsia" w:asciiTheme="minorEastAsia" w:hAnsiTheme="minorEastAsia" w:eastAsiaTheme="minorEastAsia" w:cstheme="minorEastAsia"/>
                <w:color w:val="auto"/>
                <w:sz w:val="24"/>
                <w:szCs w:val="24"/>
                <w:highlight w:val="none"/>
                <w:lang w:val="zh-TW" w:eastAsia="zh-TW"/>
              </w:rPr>
              <w:t>间：</w:t>
            </w:r>
            <w:r>
              <w:rPr>
                <w:rFonts w:hint="eastAsia" w:asciiTheme="minorEastAsia" w:hAnsiTheme="minorEastAsia" w:eastAsiaTheme="minorEastAsia" w:cstheme="minorEastAsia"/>
                <w:b/>
                <w:bCs/>
                <w:color w:val="auto"/>
                <w:sz w:val="24"/>
                <w:szCs w:val="24"/>
                <w:highlight w:val="none"/>
                <w:u w:val="single"/>
                <w:lang w:val="en-US" w:eastAsia="zh-CN"/>
              </w:rPr>
              <w:t>2026</w:t>
            </w:r>
            <w:r>
              <w:rPr>
                <w:rFonts w:hint="eastAsia" w:asciiTheme="minorEastAsia" w:hAnsiTheme="minorEastAsia" w:eastAsiaTheme="minorEastAsia" w:cstheme="minorEastAsia"/>
                <w:b/>
                <w:bCs/>
                <w:color w:val="auto"/>
                <w:sz w:val="24"/>
                <w:szCs w:val="24"/>
                <w:highlight w:val="none"/>
              </w:rPr>
              <w:t>年</w:t>
            </w:r>
            <w:r>
              <w:rPr>
                <w:rFonts w:hint="eastAsia" w:asciiTheme="minorEastAsia" w:hAnsiTheme="minorEastAsia" w:eastAsiaTheme="minorEastAsia" w:cstheme="minorEastAsia"/>
                <w:b/>
                <w:bCs/>
                <w:color w:val="auto"/>
                <w:sz w:val="24"/>
                <w:szCs w:val="24"/>
                <w:highlight w:val="none"/>
                <w:u w:val="single"/>
                <w:lang w:val="en-US" w:eastAsia="zh-CN"/>
              </w:rPr>
              <w:t>8</w:t>
            </w:r>
            <w:r>
              <w:rPr>
                <w:rFonts w:hint="eastAsia" w:asciiTheme="minorEastAsia" w:hAnsiTheme="minorEastAsia" w:eastAsiaTheme="minorEastAsia" w:cstheme="minorEastAsia"/>
                <w:b/>
                <w:bCs/>
                <w:color w:val="auto"/>
                <w:sz w:val="24"/>
                <w:szCs w:val="24"/>
                <w:highlight w:val="none"/>
                <w:u w:val="none"/>
                <w:lang w:val="en-US" w:eastAsia="zh-CN"/>
              </w:rPr>
              <w:t>月</w:t>
            </w:r>
            <w:r>
              <w:rPr>
                <w:rFonts w:hint="eastAsia" w:asciiTheme="minorEastAsia" w:hAnsiTheme="minorEastAsia" w:eastAsiaTheme="minorEastAsia" w:cstheme="minorEastAsia"/>
                <w:b/>
                <w:bCs/>
                <w:color w:val="auto"/>
                <w:sz w:val="24"/>
                <w:szCs w:val="24"/>
                <w:highlight w:val="none"/>
                <w:u w:val="single"/>
                <w:lang w:val="en-US" w:eastAsia="zh-CN"/>
              </w:rPr>
              <w:t>6</w:t>
            </w:r>
            <w:r>
              <w:rPr>
                <w:rFonts w:hint="eastAsia" w:asciiTheme="minorEastAsia" w:hAnsiTheme="minorEastAsia" w:eastAsiaTheme="minorEastAsia" w:cstheme="minorEastAsia"/>
                <w:b/>
                <w:bCs/>
                <w:color w:val="auto"/>
                <w:sz w:val="24"/>
                <w:szCs w:val="24"/>
                <w:highlight w:val="none"/>
                <w:u w:val="none"/>
              </w:rPr>
              <w:t>日</w:t>
            </w:r>
            <w:r>
              <w:rPr>
                <w:rFonts w:hint="eastAsia" w:asciiTheme="minorEastAsia" w:hAnsiTheme="minorEastAsia" w:eastAsiaTheme="minorEastAsia" w:cstheme="minorEastAsia"/>
                <w:b/>
                <w:bCs/>
                <w:color w:val="auto"/>
                <w:sz w:val="24"/>
                <w:szCs w:val="24"/>
                <w:highlight w:val="none"/>
                <w:u w:val="single"/>
                <w:lang w:val="en-US" w:eastAsia="zh-CN"/>
              </w:rPr>
              <w:t>09</w:t>
            </w:r>
            <w:r>
              <w:rPr>
                <w:rFonts w:hint="eastAsia" w:asciiTheme="minorEastAsia" w:hAnsiTheme="minorEastAsia" w:eastAsiaTheme="minorEastAsia" w:cstheme="minorEastAsia"/>
                <w:b/>
                <w:bCs/>
                <w:color w:val="auto"/>
                <w:sz w:val="24"/>
                <w:szCs w:val="24"/>
                <w:highlight w:val="none"/>
              </w:rPr>
              <w:t>时</w:t>
            </w:r>
            <w:r>
              <w:rPr>
                <w:rFonts w:hint="eastAsia" w:asciiTheme="minorEastAsia" w:hAnsiTheme="minorEastAsia" w:eastAsiaTheme="minorEastAsia" w:cstheme="minorEastAsia"/>
                <w:b/>
                <w:bCs/>
                <w:color w:val="auto"/>
                <w:sz w:val="24"/>
                <w:szCs w:val="24"/>
                <w:highlight w:val="none"/>
                <w:u w:val="single"/>
                <w:lang w:val="en-US" w:eastAsia="zh-CN"/>
              </w:rPr>
              <w:t>30</w:t>
            </w:r>
            <w:r>
              <w:rPr>
                <w:rFonts w:hint="eastAsia" w:asciiTheme="minorEastAsia" w:hAnsiTheme="minorEastAsia" w:eastAsiaTheme="minorEastAsia" w:cstheme="minorEastAsia"/>
                <w:b/>
                <w:bCs/>
                <w:color w:val="auto"/>
                <w:sz w:val="24"/>
                <w:szCs w:val="24"/>
                <w:highlight w:val="none"/>
                <w:lang w:val="en-US" w:eastAsia="zh-CN"/>
              </w:rPr>
              <w:t>分</w:t>
            </w:r>
          </w:p>
          <w:p w14:paraId="6CF685A5">
            <w:pPr>
              <w:ind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color w:val="000000" w:themeColor="text1"/>
                <w:sz w:val="24"/>
                <w:szCs w:val="24"/>
                <w:highlight w:val="none"/>
                <w:lang w:val="zh-TW" w:eastAsia="zh-TW"/>
                <w14:textFill>
                  <w14:solidFill>
                    <w14:schemeClr w14:val="tx1"/>
                  </w14:solidFill>
                </w14:textFill>
              </w:rPr>
              <w:t>开标地点：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重庆市九龙坡区科城路6号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会议室（</w:t>
            </w:r>
            <w:r>
              <w:rPr>
                <w:rFonts w:hint="eastAsia" w:asciiTheme="minorEastAsia" w:hAnsiTheme="minorEastAsia" w:eastAsiaTheme="minorEastAsia" w:cstheme="minorEastAsia"/>
                <w:color w:val="auto"/>
                <w:sz w:val="24"/>
                <w:szCs w:val="24"/>
                <w:highlight w:val="none"/>
              </w:rPr>
              <w:t>如有变动以通知为准）</w:t>
            </w:r>
          </w:p>
        </w:tc>
      </w:tr>
      <w:tr w14:paraId="339D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0C0989C2">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12B9718A">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评标委员会的组建</w:t>
            </w:r>
          </w:p>
        </w:tc>
        <w:tc>
          <w:tcPr>
            <w:tcW w:w="6143" w:type="dxa"/>
            <w:vAlign w:val="center"/>
          </w:tcPr>
          <w:p w14:paraId="476AFDCA">
            <w:pPr>
              <w:ind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评标委员会人数：5人</w:t>
            </w:r>
            <w:r>
              <w:rPr>
                <w:rFonts w:hint="eastAsia" w:asciiTheme="minorEastAsia" w:hAnsiTheme="minorEastAsia" w:eastAsia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lang w:val="zh-TW" w:eastAsia="zh-TW"/>
              </w:rPr>
              <w:t>以上单数</w:t>
            </w:r>
          </w:p>
          <w:p w14:paraId="5BCA45DE">
            <w:pPr>
              <w:ind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评标专家确定方式：由</w:t>
            </w:r>
            <w:r>
              <w:rPr>
                <w:rFonts w:hint="eastAsia" w:asciiTheme="minorEastAsia" w:hAnsiTheme="minorEastAsia" w:eastAsiaTheme="minorEastAsia" w:cstheme="minorEastAsia"/>
                <w:sz w:val="24"/>
                <w:szCs w:val="24"/>
                <w:highlight w:val="none"/>
                <w:lang w:val="en-US" w:eastAsia="zh-CN"/>
              </w:rPr>
              <w:t>招标代理机构</w:t>
            </w:r>
            <w:r>
              <w:rPr>
                <w:rFonts w:hint="eastAsia" w:asciiTheme="minorEastAsia" w:hAnsiTheme="minorEastAsia" w:eastAsiaTheme="minorEastAsia" w:cstheme="minorEastAsia"/>
                <w:sz w:val="24"/>
                <w:szCs w:val="24"/>
                <w:highlight w:val="none"/>
                <w:lang w:val="zh-TW" w:eastAsia="zh-TW"/>
              </w:rPr>
              <w:t>依法组建。</w:t>
            </w:r>
          </w:p>
        </w:tc>
      </w:tr>
      <w:tr w14:paraId="43D7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3C2BEF46">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50B83890">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资格审查资料</w:t>
            </w:r>
          </w:p>
        </w:tc>
        <w:tc>
          <w:tcPr>
            <w:tcW w:w="6143" w:type="dxa"/>
            <w:vAlign w:val="center"/>
          </w:tcPr>
          <w:p w14:paraId="38584A0E">
            <w:pPr>
              <w:ind w:firstLine="0" w:firstLineChars="0"/>
              <w:jc w:val="both"/>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按照</w:t>
            </w:r>
            <w:r>
              <w:rPr>
                <w:rFonts w:hint="eastAsia" w:asciiTheme="minorEastAsia" w:hAnsiTheme="minorEastAsia" w:eastAsiaTheme="minorEastAsia" w:cstheme="minorEastAsia"/>
                <w:sz w:val="24"/>
                <w:szCs w:val="24"/>
                <w:highlight w:val="none"/>
                <w:lang w:val="zh-TW" w:eastAsia="zh-CN"/>
              </w:rPr>
              <w:t>本</w:t>
            </w:r>
            <w:r>
              <w:rPr>
                <w:rFonts w:hint="eastAsia" w:asciiTheme="minorEastAsia" w:hAnsiTheme="minorEastAsia" w:eastAsiaTheme="minorEastAsia" w:cstheme="minorEastAsia"/>
                <w:sz w:val="24"/>
                <w:szCs w:val="24"/>
                <w:highlight w:val="none"/>
                <w:lang w:eastAsia="zh-CN"/>
              </w:rPr>
              <w:t>表第2部分投标人资格及其他要求、第4部分投标编制、装订要求和第四章评标办法进行审查。</w:t>
            </w:r>
          </w:p>
        </w:tc>
      </w:tr>
      <w:tr w14:paraId="4E87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88" w:type="dxa"/>
            <w:vAlign w:val="center"/>
          </w:tcPr>
          <w:p w14:paraId="6ABBADDC">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27201FE6">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废标条款</w:t>
            </w:r>
          </w:p>
        </w:tc>
        <w:tc>
          <w:tcPr>
            <w:tcW w:w="6143" w:type="dxa"/>
            <w:vAlign w:val="center"/>
          </w:tcPr>
          <w:p w14:paraId="45B1FE46">
            <w:pPr>
              <w:pStyle w:val="138"/>
              <w:numPr>
                <w:ilvl w:val="0"/>
                <w:numId w:val="0"/>
              </w:numPr>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有下列情况之一的按废标处理：</w:t>
            </w:r>
          </w:p>
          <w:p w14:paraId="4723608D">
            <w:pPr>
              <w:pStyle w:val="138"/>
              <w:numPr>
                <w:ilvl w:val="0"/>
                <w:numId w:val="0"/>
              </w:numPr>
              <w:ind w:left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zh-TW" w:eastAsia="zh-TW"/>
              </w:rPr>
              <w:t>投标人不符合国家或者招标文件规定的资格条件。</w:t>
            </w:r>
          </w:p>
          <w:p w14:paraId="2052E485">
            <w:pPr>
              <w:pStyle w:val="138"/>
              <w:numPr>
                <w:ilvl w:val="0"/>
                <w:numId w:val="0"/>
              </w:numPr>
              <w:ind w:left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zh-TW" w:eastAsia="zh-TW"/>
              </w:rPr>
              <w:t>存在属于第四章</w:t>
            </w:r>
            <w:r>
              <w:rPr>
                <w:rFonts w:hint="eastAsia" w:asciiTheme="minorEastAsia" w:hAnsiTheme="minorEastAsia" w:eastAsiaTheme="minorEastAsia" w:cstheme="minorEastAsia"/>
                <w:sz w:val="24"/>
                <w:szCs w:val="24"/>
                <w:highlight w:val="none"/>
                <w:lang w:val="en-US" w:eastAsia="zh-CN"/>
              </w:rPr>
              <w:t>第三条评标程序</w:t>
            </w:r>
            <w:r>
              <w:rPr>
                <w:rFonts w:hint="eastAsia" w:asciiTheme="minorEastAsia" w:hAnsiTheme="minorEastAsia" w:eastAsiaTheme="minorEastAsia" w:cstheme="minorEastAsia"/>
                <w:sz w:val="24"/>
                <w:szCs w:val="24"/>
                <w:highlight w:val="none"/>
                <w:lang w:val="zh-TW" w:eastAsia="zh-TW"/>
              </w:rPr>
              <w:t>3.</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zh-TW" w:eastAsia="zh-TW"/>
              </w:rPr>
              <w:t>.2条的重大偏差条款之一的。</w:t>
            </w:r>
          </w:p>
          <w:p w14:paraId="2B7A4EB8">
            <w:pPr>
              <w:pStyle w:val="138"/>
              <w:numPr>
                <w:ilvl w:val="0"/>
                <w:numId w:val="0"/>
              </w:numPr>
              <w:ind w:left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zh-TW" w:eastAsia="zh-TW"/>
              </w:rPr>
              <w:t>存在第二章第</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lang w:val="zh-TW" w:eastAsia="zh-TW"/>
              </w:rPr>
              <w:t>条</w:t>
            </w:r>
            <w:r>
              <w:rPr>
                <w:rFonts w:hint="eastAsia" w:asciiTheme="minorEastAsia" w:hAnsiTheme="minorEastAsia" w:eastAsiaTheme="minorEastAsia" w:cstheme="minorEastAsia"/>
                <w:sz w:val="24"/>
                <w:szCs w:val="24"/>
                <w:highlight w:val="none"/>
                <w:lang w:val="en-US" w:eastAsia="zh-CN"/>
              </w:rPr>
              <w:t>纪律和监督</w:t>
            </w:r>
            <w:r>
              <w:rPr>
                <w:rFonts w:hint="eastAsia" w:asciiTheme="minorEastAsia" w:hAnsiTheme="minorEastAsia" w:eastAsiaTheme="minorEastAsia" w:cstheme="minorEastAsia"/>
                <w:sz w:val="24"/>
                <w:szCs w:val="24"/>
                <w:highlight w:val="none"/>
                <w:lang w:val="zh-TW" w:eastAsia="zh-TW"/>
              </w:rPr>
              <w:t>中投标人与</w:t>
            </w:r>
            <w:r>
              <w:rPr>
                <w:rFonts w:hint="eastAsia" w:asciiTheme="minorEastAsia" w:hAnsiTheme="minorEastAsia" w:eastAsiaTheme="minorEastAsia" w:cstheme="minorEastAsia"/>
                <w:sz w:val="24"/>
                <w:szCs w:val="24"/>
                <w:highlight w:val="none"/>
                <w:lang w:val="zh-TW" w:eastAsia="zh-CN"/>
              </w:rPr>
              <w:t>采购人</w:t>
            </w:r>
            <w:r>
              <w:rPr>
                <w:rFonts w:hint="eastAsia" w:asciiTheme="minorEastAsia" w:hAnsiTheme="minorEastAsia" w:eastAsiaTheme="minorEastAsia" w:cstheme="minorEastAsia"/>
                <w:sz w:val="24"/>
                <w:szCs w:val="24"/>
                <w:highlight w:val="none"/>
                <w:lang w:val="zh-TW" w:eastAsia="zh-TW"/>
              </w:rPr>
              <w:t>、投标人之间存在相互串标之一的。</w:t>
            </w:r>
          </w:p>
          <w:p w14:paraId="2C11083A">
            <w:pPr>
              <w:pStyle w:val="138"/>
              <w:numPr>
                <w:ilvl w:val="0"/>
                <w:numId w:val="0"/>
              </w:numPr>
              <w:ind w:left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4、对第二章投标人须知前附表2.1条没作实质性响应的</w:t>
            </w:r>
            <w:r>
              <w:rPr>
                <w:rFonts w:hint="eastAsia" w:asciiTheme="minorEastAsia" w:hAnsiTheme="minorEastAsia" w:eastAsiaTheme="minorEastAsia" w:cstheme="minorEastAsia"/>
                <w:sz w:val="24"/>
                <w:szCs w:val="24"/>
                <w:highlight w:val="none"/>
                <w:lang w:val="zh-TW" w:eastAsia="zh-TW"/>
              </w:rPr>
              <w:t>。</w:t>
            </w:r>
          </w:p>
          <w:p w14:paraId="7E5038D4">
            <w:pPr>
              <w:pStyle w:val="138"/>
              <w:numPr>
                <w:ilvl w:val="0"/>
                <w:numId w:val="0"/>
              </w:numPr>
              <w:ind w:left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5、本文件其他地方明确的废标条款，如：投标人不按资格要求提供佐证材料或材料有瑕疵的</w:t>
            </w:r>
            <w:r>
              <w:rPr>
                <w:rFonts w:hint="eastAsia" w:asciiTheme="minorEastAsia" w:hAnsiTheme="minorEastAsia" w:eastAsiaTheme="minorEastAsia" w:cstheme="minorEastAsia"/>
                <w:sz w:val="24"/>
                <w:szCs w:val="24"/>
                <w:highlight w:val="none"/>
                <w:lang w:val="zh-TW" w:eastAsia="zh-TW"/>
              </w:rPr>
              <w:t>。</w:t>
            </w:r>
          </w:p>
        </w:tc>
      </w:tr>
      <w:tr w14:paraId="5AD6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88" w:type="dxa"/>
            <w:vAlign w:val="center"/>
          </w:tcPr>
          <w:p w14:paraId="24FCBBD2">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2F5CCEAD">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是否授权评标委员会确定中标候选人</w:t>
            </w:r>
          </w:p>
        </w:tc>
        <w:tc>
          <w:tcPr>
            <w:tcW w:w="6143" w:type="dxa"/>
            <w:vAlign w:val="center"/>
          </w:tcPr>
          <w:p w14:paraId="079044E6">
            <w:pPr>
              <w:ind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否，评标委员会根据评审得分由高到低推荐优秀供应商作为中标候选人。</w:t>
            </w:r>
          </w:p>
        </w:tc>
      </w:tr>
      <w:tr w14:paraId="4AB4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88" w:type="dxa"/>
            <w:vAlign w:val="center"/>
          </w:tcPr>
          <w:p w14:paraId="0445CD0A">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48666C1C">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重新招标</w:t>
            </w:r>
          </w:p>
        </w:tc>
        <w:tc>
          <w:tcPr>
            <w:tcW w:w="6143" w:type="dxa"/>
            <w:vAlign w:val="center"/>
          </w:tcPr>
          <w:p w14:paraId="72A9B894">
            <w:pPr>
              <w:ind w:firstLine="0" w:firstLineChars="0"/>
              <w:jc w:val="both"/>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有下列情形之一的，</w:t>
            </w:r>
            <w:r>
              <w:rPr>
                <w:rFonts w:hint="eastAsia" w:asciiTheme="minorEastAsia" w:hAnsiTheme="minorEastAsia" w:eastAsiaTheme="minorEastAsia" w:cstheme="minorEastAsia"/>
                <w:sz w:val="24"/>
                <w:szCs w:val="24"/>
                <w:highlight w:val="none"/>
                <w:lang w:val="zh-TW" w:eastAsia="zh-CN"/>
              </w:rPr>
              <w:t>采购人</w:t>
            </w:r>
            <w:r>
              <w:rPr>
                <w:rFonts w:hint="eastAsia" w:asciiTheme="minorEastAsia" w:hAnsiTheme="minorEastAsia" w:eastAsiaTheme="minorEastAsia" w:cstheme="minorEastAsia"/>
                <w:sz w:val="24"/>
                <w:szCs w:val="24"/>
                <w:highlight w:val="none"/>
                <w:lang w:val="zh-TW" w:eastAsia="zh-TW"/>
              </w:rPr>
              <w:t>将重新招标：</w:t>
            </w:r>
          </w:p>
          <w:p w14:paraId="3D2E0694">
            <w:pPr>
              <w:numPr>
                <w:ilvl w:val="0"/>
                <w:numId w:val="21"/>
              </w:numPr>
              <w:ind w:left="0" w:firstLine="0" w:firstLineChars="0"/>
              <w:jc w:val="both"/>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z w:val="24"/>
                <w:szCs w:val="24"/>
                <w:highlight w:val="none"/>
                <w:lang w:val="zh-TW" w:eastAsia="zh-TW"/>
              </w:rPr>
              <w:t>投标截止时间止，投标人少于3个的。</w:t>
            </w:r>
          </w:p>
          <w:p w14:paraId="7DBC0A2C">
            <w:pPr>
              <w:numPr>
                <w:ilvl w:val="0"/>
                <w:numId w:val="21"/>
              </w:numPr>
              <w:ind w:left="0" w:firstLine="0" w:firstLineChars="0"/>
              <w:jc w:val="both"/>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z w:val="24"/>
                <w:szCs w:val="24"/>
                <w:highlight w:val="none"/>
                <w:lang w:val="zh-TW" w:eastAsia="zh-TW"/>
              </w:rPr>
              <w:t>经评标委员会评审后否决所有投标的。</w:t>
            </w:r>
          </w:p>
          <w:p w14:paraId="228FB180">
            <w:pPr>
              <w:numPr>
                <w:ilvl w:val="0"/>
                <w:numId w:val="21"/>
              </w:numPr>
              <w:ind w:left="0" w:firstLine="0" w:firstLineChars="0"/>
              <w:jc w:val="both"/>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z w:val="24"/>
                <w:szCs w:val="24"/>
                <w:highlight w:val="none"/>
                <w:lang w:val="zh-TW" w:eastAsia="zh-TW"/>
              </w:rPr>
              <w:t>依法必须进行招标的项目的部分投标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lang w:val="zh-TW" w:eastAsia="zh-TW"/>
              </w:rPr>
              <w:t>被否决，导致有效投标人不足三个的，评标委员会应当否决所有投标。但是有效投标人的经济、技术等指标仍然具有市场竞争力，能够满足招标文件要求的，评标委员会可以继续评标并确定中标候选人。</w:t>
            </w:r>
          </w:p>
          <w:p w14:paraId="262E465D">
            <w:pPr>
              <w:numPr>
                <w:ilvl w:val="0"/>
                <w:numId w:val="21"/>
              </w:numPr>
              <w:ind w:left="0" w:firstLine="0" w:firstLineChars="0"/>
              <w:jc w:val="both"/>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法律法规规定的其他情形。</w:t>
            </w:r>
          </w:p>
        </w:tc>
      </w:tr>
      <w:tr w14:paraId="7953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88" w:type="dxa"/>
            <w:vAlign w:val="center"/>
          </w:tcPr>
          <w:p w14:paraId="69C9C194">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3C6797A0">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二次招标和不再招标</w:t>
            </w:r>
          </w:p>
        </w:tc>
        <w:tc>
          <w:tcPr>
            <w:tcW w:w="6143" w:type="dxa"/>
            <w:vAlign w:val="center"/>
          </w:tcPr>
          <w:p w14:paraId="384C99ED">
            <w:pPr>
              <w:ind w:firstLine="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重新招标后投标人仍少于3个，按法定程序开标和评标，确定中标候选人。经评审无合格投标人，属于必须审批或核准的服务建设项目，经原审批或核准部门批准后不再进行招标。</w:t>
            </w:r>
          </w:p>
        </w:tc>
      </w:tr>
      <w:tr w14:paraId="4F1A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0EA9FC21">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34F9A580">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评标报告</w:t>
            </w:r>
          </w:p>
        </w:tc>
        <w:tc>
          <w:tcPr>
            <w:tcW w:w="6143" w:type="dxa"/>
            <w:vAlign w:val="center"/>
          </w:tcPr>
          <w:p w14:paraId="3B17F0C7">
            <w:pPr>
              <w:ind w:firstLine="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评标委员会根据现场评审结果形成评标报告，拟推荐中标人，经签字后提交评标人。</w:t>
            </w:r>
          </w:p>
        </w:tc>
      </w:tr>
      <w:tr w14:paraId="0C36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75A2850F">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1C9648F0">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拟</w:t>
            </w:r>
            <w:r>
              <w:rPr>
                <w:rFonts w:hint="eastAsia" w:asciiTheme="minorEastAsia" w:hAnsiTheme="minorEastAsia" w:eastAsiaTheme="minorEastAsia" w:cstheme="minorEastAsia"/>
                <w:sz w:val="24"/>
                <w:szCs w:val="24"/>
                <w:highlight w:val="none"/>
                <w:lang w:val="en-US" w:eastAsia="zh-CN"/>
              </w:rPr>
              <w:t>中标</w:t>
            </w:r>
            <w:r>
              <w:rPr>
                <w:rFonts w:hint="eastAsia" w:asciiTheme="minorEastAsia" w:hAnsiTheme="minorEastAsia" w:eastAsiaTheme="minorEastAsia" w:cstheme="minorEastAsia"/>
                <w:sz w:val="24"/>
                <w:szCs w:val="24"/>
                <w:highlight w:val="none"/>
                <w:lang w:eastAsia="zh-CN"/>
              </w:rPr>
              <w:t>供应商考察</w:t>
            </w:r>
          </w:p>
        </w:tc>
        <w:tc>
          <w:tcPr>
            <w:tcW w:w="6143" w:type="dxa"/>
            <w:vAlign w:val="center"/>
          </w:tcPr>
          <w:p w14:paraId="7BB71480">
            <w:pPr>
              <w:ind w:firstLine="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采购人根据评标报告，组织采购、质量、生产等相关人员对新的拟中标人进行现场考察，考察完成后两天内形成考察报告，向采购人组织者提供，考察费用由采购人承担。</w:t>
            </w:r>
          </w:p>
        </w:tc>
      </w:tr>
      <w:tr w14:paraId="1121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213CF0EB">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0C2DD09B">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中标人的确定</w:t>
            </w:r>
          </w:p>
        </w:tc>
        <w:tc>
          <w:tcPr>
            <w:tcW w:w="6143" w:type="dxa"/>
            <w:vAlign w:val="center"/>
          </w:tcPr>
          <w:p w14:paraId="73033876">
            <w:pPr>
              <w:ind w:firstLine="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采购人组织根据评标委员会报告、考察报告和以前合作情况，向采购人的管理部门出具拟推荐中标人报告，并由相关领导会议决定。</w:t>
            </w:r>
          </w:p>
        </w:tc>
      </w:tr>
      <w:tr w14:paraId="20A9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288" w:type="dxa"/>
            <w:vAlign w:val="center"/>
          </w:tcPr>
          <w:p w14:paraId="2C52AD72">
            <w:pPr>
              <w:numPr>
                <w:ilvl w:val="0"/>
                <w:numId w:val="20"/>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79EB5114">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中标公示</w:t>
            </w:r>
          </w:p>
        </w:tc>
        <w:tc>
          <w:tcPr>
            <w:tcW w:w="6143" w:type="dxa"/>
            <w:vAlign w:val="center"/>
          </w:tcPr>
          <w:p w14:paraId="3278A216">
            <w:pPr>
              <w:ind w:firstLine="0" w:firstLineChars="0"/>
              <w:jc w:val="left"/>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eastAsia="zh-CN"/>
              </w:rPr>
              <w:t>采购人组织者根据会议决定，通过招标代理机构对中标结果在招标公告发布网进行公示。</w:t>
            </w:r>
          </w:p>
        </w:tc>
      </w:tr>
      <w:tr w14:paraId="74F3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4FD148B0">
            <w:pPr>
              <w:numPr>
                <w:ilvl w:val="0"/>
                <w:numId w:val="22"/>
              </w:numPr>
              <w:spacing w:line="240" w:lineRule="auto"/>
              <w:ind w:firstLineChars="0"/>
              <w:jc w:val="center"/>
              <w:rPr>
                <w:rFonts w:hint="eastAsia" w:asciiTheme="minorEastAsia" w:hAnsiTheme="minorEastAsia" w:eastAsiaTheme="minorEastAsia" w:cstheme="minorEastAsia"/>
                <w:highlight w:val="none"/>
              </w:rPr>
            </w:pPr>
          </w:p>
        </w:tc>
        <w:tc>
          <w:tcPr>
            <w:tcW w:w="2214" w:type="dxa"/>
            <w:vAlign w:val="center"/>
          </w:tcPr>
          <w:p w14:paraId="1D39BBA5">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招标代理</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费</w:t>
            </w:r>
          </w:p>
        </w:tc>
        <w:tc>
          <w:tcPr>
            <w:tcW w:w="6143" w:type="dxa"/>
            <w:vAlign w:val="center"/>
          </w:tcPr>
          <w:p w14:paraId="123EA0BB">
            <w:pPr>
              <w:adjustRightInd w:val="0"/>
              <w:ind w:firstLine="0" w:firstLine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TW"/>
              </w:rPr>
              <w:t>本项</w:t>
            </w:r>
            <w:r>
              <w:rPr>
                <w:rFonts w:hint="eastAsia" w:asciiTheme="minorEastAsia" w:hAnsiTheme="minorEastAsia" w:eastAsiaTheme="minorEastAsia" w:cstheme="minorEastAsia"/>
                <w:sz w:val="24"/>
                <w:szCs w:val="24"/>
                <w:highlight w:val="none"/>
                <w:lang w:val="en-US" w:eastAsia="zh-CN"/>
              </w:rPr>
              <w:t>目</w:t>
            </w:r>
            <w:r>
              <w:rPr>
                <w:rFonts w:hint="eastAsia" w:asciiTheme="minorEastAsia" w:hAnsiTheme="minorEastAsia" w:eastAsiaTheme="minorEastAsia" w:cstheme="minorEastAsia"/>
                <w:sz w:val="24"/>
                <w:szCs w:val="24"/>
                <w:highlight w:val="none"/>
                <w:lang w:val="zh-TW" w:eastAsia="zh-TW"/>
              </w:rPr>
              <w:t>招标代</w:t>
            </w:r>
            <w:r>
              <w:rPr>
                <w:rFonts w:hint="eastAsia" w:asciiTheme="minorEastAsia" w:hAnsiTheme="minorEastAsia" w:eastAsiaTheme="minorEastAsia" w:cstheme="minorEastAsia"/>
                <w:sz w:val="24"/>
                <w:szCs w:val="24"/>
                <w:highlight w:val="none"/>
                <w:u w:val="none"/>
                <w:lang w:val="zh-TW" w:eastAsia="zh-TW"/>
              </w:rPr>
              <w:t>理费</w:t>
            </w:r>
            <w:r>
              <w:rPr>
                <w:rFonts w:hint="eastAsia" w:asciiTheme="minorEastAsia" w:hAnsiTheme="minorEastAsia" w:eastAsiaTheme="minorEastAsia" w:cstheme="minorEastAsia"/>
                <w:sz w:val="24"/>
                <w:szCs w:val="24"/>
                <w:highlight w:val="none"/>
                <w:u w:val="none"/>
                <w:lang w:val="en-US" w:eastAsia="zh-CN"/>
              </w:rPr>
              <w:t>3500</w:t>
            </w:r>
            <w:r>
              <w:rPr>
                <w:rFonts w:hint="eastAsia" w:asciiTheme="minorEastAsia" w:hAnsiTheme="minorEastAsia" w:eastAsiaTheme="minorEastAsia" w:cstheme="minorEastAsia"/>
                <w:sz w:val="24"/>
                <w:szCs w:val="24"/>
                <w:highlight w:val="none"/>
                <w:u w:val="none"/>
                <w:lang w:val="zh-TW" w:eastAsia="zh-TW"/>
              </w:rPr>
              <w:t>.00元，由中</w:t>
            </w:r>
            <w:r>
              <w:rPr>
                <w:rFonts w:hint="eastAsia" w:asciiTheme="minorEastAsia" w:hAnsiTheme="minorEastAsia" w:eastAsiaTheme="minorEastAsia" w:cstheme="minorEastAsia"/>
                <w:sz w:val="24"/>
                <w:szCs w:val="24"/>
                <w:highlight w:val="none"/>
                <w:lang w:val="zh-TW" w:eastAsia="zh-TW"/>
              </w:rPr>
              <w:t>标</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lang w:eastAsia="zh-CN"/>
              </w:rPr>
              <w:t>承担，</w:t>
            </w:r>
            <w:r>
              <w:rPr>
                <w:rFonts w:hint="eastAsia" w:asciiTheme="minorEastAsia" w:hAnsiTheme="minorEastAsia" w:eastAsiaTheme="minorEastAsia" w:cstheme="minorEastAsia"/>
                <w:sz w:val="24"/>
                <w:szCs w:val="24"/>
                <w:highlight w:val="none"/>
                <w:lang w:val="zh-TW" w:eastAsia="zh-TW"/>
              </w:rPr>
              <w:t>在领取中标通知书时一次性向代理</w:t>
            </w:r>
            <w:r>
              <w:rPr>
                <w:rFonts w:hint="eastAsia" w:asciiTheme="minorEastAsia" w:hAnsiTheme="minorEastAsia" w:eastAsiaTheme="minorEastAsia" w:cstheme="minorEastAsia"/>
                <w:sz w:val="24"/>
                <w:szCs w:val="24"/>
                <w:highlight w:val="none"/>
                <w:lang w:val="en-US" w:eastAsia="zh-CN"/>
              </w:rPr>
              <w:t>机构</w:t>
            </w:r>
            <w:r>
              <w:rPr>
                <w:rFonts w:hint="eastAsia" w:asciiTheme="minorEastAsia" w:hAnsiTheme="minorEastAsia" w:eastAsiaTheme="minorEastAsia" w:cstheme="minorEastAsia"/>
                <w:sz w:val="24"/>
                <w:szCs w:val="24"/>
                <w:highlight w:val="none"/>
                <w:lang w:val="zh-TW" w:eastAsia="zh-TW"/>
              </w:rPr>
              <w:t>支付。招标代理服务费已包含在投标报价中，</w:t>
            </w:r>
            <w:r>
              <w:rPr>
                <w:rFonts w:hint="eastAsia" w:asciiTheme="minorEastAsia" w:hAnsiTheme="minorEastAsia" w:eastAsiaTheme="minorEastAsia" w:cstheme="minorEastAsia"/>
                <w:sz w:val="24"/>
                <w:szCs w:val="24"/>
                <w:highlight w:val="none"/>
                <w:lang w:val="zh-TW" w:eastAsia="zh-CN"/>
              </w:rPr>
              <w:t>采购人</w:t>
            </w:r>
            <w:r>
              <w:rPr>
                <w:rFonts w:hint="eastAsia" w:asciiTheme="minorEastAsia" w:hAnsiTheme="minorEastAsia" w:eastAsiaTheme="minorEastAsia" w:cstheme="minorEastAsia"/>
                <w:sz w:val="24"/>
                <w:szCs w:val="24"/>
                <w:highlight w:val="none"/>
                <w:lang w:val="zh-TW" w:eastAsia="zh-TW"/>
              </w:rPr>
              <w:t>不再另行支付。</w:t>
            </w:r>
          </w:p>
        </w:tc>
      </w:tr>
      <w:tr w14:paraId="3841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0E6D6BC9">
            <w:pPr>
              <w:numPr>
                <w:ilvl w:val="0"/>
                <w:numId w:val="22"/>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69DBA12C">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中标通知书发放</w:t>
            </w:r>
          </w:p>
        </w:tc>
        <w:tc>
          <w:tcPr>
            <w:tcW w:w="6143" w:type="dxa"/>
            <w:vAlign w:val="center"/>
          </w:tcPr>
          <w:p w14:paraId="28ADDA39">
            <w:pPr>
              <w:adjustRightInd w:val="0"/>
              <w:ind w:firstLine="0" w:firstLineChars="0"/>
              <w:jc w:val="both"/>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公示期没有异议，公示结束并完结招标代理费后次日由</w:t>
            </w:r>
            <w:r>
              <w:rPr>
                <w:rFonts w:hint="eastAsia" w:asciiTheme="minorEastAsia" w:hAnsiTheme="minorEastAsia" w:eastAsiaTheme="minorEastAsia" w:cstheme="minorEastAsia"/>
                <w:sz w:val="24"/>
                <w:szCs w:val="24"/>
                <w:highlight w:val="none"/>
                <w:lang w:val="en-US" w:eastAsia="zh-CN"/>
              </w:rPr>
              <w:t>招标代理机构</w:t>
            </w:r>
            <w:r>
              <w:rPr>
                <w:rFonts w:hint="eastAsia" w:asciiTheme="minorEastAsia" w:hAnsiTheme="minorEastAsia" w:eastAsiaTheme="minorEastAsia" w:cstheme="minorEastAsia"/>
                <w:sz w:val="24"/>
                <w:szCs w:val="24"/>
                <w:highlight w:val="none"/>
                <w:lang w:val="zh-TW" w:eastAsia="zh-TW"/>
              </w:rPr>
              <w:t>向中标单位发放中标通知书。</w:t>
            </w:r>
          </w:p>
        </w:tc>
      </w:tr>
      <w:tr w14:paraId="1E38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Align w:val="center"/>
          </w:tcPr>
          <w:p w14:paraId="3C4A3DDC">
            <w:pPr>
              <w:numPr>
                <w:ilvl w:val="0"/>
                <w:numId w:val="22"/>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shd w:val="clear" w:color="auto" w:fill="auto"/>
            <w:vAlign w:val="center"/>
          </w:tcPr>
          <w:p w14:paraId="7A35D655">
            <w:pPr>
              <w:spacing w:line="240" w:lineRule="auto"/>
              <w:ind w:firstLine="0" w:firstLineChars="0"/>
              <w:jc w:val="center"/>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zh-TW" w:eastAsia="zh-TW"/>
              </w:rPr>
              <w:t>招标后执行机制</w:t>
            </w:r>
          </w:p>
        </w:tc>
        <w:tc>
          <w:tcPr>
            <w:tcW w:w="6143" w:type="dxa"/>
            <w:shd w:val="clear" w:color="auto" w:fill="auto"/>
            <w:vAlign w:val="center"/>
          </w:tcPr>
          <w:p w14:paraId="40901C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en-US" w:eastAsia="zh-CN"/>
              </w:rPr>
              <w:t>选择1家作为中标人</w:t>
            </w:r>
            <w:r>
              <w:rPr>
                <w:rFonts w:hint="eastAsia" w:asciiTheme="minorEastAsia" w:hAnsiTheme="minorEastAsia" w:eastAsiaTheme="minorEastAsia" w:cstheme="minorEastAsia"/>
                <w:color w:val="auto"/>
                <w:sz w:val="24"/>
                <w:szCs w:val="24"/>
                <w:highlight w:val="none"/>
              </w:rPr>
              <w:t>。</w:t>
            </w:r>
          </w:p>
        </w:tc>
      </w:tr>
      <w:tr w14:paraId="4927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288" w:type="dxa"/>
            <w:vAlign w:val="center"/>
          </w:tcPr>
          <w:p w14:paraId="2CD741F2">
            <w:pPr>
              <w:numPr>
                <w:ilvl w:val="0"/>
                <w:numId w:val="22"/>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4A3D08D4">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合同</w:t>
            </w:r>
            <w:r>
              <w:rPr>
                <w:rFonts w:hint="eastAsia" w:asciiTheme="minorEastAsia" w:hAnsiTheme="minorEastAsia" w:eastAsiaTheme="minorEastAsia" w:cstheme="minorEastAsia"/>
                <w:sz w:val="24"/>
                <w:szCs w:val="24"/>
                <w:highlight w:val="none"/>
                <w:lang w:val="en-US" w:eastAsia="zh-CN"/>
              </w:rPr>
              <w:t>和技术协议</w:t>
            </w:r>
            <w:r>
              <w:rPr>
                <w:rFonts w:hint="eastAsia" w:asciiTheme="minorEastAsia" w:hAnsiTheme="minorEastAsia" w:eastAsiaTheme="minorEastAsia" w:cstheme="minorEastAsia"/>
                <w:sz w:val="24"/>
                <w:szCs w:val="24"/>
                <w:highlight w:val="none"/>
                <w:lang w:eastAsia="zh-CN"/>
              </w:rPr>
              <w:t>签订</w:t>
            </w:r>
          </w:p>
        </w:tc>
        <w:tc>
          <w:tcPr>
            <w:tcW w:w="6143" w:type="dxa"/>
            <w:vAlign w:val="center"/>
          </w:tcPr>
          <w:p w14:paraId="3EBD37F2">
            <w:pPr>
              <w:adjustRightInd w:val="0"/>
              <w:ind w:firstLine="0" w:firstLineChars="0"/>
              <w:jc w:val="both"/>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eastAsia="zh-CN"/>
              </w:rPr>
              <w:t>中标单位凭中标通知书到采购人的采购部签订合同</w:t>
            </w:r>
            <w:r>
              <w:rPr>
                <w:rFonts w:hint="eastAsia" w:asciiTheme="minorEastAsia" w:hAnsiTheme="minorEastAsia" w:eastAsiaTheme="minorEastAsia" w:cstheme="minorEastAsia"/>
                <w:sz w:val="24"/>
                <w:szCs w:val="24"/>
                <w:highlight w:val="none"/>
                <w:lang w:val="en-US" w:eastAsia="zh-CN"/>
              </w:rPr>
              <w:t>和技术协议，</w:t>
            </w:r>
            <w:r>
              <w:rPr>
                <w:rFonts w:hint="eastAsia" w:asciiTheme="minorEastAsia" w:hAnsiTheme="minorEastAsia" w:eastAsiaTheme="minorEastAsia" w:cstheme="minorEastAsia"/>
                <w:sz w:val="24"/>
                <w:szCs w:val="24"/>
                <w:highlight w:val="none"/>
                <w:lang w:eastAsia="zh-CN"/>
              </w:rPr>
              <w:t>在中标通知书发放之日起</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lang w:val="en-US" w:eastAsia="zh-CN"/>
              </w:rPr>
              <w:t>内</w:t>
            </w:r>
            <w:r>
              <w:rPr>
                <w:rFonts w:hint="eastAsia" w:asciiTheme="minorEastAsia" w:hAnsiTheme="minorEastAsia" w:eastAsiaTheme="minorEastAsia" w:cstheme="minorEastAsia"/>
                <w:sz w:val="24"/>
                <w:szCs w:val="24"/>
                <w:highlight w:val="none"/>
                <w:lang w:eastAsia="zh-CN"/>
              </w:rPr>
              <w:t>没有</w:t>
            </w:r>
            <w:r>
              <w:rPr>
                <w:rFonts w:hint="eastAsia" w:asciiTheme="minorEastAsia" w:hAnsiTheme="minorEastAsia" w:eastAsiaTheme="minorEastAsia" w:cstheme="minorEastAsia"/>
                <w:sz w:val="24"/>
                <w:szCs w:val="24"/>
                <w:highlight w:val="none"/>
                <w:lang w:val="en-US" w:eastAsia="zh-CN"/>
              </w:rPr>
              <w:t>签订</w:t>
            </w:r>
            <w:r>
              <w:rPr>
                <w:rFonts w:hint="eastAsia" w:asciiTheme="minorEastAsia" w:hAnsiTheme="minorEastAsia" w:eastAsiaTheme="minorEastAsia" w:cstheme="minorEastAsia"/>
                <w:sz w:val="24"/>
                <w:szCs w:val="24"/>
                <w:highlight w:val="none"/>
                <w:lang w:eastAsia="zh-CN"/>
              </w:rPr>
              <w:t>视为放弃中标。</w:t>
            </w:r>
          </w:p>
        </w:tc>
      </w:tr>
      <w:tr w14:paraId="4E95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88" w:type="dxa"/>
            <w:vAlign w:val="center"/>
          </w:tcPr>
          <w:p w14:paraId="7228F80B">
            <w:pPr>
              <w:numPr>
                <w:ilvl w:val="0"/>
                <w:numId w:val="22"/>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56756DF8">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长期协议期</w:t>
            </w:r>
          </w:p>
        </w:tc>
        <w:tc>
          <w:tcPr>
            <w:tcW w:w="6143" w:type="dxa"/>
            <w:vAlign w:val="center"/>
          </w:tcPr>
          <w:p w14:paraId="31E89AE7">
            <w:pPr>
              <w:pStyle w:val="96"/>
              <w:spacing w:line="360" w:lineRule="auto"/>
              <w:ind w:firstLine="0" w:firstLineChars="0"/>
              <w:jc w:val="both"/>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color w:val="000000"/>
                <w:sz w:val="24"/>
                <w:szCs w:val="24"/>
                <w:highlight w:val="none"/>
                <w:lang w:val="en-US" w:eastAsia="zh-CN" w:bidi="en-US"/>
              </w:rPr>
              <w:t>无</w:t>
            </w:r>
          </w:p>
        </w:tc>
      </w:tr>
      <w:tr w14:paraId="66CB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288" w:type="dxa"/>
            <w:vAlign w:val="center"/>
          </w:tcPr>
          <w:p w14:paraId="7A9B0E0C">
            <w:pPr>
              <w:numPr>
                <w:ilvl w:val="0"/>
                <w:numId w:val="22"/>
              </w:numPr>
              <w:spacing w:line="240" w:lineRule="auto"/>
              <w:ind w:firstLineChars="0"/>
              <w:jc w:val="center"/>
              <w:rPr>
                <w:rFonts w:hint="eastAsia" w:asciiTheme="minorEastAsia" w:hAnsiTheme="minorEastAsia" w:eastAsiaTheme="minorEastAsia" w:cstheme="minorEastAsia"/>
                <w:highlight w:val="none"/>
                <w:lang w:eastAsia="zh-CN"/>
              </w:rPr>
            </w:pPr>
          </w:p>
        </w:tc>
        <w:tc>
          <w:tcPr>
            <w:tcW w:w="2214" w:type="dxa"/>
            <w:vAlign w:val="center"/>
          </w:tcPr>
          <w:p w14:paraId="6934051B">
            <w:pPr>
              <w:spacing w:line="240" w:lineRule="auto"/>
              <w:ind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合作资格考核</w:t>
            </w:r>
          </w:p>
        </w:tc>
        <w:tc>
          <w:tcPr>
            <w:tcW w:w="6143" w:type="dxa"/>
            <w:vAlign w:val="center"/>
          </w:tcPr>
          <w:p w14:paraId="3CB049B1">
            <w:pPr>
              <w:adjustRightInd w:val="0"/>
              <w:ind w:firstLine="0" w:firstLineChars="0"/>
              <w:jc w:val="both"/>
              <w:rPr>
                <w:rFonts w:hint="eastAsia"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highlight w:val="none"/>
                <w:lang w:val="zh-TW" w:eastAsia="zh-TW"/>
              </w:rPr>
              <w:t>合作期限内，如发现合作单位投标承诺不兑现或投标资格作假者，招标方有权终止中标合作。</w:t>
            </w:r>
          </w:p>
        </w:tc>
      </w:tr>
    </w:tbl>
    <w:p w14:paraId="0984F3C3">
      <w:pPr>
        <w:widowControl/>
        <w:spacing w:line="240" w:lineRule="auto"/>
        <w:ind w:firstLine="0" w:firstLineChars="0"/>
        <w:rPr>
          <w:rFonts w:hint="eastAsia" w:asciiTheme="minorEastAsia" w:hAnsiTheme="minorEastAsia" w:eastAsiaTheme="minorEastAsia" w:cstheme="minorEastAsia"/>
          <w:highlight w:val="none"/>
          <w:lang w:eastAsia="zh-CN"/>
        </w:rPr>
      </w:pPr>
    </w:p>
    <w:p w14:paraId="411B5976">
      <w:pPr>
        <w:pStyle w:val="4"/>
        <w:numPr>
          <w:ilvl w:val="0"/>
          <w:numId w:val="0"/>
        </w:numPr>
        <w:ind w:leftChars="-59" w:hanging="151" w:hangingChars="47"/>
        <w:outlineLvl w:val="0"/>
        <w:rPr>
          <w:rFonts w:hint="eastAsia" w:asciiTheme="minorEastAsia" w:hAnsiTheme="minorEastAsia" w:eastAsiaTheme="minorEastAsia" w:cstheme="minorEastAsia"/>
          <w:highlight w:val="none"/>
          <w:lang w:eastAsia="zh-CN"/>
        </w:rPr>
      </w:pPr>
      <w:bookmarkStart w:id="41" w:name="_Toc13570"/>
      <w:bookmarkStart w:id="42" w:name="_Toc32074"/>
      <w:bookmarkStart w:id="43" w:name="_Toc20421"/>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lang w:eastAsia="zh-CN"/>
        </w:rPr>
        <w:t>招标文件</w:t>
      </w:r>
      <w:bookmarkEnd w:id="41"/>
      <w:bookmarkEnd w:id="42"/>
      <w:bookmarkEnd w:id="43"/>
    </w:p>
    <w:p w14:paraId="57F59031">
      <w:pPr>
        <w:ind w:firstLine="0" w:firstLineChars="0"/>
        <w:outlineLvl w:val="1"/>
        <w:rPr>
          <w:rFonts w:hint="eastAsia" w:asciiTheme="minorEastAsia" w:hAnsiTheme="minorEastAsia" w:eastAsiaTheme="minorEastAsia" w:cstheme="minorEastAsia"/>
          <w:b/>
          <w:bCs/>
          <w:sz w:val="24"/>
          <w:szCs w:val="24"/>
          <w:highlight w:val="none"/>
          <w:lang w:eastAsia="zh-CN"/>
        </w:rPr>
      </w:pPr>
      <w:bookmarkStart w:id="44" w:name="bookmark67"/>
      <w:bookmarkEnd w:id="44"/>
      <w:bookmarkStart w:id="45" w:name="_Toc20828"/>
      <w:bookmarkStart w:id="46" w:name="_Toc6345"/>
      <w:r>
        <w:rPr>
          <w:rFonts w:hint="eastAsia" w:asciiTheme="minorEastAsia" w:hAnsiTheme="minorEastAsia" w:eastAsiaTheme="minorEastAsia" w:cstheme="minorEastAsia"/>
          <w:b/>
          <w:bCs/>
          <w:sz w:val="24"/>
          <w:szCs w:val="24"/>
          <w:highlight w:val="none"/>
          <w:lang w:eastAsia="zh-CN"/>
        </w:rPr>
        <w:t>2.1招标文件的组成</w:t>
      </w:r>
      <w:bookmarkEnd w:id="45"/>
      <w:bookmarkEnd w:id="46"/>
    </w:p>
    <w:p w14:paraId="026A2119">
      <w:pPr>
        <w:pStyle w:val="9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本招标文件包括：</w:t>
      </w:r>
    </w:p>
    <w:p w14:paraId="74AE609B">
      <w:pPr>
        <w:pStyle w:val="97"/>
        <w:numPr>
          <w:ilvl w:val="0"/>
          <w:numId w:val="23"/>
        </w:numPr>
        <w:ind w:firstLine="1"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招标公告</w:t>
      </w:r>
    </w:p>
    <w:p w14:paraId="7414CC28">
      <w:pPr>
        <w:pStyle w:val="97"/>
        <w:numPr>
          <w:ilvl w:val="0"/>
          <w:numId w:val="23"/>
        </w:numPr>
        <w:ind w:firstLine="1"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投标人须知</w:t>
      </w:r>
    </w:p>
    <w:p w14:paraId="5D7368BC">
      <w:pPr>
        <w:pStyle w:val="97"/>
        <w:numPr>
          <w:ilvl w:val="0"/>
          <w:numId w:val="23"/>
        </w:numPr>
        <w:ind w:firstLine="1"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合同条款及格式</w:t>
      </w:r>
    </w:p>
    <w:p w14:paraId="59127885">
      <w:pPr>
        <w:pStyle w:val="97"/>
        <w:numPr>
          <w:ilvl w:val="0"/>
          <w:numId w:val="23"/>
        </w:numPr>
        <w:ind w:firstLine="1"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评标办法</w:t>
      </w:r>
    </w:p>
    <w:p w14:paraId="6BBF82B8">
      <w:pPr>
        <w:pStyle w:val="97"/>
        <w:numPr>
          <w:ilvl w:val="0"/>
          <w:numId w:val="23"/>
        </w:numPr>
        <w:ind w:firstLine="1"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招标清单及技术要求</w:t>
      </w:r>
    </w:p>
    <w:p w14:paraId="701100F1">
      <w:pPr>
        <w:pStyle w:val="97"/>
        <w:numPr>
          <w:ilvl w:val="0"/>
          <w:numId w:val="23"/>
        </w:numPr>
        <w:ind w:firstLine="1"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投标文件格式</w:t>
      </w:r>
    </w:p>
    <w:p w14:paraId="7FB72F47">
      <w:pPr>
        <w:pStyle w:val="97"/>
        <w:numPr>
          <w:ilvl w:val="0"/>
          <w:numId w:val="23"/>
        </w:numPr>
        <w:ind w:firstLine="1"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投标人规定的其他材料</w:t>
      </w:r>
    </w:p>
    <w:p w14:paraId="092F4D2F">
      <w:pPr>
        <w:pStyle w:val="4"/>
        <w:numPr>
          <w:ilvl w:val="0"/>
          <w:numId w:val="0"/>
        </w:numPr>
        <w:ind w:leftChars="-59" w:hanging="151" w:hangingChars="47"/>
        <w:outlineLvl w:val="0"/>
        <w:rPr>
          <w:rFonts w:hint="eastAsia" w:asciiTheme="minorEastAsia" w:hAnsiTheme="minorEastAsia" w:eastAsiaTheme="minorEastAsia" w:cstheme="minorEastAsia"/>
          <w:highlight w:val="none"/>
          <w:lang w:eastAsia="zh-CN"/>
        </w:rPr>
      </w:pPr>
      <w:bookmarkStart w:id="47" w:name="bookmark72"/>
      <w:bookmarkEnd w:id="47"/>
      <w:bookmarkStart w:id="48" w:name="bookmark73"/>
      <w:bookmarkEnd w:id="48"/>
      <w:bookmarkStart w:id="49" w:name="_Toc29456"/>
      <w:bookmarkStart w:id="50" w:name="_Toc32112"/>
      <w:bookmarkStart w:id="51" w:name="_Toc30297"/>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lang w:eastAsia="zh-CN"/>
        </w:rPr>
        <w:t>投标文件</w:t>
      </w:r>
      <w:bookmarkEnd w:id="49"/>
      <w:bookmarkEnd w:id="50"/>
      <w:bookmarkEnd w:id="51"/>
    </w:p>
    <w:p w14:paraId="3C6F00FF">
      <w:pPr>
        <w:ind w:firstLine="0" w:firstLineChars="0"/>
        <w:outlineLvl w:val="1"/>
        <w:rPr>
          <w:rFonts w:hint="eastAsia" w:asciiTheme="minorEastAsia" w:hAnsiTheme="minorEastAsia" w:eastAsiaTheme="minorEastAsia" w:cstheme="minorEastAsia"/>
          <w:b/>
          <w:bCs/>
          <w:sz w:val="24"/>
          <w:szCs w:val="24"/>
          <w:highlight w:val="none"/>
          <w:lang w:eastAsia="zh-CN"/>
        </w:rPr>
      </w:pPr>
      <w:bookmarkStart w:id="52" w:name="bookmark74"/>
      <w:bookmarkEnd w:id="52"/>
      <w:bookmarkStart w:id="53" w:name="_Toc10294"/>
      <w:bookmarkStart w:id="54" w:name="_Toc20263"/>
      <w:r>
        <w:rPr>
          <w:rFonts w:hint="eastAsia" w:asciiTheme="minorEastAsia" w:hAnsiTheme="minorEastAsia" w:eastAsiaTheme="minorEastAsia" w:cstheme="minorEastAsia"/>
          <w:b/>
          <w:bCs/>
          <w:sz w:val="24"/>
          <w:szCs w:val="24"/>
          <w:highlight w:val="none"/>
          <w:lang w:eastAsia="zh-CN"/>
        </w:rPr>
        <w:t>3.1投标文件的组成</w:t>
      </w:r>
      <w:bookmarkEnd w:id="53"/>
      <w:bookmarkEnd w:id="54"/>
    </w:p>
    <w:p w14:paraId="76B10F2C">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投标文件由投标函部分、</w:t>
      </w:r>
      <w:r>
        <w:rPr>
          <w:rFonts w:hint="eastAsia" w:ascii="宋体" w:hAnsi="宋体"/>
          <w:sz w:val="24"/>
          <w:szCs w:val="24"/>
          <w:highlight w:val="none"/>
          <w:lang w:eastAsia="zh-CN"/>
        </w:rPr>
        <w:t>资格审查资料</w:t>
      </w:r>
      <w:r>
        <w:rPr>
          <w:rFonts w:hint="eastAsia" w:ascii="宋体" w:hAnsi="宋体"/>
          <w:sz w:val="24"/>
          <w:szCs w:val="24"/>
          <w:highlight w:val="none"/>
          <w:lang w:val="en-US" w:eastAsia="zh-CN"/>
        </w:rPr>
        <w:t>及承诺函</w:t>
      </w:r>
      <w:r>
        <w:rPr>
          <w:rFonts w:hint="eastAsia" w:ascii="宋体" w:hAnsi="宋体"/>
          <w:sz w:val="24"/>
          <w:szCs w:val="24"/>
          <w:highlight w:val="none"/>
          <w:lang w:eastAsia="zh-CN"/>
        </w:rPr>
        <w:t>等部分</w:t>
      </w:r>
      <w:r>
        <w:rPr>
          <w:rFonts w:hint="eastAsia" w:asciiTheme="minorEastAsia" w:hAnsiTheme="minorEastAsia" w:eastAsiaTheme="minorEastAsia" w:cstheme="minorEastAsia"/>
          <w:sz w:val="24"/>
          <w:szCs w:val="24"/>
          <w:highlight w:val="none"/>
          <w:lang w:eastAsia="zh-CN"/>
        </w:rPr>
        <w:t>组成，具体要求见第六章投标文件格式。</w:t>
      </w:r>
    </w:p>
    <w:p w14:paraId="7DF15976">
      <w:pPr>
        <w:ind w:firstLine="0" w:firstLineChars="0"/>
        <w:outlineLvl w:val="1"/>
        <w:rPr>
          <w:rFonts w:hint="eastAsia" w:asciiTheme="minorEastAsia" w:hAnsiTheme="minorEastAsia" w:eastAsiaTheme="minorEastAsia" w:cstheme="minorEastAsia"/>
          <w:b/>
          <w:bCs/>
          <w:sz w:val="24"/>
          <w:szCs w:val="24"/>
          <w:highlight w:val="none"/>
          <w:lang w:eastAsia="zh-CN"/>
        </w:rPr>
      </w:pPr>
      <w:bookmarkStart w:id="55" w:name="bookmark75"/>
      <w:bookmarkEnd w:id="55"/>
      <w:bookmarkStart w:id="56" w:name="bookmark90"/>
      <w:bookmarkEnd w:id="56"/>
      <w:bookmarkStart w:id="57" w:name="_Toc26236"/>
      <w:bookmarkStart w:id="58" w:name="_Toc12744"/>
      <w:r>
        <w:rPr>
          <w:rFonts w:hint="eastAsia" w:asciiTheme="minorEastAsia" w:hAnsiTheme="minorEastAsia" w:eastAsiaTheme="minorEastAsia" w:cstheme="minorEastAsia"/>
          <w:b/>
          <w:bCs/>
          <w:sz w:val="24"/>
          <w:szCs w:val="24"/>
          <w:highlight w:val="none"/>
          <w:lang w:eastAsia="zh-CN"/>
        </w:rPr>
        <w:t>3.2投标文件的编制</w:t>
      </w:r>
      <w:bookmarkEnd w:id="57"/>
      <w:bookmarkEnd w:id="58"/>
    </w:p>
    <w:p w14:paraId="7FA36A1B">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3.2.1 投标文件应</w:t>
      </w:r>
      <w:r>
        <w:rPr>
          <w:rFonts w:hint="eastAsia" w:asciiTheme="minorEastAsia" w:hAnsiTheme="minorEastAsia" w:eastAsiaTheme="minorEastAsia" w:cstheme="minorEastAsia"/>
          <w:b w:val="0"/>
          <w:bCs w:val="0"/>
          <w:sz w:val="24"/>
          <w:szCs w:val="24"/>
          <w:highlight w:val="none"/>
          <w:lang w:eastAsia="zh-CN"/>
        </w:rPr>
        <w:t>按第六章</w:t>
      </w:r>
      <w:r>
        <w:rPr>
          <w:rFonts w:hint="eastAsia" w:asciiTheme="minorEastAsia" w:hAnsiTheme="minorEastAsia" w:eastAsiaTheme="minorEastAsia" w:cstheme="minorEastAsia"/>
          <w:b w:val="0"/>
          <w:bCs w:val="0"/>
          <w:sz w:val="24"/>
          <w:szCs w:val="24"/>
          <w:highlight w:val="none"/>
          <w:lang w:val="zh-CN" w:eastAsia="zh-CN"/>
        </w:rPr>
        <w:t>“投</w:t>
      </w:r>
      <w:r>
        <w:rPr>
          <w:rFonts w:hint="eastAsia" w:asciiTheme="minorEastAsia" w:hAnsiTheme="minorEastAsia" w:eastAsiaTheme="minorEastAsia" w:cstheme="minorEastAsia"/>
          <w:b w:val="0"/>
          <w:bCs w:val="0"/>
          <w:sz w:val="24"/>
          <w:szCs w:val="24"/>
          <w:highlight w:val="none"/>
          <w:lang w:eastAsia="zh-CN"/>
        </w:rPr>
        <w:t>标文件格式</w:t>
      </w:r>
      <w:r>
        <w:rPr>
          <w:rFonts w:hint="eastAsia" w:asciiTheme="minorEastAsia" w:hAnsiTheme="minorEastAsia" w:eastAsiaTheme="minorEastAsia" w:cstheme="minorEastAsia"/>
          <w:b w:val="0"/>
          <w:bCs w:val="0"/>
          <w:sz w:val="24"/>
          <w:szCs w:val="24"/>
          <w:highlight w:val="none"/>
          <w:lang w:val="zh-CN" w:eastAsia="zh-CN"/>
        </w:rPr>
        <w:t>”</w:t>
      </w:r>
      <w:r>
        <w:rPr>
          <w:rFonts w:hint="eastAsia" w:asciiTheme="minorEastAsia" w:hAnsiTheme="minorEastAsia" w:eastAsiaTheme="minorEastAsia" w:cstheme="minorEastAsia"/>
          <w:b w:val="0"/>
          <w:bCs w:val="0"/>
          <w:sz w:val="24"/>
          <w:szCs w:val="24"/>
          <w:highlight w:val="none"/>
          <w:lang w:eastAsia="zh-CN"/>
        </w:rPr>
        <w:t>和投标须知前附表第2部分投标人资格及其他要求、第4部分投标编制、装订要求</w:t>
      </w:r>
      <w:r>
        <w:rPr>
          <w:rFonts w:hint="eastAsia" w:asciiTheme="minorEastAsia" w:hAnsiTheme="minorEastAsia" w:eastAsiaTheme="minorEastAsia" w:cstheme="minorEastAsia"/>
          <w:sz w:val="24"/>
          <w:szCs w:val="24"/>
          <w:highlight w:val="none"/>
          <w:lang w:val="zh-CN" w:eastAsia="zh-CN"/>
        </w:rPr>
        <w:t>进行</w:t>
      </w:r>
      <w:r>
        <w:rPr>
          <w:rFonts w:hint="eastAsia" w:asciiTheme="minorEastAsia" w:hAnsiTheme="minorEastAsia" w:eastAsiaTheme="minorEastAsia" w:cstheme="minorEastAsia"/>
          <w:sz w:val="24"/>
          <w:szCs w:val="24"/>
          <w:highlight w:val="none"/>
          <w:lang w:eastAsia="zh-CN"/>
        </w:rPr>
        <w:t>编写，如有必要，可以增加附页，作为投标文件的组成部分。</w:t>
      </w:r>
    </w:p>
    <w:p w14:paraId="5BE7A61F">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3.2.2 投标文件应当对招标文件有关服务周期、投标有效期、建设内容、招标范围、关键技术指标与功能、</w:t>
      </w:r>
      <w:r>
        <w:rPr>
          <w:rFonts w:hint="eastAsia" w:asciiTheme="minorEastAsia" w:hAnsiTheme="minorEastAsia" w:eastAsiaTheme="minorEastAsia" w:cstheme="minorEastAsia"/>
          <w:sz w:val="24"/>
          <w:szCs w:val="24"/>
          <w:highlight w:val="none"/>
          <w:lang w:val="en-US" w:eastAsia="zh-CN"/>
        </w:rPr>
        <w:t>商务条款</w:t>
      </w:r>
      <w:r>
        <w:rPr>
          <w:rFonts w:hint="eastAsia" w:asciiTheme="minorEastAsia" w:hAnsiTheme="minorEastAsia" w:eastAsiaTheme="minorEastAsia" w:cstheme="minorEastAsia"/>
          <w:sz w:val="24"/>
          <w:szCs w:val="24"/>
          <w:highlight w:val="none"/>
          <w:lang w:eastAsia="zh-CN"/>
        </w:rPr>
        <w:t>等实质性内容作出响应。</w:t>
      </w:r>
    </w:p>
    <w:p w14:paraId="166D47C5">
      <w:pPr>
        <w:pStyle w:val="4"/>
        <w:numPr>
          <w:ilvl w:val="0"/>
          <w:numId w:val="0"/>
        </w:numPr>
        <w:outlineLvl w:val="0"/>
        <w:rPr>
          <w:rFonts w:hint="eastAsia" w:asciiTheme="minorEastAsia" w:hAnsiTheme="minorEastAsia" w:eastAsiaTheme="minorEastAsia" w:cstheme="minorEastAsia"/>
          <w:highlight w:val="none"/>
          <w:lang w:eastAsia="zh-CN"/>
        </w:rPr>
      </w:pPr>
      <w:bookmarkStart w:id="59" w:name="bookmark101"/>
      <w:bookmarkEnd w:id="59"/>
      <w:bookmarkStart w:id="60" w:name="bookmark102"/>
      <w:bookmarkEnd w:id="60"/>
      <w:bookmarkStart w:id="61" w:name="bookmark94"/>
      <w:bookmarkEnd w:id="61"/>
      <w:bookmarkStart w:id="62" w:name="_Toc9534"/>
      <w:bookmarkStart w:id="63" w:name="_Toc29552"/>
      <w:bookmarkStart w:id="64" w:name="_Toc4128"/>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lang w:eastAsia="zh-CN"/>
        </w:rPr>
        <w:t>评标</w:t>
      </w:r>
      <w:bookmarkEnd w:id="62"/>
      <w:bookmarkEnd w:id="63"/>
      <w:bookmarkEnd w:id="64"/>
    </w:p>
    <w:p w14:paraId="6F6D26A4">
      <w:pPr>
        <w:pStyle w:val="97"/>
        <w:ind w:firstLine="424" w:firstLineChars="177"/>
        <w:rPr>
          <w:rFonts w:hint="eastAsia" w:asciiTheme="minorEastAsia" w:hAnsiTheme="minorEastAsia" w:eastAsiaTheme="minorEastAsia" w:cstheme="minorEastAsia"/>
          <w:sz w:val="24"/>
          <w:szCs w:val="24"/>
          <w:highlight w:val="none"/>
          <w:lang w:eastAsia="zh-CN"/>
        </w:rPr>
      </w:pPr>
      <w:bookmarkStart w:id="65" w:name="bookmark103"/>
      <w:bookmarkEnd w:id="65"/>
      <w:r>
        <w:rPr>
          <w:rFonts w:hint="eastAsia" w:asciiTheme="minorEastAsia" w:hAnsiTheme="minorEastAsia" w:eastAsiaTheme="minorEastAsia" w:cstheme="minorEastAsia"/>
          <w:sz w:val="24"/>
          <w:szCs w:val="24"/>
          <w:highlight w:val="none"/>
          <w:lang w:eastAsia="zh-CN"/>
        </w:rPr>
        <w:t>评标委员会按照</w:t>
      </w:r>
      <w:r>
        <w:rPr>
          <w:rFonts w:hint="eastAsia" w:asciiTheme="minorEastAsia" w:hAnsiTheme="minorEastAsia" w:eastAsiaTheme="minorEastAsia" w:cstheme="minorEastAsia"/>
          <w:b w:val="0"/>
          <w:bCs w:val="0"/>
          <w:sz w:val="24"/>
          <w:szCs w:val="24"/>
          <w:highlight w:val="none"/>
          <w:lang w:val="en-US" w:eastAsia="zh-CN"/>
        </w:rPr>
        <w:t>第二章</w:t>
      </w:r>
      <w:r>
        <w:rPr>
          <w:rFonts w:hint="eastAsia" w:asciiTheme="minorEastAsia" w:hAnsiTheme="minorEastAsia" w:eastAsiaTheme="minorEastAsia" w:cstheme="minorEastAsia"/>
          <w:b w:val="0"/>
          <w:bCs w:val="0"/>
          <w:sz w:val="24"/>
          <w:szCs w:val="24"/>
          <w:highlight w:val="none"/>
          <w:lang w:eastAsia="zh-CN"/>
        </w:rPr>
        <w:t>投标</w:t>
      </w:r>
      <w:r>
        <w:rPr>
          <w:rFonts w:hint="eastAsia" w:asciiTheme="minorEastAsia" w:hAnsiTheme="minorEastAsia" w:eastAsiaTheme="minorEastAsia" w:cstheme="minorEastAsia"/>
          <w:b w:val="0"/>
          <w:bCs w:val="0"/>
          <w:sz w:val="24"/>
          <w:szCs w:val="24"/>
          <w:highlight w:val="none"/>
          <w:lang w:val="en-US" w:eastAsia="zh-CN"/>
        </w:rPr>
        <w:t>人</w:t>
      </w:r>
      <w:r>
        <w:rPr>
          <w:rFonts w:hint="eastAsia" w:asciiTheme="minorEastAsia" w:hAnsiTheme="minorEastAsia" w:eastAsiaTheme="minorEastAsia" w:cstheme="minorEastAsia"/>
          <w:b w:val="0"/>
          <w:bCs w:val="0"/>
          <w:sz w:val="24"/>
          <w:szCs w:val="24"/>
          <w:highlight w:val="none"/>
          <w:lang w:eastAsia="zh-CN"/>
        </w:rPr>
        <w:t>须知前附表的</w:t>
      </w:r>
      <w:r>
        <w:rPr>
          <w:rFonts w:hint="eastAsia" w:asciiTheme="minorEastAsia" w:hAnsiTheme="minorEastAsia" w:eastAsiaTheme="minorEastAsia" w:cstheme="minorEastAsia"/>
          <w:b w:val="0"/>
          <w:bCs w:val="0"/>
          <w:sz w:val="24"/>
          <w:szCs w:val="24"/>
          <w:highlight w:val="none"/>
          <w:lang w:val="en-US" w:eastAsia="zh-CN"/>
        </w:rPr>
        <w:t>5.1-5.16</w:t>
      </w:r>
      <w:r>
        <w:rPr>
          <w:rFonts w:hint="eastAsia" w:asciiTheme="minorEastAsia" w:hAnsiTheme="minorEastAsia" w:eastAsiaTheme="minorEastAsia" w:cstheme="minorEastAsia"/>
          <w:b w:val="0"/>
          <w:bCs w:val="0"/>
          <w:sz w:val="24"/>
          <w:szCs w:val="24"/>
          <w:highlight w:val="none"/>
          <w:lang w:eastAsia="zh-CN"/>
        </w:rPr>
        <w:t>投标文件递交与开标和第四章</w:t>
      </w:r>
      <w:r>
        <w:rPr>
          <w:rFonts w:hint="eastAsia" w:asciiTheme="minorEastAsia" w:hAnsiTheme="minorEastAsia" w:eastAsiaTheme="minorEastAsia" w:cstheme="minorEastAsia"/>
          <w:b w:val="0"/>
          <w:bCs w:val="0"/>
          <w:sz w:val="24"/>
          <w:szCs w:val="24"/>
          <w:highlight w:val="none"/>
          <w:lang w:val="zh-CN" w:eastAsia="zh-CN" w:bidi="zh-CN"/>
        </w:rPr>
        <w:t>“评标</w:t>
      </w:r>
      <w:r>
        <w:rPr>
          <w:rFonts w:hint="eastAsia" w:asciiTheme="minorEastAsia" w:hAnsiTheme="minorEastAsia" w:eastAsiaTheme="minorEastAsia" w:cstheme="minorEastAsia"/>
          <w:b w:val="0"/>
          <w:bCs w:val="0"/>
          <w:sz w:val="24"/>
          <w:szCs w:val="24"/>
          <w:highlight w:val="none"/>
          <w:lang w:eastAsia="zh-CN"/>
        </w:rPr>
        <w:t>办法”规定的</w:t>
      </w:r>
      <w:r>
        <w:rPr>
          <w:rFonts w:hint="eastAsia" w:asciiTheme="minorEastAsia" w:hAnsiTheme="minorEastAsia" w:eastAsiaTheme="minorEastAsia" w:cstheme="minorEastAsia"/>
          <w:b w:val="0"/>
          <w:bCs w:val="0"/>
          <w:sz w:val="24"/>
          <w:szCs w:val="24"/>
          <w:highlight w:val="none"/>
          <w:lang w:val="en-US" w:eastAsia="zh-CN"/>
        </w:rPr>
        <w:t>评标</w:t>
      </w:r>
      <w:r>
        <w:rPr>
          <w:rFonts w:hint="eastAsia" w:asciiTheme="minorEastAsia" w:hAnsiTheme="minorEastAsia" w:eastAsiaTheme="minorEastAsia" w:cstheme="minorEastAsia"/>
          <w:b w:val="0"/>
          <w:bCs w:val="0"/>
          <w:sz w:val="24"/>
          <w:szCs w:val="24"/>
          <w:highlight w:val="none"/>
          <w:lang w:eastAsia="zh-CN"/>
        </w:rPr>
        <w:t>方法、评审</w:t>
      </w:r>
      <w:r>
        <w:rPr>
          <w:rFonts w:hint="eastAsia" w:asciiTheme="minorEastAsia" w:hAnsiTheme="minorEastAsia" w:eastAsiaTheme="minorEastAsia" w:cstheme="minorEastAsia"/>
          <w:b w:val="0"/>
          <w:bCs w:val="0"/>
          <w:sz w:val="24"/>
          <w:szCs w:val="24"/>
          <w:highlight w:val="none"/>
          <w:lang w:val="en-US" w:eastAsia="zh-CN"/>
        </w:rPr>
        <w:t>标准</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评标</w:t>
      </w:r>
      <w:r>
        <w:rPr>
          <w:rFonts w:hint="eastAsia" w:asciiTheme="minorEastAsia" w:hAnsiTheme="minorEastAsia" w:eastAsiaTheme="minorEastAsia" w:cstheme="minorEastAsia"/>
          <w:b w:val="0"/>
          <w:bCs w:val="0"/>
          <w:sz w:val="24"/>
          <w:szCs w:val="24"/>
          <w:highlight w:val="none"/>
          <w:lang w:eastAsia="zh-CN"/>
        </w:rPr>
        <w:t>程序对投标文</w:t>
      </w:r>
      <w:r>
        <w:rPr>
          <w:rFonts w:hint="eastAsia" w:asciiTheme="minorEastAsia" w:hAnsiTheme="minorEastAsia" w:eastAsiaTheme="minorEastAsia" w:cstheme="minorEastAsia"/>
          <w:sz w:val="24"/>
          <w:szCs w:val="24"/>
          <w:highlight w:val="none"/>
          <w:lang w:eastAsia="zh-CN"/>
        </w:rPr>
        <w:t>件进行评审。</w:t>
      </w:r>
    </w:p>
    <w:p w14:paraId="35F52C2A">
      <w:pPr>
        <w:pStyle w:val="4"/>
        <w:numPr>
          <w:ilvl w:val="0"/>
          <w:numId w:val="0"/>
        </w:numPr>
        <w:ind w:left="-142" w:firstLine="151" w:firstLineChars="47"/>
        <w:outlineLvl w:val="0"/>
        <w:rPr>
          <w:rFonts w:hint="eastAsia" w:asciiTheme="minorEastAsia" w:hAnsiTheme="minorEastAsia" w:eastAsiaTheme="minorEastAsia" w:cstheme="minorEastAsia"/>
          <w:highlight w:val="none"/>
          <w:lang w:eastAsia="zh-CN"/>
        </w:rPr>
      </w:pPr>
      <w:bookmarkStart w:id="66" w:name="bookmark104"/>
      <w:bookmarkEnd w:id="66"/>
      <w:bookmarkStart w:id="67" w:name="_Toc11517"/>
      <w:bookmarkStart w:id="68" w:name="_Toc22259"/>
      <w:bookmarkStart w:id="69" w:name="_Toc1156"/>
      <w:r>
        <w:rPr>
          <w:rFonts w:hint="eastAsia" w:asciiTheme="minorEastAsia" w:hAnsiTheme="minorEastAsia" w:eastAsiaTheme="minorEastAsia" w:cstheme="minorEastAsia"/>
          <w:highlight w:val="none"/>
          <w:lang w:val="en-US" w:eastAsia="zh-CN"/>
        </w:rPr>
        <w:t>五、</w:t>
      </w:r>
      <w:r>
        <w:rPr>
          <w:rFonts w:hint="eastAsia" w:asciiTheme="minorEastAsia" w:hAnsiTheme="minorEastAsia" w:eastAsiaTheme="minorEastAsia" w:cstheme="minorEastAsia"/>
          <w:highlight w:val="none"/>
          <w:lang w:eastAsia="zh-CN"/>
        </w:rPr>
        <w:t>合同授予</w:t>
      </w:r>
      <w:bookmarkEnd w:id="67"/>
      <w:bookmarkEnd w:id="68"/>
      <w:bookmarkEnd w:id="69"/>
    </w:p>
    <w:p w14:paraId="423FF07F">
      <w:pPr>
        <w:ind w:firstLine="0" w:firstLineChars="0"/>
        <w:outlineLvl w:val="1"/>
        <w:rPr>
          <w:rFonts w:hint="eastAsia" w:asciiTheme="minorEastAsia" w:hAnsiTheme="minorEastAsia" w:eastAsiaTheme="minorEastAsia" w:cstheme="minorEastAsia"/>
          <w:b/>
          <w:bCs/>
          <w:sz w:val="24"/>
          <w:szCs w:val="24"/>
          <w:highlight w:val="none"/>
          <w:lang w:eastAsia="zh-CN"/>
        </w:rPr>
      </w:pPr>
      <w:bookmarkStart w:id="70" w:name="_Toc3836"/>
      <w:bookmarkStart w:id="71" w:name="_Toc28857"/>
      <w:r>
        <w:rPr>
          <w:rFonts w:hint="eastAsia" w:asciiTheme="minorEastAsia" w:hAnsiTheme="minorEastAsia" w:eastAsiaTheme="minorEastAsia" w:cstheme="minorEastAsia"/>
          <w:b/>
          <w:bCs/>
          <w:sz w:val="24"/>
          <w:szCs w:val="24"/>
          <w:highlight w:val="none"/>
          <w:lang w:eastAsia="zh-CN"/>
        </w:rPr>
        <w:t>5.1定标方式</w:t>
      </w:r>
      <w:bookmarkEnd w:id="70"/>
      <w:bookmarkEnd w:id="71"/>
    </w:p>
    <w:p w14:paraId="3C0EF27B">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5.1.1评标委员会对本次投标人的评标结果进行排序，招标领导小组根据评标结果选择一个或多个投标人中标，中标候选人将在招标文件要求发布的网站进行公示。</w:t>
      </w:r>
    </w:p>
    <w:p w14:paraId="7FF05383">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5.1.2中标候选人放弃中标、因不可抗力提出不能履行合同，不按照招标文件规定要求提交履约保证金的，或者在招标文件规定时间内中标候选人不与采购人签订合同的，或者被查实存在影响中标结果的违法行为等情形，不符合中标条件的，采购人可以按照评标委员会提出的中标候选人名单排序依次确定其他中标候选人为中标人，也可以重新招标。</w:t>
      </w:r>
    </w:p>
    <w:p w14:paraId="4E58B9E7">
      <w:pPr>
        <w:ind w:firstLine="0" w:firstLineChars="0"/>
        <w:outlineLvl w:val="1"/>
        <w:rPr>
          <w:rFonts w:hint="eastAsia" w:asciiTheme="minorEastAsia" w:hAnsiTheme="minorEastAsia" w:eastAsiaTheme="minorEastAsia" w:cstheme="minorEastAsia"/>
          <w:b/>
          <w:bCs/>
          <w:sz w:val="24"/>
          <w:szCs w:val="24"/>
          <w:highlight w:val="none"/>
          <w:lang w:eastAsia="zh-CN"/>
        </w:rPr>
      </w:pPr>
      <w:bookmarkStart w:id="72" w:name="_Toc28012"/>
      <w:bookmarkStart w:id="73" w:name="_Toc14584"/>
      <w:r>
        <w:rPr>
          <w:rFonts w:hint="eastAsia" w:asciiTheme="minorEastAsia" w:hAnsiTheme="minorEastAsia" w:eastAsiaTheme="minorEastAsia" w:cstheme="minorEastAsia"/>
          <w:b/>
          <w:bCs/>
          <w:sz w:val="24"/>
          <w:szCs w:val="24"/>
          <w:highlight w:val="none"/>
          <w:lang w:eastAsia="zh-CN"/>
        </w:rPr>
        <w:t>5.2中标通知</w:t>
      </w:r>
      <w:bookmarkEnd w:id="72"/>
      <w:bookmarkEnd w:id="73"/>
    </w:p>
    <w:p w14:paraId="14123F4D">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在</w:t>
      </w:r>
      <w:r>
        <w:rPr>
          <w:rFonts w:hint="eastAsia" w:asciiTheme="minorEastAsia" w:hAnsiTheme="minorEastAsia" w:eastAsiaTheme="minorEastAsia" w:cstheme="minorEastAsia"/>
          <w:b w:val="0"/>
          <w:bCs w:val="0"/>
          <w:sz w:val="24"/>
          <w:szCs w:val="24"/>
          <w:highlight w:val="none"/>
          <w:lang w:val="en-US" w:eastAsia="zh-CN"/>
        </w:rPr>
        <w:t>第二章</w:t>
      </w:r>
      <w:r>
        <w:rPr>
          <w:rFonts w:hint="eastAsia" w:asciiTheme="minorEastAsia" w:hAnsiTheme="minorEastAsia" w:eastAsiaTheme="minorEastAsia" w:cstheme="minorEastAsia"/>
          <w:b w:val="0"/>
          <w:bCs w:val="0"/>
          <w:sz w:val="24"/>
          <w:szCs w:val="24"/>
          <w:highlight w:val="none"/>
          <w:lang w:eastAsia="zh-CN"/>
        </w:rPr>
        <w:t>投标</w:t>
      </w:r>
      <w:r>
        <w:rPr>
          <w:rFonts w:hint="eastAsia" w:asciiTheme="minorEastAsia" w:hAnsiTheme="minorEastAsia" w:eastAsiaTheme="minorEastAsia" w:cstheme="minorEastAsia"/>
          <w:b w:val="0"/>
          <w:bCs w:val="0"/>
          <w:sz w:val="24"/>
          <w:szCs w:val="24"/>
          <w:highlight w:val="none"/>
          <w:lang w:val="en-US" w:eastAsia="zh-CN"/>
        </w:rPr>
        <w:t>人</w:t>
      </w:r>
      <w:r>
        <w:rPr>
          <w:rFonts w:hint="eastAsia" w:asciiTheme="minorEastAsia" w:hAnsiTheme="minorEastAsia" w:eastAsiaTheme="minorEastAsia" w:cstheme="minorEastAsia"/>
          <w:b w:val="0"/>
          <w:bCs w:val="0"/>
          <w:sz w:val="24"/>
          <w:szCs w:val="24"/>
          <w:highlight w:val="none"/>
          <w:lang w:eastAsia="zh-CN"/>
        </w:rPr>
        <w:t>须知前附表</w:t>
      </w:r>
      <w:r>
        <w:rPr>
          <w:rFonts w:hint="eastAsia" w:asciiTheme="minorEastAsia" w:hAnsiTheme="minorEastAsia" w:eastAsiaTheme="minorEastAsia" w:cstheme="minorEastAsia"/>
          <w:b w:val="0"/>
          <w:bCs w:val="0"/>
          <w:sz w:val="24"/>
          <w:szCs w:val="24"/>
          <w:highlight w:val="none"/>
          <w:lang w:val="en-US" w:eastAsia="zh-CN"/>
        </w:rPr>
        <w:t>6.4</w:t>
      </w:r>
      <w:r>
        <w:rPr>
          <w:rFonts w:hint="eastAsia" w:asciiTheme="minorEastAsia" w:hAnsiTheme="minorEastAsia" w:eastAsiaTheme="minorEastAsia" w:cstheme="minorEastAsia"/>
          <w:b w:val="0"/>
          <w:bCs w:val="0"/>
          <w:sz w:val="24"/>
          <w:szCs w:val="24"/>
          <w:highlight w:val="none"/>
          <w:lang w:eastAsia="zh-CN"/>
        </w:rPr>
        <w:t>合同或</w:t>
      </w:r>
      <w:r>
        <w:rPr>
          <w:rFonts w:hint="eastAsia" w:asciiTheme="minorEastAsia" w:hAnsiTheme="minorEastAsia" w:eastAsiaTheme="minorEastAsia" w:cstheme="minorEastAsia"/>
          <w:b w:val="0"/>
          <w:bCs w:val="0"/>
          <w:sz w:val="24"/>
          <w:szCs w:val="24"/>
          <w:highlight w:val="none"/>
          <w:lang w:val="en-US" w:eastAsia="zh-CN"/>
        </w:rPr>
        <w:t>技术</w:t>
      </w:r>
      <w:r>
        <w:rPr>
          <w:rFonts w:hint="eastAsia" w:asciiTheme="minorEastAsia" w:hAnsiTheme="minorEastAsia" w:eastAsiaTheme="minorEastAsia" w:cstheme="minorEastAsia"/>
          <w:b w:val="0"/>
          <w:bCs w:val="0"/>
          <w:sz w:val="24"/>
          <w:szCs w:val="24"/>
          <w:highlight w:val="none"/>
          <w:lang w:eastAsia="zh-CN"/>
        </w:rPr>
        <w:t>协议签订</w:t>
      </w:r>
      <w:r>
        <w:rPr>
          <w:rFonts w:hint="eastAsia" w:asciiTheme="minorEastAsia" w:hAnsiTheme="minorEastAsia" w:eastAsiaTheme="minorEastAsia" w:cstheme="minorEastAsia"/>
          <w:sz w:val="24"/>
          <w:szCs w:val="24"/>
          <w:highlight w:val="none"/>
          <w:lang w:eastAsia="zh-CN"/>
        </w:rPr>
        <w:t>规定投标有效期内，采购人以书面形式向中标候选人发出中标通知书，同时将中标结果通知未中标的投标人。</w:t>
      </w:r>
    </w:p>
    <w:p w14:paraId="3F2A428A">
      <w:pPr>
        <w:ind w:firstLine="0" w:firstLineChars="0"/>
        <w:outlineLvl w:val="1"/>
        <w:rPr>
          <w:rFonts w:hint="eastAsia" w:asciiTheme="minorEastAsia" w:hAnsiTheme="minorEastAsia" w:eastAsiaTheme="minorEastAsia" w:cstheme="minorEastAsia"/>
          <w:b/>
          <w:bCs/>
          <w:sz w:val="24"/>
          <w:szCs w:val="24"/>
          <w:highlight w:val="none"/>
          <w:lang w:eastAsia="zh-CN"/>
        </w:rPr>
      </w:pPr>
      <w:bookmarkStart w:id="74" w:name="_Toc5751"/>
      <w:bookmarkStart w:id="75" w:name="_Toc31297"/>
      <w:r>
        <w:rPr>
          <w:rFonts w:hint="eastAsia" w:asciiTheme="minorEastAsia" w:hAnsiTheme="minorEastAsia" w:eastAsiaTheme="minorEastAsia" w:cstheme="minorEastAsia"/>
          <w:b/>
          <w:bCs/>
          <w:sz w:val="24"/>
          <w:szCs w:val="24"/>
          <w:highlight w:val="none"/>
          <w:lang w:eastAsia="zh-CN"/>
        </w:rPr>
        <w:t>5.3签订合同</w:t>
      </w:r>
      <w:bookmarkEnd w:id="74"/>
      <w:bookmarkEnd w:id="75"/>
    </w:p>
    <w:p w14:paraId="2F824063">
      <w:pPr>
        <w:pStyle w:val="97"/>
        <w:ind w:right="-130" w:rightChars="-6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5.3.1中标人</w:t>
      </w:r>
      <w:r>
        <w:rPr>
          <w:rFonts w:hint="eastAsia" w:asciiTheme="minorEastAsia" w:hAnsiTheme="minorEastAsia" w:eastAsiaTheme="minorEastAsia" w:cstheme="minorEastAsia"/>
          <w:b w:val="0"/>
          <w:bCs w:val="0"/>
          <w:sz w:val="24"/>
          <w:szCs w:val="24"/>
          <w:highlight w:val="none"/>
          <w:lang w:val="en-US" w:eastAsia="zh-CN"/>
        </w:rPr>
        <w:t>第二章</w:t>
      </w:r>
      <w:r>
        <w:rPr>
          <w:rFonts w:hint="eastAsia" w:asciiTheme="minorEastAsia" w:hAnsiTheme="minorEastAsia" w:eastAsiaTheme="minorEastAsia" w:cstheme="minorEastAsia"/>
          <w:b w:val="0"/>
          <w:bCs w:val="0"/>
          <w:sz w:val="24"/>
          <w:szCs w:val="24"/>
          <w:highlight w:val="none"/>
          <w:lang w:eastAsia="zh-CN"/>
        </w:rPr>
        <w:t>投标</w:t>
      </w:r>
      <w:r>
        <w:rPr>
          <w:rFonts w:hint="eastAsia" w:asciiTheme="minorEastAsia" w:hAnsiTheme="minorEastAsia" w:eastAsiaTheme="minorEastAsia" w:cstheme="minorEastAsia"/>
          <w:b w:val="0"/>
          <w:bCs w:val="0"/>
          <w:sz w:val="24"/>
          <w:szCs w:val="24"/>
          <w:highlight w:val="none"/>
          <w:lang w:val="en-US" w:eastAsia="zh-CN"/>
        </w:rPr>
        <w:t>人</w:t>
      </w:r>
      <w:r>
        <w:rPr>
          <w:rFonts w:hint="eastAsia" w:asciiTheme="minorEastAsia" w:hAnsiTheme="minorEastAsia" w:eastAsiaTheme="minorEastAsia" w:cstheme="minorEastAsia"/>
          <w:b w:val="0"/>
          <w:bCs w:val="0"/>
          <w:sz w:val="24"/>
          <w:szCs w:val="24"/>
          <w:highlight w:val="none"/>
          <w:lang w:eastAsia="zh-CN"/>
        </w:rPr>
        <w:t>须知前附表</w:t>
      </w:r>
      <w:r>
        <w:rPr>
          <w:rFonts w:hint="eastAsia" w:asciiTheme="minorEastAsia" w:hAnsiTheme="minorEastAsia" w:eastAsiaTheme="minorEastAsia" w:cstheme="minorEastAsia"/>
          <w:b w:val="0"/>
          <w:bCs w:val="0"/>
          <w:sz w:val="24"/>
          <w:szCs w:val="24"/>
          <w:highlight w:val="none"/>
          <w:lang w:val="en-US" w:eastAsia="zh-CN"/>
        </w:rPr>
        <w:t>6.4</w:t>
      </w:r>
      <w:r>
        <w:rPr>
          <w:rFonts w:hint="eastAsia" w:asciiTheme="minorEastAsia" w:hAnsiTheme="minorEastAsia" w:eastAsiaTheme="minorEastAsia" w:cstheme="minorEastAsia"/>
          <w:b w:val="0"/>
          <w:bCs w:val="0"/>
          <w:sz w:val="24"/>
          <w:szCs w:val="24"/>
          <w:highlight w:val="none"/>
          <w:lang w:eastAsia="zh-CN"/>
        </w:rPr>
        <w:t>合同或</w:t>
      </w:r>
      <w:r>
        <w:rPr>
          <w:rFonts w:hint="eastAsia" w:asciiTheme="minorEastAsia" w:hAnsiTheme="minorEastAsia" w:eastAsiaTheme="minorEastAsia" w:cstheme="minorEastAsia"/>
          <w:b w:val="0"/>
          <w:bCs w:val="0"/>
          <w:sz w:val="24"/>
          <w:szCs w:val="24"/>
          <w:highlight w:val="none"/>
          <w:lang w:val="en-US" w:eastAsia="zh-CN"/>
        </w:rPr>
        <w:t>技术</w:t>
      </w:r>
      <w:r>
        <w:rPr>
          <w:rFonts w:hint="eastAsia" w:asciiTheme="minorEastAsia" w:hAnsiTheme="minorEastAsia" w:eastAsiaTheme="minorEastAsia" w:cstheme="minorEastAsia"/>
          <w:b w:val="0"/>
          <w:bCs w:val="0"/>
          <w:sz w:val="24"/>
          <w:szCs w:val="24"/>
          <w:highlight w:val="none"/>
          <w:lang w:eastAsia="zh-CN"/>
        </w:rPr>
        <w:t>协议签订</w:t>
      </w:r>
      <w:r>
        <w:rPr>
          <w:rFonts w:hint="eastAsia" w:asciiTheme="minorEastAsia" w:hAnsiTheme="minorEastAsia" w:eastAsiaTheme="minorEastAsia" w:cstheme="minorEastAsia"/>
          <w:sz w:val="24"/>
          <w:szCs w:val="24"/>
          <w:highlight w:val="none"/>
          <w:lang w:eastAsia="zh-CN"/>
        </w:rPr>
        <w:t>所规定的期限和流程派授权委托人前往重庆市科城路6号1001室签订相关协议或合同，过期不签视为自动放弃中标。</w:t>
      </w:r>
    </w:p>
    <w:p w14:paraId="139961A4">
      <w:pPr>
        <w:pStyle w:val="97"/>
        <w:ind w:right="-130" w:rightChars="-6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5.3.2中标人在签订合同或协议时不得向采购人提出附加条件，或者不按照招标文件要求提交履约保证金的（若有），采购人有权取消其中标资格，其投标保证金不予退还；给采购人造成的损失超过投标保证金数额的，中标人还应当对超过部分予以赔偿。</w:t>
      </w:r>
    </w:p>
    <w:p w14:paraId="0D00FC99">
      <w:pPr>
        <w:pStyle w:val="97"/>
        <w:rPr>
          <w:rFonts w:hint="eastAsia" w:asciiTheme="minorEastAsia" w:hAnsiTheme="minorEastAsia" w:eastAsiaTheme="minorEastAsia" w:cstheme="minorEastAsia"/>
          <w:sz w:val="24"/>
          <w:szCs w:val="24"/>
          <w:highlight w:val="none"/>
          <w:lang w:eastAsia="zh-CN"/>
        </w:rPr>
      </w:pPr>
      <w:bookmarkStart w:id="76" w:name="bookmark105"/>
      <w:bookmarkEnd w:id="76"/>
      <w:r>
        <w:rPr>
          <w:rFonts w:hint="eastAsia" w:asciiTheme="minorEastAsia" w:hAnsiTheme="minorEastAsia" w:eastAsiaTheme="minorEastAsia" w:cstheme="minorEastAsia"/>
          <w:sz w:val="24"/>
          <w:szCs w:val="24"/>
          <w:highlight w:val="none"/>
          <w:lang w:eastAsia="zh-CN"/>
        </w:rPr>
        <w:t>5.3.3发出中标通知书后，采购人无正当理由拒签合同的，采购人向中标候选人退还投标保证金；给中标候选人造成损失的，还应当赔偿损失。</w:t>
      </w:r>
    </w:p>
    <w:p w14:paraId="1A72CE88">
      <w:pPr>
        <w:pStyle w:val="4"/>
        <w:numPr>
          <w:ilvl w:val="0"/>
          <w:numId w:val="0"/>
        </w:numPr>
        <w:outlineLvl w:val="0"/>
        <w:rPr>
          <w:rFonts w:hint="eastAsia" w:asciiTheme="minorEastAsia" w:hAnsiTheme="minorEastAsia" w:eastAsiaTheme="minorEastAsia" w:cstheme="minorEastAsia"/>
          <w:highlight w:val="none"/>
          <w:lang w:eastAsia="zh-CN"/>
        </w:rPr>
      </w:pPr>
      <w:bookmarkStart w:id="77" w:name="bookmark106"/>
      <w:bookmarkEnd w:id="77"/>
      <w:bookmarkStart w:id="78" w:name="_Toc8110"/>
      <w:bookmarkStart w:id="79" w:name="_Toc31492"/>
      <w:bookmarkStart w:id="80" w:name="_Toc5318"/>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lang w:eastAsia="zh-CN"/>
        </w:rPr>
        <w:t>纪律和监督</w:t>
      </w:r>
      <w:bookmarkEnd w:id="78"/>
      <w:bookmarkEnd w:id="79"/>
      <w:bookmarkEnd w:id="80"/>
    </w:p>
    <w:p w14:paraId="2926336E">
      <w:pPr>
        <w:ind w:firstLine="0" w:firstLineChars="0"/>
        <w:outlineLvl w:val="1"/>
        <w:rPr>
          <w:rFonts w:hint="eastAsia" w:asciiTheme="minorEastAsia" w:hAnsiTheme="minorEastAsia" w:eastAsiaTheme="minorEastAsia" w:cstheme="minorEastAsia"/>
          <w:b/>
          <w:bCs/>
          <w:sz w:val="24"/>
          <w:szCs w:val="24"/>
          <w:highlight w:val="none"/>
          <w:lang w:eastAsia="zh-CN"/>
        </w:rPr>
      </w:pPr>
      <w:bookmarkStart w:id="81" w:name="_Toc25570"/>
      <w:bookmarkStart w:id="82" w:name="_Toc15745"/>
      <w:r>
        <w:rPr>
          <w:rFonts w:hint="eastAsia" w:asciiTheme="minorEastAsia" w:hAnsiTheme="minorEastAsia" w:eastAsiaTheme="minorEastAsia" w:cstheme="minorEastAsia"/>
          <w:b/>
          <w:bCs/>
          <w:sz w:val="24"/>
          <w:szCs w:val="24"/>
          <w:highlight w:val="none"/>
          <w:lang w:eastAsia="zh-CN"/>
        </w:rPr>
        <w:t>6.1对采购人的纪律要求</w:t>
      </w:r>
      <w:bookmarkEnd w:id="81"/>
      <w:bookmarkEnd w:id="82"/>
    </w:p>
    <w:p w14:paraId="3C5D5444">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6.1.1 采购人不得泄露招标投标活动中应当保密的情况和资料，不得与投标人串通损害国家利益、社会公共利益或者他人合法权益，禁止采购人与投标人串通投标。</w:t>
      </w:r>
    </w:p>
    <w:p w14:paraId="10146E7A">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6.1.2有下列情形之一的，属于采购人与投标人串通投标：</w:t>
      </w:r>
    </w:p>
    <w:p w14:paraId="435E0A64">
      <w:pPr>
        <w:pStyle w:val="97"/>
        <w:numPr>
          <w:ilvl w:val="0"/>
          <w:numId w:val="24"/>
        </w:numPr>
        <w:ind w:firstLine="295"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采购人在开标前开启投标文件并将有关信息泄露给其他投标人；</w:t>
      </w:r>
    </w:p>
    <w:p w14:paraId="1A161538">
      <w:pPr>
        <w:pStyle w:val="97"/>
        <w:numPr>
          <w:ilvl w:val="0"/>
          <w:numId w:val="24"/>
        </w:numPr>
        <w:ind w:firstLine="295"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采购人直接或者间接向投标人泄露标底、评标委员会成员等信息；</w:t>
      </w:r>
    </w:p>
    <w:p w14:paraId="0755D959">
      <w:pPr>
        <w:pStyle w:val="97"/>
        <w:numPr>
          <w:ilvl w:val="0"/>
          <w:numId w:val="24"/>
        </w:numPr>
        <w:ind w:firstLine="295"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采购人明示或者暗示投标人压低或者抬高投标报价；</w:t>
      </w:r>
    </w:p>
    <w:p w14:paraId="2C5A00BD">
      <w:pPr>
        <w:pStyle w:val="97"/>
        <w:numPr>
          <w:ilvl w:val="0"/>
          <w:numId w:val="24"/>
        </w:numPr>
        <w:ind w:firstLine="295"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采购人授意投标人撤换、修改投标文件；</w:t>
      </w:r>
    </w:p>
    <w:p w14:paraId="3C70E187">
      <w:pPr>
        <w:pStyle w:val="97"/>
        <w:numPr>
          <w:ilvl w:val="0"/>
          <w:numId w:val="24"/>
        </w:numPr>
        <w:ind w:firstLine="295"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采购人明示或者暗示投标人为特定投标人中标提供方便；</w:t>
      </w:r>
    </w:p>
    <w:p w14:paraId="5603284F">
      <w:pPr>
        <w:pStyle w:val="97"/>
        <w:numPr>
          <w:ilvl w:val="0"/>
          <w:numId w:val="24"/>
        </w:numPr>
        <w:ind w:firstLine="295"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采购人与投标人为谋求特定投标人中标而采取的其他串通行为。</w:t>
      </w:r>
    </w:p>
    <w:p w14:paraId="4ACC0C47">
      <w:pPr>
        <w:ind w:firstLine="0" w:firstLineChars="0"/>
        <w:outlineLvl w:val="1"/>
        <w:rPr>
          <w:rFonts w:hint="eastAsia" w:asciiTheme="minorEastAsia" w:hAnsiTheme="minorEastAsia" w:eastAsiaTheme="minorEastAsia" w:cstheme="minorEastAsia"/>
          <w:b/>
          <w:bCs/>
          <w:sz w:val="24"/>
          <w:szCs w:val="24"/>
          <w:highlight w:val="none"/>
          <w:lang w:eastAsia="zh-CN"/>
        </w:rPr>
      </w:pPr>
      <w:bookmarkStart w:id="83" w:name="_Toc16513"/>
      <w:bookmarkStart w:id="84" w:name="_Toc1288"/>
      <w:r>
        <w:rPr>
          <w:rFonts w:hint="eastAsia" w:asciiTheme="minorEastAsia" w:hAnsiTheme="minorEastAsia" w:eastAsiaTheme="minorEastAsia" w:cstheme="minorEastAsia"/>
          <w:b/>
          <w:bCs/>
          <w:sz w:val="24"/>
          <w:szCs w:val="24"/>
          <w:highlight w:val="none"/>
          <w:lang w:eastAsia="zh-CN"/>
        </w:rPr>
        <w:t>6.2对投标人的纪律要求</w:t>
      </w:r>
      <w:bookmarkEnd w:id="83"/>
      <w:bookmarkEnd w:id="84"/>
    </w:p>
    <w:p w14:paraId="75E302FE">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6.2.1投标人不得相互串通投标或者与采购人串通投标，不得向采购人或者评标委员会成员行贿谋取中标，不得以他人名义投标或者以其他方式弄虚作假骗取中标；投标人不得以任何方式干扰、影响评标工作。</w:t>
      </w:r>
    </w:p>
    <w:p w14:paraId="0601509E">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6.2.2有下列情形之一的，属于投标人相互串通投标：</w:t>
      </w:r>
    </w:p>
    <w:p w14:paraId="2EFEF4D5">
      <w:pPr>
        <w:pStyle w:val="97"/>
        <w:numPr>
          <w:ilvl w:val="0"/>
          <w:numId w:val="25"/>
        </w:numPr>
        <w:ind w:firstLine="295" w:firstLineChars="0"/>
        <w:rPr>
          <w:rFonts w:hint="eastAsia" w:asciiTheme="minorEastAsia" w:hAnsiTheme="minorEastAsia" w:eastAsiaTheme="minorEastAsia" w:cstheme="minorEastAsia"/>
          <w:sz w:val="24"/>
          <w:szCs w:val="24"/>
          <w:highlight w:val="none"/>
          <w:lang w:eastAsia="zh-CN"/>
        </w:rPr>
      </w:pPr>
      <w:bookmarkStart w:id="85" w:name="bookmark117"/>
      <w:bookmarkEnd w:id="85"/>
      <w:r>
        <w:rPr>
          <w:rFonts w:hint="eastAsia" w:asciiTheme="minorEastAsia" w:hAnsiTheme="minorEastAsia" w:eastAsiaTheme="minorEastAsia" w:cstheme="minorEastAsia"/>
          <w:sz w:val="24"/>
          <w:szCs w:val="24"/>
          <w:highlight w:val="none"/>
          <w:lang w:eastAsia="zh-CN"/>
        </w:rPr>
        <w:t>投标人之间协商投标报价等投标文件的实质性内容；</w:t>
      </w:r>
    </w:p>
    <w:p w14:paraId="32875152">
      <w:pPr>
        <w:pStyle w:val="97"/>
        <w:numPr>
          <w:ilvl w:val="0"/>
          <w:numId w:val="25"/>
        </w:numPr>
        <w:ind w:firstLine="295" w:firstLineChars="0"/>
        <w:rPr>
          <w:rFonts w:hint="eastAsia" w:asciiTheme="minorEastAsia" w:hAnsiTheme="minorEastAsia" w:eastAsiaTheme="minorEastAsia" w:cstheme="minorEastAsia"/>
          <w:sz w:val="24"/>
          <w:szCs w:val="24"/>
          <w:highlight w:val="none"/>
          <w:lang w:eastAsia="zh-CN"/>
        </w:rPr>
      </w:pPr>
      <w:bookmarkStart w:id="86" w:name="bookmark118"/>
      <w:bookmarkEnd w:id="86"/>
      <w:r>
        <w:rPr>
          <w:rFonts w:hint="eastAsia" w:asciiTheme="minorEastAsia" w:hAnsiTheme="minorEastAsia" w:eastAsiaTheme="minorEastAsia" w:cstheme="minorEastAsia"/>
          <w:sz w:val="24"/>
          <w:szCs w:val="24"/>
          <w:highlight w:val="none"/>
          <w:lang w:eastAsia="zh-CN"/>
        </w:rPr>
        <w:t>投标人之间约定中标候选人；</w:t>
      </w:r>
    </w:p>
    <w:p w14:paraId="5BDAE19F">
      <w:pPr>
        <w:pStyle w:val="97"/>
        <w:numPr>
          <w:ilvl w:val="0"/>
          <w:numId w:val="25"/>
        </w:numPr>
        <w:ind w:firstLine="295" w:firstLineChars="0"/>
        <w:rPr>
          <w:rFonts w:hint="eastAsia" w:asciiTheme="minorEastAsia" w:hAnsiTheme="minorEastAsia" w:eastAsiaTheme="minorEastAsia" w:cstheme="minorEastAsia"/>
          <w:sz w:val="24"/>
          <w:szCs w:val="24"/>
          <w:highlight w:val="none"/>
          <w:lang w:eastAsia="zh-CN"/>
        </w:rPr>
      </w:pPr>
      <w:bookmarkStart w:id="87" w:name="bookmark119"/>
      <w:bookmarkEnd w:id="87"/>
      <w:r>
        <w:rPr>
          <w:rFonts w:hint="eastAsia" w:asciiTheme="minorEastAsia" w:hAnsiTheme="minorEastAsia" w:eastAsiaTheme="minorEastAsia" w:cstheme="minorEastAsia"/>
          <w:sz w:val="24"/>
          <w:szCs w:val="24"/>
          <w:highlight w:val="none"/>
          <w:lang w:eastAsia="zh-CN"/>
        </w:rPr>
        <w:t>投标人之间约定部分投标人放弃投标或者中标；</w:t>
      </w:r>
    </w:p>
    <w:p w14:paraId="10F49B09">
      <w:pPr>
        <w:pStyle w:val="97"/>
        <w:numPr>
          <w:ilvl w:val="0"/>
          <w:numId w:val="25"/>
        </w:numPr>
        <w:ind w:firstLine="295" w:firstLineChars="0"/>
        <w:rPr>
          <w:rFonts w:hint="eastAsia" w:asciiTheme="minorEastAsia" w:hAnsiTheme="minorEastAsia" w:eastAsiaTheme="minorEastAsia" w:cstheme="minorEastAsia"/>
          <w:sz w:val="24"/>
          <w:szCs w:val="24"/>
          <w:highlight w:val="none"/>
          <w:lang w:eastAsia="zh-CN"/>
        </w:rPr>
      </w:pPr>
      <w:bookmarkStart w:id="88" w:name="bookmark120"/>
      <w:bookmarkEnd w:id="88"/>
      <w:r>
        <w:rPr>
          <w:rFonts w:hint="eastAsia" w:asciiTheme="minorEastAsia" w:hAnsiTheme="minorEastAsia" w:eastAsiaTheme="minorEastAsia" w:cstheme="minorEastAsia"/>
          <w:sz w:val="24"/>
          <w:szCs w:val="24"/>
          <w:highlight w:val="none"/>
          <w:lang w:eastAsia="zh-CN"/>
        </w:rPr>
        <w:t>属于同一集团、协会、商会等组织成员的投标人按照该组织要求协同投标；</w:t>
      </w:r>
    </w:p>
    <w:p w14:paraId="5DFEE66E">
      <w:pPr>
        <w:pStyle w:val="97"/>
        <w:numPr>
          <w:ilvl w:val="0"/>
          <w:numId w:val="25"/>
        </w:numPr>
        <w:ind w:firstLine="295" w:firstLineChars="0"/>
        <w:rPr>
          <w:rFonts w:hint="eastAsia" w:asciiTheme="minorEastAsia" w:hAnsiTheme="minorEastAsia" w:eastAsiaTheme="minorEastAsia" w:cstheme="minorEastAsia"/>
          <w:sz w:val="24"/>
          <w:szCs w:val="24"/>
          <w:highlight w:val="none"/>
          <w:lang w:eastAsia="zh-CN"/>
        </w:rPr>
      </w:pPr>
      <w:bookmarkStart w:id="89" w:name="bookmark121"/>
      <w:bookmarkEnd w:id="89"/>
      <w:r>
        <w:rPr>
          <w:rFonts w:hint="eastAsia" w:asciiTheme="minorEastAsia" w:hAnsiTheme="minorEastAsia" w:eastAsiaTheme="minorEastAsia" w:cstheme="minorEastAsia"/>
          <w:sz w:val="24"/>
          <w:szCs w:val="24"/>
          <w:highlight w:val="none"/>
          <w:lang w:eastAsia="zh-CN"/>
        </w:rPr>
        <w:t>投标人之间为谋取中标或者排斥特定投标人而采取的其他联合行动。</w:t>
      </w:r>
    </w:p>
    <w:p w14:paraId="28319029">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6.2.3有下列情形之一的，视为投标人相互串通投标：</w:t>
      </w:r>
    </w:p>
    <w:p w14:paraId="5F2CB0A3">
      <w:pPr>
        <w:pStyle w:val="97"/>
        <w:numPr>
          <w:ilvl w:val="0"/>
          <w:numId w:val="26"/>
        </w:numPr>
        <w:ind w:firstLine="295" w:firstLineChars="0"/>
        <w:rPr>
          <w:rFonts w:hint="eastAsia" w:asciiTheme="minorEastAsia" w:hAnsiTheme="minorEastAsia" w:eastAsiaTheme="minorEastAsia" w:cstheme="minorEastAsia"/>
          <w:sz w:val="24"/>
          <w:szCs w:val="24"/>
          <w:highlight w:val="none"/>
          <w:lang w:eastAsia="zh-CN"/>
        </w:rPr>
      </w:pPr>
      <w:bookmarkStart w:id="90" w:name="bookmark122"/>
      <w:bookmarkEnd w:id="90"/>
      <w:r>
        <w:rPr>
          <w:rFonts w:hint="eastAsia" w:asciiTheme="minorEastAsia" w:hAnsiTheme="minorEastAsia" w:eastAsiaTheme="minorEastAsia" w:cstheme="minorEastAsia"/>
          <w:sz w:val="24"/>
          <w:szCs w:val="24"/>
          <w:highlight w:val="none"/>
          <w:lang w:eastAsia="zh-CN"/>
        </w:rPr>
        <w:t>不同投标人的投标文件由同一单位或者个人编制；</w:t>
      </w:r>
    </w:p>
    <w:p w14:paraId="62E17EEE">
      <w:pPr>
        <w:pStyle w:val="97"/>
        <w:numPr>
          <w:ilvl w:val="0"/>
          <w:numId w:val="26"/>
        </w:numPr>
        <w:ind w:firstLine="295" w:firstLineChars="0"/>
        <w:rPr>
          <w:rFonts w:hint="eastAsia" w:asciiTheme="minorEastAsia" w:hAnsiTheme="minorEastAsia" w:eastAsiaTheme="minorEastAsia" w:cstheme="minorEastAsia"/>
          <w:sz w:val="24"/>
          <w:szCs w:val="24"/>
          <w:highlight w:val="none"/>
          <w:lang w:eastAsia="zh-CN"/>
        </w:rPr>
      </w:pPr>
      <w:bookmarkStart w:id="91" w:name="bookmark123"/>
      <w:bookmarkEnd w:id="91"/>
      <w:r>
        <w:rPr>
          <w:rFonts w:hint="eastAsia" w:asciiTheme="minorEastAsia" w:hAnsiTheme="minorEastAsia" w:eastAsiaTheme="minorEastAsia" w:cstheme="minorEastAsia"/>
          <w:sz w:val="24"/>
          <w:szCs w:val="24"/>
          <w:highlight w:val="none"/>
          <w:lang w:eastAsia="zh-CN"/>
        </w:rPr>
        <w:t>不同投标人委托同一单位或者个人办理投标事宜；</w:t>
      </w:r>
    </w:p>
    <w:p w14:paraId="37DDDCE9">
      <w:pPr>
        <w:pStyle w:val="97"/>
        <w:numPr>
          <w:ilvl w:val="0"/>
          <w:numId w:val="26"/>
        </w:numPr>
        <w:ind w:firstLine="295" w:firstLineChars="0"/>
        <w:rPr>
          <w:rFonts w:hint="eastAsia" w:asciiTheme="minorEastAsia" w:hAnsiTheme="minorEastAsia" w:eastAsiaTheme="minorEastAsia" w:cstheme="minorEastAsia"/>
          <w:sz w:val="24"/>
          <w:szCs w:val="24"/>
          <w:highlight w:val="none"/>
          <w:lang w:eastAsia="zh-CN"/>
        </w:rPr>
      </w:pPr>
      <w:bookmarkStart w:id="92" w:name="bookmark124"/>
      <w:bookmarkEnd w:id="92"/>
      <w:r>
        <w:rPr>
          <w:rFonts w:hint="eastAsia" w:asciiTheme="minorEastAsia" w:hAnsiTheme="minorEastAsia" w:eastAsiaTheme="minorEastAsia" w:cstheme="minorEastAsia"/>
          <w:sz w:val="24"/>
          <w:szCs w:val="24"/>
          <w:highlight w:val="none"/>
          <w:lang w:eastAsia="zh-CN"/>
        </w:rPr>
        <w:t>不同投标人的投标文件载明的项目管理成员为同一人；</w:t>
      </w:r>
    </w:p>
    <w:p w14:paraId="12734CD2">
      <w:pPr>
        <w:pStyle w:val="97"/>
        <w:numPr>
          <w:ilvl w:val="0"/>
          <w:numId w:val="26"/>
        </w:numPr>
        <w:ind w:firstLine="295" w:firstLineChars="0"/>
        <w:rPr>
          <w:rFonts w:hint="eastAsia" w:asciiTheme="minorEastAsia" w:hAnsiTheme="minorEastAsia" w:eastAsiaTheme="minorEastAsia" w:cstheme="minorEastAsia"/>
          <w:sz w:val="24"/>
          <w:szCs w:val="24"/>
          <w:highlight w:val="none"/>
          <w:lang w:eastAsia="zh-CN"/>
        </w:rPr>
      </w:pPr>
      <w:bookmarkStart w:id="93" w:name="bookmark125"/>
      <w:bookmarkEnd w:id="93"/>
      <w:r>
        <w:rPr>
          <w:rFonts w:hint="eastAsia" w:asciiTheme="minorEastAsia" w:hAnsiTheme="minorEastAsia" w:eastAsiaTheme="minorEastAsia" w:cstheme="minorEastAsia"/>
          <w:sz w:val="24"/>
          <w:szCs w:val="24"/>
          <w:highlight w:val="none"/>
          <w:lang w:eastAsia="zh-CN"/>
        </w:rPr>
        <w:t>不同投标人的投标文件异常一致或者投标报价呈规律性差异；</w:t>
      </w:r>
    </w:p>
    <w:p w14:paraId="6390DB44">
      <w:pPr>
        <w:pStyle w:val="97"/>
        <w:numPr>
          <w:ilvl w:val="0"/>
          <w:numId w:val="26"/>
        </w:numPr>
        <w:ind w:firstLine="295" w:firstLineChars="0"/>
        <w:rPr>
          <w:rFonts w:hint="eastAsia" w:asciiTheme="minorEastAsia" w:hAnsiTheme="minorEastAsia" w:eastAsiaTheme="minorEastAsia" w:cstheme="minorEastAsia"/>
          <w:sz w:val="24"/>
          <w:szCs w:val="24"/>
          <w:highlight w:val="none"/>
          <w:lang w:eastAsia="zh-CN"/>
        </w:rPr>
      </w:pPr>
      <w:bookmarkStart w:id="94" w:name="bookmark126"/>
      <w:bookmarkEnd w:id="94"/>
      <w:r>
        <w:rPr>
          <w:rFonts w:hint="eastAsia" w:asciiTheme="minorEastAsia" w:hAnsiTheme="minorEastAsia" w:eastAsiaTheme="minorEastAsia" w:cstheme="minorEastAsia"/>
          <w:sz w:val="24"/>
          <w:szCs w:val="24"/>
          <w:highlight w:val="none"/>
          <w:lang w:eastAsia="zh-CN"/>
        </w:rPr>
        <w:t>不同投标人的投标文件相互混装；</w:t>
      </w:r>
    </w:p>
    <w:p w14:paraId="31B19496">
      <w:pPr>
        <w:pStyle w:val="97"/>
        <w:numPr>
          <w:ilvl w:val="0"/>
          <w:numId w:val="26"/>
        </w:numPr>
        <w:ind w:firstLine="295" w:firstLineChars="0"/>
        <w:rPr>
          <w:rFonts w:hint="eastAsia" w:asciiTheme="minorEastAsia" w:hAnsiTheme="minorEastAsia" w:eastAsiaTheme="minorEastAsia" w:cstheme="minorEastAsia"/>
          <w:sz w:val="24"/>
          <w:szCs w:val="24"/>
          <w:highlight w:val="none"/>
          <w:lang w:eastAsia="zh-CN"/>
        </w:rPr>
      </w:pPr>
      <w:bookmarkStart w:id="95" w:name="bookmark127"/>
      <w:bookmarkEnd w:id="95"/>
      <w:r>
        <w:rPr>
          <w:rFonts w:hint="eastAsia" w:asciiTheme="minorEastAsia" w:hAnsiTheme="minorEastAsia" w:eastAsiaTheme="minorEastAsia" w:cstheme="minorEastAsia"/>
          <w:sz w:val="24"/>
          <w:szCs w:val="24"/>
          <w:highlight w:val="none"/>
          <w:lang w:eastAsia="zh-CN"/>
        </w:rPr>
        <w:t>不同投标人的投标保证金从同一单位或者个人的账户转出。</w:t>
      </w:r>
    </w:p>
    <w:p w14:paraId="40802566">
      <w:pPr>
        <w:pStyle w:val="97"/>
        <w:numPr>
          <w:ilvl w:val="0"/>
          <w:numId w:val="26"/>
        </w:numPr>
        <w:ind w:firstLine="295"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使用通过受让或者租借等方式获取的资格、资质证书投标的，属于以他人名义投标。</w:t>
      </w:r>
    </w:p>
    <w:p w14:paraId="4C2BA3D7">
      <w:pPr>
        <w:pStyle w:val="97"/>
        <w:numPr>
          <w:ilvl w:val="0"/>
          <w:numId w:val="26"/>
        </w:numPr>
        <w:ind w:firstLine="295"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投标人有下列情形之一的，属于以其他方式弄虚作假的行为：</w:t>
      </w:r>
    </w:p>
    <w:p w14:paraId="280259A4">
      <w:pPr>
        <w:pStyle w:val="97"/>
        <w:numPr>
          <w:ilvl w:val="0"/>
          <w:numId w:val="27"/>
        </w:numPr>
        <w:ind w:firstLine="775" w:firstLineChars="0"/>
        <w:rPr>
          <w:rFonts w:hint="eastAsia" w:asciiTheme="minorEastAsia" w:hAnsiTheme="minorEastAsia" w:eastAsiaTheme="minorEastAsia" w:cstheme="minorEastAsia"/>
          <w:sz w:val="24"/>
          <w:szCs w:val="24"/>
          <w:highlight w:val="none"/>
          <w:lang w:eastAsia="zh-CN"/>
        </w:rPr>
      </w:pPr>
      <w:bookmarkStart w:id="96" w:name="bookmark128"/>
      <w:bookmarkEnd w:id="96"/>
      <w:r>
        <w:rPr>
          <w:rFonts w:hint="eastAsia" w:asciiTheme="minorEastAsia" w:hAnsiTheme="minorEastAsia" w:eastAsiaTheme="minorEastAsia" w:cstheme="minorEastAsia"/>
          <w:sz w:val="24"/>
          <w:szCs w:val="24"/>
          <w:highlight w:val="none"/>
          <w:lang w:eastAsia="zh-CN"/>
        </w:rPr>
        <w:t>使用伪造、变造的许可证件；</w:t>
      </w:r>
    </w:p>
    <w:p w14:paraId="67AEDAF9">
      <w:pPr>
        <w:pStyle w:val="97"/>
        <w:numPr>
          <w:ilvl w:val="0"/>
          <w:numId w:val="27"/>
        </w:numPr>
        <w:ind w:firstLine="775" w:firstLineChars="0"/>
        <w:rPr>
          <w:rFonts w:hint="eastAsia" w:asciiTheme="minorEastAsia" w:hAnsiTheme="minorEastAsia" w:eastAsiaTheme="minorEastAsia" w:cstheme="minorEastAsia"/>
          <w:sz w:val="24"/>
          <w:szCs w:val="24"/>
          <w:highlight w:val="none"/>
          <w:lang w:eastAsia="zh-CN"/>
        </w:rPr>
      </w:pPr>
      <w:bookmarkStart w:id="97" w:name="bookmark129"/>
      <w:bookmarkEnd w:id="97"/>
      <w:r>
        <w:rPr>
          <w:rFonts w:hint="eastAsia" w:asciiTheme="minorEastAsia" w:hAnsiTheme="minorEastAsia" w:eastAsiaTheme="minorEastAsia" w:cstheme="minorEastAsia"/>
          <w:sz w:val="24"/>
          <w:szCs w:val="24"/>
          <w:highlight w:val="none"/>
          <w:lang w:eastAsia="zh-CN"/>
        </w:rPr>
        <w:t>提供虚假的项目负责人或者主要技术人员简历、劳动关系证明；</w:t>
      </w:r>
    </w:p>
    <w:p w14:paraId="582B7495">
      <w:pPr>
        <w:pStyle w:val="97"/>
        <w:numPr>
          <w:ilvl w:val="0"/>
          <w:numId w:val="27"/>
        </w:numPr>
        <w:ind w:firstLine="775" w:firstLineChars="0"/>
        <w:rPr>
          <w:rFonts w:hint="eastAsia" w:asciiTheme="minorEastAsia" w:hAnsiTheme="minorEastAsia" w:eastAsiaTheme="minorEastAsia" w:cstheme="minorEastAsia"/>
          <w:sz w:val="24"/>
          <w:szCs w:val="24"/>
          <w:highlight w:val="none"/>
          <w:lang w:eastAsia="zh-CN"/>
        </w:rPr>
      </w:pPr>
      <w:bookmarkStart w:id="98" w:name="bookmark130"/>
      <w:bookmarkEnd w:id="98"/>
      <w:r>
        <w:rPr>
          <w:rFonts w:hint="eastAsia" w:asciiTheme="minorEastAsia" w:hAnsiTheme="minorEastAsia" w:eastAsiaTheme="minorEastAsia" w:cstheme="minorEastAsia"/>
          <w:sz w:val="24"/>
          <w:szCs w:val="24"/>
          <w:highlight w:val="none"/>
          <w:lang w:eastAsia="zh-CN"/>
        </w:rPr>
        <w:t>提供虚假的信用状况；</w:t>
      </w:r>
    </w:p>
    <w:p w14:paraId="484AE08C">
      <w:pPr>
        <w:pStyle w:val="97"/>
        <w:numPr>
          <w:ilvl w:val="0"/>
          <w:numId w:val="27"/>
        </w:numPr>
        <w:ind w:firstLine="775" w:firstLineChars="0"/>
        <w:rPr>
          <w:rFonts w:hint="eastAsia" w:asciiTheme="minorEastAsia" w:hAnsiTheme="minorEastAsia" w:eastAsiaTheme="minorEastAsia" w:cstheme="minorEastAsia"/>
          <w:sz w:val="24"/>
          <w:szCs w:val="24"/>
          <w:highlight w:val="none"/>
          <w:lang w:eastAsia="zh-CN"/>
        </w:rPr>
      </w:pPr>
      <w:bookmarkStart w:id="99" w:name="bookmark131"/>
      <w:bookmarkEnd w:id="99"/>
      <w:r>
        <w:rPr>
          <w:rFonts w:hint="eastAsia" w:asciiTheme="minorEastAsia" w:hAnsiTheme="minorEastAsia" w:eastAsiaTheme="minorEastAsia" w:cstheme="minorEastAsia"/>
          <w:sz w:val="24"/>
          <w:szCs w:val="24"/>
          <w:highlight w:val="none"/>
          <w:lang w:eastAsia="zh-CN"/>
        </w:rPr>
        <w:t>其他弄虚作假的行为。</w:t>
      </w:r>
    </w:p>
    <w:p w14:paraId="4561E4B7">
      <w:pPr>
        <w:ind w:firstLine="0" w:firstLineChars="0"/>
        <w:outlineLvl w:val="1"/>
        <w:rPr>
          <w:rFonts w:hint="eastAsia" w:asciiTheme="minorEastAsia" w:hAnsiTheme="minorEastAsia" w:eastAsiaTheme="minorEastAsia" w:cstheme="minorEastAsia"/>
          <w:b/>
          <w:bCs/>
          <w:sz w:val="24"/>
          <w:szCs w:val="24"/>
          <w:highlight w:val="none"/>
          <w:lang w:eastAsia="zh-CN"/>
        </w:rPr>
      </w:pPr>
      <w:bookmarkStart w:id="100" w:name="_Toc30408"/>
      <w:bookmarkStart w:id="101" w:name="_Toc19916"/>
      <w:r>
        <w:rPr>
          <w:rFonts w:hint="eastAsia" w:asciiTheme="minorEastAsia" w:hAnsiTheme="minorEastAsia" w:eastAsiaTheme="minorEastAsia" w:cstheme="minorEastAsia"/>
          <w:b/>
          <w:bCs/>
          <w:sz w:val="24"/>
          <w:szCs w:val="24"/>
          <w:highlight w:val="none"/>
          <w:lang w:eastAsia="zh-CN"/>
        </w:rPr>
        <w:t>6.3对评标委员会成员的纪律要求</w:t>
      </w:r>
      <w:bookmarkEnd w:id="100"/>
      <w:bookmarkEnd w:id="101"/>
    </w:p>
    <w:p w14:paraId="61969B54">
      <w:pPr>
        <w:pStyle w:val="21"/>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见第四章评标办法第</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条评标纪律</w:t>
      </w:r>
      <w:r>
        <w:rPr>
          <w:rFonts w:hint="eastAsia" w:asciiTheme="minorEastAsia" w:hAnsiTheme="minorEastAsia" w:eastAsiaTheme="minorEastAsia" w:cstheme="minorEastAsia"/>
          <w:sz w:val="24"/>
          <w:szCs w:val="24"/>
          <w:highlight w:val="none"/>
          <w:lang w:eastAsia="zh-CN"/>
        </w:rPr>
        <w:t>。</w:t>
      </w:r>
    </w:p>
    <w:p w14:paraId="4514E0B1">
      <w:pPr>
        <w:ind w:firstLine="0" w:firstLineChars="0"/>
        <w:outlineLvl w:val="1"/>
        <w:rPr>
          <w:rFonts w:hint="eastAsia" w:asciiTheme="minorEastAsia" w:hAnsiTheme="minorEastAsia" w:eastAsiaTheme="minorEastAsia" w:cstheme="minorEastAsia"/>
          <w:b/>
          <w:bCs/>
          <w:sz w:val="24"/>
          <w:szCs w:val="24"/>
          <w:highlight w:val="none"/>
          <w:lang w:eastAsia="zh-CN"/>
        </w:rPr>
      </w:pPr>
      <w:bookmarkStart w:id="102" w:name="bookmark132"/>
      <w:bookmarkEnd w:id="102"/>
      <w:bookmarkStart w:id="103" w:name="_Toc10402"/>
      <w:bookmarkStart w:id="104" w:name="_Toc8186"/>
      <w:r>
        <w:rPr>
          <w:rFonts w:hint="eastAsia" w:asciiTheme="minorEastAsia" w:hAnsiTheme="minorEastAsia" w:eastAsiaTheme="minorEastAsia" w:cstheme="minorEastAsia"/>
          <w:b/>
          <w:bCs/>
          <w:sz w:val="24"/>
          <w:szCs w:val="24"/>
          <w:highlight w:val="none"/>
          <w:lang w:eastAsia="zh-CN"/>
        </w:rPr>
        <w:t>6.4对与评标活动有关的工作人员的纪律要求</w:t>
      </w:r>
      <w:bookmarkEnd w:id="103"/>
      <w:bookmarkEnd w:id="104"/>
    </w:p>
    <w:p w14:paraId="10932FC8">
      <w:pPr>
        <w:pStyle w:val="9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p>
    <w:p w14:paraId="1EE5FF18">
      <w:pPr>
        <w:ind w:firstLine="48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br w:type="page"/>
      </w:r>
    </w:p>
    <w:p w14:paraId="79BBBC21">
      <w:pPr>
        <w:pStyle w:val="84"/>
        <w:numPr>
          <w:ilvl w:val="0"/>
          <w:numId w:val="28"/>
        </w:numPr>
        <w:rPr>
          <w:rFonts w:hint="eastAsia" w:asciiTheme="minorEastAsia" w:hAnsiTheme="minorEastAsia" w:eastAsiaTheme="minorEastAsia" w:cstheme="minorEastAsia"/>
          <w:highlight w:val="none"/>
          <w:lang w:eastAsia="zh-CN"/>
        </w:rPr>
      </w:pPr>
      <w:bookmarkStart w:id="105" w:name="_Toc10948"/>
      <w:bookmarkStart w:id="106" w:name="bookmark138"/>
      <w:bookmarkStart w:id="107" w:name="_Toc20612"/>
      <w:bookmarkStart w:id="108" w:name="bookmark139"/>
      <w:bookmarkStart w:id="109" w:name="bookmark140"/>
      <w:r>
        <w:rPr>
          <w:rFonts w:hint="eastAsia" w:asciiTheme="minorEastAsia" w:hAnsiTheme="minorEastAsia" w:eastAsiaTheme="minorEastAsia" w:cstheme="minorEastAsia"/>
          <w:highlight w:val="none"/>
          <w:lang w:eastAsia="zh-CN"/>
        </w:rPr>
        <w:t>年度合作框架协议</w:t>
      </w:r>
      <w:bookmarkEnd w:id="105"/>
    </w:p>
    <w:p w14:paraId="14633401">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（以双方最终协商签订为准）</w:t>
      </w:r>
    </w:p>
    <w:p w14:paraId="43A2238A">
      <w:pPr>
        <w:rPr>
          <w:rFonts w:hint="eastAsia" w:asciiTheme="minorEastAsia" w:hAnsiTheme="minorEastAsia" w:eastAsiaTheme="minorEastAsia" w:cstheme="minorEastAsia"/>
          <w:b/>
          <w:sz w:val="24"/>
          <w:highlight w:val="none"/>
        </w:rPr>
      </w:pPr>
    </w:p>
    <w:p w14:paraId="2E562EE1">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协议编号：</w:t>
      </w:r>
      <w:r>
        <w:rPr>
          <w:rFonts w:hint="eastAsia" w:asciiTheme="minorEastAsia" w:hAnsiTheme="minorEastAsia" w:eastAsiaTheme="minorEastAsia" w:cstheme="minorEastAsia"/>
          <w:b/>
          <w:sz w:val="28"/>
          <w:szCs w:val="28"/>
          <w:highlight w:val="none"/>
          <w:u w:val="single"/>
        </w:rPr>
        <w:t xml:space="preserve">           </w:t>
      </w:r>
      <w:r>
        <w:rPr>
          <w:rFonts w:hint="eastAsia" w:asciiTheme="minorEastAsia" w:hAnsiTheme="minorEastAsia" w:eastAsiaTheme="minorEastAsia" w:cstheme="minorEastAsia"/>
          <w:b/>
          <w:sz w:val="28"/>
          <w:szCs w:val="28"/>
          <w:highlight w:val="none"/>
          <w:u w:val="single"/>
          <w:lang w:val="en-US" w:eastAsia="zh-CN"/>
        </w:rPr>
        <w:t xml:space="preserve">      </w:t>
      </w:r>
      <w:r>
        <w:rPr>
          <w:rFonts w:hint="eastAsia" w:asciiTheme="minorEastAsia" w:hAnsiTheme="minorEastAsia" w:eastAsiaTheme="minorEastAsia" w:cstheme="minorEastAsia"/>
          <w:b/>
          <w:sz w:val="28"/>
          <w:szCs w:val="28"/>
          <w:highlight w:val="none"/>
        </w:rPr>
        <w:t xml:space="preserve">           </w:t>
      </w:r>
      <w:r>
        <w:rPr>
          <w:rFonts w:hint="eastAsia" w:asciiTheme="minorEastAsia" w:hAnsiTheme="minorEastAsia" w:eastAsiaTheme="minorEastAsia" w:cstheme="minorEastAsia"/>
          <w:b/>
          <w:sz w:val="28"/>
          <w:szCs w:val="28"/>
          <w:highlight w:val="none"/>
          <w:lang w:val="en-US" w:eastAsia="zh-CN"/>
        </w:rPr>
        <w:t xml:space="preserve"> </w:t>
      </w:r>
      <w:r>
        <w:rPr>
          <w:rFonts w:hint="eastAsia" w:asciiTheme="minorEastAsia" w:hAnsiTheme="minorEastAsia" w:eastAsiaTheme="minorEastAsia" w:cstheme="minorEastAsia"/>
          <w:b/>
          <w:sz w:val="28"/>
          <w:szCs w:val="28"/>
          <w:highlight w:val="none"/>
        </w:rPr>
        <w:t>签订地点：</w:t>
      </w:r>
      <w:r>
        <w:rPr>
          <w:rFonts w:hint="eastAsia" w:asciiTheme="minorEastAsia" w:hAnsiTheme="minorEastAsia" w:eastAsiaTheme="minorEastAsia" w:cstheme="minorEastAsia"/>
          <w:b/>
          <w:sz w:val="28"/>
          <w:szCs w:val="28"/>
          <w:highlight w:val="none"/>
          <w:u w:val="single"/>
        </w:rPr>
        <w:t>重庆市九龙坡区</w:t>
      </w:r>
    </w:p>
    <w:p w14:paraId="6A3A382B">
      <w:p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sz w:val="28"/>
          <w:szCs w:val="28"/>
          <w:highlight w:val="none"/>
        </w:rPr>
        <w:t>甲方：</w:t>
      </w:r>
      <w:r>
        <w:rPr>
          <w:rFonts w:hint="eastAsia" w:asciiTheme="minorEastAsia" w:hAnsiTheme="minorEastAsia" w:eastAsiaTheme="minorEastAsia" w:cstheme="minorEastAsia"/>
          <w:b/>
          <w:sz w:val="28"/>
          <w:szCs w:val="28"/>
          <w:highlight w:val="none"/>
          <w:u w:val="single"/>
        </w:rPr>
        <w:t xml:space="preserve">中煤科工集团重庆研究院有限公司 </w:t>
      </w:r>
      <w:r>
        <w:rPr>
          <w:rFonts w:hint="eastAsia" w:asciiTheme="minorEastAsia" w:hAnsiTheme="minorEastAsia" w:eastAsiaTheme="minorEastAsia" w:cstheme="minorEastAsia"/>
          <w:b/>
          <w:sz w:val="28"/>
          <w:szCs w:val="28"/>
          <w:highlight w:val="none"/>
        </w:rPr>
        <w:t xml:space="preserve">   </w:t>
      </w:r>
    </w:p>
    <w:p w14:paraId="778F58BD">
      <w:pPr>
        <w:rPr>
          <w:rFonts w:hint="eastAsia" w:asciiTheme="minorEastAsia" w:hAnsiTheme="minorEastAsia" w:eastAsiaTheme="minorEastAsia" w:cstheme="minorEastAsia"/>
          <w:b/>
          <w:sz w:val="28"/>
          <w:szCs w:val="28"/>
          <w:highlight w:val="none"/>
          <w:u w:val="none"/>
          <w:lang w:val="en-US" w:eastAsia="zh-CN"/>
        </w:rPr>
      </w:pPr>
      <w:r>
        <w:rPr>
          <w:rFonts w:hint="eastAsia" w:asciiTheme="minorEastAsia" w:hAnsiTheme="minorEastAsia" w:eastAsiaTheme="minorEastAsia" w:cstheme="minorEastAsia"/>
          <w:b/>
          <w:sz w:val="28"/>
          <w:szCs w:val="28"/>
          <w:highlight w:val="none"/>
        </w:rPr>
        <w:t>乙方：</w:t>
      </w:r>
      <w:r>
        <w:rPr>
          <w:rFonts w:hint="eastAsia" w:asciiTheme="minorEastAsia" w:hAnsiTheme="minorEastAsia" w:eastAsiaTheme="minorEastAsia" w:cstheme="minorEastAsia"/>
          <w:b/>
          <w:sz w:val="28"/>
          <w:szCs w:val="28"/>
          <w:highlight w:val="none"/>
          <w:lang w:val="en-US" w:eastAsia="zh-CN"/>
        </w:rPr>
        <w:t>______________________________</w:t>
      </w:r>
      <w:r>
        <w:rPr>
          <w:rFonts w:hint="eastAsia" w:asciiTheme="minorEastAsia" w:hAnsiTheme="minorEastAsia" w:eastAsiaTheme="minorEastAsia" w:cstheme="minorEastAsia"/>
          <w:b/>
          <w:sz w:val="28"/>
          <w:szCs w:val="28"/>
          <w:highlight w:val="none"/>
          <w:u w:val="single"/>
          <w:lang w:val="en-US" w:eastAsia="zh-CN"/>
        </w:rPr>
        <w:t xml:space="preserve">                              </w:t>
      </w:r>
      <w:r>
        <w:rPr>
          <w:rFonts w:hint="eastAsia" w:asciiTheme="minorEastAsia" w:hAnsiTheme="minorEastAsia" w:eastAsiaTheme="minorEastAsia" w:cstheme="minorEastAsia"/>
          <w:b/>
          <w:sz w:val="28"/>
          <w:szCs w:val="28"/>
          <w:highlight w:val="none"/>
          <w:u w:val="none"/>
          <w:lang w:val="en-US" w:eastAsia="zh-CN"/>
        </w:rPr>
        <w:t xml:space="preserve">                           </w:t>
      </w:r>
      <w:r>
        <w:rPr>
          <w:rFonts w:hint="eastAsia" w:asciiTheme="minorEastAsia" w:hAnsiTheme="minorEastAsia" w:eastAsiaTheme="minorEastAsia" w:cstheme="minorEastAsia"/>
          <w:b/>
          <w:sz w:val="28"/>
          <w:szCs w:val="28"/>
          <w:highlight w:val="none"/>
          <w:u w:val="thick"/>
          <w:lang w:val="en-US" w:eastAsia="zh-CN"/>
        </w:rPr>
        <w:t xml:space="preserve">                              </w:t>
      </w:r>
      <w:r>
        <w:rPr>
          <w:rFonts w:hint="eastAsia" w:asciiTheme="minorEastAsia" w:hAnsiTheme="minorEastAsia" w:eastAsiaTheme="minorEastAsia" w:cstheme="minorEastAsia"/>
          <w:b/>
          <w:sz w:val="28"/>
          <w:szCs w:val="28"/>
          <w:highlight w:val="none"/>
          <w:u w:val="single"/>
          <w:lang w:val="en-US" w:eastAsia="zh-CN"/>
        </w:rPr>
        <w:t xml:space="preserve">    </w:t>
      </w:r>
      <w:r>
        <w:rPr>
          <w:rFonts w:hint="eastAsia" w:asciiTheme="minorEastAsia" w:hAnsiTheme="minorEastAsia" w:eastAsiaTheme="minorEastAsia" w:cstheme="minorEastAsia"/>
          <w:b/>
          <w:sz w:val="28"/>
          <w:szCs w:val="28"/>
          <w:highlight w:val="none"/>
          <w:u w:val="none"/>
          <w:lang w:val="en-US" w:eastAsia="zh-CN"/>
        </w:rPr>
        <w:t xml:space="preserve">                          </w:t>
      </w:r>
    </w:p>
    <w:p w14:paraId="1A2F65CD">
      <w:pPr>
        <w:pStyle w:val="34"/>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依据</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b/>
          <w:bCs/>
          <w:sz w:val="24"/>
          <w:highlight w:val="none"/>
          <w:u w:val="single"/>
          <w:lang w:val="en-US" w:eastAsia="zh-CN"/>
        </w:rPr>
        <w:t xml:space="preserve">     </w:t>
      </w:r>
      <w:r>
        <w:rPr>
          <w:rFonts w:hint="eastAsia" w:asciiTheme="minorEastAsia" w:hAnsiTheme="minorEastAsia" w:eastAsiaTheme="minorEastAsia" w:cstheme="minorEastAsia"/>
          <w:sz w:val="24"/>
          <w:highlight w:val="none"/>
        </w:rPr>
        <w:t>公开招标结果，乙方为甲方</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。根据《中华人民共和国民法典》及有关</w:t>
      </w:r>
      <w:r>
        <w:rPr>
          <w:rFonts w:hint="eastAsia" w:asciiTheme="minorEastAsia" w:hAnsiTheme="minorEastAsia" w:eastAsiaTheme="minorEastAsia" w:cstheme="minorEastAsia"/>
          <w:sz w:val="24"/>
          <w:highlight w:val="none"/>
          <w:lang w:eastAsia="zh-CN"/>
        </w:rPr>
        <w:t>法律法规</w:t>
      </w:r>
      <w:r>
        <w:rPr>
          <w:rFonts w:hint="eastAsia" w:asciiTheme="minorEastAsia" w:hAnsiTheme="minorEastAsia" w:eastAsiaTheme="minorEastAsia" w:cstheme="minorEastAsia"/>
          <w:sz w:val="24"/>
          <w:highlight w:val="none"/>
        </w:rPr>
        <w:t>，结合《分院合作商管理与考核规则》、《招标、投标文件》双方就</w:t>
      </w:r>
      <w:r>
        <w:rPr>
          <w:rFonts w:hint="eastAsia" w:asciiTheme="minorEastAsia" w:hAnsiTheme="minorEastAsia" w:eastAsiaTheme="minorEastAsia" w:cstheme="minorEastAsia"/>
          <w:b/>
          <w:bCs/>
          <w:sz w:val="24"/>
          <w:highlight w:val="none"/>
          <w:u w:val="single"/>
          <w:lang w:val="en-US" w:eastAsia="zh-CN"/>
        </w:rPr>
        <w:t xml:space="preserve">        </w:t>
      </w:r>
      <w:r>
        <w:rPr>
          <w:rFonts w:hint="eastAsia" w:asciiTheme="minorEastAsia" w:hAnsiTheme="minorEastAsia" w:eastAsiaTheme="minorEastAsia" w:cstheme="minorEastAsia"/>
          <w:sz w:val="24"/>
          <w:highlight w:val="none"/>
        </w:rPr>
        <w:t>供应达成如下框架协议，以资共同信守。</w:t>
      </w:r>
    </w:p>
    <w:p w14:paraId="4974A4D3">
      <w:pPr>
        <w:numPr>
          <w:ilvl w:val="0"/>
          <w:numId w:val="29"/>
        </w:numPr>
        <w:spacing w:line="360" w:lineRule="auto"/>
        <w:jc w:val="both"/>
        <w:rPr>
          <w:rFonts w:hint="eastAsia" w:asciiTheme="minorEastAsia" w:hAnsiTheme="minorEastAsia" w:eastAsiaTheme="minorEastAsia" w:cstheme="minorEastAsia"/>
          <w:b/>
          <w:sz w:val="28"/>
          <w:szCs w:val="28"/>
          <w:highlight w:val="none"/>
        </w:rPr>
      </w:pPr>
      <w:bookmarkStart w:id="110" w:name="_Ref3835"/>
      <w:r>
        <w:rPr>
          <w:rFonts w:hint="eastAsia" w:asciiTheme="minorEastAsia" w:hAnsiTheme="minorEastAsia" w:eastAsiaTheme="minorEastAsia" w:cstheme="minorEastAsia"/>
          <w:b/>
          <w:sz w:val="28"/>
          <w:szCs w:val="28"/>
          <w:highlight w:val="none"/>
        </w:rPr>
        <w:t>执行单价、规格</w:t>
      </w:r>
      <w:r>
        <w:rPr>
          <w:rFonts w:hint="eastAsia" w:asciiTheme="minorEastAsia" w:hAnsiTheme="minorEastAsia" w:eastAsiaTheme="minorEastAsia" w:cstheme="minorEastAsia"/>
          <w:b/>
          <w:sz w:val="28"/>
          <w:szCs w:val="28"/>
          <w:highlight w:val="none"/>
          <w:lang w:eastAsia="zh-CN"/>
        </w:rPr>
        <w:t>及其他</w:t>
      </w:r>
      <w:r>
        <w:rPr>
          <w:rFonts w:hint="eastAsia" w:asciiTheme="minorEastAsia" w:hAnsiTheme="minorEastAsia" w:eastAsiaTheme="minorEastAsia" w:cstheme="minorEastAsia"/>
          <w:b/>
          <w:sz w:val="28"/>
          <w:szCs w:val="28"/>
          <w:highlight w:val="none"/>
        </w:rPr>
        <w:t>约定</w:t>
      </w:r>
      <w:bookmarkEnd w:id="110"/>
    </w:p>
    <w:p w14:paraId="30C547C8">
      <w:pPr>
        <w:pStyle w:val="4"/>
        <w:keepNext w:val="0"/>
        <w:keepLines w:val="0"/>
        <w:numPr>
          <w:ilvl w:val="1"/>
          <w:numId w:val="29"/>
        </w:numPr>
        <w:spacing w:before="0" w:after="0" w:line="360" w:lineRule="auto"/>
        <w:ind w:left="-8" w:leftChars="0" w:firstLine="219" w:firstLineChars="0"/>
        <w:rPr>
          <w:rFonts w:hint="eastAsia" w:asciiTheme="minorEastAsia" w:hAnsiTheme="minorEastAsia" w:eastAsiaTheme="minorEastAsia" w:cstheme="minorEastAsia"/>
          <w:sz w:val="24"/>
          <w:highlight w:val="none"/>
        </w:rPr>
      </w:pPr>
      <w:bookmarkStart w:id="111" w:name="_Toc26681"/>
      <w:bookmarkStart w:id="112" w:name="_Ref22682"/>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产品价格、规格：</w:t>
      </w:r>
      <w:bookmarkEnd w:id="111"/>
      <w:bookmarkEnd w:id="112"/>
    </w:p>
    <w:p w14:paraId="3B85C7B8">
      <w:pPr>
        <w:pStyle w:val="22"/>
        <w:rPr>
          <w:rFonts w:hint="eastAsia"/>
        </w:rPr>
      </w:pPr>
      <w:bookmarkStart w:id="113" w:name="_Ref29560"/>
      <w:r>
        <w:t xml:space="preserve">表 </w:t>
      </w:r>
      <w:r>
        <w:fldChar w:fldCharType="begin"/>
      </w:r>
      <w:r>
        <w:instrText xml:space="preserve"> SEQ 表 \* ARABIC </w:instrText>
      </w:r>
      <w:r>
        <w:fldChar w:fldCharType="separate"/>
      </w:r>
      <w:r>
        <w:t>1</w:t>
      </w:r>
      <w:r>
        <w:fldChar w:fldCharType="end"/>
      </w:r>
      <w:r>
        <w:rPr>
          <w:rFonts w:hint="eastAsia"/>
          <w:lang w:eastAsia="zh-CN"/>
        </w:rPr>
        <w:t>：</w:t>
      </w:r>
      <w:r>
        <w:rPr>
          <w:rFonts w:hint="eastAsia"/>
          <w:lang w:val="en-US" w:eastAsia="zh-CN"/>
        </w:rPr>
        <w:t>供货明细及要求</w:t>
      </w:r>
      <w:bookmarkEnd w:id="113"/>
    </w:p>
    <w:tbl>
      <w:tblPr>
        <w:tblStyle w:val="88"/>
        <w:tblW w:w="4843" w:type="pct"/>
        <w:tblInd w:w="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1606"/>
        <w:gridCol w:w="2640"/>
        <w:gridCol w:w="809"/>
        <w:gridCol w:w="1045"/>
        <w:gridCol w:w="1191"/>
      </w:tblGrid>
      <w:tr w14:paraId="4E3F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blHeader/>
        </w:trPr>
        <w:tc>
          <w:tcPr>
            <w:tcW w:w="468" w:type="pct"/>
            <w:tcBorders>
              <w:top w:val="single" w:color="000000" w:sz="4" w:space="0"/>
              <w:left w:val="single" w:color="000000" w:sz="4" w:space="0"/>
              <w:bottom w:val="single" w:color="000000" w:sz="4" w:space="0"/>
              <w:right w:val="single" w:color="000000" w:sz="4" w:space="0"/>
            </w:tcBorders>
            <w:noWrap/>
            <w:vAlign w:val="center"/>
          </w:tcPr>
          <w:p w14:paraId="0095EA0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28A7B2A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产品名称</w:t>
            </w:r>
          </w:p>
        </w:tc>
        <w:tc>
          <w:tcPr>
            <w:tcW w:w="1641" w:type="pct"/>
            <w:tcBorders>
              <w:top w:val="single" w:color="000000" w:sz="4" w:space="0"/>
              <w:left w:val="single" w:color="000000" w:sz="4" w:space="0"/>
              <w:bottom w:val="single" w:color="000000" w:sz="4" w:space="0"/>
              <w:right w:val="single" w:color="000000" w:sz="4" w:space="0"/>
            </w:tcBorders>
            <w:noWrap w:val="0"/>
            <w:vAlign w:val="center"/>
          </w:tcPr>
          <w:p w14:paraId="03304B4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规格</w:t>
            </w:r>
          </w:p>
        </w:tc>
        <w:tc>
          <w:tcPr>
            <w:tcW w:w="502" w:type="pct"/>
            <w:tcBorders>
              <w:top w:val="single" w:color="000000" w:sz="4" w:space="0"/>
              <w:left w:val="single" w:color="000000" w:sz="4" w:space="0"/>
              <w:bottom w:val="single" w:color="000000" w:sz="4" w:space="0"/>
              <w:right w:val="single" w:color="000000" w:sz="4" w:space="0"/>
            </w:tcBorders>
            <w:noWrap/>
            <w:vAlign w:val="center"/>
          </w:tcPr>
          <w:p w14:paraId="33DCEFB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单位</w:t>
            </w: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735C20D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单价</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62A97A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交期</w:t>
            </w:r>
          </w:p>
        </w:tc>
      </w:tr>
      <w:tr w14:paraId="0A47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14:paraId="00F60BA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07FD0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641" w:type="pct"/>
            <w:tcBorders>
              <w:top w:val="single" w:color="000000" w:sz="4" w:space="0"/>
              <w:left w:val="single" w:color="000000" w:sz="4" w:space="0"/>
              <w:bottom w:val="single" w:color="000000" w:sz="4" w:space="0"/>
              <w:right w:val="single" w:color="000000" w:sz="4" w:space="0"/>
            </w:tcBorders>
            <w:noWrap w:val="0"/>
            <w:vAlign w:val="center"/>
          </w:tcPr>
          <w:p w14:paraId="2BF61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502" w:type="pct"/>
            <w:tcBorders>
              <w:top w:val="single" w:color="000000" w:sz="4" w:space="0"/>
              <w:left w:val="single" w:color="000000" w:sz="4" w:space="0"/>
              <w:bottom w:val="single" w:color="000000" w:sz="4" w:space="0"/>
              <w:right w:val="single" w:color="000000" w:sz="4" w:space="0"/>
            </w:tcBorders>
            <w:noWrap/>
            <w:vAlign w:val="center"/>
          </w:tcPr>
          <w:p w14:paraId="44AB5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739E1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C849D80">
            <w:pPr>
              <w:jc w:val="center"/>
              <w:rPr>
                <w:rFonts w:hint="eastAsia" w:asciiTheme="minorEastAsia" w:hAnsiTheme="minorEastAsia" w:eastAsiaTheme="minorEastAsia" w:cstheme="minorEastAsia"/>
                <w:i w:val="0"/>
                <w:iCs w:val="0"/>
                <w:color w:val="000000"/>
                <w:sz w:val="24"/>
                <w:szCs w:val="24"/>
                <w:highlight w:val="none"/>
                <w:u w:val="none"/>
                <w:lang w:val="en-US" w:eastAsia="zh-CN"/>
              </w:rPr>
            </w:pPr>
          </w:p>
        </w:tc>
      </w:tr>
      <w:tr w14:paraId="2F34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14:paraId="549AA8F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5640A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641" w:type="pct"/>
            <w:tcBorders>
              <w:top w:val="single" w:color="000000" w:sz="4" w:space="0"/>
              <w:left w:val="single" w:color="000000" w:sz="4" w:space="0"/>
              <w:bottom w:val="single" w:color="000000" w:sz="4" w:space="0"/>
              <w:right w:val="single" w:color="000000" w:sz="4" w:space="0"/>
            </w:tcBorders>
            <w:noWrap w:val="0"/>
            <w:vAlign w:val="center"/>
          </w:tcPr>
          <w:p w14:paraId="3857F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502" w:type="pct"/>
            <w:tcBorders>
              <w:top w:val="single" w:color="000000" w:sz="4" w:space="0"/>
              <w:left w:val="single" w:color="000000" w:sz="4" w:space="0"/>
              <w:bottom w:val="single" w:color="000000" w:sz="4" w:space="0"/>
              <w:right w:val="single" w:color="000000" w:sz="4" w:space="0"/>
            </w:tcBorders>
            <w:noWrap/>
            <w:vAlign w:val="center"/>
          </w:tcPr>
          <w:p w14:paraId="4A3C8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20B1E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34652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02B3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2B174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kern w:val="0"/>
                <w:sz w:val="24"/>
                <w:szCs w:val="24"/>
                <w:highlight w:val="none"/>
                <w:lang w:bidi="ar"/>
              </w:rPr>
              <w:t>注：</w:t>
            </w:r>
            <w:r>
              <w:rPr>
                <w:rFonts w:hint="eastAsia" w:asciiTheme="minorEastAsia" w:hAnsiTheme="minorEastAsia" w:eastAsiaTheme="minorEastAsia" w:cstheme="minorEastAsia"/>
                <w:color w:val="000000"/>
                <w:kern w:val="0"/>
                <w:sz w:val="24"/>
                <w:szCs w:val="24"/>
                <w:highlight w:val="none"/>
                <w:lang w:val="en-US" w:eastAsia="zh-CN" w:bidi="ar"/>
              </w:rPr>
              <w:t>此价格</w:t>
            </w:r>
            <w:r>
              <w:rPr>
                <w:rFonts w:hint="eastAsia" w:asciiTheme="minorEastAsia" w:hAnsiTheme="minorEastAsia" w:eastAsiaTheme="minorEastAsia" w:cstheme="minorEastAsia"/>
                <w:color w:val="000000"/>
                <w:kern w:val="0"/>
                <w:sz w:val="24"/>
                <w:szCs w:val="24"/>
                <w:highlight w:val="none"/>
                <w:lang w:bidi="ar"/>
              </w:rPr>
              <w:t>含运费与13%</w:t>
            </w:r>
            <w:r>
              <w:rPr>
                <w:rFonts w:hint="eastAsia" w:asciiTheme="minorEastAsia" w:hAnsiTheme="minorEastAsia" w:eastAsiaTheme="minorEastAsia" w:cstheme="minorEastAsia"/>
                <w:color w:val="000000"/>
                <w:kern w:val="0"/>
                <w:sz w:val="24"/>
                <w:szCs w:val="24"/>
                <w:highlight w:val="none"/>
                <w:lang w:val="en-US" w:eastAsia="zh-CN" w:bidi="ar"/>
              </w:rPr>
              <w:t>增值税</w:t>
            </w:r>
          </w:p>
        </w:tc>
      </w:tr>
    </w:tbl>
    <w:p w14:paraId="6A6A0CCF">
      <w:pPr>
        <w:pStyle w:val="4"/>
        <w:keepNext w:val="0"/>
        <w:keepLines w:val="0"/>
        <w:numPr>
          <w:ilvl w:val="1"/>
          <w:numId w:val="29"/>
        </w:numPr>
        <w:spacing w:before="0" w:after="0" w:line="360" w:lineRule="auto"/>
        <w:ind w:left="-8" w:leftChars="0" w:firstLine="219" w:firstLineChars="0"/>
        <w:rPr>
          <w:rFonts w:hint="eastAsia" w:asciiTheme="minorEastAsia" w:hAnsiTheme="minorEastAsia" w:eastAsiaTheme="minorEastAsia" w:cstheme="minorEastAsia"/>
          <w:b w:val="0"/>
          <w:bCs/>
          <w:i w:val="0"/>
          <w:iCs w:val="0"/>
          <w:color w:val="000000"/>
          <w:kern w:val="0"/>
          <w:sz w:val="24"/>
          <w:szCs w:val="24"/>
          <w:highlight w:val="none"/>
          <w:lang w:val="en-US" w:eastAsia="zh-CN" w:bidi="ar"/>
        </w:rPr>
      </w:pPr>
      <w:bookmarkStart w:id="114" w:name="_Toc9456"/>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交货期开始时间：</w:t>
      </w:r>
      <w:r>
        <w:rPr>
          <w:rFonts w:hint="eastAsia" w:asciiTheme="minorEastAsia" w:hAnsiTheme="minorEastAsia" w:eastAsiaTheme="minorEastAsia" w:cstheme="minorEastAsia"/>
          <w:b w:val="0"/>
          <w:bCs/>
          <w:i w:val="0"/>
          <w:iCs w:val="0"/>
          <w:color w:val="000000"/>
          <w:kern w:val="0"/>
          <w:sz w:val="24"/>
          <w:szCs w:val="24"/>
          <w:highlight w:val="none"/>
          <w:lang w:val="en-US" w:eastAsia="zh-CN" w:bidi="ar"/>
        </w:rPr>
        <w:t>双方确认的订单下达次日为开始时间。</w:t>
      </w:r>
      <w:bookmarkEnd w:id="114"/>
    </w:p>
    <w:p w14:paraId="266BF698">
      <w:pPr>
        <w:pStyle w:val="4"/>
        <w:keepNext w:val="0"/>
        <w:keepLines w:val="0"/>
        <w:numPr>
          <w:ilvl w:val="1"/>
          <w:numId w:val="29"/>
        </w:numPr>
        <w:spacing w:before="0" w:after="0" w:line="360" w:lineRule="auto"/>
        <w:ind w:left="-8" w:leftChars="0" w:firstLine="219" w:firstLineChars="0"/>
        <w:rPr>
          <w:rFonts w:hint="eastAsia" w:asciiTheme="minorEastAsia" w:hAnsiTheme="minorEastAsia" w:eastAsiaTheme="minorEastAsia" w:cstheme="minorEastAsia"/>
          <w:highlight w:val="none"/>
        </w:rPr>
      </w:pPr>
      <w:bookmarkStart w:id="115" w:name="_Toc6454"/>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交货数量：</w:t>
      </w:r>
      <w:r>
        <w:rPr>
          <w:rFonts w:hint="eastAsia" w:asciiTheme="minorEastAsia" w:hAnsiTheme="minorEastAsia" w:eastAsiaTheme="minorEastAsia" w:cstheme="minorEastAsia"/>
          <w:b w:val="0"/>
          <w:sz w:val="24"/>
          <w:highlight w:val="none"/>
          <w:lang w:val="en-US" w:eastAsia="zh-CN"/>
        </w:rPr>
        <w:t>生产计划订单确定</w:t>
      </w:r>
      <w:r>
        <w:rPr>
          <w:rFonts w:hint="eastAsia" w:asciiTheme="minorEastAsia" w:hAnsiTheme="minorEastAsia" w:eastAsiaTheme="minorEastAsia" w:cstheme="minorEastAsia"/>
          <w:b w:val="0"/>
          <w:sz w:val="24"/>
          <w:highlight w:val="none"/>
        </w:rPr>
        <w:t>。</w:t>
      </w:r>
      <w:bookmarkEnd w:id="115"/>
      <w:r>
        <w:rPr>
          <w:rFonts w:hint="eastAsia" w:asciiTheme="minorEastAsia" w:hAnsiTheme="minorEastAsia" w:eastAsiaTheme="minorEastAsia" w:cstheme="minorEastAsia"/>
          <w:b w:val="0"/>
          <w:sz w:val="24"/>
          <w:highlight w:val="none"/>
        </w:rPr>
        <w:t xml:space="preserve">   </w:t>
      </w:r>
    </w:p>
    <w:p w14:paraId="2554B763">
      <w:pPr>
        <w:pStyle w:val="4"/>
        <w:keepNext w:val="0"/>
        <w:keepLines w:val="0"/>
        <w:widowControl/>
        <w:numPr>
          <w:ilvl w:val="1"/>
          <w:numId w:val="29"/>
        </w:numPr>
        <w:suppressLineNumbers w:val="0"/>
        <w:ind w:left="-8" w:firstLine="219" w:firstLineChars="0"/>
        <w:jc w:val="left"/>
        <w:rPr>
          <w:rFonts w:hint="eastAsia" w:asciiTheme="minorEastAsia" w:hAnsiTheme="minorEastAsia" w:eastAsiaTheme="minorEastAsia" w:cstheme="minorEastAsia"/>
          <w:b w:val="0"/>
          <w:bCs/>
          <w:i w:val="0"/>
          <w:iCs w:val="0"/>
          <w:highlight w:val="none"/>
        </w:rPr>
      </w:pPr>
      <w:bookmarkStart w:id="116" w:name="_Toc24592"/>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价格调整： </w:t>
      </w:r>
      <w:r>
        <w:rPr>
          <w:rFonts w:hint="eastAsia" w:asciiTheme="minorEastAsia" w:hAnsiTheme="minorEastAsia" w:eastAsiaTheme="minorEastAsia" w:cstheme="minorEastAsia"/>
          <w:b w:val="0"/>
          <w:bCs/>
          <w:i w:val="0"/>
          <w:iCs w:val="0"/>
          <w:color w:val="000000"/>
          <w:kern w:val="0"/>
          <w:sz w:val="24"/>
          <w:szCs w:val="24"/>
          <w:highlight w:val="none"/>
          <w:lang w:val="en-US" w:eastAsia="zh-CN" w:bidi="ar"/>
        </w:rPr>
        <w:t>该价格在合作协议有效期内不得随意涨价，如遇原材料市场行情出现大</w:t>
      </w:r>
      <w:bookmarkEnd w:id="116"/>
      <w:r>
        <w:rPr>
          <w:rFonts w:hint="eastAsia" w:asciiTheme="minorEastAsia" w:hAnsiTheme="minorEastAsia" w:eastAsiaTheme="minorEastAsia" w:cstheme="minorEastAsia"/>
          <w:b w:val="0"/>
          <w:bCs/>
          <w:i w:val="0"/>
          <w:iCs w:val="0"/>
          <w:color w:val="000000"/>
          <w:kern w:val="0"/>
          <w:sz w:val="24"/>
          <w:szCs w:val="24"/>
          <w:highlight w:val="none"/>
          <w:lang w:val="en-US" w:eastAsia="zh-CN" w:bidi="ar"/>
        </w:rPr>
        <w:t>幅波动，乙方无法自行吸收这部分差价，则需要提前 4 周书面告知甲方。</w:t>
      </w:r>
    </w:p>
    <w:p w14:paraId="05AF2BF0">
      <w:pPr>
        <w:numPr>
          <w:ilvl w:val="0"/>
          <w:numId w:val="29"/>
        </w:numPr>
        <w:spacing w:line="360" w:lineRule="auto"/>
        <w:ind w:firstLineChars="0"/>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 xml:space="preserve"> 备货、送货要求</w:t>
      </w:r>
    </w:p>
    <w:p w14:paraId="2460853D">
      <w:pPr>
        <w:pStyle w:val="4"/>
        <w:keepNext w:val="0"/>
        <w:keepLines w:val="0"/>
        <w:numPr>
          <w:ilvl w:val="1"/>
          <w:numId w:val="29"/>
        </w:numPr>
        <w:spacing w:before="0" w:after="0" w:line="360" w:lineRule="auto"/>
        <w:ind w:left="-8" w:leftChars="0" w:firstLine="219" w:firstLineChars="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甲方有两个计划：</w:t>
      </w:r>
      <w:r>
        <w:rPr>
          <w:rFonts w:hint="eastAsia" w:ascii="宋体" w:hAnsi="宋体" w:eastAsia="宋体" w:cs="宋体"/>
          <w:b/>
          <w:bCs w:val="0"/>
          <w:color w:val="auto"/>
          <w:sz w:val="28"/>
          <w:szCs w:val="28"/>
          <w:lang w:val="en-US" w:eastAsia="zh-CN"/>
        </w:rPr>
        <w:t>采购计划</w:t>
      </w:r>
      <w:r>
        <w:rPr>
          <w:rFonts w:hint="eastAsia" w:ascii="宋体" w:hAnsi="宋体" w:eastAsia="宋体" w:cs="宋体"/>
          <w:b w:val="0"/>
          <w:bCs/>
          <w:color w:val="auto"/>
          <w:sz w:val="24"/>
          <w:lang w:val="en-US" w:eastAsia="zh-CN"/>
        </w:rPr>
        <w:t>一般是根据市场情况制定的后续3个月备货计划，乙方收到采购计划后根据本公司的生产与采购实际进行规划备货。对有采购计划备货因甲方原因造成不要等情况，原则双方协商解决，解决不了的损失由甲方承担。</w:t>
      </w:r>
      <w:r>
        <w:rPr>
          <w:rFonts w:hint="eastAsia" w:ascii="宋体" w:hAnsi="宋体" w:eastAsia="宋体" w:cs="宋体"/>
          <w:b/>
          <w:bCs w:val="0"/>
          <w:color w:val="auto"/>
          <w:sz w:val="28"/>
          <w:szCs w:val="28"/>
          <w:lang w:val="en-US" w:eastAsia="zh-CN"/>
        </w:rPr>
        <w:t>生产计划</w:t>
      </w:r>
      <w:r>
        <w:rPr>
          <w:rFonts w:hint="eastAsia" w:ascii="宋体" w:hAnsi="宋体" w:eastAsia="宋体" w:cs="宋体"/>
          <w:b w:val="0"/>
          <w:bCs/>
          <w:color w:val="auto"/>
          <w:sz w:val="24"/>
          <w:lang w:val="en-US" w:eastAsia="zh-CN"/>
        </w:rPr>
        <w:t>是当月需要执行的计划，乙方收到生产计划后及时对采购计划进行分解后进行送货。</w:t>
      </w:r>
    </w:p>
    <w:p w14:paraId="3F5881BD">
      <w:pPr>
        <w:pStyle w:val="4"/>
        <w:keepNext w:val="0"/>
        <w:keepLines w:val="0"/>
        <w:numPr>
          <w:ilvl w:val="1"/>
          <w:numId w:val="29"/>
        </w:numPr>
        <w:spacing w:before="0" w:after="0" w:line="360" w:lineRule="auto"/>
        <w:ind w:left="-8" w:leftChars="0" w:firstLine="219" w:firstLineChars="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甲方提供了采购计划的，且满足</w:t>
      </w:r>
      <w:r>
        <w:rPr>
          <w:rFonts w:hint="eastAsia" w:ascii="宋体" w:hAnsi="宋体" w:eastAsia="宋体" w:cs="宋体"/>
          <w:b w:val="0"/>
          <w:bCs/>
          <w:color w:val="auto"/>
          <w:sz w:val="24"/>
          <w:lang w:val="en-US" w:eastAsia="zh-CN"/>
        </w:rPr>
        <w:fldChar w:fldCharType="begin"/>
      </w:r>
      <w:r>
        <w:rPr>
          <w:rFonts w:hint="eastAsia" w:ascii="宋体" w:hAnsi="宋体" w:eastAsia="宋体" w:cs="宋体"/>
          <w:b w:val="0"/>
          <w:bCs/>
          <w:color w:val="auto"/>
          <w:sz w:val="24"/>
          <w:lang w:val="en-US" w:eastAsia="zh-CN"/>
        </w:rPr>
        <w:instrText xml:space="preserve"> REF _Ref29560 \h </w:instrText>
      </w:r>
      <w:r>
        <w:rPr>
          <w:rFonts w:hint="eastAsia" w:ascii="宋体" w:hAnsi="宋体" w:eastAsia="宋体" w:cs="宋体"/>
          <w:b w:val="0"/>
          <w:bCs/>
          <w:color w:val="auto"/>
          <w:sz w:val="24"/>
          <w:lang w:val="en-US" w:eastAsia="zh-CN"/>
        </w:rPr>
        <w:fldChar w:fldCharType="separate"/>
      </w:r>
      <w:r>
        <w:rPr>
          <w:rFonts w:hint="eastAsia" w:eastAsia="宋体"/>
          <w:b w:val="0"/>
          <w:bCs/>
          <w:color w:val="auto"/>
          <w:sz w:val="24"/>
          <w:lang w:eastAsia="zh-CN"/>
        </w:rPr>
        <w:t>表 1</w:t>
      </w:r>
      <w:r>
        <w:rPr>
          <w:rFonts w:hint="eastAsia" w:ascii="宋体" w:hAnsi="宋体" w:eastAsia="宋体" w:cs="宋体"/>
          <w:b w:val="0"/>
          <w:bCs/>
          <w:color w:val="auto"/>
          <w:sz w:val="24"/>
          <w:lang w:val="en-US" w:eastAsia="zh-CN"/>
        </w:rPr>
        <w:fldChar w:fldCharType="end"/>
      </w:r>
      <w:r>
        <w:rPr>
          <w:rFonts w:hint="eastAsia" w:ascii="宋体" w:hAnsi="宋体" w:eastAsia="宋体" w:cs="宋体"/>
          <w:b w:val="0"/>
          <w:bCs/>
          <w:color w:val="auto"/>
          <w:sz w:val="24"/>
          <w:lang w:val="en-US" w:eastAsia="zh-CN"/>
        </w:rPr>
        <w:t>乙方承诺交货</w:t>
      </w:r>
      <w:r>
        <w:rPr>
          <w:rFonts w:hint="eastAsia" w:ascii="宋体" w:hAnsi="宋体" w:eastAsia="宋体" w:cs="宋体"/>
          <w:b w:val="0"/>
          <w:bCs/>
          <w:color w:val="auto"/>
          <w:sz w:val="24"/>
          <w:highlight w:val="none"/>
          <w:lang w:val="en-US" w:eastAsia="zh-CN"/>
        </w:rPr>
        <w:t>日期的，要求按生产计划在   个工作日内送达指定地点。若甲方没有提供采购计划的或者提供</w:t>
      </w:r>
      <w:r>
        <w:rPr>
          <w:rFonts w:hint="eastAsia" w:eastAsia="宋体" w:cs="宋体"/>
          <w:b w:val="0"/>
          <w:bCs/>
          <w:color w:val="auto"/>
          <w:sz w:val="24"/>
          <w:highlight w:val="none"/>
          <w:lang w:val="en-US" w:eastAsia="zh-CN"/>
        </w:rPr>
        <w:t>的</w:t>
      </w:r>
      <w:r>
        <w:rPr>
          <w:rFonts w:hint="eastAsia" w:ascii="宋体" w:hAnsi="宋体" w:eastAsia="宋体" w:cs="宋体"/>
          <w:b w:val="0"/>
          <w:bCs/>
          <w:color w:val="auto"/>
          <w:sz w:val="24"/>
          <w:highlight w:val="none"/>
          <w:lang w:val="en-US" w:eastAsia="zh-CN"/>
        </w:rPr>
        <w:t>采购计划不满足</w:t>
      </w:r>
      <w:r>
        <w:rPr>
          <w:rFonts w:hint="eastAsia" w:ascii="宋体" w:hAnsi="宋体" w:eastAsia="宋体" w:cs="宋体"/>
          <w:b w:val="0"/>
          <w:bCs/>
          <w:color w:val="auto"/>
          <w:sz w:val="24"/>
          <w:highlight w:val="none"/>
          <w:lang w:val="en-US" w:eastAsia="zh-CN"/>
        </w:rPr>
        <w:fldChar w:fldCharType="begin"/>
      </w:r>
      <w:r>
        <w:rPr>
          <w:rFonts w:hint="eastAsia" w:ascii="宋体" w:hAnsi="宋体" w:eastAsia="宋体" w:cs="宋体"/>
          <w:b w:val="0"/>
          <w:bCs/>
          <w:color w:val="auto"/>
          <w:sz w:val="24"/>
          <w:highlight w:val="none"/>
          <w:lang w:val="en-US" w:eastAsia="zh-CN"/>
        </w:rPr>
        <w:instrText xml:space="preserve"> REF _Ref29560 \h </w:instrText>
      </w:r>
      <w:r>
        <w:rPr>
          <w:rFonts w:hint="eastAsia" w:ascii="宋体" w:hAnsi="宋体" w:eastAsia="宋体" w:cs="宋体"/>
          <w:b w:val="0"/>
          <w:bCs/>
          <w:color w:val="auto"/>
          <w:sz w:val="24"/>
          <w:highlight w:val="none"/>
          <w:lang w:val="en-US" w:eastAsia="zh-CN"/>
        </w:rPr>
        <w:fldChar w:fldCharType="separate"/>
      </w:r>
      <w:r>
        <w:rPr>
          <w:rFonts w:hint="eastAsia" w:ascii="宋体" w:hAnsi="宋体" w:eastAsia="宋体" w:cs="宋体"/>
          <w:b w:val="0"/>
          <w:bCs/>
          <w:color w:val="auto"/>
          <w:sz w:val="24"/>
          <w:highlight w:val="none"/>
          <w:lang w:eastAsia="zh-CN"/>
        </w:rPr>
        <w:t>表 1</w:t>
      </w:r>
      <w:r>
        <w:rPr>
          <w:rFonts w:hint="eastAsia" w:ascii="宋体" w:hAnsi="宋体" w:eastAsia="宋体" w:cs="宋体"/>
          <w:b w:val="0"/>
          <w:bCs/>
          <w:color w:val="auto"/>
          <w:sz w:val="24"/>
          <w:highlight w:val="none"/>
          <w:lang w:val="en-US" w:eastAsia="zh-CN"/>
        </w:rPr>
        <w:fldChar w:fldCharType="end"/>
      </w:r>
      <w:r>
        <w:rPr>
          <w:rFonts w:hint="eastAsia" w:ascii="宋体" w:hAnsi="宋体" w:eastAsia="宋体" w:cs="宋体"/>
          <w:b w:val="0"/>
          <w:bCs/>
          <w:color w:val="auto"/>
          <w:sz w:val="24"/>
          <w:highlight w:val="none"/>
          <w:lang w:val="en-US" w:eastAsia="zh-CN"/>
        </w:rPr>
        <w:t>的交货日期要求的，收到生产计划后按</w:t>
      </w:r>
      <w:r>
        <w:rPr>
          <w:rFonts w:hint="eastAsia" w:ascii="宋体" w:hAnsi="宋体" w:eastAsia="宋体" w:cs="宋体"/>
          <w:b w:val="0"/>
          <w:bCs/>
          <w:color w:val="auto"/>
          <w:sz w:val="24"/>
          <w:highlight w:val="none"/>
          <w:lang w:val="en-US" w:eastAsia="zh-CN"/>
        </w:rPr>
        <w:fldChar w:fldCharType="begin"/>
      </w:r>
      <w:r>
        <w:rPr>
          <w:rFonts w:hint="eastAsia" w:ascii="宋体" w:hAnsi="宋体" w:eastAsia="宋体" w:cs="宋体"/>
          <w:b w:val="0"/>
          <w:bCs/>
          <w:color w:val="auto"/>
          <w:sz w:val="24"/>
          <w:highlight w:val="none"/>
          <w:lang w:val="en-US" w:eastAsia="zh-CN"/>
        </w:rPr>
        <w:instrText xml:space="preserve"> REF _Ref29560 \h </w:instrText>
      </w:r>
      <w:r>
        <w:rPr>
          <w:rFonts w:hint="eastAsia" w:ascii="宋体" w:hAnsi="宋体" w:eastAsia="宋体" w:cs="宋体"/>
          <w:b w:val="0"/>
          <w:bCs/>
          <w:color w:val="auto"/>
          <w:sz w:val="24"/>
          <w:highlight w:val="none"/>
          <w:lang w:val="en-US" w:eastAsia="zh-CN"/>
        </w:rPr>
        <w:fldChar w:fldCharType="separate"/>
      </w:r>
      <w:r>
        <w:rPr>
          <w:rFonts w:hint="eastAsia" w:ascii="宋体" w:hAnsi="宋体" w:eastAsia="宋体" w:cs="宋体"/>
          <w:b w:val="0"/>
          <w:bCs/>
          <w:color w:val="auto"/>
          <w:sz w:val="24"/>
          <w:highlight w:val="none"/>
          <w:lang w:eastAsia="zh-CN"/>
        </w:rPr>
        <w:t>表 1</w:t>
      </w:r>
      <w:r>
        <w:rPr>
          <w:rFonts w:hint="eastAsia" w:ascii="宋体" w:hAnsi="宋体" w:eastAsia="宋体" w:cs="宋体"/>
          <w:b w:val="0"/>
          <w:bCs/>
          <w:color w:val="auto"/>
          <w:sz w:val="24"/>
          <w:highlight w:val="none"/>
          <w:lang w:val="en-US" w:eastAsia="zh-CN"/>
        </w:rPr>
        <w:fldChar w:fldCharType="end"/>
      </w:r>
      <w:r>
        <w:rPr>
          <w:rFonts w:hint="eastAsia" w:ascii="宋体" w:hAnsi="宋体" w:eastAsia="宋体" w:cs="宋体"/>
          <w:b w:val="0"/>
          <w:bCs/>
          <w:color w:val="auto"/>
          <w:sz w:val="24"/>
          <w:highlight w:val="none"/>
          <w:lang w:val="en-US" w:eastAsia="zh-CN"/>
        </w:rPr>
        <w:t>承诺的交货日期送达到指定地点。</w:t>
      </w:r>
    </w:p>
    <w:p w14:paraId="625854D7">
      <w:pPr>
        <w:pStyle w:val="4"/>
        <w:keepNext w:val="0"/>
        <w:keepLines w:val="0"/>
        <w:numPr>
          <w:ilvl w:val="1"/>
          <w:numId w:val="29"/>
        </w:numPr>
        <w:spacing w:before="0" w:after="0" w:line="360" w:lineRule="auto"/>
        <w:ind w:left="-8" w:leftChars="0" w:firstLine="219" w:firstLineChars="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乙方在按生产计划送货时应按采购计划先到的先送。</w:t>
      </w:r>
    </w:p>
    <w:p w14:paraId="258998F9">
      <w:pPr>
        <w:pStyle w:val="4"/>
        <w:keepNext w:val="0"/>
        <w:keepLines w:val="0"/>
        <w:numPr>
          <w:ilvl w:val="1"/>
          <w:numId w:val="29"/>
        </w:numPr>
        <w:spacing w:before="0" w:after="0" w:line="360" w:lineRule="auto"/>
        <w:ind w:left="-8" w:leftChars="0" w:firstLine="219" w:firstLineChars="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乙方将</w:t>
      </w:r>
      <w:r>
        <w:rPr>
          <w:rFonts w:hint="eastAsia" w:eastAsia="宋体" w:cs="宋体"/>
          <w:b w:val="0"/>
          <w:bCs/>
          <w:color w:val="auto"/>
          <w:sz w:val="24"/>
          <w:lang w:val="en-US" w:eastAsia="zh-CN"/>
        </w:rPr>
        <w:t>货物</w:t>
      </w:r>
      <w:r>
        <w:rPr>
          <w:rFonts w:hint="eastAsia" w:ascii="宋体" w:hAnsi="宋体" w:eastAsia="宋体" w:cs="宋体"/>
          <w:b w:val="0"/>
          <w:bCs/>
          <w:color w:val="auto"/>
          <w:sz w:val="24"/>
          <w:lang w:val="en-US" w:eastAsia="zh-CN"/>
        </w:rPr>
        <w:t>送达到</w:t>
      </w:r>
      <w:r>
        <w:rPr>
          <w:rFonts w:hint="eastAsia" w:eastAsia="宋体" w:cs="宋体"/>
          <w:b w:val="0"/>
          <w:bCs/>
          <w:color w:val="auto"/>
          <w:sz w:val="24"/>
          <w:lang w:val="en-US" w:eastAsia="zh-CN"/>
        </w:rPr>
        <w:t>甲方</w:t>
      </w:r>
      <w:r>
        <w:rPr>
          <w:rFonts w:hint="eastAsia" w:ascii="宋体" w:hAnsi="宋体" w:eastAsia="宋体" w:cs="宋体"/>
          <w:b w:val="0"/>
          <w:bCs/>
          <w:color w:val="auto"/>
          <w:sz w:val="24"/>
          <w:lang w:val="en-US" w:eastAsia="zh-CN"/>
        </w:rPr>
        <w:t>指定地点</w:t>
      </w:r>
      <w:r>
        <w:rPr>
          <w:rFonts w:hint="eastAsia" w:eastAsia="宋体" w:cs="宋体"/>
          <w:b w:val="0"/>
          <w:bCs/>
          <w:color w:val="auto"/>
          <w:sz w:val="24"/>
          <w:lang w:val="en-US" w:eastAsia="zh-CN"/>
        </w:rPr>
        <w:t>的收货方在</w:t>
      </w:r>
      <w:r>
        <w:rPr>
          <w:rFonts w:hint="eastAsia" w:ascii="宋体" w:hAnsi="宋体" w:eastAsia="宋体" w:cs="宋体"/>
          <w:b w:val="0"/>
          <w:bCs/>
          <w:color w:val="auto"/>
          <w:sz w:val="24"/>
          <w:lang w:val="en-US" w:eastAsia="zh-CN"/>
        </w:rPr>
        <w:t>3个工作日内清点入库，对超过3个工作日的视为清点入库。乙方</w:t>
      </w:r>
      <w:r>
        <w:rPr>
          <w:rFonts w:hint="eastAsia" w:eastAsia="宋体" w:cs="宋体"/>
          <w:b w:val="0"/>
          <w:bCs/>
          <w:color w:val="auto"/>
          <w:sz w:val="24"/>
          <w:lang w:val="en-US" w:eastAsia="zh-CN"/>
        </w:rPr>
        <w:t>货物</w:t>
      </w:r>
      <w:r>
        <w:rPr>
          <w:rFonts w:hint="eastAsia" w:ascii="宋体" w:hAnsi="宋体" w:eastAsia="宋体" w:cs="宋体"/>
          <w:b w:val="0"/>
          <w:bCs/>
          <w:color w:val="auto"/>
          <w:sz w:val="24"/>
          <w:lang w:val="en-US" w:eastAsia="zh-CN"/>
        </w:rPr>
        <w:t>送达后应积极协调收货方及时清点入库，对超过3个工作日没有清点入库的收货方及时反馈甲方采购人员。</w:t>
      </w:r>
    </w:p>
    <w:p w14:paraId="2F78CB7E">
      <w:pPr>
        <w:numPr>
          <w:ilvl w:val="0"/>
          <w:numId w:val="29"/>
        </w:numPr>
        <w:spacing w:line="360" w:lineRule="auto"/>
        <w:ind w:left="0" w:leftChars="0" w:firstLine="239" w:firstLineChars="85"/>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双方联系人及问题反馈</w:t>
      </w:r>
    </w:p>
    <w:p w14:paraId="002E811F">
      <w:pPr>
        <w:pStyle w:val="4"/>
        <w:keepNext w:val="0"/>
        <w:keepLines w:val="0"/>
        <w:numPr>
          <w:ilvl w:val="1"/>
          <w:numId w:val="29"/>
        </w:numPr>
        <w:spacing w:before="0" w:after="0" w:line="360" w:lineRule="auto"/>
        <w:ind w:left="-8" w:leftChars="0" w:firstLine="219" w:firstLineChars="0"/>
        <w:rPr>
          <w:rFonts w:hint="eastAsia" w:asciiTheme="minorEastAsia" w:hAnsiTheme="minorEastAsia" w:eastAsiaTheme="minorEastAsia" w:cstheme="minorEastAsia"/>
          <w:sz w:val="24"/>
          <w:highlight w:val="none"/>
        </w:rPr>
      </w:pPr>
      <w:bookmarkStart w:id="117" w:name="_Toc30638"/>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双方联系人</w:t>
      </w:r>
      <w:bookmarkEnd w:id="117"/>
    </w:p>
    <w:p w14:paraId="7F9951E1">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为提高工作效率，减少合作过程中因多重沟通造成的重复性工作，双方在合作期间对双方的联系人相对固定，若有变化及时通知对方。</w:t>
      </w:r>
    </w:p>
    <w:tbl>
      <w:tblPr>
        <w:tblStyle w:val="88"/>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2"/>
        <w:gridCol w:w="3792"/>
      </w:tblGrid>
      <w:tr w14:paraId="7288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4" w:type="dxa"/>
            <w:noWrap w:val="0"/>
            <w:vAlign w:val="top"/>
          </w:tcPr>
          <w:p w14:paraId="7DF553A9">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甲方联系人</w:t>
            </w:r>
          </w:p>
        </w:tc>
        <w:tc>
          <w:tcPr>
            <w:tcW w:w="4460" w:type="dxa"/>
            <w:noWrap w:val="0"/>
            <w:vAlign w:val="top"/>
          </w:tcPr>
          <w:p w14:paraId="09E077FD">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乙方联系人</w:t>
            </w:r>
          </w:p>
        </w:tc>
      </w:tr>
      <w:tr w14:paraId="7346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4" w:type="dxa"/>
            <w:noWrap w:val="0"/>
            <w:vAlign w:val="top"/>
          </w:tcPr>
          <w:p w14:paraId="7EB884F5">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主要联系人：</w:t>
            </w:r>
          </w:p>
          <w:p w14:paraId="00D19EA6">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姓名：</w:t>
            </w:r>
          </w:p>
          <w:p w14:paraId="337B8990">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职务：</w:t>
            </w:r>
          </w:p>
          <w:p w14:paraId="357599F4">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w:t>
            </w:r>
          </w:p>
          <w:p w14:paraId="143535E5">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上级联系人：</w:t>
            </w:r>
          </w:p>
          <w:p w14:paraId="5A2DA716">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姓名：</w:t>
            </w:r>
          </w:p>
          <w:p w14:paraId="0E1F7F25">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职务：</w:t>
            </w:r>
          </w:p>
          <w:p w14:paraId="4F84500E">
            <w:pPr>
              <w:spacing w:line="360" w:lineRule="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电话：</w:t>
            </w:r>
          </w:p>
        </w:tc>
        <w:tc>
          <w:tcPr>
            <w:tcW w:w="4460" w:type="dxa"/>
            <w:noWrap w:val="0"/>
            <w:vAlign w:val="top"/>
          </w:tcPr>
          <w:p w14:paraId="2EA7F301">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主要联系人：</w:t>
            </w:r>
          </w:p>
          <w:p w14:paraId="2BACF9B8">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姓名：</w:t>
            </w:r>
          </w:p>
          <w:p w14:paraId="23A00698">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职务：</w:t>
            </w:r>
          </w:p>
          <w:p w14:paraId="37DC834A">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w:t>
            </w:r>
          </w:p>
          <w:p w14:paraId="067BB766">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上级联系人：</w:t>
            </w:r>
          </w:p>
          <w:p w14:paraId="2DF7A534">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姓名：</w:t>
            </w:r>
          </w:p>
          <w:p w14:paraId="56B2CDBE">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职务：</w:t>
            </w:r>
          </w:p>
          <w:p w14:paraId="5E443CAC">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w:t>
            </w:r>
          </w:p>
        </w:tc>
      </w:tr>
    </w:tbl>
    <w:p w14:paraId="27007659">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说明：分院为加强管理，对非技术性变更及要求均由指定联系人与贵公司进行对接方能有效；</w:t>
      </w:r>
      <w:r>
        <w:rPr>
          <w:rFonts w:hint="eastAsia" w:asciiTheme="minorEastAsia" w:hAnsiTheme="minorEastAsia" w:eastAsiaTheme="minorEastAsia" w:cstheme="minorEastAsia"/>
          <w:sz w:val="24"/>
          <w:highlight w:val="none"/>
          <w:lang w:eastAsia="zh-CN"/>
        </w:rPr>
        <w:t>若</w:t>
      </w:r>
      <w:r>
        <w:rPr>
          <w:rFonts w:hint="eastAsia" w:asciiTheme="minorEastAsia" w:hAnsiTheme="minorEastAsia" w:eastAsiaTheme="minorEastAsia" w:cstheme="minorEastAsia"/>
          <w:sz w:val="24"/>
          <w:highlight w:val="none"/>
        </w:rPr>
        <w:t>技术性变更由具体技术人员进行对接，技术同意变更后应及时通知联系人进行备案，否则造成的损失由乙方负责。</w:t>
      </w:r>
    </w:p>
    <w:p w14:paraId="0E83BA6A">
      <w:pPr>
        <w:pStyle w:val="4"/>
        <w:keepNext w:val="0"/>
        <w:keepLines w:val="0"/>
        <w:numPr>
          <w:ilvl w:val="1"/>
          <w:numId w:val="29"/>
        </w:numPr>
        <w:spacing w:before="0" w:after="0" w:line="360" w:lineRule="auto"/>
        <w:ind w:left="-8" w:leftChars="0" w:firstLine="219" w:firstLineChars="0"/>
        <w:rPr>
          <w:rFonts w:hint="eastAsia" w:asciiTheme="minorEastAsia" w:hAnsiTheme="minorEastAsia" w:eastAsiaTheme="minorEastAsia" w:cstheme="minorEastAsia"/>
          <w:sz w:val="24"/>
          <w:highlight w:val="none"/>
        </w:rPr>
      </w:pPr>
      <w:bookmarkStart w:id="118" w:name="_Toc9921"/>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问题反馈</w:t>
      </w:r>
      <w:bookmarkEnd w:id="118"/>
    </w:p>
    <w:p w14:paraId="4F2E2299">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在合作过程中存在问题，乙方应及时向负责贵单位的采购人员进行沟通，若问题得不到及时解决，可向采购部负责人反馈或向分院领导反馈。采购部负责人或分院领导收到反馈后</w:t>
      </w:r>
      <w:r>
        <w:rPr>
          <w:rFonts w:hint="eastAsia" w:asciiTheme="minorEastAsia" w:hAnsiTheme="minorEastAsia" w:eastAsiaTheme="minorEastAsia" w:cstheme="minorEastAsia"/>
          <w:sz w:val="24"/>
          <w:highlight w:val="none"/>
          <w:lang w:eastAsia="zh-CN"/>
        </w:rPr>
        <w:t>应在</w:t>
      </w:r>
      <w:r>
        <w:rPr>
          <w:rFonts w:hint="eastAsia" w:asciiTheme="minorEastAsia" w:hAnsiTheme="minorEastAsia" w:eastAsiaTheme="minorEastAsia" w:cstheme="minorEastAsia"/>
          <w:sz w:val="24"/>
          <w:highlight w:val="none"/>
        </w:rPr>
        <w:t>3个工作日内回复。</w:t>
      </w:r>
    </w:p>
    <w:p w14:paraId="0BC6CD8F">
      <w:pPr>
        <w:numPr>
          <w:ilvl w:val="0"/>
          <w:numId w:val="29"/>
        </w:numPr>
        <w:spacing w:line="360" w:lineRule="auto"/>
        <w:ind w:left="0" w:leftChars="0" w:firstLine="239" w:firstLineChars="85"/>
        <w:rPr>
          <w:rFonts w:hint="eastAsia" w:asciiTheme="minorEastAsia" w:hAnsiTheme="minorEastAsia" w:eastAsiaTheme="minorEastAsia" w:cstheme="minorEastAsia"/>
          <w:b/>
          <w:sz w:val="28"/>
          <w:szCs w:val="28"/>
          <w:highlight w:val="none"/>
        </w:rPr>
      </w:pPr>
      <w:bookmarkStart w:id="119" w:name="_Ref3865"/>
      <w:r>
        <w:rPr>
          <w:rFonts w:hint="eastAsia" w:asciiTheme="minorEastAsia" w:hAnsiTheme="minorEastAsia" w:eastAsiaTheme="minorEastAsia" w:cstheme="minorEastAsia"/>
          <w:b/>
          <w:sz w:val="28"/>
          <w:szCs w:val="28"/>
          <w:highlight w:val="none"/>
        </w:rPr>
        <w:t>质量标准</w:t>
      </w:r>
      <w:bookmarkEnd w:id="119"/>
    </w:p>
    <w:p w14:paraId="449B6C66">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20" w:name="_Toc18547"/>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乙方必须严格按</w:t>
      </w:r>
      <w:r>
        <w:rPr>
          <w:rFonts w:hint="eastAsia" w:asciiTheme="minorEastAsia" w:hAnsiTheme="minorEastAsia" w:eastAsiaTheme="minorEastAsia" w:cstheme="minorEastAsia"/>
          <w:b w:val="0"/>
          <w:sz w:val="24"/>
          <w:highlight w:val="none"/>
        </w:rPr>
        <w:fldChar w:fldCharType="begin"/>
      </w:r>
      <w:r>
        <w:rPr>
          <w:rFonts w:hint="eastAsia" w:asciiTheme="minorEastAsia" w:hAnsiTheme="minorEastAsia" w:eastAsiaTheme="minorEastAsia" w:cstheme="minorEastAsia"/>
          <w:b w:val="0"/>
          <w:sz w:val="24"/>
          <w:highlight w:val="none"/>
        </w:rPr>
        <w:instrText xml:space="preserve"> REF _Ref22682 \r \h </w:instrText>
      </w:r>
      <w:r>
        <w:rPr>
          <w:rFonts w:hint="eastAsia" w:asciiTheme="minorEastAsia" w:hAnsiTheme="minorEastAsia" w:eastAsiaTheme="minorEastAsia" w:cstheme="minorEastAsia"/>
          <w:b w:val="0"/>
          <w:sz w:val="24"/>
          <w:highlight w:val="none"/>
        </w:rPr>
        <w:fldChar w:fldCharType="separate"/>
      </w:r>
      <w:r>
        <w:rPr>
          <w:rFonts w:hint="eastAsia" w:asciiTheme="minorEastAsia" w:hAnsiTheme="minorEastAsia" w:eastAsiaTheme="minorEastAsia" w:cstheme="minorEastAsia"/>
          <w:b w:val="0"/>
          <w:sz w:val="24"/>
          <w:highlight w:val="none"/>
        </w:rPr>
        <w:t>第一条1.1</w:t>
      </w:r>
      <w:r>
        <w:rPr>
          <w:rFonts w:hint="eastAsia" w:asciiTheme="minorEastAsia" w:hAnsiTheme="minorEastAsia" w:eastAsiaTheme="minorEastAsia" w:cstheme="minorEastAsia"/>
          <w:b w:val="0"/>
          <w:sz w:val="24"/>
          <w:highlight w:val="none"/>
        </w:rPr>
        <w:fldChar w:fldCharType="end"/>
      </w:r>
      <w:r>
        <w:rPr>
          <w:rFonts w:hint="eastAsia" w:asciiTheme="minorEastAsia" w:hAnsiTheme="minorEastAsia" w:eastAsiaTheme="minorEastAsia" w:cstheme="minorEastAsia"/>
          <w:b w:val="0"/>
          <w:sz w:val="24"/>
          <w:highlight w:val="none"/>
        </w:rPr>
        <w:t>款约定的品牌、规格型号</w:t>
      </w:r>
      <w:r>
        <w:rPr>
          <w:rFonts w:hint="eastAsia" w:asciiTheme="minorEastAsia" w:hAnsiTheme="minorEastAsia" w:eastAsiaTheme="minorEastAsia" w:cstheme="minorEastAsia"/>
          <w:b w:val="0"/>
          <w:sz w:val="24"/>
          <w:highlight w:val="none"/>
          <w:lang w:eastAsia="zh-CN"/>
        </w:rPr>
        <w:t>、</w:t>
      </w:r>
      <w:r>
        <w:rPr>
          <w:rFonts w:hint="eastAsia" w:asciiTheme="minorEastAsia" w:hAnsiTheme="minorEastAsia" w:eastAsiaTheme="minorEastAsia" w:cstheme="minorEastAsia"/>
          <w:b w:val="0"/>
          <w:sz w:val="24"/>
          <w:highlight w:val="none"/>
          <w:lang w:val="en-US" w:eastAsia="zh-CN"/>
        </w:rPr>
        <w:t>封装</w:t>
      </w:r>
      <w:r>
        <w:rPr>
          <w:rFonts w:hint="eastAsia" w:asciiTheme="minorEastAsia" w:hAnsiTheme="minorEastAsia" w:eastAsiaTheme="minorEastAsia" w:cstheme="minorEastAsia"/>
          <w:b w:val="0"/>
          <w:sz w:val="24"/>
          <w:highlight w:val="none"/>
        </w:rPr>
        <w:t>等进行供货。乙方不得擅自更换，若确需更换须提供书面通知并提供样品经甲方技术人员测试，性能达标同意更换后方能更换，否则造成的损失由甲方负责。</w:t>
      </w:r>
      <w:bookmarkEnd w:id="120"/>
    </w:p>
    <w:p w14:paraId="117CA61A">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lang w:val="en-US" w:eastAsia="zh-CN"/>
        </w:rPr>
      </w:pPr>
      <w:bookmarkStart w:id="121" w:name="_Toc25741"/>
      <w:r>
        <w:rPr>
          <w:rFonts w:hint="eastAsia" w:asciiTheme="minorEastAsia" w:hAnsiTheme="minorEastAsia" w:eastAsiaTheme="minorEastAsia" w:cstheme="minorEastAsia"/>
          <w:b w:val="0"/>
          <w:sz w:val="24"/>
          <w:highlight w:val="none"/>
          <w:lang w:val="en-US" w:eastAsia="zh-CN"/>
        </w:rPr>
        <w:t xml:space="preserve"> 甲方明确了是受控件的，其生产厂家、品牌、型号等所有细节不得更换。</w:t>
      </w:r>
      <w:bookmarkEnd w:id="121"/>
    </w:p>
    <w:p w14:paraId="3A481D51">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22" w:name="_Toc8928"/>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乙方必须对提供的产品的知识产权负责，不得侵犯任何第三人的合法权益。</w:t>
      </w:r>
      <w:bookmarkEnd w:id="122"/>
    </w:p>
    <w:p w14:paraId="46171A24">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sz w:val="28"/>
          <w:szCs w:val="28"/>
          <w:highlight w:val="none"/>
        </w:rPr>
      </w:pPr>
      <w:bookmarkStart w:id="123" w:name="_Toc11635"/>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乙方需遵守相关环境保护、职业健康和安全法律法规的要求，所供产品及服务不得在甲方场所内造成环境污染、安全事故。</w:t>
      </w:r>
      <w:bookmarkEnd w:id="123"/>
    </w:p>
    <w:p w14:paraId="172913CC">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sz w:val="28"/>
          <w:szCs w:val="28"/>
          <w:highlight w:val="none"/>
        </w:rPr>
      </w:pPr>
      <w:bookmarkStart w:id="124" w:name="_Toc1217"/>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在本合作期限内合作单位若因为某种原因不愿意继续合作，须提前三个月书面通知甲方，便于甲方选择替代供应商</w:t>
      </w:r>
      <w:r>
        <w:rPr>
          <w:rFonts w:hint="eastAsia" w:asciiTheme="minorEastAsia" w:hAnsiTheme="minorEastAsia" w:eastAsiaTheme="minorEastAsia" w:cstheme="minorEastAsia"/>
          <w:b w:val="0"/>
          <w:sz w:val="24"/>
          <w:highlight w:val="none"/>
          <w:lang w:eastAsia="zh-CN"/>
        </w:rPr>
        <w:t>。</w:t>
      </w:r>
      <w:bookmarkEnd w:id="124"/>
    </w:p>
    <w:p w14:paraId="2C3B6F33">
      <w:pPr>
        <w:numPr>
          <w:ilvl w:val="0"/>
          <w:numId w:val="29"/>
        </w:numPr>
        <w:spacing w:line="360" w:lineRule="auto"/>
        <w:ind w:left="0" w:leftChars="0" w:firstLine="239" w:firstLineChars="85"/>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付款</w:t>
      </w:r>
    </w:p>
    <w:p w14:paraId="1A13CE54">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25" w:name="_Toc696"/>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乙方在每月20日之前开具13%增值税专用发票至甲方挂账。</w:t>
      </w:r>
      <w:bookmarkEnd w:id="125"/>
    </w:p>
    <w:p w14:paraId="26180345">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26" w:name="_Toc612"/>
      <w:bookmarkStart w:id="127" w:name="_Toc18204"/>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付款方式：挂账付款</w:t>
      </w:r>
      <w:r>
        <w:rPr>
          <w:rFonts w:hint="eastAsia" w:asciiTheme="minorEastAsia" w:hAnsiTheme="minorEastAsia" w:eastAsiaTheme="minorEastAsia" w:cstheme="minorEastAsia"/>
          <w:b w:val="0"/>
          <w:sz w:val="24"/>
          <w:highlight w:val="none"/>
          <w:lang w:val="en-US" w:eastAsia="zh-CN"/>
        </w:rPr>
        <w:t>账期  个月，当月挂账金额的10%作为质保金，可接受   %的承兑汇票。质保金质保到期后   个月内无息付清。</w:t>
      </w:r>
      <w:bookmarkEnd w:id="126"/>
    </w:p>
    <w:bookmarkEnd w:id="127"/>
    <w:p w14:paraId="5ED491B5">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28" w:name="_Toc23664"/>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如果</w:t>
      </w:r>
      <w:r>
        <w:rPr>
          <w:rFonts w:hint="eastAsia" w:asciiTheme="minorEastAsia" w:hAnsiTheme="minorEastAsia" w:eastAsiaTheme="minorEastAsia" w:cstheme="minorEastAsia"/>
          <w:b w:val="0"/>
          <w:sz w:val="24"/>
          <w:highlight w:val="none"/>
          <w:lang w:val="en-US" w:eastAsia="zh-CN"/>
        </w:rPr>
        <w:t>任何一方</w:t>
      </w:r>
      <w:r>
        <w:rPr>
          <w:rFonts w:hint="eastAsia" w:asciiTheme="minorEastAsia" w:hAnsiTheme="minorEastAsia" w:eastAsiaTheme="minorEastAsia" w:cstheme="minorEastAsia"/>
          <w:b w:val="0"/>
          <w:sz w:val="24"/>
          <w:highlight w:val="none"/>
        </w:rPr>
        <w:t>终止合作，</w:t>
      </w:r>
      <w:r>
        <w:rPr>
          <w:rFonts w:hint="eastAsia" w:asciiTheme="minorEastAsia" w:hAnsiTheme="minorEastAsia" w:eastAsiaTheme="minorEastAsia" w:cstheme="minorEastAsia"/>
          <w:b w:val="0"/>
          <w:sz w:val="24"/>
          <w:highlight w:val="none"/>
          <w:lang w:val="en-US" w:eastAsia="zh-CN"/>
        </w:rPr>
        <w:t>非质保金的</w:t>
      </w:r>
      <w:r>
        <w:rPr>
          <w:rFonts w:hint="eastAsia" w:asciiTheme="minorEastAsia" w:hAnsiTheme="minorEastAsia" w:eastAsiaTheme="minorEastAsia" w:cstheme="minorEastAsia"/>
          <w:b w:val="0"/>
          <w:sz w:val="24"/>
          <w:highlight w:val="none"/>
        </w:rPr>
        <w:t>尾款支付期限为</w:t>
      </w:r>
      <w:r>
        <w:rPr>
          <w:rFonts w:hint="eastAsia" w:asciiTheme="minorEastAsia" w:hAnsiTheme="minorEastAsia" w:eastAsiaTheme="minorEastAsia" w:cstheme="minorEastAsia"/>
          <w:b w:val="0"/>
          <w:sz w:val="24"/>
          <w:highlight w:val="none"/>
          <w:lang w:val="en-US" w:eastAsia="zh-CN"/>
        </w:rPr>
        <w:t>终止合作之日起</w:t>
      </w:r>
      <w:r>
        <w:rPr>
          <w:rFonts w:hint="eastAsia" w:asciiTheme="minorEastAsia" w:hAnsiTheme="minorEastAsia" w:eastAsiaTheme="minorEastAsia" w:cstheme="minorEastAsia"/>
          <w:b w:val="0"/>
          <w:sz w:val="24"/>
          <w:highlight w:val="none"/>
        </w:rPr>
        <w:t>6个月内</w:t>
      </w:r>
      <w:r>
        <w:rPr>
          <w:rFonts w:hint="eastAsia" w:asciiTheme="minorEastAsia" w:hAnsiTheme="minorEastAsia" w:eastAsiaTheme="minorEastAsia" w:cstheme="minorEastAsia"/>
          <w:b w:val="0"/>
          <w:sz w:val="24"/>
          <w:highlight w:val="none"/>
          <w:lang w:val="en-US" w:eastAsia="zh-CN"/>
        </w:rPr>
        <w:t>甲方</w:t>
      </w:r>
      <w:r>
        <w:rPr>
          <w:rFonts w:hint="eastAsia" w:asciiTheme="minorEastAsia" w:hAnsiTheme="minorEastAsia" w:eastAsiaTheme="minorEastAsia" w:cstheme="minorEastAsia"/>
          <w:b w:val="0"/>
          <w:sz w:val="24"/>
          <w:highlight w:val="none"/>
        </w:rPr>
        <w:t>完成支付。</w:t>
      </w:r>
      <w:bookmarkEnd w:id="128"/>
    </w:p>
    <w:p w14:paraId="735BFA0E">
      <w:pPr>
        <w:numPr>
          <w:ilvl w:val="0"/>
          <w:numId w:val="29"/>
        </w:numPr>
        <w:spacing w:line="360" w:lineRule="auto"/>
        <w:ind w:left="0" w:leftChars="0" w:firstLine="239" w:firstLineChars="85"/>
        <w:rPr>
          <w:rFonts w:hint="eastAsia" w:asciiTheme="minorEastAsia" w:hAnsiTheme="minorEastAsia" w:eastAsiaTheme="minorEastAsia" w:cstheme="minorEastAsia"/>
          <w:b/>
          <w:sz w:val="28"/>
          <w:szCs w:val="28"/>
          <w:highlight w:val="none"/>
        </w:rPr>
      </w:pPr>
      <w:bookmarkStart w:id="129" w:name="_Ref4798"/>
      <w:r>
        <w:rPr>
          <w:rFonts w:hint="eastAsia" w:asciiTheme="minorEastAsia" w:hAnsiTheme="minorEastAsia" w:eastAsiaTheme="minorEastAsia" w:cstheme="minorEastAsia"/>
          <w:b/>
          <w:sz w:val="28"/>
          <w:szCs w:val="28"/>
          <w:highlight w:val="none"/>
        </w:rPr>
        <w:t>运输及包装</w:t>
      </w:r>
      <w:bookmarkEnd w:id="129"/>
    </w:p>
    <w:p w14:paraId="122AA6F7">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30" w:name="_Toc20788"/>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产品包装符合相关法律法规、国家标准、行业标准等的要求，乙方必须保证包装物为无毒无害，否则乙方必须对包装物进行回收。包装物的费用和回收费用由乙方承担。</w:t>
      </w:r>
      <w:bookmarkEnd w:id="130"/>
    </w:p>
    <w:p w14:paraId="1A141FD0">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31" w:name="_Toc2966"/>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货物送到甲方指定的定点，其运费、装卸费由乙方承担。</w:t>
      </w:r>
      <w:bookmarkEnd w:id="131"/>
    </w:p>
    <w:p w14:paraId="45607802">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32" w:name="_Toc28030"/>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买受人不承担因出卖人包装不当或违法违规造成的损失。</w:t>
      </w:r>
      <w:bookmarkEnd w:id="132"/>
    </w:p>
    <w:p w14:paraId="0F1E8166">
      <w:pPr>
        <w:numPr>
          <w:ilvl w:val="0"/>
          <w:numId w:val="29"/>
        </w:numPr>
        <w:spacing w:line="360" w:lineRule="auto"/>
        <w:ind w:left="0" w:leftChars="0" w:firstLine="239" w:firstLineChars="85"/>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质保及售后服务</w:t>
      </w:r>
    </w:p>
    <w:p w14:paraId="6F11714D">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33" w:name="_Toc907"/>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质保期：</w:t>
      </w:r>
      <w:r>
        <w:rPr>
          <w:rFonts w:hint="eastAsia" w:asciiTheme="minorEastAsia" w:hAnsiTheme="minorEastAsia" w:eastAsiaTheme="minorEastAsia" w:cstheme="minorEastAsia"/>
          <w:b w:val="0"/>
          <w:sz w:val="24"/>
          <w:highlight w:val="none"/>
          <w:lang w:val="en-US" w:eastAsia="zh-CN"/>
        </w:rPr>
        <w:t xml:space="preserve">  个月</w:t>
      </w:r>
      <w:bookmarkEnd w:id="133"/>
      <w:r>
        <w:rPr>
          <w:rFonts w:hint="eastAsia" w:asciiTheme="minorEastAsia" w:hAnsiTheme="minorEastAsia" w:eastAsiaTheme="minorEastAsia" w:cstheme="minorEastAsia"/>
          <w:b w:val="0"/>
          <w:sz w:val="24"/>
          <w:highlight w:val="none"/>
          <w:lang w:eastAsia="zh-CN"/>
        </w:rPr>
        <w:t>。</w:t>
      </w:r>
    </w:p>
    <w:p w14:paraId="06E1C8F1">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1"/>
          <w:szCs w:val="21"/>
          <w:highlight w:val="none"/>
        </w:rPr>
      </w:pPr>
      <w:bookmarkStart w:id="134" w:name="_Toc329"/>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质保期起止时间：</w:t>
      </w:r>
      <w:r>
        <w:rPr>
          <w:rFonts w:hint="eastAsia" w:asciiTheme="minorEastAsia" w:hAnsiTheme="minorEastAsia" w:eastAsiaTheme="minorEastAsia" w:cstheme="minorEastAsia"/>
          <w:b w:val="0"/>
          <w:sz w:val="21"/>
          <w:szCs w:val="21"/>
          <w:highlight w:val="none"/>
        </w:rPr>
        <w:t>按乙方每批次交给甲方时的双方确认收货单时间为质保期开始时间。</w:t>
      </w:r>
      <w:bookmarkEnd w:id="134"/>
    </w:p>
    <w:p w14:paraId="5DF51AD5">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35" w:name="_Toc11979"/>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在质保期内，乙方对于设计、工艺或材料的缺陷而发生的任何不足或故障负责；在产品正常使用过程中发生故障，乙方将实行免费更换；质保期外产品发生故障乙方仍将负责更换，但可收取成本费。</w:t>
      </w:r>
      <w:bookmarkEnd w:id="135"/>
    </w:p>
    <w:p w14:paraId="5A44F514">
      <w:pPr>
        <w:numPr>
          <w:ilvl w:val="0"/>
          <w:numId w:val="29"/>
        </w:numPr>
        <w:spacing w:line="360" w:lineRule="auto"/>
        <w:ind w:left="0" w:leftChars="0" w:firstLine="239" w:firstLineChars="85"/>
        <w:rPr>
          <w:rFonts w:hint="eastAsia" w:asciiTheme="minorEastAsia" w:hAnsiTheme="minorEastAsia" w:eastAsiaTheme="minorEastAsia" w:cstheme="minorEastAsia"/>
          <w:b/>
          <w:sz w:val="28"/>
          <w:szCs w:val="28"/>
          <w:highlight w:val="none"/>
        </w:rPr>
      </w:pPr>
      <w:bookmarkStart w:id="136" w:name="_Ref6310"/>
      <w:r>
        <w:rPr>
          <w:rFonts w:hint="eastAsia" w:asciiTheme="minorEastAsia" w:hAnsiTheme="minorEastAsia" w:eastAsiaTheme="minorEastAsia" w:cstheme="minorEastAsia"/>
          <w:b/>
          <w:sz w:val="28"/>
          <w:szCs w:val="28"/>
          <w:highlight w:val="none"/>
        </w:rPr>
        <w:t>保密条款</w:t>
      </w:r>
      <w:bookmarkEnd w:id="136"/>
    </w:p>
    <w:p w14:paraId="1BCF6245">
      <w:pPr>
        <w:pStyle w:val="4"/>
        <w:keepNext w:val="0"/>
        <w:keepLines w:val="0"/>
        <w:numPr>
          <w:ilvl w:val="1"/>
          <w:numId w:val="29"/>
        </w:numPr>
        <w:shd w:val="clear" w:color="auto" w:fill="auto"/>
        <w:spacing w:before="0" w:after="0" w:line="360" w:lineRule="auto"/>
        <w:ind w:left="-8" w:leftChars="0" w:firstLine="218" w:firstLineChars="0"/>
        <w:rPr>
          <w:rFonts w:hint="eastAsia" w:asciiTheme="minorEastAsia" w:hAnsiTheme="minorEastAsia" w:eastAsiaTheme="minorEastAsia" w:cstheme="minorEastAsia"/>
          <w:b w:val="0"/>
          <w:color w:val="000000"/>
          <w:sz w:val="24"/>
          <w:highlight w:val="none"/>
        </w:rPr>
      </w:pPr>
      <w:bookmarkStart w:id="137" w:name="_Toc16066"/>
      <w:r>
        <w:rPr>
          <w:rFonts w:hint="eastAsia" w:asciiTheme="minorEastAsia" w:hAnsiTheme="minorEastAsia" w:eastAsiaTheme="minorEastAsia" w:cstheme="minorEastAsia"/>
          <w:b w:val="0"/>
          <w:bCs w:val="0"/>
          <w:color w:val="000000"/>
          <w:sz w:val="24"/>
          <w:highlight w:val="none"/>
          <w:lang w:val="en-US" w:eastAsia="zh-CN"/>
        </w:rPr>
        <w:t xml:space="preserve"> 详见</w:t>
      </w:r>
      <w:r>
        <w:rPr>
          <w:rFonts w:hint="eastAsia" w:asciiTheme="minorEastAsia" w:hAnsiTheme="minorEastAsia" w:eastAsiaTheme="minorEastAsia" w:cstheme="minorEastAsia"/>
          <w:b/>
          <w:bCs/>
          <w:color w:val="000000"/>
          <w:sz w:val="24"/>
          <w:highlight w:val="none"/>
          <w:lang w:val="en-US" w:eastAsia="zh-CN"/>
        </w:rPr>
        <w:t>《双方合作保密协议》</w:t>
      </w:r>
      <w:r>
        <w:rPr>
          <w:rFonts w:hint="eastAsia" w:asciiTheme="minorEastAsia" w:hAnsiTheme="minorEastAsia" w:eastAsiaTheme="minorEastAsia" w:cstheme="minorEastAsia"/>
          <w:b w:val="0"/>
          <w:color w:val="000000"/>
          <w:sz w:val="24"/>
          <w:highlight w:val="none"/>
        </w:rPr>
        <w:t>。</w:t>
      </w:r>
      <w:bookmarkEnd w:id="137"/>
    </w:p>
    <w:p w14:paraId="1F406D10">
      <w:pPr>
        <w:numPr>
          <w:ilvl w:val="0"/>
          <w:numId w:val="29"/>
        </w:numPr>
        <w:spacing w:line="360" w:lineRule="auto"/>
        <w:ind w:left="0" w:leftChars="0" w:firstLine="239" w:firstLineChars="85"/>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廉洁条款</w:t>
      </w:r>
    </w:p>
    <w:p w14:paraId="36F841F6">
      <w:pPr>
        <w:pStyle w:val="4"/>
        <w:keepNext w:val="0"/>
        <w:keepLines w:val="0"/>
        <w:numPr>
          <w:ilvl w:val="1"/>
          <w:numId w:val="29"/>
        </w:numPr>
        <w:spacing w:before="0" w:after="0" w:line="360" w:lineRule="auto"/>
        <w:ind w:firstLine="218" w:firstLineChars="91"/>
        <w:rPr>
          <w:rFonts w:hint="eastAsia" w:asciiTheme="minorEastAsia" w:hAnsiTheme="minorEastAsia" w:eastAsiaTheme="minorEastAsia" w:cstheme="minorEastAsia"/>
          <w:b w:val="0"/>
          <w:sz w:val="24"/>
          <w:highlight w:val="none"/>
        </w:rPr>
      </w:pPr>
      <w:bookmarkStart w:id="138" w:name="_Toc24404"/>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乙方应遵守国家相关法律法规，在商务活动中遵守职业道德，不以任何形式、任何理由向甲方员工提供个人佣金、回扣、礼金礼券和贵重物品等不正当行为，也不为甲方员工安排高消费娱乐活动。</w:t>
      </w:r>
      <w:bookmarkEnd w:id="138"/>
    </w:p>
    <w:p w14:paraId="67DFBB08">
      <w:pPr>
        <w:pStyle w:val="4"/>
        <w:keepNext w:val="0"/>
        <w:keepLines w:val="0"/>
        <w:numPr>
          <w:ilvl w:val="1"/>
          <w:numId w:val="29"/>
        </w:numPr>
        <w:spacing w:before="0" w:after="0" w:line="360" w:lineRule="auto"/>
        <w:ind w:firstLine="218" w:firstLineChars="91"/>
        <w:rPr>
          <w:rFonts w:hint="eastAsia" w:asciiTheme="minorEastAsia" w:hAnsiTheme="minorEastAsia" w:eastAsiaTheme="minorEastAsia" w:cstheme="minorEastAsia"/>
          <w:b w:val="0"/>
          <w:sz w:val="24"/>
          <w:highlight w:val="none"/>
        </w:rPr>
      </w:pPr>
      <w:bookmarkStart w:id="139" w:name="_Toc32364"/>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如甲方发现乙方以不正当竞争手段拉拢、贿赂甲方公司员工，一经查实，取消供应商资格要求，情节严重的甲方保留追究法律责任的权力。</w:t>
      </w:r>
      <w:bookmarkEnd w:id="139"/>
    </w:p>
    <w:p w14:paraId="61A47A31">
      <w:pPr>
        <w:pStyle w:val="4"/>
        <w:keepNext w:val="0"/>
        <w:keepLines w:val="0"/>
        <w:numPr>
          <w:ilvl w:val="1"/>
          <w:numId w:val="29"/>
        </w:numPr>
        <w:spacing w:before="0" w:after="0" w:line="360" w:lineRule="auto"/>
        <w:ind w:firstLine="218" w:firstLineChars="91"/>
        <w:rPr>
          <w:rFonts w:hint="eastAsia" w:asciiTheme="minorEastAsia" w:hAnsiTheme="minorEastAsia" w:eastAsiaTheme="minorEastAsia" w:cstheme="minorEastAsia"/>
          <w:b w:val="0"/>
          <w:sz w:val="24"/>
          <w:highlight w:val="none"/>
        </w:rPr>
      </w:pPr>
      <w:bookmarkStart w:id="140" w:name="_Toc2096"/>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乙方发现甲方采购人员存在“吃拿卡要”情况的及时向分院纪检举报，举报邮箱：</w:t>
      </w:r>
      <w:r>
        <w:rPr>
          <w:rFonts w:hint="eastAsia" w:asciiTheme="minorEastAsia" w:hAnsiTheme="minorEastAsia" w:eastAsiaTheme="minorEastAsia" w:cstheme="minorEastAsia"/>
          <w:b w:val="0"/>
          <w:sz w:val="24"/>
          <w:highlight w:val="none"/>
          <w:lang w:val="en-US" w:eastAsia="zh-CN"/>
        </w:rPr>
        <w:t>5400325@qq.com</w:t>
      </w:r>
      <w:r>
        <w:rPr>
          <w:rFonts w:hint="eastAsia" w:asciiTheme="minorEastAsia" w:hAnsiTheme="minorEastAsia" w:eastAsiaTheme="minorEastAsia" w:cstheme="minorEastAsia"/>
          <w:b w:val="0"/>
          <w:sz w:val="24"/>
          <w:highlight w:val="none"/>
        </w:rPr>
        <w:t>。</w:t>
      </w:r>
      <w:bookmarkEnd w:id="140"/>
    </w:p>
    <w:p w14:paraId="57A97B21">
      <w:pPr>
        <w:numPr>
          <w:ilvl w:val="0"/>
          <w:numId w:val="29"/>
        </w:numPr>
        <w:spacing w:line="360" w:lineRule="auto"/>
        <w:ind w:left="0" w:leftChars="0" w:firstLine="239" w:firstLineChars="85"/>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违约责任</w:t>
      </w:r>
    </w:p>
    <w:p w14:paraId="5B94589B">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highlight w:val="none"/>
        </w:rPr>
      </w:pPr>
      <w:bookmarkStart w:id="141" w:name="_Toc14699"/>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乙方所交产品不符合</w:t>
      </w:r>
      <w:r>
        <w:rPr>
          <w:rFonts w:hint="eastAsia" w:asciiTheme="minorEastAsia" w:hAnsiTheme="minorEastAsia" w:eastAsiaTheme="minorEastAsia" w:cstheme="minorEastAsia"/>
          <w:b w:val="0"/>
          <w:sz w:val="24"/>
          <w:highlight w:val="none"/>
        </w:rPr>
        <w:fldChar w:fldCharType="begin"/>
      </w:r>
      <w:r>
        <w:rPr>
          <w:rFonts w:hint="eastAsia" w:asciiTheme="minorEastAsia" w:hAnsiTheme="minorEastAsia" w:eastAsiaTheme="minorEastAsia" w:cstheme="minorEastAsia"/>
          <w:b w:val="0"/>
          <w:sz w:val="24"/>
          <w:highlight w:val="none"/>
        </w:rPr>
        <w:instrText xml:space="preserve"> REF _Ref3835 \r \h </w:instrText>
      </w:r>
      <w:r>
        <w:rPr>
          <w:rFonts w:hint="eastAsia" w:asciiTheme="minorEastAsia" w:hAnsiTheme="minorEastAsia" w:eastAsiaTheme="minorEastAsia" w:cstheme="minorEastAsia"/>
          <w:b w:val="0"/>
          <w:sz w:val="24"/>
          <w:highlight w:val="none"/>
        </w:rPr>
        <w:fldChar w:fldCharType="separate"/>
      </w:r>
      <w:r>
        <w:rPr>
          <w:rFonts w:hint="eastAsia" w:asciiTheme="minorEastAsia" w:hAnsiTheme="minorEastAsia" w:eastAsiaTheme="minorEastAsia" w:cstheme="minorEastAsia"/>
          <w:b w:val="0"/>
          <w:sz w:val="24"/>
          <w:highlight w:val="none"/>
        </w:rPr>
        <w:t>第一条</w:t>
      </w:r>
      <w:r>
        <w:rPr>
          <w:rFonts w:hint="eastAsia" w:asciiTheme="minorEastAsia" w:hAnsiTheme="minorEastAsia" w:eastAsiaTheme="minorEastAsia" w:cstheme="minorEastAsia"/>
          <w:b w:val="0"/>
          <w:sz w:val="24"/>
          <w:highlight w:val="none"/>
        </w:rPr>
        <w:fldChar w:fldCharType="end"/>
      </w:r>
      <w:r>
        <w:rPr>
          <w:rFonts w:hint="eastAsia" w:asciiTheme="minorEastAsia" w:hAnsiTheme="minorEastAsia" w:eastAsiaTheme="minorEastAsia" w:cstheme="minorEastAsia"/>
          <w:b w:val="0"/>
          <w:sz w:val="24"/>
          <w:highlight w:val="none"/>
        </w:rPr>
        <w:t>、</w:t>
      </w:r>
      <w:r>
        <w:rPr>
          <w:rFonts w:hint="eastAsia" w:asciiTheme="minorEastAsia" w:hAnsiTheme="minorEastAsia" w:eastAsiaTheme="minorEastAsia" w:cstheme="minorEastAsia"/>
          <w:b w:val="0"/>
          <w:sz w:val="24"/>
          <w:highlight w:val="none"/>
        </w:rPr>
        <w:fldChar w:fldCharType="begin"/>
      </w:r>
      <w:r>
        <w:rPr>
          <w:rFonts w:hint="eastAsia" w:asciiTheme="minorEastAsia" w:hAnsiTheme="minorEastAsia" w:eastAsiaTheme="minorEastAsia" w:cstheme="minorEastAsia"/>
          <w:b w:val="0"/>
          <w:sz w:val="24"/>
          <w:highlight w:val="none"/>
        </w:rPr>
        <w:instrText xml:space="preserve"> REF _Ref3865 \r \h </w:instrText>
      </w:r>
      <w:r>
        <w:rPr>
          <w:rFonts w:hint="eastAsia" w:asciiTheme="minorEastAsia" w:hAnsiTheme="minorEastAsia" w:eastAsiaTheme="minorEastAsia" w:cstheme="minorEastAsia"/>
          <w:b w:val="0"/>
          <w:sz w:val="24"/>
          <w:highlight w:val="none"/>
        </w:rPr>
        <w:fldChar w:fldCharType="separate"/>
      </w:r>
      <w:r>
        <w:rPr>
          <w:rFonts w:hint="eastAsia" w:asciiTheme="minorEastAsia" w:hAnsiTheme="minorEastAsia" w:eastAsiaTheme="minorEastAsia" w:cstheme="minorEastAsia"/>
          <w:b w:val="0"/>
          <w:sz w:val="24"/>
          <w:highlight w:val="none"/>
        </w:rPr>
        <w:t>第四条</w:t>
      </w:r>
      <w:r>
        <w:rPr>
          <w:rFonts w:hint="eastAsia" w:asciiTheme="minorEastAsia" w:hAnsiTheme="minorEastAsia" w:eastAsiaTheme="minorEastAsia" w:cstheme="minorEastAsia"/>
          <w:b w:val="0"/>
          <w:sz w:val="24"/>
          <w:highlight w:val="none"/>
        </w:rPr>
        <w:fldChar w:fldCharType="end"/>
      </w:r>
      <w:r>
        <w:rPr>
          <w:rFonts w:hint="eastAsia" w:asciiTheme="minorEastAsia" w:hAnsiTheme="minorEastAsia" w:eastAsiaTheme="minorEastAsia" w:cstheme="minorEastAsia"/>
          <w:b w:val="0"/>
          <w:sz w:val="24"/>
          <w:highlight w:val="none"/>
        </w:rPr>
        <w:t>规定，由乙方在不超过三日的时限内负责调换或维修，并承担修理、调换货而产生的一切费用。</w:t>
      </w:r>
      <w:r>
        <w:rPr>
          <w:rFonts w:hint="eastAsia" w:ascii="Times New Roman" w:hAnsi="Times New Roman" w:eastAsia="宋体"/>
          <w:b w:val="0"/>
          <w:sz w:val="24"/>
          <w:lang w:val="en-US" w:eastAsia="zh-CN"/>
        </w:rPr>
        <w:t>出现一次质量问题按该批次订单金额的10-20%支付违约金。</w:t>
      </w:r>
      <w:r>
        <w:rPr>
          <w:rFonts w:hint="eastAsia" w:asciiTheme="minorEastAsia" w:hAnsiTheme="minorEastAsia" w:eastAsiaTheme="minorEastAsia" w:cstheme="minorEastAsia"/>
          <w:b w:val="0"/>
          <w:sz w:val="24"/>
          <w:highlight w:val="none"/>
        </w:rPr>
        <w:t>给甲方造成损失时应全额</w:t>
      </w:r>
      <w:r>
        <w:rPr>
          <w:rFonts w:hint="eastAsia" w:asciiTheme="minorEastAsia" w:hAnsiTheme="minorEastAsia" w:eastAsiaTheme="minorEastAsia" w:cstheme="minorEastAsia"/>
          <w:b w:val="0"/>
          <w:sz w:val="24"/>
          <w:highlight w:val="none"/>
          <w:lang w:val="en-US" w:eastAsia="zh-CN"/>
        </w:rPr>
        <w:t>承担损失</w:t>
      </w:r>
      <w:r>
        <w:rPr>
          <w:rFonts w:hint="eastAsia" w:asciiTheme="minorEastAsia" w:hAnsiTheme="minorEastAsia" w:eastAsiaTheme="minorEastAsia" w:cstheme="minorEastAsia"/>
          <w:b w:val="0"/>
          <w:sz w:val="24"/>
          <w:highlight w:val="none"/>
        </w:rPr>
        <w:t>，情节严重的处损失金额的3-10倍</w:t>
      </w:r>
      <w:r>
        <w:rPr>
          <w:rFonts w:hint="eastAsia" w:asciiTheme="minorEastAsia" w:hAnsiTheme="minorEastAsia" w:eastAsiaTheme="minorEastAsia" w:cstheme="minorEastAsia"/>
          <w:b w:val="0"/>
          <w:sz w:val="24"/>
          <w:highlight w:val="none"/>
          <w:lang w:val="en-US" w:eastAsia="zh-CN"/>
        </w:rPr>
        <w:t>违约金</w:t>
      </w:r>
      <w:r>
        <w:rPr>
          <w:rFonts w:hint="eastAsia" w:asciiTheme="minorEastAsia" w:hAnsiTheme="minorEastAsia" w:eastAsiaTheme="minorEastAsia" w:cstheme="minorEastAsia"/>
          <w:b w:val="0"/>
          <w:sz w:val="24"/>
          <w:highlight w:val="none"/>
        </w:rPr>
        <w:t>或取消供应商资格。</w:t>
      </w:r>
      <w:bookmarkEnd w:id="141"/>
    </w:p>
    <w:p w14:paraId="596F643E">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42" w:name="_Toc28434"/>
      <w:r>
        <w:rPr>
          <w:rFonts w:hint="eastAsia" w:asciiTheme="minorEastAsia" w:hAnsiTheme="minorEastAsia" w:eastAsiaTheme="minorEastAsia" w:cstheme="minorEastAsia"/>
          <w:b w:val="0"/>
          <w:sz w:val="24"/>
          <w:highlight w:val="none"/>
          <w:lang w:val="en-US" w:eastAsia="zh-CN"/>
        </w:rPr>
        <w:t xml:space="preserve"> 乙方于</w:t>
      </w:r>
      <w:r>
        <w:rPr>
          <w:rFonts w:hint="eastAsia" w:asciiTheme="minorEastAsia" w:hAnsiTheme="minorEastAsia" w:eastAsiaTheme="minorEastAsia" w:cstheme="minorEastAsia"/>
          <w:b w:val="0"/>
          <w:sz w:val="24"/>
          <w:highlight w:val="none"/>
          <w:u w:val="thick"/>
          <w:lang w:val="en-US" w:eastAsia="zh-CN"/>
        </w:rPr>
        <w:t xml:space="preserve">   </w:t>
      </w:r>
      <w:r>
        <w:rPr>
          <w:rFonts w:hint="eastAsia" w:asciiTheme="minorEastAsia" w:hAnsiTheme="minorEastAsia" w:eastAsiaTheme="minorEastAsia" w:cstheme="minorEastAsia"/>
          <w:b w:val="0"/>
          <w:sz w:val="24"/>
          <w:highlight w:val="none"/>
          <w:lang w:val="en-US" w:eastAsia="zh-CN"/>
        </w:rPr>
        <w:t>年</w:t>
      </w:r>
      <w:r>
        <w:rPr>
          <w:rFonts w:hint="eastAsia" w:asciiTheme="minorEastAsia" w:hAnsiTheme="minorEastAsia" w:eastAsiaTheme="minorEastAsia" w:cstheme="minorEastAsia"/>
          <w:b w:val="0"/>
          <w:sz w:val="24"/>
          <w:highlight w:val="none"/>
          <w:u w:val="thick"/>
          <w:lang w:val="en-US" w:eastAsia="zh-CN"/>
        </w:rPr>
        <w:t xml:space="preserve">   </w:t>
      </w:r>
      <w:r>
        <w:rPr>
          <w:rFonts w:hint="eastAsia" w:asciiTheme="minorEastAsia" w:hAnsiTheme="minorEastAsia" w:eastAsiaTheme="minorEastAsia" w:cstheme="minorEastAsia"/>
          <w:b w:val="0"/>
          <w:sz w:val="24"/>
          <w:highlight w:val="none"/>
          <w:lang w:val="en-US" w:eastAsia="zh-CN"/>
        </w:rPr>
        <w:t>月</w:t>
      </w:r>
      <w:r>
        <w:rPr>
          <w:rFonts w:hint="eastAsia" w:asciiTheme="minorEastAsia" w:hAnsiTheme="minorEastAsia" w:eastAsiaTheme="minorEastAsia" w:cstheme="minorEastAsia"/>
          <w:b w:val="0"/>
          <w:sz w:val="24"/>
          <w:highlight w:val="none"/>
          <w:u w:val="thick"/>
          <w:lang w:val="en-US" w:eastAsia="zh-CN"/>
        </w:rPr>
        <w:t xml:space="preserve">   </w:t>
      </w:r>
      <w:r>
        <w:rPr>
          <w:rFonts w:hint="eastAsia" w:asciiTheme="minorEastAsia" w:hAnsiTheme="minorEastAsia" w:eastAsiaTheme="minorEastAsia" w:cstheme="minorEastAsia"/>
          <w:b w:val="0"/>
          <w:sz w:val="24"/>
          <w:highlight w:val="none"/>
          <w:lang w:val="en-US" w:eastAsia="zh-CN"/>
        </w:rPr>
        <w:t>日开始严格按照第一条约定的交期供货，</w:t>
      </w:r>
      <w:r>
        <w:rPr>
          <w:rFonts w:hint="eastAsia" w:asciiTheme="minorEastAsia" w:hAnsiTheme="minorEastAsia" w:eastAsiaTheme="minorEastAsia" w:cstheme="minorEastAsia"/>
          <w:b w:val="0"/>
          <w:sz w:val="24"/>
          <w:highlight w:val="none"/>
        </w:rPr>
        <w:t>若无正当理由延误交货或交付货物不符合约定</w:t>
      </w:r>
      <w:r>
        <w:rPr>
          <w:rFonts w:hint="eastAsia" w:asciiTheme="minorEastAsia" w:hAnsiTheme="minorEastAsia" w:eastAsiaTheme="minorEastAsia" w:cstheme="minorEastAsia"/>
          <w:b w:val="0"/>
          <w:sz w:val="24"/>
          <w:highlight w:val="none"/>
          <w:lang w:eastAsia="zh-CN"/>
        </w:rPr>
        <w:t>，</w:t>
      </w:r>
      <w:r>
        <w:rPr>
          <w:rFonts w:hint="eastAsia" w:asciiTheme="minorEastAsia" w:hAnsiTheme="minorEastAsia" w:eastAsiaTheme="minorEastAsia" w:cstheme="minorEastAsia"/>
          <w:b w:val="0"/>
          <w:sz w:val="24"/>
          <w:highlight w:val="none"/>
          <w:lang w:val="en-US" w:eastAsia="zh-CN"/>
        </w:rPr>
        <w:t>每延迟交货一天按该批次生产订单金额的0.5%支付违约金。</w:t>
      </w:r>
      <w:bookmarkEnd w:id="142"/>
    </w:p>
    <w:p w14:paraId="7C4D3EB4">
      <w:pPr>
        <w:pStyle w:val="4"/>
        <w:keepNext w:val="0"/>
        <w:keepLines w:val="0"/>
        <w:numPr>
          <w:ilvl w:val="1"/>
          <w:numId w:val="29"/>
        </w:numPr>
        <w:spacing w:before="0" w:after="0" w:line="360" w:lineRule="auto"/>
        <w:ind w:firstLine="218" w:firstLineChars="91"/>
        <w:rPr>
          <w:rFonts w:hint="eastAsia" w:asciiTheme="minorEastAsia" w:hAnsiTheme="minorEastAsia" w:eastAsiaTheme="minorEastAsia" w:cstheme="minorEastAsia"/>
          <w:b w:val="0"/>
          <w:sz w:val="24"/>
          <w:highlight w:val="none"/>
        </w:rPr>
      </w:pPr>
      <w:bookmarkStart w:id="143" w:name="_Toc4937"/>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乙方提供的产品包装物需要满足</w:t>
      </w:r>
      <w:r>
        <w:rPr>
          <w:rFonts w:hint="eastAsia" w:asciiTheme="minorEastAsia" w:hAnsiTheme="minorEastAsia" w:eastAsiaTheme="minorEastAsia" w:cstheme="minorEastAsia"/>
          <w:b w:val="0"/>
          <w:sz w:val="24"/>
          <w:highlight w:val="none"/>
        </w:rPr>
        <w:fldChar w:fldCharType="begin"/>
      </w:r>
      <w:r>
        <w:rPr>
          <w:rFonts w:hint="eastAsia" w:asciiTheme="minorEastAsia" w:hAnsiTheme="minorEastAsia" w:eastAsiaTheme="minorEastAsia" w:cstheme="minorEastAsia"/>
          <w:b w:val="0"/>
          <w:sz w:val="24"/>
          <w:highlight w:val="none"/>
        </w:rPr>
        <w:instrText xml:space="preserve"> REF _Ref4798 \r \h </w:instrText>
      </w:r>
      <w:r>
        <w:rPr>
          <w:rFonts w:hint="eastAsia" w:asciiTheme="minorEastAsia" w:hAnsiTheme="minorEastAsia" w:eastAsiaTheme="minorEastAsia" w:cstheme="minorEastAsia"/>
          <w:b w:val="0"/>
          <w:sz w:val="24"/>
          <w:highlight w:val="none"/>
        </w:rPr>
        <w:fldChar w:fldCharType="separate"/>
      </w:r>
      <w:r>
        <w:rPr>
          <w:rFonts w:hint="eastAsia" w:asciiTheme="minorEastAsia" w:hAnsiTheme="minorEastAsia" w:eastAsiaTheme="minorEastAsia" w:cstheme="minorEastAsia"/>
          <w:b w:val="0"/>
          <w:sz w:val="24"/>
          <w:highlight w:val="none"/>
        </w:rPr>
        <w:t>第六条</w:t>
      </w:r>
      <w:r>
        <w:rPr>
          <w:rFonts w:hint="eastAsia" w:asciiTheme="minorEastAsia" w:hAnsiTheme="minorEastAsia" w:eastAsiaTheme="minorEastAsia" w:cstheme="minorEastAsia"/>
          <w:b w:val="0"/>
          <w:sz w:val="24"/>
          <w:highlight w:val="none"/>
        </w:rPr>
        <w:fldChar w:fldCharType="end"/>
      </w:r>
      <w:r>
        <w:rPr>
          <w:rFonts w:hint="eastAsia" w:asciiTheme="minorEastAsia" w:hAnsiTheme="minorEastAsia" w:eastAsiaTheme="minorEastAsia" w:cstheme="minorEastAsia"/>
          <w:b w:val="0"/>
          <w:sz w:val="24"/>
          <w:highlight w:val="none"/>
        </w:rPr>
        <w:t>，若因包装不当造成的损失由乙方承担。</w:t>
      </w:r>
      <w:bookmarkEnd w:id="143"/>
    </w:p>
    <w:p w14:paraId="6917B3BE">
      <w:pPr>
        <w:pStyle w:val="4"/>
        <w:keepNext w:val="0"/>
        <w:keepLines w:val="0"/>
        <w:numPr>
          <w:ilvl w:val="1"/>
          <w:numId w:val="29"/>
        </w:numPr>
        <w:spacing w:before="0" w:after="0" w:line="360" w:lineRule="auto"/>
        <w:ind w:firstLine="218" w:firstLineChars="91"/>
        <w:rPr>
          <w:rFonts w:hint="eastAsia" w:asciiTheme="minorEastAsia" w:hAnsiTheme="minorEastAsia" w:eastAsiaTheme="minorEastAsia" w:cstheme="minorEastAsia"/>
          <w:b w:val="0"/>
          <w:sz w:val="24"/>
          <w:highlight w:val="none"/>
        </w:rPr>
      </w:pPr>
      <w:bookmarkStart w:id="144" w:name="_Toc13200"/>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乙方对提供的产品质量负责，若因质量问题造成事故或</w:t>
      </w:r>
      <w:r>
        <w:rPr>
          <w:rFonts w:hint="eastAsia" w:asciiTheme="minorEastAsia" w:hAnsiTheme="minorEastAsia" w:eastAsiaTheme="minorEastAsia" w:cstheme="minorEastAsia"/>
          <w:b w:val="0"/>
          <w:sz w:val="24"/>
          <w:highlight w:val="none"/>
          <w:lang w:eastAsia="zh-CN"/>
        </w:rPr>
        <w:t>导致事故</w:t>
      </w:r>
      <w:r>
        <w:rPr>
          <w:rFonts w:hint="eastAsia" w:asciiTheme="minorEastAsia" w:hAnsiTheme="minorEastAsia" w:eastAsiaTheme="minorEastAsia" w:cstheme="minorEastAsia"/>
          <w:b w:val="0"/>
          <w:sz w:val="24"/>
          <w:highlight w:val="none"/>
        </w:rPr>
        <w:t>扩大，其损失由乙方承担，情节严重的</w:t>
      </w:r>
      <w:r>
        <w:rPr>
          <w:rFonts w:hint="eastAsia" w:asciiTheme="minorEastAsia" w:hAnsiTheme="minorEastAsia" w:eastAsiaTheme="minorEastAsia" w:cstheme="minorEastAsia"/>
          <w:b w:val="0"/>
          <w:sz w:val="24"/>
          <w:highlight w:val="none"/>
          <w:lang w:eastAsia="zh-CN"/>
        </w:rPr>
        <w:t>处</w:t>
      </w:r>
      <w:r>
        <w:rPr>
          <w:rFonts w:hint="eastAsia" w:asciiTheme="minorEastAsia" w:hAnsiTheme="minorEastAsia" w:eastAsiaTheme="minorEastAsia" w:cstheme="minorEastAsia"/>
          <w:b w:val="0"/>
          <w:sz w:val="24"/>
          <w:highlight w:val="none"/>
        </w:rPr>
        <w:t>损失金额3-10倍</w:t>
      </w:r>
      <w:r>
        <w:rPr>
          <w:rFonts w:hint="eastAsia" w:asciiTheme="minorEastAsia" w:hAnsiTheme="minorEastAsia" w:eastAsiaTheme="minorEastAsia" w:cstheme="minorEastAsia"/>
          <w:b w:val="0"/>
          <w:sz w:val="24"/>
          <w:highlight w:val="none"/>
          <w:lang w:val="en-US" w:eastAsia="zh-CN"/>
        </w:rPr>
        <w:t>违约金</w:t>
      </w:r>
      <w:r>
        <w:rPr>
          <w:rFonts w:hint="eastAsia" w:asciiTheme="minorEastAsia" w:hAnsiTheme="minorEastAsia" w:eastAsiaTheme="minorEastAsia" w:cstheme="minorEastAsia"/>
          <w:b w:val="0"/>
          <w:sz w:val="24"/>
          <w:highlight w:val="none"/>
        </w:rPr>
        <w:t>或取消供应商资格。</w:t>
      </w:r>
      <w:bookmarkEnd w:id="144"/>
    </w:p>
    <w:p w14:paraId="55F58AB2">
      <w:pPr>
        <w:pStyle w:val="4"/>
        <w:keepNext w:val="0"/>
        <w:keepLines w:val="0"/>
        <w:numPr>
          <w:ilvl w:val="1"/>
          <w:numId w:val="29"/>
        </w:numPr>
        <w:spacing w:before="0" w:after="0" w:line="360" w:lineRule="auto"/>
        <w:ind w:firstLine="218" w:firstLineChars="91"/>
        <w:rPr>
          <w:rFonts w:hint="eastAsia" w:asciiTheme="minorEastAsia" w:hAnsiTheme="minorEastAsia" w:eastAsiaTheme="minorEastAsia" w:cstheme="minorEastAsia"/>
          <w:b w:val="0"/>
          <w:sz w:val="24"/>
          <w:highlight w:val="none"/>
        </w:rPr>
      </w:pPr>
      <w:bookmarkStart w:id="145" w:name="_Toc22185"/>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乙方无正当理由不得拒收甲方的采购订单，如若拒收，将取消供货资格。</w:t>
      </w:r>
      <w:bookmarkEnd w:id="145"/>
    </w:p>
    <w:p w14:paraId="71069AB5">
      <w:pPr>
        <w:pStyle w:val="4"/>
        <w:keepNext w:val="0"/>
        <w:keepLines w:val="0"/>
        <w:numPr>
          <w:ilvl w:val="1"/>
          <w:numId w:val="29"/>
        </w:numPr>
        <w:spacing w:before="0" w:after="0" w:line="360" w:lineRule="auto"/>
        <w:ind w:firstLine="218" w:firstLineChars="91"/>
        <w:rPr>
          <w:rFonts w:hint="eastAsia" w:asciiTheme="minorEastAsia" w:hAnsiTheme="minorEastAsia" w:eastAsiaTheme="minorEastAsia" w:cstheme="minorEastAsia"/>
          <w:b w:val="0"/>
          <w:sz w:val="24"/>
          <w:highlight w:val="none"/>
        </w:rPr>
      </w:pPr>
      <w:bookmarkStart w:id="146" w:name="_Toc8576"/>
      <w:r>
        <w:rPr>
          <w:rFonts w:hint="eastAsia" w:asciiTheme="minorEastAsia" w:hAnsiTheme="minorEastAsia" w:eastAsiaTheme="minorEastAsia" w:cstheme="minorEastAsia"/>
          <w:b w:val="0"/>
          <w:sz w:val="24"/>
          <w:highlight w:val="none"/>
          <w:lang w:val="en-US" w:eastAsia="zh-CN"/>
        </w:rPr>
        <w:t xml:space="preserve"> </w:t>
      </w:r>
      <w:r>
        <w:rPr>
          <w:rFonts w:hint="eastAsia" w:asciiTheme="minorEastAsia" w:hAnsiTheme="minorEastAsia" w:eastAsiaTheme="minorEastAsia" w:cstheme="minorEastAsia"/>
          <w:b w:val="0"/>
          <w:sz w:val="24"/>
          <w:highlight w:val="none"/>
        </w:rPr>
        <w:t>乙方违反</w:t>
      </w:r>
      <w:r>
        <w:rPr>
          <w:rFonts w:hint="eastAsia" w:asciiTheme="minorEastAsia" w:hAnsiTheme="minorEastAsia" w:eastAsiaTheme="minorEastAsia" w:cstheme="minorEastAsia"/>
          <w:b w:val="0"/>
          <w:sz w:val="24"/>
          <w:highlight w:val="none"/>
        </w:rPr>
        <w:fldChar w:fldCharType="begin"/>
      </w:r>
      <w:r>
        <w:rPr>
          <w:rFonts w:hint="eastAsia" w:asciiTheme="minorEastAsia" w:hAnsiTheme="minorEastAsia" w:eastAsiaTheme="minorEastAsia" w:cstheme="minorEastAsia"/>
          <w:b w:val="0"/>
          <w:sz w:val="24"/>
          <w:highlight w:val="none"/>
        </w:rPr>
        <w:instrText xml:space="preserve"> REF _Ref6310 \r \h </w:instrText>
      </w:r>
      <w:r>
        <w:rPr>
          <w:rFonts w:hint="eastAsia" w:asciiTheme="minorEastAsia" w:hAnsiTheme="minorEastAsia" w:eastAsiaTheme="minorEastAsia" w:cstheme="minorEastAsia"/>
          <w:b w:val="0"/>
          <w:sz w:val="24"/>
          <w:highlight w:val="none"/>
        </w:rPr>
        <w:fldChar w:fldCharType="separate"/>
      </w:r>
      <w:r>
        <w:rPr>
          <w:rFonts w:hint="eastAsia" w:asciiTheme="minorEastAsia" w:hAnsiTheme="minorEastAsia" w:eastAsiaTheme="minorEastAsia" w:cstheme="minorEastAsia"/>
          <w:b w:val="0"/>
          <w:sz w:val="24"/>
          <w:highlight w:val="none"/>
        </w:rPr>
        <w:t>第七条</w:t>
      </w:r>
      <w:r>
        <w:rPr>
          <w:rFonts w:hint="eastAsia" w:asciiTheme="minorEastAsia" w:hAnsiTheme="minorEastAsia" w:eastAsiaTheme="minorEastAsia" w:cstheme="minorEastAsia"/>
          <w:b w:val="0"/>
          <w:sz w:val="24"/>
          <w:highlight w:val="none"/>
        </w:rPr>
        <w:fldChar w:fldCharType="end"/>
      </w:r>
      <w:r>
        <w:rPr>
          <w:rFonts w:hint="eastAsia" w:asciiTheme="minorEastAsia" w:hAnsiTheme="minorEastAsia" w:eastAsiaTheme="minorEastAsia" w:cstheme="minorEastAsia"/>
          <w:b w:val="0"/>
          <w:sz w:val="24"/>
          <w:highlight w:val="none"/>
        </w:rPr>
        <w:t>甲方有权解除本协议，取消其供应商资格，并保留追究其法律责任的权利。</w:t>
      </w:r>
      <w:bookmarkEnd w:id="146"/>
    </w:p>
    <w:p w14:paraId="657AF451">
      <w:pPr>
        <w:numPr>
          <w:ilvl w:val="0"/>
          <w:numId w:val="29"/>
        </w:numPr>
        <w:spacing w:line="360" w:lineRule="auto"/>
        <w:ind w:left="0" w:leftChars="0" w:firstLine="0" w:firstLineChars="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其他</w:t>
      </w:r>
    </w:p>
    <w:p w14:paraId="7162C089">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47" w:name="_Toc9413"/>
      <w:r>
        <w:rPr>
          <w:rFonts w:hint="eastAsia" w:asciiTheme="minorEastAsia" w:hAnsiTheme="minorEastAsia" w:eastAsiaTheme="minorEastAsia" w:cstheme="minorEastAsia"/>
          <w:b w:val="0"/>
          <w:sz w:val="24"/>
          <w:highlight w:val="none"/>
        </w:rPr>
        <w:t>本协议一式两份，双方各执一份；自双方盖章之日起生效，</w:t>
      </w:r>
      <w:r>
        <w:rPr>
          <w:rFonts w:hint="eastAsia" w:asciiTheme="minorEastAsia" w:hAnsiTheme="minorEastAsia" w:eastAsiaTheme="minorEastAsia" w:cstheme="minorEastAsia"/>
          <w:bCs/>
          <w:sz w:val="24"/>
          <w:highlight w:val="none"/>
          <w:u w:val="single"/>
        </w:rPr>
        <w:t>到</w:t>
      </w:r>
      <w:r>
        <w:rPr>
          <w:rFonts w:hint="eastAsia" w:asciiTheme="minorEastAsia" w:hAnsiTheme="minorEastAsia" w:eastAsiaTheme="minorEastAsia" w:cstheme="minorEastAsia"/>
          <w:bCs/>
          <w:sz w:val="24"/>
          <w:highlight w:val="none"/>
          <w:u w:val="single"/>
          <w:lang w:val="en-US" w:eastAsia="zh-CN"/>
        </w:rPr>
        <w:t xml:space="preserve">   </w:t>
      </w:r>
      <w:r>
        <w:rPr>
          <w:rFonts w:hint="eastAsia" w:asciiTheme="minorEastAsia" w:hAnsiTheme="minorEastAsia" w:eastAsiaTheme="minorEastAsia" w:cstheme="minorEastAsia"/>
          <w:bCs/>
          <w:sz w:val="24"/>
          <w:highlight w:val="none"/>
          <w:u w:val="single"/>
        </w:rPr>
        <w:t>年</w:t>
      </w:r>
      <w:r>
        <w:rPr>
          <w:rFonts w:hint="eastAsia" w:asciiTheme="minorEastAsia" w:hAnsiTheme="minorEastAsia" w:eastAsiaTheme="minorEastAsia" w:cstheme="minorEastAsia"/>
          <w:bCs/>
          <w:sz w:val="24"/>
          <w:highlight w:val="none"/>
          <w:u w:val="single"/>
          <w:lang w:val="en-US" w:eastAsia="zh-CN"/>
        </w:rPr>
        <w:t xml:space="preserve">   </w:t>
      </w:r>
      <w:r>
        <w:rPr>
          <w:rFonts w:hint="eastAsia" w:asciiTheme="minorEastAsia" w:hAnsiTheme="minorEastAsia" w:eastAsiaTheme="minorEastAsia" w:cstheme="minorEastAsia"/>
          <w:bCs/>
          <w:sz w:val="24"/>
          <w:highlight w:val="none"/>
          <w:u w:val="single"/>
        </w:rPr>
        <w:t>月</w:t>
      </w:r>
      <w:r>
        <w:rPr>
          <w:rFonts w:hint="eastAsia" w:asciiTheme="minorEastAsia" w:hAnsiTheme="minorEastAsia" w:eastAsiaTheme="minorEastAsia" w:cstheme="minorEastAsia"/>
          <w:bCs/>
          <w:sz w:val="24"/>
          <w:highlight w:val="none"/>
          <w:u w:val="single"/>
          <w:lang w:val="en-US" w:eastAsia="zh-CN"/>
        </w:rPr>
        <w:t xml:space="preserve">   </w:t>
      </w:r>
      <w:r>
        <w:rPr>
          <w:rFonts w:hint="eastAsia" w:asciiTheme="minorEastAsia" w:hAnsiTheme="minorEastAsia" w:eastAsiaTheme="minorEastAsia" w:cstheme="minorEastAsia"/>
          <w:bCs/>
          <w:sz w:val="24"/>
          <w:highlight w:val="none"/>
          <w:u w:val="single"/>
        </w:rPr>
        <w:t>日结束</w:t>
      </w:r>
      <w:r>
        <w:rPr>
          <w:rFonts w:hint="eastAsia" w:asciiTheme="minorEastAsia" w:hAnsiTheme="minorEastAsia" w:eastAsiaTheme="minorEastAsia" w:cstheme="minorEastAsia"/>
          <w:b w:val="0"/>
          <w:sz w:val="24"/>
          <w:highlight w:val="none"/>
        </w:rPr>
        <w:t>。本协议是后续合作的指导性协议</w:t>
      </w:r>
      <w:r>
        <w:rPr>
          <w:rFonts w:hint="eastAsia" w:ascii="Times New Roman" w:hAnsi="Times New Roman" w:eastAsia="宋体"/>
          <w:b w:val="0"/>
          <w:sz w:val="24"/>
          <w:lang w:val="en-US" w:eastAsia="zh-CN"/>
        </w:rPr>
        <w:t>具有法律效应</w:t>
      </w:r>
      <w:r>
        <w:rPr>
          <w:rFonts w:hint="eastAsia" w:ascii="Times New Roman" w:hAnsi="Times New Roman" w:eastAsia="宋体"/>
          <w:b w:val="0"/>
          <w:sz w:val="24"/>
          <w:lang w:eastAsia="zh-CN"/>
        </w:rPr>
        <w:t>。</w:t>
      </w:r>
      <w:r>
        <w:rPr>
          <w:rFonts w:hint="eastAsia" w:ascii="Times New Roman" w:hAnsi="Times New Roman" w:eastAsia="宋体"/>
          <w:b w:val="0"/>
          <w:sz w:val="24"/>
          <w:lang w:val="en-US" w:eastAsia="zh-CN"/>
        </w:rPr>
        <w:t>为提高效率，后续合作以生产订单，双方确认的入库单等双方确认的单据为执行依据，不再单独签定合同</w:t>
      </w:r>
      <w:r>
        <w:rPr>
          <w:rFonts w:hint="eastAsia" w:ascii="Times New Roman" w:hAnsi="Times New Roman" w:eastAsia="宋体"/>
          <w:b w:val="0"/>
          <w:sz w:val="24"/>
        </w:rPr>
        <w:t>。</w:t>
      </w:r>
      <w:bookmarkEnd w:id="147"/>
    </w:p>
    <w:p w14:paraId="0544FCF4">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48" w:name="_Toc12043"/>
      <w:r>
        <w:rPr>
          <w:rFonts w:hint="eastAsia" w:asciiTheme="minorEastAsia" w:hAnsiTheme="minorEastAsia" w:eastAsiaTheme="minorEastAsia" w:cstheme="minorEastAsia"/>
          <w:b w:val="0"/>
          <w:sz w:val="24"/>
          <w:highlight w:val="none"/>
        </w:rPr>
        <w:t>具体事宜由甲乙双方在采购合同中进行约定。采购合同、补充规定的条款与本协议冲突的，以签订时间在后的条款为准。</w:t>
      </w:r>
      <w:bookmarkEnd w:id="148"/>
    </w:p>
    <w:p w14:paraId="7FCB2B8A">
      <w:pPr>
        <w:pStyle w:val="4"/>
        <w:keepNext w:val="0"/>
        <w:keepLines w:val="0"/>
        <w:numPr>
          <w:ilvl w:val="1"/>
          <w:numId w:val="29"/>
        </w:numPr>
        <w:spacing w:before="0" w:after="0" w:line="360" w:lineRule="auto"/>
        <w:ind w:left="-8" w:leftChars="0" w:firstLine="218" w:firstLineChars="0"/>
        <w:rPr>
          <w:rFonts w:hint="eastAsia" w:asciiTheme="minorEastAsia" w:hAnsiTheme="minorEastAsia" w:eastAsiaTheme="minorEastAsia" w:cstheme="minorEastAsia"/>
          <w:b w:val="0"/>
          <w:sz w:val="24"/>
          <w:highlight w:val="none"/>
        </w:rPr>
      </w:pPr>
      <w:bookmarkStart w:id="149" w:name="_Toc21930"/>
      <w:r>
        <w:rPr>
          <w:rFonts w:hint="eastAsia" w:asciiTheme="minorEastAsia" w:hAnsiTheme="minorEastAsia" w:eastAsiaTheme="minorEastAsia" w:cstheme="minorEastAsia"/>
          <w:b w:val="0"/>
          <w:sz w:val="24"/>
          <w:highlight w:val="none"/>
        </w:rPr>
        <w:t>本协议若在签订后或履行过程中发生争议，由双方当事人友好协商解决；协商不成的，依法向甲方所在地人民法院起诉。</w:t>
      </w:r>
      <w:bookmarkEnd w:id="149"/>
    </w:p>
    <w:p w14:paraId="76714920">
      <w:pPr>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以下无正文。</w:t>
      </w:r>
    </w:p>
    <w:p w14:paraId="01FE78BD">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甲方：中煤科工集团重庆研究院有限公司   乙方：                          </w:t>
      </w:r>
    </w:p>
    <w:p w14:paraId="5C42C09B">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地址：重庆市九龙坡区科城路6号         地址：</w:t>
      </w:r>
    </w:p>
    <w:p w14:paraId="3B551280">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经办人：                      </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 授权代表：</w:t>
      </w:r>
    </w:p>
    <w:p w14:paraId="246F6564">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                                 日期：</w:t>
      </w:r>
    </w:p>
    <w:p w14:paraId="398F5E6C">
      <w:pPr>
        <w:pStyle w:val="97"/>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br w:type="page"/>
      </w:r>
      <w:r>
        <w:rPr>
          <w:rFonts w:hint="eastAsia" w:asciiTheme="minorEastAsia" w:hAnsiTheme="minorEastAsia" w:eastAsiaTheme="minorEastAsia" w:cstheme="minorEastAsia"/>
          <w:b/>
          <w:bCs/>
          <w:sz w:val="28"/>
          <w:szCs w:val="28"/>
          <w:highlight w:val="none"/>
          <w:lang w:val="en-US" w:eastAsia="zh-CN"/>
        </w:rPr>
        <w:t>双方</w:t>
      </w:r>
      <w:r>
        <w:rPr>
          <w:rFonts w:hint="eastAsia" w:asciiTheme="minorEastAsia" w:hAnsiTheme="minorEastAsia" w:eastAsiaTheme="minorEastAsia" w:cstheme="minorEastAsia"/>
          <w:b/>
          <w:bCs/>
          <w:sz w:val="28"/>
          <w:szCs w:val="28"/>
          <w:highlight w:val="none"/>
        </w:rPr>
        <w:t>合作保密</w:t>
      </w:r>
      <w:r>
        <w:rPr>
          <w:rFonts w:hint="eastAsia" w:asciiTheme="minorEastAsia" w:hAnsiTheme="minorEastAsia" w:eastAsiaTheme="minorEastAsia" w:cstheme="minorEastAsia"/>
          <w:b/>
          <w:bCs/>
          <w:sz w:val="28"/>
          <w:szCs w:val="28"/>
          <w:highlight w:val="none"/>
          <w:lang w:val="en-US" w:eastAsia="zh-CN"/>
        </w:rPr>
        <w:t>协议</w:t>
      </w:r>
    </w:p>
    <w:p w14:paraId="3760B9B6">
      <w:pPr>
        <w:pStyle w:val="9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甲方：中煤科工集团重庆研究院有限公司</w:t>
      </w:r>
    </w:p>
    <w:p w14:paraId="1D7EF003">
      <w:pPr>
        <w:pStyle w:val="9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乙方：</w:t>
      </w:r>
    </w:p>
    <w:p w14:paraId="0F78533F">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为寻求共同发展，加强双方合作，确保甲方的知识产权不受侵犯，根据《民法典》等有关法律，现就双方合作过程中涉及的技术、图纸、信息等商业秘密的保密事宜，达成如下条款，以便共同遵守。</w:t>
      </w:r>
    </w:p>
    <w:p w14:paraId="23C2A6D5">
      <w:pPr>
        <w:pStyle w:val="97"/>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保密信息</w:t>
      </w:r>
    </w:p>
    <w:p w14:paraId="70C00C74">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密信息指不为公众所知，又能为其所有者带来经济效益的所有信息、数据或技术、图纸、模具等，包括但不限于甲方提供的与自主知识产权有关产品的图纸、配方（BOM清单）、模型、模具、加工工艺及流程、软件程序和商业有关的（客户有关信息、方案书、设计文档、采购量及成本、产品成本与定价等）资料、文件和电子文档。保密信息既包括书面认定为保密或专有的，又包括口头给予，随即被书面确认为保密或专有的。</w:t>
      </w:r>
    </w:p>
    <w:p w14:paraId="63086AC3">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上述所称的保密信息不包括如下的信息： </w:t>
      </w:r>
    </w:p>
    <w:p w14:paraId="1C993FFB">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a) 在不承担保密义务的情况下，乙方从甲方收到之前就已知晓的； </w:t>
      </w:r>
    </w:p>
    <w:p w14:paraId="36FD8925">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 从没有保密义务的第三方那里正当取得的，并且以该取得方所应了解为限，该第三方不是违法</w:t>
      </w:r>
      <w:r>
        <w:rPr>
          <w:rFonts w:hint="eastAsia" w:asciiTheme="minorEastAsia" w:hAnsiTheme="minorEastAsia" w:eastAsiaTheme="minorEastAsia" w:cstheme="minorEastAsia"/>
          <w:sz w:val="24"/>
          <w:szCs w:val="24"/>
          <w:highlight w:val="none"/>
          <w:lang w:eastAsia="zh-CN"/>
        </w:rPr>
        <w:t>地</w:t>
      </w:r>
      <w:r>
        <w:rPr>
          <w:rFonts w:hint="eastAsia" w:asciiTheme="minorEastAsia" w:hAnsiTheme="minorEastAsia" w:eastAsiaTheme="minorEastAsia" w:cstheme="minorEastAsia"/>
          <w:sz w:val="24"/>
          <w:szCs w:val="24"/>
          <w:highlight w:val="none"/>
        </w:rPr>
        <w:t xml:space="preserve">获得和披露该保密信息； </w:t>
      </w:r>
    </w:p>
    <w:p w14:paraId="34C00261">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c) 在没有接触保密信息的情况下，乙方独立开发取得的； </w:t>
      </w:r>
    </w:p>
    <w:p w14:paraId="5B4F77B3">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d) 乙方事先征得甲方书面同意而发布的。 </w:t>
      </w:r>
    </w:p>
    <w:p w14:paraId="24EE8635">
      <w:pPr>
        <w:pStyle w:val="97"/>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保密义务</w:t>
      </w:r>
    </w:p>
    <w:p w14:paraId="02D2467B">
      <w:pPr>
        <w:pStyle w:val="97"/>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乙方应当严格遵守保密义务，禁止将保密信息对外披露、公布或泄露。</w:t>
      </w:r>
    </w:p>
    <w:p w14:paraId="52B4E4E8">
      <w:pPr>
        <w:pStyle w:val="97"/>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乙方应采取一切合理且不得低于乙方公司对其自身类似保密信息的措施来保护甲方向其披露的保密信息，不得以任何形式</w:t>
      </w:r>
      <w:r>
        <w:rPr>
          <w:rFonts w:hint="eastAsia" w:asciiTheme="minorEastAsia" w:hAnsiTheme="minorEastAsia" w:eastAsiaTheme="minorEastAsia" w:cstheme="minorEastAsia"/>
          <w:sz w:val="24"/>
          <w:szCs w:val="24"/>
          <w:highlight w:val="none"/>
          <w:lang w:eastAsia="zh-CN"/>
        </w:rPr>
        <w:t>泄露</w:t>
      </w:r>
      <w:r>
        <w:rPr>
          <w:rFonts w:hint="eastAsia" w:asciiTheme="minorEastAsia" w:hAnsiTheme="minorEastAsia" w:eastAsiaTheme="minorEastAsia" w:cstheme="minorEastAsia"/>
          <w:sz w:val="24"/>
          <w:szCs w:val="24"/>
          <w:highlight w:val="none"/>
        </w:rPr>
        <w:t>给第三方。</w:t>
      </w:r>
    </w:p>
    <w:p w14:paraId="6F329B34">
      <w:pPr>
        <w:pStyle w:val="97"/>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乙方应安排保密意识高、责任心强的雇员与甲方进行对接，该雇员受到本协议同等严格保密义务的约束。</w:t>
      </w:r>
    </w:p>
    <w:p w14:paraId="30D5AF9D">
      <w:pPr>
        <w:pStyle w:val="97"/>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乙方若某一部件需要进行分包，须经甲方同意后方可执行，但乙方应在合作中约定关联方的保密责任。</w:t>
      </w:r>
    </w:p>
    <w:p w14:paraId="64230F78">
      <w:pPr>
        <w:pStyle w:val="97"/>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乙方对合作内容不得私自更改更换。若的确需要更换必须经甲方同意更改更换后方能调整。私自更改更换给甲方造成的损失由乙方承担。</w:t>
      </w:r>
    </w:p>
    <w:p w14:paraId="16A12786">
      <w:pPr>
        <w:pStyle w:val="97"/>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乙方在与甲方合作保密期内不得与甲方的竞争对手合作，一经发现取消供应商资格。</w:t>
      </w:r>
    </w:p>
    <w:p w14:paraId="2A4A2698">
      <w:pPr>
        <w:pStyle w:val="97"/>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乙方对下列信息可免于承担保密义务：</w:t>
      </w:r>
    </w:p>
    <w:p w14:paraId="5321B9D3">
      <w:pPr>
        <w:pStyle w:val="97"/>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在甲方披露时，该保密信息已经合法公开；</w:t>
      </w:r>
    </w:p>
    <w:p w14:paraId="272BA857">
      <w:pPr>
        <w:pStyle w:val="97"/>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因国家法律法规或监管部门要求提供或司法机关依职权要求乙方提供的相关信息。</w:t>
      </w:r>
    </w:p>
    <w:p w14:paraId="27D179D8">
      <w:pPr>
        <w:pStyle w:val="97"/>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若因保密不当而泄密，乙方应在知情情况下3个日历日内告知甲方，以便双方采取保护措施。</w:t>
      </w:r>
    </w:p>
    <w:p w14:paraId="438376AB">
      <w:pPr>
        <w:pStyle w:val="97"/>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无论因为何种原因</w:t>
      </w:r>
      <w:r>
        <w:rPr>
          <w:rFonts w:hint="eastAsia" w:asciiTheme="minorEastAsia" w:hAnsiTheme="minorEastAsia" w:eastAsiaTheme="minorEastAsia" w:cstheme="minorEastAsia"/>
          <w:sz w:val="24"/>
          <w:szCs w:val="24"/>
          <w:highlight w:val="none"/>
          <w:lang w:eastAsia="zh-CN"/>
        </w:rPr>
        <w:t>导致</w:t>
      </w:r>
      <w:r>
        <w:rPr>
          <w:rFonts w:hint="eastAsia" w:asciiTheme="minorEastAsia" w:hAnsiTheme="minorEastAsia" w:eastAsiaTheme="minorEastAsia" w:cstheme="minorEastAsia"/>
          <w:sz w:val="24"/>
          <w:szCs w:val="24"/>
          <w:highlight w:val="none"/>
        </w:rPr>
        <w:t>双方保密目的未予实现（除</w:t>
      </w:r>
      <w:r>
        <w:rPr>
          <w:rFonts w:hint="eastAsia" w:asciiTheme="minorEastAsia" w:hAnsiTheme="minorEastAsia" w:eastAsiaTheme="minorEastAsia" w:cstheme="minorEastAsia"/>
          <w:sz w:val="24"/>
          <w:szCs w:val="24"/>
          <w:highlight w:val="none"/>
        </w:rPr>
        <w:fldChar w:fldCharType="begin"/>
      </w:r>
      <w:r>
        <w:instrText xml:space="preserve"> REF _Ref1705 \r \h  \* MERGEFORMAT</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款第2条外），乙方应当在甲方通知之日起3日内返还并销毁其所获得的所有保密信息。乙方不得以任何理由和方式保留。该等文件、资料的返还和销毁并不免除乙方及其接触本协议所称保密信息的雇员和其他人员的保密义务。</w:t>
      </w:r>
    </w:p>
    <w:p w14:paraId="4987C2DB">
      <w:pPr>
        <w:pStyle w:val="97"/>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保密期限</w:t>
      </w:r>
    </w:p>
    <w:p w14:paraId="51CD33E3">
      <w:pPr>
        <w:pStyle w:val="97"/>
        <w:keepNext w:val="0"/>
        <w:keepLines w:val="0"/>
        <w:pageBreakBefore w:val="0"/>
        <w:widowControl w:val="0"/>
        <w:numPr>
          <w:ilvl w:val="0"/>
          <w:numId w:val="33"/>
        </w:numPr>
        <w:tabs>
          <w:tab w:val="left" w:pos="0"/>
        </w:tabs>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本协议保密期限为双方谈判期间、合作履行期间以及上述期间全部届满之日起五年。</w:t>
      </w:r>
    </w:p>
    <w:p w14:paraId="18BBEC4D">
      <w:pPr>
        <w:pStyle w:val="97"/>
        <w:keepNext w:val="0"/>
        <w:keepLines w:val="0"/>
        <w:pageBreakBefore w:val="0"/>
        <w:widowControl w:val="0"/>
        <w:numPr>
          <w:ilvl w:val="0"/>
          <w:numId w:val="33"/>
        </w:numPr>
        <w:tabs>
          <w:tab w:val="left" w:pos="0"/>
        </w:tabs>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自本协议签订生效之日起至保密信息被甲方公开披露或公开信息之日止。</w:t>
      </w:r>
    </w:p>
    <w:p w14:paraId="220CF936">
      <w:pPr>
        <w:pStyle w:val="97"/>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违约责任</w:t>
      </w:r>
    </w:p>
    <w:p w14:paraId="5A2B9AC1">
      <w:pPr>
        <w:pStyle w:val="97"/>
        <w:keepNext w:val="0"/>
        <w:keepLines w:val="0"/>
        <w:pageBreakBefore w:val="0"/>
        <w:widowControl w:val="0"/>
        <w:numPr>
          <w:ilvl w:val="0"/>
          <w:numId w:val="34"/>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若乙方违反本协议的情形，无论故意与过失，应当立即停止侵害，并在第一时间采取必要的措施防止保密信息的扩散，尽最大可能消除影响，并及时通知甲方。</w:t>
      </w:r>
    </w:p>
    <w:p w14:paraId="4296C123">
      <w:pPr>
        <w:pStyle w:val="97"/>
        <w:keepNext w:val="0"/>
        <w:keepLines w:val="0"/>
        <w:pageBreakBefore w:val="0"/>
        <w:widowControl w:val="0"/>
        <w:numPr>
          <w:ilvl w:val="0"/>
          <w:numId w:val="34"/>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乙方因违约行为或乙方关联方泄密而导致甲方遭受损失，乙方承担全部</w:t>
      </w:r>
      <w:r>
        <w:rPr>
          <w:rFonts w:hint="eastAsia" w:asciiTheme="minorEastAsia" w:hAnsiTheme="minorEastAsia" w:eastAsiaTheme="minorEastAsia" w:cstheme="minorEastAsia"/>
          <w:sz w:val="24"/>
          <w:szCs w:val="24"/>
          <w:highlight w:val="none"/>
          <w:lang w:val="en-US" w:eastAsia="zh-CN"/>
        </w:rPr>
        <w:t>损失</w:t>
      </w:r>
      <w:r>
        <w:rPr>
          <w:rFonts w:hint="eastAsia" w:asciiTheme="minorEastAsia" w:hAnsiTheme="minorEastAsia" w:eastAsiaTheme="minorEastAsia" w:cstheme="minorEastAsia"/>
          <w:sz w:val="24"/>
          <w:szCs w:val="24"/>
          <w:highlight w:val="none"/>
        </w:rPr>
        <w:t>。如乙方因违约而受有利益，则应将所得利益支付给甲方。</w:t>
      </w:r>
    </w:p>
    <w:p w14:paraId="52D63E4A">
      <w:pPr>
        <w:pStyle w:val="97"/>
        <w:keepNext w:val="0"/>
        <w:keepLines w:val="0"/>
        <w:pageBreakBefore w:val="0"/>
        <w:widowControl w:val="0"/>
        <w:numPr>
          <w:ilvl w:val="0"/>
          <w:numId w:val="34"/>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若乙方因故意行为造成保密信息泄露，除</w:t>
      </w:r>
      <w:r>
        <w:rPr>
          <w:rFonts w:hint="eastAsia" w:asciiTheme="minorEastAsia" w:hAnsiTheme="minorEastAsia" w:eastAsiaTheme="minorEastAsia" w:cstheme="minorEastAsia"/>
          <w:sz w:val="24"/>
          <w:szCs w:val="24"/>
          <w:highlight w:val="none"/>
          <w:lang w:val="en-US" w:eastAsia="zh-CN"/>
        </w:rPr>
        <w:t>承担</w:t>
      </w:r>
      <w:r>
        <w:rPr>
          <w:rFonts w:hint="eastAsia" w:asciiTheme="minorEastAsia" w:hAnsiTheme="minorEastAsia" w:eastAsiaTheme="minorEastAsia" w:cstheme="minorEastAsia"/>
          <w:sz w:val="24"/>
          <w:szCs w:val="24"/>
          <w:highlight w:val="none"/>
        </w:rPr>
        <w:t>甲方全部</w:t>
      </w:r>
      <w:r>
        <w:rPr>
          <w:rFonts w:hint="eastAsia" w:asciiTheme="minorEastAsia" w:hAnsiTheme="minorEastAsia" w:eastAsiaTheme="minorEastAsia" w:cstheme="minorEastAsia"/>
          <w:sz w:val="24"/>
          <w:szCs w:val="24"/>
          <w:highlight w:val="none"/>
          <w:lang w:val="en-US" w:eastAsia="zh-CN"/>
        </w:rPr>
        <w:t>损失</w:t>
      </w:r>
      <w:r>
        <w:rPr>
          <w:rFonts w:hint="eastAsia" w:asciiTheme="minorEastAsia" w:hAnsiTheme="minorEastAsia" w:eastAsiaTheme="minorEastAsia" w:cstheme="minorEastAsia"/>
          <w:sz w:val="24"/>
          <w:szCs w:val="24"/>
          <w:highlight w:val="none"/>
        </w:rPr>
        <w:t>外，将取消乙方供应商资格并列入供应商黑名单。</w:t>
      </w:r>
    </w:p>
    <w:p w14:paraId="29578617">
      <w:pPr>
        <w:pStyle w:val="97"/>
        <w:keepNext w:val="0"/>
        <w:keepLines w:val="0"/>
        <w:pageBreakBefore w:val="0"/>
        <w:widowControl w:val="0"/>
        <w:numPr>
          <w:ilvl w:val="0"/>
          <w:numId w:val="34"/>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乙方承诺因乙方员工、关联方（如分包单位等关联方）等造成泄密的，承担因此给甲方造成的所有损失，包括但不限于直接损失、间接损失、甲方的维权费用等，并承担违约金20万元。</w:t>
      </w:r>
    </w:p>
    <w:p w14:paraId="0E5F9C3C">
      <w:pPr>
        <w:pStyle w:val="97"/>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法律适用及争议解决</w:t>
      </w:r>
    </w:p>
    <w:p w14:paraId="0572DD5A">
      <w:pPr>
        <w:pStyle w:val="97"/>
        <w:keepNext w:val="0"/>
        <w:keepLines w:val="0"/>
        <w:pageBreakBefore w:val="0"/>
        <w:widowControl w:val="0"/>
        <w:numPr>
          <w:ilvl w:val="0"/>
          <w:numId w:val="35"/>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本协议适用中华人民共和国法律并按其解释。</w:t>
      </w:r>
    </w:p>
    <w:p w14:paraId="31413D80">
      <w:pPr>
        <w:pStyle w:val="97"/>
        <w:keepNext w:val="0"/>
        <w:keepLines w:val="0"/>
        <w:pageBreakBefore w:val="0"/>
        <w:widowControl w:val="0"/>
        <w:numPr>
          <w:ilvl w:val="0"/>
          <w:numId w:val="35"/>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因本协议引起的或与本协议有关的任何争议，通过友好协商解决。不能通过友好协商解决的，向甲方所在地有管辖权的人民法院提起诉讼。</w:t>
      </w:r>
    </w:p>
    <w:p w14:paraId="78D4099D">
      <w:pPr>
        <w:pStyle w:val="97"/>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附则</w:t>
      </w:r>
    </w:p>
    <w:p w14:paraId="0BEE4598">
      <w:pPr>
        <w:pStyle w:val="97"/>
        <w:keepNext w:val="0"/>
        <w:keepLines w:val="0"/>
        <w:pageBreakBefore w:val="0"/>
        <w:widowControl w:val="0"/>
        <w:numPr>
          <w:ilvl w:val="0"/>
          <w:numId w:val="36"/>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本协议经双方盖章后生效。</w:t>
      </w:r>
    </w:p>
    <w:p w14:paraId="3B2EB7DD">
      <w:pPr>
        <w:pStyle w:val="97"/>
        <w:keepNext w:val="0"/>
        <w:keepLines w:val="0"/>
        <w:pageBreakBefore w:val="0"/>
        <w:widowControl w:val="0"/>
        <w:numPr>
          <w:ilvl w:val="0"/>
          <w:numId w:val="36"/>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本协议一式两份，双方各执一份。与甲方签订合同、长期合作协议具有同等法律效力，若因同一事件多种协议条款冲突，以距当前时间最近的为准。</w:t>
      </w:r>
    </w:p>
    <w:p w14:paraId="05464866">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以下无正文。</w:t>
      </w:r>
    </w:p>
    <w:p w14:paraId="6E05AC57">
      <w:pPr>
        <w:pStyle w:val="9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甲方：中煤科工集团重庆研究院有限公司   乙方：</w:t>
      </w:r>
    </w:p>
    <w:p w14:paraId="545DAEFC">
      <w:pPr>
        <w:pStyle w:val="97"/>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日期：                                 日期：</w:t>
      </w:r>
    </w:p>
    <w:p w14:paraId="2EFE89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p w14:paraId="0F78A022">
      <w:pPr>
        <w:pStyle w:val="86"/>
        <w:ind w:firstLine="240"/>
        <w:rPr>
          <w:rFonts w:hint="eastAsia" w:asciiTheme="minorEastAsia" w:hAnsiTheme="minorEastAsia" w:eastAsiaTheme="minorEastAsia" w:cstheme="minorEastAsia"/>
          <w:highlight w:val="none"/>
          <w:lang w:eastAsia="zh-CN" w:bidi="ar-SA"/>
        </w:rPr>
      </w:pPr>
    </w:p>
    <w:p w14:paraId="6E47F830">
      <w:pPr>
        <w:pStyle w:val="86"/>
        <w:ind w:firstLine="240"/>
        <w:rPr>
          <w:rFonts w:hint="eastAsia" w:asciiTheme="minorEastAsia" w:hAnsiTheme="minorEastAsia" w:eastAsiaTheme="minorEastAsia" w:cstheme="minorEastAsia"/>
          <w:highlight w:val="none"/>
          <w:lang w:eastAsia="zh-CN" w:bidi="ar-SA"/>
        </w:rPr>
      </w:pPr>
    </w:p>
    <w:p w14:paraId="12CDD229">
      <w:pPr>
        <w:pStyle w:val="86"/>
        <w:ind w:firstLine="240"/>
        <w:rPr>
          <w:rFonts w:hint="eastAsia" w:asciiTheme="minorEastAsia" w:hAnsiTheme="minorEastAsia" w:eastAsiaTheme="minorEastAsia" w:cstheme="minorEastAsia"/>
          <w:highlight w:val="none"/>
          <w:lang w:eastAsia="zh-CN" w:bidi="ar-SA"/>
        </w:rPr>
      </w:pPr>
    </w:p>
    <w:p w14:paraId="7FD2F49C">
      <w:pPr>
        <w:rPr>
          <w:rFonts w:hint="eastAsia" w:asciiTheme="minorEastAsia" w:hAnsiTheme="minorEastAsia" w:eastAsiaTheme="minorEastAsia" w:cstheme="minorEastAsia"/>
          <w:highlight w:val="none"/>
          <w:lang w:eastAsia="zh-CN" w:bidi="ar-SA"/>
        </w:rPr>
      </w:pPr>
      <w:r>
        <w:rPr>
          <w:rFonts w:hint="eastAsia" w:asciiTheme="minorEastAsia" w:hAnsiTheme="minorEastAsia" w:eastAsiaTheme="minorEastAsia" w:cstheme="minorEastAsia"/>
          <w:highlight w:val="none"/>
          <w:lang w:eastAsia="zh-CN" w:bidi="ar-SA"/>
        </w:rPr>
        <w:br w:type="page"/>
      </w:r>
    </w:p>
    <w:bookmarkEnd w:id="106"/>
    <w:bookmarkEnd w:id="107"/>
    <w:bookmarkEnd w:id="108"/>
    <w:bookmarkEnd w:id="109"/>
    <w:p w14:paraId="4FDD15B2">
      <w:pPr>
        <w:pStyle w:val="84"/>
        <w:ind w:firstLine="0" w:firstLineChars="0"/>
        <w:jc w:val="center"/>
        <w:rPr>
          <w:rFonts w:hint="eastAsia" w:asciiTheme="minorEastAsia" w:hAnsiTheme="minorEastAsia" w:eastAsiaTheme="minorEastAsia" w:cstheme="minorEastAsia"/>
          <w:color w:val="auto"/>
          <w:highlight w:val="none"/>
        </w:rPr>
      </w:pPr>
      <w:bookmarkStart w:id="150" w:name="_Toc7878"/>
      <w:bookmarkStart w:id="151" w:name="_Toc6159"/>
      <w:bookmarkStart w:id="152" w:name="_Toc2859"/>
      <w:bookmarkStart w:id="153" w:name="_Toc71357457"/>
      <w:r>
        <w:rPr>
          <w:rFonts w:hint="eastAsia" w:asciiTheme="minorEastAsia" w:hAnsiTheme="minorEastAsia" w:eastAsiaTheme="minorEastAsia" w:cstheme="minorEastAsia"/>
          <w:lang w:eastAsia="zh-CN"/>
        </w:rPr>
        <w:t>第四章 评标办法</w:t>
      </w:r>
      <w:bookmarkStart w:id="154" w:name="_Toc152796733"/>
      <w:r>
        <w:rPr>
          <w:rFonts w:hint="eastAsia" w:asciiTheme="minorEastAsia" w:hAnsiTheme="minorEastAsia" w:eastAsiaTheme="minorEastAsia" w:cstheme="minorEastAsia"/>
          <w:color w:val="auto"/>
          <w:highlight w:val="none"/>
        </w:rPr>
        <w:t>（综合评估法）</w:t>
      </w:r>
      <w:bookmarkEnd w:id="150"/>
      <w:bookmarkEnd w:id="151"/>
      <w:bookmarkEnd w:id="154"/>
    </w:p>
    <w:p w14:paraId="19BACFCF">
      <w:pPr>
        <w:spacing w:line="360" w:lineRule="auto"/>
        <w:ind w:firstLine="236" w:firstLineChars="98"/>
        <w:jc w:val="left"/>
        <w:rPr>
          <w:rFonts w:hint="eastAsia" w:asciiTheme="minorEastAsia" w:hAnsiTheme="minorEastAsia" w:eastAsiaTheme="minorEastAsia" w:cstheme="minorEastAsia"/>
          <w:b/>
          <w:color w:val="auto"/>
          <w:sz w:val="24"/>
          <w:szCs w:val="44"/>
          <w:highlight w:val="none"/>
        </w:rPr>
      </w:pPr>
      <w:r>
        <w:rPr>
          <w:rFonts w:hint="eastAsia" w:asciiTheme="minorEastAsia" w:hAnsiTheme="minorEastAsia" w:eastAsiaTheme="minorEastAsia" w:cstheme="minorEastAsia"/>
          <w:b/>
          <w:color w:val="auto"/>
          <w:sz w:val="24"/>
          <w:szCs w:val="44"/>
          <w:highlight w:val="none"/>
        </w:rPr>
        <w:t>评标办法前附表</w:t>
      </w:r>
    </w:p>
    <w:tbl>
      <w:tblPr>
        <w:tblStyle w:val="88"/>
        <w:tblpPr w:leftFromText="180" w:rightFromText="180" w:vertAnchor="text" w:tblpXSpec="center" w:tblpY="1"/>
        <w:tblOverlap w:val="never"/>
        <w:tblW w:w="9907"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620"/>
        <w:gridCol w:w="1586"/>
        <w:gridCol w:w="5803"/>
      </w:tblGrid>
      <w:tr w14:paraId="2785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trPr>
        <w:tc>
          <w:tcPr>
            <w:tcW w:w="2518" w:type="dxa"/>
            <w:gridSpan w:val="2"/>
            <w:noWrap w:val="0"/>
            <w:vAlign w:val="center"/>
          </w:tcPr>
          <w:p w14:paraId="5C41CF4F">
            <w:pPr>
              <w:spacing w:line="360" w:lineRule="auto"/>
              <w:ind w:left="0" w:leftChars="0" w:firstLine="0" w:firstLineChars="0"/>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条款号</w:t>
            </w:r>
          </w:p>
        </w:tc>
        <w:tc>
          <w:tcPr>
            <w:tcW w:w="1586" w:type="dxa"/>
            <w:noWrap w:val="0"/>
            <w:vAlign w:val="center"/>
          </w:tcPr>
          <w:p w14:paraId="651D3952">
            <w:pPr>
              <w:spacing w:line="360" w:lineRule="auto"/>
              <w:ind w:left="0" w:leftChars="0" w:firstLine="0" w:firstLineChars="0"/>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5803" w:type="dxa"/>
            <w:noWrap w:val="0"/>
            <w:vAlign w:val="center"/>
          </w:tcPr>
          <w:p w14:paraId="546B30CD">
            <w:pPr>
              <w:spacing w:line="360" w:lineRule="auto"/>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2C03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98" w:type="dxa"/>
            <w:noWrap w:val="0"/>
            <w:vAlign w:val="center"/>
          </w:tcPr>
          <w:p w14:paraId="2F1B50D9">
            <w:pPr>
              <w:spacing w:line="400" w:lineRule="exact"/>
              <w:ind w:left="0" w:leftChars="0" w:firstLine="0" w:firstLineChars="0"/>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highlight w:val="none"/>
              </w:rPr>
              <w:t>1</w:t>
            </w:r>
          </w:p>
        </w:tc>
        <w:tc>
          <w:tcPr>
            <w:tcW w:w="1620" w:type="dxa"/>
            <w:noWrap w:val="0"/>
            <w:vAlign w:val="center"/>
          </w:tcPr>
          <w:p w14:paraId="4D5340E8">
            <w:pPr>
              <w:spacing w:line="400" w:lineRule="exact"/>
              <w:ind w:left="0" w:leftChars="0"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评标办法</w:t>
            </w:r>
          </w:p>
        </w:tc>
        <w:tc>
          <w:tcPr>
            <w:tcW w:w="7389" w:type="dxa"/>
            <w:gridSpan w:val="2"/>
            <w:noWrap w:val="0"/>
            <w:vAlign w:val="center"/>
          </w:tcPr>
          <w:p w14:paraId="1E0D9253">
            <w:pPr>
              <w:spacing w:line="360" w:lineRule="auto"/>
              <w:ind w:firstLine="480"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本次评标采用综合评估法。评标委员会对满足招标文件实质性要求的投标文件，按照本章第2.2.1款规定的</w:t>
            </w:r>
            <w:r>
              <w:rPr>
                <w:rFonts w:hint="eastAsia" w:asciiTheme="minorEastAsia" w:hAnsiTheme="minorEastAsia" w:eastAsiaTheme="minorEastAsia" w:cstheme="minorEastAsia"/>
                <w:color w:val="auto"/>
                <w:sz w:val="24"/>
                <w:szCs w:val="24"/>
                <w:highlight w:val="none"/>
                <w:lang w:val="en-US" w:eastAsia="zh-CN"/>
              </w:rPr>
              <w:t>分值构成</w:t>
            </w:r>
            <w:r>
              <w:rPr>
                <w:rFonts w:hint="eastAsia" w:asciiTheme="minorEastAsia" w:hAnsiTheme="minorEastAsia" w:eastAsiaTheme="minorEastAsia" w:cstheme="minorEastAsia"/>
                <w:color w:val="auto"/>
                <w:sz w:val="24"/>
                <w:szCs w:val="24"/>
                <w:highlight w:val="none"/>
              </w:rPr>
              <w:t>进行打分，并按得分由高到低顺序推荐</w:t>
            </w:r>
            <w:r>
              <w:rPr>
                <w:rFonts w:hint="eastAsia" w:asciiTheme="minorEastAsia" w:hAnsiTheme="minorEastAsia" w:eastAsiaTheme="minorEastAsia" w:cstheme="minorEastAsia"/>
                <w:color w:val="auto"/>
                <w:sz w:val="24"/>
                <w:szCs w:val="24"/>
                <w:highlight w:val="none"/>
                <w:lang w:val="en-US" w:eastAsia="zh-CN"/>
              </w:rPr>
              <w:t>中标候选</w:t>
            </w:r>
            <w:r>
              <w:rPr>
                <w:rFonts w:hint="eastAsia" w:asciiTheme="minorEastAsia" w:hAnsiTheme="minorEastAsia" w:eastAsiaTheme="minorEastAsia" w:cstheme="minorEastAsia"/>
                <w:color w:val="auto"/>
                <w:sz w:val="24"/>
                <w:szCs w:val="24"/>
                <w:highlight w:val="none"/>
              </w:rPr>
              <w:t>供应商。综合得分相</w:t>
            </w:r>
            <w:r>
              <w:rPr>
                <w:rFonts w:hint="eastAsia" w:asciiTheme="minorEastAsia" w:hAnsiTheme="minorEastAsia" w:eastAsiaTheme="minorEastAsia" w:cstheme="minorEastAsia"/>
                <w:color w:val="auto"/>
                <w:sz w:val="24"/>
                <w:szCs w:val="24"/>
                <w:highlight w:val="none"/>
                <w:lang w:eastAsia="zh-CN"/>
              </w:rPr>
              <w:t>同的</w:t>
            </w:r>
            <w:r>
              <w:rPr>
                <w:rFonts w:hint="eastAsia" w:asciiTheme="minorEastAsia" w:hAnsiTheme="minorEastAsia" w:eastAsiaTheme="minorEastAsia" w:cstheme="minorEastAsia"/>
                <w:color w:val="auto"/>
                <w:sz w:val="24"/>
                <w:szCs w:val="24"/>
                <w:highlight w:val="none"/>
              </w:rPr>
              <w:t>，优先推荐投标总报价得分高的投标人；投标总报价得分仍相同的，</w:t>
            </w:r>
            <w:r>
              <w:rPr>
                <w:rFonts w:hint="eastAsia" w:asciiTheme="minorEastAsia" w:hAnsiTheme="minorEastAsia" w:eastAsiaTheme="minorEastAsia" w:cstheme="minorEastAsia"/>
                <w:color w:val="auto"/>
                <w:sz w:val="24"/>
                <w:szCs w:val="24"/>
                <w:highlight w:val="none"/>
                <w:lang w:val="en-US" w:eastAsia="zh-CN"/>
              </w:rPr>
              <w:t>由评标委员会按照</w:t>
            </w:r>
            <w:r>
              <w:rPr>
                <w:rFonts w:hint="eastAsia" w:asciiTheme="minorEastAsia" w:hAnsiTheme="minorEastAsia" w:eastAsiaTheme="minorEastAsia" w:cstheme="minorEastAsia"/>
                <w:color w:val="auto"/>
                <w:kern w:val="0"/>
                <w:sz w:val="24"/>
                <w:szCs w:val="24"/>
                <w:highlight w:val="none"/>
              </w:rPr>
              <w:t>技术部分</w:t>
            </w:r>
            <w:r>
              <w:rPr>
                <w:rFonts w:hint="eastAsia" w:asciiTheme="minorEastAsia" w:hAnsiTheme="minorEastAsia" w:eastAsiaTheme="minorEastAsia" w:cstheme="minorEastAsia"/>
                <w:color w:val="auto"/>
                <w:kern w:val="0"/>
                <w:sz w:val="24"/>
                <w:szCs w:val="24"/>
                <w:highlight w:val="none"/>
                <w:lang w:val="en-US" w:eastAsia="zh-CN"/>
              </w:rPr>
              <w:t>得分从高到低原则推荐</w:t>
            </w:r>
            <w:r>
              <w:rPr>
                <w:rFonts w:hint="eastAsia" w:asciiTheme="minorEastAsia" w:hAnsiTheme="minorEastAsia" w:eastAsiaTheme="minorEastAsia" w:cstheme="minorEastAsia"/>
                <w:color w:val="auto"/>
                <w:sz w:val="24"/>
                <w:szCs w:val="24"/>
                <w:highlight w:val="none"/>
              </w:rPr>
              <w:t>。</w:t>
            </w:r>
          </w:p>
        </w:tc>
      </w:tr>
      <w:tr w14:paraId="2C49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trPr>
        <w:tc>
          <w:tcPr>
            <w:tcW w:w="898" w:type="dxa"/>
            <w:vMerge w:val="restart"/>
            <w:noWrap w:val="0"/>
            <w:vAlign w:val="center"/>
          </w:tcPr>
          <w:p w14:paraId="62D0F4A2">
            <w:pPr>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2.1.1</w:t>
            </w:r>
          </w:p>
        </w:tc>
        <w:tc>
          <w:tcPr>
            <w:tcW w:w="1620" w:type="dxa"/>
            <w:vMerge w:val="restart"/>
            <w:noWrap w:val="0"/>
            <w:textDirection w:val="tbRlV"/>
            <w:vAlign w:val="center"/>
          </w:tcPr>
          <w:p w14:paraId="446A9C31">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形式评审标准</w:t>
            </w:r>
          </w:p>
        </w:tc>
        <w:tc>
          <w:tcPr>
            <w:tcW w:w="1586" w:type="dxa"/>
            <w:noWrap w:val="0"/>
            <w:vAlign w:val="center"/>
          </w:tcPr>
          <w:p w14:paraId="2FC8A0B2">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w:t>
            </w:r>
          </w:p>
        </w:tc>
        <w:tc>
          <w:tcPr>
            <w:tcW w:w="5803" w:type="dxa"/>
            <w:noWrap w:val="0"/>
            <w:vAlign w:val="center"/>
          </w:tcPr>
          <w:p w14:paraId="57531E3A">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与营业执照等证明材料上的名称一致。</w:t>
            </w:r>
          </w:p>
        </w:tc>
      </w:tr>
      <w:tr w14:paraId="18792531">
        <w:tblPrEx>
          <w:tblCellMar>
            <w:top w:w="0" w:type="dxa"/>
            <w:left w:w="108" w:type="dxa"/>
            <w:bottom w:w="0" w:type="dxa"/>
            <w:right w:w="108" w:type="dxa"/>
          </w:tblCellMar>
        </w:tblPrEx>
        <w:trPr>
          <w:cantSplit/>
          <w:trHeight w:val="1135" w:hRule="atLeast"/>
        </w:trPr>
        <w:tc>
          <w:tcPr>
            <w:tcW w:w="898" w:type="dxa"/>
            <w:vMerge w:val="continue"/>
            <w:noWrap w:val="0"/>
            <w:vAlign w:val="top"/>
          </w:tcPr>
          <w:p w14:paraId="21E1682D">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75974087">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71515F14">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投标函签字盖章</w:t>
            </w:r>
          </w:p>
        </w:tc>
        <w:tc>
          <w:tcPr>
            <w:tcW w:w="5803" w:type="dxa"/>
            <w:noWrap w:val="0"/>
            <w:vAlign w:val="center"/>
          </w:tcPr>
          <w:p w14:paraId="78EFDE8E">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由</w:t>
            </w:r>
            <w:r>
              <w:rPr>
                <w:rFonts w:hint="eastAsia" w:asciiTheme="minorEastAsia" w:hAnsiTheme="minorEastAsia" w:eastAsiaTheme="minorEastAsia" w:cstheme="minorEastAsia"/>
                <w:color w:val="auto"/>
                <w:sz w:val="24"/>
                <w:szCs w:val="24"/>
                <w:highlight w:val="none"/>
              </w:rPr>
              <w:t>法定代表人或其委托代理人签字、加盖单位公章。</w:t>
            </w:r>
          </w:p>
        </w:tc>
      </w:tr>
      <w:tr w14:paraId="5F3B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trPr>
        <w:tc>
          <w:tcPr>
            <w:tcW w:w="898" w:type="dxa"/>
            <w:vMerge w:val="continue"/>
            <w:noWrap w:val="0"/>
            <w:vAlign w:val="top"/>
          </w:tcPr>
          <w:p w14:paraId="21EE1C70">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654F1893">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0BD86AC8">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投标文件格式</w:t>
            </w:r>
          </w:p>
        </w:tc>
        <w:tc>
          <w:tcPr>
            <w:tcW w:w="5803" w:type="dxa"/>
            <w:noWrap w:val="0"/>
            <w:vAlign w:val="center"/>
          </w:tcPr>
          <w:p w14:paraId="240DFE1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章“投标文件格式”的要求，字迹清晰可辨。</w:t>
            </w:r>
          </w:p>
          <w:p w14:paraId="7220F67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1.投标函应符合招标文件的规定；</w:t>
            </w:r>
          </w:p>
          <w:p w14:paraId="0081A09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2.投标文件内容均按招标文件规定填写；</w:t>
            </w:r>
          </w:p>
          <w:p w14:paraId="7486131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3.投标文件正本和副本数量符合招标文件要求；</w:t>
            </w:r>
          </w:p>
          <w:p w14:paraId="63C783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4.投标文件的编制符合第二章“投标人须知</w:t>
            </w:r>
            <w:r>
              <w:rPr>
                <w:rFonts w:hint="eastAsia" w:asciiTheme="minorEastAsia" w:hAnsiTheme="minorEastAsia" w:eastAsiaTheme="minorEastAsia" w:cstheme="minorEastAsia"/>
                <w:color w:val="auto"/>
                <w:sz w:val="24"/>
                <w:szCs w:val="24"/>
                <w:highlight w:val="none"/>
                <w:lang w:val="en-US" w:eastAsia="zh-CN"/>
              </w:rPr>
              <w:t>前附表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z w:val="24"/>
                <w:szCs w:val="24"/>
                <w:highlight w:val="none"/>
              </w:rPr>
              <w:t>项的规定。</w:t>
            </w:r>
          </w:p>
        </w:tc>
      </w:tr>
      <w:tr w14:paraId="0036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98" w:type="dxa"/>
            <w:vMerge w:val="continue"/>
            <w:noWrap w:val="0"/>
            <w:vAlign w:val="top"/>
          </w:tcPr>
          <w:p w14:paraId="71CD6B82">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1F5B62E2">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5337548A">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报价唯一</w:t>
            </w:r>
          </w:p>
        </w:tc>
        <w:tc>
          <w:tcPr>
            <w:tcW w:w="5803" w:type="dxa"/>
            <w:noWrap w:val="0"/>
            <w:vAlign w:val="center"/>
          </w:tcPr>
          <w:p w14:paraId="21F759B8">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只能有一个有效报价。</w:t>
            </w:r>
          </w:p>
        </w:tc>
      </w:tr>
      <w:tr w14:paraId="243F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898" w:type="dxa"/>
            <w:vMerge w:val="continue"/>
            <w:noWrap w:val="0"/>
            <w:vAlign w:val="top"/>
          </w:tcPr>
          <w:p w14:paraId="4E57CDA3">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3C0DC95D">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36E0E4BC">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投标文件的签署</w:t>
            </w:r>
          </w:p>
        </w:tc>
        <w:tc>
          <w:tcPr>
            <w:tcW w:w="5803" w:type="dxa"/>
            <w:noWrap w:val="0"/>
            <w:vAlign w:val="center"/>
          </w:tcPr>
          <w:p w14:paraId="0F762F02">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投标文件上法定代表人或其授权代理人的签字齐全。</w:t>
            </w:r>
          </w:p>
        </w:tc>
      </w:tr>
      <w:tr w14:paraId="0646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898" w:type="dxa"/>
            <w:vMerge w:val="continue"/>
            <w:noWrap w:val="0"/>
            <w:vAlign w:val="top"/>
          </w:tcPr>
          <w:p w14:paraId="7588D665">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6C1F6A56">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35673E90">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p>
        </w:tc>
        <w:tc>
          <w:tcPr>
            <w:tcW w:w="5803" w:type="dxa"/>
            <w:noWrap w:val="0"/>
            <w:vAlign w:val="center"/>
          </w:tcPr>
          <w:p w14:paraId="29689550">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投标人法定代表人的委托代理人有法定代表人签署的授权委托书，且其授权委托书符合招标文件规定的格式。</w:t>
            </w:r>
          </w:p>
        </w:tc>
      </w:tr>
      <w:tr w14:paraId="55AA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98" w:type="dxa"/>
            <w:vMerge w:val="restart"/>
            <w:noWrap w:val="0"/>
            <w:vAlign w:val="center"/>
          </w:tcPr>
          <w:p w14:paraId="66067AB9">
            <w:pPr>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2.1.2</w:t>
            </w:r>
          </w:p>
        </w:tc>
        <w:tc>
          <w:tcPr>
            <w:tcW w:w="1620" w:type="dxa"/>
            <w:vMerge w:val="restart"/>
            <w:noWrap w:val="0"/>
            <w:textDirection w:val="tbRlV"/>
            <w:vAlign w:val="center"/>
          </w:tcPr>
          <w:p w14:paraId="4D34C62E">
            <w:pPr>
              <w:spacing w:line="360" w:lineRule="auto"/>
              <w:ind w:left="0" w:leftChars="0" w:firstLine="0" w:firstLineChars="0"/>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资格评审标准</w:t>
            </w:r>
          </w:p>
        </w:tc>
        <w:tc>
          <w:tcPr>
            <w:tcW w:w="1586" w:type="dxa"/>
            <w:tcBorders>
              <w:right w:val="single" w:color="auto" w:sz="6" w:space="0"/>
            </w:tcBorders>
            <w:noWrap w:val="0"/>
            <w:vAlign w:val="center"/>
          </w:tcPr>
          <w:p w14:paraId="00B398E7">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营业执照</w:t>
            </w:r>
          </w:p>
        </w:tc>
        <w:tc>
          <w:tcPr>
            <w:tcW w:w="5803" w:type="dxa"/>
            <w:tcBorders>
              <w:left w:val="single" w:color="auto" w:sz="6" w:space="0"/>
            </w:tcBorders>
            <w:noWrap w:val="0"/>
            <w:vAlign w:val="center"/>
          </w:tcPr>
          <w:p w14:paraId="7F8F9E7F">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符合第二章“投标人须知前附表”第</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项的规定。</w:t>
            </w:r>
          </w:p>
        </w:tc>
      </w:tr>
      <w:tr w14:paraId="4B6D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98" w:type="dxa"/>
            <w:vMerge w:val="continue"/>
            <w:noWrap w:val="0"/>
            <w:vAlign w:val="center"/>
          </w:tcPr>
          <w:p w14:paraId="3174191A">
            <w:pPr>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620" w:type="dxa"/>
            <w:vMerge w:val="continue"/>
            <w:noWrap w:val="0"/>
            <w:textDirection w:val="tbRlV"/>
            <w:vAlign w:val="center"/>
          </w:tcPr>
          <w:p w14:paraId="5F1BFCF3">
            <w:pPr>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586" w:type="dxa"/>
            <w:tcBorders>
              <w:right w:val="single" w:color="auto" w:sz="6" w:space="0"/>
            </w:tcBorders>
            <w:noWrap w:val="0"/>
            <w:vAlign w:val="center"/>
          </w:tcPr>
          <w:p w14:paraId="778AB6FA">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财务状况</w:t>
            </w:r>
          </w:p>
        </w:tc>
        <w:tc>
          <w:tcPr>
            <w:tcW w:w="5803" w:type="dxa"/>
            <w:tcBorders>
              <w:left w:val="single" w:color="auto" w:sz="6" w:space="0"/>
            </w:tcBorders>
            <w:noWrap w:val="0"/>
            <w:vAlign w:val="center"/>
          </w:tcPr>
          <w:p w14:paraId="28DE14A4">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符合第二章“投标人须知前附表”第</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项的规定。</w:t>
            </w:r>
          </w:p>
        </w:tc>
      </w:tr>
      <w:tr w14:paraId="01C2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trPr>
        <w:tc>
          <w:tcPr>
            <w:tcW w:w="898" w:type="dxa"/>
            <w:vMerge w:val="continue"/>
            <w:noWrap w:val="0"/>
            <w:vAlign w:val="center"/>
          </w:tcPr>
          <w:p w14:paraId="4242386F">
            <w:pPr>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620" w:type="dxa"/>
            <w:vMerge w:val="continue"/>
            <w:noWrap w:val="0"/>
            <w:textDirection w:val="tbRlV"/>
            <w:vAlign w:val="center"/>
          </w:tcPr>
          <w:p w14:paraId="19944621">
            <w:pPr>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586" w:type="dxa"/>
            <w:tcBorders>
              <w:right w:val="single" w:color="auto" w:sz="6" w:space="0"/>
            </w:tcBorders>
            <w:noWrap w:val="0"/>
            <w:vAlign w:val="center"/>
          </w:tcPr>
          <w:p w14:paraId="0264E170">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信誉要求及承诺书</w:t>
            </w:r>
          </w:p>
        </w:tc>
        <w:tc>
          <w:tcPr>
            <w:tcW w:w="5803" w:type="dxa"/>
            <w:tcBorders>
              <w:left w:val="single" w:color="auto" w:sz="6" w:space="0"/>
            </w:tcBorders>
            <w:noWrap w:val="0"/>
            <w:vAlign w:val="center"/>
          </w:tcPr>
          <w:p w14:paraId="7CBF70DB">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符合第二章“投标人须知前附表”第</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项的规定。</w:t>
            </w:r>
          </w:p>
        </w:tc>
      </w:tr>
      <w:tr w14:paraId="242A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898" w:type="dxa"/>
            <w:vMerge w:val="restart"/>
            <w:noWrap w:val="0"/>
            <w:vAlign w:val="center"/>
          </w:tcPr>
          <w:p w14:paraId="0658791E">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2.1.3</w:t>
            </w:r>
          </w:p>
        </w:tc>
        <w:tc>
          <w:tcPr>
            <w:tcW w:w="1620" w:type="dxa"/>
            <w:vMerge w:val="restart"/>
            <w:noWrap w:val="0"/>
            <w:textDirection w:val="tbRlV"/>
            <w:vAlign w:val="center"/>
          </w:tcPr>
          <w:p w14:paraId="0D75BFC3">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响应性</w:t>
            </w:r>
            <w:r>
              <w:rPr>
                <w:rFonts w:hint="eastAsia" w:asciiTheme="minorEastAsia" w:hAnsiTheme="minorEastAsia" w:eastAsiaTheme="minorEastAsia" w:cstheme="minorEastAsia"/>
                <w:color w:val="auto"/>
                <w:kern w:val="0"/>
                <w:sz w:val="24"/>
                <w:szCs w:val="24"/>
                <w:highlight w:val="none"/>
              </w:rPr>
              <w:t>评审</w:t>
            </w:r>
            <w:r>
              <w:rPr>
                <w:rFonts w:hint="eastAsia" w:asciiTheme="minorEastAsia" w:hAnsiTheme="minorEastAsia" w:eastAsiaTheme="minorEastAsia" w:cstheme="minorEastAsia"/>
                <w:color w:val="auto"/>
                <w:sz w:val="24"/>
                <w:szCs w:val="24"/>
                <w:highlight w:val="none"/>
              </w:rPr>
              <w:t>标准</w:t>
            </w:r>
          </w:p>
        </w:tc>
        <w:tc>
          <w:tcPr>
            <w:tcW w:w="1586" w:type="dxa"/>
            <w:noWrap w:val="0"/>
            <w:vAlign w:val="center"/>
          </w:tcPr>
          <w:p w14:paraId="00B2FA53">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投标内容</w:t>
            </w:r>
          </w:p>
        </w:tc>
        <w:tc>
          <w:tcPr>
            <w:tcW w:w="5803" w:type="dxa"/>
            <w:noWrap w:val="0"/>
            <w:vAlign w:val="center"/>
          </w:tcPr>
          <w:p w14:paraId="25BBAD97">
            <w:pPr>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符合第二章“投标人须知前附表”第1.</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项的规定。</w:t>
            </w:r>
          </w:p>
        </w:tc>
      </w:tr>
      <w:tr w14:paraId="11FA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98" w:type="dxa"/>
            <w:vMerge w:val="continue"/>
            <w:noWrap w:val="0"/>
            <w:vAlign w:val="top"/>
          </w:tcPr>
          <w:p w14:paraId="15D6ECC2">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1AF9602A">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1B06542B">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交货方式及服务期</w:t>
            </w:r>
          </w:p>
        </w:tc>
        <w:tc>
          <w:tcPr>
            <w:tcW w:w="5803" w:type="dxa"/>
            <w:noWrap w:val="0"/>
            <w:vAlign w:val="center"/>
          </w:tcPr>
          <w:p w14:paraId="4E60A541">
            <w:pPr>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符</w:t>
            </w:r>
            <w:r>
              <w:rPr>
                <w:rFonts w:hint="eastAsia" w:asciiTheme="minorEastAsia" w:hAnsiTheme="minorEastAsia" w:eastAsiaTheme="minorEastAsia" w:cstheme="minorEastAsia"/>
                <w:color w:val="auto"/>
                <w:sz w:val="24"/>
                <w:szCs w:val="24"/>
                <w:highlight w:val="none"/>
              </w:rPr>
              <w:t>合第二章“投标人须知前附表”第1.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项的规定。</w:t>
            </w:r>
          </w:p>
        </w:tc>
      </w:tr>
      <w:tr w14:paraId="74A0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898" w:type="dxa"/>
            <w:vMerge w:val="continue"/>
            <w:noWrap w:val="0"/>
            <w:vAlign w:val="top"/>
          </w:tcPr>
          <w:p w14:paraId="1A528FE3">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23A6FDDF">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448E5F60">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5803" w:type="dxa"/>
            <w:noWrap w:val="0"/>
            <w:vAlign w:val="center"/>
          </w:tcPr>
          <w:p w14:paraId="38544BA4">
            <w:pPr>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符合第二章“投标人须知前附表”第1.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项的规定。</w:t>
            </w:r>
          </w:p>
        </w:tc>
      </w:tr>
      <w:tr w14:paraId="0B1D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898" w:type="dxa"/>
            <w:vMerge w:val="continue"/>
            <w:noWrap w:val="0"/>
            <w:vAlign w:val="top"/>
          </w:tcPr>
          <w:p w14:paraId="60664CFE">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63770F24">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77624879">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质量保证期</w:t>
            </w:r>
          </w:p>
        </w:tc>
        <w:tc>
          <w:tcPr>
            <w:tcW w:w="5803" w:type="dxa"/>
            <w:noWrap w:val="0"/>
            <w:vAlign w:val="center"/>
          </w:tcPr>
          <w:p w14:paraId="0694651B">
            <w:pPr>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符合第二章“投标人须知前附表”第</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项的规定。</w:t>
            </w:r>
          </w:p>
        </w:tc>
      </w:tr>
      <w:tr w14:paraId="1A66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898" w:type="dxa"/>
            <w:vMerge w:val="continue"/>
            <w:noWrap w:val="0"/>
            <w:vAlign w:val="top"/>
          </w:tcPr>
          <w:p w14:paraId="6D65CDBA">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54876F67">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409DC7B2">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质量要求</w:t>
            </w:r>
          </w:p>
        </w:tc>
        <w:tc>
          <w:tcPr>
            <w:tcW w:w="5803" w:type="dxa"/>
            <w:noWrap w:val="0"/>
            <w:vAlign w:val="center"/>
          </w:tcPr>
          <w:p w14:paraId="1AEA2EFF">
            <w:pPr>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符合第二章“投标人须知前附表”第</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项的规定。</w:t>
            </w:r>
          </w:p>
        </w:tc>
      </w:tr>
      <w:tr w14:paraId="44AB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898" w:type="dxa"/>
            <w:vMerge w:val="continue"/>
            <w:noWrap w:val="0"/>
            <w:vAlign w:val="top"/>
          </w:tcPr>
          <w:p w14:paraId="0D167AE1">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12183CC7">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72209428">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5803" w:type="dxa"/>
            <w:noWrap w:val="0"/>
            <w:vAlign w:val="center"/>
          </w:tcPr>
          <w:p w14:paraId="3654686A">
            <w:pPr>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符合第二章“投标人须知前附表”第</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rPr>
              <w:t>项的规定。</w:t>
            </w:r>
          </w:p>
        </w:tc>
      </w:tr>
      <w:tr w14:paraId="693B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898" w:type="dxa"/>
            <w:vMerge w:val="continue"/>
            <w:noWrap w:val="0"/>
            <w:vAlign w:val="top"/>
          </w:tcPr>
          <w:p w14:paraId="388AFB65">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3C517277">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7BA44FD0">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w:t>
            </w:r>
          </w:p>
        </w:tc>
        <w:tc>
          <w:tcPr>
            <w:tcW w:w="5803" w:type="dxa"/>
            <w:noWrap w:val="0"/>
            <w:vAlign w:val="center"/>
          </w:tcPr>
          <w:p w14:paraId="23D1308A">
            <w:pPr>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符合第二章“投标人须知前附表”第</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项的规定。</w:t>
            </w:r>
          </w:p>
        </w:tc>
      </w:tr>
      <w:tr w14:paraId="5679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trPr>
        <w:tc>
          <w:tcPr>
            <w:tcW w:w="898" w:type="dxa"/>
            <w:vMerge w:val="continue"/>
            <w:noWrap w:val="0"/>
            <w:vAlign w:val="top"/>
          </w:tcPr>
          <w:p w14:paraId="0CA32FDA">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vAlign w:val="top"/>
          </w:tcPr>
          <w:p w14:paraId="06D9A477">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72C51807">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权利义务</w:t>
            </w:r>
          </w:p>
        </w:tc>
        <w:tc>
          <w:tcPr>
            <w:tcW w:w="5803" w:type="dxa"/>
            <w:noWrap w:val="0"/>
            <w:vAlign w:val="center"/>
          </w:tcPr>
          <w:p w14:paraId="5DF24050">
            <w:pPr>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投标文件不应附有</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不能接受的条件。</w:t>
            </w:r>
          </w:p>
        </w:tc>
      </w:tr>
      <w:tr w14:paraId="117A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98" w:type="dxa"/>
            <w:vMerge w:val="continue"/>
            <w:noWrap w:val="0"/>
            <w:vAlign w:val="center"/>
          </w:tcPr>
          <w:p w14:paraId="0D0559D7">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textDirection w:val="tbRlV"/>
            <w:vAlign w:val="center"/>
          </w:tcPr>
          <w:p w14:paraId="2C196BAF">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0F61B4F8">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tc>
        <w:tc>
          <w:tcPr>
            <w:tcW w:w="5803" w:type="dxa"/>
            <w:noWrap w:val="0"/>
            <w:vAlign w:val="center"/>
          </w:tcPr>
          <w:p w14:paraId="3B072416">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eastAsia="zh-CN"/>
              </w:rPr>
              <w:t>招标清单及技术要求”</w:t>
            </w:r>
            <w:r>
              <w:rPr>
                <w:rFonts w:hint="eastAsia" w:asciiTheme="minorEastAsia" w:hAnsiTheme="minorEastAsia" w:eastAsiaTheme="minorEastAsia" w:cstheme="minorEastAsia"/>
                <w:color w:val="auto"/>
                <w:sz w:val="24"/>
                <w:szCs w:val="24"/>
                <w:highlight w:val="none"/>
              </w:rPr>
              <w:t>给出的范围及数量。</w:t>
            </w:r>
          </w:p>
        </w:tc>
      </w:tr>
      <w:tr w14:paraId="0EED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98" w:type="dxa"/>
            <w:vMerge w:val="continue"/>
            <w:noWrap w:val="0"/>
            <w:vAlign w:val="center"/>
          </w:tcPr>
          <w:p w14:paraId="23115535">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textDirection w:val="tbRlV"/>
            <w:vAlign w:val="center"/>
          </w:tcPr>
          <w:p w14:paraId="0FC25D31">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2DF51EE2">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投标的技术标准和要求</w:t>
            </w:r>
          </w:p>
        </w:tc>
        <w:tc>
          <w:tcPr>
            <w:tcW w:w="5803" w:type="dxa"/>
            <w:noWrap w:val="0"/>
            <w:vAlign w:val="center"/>
          </w:tcPr>
          <w:p w14:paraId="206D2769">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提供的产品（货物）必须是全新的、未使用过的；且提供的产品（货物）和服务必须符合国家、行业相应标准。</w:t>
            </w:r>
          </w:p>
        </w:tc>
      </w:tr>
      <w:tr w14:paraId="27AC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898" w:type="dxa"/>
            <w:vMerge w:val="continue"/>
            <w:noWrap w:val="0"/>
            <w:vAlign w:val="center"/>
          </w:tcPr>
          <w:p w14:paraId="1C4F98A8">
            <w:pPr>
              <w:spacing w:line="360" w:lineRule="auto"/>
              <w:jc w:val="center"/>
              <w:rPr>
                <w:rFonts w:hint="eastAsia" w:asciiTheme="minorEastAsia" w:hAnsiTheme="minorEastAsia" w:eastAsiaTheme="minorEastAsia" w:cstheme="minorEastAsia"/>
                <w:color w:val="auto"/>
                <w:sz w:val="24"/>
                <w:szCs w:val="24"/>
                <w:highlight w:val="none"/>
              </w:rPr>
            </w:pPr>
          </w:p>
        </w:tc>
        <w:tc>
          <w:tcPr>
            <w:tcW w:w="1620" w:type="dxa"/>
            <w:vMerge w:val="continue"/>
            <w:noWrap w:val="0"/>
            <w:textDirection w:val="tbRlV"/>
            <w:vAlign w:val="center"/>
          </w:tcPr>
          <w:p w14:paraId="48362D10">
            <w:pPr>
              <w:spacing w:line="360" w:lineRule="auto"/>
              <w:jc w:val="center"/>
              <w:rPr>
                <w:rFonts w:hint="eastAsia" w:asciiTheme="minorEastAsia" w:hAnsiTheme="minorEastAsia" w:eastAsiaTheme="minorEastAsia" w:cstheme="minorEastAsia"/>
                <w:color w:val="auto"/>
                <w:sz w:val="24"/>
                <w:szCs w:val="24"/>
                <w:highlight w:val="none"/>
              </w:rPr>
            </w:pPr>
          </w:p>
        </w:tc>
        <w:tc>
          <w:tcPr>
            <w:tcW w:w="1586" w:type="dxa"/>
            <w:noWrap w:val="0"/>
            <w:vAlign w:val="center"/>
          </w:tcPr>
          <w:p w14:paraId="74695997">
            <w:pPr>
              <w:tabs>
                <w:tab w:val="left" w:pos="558"/>
                <w:tab w:val="center" w:pos="1318"/>
              </w:tabs>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实质性要求</w:t>
            </w:r>
          </w:p>
        </w:tc>
        <w:tc>
          <w:tcPr>
            <w:tcW w:w="5803" w:type="dxa"/>
            <w:noWrap w:val="0"/>
            <w:vAlign w:val="center"/>
          </w:tcPr>
          <w:p w14:paraId="497C77D4">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符合招标文件中规定的其他实质性要求。</w:t>
            </w:r>
          </w:p>
        </w:tc>
      </w:tr>
      <w:tr w14:paraId="2636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2518" w:type="dxa"/>
            <w:gridSpan w:val="2"/>
            <w:noWrap w:val="0"/>
            <w:vAlign w:val="center"/>
          </w:tcPr>
          <w:p w14:paraId="492A4F9C">
            <w:pPr>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2.2.1</w:t>
            </w:r>
          </w:p>
        </w:tc>
        <w:tc>
          <w:tcPr>
            <w:tcW w:w="1586" w:type="dxa"/>
            <w:noWrap w:val="0"/>
            <w:vAlign w:val="center"/>
          </w:tcPr>
          <w:p w14:paraId="0432F690">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分值构成</w:t>
            </w:r>
          </w:p>
          <w:p w14:paraId="4B237DBC">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(总分100分)</w:t>
            </w:r>
          </w:p>
        </w:tc>
        <w:tc>
          <w:tcPr>
            <w:tcW w:w="5803" w:type="dxa"/>
            <w:noWrap w:val="0"/>
            <w:vAlign w:val="center"/>
          </w:tcPr>
          <w:p w14:paraId="18BC86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（1）投标总报价：</w:t>
            </w:r>
            <w:r>
              <w:rPr>
                <w:rFonts w:hint="eastAsia" w:asciiTheme="minorEastAsia" w:hAnsiTheme="minorEastAsia" w:eastAsiaTheme="minorEastAsia" w:cstheme="minorEastAsia"/>
                <w:color w:val="auto"/>
                <w:sz w:val="24"/>
                <w:szCs w:val="24"/>
                <w:highlight w:val="none"/>
                <w:lang w:val="en-US" w:eastAsia="zh-CN"/>
              </w:rPr>
              <w:t>50</w:t>
            </w:r>
            <w:r>
              <w:rPr>
                <w:rFonts w:hint="eastAsia" w:asciiTheme="minorEastAsia" w:hAnsiTheme="minorEastAsia" w:eastAsiaTheme="minorEastAsia" w:cstheme="minorEastAsia"/>
                <w:color w:val="auto"/>
                <w:sz w:val="24"/>
                <w:szCs w:val="24"/>
                <w:highlight w:val="none"/>
              </w:rPr>
              <w:t>分；</w:t>
            </w:r>
          </w:p>
          <w:p w14:paraId="06F3A9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（2）商务部分：10分；</w:t>
            </w:r>
          </w:p>
          <w:p w14:paraId="6B5B96AC">
            <w:pPr>
              <w:pStyle w:val="9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（3）技术部分：</w:t>
            </w:r>
            <w:r>
              <w:rPr>
                <w:rFonts w:hint="eastAsia" w:asciiTheme="minorEastAsia" w:hAnsiTheme="minorEastAsia" w:eastAsiaTheme="minorEastAsia" w:cstheme="minorEastAsia"/>
                <w:color w:val="auto"/>
                <w:szCs w:val="24"/>
                <w:highlight w:val="none"/>
                <w:lang w:val="en-US" w:eastAsia="zh-CN"/>
              </w:rPr>
              <w:t>40</w:t>
            </w:r>
            <w:r>
              <w:rPr>
                <w:rFonts w:hint="eastAsia" w:asciiTheme="minorEastAsia" w:hAnsiTheme="minorEastAsia" w:eastAsiaTheme="minorEastAsia" w:cstheme="minorEastAsia"/>
                <w:color w:val="auto"/>
                <w:szCs w:val="24"/>
                <w:highlight w:val="none"/>
              </w:rPr>
              <w:t>分。</w:t>
            </w:r>
          </w:p>
        </w:tc>
      </w:tr>
      <w:tr w14:paraId="0CAA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518" w:type="dxa"/>
            <w:gridSpan w:val="2"/>
            <w:noWrap w:val="0"/>
            <w:vAlign w:val="center"/>
          </w:tcPr>
          <w:p w14:paraId="2FFACC4D">
            <w:pPr>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2.2.2</w:t>
            </w:r>
          </w:p>
        </w:tc>
        <w:tc>
          <w:tcPr>
            <w:tcW w:w="1586" w:type="dxa"/>
            <w:noWrap w:val="0"/>
            <w:vAlign w:val="center"/>
          </w:tcPr>
          <w:p w14:paraId="7F4EDEE0">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评标基准价计算方法</w:t>
            </w:r>
          </w:p>
        </w:tc>
        <w:tc>
          <w:tcPr>
            <w:tcW w:w="5803" w:type="dxa"/>
            <w:noWrap w:val="0"/>
            <w:vAlign w:val="center"/>
          </w:tcPr>
          <w:p w14:paraId="755C92D3">
            <w:pPr>
              <w:pStyle w:val="97"/>
              <w:ind w:firstLine="0" w:firstLineChars="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lang w:eastAsia="zh-CN" w:bidi="ar-SA"/>
              </w:rPr>
              <w:t>所有通过初步评审</w:t>
            </w:r>
            <w:r>
              <w:rPr>
                <w:rFonts w:hint="eastAsia" w:ascii="宋体" w:hAnsi="宋体" w:cs="宋体"/>
                <w:color w:val="auto"/>
                <w:sz w:val="24"/>
                <w:szCs w:val="24"/>
                <w:lang w:val="en-US" w:eastAsia="zh-CN" w:bidi="ar-SA"/>
              </w:rPr>
              <w:t>投标人</w:t>
            </w:r>
            <w:r>
              <w:rPr>
                <w:rFonts w:hint="eastAsia" w:ascii="宋体" w:hAnsi="宋体" w:eastAsia="宋体" w:cs="宋体"/>
                <w:color w:val="auto"/>
                <w:sz w:val="24"/>
                <w:szCs w:val="24"/>
                <w:lang w:eastAsia="zh-CN" w:bidi="ar-SA"/>
              </w:rPr>
              <w:t>的</w:t>
            </w:r>
            <w:r>
              <w:rPr>
                <w:rFonts w:hint="eastAsia" w:ascii="宋体" w:hAnsi="宋体" w:cs="宋体"/>
                <w:color w:val="auto"/>
                <w:sz w:val="24"/>
                <w:szCs w:val="24"/>
                <w:lang w:val="en-US" w:eastAsia="zh-CN" w:bidi="ar-SA"/>
              </w:rPr>
              <w:t>最</w:t>
            </w:r>
            <w:r>
              <w:rPr>
                <w:rFonts w:hint="eastAsia" w:ascii="宋体" w:hAnsi="宋体" w:eastAsia="宋体" w:cs="宋体"/>
                <w:color w:val="auto"/>
                <w:sz w:val="24"/>
                <w:szCs w:val="24"/>
                <w:lang w:eastAsia="zh-CN" w:bidi="ar-SA"/>
              </w:rPr>
              <w:t>低</w:t>
            </w:r>
            <w:r>
              <w:rPr>
                <w:rFonts w:hint="eastAsia" w:ascii="宋体" w:hAnsi="宋体" w:cs="宋体"/>
                <w:color w:val="auto"/>
                <w:sz w:val="24"/>
                <w:szCs w:val="24"/>
                <w:lang w:val="en-US" w:eastAsia="zh-CN" w:bidi="ar-SA"/>
              </w:rPr>
              <w:t>投标报</w:t>
            </w:r>
            <w:r>
              <w:rPr>
                <w:rFonts w:hint="eastAsia" w:ascii="宋体" w:hAnsi="宋体" w:eastAsia="宋体" w:cs="宋体"/>
                <w:color w:val="auto"/>
                <w:sz w:val="24"/>
                <w:szCs w:val="24"/>
                <w:lang w:eastAsia="zh-CN" w:bidi="ar-SA"/>
              </w:rPr>
              <w:t>价</w:t>
            </w:r>
            <w:r>
              <w:rPr>
                <w:rFonts w:hint="eastAsia" w:ascii="宋体" w:hAnsi="宋体" w:cs="宋体"/>
                <w:color w:val="auto"/>
                <w:sz w:val="24"/>
                <w:szCs w:val="24"/>
                <w:lang w:val="en-US" w:eastAsia="zh-CN" w:bidi="ar-SA"/>
              </w:rPr>
              <w:t>作</w:t>
            </w:r>
            <w:r>
              <w:rPr>
                <w:rFonts w:hint="eastAsia" w:ascii="宋体" w:hAnsi="宋体" w:eastAsia="宋体" w:cs="宋体"/>
                <w:color w:val="auto"/>
                <w:sz w:val="24"/>
                <w:szCs w:val="24"/>
                <w:lang w:eastAsia="zh-CN" w:bidi="ar-SA"/>
              </w:rPr>
              <w:t>为评标基准价。</w:t>
            </w:r>
          </w:p>
        </w:tc>
      </w:tr>
      <w:tr w14:paraId="2A52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trPr>
        <w:tc>
          <w:tcPr>
            <w:tcW w:w="898" w:type="dxa"/>
            <w:noWrap w:val="0"/>
            <w:vAlign w:val="center"/>
          </w:tcPr>
          <w:p w14:paraId="454CA3D0">
            <w:pPr>
              <w:snapToGrid w:val="0"/>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2.2.</w:t>
            </w:r>
            <w:r>
              <w:rPr>
                <w:rFonts w:hint="eastAsia" w:asciiTheme="minorEastAsia" w:hAnsiTheme="minorEastAsia" w:eastAsiaTheme="minorEastAsia" w:cstheme="minorEastAsia"/>
                <w:color w:val="auto"/>
                <w:kern w:val="0"/>
                <w:sz w:val="24"/>
                <w:szCs w:val="24"/>
                <w:highlight w:val="none"/>
                <w:lang w:val="en-US" w:eastAsia="zh-CN"/>
              </w:rPr>
              <w:t>3</w:t>
            </w:r>
          </w:p>
          <w:p w14:paraId="7E22E8B4">
            <w:pPr>
              <w:snapToGrid w:val="0"/>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620" w:type="dxa"/>
            <w:noWrap w:val="0"/>
            <w:vAlign w:val="center"/>
          </w:tcPr>
          <w:p w14:paraId="281418F0">
            <w:pPr>
              <w:snapToGrid w:val="0"/>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投标总报价评分标准A</w:t>
            </w:r>
          </w:p>
          <w:p w14:paraId="53B6951D">
            <w:pPr>
              <w:snapToGrid w:val="0"/>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(满分</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0分)</w:t>
            </w:r>
          </w:p>
        </w:tc>
        <w:tc>
          <w:tcPr>
            <w:tcW w:w="1586" w:type="dxa"/>
            <w:noWrap w:val="0"/>
            <w:vAlign w:val="center"/>
          </w:tcPr>
          <w:p w14:paraId="0D7BB7D8">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投标总报价</w:t>
            </w:r>
          </w:p>
          <w:p w14:paraId="053DA805">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0分）</w:t>
            </w:r>
          </w:p>
        </w:tc>
        <w:tc>
          <w:tcPr>
            <w:tcW w:w="5803" w:type="dxa"/>
            <w:noWrap w:val="0"/>
            <w:vAlign w:val="center"/>
          </w:tcPr>
          <w:p w14:paraId="0B2FD0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宋体"/>
                <w:color w:val="auto"/>
                <w:sz w:val="24"/>
                <w:szCs w:val="24"/>
                <w:lang w:eastAsia="zh-CN"/>
              </w:rPr>
            </w:pPr>
            <w:r>
              <w:rPr>
                <w:rFonts w:ascii="宋体" w:hAnsi="宋体" w:eastAsia="宋体" w:cs="宋体"/>
                <w:color w:val="auto"/>
                <w:sz w:val="24"/>
                <w:szCs w:val="24"/>
              </w:rPr>
              <w:t>报价得分：投标人的投标报价等于评标基准价的，得</w:t>
            </w:r>
            <w:r>
              <w:rPr>
                <w:rFonts w:hint="eastAsia" w:cs="宋体"/>
                <w:color w:val="auto"/>
                <w:sz w:val="24"/>
                <w:szCs w:val="24"/>
                <w:lang w:val="en-US" w:eastAsia="zh-CN"/>
              </w:rPr>
              <w:t>5</w:t>
            </w:r>
            <w:r>
              <w:rPr>
                <w:rFonts w:ascii="宋体" w:hAnsi="宋体" w:eastAsia="宋体" w:cs="宋体"/>
                <w:color w:val="auto"/>
                <w:sz w:val="24"/>
                <w:szCs w:val="24"/>
              </w:rPr>
              <w:t>0分；在此基础上，投标人的投标报价与评标基准价相比，每高于评标基准价</w:t>
            </w:r>
            <w:r>
              <w:rPr>
                <w:rFonts w:hint="eastAsia" w:cs="宋体"/>
                <w:color w:val="auto"/>
                <w:sz w:val="24"/>
                <w:szCs w:val="24"/>
                <w:lang w:val="en-US" w:eastAsia="zh-CN"/>
              </w:rPr>
              <w:t>2</w:t>
            </w:r>
            <w:r>
              <w:rPr>
                <w:rFonts w:ascii="宋体" w:hAnsi="宋体" w:eastAsia="宋体" w:cs="宋体"/>
                <w:color w:val="auto"/>
                <w:sz w:val="24"/>
                <w:szCs w:val="24"/>
              </w:rPr>
              <w:t>%的扣1分</w:t>
            </w:r>
            <w:r>
              <w:rPr>
                <w:rFonts w:hint="eastAsia" w:cs="宋体"/>
                <w:color w:val="auto"/>
                <w:sz w:val="24"/>
                <w:szCs w:val="24"/>
                <w:lang w:eastAsia="zh-CN"/>
              </w:rPr>
              <w:t>。</w:t>
            </w:r>
          </w:p>
          <w:p w14:paraId="7EF1363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按插入法计算得分。</w:t>
            </w:r>
          </w:p>
          <w:p w14:paraId="56B931D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以上计算结果四舍五入取小数点后两位。</w:t>
            </w:r>
          </w:p>
          <w:p w14:paraId="1C6BB811">
            <w:pPr>
              <w:pStyle w:val="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sz w:val="24"/>
                <w:szCs w:val="24"/>
              </w:rPr>
              <w:t>投标清单中有漏项报价的以所有有效投标单位报价最高价补充漏项报价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如果评委一致认定投标人以低于成本报价，则定义为恶意竞争可以废标。</w:t>
            </w:r>
            <w:r>
              <w:rPr>
                <w:rFonts w:hint="eastAsia" w:asciiTheme="minorEastAsia" w:hAnsiTheme="minorEastAsia" w:eastAsiaTheme="minorEastAsia" w:cstheme="minorEastAsia"/>
                <w:color w:val="auto"/>
                <w:kern w:val="0"/>
                <w:sz w:val="24"/>
                <w:szCs w:val="24"/>
                <w:lang w:eastAsia="zh-CN"/>
              </w:rPr>
              <w:t>)</w:t>
            </w:r>
          </w:p>
        </w:tc>
      </w:tr>
      <w:tr w14:paraId="624E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9" w:hRule="atLeast"/>
        </w:trPr>
        <w:tc>
          <w:tcPr>
            <w:tcW w:w="898" w:type="dxa"/>
            <w:vMerge w:val="restart"/>
            <w:noWrap w:val="0"/>
            <w:vAlign w:val="center"/>
          </w:tcPr>
          <w:p w14:paraId="34B7BC49">
            <w:pPr>
              <w:snapToGrid w:val="0"/>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2.2.</w:t>
            </w:r>
            <w:r>
              <w:rPr>
                <w:rFonts w:hint="eastAsia" w:asciiTheme="minorEastAsia" w:hAnsiTheme="minorEastAsia" w:eastAsiaTheme="minorEastAsia" w:cstheme="minorEastAsia"/>
                <w:color w:val="auto"/>
                <w:kern w:val="0"/>
                <w:sz w:val="24"/>
                <w:szCs w:val="24"/>
                <w:highlight w:val="none"/>
                <w:lang w:val="en-US" w:eastAsia="zh-CN"/>
              </w:rPr>
              <w:t>3</w:t>
            </w:r>
          </w:p>
          <w:p w14:paraId="2C194FDB">
            <w:pPr>
              <w:snapToGrid w:val="0"/>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620" w:type="dxa"/>
            <w:vMerge w:val="restart"/>
            <w:noWrap w:val="0"/>
            <w:vAlign w:val="center"/>
          </w:tcPr>
          <w:p w14:paraId="2A00145E">
            <w:pPr>
              <w:snapToGrid w:val="0"/>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商务部分评分标准B</w:t>
            </w:r>
          </w:p>
          <w:p w14:paraId="211E63A3">
            <w:pPr>
              <w:snapToGrid w:val="0"/>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（满分10分）</w:t>
            </w:r>
          </w:p>
        </w:tc>
        <w:tc>
          <w:tcPr>
            <w:tcW w:w="1586" w:type="dxa"/>
            <w:noWrap w:val="0"/>
            <w:vAlign w:val="center"/>
          </w:tcPr>
          <w:p w14:paraId="47E78B7F">
            <w:pPr>
              <w:spacing w:line="360" w:lineRule="auto"/>
              <w:ind w:left="0" w:leftChars="0" w:firstLine="0" w:firstLineChars="0"/>
              <w:jc w:val="cente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业绩证明</w:t>
            </w:r>
          </w:p>
          <w:p w14:paraId="3CCA7BDA">
            <w:pPr>
              <w:spacing w:line="360" w:lineRule="auto"/>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3分</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p>
        </w:tc>
        <w:tc>
          <w:tcPr>
            <w:tcW w:w="5803" w:type="dxa"/>
            <w:noWrap w:val="0"/>
            <w:vAlign w:val="top"/>
          </w:tcPr>
          <w:p w14:paraId="489FE186">
            <w:pPr>
              <w:spacing w:line="360" w:lineRule="auto"/>
              <w:ind w:firstLine="0" w:firstLineChars="0"/>
              <w:jc w:val="both"/>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投标单位需提供近两年（202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年1月1日至投标截止之日）</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同类产品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个</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或中标通知书</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金额不低于</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万元</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业绩证明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同时要求提供对应的销售发票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同一合同与中标通知书为同一业绩</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）每提供一份得1分，此项最多得</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分。</w:t>
            </w:r>
          </w:p>
          <w:p w14:paraId="535EB8C3">
            <w:pPr>
              <w:pStyle w:val="21"/>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注：投标人在投标文件中提供完整的合同复印件</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购买清单除价格、数量外，请勿遮挡，否则视为无效</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并加盖公章用以证明，原件备查，如有造假行为，招标人将取消中标人的中标资格，将其列入失信黑名单并没收其投标保证金</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p>
        </w:tc>
      </w:tr>
      <w:tr w14:paraId="1D0F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98" w:type="dxa"/>
            <w:vMerge w:val="continue"/>
            <w:noWrap w:val="0"/>
            <w:vAlign w:val="center"/>
          </w:tcPr>
          <w:p w14:paraId="136FCD29">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620" w:type="dxa"/>
            <w:vMerge w:val="continue"/>
            <w:noWrap w:val="0"/>
            <w:textDirection w:val="tbRlV"/>
            <w:vAlign w:val="center"/>
          </w:tcPr>
          <w:p w14:paraId="6AC05357">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586" w:type="dxa"/>
            <w:noWrap w:val="0"/>
            <w:vAlign w:val="center"/>
          </w:tcPr>
          <w:p w14:paraId="496F3AEA">
            <w:pPr>
              <w:spacing w:line="360" w:lineRule="auto"/>
              <w:ind w:left="0" w:leftChars="0" w:firstLine="0" w:firstLineChars="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付款方式</w:t>
            </w:r>
          </w:p>
          <w:p w14:paraId="69858551">
            <w:pPr>
              <w:spacing w:line="360" w:lineRule="auto"/>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3分</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p>
        </w:tc>
        <w:tc>
          <w:tcPr>
            <w:tcW w:w="5803" w:type="dxa"/>
            <w:noWrap w:val="0"/>
            <w:vAlign w:val="center"/>
          </w:tcPr>
          <w:p w14:paraId="045EE5D7">
            <w:pPr>
              <w:numPr>
                <w:ilvl w:val="0"/>
                <w:numId w:val="0"/>
              </w:numPr>
              <w:spacing w:line="360" w:lineRule="auto"/>
              <w:jc w:val="both"/>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（1）合同签订之日起15天内，乙方开具13%的增值税专用发票后，支付合同总价款的50%；2）设备到货且完成相应软件部署验收后，支付合同总价款的40%；</w:t>
            </w:r>
          </w:p>
          <w:p w14:paraId="1CEDBA07">
            <w:pPr>
              <w:numPr>
                <w:ilvl w:val="0"/>
                <w:numId w:val="0"/>
              </w:numPr>
              <w:spacing w:line="360" w:lineRule="auto"/>
              <w:jc w:val="both"/>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3）设备到货且完成相应软件部署验收后的</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个月，支付合同总价款的10%</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w:t>
            </w:r>
          </w:p>
          <w:p w14:paraId="0D66B16F">
            <w:pPr>
              <w:numPr>
                <w:ilvl w:val="0"/>
                <w:numId w:val="0"/>
              </w:num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满足以上要求得3分，不满足不得分。</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eastAsia="zh-CN"/>
              </w:rPr>
              <w:t>投标单位提供</w:t>
            </w:r>
            <w:r>
              <w:rPr>
                <w:rFonts w:hint="eastAsia" w:asciiTheme="minorEastAsia" w:hAnsiTheme="minorEastAsia" w:eastAsiaTheme="minorEastAsia" w:cstheme="minorEastAsia"/>
                <w:b/>
                <w:bCs/>
                <w:sz w:val="24"/>
                <w:szCs w:val="24"/>
                <w:highlight w:val="none"/>
                <w:lang w:val="en-US" w:eastAsia="zh-CN"/>
              </w:rPr>
              <w:t>承诺并</w:t>
            </w:r>
            <w:r>
              <w:rPr>
                <w:rFonts w:hint="eastAsia" w:asciiTheme="minorEastAsia" w:hAnsiTheme="minorEastAsia" w:eastAsiaTheme="minorEastAsia" w:cstheme="minorEastAsia"/>
                <w:b/>
                <w:bCs/>
                <w:sz w:val="24"/>
                <w:szCs w:val="24"/>
                <w:highlight w:val="none"/>
                <w:lang w:eastAsia="zh-CN"/>
              </w:rPr>
              <w:t>加盖公章】</w:t>
            </w:r>
          </w:p>
        </w:tc>
      </w:tr>
      <w:tr w14:paraId="72A6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898" w:type="dxa"/>
            <w:vMerge w:val="continue"/>
            <w:noWrap w:val="0"/>
            <w:vAlign w:val="center"/>
          </w:tcPr>
          <w:p w14:paraId="7FA87A79">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620" w:type="dxa"/>
            <w:noWrap w:val="0"/>
            <w:textDirection w:val="tbRlV"/>
            <w:vAlign w:val="center"/>
          </w:tcPr>
          <w:p w14:paraId="1735CFE2">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586" w:type="dxa"/>
            <w:noWrap w:val="0"/>
            <w:vAlign w:val="center"/>
          </w:tcPr>
          <w:p w14:paraId="5D910A07">
            <w:pPr>
              <w:spacing w:line="360" w:lineRule="auto"/>
              <w:ind w:left="0" w:leftChars="0" w:firstLine="0" w:firstLineChars="0"/>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企业实力</w:t>
            </w:r>
          </w:p>
          <w:p w14:paraId="77715B94">
            <w:pPr>
              <w:spacing w:line="360" w:lineRule="auto"/>
              <w:ind w:left="0" w:leftChars="0" w:firstLine="0" w:firstLineChars="0"/>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4分</w:t>
            </w:r>
            <w:r>
              <w:rPr>
                <w:rFonts w:hint="eastAsia" w:asciiTheme="minorEastAsia" w:hAnsiTheme="minorEastAsia" w:eastAsiaTheme="minorEastAsia" w:cstheme="minorEastAsia"/>
                <w:sz w:val="24"/>
                <w:lang w:eastAsia="zh-CN"/>
              </w:rPr>
              <w:t>）</w:t>
            </w:r>
          </w:p>
        </w:tc>
        <w:tc>
          <w:tcPr>
            <w:tcW w:w="5803" w:type="dxa"/>
            <w:noWrap w:val="0"/>
            <w:vAlign w:val="center"/>
          </w:tcPr>
          <w:p w14:paraId="71385A5C">
            <w:pPr>
              <w:pStyle w:val="96"/>
              <w:numPr>
                <w:ilvl w:val="0"/>
                <w:numId w:val="0"/>
              </w:numPr>
              <w:jc w:val="both"/>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1、资产负债率</w:t>
            </w: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分：提供2024年财务报表，财务报表</w:t>
            </w:r>
            <w:r>
              <w:rPr>
                <w:rFonts w:hint="eastAsia" w:cs="宋体"/>
                <w:color w:val="auto"/>
                <w:kern w:val="2"/>
                <w:sz w:val="24"/>
                <w:szCs w:val="24"/>
                <w:lang w:val="en-US" w:eastAsia="zh-CN" w:bidi="ar-SA"/>
              </w:rPr>
              <w:t>必须</w:t>
            </w:r>
            <w:r>
              <w:rPr>
                <w:rFonts w:hint="eastAsia" w:ascii="宋体" w:hAnsi="宋体" w:eastAsia="宋体" w:cs="宋体"/>
                <w:color w:val="auto"/>
                <w:kern w:val="2"/>
                <w:sz w:val="24"/>
                <w:szCs w:val="24"/>
                <w:lang w:val="en-US" w:eastAsia="zh-CN" w:bidi="ar-SA"/>
              </w:rPr>
              <w:t>完整、清晰</w:t>
            </w:r>
            <w:r>
              <w:rPr>
                <w:rFonts w:hint="eastAsia" w:cs="宋体"/>
                <w:color w:val="auto"/>
                <w:kern w:val="2"/>
                <w:sz w:val="24"/>
                <w:szCs w:val="24"/>
                <w:lang w:val="en-US" w:eastAsia="zh-CN" w:bidi="ar-SA"/>
              </w:rPr>
              <w:t>。</w:t>
            </w:r>
            <w:r>
              <w:rPr>
                <w:rFonts w:hint="eastAsia" w:ascii="宋体" w:hAnsi="宋体" w:eastAsia="宋体" w:cs="宋体"/>
                <w:sz w:val="24"/>
                <w:szCs w:val="24"/>
                <w:lang w:val="en-US" w:eastAsia="zh-CN"/>
              </w:rPr>
              <w:t>资产负债率低于30%得</w:t>
            </w:r>
            <w:r>
              <w:rPr>
                <w:rFonts w:hint="eastAsia" w:cs="宋体"/>
                <w:sz w:val="24"/>
                <w:szCs w:val="24"/>
                <w:lang w:val="en-US" w:eastAsia="zh-CN"/>
              </w:rPr>
              <w:t>2</w:t>
            </w:r>
            <w:r>
              <w:rPr>
                <w:rFonts w:hint="eastAsia" w:ascii="宋体" w:hAnsi="宋体" w:eastAsia="宋体" w:cs="宋体"/>
                <w:sz w:val="24"/>
                <w:szCs w:val="24"/>
                <w:lang w:val="en-US" w:eastAsia="zh-CN"/>
              </w:rPr>
              <w:t>分，资产负债率在30%～65%得</w:t>
            </w:r>
            <w:r>
              <w:rPr>
                <w:rFonts w:hint="eastAsia" w:cs="宋体"/>
                <w:sz w:val="24"/>
                <w:szCs w:val="24"/>
                <w:lang w:val="en-US" w:eastAsia="zh-CN"/>
              </w:rPr>
              <w:t>1</w:t>
            </w:r>
            <w:r>
              <w:rPr>
                <w:rFonts w:hint="eastAsia" w:ascii="宋体" w:hAnsi="宋体" w:eastAsia="宋体" w:cs="宋体"/>
                <w:sz w:val="24"/>
                <w:szCs w:val="24"/>
                <w:lang w:val="en-US" w:eastAsia="zh-CN"/>
              </w:rPr>
              <w:t>分，资产负债率大于65%得0分。</w:t>
            </w:r>
          </w:p>
          <w:p w14:paraId="0D80B5CE">
            <w:pPr>
              <w:spacing w:line="360" w:lineRule="auto"/>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【投标人提供财务报表至少</w:t>
            </w:r>
            <w:r>
              <w:rPr>
                <w:rFonts w:hint="eastAsia" w:cs="宋体"/>
                <w:b/>
                <w:bCs/>
                <w:sz w:val="24"/>
                <w:szCs w:val="24"/>
                <w:highlight w:val="none"/>
                <w:lang w:val="en-US" w:eastAsia="zh-CN"/>
              </w:rPr>
              <w:t>须</w:t>
            </w:r>
            <w:r>
              <w:rPr>
                <w:rFonts w:hint="eastAsia" w:ascii="宋体" w:hAnsi="宋体" w:eastAsia="宋体" w:cs="宋体"/>
                <w:b/>
                <w:bCs/>
                <w:sz w:val="24"/>
                <w:szCs w:val="24"/>
                <w:highlight w:val="none"/>
              </w:rPr>
              <w:t>包括</w:t>
            </w:r>
            <w:r>
              <w:rPr>
                <w:rFonts w:hint="eastAsia" w:ascii="宋体" w:hAnsi="宋体" w:eastAsia="宋体" w:cs="宋体"/>
                <w:b/>
                <w:bCs/>
                <w:sz w:val="24"/>
                <w:szCs w:val="24"/>
                <w:highlight w:val="none"/>
                <w:lang w:val="en-US" w:eastAsia="zh-CN"/>
              </w:rPr>
              <w:t>现金</w:t>
            </w:r>
            <w:r>
              <w:rPr>
                <w:rFonts w:hint="eastAsia" w:ascii="宋体" w:hAnsi="宋体" w:eastAsia="宋体" w:cs="宋体"/>
                <w:b/>
                <w:bCs/>
                <w:color w:val="auto"/>
                <w:sz w:val="24"/>
                <w:szCs w:val="24"/>
                <w:highlight w:val="none"/>
                <w:lang w:val="en-US" w:eastAsia="zh-CN" w:bidi="en-US"/>
              </w:rPr>
              <w:t>流量表、资产负债表、利润表复印件并加盖单位公章</w:t>
            </w:r>
            <w:r>
              <w:rPr>
                <w:rFonts w:hint="eastAsia" w:cs="宋体"/>
                <w:b/>
                <w:bCs/>
                <w:color w:val="auto"/>
                <w:sz w:val="24"/>
                <w:szCs w:val="24"/>
                <w:highlight w:val="none"/>
                <w:lang w:val="en-US" w:eastAsia="zh-CN" w:bidi="en-US"/>
              </w:rPr>
              <w:t>】</w:t>
            </w:r>
          </w:p>
          <w:p w14:paraId="605ADD05">
            <w:pPr>
              <w:numPr>
                <w:ilvl w:val="0"/>
                <w:numId w:val="0"/>
              </w:numPr>
              <w:spacing w:line="36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bidi="en-US"/>
              </w:rPr>
              <w:t>2、</w:t>
            </w:r>
            <w:r>
              <w:rPr>
                <w:rFonts w:hint="eastAsia" w:asciiTheme="minorEastAsia" w:hAnsiTheme="minorEastAsia" w:eastAsiaTheme="minorEastAsia" w:cstheme="minorEastAsia"/>
                <w:sz w:val="24"/>
                <w:szCs w:val="24"/>
                <w:lang w:eastAsia="zh-CN"/>
              </w:rPr>
              <w:t>对原创技术策源地、关键核心技术攻关、创新联合体、启航企业等产生的创新产品和服务进行</w:t>
            </w:r>
            <w:r>
              <w:rPr>
                <w:rFonts w:hint="eastAsia" w:asciiTheme="minorEastAsia" w:hAnsiTheme="minorEastAsia" w:eastAsiaTheme="minorEastAsia" w:cstheme="minorEastAsia"/>
                <w:sz w:val="24"/>
                <w:szCs w:val="24"/>
                <w:lang w:val="en-US" w:eastAsia="zh-CN"/>
              </w:rPr>
              <w:t>0-2</w:t>
            </w:r>
            <w:r>
              <w:rPr>
                <w:rFonts w:hint="eastAsia" w:asciiTheme="minorEastAsia" w:hAnsiTheme="minorEastAsia" w:eastAsiaTheme="minorEastAsia" w:cstheme="minorEastAsia"/>
                <w:sz w:val="24"/>
                <w:szCs w:val="24"/>
                <w:lang w:eastAsia="zh-CN"/>
              </w:rPr>
              <w:t>分</w:t>
            </w:r>
            <w:r>
              <w:rPr>
                <w:rFonts w:hint="eastAsia" w:asciiTheme="minorEastAsia" w:hAnsiTheme="minorEastAsia" w:eastAsiaTheme="minorEastAsia" w:cstheme="minorEastAsia"/>
                <w:sz w:val="24"/>
                <w:szCs w:val="24"/>
                <w:lang w:val="en-US" w:eastAsia="zh-CN"/>
              </w:rPr>
              <w:t>酌情打分。</w:t>
            </w:r>
          </w:p>
          <w:p w14:paraId="766B7096">
            <w:pPr>
              <w:numPr>
                <w:ilvl w:val="0"/>
                <w:numId w:val="0"/>
              </w:numPr>
              <w:spacing w:line="360" w:lineRule="auto"/>
              <w:ind w:left="0" w:leftChars="0" w:firstLine="0" w:firstLineChars="0"/>
              <w:rPr>
                <w:rFonts w:hint="eastAsia" w:asciiTheme="minorEastAsia" w:hAnsiTheme="minorEastAsia" w:eastAsiaTheme="minorEastAsia" w:cstheme="minorEastAsia"/>
                <w:b/>
                <w:bCs/>
                <w:color w:val="000000" w:themeColor="text1"/>
                <w:sz w:val="24"/>
                <w:lang w:val="en-US" w:eastAsia="zh-CN" w:bidi="en-US"/>
                <w14:textFill>
                  <w14:solidFill>
                    <w14:schemeClr w14:val="tx1"/>
                  </w14:solidFill>
                </w14:textFill>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lang w:eastAsia="zh-CN"/>
              </w:rPr>
              <w:t>投标单位自行提供证明材料</w:t>
            </w:r>
            <w:r>
              <w:rPr>
                <w:rFonts w:hint="eastAsia" w:asciiTheme="minorEastAsia" w:hAnsiTheme="minorEastAsia" w:eastAsiaTheme="minorEastAsia" w:cstheme="minorEastAsia"/>
                <w:b/>
                <w:bCs/>
                <w:sz w:val="24"/>
                <w:szCs w:val="24"/>
                <w:lang w:val="en-US" w:eastAsia="zh-CN"/>
              </w:rPr>
              <w:t>并</w:t>
            </w:r>
            <w:r>
              <w:rPr>
                <w:rFonts w:hint="eastAsia" w:asciiTheme="minorEastAsia" w:hAnsiTheme="minorEastAsia" w:eastAsiaTheme="minorEastAsia" w:cstheme="minorEastAsia"/>
                <w:b/>
                <w:bCs/>
                <w:sz w:val="24"/>
                <w:szCs w:val="24"/>
                <w:lang w:eastAsia="zh-CN"/>
              </w:rPr>
              <w:t>加盖公章】</w:t>
            </w:r>
          </w:p>
        </w:tc>
      </w:tr>
      <w:tr w14:paraId="3498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898" w:type="dxa"/>
            <w:vMerge w:val="restart"/>
            <w:noWrap w:val="0"/>
            <w:vAlign w:val="center"/>
          </w:tcPr>
          <w:p w14:paraId="4AA75CC0">
            <w:pPr>
              <w:snapToGrid w:val="0"/>
              <w:spacing w:line="360" w:lineRule="auto"/>
              <w:ind w:left="0" w:leftChars="0" w:firstLine="0" w:firstLineChars="0"/>
              <w:jc w:val="both"/>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2.2.</w:t>
            </w:r>
            <w:r>
              <w:rPr>
                <w:rFonts w:hint="eastAsia" w:asciiTheme="minorEastAsia" w:hAnsiTheme="minorEastAsia" w:eastAsiaTheme="minorEastAsia" w:cstheme="minorEastAsia"/>
                <w:color w:val="auto"/>
                <w:kern w:val="0"/>
                <w:sz w:val="24"/>
                <w:szCs w:val="24"/>
                <w:highlight w:val="none"/>
                <w:lang w:val="en-US" w:eastAsia="zh-CN"/>
              </w:rPr>
              <w:t>3</w:t>
            </w:r>
          </w:p>
          <w:p w14:paraId="0F2FC7D3">
            <w:pPr>
              <w:snapToGrid w:val="0"/>
              <w:spacing w:line="360" w:lineRule="auto"/>
              <w:ind w:left="0" w:leftChars="0" w:firstLine="0" w:firstLineChars="0"/>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620" w:type="dxa"/>
            <w:vMerge w:val="restart"/>
            <w:noWrap w:val="0"/>
            <w:vAlign w:val="top"/>
          </w:tcPr>
          <w:p w14:paraId="774D1C98">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p w14:paraId="14CAA016">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p w14:paraId="0690CA62">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p w14:paraId="2B10A0F8">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p w14:paraId="1F7A636B">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p w14:paraId="7B0E5896">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p w14:paraId="0BC49FEA">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p w14:paraId="54BB519F">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p w14:paraId="0685E8DF">
            <w:pPr>
              <w:snapToGrid w:val="0"/>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技术部分评分标准C</w:t>
            </w:r>
          </w:p>
          <w:p w14:paraId="57D7F0CB">
            <w:pPr>
              <w:snapToGrid w:val="0"/>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（满分</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0分）</w:t>
            </w:r>
          </w:p>
        </w:tc>
        <w:tc>
          <w:tcPr>
            <w:tcW w:w="1586" w:type="dxa"/>
            <w:noWrap w:val="0"/>
            <w:vAlign w:val="center"/>
          </w:tcPr>
          <w:p w14:paraId="16EC10C6">
            <w:pPr>
              <w:spacing w:line="360" w:lineRule="auto"/>
              <w:ind w:left="0" w:leftChars="0" w:firstLine="0" w:firstLineChars="0"/>
              <w:jc w:val="center"/>
              <w:rPr>
                <w:rFonts w:hint="default" w:ascii="宋体" w:hAnsi="宋体" w:eastAsia="宋体" w:cs="David"/>
                <w:sz w:val="24"/>
                <w:lang w:val="en-US" w:eastAsia="zh-CN"/>
              </w:rPr>
            </w:pPr>
            <w:r>
              <w:rPr>
                <w:rFonts w:hint="eastAsia" w:cs="David"/>
                <w:sz w:val="24"/>
                <w:lang w:val="en-US" w:eastAsia="zh-CN"/>
              </w:rPr>
              <w:t>技术响应</w:t>
            </w:r>
          </w:p>
          <w:p w14:paraId="25C8CEEE">
            <w:pPr>
              <w:spacing w:line="360" w:lineRule="auto"/>
              <w:ind w:left="0" w:leftChars="0" w:firstLine="0" w:firstLineChars="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30分</w:t>
            </w:r>
            <w:r>
              <w:rPr>
                <w:rFonts w:hint="eastAsia" w:asciiTheme="minorEastAsia" w:hAnsiTheme="minorEastAsia" w:eastAsiaTheme="minorEastAsia" w:cstheme="minorEastAsia"/>
                <w:sz w:val="24"/>
                <w:lang w:eastAsia="zh-CN"/>
              </w:rPr>
              <w:t>）</w:t>
            </w:r>
          </w:p>
        </w:tc>
        <w:tc>
          <w:tcPr>
            <w:tcW w:w="5803" w:type="dxa"/>
            <w:tcBorders>
              <w:bottom w:val="single" w:color="auto" w:sz="4" w:space="0"/>
            </w:tcBorders>
            <w:shd w:val="clear" w:color="auto" w:fill="auto"/>
            <w:noWrap w:val="0"/>
            <w:vAlign w:val="center"/>
          </w:tcPr>
          <w:p w14:paraId="3DE6EC9B">
            <w:pPr>
              <w:keepNext w:val="0"/>
              <w:keepLines w:val="0"/>
              <w:pageBreakBefore w:val="0"/>
              <w:widowControl w:val="0"/>
              <w:numPr>
                <w:ilvl w:val="-1"/>
                <w:numId w:val="0"/>
              </w:numPr>
              <w:kinsoku/>
              <w:wordWrap/>
              <w:overflowPunct/>
              <w:topLinePunct w:val="0"/>
              <w:bidi w:val="0"/>
              <w:spacing w:line="360" w:lineRule="auto"/>
              <w:ind w:left="0" w:leftChars="0" w:firstLine="0" w:firstLineChars="0"/>
              <w:jc w:val="both"/>
              <w:textAlignment w:val="auto"/>
              <w:rPr>
                <w:rFonts w:hint="eastAsia" w:cs="宋体"/>
                <w:sz w:val="24"/>
                <w:lang w:val="en-US" w:eastAsia="zh-CN"/>
              </w:rPr>
            </w:pPr>
            <w:r>
              <w:rPr>
                <w:rFonts w:hint="eastAsia" w:cs="宋体"/>
                <w:sz w:val="24"/>
                <w:lang w:val="en-US" w:eastAsia="zh-CN"/>
              </w:rPr>
              <w:t>投标人的投标文件应逐条对招标文件的技术条款进行响应，完全响应且评委认为有关键技术正偏离（有利于招标人的技术要求）的在15—30分酌情打分；有非关键技术负偏离的根据偏离情况在0-15分酌情打分，有关键技术的负偏离或招标人无法接受的，不得分。</w:t>
            </w:r>
          </w:p>
          <w:p w14:paraId="50A6D3EF">
            <w:pPr>
              <w:keepNext w:val="0"/>
              <w:keepLines w:val="0"/>
              <w:pageBreakBefore w:val="0"/>
              <w:widowControl w:val="0"/>
              <w:numPr>
                <w:ilvl w:val="-1"/>
                <w:numId w:val="0"/>
              </w:numPr>
              <w:kinsoku/>
              <w:wordWrap/>
              <w:overflowPunct/>
              <w:topLinePunct w:val="0"/>
              <w:bidi w:val="0"/>
              <w:spacing w:line="360" w:lineRule="auto"/>
              <w:ind w:left="0" w:leftChars="0" w:firstLine="0" w:firstLineChars="0"/>
              <w:jc w:val="both"/>
              <w:textAlignment w:val="auto"/>
              <w:rPr>
                <w:rFonts w:hint="eastAsia" w:cs="宋体"/>
                <w:sz w:val="24"/>
                <w:lang w:val="en-US" w:eastAsia="zh-CN"/>
              </w:rPr>
            </w:pPr>
            <w:r>
              <w:rPr>
                <w:rFonts w:hint="eastAsia" w:cs="宋体"/>
                <w:sz w:val="24"/>
                <w:lang w:val="en-US" w:eastAsia="zh-CN"/>
              </w:rPr>
              <w:t>（技术响应情况示例见第六章技术响应情况）</w:t>
            </w:r>
          </w:p>
        </w:tc>
      </w:tr>
      <w:tr w14:paraId="3E8A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2" w:hRule="atLeast"/>
        </w:trPr>
        <w:tc>
          <w:tcPr>
            <w:tcW w:w="898" w:type="dxa"/>
            <w:vMerge w:val="continue"/>
            <w:noWrap w:val="0"/>
            <w:vAlign w:val="center"/>
          </w:tcPr>
          <w:p w14:paraId="6C550BB6">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620" w:type="dxa"/>
            <w:vMerge w:val="continue"/>
            <w:noWrap w:val="0"/>
            <w:textDirection w:val="tbRlV"/>
            <w:vAlign w:val="top"/>
          </w:tcPr>
          <w:p w14:paraId="76581C55">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586" w:type="dxa"/>
            <w:noWrap w:val="0"/>
            <w:vAlign w:val="center"/>
          </w:tcPr>
          <w:p w14:paraId="27EE8831">
            <w:pPr>
              <w:spacing w:line="360" w:lineRule="auto"/>
              <w:ind w:left="0" w:leftChars="0" w:firstLine="0" w:firstLineChars="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售前售后服务</w:t>
            </w:r>
          </w:p>
          <w:p w14:paraId="75854626">
            <w:pPr>
              <w:spacing w:line="360" w:lineRule="auto"/>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10分</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p>
        </w:tc>
        <w:tc>
          <w:tcPr>
            <w:tcW w:w="5803" w:type="dxa"/>
            <w:tcBorders>
              <w:bottom w:val="single" w:color="auto" w:sz="4" w:space="0"/>
            </w:tcBorders>
            <w:noWrap w:val="0"/>
            <w:vAlign w:val="center"/>
          </w:tcPr>
          <w:p w14:paraId="27121483">
            <w:pPr>
              <w:keepNext w:val="0"/>
              <w:keepLines w:val="0"/>
              <w:pageBreakBefore w:val="0"/>
              <w:widowControl w:val="0"/>
              <w:numPr>
                <w:ilvl w:val="0"/>
                <w:numId w:val="0"/>
              </w:numPr>
              <w:kinsoku/>
              <w:wordWrap/>
              <w:overflowPunct/>
              <w:topLinePunct w:val="0"/>
              <w:bidi w:val="0"/>
              <w:spacing w:line="360" w:lineRule="auto"/>
              <w:ind w:left="0" w:leftChars="0" w:firstLine="0" w:firstLineChars="0"/>
              <w:jc w:val="both"/>
              <w:textAlignment w:val="auto"/>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24"/>
                <w:highlight w:val="none"/>
                <w:lang w:val="en-US" w:eastAsia="en-US" w:bidi="en-US"/>
                <w14:textFill>
                  <w14:solidFill>
                    <w14:schemeClr w14:val="tx1"/>
                  </w14:solidFill>
                </w14:textFill>
              </w:rPr>
              <w:t>1、</w:t>
            </w:r>
            <w:r>
              <w:rPr>
                <w:rFonts w:hint="eastAsia" w:ascii="Times New Roman" w:hAnsi="Times New Roman" w:eastAsiaTheme="minorEastAsia" w:cstheme="minorEastAsia"/>
                <w:color w:val="000000" w:themeColor="text1"/>
                <w:sz w:val="24"/>
                <w:highlight w:val="none"/>
                <w14:textFill>
                  <w14:solidFill>
                    <w14:schemeClr w14:val="tx1"/>
                  </w14:solidFill>
                </w14:textFill>
              </w:rPr>
              <w:t>售前</w:t>
            </w:r>
            <w:r>
              <w:rPr>
                <w:rFonts w:hint="eastAsia" w:ascii="Times New Roman" w:hAnsi="Times New Roman" w:eastAsiaTheme="minorEastAsia" w:cstheme="minorEastAsia"/>
                <w:color w:val="000000" w:themeColor="text1"/>
                <w:sz w:val="24"/>
                <w:highlight w:val="none"/>
                <w:lang w:val="en-US" w:eastAsia="zh-CN"/>
                <w14:textFill>
                  <w14:solidFill>
                    <w14:schemeClr w14:val="tx1"/>
                  </w14:solidFill>
                </w14:textFill>
              </w:rPr>
              <w:t>服务2分：</w:t>
            </w:r>
            <w:r>
              <w:rPr>
                <w:rFonts w:hint="eastAsia" w:asciiTheme="minorEastAsia" w:hAnsiTheme="minorEastAsia" w:eastAsiaTheme="minorEastAsia" w:cstheme="minorEastAsia"/>
                <w:b w:val="0"/>
                <w:color w:val="auto"/>
                <w:sz w:val="24"/>
                <w:szCs w:val="24"/>
                <w:highlight w:val="none"/>
                <w:lang w:val="en-US" w:eastAsia="zh-CN"/>
              </w:rPr>
              <w:t>评委根据各投标人的承诺优劣在0-2分酌情打分；承诺包含但不限于技术支持、采购询比价、采购合同响应速度</w:t>
            </w:r>
            <w:r>
              <w:rPr>
                <w:rFonts w:hint="eastAsia" w:asciiTheme="minorEastAsia" w:hAnsiTheme="minorEastAsia" w:eastAsiaTheme="minorEastAsia" w:cstheme="minorEastAsia"/>
                <w:b w:val="0"/>
                <w:i w:val="0"/>
                <w:iCs w:val="0"/>
                <w:caps w:val="0"/>
                <w:color w:val="auto"/>
                <w:spacing w:val="0"/>
                <w:sz w:val="24"/>
                <w:szCs w:val="24"/>
                <w:highlight w:val="none"/>
                <w:shd w:val="clear"/>
                <w:lang w:val="en-US" w:eastAsia="zh-CN"/>
              </w:rPr>
              <w:t>等。</w:t>
            </w:r>
            <w:r>
              <w:rPr>
                <w:rFonts w:hint="default" w:asciiTheme="minorEastAsia" w:hAnsiTheme="minorEastAsia" w:eastAsiaTheme="minorEastAsia" w:cstheme="minorEastAsia"/>
                <w:b w:val="0"/>
                <w:bCs w:val="0"/>
                <w:color w:val="000000" w:themeColor="text1"/>
                <w:sz w:val="24"/>
                <w:szCs w:val="24"/>
                <w:highlight w:val="none"/>
                <w:lang w:val="en-US" w:eastAsia="en-US" w:bidi="en-US"/>
                <w14:textFill>
                  <w14:solidFill>
                    <w14:schemeClr w14:val="tx1"/>
                  </w14:solidFill>
                </w14:textFill>
              </w:rPr>
              <w:t>2、</w:t>
            </w:r>
            <w:r>
              <w:rPr>
                <w:rFonts w:hint="eastAsia" w:ascii="Times New Roman" w:hAnsi="Times New Roman" w:eastAsiaTheme="minorEastAsia" w:cstheme="minorEastAsia"/>
                <w:color w:val="000000" w:themeColor="text1"/>
                <w:sz w:val="24"/>
                <w:highlight w:val="none"/>
                <w:lang w:val="en-US" w:eastAsia="zh-CN"/>
                <w14:textFill>
                  <w14:solidFill>
                    <w14:schemeClr w14:val="tx1"/>
                  </w14:solidFill>
                </w14:textFill>
              </w:rPr>
              <w:t>售后服务2分：</w:t>
            </w:r>
            <w:r>
              <w:rPr>
                <w:rFonts w:hint="eastAsia" w:asciiTheme="minorEastAsia" w:hAnsiTheme="minorEastAsia" w:eastAsiaTheme="minorEastAsia" w:cstheme="minorEastAsia"/>
                <w:b w:val="0"/>
                <w:color w:val="auto"/>
                <w:sz w:val="24"/>
                <w:szCs w:val="24"/>
                <w:highlight w:val="none"/>
                <w:lang w:val="en-US" w:eastAsia="zh-CN"/>
              </w:rPr>
              <w:t>评委根据各投标人的承诺优劣在0-2分酌情打分；承诺包含但不限于质量问题处置时间、出现问题响应时间、到现场时间、一般问题</w:t>
            </w:r>
            <w:r>
              <w:rPr>
                <w:rFonts w:hint="eastAsia" w:asciiTheme="minorEastAsia" w:hAnsiTheme="minorEastAsia" w:eastAsiaTheme="minorEastAsia" w:cstheme="minorEastAsia"/>
                <w:b w:val="0"/>
                <w:i w:val="0"/>
                <w:iCs w:val="0"/>
                <w:caps w:val="0"/>
                <w:color w:val="auto"/>
                <w:spacing w:val="0"/>
                <w:sz w:val="24"/>
                <w:szCs w:val="24"/>
                <w:highlight w:val="none"/>
                <w:shd w:val="clear"/>
                <w:lang w:eastAsia="zh-CN"/>
              </w:rPr>
              <w:t>解决时间、</w:t>
            </w:r>
            <w:r>
              <w:rPr>
                <w:rFonts w:hint="eastAsia" w:asciiTheme="minorEastAsia" w:hAnsiTheme="minorEastAsia" w:eastAsiaTheme="minorEastAsia" w:cstheme="minorEastAsia"/>
                <w:b w:val="0"/>
                <w:i w:val="0"/>
                <w:iCs w:val="0"/>
                <w:caps w:val="0"/>
                <w:color w:val="auto"/>
                <w:spacing w:val="0"/>
                <w:sz w:val="24"/>
                <w:szCs w:val="24"/>
                <w:highlight w:val="none"/>
                <w:shd w:val="clear"/>
                <w:lang w:val="en-US" w:eastAsia="zh-CN"/>
              </w:rPr>
              <w:t>重要问题解决时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间、本地服务半径及人员情况等。3、交付时间3分：评委根据所有投标人投标函中承诺的交货时间长短在0-3分中酌情打分，超过</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5天不得分。4、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质保期</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项目结题验收通过之日起算，低于2年不得分，</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2年得2分，</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每增加6个月加0.5分，最多得3分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434556E7">
            <w:pPr>
              <w:numPr>
                <w:ilvl w:val="0"/>
                <w:numId w:val="0"/>
              </w:numPr>
              <w:spacing w:line="360" w:lineRule="auto"/>
              <w:ind w:left="0" w:leftChars="0" w:firstLine="0" w:firstLineChars="0"/>
              <w:jc w:val="both"/>
              <w:rPr>
                <w:rFonts w:hint="default" w:cs="David"/>
                <w:szCs w:val="21"/>
                <w:lang w:val="en-US" w:eastAsia="zh-CN"/>
              </w:rPr>
            </w:pPr>
            <w:r>
              <w:rPr>
                <w:rFonts w:hint="eastAsia" w:asciiTheme="minorEastAsia" w:hAnsiTheme="minorEastAsia" w:eastAsiaTheme="minorEastAsia" w:cstheme="minorEastAsia"/>
                <w:color w:val="000000" w:themeColor="text1"/>
                <w:sz w:val="24"/>
                <w:highlight w:val="none"/>
                <w:lang w:val="zh-TW" w:eastAsia="zh-TW"/>
                <w14:textFill>
                  <w14:solidFill>
                    <w14:schemeClr w14:val="tx1"/>
                  </w14:solidFill>
                </w14:textFill>
              </w:rPr>
              <w:t>如在合作中发现</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售前售后或交付时间</w:t>
            </w:r>
            <w:r>
              <w:rPr>
                <w:rFonts w:hint="eastAsia" w:asciiTheme="minorEastAsia" w:hAnsiTheme="minorEastAsia" w:eastAsiaTheme="minorEastAsia" w:cstheme="minorEastAsia"/>
                <w:color w:val="000000" w:themeColor="text1"/>
                <w:sz w:val="24"/>
                <w:highlight w:val="none"/>
                <w:lang w:val="zh-TW" w:eastAsia="zh-TW"/>
                <w14:textFill>
                  <w14:solidFill>
                    <w14:schemeClr w14:val="tx1"/>
                  </w14:solidFill>
                </w14:textFill>
              </w:rPr>
              <w:t>不到位，将取消供应商资格，且列入重庆院不诚信合作单位，取消后续所有投标资格。</w:t>
            </w:r>
          </w:p>
        </w:tc>
      </w:tr>
      <w:tr w14:paraId="44E0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98" w:type="dxa"/>
            <w:vMerge w:val="continue"/>
            <w:noWrap w:val="0"/>
            <w:vAlign w:val="center"/>
          </w:tcPr>
          <w:p w14:paraId="5E459B95">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620" w:type="dxa"/>
            <w:vMerge w:val="continue"/>
            <w:noWrap w:val="0"/>
            <w:textDirection w:val="tbRlV"/>
            <w:vAlign w:val="top"/>
          </w:tcPr>
          <w:p w14:paraId="0F6FF462">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1586" w:type="dxa"/>
            <w:noWrap w:val="0"/>
            <w:vAlign w:val="center"/>
          </w:tcPr>
          <w:p w14:paraId="73B40C27">
            <w:pPr>
              <w:spacing w:line="360" w:lineRule="auto"/>
              <w:ind w:left="0" w:leftChars="0" w:firstLine="0" w:firstLineChars="0"/>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扣分项</w:t>
            </w:r>
          </w:p>
        </w:tc>
        <w:tc>
          <w:tcPr>
            <w:tcW w:w="5803" w:type="dxa"/>
            <w:tcBorders>
              <w:bottom w:val="single" w:color="auto" w:sz="4" w:space="0"/>
            </w:tcBorders>
            <w:noWrap w:val="0"/>
            <w:vAlign w:val="top"/>
          </w:tcPr>
          <w:p w14:paraId="19E779C7">
            <w:pPr>
              <w:spacing w:line="360" w:lineRule="auto"/>
              <w:ind w:firstLine="0" w:firstLineChars="0"/>
              <w:jc w:val="both"/>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宋体" w:hAnsi="宋体" w:eastAsia="宋体" w:cs="David"/>
                <w:szCs w:val="21"/>
                <w:lang w:eastAsia="zh-CN"/>
              </w:rPr>
              <w:t>与重庆院合作期间存在纠纷处理不够恰当1次扣5分，存在2次取消投标资格，不存在的不加分也不扣分。</w:t>
            </w:r>
          </w:p>
        </w:tc>
      </w:tr>
      <w:tr w14:paraId="0FD3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18" w:type="dxa"/>
            <w:gridSpan w:val="2"/>
            <w:tcBorders>
              <w:bottom w:val="single" w:color="auto" w:sz="4" w:space="0"/>
            </w:tcBorders>
            <w:noWrap w:val="0"/>
            <w:vAlign w:val="top"/>
          </w:tcPr>
          <w:p w14:paraId="4B5A42AA">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条款号</w:t>
            </w:r>
          </w:p>
        </w:tc>
        <w:tc>
          <w:tcPr>
            <w:tcW w:w="7389" w:type="dxa"/>
            <w:gridSpan w:val="2"/>
            <w:noWrap w:val="0"/>
            <w:vAlign w:val="center"/>
          </w:tcPr>
          <w:p w14:paraId="7B6946A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编列内容</w:t>
            </w:r>
          </w:p>
        </w:tc>
      </w:tr>
      <w:tr w14:paraId="3666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898" w:type="dxa"/>
            <w:noWrap w:val="0"/>
            <w:vAlign w:val="center"/>
          </w:tcPr>
          <w:p w14:paraId="1FA52509">
            <w:pPr>
              <w:spacing w:line="360" w:lineRule="auto"/>
              <w:ind w:left="0" w:lef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20" w:type="dxa"/>
            <w:noWrap w:val="0"/>
            <w:textDirection w:val="tbRlV"/>
            <w:vAlign w:val="center"/>
          </w:tcPr>
          <w:p w14:paraId="6A5A9930">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评标程序</w:t>
            </w:r>
          </w:p>
        </w:tc>
        <w:tc>
          <w:tcPr>
            <w:tcW w:w="7389" w:type="dxa"/>
            <w:gridSpan w:val="2"/>
            <w:noWrap w:val="0"/>
            <w:vAlign w:val="top"/>
          </w:tcPr>
          <w:p w14:paraId="45A70541">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初步评审前，按本章</w:t>
            </w:r>
            <w:r>
              <w:rPr>
                <w:rFonts w:hint="eastAsia" w:asciiTheme="minorEastAsia" w:hAnsiTheme="minorEastAsia" w:eastAsiaTheme="minorEastAsia" w:cstheme="minorEastAsia"/>
                <w:color w:val="auto"/>
                <w:sz w:val="24"/>
                <w:szCs w:val="24"/>
                <w:highlight w:val="none"/>
                <w:lang w:val="en-US" w:eastAsia="zh-CN"/>
              </w:rPr>
              <w:t>第三条评标程序</w:t>
            </w:r>
            <w:r>
              <w:rPr>
                <w:rFonts w:hint="eastAsia" w:asciiTheme="minorEastAsia" w:hAnsiTheme="minorEastAsia" w:eastAsiaTheme="minorEastAsia" w:cstheme="minorEastAsia"/>
                <w:color w:val="auto"/>
                <w:sz w:val="24"/>
                <w:szCs w:val="24"/>
                <w:highlight w:val="none"/>
              </w:rPr>
              <w:t>第3.1.3项的规定对投标报价有算术性错误的进行算术性错误修正；对投标文件进行初步评审（形式、资格、响应评审）。</w:t>
            </w:r>
          </w:p>
          <w:p w14:paraId="3EE5350C">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初步评审合格的才进行详细评审。</w:t>
            </w:r>
          </w:p>
          <w:p w14:paraId="3DDB66D8">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对初步评审合格的投标人按照本</w:t>
            </w:r>
            <w:r>
              <w:rPr>
                <w:rFonts w:hint="eastAsia" w:asciiTheme="minorEastAsia" w:hAnsiTheme="minorEastAsia" w:eastAsiaTheme="minorEastAsia" w:cstheme="minorEastAsia"/>
                <w:color w:val="auto"/>
                <w:sz w:val="24"/>
                <w:szCs w:val="24"/>
                <w:highlight w:val="none"/>
                <w:lang w:val="en-US" w:eastAsia="zh-CN"/>
              </w:rPr>
              <w:t>附表</w:t>
            </w:r>
            <w:r>
              <w:rPr>
                <w:rFonts w:hint="eastAsia" w:asciiTheme="minorEastAsia" w:hAnsiTheme="minorEastAsia" w:eastAsiaTheme="minorEastAsia" w:cstheme="minorEastAsia"/>
                <w:color w:val="auto"/>
                <w:sz w:val="24"/>
                <w:szCs w:val="24"/>
                <w:highlight w:val="none"/>
              </w:rPr>
              <w:t>2.2.2项计算方法计算评标基准价，并按本附表2.2.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（1）规定的评分方法对投标总报价进行评分；</w:t>
            </w:r>
          </w:p>
          <w:p w14:paraId="24B346A8">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本项目评标委员会按本附表2.2.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（2）规定的评分方法对投标文件商务部分进行评分；</w:t>
            </w:r>
          </w:p>
          <w:p w14:paraId="77547676">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本项目评标委员会按本附表2.2.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（3）规定的评分方法对投标文件技术部分进行评分。</w:t>
            </w:r>
          </w:p>
          <w:p w14:paraId="4DB4A626">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根据综合得分由高至低进行排序，推荐</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候选人。综合得分相同，优先推荐投标总报价得分高的投标人；投标总报价得分仍相同的，由</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抽签决定。</w:t>
            </w:r>
          </w:p>
          <w:p w14:paraId="1FD12A1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7.因评标委员会作否决投标处理导致有效投标人不足三个的，评标委员会应当否决所有投标。但是有效投标人的经济、技术等指标仍然具有市场竞争力，能够满足招标文件要求的，评标委员会可以继续评标并确定</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候选人。</w:t>
            </w:r>
          </w:p>
        </w:tc>
      </w:tr>
      <w:tr w14:paraId="21D5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898" w:type="dxa"/>
            <w:noWrap w:val="0"/>
            <w:vAlign w:val="center"/>
          </w:tcPr>
          <w:p w14:paraId="670A0602">
            <w:pPr>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w:t>
            </w:r>
          </w:p>
        </w:tc>
        <w:tc>
          <w:tcPr>
            <w:tcW w:w="1620" w:type="dxa"/>
            <w:noWrap w:val="0"/>
            <w:vAlign w:val="center"/>
          </w:tcPr>
          <w:p w14:paraId="1389AB38">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投标人得分</w:t>
            </w:r>
          </w:p>
        </w:tc>
        <w:tc>
          <w:tcPr>
            <w:tcW w:w="7389" w:type="dxa"/>
            <w:gridSpan w:val="2"/>
            <w:noWrap w:val="0"/>
            <w:vAlign w:val="center"/>
          </w:tcPr>
          <w:p w14:paraId="362464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投标人得分=A+B+C</w:t>
            </w:r>
          </w:p>
        </w:tc>
      </w:tr>
      <w:bookmarkEnd w:id="152"/>
      <w:bookmarkEnd w:id="153"/>
    </w:tbl>
    <w:p w14:paraId="2EAF824F">
      <w:pPr>
        <w:pStyle w:val="96"/>
        <w:ind w:left="0" w:leftChars="0" w:firstLine="0" w:firstLineChars="0"/>
        <w:rPr>
          <w:rFonts w:hint="eastAsia" w:asciiTheme="minorEastAsia" w:hAnsiTheme="minorEastAsia" w:eastAsiaTheme="minorEastAsia" w:cstheme="minorEastAsia"/>
          <w:color w:val="auto"/>
          <w:highlight w:val="none"/>
          <w:lang w:val="en-US" w:eastAsia="zh-CN"/>
        </w:rPr>
      </w:pPr>
      <w:bookmarkStart w:id="155" w:name="_Toc18025"/>
      <w:bookmarkStart w:id="156" w:name="_Toc152796734"/>
      <w:bookmarkStart w:id="157" w:name="_Toc21081"/>
      <w:bookmarkStart w:id="158" w:name="_Toc26252"/>
    </w:p>
    <w:p w14:paraId="314DA495">
      <w:pPr>
        <w:pStyle w:val="4"/>
        <w:widowControl/>
        <w:numPr>
          <w:ilvl w:val="1"/>
          <w:numId w:val="0"/>
        </w:numPr>
        <w:spacing w:before="240" w:after="240" w:line="360" w:lineRule="auto"/>
        <w:outlineLvl w:val="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 xml:space="preserve"> </w:t>
      </w:r>
      <w:bookmarkStart w:id="159" w:name="_Toc12945"/>
      <w:bookmarkStart w:id="160" w:name="_Toc15767"/>
      <w:bookmarkStart w:id="161" w:name="_Toc25121"/>
      <w:r>
        <w:rPr>
          <w:rFonts w:hint="eastAsia" w:asciiTheme="minorEastAsia" w:hAnsiTheme="minorEastAsia" w:eastAsiaTheme="minorEastAsia" w:cstheme="minorEastAsia"/>
          <w:color w:val="auto"/>
          <w:highlight w:val="none"/>
          <w:lang w:val="en-US" w:eastAsia="zh-CN"/>
        </w:rPr>
        <w:t>一</w:t>
      </w:r>
      <w:r>
        <w:rPr>
          <w:rFonts w:hint="eastAsia" w:asciiTheme="minorEastAsia" w:hAnsiTheme="minorEastAsia" w:eastAsiaTheme="minorEastAsia" w:cstheme="minorEastAsia"/>
          <w:color w:val="auto"/>
          <w:highlight w:val="none"/>
          <w:lang w:eastAsia="zh-CN"/>
        </w:rPr>
        <w:t>、评标方法</w:t>
      </w:r>
      <w:bookmarkEnd w:id="155"/>
      <w:bookmarkEnd w:id="156"/>
      <w:bookmarkEnd w:id="157"/>
      <w:bookmarkEnd w:id="158"/>
      <w:bookmarkEnd w:id="159"/>
      <w:bookmarkEnd w:id="160"/>
      <w:bookmarkEnd w:id="161"/>
    </w:p>
    <w:p w14:paraId="2E327BB3">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162" w:name="_Hlk66466927"/>
      <w:r>
        <w:rPr>
          <w:rFonts w:hint="eastAsia" w:asciiTheme="minorEastAsia" w:hAnsiTheme="minorEastAsia" w:eastAsiaTheme="minorEastAsia" w:cstheme="minorEastAsia"/>
          <w:color w:val="auto"/>
          <w:sz w:val="24"/>
          <w:szCs w:val="24"/>
          <w:highlight w:val="none"/>
        </w:rPr>
        <w:t>本次评标采用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综合评估法</w:t>
      </w:r>
      <w:r>
        <w:rPr>
          <w:rFonts w:hint="eastAsia" w:asciiTheme="minorEastAsia" w:hAnsiTheme="minorEastAsia" w:eastAsiaTheme="minorEastAsia" w:cstheme="minorEastAsia"/>
          <w:color w:val="auto"/>
          <w:sz w:val="24"/>
          <w:szCs w:val="24"/>
          <w:highlight w:val="none"/>
        </w:rPr>
        <w:t>。评标委员会对满足招标文件实质性要求的投标文件，按照本章</w:t>
      </w:r>
      <w:r>
        <w:rPr>
          <w:rFonts w:hint="eastAsia" w:asciiTheme="minorEastAsia" w:hAnsiTheme="minorEastAsia" w:eastAsiaTheme="minorEastAsia" w:cstheme="minorEastAsia"/>
          <w:color w:val="auto"/>
          <w:sz w:val="24"/>
          <w:szCs w:val="24"/>
          <w:highlight w:val="none"/>
          <w:lang w:val="en-US" w:eastAsia="zh-CN"/>
        </w:rPr>
        <w:t>评标办法前附表</w:t>
      </w:r>
      <w:r>
        <w:rPr>
          <w:rFonts w:hint="eastAsia" w:asciiTheme="minorEastAsia" w:hAnsiTheme="minorEastAsia" w:eastAsiaTheme="minorEastAsia" w:cstheme="minorEastAsia"/>
          <w:color w:val="auto"/>
          <w:sz w:val="24"/>
          <w:szCs w:val="24"/>
          <w:highlight w:val="none"/>
        </w:rPr>
        <w:t>第2.2.</w:t>
      </w:r>
      <w:r>
        <w:rPr>
          <w:rFonts w:hint="eastAsia" w:asciiTheme="minorEastAsia" w:hAnsiTheme="minorEastAsia" w:eastAsiaTheme="minorEastAsia" w:cstheme="minorEastAsia"/>
          <w:color w:val="auto"/>
          <w:sz w:val="24"/>
          <w:szCs w:val="24"/>
          <w:highlight w:val="none"/>
          <w:lang w:val="en-US" w:eastAsia="zh-CN"/>
        </w:rPr>
        <w:t>2项</w:t>
      </w:r>
      <w:r>
        <w:rPr>
          <w:rFonts w:hint="eastAsia" w:asciiTheme="minorEastAsia" w:hAnsiTheme="minorEastAsia" w:eastAsiaTheme="minorEastAsia" w:cstheme="minorEastAsia"/>
          <w:color w:val="auto"/>
          <w:sz w:val="24"/>
          <w:szCs w:val="24"/>
          <w:highlight w:val="none"/>
        </w:rPr>
        <w:t>规定的</w:t>
      </w:r>
      <w:r>
        <w:rPr>
          <w:rFonts w:hint="eastAsia" w:ascii="宋体" w:hAnsi="宋体" w:cs="Cambria"/>
          <w:kern w:val="2"/>
          <w:sz w:val="24"/>
          <w:szCs w:val="24"/>
          <w:highlight w:val="none"/>
          <w:lang w:eastAsia="zh-CN" w:bidi="ar-SA"/>
        </w:rPr>
        <w:t>评审标准进行评审</w:t>
      </w:r>
      <w:r>
        <w:rPr>
          <w:rFonts w:hint="eastAsia" w:asciiTheme="minorEastAsia" w:hAnsiTheme="minorEastAsia" w:eastAsiaTheme="minorEastAsia" w:cstheme="minorEastAsia"/>
          <w:color w:val="auto"/>
          <w:sz w:val="24"/>
          <w:szCs w:val="24"/>
          <w:highlight w:val="none"/>
        </w:rPr>
        <w:t>，</w:t>
      </w:r>
      <w:r>
        <w:rPr>
          <w:rFonts w:hint="eastAsia" w:ascii="宋体" w:hAnsi="宋体" w:cs="Cambria"/>
          <w:kern w:val="2"/>
          <w:sz w:val="24"/>
          <w:szCs w:val="24"/>
          <w:highlight w:val="none"/>
          <w:lang w:eastAsia="zh-CN" w:bidi="ar-SA"/>
        </w:rPr>
        <w:t>并按投标总报价由低到高顺序推荐</w:t>
      </w:r>
      <w:r>
        <w:rPr>
          <w:rFonts w:hint="eastAsia" w:cs="Cambria"/>
          <w:kern w:val="2"/>
          <w:sz w:val="24"/>
          <w:szCs w:val="24"/>
          <w:highlight w:val="none"/>
          <w:lang w:val="en-US" w:eastAsia="zh-CN" w:bidi="ar-SA"/>
        </w:rPr>
        <w:t>中标候选人，</w:t>
      </w:r>
      <w:r>
        <w:rPr>
          <w:rFonts w:hint="eastAsia" w:ascii="宋体" w:hAnsi="宋体"/>
          <w:color w:val="auto"/>
          <w:sz w:val="24"/>
          <w:szCs w:val="24"/>
          <w:highlight w:val="none"/>
        </w:rPr>
        <w:t>但投标价低于成本的投标应被拒绝。</w:t>
      </w:r>
      <w:r>
        <w:rPr>
          <w:rFonts w:hint="eastAsia" w:ascii="宋体" w:hAnsi="宋体" w:cs="Cambria"/>
          <w:kern w:val="2"/>
          <w:sz w:val="24"/>
          <w:szCs w:val="24"/>
          <w:highlight w:val="none"/>
          <w:lang w:eastAsia="zh-CN" w:bidi="ar-SA"/>
        </w:rPr>
        <w:t>投标总报价相同的，由采购人抽签决定。</w:t>
      </w:r>
    </w:p>
    <w:bookmarkEnd w:id="162"/>
    <w:p w14:paraId="0322672D">
      <w:pPr>
        <w:pStyle w:val="4"/>
        <w:widowControl/>
        <w:numPr>
          <w:ilvl w:val="1"/>
          <w:numId w:val="0"/>
        </w:numPr>
        <w:spacing w:before="240" w:after="240" w:line="360" w:lineRule="auto"/>
        <w:outlineLvl w:val="0"/>
        <w:rPr>
          <w:rFonts w:hint="eastAsia" w:asciiTheme="minorEastAsia" w:hAnsiTheme="minorEastAsia" w:eastAsiaTheme="minorEastAsia" w:cstheme="minorEastAsia"/>
          <w:color w:val="auto"/>
          <w:highlight w:val="none"/>
        </w:rPr>
      </w:pPr>
      <w:bookmarkStart w:id="163" w:name="_Toc200513199"/>
      <w:bookmarkStart w:id="164" w:name="_Toc16446"/>
      <w:bookmarkStart w:id="165" w:name="_Toc376891016"/>
      <w:bookmarkStart w:id="166" w:name="_Toc31194"/>
      <w:bookmarkStart w:id="167" w:name="_Toc19995"/>
      <w:bookmarkStart w:id="168" w:name="_Toc13838"/>
      <w:bookmarkStart w:id="169" w:name="_Toc11103"/>
      <w:bookmarkStart w:id="170" w:name="_Toc71357458"/>
      <w:bookmarkStart w:id="171" w:name="_Toc25506"/>
      <w:bookmarkStart w:id="172" w:name="_Toc224103385"/>
      <w:bookmarkStart w:id="173" w:name="_Toc152796735"/>
      <w:bookmarkStart w:id="174" w:name="_Toc18964"/>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评审标准</w:t>
      </w:r>
      <w:bookmarkEnd w:id="163"/>
      <w:bookmarkEnd w:id="164"/>
      <w:bookmarkEnd w:id="165"/>
      <w:bookmarkEnd w:id="166"/>
      <w:bookmarkEnd w:id="167"/>
      <w:bookmarkEnd w:id="168"/>
      <w:bookmarkEnd w:id="169"/>
      <w:bookmarkEnd w:id="170"/>
      <w:bookmarkEnd w:id="171"/>
      <w:bookmarkEnd w:id="172"/>
      <w:bookmarkEnd w:id="173"/>
      <w:bookmarkEnd w:id="174"/>
    </w:p>
    <w:p w14:paraId="515A7B43">
      <w:pPr>
        <w:pStyle w:val="5"/>
        <w:numPr>
          <w:ilvl w:val="2"/>
          <w:numId w:val="0"/>
        </w:numPr>
        <w:snapToGrid w:val="0"/>
        <w:spacing w:line="360" w:lineRule="auto"/>
        <w:outlineLvl w:val="1"/>
        <w:rPr>
          <w:rFonts w:hint="eastAsia" w:asciiTheme="minorEastAsia" w:hAnsiTheme="minorEastAsia" w:eastAsiaTheme="minorEastAsia" w:cstheme="minorEastAsia"/>
          <w:snapToGrid w:val="0"/>
          <w:color w:val="auto"/>
          <w:highlight w:val="none"/>
        </w:rPr>
      </w:pPr>
      <w:bookmarkStart w:id="175" w:name="_Toc15065"/>
      <w:bookmarkStart w:id="176" w:name="_Toc376891017"/>
      <w:bookmarkStart w:id="177" w:name="_Toc29843"/>
      <w:bookmarkStart w:id="178" w:name="_Toc294"/>
      <w:bookmarkStart w:id="179" w:name="_Toc152796736"/>
      <w:bookmarkStart w:id="180" w:name="_Toc10993"/>
      <w:bookmarkStart w:id="181" w:name="_Toc71357459"/>
      <w:bookmarkStart w:id="182" w:name="_Toc224103386"/>
      <w:bookmarkStart w:id="183" w:name="_Toc20215"/>
      <w:bookmarkStart w:id="184" w:name="_Toc1948"/>
      <w:bookmarkStart w:id="185" w:name="_Toc200513200"/>
      <w:r>
        <w:rPr>
          <w:rFonts w:hint="eastAsia" w:asciiTheme="minorEastAsia" w:hAnsiTheme="minorEastAsia" w:eastAsiaTheme="minorEastAsia" w:cstheme="minorEastAsia"/>
          <w:snapToGrid w:val="0"/>
          <w:color w:val="auto"/>
          <w:highlight w:val="none"/>
        </w:rPr>
        <w:t>2.1  初步评审标准</w:t>
      </w:r>
      <w:bookmarkEnd w:id="175"/>
      <w:bookmarkEnd w:id="176"/>
      <w:bookmarkEnd w:id="177"/>
      <w:bookmarkEnd w:id="178"/>
      <w:bookmarkEnd w:id="179"/>
      <w:bookmarkEnd w:id="180"/>
      <w:bookmarkEnd w:id="181"/>
      <w:bookmarkEnd w:id="182"/>
      <w:bookmarkEnd w:id="183"/>
      <w:bookmarkEnd w:id="184"/>
      <w:bookmarkEnd w:id="185"/>
    </w:p>
    <w:p w14:paraId="7072B92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形式评审标准：见评标办法前附表。</w:t>
      </w:r>
    </w:p>
    <w:p w14:paraId="41CFBF9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资格评审标准：见评标办法前附表。</w:t>
      </w:r>
    </w:p>
    <w:p w14:paraId="3E4A48E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2.1.3  响应性评审标准：见评标办法前附表。</w:t>
      </w:r>
    </w:p>
    <w:p w14:paraId="12B0C3AE">
      <w:pPr>
        <w:pStyle w:val="5"/>
        <w:numPr>
          <w:ilvl w:val="2"/>
          <w:numId w:val="0"/>
        </w:numPr>
        <w:snapToGrid w:val="0"/>
        <w:spacing w:line="360" w:lineRule="auto"/>
        <w:outlineLvl w:val="1"/>
        <w:rPr>
          <w:rFonts w:hint="eastAsia" w:asciiTheme="minorEastAsia" w:hAnsiTheme="minorEastAsia" w:eastAsiaTheme="minorEastAsia" w:cstheme="minorEastAsia"/>
          <w:snapToGrid w:val="0"/>
          <w:color w:val="auto"/>
          <w:highlight w:val="none"/>
        </w:rPr>
      </w:pPr>
      <w:bookmarkStart w:id="186" w:name="_Toc224103387"/>
      <w:bookmarkStart w:id="187" w:name="_Toc27204"/>
      <w:bookmarkStart w:id="188" w:name="_Toc376891018"/>
      <w:bookmarkStart w:id="189" w:name="_Toc71357460"/>
      <w:bookmarkStart w:id="190" w:name="_Toc152796737"/>
      <w:bookmarkStart w:id="191" w:name="_Toc24782"/>
      <w:bookmarkStart w:id="192" w:name="_Toc26283"/>
      <w:bookmarkStart w:id="193" w:name="_Toc13225"/>
      <w:bookmarkStart w:id="194" w:name="_Toc2360"/>
      <w:bookmarkStart w:id="195" w:name="_Toc10705"/>
      <w:bookmarkStart w:id="196" w:name="_Toc200513201"/>
      <w:r>
        <w:rPr>
          <w:rFonts w:hint="eastAsia" w:asciiTheme="minorEastAsia" w:hAnsiTheme="minorEastAsia" w:eastAsiaTheme="minorEastAsia" w:cstheme="minorEastAsia"/>
          <w:snapToGrid w:val="0"/>
          <w:color w:val="auto"/>
          <w:highlight w:val="none"/>
        </w:rPr>
        <w:t>2.2  分值构成与评分标准</w:t>
      </w:r>
      <w:bookmarkEnd w:id="186"/>
      <w:bookmarkEnd w:id="187"/>
      <w:bookmarkEnd w:id="188"/>
      <w:bookmarkEnd w:id="189"/>
      <w:bookmarkEnd w:id="190"/>
      <w:bookmarkEnd w:id="191"/>
      <w:bookmarkEnd w:id="192"/>
      <w:bookmarkEnd w:id="193"/>
      <w:bookmarkEnd w:id="194"/>
      <w:bookmarkEnd w:id="195"/>
      <w:bookmarkEnd w:id="196"/>
    </w:p>
    <w:p w14:paraId="55AB3CF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  见评标办法前附表。</w:t>
      </w:r>
    </w:p>
    <w:p w14:paraId="18A9A4CC">
      <w:pPr>
        <w:pStyle w:val="4"/>
        <w:widowControl/>
        <w:numPr>
          <w:ilvl w:val="1"/>
          <w:numId w:val="0"/>
        </w:numPr>
        <w:spacing w:before="240" w:after="240" w:line="360" w:lineRule="auto"/>
        <w:outlineLvl w:val="0"/>
        <w:rPr>
          <w:rFonts w:hint="eastAsia" w:asciiTheme="minorEastAsia" w:hAnsiTheme="minorEastAsia" w:eastAsiaTheme="minorEastAsia" w:cstheme="minorEastAsia"/>
          <w:color w:val="auto"/>
          <w:highlight w:val="none"/>
        </w:rPr>
      </w:pPr>
      <w:bookmarkStart w:id="197" w:name="_Toc25414"/>
      <w:bookmarkStart w:id="198" w:name="_Toc12171"/>
      <w:bookmarkStart w:id="199" w:name="_Toc152796738"/>
      <w:bookmarkStart w:id="200" w:name="_Toc16999"/>
      <w:bookmarkStart w:id="201" w:name="_Toc7930"/>
      <w:bookmarkStart w:id="202" w:name="_Toc29370"/>
      <w:bookmarkStart w:id="203" w:name="_Toc376891019"/>
      <w:bookmarkStart w:id="204" w:name="_Toc27366"/>
      <w:bookmarkStart w:id="205" w:name="_Toc200513202"/>
      <w:bookmarkStart w:id="206" w:name="_Toc224103388"/>
      <w:bookmarkStart w:id="207" w:name="_Toc5806"/>
      <w:bookmarkStart w:id="208" w:name="_Toc71357461"/>
      <w:r>
        <w:rPr>
          <w:rFonts w:hint="eastAsia" w:asciiTheme="minorEastAsia" w:hAnsiTheme="minorEastAsia" w:eastAsiaTheme="minorEastAsia" w:cstheme="minorEastAsia"/>
          <w:color w:val="auto"/>
          <w:highlight w:val="none"/>
          <w:lang w:val="en-US" w:eastAsia="zh-CN"/>
        </w:rPr>
        <w:t>三、</w:t>
      </w:r>
      <w:r>
        <w:rPr>
          <w:rFonts w:hint="eastAsia" w:asciiTheme="minorEastAsia" w:hAnsiTheme="minorEastAsia" w:eastAsiaTheme="minorEastAsia" w:cstheme="minorEastAsia"/>
          <w:color w:val="auto"/>
          <w:highlight w:val="none"/>
        </w:rPr>
        <w:t>评标程序</w:t>
      </w:r>
      <w:bookmarkEnd w:id="197"/>
      <w:bookmarkEnd w:id="198"/>
      <w:bookmarkEnd w:id="199"/>
      <w:bookmarkEnd w:id="200"/>
      <w:bookmarkEnd w:id="201"/>
      <w:bookmarkEnd w:id="202"/>
      <w:bookmarkEnd w:id="203"/>
      <w:bookmarkEnd w:id="204"/>
      <w:bookmarkEnd w:id="205"/>
      <w:bookmarkEnd w:id="206"/>
      <w:bookmarkEnd w:id="207"/>
      <w:bookmarkEnd w:id="208"/>
    </w:p>
    <w:p w14:paraId="5DB0F61B">
      <w:pPr>
        <w:pStyle w:val="5"/>
        <w:numPr>
          <w:ilvl w:val="2"/>
          <w:numId w:val="0"/>
        </w:numPr>
        <w:snapToGrid w:val="0"/>
        <w:spacing w:line="360" w:lineRule="auto"/>
        <w:outlineLvl w:val="1"/>
        <w:rPr>
          <w:rFonts w:hint="eastAsia" w:asciiTheme="minorEastAsia" w:hAnsiTheme="minorEastAsia" w:eastAsiaTheme="minorEastAsia" w:cstheme="minorEastAsia"/>
          <w:snapToGrid w:val="0"/>
          <w:color w:val="auto"/>
          <w:highlight w:val="none"/>
        </w:rPr>
      </w:pPr>
      <w:bookmarkStart w:id="209" w:name="_Toc17332"/>
      <w:bookmarkStart w:id="210" w:name="_Toc9107"/>
      <w:bookmarkStart w:id="211" w:name="_Toc224103389"/>
      <w:bookmarkStart w:id="212" w:name="_Toc200513203"/>
      <w:bookmarkStart w:id="213" w:name="_Toc16964"/>
      <w:bookmarkStart w:id="214" w:name="_Toc71357462"/>
      <w:bookmarkStart w:id="215" w:name="_Toc376891020"/>
      <w:bookmarkStart w:id="216" w:name="_Toc30535"/>
      <w:bookmarkStart w:id="217" w:name="_Toc12671"/>
      <w:bookmarkStart w:id="218" w:name="_Toc152796739"/>
      <w:bookmarkStart w:id="219" w:name="_Toc5871"/>
      <w:r>
        <w:rPr>
          <w:rFonts w:hint="eastAsia" w:asciiTheme="minorEastAsia" w:hAnsiTheme="minorEastAsia" w:eastAsiaTheme="minorEastAsia" w:cstheme="minorEastAsia"/>
          <w:snapToGrid w:val="0"/>
          <w:color w:val="auto"/>
          <w:highlight w:val="none"/>
        </w:rPr>
        <w:t>3.1  初步评审</w:t>
      </w:r>
      <w:bookmarkEnd w:id="209"/>
      <w:bookmarkEnd w:id="210"/>
      <w:bookmarkEnd w:id="211"/>
      <w:bookmarkEnd w:id="212"/>
      <w:bookmarkEnd w:id="213"/>
      <w:bookmarkEnd w:id="214"/>
      <w:bookmarkEnd w:id="215"/>
      <w:bookmarkEnd w:id="216"/>
      <w:bookmarkEnd w:id="217"/>
      <w:bookmarkEnd w:id="218"/>
      <w:bookmarkEnd w:id="219"/>
    </w:p>
    <w:p w14:paraId="2200434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  评标委员会可以要求投标人提交第二章“投标人须知”规定的有关证明和证件的原件，以便核验。评标委员会依据本章</w:t>
      </w:r>
      <w:r>
        <w:rPr>
          <w:rFonts w:hint="eastAsia" w:asciiTheme="minorEastAsia" w:hAnsiTheme="minorEastAsia" w:eastAsiaTheme="minorEastAsia" w:cstheme="minorEastAsia"/>
          <w:color w:val="auto"/>
          <w:sz w:val="24"/>
          <w:szCs w:val="24"/>
          <w:highlight w:val="none"/>
          <w:lang w:val="en-US" w:eastAsia="zh-CN"/>
        </w:rPr>
        <w:t>第二条评审标准2</w:t>
      </w: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val="en-US" w:eastAsia="zh-CN"/>
        </w:rPr>
        <w:t>项</w:t>
      </w:r>
      <w:r>
        <w:rPr>
          <w:rFonts w:hint="eastAsia" w:asciiTheme="minorEastAsia" w:hAnsiTheme="minorEastAsia" w:eastAsiaTheme="minorEastAsia" w:cstheme="minorEastAsia"/>
          <w:color w:val="auto"/>
          <w:sz w:val="24"/>
          <w:szCs w:val="24"/>
          <w:highlight w:val="none"/>
        </w:rPr>
        <w:t>规定的标准对投标文件进行初步评审。有一项不符合评审标准的，其投标被否决。</w:t>
      </w:r>
    </w:p>
    <w:p w14:paraId="532243B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3.1.2  投标人有以下情形之一的，其投标被否决：</w:t>
      </w:r>
    </w:p>
    <w:p w14:paraId="3273D67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（1）第二章“投标人须知</w:t>
      </w:r>
      <w:r>
        <w:rPr>
          <w:rFonts w:hint="eastAsia" w:asciiTheme="minorEastAsia" w:hAnsiTheme="minorEastAsia" w:eastAsiaTheme="minorEastAsia" w:cstheme="minorEastAsia"/>
          <w:color w:val="auto"/>
          <w:sz w:val="24"/>
          <w:szCs w:val="24"/>
          <w:highlight w:val="none"/>
          <w:lang w:val="en-US" w:eastAsia="zh-CN"/>
        </w:rPr>
        <w:t>前附表</w:t>
      </w:r>
      <w:r>
        <w:rPr>
          <w:rFonts w:hint="eastAsia" w:asciiTheme="minorEastAsia" w:hAnsiTheme="minorEastAsia" w:eastAsiaTheme="minorEastAsia" w:cstheme="minorEastAsia"/>
          <w:color w:val="auto"/>
          <w:sz w:val="24"/>
          <w:szCs w:val="24"/>
          <w:highlight w:val="none"/>
        </w:rPr>
        <w:t xml:space="preserve">”第 </w:t>
      </w:r>
      <w:r>
        <w:rPr>
          <w:rFonts w:hint="eastAsia" w:asciiTheme="minorEastAsia" w:hAnsiTheme="minorEastAsia" w:eastAsiaTheme="minorEastAsia" w:cstheme="minorEastAsia"/>
          <w:color w:val="auto"/>
          <w:sz w:val="24"/>
          <w:szCs w:val="24"/>
          <w:highlight w:val="none"/>
          <w:lang w:val="en-US" w:eastAsia="zh-CN"/>
        </w:rPr>
        <w:t>5.9</w:t>
      </w:r>
      <w:r>
        <w:rPr>
          <w:rFonts w:hint="eastAsia" w:asciiTheme="minorEastAsia" w:hAnsiTheme="minorEastAsia" w:eastAsiaTheme="minorEastAsia" w:cstheme="minorEastAsia"/>
          <w:color w:val="auto"/>
          <w:sz w:val="24"/>
          <w:szCs w:val="24"/>
          <w:highlight w:val="none"/>
        </w:rPr>
        <w:t>项规定的任何一种情形的；</w:t>
      </w:r>
    </w:p>
    <w:p w14:paraId="5C1C89A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（2）串通投标或弄虚作假或有其他违法行为的；</w:t>
      </w:r>
    </w:p>
    <w:p w14:paraId="5E0C13C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（3）不按评标委员会要求澄清、说明或补正的。</w:t>
      </w:r>
    </w:p>
    <w:p w14:paraId="04562EC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3.1.3  投标报价有算术错误的，评标委员会按以下原则对投标报价进行修正，修正的价格经投标人书面确认后具有约束力。投标人不接受修正价格的，其投标被否决。</w:t>
      </w:r>
    </w:p>
    <w:p w14:paraId="1AC8423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（1）投标文件中的大写金额与小写金额不一致的，以大写金额为准；</w:t>
      </w:r>
    </w:p>
    <w:p w14:paraId="55815D2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（2）总价金额与依据单价计算出的结果不一致的，以单价金额为准修正总价，但单价金额小数点有明显错误的除外。</w:t>
      </w:r>
    </w:p>
    <w:p w14:paraId="1B096364">
      <w:pPr>
        <w:pStyle w:val="5"/>
        <w:numPr>
          <w:ilvl w:val="2"/>
          <w:numId w:val="0"/>
        </w:numPr>
        <w:snapToGrid w:val="0"/>
        <w:spacing w:line="360" w:lineRule="auto"/>
        <w:outlineLvl w:val="1"/>
        <w:rPr>
          <w:rFonts w:hint="eastAsia" w:asciiTheme="minorEastAsia" w:hAnsiTheme="minorEastAsia" w:eastAsiaTheme="minorEastAsia" w:cstheme="minorEastAsia"/>
          <w:snapToGrid w:val="0"/>
          <w:color w:val="auto"/>
          <w:highlight w:val="none"/>
        </w:rPr>
      </w:pPr>
      <w:bookmarkStart w:id="220" w:name="_Toc71357463"/>
      <w:bookmarkStart w:id="221" w:name="_Toc9266"/>
      <w:bookmarkStart w:id="222" w:name="_Toc15204"/>
      <w:bookmarkStart w:id="223" w:name="_Toc224103390"/>
      <w:bookmarkStart w:id="224" w:name="_Toc19243"/>
      <w:bookmarkStart w:id="225" w:name="_Toc200513204"/>
      <w:bookmarkStart w:id="226" w:name="_Toc152796740"/>
      <w:bookmarkStart w:id="227" w:name="_Toc376891021"/>
      <w:bookmarkStart w:id="228" w:name="_Toc27330"/>
      <w:bookmarkStart w:id="229" w:name="_Toc31592"/>
      <w:bookmarkStart w:id="230" w:name="_Toc11428"/>
      <w:r>
        <w:rPr>
          <w:rFonts w:hint="eastAsia" w:asciiTheme="minorEastAsia" w:hAnsiTheme="minorEastAsia" w:eastAsiaTheme="minorEastAsia" w:cstheme="minorEastAsia"/>
          <w:snapToGrid w:val="0"/>
          <w:color w:val="auto"/>
          <w:highlight w:val="none"/>
        </w:rPr>
        <w:t>3.2  详细评审</w:t>
      </w:r>
      <w:bookmarkEnd w:id="220"/>
      <w:bookmarkEnd w:id="221"/>
      <w:bookmarkEnd w:id="222"/>
      <w:bookmarkEnd w:id="223"/>
      <w:bookmarkEnd w:id="224"/>
      <w:bookmarkEnd w:id="225"/>
      <w:bookmarkEnd w:id="226"/>
      <w:bookmarkEnd w:id="227"/>
      <w:bookmarkEnd w:id="228"/>
      <w:bookmarkEnd w:id="229"/>
      <w:bookmarkEnd w:id="230"/>
    </w:p>
    <w:p w14:paraId="3A2FC1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Cambria"/>
          <w:kern w:val="2"/>
          <w:sz w:val="24"/>
          <w:szCs w:val="24"/>
          <w:highlight w:val="none"/>
          <w:lang w:eastAsia="zh-CN" w:bidi="ar-SA"/>
        </w:rPr>
      </w:pPr>
      <w:r>
        <w:rPr>
          <w:rFonts w:hint="eastAsia" w:asciiTheme="minorEastAsia" w:hAnsiTheme="minorEastAsia" w:eastAsiaTheme="minorEastAsia" w:cstheme="minorEastAsia"/>
          <w:color w:val="auto"/>
          <w:sz w:val="24"/>
          <w:szCs w:val="24"/>
          <w:highlight w:val="none"/>
        </w:rPr>
        <w:t>3.2.1  评标委员会按本章</w:t>
      </w:r>
      <w:r>
        <w:rPr>
          <w:rFonts w:hint="eastAsia" w:asciiTheme="minorEastAsia" w:hAnsiTheme="minorEastAsia" w:eastAsiaTheme="minorEastAsia" w:cstheme="minorEastAsia"/>
          <w:color w:val="auto"/>
          <w:sz w:val="24"/>
          <w:szCs w:val="24"/>
          <w:highlight w:val="none"/>
          <w:lang w:val="en-US" w:eastAsia="zh-CN"/>
        </w:rPr>
        <w:t>评标办法前附表</w:t>
      </w:r>
      <w:r>
        <w:rPr>
          <w:rFonts w:hint="eastAsia" w:asciiTheme="minorEastAsia" w:hAnsiTheme="minorEastAsia" w:eastAsiaTheme="minorEastAsia" w:cstheme="minorEastAsia"/>
          <w:color w:val="auto"/>
          <w:sz w:val="24"/>
          <w:szCs w:val="24"/>
          <w:highlight w:val="none"/>
        </w:rPr>
        <w:t>第2.2.</w:t>
      </w:r>
      <w:r>
        <w:rPr>
          <w:rFonts w:hint="eastAsia" w:asciiTheme="minorEastAsia" w:hAnsiTheme="minorEastAsia" w:eastAsiaTheme="minorEastAsia" w:cstheme="minorEastAsia"/>
          <w:color w:val="auto"/>
          <w:sz w:val="24"/>
          <w:szCs w:val="24"/>
          <w:highlight w:val="none"/>
          <w:lang w:val="en-US" w:eastAsia="zh-CN"/>
        </w:rPr>
        <w:t>2项</w:t>
      </w:r>
      <w:r>
        <w:rPr>
          <w:rFonts w:hint="eastAsia" w:asciiTheme="minorEastAsia" w:hAnsiTheme="minorEastAsia" w:eastAsiaTheme="minorEastAsia" w:cstheme="minorEastAsia"/>
          <w:color w:val="auto"/>
          <w:sz w:val="24"/>
          <w:szCs w:val="24"/>
          <w:highlight w:val="none"/>
        </w:rPr>
        <w:t>规定的</w:t>
      </w:r>
      <w:r>
        <w:rPr>
          <w:rFonts w:hint="eastAsia" w:ascii="宋体" w:hAnsi="宋体" w:cs="Cambria"/>
          <w:kern w:val="2"/>
          <w:sz w:val="24"/>
          <w:szCs w:val="24"/>
          <w:highlight w:val="none"/>
          <w:lang w:eastAsia="zh-CN" w:bidi="ar-SA"/>
        </w:rPr>
        <w:t>评审标准对投标总报价由低至高进行排名。</w:t>
      </w:r>
    </w:p>
    <w:p w14:paraId="1E28D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Theme="minorEastAsia" w:hAnsiTheme="minorEastAsia" w:eastAsiaTheme="minorEastAsia" w:cstheme="minorEastAsia"/>
          <w:color w:val="auto"/>
          <w:sz w:val="24"/>
          <w:szCs w:val="24"/>
          <w:highlight w:val="none"/>
        </w:rPr>
        <w:t>3.2.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被否决。</w:t>
      </w:r>
    </w:p>
    <w:p w14:paraId="34C417B6">
      <w:pPr>
        <w:pStyle w:val="5"/>
        <w:numPr>
          <w:ilvl w:val="2"/>
          <w:numId w:val="0"/>
        </w:numPr>
        <w:snapToGrid w:val="0"/>
        <w:spacing w:line="360" w:lineRule="auto"/>
        <w:outlineLvl w:val="1"/>
        <w:rPr>
          <w:rFonts w:hint="eastAsia" w:asciiTheme="minorEastAsia" w:hAnsiTheme="minorEastAsia" w:eastAsiaTheme="minorEastAsia" w:cstheme="minorEastAsia"/>
          <w:snapToGrid w:val="0"/>
          <w:color w:val="auto"/>
          <w:highlight w:val="none"/>
        </w:rPr>
      </w:pPr>
      <w:bookmarkStart w:id="231" w:name="_Toc14202"/>
      <w:bookmarkStart w:id="232" w:name="_Toc71357464"/>
      <w:bookmarkStart w:id="233" w:name="_Toc7393"/>
      <w:bookmarkStart w:id="234" w:name="_Toc12520"/>
      <w:bookmarkStart w:id="235" w:name="_Toc224103391"/>
      <w:bookmarkStart w:id="236" w:name="_Toc18871"/>
      <w:bookmarkStart w:id="237" w:name="_Toc152796741"/>
      <w:bookmarkStart w:id="238" w:name="_Toc200513205"/>
      <w:bookmarkStart w:id="239" w:name="_Toc7876"/>
      <w:bookmarkStart w:id="240" w:name="_Toc21260"/>
      <w:bookmarkStart w:id="241" w:name="_Toc376891022"/>
      <w:r>
        <w:rPr>
          <w:rFonts w:hint="eastAsia" w:asciiTheme="minorEastAsia" w:hAnsiTheme="minorEastAsia" w:eastAsiaTheme="minorEastAsia" w:cstheme="minorEastAsia"/>
          <w:snapToGrid w:val="0"/>
          <w:color w:val="auto"/>
          <w:highlight w:val="none"/>
        </w:rPr>
        <w:t>3.3  投标文件的澄清和补正</w:t>
      </w:r>
      <w:bookmarkEnd w:id="231"/>
      <w:bookmarkEnd w:id="232"/>
      <w:bookmarkEnd w:id="233"/>
      <w:bookmarkEnd w:id="234"/>
      <w:bookmarkEnd w:id="235"/>
      <w:bookmarkEnd w:id="236"/>
      <w:bookmarkEnd w:id="237"/>
      <w:bookmarkEnd w:id="238"/>
      <w:bookmarkEnd w:id="239"/>
      <w:bookmarkEnd w:id="240"/>
      <w:bookmarkEnd w:id="241"/>
    </w:p>
    <w:p w14:paraId="428DE5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6B61EB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3.3.2  澄清、说明和补正不得改变投标文件的实质性内容（算术性错误修正的除外）。投标人的书面澄清、说明和补正属于投标文件的组成部分。</w:t>
      </w:r>
    </w:p>
    <w:p w14:paraId="54512F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评标委员会对投标人提交的澄清、说明或补正有疑问的，可以要求投标人进一步澄清、说明或补正，直至满足评标委员会的要求。</w:t>
      </w:r>
    </w:p>
    <w:p w14:paraId="3104B5C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Theme="minorEastAsia" w:hAnsiTheme="minorEastAsia" w:eastAsiaTheme="minorEastAsia" w:cstheme="minorEastAsia"/>
          <w:b/>
          <w:snapToGrid w:val="0"/>
          <w:color w:val="auto"/>
          <w:sz w:val="24"/>
          <w:szCs w:val="24"/>
          <w:highlight w:val="none"/>
          <w:lang w:val="en-US" w:eastAsia="en-US" w:bidi="en-US"/>
        </w:rPr>
      </w:pPr>
      <w:bookmarkStart w:id="242" w:name="_Toc4323"/>
      <w:bookmarkStart w:id="243" w:name="_Toc3491"/>
      <w:bookmarkStart w:id="244" w:name="_Toc23191"/>
      <w:r>
        <w:rPr>
          <w:rFonts w:hint="eastAsia" w:asciiTheme="minorEastAsia" w:hAnsiTheme="minorEastAsia" w:eastAsiaTheme="minorEastAsia" w:cstheme="minorEastAsia"/>
          <w:b/>
          <w:snapToGrid w:val="0"/>
          <w:color w:val="auto"/>
          <w:sz w:val="24"/>
          <w:szCs w:val="24"/>
          <w:highlight w:val="none"/>
          <w:lang w:val="en-US" w:eastAsia="en-US" w:bidi="en-US"/>
        </w:rPr>
        <w:t>3.4  评标结果</w:t>
      </w:r>
      <w:bookmarkEnd w:id="242"/>
    </w:p>
    <w:p w14:paraId="77E691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  除第二章投标人须知前附表授权直接确定</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供货单位外，评标委员会按照得分由高到低的顺序推荐中标候选人。</w:t>
      </w:r>
    </w:p>
    <w:p w14:paraId="3D4C42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  评标委员会完成评标后，应当向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提交书面评标报告。</w:t>
      </w:r>
    </w:p>
    <w:p w14:paraId="54B25487">
      <w:pPr>
        <w:pStyle w:val="4"/>
        <w:widowControl/>
        <w:numPr>
          <w:ilvl w:val="1"/>
          <w:numId w:val="0"/>
        </w:numPr>
        <w:spacing w:before="240" w:after="240" w:line="240" w:lineRule="auto"/>
        <w:outlineLvl w:val="0"/>
        <w:rPr>
          <w:rFonts w:hint="default" w:asciiTheme="minorEastAsia" w:hAnsiTheme="minorEastAsia" w:eastAsiaTheme="minorEastAsia" w:cstheme="minorEastAsia"/>
          <w:color w:val="auto"/>
          <w:highlight w:val="none"/>
          <w:lang w:val="en-US" w:eastAsia="zh-CN"/>
        </w:rPr>
      </w:pPr>
      <w:bookmarkStart w:id="245" w:name="_Toc21795"/>
      <w:r>
        <w:rPr>
          <w:rFonts w:hint="eastAsia" w:asciiTheme="minorEastAsia" w:hAnsiTheme="minorEastAsia" w:eastAsiaTheme="minorEastAsia" w:cstheme="minorEastAsia"/>
          <w:color w:val="auto"/>
          <w:highlight w:val="none"/>
          <w:lang w:val="en-US" w:eastAsia="zh-CN"/>
        </w:rPr>
        <w:t>四、评标纪律</w:t>
      </w:r>
      <w:bookmarkEnd w:id="243"/>
      <w:bookmarkEnd w:id="244"/>
      <w:bookmarkEnd w:id="245"/>
    </w:p>
    <w:p w14:paraId="1279A929">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评标委员会应依法进行评标活动，评标结果由评标委员会独立作出，不受任何单位和个人的非法干预。</w:t>
      </w:r>
    </w:p>
    <w:p w14:paraId="050A34AF">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评标委员会成员接受投标人、其他利害关系人的贿赂或者获取其他不</w:t>
      </w:r>
      <w:r>
        <w:rPr>
          <w:rFonts w:hint="eastAsia" w:asciiTheme="minorEastAsia" w:hAnsiTheme="minorEastAsia" w:eastAsiaTheme="minorEastAsia" w:cstheme="minorEastAsia"/>
          <w:color w:val="auto"/>
          <w:kern w:val="2"/>
          <w:sz w:val="24"/>
          <w:szCs w:val="24"/>
          <w:highlight w:val="none"/>
          <w:lang w:val="zh-CN" w:eastAsia="zh-CN" w:bidi="ar-SA"/>
        </w:rPr>
        <w:t>当利</w:t>
      </w:r>
      <w:r>
        <w:rPr>
          <w:rFonts w:hint="eastAsia" w:asciiTheme="minorEastAsia" w:hAnsiTheme="minorEastAsia" w:eastAsiaTheme="minorEastAsia" w:cstheme="minorEastAsia"/>
          <w:color w:val="auto"/>
          <w:kern w:val="2"/>
          <w:sz w:val="24"/>
          <w:szCs w:val="24"/>
          <w:highlight w:val="none"/>
          <w:lang w:val="en-US" w:eastAsia="zh-CN" w:bidi="ar-SA"/>
        </w:rPr>
        <w:t>益的；评标委员会成员或者与评标活动有关的工作人员向他人透露对投标文件的评审和比较、中标候选人的推荐以及与评标有关的其他情况的，将给予警告，并报请有关部门取消其担任评标 委员会成员的资格，不得再继续参加项目的评标；构成犯罪的，招标人将报请有关部门依法 追究刑事责任。</w:t>
      </w:r>
    </w:p>
    <w:p w14:paraId="0804E18A">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评标委员会全体人员和评标工作人员应坚守各自岗位，严格执行作息时间。原则上在评标工作结束前，不得离开评标地点。确实需要离开的，需报请招标人项目负责人同意。</w:t>
      </w:r>
    </w:p>
    <w:p w14:paraId="62252994">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评标委员会成员在评标过程中擅离职守，影响评标程序正常进行，或者在评标过程中不能客观公正地履行职责的，给予警告；情节严重的，并报请有关部门取消其担任评标委员会成员的资格，不得再继续参加项目的评标。</w:t>
      </w:r>
    </w:p>
    <w:p w14:paraId="42F62320">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所有参加评标工作的人员，在评标期间必须认真执行以下几项保密规定。</w:t>
      </w:r>
    </w:p>
    <w:p w14:paraId="022CC93E">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bookmarkStart w:id="246" w:name="bookmark164"/>
      <w:bookmarkEnd w:id="246"/>
      <w:r>
        <w:rPr>
          <w:rFonts w:hint="eastAsia" w:asciiTheme="minorEastAsia" w:hAnsiTheme="minorEastAsia" w:eastAsiaTheme="minorEastAsia" w:cstheme="minorEastAsia"/>
          <w:color w:val="auto"/>
          <w:kern w:val="2"/>
          <w:sz w:val="24"/>
          <w:szCs w:val="24"/>
          <w:highlight w:val="none"/>
          <w:lang w:val="en-US" w:eastAsia="zh-CN" w:bidi="ar-SA"/>
        </w:rPr>
        <w:t>自开标后，有关招标的审查、评定、澄清等问题，以及评标情况均属于商业机密，任何人不得对外泄露。</w:t>
      </w:r>
    </w:p>
    <w:p w14:paraId="316D055E">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bookmarkStart w:id="247" w:name="bookmark165"/>
      <w:bookmarkEnd w:id="247"/>
      <w:r>
        <w:rPr>
          <w:rFonts w:hint="eastAsia" w:asciiTheme="minorEastAsia" w:hAnsiTheme="minorEastAsia" w:eastAsiaTheme="minorEastAsia" w:cstheme="minorEastAsia"/>
          <w:color w:val="auto"/>
          <w:kern w:val="2"/>
          <w:sz w:val="24"/>
          <w:szCs w:val="24"/>
          <w:highlight w:val="none"/>
          <w:lang w:val="en-US" w:eastAsia="zh-CN" w:bidi="ar-SA"/>
        </w:rPr>
        <w:t>在评标阶段，所有对外活动以及对有关问题的澄清，都必须由评标委员会负责组织进行，严禁任何工作人员或评委擅自进行对外活动。</w:t>
      </w:r>
      <w:bookmarkStart w:id="248" w:name="bookmark166"/>
      <w:bookmarkEnd w:id="248"/>
      <w:r>
        <w:rPr>
          <w:rFonts w:hint="eastAsia" w:asciiTheme="minorEastAsia" w:hAnsiTheme="minorEastAsia" w:eastAsiaTheme="minorEastAsia" w:cstheme="minorEastAsia"/>
          <w:color w:val="auto"/>
          <w:kern w:val="2"/>
          <w:sz w:val="24"/>
          <w:szCs w:val="24"/>
          <w:highlight w:val="none"/>
          <w:lang w:val="en-US" w:eastAsia="zh-CN" w:bidi="ar-SA"/>
        </w:rPr>
        <w:t>如发现评标人员及工作人员有意泄密，招标人可立即终止其参加本项目评标工作并上报主管部门进行处理。</w:t>
      </w:r>
    </w:p>
    <w:p w14:paraId="05DB957B">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评标委员会在个人阅评中，除与本次评标有关的交流、讨论外，不得互相联络，不得向其他评标人施加对评标结果带有倾向性的影响。</w:t>
      </w:r>
    </w:p>
    <w:p w14:paraId="72869AD9">
      <w:pPr>
        <w:pStyle w:val="97"/>
        <w:rPr>
          <w:lang w:eastAsia="zh-CN"/>
        </w:rPr>
      </w:pPr>
    </w:p>
    <w:p w14:paraId="406FF723">
      <w:pPr>
        <w:pStyle w:val="97"/>
        <w:rPr>
          <w:lang w:eastAsia="zh-CN"/>
        </w:rPr>
      </w:pPr>
    </w:p>
    <w:p w14:paraId="1CBD4B57">
      <w:pPr>
        <w:pStyle w:val="97"/>
        <w:rPr>
          <w:lang w:eastAsia="zh-CN"/>
        </w:rPr>
      </w:pPr>
    </w:p>
    <w:p w14:paraId="541457C4">
      <w:pPr>
        <w:pStyle w:val="97"/>
        <w:rPr>
          <w:lang w:eastAsia="zh-CN"/>
        </w:rPr>
      </w:pPr>
    </w:p>
    <w:p w14:paraId="3DA3D7B5">
      <w:pPr>
        <w:pStyle w:val="97"/>
        <w:rPr>
          <w:lang w:eastAsia="zh-CN"/>
        </w:rPr>
      </w:pPr>
    </w:p>
    <w:p w14:paraId="37D614B3">
      <w:pPr>
        <w:pStyle w:val="97"/>
        <w:rPr>
          <w:lang w:eastAsia="zh-CN"/>
        </w:rPr>
      </w:pPr>
    </w:p>
    <w:p w14:paraId="73DBF50E">
      <w:pPr>
        <w:pStyle w:val="97"/>
        <w:rPr>
          <w:lang w:eastAsia="zh-CN"/>
        </w:rPr>
      </w:pPr>
    </w:p>
    <w:p w14:paraId="7B8A5F1E">
      <w:pPr>
        <w:pStyle w:val="97"/>
        <w:rPr>
          <w:lang w:eastAsia="zh-CN"/>
        </w:rPr>
      </w:pPr>
    </w:p>
    <w:p w14:paraId="323DF188">
      <w:pPr>
        <w:pStyle w:val="97"/>
        <w:rPr>
          <w:lang w:eastAsia="zh-CN"/>
        </w:rPr>
      </w:pPr>
    </w:p>
    <w:p w14:paraId="5D568081">
      <w:pPr>
        <w:pStyle w:val="97"/>
        <w:rPr>
          <w:lang w:eastAsia="zh-CN"/>
        </w:rPr>
      </w:pPr>
    </w:p>
    <w:p w14:paraId="0D5B18BD">
      <w:pPr>
        <w:pStyle w:val="97"/>
        <w:rPr>
          <w:lang w:eastAsia="zh-CN"/>
        </w:rPr>
      </w:pPr>
    </w:p>
    <w:p w14:paraId="580E702A">
      <w:pPr>
        <w:pStyle w:val="97"/>
        <w:rPr>
          <w:lang w:eastAsia="zh-CN"/>
        </w:rPr>
      </w:pPr>
    </w:p>
    <w:p w14:paraId="25E006C6">
      <w:pPr>
        <w:pStyle w:val="97"/>
        <w:rPr>
          <w:lang w:eastAsia="zh-CN"/>
        </w:rPr>
      </w:pPr>
    </w:p>
    <w:p w14:paraId="64776FF1">
      <w:pPr>
        <w:pStyle w:val="97"/>
        <w:rPr>
          <w:lang w:eastAsia="zh-CN"/>
        </w:rPr>
      </w:pPr>
    </w:p>
    <w:p w14:paraId="08578A6D">
      <w:pPr>
        <w:pStyle w:val="97"/>
        <w:rPr>
          <w:lang w:eastAsia="zh-CN"/>
        </w:rPr>
      </w:pPr>
    </w:p>
    <w:p w14:paraId="19C3240E">
      <w:pPr>
        <w:pStyle w:val="97"/>
        <w:rPr>
          <w:lang w:eastAsia="zh-CN"/>
        </w:rPr>
      </w:pPr>
    </w:p>
    <w:p w14:paraId="3795DE97">
      <w:pPr>
        <w:pStyle w:val="97"/>
        <w:rPr>
          <w:lang w:eastAsia="zh-CN"/>
        </w:rPr>
      </w:pPr>
    </w:p>
    <w:p w14:paraId="2050BC3F">
      <w:pPr>
        <w:pStyle w:val="97"/>
        <w:rPr>
          <w:rFonts w:hint="eastAsia"/>
          <w:lang w:eastAsia="zh-CN"/>
        </w:rPr>
      </w:pPr>
    </w:p>
    <w:p w14:paraId="30E60676">
      <w:pPr>
        <w:pStyle w:val="97"/>
        <w:rPr>
          <w:rFonts w:hint="eastAsia"/>
          <w:lang w:eastAsia="zh-CN"/>
        </w:rPr>
      </w:pPr>
    </w:p>
    <w:p w14:paraId="3E779C2A">
      <w:pPr>
        <w:pStyle w:val="97"/>
        <w:ind w:firstLine="0" w:firstLineChars="0"/>
        <w:rPr>
          <w:rFonts w:hint="eastAsia"/>
          <w:lang w:eastAsia="zh-CN"/>
        </w:rPr>
      </w:pPr>
    </w:p>
    <w:p w14:paraId="3179D4DA">
      <w:pPr>
        <w:pStyle w:val="84"/>
        <w:numPr>
          <w:ilvl w:val="0"/>
          <w:numId w:val="38"/>
        </w:numPr>
        <w:rPr>
          <w:rFonts w:hint="eastAsia" w:asciiTheme="minorEastAsia" w:hAnsiTheme="minorEastAsia" w:eastAsiaTheme="minorEastAsia" w:cstheme="minorEastAsia"/>
          <w:highlight w:val="none"/>
          <w:lang w:val="en-US" w:eastAsia="zh-CN"/>
        </w:rPr>
      </w:pPr>
      <w:bookmarkStart w:id="249" w:name="_Toc21630"/>
      <w:bookmarkStart w:id="250" w:name="_Toc19915"/>
      <w:r>
        <w:rPr>
          <w:rFonts w:hint="eastAsia" w:asciiTheme="minorEastAsia" w:hAnsiTheme="minorEastAsia" w:eastAsiaTheme="minorEastAsia" w:cstheme="minorEastAsia"/>
          <w:highlight w:val="none"/>
          <w:lang w:eastAsia="zh-CN"/>
        </w:rPr>
        <w:t>招标清单</w:t>
      </w:r>
      <w:r>
        <w:rPr>
          <w:rFonts w:hint="eastAsia" w:asciiTheme="minorEastAsia" w:hAnsiTheme="minorEastAsia" w:eastAsiaTheme="minorEastAsia" w:cstheme="minorEastAsia"/>
          <w:highlight w:val="none"/>
          <w:lang w:val="en-US" w:eastAsia="zh-CN"/>
        </w:rPr>
        <w:t>及技术</w:t>
      </w:r>
      <w:bookmarkEnd w:id="249"/>
      <w:bookmarkEnd w:id="250"/>
      <w:r>
        <w:rPr>
          <w:rFonts w:hint="eastAsia" w:asciiTheme="minorEastAsia" w:hAnsiTheme="minorEastAsia" w:eastAsiaTheme="minorEastAsia" w:cstheme="minorEastAsia"/>
          <w:highlight w:val="none"/>
          <w:lang w:val="en-US" w:eastAsia="zh-CN"/>
        </w:rPr>
        <w:t>规格书</w:t>
      </w:r>
    </w:p>
    <w:p w14:paraId="55434F57">
      <w:pPr>
        <w:ind w:left="0" w:leftChars="0" w:firstLine="0" w:firstLineChars="0"/>
        <w:jc w:val="both"/>
        <w:rPr>
          <w:rFonts w:hint="default"/>
          <w:b/>
          <w:bCs/>
          <w:sz w:val="32"/>
          <w:szCs w:val="32"/>
          <w:lang w:val="en-US" w:eastAsia="zh-CN"/>
        </w:rPr>
      </w:pPr>
      <w:r>
        <w:rPr>
          <w:rFonts w:hint="eastAsia" w:asciiTheme="minorEastAsia" w:hAnsiTheme="minorEastAsia" w:eastAsiaTheme="minorEastAsia" w:cstheme="minorEastAsia"/>
          <w:b/>
          <w:bCs/>
          <w:sz w:val="32"/>
          <w:szCs w:val="32"/>
          <w:highlight w:val="none"/>
          <w:lang w:val="en-US" w:eastAsia="zh-CN"/>
        </w:rPr>
        <w:t>一、</w:t>
      </w:r>
      <w:r>
        <w:rPr>
          <w:rFonts w:hint="eastAsia" w:asciiTheme="minorEastAsia" w:hAnsiTheme="minorEastAsia" w:eastAsiaTheme="minorEastAsia" w:cstheme="minorEastAsia"/>
          <w:b/>
          <w:bCs/>
          <w:sz w:val="24"/>
          <w:szCs w:val="24"/>
          <w:highlight w:val="none"/>
          <w:lang w:val="en-US" w:eastAsia="zh-CN"/>
        </w:rPr>
        <w:t>招标清单</w:t>
      </w:r>
      <w:r>
        <w:rPr>
          <w:rFonts w:hint="eastAsia" w:asciiTheme="minorEastAsia" w:hAnsiTheme="minorEastAsia" w:eastAsiaTheme="minorEastAsia" w:cstheme="minorEastAsia"/>
          <w:b/>
          <w:bCs/>
          <w:sz w:val="32"/>
          <w:szCs w:val="32"/>
          <w:highlight w:val="none"/>
          <w:lang w:val="en-US" w:eastAsia="zh-CN"/>
        </w:rPr>
        <w:t>：</w:t>
      </w:r>
    </w:p>
    <w:tbl>
      <w:tblPr>
        <w:tblStyle w:val="16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536"/>
        <w:gridCol w:w="5007"/>
        <w:gridCol w:w="457"/>
        <w:gridCol w:w="776"/>
        <w:gridCol w:w="776"/>
      </w:tblGrid>
      <w:tr w14:paraId="6798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56" w:type="dxa"/>
            <w:vAlign w:val="center"/>
          </w:tcPr>
          <w:p w14:paraId="64974D9F">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en-US"/>
              </w:rPr>
            </w:pPr>
            <w:r>
              <w:rPr>
                <w:rFonts w:hint="eastAsia" w:ascii="宋体" w:hAnsi="宋体" w:eastAsia="宋体" w:cs="宋体"/>
                <w:b/>
                <w:bCs/>
                <w:kern w:val="0"/>
                <w:sz w:val="18"/>
                <w:szCs w:val="18"/>
                <w:lang w:eastAsia="en-US"/>
              </w:rPr>
              <w:t>序号</w:t>
            </w:r>
          </w:p>
        </w:tc>
        <w:tc>
          <w:tcPr>
            <w:tcW w:w="0" w:type="auto"/>
            <w:vAlign w:val="center"/>
          </w:tcPr>
          <w:p w14:paraId="1B89AAE0">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en-US"/>
              </w:rPr>
            </w:pPr>
            <w:r>
              <w:rPr>
                <w:rFonts w:hint="eastAsia" w:ascii="宋体" w:hAnsi="宋体" w:eastAsia="宋体" w:cs="宋体"/>
                <w:b/>
                <w:bCs/>
                <w:kern w:val="0"/>
                <w:sz w:val="18"/>
                <w:szCs w:val="18"/>
                <w:lang w:eastAsia="en-US"/>
              </w:rPr>
              <w:t>设备名称</w:t>
            </w:r>
          </w:p>
        </w:tc>
        <w:tc>
          <w:tcPr>
            <w:tcW w:w="5008" w:type="dxa"/>
            <w:vAlign w:val="center"/>
          </w:tcPr>
          <w:p w14:paraId="0B6D0C40">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en-US"/>
              </w:rPr>
            </w:pPr>
            <w:r>
              <w:rPr>
                <w:rFonts w:hint="eastAsia" w:ascii="宋体" w:hAnsi="宋体" w:eastAsia="宋体" w:cs="宋体"/>
                <w:b/>
                <w:bCs/>
                <w:kern w:val="0"/>
                <w:sz w:val="18"/>
                <w:szCs w:val="18"/>
                <w:lang w:eastAsia="en-US"/>
              </w:rPr>
              <w:t>规格型号</w:t>
            </w:r>
          </w:p>
        </w:tc>
        <w:tc>
          <w:tcPr>
            <w:tcW w:w="0" w:type="auto"/>
            <w:vAlign w:val="center"/>
          </w:tcPr>
          <w:p w14:paraId="717BA18E">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en-US"/>
              </w:rPr>
            </w:pPr>
            <w:r>
              <w:rPr>
                <w:rFonts w:hint="eastAsia" w:ascii="宋体" w:hAnsi="宋体" w:eastAsia="宋体" w:cs="宋体"/>
                <w:b/>
                <w:bCs/>
                <w:kern w:val="0"/>
                <w:sz w:val="18"/>
                <w:szCs w:val="18"/>
                <w:lang w:eastAsia="en-US"/>
              </w:rPr>
              <w:t>单位</w:t>
            </w:r>
          </w:p>
        </w:tc>
        <w:tc>
          <w:tcPr>
            <w:tcW w:w="776" w:type="dxa"/>
            <w:vAlign w:val="center"/>
          </w:tcPr>
          <w:p w14:paraId="2EF1A82B">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en-US"/>
              </w:rPr>
            </w:pPr>
            <w:r>
              <w:rPr>
                <w:rFonts w:hint="eastAsia" w:ascii="宋体" w:hAnsi="宋体" w:eastAsia="宋体" w:cs="宋体"/>
                <w:b/>
                <w:bCs/>
                <w:kern w:val="0"/>
                <w:sz w:val="18"/>
                <w:szCs w:val="18"/>
                <w:lang w:eastAsia="en-US"/>
              </w:rPr>
              <w:t>数量</w:t>
            </w:r>
          </w:p>
        </w:tc>
        <w:tc>
          <w:tcPr>
            <w:tcW w:w="776" w:type="dxa"/>
            <w:vAlign w:val="center"/>
          </w:tcPr>
          <w:p w14:paraId="07CD3C89">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en-US"/>
              </w:rPr>
            </w:pPr>
            <w:r>
              <w:rPr>
                <w:rFonts w:hint="eastAsia" w:ascii="宋体" w:hAnsi="宋体" w:eastAsia="宋体" w:cs="宋体"/>
                <w:b/>
                <w:bCs/>
                <w:kern w:val="0"/>
                <w:sz w:val="18"/>
                <w:szCs w:val="18"/>
                <w:lang w:eastAsia="en-US"/>
              </w:rPr>
              <w:t>备注</w:t>
            </w:r>
          </w:p>
        </w:tc>
      </w:tr>
      <w:tr w14:paraId="4393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4F889FF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（一）</w:t>
            </w:r>
          </w:p>
        </w:tc>
        <w:tc>
          <w:tcPr>
            <w:tcW w:w="0" w:type="auto"/>
            <w:vAlign w:val="center"/>
          </w:tcPr>
          <w:p w14:paraId="476E2EDC">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AI一体化平台</w:t>
            </w:r>
          </w:p>
        </w:tc>
        <w:tc>
          <w:tcPr>
            <w:tcW w:w="5008" w:type="dxa"/>
            <w:vAlign w:val="center"/>
          </w:tcPr>
          <w:p w14:paraId="69087D1E">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百炼平台</w:t>
            </w:r>
          </w:p>
        </w:tc>
        <w:tc>
          <w:tcPr>
            <w:tcW w:w="0" w:type="auto"/>
            <w:vAlign w:val="center"/>
          </w:tcPr>
          <w:p w14:paraId="05B4E7E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08305F82">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42CCBD9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210E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7EC5BBD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0" w:type="auto"/>
            <w:vAlign w:val="center"/>
          </w:tcPr>
          <w:p w14:paraId="02C3245C">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模型训推平台</w:t>
            </w:r>
          </w:p>
        </w:tc>
        <w:tc>
          <w:tcPr>
            <w:tcW w:w="5008" w:type="dxa"/>
            <w:vAlign w:val="center"/>
          </w:tcPr>
          <w:p w14:paraId="13569266">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p>
        </w:tc>
        <w:tc>
          <w:tcPr>
            <w:tcW w:w="0" w:type="auto"/>
            <w:vAlign w:val="center"/>
          </w:tcPr>
          <w:p w14:paraId="7B3B16A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76" w:type="dxa"/>
            <w:vAlign w:val="center"/>
          </w:tcPr>
          <w:p w14:paraId="24E07C4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76" w:type="dxa"/>
            <w:vAlign w:val="center"/>
          </w:tcPr>
          <w:p w14:paraId="530C7C72">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7482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55BE6A50">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1.1</w:t>
            </w:r>
          </w:p>
        </w:tc>
        <w:tc>
          <w:tcPr>
            <w:tcW w:w="0" w:type="auto"/>
            <w:vAlign w:val="center"/>
          </w:tcPr>
          <w:p w14:paraId="05015815">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Notebook建模</w:t>
            </w:r>
          </w:p>
        </w:tc>
        <w:tc>
          <w:tcPr>
            <w:tcW w:w="5008" w:type="dxa"/>
            <w:vAlign w:val="center"/>
          </w:tcPr>
          <w:p w14:paraId="1F9CC904">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通过Notebook的方式构建模型训练任务。用户可按照代码自主构建模型训练方式。</w:t>
            </w:r>
          </w:p>
        </w:tc>
        <w:tc>
          <w:tcPr>
            <w:tcW w:w="0" w:type="auto"/>
            <w:vAlign w:val="center"/>
          </w:tcPr>
          <w:p w14:paraId="5CD85872">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72C5FDE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30A9933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71B1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3B4F251B">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1.2</w:t>
            </w:r>
          </w:p>
        </w:tc>
        <w:tc>
          <w:tcPr>
            <w:tcW w:w="0" w:type="auto"/>
            <w:vAlign w:val="center"/>
          </w:tcPr>
          <w:p w14:paraId="664F5359">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任务建模</w:t>
            </w:r>
          </w:p>
        </w:tc>
        <w:tc>
          <w:tcPr>
            <w:tcW w:w="5008" w:type="dxa"/>
            <w:vAlign w:val="center"/>
          </w:tcPr>
          <w:p w14:paraId="0C3D75AC">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以任务配置形式完成AI训练和管理。</w:t>
            </w:r>
          </w:p>
        </w:tc>
        <w:tc>
          <w:tcPr>
            <w:tcW w:w="0" w:type="auto"/>
            <w:vAlign w:val="center"/>
          </w:tcPr>
          <w:p w14:paraId="2CD7F00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731FD3E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2711D1F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2114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44A93788">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1.3</w:t>
            </w:r>
          </w:p>
        </w:tc>
        <w:tc>
          <w:tcPr>
            <w:tcW w:w="0" w:type="auto"/>
            <w:vAlign w:val="center"/>
          </w:tcPr>
          <w:p w14:paraId="2AC43473">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模型调优</w:t>
            </w:r>
          </w:p>
        </w:tc>
        <w:tc>
          <w:tcPr>
            <w:tcW w:w="5008" w:type="dxa"/>
            <w:vAlign w:val="center"/>
          </w:tcPr>
          <w:p w14:paraId="441CE3AA">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用来模型微调训练及调优任务，支持多种微调方式，可以选择微调方向和数据及参数</w:t>
            </w:r>
          </w:p>
        </w:tc>
        <w:tc>
          <w:tcPr>
            <w:tcW w:w="0" w:type="auto"/>
            <w:vAlign w:val="center"/>
          </w:tcPr>
          <w:p w14:paraId="2356B9F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5128FDF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2CA3C04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68DC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1DD880B1">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1.4</w:t>
            </w:r>
          </w:p>
        </w:tc>
        <w:tc>
          <w:tcPr>
            <w:tcW w:w="0" w:type="auto"/>
            <w:vAlign w:val="center"/>
          </w:tcPr>
          <w:p w14:paraId="15CDDB6C">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模型服务</w:t>
            </w:r>
          </w:p>
        </w:tc>
        <w:tc>
          <w:tcPr>
            <w:tcW w:w="5008" w:type="dxa"/>
            <w:vAlign w:val="center"/>
          </w:tcPr>
          <w:p w14:paraId="15677EE7">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用来创建在线大模型推理服务，基于部署模型对外提供模型API服务，供上层业务进行AI应用开发及使用</w:t>
            </w:r>
          </w:p>
        </w:tc>
        <w:tc>
          <w:tcPr>
            <w:tcW w:w="0" w:type="auto"/>
            <w:vAlign w:val="center"/>
          </w:tcPr>
          <w:p w14:paraId="3E7C0E0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3832FF8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1781C7D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4147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6BA3E207">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1.5</w:t>
            </w:r>
          </w:p>
        </w:tc>
        <w:tc>
          <w:tcPr>
            <w:tcW w:w="0" w:type="auto"/>
            <w:vAlign w:val="center"/>
          </w:tcPr>
          <w:p w14:paraId="09231E35">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模型广场</w:t>
            </w:r>
          </w:p>
        </w:tc>
        <w:tc>
          <w:tcPr>
            <w:tcW w:w="5008" w:type="dxa"/>
            <w:vAlign w:val="center"/>
          </w:tcPr>
          <w:p w14:paraId="234A8DE1">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内置通义系列、DeepSeek系列系统预置模型，用户可基于内置模型部署模型服务</w:t>
            </w:r>
          </w:p>
        </w:tc>
        <w:tc>
          <w:tcPr>
            <w:tcW w:w="0" w:type="auto"/>
            <w:vAlign w:val="center"/>
          </w:tcPr>
          <w:p w14:paraId="7E31B42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53D9E81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69AA31D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48EA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5C671C16">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1.6</w:t>
            </w:r>
          </w:p>
        </w:tc>
        <w:tc>
          <w:tcPr>
            <w:tcW w:w="0" w:type="auto"/>
            <w:vAlign w:val="center"/>
          </w:tcPr>
          <w:p w14:paraId="7AAD5B32">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AI资产管理</w:t>
            </w:r>
          </w:p>
        </w:tc>
        <w:tc>
          <w:tcPr>
            <w:tcW w:w="5008" w:type="dxa"/>
            <w:vAlign w:val="center"/>
          </w:tcPr>
          <w:p w14:paraId="679079E2">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提供大模型相关的镜像，套件以及训推框架。</w:t>
            </w:r>
          </w:p>
        </w:tc>
        <w:tc>
          <w:tcPr>
            <w:tcW w:w="0" w:type="auto"/>
            <w:vAlign w:val="center"/>
          </w:tcPr>
          <w:p w14:paraId="2CA0C28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2E5345F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4BB0639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3E8F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58A8C0B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2</w:t>
            </w:r>
          </w:p>
        </w:tc>
        <w:tc>
          <w:tcPr>
            <w:tcW w:w="0" w:type="auto"/>
            <w:vAlign w:val="center"/>
          </w:tcPr>
          <w:p w14:paraId="5CF6512C">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数据知识平台</w:t>
            </w:r>
          </w:p>
        </w:tc>
        <w:tc>
          <w:tcPr>
            <w:tcW w:w="5008" w:type="dxa"/>
            <w:vAlign w:val="center"/>
          </w:tcPr>
          <w:p w14:paraId="7094E843">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p>
        </w:tc>
        <w:tc>
          <w:tcPr>
            <w:tcW w:w="0" w:type="auto"/>
            <w:vAlign w:val="center"/>
          </w:tcPr>
          <w:p w14:paraId="1B9F460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76" w:type="dxa"/>
            <w:vAlign w:val="center"/>
          </w:tcPr>
          <w:p w14:paraId="484E65C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76" w:type="dxa"/>
            <w:vAlign w:val="center"/>
          </w:tcPr>
          <w:p w14:paraId="02A2E74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0C01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13902090">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2.1</w:t>
            </w:r>
          </w:p>
        </w:tc>
        <w:tc>
          <w:tcPr>
            <w:tcW w:w="0" w:type="auto"/>
            <w:vAlign w:val="center"/>
          </w:tcPr>
          <w:p w14:paraId="1B3DE551">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数据管理</w:t>
            </w:r>
          </w:p>
        </w:tc>
        <w:tc>
          <w:tcPr>
            <w:tcW w:w="5008" w:type="dxa"/>
            <w:vAlign w:val="center"/>
          </w:tcPr>
          <w:p w14:paraId="30932653">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用来对数据管理，包含文档、文本、图像、音视频、数据表等数据接入与管理，为数据知识加工提供接入能力。</w:t>
            </w:r>
          </w:p>
        </w:tc>
        <w:tc>
          <w:tcPr>
            <w:tcW w:w="0" w:type="auto"/>
            <w:vAlign w:val="center"/>
          </w:tcPr>
          <w:p w14:paraId="1832061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52203BD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39A50D7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0DD5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277805E0">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2.2</w:t>
            </w:r>
          </w:p>
        </w:tc>
        <w:tc>
          <w:tcPr>
            <w:tcW w:w="0" w:type="auto"/>
            <w:vAlign w:val="center"/>
          </w:tcPr>
          <w:p w14:paraId="42863C84">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数据加工</w:t>
            </w:r>
          </w:p>
        </w:tc>
        <w:tc>
          <w:tcPr>
            <w:tcW w:w="5008" w:type="dxa"/>
            <w:vAlign w:val="center"/>
          </w:tcPr>
          <w:p w14:paraId="32CC5B23">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可以创建与管理各类数据加工和数据合成任务，具备多模态解析和训练数据合成的能力。支持按照清洗、解析、增强、配平及端到端划分模板分类，可创建pipeline任务。</w:t>
            </w:r>
          </w:p>
        </w:tc>
        <w:tc>
          <w:tcPr>
            <w:tcW w:w="0" w:type="auto"/>
            <w:vAlign w:val="center"/>
          </w:tcPr>
          <w:p w14:paraId="64D1169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445DA17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5708F61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23B1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44C19A3C">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2.3</w:t>
            </w:r>
          </w:p>
        </w:tc>
        <w:tc>
          <w:tcPr>
            <w:tcW w:w="0" w:type="auto"/>
            <w:vAlign w:val="center"/>
          </w:tcPr>
          <w:p w14:paraId="5246CA9C">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数据任务模板</w:t>
            </w:r>
          </w:p>
        </w:tc>
        <w:tc>
          <w:tcPr>
            <w:tcW w:w="5008" w:type="dxa"/>
            <w:vAlign w:val="center"/>
          </w:tcPr>
          <w:p w14:paraId="00D7A236">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提供数据加工任务模板，包含端到端模板、数据解析模板、数据清洗模板、数据增强模板、数据配平模板。</w:t>
            </w:r>
          </w:p>
        </w:tc>
        <w:tc>
          <w:tcPr>
            <w:tcW w:w="0" w:type="auto"/>
            <w:vAlign w:val="center"/>
          </w:tcPr>
          <w:p w14:paraId="6B76956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3F4F966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6B4A7D2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72BF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62F0085F">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2.4</w:t>
            </w:r>
          </w:p>
        </w:tc>
        <w:tc>
          <w:tcPr>
            <w:tcW w:w="0" w:type="auto"/>
            <w:vAlign w:val="center"/>
          </w:tcPr>
          <w:p w14:paraId="2D7E1BF3">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数据标注</w:t>
            </w:r>
          </w:p>
        </w:tc>
        <w:tc>
          <w:tcPr>
            <w:tcW w:w="5008" w:type="dxa"/>
            <w:vAlign w:val="center"/>
          </w:tcPr>
          <w:p w14:paraId="5A030148">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用来创建数据标注任务，实现文本、图片的自动化标注和手动标注能力。</w:t>
            </w:r>
          </w:p>
        </w:tc>
        <w:tc>
          <w:tcPr>
            <w:tcW w:w="0" w:type="auto"/>
            <w:vAlign w:val="center"/>
          </w:tcPr>
          <w:p w14:paraId="4055165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1B47437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17F37AE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7404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41907C0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3</w:t>
            </w:r>
          </w:p>
        </w:tc>
        <w:tc>
          <w:tcPr>
            <w:tcW w:w="0" w:type="auto"/>
            <w:vAlign w:val="center"/>
          </w:tcPr>
          <w:p w14:paraId="5EF3A16A">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智能体管理平台</w:t>
            </w:r>
          </w:p>
        </w:tc>
        <w:tc>
          <w:tcPr>
            <w:tcW w:w="5008" w:type="dxa"/>
            <w:vAlign w:val="center"/>
          </w:tcPr>
          <w:p w14:paraId="43843D2B">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p>
        </w:tc>
        <w:tc>
          <w:tcPr>
            <w:tcW w:w="0" w:type="auto"/>
            <w:vAlign w:val="center"/>
          </w:tcPr>
          <w:p w14:paraId="432B766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76" w:type="dxa"/>
            <w:vAlign w:val="center"/>
          </w:tcPr>
          <w:p w14:paraId="756A612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76" w:type="dxa"/>
            <w:vAlign w:val="center"/>
          </w:tcPr>
          <w:p w14:paraId="0D1EDCA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06C6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78C29C7F">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3.1</w:t>
            </w:r>
          </w:p>
        </w:tc>
        <w:tc>
          <w:tcPr>
            <w:tcW w:w="0" w:type="auto"/>
            <w:vAlign w:val="center"/>
          </w:tcPr>
          <w:p w14:paraId="5CFAA3DA">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智能体管理</w:t>
            </w:r>
          </w:p>
        </w:tc>
        <w:tc>
          <w:tcPr>
            <w:tcW w:w="5008" w:type="dxa"/>
            <w:vAlign w:val="center"/>
          </w:tcPr>
          <w:p w14:paraId="166CDBCF">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实现智能体全生命周期管理，包含智能体创建、删除、编辑等。</w:t>
            </w:r>
          </w:p>
        </w:tc>
        <w:tc>
          <w:tcPr>
            <w:tcW w:w="0" w:type="auto"/>
            <w:vAlign w:val="center"/>
          </w:tcPr>
          <w:p w14:paraId="6939401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545D369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1703C5C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308D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7A9975AA">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3.2</w:t>
            </w:r>
          </w:p>
        </w:tc>
        <w:tc>
          <w:tcPr>
            <w:tcW w:w="0" w:type="auto"/>
            <w:vAlign w:val="center"/>
          </w:tcPr>
          <w:p w14:paraId="6C43F69D">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智能体工作流设计</w:t>
            </w:r>
          </w:p>
        </w:tc>
        <w:tc>
          <w:tcPr>
            <w:tcW w:w="5008" w:type="dxa"/>
            <w:vAlign w:val="center"/>
          </w:tcPr>
          <w:p w14:paraId="0658C89E">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可通过画布完成智能体编排，支持大模型节点、工具节点、智能体节点、脚本节点等多种节点类型。</w:t>
            </w:r>
          </w:p>
        </w:tc>
        <w:tc>
          <w:tcPr>
            <w:tcW w:w="0" w:type="auto"/>
            <w:vAlign w:val="center"/>
          </w:tcPr>
          <w:p w14:paraId="1715185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1F52706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38AF1A3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3C05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507FFB96">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3.3</w:t>
            </w:r>
          </w:p>
        </w:tc>
        <w:tc>
          <w:tcPr>
            <w:tcW w:w="0" w:type="auto"/>
            <w:vAlign w:val="center"/>
          </w:tcPr>
          <w:p w14:paraId="58E3831B">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长短期记忆</w:t>
            </w:r>
          </w:p>
        </w:tc>
        <w:tc>
          <w:tcPr>
            <w:tcW w:w="5008" w:type="dxa"/>
            <w:vAlign w:val="center"/>
          </w:tcPr>
          <w:p w14:paraId="2B2985F1">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设置长短期记忆，实现对话记录、摘要的记录、保留和删除。</w:t>
            </w:r>
          </w:p>
        </w:tc>
        <w:tc>
          <w:tcPr>
            <w:tcW w:w="0" w:type="auto"/>
            <w:vAlign w:val="center"/>
          </w:tcPr>
          <w:p w14:paraId="73042DF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026343A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3527341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35ED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28F12BFA">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3.4</w:t>
            </w:r>
          </w:p>
        </w:tc>
        <w:tc>
          <w:tcPr>
            <w:tcW w:w="0" w:type="auto"/>
            <w:vAlign w:val="center"/>
          </w:tcPr>
          <w:p w14:paraId="4730F01C">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智能体模板</w:t>
            </w:r>
          </w:p>
        </w:tc>
        <w:tc>
          <w:tcPr>
            <w:tcW w:w="5008" w:type="dxa"/>
            <w:vAlign w:val="center"/>
          </w:tcPr>
          <w:p w14:paraId="3B78374B">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提供智能体搭建的模板，包括知识增强模板、数据分析模板、图片理解模板。</w:t>
            </w:r>
          </w:p>
        </w:tc>
        <w:tc>
          <w:tcPr>
            <w:tcW w:w="0" w:type="auto"/>
            <w:vAlign w:val="center"/>
          </w:tcPr>
          <w:p w14:paraId="0DEDF8E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7D72D31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391A02E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63CF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73A0208B">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3.5</w:t>
            </w:r>
          </w:p>
        </w:tc>
        <w:tc>
          <w:tcPr>
            <w:tcW w:w="0" w:type="auto"/>
            <w:vAlign w:val="center"/>
          </w:tcPr>
          <w:p w14:paraId="610D74B2">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API及MCP工具</w:t>
            </w:r>
          </w:p>
        </w:tc>
        <w:tc>
          <w:tcPr>
            <w:tcW w:w="5008" w:type="dxa"/>
            <w:vAlign w:val="center"/>
          </w:tcPr>
          <w:p w14:paraId="5C42C8C6">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支持API、MCP类型工具的注册、调试，支持自定义工具注册。</w:t>
            </w:r>
          </w:p>
        </w:tc>
        <w:tc>
          <w:tcPr>
            <w:tcW w:w="0" w:type="auto"/>
            <w:vAlign w:val="center"/>
          </w:tcPr>
          <w:p w14:paraId="091D344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406BC4F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0170EA0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66E2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225A20A3">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3.6</w:t>
            </w:r>
          </w:p>
        </w:tc>
        <w:tc>
          <w:tcPr>
            <w:tcW w:w="0" w:type="auto"/>
            <w:vAlign w:val="center"/>
          </w:tcPr>
          <w:p w14:paraId="76A2C8B4">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提示词优化</w:t>
            </w:r>
          </w:p>
        </w:tc>
        <w:tc>
          <w:tcPr>
            <w:tcW w:w="5008" w:type="dxa"/>
            <w:vAlign w:val="center"/>
          </w:tcPr>
          <w:p w14:paraId="5DFAAA22">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提供提示词模板以及提示词的自动优化能力。</w:t>
            </w:r>
          </w:p>
        </w:tc>
        <w:tc>
          <w:tcPr>
            <w:tcW w:w="0" w:type="auto"/>
            <w:vAlign w:val="center"/>
          </w:tcPr>
          <w:p w14:paraId="745DC73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4CB0ACA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30DB449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4EB3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1E89D16E">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3.7</w:t>
            </w:r>
          </w:p>
        </w:tc>
        <w:tc>
          <w:tcPr>
            <w:tcW w:w="0" w:type="auto"/>
            <w:vAlign w:val="center"/>
          </w:tcPr>
          <w:p w14:paraId="2834249B">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知识库</w:t>
            </w:r>
          </w:p>
        </w:tc>
        <w:tc>
          <w:tcPr>
            <w:tcW w:w="5008" w:type="dxa"/>
            <w:vAlign w:val="center"/>
          </w:tcPr>
          <w:p w14:paraId="736D1843">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可以通过上传文档、图像、数据库创建知识库。</w:t>
            </w:r>
          </w:p>
        </w:tc>
        <w:tc>
          <w:tcPr>
            <w:tcW w:w="0" w:type="auto"/>
            <w:vAlign w:val="center"/>
          </w:tcPr>
          <w:p w14:paraId="3B48A6E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6D37700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02D2091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4D22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64A9002B">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3.8</w:t>
            </w:r>
          </w:p>
        </w:tc>
        <w:tc>
          <w:tcPr>
            <w:tcW w:w="0" w:type="auto"/>
            <w:vAlign w:val="center"/>
          </w:tcPr>
          <w:p w14:paraId="42784CBC">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智能体评测</w:t>
            </w:r>
          </w:p>
        </w:tc>
        <w:tc>
          <w:tcPr>
            <w:tcW w:w="5008" w:type="dxa"/>
            <w:vAlign w:val="center"/>
          </w:tcPr>
          <w:p w14:paraId="1C249D58">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支持基于评测集，对智能体效果进行评测，并提供评测分析报告。</w:t>
            </w:r>
          </w:p>
        </w:tc>
        <w:tc>
          <w:tcPr>
            <w:tcW w:w="0" w:type="auto"/>
            <w:vAlign w:val="center"/>
          </w:tcPr>
          <w:p w14:paraId="43B4F2A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76" w:type="dxa"/>
            <w:vAlign w:val="center"/>
          </w:tcPr>
          <w:p w14:paraId="0FCE385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7554B14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70B3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4F91097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（二）</w:t>
            </w:r>
          </w:p>
        </w:tc>
        <w:tc>
          <w:tcPr>
            <w:tcW w:w="0" w:type="auto"/>
            <w:vAlign w:val="center"/>
          </w:tcPr>
          <w:p w14:paraId="0A2523A7">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硬件服务器</w:t>
            </w:r>
          </w:p>
        </w:tc>
        <w:tc>
          <w:tcPr>
            <w:tcW w:w="5008" w:type="dxa"/>
            <w:vAlign w:val="center"/>
          </w:tcPr>
          <w:p w14:paraId="4DD57617">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p>
        </w:tc>
        <w:tc>
          <w:tcPr>
            <w:tcW w:w="0" w:type="auto"/>
            <w:vAlign w:val="center"/>
          </w:tcPr>
          <w:p w14:paraId="1120219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76" w:type="dxa"/>
            <w:vAlign w:val="center"/>
          </w:tcPr>
          <w:p w14:paraId="18B500B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76" w:type="dxa"/>
            <w:vAlign w:val="center"/>
          </w:tcPr>
          <w:p w14:paraId="72E906B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001B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2190202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0" w:type="auto"/>
            <w:vAlign w:val="center"/>
          </w:tcPr>
          <w:p w14:paraId="312E8F00">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GPU服务器</w:t>
            </w:r>
          </w:p>
        </w:tc>
        <w:tc>
          <w:tcPr>
            <w:tcW w:w="5008" w:type="dxa"/>
            <w:tcBorders>
              <w:top w:val="single" w:color="auto" w:sz="4" w:space="0"/>
              <w:left w:val="single" w:color="auto" w:sz="4" w:space="0"/>
              <w:bottom w:val="single" w:color="auto" w:sz="4" w:space="0"/>
              <w:right w:val="single" w:color="auto" w:sz="4" w:space="0"/>
            </w:tcBorders>
            <w:vAlign w:val="center"/>
          </w:tcPr>
          <w:p w14:paraId="6E77980C">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型号：机头R4930G7*1+机尾AB0611OG1*2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CPU规格:[hygon7490]*2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CPU核数:[64]*2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CPU主频:2.7 GHz</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内存(GB):1536</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内存规格: ECC DDR5 RDIMM 速率4800MT/s</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内置硬盘：240G[240G_sata_ssd]*1</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3840G[3840G_nvme_ssd]*4</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网卡要求: 25GE： 双端口25G独立网卡，型号要求：满配兼容多模模块（SFP28），支持PXE，支持SRIOV 技术。</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 xml:space="preserve">网卡要求：Mellanox </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网口数量: 25GE*2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GPU模组:16张GPU卡</w:t>
            </w:r>
          </w:p>
        </w:tc>
        <w:tc>
          <w:tcPr>
            <w:tcW w:w="0" w:type="auto"/>
            <w:vAlign w:val="center"/>
          </w:tcPr>
          <w:p w14:paraId="7D10FB5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台</w:t>
            </w:r>
          </w:p>
        </w:tc>
        <w:tc>
          <w:tcPr>
            <w:tcW w:w="776" w:type="dxa"/>
            <w:vAlign w:val="center"/>
          </w:tcPr>
          <w:p w14:paraId="0F8749E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vAlign w:val="center"/>
          </w:tcPr>
          <w:p w14:paraId="542A917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6B4A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2D0DE7C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2</w:t>
            </w:r>
          </w:p>
        </w:tc>
        <w:tc>
          <w:tcPr>
            <w:tcW w:w="0" w:type="auto"/>
            <w:vAlign w:val="center"/>
          </w:tcPr>
          <w:p w14:paraId="09811908">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通用服务器</w:t>
            </w:r>
          </w:p>
        </w:tc>
        <w:tc>
          <w:tcPr>
            <w:tcW w:w="5008" w:type="dxa"/>
            <w:tcBorders>
              <w:top w:val="nil"/>
              <w:left w:val="single" w:color="auto" w:sz="4" w:space="0"/>
              <w:bottom w:val="single" w:color="auto" w:sz="4" w:space="0"/>
              <w:right w:val="single" w:color="auto" w:sz="4" w:space="0"/>
            </w:tcBorders>
            <w:vAlign w:val="center"/>
          </w:tcPr>
          <w:p w14:paraId="72E9E503">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CPU规格:[hygon7470]*2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CPU核数:[48]*2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CPU主频:2.6 GHz</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内存(GB):768</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内存规格: ECC DDR5 RDIMM 速率 4800MT/s</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内置硬盘: 480G[480G_sata_ssd]*2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3840G[3840G_nvme_ssd]*6</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网卡要求: 25GE： 双端口25G独立网卡</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网口数量: 25GE*2, 并满配兼容多模模块。</w:t>
            </w:r>
          </w:p>
        </w:tc>
        <w:tc>
          <w:tcPr>
            <w:tcW w:w="0" w:type="auto"/>
            <w:vAlign w:val="center"/>
          </w:tcPr>
          <w:p w14:paraId="1203A472">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台</w:t>
            </w:r>
          </w:p>
        </w:tc>
        <w:tc>
          <w:tcPr>
            <w:tcW w:w="776" w:type="dxa"/>
            <w:vAlign w:val="center"/>
          </w:tcPr>
          <w:p w14:paraId="30C862B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3</w:t>
            </w:r>
          </w:p>
        </w:tc>
        <w:tc>
          <w:tcPr>
            <w:tcW w:w="776" w:type="dxa"/>
            <w:vAlign w:val="center"/>
          </w:tcPr>
          <w:p w14:paraId="12809E6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7218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tcBorders>
              <w:bottom w:val="single" w:color="auto" w:sz="4" w:space="0"/>
            </w:tcBorders>
            <w:vAlign w:val="center"/>
          </w:tcPr>
          <w:p w14:paraId="13D59BD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3</w:t>
            </w:r>
          </w:p>
        </w:tc>
        <w:tc>
          <w:tcPr>
            <w:tcW w:w="0" w:type="auto"/>
            <w:tcBorders>
              <w:bottom w:val="single" w:color="auto" w:sz="4" w:space="0"/>
            </w:tcBorders>
            <w:vAlign w:val="center"/>
          </w:tcPr>
          <w:p w14:paraId="04C97FC6">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业务网络</w:t>
            </w:r>
            <w:r>
              <w:rPr>
                <w:rFonts w:hint="eastAsia" w:ascii="宋体" w:hAnsi="宋体" w:eastAsia="宋体" w:cs="宋体"/>
                <w:kern w:val="0"/>
                <w:sz w:val="18"/>
                <w:szCs w:val="18"/>
                <w:lang w:eastAsia="zh-CN"/>
              </w:rPr>
              <w:t>交换机</w:t>
            </w:r>
          </w:p>
        </w:tc>
        <w:tc>
          <w:tcPr>
            <w:tcW w:w="5008" w:type="dxa"/>
            <w:tcBorders>
              <w:top w:val="nil"/>
              <w:left w:val="single" w:color="auto" w:sz="4" w:space="0"/>
              <w:bottom w:val="single" w:color="auto" w:sz="4" w:space="0"/>
              <w:right w:val="single" w:color="auto" w:sz="4" w:space="0"/>
            </w:tcBorders>
            <w:vAlign w:val="center"/>
          </w:tcPr>
          <w:p w14:paraId="61ABE2E6">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RG-S6510-48VS8CQ</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机架式1U盒式交换机，前后通风</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冗余电源；冗余风扇</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48口SFP28 的25G端口万兆，8口QSFP28 100G；配置48个25GE多模块光模块；交换容量4.8Tbps, 包转发率2000Mpps</w:t>
            </w:r>
          </w:p>
        </w:tc>
        <w:tc>
          <w:tcPr>
            <w:tcW w:w="0" w:type="auto"/>
            <w:tcBorders>
              <w:bottom w:val="single" w:color="auto" w:sz="4" w:space="0"/>
            </w:tcBorders>
            <w:vAlign w:val="center"/>
          </w:tcPr>
          <w:p w14:paraId="1A2C6F2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台</w:t>
            </w:r>
          </w:p>
        </w:tc>
        <w:tc>
          <w:tcPr>
            <w:tcW w:w="776" w:type="dxa"/>
            <w:tcBorders>
              <w:bottom w:val="single" w:color="auto" w:sz="4" w:space="0"/>
            </w:tcBorders>
            <w:vAlign w:val="center"/>
          </w:tcPr>
          <w:p w14:paraId="35B08CE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tcBorders>
              <w:bottom w:val="single" w:color="auto" w:sz="4" w:space="0"/>
            </w:tcBorders>
            <w:vAlign w:val="center"/>
          </w:tcPr>
          <w:p w14:paraId="511A1EB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5731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tcBorders>
              <w:top w:val="single" w:color="auto" w:sz="4" w:space="0"/>
              <w:bottom w:val="single" w:color="auto" w:sz="4" w:space="0"/>
            </w:tcBorders>
            <w:vAlign w:val="center"/>
          </w:tcPr>
          <w:p w14:paraId="4057AF9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4</w:t>
            </w:r>
          </w:p>
        </w:tc>
        <w:tc>
          <w:tcPr>
            <w:tcW w:w="0" w:type="auto"/>
            <w:tcBorders>
              <w:top w:val="single" w:color="auto" w:sz="4" w:space="0"/>
              <w:bottom w:val="single" w:color="auto" w:sz="4" w:space="0"/>
            </w:tcBorders>
            <w:vAlign w:val="center"/>
          </w:tcPr>
          <w:p w14:paraId="7EF89EE7">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业务网络</w:t>
            </w:r>
            <w:r>
              <w:rPr>
                <w:rFonts w:hint="eastAsia" w:ascii="宋体" w:hAnsi="宋体" w:eastAsia="宋体" w:cs="宋体"/>
                <w:kern w:val="0"/>
                <w:sz w:val="18"/>
                <w:szCs w:val="18"/>
                <w:lang w:eastAsia="zh-CN"/>
              </w:rPr>
              <w:t>交换机</w:t>
            </w:r>
          </w:p>
        </w:tc>
        <w:tc>
          <w:tcPr>
            <w:tcW w:w="5008" w:type="dxa"/>
            <w:tcBorders>
              <w:top w:val="single" w:color="auto" w:sz="4" w:space="0"/>
              <w:left w:val="single" w:color="auto" w:sz="4" w:space="0"/>
              <w:bottom w:val="single" w:color="auto" w:sz="4" w:space="0"/>
              <w:right w:val="single" w:color="auto" w:sz="4" w:space="0"/>
            </w:tcBorders>
            <w:vAlign w:val="center"/>
          </w:tcPr>
          <w:p w14:paraId="03388423">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RG-S5310-48GT4XS-E 机架式1U盒式交换机</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eastAsia="en-US"/>
              </w:rPr>
              <w:t>支持交流电源；48电口</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eastAsia="en-US"/>
              </w:rPr>
              <w:t>交换容量432Gbps, 包转发率166Mpps</w:t>
            </w:r>
          </w:p>
        </w:tc>
        <w:tc>
          <w:tcPr>
            <w:tcW w:w="0" w:type="auto"/>
            <w:tcBorders>
              <w:top w:val="single" w:color="auto" w:sz="4" w:space="0"/>
              <w:bottom w:val="single" w:color="auto" w:sz="4" w:space="0"/>
            </w:tcBorders>
            <w:vAlign w:val="center"/>
          </w:tcPr>
          <w:p w14:paraId="2A31DB7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台</w:t>
            </w:r>
          </w:p>
        </w:tc>
        <w:tc>
          <w:tcPr>
            <w:tcW w:w="776" w:type="dxa"/>
            <w:tcBorders>
              <w:top w:val="single" w:color="auto" w:sz="4" w:space="0"/>
              <w:bottom w:val="single" w:color="auto" w:sz="4" w:space="0"/>
            </w:tcBorders>
            <w:vAlign w:val="center"/>
          </w:tcPr>
          <w:p w14:paraId="55BDA9F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776" w:type="dxa"/>
            <w:tcBorders>
              <w:top w:val="single" w:color="auto" w:sz="4" w:space="0"/>
              <w:bottom w:val="single" w:color="auto" w:sz="4" w:space="0"/>
            </w:tcBorders>
            <w:vAlign w:val="center"/>
          </w:tcPr>
          <w:p w14:paraId="682E66F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18F8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tcBorders>
              <w:top w:val="single" w:color="auto" w:sz="4" w:space="0"/>
            </w:tcBorders>
            <w:vAlign w:val="center"/>
          </w:tcPr>
          <w:p w14:paraId="7F53127F">
            <w:pPr>
              <w:snapToGrid w:val="0"/>
              <w:spacing w:line="240" w:lineRule="auto"/>
              <w:ind w:left="0" w:leftChars="0" w:right="0" w:rightChars="0" w:firstLine="0" w:firstLineChars="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1536" w:type="dxa"/>
            <w:tcBorders>
              <w:top w:val="single" w:color="auto" w:sz="4" w:space="0"/>
            </w:tcBorders>
            <w:vAlign w:val="center"/>
          </w:tcPr>
          <w:p w14:paraId="6C6B6F9F">
            <w:pPr>
              <w:snapToGrid w:val="0"/>
              <w:spacing w:line="240" w:lineRule="auto"/>
              <w:ind w:left="0" w:leftChars="0" w:right="0" w:rightChars="0" w:firstLine="0" w:firstLineChars="0"/>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安装辅材</w:t>
            </w:r>
          </w:p>
        </w:tc>
        <w:tc>
          <w:tcPr>
            <w:tcW w:w="5008" w:type="dxa"/>
            <w:tcBorders>
              <w:top w:val="single" w:color="auto" w:sz="4" w:space="0"/>
              <w:left w:val="single" w:color="auto" w:sz="4" w:space="0"/>
              <w:bottom w:val="single" w:color="auto" w:sz="4" w:space="0"/>
              <w:right w:val="single" w:color="auto" w:sz="4" w:space="0"/>
            </w:tcBorders>
            <w:vAlign w:val="center"/>
          </w:tcPr>
          <w:p w14:paraId="3B48E553">
            <w:pPr>
              <w:snapToGrid w:val="0"/>
              <w:spacing w:line="240" w:lineRule="auto"/>
              <w:ind w:left="0" w:leftChars="0" w:right="0" w:rightChars="0" w:firstLine="0" w:firstLineChars="0"/>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PDU、配套辅材等</w:t>
            </w:r>
          </w:p>
        </w:tc>
        <w:tc>
          <w:tcPr>
            <w:tcW w:w="457" w:type="dxa"/>
            <w:tcBorders>
              <w:top w:val="single" w:color="auto" w:sz="4" w:space="0"/>
            </w:tcBorders>
            <w:vAlign w:val="center"/>
          </w:tcPr>
          <w:p w14:paraId="6B69DB38">
            <w:pPr>
              <w:snapToGrid w:val="0"/>
              <w:spacing w:line="240" w:lineRule="auto"/>
              <w:ind w:left="0" w:leftChars="0" w:right="0" w:rightChars="0"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批</w:t>
            </w:r>
          </w:p>
        </w:tc>
        <w:tc>
          <w:tcPr>
            <w:tcW w:w="776" w:type="dxa"/>
            <w:tcBorders>
              <w:top w:val="single" w:color="auto" w:sz="4" w:space="0"/>
            </w:tcBorders>
            <w:vAlign w:val="center"/>
          </w:tcPr>
          <w:p w14:paraId="64111201">
            <w:pPr>
              <w:snapToGrid w:val="0"/>
              <w:spacing w:line="240" w:lineRule="auto"/>
              <w:ind w:left="0" w:leftChars="0" w:right="0" w:rightChars="0" w:firstLine="0" w:firstLineChars="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776" w:type="dxa"/>
            <w:tcBorders>
              <w:top w:val="single" w:color="auto" w:sz="4" w:space="0"/>
            </w:tcBorders>
            <w:vAlign w:val="center"/>
          </w:tcPr>
          <w:p w14:paraId="56235832">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bl>
    <w:p w14:paraId="0E04E2C6">
      <w:pPr>
        <w:pageBreakBefore w:val="0"/>
        <w:numPr>
          <w:ilvl w:val="0"/>
          <w:numId w:val="0"/>
        </w:numPr>
        <w:kinsoku/>
        <w:overflowPunct/>
        <w:topLinePunct w:val="0"/>
        <w:bidi w:val="0"/>
        <w:spacing w:line="360" w:lineRule="auto"/>
        <w:textAlignment w:val="auto"/>
        <w:rPr>
          <w:rFonts w:hint="eastAsia"/>
          <w:lang w:eastAsia="zh-CN"/>
        </w:rPr>
      </w:pPr>
    </w:p>
    <w:p w14:paraId="0342F34E">
      <w:pPr>
        <w:pageBreakBefore w:val="0"/>
        <w:numPr>
          <w:ilvl w:val="0"/>
          <w:numId w:val="0"/>
        </w:numPr>
        <w:kinsoku/>
        <w:overflowPunct/>
        <w:topLinePunct w:val="0"/>
        <w:bidi w:val="0"/>
        <w:spacing w:line="360" w:lineRule="auto"/>
        <w:ind w:leftChars="200"/>
        <w:textAlignment w:val="auto"/>
        <w:rPr>
          <w:rFonts w:ascii="宋体" w:hAnsi="宋体" w:eastAsia="宋体" w:cs="宋体"/>
          <w:b w:val="0"/>
          <w:bCs w:val="0"/>
        </w:rPr>
      </w:pPr>
      <w:r>
        <w:rPr>
          <w:rFonts w:hint="eastAsia"/>
          <w:lang w:eastAsia="zh-CN"/>
        </w:rPr>
        <w:t>备注：</w:t>
      </w:r>
      <w:bookmarkStart w:id="251" w:name="_Toc15567"/>
    </w:p>
    <w:p w14:paraId="76D57357">
      <w:pPr>
        <w:pageBreakBefore w:val="0"/>
        <w:numPr>
          <w:ilvl w:val="0"/>
          <w:numId w:val="39"/>
        </w:numPr>
        <w:kinsoku/>
        <w:overflowPunct/>
        <w:topLinePunct w:val="0"/>
        <w:bidi w:val="0"/>
        <w:spacing w:line="360" w:lineRule="auto"/>
        <w:ind w:leftChars="0" w:firstLine="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该项目为交钥匙工程，中标单位</w:t>
      </w:r>
      <w:r>
        <w:rPr>
          <w:rFonts w:hint="eastAsia" w:asciiTheme="minorEastAsia" w:hAnsiTheme="minorEastAsia" w:eastAsiaTheme="minorEastAsia" w:cstheme="minorEastAsia"/>
          <w:sz w:val="24"/>
          <w:szCs w:val="24"/>
        </w:rPr>
        <w:t>设备到货</w:t>
      </w:r>
      <w:r>
        <w:rPr>
          <w:rFonts w:hint="eastAsia" w:asciiTheme="minorEastAsia" w:hAnsiTheme="minorEastAsia" w:eastAsiaTheme="minorEastAsia" w:cstheme="minorEastAsia"/>
          <w:color w:val="000000" w:themeColor="text1"/>
          <w:sz w:val="24"/>
          <w:szCs w:val="24"/>
          <w14:textFill>
            <w14:solidFill>
              <w14:schemeClr w14:val="tx1"/>
            </w14:solidFill>
          </w14:textFill>
        </w:rPr>
        <w:t>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由</w:t>
      </w:r>
      <w:r>
        <w:rPr>
          <w:rFonts w:hint="eastAsia" w:asciiTheme="minorEastAsia" w:hAnsiTheme="minorEastAsia" w:eastAsiaTheme="minorEastAsia" w:cstheme="minorEastAsia"/>
          <w:sz w:val="24"/>
          <w:szCs w:val="24"/>
          <w:lang w:val="en-US" w:eastAsia="zh-CN"/>
        </w:rPr>
        <w:t>中标单位</w:t>
      </w:r>
      <w:r>
        <w:rPr>
          <w:rFonts w:hint="eastAsia" w:asciiTheme="minorEastAsia" w:hAnsiTheme="minorEastAsia" w:eastAsiaTheme="minorEastAsia" w:cstheme="minorEastAsia"/>
          <w:sz w:val="24"/>
          <w:szCs w:val="24"/>
        </w:rPr>
        <w:t>派工程技术人员到</w:t>
      </w:r>
      <w:r>
        <w:rPr>
          <w:rFonts w:hint="eastAsia" w:asciiTheme="minorEastAsia" w:hAnsiTheme="minorEastAsia" w:eastAsiaTheme="minorEastAsia" w:cstheme="minorEastAsia"/>
          <w:sz w:val="24"/>
          <w:szCs w:val="24"/>
          <w:lang w:val="en-US" w:eastAsia="zh-CN"/>
        </w:rPr>
        <w:t>最终用户</w:t>
      </w:r>
      <w:r>
        <w:rPr>
          <w:rFonts w:hint="eastAsia" w:asciiTheme="minorEastAsia" w:hAnsiTheme="minorEastAsia" w:eastAsiaTheme="minorEastAsia" w:cstheme="minorEastAsia"/>
          <w:sz w:val="24"/>
          <w:szCs w:val="24"/>
        </w:rPr>
        <w:t>安装、调试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硬件与软件的安装、调试由</w:t>
      </w:r>
      <w:r>
        <w:rPr>
          <w:rFonts w:hint="eastAsia" w:asciiTheme="minorEastAsia" w:hAnsiTheme="minorEastAsia" w:eastAsiaTheme="minorEastAsia" w:cstheme="minorEastAsia"/>
          <w:sz w:val="24"/>
          <w:szCs w:val="24"/>
          <w:lang w:val="en-US" w:eastAsia="zh-CN"/>
        </w:rPr>
        <w:t>中标单位</w:t>
      </w:r>
      <w:r>
        <w:rPr>
          <w:rFonts w:hint="eastAsia" w:asciiTheme="minorEastAsia" w:hAnsiTheme="minorEastAsia" w:eastAsiaTheme="minorEastAsia" w:cstheme="minorEastAsia"/>
          <w:sz w:val="24"/>
          <w:szCs w:val="24"/>
        </w:rPr>
        <w:t>按照合同的有关规定和技术要求完成。</w:t>
      </w:r>
    </w:p>
    <w:p w14:paraId="3656B8ED">
      <w:pPr>
        <w:pageBreakBefore w:val="0"/>
        <w:numPr>
          <w:ilvl w:val="0"/>
          <w:numId w:val="39"/>
        </w:numPr>
        <w:kinsoku/>
        <w:overflowPunct/>
        <w:topLinePunct w:val="0"/>
        <w:bidi w:val="0"/>
        <w:spacing w:line="360" w:lineRule="auto"/>
        <w:ind w:leftChars="0" w:firstLine="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设备安装调试完成后，</w:t>
      </w:r>
      <w:r>
        <w:rPr>
          <w:rFonts w:hint="eastAsia" w:asciiTheme="minorEastAsia" w:hAnsiTheme="minorEastAsia" w:eastAsiaTheme="minorEastAsia" w:cstheme="minorEastAsia"/>
          <w:sz w:val="24"/>
          <w:szCs w:val="24"/>
          <w:lang w:val="en-US" w:eastAsia="zh-CN"/>
        </w:rPr>
        <w:t>中标单位</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最终用户</w:t>
      </w:r>
      <w:r>
        <w:rPr>
          <w:rFonts w:hint="eastAsia" w:asciiTheme="minorEastAsia" w:hAnsiTheme="minorEastAsia" w:eastAsiaTheme="minorEastAsia" w:cstheme="minorEastAsia"/>
          <w:sz w:val="24"/>
          <w:szCs w:val="24"/>
        </w:rPr>
        <w:t>共同进行工程验收，</w:t>
      </w:r>
      <w:r>
        <w:rPr>
          <w:rFonts w:hint="eastAsia" w:asciiTheme="minorEastAsia" w:hAnsiTheme="minorEastAsia" w:eastAsiaTheme="minorEastAsia" w:cstheme="minorEastAsia"/>
          <w:sz w:val="24"/>
          <w:szCs w:val="24"/>
          <w:lang w:val="en-US" w:eastAsia="zh-CN"/>
        </w:rPr>
        <w:t>中标单位和最终用户</w:t>
      </w:r>
      <w:r>
        <w:rPr>
          <w:rFonts w:hint="eastAsia" w:asciiTheme="minorEastAsia" w:hAnsiTheme="minorEastAsia" w:eastAsiaTheme="minorEastAsia" w:cstheme="minorEastAsia"/>
          <w:sz w:val="24"/>
          <w:szCs w:val="24"/>
        </w:rPr>
        <w:t>签写验收报告。</w:t>
      </w:r>
    </w:p>
    <w:p w14:paraId="4EA0ADA4">
      <w:pPr>
        <w:pageBreakBefore w:val="0"/>
        <w:numPr>
          <w:ilvl w:val="0"/>
          <w:numId w:val="39"/>
        </w:numPr>
        <w:kinsoku/>
        <w:overflowPunct/>
        <w:topLinePunct w:val="0"/>
        <w:bidi w:val="0"/>
        <w:spacing w:line="360" w:lineRule="auto"/>
        <w:ind w:leftChars="0" w:firstLine="480"/>
        <w:textAlignment w:val="auto"/>
        <w:rPr>
          <w:rFonts w:hint="eastAsia" w:ascii="宋体" w:hAnsi="宋体" w:eastAsia="宋体" w:cs="宋体"/>
          <w:b w:val="0"/>
          <w:bCs w:val="0"/>
        </w:rPr>
      </w:pPr>
      <w:r>
        <w:rPr>
          <w:rFonts w:hint="eastAsia" w:asciiTheme="minorEastAsia" w:hAnsiTheme="minorEastAsia" w:eastAsiaTheme="minorEastAsia" w:cstheme="minorEastAsia"/>
          <w:b w:val="0"/>
          <w:bCs w:val="0"/>
          <w:sz w:val="24"/>
          <w:szCs w:val="24"/>
        </w:rPr>
        <w:t>报价包含但不限于设备含税单价、含税辅料、运费（安装地中国境内）、装卸费、培训费等。</w:t>
      </w:r>
    </w:p>
    <w:p w14:paraId="1F3CB116">
      <w:pPr>
        <w:pageBreakBefore w:val="0"/>
        <w:numPr>
          <w:ilvl w:val="0"/>
          <w:numId w:val="0"/>
        </w:numPr>
        <w:kinsoku/>
        <w:overflowPunct/>
        <w:topLinePunct w:val="0"/>
        <w:bidi w:val="0"/>
        <w:spacing w:line="360" w:lineRule="auto"/>
        <w:textAlignment w:val="auto"/>
        <w:rPr>
          <w:rFonts w:hint="eastAsia" w:ascii="宋体" w:hAnsi="宋体" w:eastAsia="宋体" w:cs="宋体"/>
          <w:b w:val="0"/>
          <w:bCs w:val="0"/>
        </w:rPr>
      </w:pPr>
    </w:p>
    <w:p w14:paraId="1ADC8A71">
      <w:pPr>
        <w:pStyle w:val="168"/>
        <w:numPr>
          <w:ilvl w:val="0"/>
          <w:numId w:val="0"/>
        </w:numPr>
        <w:rPr>
          <w:rFonts w:hint="default"/>
          <w:lang w:val="en-US"/>
        </w:rPr>
      </w:pPr>
      <w:r>
        <w:rPr>
          <w:rFonts w:hint="eastAsia" w:cs="宋体"/>
          <w:b/>
          <w:sz w:val="32"/>
          <w:szCs w:val="32"/>
          <w:highlight w:val="none"/>
          <w:lang w:val="en-US" w:eastAsia="zh-CN"/>
        </w:rPr>
        <w:t>二、技术</w:t>
      </w:r>
      <w:bookmarkEnd w:id="251"/>
      <w:r>
        <w:rPr>
          <w:rFonts w:hint="eastAsia" w:cs="宋体"/>
          <w:b/>
          <w:sz w:val="32"/>
          <w:szCs w:val="32"/>
          <w:highlight w:val="none"/>
          <w:lang w:val="en-US" w:eastAsia="zh-CN"/>
        </w:rPr>
        <w:t>规格及要求</w:t>
      </w:r>
    </w:p>
    <w:p w14:paraId="14FA396D">
      <w:pPr>
        <w:jc w:val="center"/>
        <w:rPr>
          <w:rFonts w:hint="eastAsia" w:ascii="宋体" w:hAnsi="宋体" w:eastAsia="宋体" w:cs="宋体"/>
          <w:sz w:val="28"/>
          <w:szCs w:val="28"/>
        </w:rPr>
      </w:pPr>
      <w:r>
        <w:rPr>
          <w:rFonts w:hint="eastAsia" w:ascii="宋体" w:hAnsi="宋体" w:eastAsia="宋体" w:cs="宋体"/>
          <w:sz w:val="28"/>
          <w:szCs w:val="28"/>
        </w:rPr>
        <w:t>AI一体化管控平台研究与建设</w:t>
      </w:r>
    </w:p>
    <w:p w14:paraId="5E79CACF">
      <w:pPr>
        <w:pStyle w:val="3"/>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系统概述</w:t>
      </w:r>
    </w:p>
    <w:p w14:paraId="01665A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响应国家在能源领域科技创新的规划，推动宁夏煤业公司数字化转型与智能化升级，深化人工智能在安全生产、运营管理、决策支持等关键场景落地应用，优化人员技能结构、培育AI复合型专业人才，建设统一的AI一体化管控平台。</w:t>
      </w:r>
    </w:p>
    <w:p w14:paraId="4EAE223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具备智能体开发、智能体可观测性、记忆体机制、知识库模板、自定义知识库、知识库管理、模型广场、模型开发等核心功能，可统筹整合各区域、各层级AI智能体应用及GPU算力资源，解决系统分散、标准不一造成的信息孤岛与数据割裂问题。</w:t>
      </w:r>
    </w:p>
    <w:p w14:paraId="09630C7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构建企业专属AI能力体系、集约化统筹GPU算力资源，打造集智能感知、辅助决策、AI驱动数据分析于一体的智能化管控中枢，为企业高质量发展夯实AI数字底座；既是智能化基础设施升级的必要举措，也是企业提质增效、构建新型生产力的重点工程与战略支撑。</w:t>
      </w:r>
    </w:p>
    <w:p w14:paraId="37E1316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1"/>
          <w:szCs w:val="21"/>
        </w:rPr>
      </w:pPr>
      <w:r>
        <w:rPr>
          <w:rFonts w:hint="eastAsia" w:ascii="宋体" w:hAnsi="宋体" w:eastAsia="宋体" w:cs="宋体"/>
          <w:sz w:val="24"/>
          <w:szCs w:val="24"/>
        </w:rPr>
        <w:t>作为企业级专属平台，AI一体化管控平台支持专属模型、专属部署、专属安全，实现物理隔离，保障企业核心业务数据本地化自我进化，同时满足各地法律合规与隐私保护要求。平台适配国内外多类GPU，采用异构计算技术，实现资源高效调度与利用，支持qwen、deepseek及三方模型接入，覆盖LLM、CV、多模态大模型与传统算法，已在政务、金融、能源电力、医疗、制造等多个领域深度应用，提供政务咨询导办、电力智能调度、AI教学助手等场景化解决方案，助力企业实现AI技术的快速部署</w:t>
      </w:r>
      <w:r>
        <w:rPr>
          <w:rFonts w:hint="eastAsia" w:ascii="宋体" w:hAnsi="宋体" w:eastAsia="宋体" w:cs="宋体"/>
          <w:sz w:val="21"/>
          <w:szCs w:val="21"/>
        </w:rPr>
        <w:t>与迭代，打破传统开发模式对多模态数据处理的掣肘，提供从数据解析到应用落地的端到端解决方案。</w:t>
      </w:r>
    </w:p>
    <w:p w14:paraId="55311AE7">
      <w:pPr>
        <w:pStyle w:val="3"/>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系统建设</w:t>
      </w:r>
    </w:p>
    <w:p w14:paraId="57E1EBA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规划构建智能算力资源池架构，部署国产GPU算力服务器与CPU计算服务器集群，全面承载AI平台运行所需各类算力负荷，整体搭建完备的AI一体化综合能力体系，整体架构划分为模型训推平台、数据知识平台、智能体管理平台三大核心组成单元。</w:t>
      </w:r>
    </w:p>
    <w:p w14:paraId="111965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（2）搭建专业化模型训推平台，具备模型训练、自主开发、在线推理、工程化部署全链条能力，可对上线模型服务进行专项性能优化调优，同时开放标准 API 接口服务，满足各类智能体及API调用接入需求。</w:t>
      </w:r>
    </w:p>
    <w:p w14:paraId="1667A77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（3）打造数据知识平台，针对模型实际应用所需的各类数据及知识资源，开展规范化预处理、深度加工及融合合成工作，系统化完成训练数据集、评测数据集、应用知识库的整理、加工与前期储备工作。</w:t>
      </w:r>
    </w:p>
    <w:p w14:paraId="219031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（4）建设智能体管理平台，实现基于应用场景的智能体编排和工具链的支持，提供模型应用开发、管理及服务优化能力。。</w:t>
      </w:r>
    </w:p>
    <w:p w14:paraId="33C63C4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（5）同步配套完善AI一体化平台全维度培训服务，面向管理、运维、使用人员开展系统性实操及理论培训，保障平台正常落地应用。</w:t>
      </w:r>
    </w:p>
    <w:p w14:paraId="57045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（6）具备良好系统兼容对接能力，提供智能体相关api接口可与现有安宁系统、一体化管控平台等既有业务系统智能体需求完成接口适配，助力跨平台数据互联互通、资源共享共用。</w:t>
      </w:r>
    </w:p>
    <w:p w14:paraId="5DA14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（7）系统建设</w:t>
      </w:r>
    </w:p>
    <w:p w14:paraId="0E231B6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I一体化平台作为企业级智能体生产、加工及应用的统一中枢，内置通义系列、DeepSeek系列开源模型，整合算力管理、专业领域知识管理、模型训练与微调、智能体搭建、能力评测等一站式全流程服务工具链，全面覆盖并满足模型训推平台、数据知识平台、智能体管理平台三大核心板块的功能需求，为企业AI应用全场景提供集约化支撑。</w:t>
      </w:r>
    </w:p>
    <w:p w14:paraId="73DEE86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模型训推平台聚焦企业级用户核心诉求，具备高可用、高性能、高扩展的产业级AI计算资源管理能力及一体化基础设施管理能力；围绕模型生产、应用全生命周期，实现算力的智能化调度与性能最优化配置，同时具备完善的模型运行可观测能力，可实时监控模型训练、推理、部署各环节运行状态，保障模型服务稳定高效。</w:t>
      </w:r>
    </w:p>
    <w:p w14:paraId="4985A0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据知识平台针对性适配大规模语言模型训练与检索增强生成（RAG）应用场景，构建端到端、多模态、高自动化的数据处理与知识管理体系；内置数据管理、数据任务模板、数据加工、数据标注四大核心模块，实现从数据接入、分类组织、清洗去重、解析转换到高质量标注的全流程闭环管理，确保数据知识的规范性、完整性与可用性，为模型训练提供高质量数据支撑。</w:t>
      </w:r>
    </w:p>
    <w:p w14:paraId="266302A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智能体管理平台面向AI开发者打造专业化智能体开发与管理环境，涵盖智能体管理、智能体工作流设计、长短期记忆、智能体模板、提示词优化、智能体评测六大核心功能模块，支持开发者快速搭建、调试、优化智能体，适配不同业务场景的智能应用开发需求，提升智能体开发效率与应用效果。</w:t>
      </w:r>
    </w:p>
    <w:p w14:paraId="3F68F3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性能计算资源池实现GPU服务器硬件的池化统一管理，具备高效的AI算力调度能力，可根据模型训练、推理等不同算力需求，动态分配算力资源；系统可实时监测网络、存储、计算全链路资源使用状态，精准采集CPU使用率、内存占用量、网络带宽、存储容量等关键指标，实现资源使用情况可视化、可追溯，保障算力资源高效利用与系统稳定运行。</w:t>
      </w:r>
    </w:p>
    <w:p w14:paraId="38467F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（8）AI一体化管控平台研究与建设是在宁煤公司安宁系统的基础上补套，系统提供的API接口与宁煤公司现有的安宁系统、公司智能一体化管控平台兼容。</w:t>
      </w:r>
    </w:p>
    <w:p w14:paraId="039D3119">
      <w:pPr>
        <w:pStyle w:val="5"/>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系统功能</w:t>
      </w:r>
    </w:p>
    <w:p w14:paraId="45163B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AI一体化平台，其中需要具备三大核心能力，分别是模型训推平台、数据知识平台、智能体管理平台。</w:t>
      </w:r>
    </w:p>
    <w:p w14:paraId="40713B5D">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模型训推平台</w:t>
      </w:r>
    </w:p>
    <w:p w14:paraId="52FF29D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 Notebook建模</w:t>
      </w:r>
    </w:p>
    <w:p w14:paraId="21F5DD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Notebook进行交互式建模的能力，提供全面的Notebook实例生命周期管理功能，包括实例创建、资源配额、配置变更、导出镜像等。支持用户快速创建新的建模实例，并对已有实例进行编辑、克隆复制、启动、停止以及密码重置等一系列便捷操作，满足多样化的开发需求。</w:t>
      </w:r>
    </w:p>
    <w:p w14:paraId="7B8C9E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支持Vscode、JupyterLab编辑环境，在Jupyterlab及Vscode编辑环境中看到的文件目录一致，便于不同的开发环境文件管理。</w:t>
      </w:r>
    </w:p>
    <w:p w14:paraId="074A448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支持灵活配置Notebook实例所需的计算资源配额，用户可根据实际任务的负载情况，自定义分配资源，确保建模任务的高效运行。 </w:t>
      </w:r>
    </w:p>
    <w:p w14:paraId="4732FB3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支持查看Notebook实例的日志和事件记录。</w:t>
      </w:r>
    </w:p>
    <w:p w14:paraId="09DBDA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支持全方位查看Notebook实例的详细属性，涵盖实例的基本信息、资源配额配置、环境参数设置、关联数据集信息以及底层镜像信息，让用户对实例状态一目了然。</w:t>
      </w:r>
    </w:p>
    <w:p w14:paraId="5264B27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支持对任务的关键指标进行监控，包含CPU使用量、CPU使用率、内存使用量、内存使用率、网络接受速率、网络发送速率。</w:t>
      </w:r>
    </w:p>
    <w:p w14:paraId="7C1EBB6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 任务建模</w:t>
      </w:r>
    </w:p>
    <w:p w14:paraId="4208E95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任务建模提供以任务配置形式来完成AI训练及管理，配置包括创建任务的基本信息（组织、资源集、地域、任务名称、描述）以及一个任务所需的全部资源（资源配额、数据集、镜像、模型、存储）。</w:t>
      </w:r>
    </w:p>
    <w:p w14:paraId="67089E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具备基于套件创建任务的能力，根据套件中预定义的资源配置、镜像、启动方式等参数实现标准化任务部署。</w:t>
      </w:r>
    </w:p>
    <w:p w14:paraId="662F1F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支持Pytorch、Tensorflow、DeepSpeed、Megatron等主流训练框架，为用户提供多样化的算法开发环境选择。</w:t>
      </w:r>
    </w:p>
    <w:p w14:paraId="38DE98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支持查看建模任务的详细日志和事件记录，帮助用户追踪任务运行轨迹，排查潜在问题。</w:t>
      </w:r>
    </w:p>
    <w:p w14:paraId="4E8EF9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支持对建模任务及其容器组的关键性能指标进行实时监控，帮助用户随时掌握任务运行状态。</w:t>
      </w:r>
    </w:p>
    <w:p w14:paraId="5E15812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训练或推理任务状态显示为“失败”时，系统将主动触发自动容错机制并重启实例；同时允许配置单个Worker实例上同一错误出现的最大容忍次数，一旦超出该阈值，则直接将任务标记为失败，避免无效资源消耗。</w:t>
      </w:r>
    </w:p>
    <w:p w14:paraId="7A08D9D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 模型调优</w:t>
      </w:r>
    </w:p>
    <w:p w14:paraId="409AB03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创建模型微调训练及模型调优任务的能力，支持多种微调方式、选择微调方向等参数指标。支持基于套件快速创建调优任务，系统将自动调用套件中预定义的资源配置、镜像及启动方式等参数，实现标准化的调优任务部署，大幅简化配置流程并提升部署效率。</w:t>
      </w:r>
    </w:p>
    <w:p w14:paraId="3D87711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自定义方式创建微调任务的能力，可设置模型类型、资源类型与数据集配置等信息。提供多样化的调优策略支持，涵盖SFT微调、PPO强化学习策略、DPO强化学习策略以及GRPO强化学习策略。用户可根据具体的业务需求，精准选择微调方向，并匹配合适的微调数据及参数，从而确保微调后的模型效果能够高度契合实际应用场景。</w:t>
      </w:r>
    </w:p>
    <w:p w14:paraId="600539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基于套件创建调优任务，根据套件中预定义的资源配置、镜像、启动方式等参数实现调优任务部署。</w:t>
      </w:r>
    </w:p>
    <w:p w14:paraId="437F511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可对调优任务的学习率、训练轮数、最大输入/输出长度、单设备训练/评估批大小、梯度累加步数进行设置。</w:t>
      </w:r>
    </w:p>
    <w:p w14:paraId="065797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提供精细化的参数设置功能，支持用户自定义配置学习率、训练轮数、最大输入/输出长度、单设备训练/评估批大小以及梯度累加步数，以实现对训练过程的精准控制。</w:t>
      </w:r>
    </w:p>
    <w:p w14:paraId="6961E4D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支持对模型调优后的结果进行有效管理。</w:t>
      </w:r>
    </w:p>
    <w:p w14:paraId="6B95F482">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 模型服务</w:t>
      </w:r>
    </w:p>
    <w:p w14:paraId="72D21396">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具备创建在线模型推理服务的能力，基于部署的模型对外提供模型API服务，支持推理套件的部署方式，可根据套件中预定义的资源配置、启动方式等参数实现模型部署。</w:t>
      </w:r>
    </w:p>
    <w:p w14:paraId="27A2F577">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提供自动调节的弹性伸缩配置，可配置最大实例数、最小实例数、扩缩容指标（QPS、GPU利用率、CPU利用率）、扩容生效时长、缩容生效时长。</w:t>
      </w:r>
    </w:p>
    <w:p w14:paraId="31AF927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在线服务的服务质量进行实时监控，覆盖任务、容器、网关三个维度。监控指标包括任务的资源运行情况（如CPU使用量、CPU使用率、内存使用量、内存使用率、网络接收速度、网络发送速度），以及推理服务的业务指标（如按APIkey统计的每秒输入Token数、每秒输出Token数、响应时长、QPS、请求成功率、首Token延迟），帮助用户全面掌握服务运行状态。</w:t>
      </w:r>
    </w:p>
    <w:p w14:paraId="379315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基于推理套件进行模型部署，系统将自动应用套件中预定义的资源配置、镜像、启动方式等参数，实现标准化的模型部署流程，简化部署操作，提升部署效率。支持模型的自定义部署模式，用户可自主设置资源配额、部署镜像等基础资源，同时支持按需配置相关并行参数，满足不同模型对部署环境的个性化需求。</w:t>
      </w:r>
    </w:p>
    <w:p w14:paraId="20B399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采用高性能部署方式，集成P/D分离、EP并行、MTP优化等技术能力，结合ASpeed部署能力，针对MoE（混合专家）模型，支持EP（专家并行）部署方式，提升MoE模型的推理效率与资源适配性；支持KVCache多级缓存功能，优化Cache数据的传输效率，减少重复计算开销，从而提升推理服务的整体效率有效提升推理服务的吞吐量并降低延迟，为模型推理提供高效稳定的运行体验。</w:t>
      </w:r>
    </w:p>
    <w:p w14:paraId="250F66D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支持基于“最小请求数”或“请求亲和性”策略调度推理服务负载，合理分配请求到不同实例，避免实例负载不均，提升服务的响应效率与稳定性。</w:t>
      </w:r>
    </w:p>
    <w:p w14:paraId="5AEA23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支持通过可视化界面（白屏化）对在线服务进行在线调试，用户可直接设置调用参数并发起调用请求，快速验证服务的可用性与参数配置合理性。</w:t>
      </w:r>
    </w:p>
    <w:p w14:paraId="636378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在线服务进行压力性能测试，提供固定并发测试、固定请求率测试、极限吞吐测试等多种压测模式。用户可设置突发性流量、随机种子等参数，系统会展示压测配置及压测报告，并对压测任务进行实时监控，帮助用户评估服务的性能上限。</w:t>
      </w:r>
    </w:p>
    <w:p w14:paraId="7A118B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支持展示与在线服务相关的日志、事件及操作记录，帮助用户追溯服务运行过程中的操作行为、异常事件，便于问题排查与运维管理。</w:t>
      </w:r>
    </w:p>
    <w:p w14:paraId="02C4CE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支持对已部署的在线服务进行模型体验，用户可设置模型的温度、Top-P、重复度、最大token个数等生成参数，实时查看模型的输出效果，方便快速验证模型能力。</w:t>
      </w:r>
    </w:p>
    <w:p w14:paraId="5342B6BB">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 模型广场</w:t>
      </w:r>
    </w:p>
    <w:p w14:paraId="416907F7">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内置通义系列、DeepSeek系列系统预置模型，用户可基于内置模型部署模型服务。支持导入自定义模型，可对模型进行类型、用途、厂商、特性打标。</w:t>
      </w:r>
    </w:p>
    <w:p w14:paraId="75636C03">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提供对模型进行套件关联能力，支持在推理、训练、量化的过程中通过套件关联到模型。</w:t>
      </w:r>
    </w:p>
    <w:p w14:paraId="14AA787B">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 AI资产管理</w:t>
      </w:r>
    </w:p>
    <w:p w14:paraId="6ADCBFC7">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全面的镜像管理能力，支持用户创建专用的模型镜像，为模型开发与训练任务快速构建稳定、一致的开发及运行环境。系统支持公共镜像与自定义镜像两种类型，并具备完善的镜像版本管理功能。在自定义镜像创建方面，支持通过镜像仓库拉取、本地文件上传以及Dockerfile构建等多种方式，灵活满足个性化环境需求。</w:t>
      </w:r>
    </w:p>
    <w:p w14:paraId="31B635DF">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支持Tensorflow/Pytorch/Megatron/Vllm/Sglang/MindSpore/DeepSpeed等算法框架，也同时支持自定义算法框架。</w:t>
      </w:r>
    </w:p>
    <w:p w14:paraId="363D7A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支持创建并管理代码集，通过将训练所需的自行编译代码进行集中化存储与管理，用户可以更高效地配置模型训练任务，实现代码资源的统一调度与复用，从而显著提升开发效率与任务配置的便捷性。</w:t>
      </w:r>
    </w:p>
    <w:p w14:paraId="6F8462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训推套件功能，支持将模型训练和推理所依赖的镜像、代码、启动脚本以及显卡资源要求等关键要素进行“一键打包”。这种预置套件模式极大地简化了繁琐的环境配置流程，助力模型快速上线。在套件配置上，支持建立训推套件与特定模型之间的绑定关系，确保环境与模型的精准匹配。同时，支持灵活配置多种部署模式，涵盖单机部署、PD分离式部署、多Lora部署、分布式推理以及扩散模型部署，以适应不同规模与类型的模型应用场景。</w:t>
      </w:r>
    </w:p>
    <w:p w14:paraId="44B21018">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 AI资源管理</w:t>
      </w:r>
    </w:p>
    <w:p w14:paraId="7E2049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一套高效、灵活的AI资源池管理体系，实现对平台所需物理算力资源的全方位集中化管控。支持管理员根据业务需求动态创建、配置和管理多个AI资源池，通过精细化的资源调度策略与弹性分配机制，为各类人工智能模型的开发迭代、大规模训练、参数调优及推理部署等核心任务提供稳定、可靠、高性能的底层算力支撑。</w:t>
      </w:r>
    </w:p>
    <w:p w14:paraId="66BE9C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直观的资源组创建机制，支持创建资源配额，通过资源配额从AI资源池中分配资源，再基于资源配额进行AI开发和训练，以实现资源的灵活管理和高效实用；支持对资源配额的编辑、变配、共享设置。在共享设置中，支持资源机、组织等维度进行共享，以实现不同不同组织之间的算力资源共享管理。</w:t>
      </w:r>
    </w:p>
    <w:p w14:paraId="397F7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资源调度优化功能，支持对节点的出让及回收策略进行灵活配置，可针对弹性节点依据任务类型设置任务排出策略并定义出让周期；同时支持在训练和推理任务下发过程中，基于GPU拓扑结构实现机器间及机器内部的拓扑感知调度，有效提升任务通信效率；此外，提供Binpack调度策略的启用能力，确保资源调度的紧凑性与高效性，从而优化整体资源利用水平。</w:t>
      </w:r>
    </w:p>
    <w:p w14:paraId="52401CF8">
      <w:pPr>
        <w:pStyle w:val="6"/>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数据知识平台</w:t>
      </w:r>
    </w:p>
    <w:p w14:paraId="00A4461E">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 数据管理</w:t>
      </w:r>
    </w:p>
    <w:p w14:paraId="39228F3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完善的数据集检索与管理功能，支持用户查看数据集列表，并通过关键字搜索或标签筛选快速定位目标数据集。系统采用三级标签体系，并支持用户根据自身业务需求自定义设计和管理数据集标签，实现数据的精细化分类。在创建与管理方面，支持文档、文本、图片、音频、视频、表格等多种模态的数据类型，且支持按照层级路径对数据集内的文件进行结构化组织与管理。系统具备强大的文件托管能力，广泛兼容各类主流格式：文档类、图片类、音频类、视频类、表格类等格式，满足多样化的数据存储需求。</w:t>
      </w:r>
    </w:p>
    <w:p w14:paraId="250EAA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支持灵活的数据子集管理，允许在一个数据集内创建多个子集，且不同子集可支持灵活的数据格式。用户可以根据分析需求，自定义配置子集与底层文件数据之间的映射关系，实现数据的逻辑隔离与视图定制。</w:t>
      </w:r>
    </w:p>
    <w:p w14:paraId="6A575EB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高效便捷的文件上传与管理功能，支持以文件和文件夹为单位进行批量上传，单批次操作最大可支持2000个文件，且允许在同一批次上传中混合不同的文件类型，极大地提升了数据导入效率。同时，支持对已上传的数据文件进行下载和删除操作，满足用户对数据资产的日常维护需求。</w:t>
      </w:r>
    </w:p>
    <w:p w14:paraId="34D96D38">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 数据加工</w:t>
      </w:r>
    </w:p>
    <w:p w14:paraId="143FD5E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提供数十种数据加工算子能力，支持创建与管理各类数据的加工、合成任务、创建pipeline任务以及多模态解析和训练数据合成的能力。同时能够按照清洗、解析、增强、配平及端到端划分模板。</w:t>
      </w:r>
    </w:p>
    <w:p w14:paraId="6FFE19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支持面向大模型SFT及预训练数据的清洗能力，支持的清洗算子：异常清洗、过滤、去重、敏感词替换等。</w:t>
      </w:r>
    </w:p>
    <w:p w14:paraId="02362BA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支持对文本数据集进行去除emoji、繁体转简体、去除url等多种清洗方式。</w:t>
      </w:r>
    </w:p>
    <w:p w14:paraId="7334D41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支持对数据集进行数据样本增强扩充。</w:t>
      </w:r>
    </w:p>
    <w:p w14:paraId="60A455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支持图像数据集的数据增强、图像旋转、去噪、去模糊、去近似、旋转、裁剪等预处理过程。</w:t>
      </w:r>
    </w:p>
    <w:p w14:paraId="05C13F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支持按照业务需求维度，自定义添加算子形成数据加工链路，实现个性化的数据处理链路。</w:t>
      </w:r>
    </w:p>
    <w:p w14:paraId="61BCFCDF">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 数据任务模板</w:t>
      </w:r>
    </w:p>
    <w:p w14:paraId="2A3DD8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端到端数据加工模板，具备从数据接入到数据使用，较为完整的数据处理加工能力；包括不限于文档-PDF基础解析生成知识片段、文档-PDF深度解析生成知识片段、文档-EXCEL基础解析生成知识片段、文档-WORD基础解析生成知识片段、文档-WORD深度解析生成知识片段、文档-纯文本文档生成知识片段等模版能力。提供全模态数据解析模版，支持PDF、word、视频等数据的解析能力；包括不限于文档-PDF深度解析、文档-PDF基础解析、文档-WORD基础解析、文档-WORD深度解析、视频-智能解析视频分段与关键帧、视频-视频切片、视频-视频抽帧等模板能力。提供文本、视频、图片等数据的清洗模板；包括不限于文本-数据清洗、视频-数据清洗、图片-数据清洗等模板能力。提供SFT问答对增强、文本问答对提取等数据增强模板；包括不限于文本-SFT问答对增强、文本-文本问答对提取、图片-图片描述和QA对预标注模板等模板能力。</w:t>
      </w:r>
    </w:p>
    <w:p w14:paraId="137153BB">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 数据标注</w:t>
      </w:r>
    </w:p>
    <w:p w14:paraId="7DA5F8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手动标注与智能化标注功能，在自动标注方面，需内置多种预设模板，覆盖文本分类、文本实体识别、文本-QA标注、图片分类、图片描述、图片QA等场景，并支持用户选择已部署的自动化标注模型服务，同时允许对自动标注所使用的Prompt进行自定义修改。</w:t>
      </w:r>
    </w:p>
    <w:p w14:paraId="634DC36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动标注，需分别提供适用于文本类任务（包括文本分类、文本实体识别、文本QA标注）和图片类任务（包括图片描述、图片问答对、图片分类、图片目标检测）的标准标注模板，以满足不同数据类型的标注需求。</w:t>
      </w:r>
    </w:p>
    <w:p w14:paraId="394DF09A">
      <w:pPr>
        <w:pStyle w:val="6"/>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智能体管理平台</w:t>
      </w:r>
    </w:p>
    <w:p w14:paraId="7E1427E5">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 智能体管理</w:t>
      </w:r>
    </w:p>
    <w:p w14:paraId="664B883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（1）智能体管理</w:t>
      </w:r>
    </w:p>
    <w:p w14:paraId="7AB62C0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智能体管理模块支持创建（自定义/模板）、编辑、删除、搜索及版本配置，实现智能体全生命周期管理。</w:t>
      </w:r>
    </w:p>
    <w:p w14:paraId="09747B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（2）版本管理</w:t>
      </w:r>
    </w:p>
    <w:p w14:paraId="54B2BC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版本管理模块支持版本创建（自定义/模板）、克隆、发布、监控及全生命周期管理。</w:t>
      </w:r>
    </w:p>
    <w:p w14:paraId="59F2196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（3）版本切流</w:t>
      </w:r>
    </w:p>
    <w:p w14:paraId="37C606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为指定的智能体版本设置流量分配额度，支持按sessionID和reuqestID进行切流，可保障指定智能体获得充足的流量资源。对唯一版本流量设置指定版本即指定此版本为输出版本</w:t>
      </w:r>
    </w:p>
    <w:p w14:paraId="42FBB8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（4）指标监控</w:t>
      </w:r>
    </w:p>
    <w:p w14:paraId="4DF222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以智能体维度及版本维度为核心，对问答成功率、问答平均耗时、问答请求数、问答平均首字消耗、输入tokens消耗以及输出tokens消耗等关键业务与性能指标进行精细化统计。同时，支持针对指定智能体版本，深入监控其调用过程中涉及的知识库、工具及模型的相关业务表现与性能指标，实现对智能体运行状态的全方位观测。</w:t>
      </w:r>
    </w:p>
    <w:p w14:paraId="5F060615">
      <w:pPr>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 智能体工作流设计</w:t>
      </w:r>
    </w:p>
    <w:p w14:paraId="052435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提供全面的智能体工作流设计能力，支持通过可视化画布构建复杂的智能体执行流程。平台内置丰富的节点类型库，如开始节点、迭代器、大语言模型节点、文档检索节点等，满足多样化智能体构建需求。提供严格的工作流合法性校验机制，确保节点配置与连接关系的合理性，实现从简单到复杂的智能体应用快速构建与部署。</w:t>
      </w:r>
    </w:p>
    <w:tbl>
      <w:tblPr>
        <w:tblStyle w:val="8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5"/>
        <w:gridCol w:w="8177"/>
      </w:tblGrid>
      <w:tr w14:paraId="6BE6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shd w:val="clear" w:color="auto" w:fill="FFFFFF"/>
            <w:tcMar>
              <w:top w:w="30" w:type="dxa"/>
              <w:left w:w="45" w:type="dxa"/>
              <w:bottom w:w="30" w:type="dxa"/>
              <w:right w:w="45" w:type="dxa"/>
            </w:tcMar>
            <w:vAlign w:val="center"/>
          </w:tcPr>
          <w:p w14:paraId="29DDC1F5">
            <w:pPr>
              <w:keepNext/>
              <w:snapToGrid w:val="0"/>
              <w:spacing w:line="240" w:lineRule="auto"/>
              <w:ind w:left="0" w:leftChars="0" w:right="0" w:righ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节点名称</w:t>
            </w:r>
          </w:p>
        </w:tc>
        <w:tc>
          <w:tcPr>
            <w:tcW w:w="8177" w:type="dxa"/>
            <w:shd w:val="clear" w:color="auto" w:fill="FFFFFF"/>
            <w:tcMar>
              <w:top w:w="30" w:type="dxa"/>
              <w:left w:w="45" w:type="dxa"/>
              <w:bottom w:w="30" w:type="dxa"/>
              <w:right w:w="45" w:type="dxa"/>
            </w:tcMar>
            <w:vAlign w:val="center"/>
          </w:tcPr>
          <w:p w14:paraId="3B66A574">
            <w:pPr>
              <w:keepNext/>
              <w:snapToGrid w:val="0"/>
              <w:spacing w:line="240" w:lineRule="auto"/>
              <w:ind w:left="0" w:leftChars="0" w:right="0" w:righ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节点描述</w:t>
            </w:r>
          </w:p>
        </w:tc>
      </w:tr>
      <w:tr w14:paraId="6FBE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75252FB6">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开始节点</w:t>
            </w:r>
          </w:p>
        </w:tc>
        <w:tc>
          <w:tcPr>
            <w:tcW w:w="8177" w:type="dxa"/>
            <w:shd w:val="clear" w:color="auto" w:fill="FFFFFF"/>
            <w:tcMar>
              <w:top w:w="30" w:type="dxa"/>
              <w:left w:w="45" w:type="dxa"/>
              <w:bottom w:w="30" w:type="dxa"/>
              <w:right w:w="45" w:type="dxa"/>
            </w:tcMar>
            <w:vAlign w:val="center"/>
          </w:tcPr>
          <w:p w14:paraId="2EA44A2F">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定义智能体流程的起点，允许用户自定义输入参数，并将其映射到智能体的标准输入中，为后续任务设定初始条件</w:t>
            </w:r>
          </w:p>
        </w:tc>
      </w:tr>
      <w:tr w14:paraId="2013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05718A38">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迭代器</w:t>
            </w:r>
          </w:p>
        </w:tc>
        <w:tc>
          <w:tcPr>
            <w:tcW w:w="8177" w:type="dxa"/>
            <w:shd w:val="clear" w:color="auto" w:fill="FFFFFF"/>
            <w:tcMar>
              <w:top w:w="30" w:type="dxa"/>
              <w:left w:w="45" w:type="dxa"/>
              <w:bottom w:w="30" w:type="dxa"/>
              <w:right w:w="45" w:type="dxa"/>
            </w:tcMar>
            <w:vAlign w:val="center"/>
          </w:tcPr>
          <w:p w14:paraId="6FD02B22">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配合聚合器使用，可实现一组集合数据的串行分发或并行分发，进而实现集合数据列表循环效果</w:t>
            </w:r>
          </w:p>
        </w:tc>
      </w:tr>
      <w:tr w14:paraId="4D3E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2AC6EA57">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聚合器</w:t>
            </w:r>
          </w:p>
        </w:tc>
        <w:tc>
          <w:tcPr>
            <w:tcW w:w="8177" w:type="dxa"/>
            <w:shd w:val="clear" w:color="auto" w:fill="FFFFFF"/>
            <w:tcMar>
              <w:top w:w="30" w:type="dxa"/>
              <w:left w:w="45" w:type="dxa"/>
              <w:bottom w:w="30" w:type="dxa"/>
              <w:right w:w="45" w:type="dxa"/>
            </w:tcMar>
            <w:vAlign w:val="center"/>
          </w:tcPr>
          <w:p w14:paraId="2C18C4B4">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配合迭代器使用，可实现一组集合数据的串行分发或并行分发，进而实现集合数据列表循环效果</w:t>
            </w:r>
          </w:p>
        </w:tc>
      </w:tr>
      <w:tr w14:paraId="6BA8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02A11B2A">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大语言模型节点</w:t>
            </w:r>
          </w:p>
        </w:tc>
        <w:tc>
          <w:tcPr>
            <w:tcW w:w="8177" w:type="dxa"/>
            <w:shd w:val="clear" w:color="auto" w:fill="FFFFFF"/>
            <w:tcMar>
              <w:top w:w="30" w:type="dxa"/>
              <w:left w:w="45" w:type="dxa"/>
              <w:bottom w:w="30" w:type="dxa"/>
              <w:right w:w="45" w:type="dxa"/>
            </w:tcMar>
            <w:vAlign w:val="center"/>
          </w:tcPr>
          <w:p w14:paraId="799BDE37">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配置大语言模型执行特定推理任务的节点，支持模型选择、设置模型参数、输入输出，并可通过prompt控制模型生成内容</w:t>
            </w:r>
          </w:p>
        </w:tc>
      </w:tr>
      <w:tr w14:paraId="2CC1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47D3F882">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多模态理解大模型节点</w:t>
            </w:r>
          </w:p>
        </w:tc>
        <w:tc>
          <w:tcPr>
            <w:tcW w:w="8177" w:type="dxa"/>
            <w:shd w:val="clear" w:color="auto" w:fill="FFFFFF"/>
            <w:tcMar>
              <w:top w:w="30" w:type="dxa"/>
              <w:left w:w="45" w:type="dxa"/>
              <w:bottom w:w="30" w:type="dxa"/>
              <w:right w:w="45" w:type="dxa"/>
            </w:tcMar>
            <w:vAlign w:val="center"/>
          </w:tcPr>
          <w:p w14:paraId="29F16520">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配置多模态理解大模型执行特定推理任务的节点，支持模型选择设置模型参数、输入输出，并可通过prompt控制模型生成内容</w:t>
            </w:r>
          </w:p>
        </w:tc>
      </w:tr>
      <w:tr w14:paraId="0557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0D6FE3D1">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文本精排模型节点</w:t>
            </w:r>
          </w:p>
        </w:tc>
        <w:tc>
          <w:tcPr>
            <w:tcW w:w="8177" w:type="dxa"/>
            <w:shd w:val="clear" w:color="auto" w:fill="FFFFFF"/>
            <w:tcMar>
              <w:top w:w="30" w:type="dxa"/>
              <w:left w:w="45" w:type="dxa"/>
              <w:bottom w:w="30" w:type="dxa"/>
              <w:right w:w="45" w:type="dxa"/>
            </w:tcMar>
            <w:vAlign w:val="center"/>
          </w:tcPr>
          <w:p w14:paraId="18836F71">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配合文本精排模型执行特定任务的节点，支持模型选择、模型参数设置、输入输出</w:t>
            </w:r>
          </w:p>
        </w:tc>
      </w:tr>
      <w:tr w14:paraId="7868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762CB5A8">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图文精排模型节点</w:t>
            </w:r>
          </w:p>
        </w:tc>
        <w:tc>
          <w:tcPr>
            <w:tcW w:w="8177" w:type="dxa"/>
            <w:shd w:val="clear" w:color="auto" w:fill="FFFFFF"/>
            <w:tcMar>
              <w:top w:w="30" w:type="dxa"/>
              <w:left w:w="45" w:type="dxa"/>
              <w:bottom w:w="30" w:type="dxa"/>
              <w:right w:w="45" w:type="dxa"/>
            </w:tcMar>
            <w:vAlign w:val="center"/>
          </w:tcPr>
          <w:p w14:paraId="2C41EE89">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配合图文精排模型执行特定任务的节点，支持模型选择、模型参数设置、输入输出</w:t>
            </w:r>
          </w:p>
        </w:tc>
      </w:tr>
      <w:tr w14:paraId="6C57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665B6D6A">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工具节点</w:t>
            </w:r>
          </w:p>
        </w:tc>
        <w:tc>
          <w:tcPr>
            <w:tcW w:w="8177" w:type="dxa"/>
            <w:shd w:val="clear" w:color="auto" w:fill="FFFFFF"/>
            <w:tcMar>
              <w:top w:w="30" w:type="dxa"/>
              <w:left w:w="45" w:type="dxa"/>
              <w:bottom w:w="30" w:type="dxa"/>
              <w:right w:w="45" w:type="dxa"/>
            </w:tcMar>
            <w:vAlign w:val="center"/>
          </w:tcPr>
          <w:p w14:paraId="5C816D9F">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用于调用已注册的工具，允许配置输入参数和选择工具，以执行特定功能或服务</w:t>
            </w:r>
          </w:p>
        </w:tc>
      </w:tr>
      <w:tr w14:paraId="4275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6EE84953">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文档检索</w:t>
            </w:r>
          </w:p>
        </w:tc>
        <w:tc>
          <w:tcPr>
            <w:tcW w:w="8177" w:type="dxa"/>
            <w:shd w:val="clear" w:color="auto" w:fill="FFFFFF"/>
            <w:tcMar>
              <w:top w:w="30" w:type="dxa"/>
              <w:left w:w="45" w:type="dxa"/>
              <w:bottom w:w="30" w:type="dxa"/>
              <w:right w:w="45" w:type="dxa"/>
            </w:tcMar>
            <w:vAlign w:val="center"/>
          </w:tcPr>
          <w:p w14:paraId="6051F01C">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支持选择有权限的文档知识库进行检索，支持配置检索相关参数、输入输出</w:t>
            </w:r>
          </w:p>
        </w:tc>
      </w:tr>
      <w:tr w14:paraId="5126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26F94BD9">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图文检索</w:t>
            </w:r>
          </w:p>
        </w:tc>
        <w:tc>
          <w:tcPr>
            <w:tcW w:w="8177" w:type="dxa"/>
            <w:shd w:val="clear" w:color="auto" w:fill="FFFFFF"/>
            <w:tcMar>
              <w:top w:w="30" w:type="dxa"/>
              <w:left w:w="45" w:type="dxa"/>
              <w:bottom w:w="30" w:type="dxa"/>
              <w:right w:w="45" w:type="dxa"/>
            </w:tcMar>
            <w:vAlign w:val="center"/>
          </w:tcPr>
          <w:p w14:paraId="44DF9A13">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支持选择有权限的图文知识库进行检索，支持配置检索相关参数、输入输出</w:t>
            </w:r>
          </w:p>
        </w:tc>
      </w:tr>
      <w:tr w14:paraId="40AB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52EF7A2B">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数据表检索</w:t>
            </w:r>
          </w:p>
        </w:tc>
        <w:tc>
          <w:tcPr>
            <w:tcW w:w="8177" w:type="dxa"/>
            <w:shd w:val="clear" w:color="auto" w:fill="FFFFFF"/>
            <w:tcMar>
              <w:top w:w="30" w:type="dxa"/>
              <w:left w:w="45" w:type="dxa"/>
              <w:bottom w:w="30" w:type="dxa"/>
              <w:right w:w="45" w:type="dxa"/>
            </w:tcMar>
            <w:vAlign w:val="center"/>
          </w:tcPr>
          <w:p w14:paraId="482EA63A">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支持选择有权限的数据表知识库进行检索，支持配置检索相关参数、输入输出</w:t>
            </w:r>
          </w:p>
        </w:tc>
      </w:tr>
      <w:tr w14:paraId="50FF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1BE6B1BB">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SQL执行器</w:t>
            </w:r>
          </w:p>
        </w:tc>
        <w:tc>
          <w:tcPr>
            <w:tcW w:w="8177" w:type="dxa"/>
            <w:shd w:val="clear" w:color="auto" w:fill="FFFFFF"/>
            <w:tcMar>
              <w:top w:w="30" w:type="dxa"/>
              <w:left w:w="45" w:type="dxa"/>
              <w:bottom w:w="30" w:type="dxa"/>
              <w:right w:w="45" w:type="dxa"/>
            </w:tcMar>
            <w:vAlign w:val="center"/>
          </w:tcPr>
          <w:p w14:paraId="7C3D26A0">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支持选择已在平台注册且有权限的数据库，执行SQL任务。支持配置输入输出</w:t>
            </w:r>
          </w:p>
        </w:tc>
      </w:tr>
      <w:tr w14:paraId="1784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7F16F74C">
            <w:pPr>
              <w:keepNext/>
              <w:snapToGrid w:val="0"/>
              <w:spacing w:line="240" w:lineRule="auto"/>
              <w:ind w:left="0" w:leftChars="0" w:right="0" w:rightChars="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内容合并</w:t>
            </w:r>
          </w:p>
        </w:tc>
        <w:tc>
          <w:tcPr>
            <w:tcW w:w="8177" w:type="dxa"/>
            <w:shd w:val="clear" w:color="auto" w:fill="FFFFFF"/>
            <w:tcMar>
              <w:top w:w="30" w:type="dxa"/>
              <w:left w:w="45" w:type="dxa"/>
              <w:bottom w:w="30" w:type="dxa"/>
              <w:right w:w="45" w:type="dxa"/>
            </w:tcMar>
            <w:vAlign w:val="center"/>
          </w:tcPr>
          <w:p w14:paraId="2F1A1AD8">
            <w:pPr>
              <w:keepNext/>
              <w:snapToGrid w:val="0"/>
              <w:spacing w:line="240" w:lineRule="auto"/>
              <w:ind w:left="0" w:leftChars="0" w:right="0" w:rightChars="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用于合并前置多个输出结果，支持合并结果流式输出，支持定义多个结果的组合规则、结构等</w:t>
            </w:r>
          </w:p>
        </w:tc>
      </w:tr>
      <w:tr w14:paraId="0059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52B821B9">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过程输出</w:t>
            </w:r>
          </w:p>
        </w:tc>
        <w:tc>
          <w:tcPr>
            <w:tcW w:w="8177" w:type="dxa"/>
            <w:shd w:val="clear" w:color="auto" w:fill="FFFFFF"/>
            <w:tcMar>
              <w:top w:w="30" w:type="dxa"/>
              <w:left w:w="45" w:type="dxa"/>
              <w:bottom w:w="30" w:type="dxa"/>
              <w:right w:w="45" w:type="dxa"/>
            </w:tcMar>
            <w:vAlign w:val="center"/>
          </w:tcPr>
          <w:p w14:paraId="7CF28EB2">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在最终结果输出前，基于此节点前置输出部分信息</w:t>
            </w:r>
          </w:p>
        </w:tc>
      </w:tr>
      <w:tr w14:paraId="6A81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78A11043">
            <w:pPr>
              <w:keepNext/>
              <w:snapToGrid w:val="0"/>
              <w:spacing w:line="240" w:lineRule="auto"/>
              <w:ind w:left="0" w:leftChars="0" w:right="0" w:rightChars="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短期记忆写入</w:t>
            </w:r>
          </w:p>
        </w:tc>
        <w:tc>
          <w:tcPr>
            <w:tcW w:w="8177" w:type="dxa"/>
            <w:shd w:val="clear" w:color="auto" w:fill="FFFFFF"/>
            <w:tcMar>
              <w:top w:w="30" w:type="dxa"/>
              <w:left w:w="45" w:type="dxa"/>
              <w:bottom w:w="30" w:type="dxa"/>
              <w:right w:w="45" w:type="dxa"/>
            </w:tcMar>
            <w:vAlign w:val="center"/>
          </w:tcPr>
          <w:p w14:paraId="55F9C82F">
            <w:pPr>
              <w:keepNext/>
              <w:snapToGrid w:val="0"/>
              <w:spacing w:line="240" w:lineRule="auto"/>
              <w:ind w:left="0" w:leftChars="0" w:right="0" w:rightChars="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支持选择在短期记忆中设置的变量，对变量值进行覆盖、追加、清空操作</w:t>
            </w:r>
          </w:p>
        </w:tc>
      </w:tr>
      <w:tr w14:paraId="186B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0AD352F9">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智能体节点</w:t>
            </w:r>
          </w:p>
        </w:tc>
        <w:tc>
          <w:tcPr>
            <w:tcW w:w="8177" w:type="dxa"/>
            <w:shd w:val="clear" w:color="auto" w:fill="FFFFFF"/>
            <w:tcMar>
              <w:top w:w="30" w:type="dxa"/>
              <w:left w:w="45" w:type="dxa"/>
              <w:bottom w:w="30" w:type="dxa"/>
              <w:right w:w="45" w:type="dxa"/>
            </w:tcMar>
            <w:vAlign w:val="center"/>
          </w:tcPr>
          <w:p w14:paraId="6822C1A4">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允许选择已配置的其他智能体版本作为当前流程中的调用节点，主子智能体间的session保持相对稳定</w:t>
            </w:r>
          </w:p>
        </w:tc>
      </w:tr>
      <w:tr w14:paraId="03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7666DA74">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脚本节点</w:t>
            </w:r>
          </w:p>
        </w:tc>
        <w:tc>
          <w:tcPr>
            <w:tcW w:w="8177" w:type="dxa"/>
            <w:shd w:val="clear" w:color="auto" w:fill="FFFFFF"/>
            <w:tcMar>
              <w:top w:w="30" w:type="dxa"/>
              <w:left w:w="45" w:type="dxa"/>
              <w:bottom w:w="30" w:type="dxa"/>
              <w:right w:w="45" w:type="dxa"/>
            </w:tcMar>
            <w:vAlign w:val="center"/>
          </w:tcPr>
          <w:p w14:paraId="62D79803">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用户可编写自定义脚本来完成任务，支持定义输入输出参数，并符合预设的参数结构</w:t>
            </w:r>
          </w:p>
        </w:tc>
      </w:tr>
      <w:tr w14:paraId="4ACD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1ABF429D">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选择器节点</w:t>
            </w:r>
          </w:p>
        </w:tc>
        <w:tc>
          <w:tcPr>
            <w:tcW w:w="8177" w:type="dxa"/>
            <w:shd w:val="clear" w:color="auto" w:fill="FFFFFF"/>
            <w:tcMar>
              <w:top w:w="30" w:type="dxa"/>
              <w:left w:w="45" w:type="dxa"/>
              <w:bottom w:w="30" w:type="dxa"/>
              <w:right w:w="45" w:type="dxa"/>
            </w:tcMar>
            <w:vAlign w:val="center"/>
          </w:tcPr>
          <w:p w14:paraId="366B3B41">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实现流程中条件分支逻辑的节点，根据输入参数的值选择不同的执行路径</w:t>
            </w:r>
          </w:p>
        </w:tc>
      </w:tr>
      <w:tr w14:paraId="1E66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3743B8E4">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结果渲染节点</w:t>
            </w:r>
          </w:p>
        </w:tc>
        <w:tc>
          <w:tcPr>
            <w:tcW w:w="8177" w:type="dxa"/>
            <w:shd w:val="clear" w:color="auto" w:fill="FFFFFF"/>
            <w:tcMar>
              <w:top w:w="30" w:type="dxa"/>
              <w:left w:w="45" w:type="dxa"/>
              <w:bottom w:w="30" w:type="dxa"/>
              <w:right w:w="45" w:type="dxa"/>
            </w:tcMar>
            <w:vAlign w:val="center"/>
          </w:tcPr>
          <w:p w14:paraId="3C18CC69">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用于组合和渲染智能体的输出信息，包括文本、附件内容和自定义结构数据</w:t>
            </w:r>
          </w:p>
        </w:tc>
      </w:tr>
      <w:tr w14:paraId="05F2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61294BDC">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合法性校验</w:t>
            </w:r>
          </w:p>
        </w:tc>
        <w:tc>
          <w:tcPr>
            <w:tcW w:w="8177" w:type="dxa"/>
            <w:shd w:val="clear" w:color="auto" w:fill="FFFFFF"/>
            <w:tcMar>
              <w:top w:w="30" w:type="dxa"/>
              <w:left w:w="45" w:type="dxa"/>
              <w:bottom w:w="30" w:type="dxa"/>
              <w:right w:w="45" w:type="dxa"/>
            </w:tcMar>
            <w:vAlign w:val="center"/>
          </w:tcPr>
          <w:p w14:paraId="085026F2">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检查智能体配置的合法性，确保所有节点配置正确，连接合理，保障智能体正常运行</w:t>
            </w:r>
          </w:p>
        </w:tc>
      </w:tr>
      <w:tr w14:paraId="0C49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4AF91C9E">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自动保存</w:t>
            </w:r>
          </w:p>
        </w:tc>
        <w:tc>
          <w:tcPr>
            <w:tcW w:w="8177" w:type="dxa"/>
            <w:shd w:val="clear" w:color="auto" w:fill="FFFFFF"/>
            <w:tcMar>
              <w:top w:w="30" w:type="dxa"/>
              <w:left w:w="45" w:type="dxa"/>
              <w:bottom w:w="30" w:type="dxa"/>
              <w:right w:w="45" w:type="dxa"/>
            </w:tcMar>
            <w:vAlign w:val="center"/>
          </w:tcPr>
          <w:p w14:paraId="51CBA36D">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智能体配置过程中的变更自动保存，确保用户操作的连续性和数据的安全性</w:t>
            </w:r>
          </w:p>
        </w:tc>
      </w:tr>
      <w:tr w14:paraId="244D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30" w:type="dxa"/>
              <w:left w:w="45" w:type="dxa"/>
              <w:bottom w:w="30" w:type="dxa"/>
              <w:right w:w="45" w:type="dxa"/>
            </w:tcMar>
            <w:vAlign w:val="center"/>
          </w:tcPr>
          <w:p w14:paraId="799209D6">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手动保存</w:t>
            </w:r>
          </w:p>
        </w:tc>
        <w:tc>
          <w:tcPr>
            <w:tcW w:w="8177" w:type="dxa"/>
            <w:shd w:val="clear" w:color="auto" w:fill="FFFFFF"/>
            <w:tcMar>
              <w:top w:w="30" w:type="dxa"/>
              <w:left w:w="45" w:type="dxa"/>
              <w:bottom w:w="30" w:type="dxa"/>
              <w:right w:w="45" w:type="dxa"/>
            </w:tcMar>
            <w:vAlign w:val="center"/>
          </w:tcPr>
          <w:p w14:paraId="72904901">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提供手动触发保存配置的选项，允许用户在特定时刻保存当前智能体的状态和配置</w:t>
            </w:r>
          </w:p>
        </w:tc>
      </w:tr>
      <w:tr w14:paraId="631C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05" w:type="dxa"/>
            <w:shd w:val="clear" w:color="auto" w:fill="FFFFFF"/>
            <w:tcMar>
              <w:top w:w="30" w:type="dxa"/>
              <w:left w:w="45" w:type="dxa"/>
              <w:bottom w:w="30" w:type="dxa"/>
              <w:right w:w="45" w:type="dxa"/>
            </w:tcMar>
            <w:vAlign w:val="center"/>
          </w:tcPr>
          <w:p w14:paraId="52C16B2A">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函数能力</w:t>
            </w:r>
          </w:p>
        </w:tc>
        <w:tc>
          <w:tcPr>
            <w:tcW w:w="8177" w:type="dxa"/>
            <w:shd w:val="clear" w:color="auto" w:fill="FFFFFF"/>
            <w:tcMar>
              <w:top w:w="30" w:type="dxa"/>
              <w:left w:w="45" w:type="dxa"/>
              <w:bottom w:w="30" w:type="dxa"/>
              <w:right w:w="45" w:type="dxa"/>
            </w:tcMar>
            <w:vAlign w:val="center"/>
          </w:tcPr>
          <w:p w14:paraId="6139025F">
            <w:pPr>
              <w:keepNext/>
              <w:snapToGrid w:val="0"/>
              <w:spacing w:line="240" w:lineRule="auto"/>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提供内置函数库，包含30个函数，支持开发者通过函数对数据进行进一步解析和处理，或读取特定信息，如获取对象中特定key的值、解析列表中的数据项、读取历史对话记录等</w:t>
            </w:r>
          </w:p>
        </w:tc>
      </w:tr>
    </w:tbl>
    <w:p w14:paraId="66F2B604">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3. 长短期记忆</w:t>
      </w:r>
    </w:p>
    <w:p w14:paraId="083DA36E">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支持设置长短期记忆能力，实现对话记录、摘要记录的保留和删除。</w:t>
      </w:r>
    </w:p>
    <w:p w14:paraId="3FB35C9F">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4. 智能体模板</w:t>
      </w:r>
    </w:p>
    <w:p w14:paraId="5EF5194D">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知识增强模板：提供知识检索增强（RAG）的预置插件，可关联知识库并实现基于文档知识库的智能问答。支持关联知识库实现RAG问答应用。</w:t>
      </w:r>
    </w:p>
    <w:p w14:paraId="7BD87B22">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数据分析模板：具备利用数据库进行信息检索和问答交互的能力，可将大量的知识和数据存储在数据库中，从中获取相关信息并进行相应的回答。</w:t>
      </w:r>
    </w:p>
    <w:p w14:paraId="3AF8B13A">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图片理解模板：支持图片理解、视频理解和图文知识库检索的能力。</w:t>
      </w:r>
    </w:p>
    <w:p w14:paraId="71B3CADE">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5. API及MCP工具</w:t>
      </w:r>
    </w:p>
    <w:p w14:paraId="197AADD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内置MCP工具插件，如浏览器工具、文件操作工具等工具，支持API、MCP类型工具的注册、调试，支持自定义工具注册，具备选择SSE、NPX模式注册MCP工具，营造完善的工具生态。支持查看工具插件详情，进入工具详情页，可阅览工具的使用方法、输入输出参数说明、资源依赖、调用规则等内容，掌握工具的适用场景。</w:t>
      </w:r>
    </w:p>
    <w:p w14:paraId="328AF7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对工具调试，确保其连通性和返回结果的正确性，用户可以通过模拟请求，观察工具的响应数据，进而调整参数配置，优化工具性能；支持MCP工具插件调试时，选择MCP服务中的指定工具，通过表单结构或json结构输入进行调试。</w:t>
      </w:r>
    </w:p>
    <w:p w14:paraId="1853F0B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提供工具列表功能，支持已注册的API类型、MCP类型工具编辑、查看、筛选、删除与共享。支持将API工具升级为MCP工具。支持对插件工具的版本管理，提升插件工具的使用效率。</w:t>
      </w:r>
    </w:p>
    <w:p w14:paraId="15C2D32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支持查看/调试其它空间分享至本空间的工具。</w:t>
      </w:r>
    </w:p>
    <w:p w14:paraId="6E2A41E6">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6. 提示词优化</w:t>
      </w:r>
    </w:p>
    <w:p w14:paraId="662EF52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提供prompt模版创建、调试、查询，分为我的模版、平台模版，可快速优化prompt提示词。</w:t>
      </w:r>
    </w:p>
    <w:p w14:paraId="51CD653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具备提示词优化能力，支持对Prompt模板的质量和结构进行优化，以获取更好的大模型推理结果，支持新建、终止、删除prompt优化任务。</w:t>
      </w:r>
    </w:p>
    <w:p w14:paraId="4FB067B6">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7. 知识库</w:t>
      </w:r>
    </w:p>
    <w:p w14:paraId="3D8799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（1）文档知识库模板</w:t>
      </w:r>
    </w:p>
    <w:p w14:paraId="161B31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支持知识库管理，提供文档知识库模板，支持快速构建文档知识库，支持 doc、ppt、xls、pdf、txt文档格式解析能力，涵盖文本、图片文字、表格、公式等内容类型。支持按分隔符、最大分段长度、段落重叠比例等参数灵活配置文档切分策略，提升检索精度与处理效率。</w:t>
      </w:r>
    </w:p>
    <w:p w14:paraId="2C4530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（2）图文知识库模板</w:t>
      </w:r>
    </w:p>
    <w:p w14:paraId="757271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提供图文知识库模板，支持利用模板上传图文快速完成知识库创建，支持图片智能解析能力；</w:t>
      </w:r>
    </w:p>
    <w:p w14:paraId="2B4E7C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（3）数据表知识库模板</w:t>
      </w:r>
    </w:p>
    <w:p w14:paraId="7D13C8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提供数据表知识库模板，支持用户基于注册的数据表完成知识库创建，支持数据表值向量化、支持数据表字段固定召回和随表召回、支持数据维度、专家知识、样例维护；</w:t>
      </w:r>
    </w:p>
    <w:p w14:paraId="7AEDBA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（4）自定义知识库模板</w:t>
      </w:r>
    </w:p>
    <w:p w14:paraId="0D108B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支持用户自定义数据结构、索引和检索策略完成知识库创建，满足多样化知识组织和查询需求；</w:t>
      </w:r>
    </w:p>
    <w:p w14:paraId="4EC6F5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（5）知识库分享</w:t>
      </w:r>
    </w:p>
    <w:p w14:paraId="41CC74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支持知识库分享给其它空间进行内容查看和检索服务；</w:t>
      </w:r>
    </w:p>
    <w:p w14:paraId="5B8EB3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（6）知识库管理</w:t>
      </w:r>
    </w:p>
    <w:p w14:paraId="0C770C7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查看知识库列表及详情，进行知识库的编辑、启用/停用、删除，支持对知识库内容的查看。</w:t>
      </w:r>
    </w:p>
    <w:p w14:paraId="4E26849A">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8. 智能体评测</w:t>
      </w:r>
    </w:p>
    <w:p w14:paraId="36B9F172">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支持基于评测集对智能体的评测。提供评测报告展示评测效果信息以及样本分析结果，以帮助用户识别智能体的效果。</w:t>
      </w:r>
    </w:p>
    <w:p w14:paraId="167072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基于评测集对智能体的效果进行系统性评测。支持完整的评测集管理能力，包括创建和维护评测集，并支持对评测集进行版本管理，支持新增评测集版本，对已有版本执行下载、启用、禁用或删除操作，并可查看各版本的日志信息。</w:t>
      </w:r>
    </w:p>
    <w:p w14:paraId="562C26E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支持创建、管理和执行评测任务；</w:t>
      </w:r>
    </w:p>
    <w:p w14:paraId="76DD56F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任务创建后，支持查看任务详情，包括基本信息和任务实例信息，并支持手动启动任务、重跑任务或删除任务；</w:t>
      </w:r>
    </w:p>
    <w:p w14:paraId="6F11AF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支持生成并展示评测报告，报告内容应包含整体评测效果指标及具体样本的分析结果，以帮助用户准确评估和诊断智能体的实际表现。</w:t>
      </w:r>
    </w:p>
    <w:p w14:paraId="14753707">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主要技术性能指标</w:t>
      </w:r>
    </w:p>
    <w:p w14:paraId="6FCCCF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机头R4930G7*1+机尾AB0611OG1*2 GPU服务器</w:t>
      </w:r>
    </w:p>
    <w:p w14:paraId="1F31DD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（1）CPU规格：[hygon7490]*2；</w:t>
      </w:r>
    </w:p>
    <w:p w14:paraId="5717EF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（2）CPU核数：[64]*2；</w:t>
      </w:r>
    </w:p>
    <w:p w14:paraId="4C5180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（3）CPU主频：2.7 GHz；</w:t>
      </w:r>
    </w:p>
    <w:p w14:paraId="6DC64B7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（4）内存(GB)：1536；</w:t>
      </w:r>
    </w:p>
    <w:p w14:paraId="6B496FF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（5）内存规格：ECC DDR5 RDIMM 速率 4800MT/s；</w:t>
      </w:r>
    </w:p>
    <w:p w14:paraId="7B5933D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（6）内置硬盘：240G[240G_sata_ssd]*1 ，3840G[3840G_nvme_ssd]*4；</w:t>
      </w:r>
    </w:p>
    <w:p w14:paraId="28279D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（7）网卡要求：25GE：双端口25G独立网卡，型号要求：并满配兼容多模模块（SFP28），支持PXE，支持SRIOV 技术；</w:t>
      </w:r>
    </w:p>
    <w:p w14:paraId="12C28C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（8）网卡要求：Mellanox ；</w:t>
      </w:r>
    </w:p>
    <w:p w14:paraId="4C9A512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（9）网口数量：25GE*2；</w:t>
      </w:r>
    </w:p>
    <w:p w14:paraId="572772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（10）GPU模组：16张GPU卡；</w:t>
      </w:r>
    </w:p>
    <w:p w14:paraId="1F55CBA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（11）GPU模组配置需满足：</w:t>
      </w:r>
    </w:p>
    <w:p w14:paraId="48FB6C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u w:val="single"/>
        </w:rPr>
      </w:pPr>
      <w:r>
        <w:rPr>
          <w:rFonts w:hint="eastAsia" w:ascii="宋体" w:hAnsi="宋体" w:eastAsia="宋体" w:cs="宋体"/>
          <w:sz w:val="24"/>
          <w:szCs w:val="24"/>
        </w:rPr>
        <w:t>①单台GPU卡16张，总显存1.5T，整机BF16算力1.9PFLOPS，单机内具备卡间高速互联带宽700GB/s。</w:t>
      </w:r>
    </w:p>
    <w:p w14:paraId="1198ADF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u w:val="single"/>
        </w:rPr>
      </w:pPr>
      <w:r>
        <w:rPr>
          <w:rFonts w:hint="eastAsia" w:ascii="宋体" w:hAnsi="宋体" w:eastAsia="宋体" w:cs="宋体"/>
          <w:sz w:val="24"/>
          <w:szCs w:val="24"/>
        </w:rPr>
        <w:t>②单台GPU服务器可在BF16精度下运行DeepSeek-V3671B或DeepSeek-R1671B模型推理服务,支持通过API和在线推理服务等方式对外提供调用。</w:t>
      </w:r>
    </w:p>
    <w:p w14:paraId="6ED22E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u w:val="single"/>
        </w:rPr>
      </w:pPr>
      <w:r>
        <w:rPr>
          <w:rFonts w:hint="eastAsia" w:ascii="宋体" w:hAnsi="宋体" w:eastAsia="宋体" w:cs="宋体"/>
          <w:sz w:val="24"/>
          <w:szCs w:val="24"/>
        </w:rPr>
        <w:t>③支持CUDA生态通用AI相关主流算子（如vectorAdd、matrixMul、cudaTensorCoreGemm、bf16TensorCoreGemm的API兼容能力。</w:t>
      </w:r>
    </w:p>
    <w:p w14:paraId="12E54DE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④16张GPU/NPU推理卡运行QWEN3-235B-BF16模型并关闭推理服务端缓存机制，在256/256输入输出的推理场景统计预填充（Prefill）阶段和解码（Decode）阶段均未出现排队的有效数据，满足以下性能要求：</w:t>
      </w:r>
    </w:p>
    <w:p w14:paraId="01EB50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a：TPOT≤50ms时，模型可承载≥128并发，单机生成吞吐≥2400Tokens/秒；</w:t>
      </w:r>
    </w:p>
    <w:p w14:paraId="3B8A31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b：TPOT≤66.66ms时，模型可承载≥256并发，单机生成吞吐≥3000Tokens/秒；</w:t>
      </w:r>
    </w:p>
    <w:p w14:paraId="3F937E2C">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c：TPOT≤100ms时，模型可承载≥512并发，单机生成吞吐≥4200Tokens/秒。</w:t>
      </w:r>
    </w:p>
    <w:p w14:paraId="1B14780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通用服务器</w:t>
      </w:r>
    </w:p>
    <w:p w14:paraId="7B4D12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（1）CPU规格：[hygon7470]*2；</w:t>
      </w:r>
    </w:p>
    <w:p w14:paraId="56C821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（2）CPU核数：[48]*2；</w:t>
      </w:r>
    </w:p>
    <w:p w14:paraId="56BF157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（3）CPU主频：2.6 GHz；</w:t>
      </w:r>
    </w:p>
    <w:p w14:paraId="7BA6AF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（4）内存(GB)：768；</w:t>
      </w:r>
    </w:p>
    <w:p w14:paraId="449C09E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（5）内存规格：ECC DDR5 RDIMM 速率4800MT/s；</w:t>
      </w:r>
    </w:p>
    <w:p w14:paraId="3133A1D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（6）内置硬盘：480G[480G_sata_ssd]*2；3840G[3840G_nvme_ssd]*6；</w:t>
      </w:r>
    </w:p>
    <w:p w14:paraId="24D4187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（7）网卡要求：25GE：双端口25G独立网卡，并满配兼容多模模块；</w:t>
      </w:r>
    </w:p>
    <w:p w14:paraId="77BC180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（8）网口数量：25GE*2。</w:t>
      </w:r>
    </w:p>
    <w:p w14:paraId="05F37D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RG-S6510-48VS8CQ业务网络交换机</w:t>
      </w:r>
    </w:p>
    <w:p w14:paraId="692BC5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（1）机架式1U盒式交换机，前后通风；</w:t>
      </w:r>
    </w:p>
    <w:p w14:paraId="4F4E4DE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（2）冗余电源；冗余风扇；</w:t>
      </w:r>
    </w:p>
    <w:p w14:paraId="0A0ECFF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（3）48口SFP28 的25G端口万兆，8口QSFP28 100G；</w:t>
      </w:r>
    </w:p>
    <w:p w14:paraId="754CE9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（4）配置48个25GE多模光模块；</w:t>
      </w:r>
    </w:p>
    <w:p w14:paraId="22ADA5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（5）交换容量4.8Tbps, 包转发率2000Mpps。</w:t>
      </w:r>
    </w:p>
    <w:p w14:paraId="7ABFAC5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RG-S5310-48GT4XS-E业务网络交换机</w:t>
      </w:r>
    </w:p>
    <w:p w14:paraId="2642E5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（1）机架式1U盒式交换机；</w:t>
      </w:r>
    </w:p>
    <w:p w14:paraId="6F5B5D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（2）支持交流电源；</w:t>
      </w:r>
    </w:p>
    <w:p w14:paraId="1F1BEFA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（3）48电口；</w:t>
      </w:r>
    </w:p>
    <w:p w14:paraId="0DC661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（4）交换容量432Gbps, 包转发率166Mpps。</w:t>
      </w:r>
    </w:p>
    <w:p w14:paraId="69720D3B">
      <w:pPr>
        <w:rPr>
          <w:rFonts w:hint="eastAsia" w:ascii="宋体" w:hAnsi="宋体" w:eastAsia="宋体"/>
          <w:sz w:val="24"/>
          <w:szCs w:val="24"/>
          <w:lang w:val="en-US" w:eastAsia="zh-CN"/>
        </w:rPr>
      </w:pPr>
    </w:p>
    <w:p w14:paraId="16BF0636">
      <w:pPr>
        <w:rPr>
          <w:rFonts w:hint="eastAsia" w:ascii="宋体" w:hAnsi="宋体" w:eastAsia="宋体"/>
          <w:sz w:val="24"/>
          <w:szCs w:val="24"/>
          <w:lang w:val="en-US" w:eastAsia="zh-CN"/>
        </w:rPr>
      </w:pPr>
    </w:p>
    <w:p w14:paraId="2D36CE57">
      <w:pPr>
        <w:rPr>
          <w:rFonts w:hint="eastAsia" w:ascii="宋体" w:hAnsi="宋体" w:eastAsia="宋体"/>
          <w:sz w:val="24"/>
          <w:szCs w:val="24"/>
          <w:lang w:val="en-US" w:eastAsia="zh-CN"/>
        </w:rPr>
      </w:pPr>
    </w:p>
    <w:p w14:paraId="12459DDA">
      <w:pPr>
        <w:rPr>
          <w:rFonts w:hint="eastAsia" w:ascii="宋体" w:hAnsi="宋体" w:eastAsia="宋体"/>
          <w:sz w:val="24"/>
          <w:szCs w:val="24"/>
          <w:lang w:val="en-US" w:eastAsia="zh-CN"/>
        </w:rPr>
      </w:pPr>
    </w:p>
    <w:p w14:paraId="392D753A">
      <w:pPr>
        <w:rPr>
          <w:rFonts w:hint="eastAsia" w:ascii="宋体" w:hAnsi="宋体" w:eastAsia="宋体"/>
          <w:sz w:val="24"/>
          <w:szCs w:val="24"/>
          <w:lang w:val="en-US" w:eastAsia="zh-CN"/>
        </w:rPr>
      </w:pPr>
    </w:p>
    <w:p w14:paraId="36733A97">
      <w:pPr>
        <w:rPr>
          <w:rFonts w:hint="eastAsia" w:ascii="宋体" w:hAnsi="宋体" w:eastAsia="宋体"/>
          <w:sz w:val="24"/>
          <w:szCs w:val="24"/>
          <w:lang w:val="en-US" w:eastAsia="zh-CN"/>
        </w:rPr>
      </w:pPr>
    </w:p>
    <w:p w14:paraId="521E0590">
      <w:pPr>
        <w:rPr>
          <w:rFonts w:hint="eastAsia" w:ascii="宋体" w:hAnsi="宋体" w:eastAsia="宋体"/>
          <w:sz w:val="24"/>
          <w:szCs w:val="24"/>
          <w:lang w:val="en-US" w:eastAsia="zh-CN"/>
        </w:rPr>
      </w:pPr>
    </w:p>
    <w:p w14:paraId="59F5566E">
      <w:pPr>
        <w:rPr>
          <w:rFonts w:hint="eastAsia" w:ascii="宋体" w:hAnsi="宋体" w:eastAsia="宋体"/>
          <w:sz w:val="24"/>
          <w:szCs w:val="24"/>
          <w:lang w:val="en-US" w:eastAsia="zh-CN"/>
        </w:rPr>
      </w:pPr>
    </w:p>
    <w:p w14:paraId="7BE8BF0F">
      <w:pPr>
        <w:rPr>
          <w:rFonts w:hint="eastAsia" w:ascii="宋体" w:hAnsi="宋体" w:eastAsia="宋体"/>
          <w:sz w:val="24"/>
          <w:szCs w:val="24"/>
          <w:lang w:val="en-US" w:eastAsia="zh-CN"/>
        </w:rPr>
      </w:pPr>
    </w:p>
    <w:p w14:paraId="716BBAAC">
      <w:pPr>
        <w:rPr>
          <w:rFonts w:hint="eastAsia" w:ascii="宋体" w:hAnsi="宋体" w:eastAsia="宋体"/>
          <w:sz w:val="24"/>
          <w:szCs w:val="24"/>
          <w:lang w:val="en-US" w:eastAsia="zh-CN"/>
        </w:rPr>
      </w:pPr>
    </w:p>
    <w:p w14:paraId="7AB4B6AF">
      <w:pPr>
        <w:rPr>
          <w:rFonts w:hint="eastAsia" w:ascii="宋体" w:hAnsi="宋体" w:eastAsia="宋体"/>
          <w:sz w:val="24"/>
          <w:szCs w:val="24"/>
          <w:lang w:val="en-US" w:eastAsia="zh-CN"/>
        </w:rPr>
      </w:pPr>
    </w:p>
    <w:p w14:paraId="770DB336">
      <w:pPr>
        <w:rPr>
          <w:rFonts w:hint="eastAsia" w:ascii="宋体" w:hAnsi="宋体" w:eastAsia="宋体"/>
          <w:sz w:val="24"/>
          <w:szCs w:val="24"/>
          <w:lang w:val="en-US" w:eastAsia="zh-CN"/>
        </w:rPr>
      </w:pPr>
    </w:p>
    <w:p w14:paraId="143420B0">
      <w:pPr>
        <w:rPr>
          <w:rFonts w:hint="eastAsia" w:ascii="宋体" w:hAnsi="宋体" w:eastAsia="宋体"/>
          <w:sz w:val="24"/>
          <w:szCs w:val="24"/>
          <w:lang w:val="en-US" w:eastAsia="zh-CN"/>
        </w:rPr>
      </w:pPr>
    </w:p>
    <w:p w14:paraId="7F561FF5">
      <w:pPr>
        <w:rPr>
          <w:rFonts w:hint="eastAsia" w:ascii="宋体" w:hAnsi="宋体" w:eastAsia="宋体"/>
          <w:sz w:val="24"/>
          <w:szCs w:val="24"/>
          <w:lang w:val="en-US" w:eastAsia="zh-CN"/>
        </w:rPr>
      </w:pPr>
    </w:p>
    <w:p w14:paraId="0C228074">
      <w:pPr>
        <w:rPr>
          <w:rFonts w:hint="eastAsia" w:ascii="宋体" w:hAnsi="宋体" w:eastAsia="宋体"/>
          <w:sz w:val="24"/>
          <w:szCs w:val="24"/>
          <w:lang w:val="en-US" w:eastAsia="zh-CN"/>
        </w:rPr>
      </w:pPr>
    </w:p>
    <w:p w14:paraId="58CF3766">
      <w:pPr>
        <w:rPr>
          <w:rFonts w:hint="eastAsia" w:ascii="宋体" w:hAnsi="宋体" w:eastAsia="宋体"/>
          <w:sz w:val="24"/>
          <w:szCs w:val="24"/>
          <w:lang w:val="en-US" w:eastAsia="zh-CN"/>
        </w:rPr>
      </w:pPr>
    </w:p>
    <w:p w14:paraId="2E084965">
      <w:pPr>
        <w:rPr>
          <w:rFonts w:hint="eastAsia" w:ascii="宋体" w:hAnsi="宋体" w:eastAsia="宋体"/>
          <w:sz w:val="24"/>
          <w:szCs w:val="24"/>
          <w:lang w:val="en-US" w:eastAsia="zh-CN"/>
        </w:rPr>
      </w:pPr>
    </w:p>
    <w:p w14:paraId="7BE8A205">
      <w:pPr>
        <w:rPr>
          <w:rFonts w:hint="eastAsia" w:ascii="宋体" w:hAnsi="宋体" w:eastAsia="宋体"/>
          <w:sz w:val="24"/>
          <w:szCs w:val="24"/>
          <w:lang w:val="en-US" w:eastAsia="zh-CN"/>
        </w:rPr>
      </w:pPr>
    </w:p>
    <w:p w14:paraId="59C4B08D">
      <w:pPr>
        <w:rPr>
          <w:rFonts w:hint="eastAsia" w:ascii="宋体" w:hAnsi="宋体" w:eastAsia="宋体"/>
          <w:sz w:val="24"/>
          <w:szCs w:val="24"/>
          <w:lang w:val="en-US" w:eastAsia="zh-CN"/>
        </w:rPr>
      </w:pPr>
    </w:p>
    <w:p w14:paraId="575F2174">
      <w:pPr>
        <w:rPr>
          <w:rFonts w:hint="eastAsia" w:ascii="宋体" w:hAnsi="宋体" w:eastAsia="宋体"/>
          <w:sz w:val="24"/>
          <w:szCs w:val="24"/>
          <w:lang w:val="en-US" w:eastAsia="zh-CN"/>
        </w:rPr>
      </w:pPr>
    </w:p>
    <w:p w14:paraId="55D4F72B">
      <w:pPr>
        <w:rPr>
          <w:rFonts w:hint="eastAsia" w:ascii="宋体" w:hAnsi="宋体" w:eastAsia="宋体"/>
          <w:sz w:val="24"/>
          <w:szCs w:val="24"/>
          <w:lang w:val="en-US" w:eastAsia="zh-CN"/>
        </w:rPr>
      </w:pPr>
    </w:p>
    <w:p w14:paraId="322CE31F">
      <w:pPr>
        <w:rPr>
          <w:rFonts w:hint="eastAsia" w:ascii="宋体" w:hAnsi="宋体" w:eastAsia="宋体"/>
          <w:sz w:val="24"/>
          <w:szCs w:val="24"/>
          <w:lang w:val="en-US" w:eastAsia="zh-CN"/>
        </w:rPr>
      </w:pPr>
    </w:p>
    <w:p w14:paraId="227AF76E">
      <w:pPr>
        <w:rPr>
          <w:rFonts w:hint="eastAsia" w:ascii="宋体" w:hAnsi="宋体" w:eastAsia="宋体"/>
          <w:sz w:val="24"/>
          <w:szCs w:val="24"/>
          <w:lang w:val="en-US" w:eastAsia="zh-CN"/>
        </w:rPr>
      </w:pPr>
    </w:p>
    <w:p w14:paraId="0BDF5487">
      <w:pPr>
        <w:pStyle w:val="87"/>
        <w:ind w:left="0" w:leftChars="0" w:firstLine="0" w:firstLineChars="0"/>
      </w:pPr>
    </w:p>
    <w:p w14:paraId="5CC02B73">
      <w:pPr>
        <w:pStyle w:val="87"/>
      </w:pPr>
    </w:p>
    <w:p w14:paraId="2004F865">
      <w:pPr>
        <w:pStyle w:val="84"/>
        <w:numPr>
          <w:ilvl w:val="0"/>
          <w:numId w:val="40"/>
        </w:numPr>
        <w:jc w:val="center"/>
        <w:rPr>
          <w:rFonts w:hint="eastAsia" w:asciiTheme="minorEastAsia" w:hAnsiTheme="minorEastAsia" w:eastAsiaTheme="minorEastAsia" w:cstheme="minorEastAsia"/>
          <w:sz w:val="40"/>
          <w:szCs w:val="40"/>
          <w:highlight w:val="none"/>
          <w:lang w:eastAsia="zh-CN"/>
        </w:rPr>
        <w:sectPr>
          <w:footerReference r:id="rId12" w:type="default"/>
          <w:pgSz w:w="11906" w:h="16838"/>
          <w:pgMar w:top="1440" w:right="1800" w:bottom="1440" w:left="1800" w:header="851" w:footer="992" w:gutter="0"/>
          <w:pgNumType w:fmt="decimal"/>
          <w:cols w:space="425" w:num="1"/>
          <w:docGrid w:type="lines" w:linePitch="312" w:charSpace="0"/>
        </w:sectPr>
      </w:pPr>
      <w:bookmarkStart w:id="252" w:name="_Toc4475"/>
      <w:bookmarkStart w:id="253" w:name="_Toc19295"/>
      <w:r>
        <w:rPr>
          <w:rFonts w:hint="eastAsia" w:asciiTheme="minorEastAsia" w:hAnsiTheme="minorEastAsia" w:eastAsiaTheme="minorEastAsia" w:cstheme="minorEastAsia"/>
          <w:sz w:val="40"/>
          <w:szCs w:val="40"/>
          <w:highlight w:val="none"/>
          <w:lang w:eastAsia="zh-CN"/>
        </w:rPr>
        <w:t>投标文件格式</w:t>
      </w:r>
      <w:bookmarkEnd w:id="252"/>
      <w:bookmarkEnd w:id="253"/>
    </w:p>
    <w:p w14:paraId="5F8DF228">
      <w:pPr>
        <w:spacing w:line="360" w:lineRule="auto"/>
        <w:jc w:val="center"/>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u w:val="single"/>
        </w:rPr>
        <w:t xml:space="preserve">         </w:t>
      </w:r>
      <w:bookmarkStart w:id="254" w:name="_Toc4621"/>
      <w:r>
        <w:rPr>
          <w:rFonts w:hint="eastAsia" w:asciiTheme="minorEastAsia" w:hAnsiTheme="minorEastAsia" w:eastAsiaTheme="minorEastAsia" w:cstheme="minorEastAsia"/>
          <w:b/>
          <w:bCs/>
          <w:color w:val="auto"/>
          <w:sz w:val="28"/>
          <w:szCs w:val="28"/>
          <w:highlight w:val="none"/>
          <w:u w:val="single"/>
        </w:rPr>
        <w:t>（项目名称）</w:t>
      </w:r>
      <w:bookmarkEnd w:id="254"/>
      <w:r>
        <w:rPr>
          <w:rFonts w:hint="eastAsia" w:asciiTheme="minorEastAsia" w:hAnsiTheme="minorEastAsia" w:eastAsiaTheme="minorEastAsia" w:cstheme="minorEastAsia"/>
          <w:b/>
          <w:bCs/>
          <w:color w:val="auto"/>
          <w:sz w:val="28"/>
          <w:szCs w:val="28"/>
          <w:highlight w:val="none"/>
          <w:u w:val="single"/>
          <w:lang w:val="en-US" w:eastAsia="zh-CN"/>
        </w:rPr>
        <w:t xml:space="preserve">   </w:t>
      </w:r>
    </w:p>
    <w:p w14:paraId="09DDBF82">
      <w:pPr>
        <w:tabs>
          <w:tab w:val="left" w:pos="3600"/>
          <w:tab w:val="left" w:pos="4480"/>
          <w:tab w:val="left" w:pos="5360"/>
        </w:tabs>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71F5A6BD">
      <w:pPr>
        <w:tabs>
          <w:tab w:val="left" w:pos="3600"/>
          <w:tab w:val="left" w:pos="4480"/>
          <w:tab w:val="left" w:pos="5360"/>
        </w:tabs>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0770B5F6">
      <w:pPr>
        <w:tabs>
          <w:tab w:val="left" w:pos="3600"/>
          <w:tab w:val="left" w:pos="4480"/>
          <w:tab w:val="left" w:pos="5360"/>
        </w:tabs>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62F7A3DE">
      <w:pPr>
        <w:rPr>
          <w:rFonts w:hint="eastAsia" w:asciiTheme="minorEastAsia" w:hAnsiTheme="minorEastAsia" w:eastAsiaTheme="minorEastAsia" w:cstheme="minorEastAsia"/>
          <w:color w:val="auto"/>
          <w:highlight w:val="none"/>
        </w:rPr>
      </w:pPr>
    </w:p>
    <w:p w14:paraId="45D2748B">
      <w:pPr>
        <w:tabs>
          <w:tab w:val="left" w:pos="3600"/>
          <w:tab w:val="left" w:pos="4480"/>
          <w:tab w:val="left" w:pos="5360"/>
        </w:tabs>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0579D248">
      <w:pPr>
        <w:tabs>
          <w:tab w:val="left" w:pos="3600"/>
          <w:tab w:val="left" w:pos="4480"/>
          <w:tab w:val="left" w:pos="5360"/>
        </w:tabs>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11EA2FF9">
      <w:pPr>
        <w:pStyle w:val="96"/>
        <w:spacing w:line="360" w:lineRule="auto"/>
        <w:rPr>
          <w:rFonts w:hint="eastAsia" w:asciiTheme="minorEastAsia" w:hAnsiTheme="minorEastAsia" w:eastAsiaTheme="minorEastAsia" w:cstheme="minorEastAsia"/>
          <w:color w:val="auto"/>
          <w:highlight w:val="none"/>
        </w:rPr>
      </w:pPr>
    </w:p>
    <w:p w14:paraId="295CD5B8">
      <w:pPr>
        <w:pStyle w:val="96"/>
        <w:spacing w:line="360" w:lineRule="auto"/>
        <w:rPr>
          <w:rFonts w:hint="eastAsia" w:asciiTheme="minorEastAsia" w:hAnsiTheme="minorEastAsia" w:eastAsiaTheme="minorEastAsia" w:cstheme="minorEastAsia"/>
          <w:color w:val="auto"/>
          <w:highlight w:val="none"/>
        </w:rPr>
      </w:pPr>
    </w:p>
    <w:p w14:paraId="4857C5B6">
      <w:pPr>
        <w:tabs>
          <w:tab w:val="left" w:pos="3600"/>
          <w:tab w:val="left" w:pos="4480"/>
          <w:tab w:val="left" w:pos="5360"/>
        </w:tabs>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5ED59F17">
      <w:pPr>
        <w:tabs>
          <w:tab w:val="left" w:pos="3600"/>
          <w:tab w:val="left" w:pos="4480"/>
          <w:tab w:val="left" w:pos="5360"/>
        </w:tabs>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7CEA4EA5">
      <w:pPr>
        <w:tabs>
          <w:tab w:val="left" w:pos="3600"/>
          <w:tab w:val="left" w:pos="4480"/>
          <w:tab w:val="left" w:pos="5360"/>
        </w:tabs>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32C3B19F">
      <w:pPr>
        <w:tabs>
          <w:tab w:val="left" w:pos="3600"/>
          <w:tab w:val="left" w:pos="4480"/>
          <w:tab w:val="left" w:pos="5360"/>
        </w:tabs>
        <w:autoSpaceDE w:val="0"/>
        <w:autoSpaceDN w:val="0"/>
        <w:adjustRightInd w:val="0"/>
        <w:snapToGrid w:val="0"/>
        <w:spacing w:line="360" w:lineRule="auto"/>
        <w:ind w:firstLine="1687"/>
        <w:outlineLvl w:val="0"/>
        <w:rPr>
          <w:rFonts w:hint="eastAsia" w:asciiTheme="minorEastAsia" w:hAnsiTheme="minorEastAsia" w:eastAsiaTheme="minorEastAsia" w:cstheme="minorEastAsia"/>
          <w:b/>
          <w:color w:val="auto"/>
          <w:kern w:val="0"/>
          <w:sz w:val="84"/>
          <w:szCs w:val="84"/>
          <w:highlight w:val="none"/>
        </w:rPr>
      </w:pPr>
      <w:bookmarkStart w:id="255" w:name="_Toc32034"/>
      <w:r>
        <w:rPr>
          <w:rFonts w:hint="eastAsia" w:asciiTheme="minorEastAsia" w:hAnsiTheme="minorEastAsia" w:eastAsiaTheme="minorEastAsia" w:cstheme="minorEastAsia"/>
          <w:b/>
          <w:color w:val="auto"/>
          <w:kern w:val="0"/>
          <w:sz w:val="84"/>
          <w:szCs w:val="84"/>
          <w:highlight w:val="none"/>
        </w:rPr>
        <w:t>投  标  文  件</w:t>
      </w:r>
      <w:bookmarkEnd w:id="255"/>
    </w:p>
    <w:p w14:paraId="53733128">
      <w:pPr>
        <w:autoSpaceDE w:val="0"/>
        <w:autoSpaceDN w:val="0"/>
        <w:adjustRightInd w:val="0"/>
        <w:snapToGrid w:val="0"/>
        <w:spacing w:line="360" w:lineRule="auto"/>
        <w:ind w:firstLine="422"/>
        <w:rPr>
          <w:rFonts w:hint="default" w:asciiTheme="minorEastAsia" w:hAnsiTheme="minorEastAsia" w:eastAsiaTheme="minorEastAsia" w:cstheme="minorEastAsia"/>
          <w:b/>
          <w:color w:val="auto"/>
          <w:kern w:val="0"/>
          <w:szCs w:val="21"/>
          <w:highlight w:val="none"/>
          <w:lang w:val="en-US" w:eastAsia="zh-CN"/>
        </w:rPr>
      </w:pPr>
      <w:r>
        <w:rPr>
          <w:rFonts w:hint="eastAsia" w:asciiTheme="minorEastAsia" w:hAnsiTheme="minorEastAsia" w:eastAsiaTheme="minorEastAsia" w:cstheme="minorEastAsia"/>
          <w:b/>
          <w:color w:val="auto"/>
          <w:kern w:val="0"/>
          <w:szCs w:val="21"/>
          <w:highlight w:val="none"/>
          <w:lang w:val="en-US" w:eastAsia="zh-CN"/>
        </w:rPr>
        <w:t xml:space="preserve">          </w:t>
      </w:r>
    </w:p>
    <w:p w14:paraId="6EC5B0DD">
      <w:pPr>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21829FB6">
      <w:pPr>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4B086BBC">
      <w:pPr>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42341633">
      <w:pPr>
        <w:autoSpaceDE w:val="0"/>
        <w:autoSpaceDN w:val="0"/>
        <w:adjustRightInd w:val="0"/>
        <w:snapToGrid w:val="0"/>
        <w:spacing w:line="360" w:lineRule="auto"/>
        <w:ind w:firstLine="422"/>
        <w:rPr>
          <w:rFonts w:hint="eastAsia" w:asciiTheme="minorEastAsia" w:hAnsiTheme="minorEastAsia" w:eastAsiaTheme="minorEastAsia" w:cstheme="minorEastAsia"/>
          <w:b/>
          <w:color w:val="auto"/>
          <w:kern w:val="0"/>
          <w:szCs w:val="21"/>
          <w:highlight w:val="none"/>
        </w:rPr>
      </w:pPr>
    </w:p>
    <w:p w14:paraId="026B7C5A">
      <w:pPr>
        <w:autoSpaceDE w:val="0"/>
        <w:autoSpaceDN w:val="0"/>
        <w:adjustRightInd w:val="0"/>
        <w:snapToGrid w:val="0"/>
        <w:spacing w:line="360" w:lineRule="auto"/>
        <w:ind w:left="0" w:leftChars="0" w:firstLine="0" w:firstLineChars="0"/>
        <w:rPr>
          <w:rFonts w:hint="eastAsia" w:asciiTheme="minorEastAsia" w:hAnsiTheme="minorEastAsia" w:eastAsiaTheme="minorEastAsia" w:cstheme="minorEastAsia"/>
          <w:b/>
          <w:color w:val="auto"/>
          <w:kern w:val="0"/>
          <w:szCs w:val="21"/>
          <w:highlight w:val="none"/>
        </w:rPr>
      </w:pPr>
    </w:p>
    <w:p w14:paraId="3D70F813">
      <w:pPr>
        <w:autoSpaceDE w:val="0"/>
        <w:autoSpaceDN w:val="0"/>
        <w:adjustRightInd w:val="0"/>
        <w:snapToGrid w:val="0"/>
        <w:spacing w:line="360" w:lineRule="auto"/>
        <w:ind w:firstLine="402"/>
        <w:rPr>
          <w:rFonts w:hint="eastAsia" w:asciiTheme="minorEastAsia" w:hAnsiTheme="minorEastAsia" w:eastAsiaTheme="minorEastAsia" w:cstheme="minorEastAsia"/>
          <w:b/>
          <w:color w:val="auto"/>
          <w:kern w:val="0"/>
          <w:sz w:val="20"/>
          <w:szCs w:val="20"/>
          <w:highlight w:val="none"/>
        </w:rPr>
      </w:pPr>
    </w:p>
    <w:p w14:paraId="38FE55F2">
      <w:pPr>
        <w:tabs>
          <w:tab w:val="left" w:pos="6080"/>
          <w:tab w:val="left" w:pos="6640"/>
        </w:tabs>
        <w:autoSpaceDE w:val="0"/>
        <w:autoSpaceDN w:val="0"/>
        <w:adjustRightInd w:val="0"/>
        <w:snapToGrid w:val="0"/>
        <w:spacing w:before="240" w:beforeLines="100" w:after="240" w:afterLines="100" w:line="360" w:lineRule="auto"/>
        <w:ind w:firstLine="1112" w:firstLineChars="400"/>
        <w:jc w:val="left"/>
        <w:rPr>
          <w:rFonts w:hint="eastAsia" w:asciiTheme="minorEastAsia" w:hAnsiTheme="minorEastAsia" w:eastAsiaTheme="minorEastAsia" w:cstheme="minorEastAsia"/>
          <w:b/>
          <w:color w:val="auto"/>
          <w:w w:val="99"/>
          <w:kern w:val="0"/>
          <w:sz w:val="28"/>
          <w:szCs w:val="28"/>
          <w:highlight w:val="none"/>
        </w:rPr>
      </w:pPr>
      <w:r>
        <w:rPr>
          <w:rFonts w:hint="eastAsia" w:asciiTheme="minorEastAsia" w:hAnsiTheme="minorEastAsia" w:eastAsiaTheme="minorEastAsia" w:cstheme="minorEastAsia"/>
          <w:b/>
          <w:color w:val="auto"/>
          <w:w w:val="99"/>
          <w:kern w:val="0"/>
          <w:sz w:val="28"/>
          <w:szCs w:val="28"/>
          <w:highlight w:val="none"/>
        </w:rPr>
        <w:t>投标人</w:t>
      </w:r>
      <w:r>
        <w:rPr>
          <w:rFonts w:hint="eastAsia" w:asciiTheme="minorEastAsia" w:hAnsiTheme="minorEastAsia" w:eastAsiaTheme="minorEastAsia" w:cstheme="minorEastAsia"/>
          <w:b/>
          <w:color w:val="auto"/>
          <w:spacing w:val="1"/>
          <w:w w:val="99"/>
          <w:kern w:val="0"/>
          <w:sz w:val="28"/>
          <w:szCs w:val="28"/>
          <w:highlight w:val="none"/>
        </w:rPr>
        <w:t>：</w:t>
      </w:r>
      <w:r>
        <w:rPr>
          <w:rFonts w:hint="eastAsia" w:asciiTheme="minorEastAsia" w:hAnsiTheme="minorEastAsia" w:eastAsiaTheme="minorEastAsia" w:cstheme="minorEastAsia"/>
          <w:b/>
          <w:color w:val="auto"/>
          <w:w w:val="198"/>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（盖单位公章）</w:t>
      </w:r>
    </w:p>
    <w:p w14:paraId="10522016">
      <w:pPr>
        <w:tabs>
          <w:tab w:val="left" w:pos="6080"/>
          <w:tab w:val="left" w:pos="6640"/>
        </w:tabs>
        <w:autoSpaceDE w:val="0"/>
        <w:autoSpaceDN w:val="0"/>
        <w:adjustRightInd w:val="0"/>
        <w:snapToGrid w:val="0"/>
        <w:spacing w:before="240" w:beforeLines="100" w:after="240" w:afterLines="100" w:line="360" w:lineRule="auto"/>
        <w:ind w:firstLine="1112" w:firstLineChars="400"/>
        <w:jc w:val="left"/>
        <w:rPr>
          <w:rFonts w:hint="eastAsia" w:asciiTheme="minorEastAsia" w:hAnsiTheme="minorEastAsia" w:eastAsiaTheme="minorEastAsia" w:cstheme="minorEastAsia"/>
          <w:b/>
          <w:color w:val="auto"/>
          <w:w w:val="99"/>
          <w:kern w:val="0"/>
          <w:sz w:val="28"/>
          <w:szCs w:val="28"/>
          <w:highlight w:val="none"/>
        </w:rPr>
      </w:pPr>
      <w:r>
        <w:rPr>
          <w:rFonts w:hint="eastAsia" w:asciiTheme="minorEastAsia" w:hAnsiTheme="minorEastAsia" w:eastAsiaTheme="minorEastAsia" w:cstheme="minorEastAsia"/>
          <w:b/>
          <w:color w:val="auto"/>
          <w:w w:val="99"/>
          <w:kern w:val="0"/>
          <w:sz w:val="28"/>
          <w:szCs w:val="28"/>
          <w:highlight w:val="none"/>
        </w:rPr>
        <w:t>法定代表人或授权委托人：</w:t>
      </w:r>
      <w:r>
        <w:rPr>
          <w:rFonts w:hint="eastAsia" w:asciiTheme="minorEastAsia" w:hAnsiTheme="minorEastAsia" w:eastAsiaTheme="minorEastAsia" w:cstheme="minorEastAsia"/>
          <w:b/>
          <w:color w:val="auto"/>
          <w:w w:val="198"/>
          <w:kern w:val="0"/>
          <w:sz w:val="28"/>
          <w:szCs w:val="28"/>
          <w:highlight w:val="none"/>
          <w:u w:val="single"/>
        </w:rPr>
        <w:t xml:space="preserve"> </w:t>
      </w:r>
      <w:r>
        <w:rPr>
          <w:rFonts w:hint="eastAsia" w:asciiTheme="minorEastAsia" w:hAnsiTheme="minorEastAsia" w:eastAsiaTheme="minorEastAsia" w:cstheme="minorEastAsia"/>
          <w:b/>
          <w:color w:val="auto"/>
          <w:w w:val="198"/>
          <w:kern w:val="0"/>
          <w:sz w:val="28"/>
          <w:szCs w:val="28"/>
          <w:highlight w:val="none"/>
          <w:u w:val="single"/>
          <w:lang w:val="en-US" w:eastAsia="zh-CN"/>
        </w:rPr>
        <w:t xml:space="preserve">  </w:t>
      </w:r>
      <w:r>
        <w:rPr>
          <w:rFonts w:hint="eastAsia" w:asciiTheme="minorEastAsia" w:hAnsiTheme="minorEastAsia" w:eastAsiaTheme="minorEastAsia" w:cstheme="minorEastAsia"/>
          <w:b/>
          <w:color w:val="auto"/>
          <w:w w:val="198"/>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（签字</w:t>
      </w:r>
      <w:r>
        <w:rPr>
          <w:rFonts w:hint="eastAsia" w:asciiTheme="minorEastAsia" w:hAnsiTheme="minorEastAsia" w:eastAsiaTheme="minorEastAsia" w:cstheme="minorEastAsia"/>
          <w:b/>
          <w:color w:val="auto"/>
          <w:w w:val="99"/>
          <w:kern w:val="0"/>
          <w:sz w:val="28"/>
          <w:szCs w:val="28"/>
          <w:highlight w:val="none"/>
          <w:lang w:val="en-US" w:eastAsia="zh-CN"/>
        </w:rPr>
        <w:t>或盖章</w:t>
      </w:r>
      <w:r>
        <w:rPr>
          <w:rFonts w:hint="eastAsia" w:asciiTheme="minorEastAsia" w:hAnsiTheme="minorEastAsia" w:eastAsiaTheme="minorEastAsia" w:cstheme="minorEastAsia"/>
          <w:b/>
          <w:color w:val="auto"/>
          <w:w w:val="99"/>
          <w:kern w:val="0"/>
          <w:sz w:val="28"/>
          <w:szCs w:val="28"/>
          <w:highlight w:val="none"/>
        </w:rPr>
        <w:t>）</w:t>
      </w:r>
    </w:p>
    <w:p w14:paraId="71D6B575">
      <w:pPr>
        <w:tabs>
          <w:tab w:val="left" w:pos="3280"/>
          <w:tab w:val="left" w:pos="4680"/>
          <w:tab w:val="left" w:pos="6080"/>
        </w:tabs>
        <w:autoSpaceDE w:val="0"/>
        <w:autoSpaceDN w:val="0"/>
        <w:adjustRightInd w:val="0"/>
        <w:snapToGrid w:val="0"/>
        <w:spacing w:before="240" w:beforeLines="100" w:after="240" w:afterLines="100" w:line="360" w:lineRule="auto"/>
        <w:ind w:firstLine="558"/>
        <w:jc w:val="center"/>
        <w:rPr>
          <w:rFonts w:hint="eastAsia" w:asciiTheme="minorEastAsia" w:hAnsiTheme="minorEastAsia" w:eastAsiaTheme="minorEastAsia" w:cstheme="minorEastAsia"/>
          <w:b/>
          <w:color w:val="auto"/>
          <w:w w:val="99"/>
          <w:kern w:val="0"/>
          <w:sz w:val="28"/>
          <w:szCs w:val="28"/>
          <w:highlight w:val="none"/>
        </w:rPr>
      </w:pPr>
    </w:p>
    <w:p w14:paraId="27EB0FA1">
      <w:pPr>
        <w:tabs>
          <w:tab w:val="left" w:pos="3280"/>
          <w:tab w:val="left" w:pos="4680"/>
          <w:tab w:val="left" w:pos="6080"/>
        </w:tabs>
        <w:autoSpaceDE w:val="0"/>
        <w:autoSpaceDN w:val="0"/>
        <w:adjustRightInd w:val="0"/>
        <w:snapToGrid w:val="0"/>
        <w:spacing w:before="240" w:beforeLines="100" w:after="240" w:afterLines="100" w:line="360" w:lineRule="auto"/>
        <w:ind w:firstLine="558"/>
        <w:jc w:val="center"/>
        <w:rPr>
          <w:rFonts w:hint="eastAsia" w:asciiTheme="minorEastAsia" w:hAnsiTheme="minorEastAsia" w:eastAsiaTheme="minorEastAsia" w:cstheme="minorEastAsia"/>
          <w:b/>
          <w:color w:val="auto"/>
          <w:w w:val="99"/>
          <w:kern w:val="0"/>
          <w:sz w:val="28"/>
          <w:szCs w:val="28"/>
          <w:highlight w:val="none"/>
        </w:rPr>
      </w:pPr>
      <w:r>
        <w:rPr>
          <w:rFonts w:hint="eastAsia" w:asciiTheme="minorEastAsia" w:hAnsiTheme="minorEastAsia" w:eastAsiaTheme="minorEastAsia" w:cstheme="minorEastAsia"/>
          <w:b/>
          <w:color w:val="auto"/>
          <w:w w:val="99"/>
          <w:kern w:val="0"/>
          <w:sz w:val="28"/>
          <w:szCs w:val="28"/>
          <w:highlight w:val="none"/>
        </w:rPr>
        <w:t>年   月   日</w:t>
      </w:r>
    </w:p>
    <w:p w14:paraId="36AD250C">
      <w:pPr>
        <w:pStyle w:val="4"/>
        <w:keepNext/>
        <w:keepLines/>
        <w:numPr>
          <w:ilvl w:val="1"/>
          <w:numId w:val="0"/>
        </w:numPr>
        <w:ind w:left="0" w:leftChars="0" w:firstLineChars="0"/>
        <w:outlineLvl w:val="0"/>
        <w:rPr>
          <w:rStyle w:val="90"/>
          <w:rFonts w:hint="eastAsia" w:asciiTheme="minorEastAsia" w:hAnsiTheme="minorEastAsia" w:eastAsiaTheme="minorEastAsia" w:cstheme="minorEastAsia"/>
          <w:b/>
          <w:sz w:val="30"/>
          <w:szCs w:val="24"/>
          <w:highlight w:val="none"/>
          <w:lang w:val="en-US" w:eastAsia="zh-CN"/>
        </w:rPr>
      </w:pPr>
      <w:bookmarkStart w:id="256" w:name="_Toc9651"/>
      <w:bookmarkStart w:id="257" w:name="_Toc17097"/>
      <w:bookmarkStart w:id="258" w:name="_Toc31755"/>
      <w:bookmarkStart w:id="259" w:name="_Toc25698"/>
      <w:r>
        <w:rPr>
          <w:rStyle w:val="90"/>
          <w:rFonts w:hint="eastAsia" w:asciiTheme="minorEastAsia" w:hAnsiTheme="minorEastAsia" w:eastAsiaTheme="minorEastAsia" w:cstheme="minorEastAsia"/>
          <w:b/>
          <w:sz w:val="30"/>
          <w:szCs w:val="24"/>
          <w:highlight w:val="none"/>
          <w:lang w:val="en-US" w:eastAsia="zh-CN"/>
        </w:rPr>
        <w:t>一、投标函部分（包含投标报价</w:t>
      </w:r>
      <w:r>
        <w:rPr>
          <w:rStyle w:val="90"/>
          <w:rFonts w:hint="eastAsia" w:asciiTheme="minorEastAsia" w:hAnsiTheme="minorEastAsia" w:eastAsiaTheme="minorEastAsia" w:cstheme="minorEastAsia"/>
          <w:b/>
          <w:bCs w:val="0"/>
          <w:i w:val="0"/>
          <w:iCs w:val="0"/>
          <w:caps w:val="0"/>
          <w:color w:val="000000"/>
          <w:spacing w:val="0"/>
          <w:sz w:val="30"/>
          <w:szCs w:val="24"/>
          <w:highlight w:val="none"/>
          <w:shd w:val="clear" w:fill="FFFFFF"/>
          <w:lang w:eastAsia="zh-CN"/>
        </w:rPr>
        <w:t>及资格证明文件</w:t>
      </w:r>
      <w:r>
        <w:rPr>
          <w:rStyle w:val="90"/>
          <w:rFonts w:hint="eastAsia" w:asciiTheme="minorEastAsia" w:hAnsiTheme="minorEastAsia" w:eastAsiaTheme="minorEastAsia" w:cstheme="minorEastAsia"/>
          <w:b/>
          <w:sz w:val="30"/>
          <w:szCs w:val="24"/>
          <w:highlight w:val="none"/>
          <w:lang w:val="en-US" w:eastAsia="zh-CN"/>
        </w:rPr>
        <w:t>）</w:t>
      </w:r>
      <w:bookmarkEnd w:id="256"/>
    </w:p>
    <w:p w14:paraId="1538DF87">
      <w:pPr>
        <w:pStyle w:val="97"/>
        <w:ind w:firstLine="0" w:firstLineChars="0"/>
        <w:jc w:val="center"/>
        <w:rPr>
          <w:rFonts w:hint="eastAsia" w:asciiTheme="minorEastAsia" w:hAnsiTheme="minorEastAsia" w:eastAsiaTheme="minorEastAsia" w:cstheme="minorEastAsia"/>
          <w:b w:val="0"/>
          <w:sz w:val="54"/>
          <w:szCs w:val="24"/>
          <w:highlight w:val="none"/>
          <w:lang w:val="en-US" w:eastAsia="zh-CN"/>
        </w:rPr>
      </w:pPr>
    </w:p>
    <w:p w14:paraId="2245D6BF">
      <w:pPr>
        <w:pStyle w:val="97"/>
        <w:ind w:firstLine="0" w:firstLineChars="0"/>
        <w:jc w:val="center"/>
        <w:rPr>
          <w:rFonts w:hint="eastAsia" w:asciiTheme="minorEastAsia" w:hAnsiTheme="minorEastAsia" w:eastAsiaTheme="minorEastAsia" w:cstheme="minorEastAsia"/>
          <w:b w:val="0"/>
          <w:sz w:val="54"/>
          <w:szCs w:val="24"/>
          <w:highlight w:val="none"/>
          <w:lang w:val="en-US" w:eastAsia="zh-CN"/>
        </w:rPr>
      </w:pPr>
    </w:p>
    <w:p w14:paraId="6DF8472D">
      <w:pPr>
        <w:pStyle w:val="97"/>
        <w:ind w:firstLine="0" w:firstLineChars="0"/>
        <w:jc w:val="center"/>
        <w:rPr>
          <w:rFonts w:hint="eastAsia" w:asciiTheme="minorEastAsia" w:hAnsiTheme="minorEastAsia" w:eastAsiaTheme="minorEastAsia" w:cstheme="minorEastAsia"/>
          <w:b w:val="0"/>
          <w:sz w:val="54"/>
          <w:szCs w:val="24"/>
          <w:highlight w:val="none"/>
          <w:lang w:val="en-US" w:eastAsia="zh-CN"/>
        </w:rPr>
      </w:pPr>
    </w:p>
    <w:p w14:paraId="6C633A2E">
      <w:pPr>
        <w:pStyle w:val="97"/>
        <w:ind w:firstLine="0" w:firstLineChars="0"/>
        <w:jc w:val="center"/>
        <w:rPr>
          <w:rFonts w:hint="eastAsia" w:asciiTheme="minorEastAsia" w:hAnsiTheme="minorEastAsia" w:eastAsiaTheme="minorEastAsia" w:cstheme="minorEastAsia"/>
          <w:sz w:val="54"/>
          <w:highlight w:val="none"/>
          <w:lang w:eastAsia="zh-CN"/>
        </w:rPr>
      </w:pPr>
      <w:r>
        <w:rPr>
          <w:rStyle w:val="90"/>
          <w:rFonts w:hint="eastAsia" w:asciiTheme="minorEastAsia" w:hAnsiTheme="minorEastAsia" w:eastAsiaTheme="minorEastAsia" w:cstheme="minorEastAsia"/>
          <w:b w:val="0"/>
          <w:sz w:val="54"/>
          <w:szCs w:val="24"/>
          <w:highlight w:val="none"/>
          <w:lang w:val="en-US" w:eastAsia="zh-CN"/>
        </w:rPr>
        <w:t>投标函部分</w:t>
      </w:r>
      <w:r>
        <w:rPr>
          <w:rFonts w:hint="eastAsia" w:asciiTheme="minorEastAsia" w:hAnsiTheme="minorEastAsia" w:eastAsiaTheme="minorEastAsia" w:cstheme="minorEastAsia"/>
          <w:sz w:val="54"/>
          <w:highlight w:val="none"/>
          <w:lang w:eastAsia="zh-CN"/>
        </w:rPr>
        <w:t>资料</w:t>
      </w:r>
    </w:p>
    <w:p w14:paraId="14C13CD4">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39E36F11">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540B9C45">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1D4ADEDD">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390F0B49">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505AA166">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364C25E7">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0A5A0CDB">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36A4627C">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5457E583">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1FF5FBB0">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35C43CC9">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650808B6">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70FD4F15">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3715B38E">
      <w:pPr>
        <w:ind w:left="0" w:leftChars="0" w:firstLine="0" w:firstLineChars="0"/>
        <w:rPr>
          <w:rStyle w:val="135"/>
          <w:rFonts w:hint="eastAsia" w:asciiTheme="minorEastAsia" w:hAnsiTheme="minorEastAsia" w:eastAsiaTheme="minorEastAsia" w:cstheme="minorEastAsia"/>
          <w:b/>
          <w:sz w:val="32"/>
          <w:szCs w:val="32"/>
          <w:highlight w:val="none"/>
          <w:lang w:val="en-US" w:eastAsia="zh-CN"/>
        </w:rPr>
      </w:pPr>
    </w:p>
    <w:p w14:paraId="48DD366D">
      <w:pPr>
        <w:ind w:left="0" w:leftChars="0" w:firstLine="0" w:firstLineChars="0"/>
        <w:rPr>
          <w:rStyle w:val="135"/>
          <w:rFonts w:hint="eastAsia" w:asciiTheme="minorEastAsia" w:hAnsiTheme="minorEastAsia" w:eastAsiaTheme="minorEastAsia" w:cstheme="minorEastAsia"/>
          <w:b/>
          <w:sz w:val="32"/>
          <w:szCs w:val="32"/>
          <w:highlight w:val="none"/>
          <w:lang w:eastAsia="zh-CN"/>
        </w:rPr>
      </w:pPr>
      <w:bookmarkStart w:id="260" w:name="_Toc14594"/>
      <w:r>
        <w:rPr>
          <w:rStyle w:val="135"/>
          <w:rFonts w:hint="eastAsia" w:asciiTheme="minorEastAsia" w:hAnsiTheme="minorEastAsia" w:eastAsiaTheme="minorEastAsia" w:cstheme="minorEastAsia"/>
          <w:b/>
          <w:sz w:val="32"/>
          <w:szCs w:val="32"/>
          <w:highlight w:val="none"/>
          <w:lang w:val="en-US" w:eastAsia="zh-CN"/>
        </w:rPr>
        <w:t>1.1</w:t>
      </w:r>
      <w:r>
        <w:rPr>
          <w:rStyle w:val="135"/>
          <w:rFonts w:hint="eastAsia" w:asciiTheme="minorEastAsia" w:hAnsiTheme="minorEastAsia" w:eastAsiaTheme="minorEastAsia" w:cstheme="minorEastAsia"/>
          <w:b/>
          <w:sz w:val="32"/>
          <w:szCs w:val="32"/>
          <w:highlight w:val="none"/>
          <w:lang w:eastAsia="zh-CN"/>
        </w:rPr>
        <w:t>法定代表人身份证明（格式）</w:t>
      </w:r>
    </w:p>
    <w:bookmarkEnd w:id="257"/>
    <w:bookmarkEnd w:id="258"/>
    <w:bookmarkEnd w:id="259"/>
    <w:bookmarkEnd w:id="260"/>
    <w:p w14:paraId="76D1471E">
      <w:pPr>
        <w:pStyle w:val="97"/>
        <w:ind w:firstLine="0" w:firstLineChars="0"/>
        <w:jc w:val="center"/>
        <w:rPr>
          <w:rFonts w:hint="eastAsia" w:asciiTheme="minorEastAsia" w:hAnsiTheme="minorEastAsia" w:eastAsiaTheme="minorEastAsia" w:cstheme="minorEastAsia"/>
          <w:highlight w:val="none"/>
          <w:lang w:eastAsia="zh-CN"/>
        </w:rPr>
      </w:pPr>
    </w:p>
    <w:p w14:paraId="615DC01B">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bCs/>
          <w:sz w:val="30"/>
          <w:szCs w:val="30"/>
          <w:highlight w:val="none"/>
          <w:lang w:eastAsia="zh-CN"/>
        </w:rPr>
        <w:t>法定代表人身份证明</w:t>
      </w:r>
    </w:p>
    <w:p w14:paraId="06933F43">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投标人名称：</w:t>
      </w:r>
    </w:p>
    <w:p w14:paraId="7DA7749E">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单位性质：</w:t>
      </w:r>
    </w:p>
    <w:p w14:paraId="02E2CB16">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地 址：</w:t>
      </w:r>
    </w:p>
    <w:p w14:paraId="5F71293C">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 xml:space="preserve">成立时间： </w:t>
      </w:r>
      <w:r>
        <w:rPr>
          <w:rFonts w:hint="eastAsia" w:asciiTheme="minorEastAsia" w:hAnsiTheme="minorEastAsia" w:eastAsiaTheme="minorEastAsia" w:cstheme="minorEastAsia"/>
          <w:highlight w:val="none"/>
          <w:lang w:eastAsia="zh-CN"/>
        </w:rPr>
        <w:tab/>
      </w:r>
      <w:r>
        <w:rPr>
          <w:rFonts w:hint="eastAsia" w:asciiTheme="minorEastAsia" w:hAnsiTheme="minorEastAsia" w:eastAsiaTheme="minorEastAsia" w:cstheme="minorEastAsia"/>
          <w:highlight w:val="none"/>
          <w:lang w:eastAsia="zh-CN"/>
        </w:rPr>
        <w:t xml:space="preserve">年 </w:t>
      </w:r>
      <w:r>
        <w:rPr>
          <w:rFonts w:hint="eastAsia" w:asciiTheme="minorEastAsia" w:hAnsiTheme="minorEastAsia" w:eastAsiaTheme="minorEastAsia" w:cstheme="minorEastAsia"/>
          <w:highlight w:val="none"/>
          <w:lang w:eastAsia="zh-CN"/>
        </w:rPr>
        <w:tab/>
      </w:r>
      <w:r>
        <w:rPr>
          <w:rFonts w:hint="eastAsia" w:asciiTheme="minorEastAsia" w:hAnsiTheme="minorEastAsia" w:eastAsiaTheme="minorEastAsia" w:cstheme="minorEastAsia"/>
          <w:highlight w:val="none"/>
          <w:lang w:eastAsia="zh-CN"/>
        </w:rPr>
        <w:t xml:space="preserve">月 </w:t>
      </w:r>
      <w:r>
        <w:rPr>
          <w:rFonts w:hint="eastAsia" w:asciiTheme="minorEastAsia" w:hAnsiTheme="minorEastAsia" w:eastAsiaTheme="minorEastAsia" w:cstheme="minorEastAsia"/>
          <w:highlight w:val="none"/>
          <w:lang w:eastAsia="zh-CN"/>
        </w:rPr>
        <w:tab/>
      </w:r>
      <w:r>
        <w:rPr>
          <w:rFonts w:hint="eastAsia" w:asciiTheme="minorEastAsia" w:hAnsiTheme="minorEastAsia" w:eastAsiaTheme="minorEastAsia" w:cstheme="minorEastAsia"/>
          <w:highlight w:val="none"/>
          <w:lang w:eastAsia="zh-CN"/>
        </w:rPr>
        <w:t>日</w:t>
      </w:r>
    </w:p>
    <w:p w14:paraId="59E1F603">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经营期限：</w:t>
      </w:r>
    </w:p>
    <w:p w14:paraId="4D554C95">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 xml:space="preserve">姓名： </w:t>
      </w:r>
      <w:r>
        <w:rPr>
          <w:rFonts w:hint="eastAsia" w:asciiTheme="minorEastAsia" w:hAnsiTheme="minorEastAsia" w:eastAsiaTheme="minorEastAsia" w:cstheme="minorEastAsia"/>
          <w:highlight w:val="none"/>
          <w:lang w:eastAsia="zh-CN"/>
        </w:rPr>
        <w:tab/>
      </w:r>
      <w:r>
        <w:rPr>
          <w:rFonts w:hint="eastAsia" w:asciiTheme="minorEastAsia" w:hAnsiTheme="minorEastAsia" w:eastAsiaTheme="minorEastAsia" w:cstheme="minorEastAsia"/>
          <w:highlight w:val="none"/>
          <w:lang w:eastAsia="zh-CN"/>
        </w:rPr>
        <w:t xml:space="preserve">  性别： </w:t>
      </w:r>
      <w:r>
        <w:rPr>
          <w:rFonts w:hint="eastAsia" w:asciiTheme="minorEastAsia" w:hAnsiTheme="minorEastAsia" w:eastAsiaTheme="minorEastAsia" w:cstheme="minorEastAsia"/>
          <w:highlight w:val="none"/>
          <w:lang w:eastAsia="zh-CN"/>
        </w:rPr>
        <w:tab/>
      </w:r>
      <w:r>
        <w:rPr>
          <w:rFonts w:hint="eastAsia" w:asciiTheme="minorEastAsia" w:hAnsiTheme="minorEastAsia" w:eastAsiaTheme="minorEastAsia" w:cstheme="minorEastAsia"/>
          <w:highlight w:val="none"/>
          <w:lang w:eastAsia="zh-CN"/>
        </w:rPr>
        <w:t xml:space="preserve">  年龄： </w:t>
      </w:r>
      <w:r>
        <w:rPr>
          <w:rFonts w:hint="eastAsia" w:asciiTheme="minorEastAsia" w:hAnsiTheme="minorEastAsia" w:eastAsiaTheme="minorEastAsia" w:cstheme="minorEastAsia"/>
          <w:highlight w:val="none"/>
          <w:lang w:eastAsia="zh-CN"/>
        </w:rPr>
        <w:tab/>
      </w:r>
      <w:r>
        <w:rPr>
          <w:rFonts w:hint="eastAsia" w:asciiTheme="minorEastAsia" w:hAnsiTheme="minorEastAsia" w:eastAsiaTheme="minorEastAsia" w:cstheme="minorEastAsia"/>
          <w:highlight w:val="none"/>
          <w:lang w:eastAsia="zh-CN"/>
        </w:rPr>
        <w:t xml:space="preserve">  职务：</w:t>
      </w:r>
    </w:p>
    <w:p w14:paraId="0DB14162">
      <w:pPr>
        <w:pStyle w:val="97"/>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系</w:t>
      </w:r>
      <w:r>
        <w:rPr>
          <w:rStyle w:val="134"/>
          <w:rFonts w:hint="eastAsia" w:asciiTheme="minorEastAsia" w:hAnsiTheme="minorEastAsia" w:eastAsiaTheme="minorEastAsia" w:cstheme="minorEastAsia"/>
          <w:b w:val="0"/>
          <w:bCs/>
          <w:highlight w:val="none"/>
          <w:lang w:eastAsia="zh-CN"/>
        </w:rPr>
        <w:t xml:space="preserve"> </w:t>
      </w:r>
      <w:r>
        <w:rPr>
          <w:rStyle w:val="134"/>
          <w:rFonts w:hint="eastAsia" w:asciiTheme="minorEastAsia" w:hAnsiTheme="minorEastAsia" w:eastAsiaTheme="minorEastAsia" w:cstheme="minorEastAsia"/>
          <w:b w:val="0"/>
          <w:bCs/>
          <w:highlight w:val="none"/>
          <w:lang w:eastAsia="zh-CN"/>
        </w:rPr>
        <w:tab/>
      </w:r>
      <w:r>
        <w:rPr>
          <w:rStyle w:val="134"/>
          <w:rFonts w:hint="eastAsia" w:asciiTheme="minorEastAsia" w:hAnsiTheme="minorEastAsia" w:eastAsiaTheme="minorEastAsia" w:cstheme="minorEastAsia"/>
          <w:b w:val="0"/>
          <w:bCs/>
          <w:highlight w:val="none"/>
          <w:lang w:eastAsia="zh-CN"/>
        </w:rPr>
        <w:t xml:space="preserve">                                                    </w:t>
      </w:r>
      <w:r>
        <w:rPr>
          <w:rFonts w:hint="eastAsia" w:asciiTheme="minorEastAsia" w:hAnsiTheme="minorEastAsia" w:eastAsiaTheme="minorEastAsia" w:cstheme="minorEastAsia"/>
          <w:highlight w:val="none"/>
          <w:lang w:eastAsia="zh-CN"/>
        </w:rPr>
        <w:t>（投标人名称）的法定代表人。</w:t>
      </w:r>
    </w:p>
    <w:p w14:paraId="7E05FA81">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特此证明。</w:t>
      </w:r>
    </w:p>
    <w:p w14:paraId="10D608EC">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投标人：            （盖单位公章）</w:t>
      </w:r>
    </w:p>
    <w:p w14:paraId="65A4F978">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 xml:space="preserve"> 日期：</w:t>
      </w:r>
      <w:r>
        <w:rPr>
          <w:rFonts w:hint="eastAsia" w:asciiTheme="minorEastAsia" w:hAnsiTheme="minorEastAsia" w:eastAsiaTheme="minorEastAsia" w:cstheme="minorEastAsia"/>
          <w:highlight w:val="none"/>
          <w:lang w:eastAsia="zh-CN"/>
        </w:rPr>
        <w:tab/>
      </w:r>
      <w:r>
        <w:rPr>
          <w:rFonts w:hint="eastAsia" w:asciiTheme="minorEastAsia" w:hAnsiTheme="minorEastAsia" w:eastAsiaTheme="minorEastAsia" w:cstheme="minorEastAsia"/>
          <w:highlight w:val="none"/>
          <w:lang w:eastAsia="zh-CN"/>
        </w:rPr>
        <w:t xml:space="preserve">年 </w:t>
      </w:r>
      <w:r>
        <w:rPr>
          <w:rFonts w:hint="eastAsia" w:asciiTheme="minorEastAsia" w:hAnsiTheme="minorEastAsia" w:eastAsiaTheme="minorEastAsia" w:cstheme="minorEastAsia"/>
          <w:highlight w:val="none"/>
          <w:lang w:eastAsia="zh-CN"/>
        </w:rPr>
        <w:tab/>
      </w:r>
      <w:r>
        <w:rPr>
          <w:rFonts w:hint="eastAsia" w:asciiTheme="minorEastAsia" w:hAnsiTheme="minorEastAsia" w:eastAsiaTheme="minorEastAsia" w:cstheme="minorEastAsia"/>
          <w:highlight w:val="none"/>
          <w:lang w:eastAsia="zh-CN"/>
        </w:rPr>
        <w:t xml:space="preserve">月 </w:t>
      </w:r>
      <w:r>
        <w:rPr>
          <w:rFonts w:hint="eastAsia" w:asciiTheme="minorEastAsia" w:hAnsiTheme="minorEastAsia" w:eastAsiaTheme="minorEastAsia" w:cstheme="minorEastAsia"/>
          <w:highlight w:val="none"/>
          <w:lang w:eastAsia="zh-CN"/>
        </w:rPr>
        <w:tab/>
      </w:r>
      <w:r>
        <w:rPr>
          <w:rFonts w:hint="eastAsia" w:asciiTheme="minorEastAsia" w:hAnsiTheme="minorEastAsia" w:eastAsiaTheme="minorEastAsia" w:cstheme="minorEastAsia"/>
          <w:highlight w:val="none"/>
          <w:lang w:eastAsia="zh-CN"/>
        </w:rPr>
        <w:t>日</w:t>
      </w:r>
    </w:p>
    <w:p w14:paraId="579C33BA">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注：</w:t>
      </w:r>
      <w:r>
        <w:rPr>
          <w:rFonts w:hint="eastAsia" w:asciiTheme="minorEastAsia" w:hAnsiTheme="minorEastAsia" w:eastAsiaTheme="minorEastAsia" w:cstheme="minorEastAsia"/>
          <w:b/>
          <w:highlight w:val="none"/>
          <w:lang w:eastAsia="zh-CN"/>
        </w:rPr>
        <w:t>需提供法定代表人身份证复印件（正反面）</w:t>
      </w:r>
      <w:r>
        <w:rPr>
          <w:rFonts w:hint="eastAsia" w:asciiTheme="minorEastAsia" w:hAnsiTheme="minorEastAsia" w:eastAsiaTheme="minorEastAsia" w:cstheme="minorEastAsia"/>
          <w:highlight w:val="none"/>
          <w:lang w:eastAsia="zh-CN"/>
        </w:rPr>
        <w:t>，法定代表人身份证明需按上述格式填写完整，不可缺少内容。在此基础上增加内容的不影响其有效性。</w:t>
      </w:r>
    </w:p>
    <w:p w14:paraId="424CF5F8">
      <w:pPr>
        <w:ind w:firstLine="0" w:firstLineChars="0"/>
        <w:rPr>
          <w:rFonts w:hint="eastAsia" w:asciiTheme="minorEastAsia" w:hAnsiTheme="minorEastAsia" w:eastAsiaTheme="minorEastAsia" w:cstheme="minorEastAsia"/>
          <w:highlight w:val="none"/>
          <w:lang w:eastAsia="zh-CN"/>
        </w:rPr>
      </w:pPr>
    </w:p>
    <w:tbl>
      <w:tblPr>
        <w:tblStyle w:val="89"/>
        <w:tblpPr w:leftFromText="180" w:rightFromText="180" w:vertAnchor="text" w:horzAnchor="margin" w:tblpY="29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6325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2500" w:type="pct"/>
            <w:vAlign w:val="center"/>
          </w:tcPr>
          <w:p w14:paraId="7104961A">
            <w:pPr>
              <w:ind w:firstLine="480"/>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法定代表人身份证（</w:t>
            </w:r>
            <w:r>
              <w:rPr>
                <w:rFonts w:hint="eastAsia" w:asciiTheme="minorEastAsia" w:hAnsiTheme="minorEastAsia" w:eastAsiaTheme="minorEastAsia" w:cstheme="minorEastAsia"/>
                <w:highlight w:val="none"/>
                <w:lang w:val="en-US" w:eastAsia="zh-CN"/>
              </w:rPr>
              <w:t>国徽</w:t>
            </w:r>
            <w:r>
              <w:rPr>
                <w:rFonts w:hint="eastAsia" w:asciiTheme="minorEastAsia" w:hAnsiTheme="minorEastAsia" w:eastAsiaTheme="minorEastAsia" w:cstheme="minorEastAsia"/>
                <w:highlight w:val="none"/>
                <w:lang w:eastAsia="zh-CN"/>
              </w:rPr>
              <w:t>面）</w:t>
            </w:r>
          </w:p>
        </w:tc>
        <w:tc>
          <w:tcPr>
            <w:tcW w:w="2500" w:type="pct"/>
            <w:vAlign w:val="center"/>
          </w:tcPr>
          <w:p w14:paraId="1A5B1000">
            <w:pPr>
              <w:ind w:firstLine="480"/>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法定代表人身份证（人</w:t>
            </w:r>
            <w:r>
              <w:rPr>
                <w:rFonts w:hint="eastAsia" w:asciiTheme="minorEastAsia" w:hAnsiTheme="minorEastAsia" w:eastAsiaTheme="minorEastAsia" w:cstheme="minorEastAsia"/>
                <w:highlight w:val="none"/>
                <w:lang w:val="en-US" w:eastAsia="zh-CN"/>
              </w:rPr>
              <w:t>像</w:t>
            </w:r>
            <w:r>
              <w:rPr>
                <w:rFonts w:hint="eastAsia" w:asciiTheme="minorEastAsia" w:hAnsiTheme="minorEastAsia" w:eastAsiaTheme="minorEastAsia" w:cstheme="minorEastAsia"/>
                <w:highlight w:val="none"/>
                <w:lang w:eastAsia="zh-CN"/>
              </w:rPr>
              <w:t>面）</w:t>
            </w:r>
          </w:p>
        </w:tc>
      </w:tr>
    </w:tbl>
    <w:p w14:paraId="522C0713">
      <w:pPr>
        <w:rPr>
          <w:rFonts w:hint="eastAsia" w:asciiTheme="minorEastAsia" w:hAnsiTheme="minorEastAsia" w:eastAsiaTheme="minorEastAsia" w:cstheme="minorEastAsia"/>
          <w:b/>
          <w:color w:val="auto"/>
          <w:w w:val="99"/>
          <w:kern w:val="0"/>
          <w:sz w:val="28"/>
          <w:szCs w:val="28"/>
          <w:highlight w:val="none"/>
        </w:rPr>
      </w:pPr>
    </w:p>
    <w:p w14:paraId="6D5024EA">
      <w:pP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br w:type="page"/>
      </w:r>
    </w:p>
    <w:p w14:paraId="7598E25B">
      <w:pPr>
        <w:keepNext w:val="0"/>
        <w:keepLines w:val="0"/>
        <w:pageBreakBefore w:val="0"/>
        <w:widowControl w:val="0"/>
        <w:kinsoku/>
        <w:wordWrap/>
        <w:overflowPunct/>
        <w:topLinePunct w:val="0"/>
        <w:autoSpaceDE/>
        <w:autoSpaceDN/>
        <w:bidi w:val="0"/>
        <w:adjustRightInd/>
        <w:snapToGrid/>
        <w:ind w:firstLine="0" w:firstLineChars="0"/>
        <w:textAlignment w:val="auto"/>
        <w:rPr>
          <w:rStyle w:val="135"/>
          <w:rFonts w:hint="eastAsia" w:asciiTheme="minorEastAsia" w:hAnsiTheme="minorEastAsia" w:eastAsiaTheme="minorEastAsia" w:cstheme="minorEastAsia"/>
          <w:b/>
          <w:sz w:val="32"/>
          <w:szCs w:val="32"/>
          <w:highlight w:val="none"/>
          <w:lang w:eastAsia="zh-CN"/>
        </w:rPr>
      </w:pPr>
      <w:bookmarkStart w:id="261" w:name="_Toc21108"/>
      <w:bookmarkStart w:id="262" w:name="_Toc6379"/>
      <w:bookmarkStart w:id="263" w:name="_Toc15478"/>
      <w:bookmarkStart w:id="264" w:name="_Toc14532"/>
      <w:r>
        <w:rPr>
          <w:rStyle w:val="135"/>
          <w:rFonts w:hint="eastAsia" w:asciiTheme="minorEastAsia" w:hAnsiTheme="minorEastAsia" w:eastAsiaTheme="minorEastAsia" w:cstheme="minorEastAsia"/>
          <w:b/>
          <w:sz w:val="32"/>
          <w:szCs w:val="32"/>
          <w:highlight w:val="none"/>
          <w:lang w:val="en-US" w:eastAsia="zh-CN"/>
        </w:rPr>
        <w:t>1.2</w:t>
      </w:r>
      <w:r>
        <w:rPr>
          <w:rStyle w:val="135"/>
          <w:rFonts w:hint="eastAsia" w:asciiTheme="minorEastAsia" w:hAnsiTheme="minorEastAsia" w:eastAsiaTheme="minorEastAsia" w:cstheme="minorEastAsia"/>
          <w:b/>
          <w:sz w:val="32"/>
          <w:szCs w:val="32"/>
          <w:highlight w:val="none"/>
          <w:lang w:eastAsia="zh-CN"/>
        </w:rPr>
        <w:t>法人授权委托书（格式）</w:t>
      </w:r>
    </w:p>
    <w:bookmarkEnd w:id="261"/>
    <w:bookmarkEnd w:id="262"/>
    <w:bookmarkEnd w:id="263"/>
    <w:bookmarkEnd w:id="264"/>
    <w:p w14:paraId="5A4EB1E2">
      <w:pPr>
        <w:pStyle w:val="97"/>
        <w:ind w:firstLine="560"/>
        <w:rPr>
          <w:rFonts w:hint="eastAsia" w:asciiTheme="minorEastAsia" w:hAnsiTheme="minorEastAsia" w:eastAsiaTheme="minorEastAsia" w:cstheme="minorEastAsia"/>
          <w:sz w:val="28"/>
          <w:highlight w:val="none"/>
          <w:lang w:eastAsia="zh-CN"/>
        </w:rPr>
      </w:pPr>
    </w:p>
    <w:p w14:paraId="353D851E">
      <w:pPr>
        <w:pStyle w:val="97"/>
        <w:keepNext w:val="0"/>
        <w:keepLines w:val="0"/>
        <w:pageBreakBefore w:val="0"/>
        <w:widowControl w:val="0"/>
        <w:kinsoku/>
        <w:wordWrap/>
        <w:overflowPunct/>
        <w:topLinePunct w:val="0"/>
        <w:autoSpaceDE/>
        <w:autoSpaceDN/>
        <w:bidi w:val="0"/>
        <w:adjustRightInd/>
        <w:snapToGrid/>
        <w:spacing w:line="360" w:lineRule="auto"/>
        <w:ind w:firstLine="562"/>
        <w:jc w:val="center"/>
        <w:textAlignment w:val="auto"/>
        <w:rPr>
          <w:rFonts w:hint="eastAsia" w:asciiTheme="minorEastAsia" w:hAnsiTheme="minorEastAsia" w:eastAsiaTheme="minorEastAsia" w:cstheme="minorEastAsia"/>
          <w:b/>
          <w:bCs/>
          <w:sz w:val="28"/>
          <w:highlight w:val="none"/>
          <w:lang w:eastAsia="zh-CN"/>
        </w:rPr>
      </w:pPr>
      <w:r>
        <w:rPr>
          <w:rFonts w:hint="eastAsia" w:asciiTheme="minorEastAsia" w:hAnsiTheme="minorEastAsia" w:eastAsiaTheme="minorEastAsia" w:cstheme="minorEastAsia"/>
          <w:b/>
          <w:bCs/>
          <w:sz w:val="28"/>
          <w:highlight w:val="none"/>
          <w:lang w:eastAsia="zh-CN"/>
        </w:rPr>
        <w:t>法人授权委托书</w:t>
      </w:r>
    </w:p>
    <w:p w14:paraId="301B0FBC">
      <w:pPr>
        <w:pStyle w:val="97"/>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本人  </w:t>
      </w:r>
      <w:r>
        <w:rPr>
          <w:rStyle w:val="134"/>
          <w:rFonts w:hint="eastAsia" w:asciiTheme="minorEastAsia" w:hAnsiTheme="minorEastAsia" w:eastAsiaTheme="minorEastAsia" w:cstheme="minorEastAsia"/>
          <w:b w:val="0"/>
          <w:sz w:val="24"/>
          <w:szCs w:val="24"/>
          <w:highlight w:val="none"/>
          <w:lang w:eastAsia="zh-CN"/>
        </w:rPr>
        <w:t xml:space="preserve">  </w:t>
      </w:r>
      <w:r>
        <w:rPr>
          <w:rStyle w:val="134"/>
          <w:rFonts w:hint="eastAsia" w:asciiTheme="minorEastAsia" w:hAnsiTheme="minorEastAsia" w:eastAsiaTheme="minorEastAsia" w:cstheme="minorEastAsia"/>
          <w:b w:val="0"/>
          <w:sz w:val="24"/>
          <w:szCs w:val="24"/>
          <w:highlight w:val="none"/>
          <w:lang w:eastAsia="zh-CN"/>
        </w:rPr>
        <w:tab/>
      </w:r>
      <w:r>
        <w:rPr>
          <w:rStyle w:val="134"/>
          <w:rFonts w:hint="eastAsia" w:asciiTheme="minorEastAsia" w:hAnsiTheme="minorEastAsia" w:eastAsiaTheme="minorEastAsia" w:cstheme="minorEastAsia"/>
          <w:b w:val="0"/>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 xml:space="preserve">（姓名）系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 xml:space="preserve"> </w:t>
      </w:r>
      <w:r>
        <w:rPr>
          <w:rStyle w:val="134"/>
          <w:rFonts w:hint="eastAsia" w:asciiTheme="minorEastAsia" w:hAnsiTheme="minorEastAsia" w:eastAsiaTheme="minorEastAsia" w:cstheme="minorEastAsia"/>
          <w:b w:val="0"/>
          <w:bCs/>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 xml:space="preserve">（ 投标人名称）的法定代表人，现委托 </w:t>
      </w:r>
      <w:r>
        <w:rPr>
          <w:rStyle w:val="134"/>
          <w:rFonts w:hint="eastAsia" w:asciiTheme="minorEastAsia" w:hAnsiTheme="minorEastAsia" w:eastAsiaTheme="minorEastAsia" w:cstheme="minorEastAsia"/>
          <w:b w:val="0"/>
          <w:bCs/>
          <w:sz w:val="24"/>
          <w:szCs w:val="24"/>
          <w:highlight w:val="none"/>
          <w:lang w:eastAsia="zh-CN"/>
        </w:rPr>
        <w:tab/>
      </w:r>
      <w:r>
        <w:rPr>
          <w:rStyle w:val="134"/>
          <w:rFonts w:hint="eastAsia" w:asciiTheme="minorEastAsia" w:hAnsiTheme="minorEastAsia" w:eastAsiaTheme="minorEastAsia" w:cstheme="minorEastAsia"/>
          <w:b w:val="0"/>
          <w:bCs/>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 xml:space="preserve">（姓名）为我方代理人。代理人根据授权，以我方名义签署、澄清、说明、补正、递交、撤回、修改  </w:t>
      </w:r>
      <w:r>
        <w:rPr>
          <w:rStyle w:val="134"/>
          <w:rFonts w:hint="eastAsia" w:asciiTheme="minorEastAsia" w:hAnsiTheme="minorEastAsia" w:eastAsiaTheme="minorEastAsia" w:cstheme="minorEastAsia"/>
          <w:b w:val="0"/>
          <w:bCs/>
          <w:sz w:val="24"/>
          <w:szCs w:val="24"/>
          <w:highlight w:val="none"/>
          <w:lang w:eastAsia="zh-CN"/>
        </w:rPr>
        <w:t xml:space="preserve">      </w:t>
      </w:r>
      <w:r>
        <w:rPr>
          <w:rStyle w:val="134"/>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sz w:val="24"/>
          <w:szCs w:val="24"/>
          <w:highlight w:val="none"/>
          <w:lang w:eastAsia="zh-CN"/>
        </w:rPr>
        <w:t>（项目名称）</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投标文件、领取原件、签订合同和处理有关事宜，其法律后果由我方承担。（本委托书的有效期为：</w:t>
      </w:r>
      <w:r>
        <w:rPr>
          <w:rFonts w:hint="eastAsia" w:asciiTheme="minorEastAsia" w:hAnsiTheme="minorEastAsia" w:eastAsiaTheme="minorEastAsia" w:cstheme="minorEastAsia"/>
          <w:b/>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b/>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b/>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日至</w:t>
      </w:r>
      <w:r>
        <w:rPr>
          <w:rFonts w:hint="eastAsia" w:asciiTheme="minorEastAsia" w:hAnsiTheme="minorEastAsia" w:eastAsiaTheme="minorEastAsia" w:cstheme="minorEastAsia"/>
          <w:b/>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b/>
          <w:bCs/>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日止）</w:t>
      </w:r>
    </w:p>
    <w:p w14:paraId="40D3ED41">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代理人无转委托权。</w:t>
      </w:r>
    </w:p>
    <w:tbl>
      <w:tblPr>
        <w:tblStyle w:val="89"/>
        <w:tblpPr w:leftFromText="180" w:rightFromText="180" w:vertAnchor="text" w:horzAnchor="margin" w:tblpY="29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66AD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2500" w:type="pct"/>
            <w:vAlign w:val="center"/>
          </w:tcPr>
          <w:p w14:paraId="1E490D0F">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授权代表人身份证（</w:t>
            </w:r>
            <w:r>
              <w:rPr>
                <w:rFonts w:hint="eastAsia" w:asciiTheme="minorEastAsia" w:hAnsiTheme="minorEastAsia" w:eastAsiaTheme="minorEastAsia" w:cstheme="minorEastAsia"/>
                <w:sz w:val="24"/>
                <w:szCs w:val="24"/>
                <w:highlight w:val="none"/>
                <w:lang w:val="en-US" w:eastAsia="zh-CN"/>
              </w:rPr>
              <w:t>国徽</w:t>
            </w:r>
            <w:r>
              <w:rPr>
                <w:rFonts w:hint="eastAsia" w:asciiTheme="minorEastAsia" w:hAnsiTheme="minorEastAsia" w:eastAsiaTheme="minorEastAsia" w:cstheme="minorEastAsia"/>
                <w:sz w:val="24"/>
                <w:szCs w:val="24"/>
                <w:highlight w:val="none"/>
                <w:lang w:eastAsia="zh-CN"/>
              </w:rPr>
              <w:t>面）</w:t>
            </w:r>
          </w:p>
        </w:tc>
        <w:tc>
          <w:tcPr>
            <w:tcW w:w="2500" w:type="pct"/>
            <w:vAlign w:val="center"/>
          </w:tcPr>
          <w:p w14:paraId="5EAF2DDF">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授权代表人身份证（人</w:t>
            </w:r>
            <w:r>
              <w:rPr>
                <w:rFonts w:hint="eastAsia" w:asciiTheme="minorEastAsia" w:hAnsiTheme="minorEastAsia" w:eastAsiaTheme="minorEastAsia" w:cstheme="minorEastAsia"/>
                <w:sz w:val="24"/>
                <w:szCs w:val="24"/>
                <w:highlight w:val="none"/>
                <w:lang w:val="en-US" w:eastAsia="zh-CN"/>
              </w:rPr>
              <w:t>像</w:t>
            </w:r>
            <w:r>
              <w:rPr>
                <w:rFonts w:hint="eastAsia" w:asciiTheme="minorEastAsia" w:hAnsiTheme="minorEastAsia" w:eastAsiaTheme="minorEastAsia" w:cstheme="minorEastAsia"/>
                <w:sz w:val="24"/>
                <w:szCs w:val="24"/>
                <w:highlight w:val="none"/>
                <w:lang w:eastAsia="zh-CN"/>
              </w:rPr>
              <w:t>面）</w:t>
            </w:r>
          </w:p>
        </w:tc>
      </w:tr>
    </w:tbl>
    <w:p w14:paraId="42D9AC82">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eastAsia="zh-CN"/>
        </w:rPr>
      </w:pPr>
    </w:p>
    <w:p w14:paraId="0F300CFA">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p>
    <w:p w14:paraId="6A2EC0AF">
      <w:pPr>
        <w:pStyle w:val="97"/>
        <w:keepNext w:val="0"/>
        <w:keepLines w:val="0"/>
        <w:pageBreakBefore w:val="0"/>
        <w:widowControl w:val="0"/>
        <w:kinsoku/>
        <w:wordWrap/>
        <w:overflowPunct/>
        <w:topLinePunct w:val="0"/>
        <w:autoSpaceDE/>
        <w:autoSpaceDN/>
        <w:bidi w:val="0"/>
        <w:adjustRightInd/>
        <w:snapToGrid/>
        <w:spacing w:line="360" w:lineRule="auto"/>
        <w:ind w:right="-8" w:firstLine="3967" w:firstLineChars="165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投标人：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（盖单位公章）</w:t>
      </w:r>
    </w:p>
    <w:p w14:paraId="738E7BC6">
      <w:pPr>
        <w:pStyle w:val="97"/>
        <w:keepNext w:val="0"/>
        <w:keepLines w:val="0"/>
        <w:pageBreakBefore w:val="0"/>
        <w:widowControl w:val="0"/>
        <w:tabs>
          <w:tab w:val="left" w:pos="2694"/>
        </w:tabs>
        <w:kinsoku/>
        <w:wordWrap/>
        <w:overflowPunct/>
        <w:topLinePunct w:val="0"/>
        <w:autoSpaceDE/>
        <w:autoSpaceDN/>
        <w:bidi w:val="0"/>
        <w:adjustRightInd/>
        <w:snapToGrid/>
        <w:spacing w:line="360" w:lineRule="auto"/>
        <w:ind w:right="-8" w:firstLine="3967" w:firstLineChars="165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法定代表人：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 xml:space="preserve">           （签字</w:t>
      </w:r>
      <w:r>
        <w:rPr>
          <w:rFonts w:hint="eastAsia" w:asciiTheme="minorEastAsia" w:hAnsiTheme="minorEastAsia" w:eastAsiaTheme="minorEastAsia" w:cstheme="minorEastAsia"/>
          <w:sz w:val="24"/>
          <w:szCs w:val="24"/>
          <w:highlight w:val="none"/>
          <w:lang w:val="en-US" w:eastAsia="zh-CN"/>
        </w:rPr>
        <w:t>或盖章</w:t>
      </w:r>
      <w:r>
        <w:rPr>
          <w:rFonts w:hint="eastAsia" w:asciiTheme="minorEastAsia" w:hAnsiTheme="minorEastAsia" w:eastAsiaTheme="minorEastAsia" w:cstheme="minorEastAsia"/>
          <w:sz w:val="24"/>
          <w:szCs w:val="24"/>
          <w:highlight w:val="none"/>
          <w:lang w:eastAsia="zh-CN"/>
        </w:rPr>
        <w:t>）</w:t>
      </w:r>
    </w:p>
    <w:p w14:paraId="138BD2EA">
      <w:pPr>
        <w:pStyle w:val="97"/>
        <w:keepNext w:val="0"/>
        <w:keepLines w:val="0"/>
        <w:pageBreakBefore w:val="0"/>
        <w:widowControl w:val="0"/>
        <w:kinsoku/>
        <w:wordWrap/>
        <w:overflowPunct/>
        <w:topLinePunct w:val="0"/>
        <w:autoSpaceDE/>
        <w:autoSpaceDN/>
        <w:bidi w:val="0"/>
        <w:adjustRightInd/>
        <w:snapToGrid/>
        <w:spacing w:line="360" w:lineRule="auto"/>
        <w:ind w:right="-8" w:firstLine="3967" w:firstLineChars="165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身份证号码：</w:t>
      </w:r>
    </w:p>
    <w:p w14:paraId="48BB6C97">
      <w:pPr>
        <w:pStyle w:val="97"/>
        <w:keepNext w:val="0"/>
        <w:keepLines w:val="0"/>
        <w:pageBreakBefore w:val="0"/>
        <w:widowControl w:val="0"/>
        <w:kinsoku/>
        <w:wordWrap/>
        <w:overflowPunct/>
        <w:topLinePunct w:val="0"/>
        <w:autoSpaceDE/>
        <w:autoSpaceDN/>
        <w:bidi w:val="0"/>
        <w:adjustRightInd/>
        <w:snapToGrid/>
        <w:spacing w:line="360" w:lineRule="auto"/>
        <w:ind w:right="-8" w:firstLine="3967" w:firstLineChars="165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委托代理人：            （签字）</w:t>
      </w:r>
    </w:p>
    <w:p w14:paraId="022A4CCD">
      <w:pPr>
        <w:pStyle w:val="97"/>
        <w:keepNext w:val="0"/>
        <w:keepLines w:val="0"/>
        <w:pageBreakBefore w:val="0"/>
        <w:widowControl w:val="0"/>
        <w:kinsoku/>
        <w:wordWrap/>
        <w:overflowPunct/>
        <w:topLinePunct w:val="0"/>
        <w:autoSpaceDE/>
        <w:autoSpaceDN/>
        <w:bidi w:val="0"/>
        <w:adjustRightInd/>
        <w:snapToGrid/>
        <w:spacing w:line="360" w:lineRule="auto"/>
        <w:ind w:right="-8" w:firstLine="3967" w:firstLineChars="165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身份证号码：</w:t>
      </w:r>
    </w:p>
    <w:p w14:paraId="0D9C90A1">
      <w:pPr>
        <w:pStyle w:val="97"/>
        <w:keepNext w:val="0"/>
        <w:keepLines w:val="0"/>
        <w:pageBreakBefore w:val="0"/>
        <w:widowControl w:val="0"/>
        <w:kinsoku/>
        <w:wordWrap/>
        <w:overflowPunct/>
        <w:topLinePunct w:val="0"/>
        <w:autoSpaceDE/>
        <w:autoSpaceDN/>
        <w:bidi w:val="0"/>
        <w:adjustRightInd/>
        <w:snapToGrid/>
        <w:spacing w:line="360" w:lineRule="auto"/>
        <w:ind w:right="-8" w:firstLine="3967" w:firstLineChars="165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日    期：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 xml:space="preserve">年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 xml:space="preserve">月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日</w:t>
      </w:r>
    </w:p>
    <w:p w14:paraId="4178703B">
      <w:pPr>
        <w:pStyle w:val="97"/>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 xml:space="preserve"> </w:t>
      </w:r>
    </w:p>
    <w:p w14:paraId="28B83B23">
      <w:pPr>
        <w:pStyle w:val="9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注：1.法定代表人参加投标活动并签署文件的不需要授权委托书。</w:t>
      </w:r>
    </w:p>
    <w:p w14:paraId="1FB71E22">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sectPr>
          <w:pgSz w:w="11906" w:h="16838"/>
          <w:pgMar w:top="1440" w:right="1800" w:bottom="1440" w:left="1800" w:header="851" w:footer="992" w:gutter="0"/>
          <w:pgNumType w:fmt="decimal"/>
          <w:cols w:space="425" w:num="1"/>
          <w:docGrid w:type="lines" w:linePitch="312" w:charSpace="0"/>
        </w:sectPr>
      </w:pPr>
    </w:p>
    <w:p w14:paraId="7EAC731E">
      <w:pPr>
        <w:bidi w:val="0"/>
        <w:rPr>
          <w:rFonts w:hint="eastAsia"/>
          <w:b/>
          <w:bCs/>
          <w:sz w:val="32"/>
          <w:szCs w:val="32"/>
          <w:lang w:eastAsia="zh-CN"/>
        </w:rPr>
      </w:pPr>
      <w:bookmarkStart w:id="265" w:name="_Toc11057"/>
      <w:r>
        <w:rPr>
          <w:rFonts w:hint="eastAsia"/>
          <w:b/>
          <w:bCs/>
          <w:sz w:val="32"/>
          <w:szCs w:val="32"/>
          <w:lang w:val="en-US" w:eastAsia="zh-CN"/>
        </w:rPr>
        <w:t>1.3</w:t>
      </w:r>
      <w:r>
        <w:rPr>
          <w:rFonts w:hint="eastAsia"/>
          <w:b/>
          <w:bCs/>
          <w:sz w:val="32"/>
          <w:szCs w:val="32"/>
          <w:lang w:eastAsia="zh-CN"/>
        </w:rPr>
        <w:t>投标函</w:t>
      </w:r>
      <w:bookmarkEnd w:id="265"/>
    </w:p>
    <w:p w14:paraId="132E28A9">
      <w:pPr>
        <w:pStyle w:val="9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bCs/>
          <w:sz w:val="28"/>
          <w:highlight w:val="none"/>
          <w:lang w:eastAsia="zh-CN"/>
        </w:rPr>
        <w:t>投标函</w:t>
      </w:r>
    </w:p>
    <w:p w14:paraId="7B9E2D6C">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致：</w:t>
      </w:r>
      <w:r>
        <w:rPr>
          <w:rStyle w:val="134"/>
          <w:rFonts w:hint="eastAsia" w:asciiTheme="minorEastAsia" w:hAnsiTheme="minorEastAsia" w:eastAsiaTheme="minorEastAsia" w:cstheme="minorEastAsia"/>
          <w:b w:val="0"/>
          <w:bCs/>
          <w:sz w:val="24"/>
          <w:szCs w:val="24"/>
          <w:highlight w:val="none"/>
          <w:lang w:eastAsia="zh-CN"/>
        </w:rPr>
        <w:t xml:space="preserve">       </w:t>
      </w:r>
      <w:r>
        <w:rPr>
          <w:rStyle w:val="134"/>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sz w:val="24"/>
          <w:szCs w:val="24"/>
          <w:highlight w:val="none"/>
          <w:lang w:eastAsia="zh-CN"/>
        </w:rPr>
        <w:t>（采购人）</w:t>
      </w:r>
    </w:p>
    <w:p w14:paraId="6B21B5FA">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我们已经仔细地研究了   </w:t>
      </w:r>
      <w:r>
        <w:rPr>
          <w:rFonts w:hint="eastAsia" w:asciiTheme="minorEastAsia" w:hAnsiTheme="minorEastAsia" w:eastAsiaTheme="minorEastAsia" w:cstheme="minorEastAsia"/>
          <w:b/>
          <w:bCs/>
          <w:i w:val="0"/>
          <w:iCs w:val="0"/>
          <w:snapToGrid w:val="0"/>
          <w:kern w:val="0"/>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eastAsia="zh-CN"/>
        </w:rPr>
        <w:t xml:space="preserve"> （项目名称）招标文件的全部内容，包括但不限于招标文件的投标须知、合同条款、技术需求和服务需求及有关文件后，我公司愿以人民币（大写）</w:t>
      </w:r>
      <w:r>
        <w:rPr>
          <w:rFonts w:hint="eastAsia" w:asciiTheme="minorEastAsia" w:hAnsiTheme="minorEastAsia" w:eastAsiaTheme="minorEastAsia" w:cstheme="minorEastAsia"/>
          <w:b/>
          <w:bCs/>
          <w:i w:val="0"/>
          <w:iCs w:val="0"/>
          <w:snapToGrid w:val="0"/>
          <w:kern w:val="0"/>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,（小写：</w:t>
      </w:r>
      <w:r>
        <w:rPr>
          <w:rFonts w:hint="eastAsia" w:asciiTheme="minorEastAsia" w:hAnsiTheme="minorEastAsia" w:eastAsiaTheme="minorEastAsia" w:cstheme="minorEastAsia"/>
          <w:b/>
          <w:bCs/>
          <w:i w:val="0"/>
          <w:iCs w:val="0"/>
          <w:snapToGrid w:val="0"/>
          <w:kern w:val="0"/>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eastAsia="zh-CN"/>
        </w:rPr>
        <w:t>元）完成本项目招标范围内项目的所有工作内容，并按采购人提出的技术需求和服务需求修补本项目中的任何缺陷。</w:t>
      </w:r>
    </w:p>
    <w:p w14:paraId="2C70D5E4">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交</w:t>
      </w:r>
      <w:r>
        <w:rPr>
          <w:rFonts w:hint="eastAsia" w:asciiTheme="minorEastAsia" w:hAnsiTheme="minorEastAsia" w:eastAsiaTheme="minorEastAsia" w:cstheme="minorEastAsia"/>
          <w:sz w:val="24"/>
          <w:szCs w:val="24"/>
          <w:highlight w:val="none"/>
          <w:lang w:eastAsia="zh-CN"/>
        </w:rPr>
        <w:t>货期：</w:t>
      </w:r>
      <w:r>
        <w:rPr>
          <w:rStyle w:val="134"/>
          <w:rFonts w:hint="eastAsia" w:asciiTheme="minorEastAsia" w:hAnsiTheme="minorEastAsia" w:eastAsiaTheme="minorEastAsia" w:cstheme="minorEastAsia"/>
          <w:sz w:val="24"/>
          <w:szCs w:val="24"/>
          <w:highlight w:val="none"/>
          <w:u w:val="single"/>
          <w:lang w:eastAsia="zh-CN"/>
        </w:rPr>
        <w:t xml:space="preserve">   </w:t>
      </w:r>
      <w:r>
        <w:rPr>
          <w:rStyle w:val="134"/>
          <w:rFonts w:hint="eastAsia" w:asciiTheme="minorEastAsia" w:hAnsiTheme="minorEastAsia" w:eastAsiaTheme="minorEastAsia" w:cstheme="minorEastAsia"/>
          <w:sz w:val="24"/>
          <w:szCs w:val="24"/>
          <w:highlight w:val="none"/>
          <w:u w:val="single"/>
          <w:lang w:val="en-US" w:eastAsia="zh-CN"/>
        </w:rPr>
        <w:t>天</w:t>
      </w:r>
      <w:r>
        <w:rPr>
          <w:rStyle w:val="134"/>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w:t>
      </w:r>
    </w:p>
    <w:p w14:paraId="0FB5EB3E">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质量目标达到招标文件的相关要求，我公司完全接受招标文件以及全部补疑和澄清文件的要求。</w:t>
      </w:r>
    </w:p>
    <w:p w14:paraId="1FB4E7D7">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投标有效期为递交投标文件后90日历天。</w:t>
      </w:r>
    </w:p>
    <w:p w14:paraId="1BB50962">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我们同意在规定的递交投标书截止之日起至投标有效期满前遵守本投标书。且本投标书一直对我们具有约束力，并可随时被接受中标。</w:t>
      </w:r>
    </w:p>
    <w:p w14:paraId="5542A463">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如果我们中标，我们将及时签订本项目合同。</w:t>
      </w:r>
    </w:p>
    <w:p w14:paraId="21535AD6">
      <w:pPr>
        <w:pStyle w:val="9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在制定和签署一份正式协议书之前，本投标书连同你方的书面中标通知，构成在我们双方之间有约束力的合同。</w:t>
      </w:r>
    </w:p>
    <w:p w14:paraId="17DCC167">
      <w:pPr>
        <w:pStyle w:val="97"/>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Theme="minorEastAsia" w:hAnsiTheme="minorEastAsia" w:eastAsiaTheme="minorEastAsia" w:cstheme="minorEastAsia"/>
          <w:sz w:val="24"/>
          <w:szCs w:val="24"/>
          <w:highlight w:val="none"/>
          <w:lang w:eastAsia="zh-CN"/>
        </w:rPr>
      </w:pPr>
    </w:p>
    <w:p w14:paraId="26781D27">
      <w:pPr>
        <w:pStyle w:val="97"/>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Theme="minorEastAsia" w:hAnsiTheme="minorEastAsia" w:eastAsiaTheme="minorEastAsia" w:cstheme="minorEastAsia"/>
          <w:sz w:val="24"/>
          <w:szCs w:val="24"/>
          <w:highlight w:val="none"/>
          <w:lang w:eastAsia="zh-CN"/>
        </w:rPr>
      </w:pPr>
    </w:p>
    <w:p w14:paraId="4970C371">
      <w:pPr>
        <w:pStyle w:val="97"/>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Theme="minorEastAsia" w:hAnsiTheme="minorEastAsia" w:eastAsiaTheme="minorEastAsia" w:cstheme="minorEastAsia"/>
          <w:sz w:val="24"/>
          <w:szCs w:val="24"/>
          <w:highlight w:val="none"/>
          <w:lang w:eastAsia="zh-CN"/>
        </w:rPr>
      </w:pPr>
    </w:p>
    <w:p w14:paraId="2050ADF3">
      <w:pPr>
        <w:pStyle w:val="97"/>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Theme="minorEastAsia" w:hAnsiTheme="minorEastAsia" w:eastAsiaTheme="minorEastAsia" w:cstheme="minorEastAsia"/>
          <w:sz w:val="24"/>
          <w:szCs w:val="24"/>
          <w:highlight w:val="none"/>
          <w:lang w:eastAsia="zh-CN"/>
        </w:rPr>
      </w:pPr>
    </w:p>
    <w:p w14:paraId="1BABD2C1">
      <w:pPr>
        <w:pStyle w:val="97"/>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投标人：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z w:val="24"/>
          <w:szCs w:val="24"/>
          <w:highlight w:val="none"/>
          <w:lang w:val="en-US" w:eastAsia="zh-CN"/>
        </w:rPr>
        <w:t>单位公</w:t>
      </w:r>
      <w:r>
        <w:rPr>
          <w:rFonts w:hint="eastAsia" w:asciiTheme="minorEastAsia" w:hAnsiTheme="minorEastAsia" w:eastAsiaTheme="minorEastAsia" w:cstheme="minorEastAsia"/>
          <w:sz w:val="24"/>
          <w:szCs w:val="24"/>
          <w:highlight w:val="none"/>
          <w:lang w:eastAsia="zh-CN"/>
        </w:rPr>
        <w:t>章）</w:t>
      </w:r>
    </w:p>
    <w:p w14:paraId="3AA5E9BD">
      <w:pPr>
        <w:pStyle w:val="97"/>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法定代表人或授权代理人：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（签字</w:t>
      </w:r>
      <w:r>
        <w:rPr>
          <w:rFonts w:hint="eastAsia" w:asciiTheme="minorEastAsia" w:hAnsiTheme="minorEastAsia" w:eastAsiaTheme="minorEastAsia" w:cstheme="minorEastAsia"/>
          <w:sz w:val="24"/>
          <w:szCs w:val="24"/>
          <w:highlight w:val="none"/>
          <w:lang w:val="en-US" w:eastAsia="zh-CN"/>
        </w:rPr>
        <w:t>或盖章</w:t>
      </w:r>
      <w:r>
        <w:rPr>
          <w:rFonts w:hint="eastAsia" w:asciiTheme="minorEastAsia" w:hAnsiTheme="minorEastAsia" w:eastAsiaTheme="minorEastAsia" w:cstheme="minorEastAsia"/>
          <w:sz w:val="24"/>
          <w:szCs w:val="24"/>
          <w:highlight w:val="none"/>
          <w:lang w:eastAsia="zh-CN"/>
        </w:rPr>
        <w:t>）</w:t>
      </w:r>
    </w:p>
    <w:p w14:paraId="1A5D59DB">
      <w:pPr>
        <w:pStyle w:val="9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地址：</w:t>
      </w:r>
    </w:p>
    <w:p w14:paraId="05188B9C">
      <w:pPr>
        <w:pStyle w:val="9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 xml:space="preserve">日    期：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 xml:space="preserve">年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 xml:space="preserve">月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日</w:t>
      </w:r>
    </w:p>
    <w:p w14:paraId="2D6B538C">
      <w:pPr>
        <w:pStyle w:val="97"/>
        <w:ind w:firstLine="562"/>
        <w:jc w:val="center"/>
        <w:rPr>
          <w:rFonts w:hint="eastAsia" w:asciiTheme="minorEastAsia" w:hAnsiTheme="minorEastAsia" w:eastAsiaTheme="minorEastAsia" w:cstheme="minorEastAsia"/>
          <w:b/>
          <w:bCs/>
          <w:sz w:val="28"/>
          <w:highlight w:val="none"/>
          <w:lang w:eastAsia="zh-CN"/>
        </w:rPr>
      </w:pPr>
    </w:p>
    <w:p w14:paraId="591A37B9">
      <w:pPr>
        <w:pStyle w:val="97"/>
        <w:ind w:firstLine="562"/>
        <w:jc w:val="center"/>
        <w:rPr>
          <w:rFonts w:hint="eastAsia" w:asciiTheme="minorEastAsia" w:hAnsiTheme="minorEastAsia" w:eastAsiaTheme="minorEastAsia" w:cstheme="minorEastAsia"/>
          <w:b/>
          <w:bCs/>
          <w:sz w:val="28"/>
          <w:highlight w:val="none"/>
          <w:lang w:eastAsia="zh-CN"/>
        </w:rPr>
      </w:pPr>
    </w:p>
    <w:p w14:paraId="13D34178">
      <w:pPr>
        <w:pStyle w:val="97"/>
        <w:ind w:firstLine="562"/>
        <w:jc w:val="center"/>
        <w:rPr>
          <w:rFonts w:hint="eastAsia" w:asciiTheme="minorEastAsia" w:hAnsiTheme="minorEastAsia" w:eastAsiaTheme="minorEastAsia" w:cstheme="minorEastAsia"/>
          <w:b/>
          <w:bCs/>
          <w:sz w:val="28"/>
          <w:highlight w:val="none"/>
          <w:lang w:eastAsia="zh-CN"/>
        </w:rPr>
      </w:pPr>
    </w:p>
    <w:p w14:paraId="5B7FED67">
      <w:pPr>
        <w:bidi w:val="0"/>
        <w:ind w:left="0" w:leftChars="0" w:firstLine="0" w:firstLineChars="0"/>
        <w:rPr>
          <w:rFonts w:hint="eastAsia" w:asciiTheme="minorEastAsia" w:hAnsiTheme="minorEastAsia" w:eastAsiaTheme="minorEastAsia" w:cstheme="minorEastAsia"/>
          <w:b/>
          <w:bCs/>
          <w:color w:val="auto"/>
          <w:sz w:val="28"/>
          <w:szCs w:val="28"/>
          <w:highlight w:val="none"/>
          <w:lang w:val="en-US" w:eastAsia="zh-CN"/>
        </w:rPr>
      </w:pPr>
      <w:bookmarkStart w:id="266" w:name="_Toc27554"/>
      <w:bookmarkStart w:id="267" w:name="_Toc21331"/>
      <w:r>
        <w:rPr>
          <w:rFonts w:hint="eastAsia"/>
          <w:b/>
          <w:bCs/>
          <w:sz w:val="32"/>
          <w:szCs w:val="32"/>
          <w:lang w:val="en-US" w:eastAsia="zh-CN"/>
        </w:rPr>
        <w:t>1.4</w:t>
      </w:r>
      <w:r>
        <w:rPr>
          <w:rFonts w:hint="eastAsia"/>
          <w:b/>
          <w:bCs/>
          <w:sz w:val="32"/>
          <w:szCs w:val="32"/>
          <w:lang w:eastAsia="zh-CN"/>
        </w:rPr>
        <w:t>投标货物分项报价明细表</w:t>
      </w:r>
      <w:bookmarkEnd w:id="266"/>
      <w:bookmarkEnd w:id="267"/>
      <w:bookmarkStart w:id="268" w:name="_Toc15957"/>
      <w:bookmarkStart w:id="269" w:name="_Toc127983184"/>
      <w:bookmarkStart w:id="270" w:name="_Toc22993"/>
    </w:p>
    <w:p w14:paraId="515B6DD3">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bCs/>
          <w:color w:val="auto"/>
          <w:sz w:val="28"/>
          <w:szCs w:val="28"/>
          <w:highlight w:val="none"/>
          <w:lang w:eastAsia="zh-CN"/>
        </w:rPr>
      </w:pPr>
      <w:r>
        <w:rPr>
          <w:rFonts w:hint="eastAsia" w:cs="宋体"/>
          <w:b/>
          <w:bCs/>
          <w:color w:val="auto"/>
          <w:sz w:val="28"/>
          <w:szCs w:val="28"/>
          <w:highlight w:val="none"/>
          <w:lang w:val="en-US" w:eastAsia="zh-CN"/>
        </w:rPr>
        <w:t>AI一体化管控平台研究与建设</w:t>
      </w:r>
      <w:r>
        <w:rPr>
          <w:rFonts w:hint="eastAsia" w:ascii="宋体" w:hAnsi="宋体" w:eastAsia="宋体" w:cs="宋体"/>
          <w:b/>
          <w:bCs/>
          <w:color w:val="auto"/>
          <w:sz w:val="28"/>
          <w:szCs w:val="28"/>
          <w:highlight w:val="none"/>
          <w:lang w:val="en-US" w:eastAsia="zh-CN"/>
        </w:rPr>
        <w:t>公开招标</w:t>
      </w:r>
      <w:r>
        <w:rPr>
          <w:rFonts w:hint="eastAsia" w:asciiTheme="minorEastAsia" w:hAnsiTheme="minorEastAsia" w:eastAsiaTheme="minorEastAsia" w:cstheme="minorEastAsia"/>
          <w:b/>
          <w:bCs/>
          <w:color w:val="auto"/>
          <w:sz w:val="28"/>
          <w:szCs w:val="28"/>
          <w:highlight w:val="none"/>
          <w:lang w:eastAsia="zh-CN"/>
        </w:rPr>
        <w:t>分项报价明细表</w:t>
      </w:r>
    </w:p>
    <w:p w14:paraId="0862F83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招标编号：CKZB202</w:t>
      </w:r>
      <w:r>
        <w:rPr>
          <w:rFonts w:hint="eastAsia" w:asciiTheme="minorEastAsia" w:hAnsiTheme="minorEastAsia" w:eastAsiaTheme="minorEastAsia" w:cstheme="minorEastAsia"/>
          <w:sz w:val="24"/>
          <w:szCs w:val="24"/>
          <w:lang w:val="en-US" w:eastAsia="zh-CN"/>
        </w:rPr>
        <w:t xml:space="preserve">6010    </w:t>
      </w:r>
      <w:r>
        <w:rPr>
          <w:rFonts w:hint="eastAsia" w:asciiTheme="minorEastAsia" w:hAnsiTheme="minorEastAsia" w:eastAsiaTheme="minorEastAsia" w:cstheme="minorEastAsia"/>
          <w:sz w:val="24"/>
          <w:szCs w:val="24"/>
          <w:lang w:eastAsia="zh-CN"/>
        </w:rPr>
        <w:t>招标内容：</w:t>
      </w:r>
      <w:r>
        <w:rPr>
          <w:rFonts w:hint="eastAsia" w:asciiTheme="minorEastAsia" w:hAnsiTheme="minorEastAsia" w:eastAsiaTheme="minorEastAsia" w:cstheme="minorEastAsia"/>
          <w:sz w:val="24"/>
          <w:szCs w:val="24"/>
          <w:highlight w:val="none"/>
          <w:lang w:val="en-US" w:eastAsia="zh-CN"/>
        </w:rPr>
        <w:t>AI一体化管控平台研究与建设公开招标</w:t>
      </w:r>
    </w:p>
    <w:p w14:paraId="090273E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投标人名称：</w:t>
      </w:r>
      <w:r>
        <w:rPr>
          <w:rFonts w:hint="eastAsia" w:asciiTheme="minorEastAsia" w:hAnsiTheme="minorEastAsia" w:eastAsiaTheme="minorEastAsia" w:cstheme="minorEastAsia"/>
          <w:sz w:val="24"/>
          <w:szCs w:val="24"/>
          <w:highlight w:val="none"/>
          <w:u w:val="single"/>
          <w:lang w:eastAsia="zh-CN"/>
        </w:rPr>
        <w:t xml:space="preserve"> </w:t>
      </w:r>
      <w:r>
        <w:rPr>
          <w:rStyle w:val="134"/>
          <w:rFonts w:hint="eastAsia" w:asciiTheme="minorEastAsia" w:hAnsiTheme="minorEastAsia" w:eastAsiaTheme="minorEastAsia" w:cstheme="minorEastAsia"/>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z w:val="24"/>
          <w:szCs w:val="24"/>
          <w:highlight w:val="none"/>
          <w:lang w:val="en-US" w:eastAsia="zh-CN"/>
        </w:rPr>
        <w:t xml:space="preserve">     </w:t>
      </w:r>
    </w:p>
    <w:p w14:paraId="373E17E1">
      <w:pPr>
        <w:pStyle w:val="97"/>
        <w:keepNext w:val="0"/>
        <w:keepLines w:val="0"/>
        <w:pageBreakBefore w:val="0"/>
        <w:widowControl w:val="0"/>
        <w:kinsoku/>
        <w:wordWrap/>
        <w:overflowPunct/>
        <w:topLinePunct w:val="0"/>
        <w:autoSpaceDE/>
        <w:autoSpaceDN/>
        <w:bidi w:val="0"/>
        <w:adjustRightInd/>
        <w:snapToGrid/>
        <w:spacing w:line="360" w:lineRule="auto"/>
        <w:ind w:left="5280" w:hanging="5280" w:hangingChars="2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货币单位：元（</w:t>
      </w:r>
      <w:r>
        <w:rPr>
          <w:rFonts w:hint="eastAsia" w:asciiTheme="minorEastAsia" w:hAnsiTheme="minorEastAsia" w:eastAsiaTheme="minorEastAsia" w:cstheme="minorEastAsia"/>
          <w:sz w:val="24"/>
          <w:szCs w:val="24"/>
          <w:highlight w:val="none"/>
          <w:lang w:val="en-US" w:eastAsia="zh-CN"/>
        </w:rPr>
        <w:t>单价小数点后保留2位，金额小</w:t>
      </w:r>
      <w:r>
        <w:rPr>
          <w:rFonts w:hint="eastAsia" w:asciiTheme="minorEastAsia" w:hAnsiTheme="minorEastAsia" w:eastAsiaTheme="minorEastAsia" w:cstheme="minorEastAsia"/>
          <w:sz w:val="24"/>
          <w:szCs w:val="24"/>
          <w:highlight w:val="none"/>
          <w:lang w:eastAsia="zh-CN"/>
        </w:rPr>
        <w:t>数点后保留两位）</w:t>
      </w:r>
    </w:p>
    <w:tbl>
      <w:tblPr>
        <w:tblStyle w:val="169"/>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536"/>
        <w:gridCol w:w="3487"/>
        <w:gridCol w:w="600"/>
        <w:gridCol w:w="700"/>
        <w:gridCol w:w="684"/>
        <w:gridCol w:w="684"/>
        <w:gridCol w:w="684"/>
      </w:tblGrid>
      <w:tr w14:paraId="1BAB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blHeader/>
          <w:jc w:val="center"/>
        </w:trPr>
        <w:tc>
          <w:tcPr>
            <w:tcW w:w="956" w:type="dxa"/>
            <w:vAlign w:val="center"/>
          </w:tcPr>
          <w:p w14:paraId="3582A596">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en-US"/>
              </w:rPr>
            </w:pPr>
            <w:r>
              <w:rPr>
                <w:rFonts w:hint="eastAsia" w:ascii="宋体" w:hAnsi="宋体" w:eastAsia="宋体" w:cs="宋体"/>
                <w:b/>
                <w:bCs/>
                <w:kern w:val="0"/>
                <w:sz w:val="18"/>
                <w:szCs w:val="18"/>
                <w:lang w:eastAsia="en-US"/>
              </w:rPr>
              <w:t>序号</w:t>
            </w:r>
          </w:p>
        </w:tc>
        <w:tc>
          <w:tcPr>
            <w:tcW w:w="1536" w:type="dxa"/>
            <w:vAlign w:val="center"/>
          </w:tcPr>
          <w:p w14:paraId="2ADA288E">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en-US"/>
              </w:rPr>
            </w:pPr>
            <w:r>
              <w:rPr>
                <w:rFonts w:hint="eastAsia" w:ascii="宋体" w:hAnsi="宋体" w:eastAsia="宋体" w:cs="宋体"/>
                <w:b/>
                <w:bCs/>
                <w:kern w:val="0"/>
                <w:sz w:val="18"/>
                <w:szCs w:val="18"/>
                <w:lang w:eastAsia="en-US"/>
              </w:rPr>
              <w:t>设备名称</w:t>
            </w:r>
          </w:p>
        </w:tc>
        <w:tc>
          <w:tcPr>
            <w:tcW w:w="3487" w:type="dxa"/>
            <w:vAlign w:val="center"/>
          </w:tcPr>
          <w:p w14:paraId="78BB5D7C">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en-US"/>
              </w:rPr>
            </w:pPr>
            <w:r>
              <w:rPr>
                <w:rFonts w:hint="eastAsia" w:ascii="宋体" w:hAnsi="宋体" w:eastAsia="宋体" w:cs="宋体"/>
                <w:b/>
                <w:bCs/>
                <w:kern w:val="0"/>
                <w:sz w:val="18"/>
                <w:szCs w:val="18"/>
                <w:lang w:eastAsia="en-US"/>
              </w:rPr>
              <w:t>规格型号</w:t>
            </w:r>
          </w:p>
        </w:tc>
        <w:tc>
          <w:tcPr>
            <w:tcW w:w="600" w:type="dxa"/>
            <w:vAlign w:val="center"/>
          </w:tcPr>
          <w:p w14:paraId="53473DC2">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en-US"/>
              </w:rPr>
            </w:pPr>
            <w:r>
              <w:rPr>
                <w:rFonts w:hint="eastAsia" w:ascii="宋体" w:hAnsi="宋体" w:eastAsia="宋体" w:cs="宋体"/>
                <w:b/>
                <w:bCs/>
                <w:kern w:val="0"/>
                <w:sz w:val="18"/>
                <w:szCs w:val="18"/>
                <w:lang w:eastAsia="en-US"/>
              </w:rPr>
              <w:t>单位</w:t>
            </w:r>
          </w:p>
        </w:tc>
        <w:tc>
          <w:tcPr>
            <w:tcW w:w="700" w:type="dxa"/>
            <w:vAlign w:val="center"/>
          </w:tcPr>
          <w:p w14:paraId="5B3F3304">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en-US"/>
              </w:rPr>
            </w:pPr>
            <w:r>
              <w:rPr>
                <w:rFonts w:hint="eastAsia" w:ascii="宋体" w:hAnsi="宋体" w:eastAsia="宋体" w:cs="宋体"/>
                <w:b/>
                <w:bCs/>
                <w:kern w:val="0"/>
                <w:sz w:val="18"/>
                <w:szCs w:val="18"/>
                <w:lang w:eastAsia="en-US"/>
              </w:rPr>
              <w:t>数量</w:t>
            </w:r>
          </w:p>
        </w:tc>
        <w:tc>
          <w:tcPr>
            <w:tcW w:w="684" w:type="dxa"/>
            <w:vAlign w:val="center"/>
          </w:tcPr>
          <w:p w14:paraId="26286442">
            <w:pPr>
              <w:snapToGrid w:val="0"/>
              <w:spacing w:line="240" w:lineRule="auto"/>
              <w:ind w:left="0" w:leftChars="0" w:right="0" w:rightChars="0" w:firstLine="0" w:firstLineChars="0"/>
              <w:jc w:val="center"/>
              <w:rPr>
                <w:rFonts w:hint="eastAsia" w:ascii="宋体" w:hAnsi="宋体" w:eastAsia="宋体" w:cs="宋体"/>
                <w:b/>
                <w:bCs/>
                <w:kern w:val="0"/>
                <w:sz w:val="18"/>
                <w:szCs w:val="18"/>
                <w:lang w:val="en-US" w:eastAsia="zh-CN"/>
              </w:rPr>
            </w:pPr>
            <w:r>
              <w:rPr>
                <w:rFonts w:hint="eastAsia" w:cs="宋体"/>
                <w:b/>
                <w:bCs/>
                <w:kern w:val="0"/>
                <w:sz w:val="18"/>
                <w:szCs w:val="18"/>
                <w:lang w:val="en-US" w:eastAsia="zh-CN"/>
              </w:rPr>
              <w:t>单价</w:t>
            </w:r>
          </w:p>
        </w:tc>
        <w:tc>
          <w:tcPr>
            <w:tcW w:w="684" w:type="dxa"/>
            <w:vAlign w:val="center"/>
          </w:tcPr>
          <w:p w14:paraId="13730024">
            <w:pPr>
              <w:snapToGrid w:val="0"/>
              <w:spacing w:line="240" w:lineRule="auto"/>
              <w:ind w:left="0" w:leftChars="0" w:right="0" w:rightChars="0" w:firstLine="0" w:firstLineChars="0"/>
              <w:jc w:val="center"/>
              <w:rPr>
                <w:rFonts w:hint="eastAsia" w:ascii="宋体" w:hAnsi="宋体" w:eastAsia="宋体" w:cs="宋体"/>
                <w:b/>
                <w:bCs/>
                <w:kern w:val="0"/>
                <w:sz w:val="18"/>
                <w:szCs w:val="18"/>
                <w:lang w:val="en-US" w:eastAsia="zh-CN"/>
              </w:rPr>
            </w:pPr>
            <w:r>
              <w:rPr>
                <w:rFonts w:hint="eastAsia" w:cs="宋体"/>
                <w:b/>
                <w:bCs/>
                <w:kern w:val="0"/>
                <w:sz w:val="18"/>
                <w:szCs w:val="18"/>
                <w:lang w:val="en-US" w:eastAsia="zh-CN"/>
              </w:rPr>
              <w:t>合计</w:t>
            </w:r>
          </w:p>
        </w:tc>
        <w:tc>
          <w:tcPr>
            <w:tcW w:w="684" w:type="dxa"/>
            <w:vAlign w:val="center"/>
          </w:tcPr>
          <w:p w14:paraId="71182BEE">
            <w:pPr>
              <w:snapToGrid w:val="0"/>
              <w:spacing w:line="240" w:lineRule="auto"/>
              <w:ind w:left="0" w:leftChars="0" w:right="0" w:rightChars="0" w:firstLine="0" w:firstLineChars="0"/>
              <w:jc w:val="center"/>
              <w:rPr>
                <w:rFonts w:hint="eastAsia" w:ascii="宋体" w:hAnsi="宋体" w:eastAsia="宋体" w:cs="宋体"/>
                <w:b/>
                <w:bCs/>
                <w:kern w:val="0"/>
                <w:sz w:val="18"/>
                <w:szCs w:val="18"/>
                <w:lang w:eastAsia="zh-CN"/>
              </w:rPr>
            </w:pPr>
            <w:r>
              <w:rPr>
                <w:rFonts w:hint="eastAsia" w:cs="宋体"/>
                <w:b/>
                <w:bCs/>
                <w:kern w:val="0"/>
                <w:sz w:val="18"/>
                <w:szCs w:val="18"/>
                <w:lang w:val="en-US" w:eastAsia="zh-CN"/>
              </w:rPr>
              <w:t>交期</w:t>
            </w:r>
          </w:p>
        </w:tc>
      </w:tr>
      <w:tr w14:paraId="53C4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057A65F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（一）</w:t>
            </w:r>
          </w:p>
        </w:tc>
        <w:tc>
          <w:tcPr>
            <w:tcW w:w="1536" w:type="dxa"/>
            <w:vAlign w:val="center"/>
          </w:tcPr>
          <w:p w14:paraId="6F979D3A">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AI一体化平台</w:t>
            </w:r>
          </w:p>
        </w:tc>
        <w:tc>
          <w:tcPr>
            <w:tcW w:w="3487" w:type="dxa"/>
            <w:vAlign w:val="center"/>
          </w:tcPr>
          <w:p w14:paraId="2187A9C8">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百炼平台</w:t>
            </w:r>
          </w:p>
        </w:tc>
        <w:tc>
          <w:tcPr>
            <w:tcW w:w="600" w:type="dxa"/>
            <w:vAlign w:val="center"/>
          </w:tcPr>
          <w:p w14:paraId="611878E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00" w:type="dxa"/>
            <w:vAlign w:val="center"/>
          </w:tcPr>
          <w:p w14:paraId="7557B712">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323191C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4597206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0DE9795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4FC4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3E2FC44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1536" w:type="dxa"/>
            <w:vAlign w:val="center"/>
          </w:tcPr>
          <w:p w14:paraId="5F4F89CB">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模型训推平台</w:t>
            </w:r>
          </w:p>
        </w:tc>
        <w:tc>
          <w:tcPr>
            <w:tcW w:w="3487" w:type="dxa"/>
            <w:vAlign w:val="center"/>
          </w:tcPr>
          <w:p w14:paraId="2FBA41AA">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p>
        </w:tc>
        <w:tc>
          <w:tcPr>
            <w:tcW w:w="600" w:type="dxa"/>
            <w:vAlign w:val="center"/>
          </w:tcPr>
          <w:p w14:paraId="48E410C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00" w:type="dxa"/>
            <w:vAlign w:val="center"/>
          </w:tcPr>
          <w:p w14:paraId="0F836D0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5762ED3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185EACA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7138DEF2">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45B6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5DF823C2">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1.1</w:t>
            </w:r>
          </w:p>
        </w:tc>
        <w:tc>
          <w:tcPr>
            <w:tcW w:w="1536" w:type="dxa"/>
            <w:vAlign w:val="center"/>
          </w:tcPr>
          <w:p w14:paraId="7417B7F3">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Notebook建模</w:t>
            </w:r>
          </w:p>
        </w:tc>
        <w:tc>
          <w:tcPr>
            <w:tcW w:w="3487" w:type="dxa"/>
            <w:vAlign w:val="center"/>
          </w:tcPr>
          <w:p w14:paraId="4452F646">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通过Notebook的方式构建模型训练任务。用户可按照代码自主构建模型训练方式。</w:t>
            </w:r>
          </w:p>
        </w:tc>
        <w:tc>
          <w:tcPr>
            <w:tcW w:w="600" w:type="dxa"/>
            <w:vAlign w:val="center"/>
          </w:tcPr>
          <w:p w14:paraId="4F317DD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4964D72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5211D9D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58CD7122">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6787D53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0089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4A5393B8">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1.2</w:t>
            </w:r>
          </w:p>
        </w:tc>
        <w:tc>
          <w:tcPr>
            <w:tcW w:w="1536" w:type="dxa"/>
            <w:vAlign w:val="center"/>
          </w:tcPr>
          <w:p w14:paraId="5E4CBAA2">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任务建模</w:t>
            </w:r>
          </w:p>
        </w:tc>
        <w:tc>
          <w:tcPr>
            <w:tcW w:w="3487" w:type="dxa"/>
            <w:vAlign w:val="center"/>
          </w:tcPr>
          <w:p w14:paraId="1F8F4869">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以任务配置形式完成AI训练和管理。</w:t>
            </w:r>
          </w:p>
        </w:tc>
        <w:tc>
          <w:tcPr>
            <w:tcW w:w="600" w:type="dxa"/>
            <w:vAlign w:val="center"/>
          </w:tcPr>
          <w:p w14:paraId="3802D72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7E421B8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2CE4661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4CE32EE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7987836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37C2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3269E19A">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1.3</w:t>
            </w:r>
          </w:p>
        </w:tc>
        <w:tc>
          <w:tcPr>
            <w:tcW w:w="1536" w:type="dxa"/>
            <w:vAlign w:val="center"/>
          </w:tcPr>
          <w:p w14:paraId="13673313">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模型调优</w:t>
            </w:r>
          </w:p>
        </w:tc>
        <w:tc>
          <w:tcPr>
            <w:tcW w:w="3487" w:type="dxa"/>
            <w:vAlign w:val="center"/>
          </w:tcPr>
          <w:p w14:paraId="49E2EB4C">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用来模型微调训练及调优任务，支持多种微调方式，可以选择微调方向和数据及参数</w:t>
            </w:r>
          </w:p>
        </w:tc>
        <w:tc>
          <w:tcPr>
            <w:tcW w:w="600" w:type="dxa"/>
            <w:vAlign w:val="center"/>
          </w:tcPr>
          <w:p w14:paraId="4A39C2E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2B1EF3D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0EF77FD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0486729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03C9A65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2FD6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7100D668">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1.4</w:t>
            </w:r>
          </w:p>
        </w:tc>
        <w:tc>
          <w:tcPr>
            <w:tcW w:w="1536" w:type="dxa"/>
            <w:vAlign w:val="center"/>
          </w:tcPr>
          <w:p w14:paraId="54E558D4">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模型服务</w:t>
            </w:r>
          </w:p>
        </w:tc>
        <w:tc>
          <w:tcPr>
            <w:tcW w:w="3487" w:type="dxa"/>
            <w:vAlign w:val="center"/>
          </w:tcPr>
          <w:p w14:paraId="0DB4FD80">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用来创建在线大模型推理服务，基于部署模型对外提供模型API服务，供上层业务进行AI应用开发及使用</w:t>
            </w:r>
          </w:p>
        </w:tc>
        <w:tc>
          <w:tcPr>
            <w:tcW w:w="600" w:type="dxa"/>
            <w:vAlign w:val="center"/>
          </w:tcPr>
          <w:p w14:paraId="31CDEF3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23F5C71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5C88BD0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35EE62D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53CA858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64F5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13AA40F2">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1.5</w:t>
            </w:r>
          </w:p>
        </w:tc>
        <w:tc>
          <w:tcPr>
            <w:tcW w:w="1536" w:type="dxa"/>
            <w:vAlign w:val="center"/>
          </w:tcPr>
          <w:p w14:paraId="29CE843D">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模型广场</w:t>
            </w:r>
          </w:p>
        </w:tc>
        <w:tc>
          <w:tcPr>
            <w:tcW w:w="3487" w:type="dxa"/>
            <w:vAlign w:val="center"/>
          </w:tcPr>
          <w:p w14:paraId="6FC730A2">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内置通义系列、DeepSeek系列系统预置模型，用户可基于内置模型部署模型服务</w:t>
            </w:r>
          </w:p>
        </w:tc>
        <w:tc>
          <w:tcPr>
            <w:tcW w:w="600" w:type="dxa"/>
            <w:vAlign w:val="center"/>
          </w:tcPr>
          <w:p w14:paraId="71A82C5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060ADBA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24E7846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5981E67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7D8A828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7BE5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181A9AE1">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1.6</w:t>
            </w:r>
          </w:p>
        </w:tc>
        <w:tc>
          <w:tcPr>
            <w:tcW w:w="1536" w:type="dxa"/>
            <w:vAlign w:val="center"/>
          </w:tcPr>
          <w:p w14:paraId="42662EDA">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AI资产管理</w:t>
            </w:r>
          </w:p>
        </w:tc>
        <w:tc>
          <w:tcPr>
            <w:tcW w:w="3487" w:type="dxa"/>
            <w:vAlign w:val="center"/>
          </w:tcPr>
          <w:p w14:paraId="2EDF8110">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提供大模型相关的镜像，套件以及训推框架。</w:t>
            </w:r>
          </w:p>
        </w:tc>
        <w:tc>
          <w:tcPr>
            <w:tcW w:w="600" w:type="dxa"/>
            <w:vAlign w:val="center"/>
          </w:tcPr>
          <w:p w14:paraId="7D2FE41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0DE88D8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342C563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5BAFC76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141A90C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3DA9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2BD0E2F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2</w:t>
            </w:r>
          </w:p>
        </w:tc>
        <w:tc>
          <w:tcPr>
            <w:tcW w:w="1536" w:type="dxa"/>
            <w:vAlign w:val="center"/>
          </w:tcPr>
          <w:p w14:paraId="67865F86">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数据知识平台</w:t>
            </w:r>
          </w:p>
        </w:tc>
        <w:tc>
          <w:tcPr>
            <w:tcW w:w="3487" w:type="dxa"/>
            <w:vAlign w:val="center"/>
          </w:tcPr>
          <w:p w14:paraId="5070EF24">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p>
        </w:tc>
        <w:tc>
          <w:tcPr>
            <w:tcW w:w="600" w:type="dxa"/>
            <w:vAlign w:val="center"/>
          </w:tcPr>
          <w:p w14:paraId="32C4AE4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00" w:type="dxa"/>
            <w:vAlign w:val="center"/>
          </w:tcPr>
          <w:p w14:paraId="418D791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5F25857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69760B1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4994703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7446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6805E59C">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2.1</w:t>
            </w:r>
          </w:p>
        </w:tc>
        <w:tc>
          <w:tcPr>
            <w:tcW w:w="1536" w:type="dxa"/>
            <w:vAlign w:val="center"/>
          </w:tcPr>
          <w:p w14:paraId="255BF38C">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数据管理</w:t>
            </w:r>
          </w:p>
        </w:tc>
        <w:tc>
          <w:tcPr>
            <w:tcW w:w="3487" w:type="dxa"/>
            <w:vAlign w:val="center"/>
          </w:tcPr>
          <w:p w14:paraId="03E56200">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用来对数据管理，包含文档、文本、图像、音视频、数据表等数据接入与管理，为数据知识加工提供接入能力。</w:t>
            </w:r>
          </w:p>
        </w:tc>
        <w:tc>
          <w:tcPr>
            <w:tcW w:w="600" w:type="dxa"/>
            <w:vAlign w:val="center"/>
          </w:tcPr>
          <w:p w14:paraId="53C0B52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78DEE87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27B9691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189EE27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6F2D6BD2">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35C3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046AB0BD">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2.2</w:t>
            </w:r>
          </w:p>
        </w:tc>
        <w:tc>
          <w:tcPr>
            <w:tcW w:w="1536" w:type="dxa"/>
            <w:vAlign w:val="center"/>
          </w:tcPr>
          <w:p w14:paraId="2710283E">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数据加工</w:t>
            </w:r>
          </w:p>
        </w:tc>
        <w:tc>
          <w:tcPr>
            <w:tcW w:w="3487" w:type="dxa"/>
            <w:vAlign w:val="center"/>
          </w:tcPr>
          <w:p w14:paraId="06272BED">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可以创建与管理各类数据加工和数据合成任务，具备多模态解析和训练数据合成的能力。支持按照清洗、解析、增强、配平及端到端划分模板分类，可创建pipeline任务。</w:t>
            </w:r>
          </w:p>
        </w:tc>
        <w:tc>
          <w:tcPr>
            <w:tcW w:w="600" w:type="dxa"/>
            <w:vAlign w:val="center"/>
          </w:tcPr>
          <w:p w14:paraId="063FF19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435C63D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1E01157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5250972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3A1AB35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721B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1236A7CD">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2.3</w:t>
            </w:r>
          </w:p>
        </w:tc>
        <w:tc>
          <w:tcPr>
            <w:tcW w:w="1536" w:type="dxa"/>
            <w:vAlign w:val="center"/>
          </w:tcPr>
          <w:p w14:paraId="6F0E7730">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数据任务模板</w:t>
            </w:r>
          </w:p>
        </w:tc>
        <w:tc>
          <w:tcPr>
            <w:tcW w:w="3487" w:type="dxa"/>
            <w:vAlign w:val="center"/>
          </w:tcPr>
          <w:p w14:paraId="1B667442">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提供数据加工任务模板，包含端到端模板、数据解析模板、数据清洗模板、数据增强模板、数据配平模板。</w:t>
            </w:r>
          </w:p>
        </w:tc>
        <w:tc>
          <w:tcPr>
            <w:tcW w:w="600" w:type="dxa"/>
            <w:vAlign w:val="center"/>
          </w:tcPr>
          <w:p w14:paraId="6FAB2D2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7E40EBB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3B8A2D6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38333B62">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1358463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0D40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24391C45">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2.4</w:t>
            </w:r>
          </w:p>
        </w:tc>
        <w:tc>
          <w:tcPr>
            <w:tcW w:w="1536" w:type="dxa"/>
            <w:vAlign w:val="center"/>
          </w:tcPr>
          <w:p w14:paraId="0D04EBD5">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数据标注</w:t>
            </w:r>
          </w:p>
        </w:tc>
        <w:tc>
          <w:tcPr>
            <w:tcW w:w="3487" w:type="dxa"/>
            <w:vAlign w:val="center"/>
          </w:tcPr>
          <w:p w14:paraId="00EF6ABF">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用来创建数据标注任务，实现文本、图片的自动化标注和手动标注能力。</w:t>
            </w:r>
          </w:p>
        </w:tc>
        <w:tc>
          <w:tcPr>
            <w:tcW w:w="600" w:type="dxa"/>
            <w:vAlign w:val="center"/>
          </w:tcPr>
          <w:p w14:paraId="538F448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137D76A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4CF67B9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05F5574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780C7A6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51DE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0E665E5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3</w:t>
            </w:r>
          </w:p>
        </w:tc>
        <w:tc>
          <w:tcPr>
            <w:tcW w:w="1536" w:type="dxa"/>
            <w:vAlign w:val="center"/>
          </w:tcPr>
          <w:p w14:paraId="7B58A7B0">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智能体管理平台</w:t>
            </w:r>
          </w:p>
        </w:tc>
        <w:tc>
          <w:tcPr>
            <w:tcW w:w="3487" w:type="dxa"/>
            <w:vAlign w:val="center"/>
          </w:tcPr>
          <w:p w14:paraId="0ACA2DDC">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p>
        </w:tc>
        <w:tc>
          <w:tcPr>
            <w:tcW w:w="600" w:type="dxa"/>
            <w:vAlign w:val="center"/>
          </w:tcPr>
          <w:p w14:paraId="53561A0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00" w:type="dxa"/>
            <w:vAlign w:val="center"/>
          </w:tcPr>
          <w:p w14:paraId="67FF54F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370E20A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7A14B52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1C1ED02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6DD7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4EE5D18F">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3.1</w:t>
            </w:r>
          </w:p>
        </w:tc>
        <w:tc>
          <w:tcPr>
            <w:tcW w:w="1536" w:type="dxa"/>
            <w:vAlign w:val="center"/>
          </w:tcPr>
          <w:p w14:paraId="3844113D">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智能体管理</w:t>
            </w:r>
          </w:p>
        </w:tc>
        <w:tc>
          <w:tcPr>
            <w:tcW w:w="3487" w:type="dxa"/>
            <w:vAlign w:val="center"/>
          </w:tcPr>
          <w:p w14:paraId="432A6BBE">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实现智能体全生命周期管理，包含智能体创建、删除、编辑等。</w:t>
            </w:r>
          </w:p>
        </w:tc>
        <w:tc>
          <w:tcPr>
            <w:tcW w:w="600" w:type="dxa"/>
            <w:vAlign w:val="center"/>
          </w:tcPr>
          <w:p w14:paraId="1C3FFCD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36F0329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34669BD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4457898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1A2B625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2340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1A785B6A">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3.2</w:t>
            </w:r>
          </w:p>
        </w:tc>
        <w:tc>
          <w:tcPr>
            <w:tcW w:w="1536" w:type="dxa"/>
            <w:vAlign w:val="center"/>
          </w:tcPr>
          <w:p w14:paraId="5F25EF67">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智能体工作流设计</w:t>
            </w:r>
          </w:p>
        </w:tc>
        <w:tc>
          <w:tcPr>
            <w:tcW w:w="3487" w:type="dxa"/>
            <w:vAlign w:val="center"/>
          </w:tcPr>
          <w:p w14:paraId="2ACAD155">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可通过画布完成智能体编排，支持大模型节点、工具节点、智能体节点、脚本节点等多种节点类型。</w:t>
            </w:r>
          </w:p>
        </w:tc>
        <w:tc>
          <w:tcPr>
            <w:tcW w:w="600" w:type="dxa"/>
            <w:vAlign w:val="center"/>
          </w:tcPr>
          <w:p w14:paraId="7C0B8BE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2390928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02B42A5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6ECC1EB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50779F0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71A2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4EF257DC">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3.3</w:t>
            </w:r>
          </w:p>
        </w:tc>
        <w:tc>
          <w:tcPr>
            <w:tcW w:w="1536" w:type="dxa"/>
            <w:vAlign w:val="center"/>
          </w:tcPr>
          <w:p w14:paraId="08D4CD48">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长短期记忆</w:t>
            </w:r>
          </w:p>
        </w:tc>
        <w:tc>
          <w:tcPr>
            <w:tcW w:w="3487" w:type="dxa"/>
            <w:vAlign w:val="center"/>
          </w:tcPr>
          <w:p w14:paraId="67F0EF64">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设置长短期记忆，实现对话记录、摘要的记录、保留和删除。</w:t>
            </w:r>
          </w:p>
        </w:tc>
        <w:tc>
          <w:tcPr>
            <w:tcW w:w="600" w:type="dxa"/>
            <w:vAlign w:val="center"/>
          </w:tcPr>
          <w:p w14:paraId="79275BE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0324887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2F4C4BB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7FC04A1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54F90D80">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6622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2971E7B6">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3.4</w:t>
            </w:r>
          </w:p>
        </w:tc>
        <w:tc>
          <w:tcPr>
            <w:tcW w:w="1536" w:type="dxa"/>
            <w:vAlign w:val="center"/>
          </w:tcPr>
          <w:p w14:paraId="7DB712B8">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智能体模板</w:t>
            </w:r>
          </w:p>
        </w:tc>
        <w:tc>
          <w:tcPr>
            <w:tcW w:w="3487" w:type="dxa"/>
            <w:vAlign w:val="center"/>
          </w:tcPr>
          <w:p w14:paraId="4D56FD94">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提供智能体搭建的模板，包括知识增强模板、数据分析模板、图片理解模板。</w:t>
            </w:r>
          </w:p>
        </w:tc>
        <w:tc>
          <w:tcPr>
            <w:tcW w:w="600" w:type="dxa"/>
            <w:vAlign w:val="center"/>
          </w:tcPr>
          <w:p w14:paraId="065D480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63AA29F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3CEC6DA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054AE5E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495A9E4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3774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50FC6504">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3.5</w:t>
            </w:r>
          </w:p>
        </w:tc>
        <w:tc>
          <w:tcPr>
            <w:tcW w:w="1536" w:type="dxa"/>
            <w:vAlign w:val="center"/>
          </w:tcPr>
          <w:p w14:paraId="6CB85957">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API及MCP工具</w:t>
            </w:r>
          </w:p>
        </w:tc>
        <w:tc>
          <w:tcPr>
            <w:tcW w:w="3487" w:type="dxa"/>
            <w:vAlign w:val="center"/>
          </w:tcPr>
          <w:p w14:paraId="1334E18B">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支持API、MCP类型工具的注册、调试，支持自定义工具注册。</w:t>
            </w:r>
          </w:p>
        </w:tc>
        <w:tc>
          <w:tcPr>
            <w:tcW w:w="600" w:type="dxa"/>
            <w:vAlign w:val="center"/>
          </w:tcPr>
          <w:p w14:paraId="0A8C293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0F62BEB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1314CA9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14AA4C9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367E79D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6DD8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6F5AE7B8">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3.6</w:t>
            </w:r>
          </w:p>
        </w:tc>
        <w:tc>
          <w:tcPr>
            <w:tcW w:w="1536" w:type="dxa"/>
            <w:vAlign w:val="center"/>
          </w:tcPr>
          <w:p w14:paraId="01CCF69B">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提示词优化</w:t>
            </w:r>
          </w:p>
        </w:tc>
        <w:tc>
          <w:tcPr>
            <w:tcW w:w="3487" w:type="dxa"/>
            <w:vAlign w:val="center"/>
          </w:tcPr>
          <w:p w14:paraId="23F62336">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提供提示词模板以及提示词的自动优化能力。</w:t>
            </w:r>
          </w:p>
        </w:tc>
        <w:tc>
          <w:tcPr>
            <w:tcW w:w="600" w:type="dxa"/>
            <w:vAlign w:val="center"/>
          </w:tcPr>
          <w:p w14:paraId="00B74D4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6E57504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435A71F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2E511F0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3FA1495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4C04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2FD17C12">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3.7</w:t>
            </w:r>
          </w:p>
        </w:tc>
        <w:tc>
          <w:tcPr>
            <w:tcW w:w="1536" w:type="dxa"/>
            <w:vAlign w:val="center"/>
          </w:tcPr>
          <w:p w14:paraId="280E924A">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知识库</w:t>
            </w:r>
          </w:p>
        </w:tc>
        <w:tc>
          <w:tcPr>
            <w:tcW w:w="3487" w:type="dxa"/>
            <w:vAlign w:val="center"/>
          </w:tcPr>
          <w:p w14:paraId="1A3D9E13">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可以通过上传文档、图像、数据库创建知识库。</w:t>
            </w:r>
          </w:p>
        </w:tc>
        <w:tc>
          <w:tcPr>
            <w:tcW w:w="600" w:type="dxa"/>
            <w:vAlign w:val="center"/>
          </w:tcPr>
          <w:p w14:paraId="5EDFB32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2ED8330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216B48F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791A94C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4AD750E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1E17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3D24C019">
            <w:pPr>
              <w:snapToGrid w:val="0"/>
              <w:spacing w:line="240" w:lineRule="auto"/>
              <w:ind w:left="0" w:leftChars="0" w:right="0" w:rightChars="0" w:firstLine="0"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3.8</w:t>
            </w:r>
          </w:p>
        </w:tc>
        <w:tc>
          <w:tcPr>
            <w:tcW w:w="1536" w:type="dxa"/>
            <w:vAlign w:val="center"/>
          </w:tcPr>
          <w:p w14:paraId="0CFF12F2">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智能体评测</w:t>
            </w:r>
          </w:p>
        </w:tc>
        <w:tc>
          <w:tcPr>
            <w:tcW w:w="3487" w:type="dxa"/>
            <w:vAlign w:val="center"/>
          </w:tcPr>
          <w:p w14:paraId="3E3D3ACC">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支持基于评测集，对智能体效果进行评测，并提供评测分析报告。</w:t>
            </w:r>
          </w:p>
        </w:tc>
        <w:tc>
          <w:tcPr>
            <w:tcW w:w="600" w:type="dxa"/>
            <w:vAlign w:val="center"/>
          </w:tcPr>
          <w:p w14:paraId="5B89BBA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套</w:t>
            </w:r>
          </w:p>
        </w:tc>
        <w:tc>
          <w:tcPr>
            <w:tcW w:w="700" w:type="dxa"/>
            <w:vAlign w:val="center"/>
          </w:tcPr>
          <w:p w14:paraId="7A5E2F6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16B2529F">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191856A8">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2900456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0466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7D39679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（二）</w:t>
            </w:r>
          </w:p>
        </w:tc>
        <w:tc>
          <w:tcPr>
            <w:tcW w:w="1536" w:type="dxa"/>
            <w:vAlign w:val="center"/>
          </w:tcPr>
          <w:p w14:paraId="1E171EC5">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硬件服务器</w:t>
            </w:r>
          </w:p>
        </w:tc>
        <w:tc>
          <w:tcPr>
            <w:tcW w:w="3487" w:type="dxa"/>
            <w:vAlign w:val="center"/>
          </w:tcPr>
          <w:p w14:paraId="2F7A8B89">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p>
        </w:tc>
        <w:tc>
          <w:tcPr>
            <w:tcW w:w="600" w:type="dxa"/>
            <w:vAlign w:val="center"/>
          </w:tcPr>
          <w:p w14:paraId="11B3EDEE">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700" w:type="dxa"/>
            <w:vAlign w:val="center"/>
          </w:tcPr>
          <w:p w14:paraId="60514A8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46A9652B">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6FAD7B45">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02791C3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2F93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4E63A4B7">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1536" w:type="dxa"/>
            <w:vAlign w:val="center"/>
          </w:tcPr>
          <w:p w14:paraId="56D67D5B">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GPU服务器</w:t>
            </w:r>
          </w:p>
        </w:tc>
        <w:tc>
          <w:tcPr>
            <w:tcW w:w="3487" w:type="dxa"/>
            <w:tcBorders>
              <w:top w:val="single" w:color="auto" w:sz="4" w:space="0"/>
              <w:left w:val="single" w:color="auto" w:sz="4" w:space="0"/>
              <w:bottom w:val="single" w:color="auto" w:sz="4" w:space="0"/>
              <w:right w:val="single" w:color="auto" w:sz="4" w:space="0"/>
            </w:tcBorders>
            <w:vAlign w:val="center"/>
          </w:tcPr>
          <w:p w14:paraId="7EF85655">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型号：机头R4930G7*1+机尾AB0611OG1*2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CPU规格:[hygon7490]*2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CPU核数:[64]*2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CPU主频:2.7 GHz</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内存(GB):1536</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内存规格: ECC DDR5 RDIMM 速率4800MT/s</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内置硬盘：240G[240G_sata_ssd]*1</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3840G[3840G_nvme_ssd]*4</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网卡要求: 25GE： 双端口25G独立网卡，型号要求：满配兼容多模模块（SFP28），支持PXE，支持SRIOV 技术。</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 xml:space="preserve">网卡要求：Mellanox </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网口数量: 25GE*2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GPU模组:16张GPU卡</w:t>
            </w:r>
          </w:p>
        </w:tc>
        <w:tc>
          <w:tcPr>
            <w:tcW w:w="600" w:type="dxa"/>
            <w:vAlign w:val="center"/>
          </w:tcPr>
          <w:p w14:paraId="4AF7DA7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台</w:t>
            </w:r>
          </w:p>
        </w:tc>
        <w:tc>
          <w:tcPr>
            <w:tcW w:w="700" w:type="dxa"/>
            <w:vAlign w:val="center"/>
          </w:tcPr>
          <w:p w14:paraId="2F581F92">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vAlign w:val="center"/>
          </w:tcPr>
          <w:p w14:paraId="2E5ABB1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1503229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4E24AAD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0975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vAlign w:val="center"/>
          </w:tcPr>
          <w:p w14:paraId="3958295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2</w:t>
            </w:r>
          </w:p>
        </w:tc>
        <w:tc>
          <w:tcPr>
            <w:tcW w:w="1536" w:type="dxa"/>
            <w:vAlign w:val="center"/>
          </w:tcPr>
          <w:p w14:paraId="3B1C47F3">
            <w:pPr>
              <w:snapToGrid w:val="0"/>
              <w:spacing w:line="240" w:lineRule="auto"/>
              <w:ind w:left="0" w:leftChars="0" w:right="0" w:rightChars="0" w:firstLine="0" w:firstLineChars="0"/>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通用服务器</w:t>
            </w:r>
          </w:p>
        </w:tc>
        <w:tc>
          <w:tcPr>
            <w:tcW w:w="3487" w:type="dxa"/>
            <w:tcBorders>
              <w:top w:val="nil"/>
              <w:left w:val="single" w:color="auto" w:sz="4" w:space="0"/>
              <w:bottom w:val="single" w:color="auto" w:sz="4" w:space="0"/>
              <w:right w:val="single" w:color="auto" w:sz="4" w:space="0"/>
            </w:tcBorders>
            <w:vAlign w:val="center"/>
          </w:tcPr>
          <w:p w14:paraId="2EB77998">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CPU规格:[hygon7470]*2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CPU核数:[48]*2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CPU主频:2.6 GHz</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内存(GB):768</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内存规格: ECC DDR5 RDIMM 速率 4800MT/s</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内置硬盘: 480G[480G_sata_ssd]*2</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3840G[3840G_nvme_ssd]*6</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网卡要求: 25GE： 双端口25G独立网卡</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网口数量: 25GE*2, 并满配兼容多模模块。</w:t>
            </w:r>
          </w:p>
        </w:tc>
        <w:tc>
          <w:tcPr>
            <w:tcW w:w="600" w:type="dxa"/>
            <w:vAlign w:val="center"/>
          </w:tcPr>
          <w:p w14:paraId="76CEFD1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台</w:t>
            </w:r>
          </w:p>
        </w:tc>
        <w:tc>
          <w:tcPr>
            <w:tcW w:w="700" w:type="dxa"/>
            <w:vAlign w:val="center"/>
          </w:tcPr>
          <w:p w14:paraId="697A05F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3</w:t>
            </w:r>
          </w:p>
        </w:tc>
        <w:tc>
          <w:tcPr>
            <w:tcW w:w="684" w:type="dxa"/>
            <w:vAlign w:val="center"/>
          </w:tcPr>
          <w:p w14:paraId="3D76DCA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0B9B4183">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vAlign w:val="center"/>
          </w:tcPr>
          <w:p w14:paraId="495DECB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43E6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tcBorders>
              <w:bottom w:val="single" w:color="auto" w:sz="4" w:space="0"/>
            </w:tcBorders>
            <w:vAlign w:val="center"/>
          </w:tcPr>
          <w:p w14:paraId="41DB910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3</w:t>
            </w:r>
          </w:p>
        </w:tc>
        <w:tc>
          <w:tcPr>
            <w:tcW w:w="1536" w:type="dxa"/>
            <w:tcBorders>
              <w:bottom w:val="single" w:color="auto" w:sz="4" w:space="0"/>
            </w:tcBorders>
            <w:vAlign w:val="center"/>
          </w:tcPr>
          <w:p w14:paraId="7072B202">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业务网络</w:t>
            </w:r>
            <w:r>
              <w:rPr>
                <w:rFonts w:hint="eastAsia" w:ascii="宋体" w:hAnsi="宋体" w:eastAsia="宋体" w:cs="宋体"/>
                <w:kern w:val="0"/>
                <w:sz w:val="18"/>
                <w:szCs w:val="18"/>
                <w:lang w:eastAsia="zh-CN"/>
              </w:rPr>
              <w:t>交换机</w:t>
            </w:r>
          </w:p>
        </w:tc>
        <w:tc>
          <w:tcPr>
            <w:tcW w:w="3487" w:type="dxa"/>
            <w:tcBorders>
              <w:top w:val="nil"/>
              <w:left w:val="single" w:color="auto" w:sz="4" w:space="0"/>
              <w:bottom w:val="single" w:color="auto" w:sz="4" w:space="0"/>
              <w:right w:val="single" w:color="auto" w:sz="4" w:space="0"/>
            </w:tcBorders>
            <w:vAlign w:val="center"/>
          </w:tcPr>
          <w:p w14:paraId="1D34CD6B">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RG-S6510-48VS8CQ</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机架式1U盒式交换机，前后通风</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冗余电源；冗余风扇</w:t>
            </w:r>
            <w:r>
              <w:rPr>
                <w:rFonts w:hint="eastAsia" w:ascii="宋体" w:hAnsi="宋体" w:eastAsia="宋体" w:cs="宋体"/>
                <w:kern w:val="0"/>
                <w:sz w:val="18"/>
                <w:szCs w:val="18"/>
                <w:lang w:eastAsia="en-US"/>
              </w:rPr>
              <w:br w:type="textWrapping"/>
            </w:r>
            <w:r>
              <w:rPr>
                <w:rFonts w:hint="eastAsia" w:ascii="宋体" w:hAnsi="宋体" w:eastAsia="宋体" w:cs="宋体"/>
                <w:kern w:val="0"/>
                <w:sz w:val="18"/>
                <w:szCs w:val="18"/>
                <w:lang w:eastAsia="en-US"/>
              </w:rPr>
              <w:t>48口SFP28 的25G端口万兆，8口QSFP28 100G；配置48个25GE多模块光模块；交换容量4.8Tbps, 包转发率2000Mpps</w:t>
            </w:r>
          </w:p>
        </w:tc>
        <w:tc>
          <w:tcPr>
            <w:tcW w:w="600" w:type="dxa"/>
            <w:tcBorders>
              <w:bottom w:val="single" w:color="auto" w:sz="4" w:space="0"/>
            </w:tcBorders>
            <w:vAlign w:val="center"/>
          </w:tcPr>
          <w:p w14:paraId="787C22E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台</w:t>
            </w:r>
          </w:p>
        </w:tc>
        <w:tc>
          <w:tcPr>
            <w:tcW w:w="700" w:type="dxa"/>
            <w:tcBorders>
              <w:bottom w:val="single" w:color="auto" w:sz="4" w:space="0"/>
            </w:tcBorders>
            <w:vAlign w:val="center"/>
          </w:tcPr>
          <w:p w14:paraId="3B05455D">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tcBorders>
              <w:bottom w:val="single" w:color="auto" w:sz="4" w:space="0"/>
            </w:tcBorders>
            <w:vAlign w:val="center"/>
          </w:tcPr>
          <w:p w14:paraId="4B00ABB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tcBorders>
              <w:bottom w:val="single" w:color="auto" w:sz="4" w:space="0"/>
            </w:tcBorders>
            <w:vAlign w:val="center"/>
          </w:tcPr>
          <w:p w14:paraId="11E4208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tcBorders>
              <w:bottom w:val="single" w:color="auto" w:sz="4" w:space="0"/>
            </w:tcBorders>
            <w:vAlign w:val="center"/>
          </w:tcPr>
          <w:p w14:paraId="4722C8BC">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61EA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tcBorders>
              <w:top w:val="single" w:color="auto" w:sz="4" w:space="0"/>
              <w:bottom w:val="single" w:color="auto" w:sz="4" w:space="0"/>
            </w:tcBorders>
            <w:vAlign w:val="center"/>
          </w:tcPr>
          <w:p w14:paraId="52179039">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4</w:t>
            </w:r>
          </w:p>
        </w:tc>
        <w:tc>
          <w:tcPr>
            <w:tcW w:w="1536" w:type="dxa"/>
            <w:tcBorders>
              <w:top w:val="single" w:color="auto" w:sz="4" w:space="0"/>
              <w:bottom w:val="single" w:color="auto" w:sz="4" w:space="0"/>
            </w:tcBorders>
            <w:vAlign w:val="center"/>
          </w:tcPr>
          <w:p w14:paraId="0B3A8A7A">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业务网络</w:t>
            </w:r>
            <w:r>
              <w:rPr>
                <w:rFonts w:hint="eastAsia" w:ascii="宋体" w:hAnsi="宋体" w:eastAsia="宋体" w:cs="宋体"/>
                <w:kern w:val="0"/>
                <w:sz w:val="18"/>
                <w:szCs w:val="18"/>
                <w:lang w:eastAsia="zh-CN"/>
              </w:rPr>
              <w:t>交换机</w:t>
            </w:r>
          </w:p>
        </w:tc>
        <w:tc>
          <w:tcPr>
            <w:tcW w:w="3487" w:type="dxa"/>
            <w:tcBorders>
              <w:top w:val="single" w:color="auto" w:sz="4" w:space="0"/>
              <w:left w:val="single" w:color="auto" w:sz="4" w:space="0"/>
              <w:bottom w:val="single" w:color="auto" w:sz="4" w:space="0"/>
              <w:right w:val="single" w:color="auto" w:sz="4" w:space="0"/>
            </w:tcBorders>
            <w:vAlign w:val="center"/>
          </w:tcPr>
          <w:p w14:paraId="6EA930B0">
            <w:pPr>
              <w:snapToGrid w:val="0"/>
              <w:spacing w:line="240" w:lineRule="auto"/>
              <w:ind w:left="0" w:leftChars="0" w:right="0" w:rightChars="0" w:firstLine="0" w:firstLine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en-US"/>
              </w:rPr>
              <w:t>RG-S5310-48GT4XS-E 机架式1U盒式交换机</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eastAsia="en-US"/>
              </w:rPr>
              <w:t>支持交流电源；48电口</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eastAsia="en-US"/>
              </w:rPr>
              <w:t>交换容量432Gbps, 包转发率166Mpps</w:t>
            </w:r>
          </w:p>
        </w:tc>
        <w:tc>
          <w:tcPr>
            <w:tcW w:w="600" w:type="dxa"/>
            <w:tcBorders>
              <w:top w:val="single" w:color="auto" w:sz="4" w:space="0"/>
              <w:bottom w:val="single" w:color="auto" w:sz="4" w:space="0"/>
            </w:tcBorders>
            <w:vAlign w:val="center"/>
          </w:tcPr>
          <w:p w14:paraId="296EC64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台</w:t>
            </w:r>
          </w:p>
        </w:tc>
        <w:tc>
          <w:tcPr>
            <w:tcW w:w="700" w:type="dxa"/>
            <w:tcBorders>
              <w:top w:val="single" w:color="auto" w:sz="4" w:space="0"/>
              <w:bottom w:val="single" w:color="auto" w:sz="4" w:space="0"/>
            </w:tcBorders>
            <w:vAlign w:val="center"/>
          </w:tcPr>
          <w:p w14:paraId="77E5095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1</w:t>
            </w:r>
          </w:p>
        </w:tc>
        <w:tc>
          <w:tcPr>
            <w:tcW w:w="684" w:type="dxa"/>
            <w:tcBorders>
              <w:top w:val="single" w:color="auto" w:sz="4" w:space="0"/>
              <w:bottom w:val="single" w:color="auto" w:sz="4" w:space="0"/>
            </w:tcBorders>
            <w:vAlign w:val="center"/>
          </w:tcPr>
          <w:p w14:paraId="3E9DF534">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tcBorders>
              <w:top w:val="single" w:color="auto" w:sz="4" w:space="0"/>
              <w:bottom w:val="single" w:color="auto" w:sz="4" w:space="0"/>
            </w:tcBorders>
            <w:vAlign w:val="center"/>
          </w:tcPr>
          <w:p w14:paraId="3761F8D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tcBorders>
              <w:top w:val="single" w:color="auto" w:sz="4" w:space="0"/>
              <w:bottom w:val="single" w:color="auto" w:sz="4" w:space="0"/>
            </w:tcBorders>
            <w:vAlign w:val="center"/>
          </w:tcPr>
          <w:p w14:paraId="629E1816">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3996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6" w:type="dxa"/>
            <w:tcBorders>
              <w:top w:val="single" w:color="auto" w:sz="4" w:space="0"/>
              <w:bottom w:val="single" w:color="auto" w:sz="4" w:space="0"/>
            </w:tcBorders>
            <w:vAlign w:val="center"/>
          </w:tcPr>
          <w:p w14:paraId="3EB91D7F">
            <w:pPr>
              <w:snapToGrid w:val="0"/>
              <w:spacing w:line="240" w:lineRule="auto"/>
              <w:ind w:left="0" w:leftChars="0" w:right="0" w:rightChars="0" w:firstLine="0" w:firstLineChars="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1536" w:type="dxa"/>
            <w:tcBorders>
              <w:top w:val="single" w:color="auto" w:sz="4" w:space="0"/>
              <w:bottom w:val="single" w:color="auto" w:sz="4" w:space="0"/>
            </w:tcBorders>
            <w:vAlign w:val="center"/>
          </w:tcPr>
          <w:p w14:paraId="49436722">
            <w:pPr>
              <w:snapToGrid w:val="0"/>
              <w:spacing w:line="240" w:lineRule="auto"/>
              <w:ind w:left="0" w:leftChars="0" w:right="0" w:rightChars="0" w:firstLine="0" w:firstLineChars="0"/>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安装辅材</w:t>
            </w:r>
          </w:p>
        </w:tc>
        <w:tc>
          <w:tcPr>
            <w:tcW w:w="3487" w:type="dxa"/>
            <w:tcBorders>
              <w:top w:val="single" w:color="auto" w:sz="4" w:space="0"/>
              <w:left w:val="single" w:color="auto" w:sz="4" w:space="0"/>
              <w:bottom w:val="single" w:color="auto" w:sz="4" w:space="0"/>
              <w:right w:val="single" w:color="auto" w:sz="4" w:space="0"/>
            </w:tcBorders>
            <w:vAlign w:val="center"/>
          </w:tcPr>
          <w:p w14:paraId="68D877C6">
            <w:pPr>
              <w:snapToGrid w:val="0"/>
              <w:spacing w:line="240" w:lineRule="auto"/>
              <w:ind w:left="0" w:leftChars="0" w:right="0" w:rightChars="0" w:firstLine="0" w:firstLineChars="0"/>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PDU、配套辅材等</w:t>
            </w:r>
          </w:p>
        </w:tc>
        <w:tc>
          <w:tcPr>
            <w:tcW w:w="600" w:type="dxa"/>
            <w:tcBorders>
              <w:top w:val="single" w:color="auto" w:sz="4" w:space="0"/>
              <w:bottom w:val="single" w:color="auto" w:sz="4" w:space="0"/>
            </w:tcBorders>
            <w:vAlign w:val="center"/>
          </w:tcPr>
          <w:p w14:paraId="5991FE44">
            <w:pPr>
              <w:snapToGrid w:val="0"/>
              <w:spacing w:line="240" w:lineRule="auto"/>
              <w:ind w:left="0" w:leftChars="0" w:right="0" w:rightChars="0"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批</w:t>
            </w:r>
          </w:p>
        </w:tc>
        <w:tc>
          <w:tcPr>
            <w:tcW w:w="700" w:type="dxa"/>
            <w:tcBorders>
              <w:top w:val="single" w:color="auto" w:sz="4" w:space="0"/>
              <w:bottom w:val="single" w:color="auto" w:sz="4" w:space="0"/>
            </w:tcBorders>
            <w:vAlign w:val="center"/>
          </w:tcPr>
          <w:p w14:paraId="2357286F">
            <w:pPr>
              <w:snapToGrid w:val="0"/>
              <w:spacing w:line="240" w:lineRule="auto"/>
              <w:ind w:left="0" w:leftChars="0" w:right="0" w:rightChars="0" w:firstLine="0" w:firstLineChars="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684" w:type="dxa"/>
            <w:tcBorders>
              <w:top w:val="single" w:color="auto" w:sz="4" w:space="0"/>
              <w:bottom w:val="single" w:color="auto" w:sz="4" w:space="0"/>
            </w:tcBorders>
            <w:vAlign w:val="center"/>
          </w:tcPr>
          <w:p w14:paraId="179B9C4A">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tcBorders>
              <w:top w:val="single" w:color="auto" w:sz="4" w:space="0"/>
              <w:bottom w:val="single" w:color="auto" w:sz="4" w:space="0"/>
            </w:tcBorders>
            <w:vAlign w:val="center"/>
          </w:tcPr>
          <w:p w14:paraId="72824E0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c>
          <w:tcPr>
            <w:tcW w:w="684" w:type="dxa"/>
            <w:tcBorders>
              <w:top w:val="single" w:color="auto" w:sz="4" w:space="0"/>
              <w:bottom w:val="single" w:color="auto" w:sz="4" w:space="0"/>
            </w:tcBorders>
            <w:vAlign w:val="center"/>
          </w:tcPr>
          <w:p w14:paraId="58292C51">
            <w:pPr>
              <w:snapToGrid w:val="0"/>
              <w:spacing w:line="240" w:lineRule="auto"/>
              <w:ind w:left="0" w:leftChars="0" w:right="0" w:rightChars="0" w:firstLine="0" w:firstLineChars="0"/>
              <w:jc w:val="center"/>
              <w:rPr>
                <w:rFonts w:hint="eastAsia" w:ascii="宋体" w:hAnsi="宋体" w:eastAsia="宋体" w:cs="宋体"/>
                <w:kern w:val="0"/>
                <w:sz w:val="18"/>
                <w:szCs w:val="18"/>
                <w:lang w:eastAsia="en-US"/>
              </w:rPr>
            </w:pPr>
          </w:p>
        </w:tc>
      </w:tr>
      <w:tr w14:paraId="2A37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92" w:type="dxa"/>
            <w:gridSpan w:val="2"/>
            <w:tcBorders>
              <w:top w:val="single" w:color="auto" w:sz="4" w:space="0"/>
            </w:tcBorders>
            <w:vAlign w:val="center"/>
          </w:tcPr>
          <w:p w14:paraId="66CEA28B">
            <w:pPr>
              <w:snapToGrid w:val="0"/>
              <w:spacing w:line="240" w:lineRule="auto"/>
              <w:ind w:left="0" w:leftChars="0" w:right="0" w:rightChars="0" w:firstLine="0" w:firstLineChars="0"/>
              <w:jc w:val="center"/>
              <w:rPr>
                <w:rFonts w:hint="default" w:ascii="宋体" w:hAnsi="宋体" w:cs="宋体"/>
                <w:kern w:val="0"/>
                <w:sz w:val="18"/>
                <w:szCs w:val="18"/>
                <w:lang w:val="en-US" w:eastAsia="zh-CN"/>
              </w:rPr>
            </w:pPr>
            <w:r>
              <w:rPr>
                <w:rFonts w:hint="eastAsia" w:cs="宋体"/>
                <w:kern w:val="0"/>
                <w:sz w:val="18"/>
                <w:szCs w:val="18"/>
                <w:lang w:val="en-US" w:eastAsia="zh-CN"/>
              </w:rPr>
              <w:t>总计</w:t>
            </w:r>
          </w:p>
        </w:tc>
        <w:tc>
          <w:tcPr>
            <w:tcW w:w="6839" w:type="dxa"/>
            <w:gridSpan w:val="6"/>
            <w:tcBorders>
              <w:top w:val="single" w:color="auto" w:sz="4" w:space="0"/>
              <w:left w:val="single" w:color="auto" w:sz="4" w:space="0"/>
              <w:bottom w:val="single" w:color="auto" w:sz="4" w:space="0"/>
            </w:tcBorders>
            <w:vAlign w:val="center"/>
          </w:tcPr>
          <w:p w14:paraId="0A294268">
            <w:pPr>
              <w:snapToGrid w:val="0"/>
              <w:spacing w:line="240" w:lineRule="auto"/>
              <w:ind w:left="0" w:leftChars="0" w:right="0" w:rightChars="0"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小写：***     大写：***     税率：13%</w:t>
            </w:r>
          </w:p>
        </w:tc>
      </w:tr>
    </w:tbl>
    <w:p w14:paraId="50022A65">
      <w:pPr>
        <w:pStyle w:val="97"/>
        <w:keepNext w:val="0"/>
        <w:keepLines w:val="0"/>
        <w:pageBreakBefore w:val="0"/>
        <w:widowControl w:val="0"/>
        <w:kinsoku/>
        <w:wordWrap/>
        <w:overflowPunct/>
        <w:topLinePunct w:val="0"/>
        <w:autoSpaceDE/>
        <w:autoSpaceDN/>
        <w:bidi w:val="0"/>
        <w:adjustRightInd/>
        <w:snapToGrid/>
        <w:spacing w:line="360" w:lineRule="auto"/>
        <w:ind w:left="0" w:firstLine="241" w:firstLineChars="1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说明：</w:t>
      </w:r>
    </w:p>
    <w:p w14:paraId="4C2223D0">
      <w:pPr>
        <w:pStyle w:val="97"/>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lang w:val="en-US" w:eastAsia="zh-CN"/>
        </w:rPr>
        <w:t>1、</w:t>
      </w:r>
      <w:r>
        <w:rPr>
          <w:rFonts w:hint="eastAsia" w:asciiTheme="minorEastAsia" w:hAnsiTheme="minorEastAsia" w:eastAsiaTheme="minorEastAsia" w:cstheme="minorEastAsia"/>
          <w:color w:val="000000"/>
          <w:spacing w:val="0"/>
          <w:w w:val="100"/>
          <w:position w:val="0"/>
          <w:sz w:val="24"/>
          <w:szCs w:val="24"/>
        </w:rPr>
        <w:t>如果按单价计算的结果与总价不一致，以单价为准修正总价。</w:t>
      </w:r>
    </w:p>
    <w:p w14:paraId="58DF7E3F">
      <w:pPr>
        <w:pStyle w:val="97"/>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lang w:val="en-US" w:eastAsia="zh-CN"/>
        </w:rPr>
        <w:t>2、</w:t>
      </w:r>
      <w:r>
        <w:rPr>
          <w:rFonts w:hint="eastAsia" w:asciiTheme="minorEastAsia" w:hAnsiTheme="minorEastAsia" w:eastAsiaTheme="minorEastAsia" w:cstheme="minorEastAsia"/>
          <w:color w:val="000000"/>
          <w:spacing w:val="0"/>
          <w:w w:val="100"/>
          <w:position w:val="0"/>
          <w:sz w:val="24"/>
          <w:szCs w:val="24"/>
        </w:rPr>
        <w:t>投标单位必须明确货期，按日历天计算，具体开始日期为下订单次日算起。</w:t>
      </w:r>
    </w:p>
    <w:p w14:paraId="493906BA">
      <w:pPr>
        <w:pStyle w:val="97"/>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right="0" w:rightChars="0"/>
        <w:textAlignment w:val="auto"/>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lang w:val="en-US" w:eastAsia="zh-CN"/>
        </w:rPr>
        <w:t>3、</w:t>
      </w:r>
      <w:r>
        <w:rPr>
          <w:rFonts w:hint="eastAsia" w:asciiTheme="minorEastAsia" w:hAnsiTheme="minorEastAsia" w:eastAsiaTheme="minorEastAsia" w:cstheme="minorEastAsia"/>
          <w:color w:val="000000"/>
          <w:spacing w:val="0"/>
          <w:w w:val="100"/>
          <w:position w:val="0"/>
          <w:sz w:val="24"/>
          <w:szCs w:val="24"/>
        </w:rPr>
        <w:t>所报单价必须为含税单价</w:t>
      </w:r>
      <w:r>
        <w:rPr>
          <w:rFonts w:hint="eastAsia" w:asciiTheme="minorEastAsia" w:hAnsiTheme="minorEastAsia" w:eastAsiaTheme="minorEastAsia" w:cstheme="minorEastAsia"/>
          <w:color w:val="000000"/>
          <w:spacing w:val="0"/>
          <w:w w:val="100"/>
          <w:position w:val="0"/>
          <w:sz w:val="24"/>
          <w:szCs w:val="24"/>
          <w:lang w:eastAsia="zh-CN"/>
        </w:rPr>
        <w:t>，</w:t>
      </w:r>
      <w:r>
        <w:rPr>
          <w:rFonts w:hint="eastAsia" w:asciiTheme="minorEastAsia" w:hAnsiTheme="minorEastAsia" w:eastAsiaTheme="minorEastAsia" w:cstheme="minorEastAsia"/>
          <w:color w:val="000000"/>
          <w:spacing w:val="0"/>
          <w:w w:val="100"/>
          <w:position w:val="0"/>
          <w:sz w:val="24"/>
          <w:szCs w:val="24"/>
        </w:rPr>
        <w:t>小数点后保留</w:t>
      </w:r>
      <w:r>
        <w:rPr>
          <w:rFonts w:hint="eastAsia" w:asciiTheme="minorEastAsia" w:hAnsiTheme="minorEastAsia" w:eastAsiaTheme="minorEastAsia" w:cstheme="minorEastAsia"/>
          <w:color w:val="000000"/>
          <w:spacing w:val="0"/>
          <w:w w:val="100"/>
          <w:position w:val="0"/>
          <w:sz w:val="24"/>
          <w:szCs w:val="24"/>
          <w:lang w:val="en-US" w:eastAsia="zh-CN"/>
        </w:rPr>
        <w:t>两</w:t>
      </w:r>
      <w:r>
        <w:rPr>
          <w:rFonts w:hint="eastAsia" w:asciiTheme="minorEastAsia" w:hAnsiTheme="minorEastAsia" w:eastAsiaTheme="minorEastAsia" w:cstheme="minorEastAsia"/>
          <w:color w:val="000000"/>
          <w:spacing w:val="0"/>
          <w:w w:val="100"/>
          <w:position w:val="0"/>
          <w:sz w:val="24"/>
          <w:szCs w:val="24"/>
        </w:rPr>
        <w:t>位，税率按国家政策执行（现执行税率为</w:t>
      </w:r>
      <w:r>
        <w:rPr>
          <w:rFonts w:hint="eastAsia" w:asciiTheme="minorEastAsia" w:hAnsiTheme="minorEastAsia" w:eastAsiaTheme="minorEastAsia" w:cstheme="minorEastAsia"/>
          <w:color w:val="000000"/>
          <w:spacing w:val="0"/>
          <w:w w:val="100"/>
          <w:position w:val="0"/>
          <w:sz w:val="24"/>
          <w:szCs w:val="24"/>
          <w:lang w:val="en-US" w:eastAsia="zh-CN"/>
        </w:rPr>
        <w:t>13</w:t>
      </w:r>
      <w:r>
        <w:rPr>
          <w:rFonts w:hint="eastAsia" w:asciiTheme="minorEastAsia" w:hAnsiTheme="minorEastAsia" w:eastAsiaTheme="minorEastAsia" w:cstheme="minorEastAsia"/>
          <w:color w:val="000000"/>
          <w:spacing w:val="0"/>
          <w:w w:val="100"/>
          <w:position w:val="0"/>
          <w:sz w:val="24"/>
          <w:szCs w:val="24"/>
        </w:rPr>
        <w:t>%）。</w:t>
      </w:r>
    </w:p>
    <w:p w14:paraId="6BED63AC">
      <w:pPr>
        <w:pStyle w:val="97"/>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240" w:firstLineChars="1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kern w:val="2"/>
          <w:sz w:val="24"/>
          <w:szCs w:val="24"/>
          <w:lang w:val="en-US" w:eastAsia="zh-CN" w:bidi="ar-SA"/>
        </w:rPr>
        <w:t>4、若出现空项，以投标单位的单价最高价进行补齐，修正总价。</w:t>
      </w:r>
    </w:p>
    <w:p w14:paraId="5E6EB8D3">
      <w:pPr>
        <w:pStyle w:val="97"/>
        <w:keepNext w:val="0"/>
        <w:keepLines w:val="0"/>
        <w:pageBreakBefore w:val="0"/>
        <w:widowControl w:val="0"/>
        <w:kinsoku/>
        <w:wordWrap/>
        <w:overflowPunct/>
        <w:topLinePunct w:val="0"/>
        <w:autoSpaceDE/>
        <w:autoSpaceDN/>
        <w:bidi w:val="0"/>
        <w:adjustRightInd/>
        <w:snapToGrid/>
        <w:spacing w:line="360" w:lineRule="auto"/>
        <w:ind w:firstLine="5582" w:firstLineChars="232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投标人：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z w:val="24"/>
          <w:szCs w:val="24"/>
          <w:highlight w:val="none"/>
          <w:lang w:val="en-US" w:eastAsia="zh-CN"/>
        </w:rPr>
        <w:t>单位公</w:t>
      </w:r>
      <w:r>
        <w:rPr>
          <w:rFonts w:hint="eastAsia" w:asciiTheme="minorEastAsia" w:hAnsiTheme="minorEastAsia" w:eastAsiaTheme="minorEastAsia" w:cstheme="minorEastAsia"/>
          <w:sz w:val="24"/>
          <w:szCs w:val="24"/>
          <w:highlight w:val="none"/>
          <w:lang w:eastAsia="zh-CN"/>
        </w:rPr>
        <w:t>章）</w:t>
      </w:r>
    </w:p>
    <w:p w14:paraId="72C529D7">
      <w:pPr>
        <w:pStyle w:val="97"/>
        <w:keepNext w:val="0"/>
        <w:keepLines w:val="0"/>
        <w:pageBreakBefore w:val="0"/>
        <w:widowControl w:val="0"/>
        <w:kinsoku/>
        <w:wordWrap/>
        <w:overflowPunct/>
        <w:topLinePunct w:val="0"/>
        <w:autoSpaceDE/>
        <w:autoSpaceDN/>
        <w:bidi w:val="0"/>
        <w:adjustRightInd/>
        <w:snapToGrid/>
        <w:spacing w:line="360" w:lineRule="auto"/>
        <w:ind w:firstLine="3662" w:firstLineChars="152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法定代表人或授权代理人： </w:t>
      </w:r>
      <w:r>
        <w:rPr>
          <w:rFonts w:hint="eastAsia" w:asciiTheme="minorEastAsia" w:hAnsiTheme="minorEastAsia" w:eastAsiaTheme="minorEastAsia" w:cstheme="minorEastAsia"/>
          <w:sz w:val="24"/>
          <w:szCs w:val="24"/>
          <w:highlight w:val="none"/>
          <w:lang w:eastAsia="zh-CN"/>
        </w:rPr>
        <w:tab/>
      </w:r>
      <w:r>
        <w:rPr>
          <w:rFonts w:hint="eastAsia" w:asciiTheme="minorEastAsia" w:hAnsiTheme="minorEastAsia" w:eastAsiaTheme="minorEastAsia" w:cstheme="minorEastAsia"/>
          <w:sz w:val="24"/>
          <w:szCs w:val="24"/>
          <w:highlight w:val="none"/>
          <w:lang w:eastAsia="zh-CN"/>
        </w:rPr>
        <w:t>（签字</w:t>
      </w:r>
      <w:r>
        <w:rPr>
          <w:rFonts w:hint="eastAsia" w:asciiTheme="minorEastAsia" w:hAnsiTheme="minorEastAsia" w:eastAsiaTheme="minorEastAsia" w:cstheme="minorEastAsia"/>
          <w:sz w:val="24"/>
          <w:szCs w:val="24"/>
          <w:highlight w:val="none"/>
          <w:lang w:val="en-US" w:eastAsia="zh-CN"/>
        </w:rPr>
        <w:t>或盖章</w:t>
      </w:r>
      <w:r>
        <w:rPr>
          <w:rFonts w:hint="eastAsia" w:asciiTheme="minorEastAsia" w:hAnsiTheme="minorEastAsia" w:eastAsiaTheme="minorEastAsia" w:cstheme="minorEastAsia"/>
          <w:sz w:val="24"/>
          <w:szCs w:val="24"/>
          <w:highlight w:val="none"/>
          <w:lang w:eastAsia="zh-CN"/>
        </w:rPr>
        <w:t>）</w:t>
      </w:r>
    </w:p>
    <w:p w14:paraId="24A54F83">
      <w:pPr>
        <w:pStyle w:val="97"/>
        <w:ind w:firstLine="5582" w:firstLineChars="2326"/>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color w:val="000000"/>
          <w:spacing w:val="0"/>
          <w:w w:val="100"/>
          <w:position w:val="0"/>
          <w:sz w:val="24"/>
          <w:szCs w:val="24"/>
        </w:rPr>
        <w:t>日期：</w:t>
      </w:r>
      <w:r>
        <w:rPr>
          <w:rFonts w:hint="eastAsia" w:asciiTheme="minorEastAsia" w:hAnsiTheme="minorEastAsia" w:eastAsiaTheme="minorEastAsia" w:cstheme="minorEastAsia"/>
          <w:color w:val="000000"/>
          <w:spacing w:val="0"/>
          <w:w w:val="100"/>
          <w:position w:val="0"/>
          <w:sz w:val="24"/>
          <w:szCs w:val="24"/>
          <w:lang w:val="en-US"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color w:val="000000"/>
          <w:spacing w:val="0"/>
          <w:w w:val="100"/>
          <w:position w:val="0"/>
          <w:sz w:val="24"/>
          <w:szCs w:val="24"/>
        </w:rPr>
        <w:t>年</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color w:val="000000"/>
          <w:spacing w:val="0"/>
          <w:w w:val="100"/>
          <w:position w:val="0"/>
          <w:sz w:val="24"/>
          <w:szCs w:val="24"/>
        </w:rPr>
        <w:t>月</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sz w:val="24"/>
          <w:szCs w:val="24"/>
          <w:u w:val="none"/>
          <w:lang w:val="en-US" w:eastAsia="zh-CN"/>
        </w:rPr>
        <w:t xml:space="preserve">   日</w:t>
      </w:r>
      <w:r>
        <w:rPr>
          <w:rFonts w:hint="eastAsia" w:asciiTheme="minorEastAsia" w:hAnsiTheme="minorEastAsia" w:cstheme="minorEastAsia"/>
          <w:sz w:val="24"/>
          <w:szCs w:val="24"/>
          <w:u w:val="none"/>
          <w:lang w:val="en-US" w:eastAsia="zh-CN"/>
        </w:rPr>
        <w:t xml:space="preserve"> </w:t>
      </w:r>
    </w:p>
    <w:bookmarkEnd w:id="268"/>
    <w:bookmarkEnd w:id="269"/>
    <w:bookmarkEnd w:id="270"/>
    <w:p w14:paraId="695A349C">
      <w:pPr>
        <w:pStyle w:val="4"/>
        <w:keepNext/>
        <w:keepLines/>
        <w:pageBreakBefore w:val="0"/>
        <w:widowControl w:val="0"/>
        <w:numPr>
          <w:ilvl w:val="1"/>
          <w:numId w:val="0"/>
        </w:numPr>
        <w:kinsoku/>
        <w:wordWrap/>
        <w:overflowPunct/>
        <w:topLinePunct w:val="0"/>
        <w:autoSpaceDE/>
        <w:autoSpaceDN/>
        <w:bidi w:val="0"/>
        <w:adjustRightInd/>
        <w:snapToGrid/>
        <w:ind w:left="0" w:leftChars="0"/>
        <w:textAlignment w:val="auto"/>
        <w:outlineLvl w:val="0"/>
        <w:rPr>
          <w:rFonts w:hint="eastAsia" w:asciiTheme="minorEastAsia" w:hAnsiTheme="minorEastAsia" w:eastAsiaTheme="minorEastAsia" w:cstheme="minorEastAsia"/>
          <w:highlight w:val="none"/>
          <w:lang w:eastAsia="zh-CN"/>
        </w:rPr>
      </w:pPr>
      <w:bookmarkStart w:id="271" w:name="_Toc10849"/>
      <w:bookmarkStart w:id="272" w:name="_Toc17586"/>
      <w:bookmarkStart w:id="273" w:name="_Toc119491641"/>
      <w:bookmarkStart w:id="274" w:name="bookmark240"/>
      <w:bookmarkStart w:id="275" w:name="bookmark241"/>
      <w:bookmarkStart w:id="276" w:name="bookmark239"/>
      <w:bookmarkStart w:id="277" w:name="_Toc7954"/>
      <w:r>
        <w:rPr>
          <w:rStyle w:val="90"/>
          <w:rFonts w:hint="eastAsia" w:asciiTheme="minorEastAsia" w:hAnsiTheme="minorEastAsia" w:eastAsiaTheme="minorEastAsia" w:cstheme="minorEastAsia"/>
          <w:b/>
          <w:sz w:val="30"/>
          <w:szCs w:val="24"/>
          <w:highlight w:val="none"/>
          <w:lang w:val="en-US" w:eastAsia="zh-CN"/>
        </w:rPr>
        <w:t>二、</w:t>
      </w:r>
      <w:r>
        <w:rPr>
          <w:rFonts w:hint="eastAsia" w:asciiTheme="minorEastAsia" w:hAnsiTheme="minorEastAsia" w:eastAsiaTheme="minorEastAsia" w:cstheme="minorEastAsia"/>
          <w:highlight w:val="none"/>
          <w:lang w:eastAsia="zh-CN"/>
        </w:rPr>
        <w:t>商务部分（包含资格审查）资料</w:t>
      </w:r>
      <w:bookmarkEnd w:id="271"/>
      <w:bookmarkEnd w:id="272"/>
      <w:bookmarkEnd w:id="273"/>
    </w:p>
    <w:p w14:paraId="367BAB26">
      <w:pPr>
        <w:pStyle w:val="97"/>
        <w:ind w:left="420" w:leftChars="200" w:firstLine="0" w:firstLineChars="0"/>
        <w:rPr>
          <w:rFonts w:hint="eastAsia" w:asciiTheme="minorEastAsia" w:hAnsiTheme="minorEastAsia" w:eastAsiaTheme="minorEastAsia" w:cstheme="minorEastAsia"/>
          <w:highlight w:val="none"/>
          <w:lang w:eastAsia="zh-CN"/>
        </w:rPr>
      </w:pPr>
    </w:p>
    <w:p w14:paraId="485ABF02">
      <w:pPr>
        <w:pStyle w:val="97"/>
        <w:ind w:left="420" w:leftChars="200" w:firstLine="0" w:firstLineChars="0"/>
        <w:rPr>
          <w:rFonts w:hint="eastAsia" w:asciiTheme="minorEastAsia" w:hAnsiTheme="minorEastAsia" w:eastAsiaTheme="minorEastAsia" w:cstheme="minorEastAsia"/>
          <w:highlight w:val="none"/>
          <w:lang w:eastAsia="zh-CN"/>
        </w:rPr>
      </w:pPr>
    </w:p>
    <w:p w14:paraId="5810AFE3">
      <w:pPr>
        <w:pStyle w:val="97"/>
        <w:ind w:left="420" w:leftChars="200" w:firstLine="0" w:firstLineChars="0"/>
        <w:rPr>
          <w:rFonts w:hint="eastAsia" w:asciiTheme="minorEastAsia" w:hAnsiTheme="minorEastAsia" w:eastAsiaTheme="minorEastAsia" w:cstheme="minorEastAsia"/>
          <w:highlight w:val="none"/>
          <w:lang w:eastAsia="zh-CN"/>
        </w:rPr>
      </w:pPr>
    </w:p>
    <w:p w14:paraId="0E8CE8DD">
      <w:pPr>
        <w:pStyle w:val="97"/>
        <w:ind w:left="420" w:leftChars="200" w:firstLine="0" w:firstLineChars="0"/>
        <w:rPr>
          <w:rFonts w:hint="eastAsia" w:asciiTheme="minorEastAsia" w:hAnsiTheme="minorEastAsia" w:eastAsiaTheme="minorEastAsia" w:cstheme="minorEastAsia"/>
          <w:highlight w:val="none"/>
          <w:lang w:eastAsia="zh-CN"/>
        </w:rPr>
      </w:pPr>
    </w:p>
    <w:p w14:paraId="385BC2A4">
      <w:pPr>
        <w:pStyle w:val="97"/>
        <w:ind w:left="420" w:leftChars="200" w:firstLine="0" w:firstLineChars="0"/>
        <w:rPr>
          <w:rFonts w:hint="eastAsia" w:asciiTheme="minorEastAsia" w:hAnsiTheme="minorEastAsia" w:eastAsiaTheme="minorEastAsia" w:cstheme="minorEastAsia"/>
          <w:highlight w:val="none"/>
          <w:lang w:eastAsia="zh-CN"/>
        </w:rPr>
      </w:pPr>
    </w:p>
    <w:p w14:paraId="6A0390C3">
      <w:pPr>
        <w:pStyle w:val="97"/>
        <w:ind w:left="420" w:leftChars="200" w:firstLine="0" w:firstLineChars="0"/>
        <w:rPr>
          <w:rFonts w:hint="eastAsia" w:asciiTheme="minorEastAsia" w:hAnsiTheme="minorEastAsia" w:eastAsiaTheme="minorEastAsia" w:cstheme="minorEastAsia"/>
          <w:highlight w:val="none"/>
          <w:lang w:eastAsia="zh-CN"/>
        </w:rPr>
      </w:pPr>
    </w:p>
    <w:p w14:paraId="702E4BB7">
      <w:pPr>
        <w:pStyle w:val="97"/>
        <w:ind w:left="420" w:leftChars="200" w:firstLine="0" w:firstLineChars="0"/>
        <w:rPr>
          <w:rFonts w:hint="eastAsia" w:asciiTheme="minorEastAsia" w:hAnsiTheme="minorEastAsia" w:eastAsiaTheme="minorEastAsia" w:cstheme="minorEastAsia"/>
          <w:highlight w:val="none"/>
          <w:lang w:eastAsia="zh-CN"/>
        </w:rPr>
      </w:pPr>
    </w:p>
    <w:p w14:paraId="28FA77E5">
      <w:pPr>
        <w:pStyle w:val="97"/>
        <w:ind w:left="420" w:leftChars="200" w:firstLine="0" w:firstLineChars="0"/>
        <w:rPr>
          <w:rFonts w:hint="eastAsia" w:asciiTheme="minorEastAsia" w:hAnsiTheme="minorEastAsia" w:eastAsiaTheme="minorEastAsia" w:cstheme="minorEastAsia"/>
          <w:highlight w:val="none"/>
          <w:lang w:eastAsia="zh-CN"/>
        </w:rPr>
      </w:pPr>
    </w:p>
    <w:p w14:paraId="6EEAF88E">
      <w:pPr>
        <w:pStyle w:val="97"/>
        <w:ind w:firstLine="0" w:firstLineChars="0"/>
        <w:jc w:val="center"/>
        <w:rPr>
          <w:rFonts w:hint="eastAsia" w:asciiTheme="minorEastAsia" w:hAnsiTheme="minorEastAsia" w:eastAsiaTheme="minorEastAsia" w:cstheme="minorEastAsia"/>
          <w:sz w:val="54"/>
          <w:highlight w:val="none"/>
          <w:lang w:eastAsia="zh-CN"/>
        </w:rPr>
      </w:pPr>
    </w:p>
    <w:p w14:paraId="3F83A402">
      <w:pPr>
        <w:pStyle w:val="97"/>
        <w:ind w:firstLine="0" w:firstLineChars="0"/>
        <w:jc w:val="center"/>
        <w:rPr>
          <w:rFonts w:hint="eastAsia" w:asciiTheme="minorEastAsia" w:hAnsiTheme="minorEastAsia" w:eastAsiaTheme="minorEastAsia" w:cstheme="minorEastAsia"/>
          <w:b/>
          <w:color w:val="000000"/>
          <w:sz w:val="54"/>
          <w:szCs w:val="24"/>
          <w:lang w:val="en-US" w:eastAsia="zh-CN" w:bidi="en-US"/>
        </w:rPr>
      </w:pPr>
      <w:r>
        <w:rPr>
          <w:rFonts w:hint="eastAsia" w:asciiTheme="minorEastAsia" w:hAnsiTheme="minorEastAsia" w:eastAsiaTheme="minorEastAsia" w:cstheme="minorEastAsia"/>
          <w:b/>
          <w:color w:val="000000"/>
          <w:sz w:val="54"/>
          <w:szCs w:val="24"/>
          <w:lang w:val="en-US" w:eastAsia="zh-CN" w:bidi="en-US"/>
        </w:rPr>
        <w:t>商务部分资料</w:t>
      </w:r>
    </w:p>
    <w:p w14:paraId="6B77F11E">
      <w:pP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br w:type="page"/>
      </w:r>
    </w:p>
    <w:p w14:paraId="64574209">
      <w:pPr>
        <w:pStyle w:val="5"/>
        <w:pageBreakBefore w:val="0"/>
        <w:widowControl w:val="0"/>
        <w:numPr>
          <w:ilvl w:val="2"/>
          <w:numId w:val="0"/>
        </w:numPr>
        <w:kinsoku/>
        <w:wordWrap/>
        <w:overflowPunct/>
        <w:topLinePunct w:val="0"/>
        <w:bidi w:val="0"/>
        <w:snapToGrid/>
        <w:spacing w:line="360" w:lineRule="auto"/>
        <w:ind w:leftChars="0"/>
        <w:textAlignment w:val="auto"/>
        <w:outlineLvl w:val="9"/>
        <w:rPr>
          <w:rFonts w:hint="eastAsia" w:asciiTheme="minorEastAsia" w:hAnsiTheme="minorEastAsia" w:eastAsiaTheme="minorEastAsia" w:cstheme="minorEastAsia"/>
          <w:sz w:val="28"/>
          <w:szCs w:val="28"/>
          <w:highlight w:val="none"/>
        </w:rPr>
      </w:pPr>
      <w:bookmarkStart w:id="278" w:name="_Toc14143"/>
      <w:bookmarkStart w:id="279" w:name="_Toc26896"/>
      <w:bookmarkStart w:id="280" w:name="_Toc4196"/>
      <w:r>
        <w:rPr>
          <w:rStyle w:val="135"/>
          <w:rFonts w:hint="eastAsia" w:asciiTheme="minorEastAsia" w:hAnsiTheme="minorEastAsia" w:eastAsiaTheme="minorEastAsia" w:cstheme="minorEastAsia"/>
          <w:b/>
          <w:sz w:val="28"/>
          <w:szCs w:val="28"/>
          <w:highlight w:val="none"/>
          <w:lang w:val="en-US" w:eastAsia="zh-CN"/>
        </w:rPr>
        <w:t>2.1商务部分目录</w:t>
      </w:r>
      <w:bookmarkEnd w:id="278"/>
      <w:bookmarkEnd w:id="279"/>
      <w:bookmarkEnd w:id="280"/>
    </w:p>
    <w:p w14:paraId="1B7D4AD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0" w:leftChars="0" w:right="-112"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en-US" w:bidi="en-US"/>
        </w:rPr>
        <w:t>（一）</w:t>
      </w:r>
      <w:r>
        <w:rPr>
          <w:rFonts w:hint="eastAsia" w:asciiTheme="minorEastAsia" w:hAnsiTheme="minorEastAsia" w:eastAsiaTheme="minorEastAsia" w:cstheme="minorEastAsia"/>
          <w:b w:val="0"/>
          <w:bCs w:val="0"/>
          <w:sz w:val="24"/>
          <w:szCs w:val="24"/>
        </w:rPr>
        <w:t>营业执照</w:t>
      </w:r>
      <w:r>
        <w:rPr>
          <w:rFonts w:hint="eastAsia" w:asciiTheme="minorEastAsia" w:hAnsiTheme="minorEastAsia" w:eastAsiaTheme="minorEastAsia" w:cstheme="minorEastAsia"/>
          <w:sz w:val="24"/>
          <w:szCs w:val="24"/>
        </w:rPr>
        <w:t>：</w:t>
      </w:r>
    </w:p>
    <w:p w14:paraId="7648BA1B">
      <w:pPr>
        <w:keepNext w:val="0"/>
        <w:keepLines w:val="0"/>
        <w:pageBreakBefore w:val="0"/>
        <w:widowControl w:val="0"/>
        <w:numPr>
          <w:ilvl w:val="0"/>
          <w:numId w:val="0"/>
        </w:numPr>
        <w:kinsoku/>
        <w:wordWrap/>
        <w:overflowPunct/>
        <w:topLinePunct w:val="0"/>
        <w:bidi w:val="0"/>
        <w:snapToGrid/>
        <w:spacing w:line="360" w:lineRule="auto"/>
        <w:ind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投标人必须</w:t>
      </w:r>
      <w:r>
        <w:rPr>
          <w:rFonts w:hint="eastAsia" w:asciiTheme="minorEastAsia" w:hAnsiTheme="minorEastAsia" w:eastAsiaTheme="minorEastAsia" w:cstheme="minorEastAsia"/>
          <w:sz w:val="24"/>
          <w:szCs w:val="24"/>
          <w:lang w:eastAsia="zh-CN"/>
        </w:rPr>
        <w:t>是在</w:t>
      </w:r>
      <w:r>
        <w:rPr>
          <w:rFonts w:hint="eastAsia" w:asciiTheme="minorEastAsia" w:hAnsiTheme="minorEastAsia" w:eastAsiaTheme="minorEastAsia" w:cstheme="minorEastAsia"/>
          <w:sz w:val="24"/>
          <w:szCs w:val="24"/>
        </w:rPr>
        <w:t>中华人民共和国境内注册的具有独立法人资格的企业；</w:t>
      </w:r>
    </w:p>
    <w:p w14:paraId="3A8DCD0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right="-112"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【资格证明文件详见招标公告投标人资格要求】</w:t>
      </w:r>
    </w:p>
    <w:p w14:paraId="3DC66BB8">
      <w:pPr>
        <w:pStyle w:val="97"/>
        <w:keepNext w:val="0"/>
        <w:keepLines w:val="0"/>
        <w:pageBreakBefore w:val="0"/>
        <w:widowControl w:val="0"/>
        <w:numPr>
          <w:ilvl w:val="0"/>
          <w:numId w:val="0"/>
        </w:numPr>
        <w:kinsoku/>
        <w:wordWrap/>
        <w:overflowPunct/>
        <w:topLinePunct w:val="0"/>
        <w:bidi w:val="0"/>
        <w:snapToGrid/>
        <w:spacing w:line="360" w:lineRule="auto"/>
        <w:ind w:left="60"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sz w:val="24"/>
          <w:szCs w:val="24"/>
          <w:lang w:val="en-US" w:eastAsia="en-US" w:bidi="en-US"/>
        </w:rPr>
        <w:t>（二）</w:t>
      </w:r>
      <w:r>
        <w:rPr>
          <w:rFonts w:hint="eastAsia" w:asciiTheme="minorEastAsia" w:hAnsiTheme="minorEastAsia" w:eastAsiaTheme="minorEastAsia" w:cstheme="minorEastAsia"/>
          <w:b w:val="0"/>
          <w:bCs w:val="0"/>
          <w:sz w:val="24"/>
          <w:szCs w:val="24"/>
          <w:lang w:val="en-US" w:eastAsia="zh-CN"/>
        </w:rPr>
        <w:t>财务状况</w:t>
      </w:r>
    </w:p>
    <w:p w14:paraId="7EAD2A1E">
      <w:pPr>
        <w:pStyle w:val="96"/>
        <w:keepNext w:val="0"/>
        <w:keepLines w:val="0"/>
        <w:pageBreakBefore w:val="0"/>
        <w:widowControl w:val="0"/>
        <w:numPr>
          <w:ilvl w:val="0"/>
          <w:numId w:val="0"/>
        </w:numPr>
        <w:kinsoku/>
        <w:wordWrap/>
        <w:overflowPunct/>
        <w:topLinePunct w:val="0"/>
        <w:bidi w:val="0"/>
        <w:snapToGrid/>
        <w:spacing w:line="360" w:lineRule="auto"/>
        <w:ind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val="zh-TW" w:eastAsia="zh-CN" w:bidi="en-US"/>
        </w:rPr>
      </w:pPr>
      <w:bookmarkStart w:id="281" w:name="_Toc29313"/>
      <w:r>
        <w:rPr>
          <w:rFonts w:hint="eastAsia" w:asciiTheme="minorEastAsia" w:hAnsiTheme="minorEastAsia" w:eastAsiaTheme="minorEastAsia" w:cstheme="minorEastAsia"/>
          <w:b/>
          <w:bCs/>
          <w:color w:val="auto"/>
          <w:sz w:val="24"/>
          <w:szCs w:val="24"/>
          <w:highlight w:val="none"/>
          <w:lang w:val="en-US" w:eastAsia="zh-CN" w:bidi="en-US"/>
        </w:rPr>
        <w:t>提交2024年财务报表，须至少包括现金流量表、资产负债表、利润表复印件并加盖单位公章。</w:t>
      </w:r>
    </w:p>
    <w:p w14:paraId="35126027">
      <w:pPr>
        <w:pStyle w:val="97"/>
        <w:keepNext w:val="0"/>
        <w:keepLines w:val="0"/>
        <w:pageBreakBefore w:val="0"/>
        <w:widowControl w:val="0"/>
        <w:numPr>
          <w:ilvl w:val="0"/>
          <w:numId w:val="0"/>
        </w:numPr>
        <w:kinsoku/>
        <w:wordWrap/>
        <w:overflowPunct/>
        <w:topLinePunct w:val="0"/>
        <w:bidi w:val="0"/>
        <w:snapToGrid/>
        <w:spacing w:line="360" w:lineRule="auto"/>
        <w:ind w:left="60"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sz w:val="24"/>
          <w:szCs w:val="24"/>
          <w:lang w:val="en-US" w:eastAsia="en-US" w:bidi="en-US"/>
        </w:rPr>
        <w:t>（三）</w:t>
      </w:r>
      <w:r>
        <w:rPr>
          <w:rFonts w:hint="eastAsia" w:asciiTheme="minorEastAsia" w:hAnsiTheme="minorEastAsia" w:eastAsiaTheme="minorEastAsia" w:cstheme="minorEastAsia"/>
          <w:b w:val="0"/>
          <w:bCs w:val="0"/>
          <w:sz w:val="24"/>
          <w:szCs w:val="24"/>
        </w:rPr>
        <w:t>信誉要求证明</w:t>
      </w:r>
      <w:bookmarkEnd w:id="281"/>
    </w:p>
    <w:p w14:paraId="4AA76A04">
      <w:pPr>
        <w:pStyle w:val="97"/>
        <w:keepNext w:val="0"/>
        <w:keepLines w:val="0"/>
        <w:pageBreakBefore w:val="0"/>
        <w:widowControl w:val="0"/>
        <w:numPr>
          <w:ilvl w:val="0"/>
          <w:numId w:val="0"/>
        </w:numPr>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sz w:val="24"/>
          <w:szCs w:val="24"/>
        </w:rPr>
        <w:t>投标人通过国家企业信用信息公示系统查询，查询结果包含未被列入严重违法失信名单及股东信息网页截图。</w:t>
      </w:r>
    </w:p>
    <w:p w14:paraId="71394658">
      <w:pPr>
        <w:keepNext w:val="0"/>
        <w:keepLines w:val="0"/>
        <w:pageBreakBefore w:val="0"/>
        <w:widowControl w:val="0"/>
        <w:kinsoku/>
        <w:wordWrap/>
        <w:overflowPunct/>
        <w:topLinePunct w:val="0"/>
        <w:autoSpaceDE w:val="0"/>
        <w:autoSpaceDN w:val="0"/>
        <w:bidi w:val="0"/>
        <w:adjustRightInd w:val="0"/>
        <w:snapToGrid/>
        <w:spacing w:line="360" w:lineRule="auto"/>
        <w:ind w:right="-112"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【须提供国家企业信用信息公示系统网页截图，并加盖投标人鲜章；需提供售前售后承诺书，并加盖投标人鲜章】</w:t>
      </w:r>
    </w:p>
    <w:p w14:paraId="749B4B44">
      <w:pPr>
        <w:keepNext w:val="0"/>
        <w:keepLines w:val="0"/>
        <w:pageBreakBefore w:val="0"/>
        <w:widowControl w:val="0"/>
        <w:kinsoku/>
        <w:wordWrap/>
        <w:overflowPunct/>
        <w:topLinePunct w:val="0"/>
        <w:autoSpaceDE w:val="0"/>
        <w:autoSpaceDN w:val="0"/>
        <w:bidi w:val="0"/>
        <w:adjustRightInd w:val="0"/>
        <w:snapToGrid/>
        <w:spacing w:line="360" w:lineRule="auto"/>
        <w:ind w:right="-112"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投标人及企业法人近三年在中国裁判文书网上无行贿、受贿等犯罪行为。</w:t>
      </w:r>
    </w:p>
    <w:p w14:paraId="09E0E2A5">
      <w:pPr>
        <w:keepNext w:val="0"/>
        <w:keepLines w:val="0"/>
        <w:pageBreakBefore w:val="0"/>
        <w:widowControl w:val="0"/>
        <w:kinsoku/>
        <w:wordWrap/>
        <w:overflowPunct/>
        <w:topLinePunct w:val="0"/>
        <w:autoSpaceDE w:val="0"/>
        <w:autoSpaceDN w:val="0"/>
        <w:bidi w:val="0"/>
        <w:adjustRightInd w:val="0"/>
        <w:snapToGrid/>
        <w:spacing w:line="360" w:lineRule="auto"/>
        <w:ind w:right="-112"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【须提供中国裁判文书网页截图并加盖投标人鲜章】</w:t>
      </w:r>
    </w:p>
    <w:p w14:paraId="675C4973">
      <w:pPr>
        <w:pStyle w:val="86"/>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投标人通过</w:t>
      </w:r>
      <w:r>
        <w:rPr>
          <w:rFonts w:hint="eastAsia" w:asciiTheme="minorEastAsia" w:hAnsiTheme="minorEastAsia" w:eastAsiaTheme="minorEastAsia" w:cstheme="minorEastAsia"/>
          <w:sz w:val="24"/>
          <w:szCs w:val="24"/>
        </w:rPr>
        <w:t>在信用中国网</w:t>
      </w:r>
      <w:r>
        <w:rPr>
          <w:rFonts w:hint="eastAsia" w:asciiTheme="minorEastAsia" w:hAnsiTheme="minorEastAsia" w:eastAsiaTheme="minorEastAsia" w:cstheme="minorEastAsia"/>
          <w:sz w:val="24"/>
          <w:szCs w:val="24"/>
          <w:lang w:val="en-US" w:eastAsia="zh-CN"/>
        </w:rPr>
        <w:t>查询，</w:t>
      </w:r>
      <w:r>
        <w:rPr>
          <w:rFonts w:hint="eastAsia" w:asciiTheme="minorEastAsia" w:hAnsiTheme="minorEastAsia" w:eastAsiaTheme="minorEastAsia" w:cstheme="minorEastAsia"/>
          <w:sz w:val="24"/>
          <w:szCs w:val="24"/>
        </w:rPr>
        <w:t>没有被列入失信惩戒信息记录</w:t>
      </w:r>
      <w:r>
        <w:rPr>
          <w:rFonts w:hint="eastAsia" w:asciiTheme="minorEastAsia" w:hAnsiTheme="minorEastAsia" w:eastAsiaTheme="minorEastAsia" w:cstheme="minorEastAsia"/>
          <w:sz w:val="24"/>
          <w:szCs w:val="24"/>
          <w:lang w:val="en-US" w:eastAsia="zh-CN"/>
        </w:rPr>
        <w:t>。</w:t>
      </w:r>
    </w:p>
    <w:p w14:paraId="06921DF2">
      <w:pPr>
        <w:pageBreakBefore w:val="0"/>
        <w:widowControl w:val="0"/>
        <w:kinsoku/>
        <w:wordWrap/>
        <w:overflowPunct/>
        <w:topLinePunct w:val="0"/>
        <w:autoSpaceDE w:val="0"/>
        <w:autoSpaceDN w:val="0"/>
        <w:bidi w:val="0"/>
        <w:adjustRightInd w:val="0"/>
        <w:snapToGrid/>
        <w:spacing w:line="360" w:lineRule="auto"/>
        <w:ind w:right="-112"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【须提供</w:t>
      </w:r>
      <w:r>
        <w:rPr>
          <w:rFonts w:hint="eastAsia" w:asciiTheme="minorEastAsia" w:hAnsiTheme="minorEastAsia" w:eastAsiaTheme="minorEastAsia" w:cstheme="minorEastAsia"/>
          <w:b/>
          <w:bCs/>
          <w:sz w:val="24"/>
          <w:szCs w:val="24"/>
          <w:lang w:val="en-US" w:eastAsia="zh-CN"/>
        </w:rPr>
        <w:t>信用中国</w:t>
      </w:r>
      <w:r>
        <w:rPr>
          <w:rFonts w:hint="eastAsia" w:asciiTheme="minorEastAsia" w:hAnsiTheme="minorEastAsia" w:eastAsiaTheme="minorEastAsia" w:cstheme="minorEastAsia"/>
          <w:b/>
          <w:bCs/>
          <w:sz w:val="24"/>
          <w:szCs w:val="24"/>
        </w:rPr>
        <w:t>网页截图并加盖投标人鲜章】</w:t>
      </w:r>
    </w:p>
    <w:p w14:paraId="3A4015B4">
      <w:pPr>
        <w:pStyle w:val="97"/>
        <w:keepNext w:val="0"/>
        <w:keepLines w:val="0"/>
        <w:pageBreakBefore w:val="0"/>
        <w:widowControl w:val="0"/>
        <w:numPr>
          <w:ilvl w:val="0"/>
          <w:numId w:val="0"/>
        </w:numPr>
        <w:kinsoku/>
        <w:wordWrap/>
        <w:overflowPunct/>
        <w:topLinePunct w:val="0"/>
        <w:bidi w:val="0"/>
        <w:snapToGrid/>
        <w:spacing w:line="360" w:lineRule="auto"/>
        <w:ind w:left="60"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sz w:val="24"/>
          <w:szCs w:val="24"/>
          <w:lang w:val="en-US" w:eastAsia="en-US" w:bidi="en-US"/>
        </w:rPr>
        <w:t>（四）</w:t>
      </w:r>
      <w:r>
        <w:rPr>
          <w:rFonts w:hint="eastAsia" w:asciiTheme="minorEastAsia" w:hAnsiTheme="minorEastAsia" w:eastAsiaTheme="minorEastAsia" w:cstheme="minorEastAsia"/>
          <w:b w:val="0"/>
          <w:bCs w:val="0"/>
          <w:sz w:val="24"/>
          <w:szCs w:val="24"/>
          <w:lang w:val="en-US" w:eastAsia="zh-CN"/>
        </w:rPr>
        <w:t>投标保证金缴纳凭证</w:t>
      </w:r>
    </w:p>
    <w:p w14:paraId="7613E7E6">
      <w:pPr>
        <w:pStyle w:val="97"/>
        <w:keepNext w:val="0"/>
        <w:keepLines w:val="0"/>
        <w:pageBreakBefore w:val="0"/>
        <w:widowControl w:val="0"/>
        <w:numPr>
          <w:ilvl w:val="0"/>
          <w:numId w:val="0"/>
        </w:numPr>
        <w:shd w:val="clear" w:color="auto" w:fill="auto"/>
        <w:kinsoku/>
        <w:wordWrap/>
        <w:overflowPunct/>
        <w:topLinePunct w:val="0"/>
        <w:bidi w:val="0"/>
        <w:snapToGrid/>
        <w:spacing w:line="360" w:lineRule="auto"/>
        <w:ind w:left="60" w:leftChars="0" w:firstLine="480" w:firstLineChars="200"/>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color w:val="000000"/>
          <w:sz w:val="24"/>
          <w:szCs w:val="24"/>
          <w:lang w:val="en-US" w:eastAsia="en-US" w:bidi="en-US"/>
        </w:rPr>
        <w:t>（五）</w:t>
      </w:r>
      <w:r>
        <w:rPr>
          <w:rFonts w:hint="eastAsia" w:asciiTheme="minorEastAsia" w:hAnsiTheme="minorEastAsia" w:eastAsiaTheme="minorEastAsia" w:cstheme="minorEastAsia"/>
          <w:b w:val="0"/>
          <w:bCs w:val="0"/>
          <w:sz w:val="24"/>
          <w:szCs w:val="24"/>
          <w:lang w:val="en-US" w:eastAsia="zh-CN"/>
        </w:rPr>
        <w:t>企业实力</w:t>
      </w:r>
    </w:p>
    <w:p w14:paraId="1A0D94B7">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投标单位需提供近两年（202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年1月1日至投标截止之日）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同类产品</w:t>
      </w:r>
      <w:r>
        <w:rPr>
          <w:rFonts w:hint="eastAsia" w:asciiTheme="minorEastAsia" w:hAnsiTheme="minorEastAsia" w:eastAsiaTheme="minorEastAsia" w:cstheme="minorEastAsia"/>
          <w:color w:val="000000" w:themeColor="text1"/>
          <w:sz w:val="24"/>
          <w:szCs w:val="24"/>
          <w14:textFill>
            <w14:solidFill>
              <w14:schemeClr w14:val="tx1"/>
            </w14:solidFill>
          </w14:textFill>
        </w:rPr>
        <w:t>单</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个</w:t>
      </w:r>
      <w:r>
        <w:rPr>
          <w:rFonts w:hint="eastAsia" w:asciiTheme="minorEastAsia" w:hAnsiTheme="minorEastAsia" w:eastAsiaTheme="minorEastAsia" w:cstheme="minorEastAsia"/>
          <w:color w:val="000000" w:themeColor="text1"/>
          <w:sz w:val="24"/>
          <w:szCs w:val="24"/>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或中标通知书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金额不低于</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万元</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14:textFill>
            <w14:solidFill>
              <w14:schemeClr w14:val="tx1"/>
            </w14:solidFill>
          </w14:textFill>
        </w:rPr>
        <w:t>业绩证明（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同一合同与中标通知书为同一业绩）。</w:t>
      </w:r>
    </w:p>
    <w:p w14:paraId="083B33E9">
      <w:pPr>
        <w:pStyle w:val="97"/>
        <w:keepNext w:val="0"/>
        <w:keepLines w:val="0"/>
        <w:pageBreakBefore w:val="0"/>
        <w:widowControl w:val="0"/>
        <w:numPr>
          <w:ilvl w:val="0"/>
          <w:numId w:val="0"/>
        </w:numPr>
        <w:shd w:val="clear" w:color="auto" w:fill="auto"/>
        <w:kinsoku/>
        <w:wordWrap/>
        <w:overflowPunct/>
        <w:topLinePunct w:val="0"/>
        <w:bidi w:val="0"/>
        <w:snapToGrid/>
        <w:spacing w:line="360" w:lineRule="auto"/>
        <w:ind w:left="480" w:leftChars="0" w:firstLine="48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注：投标人在投标文件中提供完整的合同复印件并加盖公章用以证明，原件备查，如有造假行为，招标人将取消中标人的中标资格，将其列入失信黑名单并没收其投标保证金</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p>
    <w:p w14:paraId="3CBF1376">
      <w:pPr>
        <w:pStyle w:val="97"/>
        <w:keepNext w:val="0"/>
        <w:keepLines w:val="0"/>
        <w:pageBreakBefore w:val="0"/>
        <w:widowControl w:val="0"/>
        <w:numPr>
          <w:ilvl w:val="0"/>
          <w:numId w:val="0"/>
        </w:numPr>
        <w:kinsoku/>
        <w:wordWrap/>
        <w:overflowPunct/>
        <w:topLinePunct w:val="0"/>
        <w:bidi w:val="0"/>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color w:val="000000"/>
          <w:sz w:val="24"/>
          <w:szCs w:val="24"/>
          <w:highlight w:val="none"/>
          <w:lang w:val="en-US" w:eastAsia="zh-CN" w:bidi="en-US"/>
        </w:rPr>
        <w:t>（六）</w:t>
      </w:r>
      <w:r>
        <w:rPr>
          <w:rFonts w:hint="eastAsia" w:asciiTheme="minorEastAsia" w:hAnsiTheme="minorEastAsia" w:eastAsiaTheme="minorEastAsia" w:cstheme="minorEastAsia"/>
          <w:sz w:val="24"/>
          <w:szCs w:val="24"/>
          <w:highlight w:val="none"/>
          <w:lang w:eastAsia="zh-CN"/>
        </w:rPr>
        <w:t>付款方式及与付款有关的承诺</w:t>
      </w:r>
    </w:p>
    <w:p w14:paraId="44DF99D0">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en-US"/>
          <w14:textFill>
            <w14:solidFill>
              <w14:schemeClr w14:val="tx1"/>
            </w14:solidFill>
          </w14:textFill>
        </w:rPr>
        <w:t>付款方式承诺：</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投标单位需自行承诺</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w:t>
      </w:r>
    </w:p>
    <w:p w14:paraId="32344F06">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注：投标单位自行承诺付款方式，如承诺不清晰或不承诺得0分。</w:t>
      </w:r>
    </w:p>
    <w:p w14:paraId="22E66CB7">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（七）招标结果的承诺</w:t>
      </w:r>
    </w:p>
    <w:p w14:paraId="55BF5B77">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对招标结果的承诺：投标人未到现场的需承诺同意招标结果，承诺书格式自拟。</w:t>
      </w:r>
    </w:p>
    <w:p w14:paraId="4A1792F7">
      <w:pPr>
        <w:keepNext w:val="0"/>
        <w:keepLines w:val="0"/>
        <w:pageBreakBefore w:val="0"/>
        <w:widowControl w:val="0"/>
        <w:numPr>
          <w:ilvl w:val="0"/>
          <w:numId w:val="41"/>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bookmarkStart w:id="282" w:name="_Toc11491"/>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商务偏离表</w:t>
      </w:r>
      <w:bookmarkEnd w:id="282"/>
    </w:p>
    <w:p w14:paraId="12EE98CC">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p>
    <w:p w14:paraId="3E898763">
      <w:pPr>
        <w:pStyle w:val="5"/>
        <w:numPr>
          <w:ilvl w:val="2"/>
          <w:numId w:val="0"/>
        </w:numPr>
        <w:bidi w:val="0"/>
        <w:outlineLvl w:val="9"/>
        <w:rPr>
          <w:rStyle w:val="135"/>
          <w:rFonts w:hint="eastAsia" w:asciiTheme="minorEastAsia" w:hAnsiTheme="minorEastAsia" w:eastAsiaTheme="minorEastAsia" w:cstheme="minorEastAsia"/>
          <w:b/>
          <w:sz w:val="28"/>
          <w:szCs w:val="28"/>
          <w:highlight w:val="none"/>
          <w:lang w:eastAsia="zh-CN"/>
        </w:rPr>
      </w:pPr>
    </w:p>
    <w:p w14:paraId="4FD3CEAC">
      <w:pPr>
        <w:pStyle w:val="97"/>
        <w:keepNext w:val="0"/>
        <w:keepLines w:val="0"/>
        <w:pageBreakBefore w:val="0"/>
        <w:widowControl w:val="0"/>
        <w:kinsoku/>
        <w:wordWrap/>
        <w:overflowPunct/>
        <w:topLinePunct w:val="0"/>
        <w:autoSpaceDE/>
        <w:autoSpaceDN/>
        <w:bidi w:val="0"/>
        <w:adjustRightInd/>
        <w:spacing w:line="360" w:lineRule="auto"/>
        <w:jc w:val="center"/>
        <w:textAlignment w:val="auto"/>
        <w:rPr>
          <w:b/>
          <w:bCs/>
          <w:sz w:val="28"/>
          <w:szCs w:val="24"/>
        </w:rPr>
      </w:pPr>
      <w:r>
        <w:rPr>
          <w:b/>
          <w:bCs/>
          <w:color w:val="000000"/>
          <w:spacing w:val="0"/>
          <w:w w:val="100"/>
          <w:position w:val="0"/>
          <w:sz w:val="28"/>
          <w:szCs w:val="24"/>
        </w:rPr>
        <w:t>商务条款偏离表</w:t>
      </w:r>
    </w:p>
    <w:tbl>
      <w:tblPr>
        <w:tblStyle w:val="88"/>
        <w:tblW w:w="9416" w:type="dxa"/>
        <w:jc w:val="center"/>
        <w:tblLayout w:type="fixed"/>
        <w:tblCellMar>
          <w:top w:w="56" w:type="dxa"/>
          <w:left w:w="96" w:type="dxa"/>
          <w:bottom w:w="56" w:type="dxa"/>
          <w:right w:w="96" w:type="dxa"/>
        </w:tblCellMar>
      </w:tblPr>
      <w:tblGrid>
        <w:gridCol w:w="1142"/>
        <w:gridCol w:w="2339"/>
        <w:gridCol w:w="2339"/>
        <w:gridCol w:w="2155"/>
        <w:gridCol w:w="1441"/>
      </w:tblGrid>
      <w:tr w14:paraId="27F5E7BD">
        <w:tblPrEx>
          <w:tblCellMar>
            <w:top w:w="56" w:type="dxa"/>
            <w:left w:w="96" w:type="dxa"/>
            <w:bottom w:w="56" w:type="dxa"/>
            <w:right w:w="96" w:type="dxa"/>
          </w:tblCellMar>
        </w:tblPrEx>
        <w:trPr>
          <w:trHeight w:val="0" w:hRule="atLeast"/>
          <w:tblHeader/>
          <w:jc w:val="center"/>
        </w:trPr>
        <w:tc>
          <w:tcPr>
            <w:tcW w:w="1142" w:type="dxa"/>
            <w:tcBorders>
              <w:top w:val="single" w:color="auto" w:sz="4" w:space="0"/>
              <w:left w:val="single" w:color="auto" w:sz="4" w:space="0"/>
            </w:tcBorders>
            <w:shd w:val="clear" w:color="auto" w:fill="FFFFFF"/>
            <w:vAlign w:val="center"/>
          </w:tcPr>
          <w:p w14:paraId="69CA283E">
            <w:pPr>
              <w:pStyle w:val="97"/>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eastAsia="宋体"/>
                <w:b/>
                <w:sz w:val="24"/>
                <w:szCs w:val="24"/>
                <w:lang w:eastAsia="zh-CN"/>
              </w:rPr>
            </w:pPr>
            <w:r>
              <w:rPr>
                <w:rFonts w:hint="eastAsia"/>
                <w:b/>
                <w:color w:val="000000"/>
                <w:spacing w:val="0"/>
                <w:w w:val="100"/>
                <w:position w:val="0"/>
                <w:sz w:val="24"/>
                <w:szCs w:val="24"/>
                <w:lang w:eastAsia="zh-CN"/>
              </w:rPr>
              <w:t>条款号</w:t>
            </w:r>
          </w:p>
        </w:tc>
        <w:tc>
          <w:tcPr>
            <w:tcW w:w="2339" w:type="dxa"/>
            <w:tcBorders>
              <w:top w:val="single" w:color="auto" w:sz="4" w:space="0"/>
              <w:left w:val="single" w:color="auto" w:sz="4" w:space="0"/>
            </w:tcBorders>
            <w:shd w:val="clear" w:color="auto" w:fill="FFFFFF"/>
            <w:vAlign w:val="center"/>
          </w:tcPr>
          <w:p w14:paraId="47D1D213">
            <w:pPr>
              <w:pStyle w:val="97"/>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eastAsia="宋体"/>
                <w:b/>
                <w:sz w:val="24"/>
                <w:szCs w:val="24"/>
                <w:lang w:eastAsia="zh-CN"/>
              </w:rPr>
            </w:pPr>
            <w:r>
              <w:rPr>
                <w:rFonts w:hint="eastAsia"/>
                <w:b/>
                <w:color w:val="000000"/>
                <w:spacing w:val="0"/>
                <w:w w:val="100"/>
                <w:position w:val="0"/>
                <w:sz w:val="24"/>
                <w:szCs w:val="24"/>
                <w:lang w:eastAsia="zh-CN"/>
              </w:rPr>
              <w:t>招标文件的表述</w:t>
            </w:r>
          </w:p>
        </w:tc>
        <w:tc>
          <w:tcPr>
            <w:tcW w:w="2339" w:type="dxa"/>
            <w:tcBorders>
              <w:top w:val="single" w:color="auto" w:sz="4" w:space="0"/>
              <w:left w:val="single" w:color="auto" w:sz="4" w:space="0"/>
            </w:tcBorders>
            <w:shd w:val="clear" w:color="auto" w:fill="FFFFFF"/>
            <w:vAlign w:val="center"/>
          </w:tcPr>
          <w:p w14:paraId="1AB057A8">
            <w:pPr>
              <w:pStyle w:val="97"/>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eastAsia="宋体"/>
                <w:b/>
                <w:sz w:val="24"/>
                <w:szCs w:val="24"/>
                <w:lang w:eastAsia="zh-CN"/>
              </w:rPr>
            </w:pPr>
            <w:r>
              <w:rPr>
                <w:rFonts w:hint="eastAsia"/>
                <w:b/>
                <w:color w:val="000000"/>
                <w:spacing w:val="0"/>
                <w:w w:val="100"/>
                <w:position w:val="0"/>
                <w:sz w:val="24"/>
                <w:szCs w:val="24"/>
                <w:lang w:eastAsia="zh-CN"/>
              </w:rPr>
              <w:t>投标文件的表述</w:t>
            </w:r>
          </w:p>
        </w:tc>
        <w:tc>
          <w:tcPr>
            <w:tcW w:w="2155" w:type="dxa"/>
            <w:tcBorders>
              <w:top w:val="single" w:color="auto" w:sz="4" w:space="0"/>
              <w:left w:val="single" w:color="auto" w:sz="4" w:space="0"/>
            </w:tcBorders>
            <w:shd w:val="clear" w:color="auto" w:fill="FFFFFF"/>
            <w:vAlign w:val="center"/>
          </w:tcPr>
          <w:p w14:paraId="29B748CB">
            <w:pPr>
              <w:pStyle w:val="97"/>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eastAsia="宋体"/>
                <w:b/>
                <w:sz w:val="24"/>
                <w:szCs w:val="24"/>
                <w:lang w:eastAsia="zh-CN"/>
              </w:rPr>
            </w:pPr>
            <w:r>
              <w:rPr>
                <w:rFonts w:hint="eastAsia"/>
                <w:b/>
                <w:color w:val="000000"/>
                <w:spacing w:val="0"/>
                <w:w w:val="100"/>
                <w:position w:val="0"/>
                <w:sz w:val="24"/>
                <w:szCs w:val="24"/>
                <w:lang w:eastAsia="zh-CN"/>
              </w:rPr>
              <w:t>偏离（正/负）</w:t>
            </w:r>
          </w:p>
        </w:tc>
        <w:tc>
          <w:tcPr>
            <w:tcW w:w="1441" w:type="dxa"/>
            <w:tcBorders>
              <w:top w:val="single" w:color="auto" w:sz="4" w:space="0"/>
              <w:left w:val="single" w:color="auto" w:sz="4" w:space="0"/>
              <w:right w:val="single" w:color="auto" w:sz="4" w:space="0"/>
            </w:tcBorders>
            <w:shd w:val="clear" w:color="auto" w:fill="FFFFFF"/>
            <w:vAlign w:val="center"/>
          </w:tcPr>
          <w:p w14:paraId="07EB18FD">
            <w:pPr>
              <w:pStyle w:val="97"/>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eastAsia="宋体"/>
                <w:b/>
                <w:sz w:val="24"/>
                <w:szCs w:val="24"/>
                <w:lang w:eastAsia="zh-CN"/>
              </w:rPr>
            </w:pPr>
            <w:r>
              <w:rPr>
                <w:rFonts w:hint="eastAsia"/>
                <w:b/>
                <w:color w:val="000000"/>
                <w:spacing w:val="0"/>
                <w:w w:val="100"/>
                <w:position w:val="0"/>
                <w:sz w:val="24"/>
                <w:szCs w:val="24"/>
                <w:lang w:eastAsia="zh-CN"/>
              </w:rPr>
              <w:t>备注说明</w:t>
            </w:r>
          </w:p>
        </w:tc>
      </w:tr>
      <w:tr w14:paraId="2E0E1F50">
        <w:tblPrEx>
          <w:tblCellMar>
            <w:top w:w="56" w:type="dxa"/>
            <w:left w:w="96" w:type="dxa"/>
            <w:bottom w:w="56" w:type="dxa"/>
            <w:right w:w="96" w:type="dxa"/>
          </w:tblCellMar>
        </w:tblPrEx>
        <w:trPr>
          <w:trHeight w:val="0" w:hRule="atLeast"/>
          <w:jc w:val="center"/>
        </w:trPr>
        <w:tc>
          <w:tcPr>
            <w:tcW w:w="1142" w:type="dxa"/>
            <w:tcBorders>
              <w:top w:val="single" w:color="auto" w:sz="4" w:space="0"/>
              <w:left w:val="single" w:color="auto" w:sz="4" w:space="0"/>
            </w:tcBorders>
            <w:shd w:val="clear" w:color="auto" w:fill="FFFFFF"/>
            <w:vAlign w:val="center"/>
          </w:tcPr>
          <w:p w14:paraId="0D1DC905">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339" w:type="dxa"/>
            <w:tcBorders>
              <w:top w:val="single" w:color="auto" w:sz="4" w:space="0"/>
              <w:left w:val="single" w:color="auto" w:sz="4" w:space="0"/>
            </w:tcBorders>
            <w:shd w:val="clear" w:color="auto" w:fill="FFFFFF"/>
            <w:vAlign w:val="center"/>
          </w:tcPr>
          <w:p w14:paraId="206EEF19">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339" w:type="dxa"/>
            <w:tcBorders>
              <w:top w:val="single" w:color="auto" w:sz="4" w:space="0"/>
              <w:left w:val="single" w:color="auto" w:sz="4" w:space="0"/>
            </w:tcBorders>
            <w:shd w:val="clear" w:color="auto" w:fill="FFFFFF"/>
            <w:vAlign w:val="center"/>
          </w:tcPr>
          <w:p w14:paraId="07EB34E6">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155" w:type="dxa"/>
            <w:tcBorders>
              <w:top w:val="single" w:color="auto" w:sz="4" w:space="0"/>
              <w:left w:val="single" w:color="auto" w:sz="4" w:space="0"/>
            </w:tcBorders>
            <w:shd w:val="clear" w:color="auto" w:fill="FFFFFF"/>
            <w:vAlign w:val="center"/>
          </w:tcPr>
          <w:p w14:paraId="6F2DE29C">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1441" w:type="dxa"/>
            <w:tcBorders>
              <w:top w:val="single" w:color="auto" w:sz="4" w:space="0"/>
              <w:left w:val="single" w:color="auto" w:sz="4" w:space="0"/>
              <w:right w:val="single" w:color="auto" w:sz="4" w:space="0"/>
            </w:tcBorders>
            <w:shd w:val="clear" w:color="auto" w:fill="FFFFFF"/>
            <w:vAlign w:val="center"/>
          </w:tcPr>
          <w:p w14:paraId="0D54A476">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r>
      <w:tr w14:paraId="6BA55F8C">
        <w:tblPrEx>
          <w:tblCellMar>
            <w:top w:w="56" w:type="dxa"/>
            <w:left w:w="96" w:type="dxa"/>
            <w:bottom w:w="56" w:type="dxa"/>
            <w:right w:w="96" w:type="dxa"/>
          </w:tblCellMar>
        </w:tblPrEx>
        <w:trPr>
          <w:trHeight w:val="0" w:hRule="atLeast"/>
          <w:jc w:val="center"/>
        </w:trPr>
        <w:tc>
          <w:tcPr>
            <w:tcW w:w="1142" w:type="dxa"/>
            <w:tcBorders>
              <w:top w:val="single" w:color="auto" w:sz="4" w:space="0"/>
              <w:left w:val="single" w:color="auto" w:sz="4" w:space="0"/>
            </w:tcBorders>
            <w:shd w:val="clear" w:color="auto" w:fill="FFFFFF"/>
            <w:vAlign w:val="center"/>
          </w:tcPr>
          <w:p w14:paraId="27DDCECD">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339" w:type="dxa"/>
            <w:tcBorders>
              <w:top w:val="single" w:color="auto" w:sz="4" w:space="0"/>
              <w:left w:val="single" w:color="auto" w:sz="4" w:space="0"/>
            </w:tcBorders>
            <w:shd w:val="clear" w:color="auto" w:fill="FFFFFF"/>
            <w:vAlign w:val="center"/>
          </w:tcPr>
          <w:p w14:paraId="16D81489">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339" w:type="dxa"/>
            <w:tcBorders>
              <w:top w:val="single" w:color="auto" w:sz="4" w:space="0"/>
              <w:left w:val="single" w:color="auto" w:sz="4" w:space="0"/>
            </w:tcBorders>
            <w:shd w:val="clear" w:color="auto" w:fill="FFFFFF"/>
            <w:vAlign w:val="center"/>
          </w:tcPr>
          <w:p w14:paraId="115CEDBB">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155" w:type="dxa"/>
            <w:tcBorders>
              <w:top w:val="single" w:color="auto" w:sz="4" w:space="0"/>
              <w:left w:val="single" w:color="auto" w:sz="4" w:space="0"/>
            </w:tcBorders>
            <w:shd w:val="clear" w:color="auto" w:fill="FFFFFF"/>
            <w:vAlign w:val="center"/>
          </w:tcPr>
          <w:p w14:paraId="6742F1C0">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1441" w:type="dxa"/>
            <w:tcBorders>
              <w:top w:val="single" w:color="auto" w:sz="4" w:space="0"/>
              <w:left w:val="single" w:color="auto" w:sz="4" w:space="0"/>
              <w:right w:val="single" w:color="auto" w:sz="4" w:space="0"/>
            </w:tcBorders>
            <w:shd w:val="clear" w:color="auto" w:fill="FFFFFF"/>
            <w:vAlign w:val="center"/>
          </w:tcPr>
          <w:p w14:paraId="4E4A67F3">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r>
      <w:tr w14:paraId="26C78224">
        <w:tblPrEx>
          <w:tblCellMar>
            <w:top w:w="56" w:type="dxa"/>
            <w:left w:w="96" w:type="dxa"/>
            <w:bottom w:w="56" w:type="dxa"/>
            <w:right w:w="96" w:type="dxa"/>
          </w:tblCellMar>
        </w:tblPrEx>
        <w:trPr>
          <w:trHeight w:val="0" w:hRule="atLeast"/>
          <w:jc w:val="center"/>
        </w:trPr>
        <w:tc>
          <w:tcPr>
            <w:tcW w:w="1142" w:type="dxa"/>
            <w:tcBorders>
              <w:top w:val="single" w:color="auto" w:sz="4" w:space="0"/>
              <w:left w:val="single" w:color="auto" w:sz="4" w:space="0"/>
            </w:tcBorders>
            <w:shd w:val="clear" w:color="auto" w:fill="FFFFFF"/>
            <w:vAlign w:val="center"/>
          </w:tcPr>
          <w:p w14:paraId="71B9E75C">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339" w:type="dxa"/>
            <w:tcBorders>
              <w:top w:val="single" w:color="auto" w:sz="4" w:space="0"/>
              <w:left w:val="single" w:color="auto" w:sz="4" w:space="0"/>
            </w:tcBorders>
            <w:shd w:val="clear" w:color="auto" w:fill="FFFFFF"/>
            <w:vAlign w:val="center"/>
          </w:tcPr>
          <w:p w14:paraId="37A8274C">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339" w:type="dxa"/>
            <w:tcBorders>
              <w:top w:val="single" w:color="auto" w:sz="4" w:space="0"/>
              <w:left w:val="single" w:color="auto" w:sz="4" w:space="0"/>
            </w:tcBorders>
            <w:shd w:val="clear" w:color="auto" w:fill="FFFFFF"/>
            <w:vAlign w:val="center"/>
          </w:tcPr>
          <w:p w14:paraId="5E9CBC4F">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155" w:type="dxa"/>
            <w:tcBorders>
              <w:top w:val="single" w:color="auto" w:sz="4" w:space="0"/>
              <w:left w:val="single" w:color="auto" w:sz="4" w:space="0"/>
            </w:tcBorders>
            <w:shd w:val="clear" w:color="auto" w:fill="FFFFFF"/>
            <w:vAlign w:val="center"/>
          </w:tcPr>
          <w:p w14:paraId="31607254">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1441" w:type="dxa"/>
            <w:tcBorders>
              <w:top w:val="single" w:color="auto" w:sz="4" w:space="0"/>
              <w:left w:val="single" w:color="auto" w:sz="4" w:space="0"/>
              <w:right w:val="single" w:color="auto" w:sz="4" w:space="0"/>
            </w:tcBorders>
            <w:shd w:val="clear" w:color="auto" w:fill="FFFFFF"/>
            <w:vAlign w:val="center"/>
          </w:tcPr>
          <w:p w14:paraId="3F966C93">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r>
      <w:tr w14:paraId="19A81B30">
        <w:tblPrEx>
          <w:tblCellMar>
            <w:top w:w="56" w:type="dxa"/>
            <w:left w:w="96" w:type="dxa"/>
            <w:bottom w:w="56" w:type="dxa"/>
            <w:right w:w="96" w:type="dxa"/>
          </w:tblCellMar>
        </w:tblPrEx>
        <w:trPr>
          <w:trHeight w:val="0" w:hRule="atLeast"/>
          <w:jc w:val="center"/>
        </w:trPr>
        <w:tc>
          <w:tcPr>
            <w:tcW w:w="1142" w:type="dxa"/>
            <w:tcBorders>
              <w:top w:val="single" w:color="auto" w:sz="4" w:space="0"/>
              <w:left w:val="single" w:color="auto" w:sz="4" w:space="0"/>
            </w:tcBorders>
            <w:shd w:val="clear" w:color="auto" w:fill="FFFFFF"/>
            <w:vAlign w:val="center"/>
          </w:tcPr>
          <w:p w14:paraId="1D73535E">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339" w:type="dxa"/>
            <w:tcBorders>
              <w:top w:val="single" w:color="auto" w:sz="4" w:space="0"/>
              <w:left w:val="single" w:color="auto" w:sz="4" w:space="0"/>
            </w:tcBorders>
            <w:shd w:val="clear" w:color="auto" w:fill="FFFFFF"/>
            <w:vAlign w:val="center"/>
          </w:tcPr>
          <w:p w14:paraId="25587FF2">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339" w:type="dxa"/>
            <w:tcBorders>
              <w:top w:val="single" w:color="auto" w:sz="4" w:space="0"/>
              <w:left w:val="single" w:color="auto" w:sz="4" w:space="0"/>
            </w:tcBorders>
            <w:shd w:val="clear" w:color="auto" w:fill="FFFFFF"/>
            <w:vAlign w:val="center"/>
          </w:tcPr>
          <w:p w14:paraId="7773603F">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155" w:type="dxa"/>
            <w:tcBorders>
              <w:top w:val="single" w:color="auto" w:sz="4" w:space="0"/>
              <w:left w:val="single" w:color="auto" w:sz="4" w:space="0"/>
            </w:tcBorders>
            <w:shd w:val="clear" w:color="auto" w:fill="FFFFFF"/>
            <w:vAlign w:val="center"/>
          </w:tcPr>
          <w:p w14:paraId="5C0B9E31">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1441" w:type="dxa"/>
            <w:tcBorders>
              <w:top w:val="single" w:color="auto" w:sz="4" w:space="0"/>
              <w:left w:val="single" w:color="auto" w:sz="4" w:space="0"/>
              <w:right w:val="single" w:color="auto" w:sz="4" w:space="0"/>
            </w:tcBorders>
            <w:shd w:val="clear" w:color="auto" w:fill="FFFFFF"/>
            <w:vAlign w:val="center"/>
          </w:tcPr>
          <w:p w14:paraId="26ED4194">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r>
      <w:tr w14:paraId="4CD43133">
        <w:tblPrEx>
          <w:tblCellMar>
            <w:top w:w="56" w:type="dxa"/>
            <w:left w:w="96" w:type="dxa"/>
            <w:bottom w:w="56" w:type="dxa"/>
            <w:right w:w="96" w:type="dxa"/>
          </w:tblCellMar>
        </w:tblPrEx>
        <w:trPr>
          <w:trHeight w:val="0" w:hRule="atLeast"/>
          <w:jc w:val="center"/>
        </w:trPr>
        <w:tc>
          <w:tcPr>
            <w:tcW w:w="1142" w:type="dxa"/>
            <w:tcBorders>
              <w:top w:val="single" w:color="auto" w:sz="4" w:space="0"/>
              <w:left w:val="single" w:color="auto" w:sz="4" w:space="0"/>
              <w:bottom w:val="single" w:color="auto" w:sz="4" w:space="0"/>
            </w:tcBorders>
            <w:shd w:val="clear" w:color="auto" w:fill="FFFFFF"/>
            <w:vAlign w:val="center"/>
          </w:tcPr>
          <w:p w14:paraId="35610D7B">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339" w:type="dxa"/>
            <w:tcBorders>
              <w:top w:val="single" w:color="auto" w:sz="4" w:space="0"/>
              <w:left w:val="single" w:color="auto" w:sz="4" w:space="0"/>
              <w:bottom w:val="single" w:color="auto" w:sz="4" w:space="0"/>
            </w:tcBorders>
            <w:shd w:val="clear" w:color="auto" w:fill="FFFFFF"/>
            <w:vAlign w:val="center"/>
          </w:tcPr>
          <w:p w14:paraId="506BCDE3">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339" w:type="dxa"/>
            <w:tcBorders>
              <w:top w:val="single" w:color="auto" w:sz="4" w:space="0"/>
              <w:left w:val="single" w:color="auto" w:sz="4" w:space="0"/>
              <w:bottom w:val="single" w:color="auto" w:sz="4" w:space="0"/>
            </w:tcBorders>
            <w:shd w:val="clear" w:color="auto" w:fill="FFFFFF"/>
            <w:vAlign w:val="center"/>
          </w:tcPr>
          <w:p w14:paraId="2711B64C">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2155" w:type="dxa"/>
            <w:tcBorders>
              <w:top w:val="single" w:color="auto" w:sz="4" w:space="0"/>
              <w:left w:val="single" w:color="auto" w:sz="4" w:space="0"/>
              <w:bottom w:val="single" w:color="auto" w:sz="4" w:space="0"/>
            </w:tcBorders>
            <w:shd w:val="clear" w:color="auto" w:fill="FFFFFF"/>
            <w:vAlign w:val="center"/>
          </w:tcPr>
          <w:p w14:paraId="27154D76">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c>
          <w:tcPr>
            <w:tcW w:w="1441" w:type="dxa"/>
            <w:tcBorders>
              <w:top w:val="single" w:color="auto" w:sz="4" w:space="0"/>
              <w:left w:val="single" w:color="auto" w:sz="4" w:space="0"/>
              <w:bottom w:val="single" w:color="auto" w:sz="4" w:space="0"/>
              <w:right w:val="single" w:color="auto" w:sz="4" w:space="0"/>
            </w:tcBorders>
            <w:shd w:val="clear" w:color="auto" w:fill="FFFFFF"/>
            <w:vAlign w:val="center"/>
          </w:tcPr>
          <w:p w14:paraId="35F49F86">
            <w:pPr>
              <w:pStyle w:val="9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0"/>
                <w:szCs w:val="24"/>
              </w:rPr>
            </w:pPr>
          </w:p>
        </w:tc>
      </w:tr>
    </w:tbl>
    <w:p w14:paraId="799B884D">
      <w:pPr>
        <w:pStyle w:val="97"/>
        <w:keepNext w:val="0"/>
        <w:keepLines w:val="0"/>
        <w:pageBreakBefore w:val="0"/>
        <w:widowControl w:val="0"/>
        <w:kinsoku/>
        <w:wordWrap/>
        <w:overflowPunct/>
        <w:topLinePunct w:val="0"/>
        <w:autoSpaceDE/>
        <w:autoSpaceDN/>
        <w:bidi w:val="0"/>
        <w:adjustRightInd/>
        <w:spacing w:line="360" w:lineRule="auto"/>
        <w:textAlignment w:val="auto"/>
      </w:pPr>
    </w:p>
    <w:p w14:paraId="324E2448">
      <w:pPr>
        <w:pStyle w:val="97"/>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rPr>
        <w:t>声明：除本偏离表所列的偏离指标外，</w:t>
      </w:r>
      <w:r>
        <w:rPr>
          <w:rFonts w:hint="eastAsia" w:asciiTheme="minorEastAsia" w:hAnsiTheme="minorEastAsia" w:eastAsiaTheme="minorEastAsia" w:cstheme="minorEastAsia"/>
          <w:color w:val="000000"/>
          <w:spacing w:val="0"/>
          <w:w w:val="100"/>
          <w:position w:val="0"/>
          <w:sz w:val="24"/>
          <w:szCs w:val="24"/>
          <w:lang w:eastAsia="zh-CN"/>
        </w:rPr>
        <w:t>其他</w:t>
      </w:r>
      <w:r>
        <w:rPr>
          <w:rFonts w:hint="eastAsia" w:asciiTheme="minorEastAsia" w:hAnsiTheme="minorEastAsia" w:eastAsiaTheme="minorEastAsia" w:cstheme="minorEastAsia"/>
          <w:color w:val="000000"/>
          <w:spacing w:val="0"/>
          <w:w w:val="100"/>
          <w:position w:val="0"/>
          <w:sz w:val="24"/>
          <w:szCs w:val="24"/>
        </w:rPr>
        <w:t>所有商务条款均完全响应“招标文件</w:t>
      </w:r>
      <w:r>
        <w:rPr>
          <w:rFonts w:hint="eastAsia" w:asciiTheme="minorEastAsia" w:hAnsiTheme="minorEastAsia" w:eastAsiaTheme="minorEastAsia" w:cstheme="minorEastAsia"/>
          <w:color w:val="000000"/>
          <w:spacing w:val="0"/>
          <w:w w:val="100"/>
          <w:position w:val="0"/>
          <w:sz w:val="24"/>
          <w:szCs w:val="24"/>
          <w:lang w:val="zh-CN" w:eastAsia="zh-CN" w:bidi="zh-CN"/>
        </w:rPr>
        <w:t>”中的</w:t>
      </w:r>
      <w:r>
        <w:rPr>
          <w:rFonts w:hint="eastAsia" w:asciiTheme="minorEastAsia" w:hAnsiTheme="minorEastAsia" w:eastAsiaTheme="minorEastAsia" w:cstheme="minorEastAsia"/>
          <w:color w:val="000000"/>
          <w:spacing w:val="0"/>
          <w:w w:val="100"/>
          <w:position w:val="0"/>
          <w:sz w:val="24"/>
          <w:szCs w:val="24"/>
        </w:rPr>
        <w:t>要求。</w:t>
      </w:r>
    </w:p>
    <w:p w14:paraId="6BD3862D">
      <w:pPr>
        <w:pStyle w:val="97"/>
        <w:keepNext w:val="0"/>
        <w:keepLines w:val="0"/>
        <w:pageBreakBefore w:val="0"/>
        <w:widowControl w:val="0"/>
        <w:kinsoku/>
        <w:wordWrap/>
        <w:overflowPunct/>
        <w:topLinePunct w:val="0"/>
        <w:autoSpaceDE/>
        <w:autoSpaceDN/>
        <w:bidi w:val="0"/>
        <w:adjustRightIn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 xml:space="preserve"> 投标人：</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color w:val="000000"/>
          <w:spacing w:val="0"/>
          <w:w w:val="100"/>
          <w:position w:val="0"/>
          <w:sz w:val="24"/>
          <w:szCs w:val="24"/>
          <w:u w:val="none"/>
        </w:rPr>
        <w:t>（盖章）</w:t>
      </w:r>
    </w:p>
    <w:p w14:paraId="70A30D6F">
      <w:pPr>
        <w:pStyle w:val="97"/>
        <w:keepNext w:val="0"/>
        <w:keepLines w:val="0"/>
        <w:pageBreakBefore w:val="0"/>
        <w:widowControl w:val="0"/>
        <w:kinsoku/>
        <w:wordWrap/>
        <w:overflowPunct/>
        <w:topLinePunct w:val="0"/>
        <w:autoSpaceDE/>
        <w:autoSpaceDN/>
        <w:bidi w:val="0"/>
        <w:adjustRightIn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lang w:eastAsia="zh-CN"/>
        </w:rPr>
        <w:t>法定代表人</w:t>
      </w:r>
      <w:r>
        <w:rPr>
          <w:rFonts w:hint="eastAsia" w:asciiTheme="minorEastAsia" w:hAnsiTheme="minorEastAsia" w:eastAsiaTheme="minorEastAsia" w:cstheme="minorEastAsia"/>
          <w:color w:val="000000"/>
          <w:spacing w:val="0"/>
          <w:w w:val="100"/>
          <w:position w:val="0"/>
          <w:sz w:val="24"/>
          <w:szCs w:val="24"/>
        </w:rPr>
        <w:t>或其授权人：</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color w:val="000000"/>
          <w:spacing w:val="0"/>
          <w:w w:val="100"/>
          <w:position w:val="0"/>
          <w:sz w:val="24"/>
          <w:szCs w:val="24"/>
          <w:u w:val="none"/>
        </w:rPr>
        <w:t>（签字）</w:t>
      </w:r>
    </w:p>
    <w:p w14:paraId="7D65A878">
      <w:pPr>
        <w:keepNext w:val="0"/>
        <w:keepLines w:val="0"/>
        <w:pageBreakBefore w:val="0"/>
        <w:widowControl w:val="0"/>
        <w:kinsoku/>
        <w:wordWrap/>
        <w:overflowPunct/>
        <w:topLinePunct w:val="0"/>
        <w:autoSpaceDE/>
        <w:autoSpaceDN/>
        <w:bidi w:val="0"/>
        <w:adjustRightInd/>
        <w:spacing w:line="360" w:lineRule="auto"/>
        <w:ind w:firstLine="5520" w:firstLineChars="2300"/>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color w:val="000000"/>
          <w:spacing w:val="0"/>
          <w:w w:val="100"/>
          <w:position w:val="0"/>
          <w:sz w:val="24"/>
          <w:szCs w:val="24"/>
        </w:rPr>
        <w:t>日期：</w:t>
      </w:r>
      <w:r>
        <w:rPr>
          <w:rFonts w:hint="eastAsia" w:asciiTheme="minorEastAsia" w:hAnsiTheme="minorEastAsia" w:eastAsiaTheme="minorEastAsia" w:cstheme="minorEastAsia"/>
          <w:color w:val="000000"/>
          <w:spacing w:val="0"/>
          <w:w w:val="100"/>
          <w:position w:val="0"/>
          <w:sz w:val="24"/>
          <w:szCs w:val="24"/>
          <w:lang w:val="en-US"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color w:val="000000"/>
          <w:spacing w:val="0"/>
          <w:w w:val="100"/>
          <w:position w:val="0"/>
          <w:sz w:val="24"/>
          <w:szCs w:val="24"/>
        </w:rPr>
        <w:t>年</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color w:val="000000"/>
          <w:spacing w:val="0"/>
          <w:w w:val="100"/>
          <w:position w:val="0"/>
          <w:sz w:val="24"/>
          <w:szCs w:val="24"/>
        </w:rPr>
        <w:t>月</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sz w:val="24"/>
          <w:szCs w:val="24"/>
          <w:u w:val="none"/>
          <w:lang w:val="en-US" w:eastAsia="zh-CN"/>
        </w:rPr>
        <w:t xml:space="preserve">   日</w:t>
      </w:r>
    </w:p>
    <w:p w14:paraId="7EAFEF9F">
      <w:pPr>
        <w:keepNext w:val="0"/>
        <w:keepLines w:val="0"/>
        <w:pageBreakBefore w:val="0"/>
        <w:widowControl w:val="0"/>
        <w:kinsoku/>
        <w:wordWrap/>
        <w:overflowPunct/>
        <w:topLinePunct w:val="0"/>
        <w:autoSpaceDE/>
        <w:autoSpaceDN/>
        <w:bidi w:val="0"/>
        <w:adjustRightInd/>
        <w:spacing w:line="360" w:lineRule="auto"/>
        <w:ind w:firstLine="5520" w:firstLineChars="2300"/>
        <w:textAlignment w:val="auto"/>
        <w:rPr>
          <w:rFonts w:hint="eastAsia" w:asciiTheme="minorEastAsia" w:hAnsiTheme="minorEastAsia" w:eastAsiaTheme="minorEastAsia" w:cstheme="minorEastAsia"/>
          <w:sz w:val="24"/>
          <w:szCs w:val="24"/>
          <w:u w:val="none"/>
          <w:lang w:val="en-US" w:eastAsia="zh-CN"/>
        </w:rPr>
      </w:pPr>
    </w:p>
    <w:p w14:paraId="07AF6A7D">
      <w:pPr>
        <w:pStyle w:val="97"/>
        <w:keepNext w:val="0"/>
        <w:keepLines w:val="0"/>
        <w:pageBreakBefore w:val="0"/>
        <w:widowControl w:val="0"/>
        <w:numPr>
          <w:ilvl w:val="0"/>
          <w:numId w:val="0"/>
        </w:numPr>
        <w:shd w:val="clear" w:color="auto" w:fill="auto"/>
        <w:kinsoku/>
        <w:wordWrap/>
        <w:overflowPunct/>
        <w:topLinePunct w:val="0"/>
        <w:autoSpaceDE/>
        <w:autoSpaceDN/>
        <w:bidi w:val="0"/>
        <w:adjustRightInd/>
        <w:spacing w:line="360" w:lineRule="auto"/>
        <w:ind w:left="60" w:leftChars="0" w:firstLine="420" w:firstLineChars="0"/>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val="0"/>
          <w:color w:val="000000"/>
          <w:sz w:val="24"/>
          <w:szCs w:val="24"/>
          <w:lang w:val="en-US" w:eastAsia="zh-CN" w:bidi="en-US"/>
        </w:rPr>
        <w:t>（九）</w:t>
      </w:r>
      <w:r>
        <w:rPr>
          <w:rFonts w:hint="eastAsia" w:asciiTheme="minorEastAsia" w:hAnsiTheme="minorEastAsia" w:eastAsiaTheme="minorEastAsia" w:cstheme="minorEastAsia"/>
          <w:b w:val="0"/>
          <w:bCs w:val="0"/>
          <w:sz w:val="24"/>
          <w:szCs w:val="24"/>
          <w:lang w:val="en-US" w:eastAsia="zh-CN"/>
        </w:rPr>
        <w:t>其它有利于自身的材料</w:t>
      </w:r>
    </w:p>
    <w:p w14:paraId="7B9D6D5F">
      <w:pPr>
        <w:pStyle w:val="4"/>
        <w:keepNext/>
        <w:keepLines/>
        <w:pageBreakBefore w:val="0"/>
        <w:widowControl w:val="0"/>
        <w:numPr>
          <w:ilvl w:val="1"/>
          <w:numId w:val="0"/>
        </w:numPr>
        <w:kinsoku/>
        <w:wordWrap/>
        <w:overflowPunct/>
        <w:topLinePunct w:val="0"/>
        <w:autoSpaceDE/>
        <w:autoSpaceDN/>
        <w:bidi w:val="0"/>
        <w:adjustRightInd/>
        <w:snapToGrid/>
        <w:ind w:left="0" w:leftChars="0"/>
        <w:textAlignment w:val="auto"/>
        <w:outlineLvl w:val="0"/>
        <w:rPr>
          <w:rFonts w:hint="eastAsia" w:asciiTheme="minorEastAsia" w:hAnsiTheme="minorEastAsia" w:eastAsiaTheme="minorEastAsia" w:cstheme="minorEastAsia"/>
          <w:lang w:eastAsia="zh-CN"/>
        </w:rPr>
      </w:pPr>
      <w:bookmarkStart w:id="283" w:name="_Toc4574"/>
      <w:bookmarkStart w:id="284" w:name="_Toc23815"/>
      <w:bookmarkStart w:id="285" w:name="_Toc32741"/>
      <w:r>
        <w:rPr>
          <w:rStyle w:val="90"/>
          <w:rFonts w:hint="eastAsia" w:asciiTheme="minorEastAsia" w:hAnsiTheme="minorEastAsia" w:eastAsiaTheme="minorEastAsia" w:cstheme="minorEastAsia"/>
          <w:b/>
          <w:sz w:val="30"/>
          <w:szCs w:val="24"/>
          <w:lang w:val="en-US" w:eastAsia="zh-CN"/>
        </w:rPr>
        <w:t>三、</w:t>
      </w:r>
      <w:bookmarkEnd w:id="283"/>
      <w:r>
        <w:rPr>
          <w:rFonts w:hint="eastAsia" w:asciiTheme="minorEastAsia" w:hAnsiTheme="minorEastAsia" w:eastAsiaTheme="minorEastAsia" w:cstheme="minorEastAsia"/>
          <w:lang w:val="en-US" w:eastAsia="zh-CN"/>
        </w:rPr>
        <w:t>技术部分</w:t>
      </w:r>
      <w:r>
        <w:rPr>
          <w:rFonts w:hint="eastAsia" w:asciiTheme="minorEastAsia" w:hAnsiTheme="minorEastAsia" w:eastAsiaTheme="minorEastAsia" w:cstheme="minorEastAsia"/>
          <w:lang w:eastAsia="zh-CN"/>
        </w:rPr>
        <w:t>资料</w:t>
      </w:r>
      <w:bookmarkEnd w:id="284"/>
      <w:bookmarkEnd w:id="285"/>
    </w:p>
    <w:p w14:paraId="0EAAA7CA">
      <w:pPr>
        <w:pStyle w:val="97"/>
        <w:ind w:left="420" w:leftChars="200" w:firstLine="0" w:firstLineChars="0"/>
        <w:rPr>
          <w:rFonts w:hint="eastAsia" w:asciiTheme="minorEastAsia" w:hAnsiTheme="minorEastAsia" w:eastAsiaTheme="minorEastAsia" w:cstheme="minorEastAsia"/>
          <w:lang w:eastAsia="zh-CN"/>
        </w:rPr>
      </w:pPr>
    </w:p>
    <w:p w14:paraId="45A2179F">
      <w:pPr>
        <w:pStyle w:val="97"/>
        <w:ind w:left="420" w:leftChars="200" w:firstLine="0" w:firstLineChars="0"/>
        <w:rPr>
          <w:rFonts w:hint="eastAsia" w:asciiTheme="minorEastAsia" w:hAnsiTheme="minorEastAsia" w:eastAsiaTheme="minorEastAsia" w:cstheme="minorEastAsia"/>
          <w:lang w:eastAsia="zh-CN"/>
        </w:rPr>
      </w:pPr>
    </w:p>
    <w:p w14:paraId="786C3D46">
      <w:pPr>
        <w:pStyle w:val="97"/>
        <w:ind w:left="420" w:leftChars="200" w:firstLine="0" w:firstLineChars="0"/>
        <w:rPr>
          <w:rFonts w:hint="eastAsia" w:asciiTheme="minorEastAsia" w:hAnsiTheme="minorEastAsia" w:eastAsiaTheme="minorEastAsia" w:cstheme="minorEastAsia"/>
          <w:lang w:eastAsia="zh-CN"/>
        </w:rPr>
      </w:pPr>
    </w:p>
    <w:p w14:paraId="21E3F3F4">
      <w:pPr>
        <w:pStyle w:val="97"/>
        <w:ind w:left="420" w:leftChars="200" w:firstLine="0" w:firstLineChars="0"/>
        <w:rPr>
          <w:rFonts w:hint="eastAsia" w:asciiTheme="minorEastAsia" w:hAnsiTheme="minorEastAsia" w:eastAsiaTheme="minorEastAsia" w:cstheme="minorEastAsia"/>
          <w:lang w:eastAsia="zh-CN"/>
        </w:rPr>
      </w:pPr>
    </w:p>
    <w:p w14:paraId="202AD90E">
      <w:pPr>
        <w:pStyle w:val="97"/>
        <w:ind w:firstLine="0" w:firstLineChars="0"/>
        <w:jc w:val="center"/>
        <w:rPr>
          <w:rFonts w:hint="eastAsia" w:asciiTheme="minorEastAsia" w:hAnsiTheme="minorEastAsia" w:eastAsiaTheme="minorEastAsia" w:cstheme="minorEastAsia"/>
          <w:sz w:val="54"/>
          <w:lang w:eastAsia="zh-CN"/>
        </w:rPr>
      </w:pPr>
    </w:p>
    <w:p w14:paraId="65348F07">
      <w:pPr>
        <w:pStyle w:val="5"/>
        <w:numPr>
          <w:ilvl w:val="2"/>
          <w:numId w:val="0"/>
        </w:numPr>
        <w:ind w:leftChars="0"/>
        <w:jc w:val="center"/>
        <w:outlineLvl w:val="9"/>
        <w:rPr>
          <w:rStyle w:val="135"/>
          <w:rFonts w:hint="eastAsia" w:asciiTheme="minorEastAsia" w:hAnsiTheme="minorEastAsia" w:eastAsiaTheme="minorEastAsia" w:cstheme="minorEastAsia"/>
          <w:b/>
          <w:sz w:val="32"/>
          <w:szCs w:val="32"/>
          <w:lang w:eastAsia="zh-CN"/>
        </w:rPr>
      </w:pPr>
      <w:bookmarkStart w:id="286" w:name="_Toc30374"/>
      <w:r>
        <w:rPr>
          <w:rFonts w:hint="eastAsia" w:asciiTheme="minorEastAsia" w:hAnsiTheme="minorEastAsia" w:eastAsiaTheme="minorEastAsia" w:cstheme="minorEastAsia"/>
          <w:sz w:val="54"/>
          <w:lang w:val="en-US" w:eastAsia="zh-CN"/>
        </w:rPr>
        <w:t>技术</w:t>
      </w:r>
      <w:r>
        <w:rPr>
          <w:rFonts w:hint="eastAsia" w:asciiTheme="minorEastAsia" w:hAnsiTheme="minorEastAsia" w:eastAsiaTheme="minorEastAsia" w:cstheme="minorEastAsia"/>
          <w:sz w:val="54"/>
          <w:lang w:eastAsia="zh-CN"/>
        </w:rPr>
        <w:t>部分资料</w:t>
      </w:r>
      <w:bookmarkEnd w:id="286"/>
    </w:p>
    <w:p w14:paraId="62C3901F">
      <w:pPr>
        <w:ind w:right="1718" w:rightChars="818" w:firstLine="480"/>
        <w:jc w:val="righ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br w:type="page"/>
      </w:r>
    </w:p>
    <w:p w14:paraId="201A1729">
      <w:pPr>
        <w:pStyle w:val="5"/>
        <w:numPr>
          <w:ilvl w:val="1"/>
          <w:numId w:val="42"/>
        </w:numPr>
        <w:outlineLvl w:val="9"/>
        <w:rPr>
          <w:rFonts w:hint="eastAsia" w:asciiTheme="minorEastAsia" w:hAnsiTheme="minorEastAsia" w:eastAsiaTheme="minorEastAsia" w:cstheme="minorEastAsia"/>
          <w:sz w:val="28"/>
          <w:szCs w:val="28"/>
          <w:lang w:eastAsia="zh-CN"/>
        </w:rPr>
      </w:pPr>
      <w:bookmarkStart w:id="287" w:name="_Toc30"/>
      <w:bookmarkStart w:id="288" w:name="_Toc127983187"/>
      <w:bookmarkStart w:id="289" w:name="_Toc15062"/>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技术</w:t>
      </w:r>
      <w:r>
        <w:rPr>
          <w:rFonts w:hint="eastAsia" w:asciiTheme="minorEastAsia" w:hAnsiTheme="minorEastAsia" w:eastAsiaTheme="minorEastAsia" w:cstheme="minorEastAsia"/>
          <w:sz w:val="28"/>
          <w:szCs w:val="28"/>
          <w:lang w:val="en-US" w:eastAsia="zh-CN"/>
        </w:rPr>
        <w:t>部分</w:t>
      </w:r>
      <w:bookmarkEnd w:id="287"/>
      <w:bookmarkEnd w:id="288"/>
      <w:bookmarkEnd w:id="289"/>
    </w:p>
    <w:p w14:paraId="050EBA43">
      <w:pPr>
        <w:pStyle w:val="97"/>
        <w:ind w:firstLine="562"/>
        <w:jc w:val="center"/>
        <w:rPr>
          <w:rFonts w:hint="eastAsia"/>
          <w:lang w:eastAsia="zh-CN"/>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技术</w:t>
      </w:r>
      <w:r>
        <w:rPr>
          <w:rFonts w:hint="eastAsia" w:asciiTheme="minorEastAsia" w:hAnsiTheme="minorEastAsia" w:eastAsiaTheme="minorEastAsia" w:cstheme="minorEastAsia"/>
          <w:b/>
          <w:bCs/>
          <w:sz w:val="28"/>
          <w:szCs w:val="28"/>
          <w:lang w:val="en-US" w:eastAsia="zh-CN"/>
        </w:rPr>
        <w:t>响应情况</w:t>
      </w:r>
    </w:p>
    <w:p w14:paraId="3BCFDE61">
      <w:pPr>
        <w:keepNext/>
        <w:keepLines/>
        <w:pageBreakBefore w:val="0"/>
        <w:widowControl w:val="0"/>
        <w:kinsoku/>
        <w:wordWrap/>
        <w:overflowPunct/>
        <w:topLinePunct w:val="0"/>
        <w:autoSpaceDE/>
        <w:autoSpaceDN/>
        <w:bidi w:val="0"/>
        <w:adjustRightInd/>
        <w:snapToGrid/>
        <w:spacing w:before="0" w:after="0" w:line="360" w:lineRule="auto"/>
        <w:ind w:left="0" w:firstLine="0" w:firstLineChars="0"/>
        <w:jc w:val="both"/>
        <w:textAlignment w:val="auto"/>
        <w:outlineLvl w:val="3"/>
        <w:rPr>
          <w:rFonts w:hint="eastAsia" w:cs="宋体"/>
          <w:b/>
          <w:bCs/>
          <w:iCs/>
          <w:kern w:val="2"/>
          <w:sz w:val="24"/>
          <w:szCs w:val="24"/>
          <w:lang w:val="en-US" w:eastAsia="zh-CN" w:bidi="ar-SA"/>
        </w:rPr>
      </w:pPr>
      <w:r>
        <w:rPr>
          <w:rFonts w:hint="eastAsia" w:cs="宋体"/>
          <w:b/>
          <w:bCs/>
          <w:iCs/>
          <w:kern w:val="2"/>
          <w:sz w:val="24"/>
          <w:szCs w:val="24"/>
          <w:lang w:val="en-US" w:eastAsia="zh-CN" w:bidi="ar-SA"/>
        </w:rPr>
        <w:t>示例（逐条响应）：</w:t>
      </w:r>
    </w:p>
    <w:p w14:paraId="3267055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 Notebook建模</w:t>
      </w:r>
    </w:p>
    <w:p w14:paraId="217B0D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Notebook进行交互式建模的能力，提供全面的Notebook实例生命周期管理功能，包括实例创建、资源配额、配置变更、导出镜像等。支持用户快速创建新的建模实例，并对已有实例进行编辑、克隆复制、启动、停止以及密码重置等一系列便捷操作，满足多样化的开发需求。</w:t>
      </w:r>
    </w:p>
    <w:p w14:paraId="11898CB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支持Vscode、JupyterLab编辑环境，在Jupyterlab及Vscode编辑环境中看到的文件目录一致，便于不同的开发环境文件管理。</w:t>
      </w:r>
    </w:p>
    <w:p w14:paraId="249576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支持灵活配置Notebook实例所需的计算资源配额，用户可根据实际任务的负载情况，自定义分配资源，确保建模任务的高效运行。 </w:t>
      </w:r>
    </w:p>
    <w:p w14:paraId="570D6C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支持查看Notebook实例的日志和事件记录。</w:t>
      </w:r>
    </w:p>
    <w:p w14:paraId="06139AE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支持全方位查看Notebook实例的详细属性，涵盖实例的基本信息、资源配额配置、环境参数设置、关联数据集信息以及底层镜像信息，让用户对实例状态一目了然。</w:t>
      </w:r>
    </w:p>
    <w:p w14:paraId="2DF1AC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支持对任务的关键指标进行监控，包含CPU使用量、CPU使用率、内存使用量、内存使用率、网络接受速率、网络发送速率。</w:t>
      </w:r>
    </w:p>
    <w:p w14:paraId="0C388F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34463C75">
      <w:pPr>
        <w:pStyle w:val="97"/>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响应情况：以上内容完全响应。</w:t>
      </w:r>
    </w:p>
    <w:p w14:paraId="516298B6">
      <w:pPr>
        <w:pStyle w:val="97"/>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p>
    <w:p w14:paraId="19C142C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 任务建模</w:t>
      </w:r>
    </w:p>
    <w:p w14:paraId="620EDD7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任务建模提供以任务配置形式来完成AI训练及管理，配置包括创建任务的基本信息（组织、资源集、地域、任务名称、描述）以及一个任务所需的全部资源（资源配额、数据集、镜像、模型、存储）。</w:t>
      </w:r>
    </w:p>
    <w:p w14:paraId="436508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具备基于套件创建任务的能力，根据套件中预定义的资源配置、镜像、启动方式等参数实现标准化任务部署。</w:t>
      </w:r>
    </w:p>
    <w:p w14:paraId="7EE1D3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支持Pytorch、Tensorflow、DeepSpeed、Megatron等主流训练框架，为用户提供多样化的算法开发环境选择。</w:t>
      </w:r>
    </w:p>
    <w:p w14:paraId="00F4929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支持查看建模任务的详细日志和事件记录，帮助用户追踪任务运行轨迹，排查潜在问题。</w:t>
      </w:r>
    </w:p>
    <w:p w14:paraId="3408B1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支持对建模任务及其容器组的关键性能指标进行实时监控，帮助用户随时掌握任务运行状态。</w:t>
      </w:r>
    </w:p>
    <w:p w14:paraId="659D38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训练或推理任务状态显示为“失败”时，系统将主动触发自动容错机制并重启实例；同时允许配置单个Worker实例上同一错误出现的最大容忍次数，一旦超出该阈值，则直接将任务标记为失败，避免无效资源消耗。</w:t>
      </w:r>
    </w:p>
    <w:p w14:paraId="6362527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6D439A7B">
      <w:pPr>
        <w:pStyle w:val="97"/>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响应情况：以上内容完全响应。</w:t>
      </w:r>
    </w:p>
    <w:p w14:paraId="4AE17401">
      <w:pPr>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p>
    <w:p w14:paraId="176CE536">
      <w:pPr>
        <w:pStyle w:val="18"/>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p w14:paraId="2D3F7218">
      <w:pPr>
        <w:rPr>
          <w:rFonts w:hint="eastAsia"/>
          <w:lang w:val="en-US" w:eastAsia="zh-CN"/>
        </w:rPr>
      </w:pPr>
    </w:p>
    <w:p w14:paraId="614B0110">
      <w:pPr>
        <w:rPr>
          <w:rFonts w:hint="default"/>
          <w:lang w:val="en-US" w:eastAsia="zh-CN"/>
        </w:rPr>
      </w:pPr>
    </w:p>
    <w:p w14:paraId="09D60223">
      <w:pPr>
        <w:pStyle w:val="97"/>
        <w:ind w:firstLine="2811" w:firstLineChars="1000"/>
        <w:jc w:val="both"/>
        <w:rPr>
          <w:b/>
          <w:bCs/>
          <w:sz w:val="28"/>
          <w:szCs w:val="24"/>
        </w:rPr>
      </w:pPr>
      <w:r>
        <w:rPr>
          <w:rFonts w:hint="eastAsia"/>
          <w:b/>
          <w:bCs/>
          <w:color w:val="000000"/>
          <w:spacing w:val="0"/>
          <w:w w:val="100"/>
          <w:position w:val="0"/>
          <w:sz w:val="28"/>
          <w:szCs w:val="24"/>
          <w:lang w:val="en-US" w:eastAsia="zh-CN"/>
        </w:rPr>
        <w:t>（二）技术</w:t>
      </w:r>
      <w:r>
        <w:rPr>
          <w:b/>
          <w:bCs/>
          <w:color w:val="000000"/>
          <w:spacing w:val="0"/>
          <w:w w:val="100"/>
          <w:position w:val="0"/>
          <w:sz w:val="28"/>
          <w:szCs w:val="24"/>
        </w:rPr>
        <w:t>条款偏离表</w:t>
      </w:r>
    </w:p>
    <w:tbl>
      <w:tblPr>
        <w:tblStyle w:val="88"/>
        <w:tblW w:w="9252" w:type="dxa"/>
        <w:jc w:val="center"/>
        <w:tblLayout w:type="fixed"/>
        <w:tblCellMar>
          <w:top w:w="56" w:type="dxa"/>
          <w:left w:w="96" w:type="dxa"/>
          <w:bottom w:w="56" w:type="dxa"/>
          <w:right w:w="96" w:type="dxa"/>
        </w:tblCellMar>
      </w:tblPr>
      <w:tblGrid>
        <w:gridCol w:w="1119"/>
        <w:gridCol w:w="2300"/>
        <w:gridCol w:w="2300"/>
        <w:gridCol w:w="2118"/>
        <w:gridCol w:w="1415"/>
      </w:tblGrid>
      <w:tr w14:paraId="5A821D7F">
        <w:tblPrEx>
          <w:tblCellMar>
            <w:top w:w="56" w:type="dxa"/>
            <w:left w:w="96" w:type="dxa"/>
            <w:bottom w:w="56" w:type="dxa"/>
            <w:right w:w="96" w:type="dxa"/>
          </w:tblCellMar>
        </w:tblPrEx>
        <w:trPr>
          <w:trHeight w:val="0" w:hRule="atLeast"/>
          <w:tblHeader/>
          <w:jc w:val="center"/>
        </w:trPr>
        <w:tc>
          <w:tcPr>
            <w:tcW w:w="1119" w:type="dxa"/>
            <w:tcBorders>
              <w:top w:val="single" w:color="auto" w:sz="4" w:space="0"/>
              <w:left w:val="single" w:color="auto" w:sz="4" w:space="0"/>
            </w:tcBorders>
            <w:shd w:val="clear" w:color="auto" w:fill="FFFFFF"/>
            <w:vAlign w:val="center"/>
          </w:tcPr>
          <w:p w14:paraId="6B63E4AD">
            <w:pPr>
              <w:pStyle w:val="97"/>
              <w:snapToGrid w:val="0"/>
              <w:ind w:firstLine="0" w:firstLineChars="0"/>
              <w:jc w:val="center"/>
              <w:rPr>
                <w:rFonts w:hint="eastAsia" w:eastAsia="宋体"/>
                <w:b/>
                <w:sz w:val="24"/>
                <w:szCs w:val="24"/>
                <w:lang w:eastAsia="zh-CN"/>
              </w:rPr>
            </w:pPr>
            <w:r>
              <w:rPr>
                <w:rFonts w:hint="eastAsia"/>
                <w:b/>
                <w:color w:val="000000"/>
                <w:spacing w:val="0"/>
                <w:w w:val="100"/>
                <w:position w:val="0"/>
                <w:sz w:val="24"/>
                <w:szCs w:val="24"/>
                <w:lang w:eastAsia="zh-CN"/>
              </w:rPr>
              <w:t>条款号</w:t>
            </w:r>
          </w:p>
        </w:tc>
        <w:tc>
          <w:tcPr>
            <w:tcW w:w="2300" w:type="dxa"/>
            <w:tcBorders>
              <w:top w:val="single" w:color="auto" w:sz="4" w:space="0"/>
              <w:left w:val="single" w:color="auto" w:sz="4" w:space="0"/>
            </w:tcBorders>
            <w:shd w:val="clear" w:color="auto" w:fill="FFFFFF"/>
            <w:vAlign w:val="center"/>
          </w:tcPr>
          <w:p w14:paraId="517151BC">
            <w:pPr>
              <w:pStyle w:val="97"/>
              <w:snapToGrid w:val="0"/>
              <w:ind w:firstLine="0" w:firstLineChars="0"/>
              <w:jc w:val="center"/>
              <w:rPr>
                <w:rFonts w:hint="eastAsia" w:eastAsia="宋体"/>
                <w:b/>
                <w:sz w:val="24"/>
                <w:szCs w:val="24"/>
                <w:lang w:eastAsia="zh-CN"/>
              </w:rPr>
            </w:pPr>
            <w:r>
              <w:rPr>
                <w:rFonts w:hint="eastAsia"/>
                <w:b/>
                <w:color w:val="000000"/>
                <w:spacing w:val="0"/>
                <w:w w:val="100"/>
                <w:position w:val="0"/>
                <w:sz w:val="24"/>
                <w:szCs w:val="24"/>
                <w:lang w:eastAsia="zh-CN"/>
              </w:rPr>
              <w:t>招标文件的表述</w:t>
            </w:r>
          </w:p>
        </w:tc>
        <w:tc>
          <w:tcPr>
            <w:tcW w:w="2300" w:type="dxa"/>
            <w:tcBorders>
              <w:top w:val="single" w:color="auto" w:sz="4" w:space="0"/>
              <w:left w:val="single" w:color="auto" w:sz="4" w:space="0"/>
            </w:tcBorders>
            <w:shd w:val="clear" w:color="auto" w:fill="FFFFFF"/>
            <w:vAlign w:val="center"/>
          </w:tcPr>
          <w:p w14:paraId="1F8FEF35">
            <w:pPr>
              <w:pStyle w:val="97"/>
              <w:snapToGrid w:val="0"/>
              <w:ind w:firstLine="0" w:firstLineChars="0"/>
              <w:jc w:val="center"/>
              <w:rPr>
                <w:rFonts w:hint="eastAsia" w:eastAsia="宋体"/>
                <w:b/>
                <w:sz w:val="24"/>
                <w:szCs w:val="24"/>
                <w:lang w:eastAsia="zh-CN"/>
              </w:rPr>
            </w:pPr>
            <w:r>
              <w:rPr>
                <w:rFonts w:hint="eastAsia"/>
                <w:b/>
                <w:color w:val="000000"/>
                <w:spacing w:val="0"/>
                <w:w w:val="100"/>
                <w:position w:val="0"/>
                <w:sz w:val="24"/>
                <w:szCs w:val="24"/>
                <w:lang w:eastAsia="zh-CN"/>
              </w:rPr>
              <w:t>投标文件的表述</w:t>
            </w:r>
          </w:p>
        </w:tc>
        <w:tc>
          <w:tcPr>
            <w:tcW w:w="2118" w:type="dxa"/>
            <w:tcBorders>
              <w:top w:val="single" w:color="auto" w:sz="4" w:space="0"/>
              <w:left w:val="single" w:color="auto" w:sz="4" w:space="0"/>
            </w:tcBorders>
            <w:shd w:val="clear" w:color="auto" w:fill="FFFFFF"/>
            <w:vAlign w:val="center"/>
          </w:tcPr>
          <w:p w14:paraId="5E9B6983">
            <w:pPr>
              <w:pStyle w:val="97"/>
              <w:snapToGrid w:val="0"/>
              <w:ind w:firstLine="0" w:firstLineChars="0"/>
              <w:jc w:val="center"/>
              <w:rPr>
                <w:rFonts w:hint="eastAsia" w:eastAsia="宋体"/>
                <w:b/>
                <w:sz w:val="24"/>
                <w:szCs w:val="24"/>
                <w:lang w:eastAsia="zh-CN"/>
              </w:rPr>
            </w:pPr>
            <w:r>
              <w:rPr>
                <w:rFonts w:hint="eastAsia"/>
                <w:b/>
                <w:color w:val="000000"/>
                <w:spacing w:val="0"/>
                <w:w w:val="100"/>
                <w:position w:val="0"/>
                <w:sz w:val="24"/>
                <w:szCs w:val="24"/>
                <w:lang w:eastAsia="zh-CN"/>
              </w:rPr>
              <w:t>偏离（正/负）</w:t>
            </w:r>
          </w:p>
        </w:tc>
        <w:tc>
          <w:tcPr>
            <w:tcW w:w="1415" w:type="dxa"/>
            <w:tcBorders>
              <w:top w:val="single" w:color="auto" w:sz="4" w:space="0"/>
              <w:left w:val="single" w:color="auto" w:sz="4" w:space="0"/>
              <w:right w:val="single" w:color="auto" w:sz="4" w:space="0"/>
            </w:tcBorders>
            <w:shd w:val="clear" w:color="auto" w:fill="FFFFFF"/>
            <w:vAlign w:val="center"/>
          </w:tcPr>
          <w:p w14:paraId="516C966D">
            <w:pPr>
              <w:pStyle w:val="97"/>
              <w:snapToGrid w:val="0"/>
              <w:ind w:firstLine="0" w:firstLineChars="0"/>
              <w:jc w:val="center"/>
              <w:rPr>
                <w:rFonts w:hint="eastAsia" w:eastAsia="宋体"/>
                <w:b/>
                <w:sz w:val="24"/>
                <w:szCs w:val="24"/>
                <w:lang w:eastAsia="zh-CN"/>
              </w:rPr>
            </w:pPr>
            <w:r>
              <w:rPr>
                <w:rFonts w:hint="eastAsia"/>
                <w:b/>
                <w:color w:val="000000"/>
                <w:spacing w:val="0"/>
                <w:w w:val="100"/>
                <w:position w:val="0"/>
                <w:sz w:val="24"/>
                <w:szCs w:val="24"/>
                <w:lang w:eastAsia="zh-CN"/>
              </w:rPr>
              <w:t>备注说明</w:t>
            </w:r>
          </w:p>
        </w:tc>
      </w:tr>
      <w:tr w14:paraId="350F9579">
        <w:tblPrEx>
          <w:tblCellMar>
            <w:top w:w="56" w:type="dxa"/>
            <w:left w:w="96" w:type="dxa"/>
            <w:bottom w:w="56" w:type="dxa"/>
            <w:right w:w="96" w:type="dxa"/>
          </w:tblCellMar>
        </w:tblPrEx>
        <w:trPr>
          <w:trHeight w:val="0" w:hRule="atLeast"/>
          <w:jc w:val="center"/>
        </w:trPr>
        <w:tc>
          <w:tcPr>
            <w:tcW w:w="1119" w:type="dxa"/>
            <w:tcBorders>
              <w:top w:val="single" w:color="auto" w:sz="4" w:space="0"/>
              <w:left w:val="single" w:color="auto" w:sz="4" w:space="0"/>
            </w:tcBorders>
            <w:shd w:val="clear" w:color="auto" w:fill="FFFFFF"/>
            <w:vAlign w:val="center"/>
          </w:tcPr>
          <w:p w14:paraId="28A52B8E">
            <w:pPr>
              <w:pStyle w:val="97"/>
              <w:snapToGrid w:val="0"/>
              <w:jc w:val="center"/>
              <w:rPr>
                <w:sz w:val="10"/>
                <w:szCs w:val="24"/>
              </w:rPr>
            </w:pPr>
          </w:p>
        </w:tc>
        <w:tc>
          <w:tcPr>
            <w:tcW w:w="2300" w:type="dxa"/>
            <w:tcBorders>
              <w:top w:val="single" w:color="auto" w:sz="4" w:space="0"/>
              <w:left w:val="single" w:color="auto" w:sz="4" w:space="0"/>
            </w:tcBorders>
            <w:shd w:val="clear" w:color="auto" w:fill="FFFFFF"/>
            <w:vAlign w:val="center"/>
          </w:tcPr>
          <w:p w14:paraId="466E7C4C">
            <w:pPr>
              <w:pStyle w:val="97"/>
              <w:snapToGrid w:val="0"/>
              <w:jc w:val="center"/>
              <w:rPr>
                <w:sz w:val="10"/>
                <w:szCs w:val="24"/>
              </w:rPr>
            </w:pPr>
          </w:p>
        </w:tc>
        <w:tc>
          <w:tcPr>
            <w:tcW w:w="2300" w:type="dxa"/>
            <w:tcBorders>
              <w:top w:val="single" w:color="auto" w:sz="4" w:space="0"/>
              <w:left w:val="single" w:color="auto" w:sz="4" w:space="0"/>
            </w:tcBorders>
            <w:shd w:val="clear" w:color="auto" w:fill="FFFFFF"/>
            <w:vAlign w:val="center"/>
          </w:tcPr>
          <w:p w14:paraId="1D0D4F15">
            <w:pPr>
              <w:pStyle w:val="97"/>
              <w:snapToGrid w:val="0"/>
              <w:jc w:val="center"/>
              <w:rPr>
                <w:sz w:val="10"/>
                <w:szCs w:val="24"/>
              </w:rPr>
            </w:pPr>
          </w:p>
        </w:tc>
        <w:tc>
          <w:tcPr>
            <w:tcW w:w="2118" w:type="dxa"/>
            <w:tcBorders>
              <w:top w:val="single" w:color="auto" w:sz="4" w:space="0"/>
              <w:left w:val="single" w:color="auto" w:sz="4" w:space="0"/>
            </w:tcBorders>
            <w:shd w:val="clear" w:color="auto" w:fill="FFFFFF"/>
            <w:vAlign w:val="center"/>
          </w:tcPr>
          <w:p w14:paraId="3C0C7283">
            <w:pPr>
              <w:pStyle w:val="97"/>
              <w:snapToGrid w:val="0"/>
              <w:jc w:val="center"/>
              <w:rPr>
                <w:sz w:val="10"/>
                <w:szCs w:val="24"/>
              </w:rPr>
            </w:pPr>
          </w:p>
        </w:tc>
        <w:tc>
          <w:tcPr>
            <w:tcW w:w="1415" w:type="dxa"/>
            <w:tcBorders>
              <w:top w:val="single" w:color="auto" w:sz="4" w:space="0"/>
              <w:left w:val="single" w:color="auto" w:sz="4" w:space="0"/>
              <w:right w:val="single" w:color="auto" w:sz="4" w:space="0"/>
            </w:tcBorders>
            <w:shd w:val="clear" w:color="auto" w:fill="FFFFFF"/>
            <w:vAlign w:val="center"/>
          </w:tcPr>
          <w:p w14:paraId="09D3506D">
            <w:pPr>
              <w:pStyle w:val="97"/>
              <w:snapToGrid w:val="0"/>
              <w:jc w:val="center"/>
              <w:rPr>
                <w:sz w:val="10"/>
                <w:szCs w:val="24"/>
              </w:rPr>
            </w:pPr>
          </w:p>
        </w:tc>
      </w:tr>
      <w:tr w14:paraId="57289BEC">
        <w:tblPrEx>
          <w:tblCellMar>
            <w:top w:w="56" w:type="dxa"/>
            <w:left w:w="96" w:type="dxa"/>
            <w:bottom w:w="56" w:type="dxa"/>
            <w:right w:w="96" w:type="dxa"/>
          </w:tblCellMar>
        </w:tblPrEx>
        <w:trPr>
          <w:trHeight w:val="0" w:hRule="atLeast"/>
          <w:jc w:val="center"/>
        </w:trPr>
        <w:tc>
          <w:tcPr>
            <w:tcW w:w="1119" w:type="dxa"/>
            <w:tcBorders>
              <w:top w:val="single" w:color="auto" w:sz="4" w:space="0"/>
              <w:left w:val="single" w:color="auto" w:sz="4" w:space="0"/>
            </w:tcBorders>
            <w:shd w:val="clear" w:color="auto" w:fill="FFFFFF"/>
            <w:vAlign w:val="center"/>
          </w:tcPr>
          <w:p w14:paraId="17568BE2">
            <w:pPr>
              <w:pStyle w:val="97"/>
              <w:snapToGrid w:val="0"/>
              <w:jc w:val="center"/>
              <w:rPr>
                <w:sz w:val="10"/>
                <w:szCs w:val="24"/>
              </w:rPr>
            </w:pPr>
          </w:p>
        </w:tc>
        <w:tc>
          <w:tcPr>
            <w:tcW w:w="2300" w:type="dxa"/>
            <w:tcBorders>
              <w:top w:val="single" w:color="auto" w:sz="4" w:space="0"/>
              <w:left w:val="single" w:color="auto" w:sz="4" w:space="0"/>
            </w:tcBorders>
            <w:shd w:val="clear" w:color="auto" w:fill="FFFFFF"/>
            <w:vAlign w:val="center"/>
          </w:tcPr>
          <w:p w14:paraId="11756CEB">
            <w:pPr>
              <w:pStyle w:val="97"/>
              <w:snapToGrid w:val="0"/>
              <w:jc w:val="center"/>
              <w:rPr>
                <w:sz w:val="10"/>
                <w:szCs w:val="24"/>
              </w:rPr>
            </w:pPr>
          </w:p>
        </w:tc>
        <w:tc>
          <w:tcPr>
            <w:tcW w:w="2300" w:type="dxa"/>
            <w:tcBorders>
              <w:top w:val="single" w:color="auto" w:sz="4" w:space="0"/>
              <w:left w:val="single" w:color="auto" w:sz="4" w:space="0"/>
            </w:tcBorders>
            <w:shd w:val="clear" w:color="auto" w:fill="FFFFFF"/>
            <w:vAlign w:val="center"/>
          </w:tcPr>
          <w:p w14:paraId="0E9D35BC">
            <w:pPr>
              <w:pStyle w:val="97"/>
              <w:snapToGrid w:val="0"/>
              <w:jc w:val="center"/>
              <w:rPr>
                <w:sz w:val="10"/>
                <w:szCs w:val="24"/>
              </w:rPr>
            </w:pPr>
          </w:p>
        </w:tc>
        <w:tc>
          <w:tcPr>
            <w:tcW w:w="2118" w:type="dxa"/>
            <w:tcBorders>
              <w:top w:val="single" w:color="auto" w:sz="4" w:space="0"/>
              <w:left w:val="single" w:color="auto" w:sz="4" w:space="0"/>
            </w:tcBorders>
            <w:shd w:val="clear" w:color="auto" w:fill="FFFFFF"/>
            <w:vAlign w:val="center"/>
          </w:tcPr>
          <w:p w14:paraId="52601BE5">
            <w:pPr>
              <w:pStyle w:val="97"/>
              <w:snapToGrid w:val="0"/>
              <w:jc w:val="center"/>
              <w:rPr>
                <w:sz w:val="10"/>
                <w:szCs w:val="24"/>
              </w:rPr>
            </w:pPr>
          </w:p>
        </w:tc>
        <w:tc>
          <w:tcPr>
            <w:tcW w:w="1415" w:type="dxa"/>
            <w:tcBorders>
              <w:top w:val="single" w:color="auto" w:sz="4" w:space="0"/>
              <w:left w:val="single" w:color="auto" w:sz="4" w:space="0"/>
              <w:right w:val="single" w:color="auto" w:sz="4" w:space="0"/>
            </w:tcBorders>
            <w:shd w:val="clear" w:color="auto" w:fill="FFFFFF"/>
            <w:vAlign w:val="center"/>
          </w:tcPr>
          <w:p w14:paraId="17E30671">
            <w:pPr>
              <w:pStyle w:val="97"/>
              <w:snapToGrid w:val="0"/>
              <w:jc w:val="center"/>
              <w:rPr>
                <w:sz w:val="10"/>
                <w:szCs w:val="24"/>
              </w:rPr>
            </w:pPr>
          </w:p>
        </w:tc>
      </w:tr>
      <w:tr w14:paraId="40D37E94">
        <w:tblPrEx>
          <w:tblCellMar>
            <w:top w:w="56" w:type="dxa"/>
            <w:left w:w="96" w:type="dxa"/>
            <w:bottom w:w="56" w:type="dxa"/>
            <w:right w:w="96" w:type="dxa"/>
          </w:tblCellMar>
        </w:tblPrEx>
        <w:trPr>
          <w:trHeight w:val="0" w:hRule="atLeast"/>
          <w:jc w:val="center"/>
        </w:trPr>
        <w:tc>
          <w:tcPr>
            <w:tcW w:w="1119" w:type="dxa"/>
            <w:tcBorders>
              <w:top w:val="single" w:color="auto" w:sz="4" w:space="0"/>
              <w:left w:val="single" w:color="auto" w:sz="4" w:space="0"/>
            </w:tcBorders>
            <w:shd w:val="clear" w:color="auto" w:fill="FFFFFF"/>
            <w:vAlign w:val="center"/>
          </w:tcPr>
          <w:p w14:paraId="797C467D">
            <w:pPr>
              <w:pStyle w:val="97"/>
              <w:snapToGrid w:val="0"/>
              <w:jc w:val="center"/>
              <w:rPr>
                <w:sz w:val="10"/>
                <w:szCs w:val="24"/>
              </w:rPr>
            </w:pPr>
          </w:p>
        </w:tc>
        <w:tc>
          <w:tcPr>
            <w:tcW w:w="2300" w:type="dxa"/>
            <w:tcBorders>
              <w:top w:val="single" w:color="auto" w:sz="4" w:space="0"/>
              <w:left w:val="single" w:color="auto" w:sz="4" w:space="0"/>
            </w:tcBorders>
            <w:shd w:val="clear" w:color="auto" w:fill="FFFFFF"/>
            <w:vAlign w:val="center"/>
          </w:tcPr>
          <w:p w14:paraId="52AB14D6">
            <w:pPr>
              <w:pStyle w:val="97"/>
              <w:snapToGrid w:val="0"/>
              <w:jc w:val="center"/>
              <w:rPr>
                <w:sz w:val="10"/>
                <w:szCs w:val="24"/>
              </w:rPr>
            </w:pPr>
          </w:p>
        </w:tc>
        <w:tc>
          <w:tcPr>
            <w:tcW w:w="2300" w:type="dxa"/>
            <w:tcBorders>
              <w:top w:val="single" w:color="auto" w:sz="4" w:space="0"/>
              <w:left w:val="single" w:color="auto" w:sz="4" w:space="0"/>
            </w:tcBorders>
            <w:shd w:val="clear" w:color="auto" w:fill="FFFFFF"/>
            <w:vAlign w:val="center"/>
          </w:tcPr>
          <w:p w14:paraId="1EF50B5C">
            <w:pPr>
              <w:pStyle w:val="97"/>
              <w:snapToGrid w:val="0"/>
              <w:jc w:val="center"/>
              <w:rPr>
                <w:sz w:val="10"/>
                <w:szCs w:val="24"/>
              </w:rPr>
            </w:pPr>
          </w:p>
        </w:tc>
        <w:tc>
          <w:tcPr>
            <w:tcW w:w="2118" w:type="dxa"/>
            <w:tcBorders>
              <w:top w:val="single" w:color="auto" w:sz="4" w:space="0"/>
              <w:left w:val="single" w:color="auto" w:sz="4" w:space="0"/>
            </w:tcBorders>
            <w:shd w:val="clear" w:color="auto" w:fill="FFFFFF"/>
            <w:vAlign w:val="center"/>
          </w:tcPr>
          <w:p w14:paraId="3227D623">
            <w:pPr>
              <w:pStyle w:val="97"/>
              <w:snapToGrid w:val="0"/>
              <w:jc w:val="center"/>
              <w:rPr>
                <w:sz w:val="10"/>
                <w:szCs w:val="24"/>
              </w:rPr>
            </w:pPr>
          </w:p>
        </w:tc>
        <w:tc>
          <w:tcPr>
            <w:tcW w:w="1415" w:type="dxa"/>
            <w:tcBorders>
              <w:top w:val="single" w:color="auto" w:sz="4" w:space="0"/>
              <w:left w:val="single" w:color="auto" w:sz="4" w:space="0"/>
              <w:right w:val="single" w:color="auto" w:sz="4" w:space="0"/>
            </w:tcBorders>
            <w:shd w:val="clear" w:color="auto" w:fill="FFFFFF"/>
            <w:vAlign w:val="center"/>
          </w:tcPr>
          <w:p w14:paraId="470DF031">
            <w:pPr>
              <w:pStyle w:val="97"/>
              <w:snapToGrid w:val="0"/>
              <w:jc w:val="center"/>
              <w:rPr>
                <w:sz w:val="10"/>
                <w:szCs w:val="24"/>
              </w:rPr>
            </w:pPr>
          </w:p>
        </w:tc>
      </w:tr>
      <w:tr w14:paraId="48E56030">
        <w:tblPrEx>
          <w:tblCellMar>
            <w:top w:w="56" w:type="dxa"/>
            <w:left w:w="96" w:type="dxa"/>
            <w:bottom w:w="56" w:type="dxa"/>
            <w:right w:w="96" w:type="dxa"/>
          </w:tblCellMar>
        </w:tblPrEx>
        <w:trPr>
          <w:trHeight w:val="0" w:hRule="atLeast"/>
          <w:jc w:val="center"/>
        </w:trPr>
        <w:tc>
          <w:tcPr>
            <w:tcW w:w="1119" w:type="dxa"/>
            <w:tcBorders>
              <w:top w:val="single" w:color="auto" w:sz="4" w:space="0"/>
              <w:left w:val="single" w:color="auto" w:sz="4" w:space="0"/>
            </w:tcBorders>
            <w:shd w:val="clear" w:color="auto" w:fill="FFFFFF"/>
            <w:vAlign w:val="center"/>
          </w:tcPr>
          <w:p w14:paraId="57A297F9">
            <w:pPr>
              <w:pStyle w:val="97"/>
              <w:snapToGrid w:val="0"/>
              <w:jc w:val="center"/>
              <w:rPr>
                <w:sz w:val="10"/>
                <w:szCs w:val="24"/>
              </w:rPr>
            </w:pPr>
          </w:p>
        </w:tc>
        <w:tc>
          <w:tcPr>
            <w:tcW w:w="2300" w:type="dxa"/>
            <w:tcBorders>
              <w:top w:val="single" w:color="auto" w:sz="4" w:space="0"/>
              <w:left w:val="single" w:color="auto" w:sz="4" w:space="0"/>
            </w:tcBorders>
            <w:shd w:val="clear" w:color="auto" w:fill="FFFFFF"/>
            <w:vAlign w:val="center"/>
          </w:tcPr>
          <w:p w14:paraId="45044801">
            <w:pPr>
              <w:pStyle w:val="97"/>
              <w:snapToGrid w:val="0"/>
              <w:jc w:val="center"/>
              <w:rPr>
                <w:sz w:val="10"/>
                <w:szCs w:val="24"/>
              </w:rPr>
            </w:pPr>
          </w:p>
        </w:tc>
        <w:tc>
          <w:tcPr>
            <w:tcW w:w="2300" w:type="dxa"/>
            <w:tcBorders>
              <w:top w:val="single" w:color="auto" w:sz="4" w:space="0"/>
              <w:left w:val="single" w:color="auto" w:sz="4" w:space="0"/>
            </w:tcBorders>
            <w:shd w:val="clear" w:color="auto" w:fill="FFFFFF"/>
            <w:vAlign w:val="center"/>
          </w:tcPr>
          <w:p w14:paraId="0BFC2F9B">
            <w:pPr>
              <w:pStyle w:val="97"/>
              <w:snapToGrid w:val="0"/>
              <w:jc w:val="center"/>
              <w:rPr>
                <w:sz w:val="10"/>
                <w:szCs w:val="24"/>
              </w:rPr>
            </w:pPr>
          </w:p>
        </w:tc>
        <w:tc>
          <w:tcPr>
            <w:tcW w:w="2118" w:type="dxa"/>
            <w:tcBorders>
              <w:top w:val="single" w:color="auto" w:sz="4" w:space="0"/>
              <w:left w:val="single" w:color="auto" w:sz="4" w:space="0"/>
            </w:tcBorders>
            <w:shd w:val="clear" w:color="auto" w:fill="FFFFFF"/>
            <w:vAlign w:val="center"/>
          </w:tcPr>
          <w:p w14:paraId="6942EAC3">
            <w:pPr>
              <w:pStyle w:val="97"/>
              <w:snapToGrid w:val="0"/>
              <w:jc w:val="center"/>
              <w:rPr>
                <w:sz w:val="10"/>
                <w:szCs w:val="24"/>
              </w:rPr>
            </w:pPr>
          </w:p>
        </w:tc>
        <w:tc>
          <w:tcPr>
            <w:tcW w:w="1415" w:type="dxa"/>
            <w:tcBorders>
              <w:top w:val="single" w:color="auto" w:sz="4" w:space="0"/>
              <w:left w:val="single" w:color="auto" w:sz="4" w:space="0"/>
              <w:right w:val="single" w:color="auto" w:sz="4" w:space="0"/>
            </w:tcBorders>
            <w:shd w:val="clear" w:color="auto" w:fill="FFFFFF"/>
            <w:vAlign w:val="center"/>
          </w:tcPr>
          <w:p w14:paraId="41A15E16">
            <w:pPr>
              <w:pStyle w:val="97"/>
              <w:snapToGrid w:val="0"/>
              <w:jc w:val="center"/>
              <w:rPr>
                <w:sz w:val="10"/>
                <w:szCs w:val="24"/>
              </w:rPr>
            </w:pPr>
          </w:p>
        </w:tc>
      </w:tr>
      <w:tr w14:paraId="3C8E855E">
        <w:tblPrEx>
          <w:tblCellMar>
            <w:top w:w="56" w:type="dxa"/>
            <w:left w:w="96" w:type="dxa"/>
            <w:bottom w:w="56" w:type="dxa"/>
            <w:right w:w="96" w:type="dxa"/>
          </w:tblCellMar>
        </w:tblPrEx>
        <w:trPr>
          <w:trHeight w:val="0" w:hRule="atLeast"/>
          <w:jc w:val="center"/>
        </w:trPr>
        <w:tc>
          <w:tcPr>
            <w:tcW w:w="1119" w:type="dxa"/>
            <w:tcBorders>
              <w:top w:val="single" w:color="auto" w:sz="4" w:space="0"/>
              <w:left w:val="single" w:color="auto" w:sz="4" w:space="0"/>
              <w:bottom w:val="single" w:color="auto" w:sz="4" w:space="0"/>
            </w:tcBorders>
            <w:shd w:val="clear" w:color="auto" w:fill="FFFFFF"/>
            <w:vAlign w:val="center"/>
          </w:tcPr>
          <w:p w14:paraId="09679E9E">
            <w:pPr>
              <w:pStyle w:val="97"/>
              <w:snapToGrid w:val="0"/>
              <w:jc w:val="center"/>
              <w:rPr>
                <w:sz w:val="10"/>
                <w:szCs w:val="24"/>
              </w:rPr>
            </w:pPr>
          </w:p>
        </w:tc>
        <w:tc>
          <w:tcPr>
            <w:tcW w:w="2300" w:type="dxa"/>
            <w:tcBorders>
              <w:top w:val="single" w:color="auto" w:sz="4" w:space="0"/>
              <w:left w:val="single" w:color="auto" w:sz="4" w:space="0"/>
              <w:bottom w:val="single" w:color="auto" w:sz="4" w:space="0"/>
            </w:tcBorders>
            <w:shd w:val="clear" w:color="auto" w:fill="FFFFFF"/>
            <w:vAlign w:val="center"/>
          </w:tcPr>
          <w:p w14:paraId="18EB1A4F">
            <w:pPr>
              <w:pStyle w:val="97"/>
              <w:snapToGrid w:val="0"/>
              <w:jc w:val="center"/>
              <w:rPr>
                <w:sz w:val="10"/>
                <w:szCs w:val="24"/>
              </w:rPr>
            </w:pPr>
          </w:p>
        </w:tc>
        <w:tc>
          <w:tcPr>
            <w:tcW w:w="2300" w:type="dxa"/>
            <w:tcBorders>
              <w:top w:val="single" w:color="auto" w:sz="4" w:space="0"/>
              <w:left w:val="single" w:color="auto" w:sz="4" w:space="0"/>
              <w:bottom w:val="single" w:color="auto" w:sz="4" w:space="0"/>
            </w:tcBorders>
            <w:shd w:val="clear" w:color="auto" w:fill="FFFFFF"/>
            <w:vAlign w:val="center"/>
          </w:tcPr>
          <w:p w14:paraId="775A8102">
            <w:pPr>
              <w:pStyle w:val="97"/>
              <w:snapToGrid w:val="0"/>
              <w:jc w:val="center"/>
              <w:rPr>
                <w:sz w:val="10"/>
                <w:szCs w:val="24"/>
              </w:rPr>
            </w:pPr>
          </w:p>
        </w:tc>
        <w:tc>
          <w:tcPr>
            <w:tcW w:w="2118" w:type="dxa"/>
            <w:tcBorders>
              <w:top w:val="single" w:color="auto" w:sz="4" w:space="0"/>
              <w:left w:val="single" w:color="auto" w:sz="4" w:space="0"/>
              <w:bottom w:val="single" w:color="auto" w:sz="4" w:space="0"/>
            </w:tcBorders>
            <w:shd w:val="clear" w:color="auto" w:fill="FFFFFF"/>
            <w:vAlign w:val="center"/>
          </w:tcPr>
          <w:p w14:paraId="0452B46E">
            <w:pPr>
              <w:pStyle w:val="97"/>
              <w:snapToGrid w:val="0"/>
              <w:jc w:val="center"/>
              <w:rPr>
                <w:sz w:val="10"/>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FFFFFF"/>
            <w:vAlign w:val="center"/>
          </w:tcPr>
          <w:p w14:paraId="41CEC634">
            <w:pPr>
              <w:pStyle w:val="97"/>
              <w:snapToGrid w:val="0"/>
              <w:jc w:val="center"/>
              <w:rPr>
                <w:sz w:val="10"/>
                <w:szCs w:val="24"/>
              </w:rPr>
            </w:pPr>
          </w:p>
        </w:tc>
      </w:tr>
    </w:tbl>
    <w:p w14:paraId="4563A705">
      <w:pPr>
        <w:pStyle w:val="97"/>
        <w:ind w:firstLine="0" w:firstLineChars="0"/>
        <w:rPr>
          <w:rFonts w:hint="eastAsia" w:asciiTheme="minorEastAsia" w:hAnsiTheme="minorEastAsia" w:eastAsiaTheme="minorEastAsia" w:cstheme="minorEastAsia"/>
          <w:lang w:val="en-US" w:eastAsia="zh-CN"/>
        </w:rPr>
      </w:pPr>
    </w:p>
    <w:p w14:paraId="3CB47CA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备注分为以下情况请对应填写</w:t>
      </w:r>
      <w:r>
        <w:rPr>
          <w:rFonts w:hint="eastAsia" w:asciiTheme="minorEastAsia" w:hAnsiTheme="minorEastAsia" w:cstheme="minorEastAsia"/>
          <w:b/>
          <w:bCs/>
          <w:kern w:val="2"/>
          <w:sz w:val="24"/>
          <w:szCs w:val="24"/>
          <w:lang w:val="en-US" w:eastAsia="zh-CN" w:bidi="ar-SA"/>
        </w:rPr>
        <w:t>（按自身情况选择一种）</w:t>
      </w:r>
      <w:r>
        <w:rPr>
          <w:rFonts w:hint="eastAsia" w:asciiTheme="minorEastAsia" w:hAnsiTheme="minorEastAsia" w:eastAsiaTheme="minorEastAsia" w:cstheme="minorEastAsia"/>
          <w:b/>
          <w:bCs/>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1、我公司已逐条对招标文件的清单及其技术条款进行分析，完全响应招标文件要求并有部分正偏离。2、我公司已逐条对招标文件的清单及其技术条款进行分析，完全响应招标文件要求。3、我公司已逐条对招标文件的清单及其技术条款进行分析，部分响应招标文件要求，有部分负偏离。</w:t>
      </w:r>
    </w:p>
    <w:p w14:paraId="2E59B931">
      <w:pPr>
        <w:pStyle w:val="97"/>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 xml:space="preserve"> 投标人：</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color w:val="000000"/>
          <w:spacing w:val="0"/>
          <w:w w:val="100"/>
          <w:position w:val="0"/>
          <w:sz w:val="24"/>
          <w:szCs w:val="24"/>
          <w:u w:val="none"/>
        </w:rPr>
        <w:t>（盖章）</w:t>
      </w:r>
    </w:p>
    <w:p w14:paraId="11220AB8">
      <w:pPr>
        <w:pStyle w:val="97"/>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lang w:eastAsia="zh-CN"/>
        </w:rPr>
        <w:t>法定代表人</w:t>
      </w:r>
      <w:r>
        <w:rPr>
          <w:rFonts w:hint="eastAsia" w:asciiTheme="minorEastAsia" w:hAnsiTheme="minorEastAsia" w:eastAsiaTheme="minorEastAsia" w:cstheme="minorEastAsia"/>
          <w:color w:val="000000"/>
          <w:spacing w:val="0"/>
          <w:w w:val="100"/>
          <w:position w:val="0"/>
          <w:sz w:val="24"/>
          <w:szCs w:val="24"/>
        </w:rPr>
        <w:t>或其授权人：</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color w:val="000000"/>
          <w:spacing w:val="0"/>
          <w:w w:val="100"/>
          <w:position w:val="0"/>
          <w:sz w:val="24"/>
          <w:szCs w:val="24"/>
          <w:u w:val="none"/>
        </w:rPr>
        <w:t>（签字）</w:t>
      </w:r>
    </w:p>
    <w:p w14:paraId="2EB5DC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color w:val="000000"/>
          <w:spacing w:val="0"/>
          <w:w w:val="100"/>
          <w:position w:val="0"/>
          <w:sz w:val="24"/>
          <w:szCs w:val="24"/>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日期：</w:t>
      </w:r>
      <w:r>
        <w:rPr>
          <w:rFonts w:hint="eastAsia" w:asciiTheme="minorEastAsia" w:hAnsiTheme="minorEastAsia" w:eastAsiaTheme="minorEastAsia" w:cstheme="minorEastAsia"/>
          <w:color w:val="000000"/>
          <w:spacing w:val="0"/>
          <w:w w:val="100"/>
          <w:position w:val="0"/>
          <w:sz w:val="24"/>
          <w:szCs w:val="24"/>
          <w:lang w:val="en-US"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color w:val="000000"/>
          <w:spacing w:val="0"/>
          <w:w w:val="100"/>
          <w:position w:val="0"/>
          <w:sz w:val="24"/>
          <w:szCs w:val="24"/>
        </w:rPr>
        <w:t>年</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color w:val="000000"/>
          <w:spacing w:val="0"/>
          <w:w w:val="100"/>
          <w:position w:val="0"/>
          <w:sz w:val="24"/>
          <w:szCs w:val="24"/>
        </w:rPr>
        <w:t>月</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rPr>
        <w:tab/>
      </w:r>
      <w:r>
        <w:rPr>
          <w:rFonts w:hint="eastAsia" w:asciiTheme="minorEastAsia" w:hAnsiTheme="minorEastAsia" w:eastAsiaTheme="minorEastAsia" w:cstheme="minorEastAsia"/>
          <w:sz w:val="24"/>
          <w:szCs w:val="24"/>
          <w:u w:val="none"/>
          <w:lang w:val="en-US" w:eastAsia="zh-CN"/>
        </w:rPr>
        <w:t xml:space="preserve">   日</w:t>
      </w:r>
    </w:p>
    <w:p w14:paraId="5E0BFB1B">
      <w:pPr>
        <w:ind w:firstLine="480" w:firstLineChars="200"/>
        <w:jc w:val="right"/>
        <w:rPr>
          <w:rFonts w:hint="eastAsia" w:asciiTheme="minorEastAsia" w:hAnsiTheme="minorEastAsia" w:eastAsiaTheme="minorEastAsia" w:cstheme="minorEastAsia"/>
          <w:sz w:val="24"/>
          <w:szCs w:val="24"/>
          <w:u w:val="none"/>
        </w:rPr>
      </w:pPr>
    </w:p>
    <w:p w14:paraId="59C60B97">
      <w:pPr>
        <w:ind w:firstLine="480" w:firstLineChars="200"/>
        <w:jc w:val="right"/>
        <w:rPr>
          <w:rFonts w:hint="eastAsia" w:asciiTheme="minorEastAsia" w:hAnsiTheme="minorEastAsia" w:eastAsiaTheme="minorEastAsia" w:cstheme="minorEastAsia"/>
          <w:sz w:val="24"/>
          <w:szCs w:val="24"/>
          <w:u w:val="none"/>
        </w:rPr>
      </w:pPr>
    </w:p>
    <w:p w14:paraId="5519027B">
      <w:pPr>
        <w:ind w:firstLine="480" w:firstLineChars="200"/>
        <w:jc w:val="right"/>
        <w:rPr>
          <w:rFonts w:hint="eastAsia" w:asciiTheme="minorEastAsia" w:hAnsiTheme="minorEastAsia" w:eastAsiaTheme="minorEastAsia" w:cstheme="minorEastAsia"/>
          <w:sz w:val="24"/>
          <w:szCs w:val="24"/>
          <w:u w:val="none"/>
        </w:rPr>
      </w:pPr>
    </w:p>
    <w:p w14:paraId="204D406C">
      <w:pPr>
        <w:ind w:firstLine="480" w:firstLineChars="200"/>
        <w:jc w:val="right"/>
        <w:rPr>
          <w:rFonts w:hint="eastAsia" w:asciiTheme="minorEastAsia" w:hAnsiTheme="minorEastAsia" w:eastAsiaTheme="minorEastAsia" w:cstheme="minorEastAsia"/>
          <w:sz w:val="24"/>
          <w:szCs w:val="24"/>
          <w:u w:val="none"/>
        </w:rPr>
      </w:pPr>
    </w:p>
    <w:p w14:paraId="389A5122">
      <w:pPr>
        <w:ind w:firstLine="480" w:firstLineChars="200"/>
        <w:jc w:val="right"/>
        <w:rPr>
          <w:rFonts w:hint="eastAsia" w:asciiTheme="minorEastAsia" w:hAnsiTheme="minorEastAsia" w:eastAsiaTheme="minorEastAsia" w:cstheme="minorEastAsia"/>
          <w:sz w:val="24"/>
          <w:szCs w:val="24"/>
          <w:u w:val="none"/>
        </w:rPr>
      </w:pPr>
    </w:p>
    <w:bookmarkEnd w:id="274"/>
    <w:bookmarkEnd w:id="275"/>
    <w:bookmarkEnd w:id="276"/>
    <w:bookmarkEnd w:id="277"/>
    <w:p w14:paraId="7C8CC8DC">
      <w:pPr>
        <w:pStyle w:val="5"/>
        <w:pageBreakBefore w:val="0"/>
        <w:widowControl w:val="0"/>
        <w:numPr>
          <w:ilvl w:val="2"/>
          <w:numId w:val="0"/>
        </w:numPr>
        <w:kinsoku/>
        <w:wordWrap/>
        <w:overflowPunct/>
        <w:topLinePunct w:val="0"/>
        <w:bidi w:val="0"/>
        <w:snapToGrid/>
        <w:spacing w:line="360" w:lineRule="auto"/>
        <w:ind w:firstLine="1928" w:firstLineChars="800"/>
        <w:jc w:val="both"/>
        <w:textAlignment w:val="auto"/>
        <w:outlineLvl w:val="9"/>
        <w:rPr>
          <w:rFonts w:hint="eastAsia" w:asciiTheme="minorEastAsia" w:hAnsiTheme="minorEastAsia" w:eastAsiaTheme="minorEastAsia" w:cstheme="minorEastAsia"/>
          <w:b/>
          <w:bCs w:val="0"/>
          <w:sz w:val="24"/>
          <w:szCs w:val="24"/>
          <w:shd w:val="clear" w:color="auto" w:fill="FFFFFF"/>
          <w:lang w:eastAsia="zh-CN"/>
        </w:rPr>
      </w:pPr>
      <w:r>
        <w:rPr>
          <w:rFonts w:hint="eastAsia" w:asciiTheme="minorEastAsia" w:hAnsiTheme="minorEastAsia" w:eastAsiaTheme="minorEastAsia" w:cstheme="minorEastAsia"/>
          <w:b/>
          <w:bCs w:val="0"/>
          <w:sz w:val="24"/>
          <w:szCs w:val="24"/>
          <w:shd w:val="clear" w:color="auto" w:fill="FFFFFF"/>
          <w:lang w:eastAsia="zh-CN"/>
        </w:rPr>
        <w:t>（</w:t>
      </w:r>
      <w:r>
        <w:rPr>
          <w:rFonts w:hint="eastAsia" w:asciiTheme="minorEastAsia" w:hAnsiTheme="minorEastAsia" w:eastAsiaTheme="minorEastAsia" w:cstheme="minorEastAsia"/>
          <w:b/>
          <w:bCs w:val="0"/>
          <w:sz w:val="24"/>
          <w:szCs w:val="24"/>
          <w:shd w:val="clear" w:color="auto" w:fill="FFFFFF"/>
          <w:lang w:val="en-US" w:eastAsia="zh-CN"/>
        </w:rPr>
        <w:t>三</w:t>
      </w:r>
      <w:r>
        <w:rPr>
          <w:rFonts w:hint="eastAsia" w:asciiTheme="minorEastAsia" w:hAnsiTheme="minorEastAsia" w:eastAsiaTheme="minorEastAsia" w:cstheme="minorEastAsia"/>
          <w:b/>
          <w:bCs w:val="0"/>
          <w:sz w:val="24"/>
          <w:szCs w:val="24"/>
          <w:shd w:val="clear" w:color="auto" w:fill="FFFFFF"/>
          <w:lang w:eastAsia="zh-CN"/>
        </w:rPr>
        <w:t>）售前售后服务及质保承诺</w:t>
      </w:r>
    </w:p>
    <w:p w14:paraId="42A050D0">
      <w:pPr>
        <w:pageBreakBefore w:val="0"/>
        <w:widowControl w:val="0"/>
        <w:kinsoku/>
        <w:wordWrap/>
        <w:overflowPunct/>
        <w:topLinePunct w:val="0"/>
        <w:autoSpaceDE w:val="0"/>
        <w:autoSpaceDN w:val="0"/>
        <w:bidi w:val="0"/>
        <w:adjustRightInd w:val="0"/>
        <w:snapToGrid/>
        <w:spacing w:line="360" w:lineRule="auto"/>
        <w:ind w:right="-112" w:firstLine="48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售前售后及质保承诺书中必须对售前的技术支持与配合、</w:t>
      </w:r>
      <w:r>
        <w:rPr>
          <w:rFonts w:hint="eastAsia" w:asciiTheme="minorEastAsia" w:hAnsiTheme="minorEastAsia" w:eastAsiaTheme="minorEastAsia" w:cstheme="minorEastAsia"/>
          <w:sz w:val="24"/>
          <w:szCs w:val="24"/>
          <w:lang w:val="en-US" w:eastAsia="zh-CN"/>
        </w:rPr>
        <w:t>签订采购合同、询比价及时性</w:t>
      </w:r>
      <w:r>
        <w:rPr>
          <w:rFonts w:hint="eastAsia" w:asciiTheme="minorEastAsia" w:hAnsiTheme="minorEastAsia" w:eastAsiaTheme="minorEastAsia" w:cstheme="minorEastAsia"/>
          <w:sz w:val="24"/>
          <w:szCs w:val="24"/>
          <w:lang w:eastAsia="zh-CN"/>
        </w:rPr>
        <w:t>，售后的响应及时性、</w:t>
      </w:r>
      <w:r>
        <w:rPr>
          <w:rFonts w:hint="eastAsia" w:asciiTheme="minorEastAsia" w:hAnsiTheme="minorEastAsia" w:eastAsiaTheme="minorEastAsia" w:cstheme="minorEastAsia"/>
          <w:sz w:val="24"/>
          <w:szCs w:val="24"/>
          <w:lang w:val="en-US" w:eastAsia="zh-CN"/>
        </w:rPr>
        <w:t>产品的交付时间、</w:t>
      </w:r>
      <w:r>
        <w:rPr>
          <w:rFonts w:hint="eastAsia" w:asciiTheme="minorEastAsia" w:hAnsiTheme="minorEastAsia" w:eastAsiaTheme="minorEastAsia" w:cstheme="minorEastAsia"/>
          <w:sz w:val="24"/>
          <w:szCs w:val="24"/>
          <w:lang w:eastAsia="zh-CN"/>
        </w:rPr>
        <w:t>质保期</w:t>
      </w:r>
      <w:r>
        <w:rPr>
          <w:rFonts w:hint="eastAsia" w:asciiTheme="minorEastAsia" w:hAnsiTheme="minorEastAsia" w:eastAsiaTheme="minorEastAsia" w:cstheme="minorEastAsia"/>
          <w:sz w:val="24"/>
          <w:szCs w:val="24"/>
          <w:lang w:val="en-US" w:eastAsia="zh-CN"/>
        </w:rPr>
        <w:t>以</w:t>
      </w:r>
      <w:r>
        <w:rPr>
          <w:rFonts w:hint="eastAsia" w:asciiTheme="minorEastAsia" w:hAnsiTheme="minorEastAsia" w:eastAsiaTheme="minorEastAsia" w:cstheme="minorEastAsia"/>
          <w:sz w:val="24"/>
          <w:szCs w:val="24"/>
          <w:lang w:eastAsia="zh-CN"/>
        </w:rPr>
        <w:t>外的收费情况，质保期情况等进行明确阐述。如在合作中发现技术支持不到位，将取消供应商资格，且列入重庆院不诚信合作单位，取消后续所有投标资格。</w:t>
      </w:r>
    </w:p>
    <w:p w14:paraId="6307647B">
      <w:pPr>
        <w:pageBreakBefore w:val="0"/>
        <w:widowControl w:val="0"/>
        <w:kinsoku/>
        <w:wordWrap/>
        <w:overflowPunct/>
        <w:topLinePunct w:val="0"/>
        <w:autoSpaceDE w:val="0"/>
        <w:autoSpaceDN w:val="0"/>
        <w:bidi w:val="0"/>
        <w:adjustRightInd w:val="0"/>
        <w:snapToGrid/>
        <w:spacing w:line="360" w:lineRule="auto"/>
        <w:ind w:right="-112" w:firstLine="1446" w:firstLineChars="6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【需提供售前售后承诺书，并加盖投标人</w:t>
      </w:r>
      <w:r>
        <w:rPr>
          <w:rFonts w:hint="eastAsia" w:asciiTheme="minorEastAsia" w:hAnsiTheme="minorEastAsia" w:eastAsiaTheme="minorEastAsia" w:cstheme="minorEastAsia"/>
          <w:b/>
          <w:bCs/>
          <w:sz w:val="24"/>
          <w:szCs w:val="24"/>
          <w:lang w:val="en-US" w:eastAsia="zh-CN"/>
        </w:rPr>
        <w:t>单位</w:t>
      </w:r>
      <w:r>
        <w:rPr>
          <w:rFonts w:hint="eastAsia" w:asciiTheme="minorEastAsia" w:hAnsiTheme="minorEastAsia" w:eastAsiaTheme="minorEastAsia" w:cstheme="minorEastAsia"/>
          <w:b/>
          <w:bCs/>
          <w:sz w:val="24"/>
          <w:szCs w:val="24"/>
          <w:lang w:eastAsia="zh-CN"/>
        </w:rPr>
        <w:t>鲜章】</w:t>
      </w:r>
    </w:p>
    <w:p w14:paraId="7E30B749">
      <w:pPr>
        <w:pageBreakBefore w:val="0"/>
        <w:widowControl w:val="0"/>
        <w:kinsoku/>
        <w:wordWrap/>
        <w:overflowPunct/>
        <w:topLinePunct w:val="0"/>
        <w:autoSpaceDE w:val="0"/>
        <w:autoSpaceDN w:val="0"/>
        <w:bidi w:val="0"/>
        <w:adjustRightInd w:val="0"/>
        <w:snapToGrid/>
        <w:spacing w:line="360" w:lineRule="auto"/>
        <w:ind w:right="-112" w:firstLine="482"/>
        <w:textAlignment w:val="auto"/>
        <w:rPr>
          <w:rFonts w:hint="eastAsia" w:asciiTheme="minorEastAsia" w:hAnsiTheme="minorEastAsia" w:eastAsiaTheme="minorEastAsia" w:cstheme="minorEastAsia"/>
          <w:b/>
          <w:bCs/>
          <w:sz w:val="24"/>
          <w:szCs w:val="24"/>
          <w:lang w:eastAsia="zh-CN"/>
        </w:rPr>
      </w:pPr>
    </w:p>
    <w:p w14:paraId="78041B01">
      <w:pPr>
        <w:pageBreakBefore w:val="0"/>
        <w:widowControl w:val="0"/>
        <w:kinsoku/>
        <w:wordWrap/>
        <w:overflowPunct/>
        <w:topLinePunct w:val="0"/>
        <w:autoSpaceDE/>
        <w:autoSpaceDN/>
        <w:bidi w:val="0"/>
        <w:adjustRightInd/>
        <w:snapToGrid/>
        <w:spacing w:line="360" w:lineRule="auto"/>
        <w:ind w:right="0" w:firstLine="3840" w:firstLineChars="16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结束</w:t>
      </w:r>
      <w:r>
        <w:rPr>
          <w:rFonts w:hint="eastAsia" w:asciiTheme="minorEastAsia" w:hAnsiTheme="minorEastAsia" w:eastAsiaTheme="minorEastAsia" w:cstheme="minorEastAsia"/>
          <w:sz w:val="24"/>
          <w:szCs w:val="24"/>
          <w:highlight w:val="none"/>
          <w:lang w:eastAsia="zh-CN"/>
        </w:rPr>
        <w:t>）</w:t>
      </w: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70">
      <wne:acd wne:acdName="acd0"/>
    </wne:keymap>
    <wne:keymap wne:kcmPrimary="0471">
      <wne:acd wne:acdName="acd1"/>
    </wne:keymap>
    <wne:keymap wne:kcmPrimary="0472">
      <wne:acd wne:acdName="acd2"/>
    </wne:keymap>
  </wne:keymaps>
  <wne:acds>
    <wne:acd wne:argValue="AQAAAAEA" wne:acdName="acd0" wne:fciIndexBasedOn="0065"/>
    <wne:acd wne:argValue="AQAAAAIA" wne:acdName="acd1" wne:fciIndexBasedOn="0065"/>
    <wne:acd wne:argValue="AQAAAAM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avid">
    <w:altName w:val="Segoe Print"/>
    <w:panose1 w:val="00000000000000000000"/>
    <w:charset w:val="B1"/>
    <w:family w:val="swiss"/>
    <w:pitch w:val="default"/>
    <w:sig w:usb0="00000000" w:usb1="00000000" w:usb2="00000000" w:usb3="00000000" w:csb0="0000002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4869">
    <w:pPr>
      <w:pStyle w:val="55"/>
      <w:ind w:firstLine="360"/>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D220D">
                          <w:pPr>
                            <w:pStyle w:val="5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22D220D">
                    <w:pPr>
                      <w:pStyle w:val="55"/>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6E4AF">
    <w:pPr>
      <w:pStyle w:val="5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13FF">
    <w:pPr>
      <w:pStyle w:val="55"/>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DC61">
    <w:pPr>
      <w:pStyle w:val="55"/>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76E9A">
                          <w:pPr>
                            <w:pStyle w:val="55"/>
                            <w:rPr>
                              <w:rFonts w:hint="default" w:eastAsia="宋体"/>
                              <w:lang w:val="en-US" w:eastAsia="zh-CN"/>
                            </w:rPr>
                          </w:pP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376E9A">
                    <w:pPr>
                      <w:pStyle w:val="55"/>
                      <w:rPr>
                        <w:rFonts w:hint="default" w:eastAsia="宋体"/>
                        <w:lang w:val="en-US" w:eastAsia="zh-CN"/>
                      </w:rPr>
                    </w:pP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E4DF7">
    <w:pPr>
      <w:pStyle w:val="5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E664">
    <w:pPr>
      <w:pStyle w:val="5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4288A">
                          <w:pPr>
                            <w:pStyle w:val="55"/>
                            <w:rPr>
                              <w:rFonts w:hint="default" w:eastAsia="宋体"/>
                              <w:lang w:val="en-US" w:eastAsia="zh-CN"/>
                            </w:rPr>
                          </w:pPr>
                          <w:r>
                            <w:fldChar w:fldCharType="begin"/>
                          </w:r>
                          <w:r>
                            <w:instrText xml:space="preserve"> PAGE  \* MERGEFORMAT </w:instrText>
                          </w:r>
                          <w:r>
                            <w:fldChar w:fldCharType="separate"/>
                          </w:r>
                          <w:r>
                            <w:t>44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E04288A">
                    <w:pPr>
                      <w:pStyle w:val="55"/>
                      <w:rPr>
                        <w:rFonts w:hint="default" w:eastAsia="宋体"/>
                        <w:lang w:val="en-US" w:eastAsia="zh-CN"/>
                      </w:rPr>
                    </w:pPr>
                    <w:r>
                      <w:fldChar w:fldCharType="begin"/>
                    </w:r>
                    <w:r>
                      <w:instrText xml:space="preserve"> PAGE  \* MERGEFORMAT </w:instrText>
                    </w:r>
                    <w:r>
                      <w:fldChar w:fldCharType="separate"/>
                    </w:r>
                    <w:r>
                      <w:t>44</w:t>
                    </w:r>
                    <w:r>
                      <w:fldChar w:fldCharType="end"/>
                    </w:r>
                    <w:r>
                      <w:t xml:space="preserve"> </w:t>
                    </w:r>
                  </w:p>
                </w:txbxContent>
              </v:textbox>
            </v:shape>
          </w:pict>
        </mc:Fallback>
      </mc:AlternateContent>
    </w:r>
  </w:p>
  <w:p w14:paraId="1EACBA29">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F0D7A">
    <w:pPr>
      <w:pStyle w:val="5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67E6">
    <w:pPr>
      <w:pStyle w:val="5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7451">
    <w:pPr>
      <w:pStyle w:val="57"/>
      <w:spacing w:line="240" w:lineRule="auto"/>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F8DCE"/>
    <w:multiLevelType w:val="multilevel"/>
    <w:tmpl w:val="83FF8DCE"/>
    <w:lvl w:ilvl="0" w:tentative="0">
      <w:start w:val="1"/>
      <w:numFmt w:val="decimal"/>
      <w:lvlText w:val="6.%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2">
    <w:nsid w:val="99270BE7"/>
    <w:multiLevelType w:val="singleLevel"/>
    <w:tmpl w:val="99270BE7"/>
    <w:lvl w:ilvl="0" w:tentative="0">
      <w:start w:val="1"/>
      <w:numFmt w:val="decimal"/>
      <w:lvlText w:val="(%1)"/>
      <w:lvlJc w:val="left"/>
      <w:pPr>
        <w:ind w:left="425" w:hanging="425"/>
      </w:pPr>
      <w:rPr>
        <w:rFonts w:hint="default"/>
      </w:rPr>
    </w:lvl>
  </w:abstractNum>
  <w:abstractNum w:abstractNumId="3">
    <w:nsid w:val="9E2BCB7C"/>
    <w:multiLevelType w:val="singleLevel"/>
    <w:tmpl w:val="9E2BCB7C"/>
    <w:lvl w:ilvl="0" w:tentative="0">
      <w:start w:val="1"/>
      <w:numFmt w:val="decimal"/>
      <w:lvlText w:val="(%1)"/>
      <w:lvlJc w:val="left"/>
      <w:pPr>
        <w:ind w:left="425" w:hanging="425"/>
      </w:pPr>
      <w:rPr>
        <w:rFonts w:hint="default"/>
      </w:rPr>
    </w:lvl>
  </w:abstractNum>
  <w:abstractNum w:abstractNumId="4">
    <w:nsid w:val="A17577F3"/>
    <w:multiLevelType w:val="singleLevel"/>
    <w:tmpl w:val="A17577F3"/>
    <w:lvl w:ilvl="0" w:tentative="0">
      <w:start w:val="1"/>
      <w:numFmt w:val="decimal"/>
      <w:lvlText w:val="5.%1"/>
      <w:lvlJc w:val="left"/>
      <w:pPr>
        <w:tabs>
          <w:tab w:val="left" w:pos="397"/>
        </w:tabs>
        <w:ind w:left="0" w:firstLine="397"/>
      </w:pPr>
      <w:rPr>
        <w:rFonts w:hint="default"/>
      </w:rPr>
    </w:lvl>
  </w:abstractNum>
  <w:abstractNum w:abstractNumId="5">
    <w:nsid w:val="A357F49F"/>
    <w:multiLevelType w:val="singleLevel"/>
    <w:tmpl w:val="A357F49F"/>
    <w:lvl w:ilvl="0" w:tentative="0">
      <w:start w:val="1"/>
      <w:numFmt w:val="decimal"/>
      <w:lvlText w:val="%1、"/>
      <w:lvlJc w:val="left"/>
      <w:pPr>
        <w:tabs>
          <w:tab w:val="left" w:pos="420"/>
        </w:tabs>
        <w:ind w:left="425" w:hanging="425"/>
      </w:pPr>
      <w:rPr>
        <w:rFonts w:hint="default"/>
      </w:rPr>
    </w:lvl>
  </w:abstractNum>
  <w:abstractNum w:abstractNumId="6">
    <w:nsid w:val="B26A4F9E"/>
    <w:multiLevelType w:val="singleLevel"/>
    <w:tmpl w:val="B26A4F9E"/>
    <w:lvl w:ilvl="0" w:tentative="0">
      <w:start w:val="2"/>
      <w:numFmt w:val="chineseCounting"/>
      <w:suff w:val="nothing"/>
      <w:lvlText w:val="%1、"/>
      <w:lvlJc w:val="left"/>
      <w:rPr>
        <w:rFonts w:hint="eastAsia"/>
        <w:sz w:val="24"/>
        <w:szCs w:val="24"/>
      </w:rPr>
    </w:lvl>
  </w:abstractNum>
  <w:abstractNum w:abstractNumId="7">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8">
    <w:nsid w:val="DD8F0F26"/>
    <w:multiLevelType w:val="singleLevel"/>
    <w:tmpl w:val="DD8F0F26"/>
    <w:lvl w:ilvl="0" w:tentative="0">
      <w:start w:val="1"/>
      <w:numFmt w:val="decimal"/>
      <w:suff w:val="space"/>
      <w:lvlText w:val="%1."/>
      <w:lvlJc w:val="left"/>
    </w:lvl>
  </w:abstractNum>
  <w:abstractNum w:abstractNumId="9">
    <w:nsid w:val="E7E5E147"/>
    <w:multiLevelType w:val="singleLevel"/>
    <w:tmpl w:val="E7E5E147"/>
    <w:lvl w:ilvl="0" w:tentative="0">
      <w:start w:val="8"/>
      <w:numFmt w:val="chineseCounting"/>
      <w:suff w:val="nothing"/>
      <w:lvlText w:val="（%1）"/>
      <w:lvlJc w:val="left"/>
      <w:rPr>
        <w:rFonts w:hint="eastAsia"/>
      </w:rPr>
    </w:lvl>
  </w:abstractNum>
  <w:abstractNum w:abstractNumId="10">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11">
    <w:nsid w:val="F5CA2BA1"/>
    <w:multiLevelType w:val="singleLevel"/>
    <w:tmpl w:val="F5CA2BA1"/>
    <w:lvl w:ilvl="0" w:tentative="0">
      <w:start w:val="3"/>
      <w:numFmt w:val="chineseCounting"/>
      <w:suff w:val="space"/>
      <w:lvlText w:val="第%1章"/>
      <w:lvlJc w:val="left"/>
      <w:rPr>
        <w:rFonts w:hint="eastAsia"/>
      </w:rPr>
    </w:lvl>
  </w:abstractNum>
  <w:abstractNum w:abstractNumId="12">
    <w:nsid w:val="F7EBD328"/>
    <w:multiLevelType w:val="singleLevel"/>
    <w:tmpl w:val="F7EBD328"/>
    <w:lvl w:ilvl="0" w:tentative="0">
      <w:start w:val="1"/>
      <w:numFmt w:val="chineseCounting"/>
      <w:suff w:val="nothing"/>
      <w:lvlText w:val="第%1条 "/>
      <w:lvlJc w:val="left"/>
      <w:pPr>
        <w:ind w:left="0" w:firstLine="420"/>
      </w:pPr>
      <w:rPr>
        <w:rFonts w:hint="eastAsia"/>
      </w:rPr>
    </w:lvl>
  </w:abstractNum>
  <w:abstractNum w:abstractNumId="13">
    <w:nsid w:val="F97F522A"/>
    <w:multiLevelType w:val="singleLevel"/>
    <w:tmpl w:val="F97F522A"/>
    <w:lvl w:ilvl="0" w:tentative="0">
      <w:start w:val="1"/>
      <w:numFmt w:val="decimal"/>
      <w:suff w:val="nothing"/>
      <w:lvlText w:val="%1．"/>
      <w:lvlJc w:val="left"/>
      <w:pPr>
        <w:ind w:left="0" w:firstLine="400"/>
      </w:pPr>
      <w:rPr>
        <w:rFonts w:hint="default"/>
      </w:rPr>
    </w:lvl>
  </w:abstractNum>
  <w:abstractNum w:abstractNumId="14">
    <w:nsid w:val="0F1D1A78"/>
    <w:multiLevelType w:val="singleLevel"/>
    <w:tmpl w:val="0F1D1A78"/>
    <w:lvl w:ilvl="0" w:tentative="0">
      <w:start w:val="5"/>
      <w:numFmt w:val="chineseCounting"/>
      <w:suff w:val="space"/>
      <w:lvlText w:val="第%1章"/>
      <w:lvlJc w:val="left"/>
      <w:rPr>
        <w:rFonts w:hint="eastAsia"/>
      </w:rPr>
    </w:lvl>
  </w:abstractNum>
  <w:abstractNum w:abstractNumId="15">
    <w:nsid w:val="119519FB"/>
    <w:multiLevelType w:val="multilevel"/>
    <w:tmpl w:val="119519FB"/>
    <w:lvl w:ilvl="0" w:tentative="0">
      <w:start w:val="1"/>
      <w:numFmt w:val="decimal"/>
      <w:lvlText w:val="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17">
    <w:nsid w:val="1A5BA0C0"/>
    <w:multiLevelType w:val="multilevel"/>
    <w:tmpl w:val="1A5BA0C0"/>
    <w:lvl w:ilvl="0" w:tentative="0">
      <w:start w:val="3"/>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1CD5ED5C"/>
    <w:multiLevelType w:val="singleLevel"/>
    <w:tmpl w:val="1CD5ED5C"/>
    <w:lvl w:ilvl="0" w:tentative="0">
      <w:start w:val="1"/>
      <w:numFmt w:val="decimal"/>
      <w:lvlText w:val="%1)"/>
      <w:lvlJc w:val="left"/>
      <w:pPr>
        <w:ind w:left="425" w:hanging="425"/>
      </w:pPr>
      <w:rPr>
        <w:rFonts w:hint="default"/>
      </w:rPr>
    </w:lvl>
  </w:abstractNum>
  <w:abstractNum w:abstractNumId="19">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20">
    <w:nsid w:val="22B69A3E"/>
    <w:multiLevelType w:val="singleLevel"/>
    <w:tmpl w:val="22B69A3E"/>
    <w:lvl w:ilvl="0" w:tentative="0">
      <w:start w:val="1"/>
      <w:numFmt w:val="decimal"/>
      <w:lvlText w:val="4.%1"/>
      <w:lvlJc w:val="left"/>
      <w:pPr>
        <w:tabs>
          <w:tab w:val="left" w:pos="397"/>
        </w:tabs>
        <w:ind w:left="0" w:firstLine="397"/>
      </w:pPr>
      <w:rPr>
        <w:rFonts w:hint="default"/>
      </w:rPr>
    </w:lvl>
  </w:abstractNum>
  <w:abstractNum w:abstractNumId="21">
    <w:nsid w:val="265D70ED"/>
    <w:multiLevelType w:val="singleLevel"/>
    <w:tmpl w:val="265D70ED"/>
    <w:lvl w:ilvl="0" w:tentative="0">
      <w:start w:val="1"/>
      <w:numFmt w:val="decimal"/>
      <w:lvlText w:val="(%1)"/>
      <w:lvlJc w:val="left"/>
      <w:pPr>
        <w:ind w:left="425" w:hanging="425"/>
      </w:pPr>
      <w:rPr>
        <w:rFonts w:hint="default"/>
      </w:rPr>
    </w:lvl>
  </w:abstractNum>
  <w:abstractNum w:abstractNumId="22">
    <w:nsid w:val="2FA69402"/>
    <w:multiLevelType w:val="singleLevel"/>
    <w:tmpl w:val="2FA69402"/>
    <w:lvl w:ilvl="0" w:tentative="0">
      <w:start w:val="1"/>
      <w:numFmt w:val="decimal"/>
      <w:suff w:val="nothing"/>
      <w:lvlText w:val="2.%1 "/>
      <w:lvlJc w:val="left"/>
      <w:pPr>
        <w:ind w:left="0" w:firstLine="420"/>
      </w:pPr>
      <w:rPr>
        <w:rFonts w:hint="default"/>
      </w:rPr>
    </w:lvl>
  </w:abstractNum>
  <w:abstractNum w:abstractNumId="23">
    <w:nsid w:val="311F5C8F"/>
    <w:multiLevelType w:val="singleLevel"/>
    <w:tmpl w:val="311F5C8F"/>
    <w:lvl w:ilvl="0" w:tentative="0">
      <w:start w:val="1"/>
      <w:numFmt w:val="decimal"/>
      <w:suff w:val="nothing"/>
      <w:lvlText w:val="%1、"/>
      <w:lvlJc w:val="left"/>
    </w:lvl>
  </w:abstractNum>
  <w:abstractNum w:abstractNumId="24">
    <w:nsid w:val="32354648"/>
    <w:multiLevelType w:val="multilevel"/>
    <w:tmpl w:val="32354648"/>
    <w:lvl w:ilvl="0" w:tentative="0">
      <w:start w:val="1"/>
      <w:numFmt w:val="decimal"/>
      <w:lvlText w:val="4.%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5">
    <w:nsid w:val="3BAE4746"/>
    <w:multiLevelType w:val="singleLevel"/>
    <w:tmpl w:val="3BAE4746"/>
    <w:lvl w:ilvl="0" w:tentative="0">
      <w:start w:val="1"/>
      <w:numFmt w:val="decimal"/>
      <w:lvlText w:val="(%1)"/>
      <w:lvlJc w:val="left"/>
      <w:pPr>
        <w:ind w:left="425" w:hanging="425"/>
      </w:pPr>
      <w:rPr>
        <w:rFonts w:hint="default"/>
      </w:rPr>
    </w:lvl>
  </w:abstractNum>
  <w:abstractNum w:abstractNumId="26">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27">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28">
    <w:nsid w:val="4331201D"/>
    <w:multiLevelType w:val="multilevel"/>
    <w:tmpl w:val="4331201D"/>
    <w:lvl w:ilvl="0" w:tentative="0">
      <w:start w:val="1"/>
      <w:numFmt w:val="decimal"/>
      <w:lvlText w:val="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9">
    <w:nsid w:val="46DCEDEF"/>
    <w:multiLevelType w:val="multilevel"/>
    <w:tmpl w:val="46DCEDEF"/>
    <w:lvl w:ilvl="0" w:tentative="0">
      <w:start w:val="1"/>
      <w:numFmt w:val="decimal"/>
      <w:lvlText w:val="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0">
    <w:nsid w:val="55078566"/>
    <w:multiLevelType w:val="singleLevel"/>
    <w:tmpl w:val="55078566"/>
    <w:lvl w:ilvl="0" w:tentative="0">
      <w:start w:val="1"/>
      <w:numFmt w:val="decimal"/>
      <w:lvlText w:val="6.%1"/>
      <w:lvlJc w:val="left"/>
      <w:pPr>
        <w:tabs>
          <w:tab w:val="left" w:pos="397"/>
        </w:tabs>
        <w:ind w:left="0" w:firstLine="397"/>
      </w:pPr>
      <w:rPr>
        <w:rFonts w:hint="default"/>
      </w:rPr>
    </w:lvl>
  </w:abstractNum>
  <w:abstractNum w:abstractNumId="31">
    <w:nsid w:val="58F7986B"/>
    <w:multiLevelType w:val="singleLevel"/>
    <w:tmpl w:val="58F7986B"/>
    <w:lvl w:ilvl="0" w:tentative="0">
      <w:start w:val="1"/>
      <w:numFmt w:val="decimal"/>
      <w:suff w:val="nothing"/>
      <w:lvlText w:val="%1、"/>
      <w:lvlJc w:val="left"/>
      <w:pPr>
        <w:ind w:left="0" w:firstLine="0"/>
      </w:pPr>
      <w:rPr>
        <w:rFonts w:hint="default"/>
      </w:rPr>
    </w:lvl>
  </w:abstractNum>
  <w:abstractNum w:abstractNumId="32">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33">
    <w:nsid w:val="637BCBD0"/>
    <w:multiLevelType w:val="multilevel"/>
    <w:tmpl w:val="637BCBD0"/>
    <w:lvl w:ilvl="0" w:tentative="0">
      <w:start w:val="1"/>
      <w:numFmt w:val="decimal"/>
      <w:lvlText w:val="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4">
    <w:nsid w:val="640D0946"/>
    <w:multiLevelType w:val="multilevel"/>
    <w:tmpl w:val="640D0946"/>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lvlRestart w:val="3"/>
      <w:suff w:val="space"/>
      <w:lvlText w:val="%7."/>
      <w:lvlJc w:val="left"/>
      <w:pPr>
        <w:ind w:left="0" w:firstLine="476"/>
      </w:pPr>
      <w:rPr>
        <w:rFonts w:hint="default" w:ascii="Times New Roman" w:hAnsi="Times New Roman" w:eastAsia="宋体"/>
        <w:b w:val="0"/>
        <w:i w:val="0"/>
        <w:sz w:val="24"/>
      </w:rPr>
    </w:lvl>
    <w:lvl w:ilvl="7" w:tentative="0">
      <w:start w:val="1"/>
      <w:numFmt w:val="decimal"/>
      <w:suff w:val="space"/>
      <w:lvlText w:val="（%8）"/>
      <w:lvlJc w:val="left"/>
      <w:pPr>
        <w:ind w:left="0" w:firstLine="476"/>
      </w:pPr>
      <w:rPr>
        <w:rFonts w:hint="eastAsia" w:ascii="宋体" w:hAnsi="宋体" w:eastAsia="宋体"/>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8" w:tentative="0">
      <w:start w:val="1"/>
      <w:numFmt w:val="decimalEnclosedCircle"/>
      <w:pStyle w:val="168"/>
      <w:suff w:val="space"/>
      <w:lvlText w:val="%9"/>
      <w:lvlJc w:val="left"/>
      <w:pPr>
        <w:ind w:left="0" w:firstLine="476"/>
      </w:pPr>
      <w:rPr>
        <w:rFonts w:hint="eastAsia" w:ascii="Times New Roman" w:hAnsi="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abstractNum>
  <w:abstractNum w:abstractNumId="35">
    <w:nsid w:val="6755CF12"/>
    <w:multiLevelType w:val="singleLevel"/>
    <w:tmpl w:val="6755CF12"/>
    <w:lvl w:ilvl="0" w:tentative="0">
      <w:start w:val="6"/>
      <w:numFmt w:val="chineseCounting"/>
      <w:suff w:val="space"/>
      <w:lvlText w:val="第%1章"/>
      <w:lvlJc w:val="left"/>
      <w:rPr>
        <w:rFonts w:hint="eastAsia"/>
      </w:rPr>
    </w:lvl>
  </w:abstractNum>
  <w:abstractNum w:abstractNumId="36">
    <w:nsid w:val="6CFBD194"/>
    <w:multiLevelType w:val="singleLevel"/>
    <w:tmpl w:val="6CFBD194"/>
    <w:lvl w:ilvl="0" w:tentative="0">
      <w:start w:val="1"/>
      <w:numFmt w:val="decimal"/>
      <w:isLgl/>
      <w:lvlText w:val="3.%1"/>
      <w:lvlJc w:val="left"/>
      <w:pPr>
        <w:tabs>
          <w:tab w:val="left" w:pos="420"/>
        </w:tabs>
        <w:ind w:left="0" w:firstLine="420"/>
      </w:pPr>
      <w:rPr>
        <w:rFonts w:hint="default" w:ascii="宋体" w:hAnsi="宋体" w:eastAsia="宋体" w:cs="宋体"/>
      </w:rPr>
    </w:lvl>
  </w:abstractNum>
  <w:abstractNum w:abstractNumId="37">
    <w:nsid w:val="6E3031F7"/>
    <w:multiLevelType w:val="singleLevel"/>
    <w:tmpl w:val="6E3031F7"/>
    <w:lvl w:ilvl="0" w:tentative="0">
      <w:start w:val="1"/>
      <w:numFmt w:val="decimal"/>
      <w:suff w:val="nothing"/>
      <w:lvlText w:val="%1）"/>
      <w:lvlJc w:val="left"/>
      <w:pPr>
        <w:ind w:left="900" w:firstLine="0"/>
      </w:pPr>
    </w:lvl>
  </w:abstractNum>
  <w:abstractNum w:abstractNumId="38">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39">
    <w:nsid w:val="7AE5DB33"/>
    <w:multiLevelType w:val="multilevel"/>
    <w:tmpl w:val="7AE5DB33"/>
    <w:lvl w:ilvl="0" w:tentative="0">
      <w:start w:val="1"/>
      <w:numFmt w:val="chineseCounting"/>
      <w:lvlText w:val="第%1条"/>
      <w:lvlJc w:val="left"/>
      <w:pPr>
        <w:ind w:left="0" w:firstLine="0"/>
      </w:pPr>
      <w:rPr>
        <w:rFonts w:hint="eastAsia" w:ascii="宋体" w:hAnsi="宋体" w:eastAsia="宋体" w:cs="宋体"/>
      </w:rPr>
    </w:lvl>
    <w:lvl w:ilvl="1" w:tentative="0">
      <w:start w:val="1"/>
      <w:numFmt w:val="decimal"/>
      <w:isLgl/>
      <w:lvlText w:val="%1.%2"/>
      <w:lvlJc w:val="left"/>
      <w:pPr>
        <w:ind w:left="-8" w:firstLine="0"/>
      </w:pPr>
      <w:rPr>
        <w:rFonts w:hint="default" w:ascii="宋体" w:hAnsi="宋体" w:eastAsia="宋体" w:cs="宋体"/>
        <w:b/>
        <w:bCs/>
        <w:sz w:val="24"/>
        <w:szCs w:val="24"/>
      </w:rPr>
    </w:lvl>
    <w:lvl w:ilvl="2" w:tentative="0">
      <w:start w:val="1"/>
      <w:numFmt w:val="decimal"/>
      <w:isLgl/>
      <w:lvlText w:val="%1.%2.%3"/>
      <w:lvlJc w:val="left"/>
      <w:pPr>
        <w:ind w:left="0" w:firstLine="0"/>
      </w:pPr>
      <w:rPr>
        <w:rFonts w:hint="eastAsia" w:ascii="宋体" w:hAnsi="宋体" w:eastAsia="宋体" w:cs="宋体"/>
      </w:rPr>
    </w:lvl>
    <w:lvl w:ilvl="3" w:tentative="0">
      <w:start w:val="1"/>
      <w:numFmt w:val="decimal"/>
      <w:lvlText w:val="%1.%2.%3.%4."/>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40">
    <w:nsid w:val="7B18A48E"/>
    <w:multiLevelType w:val="singleLevel"/>
    <w:tmpl w:val="7B18A48E"/>
    <w:lvl w:ilvl="0" w:tentative="0">
      <w:start w:val="1"/>
      <w:numFmt w:val="decimal"/>
      <w:lvlText w:val="%1."/>
      <w:lvlJc w:val="left"/>
      <w:pPr>
        <w:tabs>
          <w:tab w:val="left" w:pos="312"/>
        </w:tabs>
      </w:pPr>
    </w:lvl>
  </w:abstractNum>
  <w:abstractNum w:abstractNumId="41">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16"/>
  </w:num>
  <w:num w:numId="2">
    <w:abstractNumId w:val="1"/>
  </w:num>
  <w:num w:numId="3">
    <w:abstractNumId w:val="19"/>
  </w:num>
  <w:num w:numId="4">
    <w:abstractNumId w:val="32"/>
  </w:num>
  <w:num w:numId="5">
    <w:abstractNumId w:val="41"/>
  </w:num>
  <w:num w:numId="6">
    <w:abstractNumId w:val="26"/>
  </w:num>
  <w:num w:numId="7">
    <w:abstractNumId w:val="38"/>
  </w:num>
  <w:num w:numId="8">
    <w:abstractNumId w:val="10"/>
  </w:num>
  <w:num w:numId="9">
    <w:abstractNumId w:val="7"/>
  </w:num>
  <w:num w:numId="10">
    <w:abstractNumId w:val="27"/>
  </w:num>
  <w:num w:numId="11">
    <w:abstractNumId w:val="34"/>
  </w:num>
  <w:num w:numId="12">
    <w:abstractNumId w:val="13"/>
  </w:num>
  <w:num w:numId="13">
    <w:abstractNumId w:val="28"/>
  </w:num>
  <w:num w:numId="14">
    <w:abstractNumId w:val="15"/>
  </w:num>
  <w:num w:numId="15">
    <w:abstractNumId w:val="23"/>
  </w:num>
  <w:num w:numId="16">
    <w:abstractNumId w:val="6"/>
  </w:num>
  <w:num w:numId="17">
    <w:abstractNumId w:val="5"/>
  </w:num>
  <w:num w:numId="18">
    <w:abstractNumId w:val="29"/>
  </w:num>
  <w:num w:numId="19">
    <w:abstractNumId w:val="24"/>
  </w:num>
  <w:num w:numId="20">
    <w:abstractNumId w:val="33"/>
  </w:num>
  <w:num w:numId="21">
    <w:abstractNumId w:val="31"/>
  </w:num>
  <w:num w:numId="22">
    <w:abstractNumId w:val="0"/>
  </w:num>
  <w:num w:numId="23">
    <w:abstractNumId w:val="3"/>
  </w:num>
  <w:num w:numId="24">
    <w:abstractNumId w:val="2"/>
  </w:num>
  <w:num w:numId="25">
    <w:abstractNumId w:val="25"/>
  </w:num>
  <w:num w:numId="26">
    <w:abstractNumId w:val="21"/>
  </w:num>
  <w:num w:numId="27">
    <w:abstractNumId w:val="18"/>
  </w:num>
  <w:num w:numId="28">
    <w:abstractNumId w:val="11"/>
  </w:num>
  <w:num w:numId="29">
    <w:abstractNumId w:val="39"/>
  </w:num>
  <w:num w:numId="30">
    <w:abstractNumId w:val="12"/>
  </w:num>
  <w:num w:numId="31">
    <w:abstractNumId w:val="22"/>
  </w:num>
  <w:num w:numId="32">
    <w:abstractNumId w:val="37"/>
  </w:num>
  <w:num w:numId="33">
    <w:abstractNumId w:val="36"/>
  </w:num>
  <w:num w:numId="34">
    <w:abstractNumId w:val="20"/>
  </w:num>
  <w:num w:numId="35">
    <w:abstractNumId w:val="4"/>
  </w:num>
  <w:num w:numId="36">
    <w:abstractNumId w:val="30"/>
  </w:num>
  <w:num w:numId="37">
    <w:abstractNumId w:val="8"/>
  </w:num>
  <w:num w:numId="38">
    <w:abstractNumId w:val="14"/>
  </w:num>
  <w:num w:numId="39">
    <w:abstractNumId w:val="40"/>
  </w:num>
  <w:num w:numId="40">
    <w:abstractNumId w:val="35"/>
  </w:num>
  <w:num w:numId="41">
    <w:abstractNumId w:val="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lN2I0NTEyMzgxOWFmNDlkMDVmMGY5NDA0NzJlMTIifQ=="/>
    <w:docVar w:name="KSO_WPS_MARK_KEY" w:val="c968f259-ded7-4764-942c-51a7d883efae"/>
  </w:docVars>
  <w:rsids>
    <w:rsidRoot w:val="009C56D7"/>
    <w:rsid w:val="000105D3"/>
    <w:rsid w:val="00017655"/>
    <w:rsid w:val="00027B0A"/>
    <w:rsid w:val="00046F74"/>
    <w:rsid w:val="00047FEC"/>
    <w:rsid w:val="0005610F"/>
    <w:rsid w:val="000744AF"/>
    <w:rsid w:val="000A3120"/>
    <w:rsid w:val="000C0D0D"/>
    <w:rsid w:val="000C578F"/>
    <w:rsid w:val="000C74BE"/>
    <w:rsid w:val="000D1A9C"/>
    <w:rsid w:val="000D26E5"/>
    <w:rsid w:val="000E3E3C"/>
    <w:rsid w:val="000E406B"/>
    <w:rsid w:val="000E67BD"/>
    <w:rsid w:val="00107CA9"/>
    <w:rsid w:val="0011058C"/>
    <w:rsid w:val="0011789A"/>
    <w:rsid w:val="00137C12"/>
    <w:rsid w:val="001702A7"/>
    <w:rsid w:val="0019678E"/>
    <w:rsid w:val="001A0A0A"/>
    <w:rsid w:val="001B4098"/>
    <w:rsid w:val="001C66E0"/>
    <w:rsid w:val="00215A15"/>
    <w:rsid w:val="0021607C"/>
    <w:rsid w:val="0022027D"/>
    <w:rsid w:val="0025342C"/>
    <w:rsid w:val="00264F33"/>
    <w:rsid w:val="00264F60"/>
    <w:rsid w:val="00270F14"/>
    <w:rsid w:val="00272E04"/>
    <w:rsid w:val="002748B1"/>
    <w:rsid w:val="00276A6C"/>
    <w:rsid w:val="0028639F"/>
    <w:rsid w:val="0028743F"/>
    <w:rsid w:val="002A0814"/>
    <w:rsid w:val="002A5EE0"/>
    <w:rsid w:val="002C029C"/>
    <w:rsid w:val="002C3007"/>
    <w:rsid w:val="002C6B16"/>
    <w:rsid w:val="002D2C5D"/>
    <w:rsid w:val="002D3E84"/>
    <w:rsid w:val="002E20FC"/>
    <w:rsid w:val="00300DE6"/>
    <w:rsid w:val="00316988"/>
    <w:rsid w:val="003232CF"/>
    <w:rsid w:val="00325868"/>
    <w:rsid w:val="00346D14"/>
    <w:rsid w:val="00382DEE"/>
    <w:rsid w:val="003A3C06"/>
    <w:rsid w:val="003A7EE0"/>
    <w:rsid w:val="003B2E7D"/>
    <w:rsid w:val="003B673C"/>
    <w:rsid w:val="003C4AD1"/>
    <w:rsid w:val="003C77A8"/>
    <w:rsid w:val="003D543A"/>
    <w:rsid w:val="003E3AA1"/>
    <w:rsid w:val="003F356C"/>
    <w:rsid w:val="004153F6"/>
    <w:rsid w:val="0041551D"/>
    <w:rsid w:val="00423546"/>
    <w:rsid w:val="004408FF"/>
    <w:rsid w:val="00444920"/>
    <w:rsid w:val="00457AEB"/>
    <w:rsid w:val="00464D96"/>
    <w:rsid w:val="00475C86"/>
    <w:rsid w:val="00490B01"/>
    <w:rsid w:val="004932DC"/>
    <w:rsid w:val="004B0D73"/>
    <w:rsid w:val="004B6C8A"/>
    <w:rsid w:val="004B7843"/>
    <w:rsid w:val="004C4290"/>
    <w:rsid w:val="004C56DB"/>
    <w:rsid w:val="004D6C03"/>
    <w:rsid w:val="004F1E06"/>
    <w:rsid w:val="00503701"/>
    <w:rsid w:val="00517DBD"/>
    <w:rsid w:val="00522288"/>
    <w:rsid w:val="005227C1"/>
    <w:rsid w:val="005319D6"/>
    <w:rsid w:val="00553DA3"/>
    <w:rsid w:val="00563274"/>
    <w:rsid w:val="00574818"/>
    <w:rsid w:val="00575A3D"/>
    <w:rsid w:val="00577159"/>
    <w:rsid w:val="0059259E"/>
    <w:rsid w:val="00595436"/>
    <w:rsid w:val="005A7208"/>
    <w:rsid w:val="005B40B9"/>
    <w:rsid w:val="005C4BD3"/>
    <w:rsid w:val="005D3577"/>
    <w:rsid w:val="005D3CE0"/>
    <w:rsid w:val="005F082B"/>
    <w:rsid w:val="006005FA"/>
    <w:rsid w:val="00612560"/>
    <w:rsid w:val="0062612F"/>
    <w:rsid w:val="00634069"/>
    <w:rsid w:val="00635FB3"/>
    <w:rsid w:val="006366A8"/>
    <w:rsid w:val="00672B66"/>
    <w:rsid w:val="00677B96"/>
    <w:rsid w:val="00690230"/>
    <w:rsid w:val="006A0504"/>
    <w:rsid w:val="006B44D4"/>
    <w:rsid w:val="006B57CA"/>
    <w:rsid w:val="006C261B"/>
    <w:rsid w:val="006D25C5"/>
    <w:rsid w:val="006D68FC"/>
    <w:rsid w:val="006F62C1"/>
    <w:rsid w:val="00711C28"/>
    <w:rsid w:val="00711F87"/>
    <w:rsid w:val="00717F2F"/>
    <w:rsid w:val="00744B68"/>
    <w:rsid w:val="0075231B"/>
    <w:rsid w:val="007659BD"/>
    <w:rsid w:val="00771D1B"/>
    <w:rsid w:val="007A6668"/>
    <w:rsid w:val="007B12A3"/>
    <w:rsid w:val="007B72AA"/>
    <w:rsid w:val="007B7354"/>
    <w:rsid w:val="007C7B4A"/>
    <w:rsid w:val="007E3661"/>
    <w:rsid w:val="007E51EF"/>
    <w:rsid w:val="008064A8"/>
    <w:rsid w:val="008151C0"/>
    <w:rsid w:val="008170C0"/>
    <w:rsid w:val="008201BE"/>
    <w:rsid w:val="008322BB"/>
    <w:rsid w:val="0083551E"/>
    <w:rsid w:val="00841294"/>
    <w:rsid w:val="008471D3"/>
    <w:rsid w:val="00850651"/>
    <w:rsid w:val="008514DA"/>
    <w:rsid w:val="008573D6"/>
    <w:rsid w:val="00892217"/>
    <w:rsid w:val="008A4447"/>
    <w:rsid w:val="008A613C"/>
    <w:rsid w:val="008B2912"/>
    <w:rsid w:val="008B6C96"/>
    <w:rsid w:val="008D5696"/>
    <w:rsid w:val="008F10A7"/>
    <w:rsid w:val="00901FD6"/>
    <w:rsid w:val="00903E53"/>
    <w:rsid w:val="00920E6E"/>
    <w:rsid w:val="00922C10"/>
    <w:rsid w:val="00934EFB"/>
    <w:rsid w:val="00941D0D"/>
    <w:rsid w:val="00945082"/>
    <w:rsid w:val="0097109E"/>
    <w:rsid w:val="00992BF7"/>
    <w:rsid w:val="009A14AE"/>
    <w:rsid w:val="009B6A64"/>
    <w:rsid w:val="009C2D31"/>
    <w:rsid w:val="009C56D7"/>
    <w:rsid w:val="009D0EA3"/>
    <w:rsid w:val="009E1C82"/>
    <w:rsid w:val="009F357D"/>
    <w:rsid w:val="009F563B"/>
    <w:rsid w:val="00A0254C"/>
    <w:rsid w:val="00A046C1"/>
    <w:rsid w:val="00A27B63"/>
    <w:rsid w:val="00A319D5"/>
    <w:rsid w:val="00A52F67"/>
    <w:rsid w:val="00A66C90"/>
    <w:rsid w:val="00A679C3"/>
    <w:rsid w:val="00A67D49"/>
    <w:rsid w:val="00A67DE2"/>
    <w:rsid w:val="00A71546"/>
    <w:rsid w:val="00A74E52"/>
    <w:rsid w:val="00A868EF"/>
    <w:rsid w:val="00A92573"/>
    <w:rsid w:val="00A9288F"/>
    <w:rsid w:val="00A97BC4"/>
    <w:rsid w:val="00AC16E5"/>
    <w:rsid w:val="00AF18A9"/>
    <w:rsid w:val="00AF7DF0"/>
    <w:rsid w:val="00B03AF7"/>
    <w:rsid w:val="00B22095"/>
    <w:rsid w:val="00B24A2F"/>
    <w:rsid w:val="00B342E4"/>
    <w:rsid w:val="00B52888"/>
    <w:rsid w:val="00B5689E"/>
    <w:rsid w:val="00B660CB"/>
    <w:rsid w:val="00B76468"/>
    <w:rsid w:val="00BA76F6"/>
    <w:rsid w:val="00BB6D7D"/>
    <w:rsid w:val="00BE1577"/>
    <w:rsid w:val="00BE72F5"/>
    <w:rsid w:val="00BF470C"/>
    <w:rsid w:val="00BF6692"/>
    <w:rsid w:val="00BF6F3D"/>
    <w:rsid w:val="00C04603"/>
    <w:rsid w:val="00C04EF2"/>
    <w:rsid w:val="00C14DDF"/>
    <w:rsid w:val="00C1589D"/>
    <w:rsid w:val="00C1730D"/>
    <w:rsid w:val="00C265B7"/>
    <w:rsid w:val="00C32FFD"/>
    <w:rsid w:val="00C3313B"/>
    <w:rsid w:val="00C332F5"/>
    <w:rsid w:val="00C425B8"/>
    <w:rsid w:val="00C604F0"/>
    <w:rsid w:val="00C8594E"/>
    <w:rsid w:val="00CA075C"/>
    <w:rsid w:val="00CA1F7D"/>
    <w:rsid w:val="00CB3BAF"/>
    <w:rsid w:val="00CB6B41"/>
    <w:rsid w:val="00CC519B"/>
    <w:rsid w:val="00CE03C6"/>
    <w:rsid w:val="00D0427A"/>
    <w:rsid w:val="00D04E2E"/>
    <w:rsid w:val="00D15E44"/>
    <w:rsid w:val="00D1727A"/>
    <w:rsid w:val="00D25401"/>
    <w:rsid w:val="00D35541"/>
    <w:rsid w:val="00D371D4"/>
    <w:rsid w:val="00D414C7"/>
    <w:rsid w:val="00D46512"/>
    <w:rsid w:val="00D52279"/>
    <w:rsid w:val="00D549CC"/>
    <w:rsid w:val="00D55192"/>
    <w:rsid w:val="00D6554E"/>
    <w:rsid w:val="00D66387"/>
    <w:rsid w:val="00D768E6"/>
    <w:rsid w:val="00D91360"/>
    <w:rsid w:val="00D92DEA"/>
    <w:rsid w:val="00D94015"/>
    <w:rsid w:val="00D96088"/>
    <w:rsid w:val="00DB270D"/>
    <w:rsid w:val="00DC38BC"/>
    <w:rsid w:val="00DD4234"/>
    <w:rsid w:val="00DD56A1"/>
    <w:rsid w:val="00DF3258"/>
    <w:rsid w:val="00DF6671"/>
    <w:rsid w:val="00E0019A"/>
    <w:rsid w:val="00E010A5"/>
    <w:rsid w:val="00E06CFC"/>
    <w:rsid w:val="00E123A8"/>
    <w:rsid w:val="00E13486"/>
    <w:rsid w:val="00E16411"/>
    <w:rsid w:val="00E21C0A"/>
    <w:rsid w:val="00E3236E"/>
    <w:rsid w:val="00E60688"/>
    <w:rsid w:val="00E6289D"/>
    <w:rsid w:val="00E628AB"/>
    <w:rsid w:val="00E64CAB"/>
    <w:rsid w:val="00E905EC"/>
    <w:rsid w:val="00E9642A"/>
    <w:rsid w:val="00EB1A4F"/>
    <w:rsid w:val="00EB3BCC"/>
    <w:rsid w:val="00EB750D"/>
    <w:rsid w:val="00EC578F"/>
    <w:rsid w:val="00EE0C3D"/>
    <w:rsid w:val="00EF7CE1"/>
    <w:rsid w:val="00F13B78"/>
    <w:rsid w:val="00F14649"/>
    <w:rsid w:val="00F462F1"/>
    <w:rsid w:val="00F50407"/>
    <w:rsid w:val="00F927E8"/>
    <w:rsid w:val="00F954CE"/>
    <w:rsid w:val="00F96F2E"/>
    <w:rsid w:val="00F97DFF"/>
    <w:rsid w:val="00FB77F2"/>
    <w:rsid w:val="00FC2775"/>
    <w:rsid w:val="00FC44B7"/>
    <w:rsid w:val="01011251"/>
    <w:rsid w:val="01094F80"/>
    <w:rsid w:val="01431A4A"/>
    <w:rsid w:val="014861CD"/>
    <w:rsid w:val="01610122"/>
    <w:rsid w:val="016C10C3"/>
    <w:rsid w:val="01730582"/>
    <w:rsid w:val="01734FFD"/>
    <w:rsid w:val="017903BA"/>
    <w:rsid w:val="017D4F5C"/>
    <w:rsid w:val="017E3458"/>
    <w:rsid w:val="01814C8B"/>
    <w:rsid w:val="01822782"/>
    <w:rsid w:val="0192652E"/>
    <w:rsid w:val="01B547F1"/>
    <w:rsid w:val="01B9130E"/>
    <w:rsid w:val="01C5070F"/>
    <w:rsid w:val="01D12C42"/>
    <w:rsid w:val="01D9415D"/>
    <w:rsid w:val="01F33470"/>
    <w:rsid w:val="01F86CD9"/>
    <w:rsid w:val="01FB3540"/>
    <w:rsid w:val="021142F8"/>
    <w:rsid w:val="021474BD"/>
    <w:rsid w:val="0219394C"/>
    <w:rsid w:val="02296E92"/>
    <w:rsid w:val="02386937"/>
    <w:rsid w:val="024261A6"/>
    <w:rsid w:val="02531D2E"/>
    <w:rsid w:val="02686A0F"/>
    <w:rsid w:val="027156A0"/>
    <w:rsid w:val="02924A37"/>
    <w:rsid w:val="02930952"/>
    <w:rsid w:val="02935F72"/>
    <w:rsid w:val="029C7664"/>
    <w:rsid w:val="02BA0F2C"/>
    <w:rsid w:val="02E66B31"/>
    <w:rsid w:val="02E97603"/>
    <w:rsid w:val="02FC64BB"/>
    <w:rsid w:val="03033783"/>
    <w:rsid w:val="03101E00"/>
    <w:rsid w:val="031372B0"/>
    <w:rsid w:val="03280EF8"/>
    <w:rsid w:val="032C349A"/>
    <w:rsid w:val="032F2286"/>
    <w:rsid w:val="03346994"/>
    <w:rsid w:val="033919F9"/>
    <w:rsid w:val="03514CC1"/>
    <w:rsid w:val="0355665B"/>
    <w:rsid w:val="036B725E"/>
    <w:rsid w:val="037C7AF6"/>
    <w:rsid w:val="03F4702C"/>
    <w:rsid w:val="03FE3EB1"/>
    <w:rsid w:val="04151464"/>
    <w:rsid w:val="0416513E"/>
    <w:rsid w:val="04322D1A"/>
    <w:rsid w:val="043C5F8E"/>
    <w:rsid w:val="044C50BA"/>
    <w:rsid w:val="0454688E"/>
    <w:rsid w:val="047956BA"/>
    <w:rsid w:val="047B6DFE"/>
    <w:rsid w:val="04897E8F"/>
    <w:rsid w:val="048D044A"/>
    <w:rsid w:val="049A00B5"/>
    <w:rsid w:val="04B3571C"/>
    <w:rsid w:val="04C66C1A"/>
    <w:rsid w:val="04C9670A"/>
    <w:rsid w:val="04E460B7"/>
    <w:rsid w:val="04F41E13"/>
    <w:rsid w:val="04F72C04"/>
    <w:rsid w:val="05026B86"/>
    <w:rsid w:val="05110C9F"/>
    <w:rsid w:val="051F574C"/>
    <w:rsid w:val="05257E82"/>
    <w:rsid w:val="053C512E"/>
    <w:rsid w:val="054933A7"/>
    <w:rsid w:val="054F06BB"/>
    <w:rsid w:val="05556844"/>
    <w:rsid w:val="055837F1"/>
    <w:rsid w:val="056A3A4A"/>
    <w:rsid w:val="057B7E9E"/>
    <w:rsid w:val="05822749"/>
    <w:rsid w:val="058D7738"/>
    <w:rsid w:val="05946C94"/>
    <w:rsid w:val="059A406C"/>
    <w:rsid w:val="05A056BD"/>
    <w:rsid w:val="05AE0A1C"/>
    <w:rsid w:val="05B00DF5"/>
    <w:rsid w:val="05B01966"/>
    <w:rsid w:val="05B42F17"/>
    <w:rsid w:val="05B81D48"/>
    <w:rsid w:val="05C07B0D"/>
    <w:rsid w:val="05DE3850"/>
    <w:rsid w:val="05EE467B"/>
    <w:rsid w:val="05F42ECA"/>
    <w:rsid w:val="063026EF"/>
    <w:rsid w:val="064016C0"/>
    <w:rsid w:val="06612B51"/>
    <w:rsid w:val="06693E42"/>
    <w:rsid w:val="066B2D0B"/>
    <w:rsid w:val="066E7569"/>
    <w:rsid w:val="068428E9"/>
    <w:rsid w:val="06B2435F"/>
    <w:rsid w:val="06BC6081"/>
    <w:rsid w:val="06C1551D"/>
    <w:rsid w:val="071C6FC5"/>
    <w:rsid w:val="072206FE"/>
    <w:rsid w:val="07261007"/>
    <w:rsid w:val="073F20F3"/>
    <w:rsid w:val="07481B68"/>
    <w:rsid w:val="0758339B"/>
    <w:rsid w:val="0769226F"/>
    <w:rsid w:val="0774515B"/>
    <w:rsid w:val="078D7EC3"/>
    <w:rsid w:val="079A3378"/>
    <w:rsid w:val="07A9124F"/>
    <w:rsid w:val="07AD5E6F"/>
    <w:rsid w:val="07B12FD7"/>
    <w:rsid w:val="07B264E2"/>
    <w:rsid w:val="07B61B72"/>
    <w:rsid w:val="07D42AA3"/>
    <w:rsid w:val="07DB2381"/>
    <w:rsid w:val="07E11872"/>
    <w:rsid w:val="07EA2C20"/>
    <w:rsid w:val="07EE2697"/>
    <w:rsid w:val="07FA36D0"/>
    <w:rsid w:val="081971AF"/>
    <w:rsid w:val="081A0490"/>
    <w:rsid w:val="081B727D"/>
    <w:rsid w:val="081E0B1B"/>
    <w:rsid w:val="083C281C"/>
    <w:rsid w:val="083C5187"/>
    <w:rsid w:val="086A6259"/>
    <w:rsid w:val="08784DB5"/>
    <w:rsid w:val="08950E52"/>
    <w:rsid w:val="089B6610"/>
    <w:rsid w:val="08B90902"/>
    <w:rsid w:val="08D062B9"/>
    <w:rsid w:val="08D932BC"/>
    <w:rsid w:val="08DD4532"/>
    <w:rsid w:val="08EA2BBC"/>
    <w:rsid w:val="08EA6DEF"/>
    <w:rsid w:val="08F50C0B"/>
    <w:rsid w:val="08FC0E5C"/>
    <w:rsid w:val="09121452"/>
    <w:rsid w:val="09171577"/>
    <w:rsid w:val="0922463B"/>
    <w:rsid w:val="09312412"/>
    <w:rsid w:val="0950058B"/>
    <w:rsid w:val="09525090"/>
    <w:rsid w:val="0966605E"/>
    <w:rsid w:val="096D33F8"/>
    <w:rsid w:val="096D58B6"/>
    <w:rsid w:val="097529BD"/>
    <w:rsid w:val="098C7B8B"/>
    <w:rsid w:val="09A37346"/>
    <w:rsid w:val="09AA00D8"/>
    <w:rsid w:val="09B01324"/>
    <w:rsid w:val="09B40D9C"/>
    <w:rsid w:val="09BA7F4D"/>
    <w:rsid w:val="09C000DC"/>
    <w:rsid w:val="09E92A63"/>
    <w:rsid w:val="0A0E1A08"/>
    <w:rsid w:val="0A2166A1"/>
    <w:rsid w:val="0A243623"/>
    <w:rsid w:val="0A2B729E"/>
    <w:rsid w:val="0A4D56E8"/>
    <w:rsid w:val="0A5531D5"/>
    <w:rsid w:val="0A5609FF"/>
    <w:rsid w:val="0A5D301D"/>
    <w:rsid w:val="0A644A50"/>
    <w:rsid w:val="0A6A7BB0"/>
    <w:rsid w:val="0A6C6167"/>
    <w:rsid w:val="0A806584"/>
    <w:rsid w:val="0A8607D0"/>
    <w:rsid w:val="0A8917DD"/>
    <w:rsid w:val="0AB75314"/>
    <w:rsid w:val="0ADD0602"/>
    <w:rsid w:val="0ADF325B"/>
    <w:rsid w:val="0AF5248C"/>
    <w:rsid w:val="0B0D7264"/>
    <w:rsid w:val="0B0E675C"/>
    <w:rsid w:val="0B0F299D"/>
    <w:rsid w:val="0B370E68"/>
    <w:rsid w:val="0B3B3792"/>
    <w:rsid w:val="0B3D2F20"/>
    <w:rsid w:val="0B5E3E0F"/>
    <w:rsid w:val="0B856D40"/>
    <w:rsid w:val="0B8E56F9"/>
    <w:rsid w:val="0B9508BE"/>
    <w:rsid w:val="0B9B71F2"/>
    <w:rsid w:val="0BBB32AF"/>
    <w:rsid w:val="0BC71111"/>
    <w:rsid w:val="0BCA3494"/>
    <w:rsid w:val="0BCF2858"/>
    <w:rsid w:val="0C290AFB"/>
    <w:rsid w:val="0C3363A1"/>
    <w:rsid w:val="0C346B5F"/>
    <w:rsid w:val="0C36335E"/>
    <w:rsid w:val="0C503E37"/>
    <w:rsid w:val="0C5966F4"/>
    <w:rsid w:val="0C5D3EC2"/>
    <w:rsid w:val="0C6531BD"/>
    <w:rsid w:val="0C862CB4"/>
    <w:rsid w:val="0CAB2638"/>
    <w:rsid w:val="0CC207F1"/>
    <w:rsid w:val="0CC935E9"/>
    <w:rsid w:val="0CD30E01"/>
    <w:rsid w:val="0CE422B2"/>
    <w:rsid w:val="0CF36E09"/>
    <w:rsid w:val="0CF37497"/>
    <w:rsid w:val="0CFE3B47"/>
    <w:rsid w:val="0D0429D6"/>
    <w:rsid w:val="0D081E14"/>
    <w:rsid w:val="0D0F7F83"/>
    <w:rsid w:val="0D2F6DAC"/>
    <w:rsid w:val="0D330BC5"/>
    <w:rsid w:val="0D3E1535"/>
    <w:rsid w:val="0D58477C"/>
    <w:rsid w:val="0D597B30"/>
    <w:rsid w:val="0D5A2749"/>
    <w:rsid w:val="0D613984"/>
    <w:rsid w:val="0D6375DA"/>
    <w:rsid w:val="0D703BC7"/>
    <w:rsid w:val="0D871055"/>
    <w:rsid w:val="0D95362E"/>
    <w:rsid w:val="0D961154"/>
    <w:rsid w:val="0D994565"/>
    <w:rsid w:val="0D9B14B7"/>
    <w:rsid w:val="0DA8343F"/>
    <w:rsid w:val="0DB46F19"/>
    <w:rsid w:val="0DBC07F1"/>
    <w:rsid w:val="0DBD1BB4"/>
    <w:rsid w:val="0DD208C8"/>
    <w:rsid w:val="0DD4416B"/>
    <w:rsid w:val="0DE6081E"/>
    <w:rsid w:val="0DED346A"/>
    <w:rsid w:val="0DED5970"/>
    <w:rsid w:val="0DF11314"/>
    <w:rsid w:val="0E0B38F0"/>
    <w:rsid w:val="0E1D04EC"/>
    <w:rsid w:val="0E1F739B"/>
    <w:rsid w:val="0E31693B"/>
    <w:rsid w:val="0E4678FD"/>
    <w:rsid w:val="0E575678"/>
    <w:rsid w:val="0E616AF5"/>
    <w:rsid w:val="0E63372C"/>
    <w:rsid w:val="0E63576F"/>
    <w:rsid w:val="0E6368D4"/>
    <w:rsid w:val="0E6A3CA8"/>
    <w:rsid w:val="0E707BF7"/>
    <w:rsid w:val="0E8E6ABE"/>
    <w:rsid w:val="0E8F62CF"/>
    <w:rsid w:val="0E9037CB"/>
    <w:rsid w:val="0EA0228A"/>
    <w:rsid w:val="0EAB3DCA"/>
    <w:rsid w:val="0EBB78F4"/>
    <w:rsid w:val="0EC3241C"/>
    <w:rsid w:val="0EC62C66"/>
    <w:rsid w:val="0ECE329B"/>
    <w:rsid w:val="0ECF2B6F"/>
    <w:rsid w:val="0EE14E5E"/>
    <w:rsid w:val="0EE859DF"/>
    <w:rsid w:val="0EF23D4E"/>
    <w:rsid w:val="0EFD592E"/>
    <w:rsid w:val="0F013483"/>
    <w:rsid w:val="0F014046"/>
    <w:rsid w:val="0F056591"/>
    <w:rsid w:val="0F0764CF"/>
    <w:rsid w:val="0F1B5DB5"/>
    <w:rsid w:val="0F274759"/>
    <w:rsid w:val="0F2F6501"/>
    <w:rsid w:val="0F437CE3"/>
    <w:rsid w:val="0F610C24"/>
    <w:rsid w:val="0F6239E3"/>
    <w:rsid w:val="0F6D4D62"/>
    <w:rsid w:val="0F6E2388"/>
    <w:rsid w:val="0F741429"/>
    <w:rsid w:val="0F7619B8"/>
    <w:rsid w:val="0F7B797C"/>
    <w:rsid w:val="0F7E3643"/>
    <w:rsid w:val="0F8B53FA"/>
    <w:rsid w:val="0F9D2ED5"/>
    <w:rsid w:val="0FAF7B54"/>
    <w:rsid w:val="0FC44344"/>
    <w:rsid w:val="0FEA3617"/>
    <w:rsid w:val="0FF46BA8"/>
    <w:rsid w:val="0FF4755A"/>
    <w:rsid w:val="0FFC59B8"/>
    <w:rsid w:val="101957F6"/>
    <w:rsid w:val="10303AE2"/>
    <w:rsid w:val="10424976"/>
    <w:rsid w:val="10747C98"/>
    <w:rsid w:val="10772223"/>
    <w:rsid w:val="107B2FAF"/>
    <w:rsid w:val="10806817"/>
    <w:rsid w:val="1081177B"/>
    <w:rsid w:val="10973AD9"/>
    <w:rsid w:val="10B63FE7"/>
    <w:rsid w:val="10C85AC8"/>
    <w:rsid w:val="10D47980"/>
    <w:rsid w:val="10FB7143"/>
    <w:rsid w:val="110A439F"/>
    <w:rsid w:val="110D5068"/>
    <w:rsid w:val="112711D3"/>
    <w:rsid w:val="113013F5"/>
    <w:rsid w:val="11305F63"/>
    <w:rsid w:val="11503141"/>
    <w:rsid w:val="115E4D32"/>
    <w:rsid w:val="116128D3"/>
    <w:rsid w:val="116F0181"/>
    <w:rsid w:val="116F6ADA"/>
    <w:rsid w:val="11995A4B"/>
    <w:rsid w:val="119C5940"/>
    <w:rsid w:val="11A83289"/>
    <w:rsid w:val="11A92F0A"/>
    <w:rsid w:val="11BD75F7"/>
    <w:rsid w:val="11DB47CB"/>
    <w:rsid w:val="11EB4C92"/>
    <w:rsid w:val="120C3CD2"/>
    <w:rsid w:val="120D282C"/>
    <w:rsid w:val="12207C3E"/>
    <w:rsid w:val="12217B86"/>
    <w:rsid w:val="12376E89"/>
    <w:rsid w:val="126A4382"/>
    <w:rsid w:val="126D54AC"/>
    <w:rsid w:val="12753A2E"/>
    <w:rsid w:val="127B7391"/>
    <w:rsid w:val="12D85C3E"/>
    <w:rsid w:val="12E50BB3"/>
    <w:rsid w:val="12E7492B"/>
    <w:rsid w:val="12E82452"/>
    <w:rsid w:val="12F048B5"/>
    <w:rsid w:val="12F35D1B"/>
    <w:rsid w:val="12F86B39"/>
    <w:rsid w:val="130152C1"/>
    <w:rsid w:val="13033726"/>
    <w:rsid w:val="13290CC0"/>
    <w:rsid w:val="1329181A"/>
    <w:rsid w:val="133E6515"/>
    <w:rsid w:val="134A6C68"/>
    <w:rsid w:val="136C783D"/>
    <w:rsid w:val="13893638"/>
    <w:rsid w:val="138A3D35"/>
    <w:rsid w:val="13961EAE"/>
    <w:rsid w:val="13A740BB"/>
    <w:rsid w:val="13AD5412"/>
    <w:rsid w:val="13B3480E"/>
    <w:rsid w:val="13B537B6"/>
    <w:rsid w:val="13CB5FFB"/>
    <w:rsid w:val="13CE1647"/>
    <w:rsid w:val="13CF716E"/>
    <w:rsid w:val="13D628AB"/>
    <w:rsid w:val="13E10D5B"/>
    <w:rsid w:val="13F96B6D"/>
    <w:rsid w:val="142134CB"/>
    <w:rsid w:val="14357F23"/>
    <w:rsid w:val="144F5967"/>
    <w:rsid w:val="145204CA"/>
    <w:rsid w:val="145854BE"/>
    <w:rsid w:val="145A112D"/>
    <w:rsid w:val="14617D99"/>
    <w:rsid w:val="147E12BF"/>
    <w:rsid w:val="149634DA"/>
    <w:rsid w:val="14A54A6E"/>
    <w:rsid w:val="14A95C11"/>
    <w:rsid w:val="14B05CC2"/>
    <w:rsid w:val="14BC2657"/>
    <w:rsid w:val="14BF5D26"/>
    <w:rsid w:val="14C3090F"/>
    <w:rsid w:val="14C76366"/>
    <w:rsid w:val="14D14025"/>
    <w:rsid w:val="14F24D66"/>
    <w:rsid w:val="151E417F"/>
    <w:rsid w:val="154047C7"/>
    <w:rsid w:val="15474EA4"/>
    <w:rsid w:val="155C2C83"/>
    <w:rsid w:val="15787ABD"/>
    <w:rsid w:val="1594241D"/>
    <w:rsid w:val="15B952C0"/>
    <w:rsid w:val="15C44EEF"/>
    <w:rsid w:val="15C53289"/>
    <w:rsid w:val="15CC152A"/>
    <w:rsid w:val="15DB004C"/>
    <w:rsid w:val="15DB44F0"/>
    <w:rsid w:val="15E6457A"/>
    <w:rsid w:val="15E75D7B"/>
    <w:rsid w:val="1602382A"/>
    <w:rsid w:val="160550C9"/>
    <w:rsid w:val="16111CBF"/>
    <w:rsid w:val="161672D6"/>
    <w:rsid w:val="164125A5"/>
    <w:rsid w:val="165F4D20"/>
    <w:rsid w:val="16610551"/>
    <w:rsid w:val="166E0FB9"/>
    <w:rsid w:val="167364D6"/>
    <w:rsid w:val="16823E30"/>
    <w:rsid w:val="168801D3"/>
    <w:rsid w:val="16A064EA"/>
    <w:rsid w:val="16B56AEF"/>
    <w:rsid w:val="16B70CAB"/>
    <w:rsid w:val="16BC4251"/>
    <w:rsid w:val="16CB6312"/>
    <w:rsid w:val="16F7466B"/>
    <w:rsid w:val="17063ECA"/>
    <w:rsid w:val="171501E7"/>
    <w:rsid w:val="17165DA3"/>
    <w:rsid w:val="17173305"/>
    <w:rsid w:val="172B6DB1"/>
    <w:rsid w:val="17465999"/>
    <w:rsid w:val="17484EA6"/>
    <w:rsid w:val="17587D52"/>
    <w:rsid w:val="175C5F2D"/>
    <w:rsid w:val="175D5E07"/>
    <w:rsid w:val="179B5CE4"/>
    <w:rsid w:val="179F6CB2"/>
    <w:rsid w:val="17A34028"/>
    <w:rsid w:val="17A96653"/>
    <w:rsid w:val="17B111EE"/>
    <w:rsid w:val="17BB4DB8"/>
    <w:rsid w:val="17CD2C80"/>
    <w:rsid w:val="17CE7E68"/>
    <w:rsid w:val="17E86A50"/>
    <w:rsid w:val="17E9066F"/>
    <w:rsid w:val="17F266A0"/>
    <w:rsid w:val="17F8430D"/>
    <w:rsid w:val="180424E4"/>
    <w:rsid w:val="18077E0C"/>
    <w:rsid w:val="182A43C3"/>
    <w:rsid w:val="182F222C"/>
    <w:rsid w:val="18414DC8"/>
    <w:rsid w:val="18427AD5"/>
    <w:rsid w:val="186C623C"/>
    <w:rsid w:val="187E3A0A"/>
    <w:rsid w:val="18866995"/>
    <w:rsid w:val="189A0770"/>
    <w:rsid w:val="18A60196"/>
    <w:rsid w:val="18BD0380"/>
    <w:rsid w:val="18BD6589"/>
    <w:rsid w:val="18D33D24"/>
    <w:rsid w:val="18D70F9E"/>
    <w:rsid w:val="190523C2"/>
    <w:rsid w:val="190D6A3B"/>
    <w:rsid w:val="191C44FF"/>
    <w:rsid w:val="19220FD4"/>
    <w:rsid w:val="192965E8"/>
    <w:rsid w:val="192B46F6"/>
    <w:rsid w:val="193A067F"/>
    <w:rsid w:val="19557392"/>
    <w:rsid w:val="195A0FDD"/>
    <w:rsid w:val="196640D0"/>
    <w:rsid w:val="198C4FA5"/>
    <w:rsid w:val="19A5109C"/>
    <w:rsid w:val="19A9402E"/>
    <w:rsid w:val="19B111EB"/>
    <w:rsid w:val="19BE5CBA"/>
    <w:rsid w:val="19DE391C"/>
    <w:rsid w:val="19E60603"/>
    <w:rsid w:val="19F964B3"/>
    <w:rsid w:val="19FD67E3"/>
    <w:rsid w:val="1A0C7826"/>
    <w:rsid w:val="1A0E54E7"/>
    <w:rsid w:val="1A2D2E72"/>
    <w:rsid w:val="1A2D40D9"/>
    <w:rsid w:val="1A523746"/>
    <w:rsid w:val="1A590792"/>
    <w:rsid w:val="1A693E78"/>
    <w:rsid w:val="1A6B5C6E"/>
    <w:rsid w:val="1A75402F"/>
    <w:rsid w:val="1A824F3A"/>
    <w:rsid w:val="1A833190"/>
    <w:rsid w:val="1AA2382E"/>
    <w:rsid w:val="1ABD2416"/>
    <w:rsid w:val="1ABD482B"/>
    <w:rsid w:val="1AD55318"/>
    <w:rsid w:val="1AD722FD"/>
    <w:rsid w:val="1ADA6B24"/>
    <w:rsid w:val="1AE41D00"/>
    <w:rsid w:val="1AEF36F6"/>
    <w:rsid w:val="1AF127BC"/>
    <w:rsid w:val="1AF51BB0"/>
    <w:rsid w:val="1AFD2812"/>
    <w:rsid w:val="1B2B187A"/>
    <w:rsid w:val="1B2D7691"/>
    <w:rsid w:val="1B3700C3"/>
    <w:rsid w:val="1B373F76"/>
    <w:rsid w:val="1B406BFA"/>
    <w:rsid w:val="1B49571E"/>
    <w:rsid w:val="1B880C76"/>
    <w:rsid w:val="1B93434C"/>
    <w:rsid w:val="1BCB48C1"/>
    <w:rsid w:val="1BEA59B0"/>
    <w:rsid w:val="1C013A85"/>
    <w:rsid w:val="1C033E58"/>
    <w:rsid w:val="1C0709F8"/>
    <w:rsid w:val="1C154468"/>
    <w:rsid w:val="1C527B30"/>
    <w:rsid w:val="1C6206FA"/>
    <w:rsid w:val="1C7A1112"/>
    <w:rsid w:val="1C7A627F"/>
    <w:rsid w:val="1C7E6042"/>
    <w:rsid w:val="1C884E23"/>
    <w:rsid w:val="1C8E7CEB"/>
    <w:rsid w:val="1C9D6AB7"/>
    <w:rsid w:val="1CA27B15"/>
    <w:rsid w:val="1CB533A4"/>
    <w:rsid w:val="1CC31D6E"/>
    <w:rsid w:val="1CCD24DA"/>
    <w:rsid w:val="1CF00880"/>
    <w:rsid w:val="1D0B403C"/>
    <w:rsid w:val="1D281E34"/>
    <w:rsid w:val="1D362512"/>
    <w:rsid w:val="1D4D1A5D"/>
    <w:rsid w:val="1D555CE7"/>
    <w:rsid w:val="1D5C671F"/>
    <w:rsid w:val="1D64530A"/>
    <w:rsid w:val="1D6A0633"/>
    <w:rsid w:val="1D8466F7"/>
    <w:rsid w:val="1DA13929"/>
    <w:rsid w:val="1DA6491A"/>
    <w:rsid w:val="1DAE7414"/>
    <w:rsid w:val="1DB45E58"/>
    <w:rsid w:val="1DB87F93"/>
    <w:rsid w:val="1DB964C8"/>
    <w:rsid w:val="1DBA49EB"/>
    <w:rsid w:val="1DC35F95"/>
    <w:rsid w:val="1DCF2045"/>
    <w:rsid w:val="1DD4596B"/>
    <w:rsid w:val="1DE81558"/>
    <w:rsid w:val="1DEA64AB"/>
    <w:rsid w:val="1DF3687A"/>
    <w:rsid w:val="1E0112F9"/>
    <w:rsid w:val="1E0839A8"/>
    <w:rsid w:val="1E1E25CD"/>
    <w:rsid w:val="1E4B3640"/>
    <w:rsid w:val="1E731769"/>
    <w:rsid w:val="1EA327EC"/>
    <w:rsid w:val="1EA90789"/>
    <w:rsid w:val="1EB31B66"/>
    <w:rsid w:val="1EBA3405"/>
    <w:rsid w:val="1EC05AB5"/>
    <w:rsid w:val="1EC56C65"/>
    <w:rsid w:val="1EC755D6"/>
    <w:rsid w:val="1EE15232"/>
    <w:rsid w:val="1EED151B"/>
    <w:rsid w:val="1EF1532F"/>
    <w:rsid w:val="1EF3516A"/>
    <w:rsid w:val="1EF6259A"/>
    <w:rsid w:val="1F016AC7"/>
    <w:rsid w:val="1F0C590F"/>
    <w:rsid w:val="1F285BD1"/>
    <w:rsid w:val="1F4D0C92"/>
    <w:rsid w:val="1F503CE8"/>
    <w:rsid w:val="1F6F0182"/>
    <w:rsid w:val="1F7763D6"/>
    <w:rsid w:val="1F86727A"/>
    <w:rsid w:val="1F8C0ACF"/>
    <w:rsid w:val="1F8F5FF7"/>
    <w:rsid w:val="1F96210C"/>
    <w:rsid w:val="1FA34C5A"/>
    <w:rsid w:val="1FB922B6"/>
    <w:rsid w:val="1FBA5176"/>
    <w:rsid w:val="1FC3227C"/>
    <w:rsid w:val="1FC52D11"/>
    <w:rsid w:val="1FC55FF4"/>
    <w:rsid w:val="1FEA607C"/>
    <w:rsid w:val="1FF62701"/>
    <w:rsid w:val="1FFC6939"/>
    <w:rsid w:val="20197479"/>
    <w:rsid w:val="202A53EE"/>
    <w:rsid w:val="203B6CE2"/>
    <w:rsid w:val="205C7FDB"/>
    <w:rsid w:val="20717F2A"/>
    <w:rsid w:val="208F61FB"/>
    <w:rsid w:val="20916958"/>
    <w:rsid w:val="209D1F1D"/>
    <w:rsid w:val="20A96600"/>
    <w:rsid w:val="20AB16BF"/>
    <w:rsid w:val="20B31632"/>
    <w:rsid w:val="20B35E4D"/>
    <w:rsid w:val="20B66A66"/>
    <w:rsid w:val="20C01CFC"/>
    <w:rsid w:val="20DE1A96"/>
    <w:rsid w:val="20E56222"/>
    <w:rsid w:val="21034305"/>
    <w:rsid w:val="21197C1A"/>
    <w:rsid w:val="212C5BFF"/>
    <w:rsid w:val="21404240"/>
    <w:rsid w:val="21581B7A"/>
    <w:rsid w:val="215A6C10"/>
    <w:rsid w:val="215D04AF"/>
    <w:rsid w:val="2173382E"/>
    <w:rsid w:val="21815F4B"/>
    <w:rsid w:val="21863561"/>
    <w:rsid w:val="21A05FEF"/>
    <w:rsid w:val="21A51D10"/>
    <w:rsid w:val="21AC14EE"/>
    <w:rsid w:val="21C5052E"/>
    <w:rsid w:val="21C75CD2"/>
    <w:rsid w:val="21C901CC"/>
    <w:rsid w:val="21CF3131"/>
    <w:rsid w:val="21DF0EC4"/>
    <w:rsid w:val="21E15242"/>
    <w:rsid w:val="21F65CFA"/>
    <w:rsid w:val="22180078"/>
    <w:rsid w:val="22325497"/>
    <w:rsid w:val="22470109"/>
    <w:rsid w:val="22471574"/>
    <w:rsid w:val="22492B9D"/>
    <w:rsid w:val="225022B5"/>
    <w:rsid w:val="22665141"/>
    <w:rsid w:val="226E0891"/>
    <w:rsid w:val="227A1390"/>
    <w:rsid w:val="22851FD8"/>
    <w:rsid w:val="228D58AE"/>
    <w:rsid w:val="228F28EA"/>
    <w:rsid w:val="2297355D"/>
    <w:rsid w:val="229D744E"/>
    <w:rsid w:val="22A2261D"/>
    <w:rsid w:val="22A33F92"/>
    <w:rsid w:val="22B67132"/>
    <w:rsid w:val="22BF31CF"/>
    <w:rsid w:val="22D12F02"/>
    <w:rsid w:val="22E22A19"/>
    <w:rsid w:val="22F21B33"/>
    <w:rsid w:val="2305495A"/>
    <w:rsid w:val="230A1F70"/>
    <w:rsid w:val="230B6414"/>
    <w:rsid w:val="231A3D28"/>
    <w:rsid w:val="23305E7B"/>
    <w:rsid w:val="23337C95"/>
    <w:rsid w:val="234E4553"/>
    <w:rsid w:val="2369138D"/>
    <w:rsid w:val="23764879"/>
    <w:rsid w:val="237D0994"/>
    <w:rsid w:val="23825FAA"/>
    <w:rsid w:val="23897339"/>
    <w:rsid w:val="239027DE"/>
    <w:rsid w:val="23AB72AF"/>
    <w:rsid w:val="23BA425E"/>
    <w:rsid w:val="23BB2B6F"/>
    <w:rsid w:val="23F6609A"/>
    <w:rsid w:val="23FA766F"/>
    <w:rsid w:val="241D2A50"/>
    <w:rsid w:val="24217571"/>
    <w:rsid w:val="242B57AA"/>
    <w:rsid w:val="2452526A"/>
    <w:rsid w:val="24572958"/>
    <w:rsid w:val="2459453E"/>
    <w:rsid w:val="245A059B"/>
    <w:rsid w:val="24643DF0"/>
    <w:rsid w:val="2473036C"/>
    <w:rsid w:val="24783A57"/>
    <w:rsid w:val="247D5AD1"/>
    <w:rsid w:val="247F66A7"/>
    <w:rsid w:val="24804DBA"/>
    <w:rsid w:val="249B7B1D"/>
    <w:rsid w:val="24A278BF"/>
    <w:rsid w:val="24A71D97"/>
    <w:rsid w:val="24A84AD4"/>
    <w:rsid w:val="24AF7273"/>
    <w:rsid w:val="24C96216"/>
    <w:rsid w:val="24D040E1"/>
    <w:rsid w:val="24E231A5"/>
    <w:rsid w:val="24FB4266"/>
    <w:rsid w:val="25052184"/>
    <w:rsid w:val="25077C17"/>
    <w:rsid w:val="25163668"/>
    <w:rsid w:val="25227A45"/>
    <w:rsid w:val="25230E74"/>
    <w:rsid w:val="25350276"/>
    <w:rsid w:val="253B0B07"/>
    <w:rsid w:val="25416D14"/>
    <w:rsid w:val="25427634"/>
    <w:rsid w:val="255263BC"/>
    <w:rsid w:val="25537821"/>
    <w:rsid w:val="255D3695"/>
    <w:rsid w:val="25660E97"/>
    <w:rsid w:val="256908F3"/>
    <w:rsid w:val="256C7D65"/>
    <w:rsid w:val="256F2D13"/>
    <w:rsid w:val="25782DD2"/>
    <w:rsid w:val="258C43B3"/>
    <w:rsid w:val="25983863"/>
    <w:rsid w:val="25BD776E"/>
    <w:rsid w:val="26013AFE"/>
    <w:rsid w:val="26071543"/>
    <w:rsid w:val="26110D9F"/>
    <w:rsid w:val="261B18F8"/>
    <w:rsid w:val="261C26E6"/>
    <w:rsid w:val="262B471E"/>
    <w:rsid w:val="26341C05"/>
    <w:rsid w:val="264241A2"/>
    <w:rsid w:val="265A17DC"/>
    <w:rsid w:val="266F2816"/>
    <w:rsid w:val="26995AA5"/>
    <w:rsid w:val="269B3D55"/>
    <w:rsid w:val="26BA6F1C"/>
    <w:rsid w:val="26CC5766"/>
    <w:rsid w:val="26CD6658"/>
    <w:rsid w:val="26DE1AF9"/>
    <w:rsid w:val="26E03714"/>
    <w:rsid w:val="26EB2378"/>
    <w:rsid w:val="270E5159"/>
    <w:rsid w:val="271218FB"/>
    <w:rsid w:val="271863A1"/>
    <w:rsid w:val="272D447F"/>
    <w:rsid w:val="273D04C2"/>
    <w:rsid w:val="274E7064"/>
    <w:rsid w:val="275163C0"/>
    <w:rsid w:val="2753659C"/>
    <w:rsid w:val="2757132E"/>
    <w:rsid w:val="275724E9"/>
    <w:rsid w:val="275A7A8D"/>
    <w:rsid w:val="275D2FB6"/>
    <w:rsid w:val="275D6AA2"/>
    <w:rsid w:val="27710810"/>
    <w:rsid w:val="277327DA"/>
    <w:rsid w:val="277510DC"/>
    <w:rsid w:val="27AE3812"/>
    <w:rsid w:val="27B5455D"/>
    <w:rsid w:val="27C60B5C"/>
    <w:rsid w:val="27F51899"/>
    <w:rsid w:val="27FF132D"/>
    <w:rsid w:val="2802590C"/>
    <w:rsid w:val="281468D7"/>
    <w:rsid w:val="281E684C"/>
    <w:rsid w:val="28247630"/>
    <w:rsid w:val="28366E80"/>
    <w:rsid w:val="283D2E17"/>
    <w:rsid w:val="284840F1"/>
    <w:rsid w:val="28804A24"/>
    <w:rsid w:val="288051AE"/>
    <w:rsid w:val="2887245A"/>
    <w:rsid w:val="28905912"/>
    <w:rsid w:val="28914ED2"/>
    <w:rsid w:val="28A76BA9"/>
    <w:rsid w:val="28A8200F"/>
    <w:rsid w:val="28AC2DD8"/>
    <w:rsid w:val="28AF1235"/>
    <w:rsid w:val="28C013B8"/>
    <w:rsid w:val="28C3176B"/>
    <w:rsid w:val="28D04681"/>
    <w:rsid w:val="28ED5E2B"/>
    <w:rsid w:val="28F3713A"/>
    <w:rsid w:val="28F6721F"/>
    <w:rsid w:val="290F2DA5"/>
    <w:rsid w:val="291E0E65"/>
    <w:rsid w:val="29281CF2"/>
    <w:rsid w:val="292A0479"/>
    <w:rsid w:val="29656DCC"/>
    <w:rsid w:val="29714AF7"/>
    <w:rsid w:val="29756781"/>
    <w:rsid w:val="298D2991"/>
    <w:rsid w:val="298F6918"/>
    <w:rsid w:val="2996455E"/>
    <w:rsid w:val="299A404E"/>
    <w:rsid w:val="29E363A1"/>
    <w:rsid w:val="29F07845"/>
    <w:rsid w:val="2A1A0CEB"/>
    <w:rsid w:val="2A247DBB"/>
    <w:rsid w:val="2A2A1F65"/>
    <w:rsid w:val="2A2A73E6"/>
    <w:rsid w:val="2A4841BA"/>
    <w:rsid w:val="2A68414C"/>
    <w:rsid w:val="2A70738A"/>
    <w:rsid w:val="2A7315C2"/>
    <w:rsid w:val="2A8820F8"/>
    <w:rsid w:val="2A924D25"/>
    <w:rsid w:val="2AA607D0"/>
    <w:rsid w:val="2AAE58D7"/>
    <w:rsid w:val="2AE839DA"/>
    <w:rsid w:val="2AEF03C9"/>
    <w:rsid w:val="2AFC6642"/>
    <w:rsid w:val="2AFD4A5B"/>
    <w:rsid w:val="2B035C23"/>
    <w:rsid w:val="2B07735B"/>
    <w:rsid w:val="2B3072D5"/>
    <w:rsid w:val="2B344DFB"/>
    <w:rsid w:val="2B4B6F96"/>
    <w:rsid w:val="2B61362E"/>
    <w:rsid w:val="2B793DB9"/>
    <w:rsid w:val="2B7D3C27"/>
    <w:rsid w:val="2B807625"/>
    <w:rsid w:val="2B936A4F"/>
    <w:rsid w:val="2BD96984"/>
    <w:rsid w:val="2BE041B6"/>
    <w:rsid w:val="2C0559CB"/>
    <w:rsid w:val="2C0738D0"/>
    <w:rsid w:val="2C3F2CA4"/>
    <w:rsid w:val="2C4722D2"/>
    <w:rsid w:val="2C4C35F9"/>
    <w:rsid w:val="2C622E1D"/>
    <w:rsid w:val="2C6623AE"/>
    <w:rsid w:val="2C6D5A4A"/>
    <w:rsid w:val="2C8965FC"/>
    <w:rsid w:val="2C9F7BCD"/>
    <w:rsid w:val="2CAC4BA2"/>
    <w:rsid w:val="2CAE1BBE"/>
    <w:rsid w:val="2CD049F0"/>
    <w:rsid w:val="2CD06C13"/>
    <w:rsid w:val="2CF15AA0"/>
    <w:rsid w:val="2D350B62"/>
    <w:rsid w:val="2D3617F0"/>
    <w:rsid w:val="2D4A00BE"/>
    <w:rsid w:val="2D4C1B03"/>
    <w:rsid w:val="2D4C6BC6"/>
    <w:rsid w:val="2D5C5ABE"/>
    <w:rsid w:val="2D62795A"/>
    <w:rsid w:val="2D6A26D9"/>
    <w:rsid w:val="2D6B7AAF"/>
    <w:rsid w:val="2D7B4196"/>
    <w:rsid w:val="2DAE4BA0"/>
    <w:rsid w:val="2DB00CAB"/>
    <w:rsid w:val="2DB87C7E"/>
    <w:rsid w:val="2DBB662B"/>
    <w:rsid w:val="2DC03C0B"/>
    <w:rsid w:val="2DC72F38"/>
    <w:rsid w:val="2DCC2611"/>
    <w:rsid w:val="2DDD0A7E"/>
    <w:rsid w:val="2DDF2977"/>
    <w:rsid w:val="2DF33D2D"/>
    <w:rsid w:val="2DF66ED3"/>
    <w:rsid w:val="2E0F2B31"/>
    <w:rsid w:val="2E1F4B5B"/>
    <w:rsid w:val="2E206C70"/>
    <w:rsid w:val="2E224612"/>
    <w:rsid w:val="2E366468"/>
    <w:rsid w:val="2E3D4FE3"/>
    <w:rsid w:val="2E415B0F"/>
    <w:rsid w:val="2E687AEB"/>
    <w:rsid w:val="2E6F4ABB"/>
    <w:rsid w:val="2E771335"/>
    <w:rsid w:val="2E7E42B1"/>
    <w:rsid w:val="2E815492"/>
    <w:rsid w:val="2E98722B"/>
    <w:rsid w:val="2E9A4AF0"/>
    <w:rsid w:val="2E9D3D27"/>
    <w:rsid w:val="2EA9088F"/>
    <w:rsid w:val="2EAE40F8"/>
    <w:rsid w:val="2EB959B6"/>
    <w:rsid w:val="2EBD069E"/>
    <w:rsid w:val="2EBF00B3"/>
    <w:rsid w:val="2EE23DA1"/>
    <w:rsid w:val="2EE713B8"/>
    <w:rsid w:val="2EFA6479"/>
    <w:rsid w:val="2F1028BF"/>
    <w:rsid w:val="2F203068"/>
    <w:rsid w:val="2F2E54B3"/>
    <w:rsid w:val="2F3E56A0"/>
    <w:rsid w:val="2F512EF2"/>
    <w:rsid w:val="2F5416FF"/>
    <w:rsid w:val="2F673F97"/>
    <w:rsid w:val="2F9F55D0"/>
    <w:rsid w:val="2FB92D54"/>
    <w:rsid w:val="2FCC096B"/>
    <w:rsid w:val="2FD7103B"/>
    <w:rsid w:val="2FDC5D4D"/>
    <w:rsid w:val="2FE55681"/>
    <w:rsid w:val="2FF36392"/>
    <w:rsid w:val="30045885"/>
    <w:rsid w:val="30053C88"/>
    <w:rsid w:val="30230CE6"/>
    <w:rsid w:val="302A5A00"/>
    <w:rsid w:val="303167EA"/>
    <w:rsid w:val="3038011D"/>
    <w:rsid w:val="30395C43"/>
    <w:rsid w:val="303A51D4"/>
    <w:rsid w:val="303B3A1B"/>
    <w:rsid w:val="305129F5"/>
    <w:rsid w:val="30724063"/>
    <w:rsid w:val="307F4548"/>
    <w:rsid w:val="308800EC"/>
    <w:rsid w:val="30915A7F"/>
    <w:rsid w:val="3091782D"/>
    <w:rsid w:val="30973161"/>
    <w:rsid w:val="30980BBB"/>
    <w:rsid w:val="309C309A"/>
    <w:rsid w:val="30A55BA9"/>
    <w:rsid w:val="30AE5FCB"/>
    <w:rsid w:val="30B359F5"/>
    <w:rsid w:val="30BA6D84"/>
    <w:rsid w:val="30C47C02"/>
    <w:rsid w:val="30CE282F"/>
    <w:rsid w:val="30E33B9A"/>
    <w:rsid w:val="30E57931"/>
    <w:rsid w:val="30FE22C7"/>
    <w:rsid w:val="311741D6"/>
    <w:rsid w:val="312A5F70"/>
    <w:rsid w:val="313705E9"/>
    <w:rsid w:val="31376A31"/>
    <w:rsid w:val="313F7711"/>
    <w:rsid w:val="314E0187"/>
    <w:rsid w:val="3150795D"/>
    <w:rsid w:val="315A5304"/>
    <w:rsid w:val="31615600"/>
    <w:rsid w:val="31796EC9"/>
    <w:rsid w:val="3189637D"/>
    <w:rsid w:val="31A76597"/>
    <w:rsid w:val="31AF440F"/>
    <w:rsid w:val="31BA26C7"/>
    <w:rsid w:val="31C37EBA"/>
    <w:rsid w:val="31D20CD6"/>
    <w:rsid w:val="31D22AC0"/>
    <w:rsid w:val="31E105FB"/>
    <w:rsid w:val="31E134B0"/>
    <w:rsid w:val="31EE781E"/>
    <w:rsid w:val="31F2254D"/>
    <w:rsid w:val="31FC2EDA"/>
    <w:rsid w:val="32067CC9"/>
    <w:rsid w:val="322056FA"/>
    <w:rsid w:val="322B191D"/>
    <w:rsid w:val="323C4F31"/>
    <w:rsid w:val="32677589"/>
    <w:rsid w:val="326C67A3"/>
    <w:rsid w:val="327675A5"/>
    <w:rsid w:val="328C29A2"/>
    <w:rsid w:val="328E04C8"/>
    <w:rsid w:val="328E1DE1"/>
    <w:rsid w:val="328F28AC"/>
    <w:rsid w:val="329A4EF2"/>
    <w:rsid w:val="32A02C06"/>
    <w:rsid w:val="32BB7C65"/>
    <w:rsid w:val="32C24D75"/>
    <w:rsid w:val="32D14DDA"/>
    <w:rsid w:val="32D363F7"/>
    <w:rsid w:val="32F44AA7"/>
    <w:rsid w:val="32FF4F22"/>
    <w:rsid w:val="332544EC"/>
    <w:rsid w:val="3335227E"/>
    <w:rsid w:val="333B7C55"/>
    <w:rsid w:val="33593B2B"/>
    <w:rsid w:val="33607228"/>
    <w:rsid w:val="33664FA1"/>
    <w:rsid w:val="336F654B"/>
    <w:rsid w:val="3379149E"/>
    <w:rsid w:val="33833DA5"/>
    <w:rsid w:val="339C1BEE"/>
    <w:rsid w:val="33A70526"/>
    <w:rsid w:val="33AB44E1"/>
    <w:rsid w:val="33B201E6"/>
    <w:rsid w:val="33C83112"/>
    <w:rsid w:val="33D4015C"/>
    <w:rsid w:val="33D84C58"/>
    <w:rsid w:val="33DB0C68"/>
    <w:rsid w:val="33E0594C"/>
    <w:rsid w:val="33E42520"/>
    <w:rsid w:val="33E504C8"/>
    <w:rsid w:val="33E83C08"/>
    <w:rsid w:val="34031DE2"/>
    <w:rsid w:val="340C5B48"/>
    <w:rsid w:val="341F23E5"/>
    <w:rsid w:val="34272AC4"/>
    <w:rsid w:val="343110A3"/>
    <w:rsid w:val="3441371A"/>
    <w:rsid w:val="344C2B03"/>
    <w:rsid w:val="34515C51"/>
    <w:rsid w:val="347B2520"/>
    <w:rsid w:val="34AE30A3"/>
    <w:rsid w:val="34AF4CF8"/>
    <w:rsid w:val="34B166F0"/>
    <w:rsid w:val="34C53C82"/>
    <w:rsid w:val="34C53F49"/>
    <w:rsid w:val="34C96D45"/>
    <w:rsid w:val="34CF0536"/>
    <w:rsid w:val="34DD16D3"/>
    <w:rsid w:val="34E20283"/>
    <w:rsid w:val="34F34F5A"/>
    <w:rsid w:val="34F91B62"/>
    <w:rsid w:val="351176B1"/>
    <w:rsid w:val="352262AE"/>
    <w:rsid w:val="35303AB8"/>
    <w:rsid w:val="353E3680"/>
    <w:rsid w:val="35461EDF"/>
    <w:rsid w:val="35525772"/>
    <w:rsid w:val="35773495"/>
    <w:rsid w:val="357F618D"/>
    <w:rsid w:val="358679FD"/>
    <w:rsid w:val="35A24298"/>
    <w:rsid w:val="35B00755"/>
    <w:rsid w:val="35B4208B"/>
    <w:rsid w:val="35BB5A78"/>
    <w:rsid w:val="35BD3584"/>
    <w:rsid w:val="35CE1D2B"/>
    <w:rsid w:val="35DE72EF"/>
    <w:rsid w:val="35F40B39"/>
    <w:rsid w:val="361A2073"/>
    <w:rsid w:val="36203B2D"/>
    <w:rsid w:val="363D4937"/>
    <w:rsid w:val="363D5FAB"/>
    <w:rsid w:val="36466404"/>
    <w:rsid w:val="364F4ED0"/>
    <w:rsid w:val="36533F02"/>
    <w:rsid w:val="36745C27"/>
    <w:rsid w:val="367E56CF"/>
    <w:rsid w:val="367F74AE"/>
    <w:rsid w:val="368A4DF9"/>
    <w:rsid w:val="36906640"/>
    <w:rsid w:val="36932551"/>
    <w:rsid w:val="369342FF"/>
    <w:rsid w:val="36A71B58"/>
    <w:rsid w:val="36C40E45"/>
    <w:rsid w:val="36D44917"/>
    <w:rsid w:val="36DD0212"/>
    <w:rsid w:val="36E30558"/>
    <w:rsid w:val="36E94B3E"/>
    <w:rsid w:val="36EC3A0F"/>
    <w:rsid w:val="36FF1994"/>
    <w:rsid w:val="370C5FAE"/>
    <w:rsid w:val="372C02AF"/>
    <w:rsid w:val="37417615"/>
    <w:rsid w:val="37427AD3"/>
    <w:rsid w:val="3749211C"/>
    <w:rsid w:val="37905389"/>
    <w:rsid w:val="37A442EA"/>
    <w:rsid w:val="37AF049E"/>
    <w:rsid w:val="37C8447C"/>
    <w:rsid w:val="37DC0575"/>
    <w:rsid w:val="37DC63EA"/>
    <w:rsid w:val="37F60D28"/>
    <w:rsid w:val="3802344A"/>
    <w:rsid w:val="38026DD3"/>
    <w:rsid w:val="38262F51"/>
    <w:rsid w:val="382877FE"/>
    <w:rsid w:val="38431D54"/>
    <w:rsid w:val="38466EFF"/>
    <w:rsid w:val="384B156B"/>
    <w:rsid w:val="384B4AF1"/>
    <w:rsid w:val="384D572F"/>
    <w:rsid w:val="38715920"/>
    <w:rsid w:val="38806DB1"/>
    <w:rsid w:val="38831CF6"/>
    <w:rsid w:val="38A22817"/>
    <w:rsid w:val="38A327F3"/>
    <w:rsid w:val="38A748FD"/>
    <w:rsid w:val="38DB01DF"/>
    <w:rsid w:val="38E17AE2"/>
    <w:rsid w:val="38EC2C3D"/>
    <w:rsid w:val="38F909B4"/>
    <w:rsid w:val="392277F5"/>
    <w:rsid w:val="3933616F"/>
    <w:rsid w:val="39402FE8"/>
    <w:rsid w:val="394C69E7"/>
    <w:rsid w:val="394F0285"/>
    <w:rsid w:val="39537706"/>
    <w:rsid w:val="395B30CE"/>
    <w:rsid w:val="395F1EC6"/>
    <w:rsid w:val="39624942"/>
    <w:rsid w:val="39663F4D"/>
    <w:rsid w:val="3967556C"/>
    <w:rsid w:val="39726DD2"/>
    <w:rsid w:val="397B1DE2"/>
    <w:rsid w:val="398C3287"/>
    <w:rsid w:val="39A71E6F"/>
    <w:rsid w:val="39B4157B"/>
    <w:rsid w:val="39BB1B66"/>
    <w:rsid w:val="39F03816"/>
    <w:rsid w:val="39F11864"/>
    <w:rsid w:val="39F81EAF"/>
    <w:rsid w:val="39F94929"/>
    <w:rsid w:val="3A0224A2"/>
    <w:rsid w:val="3A131CAF"/>
    <w:rsid w:val="3A202CDA"/>
    <w:rsid w:val="3A321F4A"/>
    <w:rsid w:val="3A4009AF"/>
    <w:rsid w:val="3A481687"/>
    <w:rsid w:val="3A4A16EF"/>
    <w:rsid w:val="3A541FF7"/>
    <w:rsid w:val="3A581FCB"/>
    <w:rsid w:val="3A6327BF"/>
    <w:rsid w:val="3A704957"/>
    <w:rsid w:val="3A8021B3"/>
    <w:rsid w:val="3A8022EB"/>
    <w:rsid w:val="3A8A3C6B"/>
    <w:rsid w:val="3AB05274"/>
    <w:rsid w:val="3AB2741B"/>
    <w:rsid w:val="3AC30F2B"/>
    <w:rsid w:val="3AD63DDF"/>
    <w:rsid w:val="3AE73D7F"/>
    <w:rsid w:val="3AEC222F"/>
    <w:rsid w:val="3AED3D86"/>
    <w:rsid w:val="3AEF6EF3"/>
    <w:rsid w:val="3AF065EC"/>
    <w:rsid w:val="3B002A03"/>
    <w:rsid w:val="3B093472"/>
    <w:rsid w:val="3B1503C1"/>
    <w:rsid w:val="3B2678BA"/>
    <w:rsid w:val="3B2E0A9A"/>
    <w:rsid w:val="3B2E71AE"/>
    <w:rsid w:val="3B40257B"/>
    <w:rsid w:val="3B4227E2"/>
    <w:rsid w:val="3B525E2C"/>
    <w:rsid w:val="3B556027"/>
    <w:rsid w:val="3B5953EB"/>
    <w:rsid w:val="3B68523D"/>
    <w:rsid w:val="3B6D19D2"/>
    <w:rsid w:val="3B7261A2"/>
    <w:rsid w:val="3B8B1A48"/>
    <w:rsid w:val="3B8D6CB0"/>
    <w:rsid w:val="3B906743"/>
    <w:rsid w:val="3B916978"/>
    <w:rsid w:val="3B9C6A51"/>
    <w:rsid w:val="3BA14B21"/>
    <w:rsid w:val="3BE949C1"/>
    <w:rsid w:val="3BF07AFD"/>
    <w:rsid w:val="3C113235"/>
    <w:rsid w:val="3C12216A"/>
    <w:rsid w:val="3C2308E2"/>
    <w:rsid w:val="3C2C5CD2"/>
    <w:rsid w:val="3C2E5359"/>
    <w:rsid w:val="3C3C7B42"/>
    <w:rsid w:val="3C41406F"/>
    <w:rsid w:val="3C5C68E3"/>
    <w:rsid w:val="3C5F6A31"/>
    <w:rsid w:val="3C7423BF"/>
    <w:rsid w:val="3C887086"/>
    <w:rsid w:val="3C9526DB"/>
    <w:rsid w:val="3C9B3F0D"/>
    <w:rsid w:val="3C9E7771"/>
    <w:rsid w:val="3C9F0607"/>
    <w:rsid w:val="3CA60B04"/>
    <w:rsid w:val="3CCA034E"/>
    <w:rsid w:val="3CF51E0D"/>
    <w:rsid w:val="3D0F2205"/>
    <w:rsid w:val="3D232419"/>
    <w:rsid w:val="3D271E22"/>
    <w:rsid w:val="3D2748D8"/>
    <w:rsid w:val="3D4837A2"/>
    <w:rsid w:val="3D5B1CC1"/>
    <w:rsid w:val="3D844A5A"/>
    <w:rsid w:val="3D8D3F91"/>
    <w:rsid w:val="3D902C02"/>
    <w:rsid w:val="3DB615E6"/>
    <w:rsid w:val="3DCB6A74"/>
    <w:rsid w:val="3DCC459A"/>
    <w:rsid w:val="3DD03289"/>
    <w:rsid w:val="3DD75419"/>
    <w:rsid w:val="3DE62E35"/>
    <w:rsid w:val="3DED60D4"/>
    <w:rsid w:val="3E015FF2"/>
    <w:rsid w:val="3E0755D2"/>
    <w:rsid w:val="3E0D0E3B"/>
    <w:rsid w:val="3E0E07CE"/>
    <w:rsid w:val="3E1546DD"/>
    <w:rsid w:val="3E210442"/>
    <w:rsid w:val="3E2D110B"/>
    <w:rsid w:val="3E371A14"/>
    <w:rsid w:val="3E382B4D"/>
    <w:rsid w:val="3E3E1CC7"/>
    <w:rsid w:val="3E3E59E6"/>
    <w:rsid w:val="3E3F1B87"/>
    <w:rsid w:val="3E4C6016"/>
    <w:rsid w:val="3E506693"/>
    <w:rsid w:val="3E6F015A"/>
    <w:rsid w:val="3E8E1DAD"/>
    <w:rsid w:val="3EB93822"/>
    <w:rsid w:val="3EC43F8B"/>
    <w:rsid w:val="3ECF6D22"/>
    <w:rsid w:val="3ED5122D"/>
    <w:rsid w:val="3ED71449"/>
    <w:rsid w:val="3ED74FA5"/>
    <w:rsid w:val="3EDA6843"/>
    <w:rsid w:val="3EDF7B5A"/>
    <w:rsid w:val="3EEB0A50"/>
    <w:rsid w:val="3EED4BDE"/>
    <w:rsid w:val="3EFE4C27"/>
    <w:rsid w:val="3F0B17B5"/>
    <w:rsid w:val="3F1B7587"/>
    <w:rsid w:val="3F277CDA"/>
    <w:rsid w:val="3F2E3C94"/>
    <w:rsid w:val="3F38176A"/>
    <w:rsid w:val="3F452885"/>
    <w:rsid w:val="3F490392"/>
    <w:rsid w:val="3F4D1FA7"/>
    <w:rsid w:val="3F54742F"/>
    <w:rsid w:val="3FB672B0"/>
    <w:rsid w:val="3FBB6674"/>
    <w:rsid w:val="3FF40503"/>
    <w:rsid w:val="4004626D"/>
    <w:rsid w:val="400666BC"/>
    <w:rsid w:val="401427B5"/>
    <w:rsid w:val="40204729"/>
    <w:rsid w:val="402406BD"/>
    <w:rsid w:val="40300E10"/>
    <w:rsid w:val="40350CB0"/>
    <w:rsid w:val="40602DF3"/>
    <w:rsid w:val="406E091A"/>
    <w:rsid w:val="40710ACD"/>
    <w:rsid w:val="407707EE"/>
    <w:rsid w:val="40880858"/>
    <w:rsid w:val="408A030B"/>
    <w:rsid w:val="40972C3D"/>
    <w:rsid w:val="409E67A3"/>
    <w:rsid w:val="409F7D44"/>
    <w:rsid w:val="40A33625"/>
    <w:rsid w:val="40A34F11"/>
    <w:rsid w:val="40B26EA4"/>
    <w:rsid w:val="40B27D42"/>
    <w:rsid w:val="40BB2DD0"/>
    <w:rsid w:val="40BC2D96"/>
    <w:rsid w:val="40C751F7"/>
    <w:rsid w:val="40DE086C"/>
    <w:rsid w:val="40E63BC5"/>
    <w:rsid w:val="40FB7D3B"/>
    <w:rsid w:val="40FE691E"/>
    <w:rsid w:val="41006A35"/>
    <w:rsid w:val="41086068"/>
    <w:rsid w:val="410A6CBE"/>
    <w:rsid w:val="410F2445"/>
    <w:rsid w:val="41231C1B"/>
    <w:rsid w:val="41306BEE"/>
    <w:rsid w:val="41324C34"/>
    <w:rsid w:val="41490938"/>
    <w:rsid w:val="416B5C6F"/>
    <w:rsid w:val="41767D74"/>
    <w:rsid w:val="41867134"/>
    <w:rsid w:val="41A33B41"/>
    <w:rsid w:val="41C728F7"/>
    <w:rsid w:val="41DD76D1"/>
    <w:rsid w:val="41E208AC"/>
    <w:rsid w:val="41E85D9F"/>
    <w:rsid w:val="41FB5DB3"/>
    <w:rsid w:val="4204553C"/>
    <w:rsid w:val="42127409"/>
    <w:rsid w:val="42256229"/>
    <w:rsid w:val="422A188F"/>
    <w:rsid w:val="422F37F8"/>
    <w:rsid w:val="42332E3A"/>
    <w:rsid w:val="42586400"/>
    <w:rsid w:val="425E5F23"/>
    <w:rsid w:val="42676A60"/>
    <w:rsid w:val="426A44D4"/>
    <w:rsid w:val="427B022A"/>
    <w:rsid w:val="427F5B4B"/>
    <w:rsid w:val="428E4141"/>
    <w:rsid w:val="42B31885"/>
    <w:rsid w:val="42C01DF1"/>
    <w:rsid w:val="42C11B70"/>
    <w:rsid w:val="42C43E74"/>
    <w:rsid w:val="42CF2F10"/>
    <w:rsid w:val="42F53870"/>
    <w:rsid w:val="42F66E8B"/>
    <w:rsid w:val="42FF08B3"/>
    <w:rsid w:val="430A7D23"/>
    <w:rsid w:val="43171E14"/>
    <w:rsid w:val="4320516C"/>
    <w:rsid w:val="432B1D63"/>
    <w:rsid w:val="433724B6"/>
    <w:rsid w:val="433C7ACC"/>
    <w:rsid w:val="43410FCD"/>
    <w:rsid w:val="43507406"/>
    <w:rsid w:val="43561AA0"/>
    <w:rsid w:val="43562AE3"/>
    <w:rsid w:val="43635059"/>
    <w:rsid w:val="43637AC9"/>
    <w:rsid w:val="436D243D"/>
    <w:rsid w:val="438442BF"/>
    <w:rsid w:val="438B764D"/>
    <w:rsid w:val="438C22CB"/>
    <w:rsid w:val="43994F1E"/>
    <w:rsid w:val="43AB5691"/>
    <w:rsid w:val="43BC29BB"/>
    <w:rsid w:val="43BF0385"/>
    <w:rsid w:val="43C83EB2"/>
    <w:rsid w:val="43D73654"/>
    <w:rsid w:val="43D85232"/>
    <w:rsid w:val="43DD6E75"/>
    <w:rsid w:val="43E72B2B"/>
    <w:rsid w:val="440D2C51"/>
    <w:rsid w:val="44175396"/>
    <w:rsid w:val="44384737"/>
    <w:rsid w:val="4445276C"/>
    <w:rsid w:val="444B446B"/>
    <w:rsid w:val="44572D86"/>
    <w:rsid w:val="446063D2"/>
    <w:rsid w:val="44611094"/>
    <w:rsid w:val="44611C1B"/>
    <w:rsid w:val="446413C5"/>
    <w:rsid w:val="44663053"/>
    <w:rsid w:val="448E07FB"/>
    <w:rsid w:val="44911A44"/>
    <w:rsid w:val="4494751B"/>
    <w:rsid w:val="44AD7C41"/>
    <w:rsid w:val="44B518E4"/>
    <w:rsid w:val="44C17A08"/>
    <w:rsid w:val="44CD3A81"/>
    <w:rsid w:val="44DF4BB3"/>
    <w:rsid w:val="44E67FBB"/>
    <w:rsid w:val="44E95485"/>
    <w:rsid w:val="44EB3207"/>
    <w:rsid w:val="44F07163"/>
    <w:rsid w:val="44F20B28"/>
    <w:rsid w:val="45013E5C"/>
    <w:rsid w:val="450B69CF"/>
    <w:rsid w:val="45231C95"/>
    <w:rsid w:val="45337791"/>
    <w:rsid w:val="454977AD"/>
    <w:rsid w:val="456719A5"/>
    <w:rsid w:val="456D4CF9"/>
    <w:rsid w:val="457C2431"/>
    <w:rsid w:val="45845471"/>
    <w:rsid w:val="4586496F"/>
    <w:rsid w:val="45C67B21"/>
    <w:rsid w:val="45C875E6"/>
    <w:rsid w:val="45CC15DB"/>
    <w:rsid w:val="45D17124"/>
    <w:rsid w:val="45D605E2"/>
    <w:rsid w:val="45DF490C"/>
    <w:rsid w:val="45E76415"/>
    <w:rsid w:val="45FC6BC4"/>
    <w:rsid w:val="46002A46"/>
    <w:rsid w:val="46004D73"/>
    <w:rsid w:val="46020B59"/>
    <w:rsid w:val="4616410D"/>
    <w:rsid w:val="46174D98"/>
    <w:rsid w:val="46192360"/>
    <w:rsid w:val="461C4EAF"/>
    <w:rsid w:val="46222FA9"/>
    <w:rsid w:val="462F3918"/>
    <w:rsid w:val="463D7DE3"/>
    <w:rsid w:val="46404072"/>
    <w:rsid w:val="464878AA"/>
    <w:rsid w:val="465A2F8E"/>
    <w:rsid w:val="4668385B"/>
    <w:rsid w:val="468477C0"/>
    <w:rsid w:val="46996434"/>
    <w:rsid w:val="469C7200"/>
    <w:rsid w:val="46AF5596"/>
    <w:rsid w:val="46CC1167"/>
    <w:rsid w:val="46CD22A5"/>
    <w:rsid w:val="46CE7B4A"/>
    <w:rsid w:val="46D05F80"/>
    <w:rsid w:val="46DC75FC"/>
    <w:rsid w:val="46DD17E2"/>
    <w:rsid w:val="46DD3FE0"/>
    <w:rsid w:val="46EA217A"/>
    <w:rsid w:val="46FA34C0"/>
    <w:rsid w:val="470E5B90"/>
    <w:rsid w:val="47105641"/>
    <w:rsid w:val="472400A2"/>
    <w:rsid w:val="472C68EF"/>
    <w:rsid w:val="47543970"/>
    <w:rsid w:val="4787624B"/>
    <w:rsid w:val="478B1022"/>
    <w:rsid w:val="478B2DD0"/>
    <w:rsid w:val="47A50F64"/>
    <w:rsid w:val="47A824CD"/>
    <w:rsid w:val="47AA15A3"/>
    <w:rsid w:val="47BA6510"/>
    <w:rsid w:val="47D302DD"/>
    <w:rsid w:val="47E14CCD"/>
    <w:rsid w:val="47EF7803"/>
    <w:rsid w:val="47F24BFD"/>
    <w:rsid w:val="480B120C"/>
    <w:rsid w:val="481536BF"/>
    <w:rsid w:val="481608EC"/>
    <w:rsid w:val="48284AC3"/>
    <w:rsid w:val="482D0EBE"/>
    <w:rsid w:val="48315726"/>
    <w:rsid w:val="485338EE"/>
    <w:rsid w:val="48547666"/>
    <w:rsid w:val="48577D5B"/>
    <w:rsid w:val="486C1BB5"/>
    <w:rsid w:val="486D303B"/>
    <w:rsid w:val="4872546B"/>
    <w:rsid w:val="4880045B"/>
    <w:rsid w:val="488A2C6B"/>
    <w:rsid w:val="48967C7F"/>
    <w:rsid w:val="489B7043"/>
    <w:rsid w:val="48A31EB5"/>
    <w:rsid w:val="48BB2A61"/>
    <w:rsid w:val="48BC68A3"/>
    <w:rsid w:val="48D32318"/>
    <w:rsid w:val="48F27AFA"/>
    <w:rsid w:val="48F3252A"/>
    <w:rsid w:val="48F52BF7"/>
    <w:rsid w:val="49042E3A"/>
    <w:rsid w:val="49120FAB"/>
    <w:rsid w:val="49184B37"/>
    <w:rsid w:val="491F1A22"/>
    <w:rsid w:val="49211C3E"/>
    <w:rsid w:val="4922239C"/>
    <w:rsid w:val="49227764"/>
    <w:rsid w:val="493168D5"/>
    <w:rsid w:val="49337826"/>
    <w:rsid w:val="494652D1"/>
    <w:rsid w:val="494F67AB"/>
    <w:rsid w:val="49561C02"/>
    <w:rsid w:val="495B0A86"/>
    <w:rsid w:val="496A3930"/>
    <w:rsid w:val="496F0BFB"/>
    <w:rsid w:val="49757894"/>
    <w:rsid w:val="49883A6B"/>
    <w:rsid w:val="4998066A"/>
    <w:rsid w:val="499F4072"/>
    <w:rsid w:val="49A14FAF"/>
    <w:rsid w:val="49A63AE3"/>
    <w:rsid w:val="49A63EF1"/>
    <w:rsid w:val="49B54134"/>
    <w:rsid w:val="49D421DF"/>
    <w:rsid w:val="49EB7B56"/>
    <w:rsid w:val="49FC47E8"/>
    <w:rsid w:val="4A086E2D"/>
    <w:rsid w:val="4A1C4225"/>
    <w:rsid w:val="4A250CA4"/>
    <w:rsid w:val="4A2512BA"/>
    <w:rsid w:val="4A275C6C"/>
    <w:rsid w:val="4A286DBA"/>
    <w:rsid w:val="4A376787"/>
    <w:rsid w:val="4A3A6824"/>
    <w:rsid w:val="4A3B288C"/>
    <w:rsid w:val="4A5969BE"/>
    <w:rsid w:val="4A645BE7"/>
    <w:rsid w:val="4A7A7858"/>
    <w:rsid w:val="4A7F66F1"/>
    <w:rsid w:val="4A857497"/>
    <w:rsid w:val="4A9E2E1A"/>
    <w:rsid w:val="4AAC6911"/>
    <w:rsid w:val="4AD30D16"/>
    <w:rsid w:val="4AD52522"/>
    <w:rsid w:val="4ADA6548"/>
    <w:rsid w:val="4AFC0F6D"/>
    <w:rsid w:val="4B06733D"/>
    <w:rsid w:val="4B210482"/>
    <w:rsid w:val="4B2431AB"/>
    <w:rsid w:val="4B304953"/>
    <w:rsid w:val="4B3420A5"/>
    <w:rsid w:val="4B3C4B0D"/>
    <w:rsid w:val="4B3D12ED"/>
    <w:rsid w:val="4B3D2633"/>
    <w:rsid w:val="4B46373C"/>
    <w:rsid w:val="4B4E3B6B"/>
    <w:rsid w:val="4B5052C4"/>
    <w:rsid w:val="4B5160DF"/>
    <w:rsid w:val="4B570551"/>
    <w:rsid w:val="4B5B5D80"/>
    <w:rsid w:val="4B7F4E5D"/>
    <w:rsid w:val="4B951644"/>
    <w:rsid w:val="4B967819"/>
    <w:rsid w:val="4BCA1FA1"/>
    <w:rsid w:val="4BCC0195"/>
    <w:rsid w:val="4BCF51C0"/>
    <w:rsid w:val="4BD05255"/>
    <w:rsid w:val="4BE6690B"/>
    <w:rsid w:val="4BE77F20"/>
    <w:rsid w:val="4BEB208F"/>
    <w:rsid w:val="4BF9303F"/>
    <w:rsid w:val="4C0A06EB"/>
    <w:rsid w:val="4C235CCD"/>
    <w:rsid w:val="4C3E33B1"/>
    <w:rsid w:val="4C465518"/>
    <w:rsid w:val="4C4B0ACB"/>
    <w:rsid w:val="4C52210E"/>
    <w:rsid w:val="4C5A65A4"/>
    <w:rsid w:val="4C5B600F"/>
    <w:rsid w:val="4C5E3D09"/>
    <w:rsid w:val="4C6205A3"/>
    <w:rsid w:val="4C696023"/>
    <w:rsid w:val="4C705B7B"/>
    <w:rsid w:val="4C891322"/>
    <w:rsid w:val="4C932E85"/>
    <w:rsid w:val="4C943335"/>
    <w:rsid w:val="4C95729A"/>
    <w:rsid w:val="4C9A644B"/>
    <w:rsid w:val="4C9B3AB5"/>
    <w:rsid w:val="4CA7245A"/>
    <w:rsid w:val="4CAE48F7"/>
    <w:rsid w:val="4CB44B77"/>
    <w:rsid w:val="4CBE77A4"/>
    <w:rsid w:val="4CC21042"/>
    <w:rsid w:val="4CD11285"/>
    <w:rsid w:val="4CF40F2F"/>
    <w:rsid w:val="4CF91C70"/>
    <w:rsid w:val="4D012A99"/>
    <w:rsid w:val="4D16138E"/>
    <w:rsid w:val="4D1A0E7E"/>
    <w:rsid w:val="4D2174E6"/>
    <w:rsid w:val="4D2B369F"/>
    <w:rsid w:val="4D304D4D"/>
    <w:rsid w:val="4D37641F"/>
    <w:rsid w:val="4D58668A"/>
    <w:rsid w:val="4D5A1A33"/>
    <w:rsid w:val="4D6640C3"/>
    <w:rsid w:val="4D7E1D8F"/>
    <w:rsid w:val="4D9E1978"/>
    <w:rsid w:val="4DA40C2B"/>
    <w:rsid w:val="4DB36684"/>
    <w:rsid w:val="4DC15928"/>
    <w:rsid w:val="4DCF1FA5"/>
    <w:rsid w:val="4DE1374A"/>
    <w:rsid w:val="4DF13A75"/>
    <w:rsid w:val="4E035DB6"/>
    <w:rsid w:val="4E0D5875"/>
    <w:rsid w:val="4E1B3A02"/>
    <w:rsid w:val="4E296E9F"/>
    <w:rsid w:val="4E2E44B5"/>
    <w:rsid w:val="4E3C62D3"/>
    <w:rsid w:val="4E6B0AC1"/>
    <w:rsid w:val="4E834801"/>
    <w:rsid w:val="4E857C76"/>
    <w:rsid w:val="4E8D1FA1"/>
    <w:rsid w:val="4EA33724"/>
    <w:rsid w:val="4EB970FA"/>
    <w:rsid w:val="4ECE44E0"/>
    <w:rsid w:val="4ED41501"/>
    <w:rsid w:val="4ED43044"/>
    <w:rsid w:val="4ED94208"/>
    <w:rsid w:val="4EDF272D"/>
    <w:rsid w:val="4EE47996"/>
    <w:rsid w:val="4EEA385E"/>
    <w:rsid w:val="4EEC5046"/>
    <w:rsid w:val="4EF148BA"/>
    <w:rsid w:val="4EFA15E0"/>
    <w:rsid w:val="4F074714"/>
    <w:rsid w:val="4F3E2949"/>
    <w:rsid w:val="4F443F90"/>
    <w:rsid w:val="4F444B60"/>
    <w:rsid w:val="4F4D16AF"/>
    <w:rsid w:val="4F5401DD"/>
    <w:rsid w:val="4F640AB5"/>
    <w:rsid w:val="4F6B5525"/>
    <w:rsid w:val="4F736324"/>
    <w:rsid w:val="4FA45A12"/>
    <w:rsid w:val="4FA65598"/>
    <w:rsid w:val="4FAB0A45"/>
    <w:rsid w:val="4FB03B90"/>
    <w:rsid w:val="4FBA24A4"/>
    <w:rsid w:val="4FBA2FBC"/>
    <w:rsid w:val="5005686C"/>
    <w:rsid w:val="500707B0"/>
    <w:rsid w:val="500A67F9"/>
    <w:rsid w:val="50344C85"/>
    <w:rsid w:val="50377F99"/>
    <w:rsid w:val="503A12E2"/>
    <w:rsid w:val="503B22EE"/>
    <w:rsid w:val="503C512F"/>
    <w:rsid w:val="50400FE1"/>
    <w:rsid w:val="5055041F"/>
    <w:rsid w:val="505F6B4B"/>
    <w:rsid w:val="50667EA7"/>
    <w:rsid w:val="5067125F"/>
    <w:rsid w:val="506B1E14"/>
    <w:rsid w:val="506F328F"/>
    <w:rsid w:val="50930A19"/>
    <w:rsid w:val="5093764E"/>
    <w:rsid w:val="509C7DFC"/>
    <w:rsid w:val="50B07919"/>
    <w:rsid w:val="50B129D4"/>
    <w:rsid w:val="50B13A11"/>
    <w:rsid w:val="50D86DBC"/>
    <w:rsid w:val="50D92DFE"/>
    <w:rsid w:val="50DD28EE"/>
    <w:rsid w:val="510065DD"/>
    <w:rsid w:val="51025477"/>
    <w:rsid w:val="51056D33"/>
    <w:rsid w:val="51324B68"/>
    <w:rsid w:val="513546BF"/>
    <w:rsid w:val="513D338D"/>
    <w:rsid w:val="51453FF0"/>
    <w:rsid w:val="515D758B"/>
    <w:rsid w:val="515E5A4C"/>
    <w:rsid w:val="51624BA2"/>
    <w:rsid w:val="516461A8"/>
    <w:rsid w:val="51664ED6"/>
    <w:rsid w:val="516B17B1"/>
    <w:rsid w:val="516E1C65"/>
    <w:rsid w:val="517664B3"/>
    <w:rsid w:val="518A5EA7"/>
    <w:rsid w:val="518B61BE"/>
    <w:rsid w:val="518E5997"/>
    <w:rsid w:val="51A02F9B"/>
    <w:rsid w:val="51A40587"/>
    <w:rsid w:val="51B90429"/>
    <w:rsid w:val="51C554E1"/>
    <w:rsid w:val="51E222F4"/>
    <w:rsid w:val="51E70525"/>
    <w:rsid w:val="51F7602F"/>
    <w:rsid w:val="52050882"/>
    <w:rsid w:val="52084F42"/>
    <w:rsid w:val="5221335A"/>
    <w:rsid w:val="523B491F"/>
    <w:rsid w:val="52467BC5"/>
    <w:rsid w:val="524F6EE1"/>
    <w:rsid w:val="5297345B"/>
    <w:rsid w:val="529950D0"/>
    <w:rsid w:val="52A31851"/>
    <w:rsid w:val="52A77A34"/>
    <w:rsid w:val="52B15FA1"/>
    <w:rsid w:val="52D151D7"/>
    <w:rsid w:val="52E26C7E"/>
    <w:rsid w:val="52E934AC"/>
    <w:rsid w:val="52F16389"/>
    <w:rsid w:val="5302646D"/>
    <w:rsid w:val="531B1083"/>
    <w:rsid w:val="531D5787"/>
    <w:rsid w:val="53247847"/>
    <w:rsid w:val="532540D9"/>
    <w:rsid w:val="532742F5"/>
    <w:rsid w:val="532E5683"/>
    <w:rsid w:val="532E7FE3"/>
    <w:rsid w:val="53316F22"/>
    <w:rsid w:val="5351758E"/>
    <w:rsid w:val="53542C10"/>
    <w:rsid w:val="53542FD4"/>
    <w:rsid w:val="535B7AFB"/>
    <w:rsid w:val="5373753A"/>
    <w:rsid w:val="53881C3B"/>
    <w:rsid w:val="538C5941"/>
    <w:rsid w:val="539A6A34"/>
    <w:rsid w:val="53D63625"/>
    <w:rsid w:val="53DE6D19"/>
    <w:rsid w:val="53EA66CB"/>
    <w:rsid w:val="53EF50E8"/>
    <w:rsid w:val="53F33DEA"/>
    <w:rsid w:val="53F350AE"/>
    <w:rsid w:val="54015914"/>
    <w:rsid w:val="541D04BA"/>
    <w:rsid w:val="542573C5"/>
    <w:rsid w:val="54386CC2"/>
    <w:rsid w:val="5441024B"/>
    <w:rsid w:val="54420CBA"/>
    <w:rsid w:val="54441C14"/>
    <w:rsid w:val="544669FD"/>
    <w:rsid w:val="54490586"/>
    <w:rsid w:val="5462436F"/>
    <w:rsid w:val="547E4A87"/>
    <w:rsid w:val="548E3DB8"/>
    <w:rsid w:val="5511700B"/>
    <w:rsid w:val="55747599"/>
    <w:rsid w:val="55901658"/>
    <w:rsid w:val="55926EB7"/>
    <w:rsid w:val="55967510"/>
    <w:rsid w:val="55AE6607"/>
    <w:rsid w:val="55B12D74"/>
    <w:rsid w:val="55E8516D"/>
    <w:rsid w:val="55F668FC"/>
    <w:rsid w:val="55F933F7"/>
    <w:rsid w:val="560426CB"/>
    <w:rsid w:val="56102E1E"/>
    <w:rsid w:val="561C5C67"/>
    <w:rsid w:val="561E2A02"/>
    <w:rsid w:val="56207758"/>
    <w:rsid w:val="56212396"/>
    <w:rsid w:val="562337ED"/>
    <w:rsid w:val="56286533"/>
    <w:rsid w:val="562E14F6"/>
    <w:rsid w:val="562E4292"/>
    <w:rsid w:val="563034C0"/>
    <w:rsid w:val="56342F97"/>
    <w:rsid w:val="56384123"/>
    <w:rsid w:val="563D2C93"/>
    <w:rsid w:val="563F4DF7"/>
    <w:rsid w:val="56552C9D"/>
    <w:rsid w:val="5661367A"/>
    <w:rsid w:val="566E7A93"/>
    <w:rsid w:val="567F7F6E"/>
    <w:rsid w:val="5699366D"/>
    <w:rsid w:val="569A3030"/>
    <w:rsid w:val="56A47A0A"/>
    <w:rsid w:val="56A96DCF"/>
    <w:rsid w:val="56B0015D"/>
    <w:rsid w:val="56B86403"/>
    <w:rsid w:val="56ED315F"/>
    <w:rsid w:val="5705494D"/>
    <w:rsid w:val="572529A2"/>
    <w:rsid w:val="57356982"/>
    <w:rsid w:val="576A4E53"/>
    <w:rsid w:val="577F71B5"/>
    <w:rsid w:val="57935099"/>
    <w:rsid w:val="57C00874"/>
    <w:rsid w:val="57EE10CA"/>
    <w:rsid w:val="57EE718F"/>
    <w:rsid w:val="57EF4CB5"/>
    <w:rsid w:val="57FA7826"/>
    <w:rsid w:val="57FD3876"/>
    <w:rsid w:val="58150155"/>
    <w:rsid w:val="5818698A"/>
    <w:rsid w:val="583F5C4C"/>
    <w:rsid w:val="58430B05"/>
    <w:rsid w:val="5858416E"/>
    <w:rsid w:val="58612B82"/>
    <w:rsid w:val="58717CB9"/>
    <w:rsid w:val="58AA49C6"/>
    <w:rsid w:val="58B21136"/>
    <w:rsid w:val="58B47A06"/>
    <w:rsid w:val="58D171FD"/>
    <w:rsid w:val="58D37E8A"/>
    <w:rsid w:val="58DC16DE"/>
    <w:rsid w:val="58F178E2"/>
    <w:rsid w:val="591362C0"/>
    <w:rsid w:val="59230B7F"/>
    <w:rsid w:val="594B184B"/>
    <w:rsid w:val="59635D3A"/>
    <w:rsid w:val="59637709"/>
    <w:rsid w:val="596C0CB3"/>
    <w:rsid w:val="59721487"/>
    <w:rsid w:val="59941FB8"/>
    <w:rsid w:val="59954C07"/>
    <w:rsid w:val="59A206F2"/>
    <w:rsid w:val="59A22260"/>
    <w:rsid w:val="59B81EC1"/>
    <w:rsid w:val="59B83EF9"/>
    <w:rsid w:val="59C115DD"/>
    <w:rsid w:val="59C84996"/>
    <w:rsid w:val="59D423B5"/>
    <w:rsid w:val="59E14870"/>
    <w:rsid w:val="59E53931"/>
    <w:rsid w:val="59E820FF"/>
    <w:rsid w:val="59EC709F"/>
    <w:rsid w:val="5A054AB8"/>
    <w:rsid w:val="5A172EC4"/>
    <w:rsid w:val="5A21199A"/>
    <w:rsid w:val="5A235F09"/>
    <w:rsid w:val="5A40568A"/>
    <w:rsid w:val="5A4455DB"/>
    <w:rsid w:val="5A6B0F6B"/>
    <w:rsid w:val="5A6D16E6"/>
    <w:rsid w:val="5A7D3E35"/>
    <w:rsid w:val="5A8C27BF"/>
    <w:rsid w:val="5A917BF1"/>
    <w:rsid w:val="5AAF70D9"/>
    <w:rsid w:val="5ABB71FA"/>
    <w:rsid w:val="5ABD553F"/>
    <w:rsid w:val="5AC00965"/>
    <w:rsid w:val="5AC75083"/>
    <w:rsid w:val="5ADE35D3"/>
    <w:rsid w:val="5B0F0ED6"/>
    <w:rsid w:val="5B4E6926"/>
    <w:rsid w:val="5B503065"/>
    <w:rsid w:val="5B5B3B10"/>
    <w:rsid w:val="5B633FCD"/>
    <w:rsid w:val="5B7F45A2"/>
    <w:rsid w:val="5B834F2D"/>
    <w:rsid w:val="5B8D6CBF"/>
    <w:rsid w:val="5B90055D"/>
    <w:rsid w:val="5B9843D2"/>
    <w:rsid w:val="5BA70DBE"/>
    <w:rsid w:val="5BB81099"/>
    <w:rsid w:val="5BD112B1"/>
    <w:rsid w:val="5BD60666"/>
    <w:rsid w:val="5BE508A9"/>
    <w:rsid w:val="5BEE2DC3"/>
    <w:rsid w:val="5C0E3DD6"/>
    <w:rsid w:val="5C272C70"/>
    <w:rsid w:val="5C3020B7"/>
    <w:rsid w:val="5C384E7D"/>
    <w:rsid w:val="5C391F31"/>
    <w:rsid w:val="5C3B3B08"/>
    <w:rsid w:val="5C5D05CA"/>
    <w:rsid w:val="5C6F53A4"/>
    <w:rsid w:val="5C7659A5"/>
    <w:rsid w:val="5CA5018C"/>
    <w:rsid w:val="5CA81058"/>
    <w:rsid w:val="5CAA110F"/>
    <w:rsid w:val="5CB14C2F"/>
    <w:rsid w:val="5CC85F4D"/>
    <w:rsid w:val="5CD61C72"/>
    <w:rsid w:val="5CE4246E"/>
    <w:rsid w:val="5CEC15EF"/>
    <w:rsid w:val="5CFC02FC"/>
    <w:rsid w:val="5D011713"/>
    <w:rsid w:val="5D0A7E77"/>
    <w:rsid w:val="5D15648E"/>
    <w:rsid w:val="5D172CE4"/>
    <w:rsid w:val="5D2426CA"/>
    <w:rsid w:val="5D3A4C25"/>
    <w:rsid w:val="5D3F048D"/>
    <w:rsid w:val="5D4F249B"/>
    <w:rsid w:val="5D501372"/>
    <w:rsid w:val="5D503B37"/>
    <w:rsid w:val="5D521F6E"/>
    <w:rsid w:val="5D537A94"/>
    <w:rsid w:val="5D5A7075"/>
    <w:rsid w:val="5D604CBB"/>
    <w:rsid w:val="5D720862"/>
    <w:rsid w:val="5D72592E"/>
    <w:rsid w:val="5D7B64BE"/>
    <w:rsid w:val="5D7D66FB"/>
    <w:rsid w:val="5D7E2D63"/>
    <w:rsid w:val="5D83037A"/>
    <w:rsid w:val="5DA35602"/>
    <w:rsid w:val="5DA47952"/>
    <w:rsid w:val="5DD47CC1"/>
    <w:rsid w:val="5DF03712"/>
    <w:rsid w:val="5E14191A"/>
    <w:rsid w:val="5E1A6CC0"/>
    <w:rsid w:val="5E522721"/>
    <w:rsid w:val="5E547F68"/>
    <w:rsid w:val="5E6C7060"/>
    <w:rsid w:val="5E897C12"/>
    <w:rsid w:val="5E960581"/>
    <w:rsid w:val="5E962103"/>
    <w:rsid w:val="5E9810AA"/>
    <w:rsid w:val="5E9D202A"/>
    <w:rsid w:val="5EBD1A00"/>
    <w:rsid w:val="5EC3566E"/>
    <w:rsid w:val="5ED82F1E"/>
    <w:rsid w:val="5F0862C3"/>
    <w:rsid w:val="5F1A4311"/>
    <w:rsid w:val="5F2E3793"/>
    <w:rsid w:val="5F35487E"/>
    <w:rsid w:val="5F4C2B4C"/>
    <w:rsid w:val="5F565F72"/>
    <w:rsid w:val="5F8578AB"/>
    <w:rsid w:val="5F88629A"/>
    <w:rsid w:val="5F974BCC"/>
    <w:rsid w:val="5FB12B08"/>
    <w:rsid w:val="5FB27537"/>
    <w:rsid w:val="5FB41298"/>
    <w:rsid w:val="5FB533AE"/>
    <w:rsid w:val="5FD205E8"/>
    <w:rsid w:val="5FE50FB6"/>
    <w:rsid w:val="5FE54325"/>
    <w:rsid w:val="5FE72823"/>
    <w:rsid w:val="5FFC7F17"/>
    <w:rsid w:val="6005151A"/>
    <w:rsid w:val="600D4948"/>
    <w:rsid w:val="6017124D"/>
    <w:rsid w:val="60174144"/>
    <w:rsid w:val="60252E55"/>
    <w:rsid w:val="602F30B6"/>
    <w:rsid w:val="602F6597"/>
    <w:rsid w:val="6031230F"/>
    <w:rsid w:val="60341993"/>
    <w:rsid w:val="60367925"/>
    <w:rsid w:val="603F3A5E"/>
    <w:rsid w:val="604007A4"/>
    <w:rsid w:val="60600934"/>
    <w:rsid w:val="60825ECA"/>
    <w:rsid w:val="609B1E7E"/>
    <w:rsid w:val="609F74C4"/>
    <w:rsid w:val="60BA62F7"/>
    <w:rsid w:val="60D1186B"/>
    <w:rsid w:val="60F4333C"/>
    <w:rsid w:val="61092E06"/>
    <w:rsid w:val="61135EB8"/>
    <w:rsid w:val="61314591"/>
    <w:rsid w:val="613A6C53"/>
    <w:rsid w:val="614A6513"/>
    <w:rsid w:val="616F422C"/>
    <w:rsid w:val="61794856"/>
    <w:rsid w:val="618D5C6B"/>
    <w:rsid w:val="619713CA"/>
    <w:rsid w:val="61A70CC0"/>
    <w:rsid w:val="61BA3710"/>
    <w:rsid w:val="61C87213"/>
    <w:rsid w:val="61CD4AD9"/>
    <w:rsid w:val="61D376E0"/>
    <w:rsid w:val="61DF58C6"/>
    <w:rsid w:val="61E6537B"/>
    <w:rsid w:val="61EA4E6B"/>
    <w:rsid w:val="61FC6AB6"/>
    <w:rsid w:val="62097391"/>
    <w:rsid w:val="622F363A"/>
    <w:rsid w:val="623C31ED"/>
    <w:rsid w:val="624C7C85"/>
    <w:rsid w:val="624D71A8"/>
    <w:rsid w:val="625209B9"/>
    <w:rsid w:val="626813AC"/>
    <w:rsid w:val="627B3AAD"/>
    <w:rsid w:val="62B055A2"/>
    <w:rsid w:val="62BD2F6D"/>
    <w:rsid w:val="62CD0588"/>
    <w:rsid w:val="62D90A3C"/>
    <w:rsid w:val="62E93D7B"/>
    <w:rsid w:val="6315416A"/>
    <w:rsid w:val="633211DE"/>
    <w:rsid w:val="6339083A"/>
    <w:rsid w:val="635352C0"/>
    <w:rsid w:val="6365585E"/>
    <w:rsid w:val="63730E90"/>
    <w:rsid w:val="637639ED"/>
    <w:rsid w:val="637D586B"/>
    <w:rsid w:val="6397692D"/>
    <w:rsid w:val="63A075D3"/>
    <w:rsid w:val="63B807C2"/>
    <w:rsid w:val="63C13032"/>
    <w:rsid w:val="63EC00E2"/>
    <w:rsid w:val="63F0409E"/>
    <w:rsid w:val="6401024A"/>
    <w:rsid w:val="64027C05"/>
    <w:rsid w:val="6408075A"/>
    <w:rsid w:val="641E0DFC"/>
    <w:rsid w:val="64281F90"/>
    <w:rsid w:val="64316049"/>
    <w:rsid w:val="64325F13"/>
    <w:rsid w:val="644E7D5D"/>
    <w:rsid w:val="64524CAB"/>
    <w:rsid w:val="6455528F"/>
    <w:rsid w:val="6459610E"/>
    <w:rsid w:val="646D2225"/>
    <w:rsid w:val="646E5DD0"/>
    <w:rsid w:val="647C551D"/>
    <w:rsid w:val="648543C8"/>
    <w:rsid w:val="648844C8"/>
    <w:rsid w:val="64A10055"/>
    <w:rsid w:val="64A31301"/>
    <w:rsid w:val="64A35594"/>
    <w:rsid w:val="64A55079"/>
    <w:rsid w:val="64AA08E2"/>
    <w:rsid w:val="64D207CE"/>
    <w:rsid w:val="64D30B07"/>
    <w:rsid w:val="64D70FAB"/>
    <w:rsid w:val="64E85052"/>
    <w:rsid w:val="64F8693E"/>
    <w:rsid w:val="64FE29DC"/>
    <w:rsid w:val="654E74BF"/>
    <w:rsid w:val="654F3237"/>
    <w:rsid w:val="655417A5"/>
    <w:rsid w:val="65640EC5"/>
    <w:rsid w:val="659712E0"/>
    <w:rsid w:val="659D3FA3"/>
    <w:rsid w:val="659E0342"/>
    <w:rsid w:val="65A11BF2"/>
    <w:rsid w:val="65A654B3"/>
    <w:rsid w:val="65AC5ADE"/>
    <w:rsid w:val="65C47416"/>
    <w:rsid w:val="65C77271"/>
    <w:rsid w:val="65CC0DF8"/>
    <w:rsid w:val="65D85E53"/>
    <w:rsid w:val="65DF0A5F"/>
    <w:rsid w:val="661C136B"/>
    <w:rsid w:val="661C580F"/>
    <w:rsid w:val="662D06A3"/>
    <w:rsid w:val="662D107D"/>
    <w:rsid w:val="663F505A"/>
    <w:rsid w:val="66501015"/>
    <w:rsid w:val="66680A54"/>
    <w:rsid w:val="666C01DA"/>
    <w:rsid w:val="66777334"/>
    <w:rsid w:val="668D0DB7"/>
    <w:rsid w:val="669A1A97"/>
    <w:rsid w:val="669F1A28"/>
    <w:rsid w:val="66B45A48"/>
    <w:rsid w:val="66B5531C"/>
    <w:rsid w:val="66B872ED"/>
    <w:rsid w:val="66C51A03"/>
    <w:rsid w:val="66CB0B8A"/>
    <w:rsid w:val="66CF0004"/>
    <w:rsid w:val="66DC0AFB"/>
    <w:rsid w:val="66E005EB"/>
    <w:rsid w:val="66F127F8"/>
    <w:rsid w:val="67155882"/>
    <w:rsid w:val="672578FD"/>
    <w:rsid w:val="672947CB"/>
    <w:rsid w:val="672D18F7"/>
    <w:rsid w:val="673646AF"/>
    <w:rsid w:val="67620F81"/>
    <w:rsid w:val="6771081B"/>
    <w:rsid w:val="67786039"/>
    <w:rsid w:val="678D7184"/>
    <w:rsid w:val="679E109A"/>
    <w:rsid w:val="67A1709B"/>
    <w:rsid w:val="67A20A14"/>
    <w:rsid w:val="67AC729A"/>
    <w:rsid w:val="67BB4BB4"/>
    <w:rsid w:val="67DC0396"/>
    <w:rsid w:val="680764D4"/>
    <w:rsid w:val="680F3292"/>
    <w:rsid w:val="68166636"/>
    <w:rsid w:val="68171337"/>
    <w:rsid w:val="68203867"/>
    <w:rsid w:val="682F273D"/>
    <w:rsid w:val="6832758D"/>
    <w:rsid w:val="68364CD7"/>
    <w:rsid w:val="6850354E"/>
    <w:rsid w:val="68662D72"/>
    <w:rsid w:val="686A17FF"/>
    <w:rsid w:val="687E00BB"/>
    <w:rsid w:val="688575DB"/>
    <w:rsid w:val="688D19A9"/>
    <w:rsid w:val="689D5228"/>
    <w:rsid w:val="68A3101A"/>
    <w:rsid w:val="68BC47A1"/>
    <w:rsid w:val="68CD2A5F"/>
    <w:rsid w:val="68DB53E7"/>
    <w:rsid w:val="68E338C4"/>
    <w:rsid w:val="68E65C61"/>
    <w:rsid w:val="68F50795"/>
    <w:rsid w:val="690D569D"/>
    <w:rsid w:val="690F6F65"/>
    <w:rsid w:val="693E783B"/>
    <w:rsid w:val="69435E85"/>
    <w:rsid w:val="694806C9"/>
    <w:rsid w:val="694D5CE0"/>
    <w:rsid w:val="6960156F"/>
    <w:rsid w:val="69623539"/>
    <w:rsid w:val="69656DCE"/>
    <w:rsid w:val="69801C11"/>
    <w:rsid w:val="698711F2"/>
    <w:rsid w:val="69A4520A"/>
    <w:rsid w:val="69E3086A"/>
    <w:rsid w:val="69EE7718"/>
    <w:rsid w:val="69F8194A"/>
    <w:rsid w:val="6A042842"/>
    <w:rsid w:val="6A174AB0"/>
    <w:rsid w:val="6A230969"/>
    <w:rsid w:val="6A4A30DB"/>
    <w:rsid w:val="6A5E1D79"/>
    <w:rsid w:val="6A6D03E7"/>
    <w:rsid w:val="6A7B5219"/>
    <w:rsid w:val="6A95793E"/>
    <w:rsid w:val="6AB511CF"/>
    <w:rsid w:val="6AB62284"/>
    <w:rsid w:val="6AB73EBA"/>
    <w:rsid w:val="6AB9122B"/>
    <w:rsid w:val="6AC206A5"/>
    <w:rsid w:val="6AC87D14"/>
    <w:rsid w:val="6ACA6984"/>
    <w:rsid w:val="6AD14E1A"/>
    <w:rsid w:val="6AD16ECB"/>
    <w:rsid w:val="6AEB54D4"/>
    <w:rsid w:val="6AEF520E"/>
    <w:rsid w:val="6AF92171"/>
    <w:rsid w:val="6AFD4946"/>
    <w:rsid w:val="6B064398"/>
    <w:rsid w:val="6B1D240A"/>
    <w:rsid w:val="6B22444F"/>
    <w:rsid w:val="6B2B5108"/>
    <w:rsid w:val="6B2C6EA5"/>
    <w:rsid w:val="6B352EA6"/>
    <w:rsid w:val="6B3E3083"/>
    <w:rsid w:val="6B40098D"/>
    <w:rsid w:val="6B71751F"/>
    <w:rsid w:val="6B742D1D"/>
    <w:rsid w:val="6B861C99"/>
    <w:rsid w:val="6B8F4C63"/>
    <w:rsid w:val="6BB169FA"/>
    <w:rsid w:val="6BB95E17"/>
    <w:rsid w:val="6BBA3B00"/>
    <w:rsid w:val="6BCF5336"/>
    <w:rsid w:val="6BD951E1"/>
    <w:rsid w:val="6BEF7FD6"/>
    <w:rsid w:val="6BFC528A"/>
    <w:rsid w:val="6C172D01"/>
    <w:rsid w:val="6C270F99"/>
    <w:rsid w:val="6C4135E2"/>
    <w:rsid w:val="6C432CD3"/>
    <w:rsid w:val="6C4C0550"/>
    <w:rsid w:val="6C5F1FB2"/>
    <w:rsid w:val="6C6455BC"/>
    <w:rsid w:val="6C6A107E"/>
    <w:rsid w:val="6C6A51B9"/>
    <w:rsid w:val="6C6C35D2"/>
    <w:rsid w:val="6C7121BA"/>
    <w:rsid w:val="6C8B2DA7"/>
    <w:rsid w:val="6CA43E69"/>
    <w:rsid w:val="6CBF0CA2"/>
    <w:rsid w:val="6CD73F82"/>
    <w:rsid w:val="6CD74CC6"/>
    <w:rsid w:val="6CF71E95"/>
    <w:rsid w:val="6CFA7F2C"/>
    <w:rsid w:val="6D0B213A"/>
    <w:rsid w:val="6D1871B2"/>
    <w:rsid w:val="6D1A412B"/>
    <w:rsid w:val="6D3421AE"/>
    <w:rsid w:val="6D4F63C3"/>
    <w:rsid w:val="6D725612"/>
    <w:rsid w:val="6D725D15"/>
    <w:rsid w:val="6D800432"/>
    <w:rsid w:val="6D836174"/>
    <w:rsid w:val="6D853C9A"/>
    <w:rsid w:val="6D997745"/>
    <w:rsid w:val="6D9D7056"/>
    <w:rsid w:val="6DA02882"/>
    <w:rsid w:val="6DB6439F"/>
    <w:rsid w:val="6DB91B96"/>
    <w:rsid w:val="6DC94A10"/>
    <w:rsid w:val="6DE5298B"/>
    <w:rsid w:val="6DE834B9"/>
    <w:rsid w:val="6DFD5F26"/>
    <w:rsid w:val="6E080427"/>
    <w:rsid w:val="6E100DDF"/>
    <w:rsid w:val="6E162B44"/>
    <w:rsid w:val="6E175675"/>
    <w:rsid w:val="6E2039C3"/>
    <w:rsid w:val="6E251CF8"/>
    <w:rsid w:val="6E42770B"/>
    <w:rsid w:val="6E4A0A40"/>
    <w:rsid w:val="6E4F32AC"/>
    <w:rsid w:val="6E531FEA"/>
    <w:rsid w:val="6E5B0DE3"/>
    <w:rsid w:val="6E5F273D"/>
    <w:rsid w:val="6E660905"/>
    <w:rsid w:val="6E661D1D"/>
    <w:rsid w:val="6EA75E92"/>
    <w:rsid w:val="6EB81C75"/>
    <w:rsid w:val="6EBA7973"/>
    <w:rsid w:val="6EBB5C2A"/>
    <w:rsid w:val="6EBD1212"/>
    <w:rsid w:val="6EC86534"/>
    <w:rsid w:val="6EDA5EC1"/>
    <w:rsid w:val="6EE756FF"/>
    <w:rsid w:val="6EE80984"/>
    <w:rsid w:val="6EEB2223"/>
    <w:rsid w:val="6EF30BEF"/>
    <w:rsid w:val="6EF410D7"/>
    <w:rsid w:val="6EFF182A"/>
    <w:rsid w:val="6F055B45"/>
    <w:rsid w:val="6F0A08FB"/>
    <w:rsid w:val="6F18756B"/>
    <w:rsid w:val="6F2F34E9"/>
    <w:rsid w:val="6F413B03"/>
    <w:rsid w:val="6F773AB6"/>
    <w:rsid w:val="6F8E21DE"/>
    <w:rsid w:val="6F9326A6"/>
    <w:rsid w:val="6FAB261D"/>
    <w:rsid w:val="6FAC3760"/>
    <w:rsid w:val="6FB62D55"/>
    <w:rsid w:val="6FB72105"/>
    <w:rsid w:val="6FB80334"/>
    <w:rsid w:val="6FBB325E"/>
    <w:rsid w:val="6FCC0900"/>
    <w:rsid w:val="6FE3114C"/>
    <w:rsid w:val="6FE61B3E"/>
    <w:rsid w:val="6FEE2C9C"/>
    <w:rsid w:val="700C2095"/>
    <w:rsid w:val="700C2451"/>
    <w:rsid w:val="700F5D92"/>
    <w:rsid w:val="701571E6"/>
    <w:rsid w:val="70181177"/>
    <w:rsid w:val="70384B42"/>
    <w:rsid w:val="70390D6C"/>
    <w:rsid w:val="70553DF8"/>
    <w:rsid w:val="70587444"/>
    <w:rsid w:val="70607777"/>
    <w:rsid w:val="70721F7A"/>
    <w:rsid w:val="707638C3"/>
    <w:rsid w:val="707A2534"/>
    <w:rsid w:val="70950698"/>
    <w:rsid w:val="70AA34B0"/>
    <w:rsid w:val="70D62E0D"/>
    <w:rsid w:val="70D97FFE"/>
    <w:rsid w:val="70E1141A"/>
    <w:rsid w:val="710326A3"/>
    <w:rsid w:val="71035FB5"/>
    <w:rsid w:val="71125151"/>
    <w:rsid w:val="711A671D"/>
    <w:rsid w:val="712509BF"/>
    <w:rsid w:val="715A3214"/>
    <w:rsid w:val="7164006A"/>
    <w:rsid w:val="717958C4"/>
    <w:rsid w:val="71882CE2"/>
    <w:rsid w:val="718F57A7"/>
    <w:rsid w:val="71901525"/>
    <w:rsid w:val="7193525B"/>
    <w:rsid w:val="71950224"/>
    <w:rsid w:val="719646C8"/>
    <w:rsid w:val="719808DD"/>
    <w:rsid w:val="71A144D8"/>
    <w:rsid w:val="71AE1010"/>
    <w:rsid w:val="71B14614"/>
    <w:rsid w:val="71C7058D"/>
    <w:rsid w:val="71D12634"/>
    <w:rsid w:val="71E042C5"/>
    <w:rsid w:val="71E76CD1"/>
    <w:rsid w:val="71EA370C"/>
    <w:rsid w:val="71F66728"/>
    <w:rsid w:val="721904C7"/>
    <w:rsid w:val="722021E3"/>
    <w:rsid w:val="72245722"/>
    <w:rsid w:val="7242215D"/>
    <w:rsid w:val="72476078"/>
    <w:rsid w:val="727442DD"/>
    <w:rsid w:val="72775BBB"/>
    <w:rsid w:val="72843406"/>
    <w:rsid w:val="7294742C"/>
    <w:rsid w:val="72B140DA"/>
    <w:rsid w:val="72D8187A"/>
    <w:rsid w:val="72DB435C"/>
    <w:rsid w:val="72E05808"/>
    <w:rsid w:val="72F57C4F"/>
    <w:rsid w:val="72F84F0E"/>
    <w:rsid w:val="72FC67AC"/>
    <w:rsid w:val="72FE667A"/>
    <w:rsid w:val="73005B71"/>
    <w:rsid w:val="73010267"/>
    <w:rsid w:val="73146EFC"/>
    <w:rsid w:val="732301DD"/>
    <w:rsid w:val="7348553E"/>
    <w:rsid w:val="735E192B"/>
    <w:rsid w:val="737B393D"/>
    <w:rsid w:val="73AB1CF8"/>
    <w:rsid w:val="73AF6DA4"/>
    <w:rsid w:val="73C117A4"/>
    <w:rsid w:val="73C25BA8"/>
    <w:rsid w:val="73C363A1"/>
    <w:rsid w:val="73C66DBA"/>
    <w:rsid w:val="73CA204F"/>
    <w:rsid w:val="73CC2623"/>
    <w:rsid w:val="73D414D7"/>
    <w:rsid w:val="73DB1277"/>
    <w:rsid w:val="740878C7"/>
    <w:rsid w:val="74145D78"/>
    <w:rsid w:val="741C6A86"/>
    <w:rsid w:val="74284B1A"/>
    <w:rsid w:val="743D5BBD"/>
    <w:rsid w:val="744A79EB"/>
    <w:rsid w:val="744F61D4"/>
    <w:rsid w:val="74532667"/>
    <w:rsid w:val="7456013E"/>
    <w:rsid w:val="746740F9"/>
    <w:rsid w:val="74805B31"/>
    <w:rsid w:val="74956EB9"/>
    <w:rsid w:val="74A40EAA"/>
    <w:rsid w:val="74BC1EBF"/>
    <w:rsid w:val="74C01A5C"/>
    <w:rsid w:val="74C257D4"/>
    <w:rsid w:val="74C4035E"/>
    <w:rsid w:val="74C628D1"/>
    <w:rsid w:val="74F963F6"/>
    <w:rsid w:val="75085401"/>
    <w:rsid w:val="750F3DE0"/>
    <w:rsid w:val="753A53EB"/>
    <w:rsid w:val="753E5A4B"/>
    <w:rsid w:val="75454055"/>
    <w:rsid w:val="75461F61"/>
    <w:rsid w:val="754652A9"/>
    <w:rsid w:val="754B79A4"/>
    <w:rsid w:val="75715295"/>
    <w:rsid w:val="75734D20"/>
    <w:rsid w:val="75AB6C03"/>
    <w:rsid w:val="75B20343"/>
    <w:rsid w:val="75BE211E"/>
    <w:rsid w:val="75C13B8A"/>
    <w:rsid w:val="75EF6E75"/>
    <w:rsid w:val="75FB5E0E"/>
    <w:rsid w:val="75FB5F25"/>
    <w:rsid w:val="760050D2"/>
    <w:rsid w:val="76045994"/>
    <w:rsid w:val="760D0CD1"/>
    <w:rsid w:val="76126652"/>
    <w:rsid w:val="76143E0D"/>
    <w:rsid w:val="76162E48"/>
    <w:rsid w:val="7625356D"/>
    <w:rsid w:val="76304ECE"/>
    <w:rsid w:val="765D7C11"/>
    <w:rsid w:val="768A40CF"/>
    <w:rsid w:val="768C75A0"/>
    <w:rsid w:val="769D108B"/>
    <w:rsid w:val="76AA0392"/>
    <w:rsid w:val="76BA4AF8"/>
    <w:rsid w:val="76BB072D"/>
    <w:rsid w:val="76BD6253"/>
    <w:rsid w:val="76BF6965"/>
    <w:rsid w:val="76CD7890"/>
    <w:rsid w:val="76E063E5"/>
    <w:rsid w:val="76E37A4D"/>
    <w:rsid w:val="76F105F2"/>
    <w:rsid w:val="76F93CFB"/>
    <w:rsid w:val="76FB0B77"/>
    <w:rsid w:val="771A19D2"/>
    <w:rsid w:val="773123A8"/>
    <w:rsid w:val="77362007"/>
    <w:rsid w:val="77513928"/>
    <w:rsid w:val="77533AC5"/>
    <w:rsid w:val="775D2131"/>
    <w:rsid w:val="776E3B94"/>
    <w:rsid w:val="77702AF8"/>
    <w:rsid w:val="77933457"/>
    <w:rsid w:val="77995C9A"/>
    <w:rsid w:val="77B93D3D"/>
    <w:rsid w:val="77BD0ACC"/>
    <w:rsid w:val="77C61395"/>
    <w:rsid w:val="77D61BF0"/>
    <w:rsid w:val="77E906A2"/>
    <w:rsid w:val="77F27248"/>
    <w:rsid w:val="77FC0FFD"/>
    <w:rsid w:val="77FE4884"/>
    <w:rsid w:val="780600CD"/>
    <w:rsid w:val="7808509E"/>
    <w:rsid w:val="780B5073"/>
    <w:rsid w:val="78116597"/>
    <w:rsid w:val="78184776"/>
    <w:rsid w:val="782835E0"/>
    <w:rsid w:val="782B75E0"/>
    <w:rsid w:val="7832503D"/>
    <w:rsid w:val="78464BFB"/>
    <w:rsid w:val="78465349"/>
    <w:rsid w:val="78526E6F"/>
    <w:rsid w:val="78621D57"/>
    <w:rsid w:val="78686CFC"/>
    <w:rsid w:val="786C52AB"/>
    <w:rsid w:val="78880CE0"/>
    <w:rsid w:val="78915CF7"/>
    <w:rsid w:val="789C4ED1"/>
    <w:rsid w:val="78BC0735"/>
    <w:rsid w:val="78DE1BAF"/>
    <w:rsid w:val="78EC6C66"/>
    <w:rsid w:val="78FA19E0"/>
    <w:rsid w:val="78FE7B85"/>
    <w:rsid w:val="7908485F"/>
    <w:rsid w:val="794C5FB4"/>
    <w:rsid w:val="795310F0"/>
    <w:rsid w:val="7956473D"/>
    <w:rsid w:val="795A5FDB"/>
    <w:rsid w:val="796C4F91"/>
    <w:rsid w:val="797A042B"/>
    <w:rsid w:val="79A86260"/>
    <w:rsid w:val="79AB2CDA"/>
    <w:rsid w:val="79AF01A5"/>
    <w:rsid w:val="79B26E68"/>
    <w:rsid w:val="79BC25B1"/>
    <w:rsid w:val="79C81A9B"/>
    <w:rsid w:val="79D044EF"/>
    <w:rsid w:val="79D0629D"/>
    <w:rsid w:val="79F264B1"/>
    <w:rsid w:val="7A1F7224"/>
    <w:rsid w:val="7A3063B5"/>
    <w:rsid w:val="7A3224CF"/>
    <w:rsid w:val="7A361C65"/>
    <w:rsid w:val="7A40385F"/>
    <w:rsid w:val="7A476F34"/>
    <w:rsid w:val="7A4D3D91"/>
    <w:rsid w:val="7A8D2CB9"/>
    <w:rsid w:val="7AB84269"/>
    <w:rsid w:val="7AB94F83"/>
    <w:rsid w:val="7ACE27CD"/>
    <w:rsid w:val="7ADA243B"/>
    <w:rsid w:val="7ADD409B"/>
    <w:rsid w:val="7AE2097E"/>
    <w:rsid w:val="7AE343B2"/>
    <w:rsid w:val="7AE570BB"/>
    <w:rsid w:val="7AE6239C"/>
    <w:rsid w:val="7AE645BB"/>
    <w:rsid w:val="7AE710CF"/>
    <w:rsid w:val="7B00726C"/>
    <w:rsid w:val="7B187A1F"/>
    <w:rsid w:val="7B1D759B"/>
    <w:rsid w:val="7B2F250F"/>
    <w:rsid w:val="7B2F4F94"/>
    <w:rsid w:val="7B3235E2"/>
    <w:rsid w:val="7B5312F2"/>
    <w:rsid w:val="7B62063C"/>
    <w:rsid w:val="7B8220B7"/>
    <w:rsid w:val="7B8E20DA"/>
    <w:rsid w:val="7B9220B3"/>
    <w:rsid w:val="7B970BB6"/>
    <w:rsid w:val="7B9766E0"/>
    <w:rsid w:val="7BD64729"/>
    <w:rsid w:val="7BDA3403"/>
    <w:rsid w:val="7BE157B4"/>
    <w:rsid w:val="7BE96558"/>
    <w:rsid w:val="7BF217AA"/>
    <w:rsid w:val="7BFC4C19"/>
    <w:rsid w:val="7C2B3597"/>
    <w:rsid w:val="7C341E03"/>
    <w:rsid w:val="7C3829D4"/>
    <w:rsid w:val="7C3C2310"/>
    <w:rsid w:val="7C4B6C6B"/>
    <w:rsid w:val="7C5A7DFF"/>
    <w:rsid w:val="7C610539"/>
    <w:rsid w:val="7C6B6BAB"/>
    <w:rsid w:val="7C7013B5"/>
    <w:rsid w:val="7C765DFF"/>
    <w:rsid w:val="7CA23145"/>
    <w:rsid w:val="7CB83A65"/>
    <w:rsid w:val="7CD12E3E"/>
    <w:rsid w:val="7CDB38D7"/>
    <w:rsid w:val="7CE502B1"/>
    <w:rsid w:val="7D00333D"/>
    <w:rsid w:val="7D0E2473"/>
    <w:rsid w:val="7D1C4328"/>
    <w:rsid w:val="7D23714F"/>
    <w:rsid w:val="7D2A3712"/>
    <w:rsid w:val="7D381048"/>
    <w:rsid w:val="7D436E87"/>
    <w:rsid w:val="7D580EFC"/>
    <w:rsid w:val="7D617D11"/>
    <w:rsid w:val="7D7342F2"/>
    <w:rsid w:val="7D82450A"/>
    <w:rsid w:val="7D9D33B1"/>
    <w:rsid w:val="7DA43CC8"/>
    <w:rsid w:val="7DB67EA0"/>
    <w:rsid w:val="7DBA34EC"/>
    <w:rsid w:val="7DC1351F"/>
    <w:rsid w:val="7DC223A1"/>
    <w:rsid w:val="7DDA3B8E"/>
    <w:rsid w:val="7DEA0DBA"/>
    <w:rsid w:val="7DF30D80"/>
    <w:rsid w:val="7DFC69A1"/>
    <w:rsid w:val="7E040005"/>
    <w:rsid w:val="7E064C0C"/>
    <w:rsid w:val="7E0C5B91"/>
    <w:rsid w:val="7E196EF9"/>
    <w:rsid w:val="7E1B2C73"/>
    <w:rsid w:val="7E42010D"/>
    <w:rsid w:val="7E590F57"/>
    <w:rsid w:val="7E596476"/>
    <w:rsid w:val="7E695C1D"/>
    <w:rsid w:val="7E6B0C8A"/>
    <w:rsid w:val="7E6F077A"/>
    <w:rsid w:val="7E786453"/>
    <w:rsid w:val="7E7F64E4"/>
    <w:rsid w:val="7E857F9E"/>
    <w:rsid w:val="7E8B6C36"/>
    <w:rsid w:val="7E9440A8"/>
    <w:rsid w:val="7E977608"/>
    <w:rsid w:val="7E98276C"/>
    <w:rsid w:val="7EA128FE"/>
    <w:rsid w:val="7EA77408"/>
    <w:rsid w:val="7EBE29FA"/>
    <w:rsid w:val="7EBF4783"/>
    <w:rsid w:val="7EC2097B"/>
    <w:rsid w:val="7ECA3A2E"/>
    <w:rsid w:val="7ECC2126"/>
    <w:rsid w:val="7ED44A81"/>
    <w:rsid w:val="7EE8326D"/>
    <w:rsid w:val="7EEB5D1E"/>
    <w:rsid w:val="7F0A75C5"/>
    <w:rsid w:val="7F29784B"/>
    <w:rsid w:val="7F395620"/>
    <w:rsid w:val="7F447F09"/>
    <w:rsid w:val="7F467141"/>
    <w:rsid w:val="7F645E05"/>
    <w:rsid w:val="7F673200"/>
    <w:rsid w:val="7F6776A3"/>
    <w:rsid w:val="7F6869B7"/>
    <w:rsid w:val="7F923FCB"/>
    <w:rsid w:val="7FA137B8"/>
    <w:rsid w:val="7FB83A5B"/>
    <w:rsid w:val="7FCF3985"/>
    <w:rsid w:val="7FD45BC4"/>
    <w:rsid w:val="7FDB3DF3"/>
    <w:rsid w:val="7FE37A28"/>
    <w:rsid w:val="7FF3471F"/>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9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35"/>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100"/>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90">
    <w:name w:val="Default Paragraph Font"/>
    <w:semiHidden/>
    <w:qFormat/>
    <w:uiPriority w:val="0"/>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link w:val="143"/>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link w:val="140"/>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link w:val="145"/>
    <w:qFormat/>
    <w:uiPriority w:val="0"/>
    <w:rPr>
      <w:sz w:val="18"/>
    </w:rPr>
  </w:style>
  <w:style w:type="paragraph" w:styleId="55">
    <w:name w:val="footer"/>
    <w:basedOn w:val="1"/>
    <w:link w:val="146"/>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link w:val="147"/>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link w:val="144"/>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b/>
    </w:rPr>
  </w:style>
  <w:style w:type="character" w:styleId="92">
    <w:name w:val="page number"/>
    <w:qFormat/>
    <w:uiPriority w:val="0"/>
  </w:style>
  <w:style w:type="character" w:styleId="93">
    <w:name w:val="Emphasis"/>
    <w:basedOn w:val="90"/>
    <w:qFormat/>
    <w:uiPriority w:val="0"/>
    <w:rPr>
      <w:i/>
    </w:rPr>
  </w:style>
  <w:style w:type="character" w:styleId="94">
    <w:name w:val="Hyperlink"/>
    <w:basedOn w:val="90"/>
    <w:unhideWhenUsed/>
    <w:qFormat/>
    <w:uiPriority w:val="99"/>
    <w:rPr>
      <w:color w:val="0026E5" w:themeColor="hyperlink"/>
      <w:u w:val="single"/>
      <w14:textFill>
        <w14:solidFill>
          <w14:schemeClr w14:val="hlink"/>
        </w14:solidFill>
      </w14:textFill>
    </w:rPr>
  </w:style>
  <w:style w:type="character" w:styleId="95">
    <w:name w:val="annotation reference"/>
    <w:basedOn w:val="90"/>
    <w:qFormat/>
    <w:uiPriority w:val="0"/>
    <w:rPr>
      <w:sz w:val="21"/>
      <w:szCs w:val="21"/>
    </w:rPr>
  </w:style>
  <w:style w:type="paragraph" w:customStyle="1" w:styleId="96">
    <w:name w:val="无间隔1"/>
    <w:basedOn w:val="1"/>
    <w:qFormat/>
    <w:uiPriority w:val="1"/>
    <w:pPr>
      <w:spacing w:line="400" w:lineRule="exact"/>
    </w:pPr>
  </w:style>
  <w:style w:type="paragraph" w:customStyle="1" w:styleId="97">
    <w:name w:val="常规正文"/>
    <w:basedOn w:val="1"/>
    <w:qFormat/>
    <w:uiPriority w:val="0"/>
    <w:pPr>
      <w:ind w:firstLine="480"/>
    </w:pPr>
    <w:rPr>
      <w:rFonts w:asciiTheme="minorHAnsi" w:hAnsiTheme="minorHAnsi"/>
    </w:rPr>
  </w:style>
  <w:style w:type="paragraph" w:customStyle="1" w:styleId="98">
    <w:name w:val="常规正文加粗"/>
    <w:basedOn w:val="1"/>
    <w:next w:val="97"/>
    <w:link w:val="134"/>
    <w:qFormat/>
    <w:uiPriority w:val="0"/>
    <w:pPr>
      <w:ind w:firstLine="480"/>
    </w:pPr>
    <w:rPr>
      <w:rFonts w:asciiTheme="minorHAnsi" w:hAnsiTheme="minorHAnsi"/>
      <w:b/>
      <w:u w:val="thick"/>
    </w:rPr>
  </w:style>
  <w:style w:type="character" w:customStyle="1" w:styleId="99">
    <w:name w:val="标题 2 字符"/>
    <w:link w:val="4"/>
    <w:qFormat/>
    <w:uiPriority w:val="9"/>
    <w:rPr>
      <w:rFonts w:ascii="Arial" w:hAnsi="Arial" w:eastAsia="黑体"/>
      <w:b/>
      <w:sz w:val="32"/>
    </w:rPr>
  </w:style>
  <w:style w:type="character" w:customStyle="1" w:styleId="100">
    <w:name w:val="标题 4 字符"/>
    <w:link w:val="6"/>
    <w:qFormat/>
    <w:uiPriority w:val="0"/>
    <w:rPr>
      <w:rFonts w:ascii="Arial" w:hAnsi="Arial" w:eastAsia="黑体"/>
      <w:b/>
      <w:sz w:val="28"/>
    </w:rPr>
  </w:style>
  <w:style w:type="character" w:customStyle="1" w:styleId="101">
    <w:name w:val="Picture caption|1_"/>
    <w:basedOn w:val="90"/>
    <w:link w:val="102"/>
    <w:qFormat/>
    <w:uiPriority w:val="0"/>
    <w:rPr>
      <w:rFonts w:ascii="宋体" w:hAnsi="宋体" w:eastAsia="宋体" w:cs="宋体"/>
      <w:sz w:val="28"/>
      <w:szCs w:val="28"/>
      <w:u w:val="none"/>
      <w:shd w:val="clear" w:color="auto" w:fill="auto"/>
      <w:lang w:val="zh-TW" w:eastAsia="zh-TW" w:bidi="zh-TW"/>
    </w:rPr>
  </w:style>
  <w:style w:type="paragraph" w:customStyle="1" w:styleId="102">
    <w:name w:val="Picture caption|1"/>
    <w:basedOn w:val="1"/>
    <w:link w:val="101"/>
    <w:qFormat/>
    <w:uiPriority w:val="0"/>
    <w:rPr>
      <w:sz w:val="28"/>
      <w:szCs w:val="28"/>
      <w:lang w:val="zh-TW" w:eastAsia="zh-TW" w:bidi="zh-TW"/>
    </w:rPr>
  </w:style>
  <w:style w:type="character" w:customStyle="1" w:styleId="103">
    <w:name w:val="Heading #2|1_"/>
    <w:basedOn w:val="90"/>
    <w:link w:val="104"/>
    <w:qFormat/>
    <w:uiPriority w:val="0"/>
    <w:rPr>
      <w:rFonts w:ascii="宋体" w:hAnsi="宋体" w:eastAsia="宋体" w:cs="宋体"/>
      <w:sz w:val="32"/>
      <w:szCs w:val="32"/>
      <w:u w:val="none"/>
      <w:shd w:val="clear" w:color="auto" w:fill="auto"/>
      <w:lang w:val="zh-TW" w:eastAsia="zh-TW" w:bidi="zh-TW"/>
    </w:rPr>
  </w:style>
  <w:style w:type="paragraph" w:customStyle="1" w:styleId="104">
    <w:name w:val="Heading #2|1"/>
    <w:basedOn w:val="1"/>
    <w:link w:val="103"/>
    <w:qFormat/>
    <w:uiPriority w:val="0"/>
    <w:pPr>
      <w:outlineLvl w:val="1"/>
    </w:pPr>
    <w:rPr>
      <w:sz w:val="32"/>
      <w:szCs w:val="32"/>
      <w:lang w:val="zh-TW" w:eastAsia="zh-TW" w:bidi="zh-TW"/>
    </w:rPr>
  </w:style>
  <w:style w:type="character" w:customStyle="1" w:styleId="105">
    <w:name w:val="Body text|2_"/>
    <w:basedOn w:val="90"/>
    <w:link w:val="106"/>
    <w:qFormat/>
    <w:uiPriority w:val="0"/>
    <w:rPr>
      <w:rFonts w:ascii="宋体" w:hAnsi="宋体" w:eastAsia="宋体" w:cs="宋体"/>
      <w:sz w:val="28"/>
      <w:szCs w:val="28"/>
      <w:u w:val="none"/>
      <w:shd w:val="clear" w:color="auto" w:fill="auto"/>
      <w:lang w:val="zh-TW" w:eastAsia="zh-TW" w:bidi="zh-TW"/>
    </w:rPr>
  </w:style>
  <w:style w:type="paragraph" w:customStyle="1" w:styleId="106">
    <w:name w:val="Body text|2"/>
    <w:basedOn w:val="1"/>
    <w:link w:val="105"/>
    <w:qFormat/>
    <w:uiPriority w:val="0"/>
    <w:pPr>
      <w:spacing w:after="100"/>
      <w:jc w:val="center"/>
    </w:pPr>
    <w:rPr>
      <w:sz w:val="28"/>
      <w:szCs w:val="28"/>
      <w:lang w:val="zh-TW" w:eastAsia="zh-TW" w:bidi="zh-TW"/>
    </w:rPr>
  </w:style>
  <w:style w:type="character" w:customStyle="1" w:styleId="107">
    <w:name w:val="Heading #1|1_"/>
    <w:basedOn w:val="90"/>
    <w:link w:val="108"/>
    <w:qFormat/>
    <w:uiPriority w:val="0"/>
    <w:rPr>
      <w:rFonts w:ascii="宋体" w:hAnsi="宋体" w:eastAsia="宋体" w:cs="宋体"/>
      <w:sz w:val="86"/>
      <w:szCs w:val="86"/>
      <w:u w:val="none"/>
      <w:shd w:val="clear" w:color="auto" w:fill="auto"/>
      <w:lang w:val="zh-TW" w:eastAsia="zh-TW" w:bidi="zh-TW"/>
    </w:rPr>
  </w:style>
  <w:style w:type="paragraph" w:customStyle="1" w:styleId="108">
    <w:name w:val="Heading #1|1"/>
    <w:basedOn w:val="1"/>
    <w:link w:val="107"/>
    <w:qFormat/>
    <w:uiPriority w:val="0"/>
    <w:pPr>
      <w:jc w:val="center"/>
      <w:outlineLvl w:val="0"/>
    </w:pPr>
    <w:rPr>
      <w:sz w:val="86"/>
      <w:szCs w:val="86"/>
      <w:lang w:val="zh-TW" w:eastAsia="zh-TW" w:bidi="zh-TW"/>
    </w:rPr>
  </w:style>
  <w:style w:type="character" w:customStyle="1" w:styleId="109">
    <w:name w:val="Table of contents|1_"/>
    <w:basedOn w:val="90"/>
    <w:link w:val="110"/>
    <w:qFormat/>
    <w:uiPriority w:val="0"/>
    <w:rPr>
      <w:rFonts w:ascii="宋体" w:hAnsi="宋体" w:eastAsia="宋体" w:cs="宋体"/>
      <w:sz w:val="20"/>
      <w:szCs w:val="20"/>
      <w:u w:val="none"/>
      <w:shd w:val="clear" w:color="auto" w:fill="auto"/>
      <w:lang w:val="zh-TW" w:eastAsia="zh-TW" w:bidi="zh-TW"/>
    </w:rPr>
  </w:style>
  <w:style w:type="paragraph" w:customStyle="1" w:styleId="110">
    <w:name w:val="Table of contents|1"/>
    <w:basedOn w:val="1"/>
    <w:link w:val="109"/>
    <w:qFormat/>
    <w:uiPriority w:val="0"/>
    <w:pPr>
      <w:ind w:firstLine="400"/>
    </w:pPr>
    <w:rPr>
      <w:sz w:val="20"/>
      <w:szCs w:val="20"/>
      <w:lang w:val="zh-TW" w:eastAsia="zh-TW" w:bidi="zh-TW"/>
    </w:rPr>
  </w:style>
  <w:style w:type="character" w:customStyle="1" w:styleId="111">
    <w:name w:val="Body text|1_"/>
    <w:basedOn w:val="90"/>
    <w:link w:val="112"/>
    <w:qFormat/>
    <w:uiPriority w:val="0"/>
    <w:rPr>
      <w:rFonts w:ascii="宋体" w:hAnsi="宋体" w:eastAsia="宋体" w:cs="宋体"/>
      <w:sz w:val="22"/>
      <w:szCs w:val="22"/>
      <w:u w:val="none"/>
      <w:shd w:val="clear" w:color="auto" w:fill="auto"/>
      <w:lang w:val="zh-TW" w:eastAsia="zh-TW" w:bidi="zh-TW"/>
    </w:rPr>
  </w:style>
  <w:style w:type="paragraph" w:customStyle="1" w:styleId="112">
    <w:name w:val="Body text|1"/>
    <w:basedOn w:val="1"/>
    <w:link w:val="111"/>
    <w:qFormat/>
    <w:uiPriority w:val="0"/>
    <w:pPr>
      <w:spacing w:after="100" w:line="439" w:lineRule="auto"/>
      <w:ind w:firstLine="400"/>
    </w:pPr>
    <w:rPr>
      <w:sz w:val="22"/>
      <w:szCs w:val="22"/>
      <w:lang w:val="zh-TW" w:eastAsia="zh-TW" w:bidi="zh-TW"/>
    </w:rPr>
  </w:style>
  <w:style w:type="character" w:customStyle="1" w:styleId="113">
    <w:name w:val="Body text|3_"/>
    <w:basedOn w:val="90"/>
    <w:link w:val="114"/>
    <w:qFormat/>
    <w:uiPriority w:val="0"/>
    <w:rPr>
      <w:sz w:val="22"/>
      <w:szCs w:val="22"/>
      <w:u w:val="none"/>
      <w:shd w:val="clear" w:color="auto" w:fill="auto"/>
    </w:rPr>
  </w:style>
  <w:style w:type="paragraph" w:customStyle="1" w:styleId="114">
    <w:name w:val="Body text|3"/>
    <w:basedOn w:val="1"/>
    <w:link w:val="113"/>
    <w:qFormat/>
    <w:uiPriority w:val="0"/>
    <w:pPr>
      <w:spacing w:after="100" w:line="475" w:lineRule="exact"/>
      <w:ind w:firstLine="440"/>
    </w:pPr>
    <w:rPr>
      <w:sz w:val="22"/>
      <w:szCs w:val="22"/>
    </w:rPr>
  </w:style>
  <w:style w:type="character" w:customStyle="1" w:styleId="115">
    <w:name w:val="Other|1_"/>
    <w:basedOn w:val="90"/>
    <w:link w:val="116"/>
    <w:qFormat/>
    <w:uiPriority w:val="0"/>
    <w:rPr>
      <w:rFonts w:ascii="宋体" w:hAnsi="宋体" w:eastAsia="宋体" w:cs="宋体"/>
      <w:sz w:val="22"/>
      <w:szCs w:val="22"/>
      <w:u w:val="none"/>
      <w:shd w:val="clear" w:color="auto" w:fill="auto"/>
      <w:lang w:val="zh-TW" w:eastAsia="zh-TW" w:bidi="zh-TW"/>
    </w:rPr>
  </w:style>
  <w:style w:type="paragraph" w:customStyle="1" w:styleId="116">
    <w:name w:val="Other|1"/>
    <w:basedOn w:val="1"/>
    <w:link w:val="115"/>
    <w:qFormat/>
    <w:uiPriority w:val="0"/>
    <w:pPr>
      <w:spacing w:after="100" w:line="439" w:lineRule="auto"/>
      <w:ind w:firstLine="400"/>
    </w:pPr>
    <w:rPr>
      <w:sz w:val="22"/>
      <w:szCs w:val="22"/>
      <w:lang w:val="zh-TW" w:eastAsia="zh-TW" w:bidi="zh-TW"/>
    </w:rPr>
  </w:style>
  <w:style w:type="character" w:customStyle="1" w:styleId="117">
    <w:name w:val="Header or footer|2_"/>
    <w:basedOn w:val="90"/>
    <w:link w:val="118"/>
    <w:qFormat/>
    <w:uiPriority w:val="0"/>
    <w:rPr>
      <w:sz w:val="20"/>
      <w:szCs w:val="20"/>
      <w:u w:val="none"/>
      <w:shd w:val="clear" w:color="auto" w:fill="auto"/>
      <w:lang w:val="zh-CN" w:eastAsia="zh-CN" w:bidi="zh-CN"/>
    </w:rPr>
  </w:style>
  <w:style w:type="paragraph" w:customStyle="1" w:styleId="118">
    <w:name w:val="Header or footer|2"/>
    <w:basedOn w:val="1"/>
    <w:link w:val="117"/>
    <w:qFormat/>
    <w:uiPriority w:val="0"/>
    <w:rPr>
      <w:sz w:val="20"/>
      <w:szCs w:val="20"/>
      <w:lang w:val="zh-CN" w:eastAsia="zh-CN" w:bidi="zh-CN"/>
    </w:rPr>
  </w:style>
  <w:style w:type="character" w:customStyle="1" w:styleId="119">
    <w:name w:val="Header or footer|1_"/>
    <w:basedOn w:val="90"/>
    <w:link w:val="120"/>
    <w:qFormat/>
    <w:uiPriority w:val="0"/>
    <w:rPr>
      <w:b/>
      <w:bCs/>
      <w:sz w:val="17"/>
      <w:szCs w:val="17"/>
      <w:u w:val="none"/>
      <w:shd w:val="clear" w:color="auto" w:fill="auto"/>
      <w:lang w:val="zh-TW" w:eastAsia="zh-TW" w:bidi="zh-TW"/>
    </w:rPr>
  </w:style>
  <w:style w:type="paragraph" w:customStyle="1" w:styleId="120">
    <w:name w:val="Header or footer|1"/>
    <w:basedOn w:val="1"/>
    <w:link w:val="119"/>
    <w:qFormat/>
    <w:uiPriority w:val="0"/>
    <w:rPr>
      <w:b/>
      <w:bCs/>
      <w:sz w:val="17"/>
      <w:szCs w:val="17"/>
      <w:lang w:val="zh-TW" w:eastAsia="zh-TW" w:bidi="zh-TW"/>
    </w:rPr>
  </w:style>
  <w:style w:type="character" w:customStyle="1" w:styleId="121">
    <w:name w:val="Table caption|1_"/>
    <w:basedOn w:val="90"/>
    <w:link w:val="122"/>
    <w:qFormat/>
    <w:uiPriority w:val="0"/>
    <w:rPr>
      <w:rFonts w:ascii="宋体" w:hAnsi="宋体" w:eastAsia="宋体" w:cs="宋体"/>
      <w:sz w:val="22"/>
      <w:szCs w:val="22"/>
      <w:u w:val="none"/>
      <w:shd w:val="clear" w:color="auto" w:fill="auto"/>
      <w:lang w:val="zh-TW" w:eastAsia="zh-TW" w:bidi="zh-TW"/>
    </w:rPr>
  </w:style>
  <w:style w:type="paragraph" w:customStyle="1" w:styleId="122">
    <w:name w:val="Table caption|1"/>
    <w:basedOn w:val="1"/>
    <w:link w:val="121"/>
    <w:qFormat/>
    <w:uiPriority w:val="0"/>
    <w:pPr>
      <w:spacing w:line="468" w:lineRule="exact"/>
      <w:ind w:firstLine="420"/>
    </w:pPr>
    <w:rPr>
      <w:sz w:val="22"/>
      <w:szCs w:val="22"/>
      <w:lang w:val="zh-TW" w:eastAsia="zh-TW" w:bidi="zh-TW"/>
    </w:rPr>
  </w:style>
  <w:style w:type="character" w:customStyle="1" w:styleId="123">
    <w:name w:val="Heading #3|1_"/>
    <w:basedOn w:val="90"/>
    <w:link w:val="124"/>
    <w:qFormat/>
    <w:uiPriority w:val="0"/>
    <w:rPr>
      <w:rFonts w:ascii="宋体" w:hAnsi="宋体" w:eastAsia="宋体" w:cs="宋体"/>
      <w:sz w:val="32"/>
      <w:szCs w:val="32"/>
      <w:u w:val="none"/>
      <w:shd w:val="clear" w:color="auto" w:fill="auto"/>
      <w:lang w:val="zh-TW" w:eastAsia="zh-TW" w:bidi="zh-TW"/>
    </w:rPr>
  </w:style>
  <w:style w:type="paragraph" w:customStyle="1" w:styleId="124">
    <w:name w:val="Heading #3|1"/>
    <w:basedOn w:val="1"/>
    <w:link w:val="123"/>
    <w:qFormat/>
    <w:uiPriority w:val="0"/>
    <w:pPr>
      <w:spacing w:after="260"/>
      <w:jc w:val="center"/>
      <w:outlineLvl w:val="2"/>
    </w:pPr>
    <w:rPr>
      <w:sz w:val="32"/>
      <w:szCs w:val="32"/>
      <w:lang w:val="zh-TW" w:eastAsia="zh-TW" w:bidi="zh-TW"/>
    </w:rPr>
  </w:style>
  <w:style w:type="character" w:customStyle="1" w:styleId="125">
    <w:name w:val="Body text|5_"/>
    <w:basedOn w:val="90"/>
    <w:link w:val="126"/>
    <w:qFormat/>
    <w:uiPriority w:val="0"/>
    <w:rPr>
      <w:rFonts w:ascii="宋体" w:hAnsi="宋体" w:eastAsia="宋体" w:cs="宋体"/>
      <w:sz w:val="54"/>
      <w:szCs w:val="54"/>
      <w:u w:val="none"/>
      <w:shd w:val="clear" w:color="auto" w:fill="auto"/>
      <w:lang w:val="zh-TW" w:eastAsia="zh-TW" w:bidi="zh-TW"/>
    </w:rPr>
  </w:style>
  <w:style w:type="paragraph" w:customStyle="1" w:styleId="126">
    <w:name w:val="Body text|5"/>
    <w:basedOn w:val="1"/>
    <w:link w:val="125"/>
    <w:qFormat/>
    <w:uiPriority w:val="0"/>
    <w:pPr>
      <w:spacing w:after="4520"/>
      <w:jc w:val="center"/>
    </w:pPr>
    <w:rPr>
      <w:sz w:val="54"/>
      <w:szCs w:val="54"/>
      <w:lang w:val="zh-TW" w:eastAsia="zh-TW" w:bidi="zh-TW"/>
    </w:rPr>
  </w:style>
  <w:style w:type="character" w:customStyle="1" w:styleId="127">
    <w:name w:val="Body text|6_"/>
    <w:basedOn w:val="90"/>
    <w:link w:val="128"/>
    <w:qFormat/>
    <w:uiPriority w:val="0"/>
    <w:rPr>
      <w:b/>
      <w:bCs/>
      <w:sz w:val="17"/>
      <w:szCs w:val="17"/>
      <w:u w:val="none"/>
      <w:shd w:val="clear" w:color="auto" w:fill="auto"/>
      <w:lang w:val="zh-CN"/>
    </w:rPr>
  </w:style>
  <w:style w:type="paragraph" w:customStyle="1" w:styleId="128">
    <w:name w:val="Body text|6"/>
    <w:basedOn w:val="1"/>
    <w:link w:val="127"/>
    <w:qFormat/>
    <w:uiPriority w:val="0"/>
    <w:pPr>
      <w:ind w:hanging="1060"/>
    </w:pPr>
    <w:rPr>
      <w:b/>
      <w:bCs/>
      <w:sz w:val="17"/>
      <w:szCs w:val="17"/>
      <w:lang w:val="zh-CN"/>
    </w:rPr>
  </w:style>
  <w:style w:type="character" w:customStyle="1" w:styleId="129">
    <w:name w:val="Body text|4_"/>
    <w:basedOn w:val="90"/>
    <w:link w:val="130"/>
    <w:qFormat/>
    <w:uiPriority w:val="0"/>
    <w:rPr>
      <w:rFonts w:ascii="宋体" w:hAnsi="宋体" w:eastAsia="宋体" w:cs="宋体"/>
      <w:sz w:val="32"/>
      <w:szCs w:val="32"/>
      <w:u w:val="none"/>
      <w:shd w:val="clear" w:color="auto" w:fill="auto"/>
      <w:lang w:val="zh-TW" w:eastAsia="zh-TW" w:bidi="zh-TW"/>
    </w:rPr>
  </w:style>
  <w:style w:type="paragraph" w:customStyle="1" w:styleId="130">
    <w:name w:val="Body text|4"/>
    <w:basedOn w:val="1"/>
    <w:link w:val="129"/>
    <w:qFormat/>
    <w:uiPriority w:val="0"/>
    <w:pPr>
      <w:spacing w:after="1840"/>
      <w:jc w:val="right"/>
    </w:pPr>
    <w:rPr>
      <w:sz w:val="32"/>
      <w:szCs w:val="32"/>
      <w:lang w:val="zh-TW" w:eastAsia="zh-TW" w:bidi="zh-TW"/>
    </w:rPr>
  </w:style>
  <w:style w:type="paragraph" w:customStyle="1" w:styleId="1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3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33">
    <w:name w:val="WPSOffice手动目录 1"/>
    <w:qFormat/>
    <w:uiPriority w:val="0"/>
    <w:rPr>
      <w:rFonts w:ascii="Times New Roman" w:hAnsi="Times New Roman" w:eastAsia="宋体" w:cs="Times New Roman"/>
      <w:lang w:val="en-US" w:eastAsia="zh-CN" w:bidi="ar-SA"/>
    </w:rPr>
  </w:style>
  <w:style w:type="character" w:customStyle="1" w:styleId="134">
    <w:name w:val="常规正文加粗 Char"/>
    <w:link w:val="98"/>
    <w:qFormat/>
    <w:uiPriority w:val="0"/>
    <w:rPr>
      <w:rFonts w:hint="default" w:eastAsia="宋体" w:cs="Times New Roman" w:asciiTheme="minorHAnsi" w:hAnsiTheme="minorHAnsi"/>
      <w:b/>
      <w:sz w:val="24"/>
      <w:u w:val="thick"/>
    </w:rPr>
  </w:style>
  <w:style w:type="character" w:customStyle="1" w:styleId="135">
    <w:name w:val="标题 3 字符"/>
    <w:link w:val="5"/>
    <w:qFormat/>
    <w:uiPriority w:val="0"/>
    <w:rPr>
      <w:b/>
      <w:sz w:val="32"/>
    </w:rPr>
  </w:style>
  <w:style w:type="paragraph" w:customStyle="1" w:styleId="136">
    <w:name w:val="列表段落1"/>
    <w:basedOn w:val="1"/>
    <w:qFormat/>
    <w:uiPriority w:val="0"/>
    <w:pPr>
      <w:ind w:firstLine="420"/>
      <w:jc w:val="both"/>
    </w:pPr>
    <w:rPr>
      <w:rFonts w:ascii="Calibri" w:hAnsi="Calibri"/>
      <w:kern w:val="2"/>
      <w:sz w:val="21"/>
      <w:szCs w:val="21"/>
      <w:lang w:eastAsia="zh-CN" w:bidi="ar-SA"/>
    </w:rPr>
  </w:style>
  <w:style w:type="character" w:customStyle="1" w:styleId="137">
    <w:name w:val="未处理的提及1"/>
    <w:basedOn w:val="90"/>
    <w:semiHidden/>
    <w:unhideWhenUsed/>
    <w:qFormat/>
    <w:uiPriority w:val="99"/>
    <w:rPr>
      <w:color w:val="605E5C"/>
      <w:shd w:val="clear" w:color="auto" w:fill="E1DFDD"/>
    </w:rPr>
  </w:style>
  <w:style w:type="paragraph" w:styleId="138">
    <w:name w:val="List Paragraph"/>
    <w:basedOn w:val="1"/>
    <w:link w:val="150"/>
    <w:qFormat/>
    <w:uiPriority w:val="34"/>
    <w:pPr>
      <w:ind w:firstLine="420"/>
    </w:pPr>
  </w:style>
  <w:style w:type="table" w:customStyle="1" w:styleId="139">
    <w:name w:val="Table Normal"/>
    <w:semiHidden/>
    <w:unhideWhenUsed/>
    <w:qFormat/>
    <w:uiPriority w:val="0"/>
    <w:tblPr>
      <w:tblCellMar>
        <w:top w:w="0" w:type="dxa"/>
        <w:left w:w="0" w:type="dxa"/>
        <w:bottom w:w="0" w:type="dxa"/>
        <w:right w:w="0" w:type="dxa"/>
      </w:tblCellMar>
    </w:tblPr>
  </w:style>
  <w:style w:type="character" w:customStyle="1" w:styleId="140">
    <w:name w:val="日期 字符"/>
    <w:link w:val="50"/>
    <w:qFormat/>
    <w:uiPriority w:val="0"/>
  </w:style>
  <w:style w:type="paragraph" w:customStyle="1" w:styleId="141">
    <w:name w:val="TOC 标题1"/>
    <w:basedOn w:val="3"/>
    <w:next w:val="1"/>
    <w:unhideWhenUsed/>
    <w:qFormat/>
    <w:uiPriority w:val="39"/>
    <w:pPr>
      <w:widowControl/>
      <w:numPr>
        <w:ilvl w:val="0"/>
        <w:numId w:val="0"/>
      </w:numPr>
      <w:spacing w:before="240" w:line="259" w:lineRule="auto"/>
      <w:jc w:val="left"/>
      <w:outlineLvl w:val="9"/>
    </w:pPr>
    <w:rPr>
      <w:rFonts w:asciiTheme="majorHAnsi" w:hAnsiTheme="majorHAnsi" w:eastAsiaTheme="majorEastAsia" w:cstheme="majorBidi"/>
      <w:b w:val="0"/>
      <w:color w:val="2E54A1" w:themeColor="accent1" w:themeShade="BF"/>
      <w:kern w:val="0"/>
      <w:szCs w:val="32"/>
      <w:lang w:eastAsia="zh-CN" w:bidi="ar-SA"/>
    </w:rPr>
  </w:style>
  <w:style w:type="character" w:customStyle="1" w:styleId="142">
    <w:name w:val="未处理的提及2"/>
    <w:basedOn w:val="90"/>
    <w:semiHidden/>
    <w:unhideWhenUsed/>
    <w:qFormat/>
    <w:uiPriority w:val="99"/>
    <w:rPr>
      <w:color w:val="605E5C"/>
      <w:shd w:val="clear" w:color="auto" w:fill="E1DFDD"/>
    </w:rPr>
  </w:style>
  <w:style w:type="character" w:customStyle="1" w:styleId="143">
    <w:name w:val="批注文字 字符"/>
    <w:link w:val="28"/>
    <w:qFormat/>
    <w:uiPriority w:val="0"/>
  </w:style>
  <w:style w:type="character" w:customStyle="1" w:styleId="144">
    <w:name w:val="批注主题 字符"/>
    <w:link w:val="85"/>
    <w:qFormat/>
    <w:uiPriority w:val="0"/>
    <w:rPr>
      <w:b/>
    </w:rPr>
  </w:style>
  <w:style w:type="character" w:customStyle="1" w:styleId="145">
    <w:name w:val="批注框文本 字符"/>
    <w:link w:val="54"/>
    <w:qFormat/>
    <w:uiPriority w:val="0"/>
    <w:rPr>
      <w:sz w:val="18"/>
    </w:rPr>
  </w:style>
  <w:style w:type="character" w:customStyle="1" w:styleId="146">
    <w:name w:val="页脚 字符"/>
    <w:link w:val="55"/>
    <w:qFormat/>
    <w:uiPriority w:val="99"/>
    <w:rPr>
      <w:sz w:val="18"/>
    </w:rPr>
  </w:style>
  <w:style w:type="character" w:customStyle="1" w:styleId="147">
    <w:name w:val="标题 字符"/>
    <w:link w:val="84"/>
    <w:qFormat/>
    <w:uiPriority w:val="10"/>
    <w:rPr>
      <w:rFonts w:ascii="Arial" w:hAnsi="Arial"/>
      <w:b/>
      <w:sz w:val="32"/>
    </w:rPr>
  </w:style>
  <w:style w:type="table" w:customStyle="1" w:styleId="148">
    <w:name w:val="网格型2"/>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9">
    <w:name w:val="Unresolved Mention"/>
    <w:basedOn w:val="90"/>
    <w:semiHidden/>
    <w:unhideWhenUsed/>
    <w:qFormat/>
    <w:uiPriority w:val="99"/>
    <w:rPr>
      <w:color w:val="605E5C"/>
      <w:shd w:val="clear" w:color="auto" w:fill="E1DFDD"/>
    </w:rPr>
  </w:style>
  <w:style w:type="character" w:customStyle="1" w:styleId="150">
    <w:name w:val="列出段落 字符"/>
    <w:basedOn w:val="90"/>
    <w:link w:val="138"/>
    <w:qFormat/>
    <w:uiPriority w:val="34"/>
    <w:rPr>
      <w:rFonts w:ascii="宋体" w:hAnsi="宋体" w:cs="宋体"/>
      <w:color w:val="000000"/>
      <w:sz w:val="24"/>
      <w:szCs w:val="24"/>
      <w:lang w:eastAsia="en-US" w:bidi="en-US"/>
    </w:rPr>
  </w:style>
  <w:style w:type="paragraph" w:customStyle="1" w:styleId="151">
    <w:name w:val="Bidding Text"/>
    <w:basedOn w:val="1"/>
    <w:qFormat/>
    <w:uiPriority w:val="0"/>
    <w:pPr>
      <w:widowControl/>
      <w:spacing w:beforeLines="50" w:line="360" w:lineRule="atLeast"/>
      <w:ind w:firstLine="200"/>
    </w:pPr>
    <w:rPr>
      <w:rFonts w:ascii="Arial" w:hAnsi="Arial" w:cs="Arial"/>
      <w:snapToGrid w:val="0"/>
      <w:color w:val="auto"/>
      <w:szCs w:val="21"/>
      <w:lang w:val="en-AU" w:eastAsia="zh-CN" w:bidi="ar-SA"/>
    </w:rPr>
  </w:style>
  <w:style w:type="character" w:customStyle="1" w:styleId="152">
    <w:name w:val="font31"/>
    <w:basedOn w:val="90"/>
    <w:qFormat/>
    <w:uiPriority w:val="0"/>
    <w:rPr>
      <w:rFonts w:hint="eastAsia" w:ascii="宋体" w:hAnsi="宋体" w:eastAsia="宋体" w:cs="宋体"/>
      <w:color w:val="000000"/>
      <w:sz w:val="18"/>
      <w:szCs w:val="18"/>
      <w:u w:val="none"/>
    </w:rPr>
  </w:style>
  <w:style w:type="character" w:customStyle="1" w:styleId="153">
    <w:name w:val="font41"/>
    <w:basedOn w:val="90"/>
    <w:qFormat/>
    <w:uiPriority w:val="0"/>
    <w:rPr>
      <w:rFonts w:hint="eastAsia" w:ascii="宋体" w:hAnsi="宋体" w:eastAsia="宋体" w:cs="宋体"/>
      <w:color w:val="FF0000"/>
      <w:sz w:val="18"/>
      <w:szCs w:val="18"/>
      <w:u w:val="none"/>
    </w:rPr>
  </w:style>
  <w:style w:type="character" w:customStyle="1" w:styleId="154">
    <w:name w:val="font21"/>
    <w:basedOn w:val="90"/>
    <w:qFormat/>
    <w:uiPriority w:val="0"/>
    <w:rPr>
      <w:rFonts w:hint="eastAsia" w:ascii="宋体" w:hAnsi="宋体" w:eastAsia="宋体" w:cs="宋体"/>
      <w:color w:val="000000"/>
      <w:sz w:val="18"/>
      <w:szCs w:val="18"/>
      <w:u w:val="none"/>
    </w:rPr>
  </w:style>
  <w:style w:type="character" w:customStyle="1" w:styleId="155">
    <w:name w:val="font11"/>
    <w:basedOn w:val="90"/>
    <w:qFormat/>
    <w:uiPriority w:val="0"/>
    <w:rPr>
      <w:rFonts w:hint="eastAsia" w:ascii="宋体" w:hAnsi="宋体" w:eastAsia="宋体" w:cs="宋体"/>
      <w:color w:val="000000"/>
      <w:sz w:val="24"/>
      <w:szCs w:val="24"/>
      <w:u w:val="none"/>
    </w:rPr>
  </w:style>
  <w:style w:type="character" w:customStyle="1" w:styleId="156">
    <w:name w:val="font51"/>
    <w:basedOn w:val="90"/>
    <w:qFormat/>
    <w:uiPriority w:val="0"/>
    <w:rPr>
      <w:rFonts w:hint="eastAsia" w:ascii="宋体" w:hAnsi="宋体" w:eastAsia="宋体" w:cs="宋体"/>
      <w:color w:val="FF0000"/>
      <w:sz w:val="18"/>
      <w:szCs w:val="18"/>
      <w:u w:val="none"/>
    </w:rPr>
  </w:style>
  <w:style w:type="paragraph" w:customStyle="1" w:styleId="157">
    <w:name w:val="Table Paragraph"/>
    <w:basedOn w:val="1"/>
    <w:qFormat/>
    <w:uiPriority w:val="0"/>
    <w:pPr>
      <w:autoSpaceDE w:val="0"/>
      <w:autoSpaceDN w:val="0"/>
      <w:jc w:val="left"/>
    </w:pPr>
    <w:rPr>
      <w:rFonts w:ascii="宋体" w:hAnsi="宋体" w:cs="宋体"/>
      <w:kern w:val="0"/>
      <w:sz w:val="22"/>
      <w:lang w:val="zh-CN" w:bidi="zh-CN"/>
    </w:rPr>
  </w:style>
  <w:style w:type="paragraph" w:customStyle="1" w:styleId="15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159">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60">
    <w:name w:val="下划线加粗 字符"/>
    <w:basedOn w:val="90"/>
    <w:link w:val="161"/>
    <w:qFormat/>
    <w:uiPriority w:val="0"/>
    <w:rPr>
      <w:rFonts w:cstheme="minorBidi"/>
      <w:b/>
      <w:sz w:val="24"/>
      <w:szCs w:val="21"/>
      <w:u w:val="thick"/>
    </w:rPr>
  </w:style>
  <w:style w:type="paragraph" w:customStyle="1" w:styleId="161">
    <w:name w:val="下划线加粗"/>
    <w:basedOn w:val="1"/>
    <w:link w:val="160"/>
    <w:qFormat/>
    <w:uiPriority w:val="0"/>
    <w:pPr>
      <w:adjustRightInd w:val="0"/>
    </w:pPr>
    <w:rPr>
      <w:rFonts w:cstheme="minorBidi"/>
      <w:b/>
      <w:sz w:val="24"/>
      <w:szCs w:val="21"/>
      <w:u w:val="thick"/>
    </w:rPr>
  </w:style>
  <w:style w:type="paragraph" w:customStyle="1" w:styleId="162">
    <w:name w:val="(1)"/>
    <w:basedOn w:val="138"/>
    <w:next w:val="1"/>
    <w:autoRedefine/>
    <w:qFormat/>
    <w:uiPriority w:val="0"/>
    <w:pPr>
      <w:snapToGrid w:val="0"/>
      <w:ind w:firstLine="476"/>
    </w:pPr>
    <w:rPr>
      <w:rFonts w:ascii="Times New Roman" w:hAnsi="Times New Roman" w:eastAsia="宋体" w:cstheme="majorBidi"/>
    </w:rPr>
  </w:style>
  <w:style w:type="paragraph" w:customStyle="1" w:styleId="163">
    <w:name w:val="1."/>
    <w:basedOn w:val="138"/>
    <w:next w:val="1"/>
    <w:autoRedefine/>
    <w:qFormat/>
    <w:uiPriority w:val="0"/>
    <w:pPr>
      <w:snapToGrid w:val="0"/>
      <w:ind w:firstLine="0"/>
    </w:pPr>
    <w:rPr>
      <w:rFonts w:ascii="Times New Roman" w:hAnsi="Times New Roman" w:eastAsiaTheme="majorEastAsia" w:cstheme="majorBidi"/>
    </w:rPr>
  </w:style>
  <w:style w:type="paragraph" w:customStyle="1" w:styleId="164">
    <w:name w:val="正文字体"/>
    <w:basedOn w:val="1"/>
    <w:qFormat/>
    <w:uiPriority w:val="0"/>
    <w:pPr>
      <w:widowControl/>
      <w:adjustRightInd/>
      <w:spacing w:before="120" w:after="120"/>
      <w:ind w:firstLine="480" w:firstLineChars="200"/>
    </w:pPr>
    <w:rPr>
      <w:rFonts w:ascii="Arial" w:hAnsi="Arial" w:cs="Calibri"/>
      <w:szCs w:val="22"/>
      <w:lang w:eastAsia="en-US" w:bidi="en-US"/>
    </w:rPr>
  </w:style>
  <w:style w:type="paragraph" w:customStyle="1" w:styleId="165">
    <w:name w:val="正文-公1"/>
    <w:basedOn w:val="1"/>
    <w:next w:val="1"/>
    <w:qFormat/>
    <w:uiPriority w:val="0"/>
    <w:pPr>
      <w:ind w:firstLine="200" w:firstLineChars="200"/>
      <w:jc w:val="left"/>
    </w:pPr>
    <w:rPr>
      <w:rFonts w:eastAsia="仿宋_GB2312" w:cs="Times New Roman"/>
    </w:rPr>
  </w:style>
  <w:style w:type="character" w:customStyle="1" w:styleId="166">
    <w:name w:val="font61"/>
    <w:basedOn w:val="90"/>
    <w:qFormat/>
    <w:uiPriority w:val="0"/>
    <w:rPr>
      <w:rFonts w:hint="eastAsia" w:ascii="宋体" w:hAnsi="宋体" w:eastAsia="宋体" w:cs="宋体"/>
      <w:color w:val="000000"/>
      <w:sz w:val="22"/>
      <w:szCs w:val="22"/>
      <w:u w:val="none"/>
      <w:vertAlign w:val="superscript"/>
    </w:rPr>
  </w:style>
  <w:style w:type="character" w:customStyle="1" w:styleId="167">
    <w:name w:val="font71"/>
    <w:basedOn w:val="90"/>
    <w:qFormat/>
    <w:uiPriority w:val="0"/>
    <w:rPr>
      <w:rFonts w:hint="eastAsia" w:ascii="宋体" w:hAnsi="宋体" w:eastAsia="宋体" w:cs="宋体"/>
      <w:color w:val="000000"/>
      <w:sz w:val="22"/>
      <w:szCs w:val="22"/>
      <w:u w:val="none"/>
      <w:vertAlign w:val="superscript"/>
    </w:rPr>
  </w:style>
  <w:style w:type="paragraph" w:customStyle="1" w:styleId="168">
    <w:name w:val="a)"/>
    <w:basedOn w:val="138"/>
    <w:next w:val="1"/>
    <w:autoRedefine/>
    <w:qFormat/>
    <w:uiPriority w:val="0"/>
    <w:pPr>
      <w:numPr>
        <w:ilvl w:val="8"/>
        <w:numId w:val="11"/>
      </w:numPr>
      <w:snapToGrid w:val="0"/>
      <w:ind w:firstLine="672" w:firstLineChars="280"/>
    </w:pPr>
  </w:style>
  <w:style w:type="table" w:customStyle="1" w:styleId="169">
    <w:name w:val="Table Grid_0"/>
    <w:basedOn w:val="88"/>
    <w:qFormat/>
    <w:uiPriority w:val="39"/>
    <w:rPr>
      <w:rFonts w:ascii="Calibri" w:hAnsi="Calibri" w:eastAsia="宋体" w:cs="Times New Roman"/>
      <w:kern w:val="0"/>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fca89b83-4495-4582-adb6-c6ea386c18ab</errorID>
      <errorWord>煤矿</errorWord>
      <group>L1_AI</group>
      <groupName>深度校对</groupName>
      <ability>L2_AI_Word</ability>
      <abilityName>字词纠错</abilityName>
      <candidateList>
        <item>的煤矿</item>
      </candidateList>
      <explain/>
      <paraID>55830411</paraID>
      <start>61</start>
      <end>64</end>
      <status>modified</status>
      <modifiedWord>的煤矿</modifiedWord>
      <trackRevisions>false</trackRevisions>
    </reviewItem>
    <reviewItem>
      <errorID>e19305b8-c15f-4289-8d47-613330d38abb</errorID>
      <errorWord>招标文件招标清单</errorWord>
      <group>L1_AI</group>
      <groupName>深度校对</groupName>
      <ability>L2_AI_Punc</ability>
      <abilityName>标点纠错</abilityName>
      <candidateList>
        <item>《招标文件招标清单》</item>
      </candidateList>
      <explain/>
      <paraID>7AB4726E</paraID>
      <start>13</start>
      <end>23</end>
      <status>modified</status>
      <modifiedWord>《招标文件招标清单》</modifiedWord>
      <trackRevisions>false</trackRevisions>
    </reviewItem>
    <reviewItem>
      <errorID>0e78b78f-a349-4687-abda-78b50d84e4f8</errorID>
      <errorWord>招标文件技术要求</errorWord>
      <group>L1_AI</group>
      <groupName>深度校对</groupName>
      <ability>L2_AI_Punc</ability>
      <abilityName>标点纠错</abilityName>
      <candidateList>
        <item>《招标文件技术要求》</item>
      </candidateList>
      <explain/>
      <paraID>136040DB</paraID>
      <start>18</start>
      <end>28</end>
      <status>modified</status>
      <modifiedWord>《招标文件技术要求》</modifiedWord>
      <trackRevisions>false</trackRevisions>
    </reviewItem>
    <reviewItem>
      <errorID>9d329ceb-59c3-452d-a1b8-a9ef3318a8e3</errorID>
      <errorWord>,</errorWord>
      <group>L1_Format</group>
      <groupName>格式问题</groupName>
      <ability>L2_HalfPunc</ability>
      <abilityName>全半角检查</abilityName>
      <candidateList>
        <item>，</item>
      </candidateList>
      <explain>文本全半角错误。</explain>
      <paraID>21E13CC4</paraID>
      <start>9</start>
      <end>10</end>
      <status>unmodified</status>
      <modifiedWord/>
      <trackRevisions>false</trackRevisions>
    </reviewItem>
    <reviewItem>
      <errorID>8f837204-0dd0-45e8-8d14-147ccd4c4223</errorID>
      <errorWord>/）</errorWord>
      <group>L1_Punc</group>
      <groupName>标点问题</groupName>
      <ability>L2_Punc</ability>
      <abilityName>标点符号检查</abilityName>
      <candidateList>
        <item>）</item>
      </candidateList>
      <explain/>
      <paraID>20F36027</paraID>
      <start>53</start>
      <end>55</end>
      <status>unmodified</status>
      <modifiedWord/>
      <trackRevisions>false</trackRevisions>
    </reviewItem>
    <reviewItem>
      <errorID>ae6d065c-5603-4c26-82b3-97d5f3b49e92</errorID>
      <errorWord>请</errorWord>
      <group>L1_AI</group>
      <groupName>深度校对</groupName>
      <ability>L2_AI_Punc</ability>
      <abilityName>标点纠错</abilityName>
      <candidateList>
        <item>，请</item>
      </candidateList>
      <explain/>
      <paraID>54EB8F1E</paraID>
      <start>20</start>
      <end>21</end>
      <status>unmodified</status>
      <modifiedWord/>
      <trackRevisions>false</trackRevisions>
    </reviewItem>
    <reviewItem>
      <errorID>0b901867-3ea0-4dbc-a2f8-197c2f9c7246</errorID>
      <errorWord>在</errorWord>
      <group>L1_AI</group>
      <groupName>深度校对</groupName>
      <ability>L2_AI_Grammar</ability>
      <abilityName>语法纠错</abilityName>
      <candidateList>
        <item>，登录</item>
      </candidateList>
      <explain/>
      <paraID>54EB8F1E</paraID>
      <start>32</start>
      <end>33</end>
      <status>unmodified</status>
      <modifiedWord/>
      <trackRevisions>false</trackRevisions>
    </reviewItem>
    <reviewItem>
      <errorID>4db92f1d-b2c7-47b8-a148-a0a4a14779a5</errorID>
      <errorWord>/）</errorWord>
      <group>L1_Punc</group>
      <groupName>标点问题</groupName>
      <ability>L2_Punc</ability>
      <abilityName>标点符号检查</abilityName>
      <candidateList>
        <item>）</item>
      </candidateList>
      <explain/>
      <paraID>54EB8F1E</paraID>
      <start>84</start>
      <end>86</end>
      <status>unmodified</status>
      <modifiedWord/>
      <trackRevisions>false</trackRevisions>
    </reviewItem>
    <reviewItem>
      <errorID>3b532812-9f9a-4839-93c0-268f59475e3c</errorID>
      <errorWord>公章后</errorWord>
      <group>L1_AI</group>
      <groupName>深度校对</groupName>
      <ability>L2_AI_Word</ability>
      <abilityName>字词纠错</abilityName>
      <candidateList>
        <item>公章</item>
      </candidateList>
      <explain/>
      <paraID>5D651718</paraID>
      <start>22</start>
      <end>25</end>
      <status>unmodified</status>
      <modifiedWord/>
      <trackRevisions>false</trackRevisions>
    </reviewItem>
    <reviewItem>
      <errorID>363393af-c7f1-43f3-8626-4366bf20eddc</errorID>
      <errorWord>或</errorWord>
      <group>L1_AI</group>
      <groupName>深度校对</groupName>
      <ability>L2_AI_Word</ability>
      <abilityName>字词纠错</abilityName>
      <candidateList>
        <item>、</item>
      </candidateList>
      <explain/>
      <paraID>5D651718</paraID>
      <start>37</start>
      <end>38</end>
      <status>unmodified</status>
      <modifiedWord/>
      <trackRevisions>false</trackRevisions>
    </reviewItem>
    <reviewItem>
      <errorID>37433906-08ba-4821-b727-75fbc46ecce1</errorID>
      <errorWord>发送至</errorWord>
      <group>L1_AI</group>
      <groupName>深度校对</groupName>
      <ability>L2_AI_Punc</ability>
      <abilityName>标点纠错</abilityName>
      <candidateList>
        <item>，发送至</item>
      </candidateList>
      <explain/>
      <paraID>5D651718</paraID>
      <start>72</start>
      <end>75</end>
      <status>unmodified</status>
      <modifiedWord/>
      <trackRevisions>false</trackRevisions>
    </reviewItem>
    <reviewItem>
      <errorID>90a633d3-16f8-4f49-ae7a-f787667bbc64</errorID>
      <errorWord>（</errorWord>
      <group>L1_AI</group>
      <groupName>深度校对</groupName>
      <ability>L2_AI_Punc</ability>
      <abilityName>标点纠错</abilityName>
      <candidateList>
        <item/>
      </candidateList>
      <explain/>
      <paraID>5D651718</paraID>
      <start>77</start>
      <end>78</end>
      <status>unmodified</status>
      <modifiedWord/>
      <trackRevisions>false</trackRevisions>
    </reviewItem>
    <reviewItem>
      <errorID>e730c3ce-b921-4533-9898-e0bcb303b70f</errorID>
      <errorWord>，</errorWord>
      <group>L1_AI</group>
      <groupName>深度校对</groupName>
      <ability>L2_AI_Punc</ability>
      <abilityName>标点纠错</abilityName>
      <candidateList>
        <item>（</item>
      </candidateList>
      <explain/>
      <paraID>5D651718</paraID>
      <start>93</start>
      <end>94</end>
      <status>unmodified</status>
      <modifiedWord/>
      <trackRevisions>false</trackRevisions>
    </reviewItem>
    <reviewItem>
      <errorID>c3035130-bed9-48f2-83b9-2baf83119102</errorID>
      <errorWord>,</errorWord>
      <group>L1_Format</group>
      <groupName>格式问题</groupName>
      <ability>L2_HalfPunc</ability>
      <abilityName>全半角检查</abilityName>
      <candidateList>
        <item>，</item>
      </candidateList>
      <explain>文本全半角错误。</explain>
      <paraID>5D651718</paraID>
      <start>107</start>
      <end>108</end>
      <status>unmodified</status>
      <modifiedWord/>
      <trackRevisions>false</trackRevisions>
    </reviewItem>
    <reviewItem>
      <errorID>627e2b7e-7c85-400f-a930-d64ef4ab1ae6</errorID>
      <errorWord>（</errorWord>
      <group>L1_AI</group>
      <groupName>深度校对</groupName>
      <ability>L2_AI_Punc</ability>
      <abilityName>标点纠错</abilityName>
      <candidateList>
        <item/>
      </candidateList>
      <explain/>
      <paraID>5D651718</paraID>
      <start>120</start>
      <end>121</end>
      <status>unmodified</status>
      <modifiedWord/>
      <trackRevisions>false</trackRevisions>
    </reviewItem>
    <reviewItem>
      <errorID>86b154a1-6c94-47aa-bfa9-095cbd198d08</errorID>
      <errorWord>）</errorWord>
      <group>L1_AI</group>
      <groupName>深度校对</groupName>
      <ability>L2_AI_Punc</ability>
      <abilityName>标点纠错</abilityName>
      <candidateList>
        <item/>
      </candidateList>
      <explain/>
      <paraID>5D651718</paraID>
      <start>201</start>
      <end>202</end>
      <status>unmodified</status>
      <modifiedWord/>
      <trackRevisions>false</trackRevisions>
    </reviewItem>
    <reviewItem>
      <errorID>5108823f-e441-4069-a5b7-d268eac943e3</errorID>
      <errorWord>将</errorWord>
      <group>L1_AI</group>
      <groupName>深度校对</groupName>
      <ability>L2_AI_Grammar</ability>
      <abilityName>语法纠错</abilityName>
      <candidateList>
        <item>，招标代理机构将</item>
      </candidateList>
      <explain/>
      <paraID>5D651718</paraID>
      <start>211</start>
      <end>212</end>
      <status>unmodified</status>
      <modifiedWord/>
      <trackRevisions>false</trackRevisions>
    </reviewItem>
    <reviewItem>
      <errorID>001ba9ef-e1a4-489f-af39-82cb62cc986f</errorID>
      <errorWord>时效性</errorWord>
      <group>L1_AI</group>
      <groupName>深度校对</groupName>
      <ability>L2_AI_Word</ability>
      <abilityName>字词纠错</abilityName>
      <candidateList>
        <item>时效</item>
      </candidateList>
      <explain/>
      <paraID>43F8934C</paraID>
      <start>10</start>
      <end>13</end>
      <status>unmodified</status>
      <modifiedWord/>
      <trackRevisions>false</trackRevisions>
    </reviewItem>
    <reviewItem>
      <errorID>764b7c2c-9921-4fe1-8297-f7a6196eb159</errorID>
      <errorWord>邮寄方式</errorWord>
      <group>L1_AI</group>
      <groupName>深度校对</groupName>
      <ability>L2_AI_Grammar</ability>
      <abilityName>语法纠错</abilityName>
      <candidateList>
        <item>邮寄</item>
      </candidateList>
      <explain/>
      <paraID>43F8934C</paraID>
      <start>14</start>
      <end>18</end>
      <status>unmodified</status>
      <modifiedWord/>
      <trackRevisions>false</trackRevisions>
    </reviewItem>
    <reviewItem>
      <errorID>5d5b882c-cdd8-41c5-84e0-8cefebd06605</errorID>
      <errorWord>为准”</errorWord>
      <group>L1_AI</group>
      <groupName>深度校对</groupName>
      <ability>L2_AI_Word</ability>
      <abilityName>字词纠错</abilityName>
      <candidateList>
        <item>”为准</item>
      </candidateList>
      <explain/>
      <paraID>43F8934C</paraID>
      <start>41</start>
      <end>44</end>
      <status>unmodified</status>
      <modifiedWord/>
      <trackRevisions>false</trackRevisions>
    </reviewItem>
    <reviewItem>
      <errorID>7d72f3a3-33a5-4edb-85b2-6d75d133dcf9</errorID>
      <errorWord>。</errorWord>
      <group>L1_AI</group>
      <groupName>深度校对</groupName>
      <ability>L2_AI_Grammar</ability>
      <abilityName>语法纠错</abilityName>
      <candidateList>
        <item>接收。</item>
      </candidateList>
      <explain/>
      <paraID>43F8934C</paraID>
      <start>61</start>
      <end>62</end>
      <status>unmodified</status>
      <modifiedWord/>
      <trackRevisions>false</trackRevisions>
    </reviewItem>
    <reviewItem>
      <errorID>6f2d76af-1502-484d-9e93-8d1adc9293cd</errorID>
      <errorWord>因为</errorWord>
      <group>L1_AI</group>
      <groupName>深度校对</groupName>
      <ability>L2_AI_Word</ability>
      <abilityName>字词纠错</abilityName>
      <candidateList>
        <item>因</item>
      </candidateList>
      <explain/>
      <paraID>7EA51628</paraID>
      <start>6</start>
      <end>8</end>
      <status>unmodified</status>
      <modifiedWord/>
      <trackRevisions>false</trackRevisions>
    </reviewItem>
    <reviewItem>
      <errorID>7816be69-cc19-49be-8200-af8fd08d9cc7</errorID>
      <errorWord>地点发生</errorWord>
      <group>L1_AI</group>
      <groupName>深度校对</groupName>
      <ability>L2_AI_Grammar</ability>
      <abilityName>语法纠错</abilityName>
      <candidateList>
        <item>地点</item>
      </candidateList>
      <explain/>
      <paraID>7EA51628</paraID>
      <start>10</start>
      <end>14</end>
      <status>unmodified</status>
      <modifiedWord/>
      <trackRevisions>false</trackRevisions>
    </reviewItem>
    <reviewItem>
      <errorID>b26d5875-f846-41ee-94a3-970be49ec69b</errorID>
      <errorWord>，将被</errorWord>
      <group>L1_AI</group>
      <groupName>深度校对</groupName>
      <ability>L2_AI_Grammar</ability>
      <abilityName>语法纠错</abilityName>
      <candidateList>
        <item>，</item>
      </candidateList>
      <explain/>
      <paraID>7EA51628</paraID>
      <start>26</start>
      <end>29</end>
      <status>unmodified</status>
      <modifiedWord/>
      <trackRevisions>false</trackRevisions>
    </reviewItem>
    <reviewItem>
      <errorID>9d1a887a-10eb-4610-82c5-b1580cf1ad6e</errorID>
      <errorWord>拒绝</errorWord>
      <group>L1_AI</group>
      <groupName>深度校对</groupName>
      <ability>L2_AI_Word</ability>
      <abilityName>字词纠错</abilityName>
      <candidateList>
        <item>将拒绝</item>
      </candidateList>
      <explain/>
      <paraID>7EA51628</paraID>
      <start>32</start>
      <end>34</end>
      <status>unmodified</status>
      <modifiedWord/>
      <trackRevisions>false</trackRevisions>
    </reviewItem>
    <reviewItem>
      <errorID>2510aab1-4603-4e83-8c9b-d790a2c0b21f</errorID>
      <errorWord>/）</errorWord>
      <group>L1_Punc</group>
      <groupName>标点问题</groupName>
      <ability>L2_Punc</ability>
      <abilityName>标点符号检查</abilityName>
      <candidateList>
        <item>）</item>
      </candidateList>
      <explain/>
      <paraID> F5A0FA5</paraID>
      <start>146</start>
      <end>148</end>
      <status>unmodified</status>
      <modifiedWord/>
      <trackRevisions>false</trackRevisions>
    </reviewItem>
    <reviewItem>
      <errorID>0e55ae17-2038-4d7a-b419-63a9e47a71dd</errorID>
      <errorWord>渝北区</errorWord>
      <group>L1_Word</group>
      <groupName>字词问题</groupName>
      <ability>L2_Typo</ability>
      <abilityName>字词错误</abilityName>
      <candidateList>
        <item>两江新区</item>
      </candidateList>
      <explain/>
      <paraID>4E3D156A</paraID>
      <start>6</start>
      <end>9</end>
      <status>unmodified</status>
      <modifiedWord/>
      <trackRevisions>false</trackRevisions>
    </reviewItem>
    <reviewItem>
      <errorID>58c94f8c-b25b-4219-87c1-3c6045a6e0a3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7F5993F9</paraID>
      <start>0</start>
      <end>2</end>
      <status>unmodified</status>
      <modifiedWord/>
      <trackRevisions>false</trackRevisions>
    </reviewItem>
    <reviewItem>
      <errorID>97b2a45e-4f19-40c6-b8fc-3a26593edadb</errorID>
      <errorWord>,</errorWord>
      <group>L1_Format</group>
      <groupName>格式问题</groupName>
      <ability>L2_HalfPunc</ability>
      <abilityName>全半角检查</abilityName>
      <candidateList>
        <item>，</item>
      </candidateList>
      <explain>文本全半角错误。</explain>
      <paraID>7F5993F9</paraID>
      <start>96</start>
      <end>97</end>
      <status>unmodified</status>
      <modifiedWord/>
      <trackRevisions>false</trackRevisions>
    </reviewItem>
    <reviewItem>
      <errorID>2ba89da4-a0ca-4d4c-b356-38433d1eeb67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63C7265</paraID>
      <start>0</start>
      <end>2</end>
      <status>unmodified</status>
      <modifiedWord/>
      <trackRevisions>false</trackRevisions>
    </reviewItem>
    <reviewItem>
      <errorID>18b8d233-98cc-4f71-9693-465b62edd284</errorID>
      <errorWord>渝北区</errorWord>
      <group>L1_Word</group>
      <groupName>字词问题</groupName>
      <ability>L2_Typo</ability>
      <abilityName>字词错误</abilityName>
      <candidateList>
        <item>两江新区</item>
      </candidateList>
      <explain/>
      <paraID>6F76BA78</paraID>
      <start>8</start>
      <end>11</end>
      <status>unmodified</status>
      <modifiedWord/>
      <trackRevisions>false</trackRevisions>
    </reviewItem>
    <reviewItem>
      <errorID>1937f1aa-3ffa-480e-83c4-04ee715384da</errorID>
      <errorWord>并</errorWord>
      <group>L1_AI</group>
      <groupName>深度校对</groupName>
      <ability>L2_AI_Punc</ability>
      <abilityName>标点纠错</abilityName>
      <candidateList>
        <item>，并</item>
      </candidateList>
      <explain/>
      <paraID>7804A0DB</paraID>
      <start>46</start>
      <end>47</end>
      <status>unmodified</status>
      <modifiedWord/>
      <trackRevisions>false</trackRevisions>
    </reviewItem>
    <reviewItem>
      <errorID>6c6c10fc-9c99-4f6b-a8e1-0333851a3478</errorID>
      <errorWord>；</errorWord>
      <group>L1_AI</group>
      <groupName>深度校对</groupName>
      <ability>L2_AI_Punc</ability>
      <abilityName>标点纠错</abilityName>
      <candidateList>
        <item>。</item>
      </candidateList>
      <explain/>
      <paraID>7804A0DB</paraID>
      <start>74</start>
      <end>75</end>
      <status>unmodified</status>
      <modifiedWord/>
      <trackRevisions>false</trackRevisions>
    </reviewItem>
    <reviewItem>
      <errorID>02dd10c3-27df-4784-84a9-3a3e50f4594b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4B4FADF9</paraID>
      <start>0</start>
      <end>2</end>
      <status>unmodified</status>
      <modifiedWord/>
      <trackRevisions>false</trackRevisions>
    </reviewItem>
    <reviewItem>
      <errorID>8a85c1c9-45a5-42b1-b072-32005cf2c393</errorID>
      <errorWord>或者</errorWord>
      <group>L1_AI</group>
      <groupName>深度校对</groupName>
      <ability>L2_AI_Punc</ability>
      <abilityName>标点纠错</abilityName>
      <candidateList>
        <item>，或者</item>
      </candidateList>
      <explain/>
      <paraID>4B4FADF9</paraID>
      <start>28</start>
      <end>30</end>
      <status>unmodified</status>
      <modifiedWord/>
      <trackRevisions>false</trackRevisions>
    </reviewItem>
    <reviewItem>
      <errorID>05385771-c010-4cae-98f7-1a7dffd75abb</errorID>
      <errorWord>不得</errorWord>
      <group>L1_AI</group>
      <groupName>深度校对</groupName>
      <ability>L2_AI_Punc</ability>
      <abilityName>标点纠错</abilityName>
      <candidateList>
        <item>，不得</item>
      </candidateList>
      <explain/>
      <paraID>4B4FADF9</paraID>
      <start>44</start>
      <end>46</end>
      <status>unmodified</status>
      <modifiedWord/>
      <trackRevisions>false</trackRevisions>
    </reviewItem>
    <reviewItem>
      <errorID>4b35b89e-34f6-45b8-812f-ec747e5b1bfb</errorID>
      <errorWord>，</errorWord>
      <group>L1_AI</group>
      <groupName>深度校对</groupName>
      <ability>L2_AI_Punc</ability>
      <abilityName>标点纠错</abilityName>
      <candidateList>
        <item>。</item>
      </candidateList>
      <explain/>
      <paraID>4B4FADF9</paraID>
      <start>52</start>
      <end>53</end>
      <status>unmodified</status>
      <modifiedWord/>
      <trackRevisions>false</trackRevisions>
    </reviewItem>
    <reviewItem>
      <errorID>a91be79b-3609-47ba-b3f5-d260f5eadd61</errorID>
      <errorWord>取消</errorWord>
      <group>L1_AI</group>
      <groupName>深度校对</groupName>
      <ability>L2_AI_Punc</ability>
      <abilityName>标点纠错</abilityName>
      <candidateList>
        <item>，取消</item>
      </candidateList>
      <explain/>
      <paraID>4B4FADF9</paraID>
      <start>58</start>
      <end>60</end>
      <status>unmodified</status>
      <modifiedWord/>
      <trackRevisions>false</trackRevisions>
    </reviewItem>
    <reviewItem>
      <errorID>4d1416b1-379e-44b2-a322-a61e9daebee7</errorID>
      <errorWord>；</errorWord>
      <group>L1_AI</group>
      <groupName>深度校对</groupName>
      <ability>L2_AI_Punc</ability>
      <abilityName>标点纠错</abilityName>
      <candidateList>
        <item>。</item>
      </candidateList>
      <explain/>
      <paraID>4B4FADF9</paraID>
      <start>64</start>
      <end>65</end>
      <status>unmodified</status>
      <modifiedWord/>
      <trackRevisions>false</trackRevisions>
    </reviewItem>
    <reviewItem>
      <errorID>ab553c86-0a07-44e3-8965-8dc9508c6a51</errorID>
      <errorWord>并</errorWord>
      <group>L1_AI</group>
      <groupName>深度校对</groupName>
      <ability>L2_AI_Punc</ability>
      <abilityName>标点纠错</abilityName>
      <candidateList>
        <item>，并</item>
      </candidateList>
      <explain/>
      <paraID>5D238EA9</paraID>
      <start>16</start>
      <end>17</end>
      <status>unmodified</status>
      <modifiedWord/>
      <trackRevisions>false</trackRevisions>
    </reviewItem>
    <reviewItem>
      <errorID>b5580637-a9aa-4886-ba0e-0570de1df8b6</errorID>
      <errorWord>并</errorWord>
      <group>L1_AI</group>
      <groupName>深度校对</groupName>
      <ability>L2_AI_Punc</ability>
      <abilityName>标点纠错</abilityName>
      <candidateList>
        <item>，并</item>
      </candidateList>
      <explain/>
      <paraID>745CCDF7</paraID>
      <start>36</start>
      <end>37</end>
      <status>unmodified</status>
      <modifiedWord/>
      <trackRevisions>false</trackRevisions>
    </reviewItem>
    <reviewItem>
      <errorID>5cc92731-abe4-4461-809d-0b0dad2ec732</errorID>
      <errorWord>、</errorWord>
      <group>L1_AI</group>
      <groupName>深度校对</groupName>
      <ability>L2_AI_Punc</ability>
      <abilityName>标点纠错</abilityName>
      <candidateList>
        <item>，</item>
      </candidateList>
      <explain/>
      <paraID>7EE4C21C</paraID>
      <start>21</start>
      <end>22</end>
      <status>unmodified</status>
      <modifiedWord/>
      <trackRevisions>false</trackRevisions>
    </reviewItem>
    <reviewItem>
      <errorID>e13cf3a1-2f2b-4ce0-8d89-8e2696975529</errorID>
      <errorWord>国家信用信息公示系统</errorWord>
      <group>L1_Word</group>
      <groupName>字词问题</groupName>
      <ability>L2_Typo</ability>
      <abilityName>字词错误</abilityName>
      <candidateList>
        <item>国家企业信用信息公示系统</item>
      </candidateList>
      <explain/>
      <paraID>7EE4C21C</paraID>
      <start>23</start>
      <end>33</end>
      <status>unmodified</status>
      <modifiedWord/>
      <trackRevisions>false</trackRevisions>
    </reviewItem>
    <reviewItem>
      <errorID>efd05d6b-9911-4710-ae0f-621ffa90efe6</errorID>
      <errorWord>、</errorWord>
      <group>L1_AI</group>
      <groupName>深度校对</groupName>
      <ability>L2_AI_Punc</ability>
      <abilityName>标点纠错</abilityName>
      <candidateList>
        <item>，</item>
      </candidateList>
      <explain/>
      <paraID>7EE4C21C</paraID>
      <start>58</start>
      <end>59</end>
      <status>unmodified</status>
      <modifiedWord/>
      <trackRevisions>false</trackRevisions>
    </reviewItem>
    <reviewItem>
      <errorID>07db1ce9-0da4-4011-bcde-b2bcc48b395a</errorID>
      <errorWord>国家信用信息公示系统</errorWord>
      <group>L1_Word</group>
      <groupName>字词问题</groupName>
      <ability>L2_Typo</ability>
      <abilityName>字词错误</abilityName>
      <candidateList>
        <item>国家企业信用信息公示系统</item>
      </candidateList>
      <explain/>
      <paraID>696CB586</paraID>
      <start>10</start>
      <end>20</end>
      <status>unmodified</status>
      <modifiedWord/>
      <trackRevisions>false</trackRevisions>
    </reviewItem>
    <reviewItem>
      <errorID>9a5e9775-4a74-49a8-a8cf-60208680d261</errorID>
      <errorWord>资信</errorWord>
      <group>L1_AI</group>
      <groupName>深度校对</groupName>
      <ability>L2_AI_Word</ability>
      <abilityName>字词纠错</abilityName>
      <candidateList>
        <item>等资信</item>
      </candidateList>
      <explain/>
      <paraID>696CB586</paraID>
      <start>30</start>
      <end>32</end>
      <status>unmodified</status>
      <modifiedWord/>
      <trackRevisions>false</trackRevisions>
    </reviewItem>
    <reviewItem>
      <errorID>85fc9834-efea-4201-a3aa-c85d6fa200cf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4EBC7229</paraID>
      <start>0</start>
      <end>2</end>
      <status>unmodified</status>
      <modifiedWord/>
      <trackRevisions>false</trackRevisions>
    </reviewItem>
    <reviewItem>
      <errorID>99614e53-d9f5-4a14-8b8b-b314483fb3fe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7A99DDE7</paraID>
      <start>0</start>
      <end>2</end>
      <status>unmodified</status>
      <modifiedWord/>
      <trackRevisions>false</trackRevisions>
    </reviewItem>
    <reviewItem>
      <errorID>8a6e7511-3920-46b1-a80a-33146cafa623</errorID>
      <errorWord>可能</errorWord>
      <group>L1_AI</group>
      <groupName>深度校对</groupName>
      <ability>L2_AI_Punc</ability>
      <abilityName>标点纠错</abilityName>
      <candidateList>
        <item>，可能</item>
      </candidateList>
      <explain/>
      <paraID>7A99DDE7</paraID>
      <start>12</start>
      <end>14</end>
      <status>unmodified</status>
      <modifiedWord/>
      <trackRevisions>false</trackRevisions>
    </reviewItem>
    <reviewItem>
      <errorID>88216b5f-5dbc-4edf-8ca7-e44121113123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3B5093BB</paraID>
      <start>0</start>
      <end>2</end>
      <status>unmodified</status>
      <modifiedWord/>
      <trackRevisions>false</trackRevisions>
    </reviewItem>
    <reviewItem>
      <errorID>24424f7e-b1be-4285-bdeb-572a60239e65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27375276</paraID>
      <start>0</start>
      <end>2</end>
      <status>unmodified</status>
      <modifiedWord/>
      <trackRevisions>false</trackRevisions>
    </reviewItem>
    <reviewItem>
      <errorID>776c8a97-1a9f-400a-aab2-0403db2713c2</errorID>
      <errorWord>或</errorWord>
      <group>L1_AI</group>
      <groupName>深度校对</groupName>
      <ability>L2_AI_Word</ability>
      <abilityName>字词纠错</abilityName>
      <candidateList>
        <item>、</item>
      </candidateList>
      <explain/>
      <paraID>27375276</paraID>
      <start>10</start>
      <end>11</end>
      <status>unmodified</status>
      <modifiedWord/>
      <trackRevisions>false</trackRevisions>
    </reviewItem>
    <reviewItem>
      <errorID>b5345f3f-f612-4067-aa75-63d604817c08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494A16B0</paraID>
      <start>0</start>
      <end>2</end>
      <status>unmodified</status>
      <modifiedWord/>
      <trackRevisions>false</trackRevisions>
    </reviewItem>
    <reviewItem>
      <errorID>490a9c60-e18d-4316-98ca-79fdcf5c3aa2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3C7772A4</paraID>
      <start>0</start>
      <end>2</end>
      <status>unmodified</status>
      <modifiedWord/>
      <trackRevisions>false</trackRevisions>
    </reviewItem>
    <reviewItem>
      <errorID>56e3e56a-4a1e-4a1f-862e-1185a9dcd5d2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76373E2C</paraID>
      <start>0</start>
      <end>2</end>
      <status>unmodified</status>
      <modifiedWord/>
      <trackRevisions>false</trackRevisions>
    </reviewItem>
    <reviewItem>
      <errorID>1644b0e4-4149-4002-a269-5f10652d7fa6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3846052E</paraID>
      <start>0</start>
      <end>2</end>
      <status>unmodified</status>
      <modifiedWord/>
      <trackRevisions>false</trackRevisions>
    </reviewItem>
    <reviewItem>
      <errorID>c56cad76-9d18-4b7e-ba8c-496a18728796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6AA71084</paraID>
      <start>0</start>
      <end>2</end>
      <status>unmodified</status>
      <modifiedWord/>
      <trackRevisions>false</trackRevisions>
    </reviewItem>
    <reviewItem>
      <errorID>6e5cde77-03a8-42c5-b469-50f27bf5edd1</errorID>
      <errorWord>)</errorWord>
      <group>L1_Format</group>
      <groupName>格式问题</groupName>
      <ability>L2_HalfPunc</ability>
      <abilityName>全半角检查</abilityName>
      <candidateList>
        <item>）</item>
      </candidateList>
      <explain>文本全半角错误。</explain>
      <paraID>7618DF2B</paraID>
      <start>105</start>
      <end>106</end>
      <status>unmodified</status>
      <modifiedWord/>
      <trackRevisions>false</trackRevisions>
    </reviewItem>
    <reviewItem>
      <errorID>f56349b7-737e-4f51-a4ab-514b223c90d3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58EEBF8B</paraID>
      <start>0</start>
      <end>2</end>
      <status>unmodified</status>
      <modifiedWord/>
      <trackRevisions>false</trackRevisions>
    </reviewItem>
    <reviewItem>
      <errorID>033fe6ac-cae0-4674-8aff-cac7edfcc745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405A4A7C</paraID>
      <start>0</start>
      <end>2</end>
      <status>unmodified</status>
      <modifiedWord/>
      <trackRevisions>false</trackRevisions>
    </reviewItem>
    <reviewItem>
      <errorID>17220f19-4bd2-4efd-92ef-6f54ffb58504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405A4A7C</paraID>
      <start>73</start>
      <end>76</end>
      <status>unmodified</status>
      <modifiedWord/>
      <trackRevisions>false</trackRevisions>
    </reviewItem>
    <reviewItem>
      <errorID>985a2f76-7d9e-43fb-b910-0abe1955beb7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30969665</paraID>
      <start>0</start>
      <end>2</end>
      <status>unmodified</status>
      <modifiedWord/>
      <trackRevisions>false</trackRevisions>
    </reviewItem>
    <reviewItem>
      <errorID>78dd9354-c774-4086-bc58-1b387508041d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6B0D8EE8</paraID>
      <start>0</start>
      <end>2</end>
      <status>unmodified</status>
      <modifiedWord/>
      <trackRevisions>false</trackRevisions>
    </reviewItem>
    <reviewItem>
      <errorID>74f68880-e2cc-41ad-bb7f-5eaa4d0c7fff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461A1F00</paraID>
      <start>0</start>
      <end>2</end>
      <status>unmodified</status>
      <modifiedWord/>
      <trackRevisions>false</trackRevisions>
    </reviewItem>
    <reviewItem>
      <errorID>de5b5ce5-2fb8-474b-82bd-6a4e99688d61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31E09F89</paraID>
      <start>0</start>
      <end>2</end>
      <status>unmodified</status>
      <modifiedWord/>
      <trackRevisions>false</trackRevisions>
    </reviewItem>
    <reviewItem>
      <errorID>12fcb154-8284-4c67-a0a2-49daecbbae87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1B789277</paraID>
      <start>0</start>
      <end>2</end>
      <status>unmodified</status>
      <modifiedWord/>
      <trackRevisions>false</trackRevisions>
    </reviewItem>
    <reviewItem>
      <errorID>c77c4149-122a-4fbd-be6d-bed31ac07097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496E4A25</paraID>
      <start>0</start>
      <end>2</end>
      <status>unmodified</status>
      <modifiedWord/>
      <trackRevisions>false</trackRevisions>
    </reviewItem>
    <reviewItem>
      <errorID>c44104a0-4d24-4b54-aaa9-306514d1e63e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2F78BDC9</paraID>
      <start>0</start>
      <end>2</end>
      <status>unmodified</status>
      <modifiedWord/>
      <trackRevisions>false</trackRevisions>
    </reviewItem>
    <reviewItem>
      <errorID>bc6304bb-e803-4b34-8390-3762f6766070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4723608D</paraID>
      <start>0</start>
      <end>2</end>
      <status>unmodified</status>
      <modifiedWord/>
      <trackRevisions>false</trackRevisions>
    </reviewItem>
    <reviewItem>
      <errorID>fb37ef1b-6a7e-4da6-86be-1059b2c0debf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2052E485</paraID>
      <start>0</start>
      <end>2</end>
      <status>unmodified</status>
      <modifiedWord/>
      <trackRevisions>false</trackRevisions>
    </reviewItem>
    <reviewItem>
      <errorID>73cd3128-39f7-4137-a00e-d7ab6dc78de5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2B7A4EB8</paraID>
      <start>0</start>
      <end>2</end>
      <status>unmodified</status>
      <modifiedWord/>
      <trackRevisions>false</trackRevisions>
    </reviewItem>
    <reviewItem>
      <errorID>fa71dec1-f977-4cff-a725-a7929e58dd66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2C11083A</paraID>
      <start>0</start>
      <end>2</end>
      <status>unmodified</status>
      <modifiedWord/>
      <trackRevisions>false</trackRevisions>
    </reviewItem>
    <reviewItem>
      <errorID>d1428748-ad95-4930-b393-0ecd27825da2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7E5038D4</paraID>
      <start>0</start>
      <end>2</end>
      <status>unmodified</status>
      <modifiedWord/>
      <trackRevisions>false</trackRevisions>
    </reviewItem>
    <reviewItem>
      <errorID>46a2c17f-5b7f-4b48-87b1-209a2976ee59</errorID>
      <errorWord>人的</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73033876</paraID>
      <start>30</start>
      <end>32</end>
      <status>unmodified</status>
      <modifiedWord/>
      <trackRevisions>false</trackRevisions>
    </reviewItem>
    <reviewItem>
      <errorID>321a119b-433d-4baa-ac32-28035de7807d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1A2F65CD</paraID>
      <start>70</start>
      <end>73</end>
      <status>unmodified</status>
      <modifiedWord/>
      <trackRevisions>false</trackRevisions>
    </reviewItem>
    <reviewItem>
      <errorID>775f17d1-b2a6-40c2-af75-17ed2d4d5b61</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5B94589B</paraID>
      <start>122</start>
      <end>128</end>
      <status>unmodified</status>
      <modifiedWord/>
      <trackRevisions>false</trackRevisions>
    </reviewItem>
    <reviewItem>
      <errorID>6d553c82-0782-4258-9d7c-98d9c0d93bad</errorID>
      <errorWord>签定合同</errorWord>
      <group>L1_Word</group>
      <groupName>字词问题</groupName>
      <ability>L2_Typo</ability>
      <abilityName>字词错误</abilityName>
      <candidateList>
        <item>签订合同</item>
      </candidateList>
      <explain/>
      <paraID>7162C089</paraID>
      <start>105</start>
      <end>109</end>
      <status>unmodified</status>
      <modifiedWord/>
      <trackRevisions>false</trackRevisions>
    </reviewItem>
    <reviewItem>
      <errorID>f6fe03b4-6dc9-4fc6-b52f-eaf11e48b901</errorID>
      <errorWord>《民法典》</errorWord>
      <group>L1_Word</group>
      <groupName>字词问题</groupName>
      <ability>L2_Typo</ability>
      <abilityName>字词错误</abilityName>
      <candidateList>
        <item>《中华人民共和国民法典》</item>
      </candidateList>
      <explain/>
      <paraID> F78533F</paraID>
      <start>31</start>
      <end>36</end>
      <status>unmodified</status>
      <modifiedWord/>
      <trackRevisions>false</trackRevisions>
    </reviewItem>
    <reviewItem>
      <errorID>1dfb0cc0-f352-4e33-bbae-7c730d273640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1C993FFB</paraID>
      <start>0</start>
      <end>2</end>
      <status>unmodified</status>
      <modifiedWord/>
      <trackRevisions>false</trackRevisions>
    </reviewItem>
    <reviewItem>
      <errorID>a8e5e10c-dc31-448b-9c3a-c97e0beb2ddc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36FD8925</paraID>
      <start>0</start>
      <end>2</end>
      <status>unmodified</status>
      <modifiedWord/>
      <trackRevisions>false</trackRevisions>
    </reviewItem>
    <reviewItem>
      <errorID>4b0b37e3-da1f-4590-aa76-f998c1f6288c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34C00261</paraID>
      <start>0</start>
      <end>2</end>
      <status>unmodified</status>
      <modifiedWord/>
      <trackRevisions>false</trackRevisions>
    </reviewItem>
    <reviewItem>
      <errorID>de232949-643c-4811-a779-18e68aadc67c</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5B4F77B3</paraID>
      <start>0</start>
      <end>2</end>
      <status>unmodified</status>
      <modifiedWord/>
      <trackRevisions>false</trackRevisions>
    </reviewItem>
    <reviewItem>
      <errorID>5a13c992-669d-447d-bd2a-f325fdc5d11e</errorID>
      <errorWord>高</errorWord>
      <group>L1_Word</group>
      <groupName>字词问题</groupName>
      <ability>L2_Typo</ability>
      <abilityName>字词错误</abilityName>
      <candidateList>
        <item>强</item>
      </candidateList>
      <explain/>
      <paraID>6F329B34</paraID>
      <start>9</start>
      <end>10</end>
      <status>unmodified</status>
      <modifiedWord/>
      <trackRevisions>false</trackRevisions>
    </reviewItem>
    <reviewItem>
      <errorID>0956f66b-074c-4099-8ecc-bf2a1c0c1990</errorID>
      <errorWord>因为</errorWord>
      <group>L1_Word</group>
      <groupName>字词问题</groupName>
      <ability>L2_Typo</ability>
      <abilityName>字词错误</abilityName>
      <candidateList>
        <item>因</item>
      </candidateList>
      <explain/>
      <paraID>438376AB</paraID>
      <start>2</start>
      <end>4</end>
      <status>unmodified</status>
      <modifiedWord/>
      <trackRevisions>false</trackRevisions>
    </reviewItem>
    <reviewItem>
      <errorID>a15cfb2a-b61c-4a27-8f51-faa21d84055a</errorID>
      <errorWord>代理人的</errorWord>
      <group>L1_Word</group>
      <groupName>字词问题</groupName>
      <ability>L2_Typo</ability>
      <abilityName>字词错误</abilityName>
      <candidateList>
        <item>代理人</item>
      </candidateList>
      <explain/>
      <paraID> F762F02</paraID>
      <start>14</start>
      <end>18</end>
      <status>unmodified</status>
      <modifiedWord/>
      <trackRevisions>false</trackRevisions>
    </reviewItem>
    <reviewItem>
      <errorID>777348ac-75cb-4909-b3e9-de60d4ad7f21</errorID>
      <errorWord>(</errorWord>
      <group>L1_Format</group>
      <groupName>格式问题</groupName>
      <ability>L2_HalfPunc</ability>
      <abilityName>全半角检查</abilityName>
      <candidateList>
        <item>（</item>
      </candidateList>
      <explain>文本全半角错误。</explain>
      <paraID>4B237DBC</paraID>
      <start>0</start>
      <end>1</end>
      <status>unmodified</status>
      <modifiedWord/>
      <trackRevisions>false</trackRevisions>
    </reviewItem>
    <reviewItem>
      <errorID>3383a910-aa2f-4b36-b6a8-2da77b2432fe</errorID>
      <errorWord>)</errorWord>
      <group>L1_Format</group>
      <groupName>格式问题</groupName>
      <ability>L2_HalfPunc</ability>
      <abilityName>全半角检查</abilityName>
      <candidateList>
        <item>）</item>
      </candidateList>
      <explain>文本全半角错误。</explain>
      <paraID>4B237DBC</paraID>
      <start>7</start>
      <end>8</end>
      <status>unmodified</status>
      <modifiedWord/>
      <trackRevisions>false</trackRevisions>
    </reviewItem>
    <reviewItem>
      <errorID>dc5a402c-165f-4582-8d8e-228120b1b7ae</errorID>
      <errorWord>(</errorWord>
      <group>L1_Format</group>
      <groupName>格式问题</groupName>
      <ability>L2_HalfPunc</ability>
      <abilityName>全半角检查</abilityName>
      <candidateList>
        <item>（</item>
      </candidateList>
      <explain>文本全半角错误。</explain>
      <paraID>53B6951D</paraID>
      <start>0</start>
      <end>1</end>
      <status>unmodified</status>
      <modifiedWord/>
      <trackRevisions>false</trackRevisions>
    </reviewItem>
    <reviewItem>
      <errorID>195c7d5c-1e82-45b0-80a6-36c0de5c1f7f</errorID>
      <errorWord>)</errorWord>
      <group>L1_Format</group>
      <groupName>格式问题</groupName>
      <ability>L2_HalfPunc</ability>
      <abilityName>全半角检查</abilityName>
      <candidateList>
        <item>）</item>
      </candidateList>
      <explain>文本全半角错误。</explain>
      <paraID>53B6951D</paraID>
      <start>6</start>
      <end>7</end>
      <status>unmodified</status>
      <modifiedWord/>
      <trackRevisions>false</trackRevisions>
    </reviewItem>
    <reviewItem>
      <errorID>6aaae8e9-6392-40a9-b0a6-33b4faa40e73</errorID>
      <errorWord>(</errorWord>
      <group>L1_Format</group>
      <groupName>格式问题</groupName>
      <ability>L2_HalfPunc</ability>
      <abilityName>全半角检查</abilityName>
      <candidateList>
        <item>（</item>
      </candidateList>
      <explain>文本全半角错误。</explain>
      <paraID>1C6BB811</paraID>
      <start>0</start>
      <end>1</end>
      <status>unmodified</status>
      <modifiedWord/>
      <trackRevisions>false</trackRevisions>
    </reviewItem>
    <reviewItem>
      <errorID>fc781441-790e-409f-824b-5918823f804d</errorID>
      <errorWord>)</errorWord>
      <group>L1_Format</group>
      <groupName>格式问题</groupName>
      <ability>L2_HalfPunc</ability>
      <abilityName>全半角检查</abilityName>
      <candidateList>
        <item>）</item>
      </candidateList>
      <explain>文本全半角错误。</explain>
      <paraID>1C6BB811</paraID>
      <start>65</start>
      <end>66</end>
      <status>unmodified</status>
      <modifiedWord/>
      <trackRevisions>false</trackRevisions>
    </reviewItem>
    <reviewItem>
      <errorID>393432a8-ba9c-473e-b669-be71be0875ae</errorID>
      <errorWord>（</errorWord>
      <group>L1_Format</group>
      <groupName>格式问题</groupName>
      <ability>L2_HalfPunc</ability>
      <abilityName>全半角检查</abilityName>
      <candidateList>
        <item>(</item>
      </candidateList>
      <explain>文本全半角错误。</explain>
      <paraID> F2FC7D3</paraID>
      <start>0</start>
      <end>1</end>
      <status>unmodified</status>
      <modifiedWord/>
      <trackRevisions>false</trackRevisions>
    </reviewItem>
    <reviewItem>
      <errorID>a694096c-3aaa-4dd2-9aa0-35bdb2da697a</errorID>
      <errorWord>）</errorWord>
      <group>L1_Format</group>
      <groupName>格式问题</groupName>
      <ability>L2_HalfPunc</ability>
      <abilityName>全半角检查</abilityName>
      <candidateList>
        <item>)</item>
      </candidateList>
      <explain>文本全半角错误。</explain>
      <paraID> F2FC7D3</paraID>
      <start>2</start>
      <end>3</end>
      <status>unmodified</status>
      <modifiedWord/>
      <trackRevisions>false</trackRevisions>
    </reviewItem>
    <reviewItem>
      <errorID>fce76ad2-c9f2-4f90-981e-bcc4eaef6626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1AD359C8</paraID>
      <start>0</start>
      <end>2</end>
      <status>unmodified</status>
      <modifiedWord/>
      <trackRevisions>false</trackRevisions>
    </reviewItem>
    <reviewItem>
      <errorID>25e957e1-831d-4486-bb5a-72680cc6552c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20830891</paraID>
      <start>0</start>
      <end>2</end>
      <status>unmodified</status>
      <modifiedWord/>
      <trackRevisions>false</trackRevisions>
    </reviewItem>
    <reviewItem>
      <errorID>8f8a5627-cbc9-4933-a72f-5a8b6a48b19d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42560D71</paraID>
      <start>0</start>
      <end>2</end>
      <status>unmodified</status>
      <modifiedWord/>
      <trackRevisions>false</trackRevisions>
    </reviewItem>
    <reviewItem>
      <errorID>d81b2ef0-ec11-4f35-ade7-4373870386d1</errorID>
      <errorWord>)</errorWord>
      <group>L1_Format</group>
      <groupName>格式问题</groupName>
      <ability>L2_HalfPunc</ability>
      <abilityName>全半角检查</abilityName>
      <candidateList>
        <item>）</item>
      </candidateList>
      <explain>文本全半角错误。</explain>
      <paraID>6E8390F7</paraID>
      <start>6</start>
      <end>7</end>
      <status>unmodified</status>
      <modifiedWord/>
      <trackRevisions>false</trackRevisions>
    </reviewItem>
    <reviewItem>
      <errorID>a2868d6f-16ef-41bd-aa95-4313a700786f</errorID>
      <errorWord>)</errorWord>
      <group>L1_Format</group>
      <groupName>格式问题</groupName>
      <ability>L2_HalfPunc</ability>
      <abilityName>全半角检查</abilityName>
      <candidateList>
        <item>）</item>
      </candidateList>
      <explain>文本全半角错误。</explain>
      <paraID> 6AABE1A</paraID>
      <start>5</start>
      <end>6</end>
      <status>unmodified</status>
      <modifiedWord/>
      <trackRevisions>false</trackRevisions>
    </reviewItem>
    <reviewItem>
      <errorID>3bb9ee90-1af1-46c6-a851-64ef30697512</errorID>
      <errorWord>)</errorWord>
      <group>L1_Format</group>
      <groupName>格式问题</groupName>
      <ability>L2_HalfPunc</ability>
      <abilityName>全半角检查</abilityName>
      <candidateList>
        <item>）</item>
      </candidateList>
      <explain>文本全半角错误。</explain>
      <paraID>1CA90479</paraID>
      <start>6</start>
      <end>7</end>
      <status>unmodified</status>
      <modifiedWord/>
      <trackRevisions>false</trackRevisions>
    </reviewItem>
    <reviewItem>
      <errorID>2ccc83d7-a088-487f-a24e-bf0fe6531373</errorID>
      <errorWord>)</errorWord>
      <group>L1_Format</group>
      <groupName>格式问题</groupName>
      <ability>L2_HalfPunc</ability>
      <abilityName>全半角检查</abilityName>
      <candidateList>
        <item>）</item>
      </candidateList>
      <explain>文本全半角错误。</explain>
      <paraID>663A2064</paraID>
      <start>5</start>
      <end>6</end>
      <status>unmodified</status>
      <modifiedWord/>
      <trackRevisions>false</trackRevisions>
    </reviewItem>
    <reviewItem>
      <errorID>e66992cf-183a-4826-97f4-2508b4495b33</errorID>
      <errorWord>)</errorWord>
      <group>L1_Format</group>
      <groupName>格式问题</groupName>
      <ability>L2_HalfPunc</ability>
      <abilityName>全半角检查</abilityName>
      <candidateList>
        <item>）</item>
      </candidateList>
      <explain>文本全半角错误。</explain>
      <paraID>20B52D3D</paraID>
      <start>7</start>
      <end>8</end>
      <status>unmodified</status>
      <modifiedWord/>
      <trackRevisions>false</trackRevisions>
    </reviewItem>
    <reviewItem>
      <errorID>e7ae4473-0b88-4a29-b317-309220f1a448</errorID>
      <errorWord>)</errorWord>
      <group>L1_Format</group>
      <groupName>格式问题</groupName>
      <ability>L2_HalfPunc</ability>
      <abilityName>全半角检查</abilityName>
      <candidateList>
        <item>）</item>
      </candidateList>
      <explain>文本全半角错误。</explain>
      <paraID>592907A1</paraID>
      <start>6</start>
      <end>7</end>
      <status>unmodified</status>
      <modifiedWord/>
      <trackRevisions>false</trackRevisions>
    </reviewItem>
    <reviewItem>
      <errorID>5b361a66-7818-4e80-8588-66d24d5f7e07</errorID>
      <errorWord>)</errorWord>
      <group>L1_Format</group>
      <groupName>格式问题</groupName>
      <ability>L2_HalfPunc</ability>
      <abilityName>全半角检查</abilityName>
      <candidateList>
        <item>）</item>
      </candidateList>
      <explain>文本全半角错误。</explain>
      <paraID>3DAABF80</paraID>
      <start>7</start>
      <end>8</end>
      <status>unmodified</status>
      <modifiedWord/>
      <trackRevisions>false</trackRevisions>
    </reviewItem>
    <reviewItem>
      <errorID>efa8e8d8-f469-4b69-bad0-ee08454bbe76</errorID>
      <errorWord>)</errorWord>
      <group>L1_Format</group>
      <groupName>格式问题</groupName>
      <ability>L2_HalfPunc</ability>
      <abilityName>全半角检查</abilityName>
      <candidateList>
        <item>）</item>
      </candidateList>
      <explain>文本全半角错误。</explain>
      <paraID>3F07BB64</paraID>
      <start>6</start>
      <end>7</end>
      <status>unmodified</status>
      <modifiedWord/>
      <trackRevisions>false</trackRevisions>
    </reviewItem>
    <reviewItem>
      <errorID>03e28ad6-0fcc-4cf0-8804-6ccf9f1f2aa5</errorID>
      <errorWord>(</errorWord>
      <group>L1_Format</group>
      <groupName>格式问题</groupName>
      <ability>L2_HalfPunc</ability>
      <abilityName>全半角检查</abilityName>
      <candidateList>
        <item>（</item>
      </candidateList>
      <explain>文本全半角错误。</explain>
      <paraID>34334F07</paraID>
      <start>149</start>
      <end>150</end>
      <status>unmodified</status>
      <modifiedWord/>
      <trackRevisions>false</trackRevisions>
    </reviewItem>
    <reviewItem>
      <errorID>10d89290-4c54-4d82-bc43-e09832accb9c</errorID>
      <errorWord>)</errorWord>
      <group>L1_Format</group>
      <groupName>格式问题</groupName>
      <ability>L2_HalfPunc</ability>
      <abilityName>全半角检查</abilityName>
      <candidateList>
        <item>）</item>
      </candidateList>
      <explain>文本全半角错误。</explain>
      <paraID>34334F07</paraID>
      <start>175</start>
      <end>176</end>
      <status>unmodified</status>
      <modifiedWord/>
      <trackRevisions>false</trackRevisions>
    </reviewItem>
    <reviewItem>
      <errorID>318a11bb-df56-4c6b-a885-f67010250073</errorID>
      <errorWord>，的</errorWord>
      <group>L1_Word</group>
      <groupName>字词问题</groupName>
      <ability>L2_Typo</ability>
      <abilityName>字词错误</abilityName>
      <candidateList>
        <item>，</item>
      </candidateList>
      <explain/>
      <paraID> 722E2FC</paraID>
      <start>66</start>
      <end>68</end>
      <status>unmodified</status>
      <modifiedWord/>
      <trackRevisions>false</trackRevisions>
    </reviewItem>
    <reviewItem>
      <errorID>2b93786f-c02f-47a6-aca8-9ff9ae444432</errorID>
      <errorWord>供于</errorWord>
      <group>L1_Word</group>
      <groupName>字词问题</groupName>
      <ability>L2_Typo</ability>
      <abilityName>字词错误</abilityName>
      <candidateList>
        <item>用于</item>
      </candidateList>
      <explain/>
      <paraID>239E2BE5</paraID>
      <start>27</start>
      <end>29</end>
      <status>unmodified</status>
      <modifiedWord/>
      <trackRevisions>false</trackRevisions>
    </reviewItem>
    <reviewItem>
      <errorID>1615b577-bbb6-4742-b0ab-e57766f84826</errorID>
      <errorWord>台帐</errorWord>
      <group>L1_Word</group>
      <groupName>字词问题</groupName>
      <ability>L2_Typo</ability>
      <abilityName>字词错误</abilityName>
      <candidateList>
        <item>台账</item>
      </candidateList>
      <explain>存在发音相同字词的误用。</explain>
      <paraID>49BE71E7</paraID>
      <start>2</start>
      <end>4</end>
      <status>unmodified</status>
      <modifiedWord/>
      <trackRevisions>false</trackRevisions>
    </reviewItem>
    <reviewItem>
      <errorID>44e99c43-e3c6-4ada-b2c9-79d83e39a12b</errorID>
      <errorWord>)</errorWord>
      <group>L1_Format</group>
      <groupName>格式问题</groupName>
      <ability>L2_HalfPunc</ability>
      <abilityName>全半角检查</abilityName>
      <candidateList>
        <item>）</item>
      </candidateList>
      <explain>文本全半角错误。</explain>
      <paraID>24FB993E</paraID>
      <start>31</start>
      <end>32</end>
      <status>unmodified</status>
      <modifiedWord/>
      <trackRevisions>false</trackRevisions>
    </reviewItem>
    <reviewItem>
      <errorID>505b8ade-86ff-4ba4-b5ba-ba598ae56f6d</errorID>
      <errorWord>)</errorWord>
      <group>L1_Format</group>
      <groupName>格式问题</groupName>
      <ability>L2_HalfPunc</ability>
      <abilityName>全半角检查</abilityName>
      <candidateList>
        <item>）</item>
      </candidateList>
      <explain>文本全半角错误。</explain>
      <paraID>5BCAC98D</paraID>
      <start>26</start>
      <end>27</end>
      <status>unmodified</status>
      <modifiedWord/>
      <trackRevisions>false</trackRevisions>
    </reviewItem>
    <reviewItem>
      <errorID>93a3b323-db73-49fd-9e8d-f1b77c7e57ff</errorID>
      <errorWord>(</errorWord>
      <group>L1_Format</group>
      <groupName>格式问题</groupName>
      <ability>L2_HalfPunc</ability>
      <abilityName>全半角检查</abilityName>
      <candidateList>
        <item>（</item>
      </candidateList>
      <explain>文本全半角错误。</explain>
      <paraID> BDB907C</paraID>
      <start>9</start>
      <end>10</end>
      <status>unmodified</status>
      <modifiedWord/>
      <trackRevisions>false</trackRevisions>
    </reviewItem>
    <reviewItem>
      <errorID>cc348c79-dca7-4817-a1a9-745412c763bb</errorID>
      <errorWord>)</errorWord>
      <group>L1_Format</group>
      <groupName>格式问题</groupName>
      <ability>L2_HalfPunc</ability>
      <abilityName>全半角检查</abilityName>
      <candidateList>
        <item>）</item>
      </candidateList>
      <explain>文本全半角错误。</explain>
      <paraID> BDB907C</paraID>
      <start>35</start>
      <end>36</end>
      <status>unmodified</status>
      <modifiedWord/>
      <trackRevisions>false</trackRevisions>
    </reviewItem>
    <reviewItem>
      <errorID>0fb6f126-f15d-4549-8aa6-64bbaab4f01d</errorID>
      <errorWord>，的</errorWord>
      <group>L1_Word</group>
      <groupName>字词问题</groupName>
      <ability>L2_Typo</ability>
      <abilityName>字词错误</abilityName>
      <candidateList>
        <item>，</item>
      </candidateList>
      <explain/>
      <paraID>7339430E</paraID>
      <start>14</start>
      <end>16</end>
      <status>unmodified</status>
      <modifiedWord/>
      <trackRevisions>false</trackRevisions>
    </reviewItem>
    <reviewItem>
      <errorID>9d64e52a-e61e-45bd-b7dc-3493974af4e8</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579C33BA</paraID>
      <start>56</start>
      <end>59</end>
      <status>unmodified</status>
      <modifiedWord/>
      <trackRevisions>false</trackRevisions>
    </reviewItem>
    <reviewItem>
      <errorID>838c75db-0e1d-4530-b768-70f94e0f9335</errorID>
      <errorWord>,</errorWord>
      <group>L1_Format</group>
      <groupName>格式问题</groupName>
      <ability>L2_HalfPunc</ability>
      <abilityName>全半角检查</abilityName>
      <candidateList>
        <item>，</item>
      </candidateList>
      <explain>文本全半角错误。</explain>
      <paraID>6B21B5FA</paraID>
      <start>99</start>
      <end>100</end>
      <status>unmodified</status>
      <modifiedWord/>
      <trackRevisions>false</trackRevisions>
    </reviewItem>
    <reviewItem>
      <errorID>b05d1569-20c2-4844-a26a-8f1db3d263fa</errorID>
      <errorWord>)</errorWord>
      <group>L1_Format</group>
      <groupName>格式问题</groupName>
      <ability>L2_HalfPunc</ability>
      <abilityName>全半角检查</abilityName>
      <candidateList>
        <item>）</item>
      </candidateList>
      <explain>文本全半角错误。</explain>
      <paraID> 7BB2AE5</paraID>
      <start>6</start>
      <end>7</end>
      <status>unmodified</status>
      <modifiedWord/>
      <trackRevisions>false</trackRevisions>
    </reviewItem>
    <reviewItem>
      <errorID>ed001047-6bf5-450e-9487-ea0fc291b6bf</errorID>
      <errorWord>)</errorWord>
      <group>L1_Format</group>
      <groupName>格式问题</groupName>
      <ability>L2_HalfPunc</ability>
      <abilityName>全半角检查</abilityName>
      <candidateList>
        <item>）</item>
      </candidateList>
      <explain>文本全半角错误。</explain>
      <paraID>2B374652</paraID>
      <start>5</start>
      <end>6</end>
      <status>unmodified</status>
      <modifiedWord/>
      <trackRevisions>false</trackRevisions>
    </reviewItem>
    <reviewItem>
      <errorID>4839674c-5f75-4a2a-aad2-1bd8f258dc21</errorID>
      <errorWord>)</errorWord>
      <group>L1_Format</group>
      <groupName>格式问题</groupName>
      <ability>L2_HalfPunc</ability>
      <abilityName>全半角检查</abilityName>
      <candidateList>
        <item>）</item>
      </candidateList>
      <explain>文本全半角错误。</explain>
      <paraID>576D6383</paraID>
      <start>6</start>
      <end>7</end>
      <status>unmodified</status>
      <modifiedWord/>
      <trackRevisions>false</trackRevisions>
    </reviewItem>
    <reviewItem>
      <errorID>fd87a0b0-bfe5-4130-b66f-a5930c702858</errorID>
      <errorWord>)</errorWord>
      <group>L1_Format</group>
      <groupName>格式问题</groupName>
      <ability>L2_HalfPunc</ability>
      <abilityName>全半角检查</abilityName>
      <candidateList>
        <item>）</item>
      </candidateList>
      <explain>文本全半角错误。</explain>
      <paraID>5E2D3DB7</paraID>
      <start>5</start>
      <end>6</end>
      <status>unmodified</status>
      <modifiedWord/>
      <trackRevisions>false</trackRevisions>
    </reviewItem>
    <reviewItem>
      <errorID>c7e73e41-b6e0-4ac9-b89a-60e7ba3576c9</errorID>
      <errorWord>)</errorWord>
      <group>L1_Format</group>
      <groupName>格式问题</groupName>
      <ability>L2_HalfPunc</ability>
      <abilityName>全半角检查</abilityName>
      <candidateList>
        <item>）</item>
      </candidateList>
      <explain>文本全半角错误。</explain>
      <paraID>7F3B192D</paraID>
      <start>7</start>
      <end>8</end>
      <status>unmodified</status>
      <modifiedWord/>
      <trackRevisions>false</trackRevisions>
    </reviewItem>
    <reviewItem>
      <errorID>7a411509-40e4-4205-b4bb-cd643a55134a</errorID>
      <errorWord>)</errorWord>
      <group>L1_Format</group>
      <groupName>格式问题</groupName>
      <ability>L2_HalfPunc</ability>
      <abilityName>全半角检查</abilityName>
      <candidateList>
        <item>）</item>
      </candidateList>
      <explain>文本全半角错误。</explain>
      <paraID>5922FEB0</paraID>
      <start>6</start>
      <end>7</end>
      <status>unmodified</status>
      <modifiedWord/>
      <trackRevisions>false</trackRevisions>
    </reviewItem>
    <reviewItem>
      <errorID>7ecd13df-4a63-4fec-9ced-84c137e37b5a</errorID>
      <errorWord>)</errorWord>
      <group>L1_Format</group>
      <groupName>格式问题</groupName>
      <ability>L2_HalfPunc</ability>
      <abilityName>全半角检查</abilityName>
      <candidateList>
        <item>）</item>
      </candidateList>
      <explain>文本全半角错误。</explain>
      <paraID>387FB92E</paraID>
      <start>7</start>
      <end>8</end>
      <status>unmodified</status>
      <modifiedWord/>
      <trackRevisions>false</trackRevisions>
    </reviewItem>
    <reviewItem>
      <errorID>9787d3d4-0725-45cd-b280-218167a1ad17</errorID>
      <errorWord>)</errorWord>
      <group>L1_Format</group>
      <groupName>格式问题</groupName>
      <ability>L2_HalfPunc</ability>
      <abilityName>全半角检查</abilityName>
      <candidateList>
        <item>）</item>
      </candidateList>
      <explain>文本全半角错误。</explain>
      <paraID>18F6C8BE</paraID>
      <start>6</start>
      <end>7</end>
      <status>unmodified</status>
      <modifiedWord/>
      <trackRevisions>false</trackRevisions>
    </reviewItem>
    <reviewItem>
      <errorID>ccb859f8-9279-41f4-8304-9df281657065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4C2223D0</paraID>
      <start>0</start>
      <end>2</end>
      <status>unmodified</status>
      <modifiedWord/>
      <trackRevisions>false</trackRevisions>
    </reviewItem>
    <reviewItem>
      <errorID>3c82001e-0d8e-49aa-9363-264bcaa90cae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58DF7E3F</paraID>
      <start>0</start>
      <end>2</end>
      <status>unmodified</status>
      <modifiedWord/>
      <trackRevisions>false</trackRevisions>
    </reviewItem>
    <reviewItem>
      <errorID>a3edb2e4-2285-4c81-8be5-ada3d000240a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493906BA</paraID>
      <start>0</start>
      <end>2</end>
      <status>unmodified</status>
      <modifiedWord/>
      <trackRevisions>false</trackRevisions>
    </reviewItem>
    <reviewItem>
      <errorID>a5857c87-e08f-4e07-9d3c-ec7dc1921527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6BED63AC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9b341c-f1d5-4ea3-a4be-8ddfa26a016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63</Pages>
  <Words>7732</Words>
  <Characters>8302</Characters>
  <Lines>198</Lines>
  <Paragraphs>55</Paragraphs>
  <TotalTime>2</TotalTime>
  <ScaleCrop>false</ScaleCrop>
  <LinksUpToDate>false</LinksUpToDate>
  <CharactersWithSpaces>8511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2023-03-06T09:57:00Z</dcterms:created>
  <dc:creator>Administrator</dc:creator>
  <cp:lastModifiedBy>国义招标</cp:lastModifiedBy>
  <cp:lastPrinted>2026-05-21T01:49:00Z</cp:lastPrinted>
  <dcterms:modified xsi:type="dcterms:W3CDTF">2026-07-20T02:13:11Z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BECC21D8BC4C46ECB62772FF805A204F_13</vt:lpwstr>
  </property>
  <property fmtid="{D5CDD505-2E9C-101B-9397-08002B2CF9AE}" pid="4" name="UFIDA_U9App_DataSourceXMLPart">
    <vt:lpwstr>{53252922-4d03-4450-8026-cd4b5d4e2cef}</vt:lpwstr>
  </property>
  <property fmtid="{D5CDD505-2E9C-101B-9397-08002B2CF9AE}" pid="5" name="KSOTemplateDocerSaveRecord">
    <vt:lpwstr>eyJoZGlkIjoiODU3MDFlNzYzNjY2OWQwODA0MWFlNmJhNGQwYWI2ZjMiLCJ1c2VySWQiOiI4ODY5MjQ4NjgifQ==</vt:lpwstr>
  </property>
</Properties>
</file>