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s>
        <w:spacing w:line="360" w:lineRule="auto"/>
        <w:jc w:val="center"/>
        <w:rPr>
          <w:rFonts w:hint="eastAsia" w:hAnsi="宋体"/>
          <w:b/>
          <w:sz w:val="48"/>
          <w:szCs w:val="48"/>
          <w:highlight w:val="none"/>
        </w:rPr>
      </w:pPr>
    </w:p>
    <w:p>
      <w:pPr>
        <w:tabs>
          <w:tab w:val="left" w:pos="720"/>
        </w:tabs>
        <w:spacing w:line="360" w:lineRule="auto"/>
        <w:jc w:val="center"/>
        <w:rPr>
          <w:rFonts w:hint="eastAsia" w:hAnsi="宋体"/>
          <w:b/>
          <w:sz w:val="48"/>
          <w:szCs w:val="48"/>
          <w:highlight w:val="none"/>
        </w:rPr>
      </w:pPr>
    </w:p>
    <w:p>
      <w:pPr>
        <w:tabs>
          <w:tab w:val="left" w:pos="720"/>
        </w:tabs>
        <w:spacing w:line="360" w:lineRule="auto"/>
        <w:jc w:val="center"/>
        <w:rPr>
          <w:rFonts w:hint="eastAsia" w:hAnsi="宋体"/>
          <w:b/>
          <w:sz w:val="48"/>
          <w:szCs w:val="48"/>
          <w:highlight w:val="none"/>
        </w:rPr>
      </w:pPr>
    </w:p>
    <w:p>
      <w:pPr>
        <w:tabs>
          <w:tab w:val="left" w:pos="720"/>
        </w:tabs>
        <w:spacing w:line="360" w:lineRule="auto"/>
        <w:jc w:val="center"/>
        <w:rPr>
          <w:rFonts w:hint="eastAsia" w:hAnsi="宋体"/>
          <w:b/>
          <w:sz w:val="48"/>
          <w:szCs w:val="48"/>
          <w:highlight w:val="none"/>
        </w:rPr>
      </w:pPr>
    </w:p>
    <w:p>
      <w:pPr>
        <w:tabs>
          <w:tab w:val="left" w:pos="720"/>
        </w:tabs>
        <w:spacing w:line="360" w:lineRule="auto"/>
        <w:jc w:val="center"/>
        <w:rPr>
          <w:rFonts w:hint="eastAsia" w:hAnsi="宋体"/>
          <w:b/>
          <w:sz w:val="48"/>
          <w:szCs w:val="48"/>
          <w:highlight w:val="none"/>
        </w:rPr>
      </w:pPr>
    </w:p>
    <w:p>
      <w:pPr>
        <w:tabs>
          <w:tab w:val="left" w:pos="720"/>
        </w:tabs>
        <w:spacing w:line="360" w:lineRule="auto"/>
        <w:jc w:val="center"/>
        <w:rPr>
          <w:rFonts w:hint="eastAsia" w:hAnsi="宋体"/>
          <w:b/>
          <w:sz w:val="48"/>
          <w:szCs w:val="48"/>
          <w:highlight w:val="none"/>
        </w:rPr>
      </w:pPr>
    </w:p>
    <w:p>
      <w:pPr>
        <w:tabs>
          <w:tab w:val="left" w:pos="720"/>
        </w:tabs>
        <w:spacing w:line="360" w:lineRule="auto"/>
        <w:jc w:val="center"/>
        <w:rPr>
          <w:rFonts w:hint="eastAsia" w:hAnsi="宋体"/>
          <w:b/>
          <w:sz w:val="48"/>
          <w:szCs w:val="48"/>
          <w:highlight w:val="none"/>
        </w:rPr>
      </w:pPr>
      <w:r>
        <w:rPr>
          <w:rFonts w:hint="eastAsia" w:hAnsi="宋体"/>
          <w:b/>
          <w:sz w:val="48"/>
          <w:szCs w:val="48"/>
          <w:highlight w:val="none"/>
        </w:rPr>
        <w:t>第一部分、用户需求书</w:t>
      </w:r>
    </w:p>
    <w:p>
      <w:pPr>
        <w:tabs>
          <w:tab w:val="left" w:pos="720"/>
        </w:tabs>
        <w:spacing w:line="360" w:lineRule="auto"/>
        <w:rPr>
          <w:rFonts w:hint="eastAsia" w:hAnsi="宋体"/>
          <w:b/>
          <w:sz w:val="48"/>
          <w:szCs w:val="48"/>
          <w:highlight w:val="none"/>
        </w:rPr>
      </w:pPr>
    </w:p>
    <w:p>
      <w:pPr>
        <w:spacing w:line="300" w:lineRule="auto"/>
        <w:rPr>
          <w:rFonts w:hint="eastAsia" w:hAnsi="宋体"/>
          <w:b/>
          <w:sz w:val="24"/>
          <w:szCs w:val="24"/>
          <w:highlight w:val="none"/>
        </w:rPr>
      </w:pPr>
      <w:r>
        <w:rPr>
          <w:rFonts w:hAnsi="宋体"/>
          <w:b/>
          <w:sz w:val="24"/>
          <w:szCs w:val="24"/>
          <w:highlight w:val="none"/>
        </w:rPr>
        <w:br w:type="page"/>
      </w:r>
    </w:p>
    <w:p>
      <w:pPr>
        <w:spacing w:line="300" w:lineRule="auto"/>
        <w:jc w:val="center"/>
        <w:rPr>
          <w:rFonts w:hint="eastAsia" w:hAnsi="宋体"/>
          <w:b/>
          <w:bCs/>
          <w:spacing w:val="10"/>
          <w:sz w:val="28"/>
          <w:szCs w:val="28"/>
          <w:highlight w:val="none"/>
        </w:rPr>
      </w:pPr>
      <w:r>
        <w:rPr>
          <w:rFonts w:hint="eastAsia" w:hAnsi="宋体"/>
          <w:b/>
          <w:bCs/>
          <w:spacing w:val="10"/>
          <w:sz w:val="28"/>
          <w:szCs w:val="28"/>
          <w:highlight w:val="none"/>
        </w:rPr>
        <w:t>用户需求书</w:t>
      </w:r>
    </w:p>
    <w:p>
      <w:pPr>
        <w:autoSpaceDE/>
        <w:autoSpaceDN/>
        <w:adjustRightInd/>
        <w:ind w:firstLine="420" w:firstLineChars="200"/>
        <w:jc w:val="both"/>
        <w:rPr>
          <w:rFonts w:hint="eastAsia" w:hAnsi="宋体"/>
          <w:bCs/>
          <w:kern w:val="2"/>
          <w:sz w:val="21"/>
          <w:szCs w:val="21"/>
          <w:highlight w:val="none"/>
        </w:rPr>
      </w:pPr>
    </w:p>
    <w:p>
      <w:pPr>
        <w:kinsoku w:val="0"/>
        <w:overflowPunct w:val="0"/>
        <w:outlineLvl w:val="4"/>
        <w:rPr>
          <w:rFonts w:hint="eastAsia" w:hAnsi="宋体"/>
          <w:b/>
          <w:bCs/>
          <w:sz w:val="21"/>
          <w:szCs w:val="21"/>
          <w:highlight w:val="none"/>
        </w:rPr>
      </w:pPr>
    </w:p>
    <w:p>
      <w:pPr>
        <w:kinsoku w:val="0"/>
        <w:overflowPunct w:val="0"/>
        <w:outlineLvl w:val="4"/>
        <w:rPr>
          <w:rFonts w:hint="eastAsia" w:hAnsi="宋体"/>
          <w:b/>
          <w:bCs/>
          <w:sz w:val="21"/>
          <w:szCs w:val="21"/>
          <w:highlight w:val="none"/>
        </w:rPr>
      </w:pPr>
      <w:r>
        <w:rPr>
          <w:rFonts w:hint="eastAsia" w:hAnsi="宋体"/>
          <w:b/>
          <w:bCs/>
          <w:sz w:val="21"/>
          <w:szCs w:val="21"/>
          <w:highlight w:val="none"/>
        </w:rPr>
        <w:t>附表一：污水处理站外包运营服务</w:t>
      </w:r>
    </w:p>
    <w:p>
      <w:pPr>
        <w:spacing w:line="300" w:lineRule="auto"/>
        <w:ind w:firstLine="602" w:firstLineChars="200"/>
        <w:rPr>
          <w:rFonts w:hint="eastAsia" w:hAnsi="宋体"/>
          <w:spacing w:val="10"/>
          <w:sz w:val="21"/>
          <w:szCs w:val="21"/>
          <w:highlight w:val="yellow"/>
        </w:rPr>
      </w:pPr>
      <w:r>
        <w:rPr>
          <w:rFonts w:hint="eastAsia" w:hAnsi="宋体"/>
          <w:b/>
          <w:bCs/>
          <w:spacing w:val="10"/>
          <w:sz w:val="28"/>
          <w:szCs w:val="28"/>
          <w:highlight w:val="yellow"/>
        </w:rPr>
        <w:t>说明：投标人应对以下《用户需求书》的全部内容，逐条响应并填写《格式十五：技术和服务</w:t>
      </w:r>
      <w:bookmarkStart w:id="25" w:name="_GoBack"/>
      <w:bookmarkEnd w:id="25"/>
      <w:r>
        <w:rPr>
          <w:rFonts w:hint="eastAsia" w:hAnsi="宋体"/>
          <w:b/>
          <w:bCs/>
          <w:spacing w:val="10"/>
          <w:sz w:val="28"/>
          <w:szCs w:val="28"/>
          <w:highlight w:val="yellow"/>
        </w:rPr>
        <w:t>要求响应表》，仅对其中部分技术或服务内容的响应都被视为无效投标。</w:t>
      </w:r>
    </w:p>
    <w:p>
      <w:pPr>
        <w:rPr>
          <w:rFonts w:hint="eastAsia" w:hAnsi="宋体"/>
          <w:szCs w:val="21"/>
          <w:highlight w:val="none"/>
        </w:rPr>
      </w:pPr>
    </w:p>
    <w:p>
      <w:pPr>
        <w:rPr>
          <w:rFonts w:hint="eastAsia" w:hAnsi="宋体"/>
          <w:b/>
          <w:bCs/>
          <w:sz w:val="21"/>
          <w:szCs w:val="21"/>
          <w:highlight w:val="none"/>
        </w:rPr>
      </w:pPr>
      <w:r>
        <w:rPr>
          <w:rFonts w:hint="eastAsia" w:hAnsi="宋体"/>
          <w:b/>
          <w:bCs/>
          <w:sz w:val="21"/>
          <w:szCs w:val="21"/>
          <w:highlight w:val="none"/>
        </w:rPr>
        <w:t>一、项目基本概况介绍</w:t>
      </w:r>
    </w:p>
    <w:p>
      <w:pPr>
        <w:ind w:firstLine="420" w:firstLineChars="200"/>
        <w:rPr>
          <w:rFonts w:hint="eastAsia" w:hAnsi="宋体"/>
          <w:sz w:val="21"/>
          <w:szCs w:val="21"/>
          <w:highlight w:val="none"/>
        </w:rPr>
      </w:pPr>
      <w:r>
        <w:rPr>
          <w:rFonts w:hint="eastAsia" w:hAnsi="宋体"/>
          <w:sz w:val="21"/>
          <w:szCs w:val="21"/>
          <w:highlight w:val="none"/>
        </w:rPr>
        <w:t>（一）项目名称：广州市第一人民医院采购污水处理站外包运营服务项目。</w:t>
      </w:r>
    </w:p>
    <w:p>
      <w:pPr>
        <w:ind w:firstLine="420" w:firstLineChars="200"/>
        <w:rPr>
          <w:rFonts w:hint="eastAsia" w:hAnsi="宋体"/>
          <w:sz w:val="21"/>
          <w:szCs w:val="21"/>
          <w:highlight w:val="none"/>
        </w:rPr>
      </w:pPr>
      <w:r>
        <w:rPr>
          <w:rFonts w:hint="eastAsia" w:hAnsi="宋体"/>
          <w:sz w:val="21"/>
          <w:szCs w:val="21"/>
          <w:highlight w:val="none"/>
        </w:rPr>
        <w:t>（二）项目地点：广州市越秀区盘福路1号（总院）、广州市荔湾区花地大道南30~32号（鹤洞分院）</w:t>
      </w:r>
    </w:p>
    <w:p>
      <w:pPr>
        <w:ind w:firstLine="420" w:firstLineChars="200"/>
        <w:rPr>
          <w:rFonts w:hint="eastAsia" w:hAnsi="宋体"/>
          <w:sz w:val="21"/>
          <w:szCs w:val="21"/>
          <w:highlight w:val="none"/>
        </w:rPr>
      </w:pPr>
      <w:r>
        <w:rPr>
          <w:rFonts w:hint="eastAsia" w:hAnsi="宋体"/>
          <w:sz w:val="21"/>
          <w:szCs w:val="21"/>
          <w:highlight w:val="none"/>
        </w:rPr>
        <w:t>（三）预期最大处理水量：总院2700m3/d，鹤洞分院20m3/d</w:t>
      </w:r>
    </w:p>
    <w:p>
      <w:pPr>
        <w:ind w:firstLine="420" w:firstLineChars="200"/>
        <w:rPr>
          <w:rFonts w:hint="eastAsia" w:hAnsi="宋体"/>
          <w:sz w:val="21"/>
          <w:szCs w:val="21"/>
          <w:highlight w:val="none"/>
        </w:rPr>
      </w:pPr>
      <w:r>
        <w:rPr>
          <w:rFonts w:hint="eastAsia" w:hAnsi="宋体"/>
          <w:sz w:val="21"/>
          <w:szCs w:val="21"/>
          <w:highlight w:val="none"/>
        </w:rPr>
        <w:t>（四）项目描述：</w:t>
      </w:r>
    </w:p>
    <w:p>
      <w:pPr>
        <w:ind w:firstLine="420" w:firstLineChars="200"/>
        <w:rPr>
          <w:rFonts w:hint="eastAsia" w:hAnsi="宋体"/>
          <w:sz w:val="21"/>
          <w:szCs w:val="21"/>
          <w:highlight w:val="none"/>
        </w:rPr>
      </w:pPr>
      <w:r>
        <w:rPr>
          <w:rFonts w:hint="eastAsia" w:hAnsi="宋体"/>
          <w:sz w:val="21"/>
          <w:szCs w:val="21"/>
          <w:highlight w:val="none"/>
        </w:rPr>
        <w:t>广州市第一人民医院（以下简称“市一医院”），始建于1899年，历经多次建设和发展，现有编制床位1990床（含鹤洞分院），医院设置专业学科50个。为了更好地为广大人民群众提供医疗服务，市委、市政府高度重视市一医院的整体扩建工作，配套改造污水处理站及院内给排水、供电等公用工程和道路硬地、绿化等室外工程。</w:t>
      </w:r>
    </w:p>
    <w:p>
      <w:pPr>
        <w:ind w:firstLine="420" w:firstLineChars="200"/>
        <w:rPr>
          <w:rFonts w:hint="eastAsia" w:hAnsi="宋体"/>
          <w:sz w:val="21"/>
          <w:szCs w:val="21"/>
          <w:highlight w:val="none"/>
        </w:rPr>
      </w:pPr>
      <w:r>
        <w:rPr>
          <w:rFonts w:hint="eastAsia" w:hAnsi="宋体"/>
          <w:sz w:val="21"/>
          <w:szCs w:val="21"/>
          <w:highlight w:val="none"/>
        </w:rPr>
        <w:t>总院新污水处理站的设计能力为4000 m</w:t>
      </w:r>
      <w:r>
        <w:rPr>
          <w:rFonts w:hint="eastAsia" w:hAnsi="宋体"/>
          <w:sz w:val="21"/>
          <w:szCs w:val="21"/>
          <w:highlight w:val="none"/>
          <w:vertAlign w:val="superscript"/>
        </w:rPr>
        <w:t>3</w:t>
      </w:r>
      <w:r>
        <w:rPr>
          <w:rFonts w:hint="eastAsia" w:hAnsi="宋体"/>
          <w:sz w:val="21"/>
          <w:szCs w:val="21"/>
          <w:highlight w:val="none"/>
        </w:rPr>
        <w:t>/d，采用自动监控设备</w:t>
      </w:r>
      <w:r>
        <w:rPr>
          <w:rFonts w:hint="eastAsia" w:hAnsi="宋体"/>
          <w:sz w:val="21"/>
          <w:szCs w:val="21"/>
          <w:highlight w:val="none"/>
          <w:lang w:eastAsia="zh-CN"/>
        </w:rPr>
        <w:t>，</w:t>
      </w:r>
      <w:r>
        <w:rPr>
          <w:rFonts w:hint="eastAsia" w:hAnsi="宋体"/>
          <w:sz w:val="21"/>
          <w:szCs w:val="21"/>
          <w:highlight w:val="none"/>
        </w:rPr>
        <w:t>拟采用的处理工艺为“粗格栅+调节池+AAO/MBR膜生物反应池+次氯酸钠消毒”的组合污水处理工艺。污泥处理采用离心脱水一体机工艺，脱水后污泥含水率小于等于80%。主要建构筑物包括∶粗格栅、调节池、泵房、污泥池、AA0生化池、MBR膜池，消毒池，鼓风机房、加药间及控制值班室/仪表间等。</w:t>
      </w:r>
    </w:p>
    <w:p>
      <w:pPr>
        <w:tabs>
          <w:tab w:val="left" w:pos="105"/>
          <w:tab w:val="left" w:pos="210"/>
        </w:tabs>
        <w:ind w:firstLine="420" w:firstLineChars="200"/>
        <w:rPr>
          <w:rFonts w:hint="eastAsia" w:hAnsi="宋体"/>
          <w:sz w:val="21"/>
          <w:szCs w:val="21"/>
          <w:highlight w:val="none"/>
        </w:rPr>
      </w:pPr>
      <w:r>
        <w:rPr>
          <w:rFonts w:hint="eastAsia" w:hAnsi="宋体"/>
          <w:sz w:val="21"/>
          <w:szCs w:val="21"/>
          <w:highlight w:val="none"/>
        </w:rPr>
        <w:t>鹤洞分院污水处站的设计能力为20 m</w:t>
      </w:r>
      <w:r>
        <w:rPr>
          <w:rFonts w:hint="eastAsia" w:hAnsi="宋体"/>
          <w:sz w:val="21"/>
          <w:szCs w:val="21"/>
          <w:highlight w:val="none"/>
          <w:vertAlign w:val="superscript"/>
        </w:rPr>
        <w:t>3</w:t>
      </w:r>
      <w:r>
        <w:rPr>
          <w:rFonts w:hint="eastAsia" w:hAnsi="宋体"/>
          <w:sz w:val="21"/>
          <w:szCs w:val="21"/>
          <w:highlight w:val="none"/>
        </w:rPr>
        <w:t>/d，工艺采用“一级强化+单过硫酸氢钾复合盐消毒”，主要建构筑物包括：格栅池、调节池、水解酸化池、接触氧化池、沉淀池、清水池等。</w:t>
      </w:r>
    </w:p>
    <w:p>
      <w:pPr>
        <w:ind w:firstLine="420" w:firstLineChars="200"/>
        <w:rPr>
          <w:rFonts w:hint="eastAsia" w:hAnsi="宋体"/>
          <w:sz w:val="21"/>
          <w:szCs w:val="21"/>
          <w:highlight w:val="none"/>
        </w:rPr>
      </w:pPr>
      <w:r>
        <w:rPr>
          <w:rFonts w:hint="eastAsia" w:hAnsi="宋体"/>
          <w:sz w:val="21"/>
          <w:szCs w:val="21"/>
          <w:highlight w:val="none"/>
        </w:rPr>
        <w:t>（五）设计工艺图（现场设备如有变化，以现场设备为准）</w:t>
      </w:r>
    </w:p>
    <w:p>
      <w:pPr>
        <w:ind w:firstLine="420" w:firstLineChars="200"/>
        <w:rPr>
          <w:rFonts w:hint="eastAsia" w:hAnsi="宋体"/>
          <w:sz w:val="21"/>
          <w:szCs w:val="21"/>
          <w:highlight w:val="none"/>
        </w:rPr>
      </w:pPr>
      <w:r>
        <w:rPr>
          <w:rFonts w:hint="eastAsia" w:hAnsi="宋体"/>
          <w:sz w:val="21"/>
          <w:szCs w:val="21"/>
          <w:highlight w:val="none"/>
        </w:rPr>
        <w:t>1、工艺设备、管线清单表（图号JS-WS-GY-03-04）</w:t>
      </w:r>
    </w:p>
    <w:p>
      <w:pPr>
        <w:rPr>
          <w:rFonts w:hint="eastAsia" w:hAnsi="宋体"/>
          <w:sz w:val="21"/>
          <w:szCs w:val="21"/>
          <w:highlight w:val="none"/>
        </w:rPr>
      </w:pPr>
      <w:r>
        <w:rPr>
          <w:rFonts w:hint="eastAsia" w:hAnsi="宋体"/>
          <w:sz w:val="21"/>
          <w:szCs w:val="21"/>
          <w:highlight w:val="none"/>
        </w:rPr>
        <w:drawing>
          <wp:inline distT="0" distB="0" distL="114300" distR="114300">
            <wp:extent cx="6228715" cy="4396105"/>
            <wp:effectExtent l="0" t="0" r="635" b="4445"/>
            <wp:docPr id="3" name="图片 1" descr="市一污水治理--工艺(2020011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市一污水治理--工艺(20200113)_07"/>
                    <pic:cNvPicPr>
                      <a:picLocks noChangeAspect="1"/>
                    </pic:cNvPicPr>
                  </pic:nvPicPr>
                  <pic:blipFill>
                    <a:blip r:embed="rId5"/>
                    <a:stretch>
                      <a:fillRect/>
                    </a:stretch>
                  </pic:blipFill>
                  <pic:spPr>
                    <a:xfrm>
                      <a:off x="0" y="0"/>
                      <a:ext cx="6228715" cy="4396105"/>
                    </a:xfrm>
                    <a:prstGeom prst="rect">
                      <a:avLst/>
                    </a:prstGeom>
                    <a:noFill/>
                    <a:ln>
                      <a:noFill/>
                    </a:ln>
                  </pic:spPr>
                </pic:pic>
              </a:graphicData>
            </a:graphic>
          </wp:inline>
        </w:drawing>
      </w:r>
    </w:p>
    <w:p>
      <w:pPr>
        <w:rPr>
          <w:rFonts w:hint="eastAsia" w:hAnsi="宋体"/>
          <w:sz w:val="21"/>
          <w:szCs w:val="21"/>
          <w:highlight w:val="none"/>
        </w:rPr>
      </w:pPr>
    </w:p>
    <w:p>
      <w:pPr>
        <w:rPr>
          <w:rFonts w:hint="eastAsia" w:hAnsi="宋体"/>
          <w:sz w:val="21"/>
          <w:szCs w:val="21"/>
          <w:highlight w:val="none"/>
        </w:rPr>
      </w:pPr>
      <w:r>
        <w:rPr>
          <w:rFonts w:hint="eastAsia" w:hAnsi="宋体"/>
          <w:sz w:val="21"/>
          <w:szCs w:val="21"/>
          <w:highlight w:val="none"/>
        </w:rPr>
        <w:br w:type="page"/>
      </w:r>
      <w:r>
        <w:rPr>
          <w:rFonts w:hint="eastAsia" w:hAnsi="宋体"/>
          <w:sz w:val="21"/>
          <w:szCs w:val="21"/>
          <w:highlight w:val="none"/>
        </w:rPr>
        <w:t>2、鼓风机房设计说明（图号JS-WS-GY-04-02）</w:t>
      </w:r>
    </w:p>
    <w:p>
      <w:pPr>
        <w:rPr>
          <w:rFonts w:hint="eastAsia" w:hAnsi="宋体"/>
          <w:sz w:val="21"/>
          <w:szCs w:val="21"/>
          <w:highlight w:val="none"/>
        </w:rPr>
      </w:pPr>
      <w:r>
        <w:rPr>
          <w:rFonts w:hint="eastAsia" w:hAnsi="宋体"/>
          <w:sz w:val="21"/>
          <w:szCs w:val="21"/>
          <w:highlight w:val="none"/>
        </w:rPr>
        <w:drawing>
          <wp:inline distT="0" distB="0" distL="114300" distR="114300">
            <wp:extent cx="6232525" cy="4398010"/>
            <wp:effectExtent l="0" t="0" r="15875" b="2540"/>
            <wp:docPr id="4" name="图片 2" descr="市一污水治理--工艺(2020011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市一污水治理--工艺(20200113)_09"/>
                    <pic:cNvPicPr>
                      <a:picLocks noChangeAspect="1"/>
                    </pic:cNvPicPr>
                  </pic:nvPicPr>
                  <pic:blipFill>
                    <a:blip r:embed="rId6"/>
                    <a:stretch>
                      <a:fillRect/>
                    </a:stretch>
                  </pic:blipFill>
                  <pic:spPr>
                    <a:xfrm>
                      <a:off x="0" y="0"/>
                      <a:ext cx="6232525" cy="4398010"/>
                    </a:xfrm>
                    <a:prstGeom prst="rect">
                      <a:avLst/>
                    </a:prstGeom>
                    <a:noFill/>
                    <a:ln>
                      <a:noFill/>
                    </a:ln>
                  </pic:spPr>
                </pic:pic>
              </a:graphicData>
            </a:graphic>
          </wp:inline>
        </w:drawing>
      </w:r>
    </w:p>
    <w:p>
      <w:pPr>
        <w:rPr>
          <w:rFonts w:hint="eastAsia" w:hAnsi="宋体"/>
          <w:sz w:val="21"/>
          <w:szCs w:val="21"/>
          <w:highlight w:val="none"/>
        </w:rPr>
      </w:pPr>
    </w:p>
    <w:p>
      <w:pPr>
        <w:rPr>
          <w:rFonts w:hint="eastAsia" w:hAnsi="宋体"/>
          <w:sz w:val="21"/>
          <w:szCs w:val="21"/>
          <w:highlight w:val="none"/>
        </w:rPr>
      </w:pPr>
      <w:r>
        <w:rPr>
          <w:rFonts w:hint="eastAsia" w:hAnsi="宋体"/>
          <w:sz w:val="21"/>
          <w:szCs w:val="21"/>
          <w:highlight w:val="none"/>
        </w:rPr>
        <w:t>3、次氯酸钠加药装置设备清单（图号JS-WS-GY-05-03）</w:t>
      </w:r>
    </w:p>
    <w:p>
      <w:pPr>
        <w:rPr>
          <w:rFonts w:hint="eastAsia" w:hAnsi="宋体"/>
          <w:sz w:val="21"/>
          <w:szCs w:val="21"/>
          <w:highlight w:val="none"/>
        </w:rPr>
      </w:pPr>
      <w:r>
        <w:rPr>
          <w:rFonts w:hint="eastAsia" w:hAnsi="宋体"/>
          <w:sz w:val="21"/>
          <w:szCs w:val="21"/>
          <w:highlight w:val="none"/>
        </w:rPr>
        <w:drawing>
          <wp:inline distT="0" distB="0" distL="114300" distR="114300">
            <wp:extent cx="6153150" cy="4347210"/>
            <wp:effectExtent l="0" t="0" r="0" b="15240"/>
            <wp:docPr id="9" name="图片 3" descr="市一污水治理--工艺(2020011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市一污水治理--工艺(20200113)_12"/>
                    <pic:cNvPicPr>
                      <a:picLocks noChangeAspect="1"/>
                    </pic:cNvPicPr>
                  </pic:nvPicPr>
                  <pic:blipFill>
                    <a:blip r:embed="rId7"/>
                    <a:stretch>
                      <a:fillRect/>
                    </a:stretch>
                  </pic:blipFill>
                  <pic:spPr>
                    <a:xfrm>
                      <a:off x="0" y="0"/>
                      <a:ext cx="6153150" cy="4347210"/>
                    </a:xfrm>
                    <a:prstGeom prst="rect">
                      <a:avLst/>
                    </a:prstGeom>
                    <a:noFill/>
                    <a:ln>
                      <a:noFill/>
                    </a:ln>
                  </pic:spPr>
                </pic:pic>
              </a:graphicData>
            </a:graphic>
          </wp:inline>
        </w:drawing>
      </w:r>
    </w:p>
    <w:p>
      <w:pPr>
        <w:rPr>
          <w:rFonts w:hint="eastAsia" w:hAnsi="宋体"/>
          <w:sz w:val="21"/>
          <w:szCs w:val="21"/>
          <w:highlight w:val="none"/>
        </w:rPr>
      </w:pPr>
      <w:r>
        <w:rPr>
          <w:rFonts w:hint="eastAsia" w:hAnsi="宋体"/>
          <w:sz w:val="21"/>
          <w:szCs w:val="21"/>
          <w:highlight w:val="none"/>
        </w:rPr>
        <w:br w:type="page"/>
      </w:r>
      <w:r>
        <w:rPr>
          <w:rFonts w:hint="eastAsia" w:hAnsi="宋体"/>
          <w:sz w:val="21"/>
          <w:szCs w:val="21"/>
          <w:highlight w:val="none"/>
        </w:rPr>
        <w:t>4、污泥脱水工艺设计说明（图号JS-WS-GY-06-05）</w:t>
      </w:r>
    </w:p>
    <w:p>
      <w:pPr>
        <w:rPr>
          <w:rFonts w:hint="eastAsia" w:hAnsi="宋体"/>
          <w:sz w:val="21"/>
          <w:szCs w:val="21"/>
          <w:highlight w:val="none"/>
        </w:rPr>
      </w:pPr>
      <w:r>
        <w:rPr>
          <w:rFonts w:hint="eastAsia" w:hAnsi="宋体"/>
          <w:sz w:val="21"/>
          <w:szCs w:val="21"/>
          <w:highlight w:val="none"/>
        </w:rPr>
        <w:drawing>
          <wp:inline distT="0" distB="0" distL="114300" distR="114300">
            <wp:extent cx="6168390" cy="4353560"/>
            <wp:effectExtent l="0" t="0" r="3810" b="8890"/>
            <wp:docPr id="10" name="图片 4" descr="市一污水治理--工艺(2020011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市一污水治理--工艺(20200113)_17"/>
                    <pic:cNvPicPr>
                      <a:picLocks noChangeAspect="1"/>
                    </pic:cNvPicPr>
                  </pic:nvPicPr>
                  <pic:blipFill>
                    <a:blip r:embed="rId8"/>
                    <a:stretch>
                      <a:fillRect/>
                    </a:stretch>
                  </pic:blipFill>
                  <pic:spPr>
                    <a:xfrm>
                      <a:off x="0" y="0"/>
                      <a:ext cx="6168390" cy="4353560"/>
                    </a:xfrm>
                    <a:prstGeom prst="rect">
                      <a:avLst/>
                    </a:prstGeom>
                    <a:noFill/>
                    <a:ln>
                      <a:noFill/>
                    </a:ln>
                  </pic:spPr>
                </pic:pic>
              </a:graphicData>
            </a:graphic>
          </wp:inline>
        </w:drawing>
      </w:r>
    </w:p>
    <w:p>
      <w:pPr>
        <w:rPr>
          <w:rFonts w:hint="eastAsia" w:hAnsi="宋体"/>
          <w:sz w:val="21"/>
          <w:szCs w:val="21"/>
          <w:highlight w:val="none"/>
        </w:rPr>
      </w:pPr>
    </w:p>
    <w:p>
      <w:pPr>
        <w:rPr>
          <w:rFonts w:hint="eastAsia" w:hAnsi="宋体"/>
          <w:sz w:val="21"/>
          <w:szCs w:val="21"/>
          <w:highlight w:val="none"/>
        </w:rPr>
      </w:pPr>
      <w:r>
        <w:rPr>
          <w:rFonts w:hint="eastAsia" w:hAnsi="宋体"/>
          <w:sz w:val="21"/>
          <w:szCs w:val="21"/>
          <w:highlight w:val="none"/>
        </w:rPr>
        <w:t>5、水泵间水泵设备清单（图号JS-WS-GY-07-03）</w:t>
      </w:r>
    </w:p>
    <w:p>
      <w:pPr>
        <w:rPr>
          <w:rFonts w:hint="eastAsia" w:hAnsi="宋体"/>
          <w:sz w:val="21"/>
          <w:szCs w:val="21"/>
          <w:highlight w:val="none"/>
        </w:rPr>
      </w:pPr>
      <w:r>
        <w:rPr>
          <w:rFonts w:hint="eastAsia" w:hAnsi="宋体"/>
          <w:sz w:val="21"/>
          <w:szCs w:val="21"/>
          <w:highlight w:val="none"/>
        </w:rPr>
        <w:drawing>
          <wp:inline distT="0" distB="0" distL="114300" distR="114300">
            <wp:extent cx="6170930" cy="4355465"/>
            <wp:effectExtent l="0" t="0" r="1270" b="6985"/>
            <wp:docPr id="8" name="图片 5" descr="市一污水治理--工艺(2020011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市一污水治理--工艺(20200113)_20"/>
                    <pic:cNvPicPr>
                      <a:picLocks noChangeAspect="1"/>
                    </pic:cNvPicPr>
                  </pic:nvPicPr>
                  <pic:blipFill>
                    <a:blip r:embed="rId9"/>
                    <a:stretch>
                      <a:fillRect/>
                    </a:stretch>
                  </pic:blipFill>
                  <pic:spPr>
                    <a:xfrm>
                      <a:off x="0" y="0"/>
                      <a:ext cx="6170930" cy="4355465"/>
                    </a:xfrm>
                    <a:prstGeom prst="rect">
                      <a:avLst/>
                    </a:prstGeom>
                    <a:noFill/>
                    <a:ln>
                      <a:noFill/>
                    </a:ln>
                  </pic:spPr>
                </pic:pic>
              </a:graphicData>
            </a:graphic>
          </wp:inline>
        </w:drawing>
      </w:r>
    </w:p>
    <w:p>
      <w:pPr>
        <w:rPr>
          <w:rFonts w:hint="eastAsia" w:hAnsi="宋体"/>
          <w:sz w:val="21"/>
          <w:szCs w:val="21"/>
          <w:highlight w:val="none"/>
        </w:rPr>
      </w:pPr>
    </w:p>
    <w:p>
      <w:pPr>
        <w:rPr>
          <w:rFonts w:hint="eastAsia" w:hAnsi="宋体"/>
          <w:sz w:val="21"/>
          <w:szCs w:val="21"/>
          <w:highlight w:val="none"/>
        </w:rPr>
      </w:pPr>
      <w:r>
        <w:rPr>
          <w:rFonts w:hint="eastAsia" w:hAnsi="宋体"/>
          <w:sz w:val="21"/>
          <w:szCs w:val="21"/>
          <w:highlight w:val="none"/>
        </w:rPr>
        <w:br w:type="page"/>
      </w:r>
      <w:r>
        <w:rPr>
          <w:rFonts w:hint="eastAsia" w:hAnsi="宋体"/>
          <w:sz w:val="21"/>
          <w:szCs w:val="21"/>
          <w:highlight w:val="none"/>
        </w:rPr>
        <w:t>6、曝气材料清单（图号JS-WS-GY-08-04）</w:t>
      </w:r>
    </w:p>
    <w:p>
      <w:pPr>
        <w:rPr>
          <w:rFonts w:hint="eastAsia" w:hAnsi="宋体"/>
          <w:sz w:val="21"/>
          <w:szCs w:val="21"/>
          <w:highlight w:val="none"/>
        </w:rPr>
      </w:pPr>
      <w:r>
        <w:rPr>
          <w:rFonts w:hint="eastAsia" w:hAnsi="宋体"/>
          <w:sz w:val="21"/>
          <w:szCs w:val="21"/>
          <w:highlight w:val="none"/>
        </w:rPr>
        <w:drawing>
          <wp:inline distT="0" distB="0" distL="114300" distR="114300">
            <wp:extent cx="6147435" cy="4338955"/>
            <wp:effectExtent l="0" t="0" r="5715" b="4445"/>
            <wp:docPr id="7" name="图片 6" descr="市一污水治理--工艺(20200113)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市一污水治理--工艺(20200113)_24"/>
                    <pic:cNvPicPr>
                      <a:picLocks noChangeAspect="1"/>
                    </pic:cNvPicPr>
                  </pic:nvPicPr>
                  <pic:blipFill>
                    <a:blip r:embed="rId10"/>
                    <a:stretch>
                      <a:fillRect/>
                    </a:stretch>
                  </pic:blipFill>
                  <pic:spPr>
                    <a:xfrm>
                      <a:off x="0" y="0"/>
                      <a:ext cx="6147435" cy="4338955"/>
                    </a:xfrm>
                    <a:prstGeom prst="rect">
                      <a:avLst/>
                    </a:prstGeom>
                    <a:noFill/>
                    <a:ln>
                      <a:noFill/>
                    </a:ln>
                  </pic:spPr>
                </pic:pic>
              </a:graphicData>
            </a:graphic>
          </wp:inline>
        </w:drawing>
      </w:r>
    </w:p>
    <w:p>
      <w:pPr>
        <w:rPr>
          <w:rFonts w:hint="eastAsia" w:hAnsi="宋体"/>
          <w:sz w:val="21"/>
          <w:szCs w:val="21"/>
          <w:highlight w:val="none"/>
        </w:rPr>
      </w:pPr>
    </w:p>
    <w:p>
      <w:pPr>
        <w:rPr>
          <w:rFonts w:hint="eastAsia" w:hAnsi="宋体"/>
          <w:sz w:val="21"/>
          <w:szCs w:val="21"/>
          <w:highlight w:val="none"/>
        </w:rPr>
      </w:pPr>
      <w:r>
        <w:rPr>
          <w:rFonts w:hint="eastAsia" w:hAnsi="宋体"/>
          <w:sz w:val="21"/>
          <w:szCs w:val="21"/>
          <w:highlight w:val="none"/>
        </w:rPr>
        <w:t>7、污水站通风除臭设备材料清单（图号JS-WS-TF-06）</w:t>
      </w:r>
    </w:p>
    <w:p>
      <w:pPr>
        <w:rPr>
          <w:rFonts w:hint="eastAsia" w:hAnsi="宋体"/>
          <w:sz w:val="21"/>
          <w:szCs w:val="21"/>
          <w:highlight w:val="none"/>
        </w:rPr>
      </w:pPr>
      <w:r>
        <w:rPr>
          <w:rFonts w:hint="eastAsia" w:hAnsi="宋体"/>
          <w:sz w:val="21"/>
          <w:szCs w:val="21"/>
          <w:highlight w:val="none"/>
        </w:rPr>
        <w:drawing>
          <wp:inline distT="0" distB="0" distL="114300" distR="114300">
            <wp:extent cx="6184265" cy="4364990"/>
            <wp:effectExtent l="0" t="0" r="6985" b="16510"/>
            <wp:docPr id="6" name="图片 7" descr="市一污水治理--除臭（2019092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市一污水治理--除臭（20190929)_06"/>
                    <pic:cNvPicPr>
                      <a:picLocks noChangeAspect="1"/>
                    </pic:cNvPicPr>
                  </pic:nvPicPr>
                  <pic:blipFill>
                    <a:blip r:embed="rId11"/>
                    <a:stretch>
                      <a:fillRect/>
                    </a:stretch>
                  </pic:blipFill>
                  <pic:spPr>
                    <a:xfrm>
                      <a:off x="0" y="0"/>
                      <a:ext cx="6184265" cy="4364990"/>
                    </a:xfrm>
                    <a:prstGeom prst="rect">
                      <a:avLst/>
                    </a:prstGeom>
                    <a:noFill/>
                    <a:ln>
                      <a:noFill/>
                    </a:ln>
                  </pic:spPr>
                </pic:pic>
              </a:graphicData>
            </a:graphic>
          </wp:inline>
        </w:drawing>
      </w:r>
    </w:p>
    <w:p>
      <w:pPr>
        <w:rPr>
          <w:rFonts w:hint="eastAsia" w:hAnsi="宋体"/>
          <w:sz w:val="21"/>
          <w:szCs w:val="21"/>
          <w:highlight w:val="none"/>
        </w:rPr>
      </w:pPr>
    </w:p>
    <w:p>
      <w:pPr>
        <w:rPr>
          <w:rFonts w:hint="eastAsia" w:hAnsi="宋体"/>
          <w:sz w:val="21"/>
          <w:szCs w:val="21"/>
          <w:highlight w:val="none"/>
        </w:rPr>
      </w:pPr>
      <w:r>
        <w:rPr>
          <w:rFonts w:hint="eastAsia" w:hAnsi="宋体"/>
          <w:sz w:val="21"/>
          <w:szCs w:val="21"/>
          <w:highlight w:val="none"/>
        </w:rPr>
        <w:br w:type="page"/>
      </w:r>
      <w:r>
        <w:rPr>
          <w:rFonts w:hint="eastAsia" w:hAnsi="宋体"/>
          <w:sz w:val="21"/>
          <w:szCs w:val="21"/>
          <w:highlight w:val="none"/>
        </w:rPr>
        <w:t>8、主要设备材料表（图号WS-DQ-003）</w:t>
      </w:r>
    </w:p>
    <w:p>
      <w:pPr>
        <w:rPr>
          <w:rFonts w:hint="eastAsia" w:hAnsi="宋体"/>
          <w:sz w:val="21"/>
          <w:szCs w:val="21"/>
          <w:highlight w:val="none"/>
        </w:rPr>
      </w:pPr>
      <w:r>
        <w:rPr>
          <w:rFonts w:hint="eastAsia" w:hAnsi="宋体"/>
          <w:sz w:val="21"/>
          <w:szCs w:val="21"/>
          <w:highlight w:val="none"/>
        </w:rPr>
        <w:drawing>
          <wp:inline distT="0" distB="0" distL="114300" distR="114300">
            <wp:extent cx="6184265" cy="4372610"/>
            <wp:effectExtent l="0" t="0" r="6985" b="8890"/>
            <wp:docPr id="5" name="图片 8" descr="市一污水治理--电气图--2019102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市一污水治理--电气图--20191023_03"/>
                    <pic:cNvPicPr>
                      <a:picLocks noChangeAspect="1"/>
                    </pic:cNvPicPr>
                  </pic:nvPicPr>
                  <pic:blipFill>
                    <a:blip r:embed="rId12"/>
                    <a:stretch>
                      <a:fillRect/>
                    </a:stretch>
                  </pic:blipFill>
                  <pic:spPr>
                    <a:xfrm>
                      <a:off x="0" y="0"/>
                      <a:ext cx="6184265" cy="4372610"/>
                    </a:xfrm>
                    <a:prstGeom prst="rect">
                      <a:avLst/>
                    </a:prstGeom>
                    <a:noFill/>
                    <a:ln>
                      <a:noFill/>
                    </a:ln>
                  </pic:spPr>
                </pic:pic>
              </a:graphicData>
            </a:graphic>
          </wp:inline>
        </w:drawing>
      </w:r>
    </w:p>
    <w:p>
      <w:pPr>
        <w:rPr>
          <w:rFonts w:hint="eastAsia" w:hAnsi="宋体"/>
          <w:sz w:val="21"/>
          <w:szCs w:val="21"/>
          <w:highlight w:val="none"/>
        </w:rPr>
      </w:pPr>
      <w:r>
        <w:rPr>
          <w:rFonts w:hint="eastAsia" w:hAnsi="宋体"/>
          <w:sz w:val="21"/>
          <w:szCs w:val="21"/>
          <w:highlight w:val="none"/>
        </w:rPr>
        <w:t>9、鹤洞分院设备配件清单</w:t>
      </w:r>
    </w:p>
    <w:tbl>
      <w:tblPr>
        <w:tblStyle w:val="24"/>
        <w:tblW w:w="8520" w:type="dxa"/>
        <w:jc w:val="center"/>
        <w:tblLayout w:type="autofit"/>
        <w:tblCellMar>
          <w:top w:w="0" w:type="dxa"/>
          <w:left w:w="108" w:type="dxa"/>
          <w:bottom w:w="0" w:type="dxa"/>
          <w:right w:w="108" w:type="dxa"/>
        </w:tblCellMar>
      </w:tblPr>
      <w:tblGrid>
        <w:gridCol w:w="2129"/>
        <w:gridCol w:w="4882"/>
        <w:gridCol w:w="1509"/>
      </w:tblGrid>
      <w:tr>
        <w:tblPrEx>
          <w:tblCellMar>
            <w:top w:w="0" w:type="dxa"/>
            <w:left w:w="108" w:type="dxa"/>
            <w:bottom w:w="0" w:type="dxa"/>
            <w:right w:w="108" w:type="dxa"/>
          </w:tblCellMar>
        </w:tblPrEx>
        <w:trPr>
          <w:trHeight w:val="320" w:hRule="atLeast"/>
          <w:jc w:val="center"/>
        </w:trPr>
        <w:tc>
          <w:tcPr>
            <w:tcW w:w="8520"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hAnsi="宋体"/>
                <w:sz w:val="21"/>
                <w:szCs w:val="21"/>
                <w:highlight w:val="none"/>
              </w:rPr>
            </w:pPr>
            <w:r>
              <w:rPr>
                <w:rFonts w:hint="eastAsia" w:hAnsi="宋体"/>
                <w:sz w:val="21"/>
                <w:szCs w:val="21"/>
                <w:highlight w:val="none"/>
              </w:rPr>
              <w:t>鹤洞分院设备配件清单</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设备</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规格参数</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数量</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提升泵</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2m</w:t>
            </w:r>
            <w:r>
              <w:rPr>
                <w:rFonts w:hint="eastAsia" w:hAnsi="宋体"/>
                <w:sz w:val="21"/>
                <w:szCs w:val="21"/>
                <w:highlight w:val="none"/>
                <w:vertAlign w:val="superscript"/>
              </w:rPr>
              <w:t>3</w:t>
            </w:r>
            <w:r>
              <w:rPr>
                <w:rFonts w:hint="eastAsia" w:hAnsi="宋体"/>
                <w:sz w:val="21"/>
                <w:szCs w:val="21"/>
                <w:highlight w:val="none"/>
              </w:rPr>
              <w:t>/h、H=17m、0.37kw、铸铁</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1台</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隔膜泵</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DN20</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1台</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曝气风机</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漩涡风机、0.27kw</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2台</w:t>
            </w:r>
          </w:p>
        </w:tc>
      </w:tr>
      <w:tr>
        <w:tblPrEx>
          <w:tblCellMar>
            <w:top w:w="0" w:type="dxa"/>
            <w:left w:w="108" w:type="dxa"/>
            <w:bottom w:w="0" w:type="dxa"/>
            <w:right w:w="108" w:type="dxa"/>
          </w:tblCellMar>
        </w:tblPrEx>
        <w:trPr>
          <w:trHeight w:val="130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一体化处理系统</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碳钢防腐、3.0*2.0*1.8m、含投药系统、沉淀、生物填料、液位控制器、空压机</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1套</w:t>
            </w:r>
          </w:p>
        </w:tc>
      </w:tr>
      <w:tr>
        <w:tblPrEx>
          <w:tblCellMar>
            <w:top w:w="0" w:type="dxa"/>
            <w:left w:w="108" w:type="dxa"/>
            <w:bottom w:w="0" w:type="dxa"/>
            <w:right w:w="108" w:type="dxa"/>
          </w:tblCellMar>
        </w:tblPrEx>
        <w:trPr>
          <w:trHeight w:val="63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污泥压滤系统</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含3平方压滤机、搅拌机、排泥电磁阀</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1套</w:t>
            </w:r>
          </w:p>
        </w:tc>
      </w:tr>
      <w:tr>
        <w:tblPrEx>
          <w:tblCellMar>
            <w:top w:w="0" w:type="dxa"/>
            <w:left w:w="108" w:type="dxa"/>
            <w:bottom w:w="0" w:type="dxa"/>
            <w:right w:w="108" w:type="dxa"/>
          </w:tblCellMar>
        </w:tblPrEx>
        <w:trPr>
          <w:trHeight w:val="939"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PVC管道、管件、阀门等</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提升、配药、曝气、搅拌、回流配管</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1批</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组合填料</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φ150</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4批</w:t>
            </w:r>
          </w:p>
        </w:tc>
      </w:tr>
      <w:tr>
        <w:tblPrEx>
          <w:tblCellMar>
            <w:top w:w="0" w:type="dxa"/>
            <w:left w:w="108" w:type="dxa"/>
            <w:bottom w:w="0" w:type="dxa"/>
            <w:right w:w="108" w:type="dxa"/>
          </w:tblCellMar>
        </w:tblPrEx>
        <w:trPr>
          <w:trHeight w:val="32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斜管架</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φ50</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4套</w:t>
            </w:r>
          </w:p>
        </w:tc>
      </w:tr>
      <w:tr>
        <w:tblPrEx>
          <w:tblCellMar>
            <w:top w:w="0" w:type="dxa"/>
            <w:left w:w="108" w:type="dxa"/>
            <w:bottom w:w="0" w:type="dxa"/>
            <w:right w:w="108" w:type="dxa"/>
          </w:tblCellMar>
        </w:tblPrEx>
        <w:trPr>
          <w:trHeight w:val="630" w:hRule="atLeast"/>
          <w:jc w:val="center"/>
        </w:trPr>
        <w:tc>
          <w:tcPr>
            <w:tcW w:w="21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自动化电控柜</w:t>
            </w:r>
          </w:p>
        </w:tc>
        <w:tc>
          <w:tcPr>
            <w:tcW w:w="48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标准电柜</w:t>
            </w:r>
          </w:p>
        </w:tc>
        <w:tc>
          <w:tcPr>
            <w:tcW w:w="150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1个</w:t>
            </w:r>
          </w:p>
        </w:tc>
      </w:tr>
      <w:tr>
        <w:tblPrEx>
          <w:tblCellMar>
            <w:top w:w="0" w:type="dxa"/>
            <w:left w:w="108" w:type="dxa"/>
            <w:bottom w:w="0" w:type="dxa"/>
            <w:right w:w="108" w:type="dxa"/>
          </w:tblCellMar>
        </w:tblPrEx>
        <w:trPr>
          <w:trHeight w:val="33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hAnsi="宋体"/>
                <w:sz w:val="21"/>
                <w:szCs w:val="21"/>
                <w:highlight w:val="none"/>
              </w:rPr>
            </w:pPr>
            <w:r>
              <w:rPr>
                <w:rFonts w:hint="eastAsia" w:hAnsi="宋体"/>
                <w:sz w:val="21"/>
                <w:szCs w:val="21"/>
                <w:highlight w:val="none"/>
              </w:rPr>
              <w:t>电缆及配件</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hAnsi="宋体"/>
                <w:sz w:val="21"/>
                <w:szCs w:val="21"/>
                <w:highlight w:val="none"/>
              </w:rPr>
            </w:pPr>
            <w:r>
              <w:rPr>
                <w:rFonts w:hint="eastAsia" w:hAnsi="宋体"/>
                <w:sz w:val="21"/>
                <w:szCs w:val="21"/>
                <w:highlight w:val="none"/>
              </w:rPr>
              <w:t>16mm2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hAnsi="宋体"/>
                <w:sz w:val="21"/>
                <w:szCs w:val="21"/>
                <w:highlight w:val="none"/>
              </w:rPr>
            </w:pPr>
            <w:r>
              <w:rPr>
                <w:rFonts w:hint="eastAsia" w:hAnsi="宋体"/>
                <w:sz w:val="21"/>
                <w:szCs w:val="21"/>
                <w:highlight w:val="none"/>
              </w:rPr>
              <w:t>1批</w:t>
            </w:r>
          </w:p>
        </w:tc>
      </w:tr>
    </w:tbl>
    <w:p>
      <w:pPr>
        <w:rPr>
          <w:rFonts w:hint="eastAsia" w:hAnsi="宋体"/>
          <w:sz w:val="21"/>
          <w:szCs w:val="21"/>
          <w:highlight w:val="none"/>
        </w:rPr>
      </w:pPr>
    </w:p>
    <w:p>
      <w:pPr>
        <w:adjustRightInd/>
        <w:ind w:firstLine="420" w:firstLineChars="200"/>
        <w:rPr>
          <w:rFonts w:hint="eastAsia" w:hAnsi="宋体"/>
          <w:sz w:val="21"/>
          <w:szCs w:val="21"/>
          <w:highlight w:val="none"/>
        </w:rPr>
      </w:pPr>
      <w:r>
        <w:rPr>
          <w:rFonts w:hint="eastAsia" w:hAnsi="宋体"/>
          <w:sz w:val="21"/>
          <w:szCs w:val="21"/>
          <w:highlight w:val="none"/>
        </w:rPr>
        <w:t>（六）污水处理站出水水质要求：</w:t>
      </w:r>
    </w:p>
    <w:p>
      <w:pPr>
        <w:adjustRightInd/>
        <w:ind w:firstLine="420" w:firstLineChars="200"/>
        <w:rPr>
          <w:rFonts w:hint="eastAsia" w:hAnsi="宋体"/>
          <w:sz w:val="21"/>
          <w:szCs w:val="21"/>
          <w:highlight w:val="none"/>
        </w:rPr>
      </w:pPr>
      <w:r>
        <w:rPr>
          <w:rFonts w:hint="eastAsia" w:hAnsi="宋体"/>
          <w:sz w:val="21"/>
          <w:szCs w:val="21"/>
          <w:highlight w:val="none"/>
        </w:rPr>
        <w:t>1、出水水质执行中华人民共和国《医疗机构水污染物排放标准》（GB 18466-2005）表 2“预处理标准”综合医疗机构和其他医疗机构水污染物排放限值（日均值）。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211"/>
        <w:gridCol w:w="1361"/>
        <w:gridCol w:w="1441"/>
        <w:gridCol w:w="1436"/>
        <w:gridCol w:w="1028"/>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180" w:type="dxa"/>
            <w:gridSpan w:val="7"/>
            <w:vAlign w:val="center"/>
          </w:tcPr>
          <w:p>
            <w:pPr>
              <w:snapToGrid w:val="0"/>
              <w:jc w:val="center"/>
              <w:rPr>
                <w:rFonts w:hint="eastAsia" w:hAnsi="宋体"/>
                <w:sz w:val="21"/>
                <w:szCs w:val="21"/>
                <w:highlight w:val="none"/>
              </w:rPr>
            </w:pPr>
            <w:r>
              <w:rPr>
                <w:rFonts w:hint="eastAsia" w:hAnsi="宋体"/>
                <w:sz w:val="21"/>
                <w:szCs w:val="21"/>
                <w:highlight w:val="none"/>
              </w:rPr>
              <w:t>部分污水处理设计出水水指标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180" w:type="dxa"/>
            <w:vAlign w:val="center"/>
          </w:tcPr>
          <w:p>
            <w:pPr>
              <w:snapToGrid w:val="0"/>
              <w:jc w:val="center"/>
              <w:rPr>
                <w:rFonts w:hint="eastAsia" w:hAnsi="宋体"/>
                <w:sz w:val="21"/>
                <w:szCs w:val="21"/>
                <w:highlight w:val="none"/>
              </w:rPr>
            </w:pPr>
            <w:r>
              <w:rPr>
                <w:rFonts w:hint="eastAsia" w:hAnsi="宋体"/>
                <w:sz w:val="21"/>
                <w:szCs w:val="21"/>
                <w:highlight w:val="none"/>
              </w:rPr>
              <w:t>项目</w:t>
            </w:r>
          </w:p>
        </w:tc>
        <w:tc>
          <w:tcPr>
            <w:tcW w:w="1211" w:type="dxa"/>
            <w:vAlign w:val="center"/>
          </w:tcPr>
          <w:p>
            <w:pPr>
              <w:snapToGrid w:val="0"/>
              <w:jc w:val="center"/>
              <w:rPr>
                <w:rFonts w:hint="eastAsia" w:hAnsi="宋体"/>
                <w:sz w:val="21"/>
                <w:szCs w:val="21"/>
                <w:highlight w:val="none"/>
                <w:vertAlign w:val="subscript"/>
              </w:rPr>
            </w:pPr>
            <w:r>
              <w:rPr>
                <w:rFonts w:hint="eastAsia" w:hAnsi="宋体"/>
                <w:sz w:val="21"/>
                <w:szCs w:val="21"/>
                <w:highlight w:val="none"/>
              </w:rPr>
              <w:t>BOD</w:t>
            </w:r>
            <w:r>
              <w:rPr>
                <w:rFonts w:hint="eastAsia" w:hAnsi="宋体"/>
                <w:sz w:val="21"/>
                <w:szCs w:val="21"/>
                <w:highlight w:val="none"/>
                <w:vertAlign w:val="subscript"/>
              </w:rPr>
              <w:t>5</w:t>
            </w:r>
          </w:p>
          <w:p>
            <w:pPr>
              <w:snapToGrid w:val="0"/>
              <w:jc w:val="center"/>
              <w:rPr>
                <w:rFonts w:hint="eastAsia" w:hAnsi="宋体"/>
                <w:sz w:val="21"/>
                <w:szCs w:val="21"/>
                <w:highlight w:val="none"/>
              </w:rPr>
            </w:pPr>
            <w:r>
              <w:rPr>
                <w:rFonts w:hint="eastAsia" w:hAnsi="宋体"/>
                <w:sz w:val="21"/>
                <w:szCs w:val="21"/>
                <w:highlight w:val="none"/>
              </w:rPr>
              <w:t>（mg/L）</w:t>
            </w:r>
          </w:p>
        </w:tc>
        <w:tc>
          <w:tcPr>
            <w:tcW w:w="1361" w:type="dxa"/>
            <w:vAlign w:val="center"/>
          </w:tcPr>
          <w:p>
            <w:pPr>
              <w:snapToGrid w:val="0"/>
              <w:jc w:val="center"/>
              <w:rPr>
                <w:rFonts w:hint="eastAsia" w:hAnsi="宋体"/>
                <w:sz w:val="21"/>
                <w:szCs w:val="21"/>
                <w:highlight w:val="none"/>
              </w:rPr>
            </w:pPr>
            <w:r>
              <w:rPr>
                <w:rFonts w:hint="eastAsia" w:hAnsi="宋体"/>
                <w:sz w:val="21"/>
                <w:szCs w:val="21"/>
                <w:highlight w:val="none"/>
              </w:rPr>
              <w:t>COD</w:t>
            </w:r>
            <w:r>
              <w:rPr>
                <w:rFonts w:hint="eastAsia" w:hAnsi="宋体"/>
                <w:sz w:val="21"/>
                <w:szCs w:val="21"/>
                <w:highlight w:val="none"/>
                <w:vertAlign w:val="subscript"/>
              </w:rPr>
              <w:t>Cr</w:t>
            </w:r>
          </w:p>
          <w:p>
            <w:pPr>
              <w:snapToGrid w:val="0"/>
              <w:jc w:val="center"/>
              <w:rPr>
                <w:rFonts w:hint="eastAsia" w:hAnsi="宋体"/>
                <w:sz w:val="21"/>
                <w:szCs w:val="21"/>
                <w:highlight w:val="none"/>
              </w:rPr>
            </w:pPr>
            <w:r>
              <w:rPr>
                <w:rFonts w:hint="eastAsia" w:hAnsi="宋体"/>
                <w:sz w:val="21"/>
                <w:szCs w:val="21"/>
                <w:highlight w:val="none"/>
              </w:rPr>
              <w:t>（mg/L）</w:t>
            </w:r>
          </w:p>
        </w:tc>
        <w:tc>
          <w:tcPr>
            <w:tcW w:w="1441" w:type="dxa"/>
            <w:vAlign w:val="center"/>
          </w:tcPr>
          <w:p>
            <w:pPr>
              <w:snapToGrid w:val="0"/>
              <w:jc w:val="center"/>
              <w:rPr>
                <w:rFonts w:hint="eastAsia" w:hAnsi="宋体"/>
                <w:sz w:val="21"/>
                <w:szCs w:val="21"/>
                <w:highlight w:val="none"/>
              </w:rPr>
            </w:pPr>
            <w:r>
              <w:rPr>
                <w:rFonts w:hint="eastAsia" w:hAnsi="宋体"/>
                <w:sz w:val="21"/>
                <w:szCs w:val="21"/>
                <w:highlight w:val="none"/>
              </w:rPr>
              <w:t>SS</w:t>
            </w:r>
          </w:p>
          <w:p>
            <w:pPr>
              <w:snapToGrid w:val="0"/>
              <w:jc w:val="center"/>
              <w:rPr>
                <w:rFonts w:hint="eastAsia" w:hAnsi="宋体"/>
                <w:sz w:val="21"/>
                <w:szCs w:val="21"/>
                <w:highlight w:val="none"/>
              </w:rPr>
            </w:pPr>
            <w:r>
              <w:rPr>
                <w:rFonts w:hint="eastAsia" w:hAnsi="宋体"/>
                <w:sz w:val="21"/>
                <w:szCs w:val="21"/>
                <w:highlight w:val="none"/>
              </w:rPr>
              <w:t>（mg/L）</w:t>
            </w:r>
          </w:p>
        </w:tc>
        <w:tc>
          <w:tcPr>
            <w:tcW w:w="1436" w:type="dxa"/>
            <w:vAlign w:val="center"/>
          </w:tcPr>
          <w:p>
            <w:pPr>
              <w:snapToGrid w:val="0"/>
              <w:jc w:val="center"/>
              <w:rPr>
                <w:rFonts w:hint="eastAsia" w:hAnsi="宋体"/>
                <w:sz w:val="21"/>
                <w:szCs w:val="21"/>
                <w:highlight w:val="none"/>
              </w:rPr>
            </w:pPr>
            <w:r>
              <w:rPr>
                <w:rFonts w:hint="eastAsia" w:hAnsi="宋体"/>
                <w:sz w:val="21"/>
                <w:szCs w:val="21"/>
                <w:highlight w:val="none"/>
              </w:rPr>
              <w:t>出口总余氯（mg/L）</w:t>
            </w:r>
          </w:p>
        </w:tc>
        <w:tc>
          <w:tcPr>
            <w:tcW w:w="1028" w:type="dxa"/>
            <w:vAlign w:val="center"/>
          </w:tcPr>
          <w:p>
            <w:pPr>
              <w:snapToGrid w:val="0"/>
              <w:jc w:val="center"/>
              <w:rPr>
                <w:rFonts w:hint="eastAsia" w:hAnsi="宋体"/>
                <w:sz w:val="21"/>
                <w:szCs w:val="21"/>
                <w:highlight w:val="none"/>
              </w:rPr>
            </w:pPr>
            <w:r>
              <w:rPr>
                <w:rFonts w:hint="eastAsia" w:hAnsi="宋体"/>
                <w:sz w:val="21"/>
                <w:szCs w:val="21"/>
                <w:highlight w:val="none"/>
              </w:rPr>
              <w:t>pH</w:t>
            </w:r>
          </w:p>
        </w:tc>
        <w:tc>
          <w:tcPr>
            <w:tcW w:w="1523" w:type="dxa"/>
            <w:vAlign w:val="center"/>
          </w:tcPr>
          <w:p>
            <w:pPr>
              <w:snapToGrid w:val="0"/>
              <w:jc w:val="center"/>
              <w:rPr>
                <w:rFonts w:hint="eastAsia" w:hAnsi="宋体"/>
                <w:sz w:val="21"/>
                <w:szCs w:val="21"/>
                <w:highlight w:val="none"/>
              </w:rPr>
            </w:pPr>
            <w:r>
              <w:rPr>
                <w:rFonts w:hint="eastAsia" w:hAnsi="宋体"/>
                <w:sz w:val="21"/>
                <w:szCs w:val="21"/>
                <w:highlight w:val="none"/>
              </w:rPr>
              <w:t>粪大肠菌群（MPN/L）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180" w:type="dxa"/>
            <w:vAlign w:val="center"/>
          </w:tcPr>
          <w:p>
            <w:pPr>
              <w:snapToGrid w:val="0"/>
              <w:jc w:val="center"/>
              <w:rPr>
                <w:rFonts w:hint="eastAsia" w:hAnsi="宋体"/>
                <w:sz w:val="21"/>
                <w:szCs w:val="21"/>
                <w:highlight w:val="none"/>
              </w:rPr>
            </w:pPr>
            <w:r>
              <w:rPr>
                <w:rFonts w:hint="eastAsia" w:hAnsi="宋体"/>
                <w:sz w:val="21"/>
                <w:szCs w:val="21"/>
                <w:highlight w:val="none"/>
              </w:rPr>
              <w:t>出水</w:t>
            </w:r>
          </w:p>
          <w:p>
            <w:pPr>
              <w:snapToGrid w:val="0"/>
              <w:jc w:val="center"/>
              <w:rPr>
                <w:rFonts w:hint="eastAsia" w:hAnsi="宋体"/>
                <w:sz w:val="21"/>
                <w:szCs w:val="21"/>
                <w:highlight w:val="none"/>
              </w:rPr>
            </w:pPr>
            <w:r>
              <w:rPr>
                <w:rFonts w:hint="eastAsia" w:hAnsi="宋体"/>
                <w:sz w:val="21"/>
                <w:szCs w:val="21"/>
                <w:highlight w:val="none"/>
              </w:rPr>
              <w:t>指标</w:t>
            </w:r>
          </w:p>
        </w:tc>
        <w:tc>
          <w:tcPr>
            <w:tcW w:w="1211" w:type="dxa"/>
            <w:vAlign w:val="center"/>
          </w:tcPr>
          <w:p>
            <w:pPr>
              <w:snapToGrid w:val="0"/>
              <w:jc w:val="center"/>
              <w:rPr>
                <w:rFonts w:hint="eastAsia" w:hAnsi="宋体"/>
                <w:sz w:val="21"/>
                <w:szCs w:val="21"/>
                <w:highlight w:val="none"/>
              </w:rPr>
            </w:pPr>
            <w:r>
              <w:rPr>
                <w:rFonts w:hint="eastAsia" w:hAnsi="宋体"/>
                <w:sz w:val="21"/>
                <w:szCs w:val="21"/>
                <w:highlight w:val="none"/>
              </w:rPr>
              <w:t>≤100</w:t>
            </w:r>
          </w:p>
        </w:tc>
        <w:tc>
          <w:tcPr>
            <w:tcW w:w="1361" w:type="dxa"/>
            <w:vAlign w:val="center"/>
          </w:tcPr>
          <w:p>
            <w:pPr>
              <w:snapToGrid w:val="0"/>
              <w:jc w:val="center"/>
              <w:rPr>
                <w:rFonts w:hint="eastAsia" w:hAnsi="宋体"/>
                <w:sz w:val="21"/>
                <w:szCs w:val="21"/>
                <w:highlight w:val="none"/>
              </w:rPr>
            </w:pPr>
            <w:r>
              <w:rPr>
                <w:rFonts w:hint="eastAsia" w:hAnsi="宋体"/>
                <w:sz w:val="21"/>
                <w:szCs w:val="21"/>
                <w:highlight w:val="none"/>
              </w:rPr>
              <w:t>≤250</w:t>
            </w:r>
          </w:p>
        </w:tc>
        <w:tc>
          <w:tcPr>
            <w:tcW w:w="1441" w:type="dxa"/>
            <w:vAlign w:val="center"/>
          </w:tcPr>
          <w:p>
            <w:pPr>
              <w:snapToGrid w:val="0"/>
              <w:jc w:val="center"/>
              <w:rPr>
                <w:rFonts w:hint="eastAsia" w:hAnsi="宋体"/>
                <w:sz w:val="21"/>
                <w:szCs w:val="21"/>
                <w:highlight w:val="none"/>
              </w:rPr>
            </w:pPr>
            <w:r>
              <w:rPr>
                <w:rFonts w:hint="eastAsia" w:hAnsi="宋体"/>
                <w:sz w:val="21"/>
                <w:szCs w:val="21"/>
                <w:highlight w:val="none"/>
              </w:rPr>
              <w:t>≤60</w:t>
            </w:r>
          </w:p>
        </w:tc>
        <w:tc>
          <w:tcPr>
            <w:tcW w:w="1436" w:type="dxa"/>
            <w:vAlign w:val="center"/>
          </w:tcPr>
          <w:p>
            <w:pPr>
              <w:snapToGrid w:val="0"/>
              <w:jc w:val="center"/>
              <w:rPr>
                <w:rFonts w:hint="eastAsia" w:hAnsi="宋体"/>
                <w:sz w:val="21"/>
                <w:szCs w:val="21"/>
                <w:highlight w:val="none"/>
              </w:rPr>
            </w:pPr>
            <w:r>
              <w:rPr>
                <w:rFonts w:hint="eastAsia" w:hAnsi="宋体"/>
                <w:sz w:val="21"/>
                <w:szCs w:val="21"/>
                <w:highlight w:val="none"/>
              </w:rPr>
              <w:t>2-8</w:t>
            </w:r>
          </w:p>
        </w:tc>
        <w:tc>
          <w:tcPr>
            <w:tcW w:w="1028" w:type="dxa"/>
            <w:vAlign w:val="center"/>
          </w:tcPr>
          <w:p>
            <w:pPr>
              <w:snapToGrid w:val="0"/>
              <w:jc w:val="center"/>
              <w:rPr>
                <w:rFonts w:hint="eastAsia" w:hAnsi="宋体"/>
                <w:sz w:val="21"/>
                <w:szCs w:val="21"/>
                <w:highlight w:val="none"/>
              </w:rPr>
            </w:pPr>
            <w:r>
              <w:rPr>
                <w:rFonts w:hint="eastAsia" w:hAnsi="宋体"/>
                <w:sz w:val="21"/>
                <w:szCs w:val="21"/>
                <w:highlight w:val="none"/>
              </w:rPr>
              <w:t>6～9</w:t>
            </w:r>
          </w:p>
        </w:tc>
        <w:tc>
          <w:tcPr>
            <w:tcW w:w="1523" w:type="dxa"/>
            <w:vAlign w:val="center"/>
          </w:tcPr>
          <w:p>
            <w:pPr>
              <w:snapToGrid w:val="0"/>
              <w:jc w:val="center"/>
              <w:rPr>
                <w:rFonts w:hint="eastAsia" w:hAnsi="宋体"/>
                <w:sz w:val="21"/>
                <w:szCs w:val="21"/>
                <w:highlight w:val="none"/>
              </w:rPr>
            </w:pPr>
            <w:r>
              <w:rPr>
                <w:rFonts w:hint="eastAsia" w:hAnsi="宋体"/>
                <w:sz w:val="21"/>
                <w:szCs w:val="21"/>
                <w:highlight w:val="none"/>
              </w:rPr>
              <w:t>5000</w:t>
            </w:r>
          </w:p>
        </w:tc>
      </w:tr>
    </w:tbl>
    <w:p>
      <w:pPr>
        <w:ind w:firstLine="420" w:firstLineChars="200"/>
        <w:rPr>
          <w:rFonts w:hint="eastAsia" w:hAnsi="宋体"/>
          <w:sz w:val="21"/>
          <w:szCs w:val="21"/>
          <w:highlight w:val="none"/>
        </w:rPr>
      </w:pPr>
      <w:r>
        <w:rPr>
          <w:rFonts w:hint="eastAsia" w:hAnsi="宋体"/>
          <w:sz w:val="21"/>
          <w:szCs w:val="21"/>
          <w:highlight w:val="none"/>
        </w:rPr>
        <w:t>2、突发公共卫生事件等应急情况，以政府相关管理部门发布的最新标准为准。</w:t>
      </w:r>
    </w:p>
    <w:p>
      <w:pPr>
        <w:ind w:firstLine="420" w:firstLineChars="200"/>
        <w:rPr>
          <w:rFonts w:hint="eastAsia" w:hAnsi="宋体"/>
          <w:sz w:val="21"/>
          <w:szCs w:val="21"/>
          <w:highlight w:val="none"/>
        </w:rPr>
      </w:pPr>
    </w:p>
    <w:p>
      <w:pPr>
        <w:rPr>
          <w:rFonts w:hint="eastAsia" w:hAnsi="宋体"/>
          <w:b/>
          <w:bCs/>
          <w:sz w:val="21"/>
          <w:szCs w:val="21"/>
          <w:highlight w:val="none"/>
        </w:rPr>
      </w:pPr>
      <w:r>
        <w:rPr>
          <w:rFonts w:hint="eastAsia" w:hAnsi="宋体"/>
          <w:b/>
          <w:bCs/>
          <w:sz w:val="21"/>
          <w:szCs w:val="21"/>
          <w:highlight w:val="none"/>
        </w:rPr>
        <w:t>二、采购内容</w:t>
      </w:r>
    </w:p>
    <w:p>
      <w:pPr>
        <w:ind w:firstLine="420" w:firstLineChars="200"/>
        <w:rPr>
          <w:rFonts w:hint="eastAsia" w:hAnsi="宋体"/>
          <w:sz w:val="21"/>
          <w:szCs w:val="21"/>
          <w:highlight w:val="none"/>
        </w:rPr>
      </w:pPr>
      <w:r>
        <w:rPr>
          <w:rFonts w:hint="eastAsia" w:hAnsi="宋体"/>
          <w:sz w:val="21"/>
          <w:szCs w:val="21"/>
          <w:highlight w:val="none"/>
        </w:rPr>
        <w:t>（一）采购清单：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785"/>
        <w:gridCol w:w="1996"/>
        <w:gridCol w:w="3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885" w:type="dxa"/>
            <w:vAlign w:val="center"/>
          </w:tcPr>
          <w:p>
            <w:pPr>
              <w:jc w:val="center"/>
              <w:rPr>
                <w:rFonts w:hint="eastAsia" w:hAnsi="宋体"/>
                <w:b/>
                <w:bCs/>
                <w:sz w:val="21"/>
                <w:szCs w:val="21"/>
                <w:highlight w:val="none"/>
              </w:rPr>
            </w:pPr>
            <w:r>
              <w:rPr>
                <w:rFonts w:hint="eastAsia" w:hAnsi="宋体"/>
                <w:b/>
                <w:bCs/>
                <w:sz w:val="21"/>
                <w:szCs w:val="21"/>
                <w:highlight w:val="none"/>
              </w:rPr>
              <w:t>标的名称</w:t>
            </w:r>
          </w:p>
        </w:tc>
        <w:tc>
          <w:tcPr>
            <w:tcW w:w="785" w:type="dxa"/>
            <w:vAlign w:val="center"/>
          </w:tcPr>
          <w:p>
            <w:pPr>
              <w:jc w:val="center"/>
              <w:rPr>
                <w:rFonts w:hint="eastAsia" w:hAnsi="宋体"/>
                <w:b/>
                <w:bCs/>
                <w:sz w:val="21"/>
                <w:szCs w:val="21"/>
                <w:highlight w:val="none"/>
              </w:rPr>
            </w:pPr>
            <w:r>
              <w:rPr>
                <w:rFonts w:hint="eastAsia" w:hAnsi="宋体"/>
                <w:b/>
                <w:bCs/>
                <w:sz w:val="21"/>
                <w:szCs w:val="21"/>
                <w:highlight w:val="none"/>
              </w:rPr>
              <w:t>数量</w:t>
            </w:r>
          </w:p>
        </w:tc>
        <w:tc>
          <w:tcPr>
            <w:tcW w:w="1996" w:type="dxa"/>
            <w:vAlign w:val="center"/>
          </w:tcPr>
          <w:p>
            <w:pPr>
              <w:jc w:val="center"/>
              <w:rPr>
                <w:rFonts w:hint="eastAsia" w:hAnsi="宋体"/>
                <w:b/>
                <w:bCs/>
                <w:sz w:val="21"/>
                <w:szCs w:val="21"/>
                <w:highlight w:val="none"/>
              </w:rPr>
            </w:pPr>
            <w:r>
              <w:rPr>
                <w:rFonts w:hint="eastAsia" w:hAnsi="宋体"/>
                <w:b/>
                <w:bCs/>
                <w:sz w:val="21"/>
                <w:szCs w:val="21"/>
                <w:highlight w:val="none"/>
              </w:rPr>
              <w:t>单项采购预算</w:t>
            </w:r>
          </w:p>
        </w:tc>
        <w:tc>
          <w:tcPr>
            <w:tcW w:w="3732" w:type="dxa"/>
            <w:vAlign w:val="center"/>
          </w:tcPr>
          <w:p>
            <w:pPr>
              <w:jc w:val="center"/>
              <w:rPr>
                <w:rFonts w:hint="eastAsia" w:hAnsi="宋体"/>
                <w:b/>
                <w:bCs/>
                <w:sz w:val="21"/>
                <w:szCs w:val="21"/>
                <w:highlight w:val="none"/>
              </w:rPr>
            </w:pPr>
            <w:r>
              <w:rPr>
                <w:rFonts w:hint="eastAsia" w:hAnsi="宋体"/>
                <w:b/>
                <w:bCs/>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885" w:type="dxa"/>
            <w:vAlign w:val="center"/>
          </w:tcPr>
          <w:p>
            <w:pPr>
              <w:jc w:val="center"/>
              <w:rPr>
                <w:rFonts w:hint="eastAsia" w:hAnsi="宋体"/>
                <w:sz w:val="21"/>
                <w:szCs w:val="21"/>
                <w:highlight w:val="none"/>
              </w:rPr>
            </w:pPr>
            <w:r>
              <w:rPr>
                <w:rFonts w:hint="eastAsia" w:hAnsi="宋体"/>
                <w:sz w:val="21"/>
                <w:szCs w:val="21"/>
                <w:highlight w:val="none"/>
              </w:rPr>
              <w:t>污水处理站外包运营服务</w:t>
            </w:r>
          </w:p>
        </w:tc>
        <w:tc>
          <w:tcPr>
            <w:tcW w:w="785" w:type="dxa"/>
            <w:vAlign w:val="center"/>
          </w:tcPr>
          <w:p>
            <w:pPr>
              <w:jc w:val="center"/>
              <w:rPr>
                <w:rFonts w:hint="eastAsia" w:hAnsi="宋体"/>
                <w:sz w:val="21"/>
                <w:szCs w:val="21"/>
                <w:highlight w:val="none"/>
              </w:rPr>
            </w:pPr>
            <w:r>
              <w:rPr>
                <w:rFonts w:hint="eastAsia" w:hAnsi="宋体"/>
                <w:sz w:val="21"/>
                <w:szCs w:val="21"/>
                <w:highlight w:val="none"/>
              </w:rPr>
              <w:t>1项</w:t>
            </w:r>
          </w:p>
        </w:tc>
        <w:tc>
          <w:tcPr>
            <w:tcW w:w="1996" w:type="dxa"/>
            <w:vAlign w:val="center"/>
          </w:tcPr>
          <w:p>
            <w:pPr>
              <w:jc w:val="center"/>
              <w:rPr>
                <w:rFonts w:hint="eastAsia" w:hAnsi="宋体"/>
                <w:sz w:val="21"/>
                <w:szCs w:val="21"/>
                <w:highlight w:val="none"/>
              </w:rPr>
            </w:pPr>
            <w:r>
              <w:rPr>
                <w:rFonts w:hint="eastAsia" w:hAnsi="宋体"/>
                <w:sz w:val="21"/>
                <w:szCs w:val="21"/>
                <w:highlight w:val="none"/>
              </w:rPr>
              <w:t>1,610,000.00元</w:t>
            </w:r>
          </w:p>
        </w:tc>
        <w:tc>
          <w:tcPr>
            <w:tcW w:w="3732" w:type="dxa"/>
            <w:vAlign w:val="center"/>
          </w:tcPr>
          <w:p>
            <w:pPr>
              <w:jc w:val="center"/>
              <w:rPr>
                <w:rFonts w:hint="eastAsia" w:hAnsi="宋体"/>
                <w:sz w:val="21"/>
                <w:szCs w:val="21"/>
                <w:highlight w:val="none"/>
              </w:rPr>
            </w:pPr>
            <w:r>
              <w:rPr>
                <w:rFonts w:hint="eastAsia" w:hAnsi="宋体"/>
                <w:kern w:val="2"/>
                <w:sz w:val="21"/>
                <w:szCs w:val="21"/>
                <w:highlight w:val="none"/>
              </w:rPr>
              <w:t>自合同签订生效之日起1年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885" w:type="dxa"/>
            <w:vAlign w:val="center"/>
          </w:tcPr>
          <w:p>
            <w:pPr>
              <w:jc w:val="center"/>
              <w:rPr>
                <w:rFonts w:hint="eastAsia" w:hAnsi="宋体"/>
                <w:sz w:val="21"/>
                <w:szCs w:val="21"/>
                <w:highlight w:val="none"/>
              </w:rPr>
            </w:pPr>
            <w:r>
              <w:rPr>
                <w:rFonts w:hint="eastAsia" w:hAnsi="宋体"/>
                <w:kern w:val="2"/>
                <w:sz w:val="21"/>
                <w:szCs w:val="21"/>
                <w:highlight w:val="none"/>
              </w:rPr>
              <w:t>2000元以上的维修材料、零配件费</w:t>
            </w:r>
          </w:p>
        </w:tc>
        <w:tc>
          <w:tcPr>
            <w:tcW w:w="785" w:type="dxa"/>
            <w:vAlign w:val="center"/>
          </w:tcPr>
          <w:p>
            <w:pPr>
              <w:jc w:val="center"/>
              <w:rPr>
                <w:rFonts w:hint="eastAsia" w:hAnsi="宋体"/>
                <w:sz w:val="21"/>
                <w:szCs w:val="21"/>
                <w:highlight w:val="none"/>
              </w:rPr>
            </w:pPr>
            <w:r>
              <w:rPr>
                <w:rFonts w:hint="eastAsia" w:hAnsi="宋体"/>
                <w:sz w:val="21"/>
                <w:szCs w:val="21"/>
                <w:highlight w:val="none"/>
              </w:rPr>
              <w:t>1项</w:t>
            </w:r>
          </w:p>
        </w:tc>
        <w:tc>
          <w:tcPr>
            <w:tcW w:w="1996" w:type="dxa"/>
            <w:vAlign w:val="center"/>
          </w:tcPr>
          <w:p>
            <w:pPr>
              <w:jc w:val="center"/>
              <w:rPr>
                <w:rFonts w:hint="eastAsia" w:hAnsi="宋体"/>
                <w:sz w:val="21"/>
                <w:szCs w:val="21"/>
                <w:highlight w:val="none"/>
                <w:lang w:val="zh-CN"/>
              </w:rPr>
            </w:pPr>
            <w:r>
              <w:rPr>
                <w:rFonts w:hint="eastAsia" w:hAnsi="宋体"/>
                <w:sz w:val="21"/>
                <w:szCs w:val="21"/>
                <w:highlight w:val="none"/>
              </w:rPr>
              <w:t>450,000.00元</w:t>
            </w:r>
          </w:p>
        </w:tc>
        <w:tc>
          <w:tcPr>
            <w:tcW w:w="3732" w:type="dxa"/>
            <w:vAlign w:val="center"/>
          </w:tcPr>
          <w:p>
            <w:pPr>
              <w:jc w:val="center"/>
              <w:rPr>
                <w:rFonts w:hint="eastAsia" w:hAnsi="宋体"/>
                <w:sz w:val="21"/>
                <w:szCs w:val="21"/>
                <w:highlight w:val="none"/>
              </w:rPr>
            </w:pPr>
            <w:r>
              <w:rPr>
                <w:rFonts w:hint="eastAsia" w:hAnsi="宋体"/>
                <w:kern w:val="2"/>
                <w:sz w:val="21"/>
                <w:szCs w:val="21"/>
                <w:highlight w:val="none"/>
              </w:rPr>
              <w:t>自合同签订生效之日起1年，或中标（合同）金额用完为止，以先到的条件为准。</w:t>
            </w:r>
          </w:p>
        </w:tc>
      </w:tr>
    </w:tbl>
    <w:p>
      <w:pPr>
        <w:rPr>
          <w:rFonts w:hint="eastAsia" w:hAnsi="宋体"/>
          <w:sz w:val="21"/>
          <w:szCs w:val="21"/>
          <w:highlight w:val="none"/>
        </w:rPr>
      </w:pPr>
    </w:p>
    <w:p>
      <w:pPr>
        <w:ind w:firstLine="420" w:firstLineChars="200"/>
        <w:rPr>
          <w:rFonts w:hint="eastAsia" w:hAnsi="宋体"/>
          <w:sz w:val="21"/>
          <w:szCs w:val="21"/>
          <w:highlight w:val="none"/>
        </w:rPr>
      </w:pPr>
      <w:r>
        <w:rPr>
          <w:rFonts w:hint="eastAsia" w:hAnsi="宋体"/>
          <w:sz w:val="21"/>
          <w:szCs w:val="21"/>
          <w:highlight w:val="none"/>
        </w:rPr>
        <w:t>（二）采购标的需符合的国家相关标准、行业标准、地方标准或者其他标准、规范。</w:t>
      </w:r>
    </w:p>
    <w:p>
      <w:pPr>
        <w:ind w:firstLine="420" w:firstLineChars="200"/>
        <w:rPr>
          <w:rFonts w:hint="eastAsia" w:hAnsi="宋体"/>
          <w:sz w:val="21"/>
          <w:szCs w:val="21"/>
          <w:highlight w:val="none"/>
        </w:rPr>
      </w:pPr>
      <w:r>
        <w:rPr>
          <w:rFonts w:hint="eastAsia" w:hAnsi="宋体"/>
          <w:sz w:val="21"/>
          <w:szCs w:val="21"/>
          <w:highlight w:val="none"/>
        </w:rPr>
        <w:t xml:space="preserve">1、《中华人民共和国环境保护法》 </w:t>
      </w:r>
    </w:p>
    <w:p>
      <w:pPr>
        <w:ind w:firstLine="420" w:firstLineChars="200"/>
        <w:rPr>
          <w:rFonts w:hint="eastAsia" w:hAnsi="宋体"/>
          <w:sz w:val="21"/>
          <w:szCs w:val="21"/>
          <w:highlight w:val="none"/>
        </w:rPr>
      </w:pPr>
      <w:r>
        <w:rPr>
          <w:rFonts w:hint="eastAsia" w:hAnsi="宋体"/>
          <w:sz w:val="21"/>
          <w:szCs w:val="21"/>
          <w:highlight w:val="none"/>
        </w:rPr>
        <w:t xml:space="preserve">2、《中华人民共和国水污染防治法》 </w:t>
      </w:r>
    </w:p>
    <w:p>
      <w:pPr>
        <w:ind w:firstLine="420" w:firstLineChars="200"/>
        <w:rPr>
          <w:rFonts w:hint="eastAsia" w:hAnsi="宋体"/>
          <w:sz w:val="21"/>
          <w:szCs w:val="21"/>
          <w:highlight w:val="none"/>
        </w:rPr>
      </w:pPr>
      <w:r>
        <w:rPr>
          <w:rFonts w:hint="eastAsia" w:hAnsi="宋体"/>
          <w:sz w:val="21"/>
          <w:szCs w:val="21"/>
          <w:highlight w:val="none"/>
        </w:rPr>
        <w:t>3、《中华人民共和国传染病防治法》</w:t>
      </w:r>
    </w:p>
    <w:p>
      <w:pPr>
        <w:ind w:firstLine="420" w:firstLineChars="200"/>
        <w:rPr>
          <w:rFonts w:hint="eastAsia" w:hAnsi="宋体"/>
          <w:sz w:val="21"/>
          <w:szCs w:val="21"/>
          <w:highlight w:val="none"/>
        </w:rPr>
      </w:pPr>
      <w:r>
        <w:rPr>
          <w:rFonts w:hint="eastAsia" w:hAnsi="宋体"/>
          <w:sz w:val="21"/>
          <w:szCs w:val="21"/>
          <w:highlight w:val="none"/>
        </w:rPr>
        <w:t>4、《排污许可管理办法》（生态环境部令第32号）</w:t>
      </w:r>
    </w:p>
    <w:p>
      <w:pPr>
        <w:ind w:firstLine="420" w:firstLineChars="200"/>
        <w:rPr>
          <w:rFonts w:hint="eastAsia" w:hAnsi="宋体"/>
          <w:sz w:val="21"/>
          <w:szCs w:val="21"/>
          <w:highlight w:val="none"/>
        </w:rPr>
      </w:pPr>
      <w:r>
        <w:rPr>
          <w:rFonts w:hint="eastAsia" w:hAnsi="宋体"/>
          <w:sz w:val="21"/>
          <w:szCs w:val="21"/>
          <w:highlight w:val="none"/>
        </w:rPr>
        <w:t>5、《排污许可证申请与核发技术规范总则》（中华人民共和国国家环境保护标准 HJ942-2018）</w:t>
      </w:r>
    </w:p>
    <w:p>
      <w:pPr>
        <w:ind w:firstLine="420" w:firstLineChars="200"/>
        <w:rPr>
          <w:rFonts w:hint="eastAsia" w:hAnsi="宋体"/>
          <w:sz w:val="21"/>
          <w:szCs w:val="21"/>
          <w:highlight w:val="none"/>
        </w:rPr>
      </w:pPr>
      <w:r>
        <w:rPr>
          <w:rFonts w:hint="eastAsia" w:hAnsi="宋体"/>
          <w:sz w:val="21"/>
          <w:szCs w:val="21"/>
          <w:highlight w:val="none"/>
        </w:rPr>
        <w:t>6、《排污单位自行监测技术指南水处理》（中华人民共和国国家环境保护标准 HJ1083-202）</w:t>
      </w:r>
    </w:p>
    <w:p>
      <w:pPr>
        <w:ind w:firstLine="420" w:firstLineChars="200"/>
        <w:rPr>
          <w:rFonts w:hint="eastAsia" w:hAnsi="宋体"/>
          <w:sz w:val="21"/>
          <w:szCs w:val="21"/>
          <w:highlight w:val="none"/>
        </w:rPr>
      </w:pPr>
      <w:r>
        <w:rPr>
          <w:rFonts w:hint="eastAsia" w:hAnsi="宋体"/>
          <w:sz w:val="21"/>
          <w:szCs w:val="21"/>
          <w:highlight w:val="none"/>
        </w:rPr>
        <w:t>7、《广东省地方标准水污染物排放标准》（DB44/26-2001）</w:t>
      </w:r>
    </w:p>
    <w:p>
      <w:pPr>
        <w:ind w:firstLine="420" w:firstLineChars="200"/>
        <w:rPr>
          <w:rFonts w:hint="eastAsia" w:hAnsi="宋体"/>
          <w:sz w:val="21"/>
          <w:szCs w:val="21"/>
          <w:highlight w:val="none"/>
        </w:rPr>
      </w:pPr>
      <w:r>
        <w:rPr>
          <w:rFonts w:hint="eastAsia" w:hAnsi="宋体"/>
          <w:sz w:val="21"/>
          <w:szCs w:val="21"/>
          <w:highlight w:val="none"/>
        </w:rPr>
        <w:t>8、《医疗机构水污染物排放标准》（GB 18466-2005）</w:t>
      </w:r>
    </w:p>
    <w:p>
      <w:pPr>
        <w:ind w:firstLine="420" w:firstLineChars="200"/>
        <w:rPr>
          <w:rFonts w:hint="eastAsia" w:hAnsi="宋体"/>
          <w:sz w:val="21"/>
          <w:szCs w:val="21"/>
          <w:highlight w:val="none"/>
        </w:rPr>
      </w:pPr>
      <w:r>
        <w:rPr>
          <w:rFonts w:hint="eastAsia" w:hAnsi="宋体"/>
          <w:sz w:val="21"/>
          <w:szCs w:val="21"/>
          <w:highlight w:val="none"/>
        </w:rPr>
        <w:t xml:space="preserve">9、《突发环境事件应急管理办法》 </w:t>
      </w:r>
    </w:p>
    <w:p>
      <w:pPr>
        <w:ind w:firstLine="420" w:firstLineChars="200"/>
        <w:rPr>
          <w:rFonts w:hint="eastAsia" w:hAnsi="宋体"/>
          <w:sz w:val="21"/>
          <w:szCs w:val="21"/>
          <w:highlight w:val="none"/>
        </w:rPr>
      </w:pPr>
      <w:r>
        <w:rPr>
          <w:rFonts w:hint="eastAsia" w:hAnsi="宋体"/>
          <w:sz w:val="21"/>
          <w:szCs w:val="21"/>
          <w:highlight w:val="none"/>
        </w:rPr>
        <w:t>10、国家、省、市其他相关法律、法规、标准等。</w:t>
      </w:r>
    </w:p>
    <w:p>
      <w:pPr>
        <w:ind w:left="590"/>
        <w:rPr>
          <w:rFonts w:hint="eastAsia" w:hAnsi="宋体"/>
          <w:sz w:val="21"/>
          <w:szCs w:val="21"/>
          <w:highlight w:val="none"/>
        </w:rPr>
      </w:pPr>
    </w:p>
    <w:p>
      <w:pPr>
        <w:rPr>
          <w:rFonts w:hint="eastAsia" w:hAnsi="宋体"/>
          <w:b/>
          <w:bCs/>
          <w:sz w:val="21"/>
          <w:szCs w:val="21"/>
          <w:highlight w:val="none"/>
        </w:rPr>
      </w:pPr>
      <w:r>
        <w:rPr>
          <w:rFonts w:hint="eastAsia" w:hAnsi="宋体"/>
          <w:b/>
          <w:bCs/>
          <w:sz w:val="21"/>
          <w:szCs w:val="21"/>
          <w:highlight w:val="none"/>
        </w:rPr>
        <w:t>三、服务内容</w:t>
      </w:r>
    </w:p>
    <w:p>
      <w:pPr>
        <w:ind w:firstLine="420" w:firstLineChars="200"/>
        <w:rPr>
          <w:rFonts w:hint="eastAsia" w:hAnsi="宋体"/>
          <w:sz w:val="21"/>
          <w:szCs w:val="21"/>
          <w:highlight w:val="none"/>
        </w:rPr>
      </w:pPr>
      <w:r>
        <w:rPr>
          <w:rFonts w:hint="eastAsia" w:hAnsi="宋体"/>
          <w:sz w:val="21"/>
          <w:szCs w:val="21"/>
          <w:highlight w:val="none"/>
        </w:rPr>
        <w:t>★（一）</w:t>
      </w:r>
      <w:r>
        <w:rPr>
          <w:rStyle w:val="31"/>
          <w:rFonts w:hint="eastAsia" w:ascii="Times New Roman" w:hAnsi="宋体" w:cs="Times New Roman"/>
          <w:highlight w:val="none"/>
        </w:rPr>
        <w:t>参照</w:t>
      </w:r>
      <w:r>
        <w:rPr>
          <w:rFonts w:hint="eastAsia" w:hAnsi="宋体"/>
          <w:sz w:val="21"/>
          <w:szCs w:val="21"/>
          <w:highlight w:val="none"/>
        </w:rPr>
        <w:t>《医疗机构污水处理运维管理规范（TGZAEPI 003—2022）》提供运维管理服务，负责总院及鹤洞分院所有污水处理站污水日常运营管理，保证两个院区污水处理系统正常运行，污染物排放符合环保、卫生、疾控等相关行政主管部门要求的排放标准（《医疗机构水污染物排放标准》GB 18466-2005（如在合同履行期间国家或地方政府颁发新的排放标准则依照新的排放标准执行）），产生污染物无害化处理 100% 达标排放。按照相关法律法规、标准、规范制定日常运营管理计划、日常设施操作规范、污水污染事故应急方案等。因该项目采取“全承包”，中标人运营期间污染物排放不达标或排放手续不完全，由中标人自行承担由此引起的一切经济损失及其他连带责任，排污费由中标人承担，同时采购人有权对中标人扣罚当月运营费的5%，情节严重的，采购人有权解除合同，履约保证金不予退还。</w:t>
      </w:r>
    </w:p>
    <w:p>
      <w:pPr>
        <w:ind w:firstLine="420" w:firstLineChars="200"/>
        <w:rPr>
          <w:rFonts w:hint="eastAsia" w:hAnsi="宋体"/>
          <w:sz w:val="21"/>
          <w:szCs w:val="21"/>
          <w:highlight w:val="none"/>
        </w:rPr>
      </w:pPr>
      <w:r>
        <w:rPr>
          <w:rFonts w:hint="eastAsia" w:hAnsi="宋体"/>
          <w:sz w:val="21"/>
          <w:szCs w:val="21"/>
          <w:highlight w:val="none"/>
        </w:rPr>
        <w:t>（二）提供</w:t>
      </w:r>
      <w:r>
        <w:rPr>
          <w:rFonts w:hint="eastAsia" w:hAnsi="宋体"/>
          <w:sz w:val="21"/>
          <w:szCs w:val="21"/>
          <w:highlight w:val="none"/>
        </w:rPr>
        <w:t>经省级环境保护行政主管部门委托的中介机构进行岗位培训</w:t>
      </w:r>
      <w:r>
        <w:rPr>
          <w:rFonts w:hint="eastAsia" w:hAnsi="宋体"/>
          <w:sz w:val="21"/>
          <w:szCs w:val="21"/>
          <w:highlight w:val="none"/>
        </w:rPr>
        <w:t>及良好的技术人员，负责总院区和鹤洞分院污水处理站设备设施巡查，确保污水处理站系统设备24小时正常运行。制定岗位生产和安全责任制度，保证污水处理站不间断运转，保证污水达到有关排放标准要求。对</w:t>
      </w:r>
      <w:r>
        <w:rPr>
          <w:rFonts w:hint="eastAsia" w:hAnsi="宋体"/>
          <w:sz w:val="21"/>
          <w:szCs w:val="21"/>
          <w:highlight w:val="none"/>
        </w:rPr>
        <w:t>自动监控设施及站内各类</w:t>
      </w:r>
      <w:r>
        <w:rPr>
          <w:rFonts w:hint="eastAsia" w:hAnsi="宋体"/>
          <w:sz w:val="21"/>
          <w:szCs w:val="21"/>
          <w:highlight w:val="none"/>
        </w:rPr>
        <w:t>设备、设施运行中出现的故障进行及时维修维护，制定《设备维护保养计划》，定期进行维护保养，定期清淤、清渣等。为保障运营管理人员的人身安全及意外保险，投标人应按社会劳动保险的有关规定，为员工购买养老、工伤、医疗、失业等保险。</w:t>
      </w:r>
    </w:p>
    <w:p>
      <w:pPr>
        <w:ind w:firstLine="420" w:firstLineChars="200"/>
        <w:rPr>
          <w:rFonts w:hint="eastAsia" w:hAnsi="宋体"/>
          <w:sz w:val="21"/>
          <w:szCs w:val="21"/>
          <w:highlight w:val="none"/>
        </w:rPr>
      </w:pPr>
      <w:r>
        <w:rPr>
          <w:rFonts w:hint="eastAsia" w:hAnsi="宋体"/>
          <w:sz w:val="21"/>
          <w:szCs w:val="21"/>
          <w:highlight w:val="none"/>
        </w:rPr>
        <w:t>（三）巡查包括但不限于：</w:t>
      </w:r>
    </w:p>
    <w:p>
      <w:pPr>
        <w:widowControl/>
        <w:ind w:firstLine="420" w:firstLineChars="200"/>
        <w:rPr>
          <w:rFonts w:hint="eastAsia" w:hAnsi="宋体"/>
          <w:sz w:val="21"/>
          <w:szCs w:val="21"/>
          <w:highlight w:val="none"/>
        </w:rPr>
      </w:pPr>
      <w:r>
        <w:rPr>
          <w:rFonts w:hint="eastAsia" w:hAnsi="宋体"/>
          <w:sz w:val="21"/>
          <w:szCs w:val="21"/>
          <w:highlight w:val="none"/>
        </w:rPr>
        <w:t xml:space="preserve">1、格栅井：格栅每天巡查并清理漂浮物、悬浮物。 </w:t>
      </w:r>
    </w:p>
    <w:p>
      <w:pPr>
        <w:widowControl/>
        <w:ind w:firstLine="420" w:firstLineChars="200"/>
        <w:rPr>
          <w:rFonts w:hint="eastAsia" w:hAnsi="宋体"/>
          <w:sz w:val="21"/>
          <w:szCs w:val="21"/>
          <w:highlight w:val="none"/>
        </w:rPr>
      </w:pPr>
      <w:r>
        <w:rPr>
          <w:rFonts w:hint="eastAsia" w:hAnsi="宋体"/>
          <w:sz w:val="21"/>
          <w:szCs w:val="21"/>
          <w:highlight w:val="none"/>
        </w:rPr>
        <w:t xml:space="preserve">2、调节池： </w:t>
      </w:r>
    </w:p>
    <w:p>
      <w:pPr>
        <w:widowControl/>
        <w:ind w:firstLine="420" w:firstLineChars="200"/>
        <w:rPr>
          <w:rFonts w:hint="eastAsia" w:hAnsi="宋体"/>
          <w:sz w:val="21"/>
          <w:szCs w:val="21"/>
          <w:highlight w:val="none"/>
        </w:rPr>
      </w:pPr>
      <w:r>
        <w:rPr>
          <w:rFonts w:hint="eastAsia" w:hAnsi="宋体"/>
          <w:sz w:val="21"/>
          <w:szCs w:val="21"/>
          <w:highlight w:val="none"/>
        </w:rPr>
        <w:t>2.1观察进入调节池水量规律性、水质外观等；根据调节池水量、水质适时调整后端污水处理系统；</w:t>
      </w:r>
    </w:p>
    <w:p>
      <w:pPr>
        <w:widowControl/>
        <w:ind w:firstLine="420" w:firstLineChars="200"/>
        <w:rPr>
          <w:rFonts w:hint="eastAsia" w:hAnsi="宋体"/>
          <w:sz w:val="21"/>
          <w:szCs w:val="21"/>
          <w:highlight w:val="none"/>
        </w:rPr>
      </w:pPr>
      <w:r>
        <w:rPr>
          <w:rFonts w:hint="eastAsia" w:hAnsi="宋体"/>
          <w:sz w:val="21"/>
          <w:szCs w:val="21"/>
          <w:highlight w:val="none"/>
        </w:rPr>
        <w:t xml:space="preserve">2.2检查调节池有无漂浮物或悬浮物，并及时清理； </w:t>
      </w:r>
    </w:p>
    <w:p>
      <w:pPr>
        <w:widowControl/>
        <w:ind w:firstLine="420" w:firstLineChars="200"/>
        <w:rPr>
          <w:rFonts w:hint="eastAsia" w:hAnsi="宋体"/>
          <w:sz w:val="21"/>
          <w:szCs w:val="21"/>
          <w:highlight w:val="none"/>
        </w:rPr>
      </w:pPr>
      <w:r>
        <w:rPr>
          <w:rFonts w:hint="eastAsia" w:hAnsi="宋体"/>
          <w:sz w:val="21"/>
          <w:szCs w:val="21"/>
          <w:highlight w:val="none"/>
        </w:rPr>
        <w:t xml:space="preserve">2.3检查调节池提升泵管道、阀门的畅通性和密封性、阀门润滑性及其阀门开/关正确性；检查提升泵工作状态是否正常（水量、噪声、振动等）；检查空气管管道、阀门畅通性和密封性、阀门的润滑性及其阀门开/关正确性和开合度是否合适；检查提升泵控制系统是否正常。 </w:t>
      </w:r>
    </w:p>
    <w:p>
      <w:pPr>
        <w:widowControl/>
        <w:ind w:firstLine="420" w:firstLineChars="200"/>
        <w:rPr>
          <w:rFonts w:hint="eastAsia" w:hAnsi="宋体"/>
          <w:sz w:val="21"/>
          <w:szCs w:val="21"/>
          <w:highlight w:val="none"/>
        </w:rPr>
      </w:pPr>
      <w:r>
        <w:rPr>
          <w:rFonts w:hint="eastAsia" w:hAnsi="宋体"/>
          <w:sz w:val="21"/>
          <w:szCs w:val="21"/>
          <w:highlight w:val="none"/>
        </w:rPr>
        <w:t>3、厌氧池：</w:t>
      </w:r>
    </w:p>
    <w:p>
      <w:pPr>
        <w:widowControl/>
        <w:ind w:firstLine="420" w:firstLineChars="200"/>
        <w:rPr>
          <w:rFonts w:hint="eastAsia" w:hAnsi="宋体"/>
          <w:sz w:val="21"/>
          <w:szCs w:val="21"/>
          <w:highlight w:val="none"/>
        </w:rPr>
      </w:pPr>
      <w:r>
        <w:rPr>
          <w:rFonts w:hint="eastAsia" w:hAnsi="宋体"/>
          <w:sz w:val="21"/>
          <w:szCs w:val="21"/>
          <w:highlight w:val="none"/>
        </w:rPr>
        <w:t xml:space="preserve">3.1检查潜水搅拌机工作状态是否正常，控制系统是否正常； </w:t>
      </w:r>
    </w:p>
    <w:p>
      <w:pPr>
        <w:widowControl/>
        <w:ind w:firstLine="420" w:firstLineChars="200"/>
        <w:rPr>
          <w:rFonts w:hint="eastAsia" w:hAnsi="宋体"/>
          <w:sz w:val="21"/>
          <w:szCs w:val="21"/>
          <w:highlight w:val="none"/>
        </w:rPr>
      </w:pPr>
      <w:r>
        <w:rPr>
          <w:rFonts w:hint="eastAsia" w:hAnsi="宋体"/>
          <w:sz w:val="21"/>
          <w:szCs w:val="21"/>
          <w:highlight w:val="none"/>
        </w:rPr>
        <w:t xml:space="preserve">3.2检查管道、阀门的畅通性和密封性、阀门润滑性及其阀门开/关正确性； </w:t>
      </w:r>
    </w:p>
    <w:p>
      <w:pPr>
        <w:widowControl/>
        <w:ind w:firstLine="420" w:firstLineChars="200"/>
        <w:rPr>
          <w:rFonts w:hint="eastAsia" w:hAnsi="宋体"/>
          <w:sz w:val="21"/>
          <w:szCs w:val="21"/>
          <w:highlight w:val="none"/>
        </w:rPr>
      </w:pPr>
      <w:r>
        <w:rPr>
          <w:rFonts w:hint="eastAsia" w:hAnsi="宋体"/>
          <w:sz w:val="21"/>
          <w:szCs w:val="21"/>
          <w:highlight w:val="none"/>
        </w:rPr>
        <w:t xml:space="preserve">3.3检查硝化回流泵是否正常运行； </w:t>
      </w:r>
    </w:p>
    <w:p>
      <w:pPr>
        <w:widowControl/>
        <w:ind w:firstLine="420" w:firstLineChars="200"/>
        <w:rPr>
          <w:rFonts w:hint="eastAsia" w:hAnsi="宋体"/>
          <w:sz w:val="21"/>
          <w:szCs w:val="21"/>
          <w:highlight w:val="none"/>
        </w:rPr>
      </w:pPr>
      <w:r>
        <w:rPr>
          <w:rFonts w:hint="eastAsia" w:hAnsi="宋体"/>
          <w:sz w:val="21"/>
          <w:szCs w:val="21"/>
          <w:highlight w:val="none"/>
        </w:rPr>
        <w:t xml:space="preserve">3.4检查厌氧池运行状况，并判断是否正常，主要包括：厌氧污泥的颜色、气味；出水效果等。 </w:t>
      </w:r>
    </w:p>
    <w:p>
      <w:pPr>
        <w:widowControl/>
        <w:ind w:firstLine="420" w:firstLineChars="200"/>
        <w:rPr>
          <w:rFonts w:hint="eastAsia" w:hAnsi="宋体"/>
          <w:kern w:val="2"/>
          <w:sz w:val="21"/>
          <w:szCs w:val="21"/>
          <w:highlight w:val="none"/>
        </w:rPr>
      </w:pPr>
      <w:r>
        <w:rPr>
          <w:rFonts w:hint="eastAsia" w:hAnsi="宋体"/>
          <w:kern w:val="2"/>
          <w:sz w:val="21"/>
          <w:szCs w:val="21"/>
          <w:highlight w:val="none"/>
        </w:rPr>
        <w:t>4、缺氧池：</w:t>
      </w:r>
    </w:p>
    <w:p>
      <w:pPr>
        <w:widowControl/>
        <w:ind w:firstLine="420" w:firstLineChars="200"/>
        <w:rPr>
          <w:rFonts w:hint="eastAsia" w:hAnsi="宋体"/>
          <w:sz w:val="21"/>
          <w:szCs w:val="21"/>
          <w:highlight w:val="none"/>
        </w:rPr>
      </w:pPr>
      <w:r>
        <w:rPr>
          <w:rFonts w:hint="eastAsia" w:hAnsi="宋体"/>
          <w:sz w:val="21"/>
          <w:szCs w:val="21"/>
          <w:highlight w:val="none"/>
        </w:rPr>
        <w:t xml:space="preserve">4.1检查潜水搅拌机工作状态是否正常，控制系统是否正常； </w:t>
      </w:r>
    </w:p>
    <w:p>
      <w:pPr>
        <w:widowControl/>
        <w:ind w:firstLine="420" w:firstLineChars="200"/>
        <w:rPr>
          <w:rFonts w:hint="eastAsia" w:hAnsi="宋体"/>
          <w:sz w:val="21"/>
          <w:szCs w:val="21"/>
          <w:highlight w:val="none"/>
        </w:rPr>
      </w:pPr>
      <w:r>
        <w:rPr>
          <w:rFonts w:hint="eastAsia" w:hAnsi="宋体"/>
          <w:sz w:val="21"/>
          <w:szCs w:val="21"/>
          <w:highlight w:val="none"/>
        </w:rPr>
        <w:t xml:space="preserve">4.2检查管道、阀门的畅通性和密封性、阀门润滑性及其阀门开/关正确性； </w:t>
      </w:r>
    </w:p>
    <w:p>
      <w:pPr>
        <w:widowControl/>
        <w:ind w:firstLine="420" w:firstLineChars="200"/>
        <w:rPr>
          <w:rFonts w:hint="eastAsia" w:hAnsi="宋体"/>
          <w:sz w:val="21"/>
          <w:szCs w:val="21"/>
          <w:highlight w:val="none"/>
        </w:rPr>
      </w:pPr>
      <w:r>
        <w:rPr>
          <w:rFonts w:hint="eastAsia" w:hAnsi="宋体"/>
          <w:sz w:val="21"/>
          <w:szCs w:val="21"/>
          <w:highlight w:val="none"/>
        </w:rPr>
        <w:t xml:space="preserve">4.3检查曝气装置是否正常运行，好氧池曝气量的分布及曝气的均匀性； </w:t>
      </w:r>
    </w:p>
    <w:p>
      <w:pPr>
        <w:widowControl/>
        <w:ind w:firstLine="420" w:firstLineChars="200"/>
        <w:rPr>
          <w:rFonts w:hint="eastAsia" w:hAnsi="宋体"/>
          <w:sz w:val="21"/>
          <w:szCs w:val="21"/>
          <w:highlight w:val="none"/>
        </w:rPr>
      </w:pPr>
      <w:r>
        <w:rPr>
          <w:rFonts w:hint="eastAsia" w:hAnsi="宋体"/>
          <w:sz w:val="21"/>
          <w:szCs w:val="21"/>
          <w:highlight w:val="none"/>
        </w:rPr>
        <w:t xml:space="preserve">4.4检查缺氧池运行状况，并判断是否正常，主要包括：缺氧池液面翻腾情况；缺氧池气泡的多少、色泽、粘性；污泥的颜色、气味；出水效果等。 </w:t>
      </w:r>
    </w:p>
    <w:p>
      <w:pPr>
        <w:widowControl/>
        <w:ind w:firstLine="420" w:firstLineChars="200"/>
        <w:rPr>
          <w:rFonts w:hint="eastAsia" w:hAnsi="宋体"/>
          <w:sz w:val="21"/>
          <w:szCs w:val="21"/>
          <w:highlight w:val="none"/>
        </w:rPr>
      </w:pPr>
      <w:r>
        <w:rPr>
          <w:rFonts w:hint="eastAsia" w:hAnsi="宋体"/>
          <w:sz w:val="21"/>
          <w:szCs w:val="21"/>
          <w:highlight w:val="none"/>
        </w:rPr>
        <w:t xml:space="preserve">5、好氧池： </w:t>
      </w:r>
    </w:p>
    <w:p>
      <w:pPr>
        <w:widowControl/>
        <w:ind w:firstLine="420" w:firstLineChars="200"/>
        <w:rPr>
          <w:rFonts w:hint="eastAsia" w:hAnsi="宋体"/>
          <w:sz w:val="21"/>
          <w:szCs w:val="21"/>
          <w:highlight w:val="none"/>
        </w:rPr>
      </w:pPr>
      <w:r>
        <w:rPr>
          <w:rFonts w:hint="eastAsia" w:hAnsi="宋体"/>
          <w:sz w:val="21"/>
          <w:szCs w:val="21"/>
          <w:highlight w:val="none"/>
        </w:rPr>
        <w:t xml:space="preserve">5.1检查鼓风机工作状态是否正常（主要从声音、震动、风管压力、外壳温度、风量等判断），控制系统是否正常； </w:t>
      </w:r>
    </w:p>
    <w:p>
      <w:pPr>
        <w:widowControl/>
        <w:ind w:firstLine="420" w:firstLineChars="200"/>
        <w:rPr>
          <w:rFonts w:hint="eastAsia" w:hAnsi="宋体"/>
          <w:sz w:val="21"/>
          <w:szCs w:val="21"/>
          <w:highlight w:val="none"/>
        </w:rPr>
      </w:pPr>
      <w:r>
        <w:rPr>
          <w:rFonts w:hint="eastAsia" w:hAnsi="宋体"/>
          <w:sz w:val="21"/>
          <w:szCs w:val="21"/>
          <w:highlight w:val="none"/>
        </w:rPr>
        <w:t xml:space="preserve">5.2检查风管管道、阀门的畅通性和密封性、阀门润滑性及其阀门开/关正确性； </w:t>
      </w:r>
    </w:p>
    <w:p>
      <w:pPr>
        <w:widowControl/>
        <w:ind w:firstLine="420" w:firstLineChars="200"/>
        <w:rPr>
          <w:rFonts w:hint="eastAsia" w:hAnsi="宋体"/>
          <w:sz w:val="21"/>
          <w:szCs w:val="21"/>
          <w:highlight w:val="none"/>
        </w:rPr>
      </w:pPr>
      <w:r>
        <w:rPr>
          <w:rFonts w:hint="eastAsia" w:hAnsi="宋体"/>
          <w:sz w:val="21"/>
          <w:szCs w:val="21"/>
          <w:highlight w:val="none"/>
        </w:rPr>
        <w:t xml:space="preserve">5.3检查曝气装置是否正常运行，好氧池曝气量的分布及曝气的均匀性； </w:t>
      </w:r>
    </w:p>
    <w:p>
      <w:pPr>
        <w:widowControl/>
        <w:ind w:firstLine="420" w:firstLineChars="200"/>
        <w:rPr>
          <w:rFonts w:hint="eastAsia" w:hAnsi="宋体"/>
          <w:sz w:val="21"/>
          <w:szCs w:val="21"/>
          <w:highlight w:val="none"/>
        </w:rPr>
      </w:pPr>
      <w:r>
        <w:rPr>
          <w:rFonts w:hint="eastAsia" w:hAnsi="宋体"/>
          <w:sz w:val="21"/>
          <w:szCs w:val="21"/>
          <w:highlight w:val="none"/>
        </w:rPr>
        <w:t xml:space="preserve">5.4检查好氧池运行状况，并判断是否正常，主要包括：好氧池液面翻腾情况；好氧池气泡的多少、色泽、粘性；活性污泥的颜色、气味；出水效果等。 </w:t>
      </w:r>
    </w:p>
    <w:p>
      <w:pPr>
        <w:widowControl/>
        <w:ind w:firstLine="420" w:firstLineChars="200"/>
        <w:rPr>
          <w:rFonts w:hint="eastAsia" w:hAnsi="宋体"/>
          <w:sz w:val="21"/>
          <w:szCs w:val="21"/>
          <w:highlight w:val="none"/>
        </w:rPr>
      </w:pPr>
      <w:r>
        <w:rPr>
          <w:rFonts w:hint="eastAsia" w:hAnsi="宋体"/>
          <w:sz w:val="21"/>
          <w:szCs w:val="21"/>
          <w:highlight w:val="none"/>
        </w:rPr>
        <w:t xml:space="preserve">6、MBR池： </w:t>
      </w:r>
    </w:p>
    <w:p>
      <w:pPr>
        <w:widowControl/>
        <w:ind w:firstLine="420" w:firstLineChars="200"/>
        <w:rPr>
          <w:rFonts w:hint="eastAsia" w:hAnsi="宋体"/>
          <w:sz w:val="21"/>
          <w:szCs w:val="21"/>
          <w:highlight w:val="none"/>
        </w:rPr>
      </w:pPr>
      <w:r>
        <w:rPr>
          <w:rFonts w:hint="eastAsia" w:hAnsi="宋体"/>
          <w:sz w:val="21"/>
          <w:szCs w:val="21"/>
          <w:highlight w:val="none"/>
        </w:rPr>
        <w:t xml:space="preserve">6.1膜组件的正常运行，特别是曝气状态及生物处理尤其重要。每天巡查以下为日常检查内容： </w:t>
      </w:r>
    </w:p>
    <w:p>
      <w:pPr>
        <w:widowControl/>
        <w:ind w:firstLine="420" w:firstLineChars="200"/>
        <w:rPr>
          <w:rFonts w:hint="eastAsia" w:hAnsi="宋体"/>
          <w:sz w:val="21"/>
          <w:szCs w:val="21"/>
          <w:highlight w:val="none"/>
        </w:rPr>
      </w:pPr>
      <w:r>
        <w:rPr>
          <w:rFonts w:hint="eastAsia" w:hAnsi="宋体"/>
          <w:sz w:val="21"/>
          <w:szCs w:val="21"/>
          <w:highlight w:val="none"/>
        </w:rPr>
        <w:t xml:space="preserve">①曝气状态：检查曝气空气量是否为标准量、以及是否为均一曝气。发现曝气空气量异常 、有明显的曝气不均一时，通过空气冲刷管调节，检查安装情况以及调整曝气等； </w:t>
      </w:r>
    </w:p>
    <w:p>
      <w:pPr>
        <w:widowControl/>
        <w:ind w:firstLine="420" w:firstLineChars="200"/>
        <w:rPr>
          <w:rFonts w:hint="eastAsia" w:hAnsi="宋体"/>
          <w:sz w:val="21"/>
          <w:szCs w:val="21"/>
          <w:highlight w:val="none"/>
        </w:rPr>
      </w:pPr>
      <w:r>
        <w:rPr>
          <w:rFonts w:hint="eastAsia" w:hAnsi="宋体"/>
          <w:sz w:val="21"/>
          <w:szCs w:val="21"/>
          <w:highlight w:val="none"/>
        </w:rPr>
        <w:t xml:space="preserve">②活性污泥的颜色及气味：检查污泥的外观（正常的活性污泥的颜色为茶褐色）、气味，如果外观及气味有异常，请适当地对MLSS（固体颗粒浓度）、DO（溶解氧）、pH、水温、BOD负荷等数值进行检查； </w:t>
      </w:r>
    </w:p>
    <w:p>
      <w:pPr>
        <w:widowControl/>
        <w:ind w:firstLine="420" w:firstLineChars="200"/>
        <w:rPr>
          <w:rFonts w:hint="eastAsia" w:hAnsi="宋体"/>
          <w:sz w:val="21"/>
          <w:szCs w:val="21"/>
          <w:highlight w:val="none"/>
        </w:rPr>
      </w:pPr>
      <w:r>
        <w:rPr>
          <w:rFonts w:hint="eastAsia" w:hAnsi="宋体"/>
          <w:sz w:val="21"/>
          <w:szCs w:val="21"/>
          <w:highlight w:val="none"/>
        </w:rPr>
        <w:t xml:space="preserve">③pH：正常的pH为6～8； </w:t>
      </w:r>
    </w:p>
    <w:p>
      <w:pPr>
        <w:widowControl/>
        <w:ind w:firstLine="420" w:firstLineChars="200"/>
        <w:rPr>
          <w:rFonts w:hint="eastAsia" w:hAnsi="宋体"/>
          <w:sz w:val="21"/>
          <w:szCs w:val="21"/>
          <w:highlight w:val="none"/>
        </w:rPr>
      </w:pPr>
      <w:r>
        <w:rPr>
          <w:rFonts w:hint="eastAsia" w:hAnsi="宋体"/>
          <w:sz w:val="21"/>
          <w:szCs w:val="21"/>
          <w:highlight w:val="none"/>
        </w:rPr>
        <w:t xml:space="preserve">④水温：正常的水温为15～35 ℃； </w:t>
      </w:r>
    </w:p>
    <w:p>
      <w:pPr>
        <w:widowControl/>
        <w:ind w:firstLine="420" w:firstLineChars="200"/>
        <w:rPr>
          <w:rFonts w:hint="eastAsia" w:hAnsi="宋体"/>
          <w:sz w:val="21"/>
          <w:szCs w:val="21"/>
          <w:highlight w:val="none"/>
        </w:rPr>
      </w:pPr>
      <w:r>
        <w:rPr>
          <w:rFonts w:hint="eastAsia" w:hAnsi="宋体"/>
          <w:sz w:val="21"/>
          <w:szCs w:val="21"/>
          <w:highlight w:val="none"/>
        </w:rPr>
        <w:t xml:space="preserve">⑤水位：请检查膜生物反应器的水位是否在正常范围内。 </w:t>
      </w:r>
    </w:p>
    <w:p>
      <w:pPr>
        <w:widowControl/>
        <w:ind w:firstLine="420" w:firstLineChars="200"/>
        <w:rPr>
          <w:rFonts w:hint="eastAsia" w:hAnsi="宋体"/>
          <w:sz w:val="21"/>
          <w:szCs w:val="21"/>
          <w:highlight w:val="none"/>
        </w:rPr>
      </w:pPr>
      <w:r>
        <w:rPr>
          <w:rFonts w:hint="eastAsia" w:hAnsi="宋体"/>
          <w:sz w:val="21"/>
          <w:szCs w:val="21"/>
          <w:highlight w:val="none"/>
        </w:rPr>
        <w:t>6.2为了维持膜组件的性能，定期按要求对MBR膜进行清洗。</w:t>
      </w:r>
    </w:p>
    <w:p>
      <w:pPr>
        <w:ind w:firstLine="420" w:firstLineChars="200"/>
        <w:rPr>
          <w:rFonts w:hint="eastAsia" w:hAnsi="宋体"/>
          <w:sz w:val="21"/>
          <w:szCs w:val="21"/>
          <w:highlight w:val="none"/>
        </w:rPr>
      </w:pPr>
      <w:bookmarkStart w:id="0" w:name="OLE_LINK7"/>
      <w:r>
        <w:rPr>
          <w:rFonts w:hint="eastAsia" w:hAnsi="宋体"/>
          <w:sz w:val="21"/>
          <w:szCs w:val="21"/>
          <w:highlight w:val="none"/>
        </w:rPr>
        <w:t>★</w:t>
      </w:r>
      <w:bookmarkEnd w:id="0"/>
      <w:r>
        <w:rPr>
          <w:rFonts w:hint="eastAsia" w:hAnsi="宋体"/>
          <w:sz w:val="21"/>
          <w:szCs w:val="21"/>
          <w:highlight w:val="none"/>
        </w:rPr>
        <w:t>6.3除操作日常的系统在线自动反洗以外（物理清洗：鼓风机24小时连续空气清洗，化学清洗：1000mg/l的次氯酸钠通过反洗泵在线水反洗），每半年对MBR膜进行一次离线大规模彻底清洗（离线化学清洗，一般为全膜吊出浸洗），完成该项工作所产生全部费用由中标人负责，彻底清洗后需要保证膜通量达标。（在投标文件中提供承诺函（格式自拟））</w:t>
      </w:r>
    </w:p>
    <w:p>
      <w:pPr>
        <w:widowControl/>
        <w:ind w:firstLine="420" w:firstLineChars="200"/>
        <w:rPr>
          <w:rFonts w:hint="eastAsia" w:hAnsi="宋体"/>
          <w:sz w:val="21"/>
          <w:szCs w:val="21"/>
          <w:highlight w:val="none"/>
        </w:rPr>
      </w:pPr>
      <w:r>
        <w:rPr>
          <w:rFonts w:hint="eastAsia" w:hAnsi="宋体"/>
          <w:sz w:val="21"/>
          <w:szCs w:val="21"/>
          <w:highlight w:val="none"/>
        </w:rPr>
        <w:t xml:space="preserve">7、接触消毒池： </w:t>
      </w:r>
    </w:p>
    <w:p>
      <w:pPr>
        <w:widowControl/>
        <w:ind w:firstLine="420" w:firstLineChars="200"/>
        <w:rPr>
          <w:rFonts w:hint="eastAsia" w:hAnsi="宋体"/>
          <w:sz w:val="21"/>
          <w:szCs w:val="21"/>
          <w:highlight w:val="none"/>
        </w:rPr>
      </w:pPr>
      <w:r>
        <w:rPr>
          <w:rFonts w:hint="eastAsia" w:hAnsi="宋体"/>
          <w:sz w:val="21"/>
          <w:szCs w:val="21"/>
          <w:highlight w:val="none"/>
        </w:rPr>
        <w:t xml:space="preserve">7.1检查电解次氯酸钠一体化设备运行情况； </w:t>
      </w:r>
    </w:p>
    <w:p>
      <w:pPr>
        <w:widowControl/>
        <w:ind w:firstLine="420" w:firstLineChars="200"/>
        <w:rPr>
          <w:rFonts w:hint="eastAsia" w:hAnsi="宋体"/>
          <w:sz w:val="21"/>
          <w:szCs w:val="21"/>
          <w:highlight w:val="none"/>
        </w:rPr>
      </w:pPr>
      <w:r>
        <w:rPr>
          <w:rFonts w:hint="eastAsia" w:hAnsi="宋体"/>
          <w:sz w:val="21"/>
          <w:szCs w:val="21"/>
          <w:highlight w:val="none"/>
        </w:rPr>
        <w:t xml:space="preserve">7.2检查消毒药剂投加情况； </w:t>
      </w:r>
    </w:p>
    <w:p>
      <w:pPr>
        <w:widowControl/>
        <w:ind w:firstLine="420" w:firstLineChars="200"/>
        <w:rPr>
          <w:rFonts w:hint="eastAsia" w:hAnsi="宋体"/>
          <w:sz w:val="21"/>
          <w:szCs w:val="21"/>
          <w:highlight w:val="none"/>
        </w:rPr>
      </w:pPr>
      <w:r>
        <w:rPr>
          <w:rFonts w:hint="eastAsia" w:hAnsi="宋体"/>
          <w:sz w:val="21"/>
          <w:szCs w:val="21"/>
          <w:highlight w:val="none"/>
        </w:rPr>
        <w:t>7.3检查消毒池液位情况；</w:t>
      </w:r>
    </w:p>
    <w:p>
      <w:pPr>
        <w:widowControl/>
        <w:ind w:firstLine="420" w:firstLineChars="200"/>
        <w:rPr>
          <w:rFonts w:hint="eastAsia" w:hAnsi="宋体"/>
          <w:sz w:val="21"/>
          <w:szCs w:val="21"/>
          <w:highlight w:val="none"/>
        </w:rPr>
      </w:pPr>
      <w:r>
        <w:rPr>
          <w:rFonts w:hint="eastAsia" w:hAnsi="宋体"/>
          <w:sz w:val="21"/>
          <w:szCs w:val="21"/>
          <w:highlight w:val="none"/>
        </w:rPr>
        <w:t>7.4定期取出水口水样进行化验（COD、SS、PH、余氯）；</w:t>
      </w:r>
    </w:p>
    <w:p>
      <w:pPr>
        <w:widowControl/>
        <w:ind w:firstLine="420" w:firstLineChars="200"/>
        <w:rPr>
          <w:rFonts w:hint="eastAsia" w:hAnsi="宋体"/>
          <w:sz w:val="21"/>
          <w:szCs w:val="21"/>
          <w:highlight w:val="none"/>
        </w:rPr>
      </w:pPr>
      <w:r>
        <w:rPr>
          <w:rFonts w:hint="eastAsia" w:hAnsi="宋体"/>
          <w:sz w:val="21"/>
          <w:szCs w:val="21"/>
          <w:highlight w:val="none"/>
        </w:rPr>
        <w:t>7.5定期巡查在线监测数据，发现异常应及时对数据进行分析，查找原因，并及时解决问题。</w:t>
      </w:r>
    </w:p>
    <w:p>
      <w:pPr>
        <w:widowControl/>
        <w:ind w:firstLine="420" w:firstLineChars="200"/>
        <w:rPr>
          <w:rFonts w:hint="eastAsia" w:hAnsi="宋体"/>
          <w:sz w:val="21"/>
          <w:szCs w:val="21"/>
          <w:highlight w:val="none"/>
        </w:rPr>
      </w:pPr>
      <w:r>
        <w:rPr>
          <w:rFonts w:hint="eastAsia" w:hAnsi="宋体"/>
          <w:sz w:val="21"/>
          <w:szCs w:val="21"/>
          <w:highlight w:val="none"/>
        </w:rPr>
        <w:t>8、自动监控设施运行管理：</w:t>
      </w:r>
      <w:r>
        <w:rPr>
          <w:rFonts w:hint="eastAsia" w:hAnsi="宋体"/>
          <w:sz w:val="21"/>
          <w:szCs w:val="21"/>
          <w:highlight w:val="none"/>
        </w:rPr>
        <w:t xml:space="preserve"> </w:t>
      </w:r>
    </w:p>
    <w:p>
      <w:pPr>
        <w:widowControl/>
        <w:ind w:firstLine="420" w:firstLineChars="200"/>
        <w:rPr>
          <w:rFonts w:hint="eastAsia" w:hAnsi="宋体"/>
          <w:sz w:val="21"/>
          <w:szCs w:val="21"/>
          <w:highlight w:val="none"/>
        </w:rPr>
      </w:pPr>
      <w:r>
        <w:rPr>
          <w:rFonts w:hint="eastAsia" w:hAnsi="宋体"/>
          <w:sz w:val="21"/>
          <w:szCs w:val="21"/>
          <w:highlight w:val="none"/>
        </w:rPr>
        <w:t>每天对在线设备进行巡查，具体运行管理按照《污染源自动监控设施</w:t>
      </w:r>
      <w:bookmarkStart w:id="1" w:name="OLE_LINK23"/>
      <w:r>
        <w:rPr>
          <w:rFonts w:hint="eastAsia" w:hAnsi="宋体"/>
          <w:sz w:val="21"/>
          <w:szCs w:val="21"/>
          <w:highlight w:val="none"/>
        </w:rPr>
        <w:t>运行管理</w:t>
      </w:r>
      <w:bookmarkEnd w:id="1"/>
      <w:r>
        <w:rPr>
          <w:rFonts w:hint="eastAsia" w:hAnsi="宋体"/>
          <w:sz w:val="21"/>
          <w:szCs w:val="21"/>
          <w:highlight w:val="none"/>
        </w:rPr>
        <w:t>办法》（环发〔2008〕6号）、《污染源自动监控管理办法》（总局令 第28号）执行，检查药剂使用情况，及时补充药剂，对仪器进行校正等，保证在线监测仪正常运行（包括COD、氨氮、pH、流量等）</w:t>
      </w:r>
    </w:p>
    <w:p>
      <w:pPr>
        <w:ind w:firstLine="420" w:firstLineChars="200"/>
        <w:rPr>
          <w:rFonts w:hint="eastAsia" w:hAnsi="宋体"/>
          <w:sz w:val="21"/>
          <w:szCs w:val="21"/>
          <w:highlight w:val="none"/>
        </w:rPr>
      </w:pPr>
      <w:r>
        <w:rPr>
          <w:rFonts w:hint="eastAsia" w:hAnsi="宋体"/>
          <w:sz w:val="21"/>
          <w:szCs w:val="21"/>
          <w:highlight w:val="none"/>
        </w:rPr>
        <w:t>9、污泥池：</w:t>
      </w:r>
    </w:p>
    <w:p>
      <w:pPr>
        <w:widowControl/>
        <w:ind w:firstLine="420" w:firstLineChars="200"/>
        <w:rPr>
          <w:rFonts w:hint="eastAsia" w:hAnsi="宋体"/>
          <w:sz w:val="21"/>
          <w:szCs w:val="21"/>
          <w:highlight w:val="none"/>
        </w:rPr>
      </w:pPr>
      <w:r>
        <w:rPr>
          <w:rFonts w:hint="eastAsia" w:hAnsi="宋体"/>
          <w:sz w:val="21"/>
          <w:szCs w:val="21"/>
          <w:highlight w:val="none"/>
        </w:rPr>
        <w:t xml:space="preserve">9.1检查潜水搅拌机运行情况； </w:t>
      </w:r>
    </w:p>
    <w:p>
      <w:pPr>
        <w:widowControl/>
        <w:ind w:firstLine="420" w:firstLineChars="200"/>
        <w:rPr>
          <w:rFonts w:hint="eastAsia" w:hAnsi="宋体"/>
          <w:sz w:val="21"/>
          <w:szCs w:val="21"/>
          <w:highlight w:val="none"/>
        </w:rPr>
      </w:pPr>
      <w:r>
        <w:rPr>
          <w:rFonts w:hint="eastAsia" w:hAnsi="宋体"/>
          <w:sz w:val="21"/>
          <w:szCs w:val="21"/>
          <w:highlight w:val="none"/>
        </w:rPr>
        <w:t xml:space="preserve">9.2检查污泥管道、阀门畅通性和密封性、阀门润滑性及其阀门开/关正确性； </w:t>
      </w:r>
    </w:p>
    <w:p>
      <w:pPr>
        <w:widowControl/>
        <w:ind w:firstLine="420" w:firstLineChars="200"/>
        <w:rPr>
          <w:rFonts w:hint="eastAsia" w:hAnsi="宋体"/>
          <w:sz w:val="21"/>
          <w:szCs w:val="21"/>
          <w:highlight w:val="none"/>
        </w:rPr>
      </w:pPr>
      <w:r>
        <w:rPr>
          <w:rFonts w:hint="eastAsia" w:hAnsi="宋体"/>
          <w:sz w:val="21"/>
          <w:szCs w:val="21"/>
          <w:highlight w:val="none"/>
        </w:rPr>
        <w:t>9.3检查污泥切割机、污泥泵运行情况；</w:t>
      </w:r>
    </w:p>
    <w:p>
      <w:pPr>
        <w:widowControl/>
        <w:ind w:firstLine="420" w:firstLineChars="200"/>
        <w:rPr>
          <w:rFonts w:hint="eastAsia" w:hAnsi="宋体"/>
          <w:sz w:val="21"/>
          <w:szCs w:val="21"/>
          <w:highlight w:val="none"/>
        </w:rPr>
      </w:pPr>
      <w:r>
        <w:rPr>
          <w:rFonts w:hint="eastAsia" w:hAnsi="宋体"/>
          <w:sz w:val="21"/>
          <w:szCs w:val="21"/>
          <w:highlight w:val="none"/>
        </w:rPr>
        <w:t>9.4检查离心脱水机、絮凝剂设备运行情况，离心脱水机运行结束后应进行冲洗，检查冲洗系统的运行情况；</w:t>
      </w:r>
    </w:p>
    <w:p>
      <w:pPr>
        <w:widowControl/>
        <w:ind w:firstLine="420" w:firstLineChars="200"/>
        <w:rPr>
          <w:rFonts w:hint="eastAsia" w:hAnsi="宋体"/>
          <w:sz w:val="21"/>
          <w:szCs w:val="21"/>
          <w:highlight w:val="none"/>
        </w:rPr>
      </w:pPr>
      <w:r>
        <w:rPr>
          <w:rFonts w:hint="eastAsia" w:hAnsi="宋体"/>
          <w:sz w:val="21"/>
          <w:szCs w:val="21"/>
          <w:highlight w:val="none"/>
        </w:rPr>
        <w:t>9.5定期清运储泥罐内的污泥，检查污泥输送设备运行情况。</w:t>
      </w:r>
    </w:p>
    <w:p>
      <w:pPr>
        <w:ind w:firstLine="420" w:firstLineChars="200"/>
        <w:rPr>
          <w:rFonts w:hint="eastAsia" w:hAnsi="宋体"/>
          <w:sz w:val="21"/>
          <w:szCs w:val="21"/>
          <w:highlight w:val="none"/>
        </w:rPr>
      </w:pPr>
      <w:r>
        <w:rPr>
          <w:rFonts w:hint="eastAsia" w:hAnsi="宋体"/>
          <w:sz w:val="21"/>
          <w:szCs w:val="21"/>
          <w:highlight w:val="none"/>
        </w:rPr>
        <w:t>（四）负责加药系统的药剂调配及添加，严格按照污水处理管理程序每天认真组织投放定量药物，负责在线监控设施的日常运行，包括设备的日常保养、维护、校准、检修、建立齐全的设备与技术档案。投标人应具有相应的技术人员，具备污水站运营服务能力，从事本项目运营管理人员日常作业时，应配置安全作业的工具和使用劳动保护产品。</w:t>
      </w:r>
    </w:p>
    <w:p>
      <w:pPr>
        <w:ind w:firstLine="420" w:firstLineChars="200"/>
        <w:rPr>
          <w:rFonts w:hint="eastAsia" w:hAnsi="宋体"/>
          <w:sz w:val="21"/>
          <w:szCs w:val="21"/>
          <w:highlight w:val="none"/>
        </w:rPr>
      </w:pPr>
      <w:r>
        <w:rPr>
          <w:rFonts w:hint="eastAsia" w:hAnsi="宋体"/>
          <w:sz w:val="21"/>
          <w:szCs w:val="21"/>
          <w:highlight w:val="none"/>
        </w:rPr>
        <w:t>（五）检查并记录污水处理系统的正常运行情况，设备工作情况及设备日常维护工作，负责处理设备、电气设备的维护管理、故障排查、清洁保养等工作。建立日常工作记录台账，将每日进行的一切工作活动记录在册，包括开泵、关泵、清渣、投加药剂、定期清理格栅、清洗在线监测仪探头、运营、维修、交接值班时间和工作内容等。</w:t>
      </w:r>
    </w:p>
    <w:p>
      <w:pPr>
        <w:ind w:firstLine="420" w:firstLineChars="200"/>
        <w:rPr>
          <w:rFonts w:hint="eastAsia" w:hAnsi="宋体"/>
          <w:sz w:val="21"/>
          <w:szCs w:val="21"/>
          <w:highlight w:val="none"/>
        </w:rPr>
      </w:pPr>
      <w:r>
        <w:rPr>
          <w:rFonts w:hint="eastAsia" w:hAnsi="宋体"/>
          <w:sz w:val="21"/>
          <w:szCs w:val="21"/>
          <w:highlight w:val="none"/>
        </w:rPr>
        <w:t>（六）中标人应建立日常工作记录台簿，将每日进行的一切工作活动记录在册，包括开泵、关泵、投加药剂、定期清理格栅、维修、交接班时间和工作内容等。污水处理站运行工作应认真积极、紧急问题紧急处理,如实认真填写工作运营记录及表格。每天对设备进行常规巡查，及时发现设备缺陷,作出预防性鉴定,提交相关记录和处理意见，确保设备安全运行。</w:t>
      </w:r>
    </w:p>
    <w:p>
      <w:pPr>
        <w:ind w:firstLine="420" w:firstLineChars="200"/>
        <w:rPr>
          <w:rFonts w:hint="eastAsia" w:hAnsi="宋体"/>
          <w:sz w:val="21"/>
          <w:szCs w:val="21"/>
          <w:highlight w:val="none"/>
        </w:rPr>
      </w:pPr>
      <w:r>
        <w:rPr>
          <w:rFonts w:hint="eastAsia" w:hAnsi="宋体"/>
          <w:sz w:val="21"/>
          <w:szCs w:val="21"/>
          <w:highlight w:val="none"/>
        </w:rPr>
        <w:t>★（七）中标人对采购人现有污水站设施运行进行管理和维护保养，保障设备的正常运行；维修材料、零配件单价2000元及以下项目由中标人负责，设施设备维修产生的所有费用包含在项目常规运营服务费用中；</w:t>
      </w:r>
      <w:bookmarkStart w:id="2" w:name="OLE_LINK1"/>
      <w:r>
        <w:rPr>
          <w:rFonts w:hint="eastAsia" w:hAnsi="宋体"/>
          <w:sz w:val="21"/>
          <w:szCs w:val="21"/>
          <w:highlight w:val="none"/>
        </w:rPr>
        <w:t>更换出来的故障零配件需要送返采购人仓库回收确认。</w:t>
      </w:r>
      <w:bookmarkEnd w:id="2"/>
    </w:p>
    <w:p>
      <w:pPr>
        <w:ind w:firstLine="420" w:firstLineChars="200"/>
        <w:rPr>
          <w:rFonts w:hint="eastAsia" w:hAnsi="宋体"/>
          <w:sz w:val="21"/>
          <w:szCs w:val="21"/>
          <w:highlight w:val="none"/>
        </w:rPr>
      </w:pPr>
      <w:r>
        <w:rPr>
          <w:rFonts w:hint="eastAsia" w:hAnsi="宋体"/>
          <w:sz w:val="21"/>
          <w:szCs w:val="21"/>
          <w:highlight w:val="none"/>
        </w:rPr>
        <w:t>1、中标人在运营过程中，如发现有污水处理设备的配件需要更换时，应第一时间以文字报告的形式向采购人进行汇报，由采购人完成相关核定和审批流程后，方可进行维修更换。</w:t>
      </w:r>
    </w:p>
    <w:p>
      <w:pPr>
        <w:ind w:firstLine="420" w:firstLineChars="200"/>
        <w:rPr>
          <w:rFonts w:hint="eastAsia" w:hAnsi="宋体"/>
          <w:sz w:val="21"/>
          <w:szCs w:val="21"/>
          <w:highlight w:val="none"/>
        </w:rPr>
      </w:pPr>
      <w:r>
        <w:rPr>
          <w:rFonts w:hint="eastAsia" w:hAnsi="宋体"/>
          <w:sz w:val="21"/>
          <w:szCs w:val="21"/>
          <w:highlight w:val="none"/>
        </w:rPr>
        <w:t>2、下表为2000元及以下必须包含的材料清单，保证材料来源正规、质量合格与现有设备匹配且不影响、损坏现有设施设备：</w:t>
      </w:r>
    </w:p>
    <w:tbl>
      <w:tblPr>
        <w:tblStyle w:val="24"/>
        <w:tblW w:w="0" w:type="auto"/>
        <w:jc w:val="center"/>
        <w:tblLayout w:type="fixed"/>
        <w:tblCellMar>
          <w:top w:w="15" w:type="dxa"/>
          <w:left w:w="15" w:type="dxa"/>
          <w:bottom w:w="15" w:type="dxa"/>
          <w:right w:w="15" w:type="dxa"/>
        </w:tblCellMar>
      </w:tblPr>
      <w:tblGrid>
        <w:gridCol w:w="1080"/>
        <w:gridCol w:w="2145"/>
        <w:gridCol w:w="1080"/>
        <w:gridCol w:w="2325"/>
        <w:gridCol w:w="2670"/>
      </w:tblGrid>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序号</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品名</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单位</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型号</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备注</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球阀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DN25，PVC-U</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止回阀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DN25，PVC-U</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活接球阀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DN50，PVC-U</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附壁式圆形阀门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直径D=400mm</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附壁式圆形阀门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直径D=500mm</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工艺设备、管线清单表（图号JS-WS-GY-03-04）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双法兰传力接头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DN200，SUS304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鼓风机房设计说明（图号JS-WS-GY-04-02）</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双法兰传力接头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DN200，SUS304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鼓风机房设计说明（图号JS-WS-GY-04-02）</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磁翻板液位计</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带触点信号输出和4-20mA信号输出</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强排风机</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全铝铸造防腐离心风机，Q≥204m³/h，风压≥1600Pa，N=0.4KW，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背压阀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0-0.4MPa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脉冲阻尼器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0.6L，0-06.MPa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酸洗泵</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CQF-30R，220V，P=40W，20L/min</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酸洗储罐</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食品级PE材料，V=120L</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次氯酸钠加药装置设备清单（图号JS-WS-GY-05-03）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手动阀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DN100，PN=2.0MPa，SUS304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污泥脱水工艺设计说明（图号JS-WS-GY-06-05）</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除臭污泥泵</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Q=15m³/h，扬程10m，功率0.75kw，铸铁</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排污泵</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Q=10m³/h，扬程15m，功率1.1kw，铸铁</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剩余污泥泵</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Q=10m³/h，扬程15m，功率1.1kw，铸铁</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管道混合器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DN100，压力1.0MPa，UPVC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管道混合器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DN125，压力1.0MPa，UPVC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管道混合器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DN200，压力1.0MPa，UPVC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可曲橡胶挠头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DN100，橡胶</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可曲橡胶挠头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DN125，橡胶</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可曲橡胶挠头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DN150，橡胶</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手动闸阀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DN100，SUS304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水泵间水泵设备清单（图号JS-WS-GY-07-03）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闸阀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DN100，SUS304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曝气材料清单（图号JS-WS-GY-08-04）</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轴流风机</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风量1300m³/h，风压140Pa，功率0.12KW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污水站通风除臭设备材料清单（图号JS-WS-TF-06）</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消声百叶</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1000*1000，铝合金</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污水站通风除臭设备材料清单（图号JS-WS-TF-06）</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屋顶轴流风机</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风量2900m³/h，风压190Pa，功率0.25kw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污水站通风除臭设备材料清单（图号JS-WS-TF-06）</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蝶阀</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DN100，SUS304，T：1.0mm</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污水站通风除臭设备材料清单（图号JS-WS-TF-06）</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单联开关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250V，10A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双联开关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250V，10A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照明灯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30W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日关灯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40W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应急灯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220V，延时＞180min</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插座</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250V，10A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等电位箱</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嵌入式</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主要设备材料表（图号WS-DQ-003）</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施耐德，IC65ND/3P40A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施耐德，IC65ND/3P16A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39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施耐德，IC65ND/3P20A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施耐德，IC65ND/3P63A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空气开关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施耐德，IC65ND/3P32A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断路器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施耐德，CVS250/3P160A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断路器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施耐德，CVS100/3P80A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断路器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施耐德，CVS100/3P25A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热继电器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施耐德，LRD16C，0.9-13A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热继电器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施耐德，LRD06C，1-1.6A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热继电器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施耐德，LRD10C，4-6A</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接触器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施耐德，LCD09M7C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49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接触器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施耐德，LCD12M7C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柜转换开关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柜停止按钮</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柜启动按钮</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柜指示灯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箱转换开关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箱停止按钮</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箱启动按钮</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箱指示灯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XB2</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控制中继</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RXM4LB2P7+RXZE1M4C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59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联动中继</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RXM2LB2DB+RXZE1M2C</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配电系统图</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污泥电磁流量计：衬里（聚四氟乙烯）</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材质：聚四氟乙烯（PTFE）</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衬里厚度：≥3.0mm</w:t>
            </w:r>
          </w:p>
          <w:p>
            <w:pPr>
              <w:widowControl/>
              <w:jc w:val="center"/>
              <w:textAlignment w:val="center"/>
              <w:rPr>
                <w:rFonts w:hint="eastAsia" w:hAnsi="宋体"/>
                <w:sz w:val="21"/>
                <w:szCs w:val="21"/>
                <w:highlight w:val="none"/>
              </w:rPr>
            </w:pPr>
            <w:r>
              <w:rPr>
                <w:rFonts w:hint="eastAsia" w:hAnsi="宋体"/>
                <w:sz w:val="21"/>
                <w:szCs w:val="21"/>
                <w:highlight w:val="none"/>
                <w:lang w:bidi="ar"/>
              </w:rPr>
              <w:t>适用于医药废水、强酸强碱介质（pH 0~14）</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药液电磁流量计：衬里材料（PFA）</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材质：PFA（全氟烷氧基树脂）</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厚度：≥2.0mm</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耐温范围：-40℃~+200℃</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耐强酸/强碱介质（pH 0~14）</w:t>
            </w:r>
          </w:p>
          <w:p>
            <w:pPr>
              <w:widowControl/>
              <w:jc w:val="center"/>
              <w:textAlignment w:val="center"/>
              <w:rPr>
                <w:rFonts w:hint="eastAsia" w:hAnsi="宋体"/>
                <w:sz w:val="21"/>
                <w:szCs w:val="21"/>
                <w:highlight w:val="none"/>
              </w:rPr>
            </w:pPr>
            <w:r>
              <w:rPr>
                <w:rFonts w:hint="eastAsia" w:hAnsi="宋体"/>
                <w:sz w:val="21"/>
                <w:szCs w:val="21"/>
                <w:highlight w:val="none"/>
                <w:lang w:bidi="ar"/>
              </w:rPr>
              <w:t>与DN15管径完全匹配，无缝内衬工艺</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电动葫芦：主起升电机</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ZD131-4-3KW</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电动葫芦：吊钩组</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2T旋转吊钩</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次氯酸钠电解发生器：钛电极连接线缆</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条</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耐腐蚀屏蔽电缆，截面积≥16mm²</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在线氢气报警仪：防爆外壳</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不锈钢，IP65防护</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离子除臭装置：传感器模块（温湿度/气体）</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与风机适配规格</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离子正压新风装置：高压电源模块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输入电压：AC 220V ±10%</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输出电压：DC 8-12kV（可调，匹配离子管电离需求）</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输出频率：1.5-2.5kHz</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功率范围：0.15-0.18kW</w:t>
            </w:r>
          </w:p>
          <w:p>
            <w:pPr>
              <w:widowControl/>
              <w:jc w:val="center"/>
              <w:textAlignment w:val="center"/>
              <w:rPr>
                <w:rFonts w:hint="eastAsia" w:hAnsi="宋体"/>
                <w:sz w:val="21"/>
                <w:szCs w:val="21"/>
                <w:highlight w:val="none"/>
              </w:rPr>
            </w:pPr>
            <w:r>
              <w:rPr>
                <w:rFonts w:hint="eastAsia" w:hAnsi="宋体"/>
                <w:sz w:val="21"/>
                <w:szCs w:val="21"/>
                <w:highlight w:val="none"/>
                <w:lang w:bidi="ar"/>
              </w:rPr>
              <w:t>保护功能：短路/过载/过温自动切断（符合医疗设备安全标准）</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回转式格栅：减速机轴承</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耐高温油脂润滑型</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69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分体式热效应空气流量计：信号转换模块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4-20mA输出</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70</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分体式热效应空气流量计：信号转换模块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4-20mA输出</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71</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氨氮在线检测仪：电磁阀组</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套</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耐腐蚀型（PTFE材质）</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72</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余氯检测仪：余氯传感器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电极法/DPD法，0-30mg/L</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73</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潜水搅拌机1：不锈钢导流罩</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材质：SUS304不锈钢（与搅拌机主体一致）</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内径：700mm（覆盖620mm叶轮，预留80mm流道空间）</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厚度：≥3.0mm</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内壁镜面抛光（Ra≤0.8μm）</w:t>
            </w:r>
          </w:p>
          <w:p>
            <w:pPr>
              <w:widowControl/>
              <w:jc w:val="center"/>
              <w:textAlignment w:val="center"/>
              <w:rPr>
                <w:rFonts w:hint="eastAsia" w:hAnsi="宋体"/>
                <w:sz w:val="21"/>
                <w:szCs w:val="21"/>
                <w:highlight w:val="none"/>
              </w:rPr>
            </w:pPr>
            <w:r>
              <w:rPr>
                <w:rFonts w:hint="eastAsia" w:hAnsi="宋体"/>
                <w:sz w:val="21"/>
                <w:szCs w:val="21"/>
                <w:highlight w:val="none"/>
                <w:lang w:bidi="ar"/>
              </w:rPr>
              <w:t>锥形扩口结构，轴向流占比≥85%，卡扣式法兰连接</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74</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潜水搅拌机2：不锈钢导流罩</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材质：SUS304不锈钢（与搅拌机主体一致）</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内径：700mm（覆盖620mm叶轮，预留80mm流道空间）</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厚度：≥3.0mm</w:t>
            </w:r>
          </w:p>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内壁镜面抛光（Ra≤0.8μm）</w:t>
            </w:r>
          </w:p>
          <w:p>
            <w:pPr>
              <w:widowControl/>
              <w:jc w:val="center"/>
              <w:textAlignment w:val="center"/>
              <w:rPr>
                <w:rFonts w:hint="eastAsia" w:hAnsi="宋体"/>
                <w:sz w:val="21"/>
                <w:szCs w:val="21"/>
                <w:highlight w:val="none"/>
              </w:rPr>
            </w:pPr>
            <w:r>
              <w:rPr>
                <w:rFonts w:hint="eastAsia" w:hAnsi="宋体"/>
                <w:sz w:val="21"/>
                <w:szCs w:val="21"/>
                <w:highlight w:val="none"/>
                <w:lang w:bidi="ar"/>
              </w:rPr>
              <w:t>锥形扩口结构，轴向流占比≥85%，卡扣式法兰连接</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75</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PLC 集成控制柜：电源模块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西门子SITOP</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76</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监控系统：高清防水摄像头</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200万像素/IP68/红外夜视</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77</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中控电脑：防眩光显示器</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台</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21.5英寸/工业宽温屏</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78</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中控电脑：PLC输入输出模块</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个</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适配西门子S7系列</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r>
        <w:tblPrEx>
          <w:tblCellMar>
            <w:top w:w="15" w:type="dxa"/>
            <w:left w:w="15" w:type="dxa"/>
            <w:bottom w:w="15" w:type="dxa"/>
            <w:right w:w="15" w:type="dxa"/>
          </w:tblCellMar>
        </w:tblPrEx>
        <w:trPr>
          <w:trHeight w:val="495" w:hRule="atLeas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79</w:t>
            </w:r>
          </w:p>
        </w:tc>
        <w:tc>
          <w:tcPr>
            <w:tcW w:w="21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中控电脑：UPS蓄电池组</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组</w:t>
            </w:r>
          </w:p>
        </w:tc>
        <w:tc>
          <w:tcPr>
            <w:tcW w:w="23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lang w:bidi="ar"/>
              </w:rPr>
            </w:pPr>
            <w:r>
              <w:rPr>
                <w:rFonts w:hint="eastAsia" w:hAnsi="宋体"/>
                <w:sz w:val="21"/>
                <w:szCs w:val="21"/>
                <w:highlight w:val="none"/>
                <w:lang w:bidi="ar"/>
              </w:rPr>
              <w:t>12V/100Ah</w:t>
            </w:r>
          </w:p>
        </w:tc>
        <w:tc>
          <w:tcPr>
            <w:tcW w:w="26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hAnsi="宋体"/>
                <w:sz w:val="21"/>
                <w:szCs w:val="21"/>
                <w:highlight w:val="none"/>
              </w:rPr>
            </w:pPr>
            <w:r>
              <w:rPr>
                <w:rFonts w:hint="eastAsia" w:hAnsi="宋体"/>
                <w:sz w:val="21"/>
                <w:szCs w:val="21"/>
                <w:highlight w:val="none"/>
              </w:rPr>
              <w:t>/</w:t>
            </w:r>
          </w:p>
        </w:tc>
      </w:tr>
    </w:tbl>
    <w:p>
      <w:pPr>
        <w:ind w:firstLine="420" w:firstLineChars="200"/>
        <w:rPr>
          <w:rFonts w:hint="eastAsia" w:hAnsi="宋体"/>
          <w:sz w:val="21"/>
          <w:szCs w:val="21"/>
          <w:highlight w:val="none"/>
        </w:rPr>
      </w:pPr>
      <w:r>
        <w:rPr>
          <w:rFonts w:hint="eastAsia" w:hAnsi="宋体"/>
          <w:sz w:val="21"/>
          <w:szCs w:val="21"/>
          <w:highlight w:val="none"/>
        </w:rPr>
        <w:t>★（八）大修和涉及大型设备更换或</w:t>
      </w:r>
      <w:bookmarkStart w:id="3" w:name="OLE_LINK10"/>
      <w:r>
        <w:rPr>
          <w:rFonts w:hint="eastAsia" w:hAnsi="宋体"/>
          <w:sz w:val="21"/>
          <w:szCs w:val="21"/>
          <w:highlight w:val="none"/>
        </w:rPr>
        <w:t>维修材料、零配件</w:t>
      </w:r>
      <w:bookmarkEnd w:id="3"/>
      <w:r>
        <w:rPr>
          <w:rFonts w:hint="eastAsia" w:hAnsi="宋体"/>
          <w:sz w:val="21"/>
          <w:szCs w:val="21"/>
          <w:highlight w:val="none"/>
        </w:rPr>
        <w:t>单价超过2000元项目：</w:t>
      </w:r>
    </w:p>
    <w:p>
      <w:pPr>
        <w:ind w:firstLine="420" w:firstLineChars="200"/>
        <w:rPr>
          <w:rFonts w:hint="eastAsia" w:hAnsi="宋体"/>
          <w:sz w:val="21"/>
          <w:szCs w:val="21"/>
          <w:highlight w:val="none"/>
        </w:rPr>
      </w:pPr>
      <w:r>
        <w:rPr>
          <w:rFonts w:hint="eastAsia" w:hAnsi="宋体"/>
          <w:sz w:val="21"/>
          <w:szCs w:val="21"/>
          <w:highlight w:val="none"/>
        </w:rPr>
        <w:t>1、</w:t>
      </w:r>
      <w:bookmarkStart w:id="4" w:name="OLE_LINK12"/>
      <w:r>
        <w:rPr>
          <w:rFonts w:hint="eastAsia" w:hAnsi="宋体"/>
          <w:sz w:val="21"/>
          <w:szCs w:val="21"/>
          <w:highlight w:val="none"/>
        </w:rPr>
        <w:t>如需更换的维修材料、零配件</w:t>
      </w:r>
      <w:bookmarkEnd w:id="4"/>
      <w:r>
        <w:rPr>
          <w:rFonts w:hint="eastAsia" w:hAnsi="宋体"/>
          <w:sz w:val="21"/>
          <w:szCs w:val="21"/>
          <w:highlight w:val="none"/>
        </w:rPr>
        <w:t>不在</w:t>
      </w:r>
      <w:bookmarkStart w:id="5" w:name="OLE_LINK13"/>
      <w:r>
        <w:rPr>
          <w:rFonts w:hint="eastAsia" w:hAnsi="宋体"/>
          <w:sz w:val="21"/>
          <w:szCs w:val="21"/>
          <w:highlight w:val="none"/>
        </w:rPr>
        <w:t>下文“2000元以上的</w:t>
      </w:r>
      <w:bookmarkStart w:id="6" w:name="OLE_LINK9"/>
      <w:r>
        <w:rPr>
          <w:rFonts w:hint="eastAsia" w:hAnsi="宋体"/>
          <w:sz w:val="21"/>
          <w:szCs w:val="21"/>
          <w:highlight w:val="none"/>
        </w:rPr>
        <w:t>维修材料、零配件</w:t>
      </w:r>
      <w:bookmarkEnd w:id="6"/>
      <w:r>
        <w:rPr>
          <w:rFonts w:hint="eastAsia" w:hAnsi="宋体"/>
          <w:sz w:val="21"/>
          <w:szCs w:val="21"/>
          <w:highlight w:val="none"/>
        </w:rPr>
        <w:t>清单”内，</w:t>
      </w:r>
      <w:bookmarkEnd w:id="5"/>
      <w:bookmarkStart w:id="7" w:name="OLE_LINK14"/>
      <w:r>
        <w:rPr>
          <w:rFonts w:hint="eastAsia" w:hAnsi="宋体"/>
          <w:sz w:val="21"/>
          <w:szCs w:val="21"/>
          <w:highlight w:val="none"/>
        </w:rPr>
        <w:t>则</w:t>
      </w:r>
      <w:bookmarkEnd w:id="7"/>
      <w:r>
        <w:rPr>
          <w:rFonts w:hint="eastAsia" w:hAnsi="宋体"/>
          <w:sz w:val="21"/>
          <w:szCs w:val="21"/>
          <w:highlight w:val="none"/>
        </w:rPr>
        <w:t>由中标人提供项目所需维修材料、零配件的规格参数、型号、价格明细清单，送与采购人委托的第三方工程造价咨询公司审核（工程造价咨询公司审核依据为：《广东省通用安装工程综合定额（2018）》，材料采用同期广州市信息价和市场询价）</w:t>
      </w:r>
      <w:bookmarkStart w:id="8" w:name="OLE_LINK5"/>
      <w:r>
        <w:rPr>
          <w:rFonts w:hint="eastAsia" w:hAnsi="宋体"/>
          <w:sz w:val="21"/>
          <w:szCs w:val="21"/>
          <w:highlight w:val="none"/>
        </w:rPr>
        <w:t>。设备设施维修或更换完成后，中标人须附医院立项批复及验收报告等相关资料，交第三方工程造价咨询公司进行审核结算，费用从</w:t>
      </w:r>
      <w:r>
        <w:rPr>
          <w:rFonts w:hint="eastAsia" w:hAnsi="宋体"/>
          <w:kern w:val="2"/>
          <w:sz w:val="21"/>
          <w:szCs w:val="21"/>
          <w:highlight w:val="none"/>
        </w:rPr>
        <w:t>2000元以上的维修材料、零配件费预算</w:t>
      </w:r>
      <w:r>
        <w:rPr>
          <w:rFonts w:hint="eastAsia" w:hAnsi="宋体"/>
          <w:sz w:val="21"/>
          <w:szCs w:val="21"/>
          <w:highlight w:val="none"/>
        </w:rPr>
        <w:t>中支付，</w:t>
      </w:r>
      <w:bookmarkEnd w:id="8"/>
      <w:r>
        <w:rPr>
          <w:rFonts w:hint="eastAsia" w:hAnsi="宋体"/>
          <w:sz w:val="21"/>
          <w:szCs w:val="21"/>
          <w:highlight w:val="none"/>
        </w:rPr>
        <w:t>中标人免费提供技术支持及维修人力；如果</w:t>
      </w:r>
      <w:bookmarkStart w:id="9" w:name="OLE_LINK2"/>
      <w:r>
        <w:rPr>
          <w:rFonts w:hint="eastAsia" w:hAnsi="宋体"/>
          <w:sz w:val="21"/>
          <w:szCs w:val="21"/>
          <w:highlight w:val="none"/>
        </w:rPr>
        <w:t>第三方工程造价咨询公司</w:t>
      </w:r>
      <w:bookmarkEnd w:id="9"/>
      <w:r>
        <w:rPr>
          <w:rFonts w:hint="eastAsia" w:hAnsi="宋体"/>
          <w:sz w:val="21"/>
          <w:szCs w:val="21"/>
          <w:highlight w:val="none"/>
        </w:rPr>
        <w:t>审核报价低于人民币2000元（含人民币2000元）的，该费用包含在常规运营服务费中，不进行另外支付。更换出来的故障零配件需要送返采购人仓库回收确认，否则不支付相应的零配件费用。若因中标人人为损坏或保养不当导致的设备损坏，其更换费用及因此产生的损失、责任由中标人承担。</w:t>
      </w:r>
    </w:p>
    <w:p>
      <w:pPr>
        <w:ind w:firstLine="420" w:firstLineChars="200"/>
        <w:rPr>
          <w:rFonts w:hint="eastAsia" w:hAnsi="宋体"/>
          <w:sz w:val="21"/>
          <w:szCs w:val="21"/>
          <w:highlight w:val="none"/>
        </w:rPr>
      </w:pPr>
      <w:r>
        <w:rPr>
          <w:rFonts w:hint="eastAsia" w:hAnsi="宋体"/>
          <w:sz w:val="21"/>
          <w:szCs w:val="21"/>
          <w:highlight w:val="none"/>
        </w:rPr>
        <w:t>2、如需更换的维修材料、零配件在下文“2000元以上的维修材料、零配件清单”内，则按照下表设备</w:t>
      </w:r>
      <w:bookmarkStart w:id="10" w:name="OLE_LINK15"/>
      <w:r>
        <w:rPr>
          <w:rFonts w:hint="eastAsia" w:hAnsi="宋体"/>
          <w:sz w:val="21"/>
          <w:szCs w:val="21"/>
          <w:highlight w:val="none"/>
        </w:rPr>
        <w:t>单价最高限价乘以1-中标优惠率据实结算</w:t>
      </w:r>
      <w:bookmarkEnd w:id="10"/>
      <w:r>
        <w:rPr>
          <w:rFonts w:hint="eastAsia" w:hAnsi="宋体"/>
          <w:sz w:val="21"/>
          <w:szCs w:val="21"/>
          <w:highlight w:val="none"/>
        </w:rPr>
        <w:t>（注：1：本项目下文所列“2000元以上的维修材料、零配件清单”项目清单已经采购人第三方工程造价咨询公司审核，投标人对需根据清单所列项目最高限价为基准价进行优惠率报价，如项目实施过程中需要更换清单中包含的维修材料、零配件，即直接按单价最高限价乘以1-优惠率据实结算：2、投标人需保证材料来源正规、质量合格与现有设备匹配且不影响、损坏现有设施设备）：</w:t>
      </w:r>
    </w:p>
    <w:tbl>
      <w:tblPr>
        <w:tblStyle w:val="24"/>
        <w:tblW w:w="96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354"/>
        <w:gridCol w:w="1425"/>
        <w:gridCol w:w="1980"/>
        <w:gridCol w:w="2370"/>
        <w:gridCol w:w="890"/>
        <w:gridCol w:w="1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39" w:hRule="atLeast"/>
          <w:jc w:val="center"/>
        </w:trPr>
        <w:tc>
          <w:tcPr>
            <w:tcW w:w="9694" w:type="dxa"/>
            <w:gridSpan w:val="6"/>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kern w:val="2"/>
                <w:sz w:val="21"/>
                <w:szCs w:val="21"/>
                <w:highlight w:val="none"/>
              </w:rPr>
              <w:t>2000元以上的维修材料、零配件清单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hAnsi="宋体"/>
                <w:b/>
                <w:bCs/>
                <w:kern w:val="2"/>
                <w:sz w:val="21"/>
                <w:szCs w:val="21"/>
                <w:highlight w:val="none"/>
              </w:rPr>
            </w:pPr>
            <w:r>
              <w:rPr>
                <w:rFonts w:hint="eastAsia" w:hAnsi="宋体"/>
                <w:b/>
                <w:bCs/>
                <w:sz w:val="21"/>
                <w:szCs w:val="21"/>
                <w:highlight w:val="none"/>
                <w:lang w:bidi="ar"/>
              </w:rPr>
              <w:t>一、鼓风机房设备及零部件清单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单价最高限价（人民币/元）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生化池鼓风机</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轴承（含电机轴承、转子）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双列角接触球轴承</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联轴器弹性体</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聚氨酯材质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密封件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氟橡胶材质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电机主轴</w:t>
            </w:r>
          </w:p>
        </w:tc>
        <w:tc>
          <w:tcPr>
            <w:tcW w:w="2370" w:type="dxa"/>
            <w:tcBorders>
              <w:tl2br w:val="nil"/>
              <w:tr2bl w:val="nil"/>
            </w:tcBorders>
            <w:shd w:val="clear" w:color="auto" w:fill="FFFFFF"/>
            <w:vAlign w:val="center"/>
          </w:tcPr>
          <w:p>
            <w:pPr>
              <w:widowControl/>
              <w:autoSpaceDE/>
              <w:autoSpaceDN/>
              <w:adjustRightInd/>
              <w:jc w:val="center"/>
              <w:textAlignment w:val="center"/>
              <w:rPr>
                <w:highlight w:val="none"/>
              </w:rPr>
            </w:pPr>
            <w:r>
              <w:rPr>
                <w:rFonts w:hint="eastAsia"/>
                <w:highlight w:val="none"/>
              </w:rPr>
              <w:t>材质：42CrMo合金钢（调质处理，抗疲劳强度≥800MPa），表面高频淬火，硬度HRC50-55，耐磨层深≥2mm</w:t>
            </w:r>
          </w:p>
          <w:p>
            <w:pPr>
              <w:widowControl/>
              <w:autoSpaceDE/>
              <w:autoSpaceDN/>
              <w:adjustRightInd/>
              <w:jc w:val="center"/>
              <w:textAlignment w:val="center"/>
              <w:rPr>
                <w:highlight w:val="none"/>
              </w:rPr>
            </w:pPr>
            <w:r>
              <w:rPr>
                <w:rFonts w:hint="eastAsia"/>
                <w:highlight w:val="none"/>
              </w:rPr>
              <w:t>同轴度误差：≤0.01mm</w:t>
            </w:r>
          </w:p>
          <w:p>
            <w:pPr>
              <w:widowControl/>
              <w:autoSpaceDE/>
              <w:autoSpaceDN/>
              <w:adjustRightInd/>
              <w:jc w:val="center"/>
              <w:textAlignment w:val="center"/>
              <w:rPr>
                <w:highlight w:val="none"/>
              </w:rPr>
            </w:pPr>
            <w:r>
              <w:rPr>
                <w:rFonts w:hint="eastAsia"/>
                <w:highlight w:val="none"/>
              </w:rPr>
              <w:t>动平衡等级：G2.5级（转速3000rpm时振动值≤2.8mm/s）</w:t>
            </w:r>
          </w:p>
          <w:p>
            <w:pPr>
              <w:widowControl/>
              <w:autoSpaceDE/>
              <w:autoSpaceDN/>
              <w:adjustRightInd/>
              <w:jc w:val="center"/>
              <w:textAlignment w:val="center"/>
              <w:rPr>
                <w:rFonts w:hint="eastAsia" w:hAnsi="宋体"/>
                <w:kern w:val="2"/>
                <w:sz w:val="21"/>
                <w:szCs w:val="21"/>
                <w:highlight w:val="none"/>
              </w:rPr>
            </w:pPr>
            <w:r>
              <w:rPr>
                <w:rFonts w:hint="eastAsia"/>
                <w:highlight w:val="none"/>
              </w:rPr>
              <w:t>轴径：Ø80±0.02mm（与转子过盈配合≤0.01mm）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5807.405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联轴器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适配55kW电机及螺杆主机</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冷却器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适配55kW散热需求</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10260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传感器</w:t>
            </w:r>
            <w:r>
              <w:rPr>
                <w:rFonts w:hint="eastAsia" w:hAnsi="宋体"/>
                <w:sz w:val="21"/>
                <w:szCs w:val="21"/>
                <w:highlight w:val="none"/>
                <w:lang w:bidi="ar"/>
              </w:rPr>
              <w:br w:type="textWrapping"/>
            </w:r>
            <w:r>
              <w:rPr>
                <w:rFonts w:hint="eastAsia" w:hAnsi="宋体"/>
                <w:sz w:val="21"/>
                <w:szCs w:val="21"/>
                <w:highlight w:val="none"/>
                <w:lang w:bidi="ar"/>
              </w:rPr>
              <w:t>（压力/温度传感器）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压力传感器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①量程：0~100kPa</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②精度：±0.5%FS</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③输出：4-20mA+HART协议</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温度传感器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①类型：PT100铂电阻</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②耐温：-20℃~+150℃</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③防护：IP67不锈钢壳体</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条</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消音器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降噪至≤85dB(A)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9</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电动蝶阀（进气）</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DN200，SUS304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4499.9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10</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变频器控制系统</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PLC+触摸屏，支持远程监控，IGBT功率模块，适配55KW螺杆鼓风机</w:t>
            </w:r>
          </w:p>
        </w:tc>
        <w:tc>
          <w:tcPr>
            <w:tcW w:w="89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MBR膜吹扫风机</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轴承（含电机轴承、转子）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双列角接触球轴承</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联轴器弹性体</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聚氨酯材质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密封件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氟橡胶材质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电机主轴</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材质：42CrMo合金钢（调质处理，抗疲劳强度≥800MPa），表面高频淬火，硬度HRC50-55，耐磨层深≥2mm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同轴度误差：≤0.01mm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动平衡等级：G2.5级（转速3000rpm时振动值≤2.8mm/s）</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轴径：Ø100±0.02mm（与转子过盈配合≤0.01mm）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10262.26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15</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联轴器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适配90kW电机及螺杆主机</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16</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冷却器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适配90kW散热需求</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15260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传感器</w:t>
            </w:r>
            <w:r>
              <w:rPr>
                <w:rFonts w:hint="eastAsia" w:hAnsi="宋体"/>
                <w:sz w:val="21"/>
                <w:szCs w:val="21"/>
                <w:highlight w:val="none"/>
                <w:lang w:bidi="ar"/>
              </w:rPr>
              <w:br w:type="textWrapping"/>
            </w:r>
            <w:r>
              <w:rPr>
                <w:rFonts w:hint="eastAsia" w:hAnsi="宋体"/>
                <w:sz w:val="21"/>
                <w:szCs w:val="21"/>
                <w:highlight w:val="none"/>
                <w:lang w:bidi="ar"/>
              </w:rPr>
              <w:t>（压力/温度传感器）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压力传感器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①量程：0~100kPa</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②精度：±0.5%FS</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③输出：4-20mA+HART协议</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温度传感器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①类型：PT100铂电阻</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②耐温：-20℃~+150℃</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③防护：IP67不锈钢壳体</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条</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18</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消音器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降噪至≤85dB(A)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19</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电动蝶阀（进气）</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DN300，SUS304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6448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20</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变频器控制系统</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PLC+触摸屏，支持远程监控，IGBT功率模块，适配90KW螺杆鼓风机</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hAnsi="宋体"/>
                <w:b/>
                <w:bCs/>
                <w:kern w:val="2"/>
                <w:sz w:val="21"/>
                <w:szCs w:val="21"/>
                <w:highlight w:val="none"/>
              </w:rPr>
            </w:pPr>
            <w:r>
              <w:rPr>
                <w:rFonts w:hint="eastAsia" w:hAnsi="宋体"/>
                <w:b/>
                <w:bCs/>
                <w:sz w:val="21"/>
                <w:szCs w:val="21"/>
                <w:highlight w:val="none"/>
                <w:lang w:bidi="ar"/>
              </w:rPr>
              <w:t>二、污泥脱水设备及零部件清单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w:t>
            </w:r>
          </w:p>
        </w:tc>
        <w:tc>
          <w:tcPr>
            <w:tcW w:w="1425" w:type="dxa"/>
            <w:vMerge w:val="restart"/>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r>
              <w:rPr>
                <w:rFonts w:hint="eastAsia" w:hAnsi="宋体"/>
                <w:sz w:val="21"/>
                <w:szCs w:val="21"/>
                <w:highlight w:val="none"/>
                <w:lang w:bidi="ar"/>
              </w:rPr>
              <w:t>污泥电磁流量计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励磁线圈总成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工作频率：1MHz</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线圈结构：双绕组冗余设计</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绝缘等级：H级（耐温180℃）</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防护标准：IP68</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适配管径：DN80~DN300（兼容DN100需求）</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抗干扰能力：三重电磁屏蔽</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温度适应性：-25℃~+70℃</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信号转换器电路板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输入信号：接收电极毫伏级信号（适配含固率≤10%的污泥）</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输出信号：</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①4~20mA模拟量（负载电阻≤750Ω）</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②RS485通讯（支持Modbus协议，接入DCS系统）</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③脉冲/频率输出</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显示界面：中英文双行LCD背光屏（瞬时流量、累计流量、流速实时显示）</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精度等级：±0.5%</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防护等级：IP65</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工作温度：-25℃~+60℃</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抗干扰能力：三重电磁屏蔽</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电源适配：220V AC或24V DC</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自诊断功能：电极污染报警、空管检测</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参数配置：支持按键编程或HART协议远程调试</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超声波料位计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0~1,5m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4770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w:t>
            </w:r>
          </w:p>
        </w:tc>
        <w:tc>
          <w:tcPr>
            <w:tcW w:w="1425" w:type="dxa"/>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r>
              <w:rPr>
                <w:rFonts w:hint="eastAsia" w:hAnsi="宋体"/>
                <w:sz w:val="21"/>
                <w:szCs w:val="21"/>
                <w:highlight w:val="none"/>
                <w:lang w:bidi="ar"/>
              </w:rPr>
              <w:t>药液电磁流量计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信号转换器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输入信号：毫伏级电极信号（支持低至0.1m/s流速）</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输出信号：</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4~20mA模拟量（负载电阻≤750Ω）</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RS485通讯（支持Modbus协议）</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显示界面：双行LCD背光屏（中英文切换，实时显示瞬时/累计流量）</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自诊断功能：空管报警、电极污染监测</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抗干扰设计：三重电磁屏蔽</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防护等级：IP65</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电源适配：24V DC（安全电压）或220V AC</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污泥池潜水搅拌机</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主机（含电机叶轮）</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电机功率：2.2kW</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材质：SUS304不锈钢</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密封系统：双机械密封</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防护等级：IP68</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绝缘等级：F级（耐温155℃，支持24小时连续运行）</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电缆防护：加强型橡胶密封套</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导轨系统</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长度8.5m（含中间支撑架，抗振动设计）</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叶轮（304不锈钢）</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叶轮直径：350mm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叶轮结构：后掠式三叶设计</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材质：SUS304不锈钢</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氨气在线检测仪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电化学传感器模组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零点漂移：≤±1%F.S/年（长期稳定性）</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抗干扰设计：三重电磁屏蔽</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防冷凝设计：湿度适应0~95%RH（非凝露）</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过滤膜可更换：防止污泥颗粒堵塞</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9</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显示屏幕模组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显示类型：LCD背光屏（中英文双语切换）</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实时数据：瞬时值、最大值、TWA/STEL统计</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报警指示：声光+振动三级警报（阈值可编程）</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防护等级：IP65</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可视角度：≥170°，强光下清晰辨识</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10</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硫化氢在线检测仪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电化学传感器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检测原理：电化学原理</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响应时间：T90 ≤ 20秒</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工作寿命：≥24个月（正常工况）</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温度补偿：支持-40℃~+70℃宽温域自适应</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防护设计：防尘过滤膜</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11</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气泵模块</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采样方式：内置泵吸式（流量500mL/min）</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采样距离：≥10米</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耐压范围：-0.5~2公斤</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过滤系统：配备湿度粉尘过滤器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12</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主控电路板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处理核心：32位ARM芯片</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数据存储：10万条记录（支持实时/定时存储）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通信接口：USB + RS232</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自诊断功能：电极污染报警、空管检测、传感器寿命提醒</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电源管理：过充/过放/短路保护（3.6V锂电池，续航≥50小时）</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13</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反冲洗水泵</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Q=10m³h,H=40m,N=5.5KW，SUS304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14</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电动球阀</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规格：DN100，SUS304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3341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15</w:t>
            </w:r>
          </w:p>
        </w:tc>
        <w:tc>
          <w:tcPr>
            <w:tcW w:w="1425" w:type="dxa"/>
            <w:vMerge w:val="restart"/>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r>
              <w:rPr>
                <w:rFonts w:hint="eastAsia" w:hAnsi="宋体"/>
                <w:sz w:val="21"/>
                <w:szCs w:val="21"/>
                <w:highlight w:val="none"/>
                <w:lang w:bidi="ar"/>
              </w:rPr>
              <w:t>电动葫芦</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制动器总成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电磁制动器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2646.8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16</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行走轮组</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合金钢轮（带轴承）</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3650.58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hAnsi="宋体"/>
                <w:b/>
                <w:bCs/>
                <w:kern w:val="2"/>
                <w:sz w:val="21"/>
                <w:szCs w:val="21"/>
                <w:highlight w:val="none"/>
              </w:rPr>
            </w:pPr>
            <w:r>
              <w:rPr>
                <w:rFonts w:hint="eastAsia" w:hAnsi="宋体"/>
                <w:b/>
                <w:bCs/>
                <w:sz w:val="21"/>
                <w:szCs w:val="21"/>
                <w:highlight w:val="none"/>
                <w:lang w:bidi="ar"/>
              </w:rPr>
              <w:t>三、水泵间设备及零部件清单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污泥提升泵</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控制柜PLC模块</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西门子S7-1200基础型</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MBR膜产水泵</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铸铁</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3715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泵壳衬板</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高铬铸铁</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联轴器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金属</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MBR清洗泵</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铸铁，直径200mm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污泥回流泵</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铸铁，直径200mm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尾水排放泵</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机械密封总成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碳化钨双端面密封</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铸铁/高铬合金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9</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主轴承</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圆柱滚子轴承（NSK/SKF）</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9980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10</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泵轴总成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45#钢镀铬</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根</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9500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11</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联轴器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弹性柱销式联轴器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12</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电机绕组</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铜线F级绝缘</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13835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r>
              <w:rPr>
                <w:rFonts w:hint="eastAsia" w:hAnsi="宋体"/>
                <w:kern w:val="2"/>
                <w:sz w:val="21"/>
                <w:szCs w:val="21"/>
                <w:highlight w:val="none"/>
              </w:rPr>
              <w:t>13</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产水电磁流量计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Q=0~300m³/h管径DN200 PNO.6MPa，衬塑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 xml:space="preserve">18191.33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14</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尾水电磁流量计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Q=0~200m³/h管径DN250 PN0.6MPa，衬塑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 xml:space="preserve">22585.33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15</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除臭污泥电磁流量计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Q=0~30m3h，管径DN100 PNO.6MPa，衬塑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12084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16</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污泥回流电磁流量计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Q=0~30m3h，管径DN100 PNO.6MPa，衬塑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12084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17</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进水电磁流量计</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Q=0~170m³/h管径DN150 PNO.6MPaa，衬塑</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16084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hAnsi="宋体"/>
                <w:b/>
                <w:bCs/>
                <w:kern w:val="2"/>
                <w:sz w:val="21"/>
                <w:szCs w:val="21"/>
                <w:highlight w:val="none"/>
              </w:rPr>
            </w:pPr>
            <w:r>
              <w:rPr>
                <w:rFonts w:hint="eastAsia" w:hAnsi="宋体"/>
                <w:b/>
                <w:bCs/>
                <w:sz w:val="21"/>
                <w:szCs w:val="21"/>
                <w:highlight w:val="none"/>
                <w:lang w:bidi="ar"/>
              </w:rPr>
              <w:t>四、次氯酸钠加药装置设备及零部件清单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w:t>
            </w:r>
          </w:p>
        </w:tc>
        <w:tc>
          <w:tcPr>
            <w:tcW w:w="1425" w:type="dxa"/>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r>
              <w:rPr>
                <w:rFonts w:hint="eastAsia" w:hAnsi="宋体"/>
                <w:sz w:val="21"/>
                <w:szCs w:val="21"/>
                <w:highlight w:val="none"/>
                <w:lang w:bidi="ar"/>
              </w:rPr>
              <w:t>次氯酸钠电解发生器</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计量泵</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耐次氯酸钠腐蚀，流量150L/h</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1020"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次氯酸钠成品加药装置</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计量泵</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防腐型隔膜计量泵，380V,N=0.75KW,Q=500L/hr,压力：0.5MPa,调整率：10~100%。</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在线氢气报警仪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控制器主板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ARM芯片，RS485通讯</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软水装置</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自动控制阀</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多路阀/全自动控制</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溶盐装置</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自动搅拌器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功率≥3kW，耐腐蚀材质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加盐计量泵</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Q=300L/h, P=0.6MPa, N=0.25KW</w:t>
            </w:r>
          </w:p>
        </w:tc>
        <w:tc>
          <w:tcPr>
            <w:tcW w:w="89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hAnsi="宋体"/>
                <w:b/>
                <w:bCs/>
                <w:kern w:val="2"/>
                <w:sz w:val="21"/>
                <w:szCs w:val="21"/>
                <w:highlight w:val="none"/>
              </w:rPr>
            </w:pPr>
            <w:r>
              <w:rPr>
                <w:rFonts w:hint="eastAsia" w:hAnsi="宋体"/>
                <w:b/>
                <w:bCs/>
                <w:sz w:val="21"/>
                <w:szCs w:val="21"/>
                <w:highlight w:val="none"/>
                <w:lang w:bidi="ar"/>
              </w:rPr>
              <w:t>五、通风除臭系统设备及零部件清单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离子除臭装置</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控制系统</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PLC+触摸屏，IP55防护</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10848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预处理过滤器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过滤颗粒物≥5μm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2960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离心风机主电机</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功率：6.5kW</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防护等级：IP55（防尘防水）</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绝缘等级：F级（耐温155℃）</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额定转速：2900rpm（风压≥500Pa）</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材质：铸铁壳体+铝合金叶轮，防腐涂层</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高压电源模块</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输入电压：220V AC ±10%</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输出电压：8~15kV（可调，适配5组离子管负载）</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电流稳定性：±1%（满载波动）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防护设计：三重过流/过压保护</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适配离子管：陶瓷基贵金属涂层管（单管功率≤220W）</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2017.8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控制主板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kern w:val="2"/>
                <w:sz w:val="21"/>
                <w:szCs w:val="21"/>
                <w:highlight w:val="none"/>
              </w:rPr>
              <w:t>处理器：ARM Cortex-M7内核</w:t>
            </w:r>
          </w:p>
          <w:p>
            <w:pPr>
              <w:widowControl/>
              <w:autoSpaceDE/>
              <w:autoSpaceDN/>
              <w:adjustRightInd/>
              <w:jc w:val="center"/>
              <w:textAlignment w:val="center"/>
              <w:rPr>
                <w:rFonts w:hint="eastAsia" w:hAnsi="宋体"/>
                <w:kern w:val="2"/>
                <w:sz w:val="21"/>
                <w:szCs w:val="21"/>
                <w:highlight w:val="none"/>
              </w:rPr>
            </w:pPr>
            <w:r>
              <w:rPr>
                <w:rFonts w:hint="eastAsia" w:hAnsi="宋体"/>
                <w:kern w:val="2"/>
                <w:sz w:val="21"/>
                <w:szCs w:val="21"/>
                <w:highlight w:val="none"/>
              </w:rPr>
              <w:t>通讯协议：RS485 Modbus RTU（支持DCS接入），HART协议</w:t>
            </w:r>
          </w:p>
          <w:p>
            <w:pPr>
              <w:widowControl/>
              <w:autoSpaceDE/>
              <w:autoSpaceDN/>
              <w:adjustRightInd/>
              <w:jc w:val="center"/>
              <w:textAlignment w:val="center"/>
              <w:rPr>
                <w:rFonts w:hint="eastAsia" w:hAnsi="宋体"/>
                <w:kern w:val="2"/>
                <w:sz w:val="21"/>
                <w:szCs w:val="21"/>
                <w:highlight w:val="none"/>
              </w:rPr>
            </w:pPr>
            <w:r>
              <w:rPr>
                <w:rFonts w:hint="eastAsia" w:hAnsi="宋体"/>
                <w:kern w:val="2"/>
                <w:sz w:val="21"/>
                <w:szCs w:val="21"/>
                <w:highlight w:val="none"/>
              </w:rPr>
              <w:t>控制功能：</w:t>
            </w:r>
          </w:p>
          <w:p>
            <w:pPr>
              <w:widowControl/>
              <w:autoSpaceDE/>
              <w:autoSpaceDN/>
              <w:adjustRightInd/>
              <w:jc w:val="center"/>
              <w:textAlignment w:val="center"/>
              <w:rPr>
                <w:rFonts w:hint="eastAsia" w:hAnsi="宋体"/>
                <w:kern w:val="2"/>
                <w:sz w:val="21"/>
                <w:szCs w:val="21"/>
                <w:highlight w:val="none"/>
              </w:rPr>
            </w:pPr>
            <w:r>
              <w:rPr>
                <w:rFonts w:hint="eastAsia" w:hAnsi="宋体"/>
                <w:kern w:val="2"/>
                <w:sz w:val="21"/>
                <w:szCs w:val="21"/>
                <w:highlight w:val="none"/>
              </w:rPr>
              <w:t>①离子管启停时序控制</w:t>
            </w:r>
          </w:p>
          <w:p>
            <w:pPr>
              <w:widowControl/>
              <w:autoSpaceDE/>
              <w:autoSpaceDN/>
              <w:adjustRightInd/>
              <w:jc w:val="center"/>
              <w:textAlignment w:val="center"/>
              <w:rPr>
                <w:rFonts w:hint="eastAsia" w:hAnsi="宋体"/>
                <w:kern w:val="2"/>
                <w:sz w:val="21"/>
                <w:szCs w:val="21"/>
                <w:highlight w:val="none"/>
              </w:rPr>
            </w:pPr>
            <w:r>
              <w:rPr>
                <w:rFonts w:hint="eastAsia" w:hAnsi="宋体"/>
                <w:kern w:val="2"/>
                <w:sz w:val="21"/>
                <w:szCs w:val="21"/>
                <w:highlight w:val="none"/>
              </w:rPr>
              <w:t>②风机联动（延迟关机保护）</w:t>
            </w:r>
          </w:p>
          <w:p>
            <w:pPr>
              <w:widowControl/>
              <w:autoSpaceDE/>
              <w:autoSpaceDN/>
              <w:adjustRightInd/>
              <w:jc w:val="center"/>
              <w:textAlignment w:val="center"/>
              <w:rPr>
                <w:rFonts w:hint="eastAsia" w:hAnsi="宋体"/>
                <w:kern w:val="2"/>
                <w:sz w:val="21"/>
                <w:szCs w:val="21"/>
                <w:highlight w:val="none"/>
              </w:rPr>
            </w:pPr>
            <w:r>
              <w:rPr>
                <w:rFonts w:hint="eastAsia" w:hAnsi="宋体"/>
                <w:kern w:val="2"/>
                <w:sz w:val="21"/>
                <w:szCs w:val="21"/>
                <w:highlight w:val="none"/>
              </w:rPr>
              <w:t>③故障自诊断（离子管失效/电源异常报警）</w:t>
            </w:r>
          </w:p>
          <w:p>
            <w:pPr>
              <w:widowControl/>
              <w:autoSpaceDE/>
              <w:autoSpaceDN/>
              <w:adjustRightInd/>
              <w:jc w:val="center"/>
              <w:textAlignment w:val="center"/>
              <w:rPr>
                <w:rFonts w:hint="eastAsia" w:hAnsi="宋体"/>
                <w:kern w:val="2"/>
                <w:sz w:val="21"/>
                <w:szCs w:val="21"/>
                <w:highlight w:val="none"/>
              </w:rPr>
            </w:pPr>
            <w:r>
              <w:rPr>
                <w:rFonts w:hint="eastAsia" w:hAnsi="宋体"/>
                <w:kern w:val="2"/>
                <w:sz w:val="21"/>
                <w:szCs w:val="21"/>
                <w:highlight w:val="none"/>
              </w:rPr>
              <w:t>存储能力：运行数据记录≥90天</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离子正压新风装置</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离子发生器模块</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工作电压：DC 5-12kV</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离子产生量：≥</w:t>
            </w:r>
            <w:r>
              <w:rPr>
                <w:rFonts w:hAnsi="宋体"/>
                <w:sz w:val="21"/>
                <w:szCs w:val="21"/>
                <w:highlight w:val="none"/>
                <w:lang w:bidi="ar"/>
              </w:rPr>
              <w:t>2×10</w:t>
            </w:r>
            <w:r>
              <w:rPr>
                <w:rFonts w:ascii="Cambria Math" w:hAnsi="Cambria Math" w:cs="Cambria Math"/>
                <w:sz w:val="21"/>
                <w:szCs w:val="21"/>
                <w:highlight w:val="none"/>
                <w:lang w:bidi="ar"/>
              </w:rPr>
              <w:t>⁶</w:t>
            </w:r>
            <w:r>
              <w:rPr>
                <w:rFonts w:hAnsi="宋体"/>
                <w:sz w:val="21"/>
                <w:szCs w:val="21"/>
                <w:highlight w:val="none"/>
                <w:lang w:bidi="ar"/>
              </w:rPr>
              <w:t xml:space="preserve"> pcs/cm</w:t>
            </w:r>
            <w:r>
              <w:rPr>
                <w:rFonts w:hint="eastAsia" w:hAnsi="宋体"/>
                <w:sz w:val="21"/>
                <w:szCs w:val="21"/>
                <w:highlight w:val="none"/>
                <w:lang w:bidi="ar"/>
              </w:rPr>
              <w:t>³（</w:t>
            </w:r>
            <w:r>
              <w:rPr>
                <w:rFonts w:hAnsi="宋体"/>
                <w:sz w:val="21"/>
                <w:szCs w:val="21"/>
                <w:highlight w:val="none"/>
                <w:lang w:bidi="ar"/>
              </w:rPr>
              <w:t>0.5m³</w:t>
            </w:r>
            <w:r>
              <w:rPr>
                <w:rFonts w:hint="eastAsia" w:hAnsi="宋体"/>
                <w:sz w:val="21"/>
                <w:szCs w:val="21"/>
                <w:highlight w:val="none"/>
                <w:lang w:bidi="ar"/>
              </w:rPr>
              <w:t>空间实测）</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耐腐蚀设计：316L不锈钢发射针</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防护等级：IP54（防尘防溅水）</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臭氧控制：≤0.02ppm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变频器控制板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控制精度：风机转速±0.5% PWM调控</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输入输出接口：</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①4~20mA风压反馈信号（接DCS系统）</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②RS485通讯（支持Modbus协议）</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保护功能：</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①过载/短路自动断电</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②风机堵转报警</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适配功率：1.3kW风机（额定电流3A）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hAnsi="宋体"/>
                <w:b/>
                <w:bCs/>
                <w:kern w:val="2"/>
                <w:sz w:val="21"/>
                <w:szCs w:val="21"/>
                <w:highlight w:val="none"/>
              </w:rPr>
            </w:pPr>
            <w:r>
              <w:rPr>
                <w:rFonts w:hint="eastAsia" w:hAnsi="宋体"/>
                <w:b/>
                <w:bCs/>
                <w:sz w:val="21"/>
                <w:szCs w:val="21"/>
                <w:highlight w:val="none"/>
                <w:lang w:bidi="ar"/>
              </w:rPr>
              <w:t>六、其他设备材料清单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柠檬酸投加装置</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磁力泵（主泵+备泵）</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流量59.5L/min，耐酸碱</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计量泵</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与设施适配规格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回转式格栅</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主驱动电机</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功率0.75kW</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格栅底部拦渣板</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不锈钢304</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硝化液回流泵</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硝化液回流泵</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Q=200m³/h，H=0.5m，N=1.5kW</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机械密封组件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耐腐蚀碳化硅材质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不锈钢304，φ250mm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电机绕组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1.5kW铜线绕组</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9</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MBR膜组件</w:t>
            </w:r>
          </w:p>
        </w:tc>
        <w:tc>
          <w:tcPr>
            <w:tcW w:w="4350" w:type="dxa"/>
            <w:gridSpan w:val="2"/>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膜面积：580平方/组，膜通量：20.83/m2.h，PVDF材质，316L不锈钢框架</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组</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28785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10</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单支膜元件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PVDF中空纤维膜，孔径≤0.1μm</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支</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4950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kern w:val="2"/>
                <w:sz w:val="21"/>
                <w:szCs w:val="21"/>
                <w:highlight w:val="none"/>
              </w:rPr>
              <w:t>11</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膜支架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316L不锈钢，定制尺寸</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12</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空气压缩机</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配套电机</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5.5KW，380V</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13</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储气罐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容积0.3-0.5m³，压力1.6MPa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14</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分体式热效应空气流量计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传感器探头</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DN250，铂金材质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15</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电路板总成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防潮防尘设计</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16</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分体式热效应空气流量计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传感器探头</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DN300，铂金材质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17</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电路板总成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防潮防尘设计</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18</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超声波液位计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声波传感器探头</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FDU91-RG2AA</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19</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氨氮在线检测仪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氨氮电极传感器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量程0.1-300mg/L</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支</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17600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20</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蠕动泵总成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适配氨氮检测仪流量需求</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21</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数据采集模块</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RS485/4-20mA输出</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22</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COD在线检测仪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数据采集模块</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支持4G/网口传输</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23</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蠕动泵总成</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流量0.5-3L/min</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24</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传感器模块</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电极式</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12942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25</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污泥浓度计</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传感器探头</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蓝宝石玻璃，316L不锈钢</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6930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26</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变送器主板</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带LCD显示，IP65防护</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9500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27</w:t>
            </w:r>
          </w:p>
        </w:tc>
        <w:tc>
          <w:tcPr>
            <w:tcW w:w="1425" w:type="dxa"/>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r>
              <w:rPr>
                <w:rFonts w:hint="eastAsia" w:hAnsi="宋体"/>
                <w:sz w:val="21"/>
                <w:szCs w:val="21"/>
                <w:highlight w:val="none"/>
                <w:lang w:bidi="ar"/>
              </w:rPr>
              <w:t>余氯检测仪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电路主板</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主控芯片+信号放大器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2680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28</w:t>
            </w:r>
          </w:p>
        </w:tc>
        <w:tc>
          <w:tcPr>
            <w:tcW w:w="1425" w:type="dxa"/>
            <w:vMerge w:val="restart"/>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仪表柜</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PLC控制器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西门子S7-1200，基本型</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29</w:t>
            </w:r>
          </w:p>
        </w:tc>
        <w:tc>
          <w:tcPr>
            <w:tcW w:w="1425" w:type="dxa"/>
            <w:vMerge w:val="continue"/>
            <w:tcBorders>
              <w:tl2br w:val="nil"/>
              <w:tr2bl w:val="nil"/>
            </w:tcBorders>
            <w:shd w:val="clear" w:color="auto" w:fill="FFFFFF"/>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液晶触摸屏</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威纶通MT8071IE，7寸</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30</w:t>
            </w:r>
          </w:p>
        </w:tc>
        <w:tc>
          <w:tcPr>
            <w:tcW w:w="1425"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pH在线检测仪</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pH电极（传感器）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玻璃复合电极，可填充式</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支</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潜水搅拌机1</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机械密封总成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结构：双机械密封（独立润滑腔设计）</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密封面材质：碳化钨-碳化钨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设计寿命：≥25,000小时（正常工况）</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防护标准：IP68防水等级</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结构：后掠式三叶设计</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材质：SUS304不锈钢一体铸造（厚度≥5mm）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直径：620mm（适配7.5kW推力需求）</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动平衡精度：G6.3级（振动≤2.8mm/s）</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轴承组（电机/螺旋）</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类型：深沟球轴承</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润滑方式：锂基脂密封润滑（免维护周期≥10,000小时）</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承重能力：轴向载荷≥8kN，径向载荷≥5kN</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电机定子绕组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绝缘等级：F级（耐温155℃，支持24h连续运行）</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防护工艺：真空浸漆 + 环氧树脂封装</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温度保护：内置PT100热敏传感器（过热自动停机）</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线材：铜线（纯度≥99.9%）</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潜水搅拌机2</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机械密封总成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结构：双机械密封（独立润滑腔设计）</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密封面材质：碳化钨-碳化钨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设计寿命：≥25,000小时（正常工况）</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防护标准：IP68防水等级</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36</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结构：后掠式三叶设计</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材质：SUS304不锈钢一体铸造（厚度≥5mm）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直径：620mm（适配4.0kW推力需求）</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动平衡精度：G6.3级（振动≤2.8mm/s）</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轴承组（电机/螺旋）</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类型：深沟球轴承</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润滑方式：锂基脂密封润滑（免维护周期≥10,000小时）</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承重能力：轴向载荷≥8kN，径向载荷≥5kN</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38</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导杆及安装支架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导杆材质：SUS304不锈钢（直径Φ50mm，壁厚4mm）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支架结构：可旋转±60°底座 + 中间支撑架（防振动变形）</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适配深度：8.5m导轨标配2个支撑架</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起吊装置：手摇绞车+提升链（承重≥1.5倍主机重量）；水平调节范围：±60°</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固定方式：不锈钢膨胀螺栓</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抗振动设计：导杆中间支撑架间距≤2.5m</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防腐等级：全不锈钢结构</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39</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齿轮箱总成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减速比：3.08:1（输入转速1480rpm → 输出480rpm）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齿轮材质：20CrMnTi渗碳淬火（硬度HRC58-62）</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密封设计：多重骨架油封（防渗水、防油泄漏）</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6957.5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40</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电机定子绕组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绝缘等级：F级（耐温155℃，支持24h连续运行）</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防护工艺：真空浸漆 + 环氧树脂封装</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温度保护：内置PT100热敏传感器（过热自动停机）</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线材：铜线（纯度≥99.9%）</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潜水搅拌机3</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机械密封总成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结构：双端面机械密封（独立油室隔离污泥）</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材质：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①动环：碳化钨（硬度≥85HRA）</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②静环：浸锑石墨（耐温≤120℃）</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③O型圈：氟橡胶（FKM）耐腐蚀</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防护等级：IP68</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寿命：≥10万小时（正常工况）</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结构：后掠式三叶设计</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材质：SUS304不锈钢一体铸造（厚度≥5mm）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直径：400mm（适配3.0kW推力需求）</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动平衡精度：G6.3级（振动≤2.8mm/s）</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轴承组（电机/螺旋）</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类型：双列角接触球轴承 + 圆柱滚子轴承组合</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参数：接触角30°，承载≥8kN</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润滑：食品级锂基脂（耐温-30℃~+150℃）</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防护：三重唇形密封防泥水侵入</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导杆及安装支架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导杆材质：SUS304不锈钢（直径Φ50mm，壁厚4mm）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支架结构：可旋转±60°底座 + 中间支撑架（防振动变形）</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适配深度：8.5m导轨标配2个支撑架</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起吊装置：手摇绞车+提升链（承重≥1.5倍主机重量）；水平调节范围：±60°</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固定方式：不锈钢膨胀螺栓</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抗振动设计：导杆中间支撑架间距≤2.5m</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防腐等级：全不锈钢结构</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45</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电机定子绕组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绝缘等级：F级（耐温155℃）</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线材：铜线（纯度≥99.9%）</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防护工艺：真空浸漆 + 环氧树脂封装</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温升控制：≤80K（24小时连续运行）</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46</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潜水搅拌机4</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机械密封总成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结构：双端面机械密封（独立油室隔离污泥）</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材质：</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①动环：碳化钨（硬度≥85HRA）</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②静环：浸锑石墨（耐温≤120℃）</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③O型圈：氟橡胶（FKM）耐腐蚀</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防护等级：IP68</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寿命：≥10万小时（正常工况）</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2820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叶轮总成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结构：后掠式三叶设计</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材质：SUS304不锈钢一体铸造（厚度≥5mm）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直径：260mm</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动平衡精度：G6.3级（振动≤2.8mm/s）</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48</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轴承组（电机/螺旋）</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类型：双列角接触球轴承 + 圆柱滚子轴承组合</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参数：接触角30°，承载≥8kN</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润滑：食品级锂基脂（耐温-30℃~+150℃）</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防护：三重唇形密封防泥水侵入</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49</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导杆及安装支架</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导杆材质：SUS304不锈钢（直径Φ50mm，壁厚4mm）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支架结构：可旋转±60°底座 + 中间支撑架（防振动变形）</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适配深度：8.5m导轨标配2个支撑架</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起吊装置：手摇绞车+提升链（承重≥1.5倍主机重量）；水平调节范围：±60°</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固定方式：不锈钢膨胀螺栓</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抗振动设计：导杆中间支撑架间距≤2.5m</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防腐等级：全不锈钢结构</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50</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齿轮箱总成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减速比：1:6（输入转速980rpm→输出163rpm）</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传动效率：≥92%</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润滑方式：飞溅润滑（推荐VG320齿轮油）</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密封结构：双油封+迷宫式防水</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6957.5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51</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电机定子绕组</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绝缘等级：F级（耐温155℃，连续运行）</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防护等级：IP68</w:t>
            </w:r>
          </w:p>
          <w:p>
            <w:pPr>
              <w:widowControl/>
              <w:autoSpaceDE/>
              <w:autoSpaceDN/>
              <w:adjustRightInd/>
              <w:jc w:val="center"/>
              <w:textAlignment w:val="center"/>
              <w:rPr>
                <w:rFonts w:hint="eastAsia" w:hAnsi="宋体"/>
                <w:sz w:val="21"/>
                <w:szCs w:val="21"/>
                <w:highlight w:val="none"/>
                <w:lang w:bidi="ar"/>
              </w:rPr>
            </w:pPr>
            <w:r>
              <w:rPr>
                <w:rFonts w:hint="eastAsia" w:hAnsi="宋体"/>
                <w:sz w:val="21"/>
                <w:szCs w:val="21"/>
                <w:highlight w:val="none"/>
                <w:lang w:bidi="ar"/>
              </w:rPr>
              <w:t>功率输出：1.5kW（额定电压380V，50Hz）</w:t>
            </w:r>
          </w:p>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绕组材质：铜线（纯度≥99.9%）</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hAnsi="宋体"/>
                <w:b/>
                <w:bCs/>
                <w:kern w:val="2"/>
                <w:sz w:val="21"/>
                <w:szCs w:val="21"/>
                <w:highlight w:val="none"/>
              </w:rPr>
            </w:pPr>
            <w:r>
              <w:rPr>
                <w:rFonts w:hint="eastAsia" w:hAnsi="宋体"/>
                <w:b/>
                <w:bCs/>
                <w:sz w:val="21"/>
                <w:szCs w:val="21"/>
                <w:highlight w:val="none"/>
                <w:lang w:bidi="ar"/>
              </w:rPr>
              <w:t>七、电气系统设备及零部件清单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PLC 集成控制柜</w:t>
            </w: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PLC控制模块</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西门子S7-400X系列</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7260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触摸屏（HMI）</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西门子KTP400</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5017.2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变频器</w:t>
            </w:r>
          </w:p>
        </w:tc>
        <w:tc>
          <w:tcPr>
            <w:tcW w:w="237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施耐德ATV310</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9694" w:type="dxa"/>
            <w:gridSpan w:val="6"/>
            <w:tcBorders>
              <w:tl2br w:val="nil"/>
              <w:tr2bl w:val="nil"/>
            </w:tcBorders>
            <w:shd w:val="clear" w:color="auto" w:fill="FFFFFF"/>
            <w:noWrap/>
            <w:vAlign w:val="center"/>
          </w:tcPr>
          <w:p>
            <w:pPr>
              <w:autoSpaceDE/>
              <w:autoSpaceDN/>
              <w:adjustRightInd/>
              <w:jc w:val="center"/>
              <w:rPr>
                <w:rFonts w:hint="eastAsia" w:hAnsi="宋体"/>
                <w:b/>
                <w:bCs/>
                <w:kern w:val="2"/>
                <w:sz w:val="21"/>
                <w:szCs w:val="21"/>
                <w:highlight w:val="none"/>
              </w:rPr>
            </w:pPr>
            <w:r>
              <w:rPr>
                <w:rFonts w:hint="eastAsia" w:hAnsi="宋体"/>
                <w:b/>
                <w:bCs/>
                <w:sz w:val="21"/>
                <w:szCs w:val="21"/>
                <w:highlight w:val="none"/>
                <w:lang w:bidi="ar"/>
              </w:rPr>
              <w:t>八、监控及中控系统采购及零部件清单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58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序号</w:t>
            </w:r>
          </w:p>
        </w:tc>
        <w:tc>
          <w:tcPr>
            <w:tcW w:w="142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设备名称</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零配件名称/型号规格</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单位</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b/>
                <w:bCs/>
                <w:kern w:val="2"/>
                <w:sz w:val="21"/>
                <w:szCs w:val="21"/>
                <w:highlight w:val="none"/>
              </w:rPr>
            </w:pPr>
            <w:r>
              <w:rPr>
                <w:rFonts w:hint="eastAsia" w:hAnsi="宋体"/>
                <w:b/>
                <w:bCs/>
                <w:sz w:val="21"/>
                <w:szCs w:val="21"/>
                <w:highlight w:val="none"/>
                <w:lang w:bidi="ar"/>
              </w:rPr>
              <w:t>单价最高限价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w:t>
            </w:r>
          </w:p>
        </w:tc>
        <w:tc>
          <w:tcPr>
            <w:tcW w:w="1425" w:type="dxa"/>
            <w:vMerge w:val="restart"/>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r>
              <w:rPr>
                <w:rFonts w:hint="eastAsia" w:hAnsi="宋体"/>
                <w:sz w:val="21"/>
                <w:szCs w:val="21"/>
                <w:highlight w:val="none"/>
                <w:lang w:bidi="ar"/>
              </w:rPr>
              <w:t>监控系统</w:t>
            </w: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液位传感器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4-20mA输出/防腐材质</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个</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2</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PLC控制器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西门子品牌，16通道</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16850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网络交换机</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华为，工业级/8口千兆</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3550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4</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视频存储服务器</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8TB硬盘/支持30天循环录制</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15600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w:t>
            </w:r>
          </w:p>
        </w:tc>
        <w:tc>
          <w:tcPr>
            <w:tcW w:w="1425" w:type="dxa"/>
            <w:vMerge w:val="restart"/>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中控电脑</w:t>
            </w:r>
          </w:p>
        </w:tc>
        <w:tc>
          <w:tcPr>
            <w:tcW w:w="4350" w:type="dxa"/>
            <w:gridSpan w:val="2"/>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酷睿i5/8G内存/256G固态硬盘</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台</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6</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UPS不间断电源</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10KVA/2小时续航</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 xml:space="preserve">11176.67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354"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7</w:t>
            </w:r>
          </w:p>
        </w:tc>
        <w:tc>
          <w:tcPr>
            <w:tcW w:w="1425" w:type="dxa"/>
            <w:vMerge w:val="continue"/>
            <w:tcBorders>
              <w:tl2br w:val="nil"/>
              <w:tr2bl w:val="nil"/>
            </w:tcBorders>
            <w:shd w:val="clear" w:color="auto" w:fill="FFFFFF"/>
            <w:noWrap/>
            <w:vAlign w:val="center"/>
          </w:tcPr>
          <w:p>
            <w:pPr>
              <w:autoSpaceDE/>
              <w:autoSpaceDN/>
              <w:adjustRightInd/>
              <w:jc w:val="center"/>
              <w:rPr>
                <w:rFonts w:hint="eastAsia" w:hAnsi="宋体"/>
                <w:kern w:val="2"/>
                <w:sz w:val="21"/>
                <w:szCs w:val="21"/>
                <w:highlight w:val="none"/>
              </w:rPr>
            </w:pPr>
          </w:p>
        </w:tc>
        <w:tc>
          <w:tcPr>
            <w:tcW w:w="198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监控系统软件授权</w:t>
            </w:r>
          </w:p>
        </w:tc>
        <w:tc>
          <w:tcPr>
            <w:tcW w:w="2370" w:type="dxa"/>
            <w:tcBorders>
              <w:tl2br w:val="nil"/>
              <w:tr2bl w:val="nil"/>
            </w:tcBorders>
            <w:shd w:val="clear" w:color="auto" w:fill="FFFFFF"/>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定制化开发/多点管理</w:t>
            </w:r>
          </w:p>
        </w:tc>
        <w:tc>
          <w:tcPr>
            <w:tcW w:w="890"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套</w:t>
            </w:r>
          </w:p>
        </w:tc>
        <w:tc>
          <w:tcPr>
            <w:tcW w:w="1675" w:type="dxa"/>
            <w:tcBorders>
              <w:tl2br w:val="nil"/>
              <w:tr2bl w:val="nil"/>
            </w:tcBorders>
            <w:shd w:val="clear" w:color="auto" w:fill="FFFFFF"/>
            <w:noWrap/>
            <w:vAlign w:val="center"/>
          </w:tcPr>
          <w:p>
            <w:pPr>
              <w:widowControl/>
              <w:autoSpaceDE/>
              <w:autoSpaceDN/>
              <w:adjustRightInd/>
              <w:jc w:val="center"/>
              <w:textAlignment w:val="center"/>
              <w:rPr>
                <w:rFonts w:hint="eastAsia" w:hAnsi="宋体"/>
                <w:kern w:val="2"/>
                <w:sz w:val="21"/>
                <w:szCs w:val="21"/>
                <w:highlight w:val="none"/>
              </w:rPr>
            </w:pPr>
            <w:r>
              <w:rPr>
                <w:rFonts w:hint="eastAsia" w:hAnsi="宋体"/>
                <w:sz w:val="21"/>
                <w:szCs w:val="21"/>
                <w:highlight w:val="none"/>
                <w:lang w:bidi="ar"/>
              </w:rPr>
              <w:t>54000</w:t>
            </w:r>
          </w:p>
        </w:tc>
      </w:tr>
    </w:tbl>
    <w:p>
      <w:pPr>
        <w:ind w:firstLine="420" w:firstLineChars="200"/>
        <w:rPr>
          <w:rFonts w:hint="eastAsia" w:hAnsi="宋体"/>
          <w:sz w:val="21"/>
          <w:szCs w:val="21"/>
          <w:highlight w:val="none"/>
        </w:rPr>
      </w:pPr>
    </w:p>
    <w:p>
      <w:pPr>
        <w:ind w:firstLine="420" w:firstLineChars="200"/>
        <w:rPr>
          <w:rFonts w:hint="eastAsia" w:hAnsi="宋体"/>
          <w:sz w:val="21"/>
          <w:szCs w:val="21"/>
          <w:highlight w:val="none"/>
        </w:rPr>
      </w:pPr>
      <w:r>
        <w:rPr>
          <w:rFonts w:hint="eastAsia" w:hAnsi="宋体"/>
          <w:sz w:val="21"/>
          <w:szCs w:val="21"/>
          <w:highlight w:val="none"/>
        </w:rPr>
        <w:t>（九）</w:t>
      </w:r>
      <w:bookmarkStart w:id="11" w:name="OLE_LINK16"/>
      <w:r>
        <w:rPr>
          <w:rFonts w:hint="eastAsia" w:hAnsi="宋体"/>
          <w:sz w:val="21"/>
          <w:szCs w:val="21"/>
          <w:highlight w:val="none"/>
        </w:rPr>
        <w:t>中标人</w:t>
      </w:r>
      <w:bookmarkEnd w:id="11"/>
      <w:r>
        <w:rPr>
          <w:rFonts w:hint="eastAsia" w:hAnsi="宋体"/>
          <w:sz w:val="21"/>
          <w:szCs w:val="21"/>
          <w:highlight w:val="none"/>
        </w:rPr>
        <w:t>的运营管理操作人员须穿着统一的制服，配戴专业上岗证，同时应接受过必要的培训，具备岗位的操作技能和资格，并将相关资格及培训记录加盖公章交采购人备案。</w:t>
      </w:r>
    </w:p>
    <w:p>
      <w:pPr>
        <w:ind w:firstLine="420" w:firstLineChars="200"/>
        <w:rPr>
          <w:rFonts w:hint="eastAsia" w:hAnsi="宋体"/>
          <w:sz w:val="21"/>
          <w:szCs w:val="21"/>
          <w:highlight w:val="none"/>
        </w:rPr>
      </w:pPr>
      <w:r>
        <w:rPr>
          <w:rFonts w:hint="eastAsia" w:hAnsi="宋体"/>
          <w:sz w:val="21"/>
          <w:szCs w:val="21"/>
          <w:highlight w:val="none"/>
        </w:rPr>
        <w:t>（十）</w:t>
      </w:r>
      <w:bookmarkStart w:id="12" w:name="OLE_LINK17"/>
      <w:r>
        <w:rPr>
          <w:rFonts w:hint="eastAsia" w:hAnsi="宋体"/>
          <w:sz w:val="21"/>
          <w:szCs w:val="21"/>
          <w:highlight w:val="none"/>
        </w:rPr>
        <w:t>中标人</w:t>
      </w:r>
      <w:bookmarkEnd w:id="12"/>
      <w:r>
        <w:rPr>
          <w:rFonts w:hint="eastAsia" w:hAnsi="宋体"/>
          <w:sz w:val="21"/>
          <w:szCs w:val="21"/>
          <w:highlight w:val="none"/>
        </w:rPr>
        <w:t>应加强水质、发电机、噪音、污泥、大气等环境污染物检测工作，按照《排污许可证》的标准及规范出具具有CMA（中国计量认证）资质的第三方检测报告上报给</w:t>
      </w:r>
      <w:bookmarkStart w:id="13" w:name="OLE_LINK18"/>
      <w:r>
        <w:rPr>
          <w:rFonts w:hint="eastAsia" w:hAnsi="宋体"/>
          <w:sz w:val="21"/>
          <w:szCs w:val="21"/>
          <w:highlight w:val="none"/>
        </w:rPr>
        <w:t>采购人</w:t>
      </w:r>
      <w:bookmarkEnd w:id="13"/>
      <w:r>
        <w:rPr>
          <w:rFonts w:hint="eastAsia" w:hAnsi="宋体"/>
          <w:sz w:val="21"/>
          <w:szCs w:val="21"/>
          <w:highlight w:val="none"/>
        </w:rPr>
        <w:t xml:space="preserve">，并对数据真实性负责；如因数据真实性问题造成的相关责任由中标人负责。 如发现进水水质发生异常变化时，中标人应根据需要增加监测项目和频次，在落实相应处理措施的同时向采购人报告。分析报告应包括但不限于： </w:t>
      </w:r>
    </w:p>
    <w:p>
      <w:pPr>
        <w:widowControl/>
        <w:ind w:firstLine="420" w:firstLineChars="200"/>
        <w:rPr>
          <w:rFonts w:hint="eastAsia" w:hAnsi="宋体"/>
          <w:bCs/>
          <w:sz w:val="21"/>
          <w:szCs w:val="21"/>
          <w:highlight w:val="none"/>
          <w:shd w:val="clear" w:color="auto" w:fill="FFFFFF"/>
          <w:lang w:val="zh-CN"/>
        </w:rPr>
      </w:pPr>
      <w:r>
        <w:rPr>
          <w:rFonts w:hint="eastAsia" w:hAnsi="宋体"/>
          <w:bCs/>
          <w:sz w:val="21"/>
          <w:szCs w:val="21"/>
          <w:highlight w:val="none"/>
          <w:shd w:val="clear" w:color="auto" w:fill="FFFFFF"/>
          <w:lang w:val="zh-CN"/>
        </w:rPr>
        <w:t xml:space="preserve">1、检测排放口余氯、接触池余氯、PH值等，频率不少于2次/日； </w:t>
      </w:r>
    </w:p>
    <w:p>
      <w:pPr>
        <w:widowControl/>
        <w:ind w:firstLine="420" w:firstLineChars="200"/>
        <w:rPr>
          <w:rFonts w:hint="eastAsia" w:hAnsi="宋体"/>
          <w:bCs/>
          <w:sz w:val="21"/>
          <w:szCs w:val="21"/>
          <w:highlight w:val="none"/>
          <w:shd w:val="clear" w:color="auto" w:fill="FFFFFF"/>
          <w:lang w:val="zh-CN"/>
        </w:rPr>
      </w:pPr>
      <w:r>
        <w:rPr>
          <w:rFonts w:hint="eastAsia" w:hAnsi="宋体"/>
          <w:bCs/>
          <w:sz w:val="21"/>
          <w:szCs w:val="21"/>
          <w:highlight w:val="none"/>
          <w:shd w:val="clear" w:color="auto" w:fill="FFFFFF"/>
          <w:lang w:val="zh-CN"/>
        </w:rPr>
        <w:t xml:space="preserve">2、每周检测COD、SS值至少1次，并出具检测报告； </w:t>
      </w:r>
    </w:p>
    <w:p>
      <w:pPr>
        <w:widowControl/>
        <w:ind w:firstLine="420" w:firstLineChars="200"/>
        <w:rPr>
          <w:rFonts w:hint="eastAsia" w:hAnsi="宋体"/>
          <w:bCs/>
          <w:sz w:val="21"/>
          <w:szCs w:val="21"/>
          <w:highlight w:val="none"/>
          <w:shd w:val="clear" w:color="auto" w:fill="FFFFFF"/>
          <w:lang w:val="zh-CN"/>
        </w:rPr>
      </w:pPr>
      <w:r>
        <w:rPr>
          <w:rFonts w:hint="eastAsia" w:hAnsi="宋体"/>
          <w:bCs/>
          <w:sz w:val="21"/>
          <w:szCs w:val="21"/>
          <w:highlight w:val="none"/>
          <w:shd w:val="clear" w:color="auto" w:fill="FFFFFF"/>
          <w:lang w:val="zh-CN"/>
        </w:rPr>
        <w:t xml:space="preserve">3、每月检测粪大肠杆菌至少1次，并出具检测报告； </w:t>
      </w:r>
    </w:p>
    <w:p>
      <w:pPr>
        <w:widowControl/>
        <w:ind w:firstLine="420" w:firstLineChars="200"/>
        <w:rPr>
          <w:rFonts w:hint="eastAsia" w:hAnsi="宋体"/>
          <w:bCs/>
          <w:sz w:val="21"/>
          <w:szCs w:val="21"/>
          <w:highlight w:val="none"/>
          <w:shd w:val="clear" w:color="auto" w:fill="FFFFFF"/>
          <w:lang w:val="zh-CN"/>
        </w:rPr>
      </w:pPr>
      <w:r>
        <w:rPr>
          <w:rFonts w:hint="eastAsia" w:hAnsi="宋体"/>
          <w:bCs/>
          <w:sz w:val="21"/>
          <w:szCs w:val="21"/>
          <w:highlight w:val="none"/>
          <w:shd w:val="clear" w:color="auto" w:fill="FFFFFF"/>
          <w:lang w:val="zh-CN"/>
        </w:rPr>
        <w:t xml:space="preserve">4、每季度检测BOD、总氰化物、挥发酚、动植物油、阴离子表面活性剂、LAS、粪大肠杆菌、沙门氏菌、石油类、放射性α和β等至少1次，并出具检测报告； </w:t>
      </w:r>
    </w:p>
    <w:p>
      <w:pPr>
        <w:widowControl/>
        <w:ind w:firstLine="420" w:firstLineChars="200"/>
        <w:rPr>
          <w:rFonts w:hint="eastAsia" w:hAnsi="宋体"/>
          <w:bCs/>
          <w:sz w:val="21"/>
          <w:szCs w:val="21"/>
          <w:highlight w:val="none"/>
          <w:shd w:val="clear" w:color="auto" w:fill="FFFFFF"/>
          <w:lang w:val="zh-CN"/>
        </w:rPr>
      </w:pPr>
      <w:r>
        <w:rPr>
          <w:rFonts w:hint="eastAsia" w:hAnsi="宋体"/>
          <w:bCs/>
          <w:sz w:val="21"/>
          <w:szCs w:val="21"/>
          <w:highlight w:val="none"/>
          <w:shd w:val="clear" w:color="auto" w:fill="FFFFFF"/>
          <w:lang w:val="zh-CN"/>
        </w:rPr>
        <w:t xml:space="preserve">5、每季度检测有组织、无组织废气和噪声至少1次，并出具检测报告； </w:t>
      </w:r>
    </w:p>
    <w:p>
      <w:pPr>
        <w:widowControl/>
        <w:ind w:firstLine="420" w:firstLineChars="200"/>
        <w:rPr>
          <w:rFonts w:hint="eastAsia" w:hAnsi="宋体"/>
          <w:bCs/>
          <w:sz w:val="21"/>
          <w:szCs w:val="21"/>
          <w:highlight w:val="none"/>
          <w:shd w:val="clear" w:color="auto" w:fill="FFFFFF"/>
          <w:lang w:val="zh-CN"/>
        </w:rPr>
      </w:pPr>
      <w:r>
        <w:rPr>
          <w:rFonts w:hint="eastAsia" w:hAnsi="宋体"/>
          <w:bCs/>
          <w:sz w:val="21"/>
          <w:szCs w:val="21"/>
          <w:highlight w:val="none"/>
          <w:shd w:val="clear" w:color="auto" w:fill="FFFFFF"/>
          <w:lang w:val="zh-CN"/>
        </w:rPr>
        <w:t xml:space="preserve">6、每半年检测志贺氏菌至少1次，并出具检测报告； </w:t>
      </w:r>
    </w:p>
    <w:p>
      <w:pPr>
        <w:widowControl/>
        <w:ind w:firstLine="420" w:firstLineChars="200"/>
        <w:rPr>
          <w:rFonts w:hint="eastAsia" w:hAnsi="宋体"/>
          <w:bCs/>
          <w:sz w:val="21"/>
          <w:szCs w:val="21"/>
          <w:highlight w:val="none"/>
          <w:shd w:val="clear" w:color="auto" w:fill="FFFFFF"/>
          <w:lang w:val="zh-CN"/>
        </w:rPr>
      </w:pPr>
      <w:r>
        <w:rPr>
          <w:rFonts w:hint="eastAsia" w:hAnsi="宋体"/>
          <w:bCs/>
          <w:sz w:val="21"/>
          <w:szCs w:val="21"/>
          <w:highlight w:val="none"/>
          <w:shd w:val="clear" w:color="auto" w:fill="FFFFFF"/>
          <w:lang w:val="zh-CN"/>
        </w:rPr>
        <w:t xml:space="preserve">7、每次污泥清掏前的应按相关要求进行监测，并出具检测报告； </w:t>
      </w:r>
    </w:p>
    <w:p>
      <w:pPr>
        <w:widowControl/>
        <w:ind w:firstLine="420" w:firstLineChars="200"/>
        <w:rPr>
          <w:rFonts w:hint="eastAsia" w:hAnsi="宋体"/>
          <w:bCs/>
          <w:sz w:val="21"/>
          <w:szCs w:val="21"/>
          <w:highlight w:val="none"/>
          <w:shd w:val="clear" w:color="auto" w:fill="FFFFFF"/>
          <w:lang w:val="zh-CN"/>
        </w:rPr>
      </w:pPr>
      <w:r>
        <w:rPr>
          <w:rFonts w:hint="eastAsia" w:hAnsi="宋体"/>
          <w:bCs/>
          <w:sz w:val="21"/>
          <w:szCs w:val="21"/>
          <w:highlight w:val="none"/>
          <w:shd w:val="clear" w:color="auto" w:fill="FFFFFF"/>
          <w:lang w:val="zh-CN"/>
        </w:rPr>
        <w:t>8、按国家最新政策需监测的其他内容。</w:t>
      </w:r>
    </w:p>
    <w:p>
      <w:pPr>
        <w:ind w:firstLine="420" w:firstLineChars="200"/>
        <w:rPr>
          <w:rFonts w:hint="eastAsia" w:hAnsi="宋体"/>
          <w:bCs/>
          <w:sz w:val="21"/>
          <w:szCs w:val="21"/>
          <w:highlight w:val="none"/>
          <w:shd w:val="clear" w:color="auto" w:fill="FFFFFF"/>
          <w:lang w:val="zh-CN"/>
        </w:rPr>
      </w:pPr>
      <w:r>
        <w:rPr>
          <w:rFonts w:hint="eastAsia" w:hAnsi="宋体"/>
          <w:bCs/>
          <w:sz w:val="21"/>
          <w:szCs w:val="21"/>
          <w:highlight w:val="none"/>
          <w:shd w:val="clear" w:color="auto" w:fill="FFFFFF"/>
          <w:lang w:val="zh-CN"/>
        </w:rPr>
        <w:t>（十一）如中标人出现</w:t>
      </w:r>
      <w:r>
        <w:rPr>
          <w:rFonts w:hint="eastAsia" w:hAnsi="宋体"/>
          <w:sz w:val="21"/>
          <w:szCs w:val="21"/>
          <w:highlight w:val="none"/>
        </w:rPr>
        <w:t>污水处理站污染物检测</w:t>
      </w:r>
      <w:r>
        <w:rPr>
          <w:rFonts w:hint="eastAsia" w:hAnsi="宋体"/>
          <w:bCs/>
          <w:sz w:val="21"/>
          <w:szCs w:val="21"/>
          <w:highlight w:val="none"/>
          <w:shd w:val="clear" w:color="auto" w:fill="FFFFFF"/>
          <w:lang w:val="zh-CN"/>
        </w:rPr>
        <w:t>不达标的情况下，采购人下达整改通知书，整改后仍不达标的，下达再次整改通知书。再次整改仍不合格的，采购人有权解除合同。</w:t>
      </w:r>
    </w:p>
    <w:p>
      <w:pPr>
        <w:ind w:firstLine="420" w:firstLineChars="200"/>
        <w:rPr>
          <w:rFonts w:hint="eastAsia" w:hAnsi="宋体"/>
          <w:sz w:val="21"/>
          <w:szCs w:val="21"/>
          <w:highlight w:val="none"/>
        </w:rPr>
      </w:pPr>
      <w:r>
        <w:rPr>
          <w:rFonts w:hint="eastAsia" w:hAnsi="宋体"/>
          <w:sz w:val="21"/>
          <w:szCs w:val="21"/>
          <w:highlight w:val="none"/>
        </w:rPr>
        <w:t>★（十二）如发生设备故障或突发事件，中标人必须配合采购人做好应急处理方案及配合，确保污染物达标排放，地震、战争两项不可抗力的因素除外。</w:t>
      </w:r>
      <w:r>
        <w:rPr>
          <w:rFonts w:hint="eastAsia" w:ascii="Calibri" w:hAnsi="宋体"/>
          <w:sz w:val="21"/>
          <w:szCs w:val="21"/>
          <w:highlight w:val="none"/>
        </w:rPr>
        <w:t>（在投标文件中提供承诺函（格式自拟））</w:t>
      </w:r>
    </w:p>
    <w:p>
      <w:pPr>
        <w:ind w:firstLine="420" w:firstLineChars="200"/>
        <w:rPr>
          <w:rFonts w:hint="eastAsia" w:hAnsi="宋体"/>
          <w:sz w:val="21"/>
          <w:szCs w:val="21"/>
          <w:highlight w:val="none"/>
        </w:rPr>
      </w:pPr>
      <w:bookmarkStart w:id="14" w:name="OLE_LINK19"/>
      <w:r>
        <w:rPr>
          <w:rFonts w:hint="eastAsia" w:hAnsi="宋体"/>
          <w:sz w:val="21"/>
          <w:szCs w:val="21"/>
          <w:highlight w:val="none"/>
        </w:rPr>
        <w:t>★</w:t>
      </w:r>
      <w:bookmarkEnd w:id="14"/>
      <w:r>
        <w:rPr>
          <w:rFonts w:hint="eastAsia" w:hAnsi="宋体"/>
          <w:sz w:val="21"/>
          <w:szCs w:val="21"/>
          <w:highlight w:val="none"/>
        </w:rPr>
        <w:t>（十三）中标人工作人员需做好职业防护，中标人工作人员发生职业暴露应按医院职业暴露处理报告流程进行处理和上报，发生工伤、计生等劳资纠纷和产生的一切费用由中标人自行负责，与采购人无关。</w:t>
      </w:r>
      <w:r>
        <w:rPr>
          <w:rFonts w:hint="eastAsia" w:ascii="Calibri" w:hAnsi="宋体"/>
          <w:sz w:val="21"/>
          <w:szCs w:val="21"/>
          <w:highlight w:val="none"/>
        </w:rPr>
        <w:t>（在投标文件中提供承诺函（格式自拟））</w:t>
      </w:r>
    </w:p>
    <w:p>
      <w:pPr>
        <w:ind w:firstLine="420" w:firstLineChars="200"/>
        <w:rPr>
          <w:rFonts w:hint="eastAsia" w:hAnsi="宋体"/>
          <w:sz w:val="21"/>
          <w:szCs w:val="21"/>
          <w:highlight w:val="none"/>
        </w:rPr>
      </w:pPr>
      <w:r>
        <w:rPr>
          <w:rFonts w:hint="eastAsia" w:hAnsi="宋体"/>
          <w:sz w:val="21"/>
          <w:szCs w:val="21"/>
          <w:highlight w:val="none"/>
        </w:rPr>
        <w:t>（十四）中标人接管污水处理站后，必须严格执行《中华人民共和国环境保护法》、《突发环境事件应急管理办法》及地方有关法律法规、标准，遵守现行颁布的环境管理规章制度及有关政策。确保污染物排放达标，能够通过环保部门相关环境检测，并按服务清单完成工作内容，按要求对污水排放进行水质检测出具报告，并认真做好相关记录。协助医院配合当地生态环境部门及政府部门的例行检查，做好各种迎接检查准备工作。中标人应按甲方的要求配合做好各项检查及迎检有关工作，如第三方检测或地方生态环境部门检查发现污水处理站排放的污染物不达标，按附件一“污水处理管理扣罚细则”处理，由中标人承担责任及罚款并立刻进行整改处理，如经处理后仍不能达标，采购人则有权解除合同，履约保证金不予退还。</w:t>
      </w:r>
    </w:p>
    <w:p>
      <w:pPr>
        <w:ind w:firstLine="420" w:firstLineChars="200"/>
        <w:rPr>
          <w:rFonts w:hint="eastAsia" w:hAnsi="宋体"/>
          <w:sz w:val="21"/>
          <w:szCs w:val="21"/>
          <w:highlight w:val="none"/>
        </w:rPr>
      </w:pPr>
      <w:r>
        <w:rPr>
          <w:rFonts w:hint="eastAsia" w:hAnsi="宋体"/>
          <w:sz w:val="21"/>
          <w:szCs w:val="21"/>
          <w:highlight w:val="none"/>
        </w:rPr>
        <w:t>（十五）</w:t>
      </w:r>
      <w:r>
        <w:rPr>
          <w:rFonts w:hint="eastAsia" w:hAnsi="宋体"/>
          <w:bCs/>
          <w:sz w:val="21"/>
          <w:szCs w:val="21"/>
          <w:highlight w:val="none"/>
          <w:shd w:val="clear" w:color="auto" w:fill="FFFFFF"/>
          <w:lang w:val="zh-CN"/>
        </w:rPr>
        <w:t>中标人</w:t>
      </w:r>
      <w:r>
        <w:rPr>
          <w:rFonts w:hint="eastAsia" w:hAnsi="宋体"/>
          <w:sz w:val="21"/>
          <w:szCs w:val="21"/>
          <w:highlight w:val="none"/>
        </w:rPr>
        <w:t>负责两个院区污水处理站所需的所有消耗品及药剂（如草酸/柠檬酸、无碘食盐、次氯酸钠、聚丙烯酰胺、单过硫酸氢钾复合盐等的采购、使用、存放以及回收处置，所有使用的消毒药剂及测试试剂，必须为有效期内、合法、合规。主要污水处理消毒剂参数：</w:t>
      </w:r>
    </w:p>
    <w:p>
      <w:pPr>
        <w:ind w:firstLine="420" w:firstLineChars="200"/>
        <w:rPr>
          <w:rFonts w:hint="eastAsia" w:hAnsi="宋体"/>
          <w:sz w:val="21"/>
          <w:szCs w:val="21"/>
          <w:highlight w:val="none"/>
        </w:rPr>
      </w:pPr>
      <w:r>
        <w:rPr>
          <w:rFonts w:hint="eastAsia" w:hAnsi="宋体"/>
          <w:sz w:val="21"/>
          <w:szCs w:val="21"/>
          <w:highlight w:val="none"/>
        </w:rPr>
        <w:t>1、总院采用电解盐次氯酸钠发生器，原料参数要求：GBT5461-2016</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1559"/>
        <w:gridCol w:w="156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Merge w:val="restart"/>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项目</w:t>
            </w:r>
          </w:p>
        </w:tc>
        <w:tc>
          <w:tcPr>
            <w:tcW w:w="4536" w:type="dxa"/>
            <w:gridSpan w:val="3"/>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Merge w:val="continue"/>
            <w:vAlign w:val="center"/>
          </w:tcPr>
          <w:p>
            <w:pPr>
              <w:widowControl/>
              <w:spacing w:line="360" w:lineRule="auto"/>
              <w:ind w:firstLine="420"/>
              <w:jc w:val="center"/>
              <w:rPr>
                <w:rFonts w:hint="eastAsia" w:hAnsi="宋体"/>
                <w:sz w:val="21"/>
                <w:szCs w:val="21"/>
                <w:highlight w:val="none"/>
              </w:rPr>
            </w:pPr>
          </w:p>
        </w:tc>
        <w:tc>
          <w:tcPr>
            <w:tcW w:w="4536" w:type="dxa"/>
            <w:gridSpan w:val="3"/>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精制盐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Merge w:val="continue"/>
            <w:vAlign w:val="center"/>
          </w:tcPr>
          <w:p>
            <w:pPr>
              <w:widowControl/>
              <w:spacing w:line="360" w:lineRule="auto"/>
              <w:jc w:val="center"/>
              <w:rPr>
                <w:rFonts w:hint="eastAsia" w:hAnsi="宋体"/>
                <w:sz w:val="21"/>
                <w:szCs w:val="21"/>
                <w:highlight w:val="none"/>
              </w:rPr>
            </w:pPr>
          </w:p>
        </w:tc>
        <w:tc>
          <w:tcPr>
            <w:tcW w:w="1559"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优级</w:t>
            </w:r>
          </w:p>
        </w:tc>
        <w:tc>
          <w:tcPr>
            <w:tcW w:w="1560"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一级</w:t>
            </w:r>
          </w:p>
        </w:tc>
        <w:tc>
          <w:tcPr>
            <w:tcW w:w="14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exact"/>
          <w:jc w:val="center"/>
        </w:trPr>
        <w:tc>
          <w:tcPr>
            <w:tcW w:w="3652"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粒度</w:t>
            </w:r>
          </w:p>
        </w:tc>
        <w:tc>
          <w:tcPr>
            <w:tcW w:w="4536" w:type="dxa"/>
            <w:gridSpan w:val="3"/>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在下列某一范围内应不少于75g/100g。</w:t>
            </w:r>
          </w:p>
          <w:p>
            <w:pPr>
              <w:widowControl/>
              <w:spacing w:line="360" w:lineRule="auto"/>
              <w:jc w:val="center"/>
              <w:rPr>
                <w:rFonts w:hint="eastAsia" w:hAnsi="宋体"/>
                <w:sz w:val="21"/>
                <w:szCs w:val="21"/>
                <w:highlight w:val="none"/>
              </w:rPr>
            </w:pPr>
            <w:r>
              <w:rPr>
                <w:rFonts w:hint="eastAsia" w:hAnsi="宋体"/>
                <w:sz w:val="21"/>
                <w:szCs w:val="21"/>
                <w:highlight w:val="none"/>
              </w:rPr>
              <w:t>----大粒：2mm~4mm</w:t>
            </w:r>
          </w:p>
          <w:p>
            <w:pPr>
              <w:widowControl/>
              <w:spacing w:line="360" w:lineRule="auto"/>
              <w:jc w:val="center"/>
              <w:rPr>
                <w:rFonts w:hint="eastAsia" w:hAnsi="宋体"/>
                <w:sz w:val="21"/>
                <w:szCs w:val="21"/>
                <w:highlight w:val="none"/>
              </w:rPr>
            </w:pPr>
            <w:r>
              <w:rPr>
                <w:rFonts w:hint="eastAsia" w:hAnsi="宋体"/>
                <w:sz w:val="21"/>
                <w:szCs w:val="21"/>
                <w:highlight w:val="none"/>
              </w:rPr>
              <w:t>----中粒：0.3mm~2.8mm</w:t>
            </w:r>
          </w:p>
          <w:p>
            <w:pPr>
              <w:widowControl/>
              <w:spacing w:line="360" w:lineRule="auto"/>
              <w:jc w:val="center"/>
              <w:rPr>
                <w:rFonts w:hint="eastAsia" w:hAnsi="宋体"/>
                <w:sz w:val="21"/>
                <w:szCs w:val="21"/>
                <w:highlight w:val="none"/>
              </w:rPr>
            </w:pPr>
            <w:r>
              <w:rPr>
                <w:rFonts w:hint="eastAsia" w:hAnsi="宋体"/>
                <w:sz w:val="21"/>
                <w:szCs w:val="21"/>
                <w:highlight w:val="none"/>
              </w:rPr>
              <w:t>----小粒：0.15mm~0.85mm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白度/度≥</w:t>
            </w:r>
          </w:p>
        </w:tc>
        <w:tc>
          <w:tcPr>
            <w:tcW w:w="1559"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80</w:t>
            </w:r>
          </w:p>
        </w:tc>
        <w:tc>
          <w:tcPr>
            <w:tcW w:w="1560"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75</w:t>
            </w:r>
          </w:p>
        </w:tc>
        <w:tc>
          <w:tcPr>
            <w:tcW w:w="14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氯化钠（以湿基计）/（g/100g)≥</w:t>
            </w:r>
          </w:p>
        </w:tc>
        <w:tc>
          <w:tcPr>
            <w:tcW w:w="1559"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99.1</w:t>
            </w:r>
          </w:p>
        </w:tc>
        <w:tc>
          <w:tcPr>
            <w:tcW w:w="1560"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98.5</w:t>
            </w:r>
          </w:p>
        </w:tc>
        <w:tc>
          <w:tcPr>
            <w:tcW w:w="14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硫酸根/（g/100g)≤</w:t>
            </w:r>
          </w:p>
        </w:tc>
        <w:tc>
          <w:tcPr>
            <w:tcW w:w="1559"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0.40</w:t>
            </w:r>
          </w:p>
        </w:tc>
        <w:tc>
          <w:tcPr>
            <w:tcW w:w="1560"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0.60</w:t>
            </w:r>
          </w:p>
        </w:tc>
        <w:tc>
          <w:tcPr>
            <w:tcW w:w="14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水分/（g/100g)≤</w:t>
            </w:r>
          </w:p>
        </w:tc>
        <w:tc>
          <w:tcPr>
            <w:tcW w:w="1559"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0.30</w:t>
            </w:r>
          </w:p>
        </w:tc>
        <w:tc>
          <w:tcPr>
            <w:tcW w:w="1560"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0.50</w:t>
            </w:r>
          </w:p>
        </w:tc>
        <w:tc>
          <w:tcPr>
            <w:tcW w:w="14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652"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水不溶物/（g/100g)≤</w:t>
            </w:r>
          </w:p>
        </w:tc>
        <w:tc>
          <w:tcPr>
            <w:tcW w:w="1559"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0.03</w:t>
            </w:r>
          </w:p>
        </w:tc>
        <w:tc>
          <w:tcPr>
            <w:tcW w:w="1560"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0.07</w:t>
            </w:r>
          </w:p>
        </w:tc>
        <w:tc>
          <w:tcPr>
            <w:tcW w:w="14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0.10</w:t>
            </w:r>
          </w:p>
        </w:tc>
      </w:tr>
    </w:tbl>
    <w:p>
      <w:pPr>
        <w:widowControl/>
        <w:ind w:firstLine="420" w:firstLineChars="200"/>
        <w:rPr>
          <w:rFonts w:hint="eastAsia" w:hAnsi="宋体"/>
          <w:sz w:val="21"/>
          <w:szCs w:val="21"/>
          <w:highlight w:val="none"/>
        </w:rPr>
      </w:pPr>
      <w:r>
        <w:rPr>
          <w:rFonts w:hint="eastAsia" w:hAnsi="宋体"/>
          <w:sz w:val="21"/>
          <w:szCs w:val="21"/>
          <w:highlight w:val="none"/>
        </w:rPr>
        <w:t>2、鹤洞分院采用活性氧消毒，投放单过硫酸氢钾消毒粉，原料参数要求：HGT5562-2019</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1"/>
        <w:gridCol w:w="4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项目</w:t>
            </w:r>
          </w:p>
        </w:tc>
        <w:tc>
          <w:tcPr>
            <w:tcW w:w="41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过硫酸氢钾的质量分数%   ≥</w:t>
            </w:r>
          </w:p>
        </w:tc>
        <w:tc>
          <w:tcPr>
            <w:tcW w:w="41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钾（K）的质量分数%  ≥</w:t>
            </w:r>
          </w:p>
        </w:tc>
        <w:tc>
          <w:tcPr>
            <w:tcW w:w="41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总有效氧氯的质量分数（以Cl计）%</w:t>
            </w:r>
          </w:p>
        </w:tc>
        <w:tc>
          <w:tcPr>
            <w:tcW w:w="41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35~45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4071"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pH值(10g/L水溶液，25℃）</w:t>
            </w:r>
          </w:p>
        </w:tc>
        <w:tc>
          <w:tcPr>
            <w:tcW w:w="4117" w:type="dxa"/>
            <w:vAlign w:val="center"/>
          </w:tcPr>
          <w:p>
            <w:pPr>
              <w:widowControl/>
              <w:spacing w:line="360" w:lineRule="auto"/>
              <w:jc w:val="center"/>
              <w:rPr>
                <w:rFonts w:hint="eastAsia" w:hAnsi="宋体"/>
                <w:sz w:val="21"/>
                <w:szCs w:val="21"/>
                <w:highlight w:val="none"/>
              </w:rPr>
            </w:pPr>
            <w:r>
              <w:rPr>
                <w:rFonts w:hint="eastAsia" w:hAnsi="宋体"/>
                <w:sz w:val="21"/>
                <w:szCs w:val="21"/>
                <w:highlight w:val="none"/>
              </w:rPr>
              <w:t>3.0~6.0</w:t>
            </w:r>
          </w:p>
        </w:tc>
      </w:tr>
    </w:tbl>
    <w:p>
      <w:pPr>
        <w:rPr>
          <w:rFonts w:hint="eastAsia" w:hAnsi="宋体"/>
          <w:sz w:val="21"/>
          <w:szCs w:val="21"/>
          <w:highlight w:val="none"/>
        </w:rPr>
      </w:pPr>
    </w:p>
    <w:p>
      <w:pPr>
        <w:ind w:firstLine="420" w:firstLineChars="200"/>
        <w:rPr>
          <w:rFonts w:hint="eastAsia" w:hAnsi="宋体"/>
          <w:sz w:val="21"/>
          <w:szCs w:val="21"/>
          <w:highlight w:val="none"/>
        </w:rPr>
      </w:pPr>
      <w:r>
        <w:rPr>
          <w:rFonts w:hint="eastAsia" w:hAnsi="宋体"/>
          <w:sz w:val="21"/>
          <w:szCs w:val="21"/>
          <w:highlight w:val="none"/>
        </w:rPr>
        <w:t>（十六）负责清理两院区的化粪池、油池和管道疏通。确保池子与管道无堵塞、无因操作不当导致的渗漏，在采购人提出清理要求后，及时响应核实，紧急情况需要2小时内到场处理，因处理不及时或不当造成渗漏污染，由中标人负责全面清理消毒。清理时，做好先抽排污水后抽渣的步骤，并做好拍照存档记录。医院两院区粪池、油池共约35个，服务期内高压疏通管道约2200米，清理粪池、油池约1800吨。中标人需要确保完成该项工作的合规性和安全性，服务期内配合采购人提供各政府监管部门要求的相关合规证明材料及清理疏通记录。因运营单位未及时响应或非法处置废物导致的不良事件，由中标人承担由此引起的一切经济损失及其他连带责任。</w:t>
      </w:r>
    </w:p>
    <w:p>
      <w:pPr>
        <w:ind w:firstLine="420" w:firstLineChars="200"/>
        <w:rPr>
          <w:rFonts w:hint="eastAsia" w:hAnsi="宋体"/>
          <w:sz w:val="21"/>
          <w:szCs w:val="21"/>
          <w:highlight w:val="none"/>
        </w:rPr>
      </w:pPr>
      <w:r>
        <w:rPr>
          <w:rFonts w:hint="eastAsia" w:hAnsi="宋体"/>
          <w:sz w:val="21"/>
          <w:szCs w:val="21"/>
          <w:highlight w:val="none"/>
        </w:rPr>
        <w:t>（十七）合法合规做好两个院区的污水站污泥清运处置工作，中标后中标人根据《中华人民共和国环境保护法》、《广州市生态环境局 广州市卫生健康委关于进一步加强医院污泥管理的通知》要求，委托具有相关危险废物处置资质、道路运输资质的单位为医院提供污泥清运处置服务，中标人应与采购人及所委托的污泥清运处置单位签订三方协议，每次清运按要求创建联单申报。</w:t>
      </w:r>
    </w:p>
    <w:p>
      <w:pPr>
        <w:ind w:firstLine="420" w:firstLineChars="200"/>
        <w:rPr>
          <w:rFonts w:hint="eastAsia" w:hAnsi="宋体"/>
          <w:sz w:val="21"/>
          <w:szCs w:val="21"/>
          <w:highlight w:val="none"/>
        </w:rPr>
      </w:pPr>
      <w:r>
        <w:rPr>
          <w:rFonts w:hint="eastAsia" w:hAnsi="宋体"/>
          <w:sz w:val="21"/>
          <w:szCs w:val="21"/>
          <w:highlight w:val="none"/>
        </w:rPr>
        <w:t>（十八）为医院提供污水处理技术方面的咨询和指导，负责办理医院的应急管理服务备案及提供环保相关证照申请填报服务。提供合规合法的突发事件应急处置服务，如临时停电安排应急发电、各种情况导致的污水外溢应急抽排水及污水管网堵塞临时安排吸污车疏通等，因运营单位未及时响应或失误导致污水排放不达标，由该单位承担由此引起的一切经济损失及其他连带责任。</w:t>
      </w:r>
    </w:p>
    <w:p>
      <w:pPr>
        <w:ind w:firstLine="420" w:firstLineChars="200"/>
        <w:rPr>
          <w:rFonts w:hint="eastAsia" w:hAnsi="宋体"/>
          <w:sz w:val="21"/>
          <w:szCs w:val="21"/>
          <w:highlight w:val="none"/>
        </w:rPr>
      </w:pPr>
      <w:r>
        <w:rPr>
          <w:rFonts w:hint="eastAsia" w:hAnsi="宋体"/>
          <w:sz w:val="21"/>
          <w:szCs w:val="21"/>
          <w:highlight w:val="none"/>
        </w:rPr>
        <w:t>（十九）负责鹤洞分院的除臭设备活性炭采购、更换和处置，需要委托具有固体废物回收处置能力的单位进行处置并提供回单，不可随意处置。</w:t>
      </w:r>
    </w:p>
    <w:p>
      <w:pPr>
        <w:ind w:firstLine="420" w:firstLineChars="200"/>
        <w:rPr>
          <w:rFonts w:hint="eastAsia" w:hAnsi="宋体"/>
          <w:sz w:val="21"/>
          <w:szCs w:val="21"/>
          <w:highlight w:val="none"/>
        </w:rPr>
      </w:pPr>
      <w:r>
        <w:rPr>
          <w:rFonts w:hint="eastAsia" w:hAnsi="宋体"/>
          <w:sz w:val="21"/>
          <w:szCs w:val="21"/>
          <w:highlight w:val="none"/>
        </w:rPr>
        <w:t>（二十）做好污水处理站5S（整理（Seiri）、整顿（Seiton）、清扫（Seiso）、清洁（Seiketsu）和素养（Shitsuke），“五常法”。），保持污水处理站环境卫生整洁。</w:t>
      </w:r>
    </w:p>
    <w:p>
      <w:pPr>
        <w:ind w:firstLine="420" w:firstLineChars="200"/>
        <w:rPr>
          <w:rFonts w:hint="eastAsia" w:hAnsi="宋体"/>
          <w:sz w:val="21"/>
          <w:szCs w:val="21"/>
          <w:highlight w:val="none"/>
        </w:rPr>
      </w:pPr>
      <w:r>
        <w:rPr>
          <w:rFonts w:hint="eastAsia" w:hAnsi="宋体"/>
          <w:sz w:val="21"/>
          <w:szCs w:val="21"/>
          <w:highlight w:val="none"/>
        </w:rPr>
        <w:t>（二十一）中标人负责污水处理站在线检测仪器运维、检测对比、校准、试剂、废液回收。</w:t>
      </w:r>
    </w:p>
    <w:p>
      <w:pPr>
        <w:ind w:firstLine="420" w:firstLineChars="200"/>
        <w:rPr>
          <w:rFonts w:hint="eastAsia" w:hAnsi="宋体"/>
          <w:sz w:val="21"/>
          <w:szCs w:val="21"/>
          <w:highlight w:val="none"/>
        </w:rPr>
      </w:pPr>
      <w:r>
        <w:rPr>
          <w:rFonts w:hint="eastAsia" w:hAnsi="宋体"/>
          <w:sz w:val="21"/>
          <w:szCs w:val="21"/>
          <w:highlight w:val="none"/>
        </w:rPr>
        <w:t>（二十二）提供突发事件应急服务，协助办理排污相关手续及相关资料。</w:t>
      </w:r>
    </w:p>
    <w:p>
      <w:pPr>
        <w:ind w:firstLine="420" w:firstLineChars="200"/>
        <w:rPr>
          <w:rFonts w:hint="eastAsia" w:hAnsi="宋体"/>
          <w:sz w:val="21"/>
          <w:szCs w:val="21"/>
          <w:highlight w:val="none"/>
        </w:rPr>
      </w:pPr>
      <w:r>
        <w:rPr>
          <w:rFonts w:hint="eastAsia" w:hAnsi="宋体"/>
          <w:sz w:val="21"/>
          <w:szCs w:val="21"/>
          <w:highlight w:val="none"/>
        </w:rPr>
        <w:t>（二十三）每年进行应急演练和总结，由投标人分别于当年5月、11月进行污水处理系统应急演练，并做总结报告上交管理部门审核、存档。</w:t>
      </w:r>
    </w:p>
    <w:p>
      <w:pPr>
        <w:ind w:firstLine="420" w:firstLineChars="200"/>
        <w:rPr>
          <w:rFonts w:hint="eastAsia" w:hAnsi="宋体"/>
          <w:sz w:val="21"/>
          <w:szCs w:val="21"/>
          <w:highlight w:val="none"/>
        </w:rPr>
      </w:pPr>
      <w:r>
        <w:rPr>
          <w:rFonts w:hint="eastAsia" w:hAnsi="宋体"/>
          <w:sz w:val="21"/>
          <w:szCs w:val="21"/>
          <w:highlight w:val="none"/>
        </w:rPr>
        <w:t>（二十四）本项目合同期限到期后，投标人应将所有资料无条件移交给采购人并履行保密义务，且保证资料的真实与完整。</w:t>
      </w:r>
    </w:p>
    <w:p>
      <w:pPr>
        <w:ind w:firstLine="420" w:firstLineChars="200"/>
        <w:rPr>
          <w:rFonts w:hint="eastAsia" w:hAnsi="宋体"/>
          <w:sz w:val="21"/>
          <w:szCs w:val="21"/>
          <w:highlight w:val="none"/>
        </w:rPr>
      </w:pPr>
      <w:r>
        <w:rPr>
          <w:rFonts w:hint="eastAsia" w:hAnsi="宋体"/>
          <w:sz w:val="21"/>
          <w:szCs w:val="21"/>
          <w:highlight w:val="none"/>
        </w:rPr>
        <w:t>（二十五）合同期限内，投标人需协助采购人办理排污相关手续及提供相关资料，提供突发事件应急服务。</w:t>
      </w:r>
    </w:p>
    <w:p>
      <w:pPr>
        <w:ind w:firstLine="420" w:firstLineChars="200"/>
        <w:rPr>
          <w:rFonts w:hint="eastAsia" w:hAnsi="宋体"/>
          <w:sz w:val="21"/>
          <w:szCs w:val="21"/>
          <w:highlight w:val="none"/>
        </w:rPr>
      </w:pPr>
      <w:r>
        <w:rPr>
          <w:rFonts w:hint="eastAsia" w:hAnsi="宋体"/>
          <w:sz w:val="21"/>
          <w:szCs w:val="21"/>
          <w:highlight w:val="none"/>
        </w:rPr>
        <w:t>（二十六）具体实施细则要求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60"/>
        <w:gridCol w:w="7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napToGrid w:val="0"/>
              <w:jc w:val="center"/>
              <w:rPr>
                <w:rFonts w:hint="eastAsia" w:hAnsi="宋体"/>
                <w:b/>
                <w:sz w:val="21"/>
                <w:szCs w:val="21"/>
                <w:highlight w:val="none"/>
              </w:rPr>
            </w:pPr>
            <w:r>
              <w:rPr>
                <w:rFonts w:hint="eastAsia" w:hAnsi="宋体"/>
                <w:b/>
                <w:sz w:val="21"/>
                <w:szCs w:val="21"/>
                <w:highlight w:val="none"/>
              </w:rPr>
              <w:t>序号</w:t>
            </w:r>
          </w:p>
        </w:tc>
        <w:tc>
          <w:tcPr>
            <w:tcW w:w="1560" w:type="dxa"/>
            <w:vAlign w:val="center"/>
          </w:tcPr>
          <w:p>
            <w:pPr>
              <w:snapToGrid w:val="0"/>
              <w:jc w:val="center"/>
              <w:rPr>
                <w:rFonts w:hint="eastAsia" w:hAnsi="宋体"/>
                <w:b/>
                <w:sz w:val="21"/>
                <w:szCs w:val="21"/>
                <w:highlight w:val="none"/>
              </w:rPr>
            </w:pPr>
            <w:r>
              <w:rPr>
                <w:rFonts w:hint="eastAsia" w:hAnsi="宋体"/>
                <w:b/>
                <w:sz w:val="21"/>
                <w:szCs w:val="21"/>
                <w:highlight w:val="none"/>
              </w:rPr>
              <w:t>项目</w:t>
            </w:r>
          </w:p>
        </w:tc>
        <w:tc>
          <w:tcPr>
            <w:tcW w:w="7162" w:type="dxa"/>
            <w:vAlign w:val="center"/>
          </w:tcPr>
          <w:p>
            <w:pPr>
              <w:snapToGrid w:val="0"/>
              <w:jc w:val="center"/>
              <w:rPr>
                <w:rFonts w:hint="eastAsia" w:hAnsi="宋体"/>
                <w:b/>
                <w:sz w:val="21"/>
                <w:szCs w:val="21"/>
                <w:highlight w:val="none"/>
              </w:rPr>
            </w:pPr>
            <w:r>
              <w:rPr>
                <w:rFonts w:hint="eastAsia" w:hAnsi="宋体"/>
                <w:b/>
                <w:sz w:val="21"/>
                <w:szCs w:val="21"/>
                <w:highlight w:val="none"/>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vAlign w:val="center"/>
          </w:tcPr>
          <w:p>
            <w:pPr>
              <w:snapToGrid w:val="0"/>
              <w:jc w:val="center"/>
              <w:rPr>
                <w:rFonts w:hint="eastAsia" w:hAnsi="宋体"/>
                <w:sz w:val="21"/>
                <w:szCs w:val="21"/>
                <w:highlight w:val="none"/>
              </w:rPr>
            </w:pPr>
            <w:r>
              <w:rPr>
                <w:rFonts w:hint="eastAsia" w:hAnsi="宋体"/>
                <w:sz w:val="21"/>
                <w:szCs w:val="21"/>
                <w:highlight w:val="none"/>
              </w:rPr>
              <w:t>1</w:t>
            </w:r>
          </w:p>
        </w:tc>
        <w:tc>
          <w:tcPr>
            <w:tcW w:w="1560" w:type="dxa"/>
            <w:vMerge w:val="restart"/>
            <w:vAlign w:val="center"/>
          </w:tcPr>
          <w:p>
            <w:pPr>
              <w:snapToGrid w:val="0"/>
              <w:jc w:val="center"/>
              <w:rPr>
                <w:rFonts w:hint="eastAsia" w:hAnsi="宋体"/>
                <w:sz w:val="21"/>
                <w:szCs w:val="21"/>
                <w:highlight w:val="none"/>
              </w:rPr>
            </w:pPr>
            <w:r>
              <w:rPr>
                <w:rFonts w:hint="eastAsia" w:hAnsi="宋体"/>
                <w:sz w:val="21"/>
                <w:szCs w:val="21"/>
                <w:highlight w:val="none"/>
              </w:rPr>
              <w:t>运营服务</w:t>
            </w:r>
          </w:p>
        </w:tc>
        <w:tc>
          <w:tcPr>
            <w:tcW w:w="7162" w:type="dxa"/>
            <w:vAlign w:val="center"/>
          </w:tcPr>
          <w:p>
            <w:pPr>
              <w:snapToGrid w:val="0"/>
              <w:rPr>
                <w:rFonts w:hint="eastAsia" w:hAnsi="宋体"/>
                <w:sz w:val="21"/>
                <w:szCs w:val="21"/>
                <w:highlight w:val="none"/>
              </w:rPr>
            </w:pPr>
            <w:r>
              <w:rPr>
                <w:rFonts w:hint="eastAsia" w:hAnsi="宋体"/>
                <w:sz w:val="21"/>
                <w:szCs w:val="21"/>
                <w:highlight w:val="none"/>
              </w:rPr>
              <w:t>运营、维修养护计划方案及质量控制和保证计划。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中标人应制定完善的运营管理网络机构图表。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明确的承包责任条文，含对当地环保管理机构的承诺以及对采购人的管理、运营承诺。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建立健全的考核制度。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建立健全的运营参数及设备完好率，记录考核交接班制度。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保证给排水系统正常运行使用，保证水质符合国家标准。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vAlign w:val="center"/>
          </w:tcPr>
          <w:p>
            <w:pPr>
              <w:snapToGrid w:val="0"/>
              <w:jc w:val="center"/>
              <w:rPr>
                <w:rFonts w:hint="eastAsia" w:hAnsi="宋体"/>
                <w:sz w:val="21"/>
                <w:szCs w:val="21"/>
                <w:highlight w:val="none"/>
              </w:rPr>
            </w:pPr>
            <w:r>
              <w:rPr>
                <w:rFonts w:hint="eastAsia" w:hAnsi="宋体"/>
                <w:sz w:val="21"/>
                <w:szCs w:val="21"/>
                <w:highlight w:val="none"/>
              </w:rPr>
              <w:t>2</w:t>
            </w:r>
          </w:p>
        </w:tc>
        <w:tc>
          <w:tcPr>
            <w:tcW w:w="1560" w:type="dxa"/>
            <w:vMerge w:val="restart"/>
            <w:vAlign w:val="center"/>
          </w:tcPr>
          <w:p>
            <w:pPr>
              <w:snapToGrid w:val="0"/>
              <w:jc w:val="center"/>
              <w:rPr>
                <w:rFonts w:hint="eastAsia" w:hAnsi="宋体"/>
                <w:sz w:val="21"/>
                <w:szCs w:val="21"/>
                <w:highlight w:val="none"/>
              </w:rPr>
            </w:pPr>
            <w:r>
              <w:rPr>
                <w:rFonts w:hint="eastAsia" w:hAnsi="宋体"/>
                <w:sz w:val="21"/>
                <w:szCs w:val="21"/>
                <w:highlight w:val="none"/>
              </w:rPr>
              <w:t>设备仪表运营维修、保养制度</w:t>
            </w: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建有设备保养清单，明确设备保养内容及制度。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设备完好率记录和检修计划申报表。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设备保养记录，含材料消耗记录。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仪表保养检验记录。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电气设备的运营及安全可靠性记录。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制定完善的设备仪表运营完好性考核和奖惩制度。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restart"/>
            <w:vAlign w:val="center"/>
          </w:tcPr>
          <w:p>
            <w:pPr>
              <w:snapToGrid w:val="0"/>
              <w:jc w:val="center"/>
              <w:rPr>
                <w:rFonts w:hint="eastAsia" w:hAnsi="宋体"/>
                <w:sz w:val="21"/>
                <w:szCs w:val="21"/>
                <w:highlight w:val="none"/>
              </w:rPr>
            </w:pPr>
            <w:r>
              <w:rPr>
                <w:rFonts w:hint="eastAsia" w:hAnsi="宋体"/>
                <w:sz w:val="21"/>
                <w:szCs w:val="21"/>
                <w:highlight w:val="none"/>
              </w:rPr>
              <w:t>3</w:t>
            </w:r>
          </w:p>
        </w:tc>
        <w:tc>
          <w:tcPr>
            <w:tcW w:w="1560" w:type="dxa"/>
            <w:vMerge w:val="restart"/>
            <w:vAlign w:val="center"/>
          </w:tcPr>
          <w:p>
            <w:pPr>
              <w:snapToGrid w:val="0"/>
              <w:jc w:val="center"/>
              <w:rPr>
                <w:rFonts w:hint="eastAsia" w:hAnsi="宋体"/>
                <w:sz w:val="21"/>
                <w:szCs w:val="21"/>
                <w:highlight w:val="none"/>
              </w:rPr>
            </w:pPr>
            <w:r>
              <w:rPr>
                <w:rFonts w:hint="eastAsia" w:hAnsi="宋体"/>
                <w:sz w:val="21"/>
                <w:szCs w:val="21"/>
                <w:highlight w:val="none"/>
              </w:rPr>
              <w:t>现场管理</w:t>
            </w: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加强日常检查巡视，防止跑、冒、滴、漏。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对管路、水箱、阀门等进行日常维护和定期检修。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确保门、窗、地面、玻璃等设施无破损、残缺，能正常使用。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定期对污水处理设施进行清通、养护及清除污垢，保证排水系统通畅。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对电气设备定期巡视维护和重点检测。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加强日常维护检修，公共使用的照明灯具、线路、开关保证完好，确保用电安全。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及时发现并解决故障，零修合格率100%，保证设备完好率95%（不含）以上。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74" w:type="dxa"/>
            <w:vMerge w:val="continue"/>
            <w:vAlign w:val="center"/>
          </w:tcPr>
          <w:p>
            <w:pPr>
              <w:snapToGrid w:val="0"/>
              <w:jc w:val="center"/>
              <w:rPr>
                <w:rFonts w:hint="eastAsia" w:hAnsi="宋体"/>
                <w:sz w:val="21"/>
                <w:szCs w:val="21"/>
                <w:highlight w:val="none"/>
              </w:rPr>
            </w:pPr>
          </w:p>
        </w:tc>
        <w:tc>
          <w:tcPr>
            <w:tcW w:w="1560" w:type="dxa"/>
            <w:vMerge w:val="continue"/>
            <w:vAlign w:val="center"/>
          </w:tcPr>
          <w:p>
            <w:pPr>
              <w:snapToGrid w:val="0"/>
              <w:jc w:val="center"/>
              <w:rPr>
                <w:rFonts w:hint="eastAsia" w:hAnsi="宋体"/>
                <w:sz w:val="21"/>
                <w:szCs w:val="21"/>
                <w:highlight w:val="none"/>
              </w:rPr>
            </w:pPr>
          </w:p>
        </w:tc>
        <w:tc>
          <w:tcPr>
            <w:tcW w:w="7162" w:type="dxa"/>
            <w:vAlign w:val="center"/>
          </w:tcPr>
          <w:p>
            <w:pPr>
              <w:snapToGrid w:val="0"/>
              <w:rPr>
                <w:rFonts w:hint="eastAsia" w:hAnsi="宋体"/>
                <w:sz w:val="21"/>
                <w:szCs w:val="21"/>
                <w:highlight w:val="none"/>
              </w:rPr>
            </w:pPr>
            <w:r>
              <w:rPr>
                <w:rFonts w:hint="eastAsia" w:hAnsi="宋体"/>
                <w:sz w:val="21"/>
                <w:szCs w:val="21"/>
                <w:highlight w:val="none"/>
              </w:rPr>
              <w:t>保证污水处理站环境卫生整洁。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napToGrid w:val="0"/>
              <w:jc w:val="center"/>
              <w:rPr>
                <w:rFonts w:hint="eastAsia" w:hAnsi="宋体"/>
                <w:sz w:val="21"/>
                <w:szCs w:val="21"/>
                <w:highlight w:val="none"/>
              </w:rPr>
            </w:pPr>
            <w:r>
              <w:rPr>
                <w:rFonts w:hint="eastAsia" w:hAnsi="宋体"/>
                <w:sz w:val="21"/>
                <w:szCs w:val="21"/>
                <w:highlight w:val="none"/>
              </w:rPr>
              <w:t>4</w:t>
            </w:r>
          </w:p>
        </w:tc>
        <w:tc>
          <w:tcPr>
            <w:tcW w:w="1560" w:type="dxa"/>
            <w:vAlign w:val="center"/>
          </w:tcPr>
          <w:p>
            <w:pPr>
              <w:snapToGrid w:val="0"/>
              <w:jc w:val="center"/>
              <w:rPr>
                <w:rFonts w:hint="eastAsia" w:hAnsi="宋体"/>
                <w:sz w:val="21"/>
                <w:szCs w:val="21"/>
                <w:highlight w:val="none"/>
              </w:rPr>
            </w:pPr>
            <w:r>
              <w:rPr>
                <w:rFonts w:hint="eastAsia" w:hAnsi="宋体"/>
                <w:sz w:val="21"/>
                <w:szCs w:val="21"/>
                <w:highlight w:val="none"/>
              </w:rPr>
              <w:t>资料管理</w:t>
            </w:r>
          </w:p>
        </w:tc>
        <w:tc>
          <w:tcPr>
            <w:tcW w:w="7162" w:type="dxa"/>
            <w:vAlign w:val="center"/>
          </w:tcPr>
          <w:p>
            <w:pPr>
              <w:snapToGrid w:val="0"/>
              <w:rPr>
                <w:rFonts w:hint="eastAsia" w:hAnsi="宋体"/>
                <w:sz w:val="21"/>
                <w:szCs w:val="21"/>
                <w:highlight w:val="none"/>
              </w:rPr>
            </w:pPr>
            <w:r>
              <w:rPr>
                <w:rFonts w:hint="eastAsia" w:hAnsi="宋体"/>
                <w:sz w:val="21"/>
                <w:szCs w:val="21"/>
                <w:highlight w:val="none"/>
              </w:rPr>
              <w:t>保证交给采购人的各项档案资料的完整性、完好性。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pPr>
              <w:snapToGrid w:val="0"/>
              <w:jc w:val="center"/>
              <w:rPr>
                <w:rFonts w:hint="eastAsia" w:hAnsi="宋体"/>
                <w:sz w:val="21"/>
                <w:szCs w:val="21"/>
                <w:highlight w:val="none"/>
              </w:rPr>
            </w:pPr>
            <w:r>
              <w:rPr>
                <w:rFonts w:hint="eastAsia" w:hAnsi="宋体"/>
                <w:sz w:val="21"/>
                <w:szCs w:val="21"/>
                <w:highlight w:val="none"/>
              </w:rPr>
              <w:t>5</w:t>
            </w:r>
          </w:p>
        </w:tc>
        <w:tc>
          <w:tcPr>
            <w:tcW w:w="1560" w:type="dxa"/>
            <w:vAlign w:val="center"/>
          </w:tcPr>
          <w:p>
            <w:pPr>
              <w:snapToGrid w:val="0"/>
              <w:jc w:val="center"/>
              <w:rPr>
                <w:rFonts w:hint="eastAsia" w:hAnsi="宋体"/>
                <w:sz w:val="21"/>
                <w:szCs w:val="21"/>
                <w:highlight w:val="none"/>
              </w:rPr>
            </w:pPr>
            <w:r>
              <w:rPr>
                <w:rFonts w:hint="eastAsia" w:hAnsi="宋体"/>
                <w:sz w:val="21"/>
                <w:szCs w:val="21"/>
                <w:highlight w:val="none"/>
              </w:rPr>
              <w:t>服务受理</w:t>
            </w:r>
          </w:p>
        </w:tc>
        <w:tc>
          <w:tcPr>
            <w:tcW w:w="7162" w:type="dxa"/>
            <w:vAlign w:val="center"/>
          </w:tcPr>
          <w:p>
            <w:pPr>
              <w:snapToGrid w:val="0"/>
              <w:rPr>
                <w:rFonts w:hint="eastAsia" w:hAnsi="宋体"/>
                <w:sz w:val="21"/>
                <w:szCs w:val="21"/>
                <w:highlight w:val="none"/>
              </w:rPr>
            </w:pPr>
            <w:r>
              <w:rPr>
                <w:rFonts w:hint="eastAsia" w:hAnsi="宋体"/>
                <w:sz w:val="21"/>
                <w:szCs w:val="21"/>
                <w:highlight w:val="none"/>
              </w:rPr>
              <w:t>保证有效投诉后的处理整改率100%；保证管理服务用户总满意率90%（不含）以上。</w:t>
            </w:r>
          </w:p>
        </w:tc>
      </w:tr>
    </w:tbl>
    <w:p>
      <w:pPr>
        <w:rPr>
          <w:rFonts w:hint="eastAsia" w:hAnsi="宋体"/>
          <w:sz w:val="21"/>
          <w:szCs w:val="21"/>
          <w:highlight w:val="none"/>
        </w:rPr>
      </w:pPr>
    </w:p>
    <w:p>
      <w:pPr>
        <w:rPr>
          <w:sz w:val="21"/>
          <w:szCs w:val="21"/>
          <w:highlight w:val="none"/>
        </w:rPr>
      </w:pPr>
      <w:r>
        <w:rPr>
          <w:rFonts w:hint="eastAsia" w:hAnsi="宋体"/>
          <w:sz w:val="21"/>
          <w:szCs w:val="21"/>
          <w:highlight w:val="none"/>
        </w:rPr>
        <w:t>★</w:t>
      </w:r>
      <w:r>
        <w:rPr>
          <w:rFonts w:hint="eastAsia" w:hAnsi="宋体"/>
          <w:b/>
          <w:bCs/>
          <w:sz w:val="21"/>
          <w:szCs w:val="21"/>
          <w:highlight w:val="none"/>
        </w:rPr>
        <w:t>四、报价要求：</w:t>
      </w:r>
    </w:p>
    <w:p>
      <w:pPr>
        <w:spacing w:before="25" w:after="25"/>
        <w:rPr>
          <w:bCs/>
          <w:spacing w:val="10"/>
          <w:sz w:val="21"/>
          <w:szCs w:val="21"/>
          <w:highlight w:val="none"/>
        </w:rPr>
      </w:pPr>
      <w:r>
        <w:rPr>
          <w:rFonts w:hint="eastAsia"/>
          <w:bCs/>
          <w:spacing w:val="10"/>
          <w:sz w:val="21"/>
          <w:szCs w:val="21"/>
          <w:highlight w:val="none"/>
        </w:rPr>
        <w:t>1、本项目采用“全承包”方式，采购人只负责水费、电费，中标人负责包含人工工资、药剂费、污泥处置费、污泥运输费及排污费、日常设备维修保养费、2000元及以下的维修材料、零配件费、环保相关证照申请填报服务费、应急服务费、日常水质检测费、环保监测费、化验费、营运管理费、税费、劳保、办公、社保及其它的所有费用。</w:t>
      </w:r>
    </w:p>
    <w:p>
      <w:pPr>
        <w:spacing w:before="25" w:after="25"/>
        <w:rPr>
          <w:bCs/>
          <w:spacing w:val="10"/>
          <w:sz w:val="21"/>
          <w:szCs w:val="21"/>
          <w:highlight w:val="none"/>
        </w:rPr>
      </w:pPr>
      <w:r>
        <w:rPr>
          <w:rFonts w:hint="eastAsia"/>
          <w:bCs/>
          <w:spacing w:val="10"/>
          <w:sz w:val="21"/>
          <w:szCs w:val="21"/>
          <w:highlight w:val="none"/>
        </w:rPr>
        <w:t>2、投标人应结合自身的实际能力，综合考虑项目实施过程中可能影响投标报价的风险因素，投标报价应包含本项目实施过程中发生的所有费用，采购人不再另行支付任何费用。</w:t>
      </w:r>
    </w:p>
    <w:p>
      <w:pPr>
        <w:spacing w:before="25" w:after="25"/>
        <w:rPr>
          <w:bCs/>
          <w:spacing w:val="10"/>
          <w:sz w:val="21"/>
          <w:szCs w:val="21"/>
          <w:highlight w:val="none"/>
        </w:rPr>
      </w:pPr>
      <w:r>
        <w:rPr>
          <w:rFonts w:hint="eastAsia"/>
          <w:bCs/>
          <w:spacing w:val="10"/>
          <w:sz w:val="21"/>
          <w:szCs w:val="21"/>
          <w:highlight w:val="none"/>
        </w:rPr>
        <w:t>3、本项目各分项中标（合同）金额及中标（合同）总金额计算方式：</w:t>
      </w:r>
    </w:p>
    <w:p>
      <w:pPr>
        <w:spacing w:before="25" w:after="25"/>
        <w:rPr>
          <w:bCs/>
          <w:spacing w:val="10"/>
          <w:sz w:val="21"/>
          <w:szCs w:val="21"/>
          <w:highlight w:val="none"/>
        </w:rPr>
      </w:pPr>
      <w:r>
        <w:rPr>
          <w:rFonts w:hint="eastAsia"/>
          <w:bCs/>
          <w:spacing w:val="10"/>
          <w:sz w:val="21"/>
          <w:szCs w:val="21"/>
          <w:highlight w:val="none"/>
        </w:rPr>
        <w:t>（1）污水处理站外包运营服务中标（合同）金额=单项采购预算×（1-中标</w:t>
      </w:r>
      <w:bookmarkStart w:id="15" w:name="OLE_LINK22"/>
      <w:r>
        <w:rPr>
          <w:rFonts w:hint="eastAsia"/>
          <w:bCs/>
          <w:spacing w:val="10"/>
          <w:sz w:val="21"/>
          <w:szCs w:val="21"/>
          <w:highlight w:val="none"/>
        </w:rPr>
        <w:t>分项</w:t>
      </w:r>
      <w:bookmarkEnd w:id="15"/>
      <w:r>
        <w:rPr>
          <w:rFonts w:hint="eastAsia"/>
          <w:bCs/>
          <w:spacing w:val="10"/>
          <w:sz w:val="21"/>
          <w:szCs w:val="21"/>
          <w:highlight w:val="none"/>
        </w:rPr>
        <w:t>优惠率）；</w:t>
      </w:r>
    </w:p>
    <w:p>
      <w:pPr>
        <w:spacing w:before="25" w:after="25"/>
        <w:rPr>
          <w:bCs/>
          <w:spacing w:val="10"/>
          <w:sz w:val="21"/>
          <w:szCs w:val="21"/>
          <w:highlight w:val="none"/>
        </w:rPr>
      </w:pPr>
      <w:r>
        <w:rPr>
          <w:rFonts w:hint="eastAsia"/>
          <w:bCs/>
          <w:spacing w:val="10"/>
          <w:sz w:val="21"/>
          <w:szCs w:val="21"/>
          <w:highlight w:val="none"/>
        </w:rPr>
        <w:t>（2）2000元以上的维修材料、零配件费中标（合同）金额=单项采购预算×（1-中标分项优惠率）；</w:t>
      </w:r>
    </w:p>
    <w:p>
      <w:pPr>
        <w:spacing w:before="25" w:after="25"/>
        <w:rPr>
          <w:bCs/>
          <w:spacing w:val="10"/>
          <w:sz w:val="21"/>
          <w:szCs w:val="21"/>
          <w:highlight w:val="none"/>
        </w:rPr>
      </w:pPr>
      <w:r>
        <w:rPr>
          <w:rFonts w:hint="eastAsia"/>
          <w:bCs/>
          <w:spacing w:val="10"/>
          <w:sz w:val="21"/>
          <w:szCs w:val="21"/>
          <w:highlight w:val="none"/>
        </w:rPr>
        <w:t>（5）本项目中标（合同）总金额＝上述（1）+（2）。</w:t>
      </w:r>
    </w:p>
    <w:p>
      <w:pPr>
        <w:spacing w:before="25" w:after="25"/>
        <w:rPr>
          <w:bCs/>
          <w:spacing w:val="10"/>
          <w:sz w:val="21"/>
          <w:szCs w:val="21"/>
          <w:highlight w:val="none"/>
        </w:rPr>
      </w:pPr>
      <w:r>
        <w:rPr>
          <w:rFonts w:hint="eastAsia"/>
          <w:bCs/>
          <w:spacing w:val="10"/>
          <w:sz w:val="21"/>
          <w:szCs w:val="21"/>
          <w:highlight w:val="none"/>
        </w:rPr>
        <w:t>4、投标人根据下表填报污水处理站外包运营服务、2000元以上的维修材料、零配件费二部分分别填报分项优惠率，如有分项优惠率报价缺漏，视为无效投标。分项优惠率作为中标后的结算优惠率。</w:t>
      </w:r>
    </w:p>
    <w:p>
      <w:pPr>
        <w:spacing w:before="25" w:after="25"/>
        <w:rPr>
          <w:bCs/>
          <w:spacing w:val="10"/>
          <w:sz w:val="21"/>
          <w:szCs w:val="21"/>
          <w:highlight w:val="none"/>
        </w:rPr>
      </w:pPr>
      <w:r>
        <w:rPr>
          <w:rFonts w:hint="eastAsia"/>
          <w:bCs/>
          <w:spacing w:val="10"/>
          <w:sz w:val="21"/>
          <w:szCs w:val="21"/>
          <w:highlight w:val="none"/>
        </w:rPr>
        <w:t>分项优惠率报价</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3324"/>
        <w:gridCol w:w="1084"/>
        <w:gridCol w:w="2802"/>
        <w:gridCol w:w="2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30" w:type="pct"/>
            <w:vAlign w:val="center"/>
          </w:tcPr>
          <w:p>
            <w:pPr>
              <w:widowControl/>
              <w:jc w:val="center"/>
              <w:rPr>
                <w:rFonts w:hint="eastAsia" w:hAnsi="宋体"/>
                <w:b/>
                <w:bCs/>
                <w:sz w:val="21"/>
                <w:szCs w:val="21"/>
                <w:highlight w:val="none"/>
              </w:rPr>
            </w:pPr>
            <w:r>
              <w:rPr>
                <w:rFonts w:hint="eastAsia" w:hAnsi="宋体"/>
                <w:b/>
                <w:bCs/>
                <w:sz w:val="21"/>
                <w:szCs w:val="21"/>
                <w:highlight w:val="none"/>
              </w:rPr>
              <w:t>序号</w:t>
            </w:r>
          </w:p>
        </w:tc>
        <w:tc>
          <w:tcPr>
            <w:tcW w:w="1554" w:type="pct"/>
            <w:vAlign w:val="center"/>
          </w:tcPr>
          <w:p>
            <w:pPr>
              <w:widowControl/>
              <w:jc w:val="center"/>
              <w:rPr>
                <w:rFonts w:hint="eastAsia" w:hAnsi="宋体"/>
                <w:b/>
                <w:bCs/>
                <w:sz w:val="21"/>
                <w:szCs w:val="21"/>
                <w:highlight w:val="none"/>
              </w:rPr>
            </w:pPr>
            <w:r>
              <w:rPr>
                <w:rFonts w:hint="eastAsia" w:hAnsi="宋体"/>
                <w:b/>
                <w:bCs/>
                <w:sz w:val="21"/>
                <w:szCs w:val="21"/>
                <w:highlight w:val="none"/>
              </w:rPr>
              <w:t>采购内容</w:t>
            </w:r>
          </w:p>
        </w:tc>
        <w:tc>
          <w:tcPr>
            <w:tcW w:w="507" w:type="pct"/>
            <w:vAlign w:val="center"/>
          </w:tcPr>
          <w:p>
            <w:pPr>
              <w:widowControl/>
              <w:jc w:val="center"/>
              <w:rPr>
                <w:rFonts w:hint="eastAsia" w:hAnsi="宋体"/>
                <w:b/>
                <w:bCs/>
                <w:sz w:val="21"/>
                <w:szCs w:val="21"/>
                <w:highlight w:val="none"/>
              </w:rPr>
            </w:pPr>
            <w:r>
              <w:rPr>
                <w:rFonts w:hint="eastAsia" w:hAnsi="宋体"/>
                <w:b/>
                <w:bCs/>
                <w:sz w:val="21"/>
                <w:szCs w:val="21"/>
                <w:highlight w:val="none"/>
              </w:rPr>
              <w:t>数量</w:t>
            </w:r>
          </w:p>
        </w:tc>
        <w:tc>
          <w:tcPr>
            <w:tcW w:w="1310" w:type="pct"/>
            <w:vAlign w:val="center"/>
          </w:tcPr>
          <w:p>
            <w:pPr>
              <w:widowControl/>
              <w:jc w:val="center"/>
              <w:rPr>
                <w:rFonts w:hint="eastAsia" w:hAnsi="宋体"/>
                <w:b/>
                <w:bCs/>
                <w:sz w:val="21"/>
                <w:szCs w:val="21"/>
                <w:highlight w:val="none"/>
              </w:rPr>
            </w:pPr>
            <w:r>
              <w:rPr>
                <w:rFonts w:hint="eastAsia" w:hAnsi="宋体"/>
                <w:b/>
                <w:bCs/>
                <w:sz w:val="21"/>
                <w:szCs w:val="21"/>
                <w:highlight w:val="none"/>
              </w:rPr>
              <w:t>采购预算（元）</w:t>
            </w:r>
          </w:p>
        </w:tc>
        <w:tc>
          <w:tcPr>
            <w:tcW w:w="1198" w:type="pct"/>
            <w:vAlign w:val="center"/>
          </w:tcPr>
          <w:p>
            <w:pPr>
              <w:widowControl/>
              <w:jc w:val="center"/>
              <w:rPr>
                <w:rFonts w:hint="eastAsia" w:hAnsi="宋体"/>
                <w:b/>
                <w:bCs/>
                <w:sz w:val="21"/>
                <w:szCs w:val="21"/>
                <w:highlight w:val="none"/>
              </w:rPr>
            </w:pPr>
            <w:r>
              <w:rPr>
                <w:rFonts w:hint="eastAsia" w:hAnsi="宋体"/>
                <w:b/>
                <w:bCs/>
                <w:sz w:val="21"/>
                <w:szCs w:val="21"/>
                <w:highlight w:val="none"/>
              </w:rPr>
              <w:t>分项优惠率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430" w:type="pct"/>
            <w:vAlign w:val="center"/>
          </w:tcPr>
          <w:p>
            <w:pPr>
              <w:widowControl/>
              <w:jc w:val="center"/>
              <w:rPr>
                <w:rFonts w:hint="eastAsia" w:hAnsi="宋体"/>
                <w:kern w:val="2"/>
                <w:sz w:val="21"/>
                <w:szCs w:val="21"/>
                <w:highlight w:val="none"/>
              </w:rPr>
            </w:pPr>
            <w:r>
              <w:rPr>
                <w:rFonts w:hint="eastAsia" w:hAnsi="宋体"/>
                <w:kern w:val="2"/>
                <w:sz w:val="21"/>
                <w:szCs w:val="21"/>
                <w:highlight w:val="none"/>
              </w:rPr>
              <w:t>1</w:t>
            </w:r>
          </w:p>
        </w:tc>
        <w:tc>
          <w:tcPr>
            <w:tcW w:w="1554" w:type="pct"/>
            <w:vAlign w:val="center"/>
          </w:tcPr>
          <w:p>
            <w:pPr>
              <w:widowControl/>
              <w:jc w:val="center"/>
              <w:rPr>
                <w:rFonts w:hint="eastAsia" w:hAnsi="宋体"/>
                <w:b/>
                <w:sz w:val="21"/>
                <w:szCs w:val="21"/>
                <w:highlight w:val="none"/>
              </w:rPr>
            </w:pPr>
            <w:bookmarkStart w:id="16" w:name="OLE_LINK20"/>
            <w:r>
              <w:rPr>
                <w:rFonts w:hint="eastAsia" w:hAnsi="宋体"/>
                <w:kern w:val="2"/>
                <w:sz w:val="21"/>
                <w:szCs w:val="21"/>
                <w:highlight w:val="none"/>
              </w:rPr>
              <w:t>污水处理站外包运营服务</w:t>
            </w:r>
            <w:bookmarkEnd w:id="16"/>
          </w:p>
        </w:tc>
        <w:tc>
          <w:tcPr>
            <w:tcW w:w="507" w:type="pct"/>
            <w:vAlign w:val="center"/>
          </w:tcPr>
          <w:p>
            <w:pPr>
              <w:widowControl/>
              <w:jc w:val="center"/>
              <w:rPr>
                <w:rFonts w:hint="eastAsia" w:hAnsi="宋体"/>
                <w:bCs/>
                <w:sz w:val="21"/>
                <w:szCs w:val="21"/>
                <w:highlight w:val="none"/>
              </w:rPr>
            </w:pPr>
            <w:r>
              <w:rPr>
                <w:rFonts w:hint="eastAsia" w:hAnsi="宋体"/>
                <w:bCs/>
                <w:sz w:val="21"/>
                <w:szCs w:val="21"/>
                <w:highlight w:val="none"/>
              </w:rPr>
              <w:t>1项</w:t>
            </w:r>
          </w:p>
        </w:tc>
        <w:tc>
          <w:tcPr>
            <w:tcW w:w="1310" w:type="pct"/>
            <w:vAlign w:val="center"/>
          </w:tcPr>
          <w:p>
            <w:pPr>
              <w:jc w:val="center"/>
              <w:rPr>
                <w:rFonts w:hint="eastAsia" w:hAnsi="宋体"/>
                <w:kern w:val="2"/>
                <w:sz w:val="21"/>
                <w:szCs w:val="21"/>
                <w:highlight w:val="none"/>
              </w:rPr>
            </w:pPr>
            <w:r>
              <w:rPr>
                <w:rFonts w:hint="eastAsia" w:hAnsi="宋体"/>
                <w:sz w:val="21"/>
                <w:szCs w:val="21"/>
                <w:highlight w:val="none"/>
              </w:rPr>
              <w:t>1,610,000.00</w:t>
            </w:r>
          </w:p>
        </w:tc>
        <w:tc>
          <w:tcPr>
            <w:tcW w:w="1198" w:type="pct"/>
            <w:vAlign w:val="center"/>
          </w:tcPr>
          <w:p>
            <w:pPr>
              <w:widowControl/>
              <w:jc w:val="center"/>
              <w:rPr>
                <w:rFonts w:hint="eastAsia" w:hAnsi="宋体"/>
                <w:b/>
                <w:sz w:val="21"/>
                <w:szCs w:val="21"/>
                <w:highlight w:val="none"/>
              </w:rPr>
            </w:pPr>
            <w:r>
              <w:rPr>
                <w:rFonts w:hint="eastAsia" w:hAnsi="宋体"/>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widowControl/>
              <w:jc w:val="center"/>
              <w:rPr>
                <w:rFonts w:hint="eastAsia" w:hAnsi="宋体"/>
                <w:kern w:val="2"/>
                <w:sz w:val="21"/>
                <w:szCs w:val="21"/>
                <w:highlight w:val="none"/>
              </w:rPr>
            </w:pPr>
            <w:r>
              <w:rPr>
                <w:rFonts w:hint="eastAsia" w:hAnsi="宋体"/>
                <w:kern w:val="2"/>
                <w:sz w:val="21"/>
                <w:szCs w:val="21"/>
                <w:highlight w:val="none"/>
              </w:rPr>
              <w:t>2</w:t>
            </w:r>
          </w:p>
        </w:tc>
        <w:tc>
          <w:tcPr>
            <w:tcW w:w="1554" w:type="pct"/>
            <w:vAlign w:val="center"/>
          </w:tcPr>
          <w:p>
            <w:pPr>
              <w:widowControl/>
              <w:jc w:val="center"/>
              <w:rPr>
                <w:rFonts w:hint="eastAsia" w:hAnsi="宋体"/>
                <w:b/>
                <w:sz w:val="21"/>
                <w:szCs w:val="21"/>
                <w:highlight w:val="none"/>
              </w:rPr>
            </w:pPr>
            <w:bookmarkStart w:id="17" w:name="OLE_LINK21"/>
            <w:r>
              <w:rPr>
                <w:rFonts w:hint="eastAsia" w:hAnsi="宋体"/>
                <w:kern w:val="2"/>
                <w:sz w:val="21"/>
                <w:szCs w:val="21"/>
                <w:highlight w:val="none"/>
              </w:rPr>
              <w:t>2000元以上的维修材料、零配件费</w:t>
            </w:r>
            <w:bookmarkEnd w:id="17"/>
          </w:p>
        </w:tc>
        <w:tc>
          <w:tcPr>
            <w:tcW w:w="507" w:type="pct"/>
            <w:vAlign w:val="center"/>
          </w:tcPr>
          <w:p>
            <w:pPr>
              <w:widowControl/>
              <w:jc w:val="center"/>
              <w:rPr>
                <w:rFonts w:hint="eastAsia" w:hAnsi="宋体"/>
                <w:bCs/>
                <w:sz w:val="21"/>
                <w:szCs w:val="21"/>
                <w:highlight w:val="none"/>
              </w:rPr>
            </w:pPr>
            <w:r>
              <w:rPr>
                <w:rFonts w:hint="eastAsia" w:hAnsi="宋体"/>
                <w:bCs/>
                <w:sz w:val="21"/>
                <w:szCs w:val="21"/>
                <w:highlight w:val="none"/>
              </w:rPr>
              <w:t>1项</w:t>
            </w:r>
          </w:p>
        </w:tc>
        <w:tc>
          <w:tcPr>
            <w:tcW w:w="1310" w:type="pct"/>
            <w:vAlign w:val="center"/>
          </w:tcPr>
          <w:p>
            <w:pPr>
              <w:jc w:val="center"/>
              <w:rPr>
                <w:rFonts w:hint="eastAsia" w:hAnsi="宋体"/>
                <w:kern w:val="2"/>
                <w:sz w:val="21"/>
                <w:szCs w:val="21"/>
                <w:highlight w:val="none"/>
              </w:rPr>
            </w:pPr>
            <w:r>
              <w:rPr>
                <w:rFonts w:hint="eastAsia" w:hAnsi="宋体"/>
                <w:sz w:val="21"/>
                <w:szCs w:val="21"/>
                <w:highlight w:val="none"/>
              </w:rPr>
              <w:t>450,000.00</w:t>
            </w:r>
          </w:p>
        </w:tc>
        <w:tc>
          <w:tcPr>
            <w:tcW w:w="1198" w:type="pct"/>
            <w:vAlign w:val="center"/>
          </w:tcPr>
          <w:p>
            <w:pPr>
              <w:widowControl/>
              <w:jc w:val="center"/>
              <w:rPr>
                <w:rFonts w:hint="eastAsia" w:hAnsi="宋体"/>
                <w:b/>
                <w:sz w:val="21"/>
                <w:szCs w:val="21"/>
                <w:highlight w:val="none"/>
              </w:rPr>
            </w:pPr>
            <w:r>
              <w:rPr>
                <w:rFonts w:hint="eastAsia" w:hAnsi="宋体"/>
                <w:sz w:val="21"/>
                <w:szCs w:val="21"/>
                <w:highlight w:val="none"/>
                <w:u w:val="single"/>
              </w:rPr>
              <w:t xml:space="preserve">     %</w:t>
            </w:r>
          </w:p>
        </w:tc>
      </w:tr>
    </w:tbl>
    <w:p>
      <w:pPr>
        <w:spacing w:before="25" w:after="25"/>
        <w:rPr>
          <w:bCs/>
          <w:spacing w:val="10"/>
          <w:sz w:val="21"/>
          <w:szCs w:val="21"/>
          <w:highlight w:val="none"/>
        </w:rPr>
      </w:pPr>
      <w:r>
        <w:rPr>
          <w:rFonts w:hint="eastAsia"/>
          <w:bCs/>
          <w:spacing w:val="10"/>
          <w:sz w:val="21"/>
          <w:szCs w:val="21"/>
          <w:highlight w:val="none"/>
        </w:rPr>
        <w:t>4.1加权投标优惠率=【污水处理站外包运营服务分项优惠率×78%+2000元以上的维修材料、零配件费分项优惠率×22%】×100%。</w:t>
      </w:r>
    </w:p>
    <w:p>
      <w:pPr>
        <w:spacing w:before="25" w:after="25"/>
        <w:rPr>
          <w:bCs/>
          <w:spacing w:val="10"/>
          <w:sz w:val="21"/>
          <w:szCs w:val="21"/>
          <w:highlight w:val="none"/>
        </w:rPr>
      </w:pPr>
      <w:r>
        <w:rPr>
          <w:rFonts w:hint="eastAsia"/>
          <w:bCs/>
          <w:spacing w:val="10"/>
          <w:sz w:val="21"/>
          <w:szCs w:val="21"/>
          <w:highlight w:val="none"/>
        </w:rPr>
        <w:t>例如：【污水处理站外包运营服务分项优惠率10%×78%+2000元以上的维修材料、零配件费分项优惠率分项优惠率15%×22%】×100%=加权投标优惠率11.1%。</w:t>
      </w:r>
    </w:p>
    <w:p>
      <w:pPr>
        <w:spacing w:before="25" w:after="25"/>
        <w:rPr>
          <w:bCs/>
          <w:spacing w:val="10"/>
          <w:sz w:val="21"/>
          <w:szCs w:val="21"/>
          <w:highlight w:val="none"/>
        </w:rPr>
      </w:pPr>
      <w:r>
        <w:rPr>
          <w:rFonts w:hint="eastAsia"/>
          <w:bCs/>
          <w:spacing w:val="10"/>
          <w:sz w:val="21"/>
          <w:szCs w:val="21"/>
          <w:highlight w:val="none"/>
        </w:rPr>
        <w:t>4.2投标人需要将“加权投标优惠率”的计算结果在广东省政府采购智慧云平台中作为项目总报价填入系统，加权投标优惠率仅参与评审时的价格评价计算价格评分，保留小数点后两位（四舍五入）。如分项报价优惠率加权计算结果与填报加权投标优惠率不一致的，以分项报价优惠率加权计算结果为准。修正后的报价经投标人书面确认后产生约束力，投标人不确认的，视为无效投标。</w:t>
      </w:r>
    </w:p>
    <w:p>
      <w:pPr>
        <w:rPr>
          <w:rFonts w:hint="eastAsia" w:hAnsi="宋体"/>
          <w:b/>
          <w:bCs/>
          <w:sz w:val="21"/>
          <w:szCs w:val="21"/>
          <w:highlight w:val="none"/>
        </w:rPr>
      </w:pPr>
    </w:p>
    <w:p>
      <w:pPr>
        <w:rPr>
          <w:rFonts w:hint="eastAsia" w:hAnsi="宋体"/>
          <w:b/>
          <w:bCs/>
          <w:sz w:val="21"/>
          <w:szCs w:val="21"/>
          <w:highlight w:val="none"/>
        </w:rPr>
      </w:pPr>
      <w:r>
        <w:rPr>
          <w:rFonts w:hint="eastAsia" w:hAnsi="宋体"/>
          <w:b/>
          <w:bCs/>
          <w:sz w:val="21"/>
          <w:szCs w:val="21"/>
          <w:highlight w:val="none"/>
        </w:rPr>
        <w:t>五、人员要求</w:t>
      </w:r>
    </w:p>
    <w:p>
      <w:pPr>
        <w:ind w:firstLine="420" w:firstLineChars="200"/>
        <w:rPr>
          <w:rFonts w:hint="eastAsia" w:hAnsi="宋体"/>
          <w:sz w:val="21"/>
          <w:szCs w:val="21"/>
          <w:highlight w:val="none"/>
        </w:rPr>
      </w:pPr>
      <w:r>
        <w:rPr>
          <w:rFonts w:hint="eastAsia" w:hAnsi="宋体"/>
          <w:sz w:val="21"/>
          <w:szCs w:val="21"/>
          <w:highlight w:val="none"/>
        </w:rPr>
        <w:t>（一）现场驻点污染源自动监控设施的操作和管理人员需经省级环境保护行政主管部门委托的中介机构进行岗位培训。</w:t>
      </w:r>
    </w:p>
    <w:p>
      <w:pPr>
        <w:ind w:firstLine="420" w:firstLineChars="200"/>
        <w:rPr>
          <w:rFonts w:hint="eastAsia" w:hAnsi="宋体"/>
          <w:sz w:val="21"/>
          <w:szCs w:val="21"/>
          <w:highlight w:val="none"/>
        </w:rPr>
      </w:pPr>
      <w:r>
        <w:rPr>
          <w:rFonts w:hint="eastAsia" w:hAnsi="宋体"/>
          <w:sz w:val="21"/>
          <w:szCs w:val="21"/>
          <w:highlight w:val="none"/>
        </w:rPr>
        <w:t>（二）总院污水处理站实行每天24小时值班制度，要求有驻点人员24小时在岗，确保污水处理站系统设备每天 24 小时正常运行和污染物达标排放。鹤洞分院根据院区、站点规模及污水处理量等实际情况，驻点人员工作时间为每天7:30-12:00和14:00-17:30，其余时段如遇突发应急情况，中标人需要在接到通知的2个小时内赶到现场处置。</w:t>
      </w:r>
    </w:p>
    <w:p>
      <w:pPr>
        <w:ind w:firstLine="420" w:firstLineChars="200"/>
        <w:rPr>
          <w:rFonts w:hint="eastAsia" w:hAnsi="宋体"/>
          <w:sz w:val="21"/>
          <w:szCs w:val="21"/>
          <w:highlight w:val="none"/>
        </w:rPr>
      </w:pPr>
      <w:r>
        <w:rPr>
          <w:rFonts w:hint="eastAsia" w:hAnsi="宋体"/>
          <w:sz w:val="21"/>
          <w:szCs w:val="21"/>
          <w:highlight w:val="none"/>
        </w:rPr>
        <w:t>（三）因站内设备设施维护管理涉及</w:t>
      </w:r>
      <w:bookmarkStart w:id="18" w:name="OLE_LINK6"/>
      <w:r>
        <w:rPr>
          <w:rFonts w:hint="eastAsia" w:hAnsi="宋体"/>
          <w:sz w:val="21"/>
          <w:szCs w:val="21"/>
          <w:highlight w:val="none"/>
        </w:rPr>
        <w:t>下井操作，中标人需要配备具有</w:t>
      </w:r>
      <w:bookmarkStart w:id="19" w:name="OLE_LINK11"/>
      <w:r>
        <w:rPr>
          <w:rFonts w:hint="eastAsia" w:hAnsi="宋体"/>
          <w:sz w:val="21"/>
          <w:szCs w:val="21"/>
          <w:highlight w:val="none"/>
        </w:rPr>
        <w:t>有限空间作业资格的持有</w:t>
      </w:r>
      <w:bookmarkStart w:id="20" w:name="OLE_LINK4"/>
      <w:r>
        <w:rPr>
          <w:rFonts w:hint="eastAsia" w:ascii="Calibri" w:hAnsi="宋体"/>
          <w:sz w:val="21"/>
          <w:szCs w:val="21"/>
          <w:highlight w:val="none"/>
        </w:rPr>
        <w:t>特种作业操作证</w:t>
      </w:r>
      <w:bookmarkEnd w:id="20"/>
      <w:r>
        <w:rPr>
          <w:rFonts w:hint="eastAsia" w:ascii="Calibri" w:hAnsi="宋体"/>
          <w:sz w:val="21"/>
          <w:szCs w:val="21"/>
          <w:highlight w:val="none"/>
        </w:rPr>
        <w:t>的</w:t>
      </w:r>
      <w:r>
        <w:rPr>
          <w:rFonts w:hint="eastAsia" w:hAnsi="宋体"/>
          <w:sz w:val="21"/>
          <w:szCs w:val="21"/>
          <w:highlight w:val="none"/>
        </w:rPr>
        <w:t>专业技术人员。</w:t>
      </w:r>
      <w:bookmarkEnd w:id="19"/>
    </w:p>
    <w:bookmarkEnd w:id="18"/>
    <w:p>
      <w:pPr>
        <w:ind w:firstLine="420" w:firstLineChars="200"/>
        <w:rPr>
          <w:rFonts w:hint="eastAsia" w:hAnsi="宋体"/>
          <w:sz w:val="21"/>
          <w:szCs w:val="21"/>
          <w:highlight w:val="none"/>
        </w:rPr>
      </w:pPr>
      <w:r>
        <w:rPr>
          <w:rFonts w:hint="eastAsia" w:hAnsi="宋体"/>
          <w:sz w:val="21"/>
          <w:szCs w:val="21"/>
          <w:highlight w:val="none"/>
        </w:rPr>
        <w:t>（四）各级行政监管部门现场督导、检查和医院大型督导、检查，项目经理必须提前安排好各项事项做好迎检准备并在现场迎检。</w:t>
      </w:r>
    </w:p>
    <w:p>
      <w:pPr>
        <w:ind w:firstLine="420" w:firstLineChars="200"/>
        <w:rPr>
          <w:rFonts w:hint="eastAsia" w:hAnsi="宋体"/>
          <w:sz w:val="21"/>
          <w:szCs w:val="21"/>
          <w:highlight w:val="none"/>
        </w:rPr>
      </w:pPr>
      <w:r>
        <w:rPr>
          <w:rFonts w:hint="eastAsia" w:hAnsi="宋体"/>
          <w:sz w:val="21"/>
          <w:szCs w:val="21"/>
          <w:highlight w:val="none"/>
        </w:rPr>
        <w:t>（五）机电维修主管每周至少到站点巡检一次，对站内设施设备故障排查，对驻点技术维修人员进行督导和做好相关工作部署。</w:t>
      </w:r>
      <w:r>
        <w:rPr>
          <w:rFonts w:hint="eastAsia" w:hAnsi="宋体"/>
          <w:sz w:val="21"/>
          <w:szCs w:val="21"/>
          <w:highlight w:val="none"/>
        </w:rPr>
        <w:t>如遇到突发情况要第一时间赶往现场组织处理。</w:t>
      </w:r>
    </w:p>
    <w:p>
      <w:pPr>
        <w:ind w:firstLine="420" w:firstLineChars="200"/>
        <w:rPr>
          <w:rFonts w:hint="eastAsia" w:hAnsi="宋体"/>
          <w:sz w:val="21"/>
          <w:szCs w:val="21"/>
          <w:highlight w:val="none"/>
        </w:rPr>
      </w:pPr>
      <w:r>
        <w:rPr>
          <w:rFonts w:hint="eastAsia" w:hAnsi="宋体"/>
          <w:sz w:val="21"/>
          <w:szCs w:val="21"/>
          <w:highlight w:val="none"/>
        </w:rPr>
        <w:t>（六）驻点技术维修人员每天对站内设施设备进行巡检维护，做好相关台账记录。</w:t>
      </w:r>
    </w:p>
    <w:p>
      <w:pPr>
        <w:ind w:firstLine="420" w:firstLineChars="200"/>
        <w:rPr>
          <w:rFonts w:hint="eastAsia" w:hAnsi="宋体"/>
          <w:sz w:val="21"/>
          <w:szCs w:val="21"/>
          <w:highlight w:val="none"/>
        </w:rPr>
      </w:pPr>
      <w:r>
        <w:rPr>
          <w:rFonts w:hint="eastAsia" w:hAnsi="宋体"/>
          <w:sz w:val="21"/>
          <w:szCs w:val="21"/>
          <w:highlight w:val="none"/>
        </w:rPr>
        <w:t>（七）</w:t>
      </w:r>
      <w:r>
        <w:rPr>
          <w:rFonts w:hint="eastAsia" w:hAnsi="宋体"/>
          <w:sz w:val="21"/>
          <w:szCs w:val="21"/>
          <w:highlight w:val="none"/>
        </w:rPr>
        <w:t>岗位配置数量不少于下表要求：（提供承诺函，格式自拟）</w:t>
      </w:r>
    </w:p>
    <w:tbl>
      <w:tblPr>
        <w:tblStyle w:val="24"/>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4063"/>
        <w:gridCol w:w="146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tcPr>
          <w:p>
            <w:pPr>
              <w:jc w:val="center"/>
              <w:rPr>
                <w:rFonts w:hint="eastAsia" w:hAnsi="宋体"/>
                <w:sz w:val="21"/>
                <w:szCs w:val="21"/>
                <w:highlight w:val="none"/>
              </w:rPr>
            </w:pPr>
            <w:r>
              <w:rPr>
                <w:rFonts w:hint="eastAsia" w:hAnsi="宋体"/>
                <w:sz w:val="21"/>
                <w:szCs w:val="21"/>
                <w:highlight w:val="none"/>
              </w:rPr>
              <w:t>院区</w:t>
            </w:r>
          </w:p>
        </w:tc>
        <w:tc>
          <w:tcPr>
            <w:tcW w:w="4063" w:type="dxa"/>
            <w:vAlign w:val="center"/>
          </w:tcPr>
          <w:p>
            <w:pPr>
              <w:jc w:val="center"/>
              <w:rPr>
                <w:rFonts w:hint="eastAsia" w:hAnsi="宋体"/>
                <w:sz w:val="21"/>
                <w:szCs w:val="21"/>
                <w:highlight w:val="none"/>
              </w:rPr>
            </w:pPr>
            <w:r>
              <w:rPr>
                <w:rFonts w:hint="eastAsia" w:hAnsi="宋体"/>
                <w:sz w:val="21"/>
                <w:szCs w:val="21"/>
                <w:highlight w:val="none"/>
              </w:rPr>
              <w:t>岗位名称</w:t>
            </w:r>
          </w:p>
        </w:tc>
        <w:tc>
          <w:tcPr>
            <w:tcW w:w="1465" w:type="dxa"/>
            <w:vAlign w:val="center"/>
          </w:tcPr>
          <w:p>
            <w:pPr>
              <w:jc w:val="center"/>
              <w:rPr>
                <w:rFonts w:hint="eastAsia" w:hAnsi="宋体"/>
                <w:sz w:val="21"/>
                <w:szCs w:val="21"/>
                <w:highlight w:val="none"/>
              </w:rPr>
            </w:pPr>
            <w:r>
              <w:rPr>
                <w:rFonts w:hint="eastAsia" w:hAnsi="宋体"/>
                <w:sz w:val="21"/>
                <w:szCs w:val="21"/>
                <w:highlight w:val="none"/>
              </w:rPr>
              <w:t>岗位数量（个）</w:t>
            </w:r>
          </w:p>
        </w:tc>
        <w:tc>
          <w:tcPr>
            <w:tcW w:w="2551" w:type="dxa"/>
          </w:tcPr>
          <w:p>
            <w:pPr>
              <w:jc w:val="center"/>
              <w:rPr>
                <w:rFonts w:hint="eastAsia" w:hAnsi="宋体"/>
                <w:sz w:val="21"/>
                <w:szCs w:val="21"/>
                <w:highlight w:val="none"/>
              </w:rPr>
            </w:pPr>
            <w:r>
              <w:rPr>
                <w:rFonts w:hint="eastAsia" w:hAnsi="宋体"/>
                <w:sz w:val="21"/>
                <w:szCs w:val="21"/>
                <w:highlight w:val="none"/>
              </w:rPr>
              <w:t>至少配置人员数量（人）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restart"/>
            <w:vAlign w:val="center"/>
          </w:tcPr>
          <w:p>
            <w:pPr>
              <w:jc w:val="center"/>
              <w:rPr>
                <w:rFonts w:hint="eastAsia" w:hAnsi="宋体"/>
                <w:sz w:val="21"/>
                <w:szCs w:val="21"/>
                <w:highlight w:val="none"/>
              </w:rPr>
            </w:pPr>
            <w:r>
              <w:rPr>
                <w:rFonts w:hint="eastAsia" w:hAnsi="宋体"/>
                <w:sz w:val="21"/>
                <w:szCs w:val="21"/>
                <w:highlight w:val="none"/>
              </w:rPr>
              <w:t>两院区（非驻点）</w:t>
            </w:r>
          </w:p>
        </w:tc>
        <w:tc>
          <w:tcPr>
            <w:tcW w:w="4063" w:type="dxa"/>
            <w:vAlign w:val="center"/>
          </w:tcPr>
          <w:p>
            <w:pPr>
              <w:jc w:val="center"/>
              <w:rPr>
                <w:rFonts w:hint="eastAsia" w:hAnsi="宋体"/>
                <w:sz w:val="21"/>
                <w:szCs w:val="21"/>
                <w:highlight w:val="none"/>
              </w:rPr>
            </w:pPr>
            <w:r>
              <w:rPr>
                <w:rFonts w:hint="eastAsia" w:hAnsi="宋体"/>
                <w:sz w:val="21"/>
                <w:szCs w:val="21"/>
                <w:highlight w:val="none"/>
              </w:rPr>
              <w:t>项目经理</w:t>
            </w:r>
          </w:p>
        </w:tc>
        <w:tc>
          <w:tcPr>
            <w:tcW w:w="1465" w:type="dxa"/>
            <w:vAlign w:val="center"/>
          </w:tcPr>
          <w:p>
            <w:pPr>
              <w:jc w:val="center"/>
              <w:rPr>
                <w:rFonts w:hint="eastAsia" w:hAnsi="宋体"/>
                <w:sz w:val="21"/>
                <w:szCs w:val="21"/>
                <w:highlight w:val="none"/>
              </w:rPr>
            </w:pPr>
            <w:r>
              <w:rPr>
                <w:rFonts w:hint="eastAsia" w:hAnsi="宋体"/>
                <w:sz w:val="21"/>
                <w:szCs w:val="21"/>
                <w:highlight w:val="none"/>
              </w:rPr>
              <w:t>1</w:t>
            </w:r>
          </w:p>
        </w:tc>
        <w:tc>
          <w:tcPr>
            <w:tcW w:w="2551" w:type="dxa"/>
          </w:tcPr>
          <w:p>
            <w:pPr>
              <w:jc w:val="center"/>
              <w:rPr>
                <w:rFonts w:hint="eastAsia" w:hAnsi="宋体"/>
                <w:sz w:val="21"/>
                <w:szCs w:val="21"/>
                <w:highlight w:val="none"/>
              </w:rPr>
            </w:pPr>
            <w:r>
              <w:rPr>
                <w:rFonts w:hint="eastAsia" w:hAnsi="宋体"/>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pPr>
              <w:jc w:val="center"/>
              <w:rPr>
                <w:rFonts w:hint="eastAsia" w:hAnsi="宋体"/>
                <w:sz w:val="21"/>
                <w:szCs w:val="21"/>
                <w:highlight w:val="none"/>
              </w:rPr>
            </w:pPr>
          </w:p>
        </w:tc>
        <w:tc>
          <w:tcPr>
            <w:tcW w:w="4063" w:type="dxa"/>
            <w:vAlign w:val="center"/>
          </w:tcPr>
          <w:p>
            <w:pPr>
              <w:jc w:val="center"/>
              <w:rPr>
                <w:rFonts w:hint="eastAsia" w:hAnsi="宋体"/>
                <w:sz w:val="21"/>
                <w:szCs w:val="21"/>
                <w:highlight w:val="none"/>
              </w:rPr>
            </w:pPr>
            <w:r>
              <w:rPr>
                <w:rFonts w:hint="eastAsia" w:hAnsi="宋体"/>
                <w:sz w:val="21"/>
                <w:szCs w:val="21"/>
                <w:highlight w:val="none"/>
              </w:rPr>
              <w:t>机电维修主管</w:t>
            </w:r>
          </w:p>
        </w:tc>
        <w:tc>
          <w:tcPr>
            <w:tcW w:w="1465" w:type="dxa"/>
            <w:vAlign w:val="center"/>
          </w:tcPr>
          <w:p>
            <w:pPr>
              <w:jc w:val="center"/>
              <w:rPr>
                <w:rFonts w:hint="eastAsia" w:hAnsi="宋体"/>
                <w:sz w:val="21"/>
                <w:szCs w:val="21"/>
                <w:highlight w:val="none"/>
              </w:rPr>
            </w:pPr>
            <w:r>
              <w:rPr>
                <w:rFonts w:hint="eastAsia" w:hAnsi="宋体"/>
                <w:sz w:val="21"/>
                <w:szCs w:val="21"/>
                <w:highlight w:val="none"/>
              </w:rPr>
              <w:t>1</w:t>
            </w:r>
          </w:p>
        </w:tc>
        <w:tc>
          <w:tcPr>
            <w:tcW w:w="2551" w:type="dxa"/>
          </w:tcPr>
          <w:p>
            <w:pPr>
              <w:jc w:val="center"/>
              <w:rPr>
                <w:rFonts w:hint="eastAsia" w:hAnsi="宋体"/>
                <w:sz w:val="21"/>
                <w:szCs w:val="21"/>
                <w:highlight w:val="none"/>
              </w:rPr>
            </w:pPr>
            <w:r>
              <w:rPr>
                <w:rFonts w:hint="eastAsia" w:hAnsi="宋体"/>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8" w:type="dxa"/>
            <w:vMerge w:val="continue"/>
            <w:vAlign w:val="center"/>
          </w:tcPr>
          <w:p>
            <w:pPr>
              <w:jc w:val="center"/>
              <w:rPr>
                <w:rFonts w:hint="eastAsia" w:hAnsi="宋体"/>
                <w:sz w:val="21"/>
                <w:szCs w:val="21"/>
                <w:highlight w:val="none"/>
              </w:rPr>
            </w:pPr>
          </w:p>
        </w:tc>
        <w:tc>
          <w:tcPr>
            <w:tcW w:w="4063" w:type="dxa"/>
            <w:vAlign w:val="center"/>
          </w:tcPr>
          <w:p>
            <w:pPr>
              <w:jc w:val="center"/>
              <w:rPr>
                <w:rFonts w:hint="eastAsia" w:hAnsi="宋体"/>
                <w:sz w:val="21"/>
                <w:szCs w:val="21"/>
                <w:highlight w:val="none"/>
              </w:rPr>
            </w:pPr>
            <w:r>
              <w:rPr>
                <w:rFonts w:hint="eastAsia" w:hAnsi="宋体"/>
                <w:sz w:val="21"/>
                <w:szCs w:val="21"/>
                <w:highlight w:val="none"/>
              </w:rPr>
              <w:t>信息系统运维、开发</w:t>
            </w:r>
          </w:p>
        </w:tc>
        <w:tc>
          <w:tcPr>
            <w:tcW w:w="1465" w:type="dxa"/>
            <w:vAlign w:val="center"/>
          </w:tcPr>
          <w:p>
            <w:pPr>
              <w:jc w:val="center"/>
              <w:rPr>
                <w:rFonts w:hint="eastAsia" w:hAnsi="宋体"/>
                <w:sz w:val="21"/>
                <w:szCs w:val="21"/>
                <w:highlight w:val="none"/>
              </w:rPr>
            </w:pPr>
            <w:r>
              <w:rPr>
                <w:rFonts w:hint="eastAsia" w:hAnsi="宋体"/>
                <w:sz w:val="21"/>
                <w:szCs w:val="21"/>
                <w:highlight w:val="none"/>
              </w:rPr>
              <w:t>1</w:t>
            </w:r>
          </w:p>
        </w:tc>
        <w:tc>
          <w:tcPr>
            <w:tcW w:w="2551" w:type="dxa"/>
          </w:tcPr>
          <w:p>
            <w:pPr>
              <w:jc w:val="center"/>
              <w:rPr>
                <w:rFonts w:hint="eastAsia" w:hAnsi="宋体"/>
                <w:sz w:val="21"/>
                <w:szCs w:val="21"/>
                <w:highlight w:val="none"/>
              </w:rPr>
            </w:pPr>
            <w:r>
              <w:rPr>
                <w:rFonts w:hint="eastAsia" w:hAnsi="宋体"/>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pPr>
              <w:jc w:val="center"/>
              <w:rPr>
                <w:rFonts w:hint="eastAsia" w:hAnsi="宋体"/>
                <w:sz w:val="21"/>
                <w:szCs w:val="21"/>
                <w:highlight w:val="none"/>
              </w:rPr>
            </w:pPr>
          </w:p>
        </w:tc>
        <w:tc>
          <w:tcPr>
            <w:tcW w:w="4063" w:type="dxa"/>
            <w:vAlign w:val="center"/>
          </w:tcPr>
          <w:p>
            <w:pPr>
              <w:jc w:val="center"/>
              <w:rPr>
                <w:rFonts w:hint="eastAsia" w:hAnsi="宋体"/>
                <w:sz w:val="21"/>
                <w:szCs w:val="21"/>
                <w:highlight w:val="none"/>
              </w:rPr>
            </w:pPr>
            <w:r>
              <w:rPr>
                <w:rFonts w:hint="eastAsia" w:hAnsi="宋体"/>
                <w:sz w:val="21"/>
                <w:szCs w:val="21"/>
                <w:highlight w:val="none"/>
              </w:rPr>
              <w:t>环境检测</w:t>
            </w:r>
          </w:p>
        </w:tc>
        <w:tc>
          <w:tcPr>
            <w:tcW w:w="1465" w:type="dxa"/>
            <w:vAlign w:val="center"/>
          </w:tcPr>
          <w:p>
            <w:pPr>
              <w:jc w:val="center"/>
              <w:rPr>
                <w:rFonts w:hint="eastAsia" w:hAnsi="宋体"/>
                <w:sz w:val="21"/>
                <w:szCs w:val="21"/>
                <w:highlight w:val="none"/>
              </w:rPr>
            </w:pPr>
            <w:r>
              <w:rPr>
                <w:rFonts w:hint="eastAsia" w:hAnsi="宋体"/>
                <w:sz w:val="21"/>
                <w:szCs w:val="21"/>
                <w:highlight w:val="none"/>
              </w:rPr>
              <w:t>1</w:t>
            </w:r>
          </w:p>
        </w:tc>
        <w:tc>
          <w:tcPr>
            <w:tcW w:w="2551" w:type="dxa"/>
          </w:tcPr>
          <w:p>
            <w:pPr>
              <w:jc w:val="center"/>
              <w:rPr>
                <w:rFonts w:hint="eastAsia" w:hAnsi="宋体"/>
                <w:sz w:val="21"/>
                <w:szCs w:val="21"/>
                <w:highlight w:val="none"/>
              </w:rPr>
            </w:pPr>
            <w:r>
              <w:rPr>
                <w:rFonts w:hint="eastAsia" w:hAnsi="宋体"/>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continue"/>
            <w:vAlign w:val="center"/>
          </w:tcPr>
          <w:p>
            <w:pPr>
              <w:jc w:val="center"/>
              <w:rPr>
                <w:rFonts w:hint="eastAsia" w:hAnsi="宋体"/>
                <w:sz w:val="21"/>
                <w:szCs w:val="21"/>
                <w:highlight w:val="none"/>
              </w:rPr>
            </w:pPr>
          </w:p>
        </w:tc>
        <w:tc>
          <w:tcPr>
            <w:tcW w:w="4063" w:type="dxa"/>
            <w:vAlign w:val="center"/>
          </w:tcPr>
          <w:p>
            <w:pPr>
              <w:jc w:val="center"/>
              <w:rPr>
                <w:rFonts w:hint="eastAsia" w:hAnsi="宋体"/>
                <w:sz w:val="21"/>
                <w:szCs w:val="21"/>
                <w:highlight w:val="none"/>
              </w:rPr>
            </w:pPr>
            <w:r>
              <w:rPr>
                <w:rFonts w:hint="eastAsia" w:hAnsi="宋体"/>
                <w:sz w:val="21"/>
                <w:szCs w:val="21"/>
                <w:highlight w:val="none"/>
              </w:rPr>
              <w:t>有限空间作业员</w:t>
            </w:r>
          </w:p>
        </w:tc>
        <w:tc>
          <w:tcPr>
            <w:tcW w:w="1465" w:type="dxa"/>
            <w:vAlign w:val="center"/>
          </w:tcPr>
          <w:p>
            <w:pPr>
              <w:jc w:val="center"/>
              <w:rPr>
                <w:rFonts w:hint="eastAsia" w:hAnsi="宋体"/>
                <w:sz w:val="21"/>
                <w:szCs w:val="21"/>
                <w:highlight w:val="none"/>
              </w:rPr>
            </w:pPr>
            <w:r>
              <w:rPr>
                <w:rFonts w:hint="eastAsia" w:hAnsi="宋体"/>
                <w:sz w:val="21"/>
                <w:szCs w:val="21"/>
                <w:highlight w:val="none"/>
              </w:rPr>
              <w:t>2</w:t>
            </w:r>
          </w:p>
        </w:tc>
        <w:tc>
          <w:tcPr>
            <w:tcW w:w="2551" w:type="dxa"/>
          </w:tcPr>
          <w:p>
            <w:pPr>
              <w:jc w:val="center"/>
              <w:rPr>
                <w:rFonts w:hint="eastAsia" w:hAnsi="宋体"/>
                <w:sz w:val="21"/>
                <w:szCs w:val="21"/>
                <w:highlight w:val="none"/>
              </w:rPr>
            </w:pPr>
            <w:r>
              <w:rPr>
                <w:rFonts w:hint="eastAsia" w:hAnsi="宋体"/>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Merge w:val="restart"/>
            <w:vAlign w:val="center"/>
          </w:tcPr>
          <w:p>
            <w:pPr>
              <w:jc w:val="center"/>
              <w:rPr>
                <w:rFonts w:hint="eastAsia" w:hAnsi="宋体"/>
                <w:sz w:val="21"/>
                <w:szCs w:val="21"/>
                <w:highlight w:val="none"/>
              </w:rPr>
            </w:pPr>
            <w:r>
              <w:rPr>
                <w:rFonts w:hint="eastAsia" w:hAnsi="宋体"/>
                <w:sz w:val="21"/>
                <w:szCs w:val="21"/>
                <w:highlight w:val="none"/>
              </w:rPr>
              <w:t>市一总院（驻点）</w:t>
            </w:r>
          </w:p>
        </w:tc>
        <w:tc>
          <w:tcPr>
            <w:tcW w:w="4063" w:type="dxa"/>
            <w:vAlign w:val="center"/>
          </w:tcPr>
          <w:p>
            <w:pPr>
              <w:jc w:val="center"/>
              <w:rPr>
                <w:rFonts w:hint="eastAsia" w:hAnsi="宋体"/>
                <w:sz w:val="21"/>
                <w:szCs w:val="21"/>
                <w:highlight w:val="none"/>
              </w:rPr>
            </w:pPr>
            <w:r>
              <w:rPr>
                <w:rFonts w:hint="eastAsia" w:hAnsi="宋体"/>
                <w:sz w:val="21"/>
                <w:szCs w:val="21"/>
                <w:highlight w:val="none"/>
              </w:rPr>
              <w:t>自动监控设施的操作和管理人员</w:t>
            </w:r>
          </w:p>
        </w:tc>
        <w:tc>
          <w:tcPr>
            <w:tcW w:w="1465" w:type="dxa"/>
            <w:vAlign w:val="center"/>
          </w:tcPr>
          <w:p>
            <w:pPr>
              <w:jc w:val="center"/>
              <w:rPr>
                <w:rFonts w:hint="eastAsia" w:hAnsi="宋体"/>
                <w:sz w:val="21"/>
                <w:szCs w:val="21"/>
                <w:highlight w:val="none"/>
              </w:rPr>
            </w:pPr>
            <w:r>
              <w:rPr>
                <w:rFonts w:hint="eastAsia" w:hAnsi="宋体"/>
                <w:sz w:val="21"/>
                <w:szCs w:val="21"/>
                <w:highlight w:val="none"/>
              </w:rPr>
              <w:t>2</w:t>
            </w:r>
          </w:p>
        </w:tc>
        <w:tc>
          <w:tcPr>
            <w:tcW w:w="2551" w:type="dxa"/>
          </w:tcPr>
          <w:p>
            <w:pPr>
              <w:jc w:val="center"/>
              <w:rPr>
                <w:rFonts w:hint="eastAsia" w:hAnsi="宋体"/>
                <w:sz w:val="21"/>
                <w:szCs w:val="21"/>
                <w:highlight w:val="none"/>
              </w:rPr>
            </w:pPr>
            <w:r>
              <w:rPr>
                <w:rFonts w:hint="eastAsia" w:hAnsi="宋体"/>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8" w:type="dxa"/>
            <w:vMerge w:val="continue"/>
            <w:vAlign w:val="center"/>
          </w:tcPr>
          <w:p>
            <w:pPr>
              <w:jc w:val="center"/>
              <w:rPr>
                <w:rFonts w:hint="eastAsia" w:hAnsi="宋体"/>
                <w:sz w:val="21"/>
                <w:szCs w:val="21"/>
                <w:highlight w:val="none"/>
              </w:rPr>
            </w:pPr>
          </w:p>
        </w:tc>
        <w:tc>
          <w:tcPr>
            <w:tcW w:w="4063" w:type="dxa"/>
            <w:vAlign w:val="center"/>
          </w:tcPr>
          <w:p>
            <w:pPr>
              <w:jc w:val="center"/>
              <w:rPr>
                <w:rFonts w:hint="eastAsia" w:hAnsi="宋体"/>
                <w:sz w:val="21"/>
                <w:szCs w:val="21"/>
                <w:highlight w:val="none"/>
              </w:rPr>
            </w:pPr>
            <w:r>
              <w:rPr>
                <w:rFonts w:hint="eastAsia" w:hAnsi="宋体"/>
                <w:sz w:val="21"/>
                <w:szCs w:val="21"/>
                <w:highlight w:val="none"/>
              </w:rPr>
              <w:t>技术维修</w:t>
            </w:r>
          </w:p>
        </w:tc>
        <w:tc>
          <w:tcPr>
            <w:tcW w:w="1465" w:type="dxa"/>
            <w:vAlign w:val="center"/>
          </w:tcPr>
          <w:p>
            <w:pPr>
              <w:jc w:val="center"/>
              <w:rPr>
                <w:rFonts w:hint="eastAsia" w:hAnsi="宋体"/>
                <w:sz w:val="21"/>
                <w:szCs w:val="21"/>
                <w:highlight w:val="none"/>
              </w:rPr>
            </w:pPr>
            <w:r>
              <w:rPr>
                <w:rFonts w:hint="eastAsia" w:hAnsi="宋体"/>
                <w:sz w:val="21"/>
                <w:szCs w:val="21"/>
                <w:highlight w:val="none"/>
              </w:rPr>
              <w:t>1</w:t>
            </w:r>
          </w:p>
        </w:tc>
        <w:tc>
          <w:tcPr>
            <w:tcW w:w="2551" w:type="dxa"/>
          </w:tcPr>
          <w:p>
            <w:pPr>
              <w:jc w:val="center"/>
              <w:rPr>
                <w:rFonts w:hint="eastAsia" w:hAnsi="宋体"/>
                <w:sz w:val="21"/>
                <w:szCs w:val="21"/>
                <w:highlight w:val="none"/>
              </w:rPr>
            </w:pPr>
            <w:r>
              <w:rPr>
                <w:rFonts w:hint="eastAsia" w:hAnsi="宋体"/>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vAlign w:val="center"/>
          </w:tcPr>
          <w:p>
            <w:pPr>
              <w:jc w:val="center"/>
              <w:rPr>
                <w:rFonts w:hint="eastAsia" w:hAnsi="宋体"/>
                <w:sz w:val="21"/>
                <w:szCs w:val="21"/>
                <w:highlight w:val="none"/>
              </w:rPr>
            </w:pPr>
            <w:r>
              <w:rPr>
                <w:rFonts w:hint="eastAsia" w:hAnsi="宋体"/>
                <w:sz w:val="21"/>
                <w:szCs w:val="21"/>
                <w:highlight w:val="none"/>
              </w:rPr>
              <w:t>鹤洞分院（驻点）</w:t>
            </w:r>
          </w:p>
        </w:tc>
        <w:tc>
          <w:tcPr>
            <w:tcW w:w="4063" w:type="dxa"/>
            <w:vAlign w:val="center"/>
          </w:tcPr>
          <w:p>
            <w:pPr>
              <w:jc w:val="center"/>
              <w:rPr>
                <w:rFonts w:hint="eastAsia" w:hAnsi="宋体"/>
                <w:sz w:val="21"/>
                <w:szCs w:val="21"/>
                <w:highlight w:val="none"/>
              </w:rPr>
            </w:pPr>
            <w:r>
              <w:rPr>
                <w:rFonts w:hint="eastAsia" w:hAnsi="宋体"/>
                <w:sz w:val="21"/>
                <w:szCs w:val="21"/>
                <w:highlight w:val="none"/>
              </w:rPr>
              <w:t>技术维修、运行</w:t>
            </w:r>
          </w:p>
        </w:tc>
        <w:tc>
          <w:tcPr>
            <w:tcW w:w="1465" w:type="dxa"/>
            <w:vAlign w:val="center"/>
          </w:tcPr>
          <w:p>
            <w:pPr>
              <w:jc w:val="center"/>
              <w:rPr>
                <w:rFonts w:hint="eastAsia" w:hAnsi="宋体"/>
                <w:sz w:val="21"/>
                <w:szCs w:val="21"/>
                <w:highlight w:val="none"/>
              </w:rPr>
            </w:pPr>
            <w:r>
              <w:rPr>
                <w:rFonts w:hint="eastAsia" w:hAnsi="宋体"/>
                <w:sz w:val="21"/>
                <w:szCs w:val="21"/>
                <w:highlight w:val="none"/>
              </w:rPr>
              <w:t>2</w:t>
            </w:r>
          </w:p>
        </w:tc>
        <w:tc>
          <w:tcPr>
            <w:tcW w:w="2551" w:type="dxa"/>
          </w:tcPr>
          <w:p>
            <w:pPr>
              <w:jc w:val="center"/>
              <w:rPr>
                <w:rFonts w:hint="eastAsia" w:hAnsi="宋体"/>
                <w:sz w:val="21"/>
                <w:szCs w:val="21"/>
                <w:highlight w:val="none"/>
              </w:rPr>
            </w:pPr>
            <w:r>
              <w:rPr>
                <w:rFonts w:hint="eastAsia" w:hAnsi="宋体"/>
                <w:sz w:val="21"/>
                <w:szCs w:val="21"/>
                <w:highlight w:val="none"/>
              </w:rPr>
              <w:t>1</w:t>
            </w:r>
          </w:p>
        </w:tc>
      </w:tr>
    </w:tbl>
    <w:p>
      <w:pPr>
        <w:ind w:firstLine="420" w:firstLineChars="200"/>
        <w:rPr>
          <w:rFonts w:hint="eastAsia" w:hAnsi="宋体"/>
          <w:sz w:val="21"/>
          <w:szCs w:val="21"/>
          <w:highlight w:val="none"/>
        </w:rPr>
      </w:pPr>
      <w:r>
        <w:rPr>
          <w:rFonts w:hint="eastAsia" w:hAnsi="宋体"/>
          <w:sz w:val="21"/>
          <w:szCs w:val="21"/>
          <w:highlight w:val="none"/>
        </w:rPr>
        <w:t>（八）具体人员要求</w:t>
      </w:r>
    </w:p>
    <w:p>
      <w:pPr>
        <w:ind w:firstLine="420" w:firstLineChars="200"/>
        <w:rPr>
          <w:rFonts w:hint="eastAsia" w:hAnsi="宋体"/>
          <w:sz w:val="21"/>
          <w:szCs w:val="21"/>
          <w:highlight w:val="none"/>
        </w:rPr>
      </w:pPr>
      <w:r>
        <w:rPr>
          <w:rFonts w:hint="eastAsia" w:hAnsi="宋体"/>
          <w:sz w:val="21"/>
          <w:szCs w:val="21"/>
          <w:highlight w:val="none"/>
        </w:rPr>
        <w:t>1、项目经理：需具有环境工程助理工程师或以上证书。</w:t>
      </w:r>
    </w:p>
    <w:p>
      <w:pPr>
        <w:ind w:firstLine="420" w:firstLineChars="200"/>
        <w:rPr>
          <w:rFonts w:hint="eastAsia" w:hAnsi="宋体"/>
          <w:sz w:val="21"/>
          <w:szCs w:val="21"/>
          <w:highlight w:val="none"/>
        </w:rPr>
      </w:pPr>
      <w:r>
        <w:rPr>
          <w:rFonts w:hint="eastAsia" w:hAnsi="宋体"/>
          <w:sz w:val="21"/>
          <w:szCs w:val="21"/>
          <w:highlight w:val="none"/>
        </w:rPr>
        <w:t>★2、机电维修主管：具有低压电工作业特种作业操作证。</w:t>
      </w:r>
    </w:p>
    <w:p>
      <w:pPr>
        <w:ind w:firstLine="420" w:firstLineChars="200"/>
        <w:rPr>
          <w:rFonts w:hint="eastAsia" w:hAnsi="宋体"/>
          <w:sz w:val="21"/>
          <w:szCs w:val="21"/>
          <w:highlight w:val="none"/>
        </w:rPr>
      </w:pPr>
      <w:r>
        <w:rPr>
          <w:rFonts w:hint="eastAsia" w:hAnsi="宋体"/>
          <w:sz w:val="21"/>
          <w:szCs w:val="21"/>
          <w:highlight w:val="none"/>
        </w:rPr>
        <w:t>3、环境检测人员：需具有水质检验工职业资格。</w:t>
      </w:r>
    </w:p>
    <w:p>
      <w:pPr>
        <w:ind w:firstLine="420" w:firstLineChars="200"/>
        <w:rPr>
          <w:rFonts w:eastAsiaTheme="minorEastAsia"/>
          <w:bCs/>
          <w:spacing w:val="10"/>
          <w:sz w:val="21"/>
          <w:szCs w:val="21"/>
          <w:highlight w:val="none"/>
        </w:rPr>
      </w:pPr>
      <w:r>
        <w:rPr>
          <w:rFonts w:hint="eastAsia" w:hAnsi="宋体"/>
          <w:sz w:val="21"/>
          <w:szCs w:val="21"/>
          <w:highlight w:val="none"/>
        </w:rPr>
        <w:t>4、信息系统维修人员：需要具备计算机技术与软件专业技术资格</w:t>
      </w:r>
      <w:r>
        <w:rPr>
          <w:rFonts w:hint="eastAsia" w:asciiTheme="minorEastAsia" w:hAnsiTheme="minorEastAsia" w:eastAsiaTheme="minorEastAsia" w:cstheme="minorEastAsia"/>
          <w:bCs/>
          <w:spacing w:val="10"/>
          <w:sz w:val="21"/>
          <w:szCs w:val="21"/>
          <w:highlight w:val="none"/>
        </w:rPr>
        <w:t>。</w:t>
      </w:r>
    </w:p>
    <w:p>
      <w:pPr>
        <w:ind w:firstLine="420" w:firstLineChars="200"/>
        <w:rPr>
          <w:rFonts w:hint="eastAsia" w:asciiTheme="minorEastAsia" w:hAnsiTheme="minorEastAsia" w:eastAsiaTheme="minorEastAsia" w:cstheme="minorEastAsia"/>
          <w:bCs/>
          <w:spacing w:val="10"/>
          <w:sz w:val="21"/>
          <w:szCs w:val="21"/>
          <w:highlight w:val="none"/>
        </w:rPr>
      </w:pPr>
      <w:r>
        <w:rPr>
          <w:rFonts w:hint="eastAsia" w:hAnsi="宋体"/>
          <w:sz w:val="21"/>
          <w:szCs w:val="21"/>
          <w:highlight w:val="none"/>
        </w:rPr>
        <w:t>★5、</w:t>
      </w:r>
      <w:r>
        <w:rPr>
          <w:rFonts w:hint="eastAsia" w:asciiTheme="minorEastAsia" w:hAnsiTheme="minorEastAsia" w:eastAsiaTheme="minorEastAsia" w:cstheme="minorEastAsia"/>
          <w:bCs/>
          <w:spacing w:val="10"/>
          <w:sz w:val="21"/>
          <w:szCs w:val="21"/>
          <w:highlight w:val="none"/>
        </w:rPr>
        <w:t>现场驻点技术维修人员</w:t>
      </w:r>
      <w:r>
        <w:rPr>
          <w:rFonts w:hint="eastAsia" w:hAnsi="宋体"/>
          <w:sz w:val="21"/>
          <w:szCs w:val="21"/>
          <w:highlight w:val="none"/>
        </w:rPr>
        <w:t>：</w:t>
      </w:r>
      <w:r>
        <w:rPr>
          <w:rFonts w:hint="eastAsia" w:asciiTheme="minorEastAsia" w:hAnsiTheme="minorEastAsia" w:eastAsiaTheme="minorEastAsia" w:cstheme="minorEastAsia"/>
          <w:bCs/>
          <w:spacing w:val="10"/>
          <w:sz w:val="21"/>
          <w:szCs w:val="21"/>
          <w:highlight w:val="none"/>
        </w:rPr>
        <w:t>具有低压电工作业特种作业操作证。</w:t>
      </w:r>
    </w:p>
    <w:p>
      <w:pPr>
        <w:pStyle w:val="2"/>
        <w:ind w:firstLine="520" w:firstLineChars="200"/>
        <w:rPr>
          <w:highlight w:val="none"/>
        </w:rPr>
      </w:pPr>
    </w:p>
    <w:p>
      <w:pPr>
        <w:rPr>
          <w:sz w:val="21"/>
          <w:szCs w:val="21"/>
          <w:highlight w:val="none"/>
        </w:rPr>
      </w:pPr>
    </w:p>
    <w:p>
      <w:pPr>
        <w:rPr>
          <w:rFonts w:hint="eastAsia" w:hAnsi="宋体"/>
          <w:sz w:val="21"/>
          <w:szCs w:val="21"/>
          <w:highlight w:val="none"/>
        </w:rPr>
      </w:pPr>
      <w:r>
        <w:rPr>
          <w:rFonts w:hint="eastAsia" w:hAnsi="宋体"/>
          <w:b/>
          <w:bCs/>
          <w:sz w:val="21"/>
          <w:szCs w:val="21"/>
          <w:highlight w:val="none"/>
        </w:rPr>
        <w:t>六、其他服务要求</w:t>
      </w:r>
    </w:p>
    <w:p>
      <w:pPr>
        <w:ind w:firstLine="420" w:firstLineChars="200"/>
        <w:rPr>
          <w:rFonts w:hint="eastAsia" w:hAnsi="宋体"/>
          <w:sz w:val="21"/>
          <w:szCs w:val="21"/>
          <w:highlight w:val="none"/>
        </w:rPr>
      </w:pPr>
      <w:r>
        <w:rPr>
          <w:rFonts w:hint="eastAsia" w:hAnsi="宋体"/>
          <w:sz w:val="21"/>
          <w:szCs w:val="21"/>
          <w:highlight w:val="none"/>
        </w:rPr>
        <w:t>（一）安排足够工作人员长期进驻采购人现场，持证上岗，确保采购人污水处理系统设施及污水排放的正常运转，保证调派至采购人的工作人员能遵守采购人的各种规章制度，中标人人员一切薪资、福利均由中标人负责。</w:t>
      </w:r>
    </w:p>
    <w:p>
      <w:pPr>
        <w:ind w:firstLine="420" w:firstLineChars="200"/>
        <w:rPr>
          <w:rFonts w:hint="eastAsia" w:hAnsi="宋体"/>
          <w:sz w:val="21"/>
          <w:szCs w:val="21"/>
          <w:highlight w:val="none"/>
        </w:rPr>
      </w:pPr>
      <w:r>
        <w:rPr>
          <w:rFonts w:hint="eastAsia" w:hAnsi="宋体"/>
          <w:sz w:val="21"/>
          <w:szCs w:val="21"/>
          <w:highlight w:val="none"/>
        </w:rPr>
        <w:t>（二）中标人工作人员发生安全事故由中标人单独承担一切法律责任及赔偿(包括但不限于采购人因此产生的诉讼费﹑律师费﹑检测费等)。</w:t>
      </w:r>
    </w:p>
    <w:p>
      <w:pPr>
        <w:ind w:firstLine="420" w:firstLineChars="200"/>
        <w:rPr>
          <w:rFonts w:hint="eastAsia" w:hAnsi="宋体"/>
          <w:sz w:val="21"/>
          <w:szCs w:val="21"/>
          <w:highlight w:val="none"/>
        </w:rPr>
      </w:pPr>
      <w:r>
        <w:rPr>
          <w:rFonts w:hint="eastAsia" w:hAnsi="宋体"/>
          <w:sz w:val="21"/>
          <w:szCs w:val="21"/>
          <w:highlight w:val="none"/>
        </w:rPr>
        <w:t>（三）应依照国家或广州市制定相关标准严格执行日常工作，保证政府部门或相关执法部门（环保部门监测、疾控部门、医院监管部门）监测结果百分百达标。</w:t>
      </w:r>
    </w:p>
    <w:p>
      <w:pPr>
        <w:ind w:firstLine="420" w:firstLineChars="200"/>
        <w:rPr>
          <w:rFonts w:hint="eastAsia" w:hAnsi="宋体"/>
          <w:sz w:val="21"/>
          <w:szCs w:val="21"/>
          <w:highlight w:val="none"/>
        </w:rPr>
      </w:pPr>
      <w:r>
        <w:rPr>
          <w:rFonts w:hint="eastAsia" w:hAnsi="宋体"/>
          <w:sz w:val="21"/>
          <w:szCs w:val="21"/>
          <w:highlight w:val="none"/>
        </w:rPr>
        <w:t>（四）承包期间负责污水处理系统范围内所有设备、设施的维护、维修并承担一切费用。</w:t>
      </w:r>
    </w:p>
    <w:p>
      <w:pPr>
        <w:ind w:firstLine="420" w:firstLineChars="200"/>
        <w:rPr>
          <w:rFonts w:hint="eastAsia" w:hAnsi="宋体"/>
          <w:sz w:val="21"/>
          <w:szCs w:val="21"/>
          <w:highlight w:val="none"/>
        </w:rPr>
      </w:pPr>
      <w:r>
        <w:rPr>
          <w:rFonts w:hint="eastAsia" w:hAnsi="宋体"/>
          <w:sz w:val="21"/>
          <w:szCs w:val="21"/>
          <w:highlight w:val="none"/>
        </w:rPr>
        <w:t>（五）保证污水处理系统范围内的环境卫生。</w:t>
      </w:r>
    </w:p>
    <w:p>
      <w:pPr>
        <w:ind w:firstLine="420" w:firstLineChars="200"/>
        <w:rPr>
          <w:rFonts w:hint="eastAsia" w:hAnsi="宋体"/>
          <w:sz w:val="21"/>
          <w:szCs w:val="21"/>
          <w:highlight w:val="none"/>
        </w:rPr>
      </w:pPr>
      <w:r>
        <w:rPr>
          <w:rFonts w:hint="eastAsia" w:hAnsi="宋体"/>
          <w:sz w:val="21"/>
          <w:szCs w:val="21"/>
          <w:highlight w:val="none"/>
        </w:rPr>
        <w:t>（六）保证污水处理系统范围内不作其他用途。</w:t>
      </w:r>
    </w:p>
    <w:p>
      <w:pPr>
        <w:ind w:firstLine="420" w:firstLineChars="200"/>
        <w:rPr>
          <w:rFonts w:hint="eastAsia" w:hAnsi="宋体"/>
          <w:sz w:val="21"/>
          <w:szCs w:val="21"/>
          <w:highlight w:val="none"/>
        </w:rPr>
      </w:pPr>
      <w:r>
        <w:rPr>
          <w:rFonts w:hint="eastAsia" w:hAnsi="宋体"/>
          <w:sz w:val="21"/>
          <w:szCs w:val="21"/>
          <w:highlight w:val="none"/>
        </w:rPr>
        <w:t>（七）中标人驻院工作人员应服从污水监管部门工作人员安排，随时配合省、市、区环保部门或医院监管部门采样检测工作。正常上班时间不得离岗，且务必保持联络通畅。</w:t>
      </w:r>
    </w:p>
    <w:p>
      <w:pPr>
        <w:ind w:firstLine="420" w:firstLineChars="200"/>
        <w:rPr>
          <w:rFonts w:hint="eastAsia" w:hAnsi="宋体"/>
          <w:sz w:val="21"/>
          <w:szCs w:val="21"/>
          <w:highlight w:val="none"/>
        </w:rPr>
      </w:pPr>
      <w:r>
        <w:rPr>
          <w:rFonts w:hint="eastAsia" w:hAnsi="宋体"/>
          <w:sz w:val="21"/>
          <w:szCs w:val="21"/>
          <w:highlight w:val="none"/>
        </w:rPr>
        <w:t>（八）提供持有有效期内相关营业执照、环境保护设施运营组织服务认证证书三级或以上、进驻人员上岗证书，前往当地环保部门及采购人监管部门办理备案。</w:t>
      </w:r>
    </w:p>
    <w:p>
      <w:pPr>
        <w:ind w:firstLine="420" w:firstLineChars="200"/>
        <w:rPr>
          <w:rFonts w:hint="eastAsia" w:hAnsi="宋体"/>
          <w:sz w:val="21"/>
          <w:szCs w:val="21"/>
          <w:highlight w:val="none"/>
        </w:rPr>
      </w:pPr>
      <w:r>
        <w:rPr>
          <w:rFonts w:hint="eastAsia" w:hAnsi="宋体"/>
          <w:sz w:val="21"/>
          <w:szCs w:val="21"/>
          <w:highlight w:val="none"/>
        </w:rPr>
        <w:t>（九）遵守采购人规章制度，服从采购人的监督管理，按照合同约定完成服务工作，并符合合同约定的质量标准。</w:t>
      </w:r>
    </w:p>
    <w:p>
      <w:pPr>
        <w:ind w:firstLine="420" w:firstLineChars="200"/>
        <w:rPr>
          <w:rFonts w:hint="eastAsia" w:hAnsi="宋体"/>
          <w:sz w:val="21"/>
          <w:szCs w:val="21"/>
          <w:highlight w:val="none"/>
        </w:rPr>
      </w:pPr>
      <w:r>
        <w:rPr>
          <w:rFonts w:hint="eastAsia" w:hAnsi="宋体"/>
          <w:sz w:val="21"/>
          <w:szCs w:val="21"/>
          <w:highlight w:val="none"/>
        </w:rPr>
        <w:t xml:space="preserve">（十）如因中标人行为造成设施设备损坏或被盗、丢失的，中标人应向采购人赔偿全部损失。 </w:t>
      </w:r>
    </w:p>
    <w:p>
      <w:pPr>
        <w:widowControl/>
        <w:ind w:firstLine="420" w:firstLineChars="200"/>
        <w:rPr>
          <w:rFonts w:hint="eastAsia" w:hAnsi="宋体"/>
          <w:sz w:val="21"/>
          <w:szCs w:val="21"/>
          <w:highlight w:val="none"/>
        </w:rPr>
      </w:pPr>
      <w:r>
        <w:rPr>
          <w:rFonts w:hint="eastAsia"/>
          <w:sz w:val="21"/>
          <w:szCs w:val="21"/>
          <w:highlight w:val="none"/>
        </w:rPr>
        <w:t>（十一）投标人应提供</w:t>
      </w:r>
      <w:r>
        <w:rPr>
          <w:rFonts w:hint="eastAsia" w:hAnsi="宋体"/>
          <w:sz w:val="21"/>
          <w:szCs w:val="21"/>
          <w:highlight w:val="none"/>
        </w:rPr>
        <w:t>运营维护方案、项目理解及重难点分析、安全防护方案及应急措施、药剂消毒实施方案。</w:t>
      </w:r>
    </w:p>
    <w:p>
      <w:pPr>
        <w:spacing w:before="25" w:after="25"/>
        <w:rPr>
          <w:bCs/>
          <w:spacing w:val="10"/>
          <w:sz w:val="21"/>
          <w:szCs w:val="21"/>
          <w:highlight w:val="none"/>
        </w:rPr>
      </w:pPr>
    </w:p>
    <w:p>
      <w:pPr>
        <w:autoSpaceDE/>
        <w:autoSpaceDN/>
        <w:adjustRightInd/>
        <w:jc w:val="both"/>
        <w:rPr>
          <w:rFonts w:ascii="Calibri" w:hAnsi="Calibri" w:cs="Times New Roman"/>
          <w:kern w:val="2"/>
          <w:sz w:val="21"/>
          <w:szCs w:val="21"/>
          <w:highlight w:val="none"/>
        </w:rPr>
      </w:pPr>
      <w:r>
        <w:rPr>
          <w:rFonts w:hint="eastAsia" w:ascii="Calibri" w:hAnsi="Calibri" w:cs="Times New Roman"/>
          <w:b/>
          <w:kern w:val="2"/>
          <w:sz w:val="21"/>
          <w:szCs w:val="21"/>
          <w:highlight w:val="none"/>
        </w:rPr>
        <w:t>七、采购人</w:t>
      </w:r>
      <w:r>
        <w:rPr>
          <w:rFonts w:ascii="Calibri" w:hAnsi="Calibri" w:cs="Times New Roman"/>
          <w:b/>
          <w:kern w:val="2"/>
          <w:sz w:val="21"/>
          <w:szCs w:val="21"/>
          <w:highlight w:val="none"/>
        </w:rPr>
        <w:t>权利义务</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（一）代表和维护产权人、使用人的合法权益。</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（二）审定</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拟定的管理制度和管理服务年度计划，并提出合理化建议，督促</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健全应有的制度规程、工作规范等；</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（三）检查监督</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管理工作的实施及制度的执行情况；</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（四）负责收集、整理管理所需全部图纸、档案、资料，适时提供给</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（五）对</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不称职的工作人员，</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有权要求</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限期更换；</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（六）协助</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做好管理工作；</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（七）按时按采购需求的付款方式支付费用给</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（八）招标（或采购）文件、投标（或响应）文件及合同附件中约定的</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其它权利义务。</w:t>
      </w:r>
    </w:p>
    <w:p>
      <w:pPr>
        <w:autoSpaceDE/>
        <w:autoSpaceDN/>
        <w:adjustRightInd/>
        <w:jc w:val="both"/>
        <w:rPr>
          <w:rFonts w:ascii="Calibri" w:hAnsi="Calibri" w:cs="Times New Roman"/>
          <w:b/>
          <w:kern w:val="2"/>
          <w:sz w:val="21"/>
          <w:szCs w:val="21"/>
          <w:highlight w:val="none"/>
        </w:rPr>
      </w:pPr>
    </w:p>
    <w:p>
      <w:pPr>
        <w:autoSpaceDE/>
        <w:autoSpaceDN/>
        <w:adjustRightInd/>
        <w:jc w:val="both"/>
        <w:rPr>
          <w:rFonts w:ascii="Calibri" w:hAnsi="Calibri" w:cs="Times New Roman"/>
          <w:kern w:val="2"/>
          <w:sz w:val="21"/>
          <w:szCs w:val="21"/>
          <w:highlight w:val="none"/>
        </w:rPr>
      </w:pPr>
      <w:r>
        <w:rPr>
          <w:rFonts w:hint="eastAsia" w:ascii="Calibri" w:hAnsi="Calibri" w:cs="Times New Roman"/>
          <w:b/>
          <w:kern w:val="2"/>
          <w:sz w:val="21"/>
          <w:szCs w:val="21"/>
          <w:highlight w:val="none"/>
        </w:rPr>
        <w:t>八、中标人</w:t>
      </w:r>
      <w:r>
        <w:rPr>
          <w:rFonts w:ascii="Calibri" w:hAnsi="Calibri" w:cs="Times New Roman"/>
          <w:b/>
          <w:kern w:val="2"/>
          <w:sz w:val="21"/>
          <w:szCs w:val="21"/>
          <w:highlight w:val="none"/>
        </w:rPr>
        <w:t>权利义务</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（一）根据有关法律法规及本合同的约定，制订管理制度，编制管理年度计划，并经</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审定后实施。</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（二）未经</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书面同意，不得将本项目以任何形式分包或转包给</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（或中标联合体）之外的第三方，如有违反，</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有权终止与</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签订的服务合同。并限期</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在规定的时间内移交服务项目及有关档案资料，同时</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不予退还履约保证金。</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（三）负责编制管理年度计划。</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（四）对</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员工违反法规、规章的行为，有责任告知</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处理。</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（五）在服务过程中发生的事故应及时告知</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；所服务的设施需要维修、保养的，应事先告知</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（六）在本服务过程中对无法解决的事项或设施需要维修、保养的，要及时向</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反映。</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（七）在服务期内，</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必须做好工作人员所需要的安全教育及安全措施，保证工作人员的安全，</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工作人员在</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工作范围内发生事故的一切责任由</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负责。</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（八）</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的服务人员要有符合国家规定的上岗证，要严格审查，没有刑事犯罪记录，重要岗位人员聘用要经</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审定。同时，</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的服务人员须严格按照</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的医疗流程提供相关服务。</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（九）</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员工的工资、社会保险等福利,必须符合国家有关规定。</w:t>
      </w:r>
    </w:p>
    <w:p>
      <w:pPr>
        <w:autoSpaceDE/>
        <w:autoSpaceDN/>
        <w:adjustRightInd/>
        <w:ind w:firstLine="420" w:firstLineChars="200"/>
        <w:jc w:val="both"/>
        <w:rPr>
          <w:rFonts w:ascii="Calibri" w:hAnsi="Calibri" w:cs="Times New Roman"/>
          <w:kern w:val="2"/>
          <w:sz w:val="21"/>
          <w:szCs w:val="21"/>
          <w:highlight w:val="none"/>
        </w:rPr>
      </w:pPr>
      <w:r>
        <w:rPr>
          <w:rFonts w:ascii="Calibri" w:hAnsi="Calibri" w:cs="Times New Roman"/>
          <w:kern w:val="2"/>
          <w:sz w:val="21"/>
          <w:szCs w:val="21"/>
          <w:highlight w:val="none"/>
        </w:rPr>
        <w:t>（十）本合同终止时，</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必须在</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要求的时间内及时移交本服务事项，并向</w:t>
      </w:r>
      <w:r>
        <w:rPr>
          <w:rFonts w:hint="eastAsia" w:ascii="Calibri" w:hAnsi="Calibri" w:cs="Times New Roman"/>
          <w:kern w:val="2"/>
          <w:sz w:val="21"/>
          <w:szCs w:val="21"/>
          <w:highlight w:val="none"/>
        </w:rPr>
        <w:t>采购人</w:t>
      </w:r>
      <w:r>
        <w:rPr>
          <w:rFonts w:ascii="Calibri" w:hAnsi="Calibri" w:cs="Times New Roman"/>
          <w:kern w:val="2"/>
          <w:sz w:val="21"/>
          <w:szCs w:val="21"/>
          <w:highlight w:val="none"/>
        </w:rPr>
        <w:t>移交全部有关档案资料。</w:t>
      </w:r>
    </w:p>
    <w:p>
      <w:pPr>
        <w:widowControl/>
        <w:ind w:firstLine="420" w:firstLineChars="200"/>
        <w:rPr>
          <w:rFonts w:ascii="Calibri" w:hAnsi="Calibri" w:cs="Times New Roman"/>
          <w:kern w:val="2"/>
          <w:sz w:val="21"/>
          <w:szCs w:val="21"/>
          <w:highlight w:val="none"/>
        </w:rPr>
      </w:pPr>
      <w:r>
        <w:rPr>
          <w:rFonts w:ascii="Calibri" w:hAnsi="Calibri" w:cs="Times New Roman"/>
          <w:kern w:val="2"/>
          <w:sz w:val="21"/>
          <w:szCs w:val="21"/>
          <w:highlight w:val="none"/>
        </w:rPr>
        <w:t>（十一）招标文件、合同及其附件、中约定的及投标文件中承诺的</w:t>
      </w:r>
      <w:r>
        <w:rPr>
          <w:rFonts w:hint="eastAsia" w:ascii="Calibri" w:hAnsi="Calibri" w:cs="Times New Roman"/>
          <w:kern w:val="2"/>
          <w:sz w:val="21"/>
          <w:szCs w:val="21"/>
          <w:highlight w:val="none"/>
        </w:rPr>
        <w:t>中标人</w:t>
      </w:r>
      <w:r>
        <w:rPr>
          <w:rFonts w:ascii="Calibri" w:hAnsi="Calibri" w:cs="Times New Roman"/>
          <w:kern w:val="2"/>
          <w:sz w:val="21"/>
          <w:szCs w:val="21"/>
          <w:highlight w:val="none"/>
        </w:rPr>
        <w:t>其它权利义务。</w:t>
      </w:r>
    </w:p>
    <w:p>
      <w:pPr>
        <w:spacing w:before="25" w:after="25"/>
        <w:rPr>
          <w:bCs/>
          <w:spacing w:val="10"/>
          <w:sz w:val="24"/>
          <w:szCs w:val="20"/>
          <w:highlight w:val="none"/>
        </w:rPr>
      </w:pPr>
    </w:p>
    <w:p>
      <w:pPr>
        <w:widowControl/>
        <w:rPr>
          <w:rFonts w:hint="eastAsia" w:hAnsi="宋体"/>
          <w:b/>
          <w:bCs/>
          <w:sz w:val="21"/>
          <w:szCs w:val="21"/>
          <w:highlight w:val="none"/>
        </w:rPr>
      </w:pPr>
      <w:r>
        <w:rPr>
          <w:rFonts w:hint="eastAsia" w:hAnsi="宋体"/>
          <w:b/>
          <w:bCs/>
          <w:sz w:val="21"/>
          <w:szCs w:val="21"/>
          <w:highlight w:val="none"/>
        </w:rPr>
        <w:t>附件一：</w:t>
      </w:r>
    </w:p>
    <w:p>
      <w:pPr>
        <w:snapToGrid w:val="0"/>
        <w:jc w:val="center"/>
        <w:rPr>
          <w:rFonts w:hint="eastAsia" w:hAnsi="宋体"/>
          <w:b/>
          <w:bCs/>
          <w:sz w:val="21"/>
          <w:szCs w:val="21"/>
          <w:highlight w:val="none"/>
        </w:rPr>
      </w:pPr>
      <w:r>
        <w:rPr>
          <w:rFonts w:hint="eastAsia" w:hAnsi="宋体"/>
          <w:b/>
          <w:bCs/>
          <w:sz w:val="21"/>
          <w:szCs w:val="21"/>
          <w:highlight w:val="none"/>
        </w:rPr>
        <w:t>污水处理管理扣罚细则</w:t>
      </w:r>
    </w:p>
    <w:tbl>
      <w:tblPr>
        <w:tblStyle w:val="24"/>
        <w:tblW w:w="0" w:type="auto"/>
        <w:tblInd w:w="-106" w:type="dxa"/>
        <w:tblLayout w:type="fixed"/>
        <w:tblCellMar>
          <w:top w:w="0" w:type="dxa"/>
          <w:left w:w="108" w:type="dxa"/>
          <w:bottom w:w="0" w:type="dxa"/>
          <w:right w:w="108" w:type="dxa"/>
        </w:tblCellMar>
      </w:tblPr>
      <w:tblGrid>
        <w:gridCol w:w="960"/>
        <w:gridCol w:w="564"/>
        <w:gridCol w:w="3224"/>
        <w:gridCol w:w="1073"/>
        <w:gridCol w:w="4451"/>
      </w:tblGrid>
      <w:tr>
        <w:tblPrEx>
          <w:tblCellMar>
            <w:top w:w="0" w:type="dxa"/>
            <w:left w:w="108" w:type="dxa"/>
            <w:bottom w:w="0" w:type="dxa"/>
            <w:right w:w="108" w:type="dxa"/>
          </w:tblCellMar>
        </w:tblPrEx>
        <w:trPr>
          <w:trHeight w:val="499" w:hRule="atLeast"/>
          <w:tblHeader/>
        </w:trPr>
        <w:tc>
          <w:tcPr>
            <w:tcW w:w="960" w:type="dxa"/>
            <w:tcBorders>
              <w:top w:val="single" w:color="auto" w:sz="4" w:space="0"/>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类别</w:t>
            </w:r>
          </w:p>
        </w:tc>
        <w:tc>
          <w:tcPr>
            <w:tcW w:w="564" w:type="dxa"/>
            <w:tcBorders>
              <w:top w:val="single" w:color="auto" w:sz="4" w:space="0"/>
              <w:left w:val="nil"/>
              <w:bottom w:val="single" w:color="auto" w:sz="4" w:space="0"/>
              <w:right w:val="single" w:color="auto" w:sz="4" w:space="0"/>
            </w:tcBorders>
            <w:vAlign w:val="center"/>
          </w:tcPr>
          <w:p>
            <w:pPr>
              <w:jc w:val="center"/>
              <w:rPr>
                <w:rFonts w:hint="eastAsia" w:hAnsi="宋体"/>
                <w:b/>
                <w:bCs/>
                <w:sz w:val="21"/>
                <w:szCs w:val="21"/>
                <w:highlight w:val="none"/>
              </w:rPr>
            </w:pPr>
            <w:r>
              <w:rPr>
                <w:rFonts w:hint="eastAsia" w:hAnsi="宋体"/>
                <w:b/>
                <w:bCs/>
                <w:sz w:val="21"/>
                <w:szCs w:val="21"/>
                <w:highlight w:val="none"/>
              </w:rPr>
              <w:t>序号</w:t>
            </w:r>
          </w:p>
        </w:tc>
        <w:tc>
          <w:tcPr>
            <w:tcW w:w="3224" w:type="dxa"/>
            <w:tcBorders>
              <w:top w:val="single" w:color="auto" w:sz="4" w:space="0"/>
              <w:left w:val="nil"/>
              <w:bottom w:val="single" w:color="auto" w:sz="4" w:space="0"/>
              <w:right w:val="single" w:color="auto" w:sz="4" w:space="0"/>
            </w:tcBorders>
            <w:vAlign w:val="center"/>
          </w:tcPr>
          <w:p>
            <w:pPr>
              <w:jc w:val="center"/>
              <w:rPr>
                <w:rFonts w:hint="eastAsia" w:hAnsi="宋体"/>
                <w:b/>
                <w:bCs/>
                <w:sz w:val="21"/>
                <w:szCs w:val="21"/>
                <w:highlight w:val="none"/>
              </w:rPr>
            </w:pPr>
            <w:r>
              <w:rPr>
                <w:rFonts w:hint="eastAsia" w:hAnsi="宋体"/>
                <w:b/>
                <w:bCs/>
                <w:sz w:val="21"/>
                <w:szCs w:val="21"/>
                <w:highlight w:val="none"/>
              </w:rPr>
              <w:t>考核内容</w:t>
            </w:r>
          </w:p>
        </w:tc>
        <w:tc>
          <w:tcPr>
            <w:tcW w:w="1073" w:type="dxa"/>
            <w:tcBorders>
              <w:top w:val="single" w:color="auto" w:sz="4" w:space="0"/>
              <w:left w:val="nil"/>
              <w:bottom w:val="single" w:color="auto" w:sz="4" w:space="0"/>
              <w:right w:val="single" w:color="auto" w:sz="4" w:space="0"/>
            </w:tcBorders>
            <w:vAlign w:val="center"/>
          </w:tcPr>
          <w:p>
            <w:pPr>
              <w:jc w:val="center"/>
              <w:rPr>
                <w:rFonts w:hint="eastAsia" w:hAnsi="宋体"/>
                <w:b/>
                <w:bCs/>
                <w:sz w:val="21"/>
                <w:szCs w:val="21"/>
                <w:highlight w:val="none"/>
              </w:rPr>
            </w:pPr>
            <w:r>
              <w:rPr>
                <w:rFonts w:hint="eastAsia" w:hAnsi="宋体"/>
                <w:b/>
                <w:bCs/>
                <w:sz w:val="21"/>
                <w:szCs w:val="21"/>
                <w:highlight w:val="none"/>
              </w:rPr>
              <w:t>检查</w:t>
            </w:r>
          </w:p>
          <w:p>
            <w:pPr>
              <w:jc w:val="center"/>
              <w:rPr>
                <w:rFonts w:hint="eastAsia" w:hAnsi="宋体"/>
                <w:b/>
                <w:bCs/>
                <w:sz w:val="21"/>
                <w:szCs w:val="21"/>
                <w:highlight w:val="none"/>
              </w:rPr>
            </w:pPr>
            <w:r>
              <w:rPr>
                <w:rFonts w:hint="eastAsia" w:hAnsi="宋体"/>
                <w:b/>
                <w:bCs/>
                <w:sz w:val="21"/>
                <w:szCs w:val="21"/>
                <w:highlight w:val="none"/>
              </w:rPr>
              <w:t>方式</w:t>
            </w:r>
          </w:p>
        </w:tc>
        <w:tc>
          <w:tcPr>
            <w:tcW w:w="4451" w:type="dxa"/>
            <w:tcBorders>
              <w:top w:val="single" w:color="auto" w:sz="4" w:space="0"/>
              <w:left w:val="nil"/>
              <w:bottom w:val="single" w:color="auto" w:sz="4" w:space="0"/>
              <w:right w:val="single" w:color="auto" w:sz="4" w:space="0"/>
            </w:tcBorders>
            <w:vAlign w:val="center"/>
          </w:tcPr>
          <w:p>
            <w:pPr>
              <w:jc w:val="center"/>
              <w:rPr>
                <w:rFonts w:hint="eastAsia" w:hAnsi="宋体"/>
                <w:b/>
                <w:bCs/>
                <w:sz w:val="21"/>
                <w:szCs w:val="21"/>
                <w:highlight w:val="none"/>
              </w:rPr>
            </w:pPr>
            <w:r>
              <w:rPr>
                <w:rFonts w:hint="eastAsia" w:hAnsi="宋体"/>
                <w:b/>
                <w:bCs/>
                <w:sz w:val="21"/>
                <w:szCs w:val="21"/>
                <w:highlight w:val="none"/>
              </w:rPr>
              <w:t>月考评标准</w:t>
            </w:r>
          </w:p>
        </w:tc>
      </w:tr>
      <w:tr>
        <w:tblPrEx>
          <w:tblCellMar>
            <w:top w:w="0" w:type="dxa"/>
            <w:left w:w="108" w:type="dxa"/>
            <w:bottom w:w="0" w:type="dxa"/>
            <w:right w:w="108" w:type="dxa"/>
          </w:tblCellMar>
        </w:tblPrEx>
        <w:trPr>
          <w:trHeight w:val="615" w:hRule="atLeast"/>
        </w:trPr>
        <w:tc>
          <w:tcPr>
            <w:tcW w:w="960" w:type="dxa"/>
            <w:vMerge w:val="restart"/>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一、水质与药品管理</w:t>
            </w:r>
          </w:p>
        </w:tc>
        <w:tc>
          <w:tcPr>
            <w:tcW w:w="564" w:type="dxa"/>
            <w:vMerge w:val="restart"/>
            <w:tcBorders>
              <w:top w:val="nil"/>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1</w:t>
            </w:r>
          </w:p>
        </w:tc>
        <w:tc>
          <w:tcPr>
            <w:tcW w:w="3224" w:type="dxa"/>
            <w:vMerge w:val="restart"/>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需提供消证字号许可证的药品，无合格许可证需提供《卫生安全评价报告》及省卫计委出具合格的《消毒产品卫生安全评价报告》，污水水质排放指标达到《医疗机构水污染物排放标准》。</w:t>
            </w:r>
          </w:p>
        </w:tc>
        <w:tc>
          <w:tcPr>
            <w:tcW w:w="1073" w:type="dxa"/>
            <w:vMerge w:val="restart"/>
            <w:tcBorders>
              <w:top w:val="nil"/>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抽查和相关部门检查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1.1 污水水质不达标，扣罚2000元/次。</w:t>
            </w:r>
          </w:p>
        </w:tc>
      </w:tr>
      <w:tr>
        <w:tblPrEx>
          <w:tblCellMar>
            <w:top w:w="0" w:type="dxa"/>
            <w:left w:w="108" w:type="dxa"/>
            <w:bottom w:w="0" w:type="dxa"/>
            <w:right w:w="108" w:type="dxa"/>
          </w:tblCellMar>
        </w:tblPrEx>
        <w:trPr>
          <w:trHeight w:val="765"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1.2 污水水质不达标，收到环保等相关部门处罚的，中标人需负全责及赔偿全部罚款，采购人扣罚当月服务费的5%并有权终止合同。</w:t>
            </w:r>
          </w:p>
        </w:tc>
      </w:tr>
      <w:tr>
        <w:tblPrEx>
          <w:tblCellMar>
            <w:top w:w="0" w:type="dxa"/>
            <w:left w:w="108" w:type="dxa"/>
            <w:bottom w:w="0" w:type="dxa"/>
            <w:right w:w="108" w:type="dxa"/>
          </w:tblCellMar>
        </w:tblPrEx>
        <w:trPr>
          <w:trHeight w:val="63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1.3 站内使用的各项药剂、消毒药品不合格，扣罚10000元/次。</w:t>
            </w:r>
          </w:p>
        </w:tc>
      </w:tr>
      <w:tr>
        <w:tblPrEx>
          <w:tblCellMar>
            <w:top w:w="0" w:type="dxa"/>
            <w:left w:w="108" w:type="dxa"/>
            <w:bottom w:w="0" w:type="dxa"/>
            <w:right w:w="108" w:type="dxa"/>
          </w:tblCellMar>
        </w:tblPrEx>
        <w:trPr>
          <w:trHeight w:val="894" w:hRule="atLeast"/>
        </w:trPr>
        <w:tc>
          <w:tcPr>
            <w:tcW w:w="960" w:type="dxa"/>
            <w:vMerge w:val="restart"/>
            <w:tcBorders>
              <w:top w:val="nil"/>
              <w:left w:val="single" w:color="auto" w:sz="4" w:space="0"/>
              <w:bottom w:val="single" w:color="000000"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二、人员持证、劳动纪律及应急预案</w:t>
            </w:r>
          </w:p>
        </w:tc>
        <w:tc>
          <w:tcPr>
            <w:tcW w:w="564" w:type="dxa"/>
            <w:tcBorders>
              <w:top w:val="nil"/>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2</w:t>
            </w:r>
          </w:p>
        </w:tc>
        <w:tc>
          <w:tcPr>
            <w:tcW w:w="3224" w:type="dxa"/>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污水站运营工作人员健立专业培训的岗前培训等培训档案记录。</w:t>
            </w:r>
          </w:p>
        </w:tc>
        <w:tc>
          <w:tcPr>
            <w:tcW w:w="1073" w:type="dxa"/>
            <w:tcBorders>
              <w:top w:val="nil"/>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定期检查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建立培训档案，档案不齐，责令整改，一周内未完成整改，扣罚200元/每人。</w:t>
            </w:r>
          </w:p>
        </w:tc>
      </w:tr>
      <w:tr>
        <w:tblPrEx>
          <w:tblCellMar>
            <w:top w:w="0" w:type="dxa"/>
            <w:left w:w="108" w:type="dxa"/>
            <w:bottom w:w="0" w:type="dxa"/>
            <w:right w:w="108" w:type="dxa"/>
          </w:tblCellMar>
        </w:tblPrEx>
        <w:trPr>
          <w:trHeight w:val="60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vMerge w:val="restart"/>
            <w:tcBorders>
              <w:top w:val="nil"/>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3</w:t>
            </w:r>
          </w:p>
        </w:tc>
        <w:tc>
          <w:tcPr>
            <w:tcW w:w="3224" w:type="dxa"/>
            <w:vMerge w:val="restart"/>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建全污水站的人员组织架构、工作制度、岗位职责、技术操作规程和应急预案。</w:t>
            </w:r>
          </w:p>
        </w:tc>
        <w:tc>
          <w:tcPr>
            <w:tcW w:w="1073" w:type="dxa"/>
            <w:vMerge w:val="restart"/>
            <w:tcBorders>
              <w:top w:val="nil"/>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抽查</w:t>
            </w:r>
          </w:p>
        </w:tc>
        <w:tc>
          <w:tcPr>
            <w:tcW w:w="4451" w:type="dxa"/>
            <w:tcBorders>
              <w:top w:val="single" w:color="auto" w:sz="4" w:space="0"/>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3.1 人员架构与实际人员不一致，每缺1人扣罚10000元，并责令整改。</w:t>
            </w:r>
          </w:p>
        </w:tc>
      </w:tr>
      <w:tr>
        <w:tblPrEx>
          <w:tblCellMar>
            <w:top w:w="0" w:type="dxa"/>
            <w:left w:w="108" w:type="dxa"/>
            <w:bottom w:w="0" w:type="dxa"/>
            <w:right w:w="108" w:type="dxa"/>
          </w:tblCellMar>
        </w:tblPrEx>
        <w:trPr>
          <w:trHeight w:val="87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4451" w:type="dxa"/>
            <w:tcBorders>
              <w:top w:val="single" w:color="auto" w:sz="4" w:space="0"/>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3.2、工作制度、岗位职责、操作规程和应急预案不齐全，责令整改，一周内未完成整改，扣罚2000元/项/次。</w:t>
            </w:r>
          </w:p>
        </w:tc>
      </w:tr>
      <w:tr>
        <w:tblPrEx>
          <w:tblCellMar>
            <w:top w:w="0" w:type="dxa"/>
            <w:left w:w="108" w:type="dxa"/>
            <w:bottom w:w="0" w:type="dxa"/>
            <w:right w:w="108" w:type="dxa"/>
          </w:tblCellMar>
        </w:tblPrEx>
        <w:trPr>
          <w:trHeight w:val="51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vMerge w:val="restart"/>
            <w:tcBorders>
              <w:top w:val="nil"/>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4</w:t>
            </w:r>
          </w:p>
        </w:tc>
        <w:tc>
          <w:tcPr>
            <w:tcW w:w="3224" w:type="dxa"/>
            <w:vMerge w:val="restart"/>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污水站工作制度及应急预案需挂上墙。</w:t>
            </w:r>
          </w:p>
        </w:tc>
        <w:tc>
          <w:tcPr>
            <w:tcW w:w="1073" w:type="dxa"/>
            <w:vMerge w:val="restart"/>
            <w:tcBorders>
              <w:top w:val="nil"/>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定期检查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4.1 相关资格证未挂上墙或过期资格证挂上墙，扣罚400元/每证/次。</w:t>
            </w:r>
          </w:p>
        </w:tc>
      </w:tr>
      <w:tr>
        <w:tblPrEx>
          <w:tblCellMar>
            <w:top w:w="0" w:type="dxa"/>
            <w:left w:w="108" w:type="dxa"/>
            <w:bottom w:w="0" w:type="dxa"/>
            <w:right w:w="108" w:type="dxa"/>
          </w:tblCellMar>
        </w:tblPrEx>
        <w:trPr>
          <w:trHeight w:val="465"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4.2 工作制度未挂上墙，扣罚200元/次。</w:t>
            </w:r>
          </w:p>
        </w:tc>
      </w:tr>
      <w:tr>
        <w:tblPrEx>
          <w:tblCellMar>
            <w:top w:w="0" w:type="dxa"/>
            <w:left w:w="108" w:type="dxa"/>
            <w:bottom w:w="0" w:type="dxa"/>
            <w:right w:w="108" w:type="dxa"/>
          </w:tblCellMar>
        </w:tblPrEx>
        <w:trPr>
          <w:trHeight w:val="42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1073"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4.3 应急预案未挂上墙，扣罚200元/次。</w:t>
            </w:r>
          </w:p>
        </w:tc>
      </w:tr>
      <w:tr>
        <w:tblPrEx>
          <w:tblCellMar>
            <w:top w:w="0" w:type="dxa"/>
            <w:left w:w="108" w:type="dxa"/>
            <w:bottom w:w="0" w:type="dxa"/>
            <w:right w:w="108" w:type="dxa"/>
          </w:tblCellMar>
        </w:tblPrEx>
        <w:trPr>
          <w:trHeight w:val="1005"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5</w:t>
            </w:r>
          </w:p>
        </w:tc>
        <w:tc>
          <w:tcPr>
            <w:tcW w:w="3224"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中标人员工必须严格执行有关安全操作规程；加强安全防范教育培训，避免作业期间发生意外事故。</w:t>
            </w:r>
          </w:p>
        </w:tc>
        <w:tc>
          <w:tcPr>
            <w:tcW w:w="1073"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如因未做好安全防护、告知义务等防范措施，粗暴作业，如发生意外事故的，由中标人负责赔偿责任，并酌情扣罚200—1000元/项/次。</w:t>
            </w:r>
          </w:p>
        </w:tc>
      </w:tr>
      <w:tr>
        <w:tblPrEx>
          <w:tblCellMar>
            <w:top w:w="0" w:type="dxa"/>
            <w:left w:w="108" w:type="dxa"/>
            <w:bottom w:w="0" w:type="dxa"/>
            <w:right w:w="108" w:type="dxa"/>
          </w:tblCellMar>
        </w:tblPrEx>
        <w:trPr>
          <w:trHeight w:val="750" w:hRule="atLeast"/>
        </w:trPr>
        <w:tc>
          <w:tcPr>
            <w:tcW w:w="960"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vMerge w:val="restart"/>
            <w:tcBorders>
              <w:top w:val="nil"/>
              <w:left w:val="single" w:color="auto" w:sz="4" w:space="0"/>
              <w:bottom w:val="single" w:color="000000"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6</w:t>
            </w:r>
          </w:p>
        </w:tc>
        <w:tc>
          <w:tcPr>
            <w:tcW w:w="3224" w:type="dxa"/>
            <w:vMerge w:val="restart"/>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中标人制定运营排班表，运营人员必须严格执行岗位责任制,遵守上下班、交接班制度和劳动纪律。</w:t>
            </w:r>
          </w:p>
        </w:tc>
        <w:tc>
          <w:tcPr>
            <w:tcW w:w="1073" w:type="dxa"/>
            <w:vMerge w:val="restart"/>
            <w:tcBorders>
              <w:top w:val="nil"/>
              <w:left w:val="single" w:color="auto" w:sz="4" w:space="0"/>
              <w:bottom w:val="single" w:color="000000"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6.1 员工穿着统一、整洁；佩戴工作证，上班人员未按要求穿劳保用具的扣罚200元/项/次。</w:t>
            </w:r>
          </w:p>
        </w:tc>
      </w:tr>
      <w:tr>
        <w:tblPrEx>
          <w:tblCellMar>
            <w:top w:w="0" w:type="dxa"/>
            <w:left w:w="108" w:type="dxa"/>
            <w:bottom w:w="0" w:type="dxa"/>
            <w:right w:w="108" w:type="dxa"/>
          </w:tblCellMar>
        </w:tblPrEx>
        <w:trPr>
          <w:trHeight w:val="1020" w:hRule="atLeast"/>
        </w:trPr>
        <w:tc>
          <w:tcPr>
            <w:tcW w:w="960"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56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3224" w:type="dxa"/>
            <w:vMerge w:val="continue"/>
            <w:tcBorders>
              <w:top w:val="nil"/>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1073" w:type="dxa"/>
            <w:vMerge w:val="continue"/>
            <w:tcBorders>
              <w:top w:val="nil"/>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6.2 如经检查发现上班迟到、早退；无故串岗、离岗、旷工、怠工、酗酒、赌博、会客等违反劳动纪律的事项，扣减200元/项/次。</w:t>
            </w:r>
          </w:p>
        </w:tc>
      </w:tr>
      <w:tr>
        <w:tblPrEx>
          <w:tblCellMar>
            <w:top w:w="0" w:type="dxa"/>
            <w:left w:w="108" w:type="dxa"/>
            <w:bottom w:w="0" w:type="dxa"/>
            <w:right w:w="108" w:type="dxa"/>
          </w:tblCellMar>
        </w:tblPrEx>
        <w:trPr>
          <w:trHeight w:val="690" w:hRule="atLeast"/>
        </w:trPr>
        <w:tc>
          <w:tcPr>
            <w:tcW w:w="9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三、设备设施运行管理</w:t>
            </w:r>
          </w:p>
        </w:tc>
        <w:tc>
          <w:tcPr>
            <w:tcW w:w="564" w:type="dxa"/>
            <w:tcBorders>
              <w:top w:val="single" w:color="auto" w:sz="4" w:space="0"/>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7</w:t>
            </w:r>
          </w:p>
        </w:tc>
        <w:tc>
          <w:tcPr>
            <w:tcW w:w="3224" w:type="dxa"/>
            <w:tcBorders>
              <w:top w:val="single" w:color="auto" w:sz="4" w:space="0"/>
              <w:left w:val="single" w:color="auto" w:sz="4" w:space="0"/>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按相关规范及标准做好污水处理的日常跟踪检测及记录，保证污水处理运营符合相关监督要求。</w:t>
            </w:r>
          </w:p>
        </w:tc>
        <w:tc>
          <w:tcPr>
            <w:tcW w:w="1073"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日常污水检测参数（如PH，余氧等）不按规范检测，每缺一项扣罚400元/每次。</w:t>
            </w:r>
          </w:p>
        </w:tc>
      </w:tr>
      <w:tr>
        <w:tblPrEx>
          <w:tblCellMar>
            <w:top w:w="0" w:type="dxa"/>
            <w:left w:w="108" w:type="dxa"/>
            <w:bottom w:w="0" w:type="dxa"/>
            <w:right w:w="108" w:type="dxa"/>
          </w:tblCellMar>
        </w:tblPrEx>
        <w:trPr>
          <w:trHeight w:val="825"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564" w:type="dxa"/>
            <w:tcBorders>
              <w:top w:val="single" w:color="auto" w:sz="4" w:space="0"/>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8</w:t>
            </w:r>
          </w:p>
        </w:tc>
        <w:tc>
          <w:tcPr>
            <w:tcW w:w="3224" w:type="dxa"/>
            <w:tcBorders>
              <w:top w:val="single" w:color="auto" w:sz="4" w:space="0"/>
              <w:left w:val="single" w:color="auto" w:sz="4" w:space="0"/>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建立污水站运行数据记录，包括日常运行投放药量、污水处理量、污水站清理废渣数量、淤泥池清理记录和日常设备维护保养记录等。</w:t>
            </w:r>
          </w:p>
        </w:tc>
        <w:tc>
          <w:tcPr>
            <w:tcW w:w="1073"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8.1发现故意停止投放消毒药品，扣罚10000元/次，并责令改正；</w:t>
            </w:r>
          </w:p>
          <w:p>
            <w:pPr>
              <w:rPr>
                <w:rFonts w:hint="eastAsia" w:hAnsi="宋体"/>
                <w:sz w:val="21"/>
                <w:szCs w:val="21"/>
                <w:highlight w:val="none"/>
              </w:rPr>
            </w:pPr>
            <w:r>
              <w:rPr>
                <w:rFonts w:hint="eastAsia" w:hAnsi="宋体"/>
                <w:sz w:val="21"/>
                <w:szCs w:val="21"/>
                <w:highlight w:val="none"/>
              </w:rPr>
              <w:t>8.2 发现不按规范处理废渣扣罚10000元/次，并责令改正；</w:t>
            </w:r>
          </w:p>
          <w:p>
            <w:pPr>
              <w:rPr>
                <w:rFonts w:hint="eastAsia" w:hAnsi="宋体"/>
                <w:sz w:val="21"/>
                <w:szCs w:val="21"/>
                <w:highlight w:val="none"/>
              </w:rPr>
            </w:pPr>
            <w:r>
              <w:rPr>
                <w:rFonts w:hint="eastAsia" w:hAnsi="宋体"/>
                <w:sz w:val="21"/>
                <w:szCs w:val="21"/>
                <w:highlight w:val="none"/>
              </w:rPr>
              <w:t>8.3抽查发现投药量、污水处理量、清理废渣数量、清理淤泥记录、日常设备维护记录等每缺一项扣200元/次。</w:t>
            </w:r>
          </w:p>
        </w:tc>
      </w:tr>
      <w:tr>
        <w:tblPrEx>
          <w:tblCellMar>
            <w:top w:w="0" w:type="dxa"/>
            <w:left w:w="108" w:type="dxa"/>
            <w:bottom w:w="0" w:type="dxa"/>
            <w:right w:w="108" w:type="dxa"/>
          </w:tblCellMar>
        </w:tblPrEx>
        <w:trPr>
          <w:trHeight w:val="750" w:hRule="atLeast"/>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hAnsi="宋体"/>
                <w:sz w:val="21"/>
                <w:szCs w:val="21"/>
                <w:highlight w:val="none"/>
              </w:rPr>
            </w:pPr>
          </w:p>
        </w:tc>
        <w:tc>
          <w:tcPr>
            <w:tcW w:w="564" w:type="dxa"/>
            <w:tcBorders>
              <w:top w:val="single" w:color="auto" w:sz="4" w:space="0"/>
              <w:left w:val="single" w:color="auto" w:sz="4" w:space="0"/>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9</w:t>
            </w:r>
          </w:p>
        </w:tc>
        <w:tc>
          <w:tcPr>
            <w:tcW w:w="3224" w:type="dxa"/>
            <w:tcBorders>
              <w:top w:val="single" w:color="auto" w:sz="4" w:space="0"/>
              <w:left w:val="single" w:color="auto" w:sz="4" w:space="0"/>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建立及完善污水站设备设施的台帐档案，台帐档案需符合环保及上级相关检查部门的检查要求。</w:t>
            </w:r>
          </w:p>
        </w:tc>
        <w:tc>
          <w:tcPr>
            <w:tcW w:w="1073"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污水站台帐不符合相关部门检查要求，责令整改，一周未完成整改扣罚200元/次，相关部门复查未整改扣罚当月运营费30%。</w:t>
            </w:r>
          </w:p>
        </w:tc>
      </w:tr>
      <w:tr>
        <w:tblPrEx>
          <w:tblCellMar>
            <w:top w:w="0" w:type="dxa"/>
            <w:left w:w="108" w:type="dxa"/>
            <w:bottom w:w="0" w:type="dxa"/>
            <w:right w:w="108" w:type="dxa"/>
          </w:tblCellMar>
        </w:tblPrEx>
        <w:trPr>
          <w:trHeight w:val="945" w:hRule="atLeast"/>
        </w:trPr>
        <w:tc>
          <w:tcPr>
            <w:tcW w:w="960" w:type="dxa"/>
            <w:vMerge w:val="continue"/>
            <w:tcBorders>
              <w:top w:val="single" w:color="auto" w:sz="4" w:space="0"/>
              <w:left w:val="single" w:color="auto" w:sz="4" w:space="0"/>
              <w:right w:val="single" w:color="auto" w:sz="4" w:space="0"/>
            </w:tcBorders>
            <w:vAlign w:val="center"/>
          </w:tcPr>
          <w:p>
            <w:pPr>
              <w:rPr>
                <w:rFonts w:hint="eastAsia" w:hAnsi="宋体"/>
                <w:sz w:val="21"/>
                <w:szCs w:val="21"/>
                <w:highlight w:val="none"/>
              </w:rPr>
            </w:pPr>
          </w:p>
        </w:tc>
        <w:tc>
          <w:tcPr>
            <w:tcW w:w="564" w:type="dxa"/>
            <w:tcBorders>
              <w:top w:val="single" w:color="auto" w:sz="4" w:space="0"/>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10</w:t>
            </w:r>
          </w:p>
        </w:tc>
        <w:tc>
          <w:tcPr>
            <w:tcW w:w="3224" w:type="dxa"/>
            <w:tcBorders>
              <w:top w:val="single" w:color="auto" w:sz="4" w:space="0"/>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污水站主体设备（如曝气泵、调节池水泵、机械格栅、投药泵等）故障需及时上报采购人；污水站发生水浸事件需立即上报甲方。</w:t>
            </w:r>
          </w:p>
        </w:tc>
        <w:tc>
          <w:tcPr>
            <w:tcW w:w="1073"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10.1 污水站主体设备故障未及时上报，扣罚300元/次，未及时维修处理</w:t>
            </w:r>
            <w:bookmarkStart w:id="21" w:name="OLE_LINK3"/>
            <w:r>
              <w:rPr>
                <w:rFonts w:hint="eastAsia" w:hAnsi="宋体"/>
                <w:sz w:val="21"/>
                <w:szCs w:val="21"/>
                <w:highlight w:val="none"/>
              </w:rPr>
              <w:t>扣罚1000元/次</w:t>
            </w:r>
            <w:bookmarkEnd w:id="21"/>
            <w:r>
              <w:rPr>
                <w:rFonts w:hint="eastAsia" w:hAnsi="宋体"/>
                <w:sz w:val="21"/>
                <w:szCs w:val="21"/>
                <w:highlight w:val="none"/>
              </w:rPr>
              <w:t>；</w:t>
            </w:r>
            <w:r>
              <w:rPr>
                <w:rFonts w:hint="eastAsia" w:hAnsi="宋体"/>
                <w:sz w:val="21"/>
                <w:szCs w:val="21"/>
                <w:highlight w:val="none"/>
              </w:rPr>
              <w:br w:type="textWrapping"/>
            </w:r>
            <w:r>
              <w:rPr>
                <w:rFonts w:hint="eastAsia" w:hAnsi="宋体"/>
                <w:sz w:val="21"/>
                <w:szCs w:val="21"/>
                <w:highlight w:val="none"/>
              </w:rPr>
              <w:t>10.2 污水站发生水浸事件未立刻上报，扣罚500元/次，未及时处理导致设备损坏扣罚1000元/次。</w:t>
            </w:r>
          </w:p>
        </w:tc>
      </w:tr>
      <w:tr>
        <w:tblPrEx>
          <w:tblCellMar>
            <w:top w:w="0" w:type="dxa"/>
            <w:left w:w="108" w:type="dxa"/>
            <w:bottom w:w="0" w:type="dxa"/>
            <w:right w:w="108" w:type="dxa"/>
          </w:tblCellMar>
        </w:tblPrEx>
        <w:trPr>
          <w:trHeight w:val="795" w:hRule="atLeast"/>
        </w:trPr>
        <w:tc>
          <w:tcPr>
            <w:tcW w:w="960" w:type="dxa"/>
            <w:vMerge w:val="continue"/>
            <w:tcBorders>
              <w:left w:val="single" w:color="auto" w:sz="4" w:space="0"/>
              <w:right w:val="single" w:color="auto" w:sz="4" w:space="0"/>
            </w:tcBorders>
            <w:vAlign w:val="center"/>
          </w:tcPr>
          <w:p>
            <w:pPr>
              <w:rPr>
                <w:rFonts w:hint="eastAsia" w:hAnsi="宋体"/>
                <w:sz w:val="21"/>
                <w:szCs w:val="21"/>
                <w:highlight w:val="none"/>
              </w:rPr>
            </w:pPr>
          </w:p>
        </w:tc>
        <w:tc>
          <w:tcPr>
            <w:tcW w:w="564"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11</w:t>
            </w:r>
          </w:p>
        </w:tc>
        <w:tc>
          <w:tcPr>
            <w:tcW w:w="3224"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每月制定运营情况报告（包括运营情况、存在问题、分析、解决方案等）。</w:t>
            </w:r>
          </w:p>
        </w:tc>
        <w:tc>
          <w:tcPr>
            <w:tcW w:w="1073"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定期检查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每个月第二周内提交上月运营情况报告，未提交运营报告不予办理上一</w:t>
            </w:r>
            <w:r>
              <w:rPr>
                <w:rStyle w:val="31"/>
                <w:rFonts w:hint="eastAsia" w:ascii="Times New Roman" w:hAnsi="宋体" w:cs="Times New Roman"/>
                <w:highlight w:val="none"/>
              </w:rPr>
              <w:t>结算周期</w:t>
            </w:r>
            <w:r>
              <w:rPr>
                <w:rFonts w:hint="eastAsia" w:hAnsi="宋体"/>
                <w:sz w:val="21"/>
                <w:szCs w:val="21"/>
                <w:highlight w:val="none"/>
              </w:rPr>
              <w:t>运营费用申请，责令整改，二周内未完成整改扣罚200元/次。</w:t>
            </w:r>
          </w:p>
        </w:tc>
      </w:tr>
      <w:tr>
        <w:tblPrEx>
          <w:tblCellMar>
            <w:top w:w="0" w:type="dxa"/>
            <w:left w:w="108" w:type="dxa"/>
            <w:bottom w:w="0" w:type="dxa"/>
            <w:right w:w="108" w:type="dxa"/>
          </w:tblCellMar>
        </w:tblPrEx>
        <w:trPr>
          <w:trHeight w:val="795" w:hRule="atLeast"/>
        </w:trPr>
        <w:tc>
          <w:tcPr>
            <w:tcW w:w="960" w:type="dxa"/>
            <w:vMerge w:val="continue"/>
            <w:tcBorders>
              <w:left w:val="single" w:color="auto" w:sz="4" w:space="0"/>
              <w:bottom w:val="single" w:color="000000" w:sz="4" w:space="0"/>
              <w:right w:val="single" w:color="auto" w:sz="4" w:space="0"/>
            </w:tcBorders>
            <w:vAlign w:val="center"/>
          </w:tcPr>
          <w:p>
            <w:pPr>
              <w:rPr>
                <w:rFonts w:hint="eastAsia" w:hAnsi="宋体"/>
                <w:sz w:val="21"/>
                <w:szCs w:val="21"/>
                <w:highlight w:val="none"/>
              </w:rPr>
            </w:pPr>
          </w:p>
        </w:tc>
        <w:tc>
          <w:tcPr>
            <w:tcW w:w="564"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12</w:t>
            </w:r>
          </w:p>
        </w:tc>
        <w:tc>
          <w:tcPr>
            <w:tcW w:w="3224"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其他违反合同规定的日常工作要求</w:t>
            </w:r>
          </w:p>
        </w:tc>
        <w:tc>
          <w:tcPr>
            <w:tcW w:w="1073" w:type="dxa"/>
            <w:tcBorders>
              <w:top w:val="nil"/>
              <w:left w:val="nil"/>
              <w:bottom w:val="single" w:color="auto" w:sz="4" w:space="0"/>
              <w:right w:val="single" w:color="auto" w:sz="4" w:space="0"/>
            </w:tcBorders>
            <w:vAlign w:val="center"/>
          </w:tcPr>
          <w:p>
            <w:pPr>
              <w:jc w:val="center"/>
              <w:rPr>
                <w:rFonts w:hint="eastAsia" w:hAnsi="宋体"/>
                <w:sz w:val="21"/>
                <w:szCs w:val="21"/>
                <w:highlight w:val="none"/>
              </w:rPr>
            </w:pPr>
            <w:r>
              <w:rPr>
                <w:rFonts w:hint="eastAsia" w:hAnsi="宋体"/>
                <w:sz w:val="21"/>
                <w:szCs w:val="21"/>
                <w:highlight w:val="none"/>
              </w:rPr>
              <w:t>抽查</w:t>
            </w:r>
          </w:p>
        </w:tc>
        <w:tc>
          <w:tcPr>
            <w:tcW w:w="4451" w:type="dxa"/>
            <w:tcBorders>
              <w:top w:val="nil"/>
              <w:left w:val="nil"/>
              <w:bottom w:val="single" w:color="auto" w:sz="4" w:space="0"/>
              <w:right w:val="single" w:color="auto" w:sz="4" w:space="0"/>
            </w:tcBorders>
            <w:vAlign w:val="center"/>
          </w:tcPr>
          <w:p>
            <w:pPr>
              <w:rPr>
                <w:rFonts w:hint="eastAsia" w:hAnsi="宋体"/>
                <w:sz w:val="21"/>
                <w:szCs w:val="21"/>
                <w:highlight w:val="none"/>
              </w:rPr>
            </w:pPr>
            <w:r>
              <w:rPr>
                <w:rFonts w:hint="eastAsia" w:hAnsi="宋体"/>
                <w:sz w:val="21"/>
                <w:szCs w:val="21"/>
                <w:highlight w:val="none"/>
              </w:rPr>
              <w:t>根据实际情况扣罚200-600元/次。</w:t>
            </w:r>
          </w:p>
        </w:tc>
      </w:tr>
    </w:tbl>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highlight w:val="none"/>
        </w:rPr>
      </w:pPr>
    </w:p>
    <w:p>
      <w:pPr>
        <w:spacing w:line="300" w:lineRule="auto"/>
        <w:jc w:val="center"/>
        <w:rPr>
          <w:rFonts w:hint="eastAsia" w:hAnsi="宋体"/>
          <w:b/>
          <w:sz w:val="48"/>
          <w:szCs w:val="48"/>
          <w:highlight w:val="none"/>
        </w:rPr>
      </w:pPr>
    </w:p>
    <w:p>
      <w:pPr>
        <w:spacing w:line="300" w:lineRule="auto"/>
        <w:jc w:val="center"/>
        <w:rPr>
          <w:rFonts w:hint="eastAsia" w:hAnsi="宋体"/>
          <w:b/>
          <w:sz w:val="48"/>
          <w:szCs w:val="48"/>
          <w:highlight w:val="none"/>
        </w:rPr>
      </w:pPr>
    </w:p>
    <w:p>
      <w:pPr>
        <w:spacing w:line="300" w:lineRule="auto"/>
        <w:jc w:val="center"/>
        <w:rPr>
          <w:rFonts w:hint="eastAsia" w:hAnsi="宋体"/>
          <w:b/>
          <w:sz w:val="48"/>
          <w:szCs w:val="48"/>
          <w:highlight w:val="none"/>
        </w:rPr>
      </w:pPr>
    </w:p>
    <w:p>
      <w:pPr>
        <w:spacing w:line="300" w:lineRule="auto"/>
        <w:jc w:val="center"/>
        <w:rPr>
          <w:rFonts w:hint="eastAsia" w:hAnsi="宋体"/>
          <w:b/>
          <w:sz w:val="48"/>
          <w:szCs w:val="48"/>
          <w:highlight w:val="none"/>
        </w:rPr>
      </w:pPr>
    </w:p>
    <w:p>
      <w:pPr>
        <w:pStyle w:val="2"/>
        <w:rPr>
          <w:rFonts w:hint="eastAsia" w:hAnsi="宋体"/>
          <w:b/>
          <w:sz w:val="48"/>
          <w:szCs w:val="48"/>
          <w:highlight w:val="none"/>
        </w:rPr>
      </w:pPr>
    </w:p>
    <w:p>
      <w:pPr>
        <w:rPr>
          <w:rFonts w:hint="eastAsia" w:hAnsi="宋体"/>
          <w:b/>
          <w:sz w:val="48"/>
          <w:szCs w:val="48"/>
          <w:highlight w:val="none"/>
        </w:rPr>
      </w:pPr>
    </w:p>
    <w:p>
      <w:pPr>
        <w:pStyle w:val="2"/>
        <w:rPr>
          <w:rFonts w:hint="eastAsia" w:hAnsi="宋体"/>
          <w:b/>
          <w:sz w:val="48"/>
          <w:szCs w:val="48"/>
          <w:highlight w:val="none"/>
        </w:rPr>
      </w:pPr>
    </w:p>
    <w:p>
      <w:pPr>
        <w:rPr>
          <w:rFonts w:hint="eastAsia" w:hAnsi="宋体"/>
          <w:b/>
          <w:sz w:val="48"/>
          <w:szCs w:val="48"/>
          <w:highlight w:val="none"/>
        </w:rPr>
      </w:pPr>
    </w:p>
    <w:p>
      <w:pPr>
        <w:pStyle w:val="2"/>
        <w:rPr>
          <w:rFonts w:hint="eastAsia" w:hAnsi="宋体"/>
          <w:b/>
          <w:sz w:val="48"/>
          <w:szCs w:val="48"/>
          <w:highlight w:val="none"/>
        </w:rPr>
      </w:pPr>
    </w:p>
    <w:p>
      <w:pPr>
        <w:rPr>
          <w:highlight w:val="none"/>
        </w:rPr>
      </w:pPr>
    </w:p>
    <w:p>
      <w:pPr>
        <w:spacing w:line="300" w:lineRule="auto"/>
        <w:jc w:val="center"/>
        <w:rPr>
          <w:rFonts w:hint="eastAsia" w:hAnsi="宋体"/>
          <w:b/>
          <w:sz w:val="48"/>
          <w:szCs w:val="48"/>
          <w:highlight w:val="none"/>
        </w:rPr>
      </w:pPr>
    </w:p>
    <w:p>
      <w:pPr>
        <w:spacing w:line="300" w:lineRule="auto"/>
        <w:jc w:val="center"/>
        <w:rPr>
          <w:rFonts w:hint="eastAsia" w:hAnsi="宋体"/>
          <w:b/>
          <w:sz w:val="48"/>
          <w:szCs w:val="48"/>
          <w:highlight w:val="none"/>
        </w:rPr>
      </w:pPr>
      <w:r>
        <w:rPr>
          <w:rFonts w:hint="eastAsia" w:hAnsi="宋体"/>
          <w:b/>
          <w:sz w:val="48"/>
          <w:szCs w:val="48"/>
          <w:highlight w:val="none"/>
        </w:rPr>
        <w:t>第二部分、补充附件</w:t>
      </w:r>
    </w:p>
    <w:p>
      <w:pPr>
        <w:spacing w:line="300" w:lineRule="auto"/>
        <w:jc w:val="center"/>
        <w:rPr>
          <w:rFonts w:hint="eastAsia" w:hAnsi="宋体"/>
          <w:b/>
          <w:sz w:val="24"/>
          <w:szCs w:val="24"/>
          <w:highlight w:val="none"/>
        </w:rPr>
      </w:pPr>
      <w:r>
        <w:rPr>
          <w:rFonts w:hint="eastAsia" w:hAnsi="宋体"/>
          <w:b/>
          <w:sz w:val="24"/>
          <w:szCs w:val="24"/>
          <w:highlight w:val="none"/>
        </w:rPr>
        <w:t>注：以下部分的附件应后附在投标文件中，作为投标文件的一部分。</w:t>
      </w:r>
    </w:p>
    <w:p>
      <w:pPr>
        <w:spacing w:line="300" w:lineRule="auto"/>
        <w:rPr>
          <w:rFonts w:hint="eastAsia" w:hAnsi="宋体"/>
          <w:b/>
          <w:sz w:val="24"/>
          <w:szCs w:val="24"/>
          <w:highlight w:val="none"/>
        </w:rPr>
      </w:pPr>
    </w:p>
    <w:p>
      <w:pPr>
        <w:outlineLvl w:val="1"/>
        <w:rPr>
          <w:rFonts w:hint="eastAsia" w:hAnsi="宋体"/>
          <w:b/>
          <w:sz w:val="28"/>
          <w:szCs w:val="28"/>
          <w:highlight w:val="none"/>
        </w:rPr>
      </w:pPr>
      <w:r>
        <w:rPr>
          <w:rFonts w:hAnsi="宋体"/>
          <w:b/>
          <w:sz w:val="24"/>
          <w:szCs w:val="24"/>
          <w:highlight w:val="none"/>
        </w:rPr>
        <w:br w:type="page"/>
      </w:r>
      <w:r>
        <w:rPr>
          <w:rFonts w:hint="eastAsia" w:hAnsi="宋体"/>
          <w:b/>
          <w:bCs/>
          <w:spacing w:val="10"/>
          <w:sz w:val="28"/>
          <w:szCs w:val="28"/>
          <w:highlight w:val="none"/>
        </w:rPr>
        <w:t>附件一、</w:t>
      </w:r>
      <w:bookmarkStart w:id="22" w:name="_Toc275865606"/>
      <w:bookmarkStart w:id="23" w:name="_Toc435515295"/>
      <w:bookmarkStart w:id="24" w:name="_Toc435514855"/>
      <w:r>
        <w:rPr>
          <w:rFonts w:hint="eastAsia" w:hAnsi="宋体"/>
          <w:b/>
          <w:bCs/>
          <w:spacing w:val="10"/>
          <w:sz w:val="28"/>
          <w:szCs w:val="28"/>
          <w:highlight w:val="none"/>
        </w:rPr>
        <w:t>资格文件</w:t>
      </w:r>
    </w:p>
    <w:p>
      <w:pPr>
        <w:outlineLvl w:val="1"/>
        <w:rPr>
          <w:rFonts w:hint="eastAsia" w:hAnsi="宋体"/>
          <w:b/>
          <w:szCs w:val="21"/>
          <w:highlight w:val="none"/>
        </w:rPr>
      </w:pPr>
    </w:p>
    <w:p>
      <w:pPr>
        <w:outlineLvl w:val="1"/>
        <w:rPr>
          <w:rFonts w:hint="eastAsia" w:hAnsi="宋体"/>
          <w:b/>
          <w:sz w:val="28"/>
          <w:szCs w:val="28"/>
          <w:highlight w:val="none"/>
        </w:rPr>
      </w:pPr>
      <w:r>
        <w:rPr>
          <w:rFonts w:hint="eastAsia" w:hAnsi="宋体"/>
          <w:b/>
          <w:szCs w:val="21"/>
          <w:highlight w:val="none"/>
        </w:rPr>
        <w:t>1.1投标人资格声明函</w:t>
      </w:r>
      <w:bookmarkEnd w:id="22"/>
      <w:bookmarkEnd w:id="23"/>
      <w:bookmarkEnd w:id="24"/>
    </w:p>
    <w:p>
      <w:pPr>
        <w:snapToGrid w:val="0"/>
        <w:spacing w:line="360" w:lineRule="auto"/>
        <w:rPr>
          <w:rFonts w:hint="eastAsia" w:hAnsi="宋体"/>
          <w:b/>
          <w:szCs w:val="21"/>
          <w:highlight w:val="none"/>
        </w:rPr>
      </w:pPr>
    </w:p>
    <w:p>
      <w:pPr>
        <w:snapToGrid w:val="0"/>
        <w:spacing w:line="360" w:lineRule="auto"/>
        <w:rPr>
          <w:rFonts w:hint="eastAsia" w:hAnsi="宋体"/>
          <w:b/>
          <w:highlight w:val="none"/>
        </w:rPr>
      </w:pPr>
      <w:r>
        <w:rPr>
          <w:rFonts w:hint="eastAsia" w:hAnsi="宋体"/>
          <w:b/>
          <w:szCs w:val="21"/>
          <w:highlight w:val="none"/>
        </w:rPr>
        <w:t>国义招标股份有限公司：</w:t>
      </w:r>
    </w:p>
    <w:p>
      <w:pPr>
        <w:snapToGrid w:val="0"/>
        <w:spacing w:line="360" w:lineRule="auto"/>
        <w:ind w:firstLine="444" w:firstLineChars="202"/>
        <w:rPr>
          <w:rFonts w:hint="eastAsia" w:hAnsi="宋体"/>
          <w:highlight w:val="none"/>
        </w:rPr>
      </w:pPr>
      <w:r>
        <w:rPr>
          <w:rFonts w:hint="eastAsia" w:hAnsi="宋体"/>
          <w:highlight w:val="none"/>
        </w:rPr>
        <w:t>关于贵公司</w:t>
      </w:r>
      <w:r>
        <w:rPr>
          <w:rFonts w:hint="eastAsia" w:hAnsi="宋体"/>
          <w:highlight w:val="none"/>
          <w:u w:val="single"/>
        </w:rPr>
        <w:t>　 　</w:t>
      </w:r>
      <w:r>
        <w:rPr>
          <w:rFonts w:hint="eastAsia" w:hAnsi="宋体"/>
          <w:highlight w:val="none"/>
        </w:rPr>
        <w:t>年</w:t>
      </w:r>
      <w:r>
        <w:rPr>
          <w:rFonts w:hint="eastAsia" w:hAnsi="宋体"/>
          <w:highlight w:val="none"/>
          <w:u w:val="single"/>
        </w:rPr>
        <w:t>　　</w:t>
      </w:r>
      <w:r>
        <w:rPr>
          <w:rFonts w:hint="eastAsia" w:hAnsi="宋体"/>
          <w:highlight w:val="none"/>
        </w:rPr>
        <w:t>月</w:t>
      </w:r>
      <w:r>
        <w:rPr>
          <w:rFonts w:hint="eastAsia" w:hAnsi="宋体"/>
          <w:highlight w:val="none"/>
          <w:u w:val="single"/>
        </w:rPr>
        <w:t>　　</w:t>
      </w:r>
      <w:r>
        <w:rPr>
          <w:rFonts w:hint="eastAsia" w:hAnsi="宋体"/>
          <w:highlight w:val="none"/>
        </w:rPr>
        <w:t>日发布</w:t>
      </w:r>
      <w:r>
        <w:rPr>
          <w:rFonts w:hint="eastAsia" w:hAnsi="宋体"/>
          <w:highlight w:val="none"/>
          <w:u w:val="single"/>
        </w:rPr>
        <w:t xml:space="preserve">                     </w:t>
      </w:r>
      <w:r>
        <w:rPr>
          <w:rFonts w:hint="eastAsia" w:hAnsi="宋体"/>
          <w:highlight w:val="none"/>
        </w:rPr>
        <w:t>项目（项目编号：0724-XXXXXXXX）的采购公告，本公司（企业）愿意参加投标，并声明：</w:t>
      </w:r>
    </w:p>
    <w:p>
      <w:pPr>
        <w:snapToGrid w:val="0"/>
        <w:spacing w:line="360" w:lineRule="auto"/>
        <w:ind w:firstLine="444" w:firstLineChars="202"/>
        <w:rPr>
          <w:rFonts w:hint="eastAsia" w:hAnsi="宋体"/>
          <w:highlight w:val="none"/>
        </w:rPr>
      </w:pPr>
      <w:r>
        <w:rPr>
          <w:rFonts w:hint="eastAsia" w:hAnsi="宋体"/>
          <w:highlight w:val="none"/>
        </w:rPr>
        <w:t>(1)本公司（企业）具备《中华人民共和国政府采购法》第二十二条资格条件，并已清楚招标文件的要求及有关文件规定。</w:t>
      </w:r>
    </w:p>
    <w:p>
      <w:pPr>
        <w:snapToGrid w:val="0"/>
        <w:spacing w:line="360" w:lineRule="auto"/>
        <w:ind w:firstLine="444" w:firstLineChars="202"/>
        <w:rPr>
          <w:rFonts w:hint="eastAsia" w:hAnsi="宋体"/>
          <w:highlight w:val="none"/>
        </w:rPr>
      </w:pPr>
      <w:r>
        <w:rPr>
          <w:rFonts w:hint="eastAsia" w:hAnsi="宋体"/>
          <w:highlight w:val="none"/>
        </w:rPr>
        <w:t>(2)本公司（企业）具有良好的商业信誉和健全的财务会计制度</w:t>
      </w:r>
      <w:r>
        <w:rPr>
          <w:rFonts w:hint="eastAsia" w:hAnsi="宋体"/>
          <w:highlight w:val="none"/>
          <w:lang w:val="zh-CN"/>
        </w:rPr>
        <w:t>；</w:t>
      </w:r>
      <w:r>
        <w:rPr>
          <w:rFonts w:hint="eastAsia" w:hAnsi="宋体"/>
          <w:highlight w:val="none"/>
        </w:rPr>
        <w:t>有依法缴纳税收和社会保障资金的良好记录</w:t>
      </w:r>
      <w:r>
        <w:rPr>
          <w:rFonts w:hint="eastAsia" w:hAnsi="宋体"/>
          <w:highlight w:val="none"/>
          <w:lang w:val="zh-CN"/>
        </w:rPr>
        <w:t>；</w:t>
      </w:r>
      <w:r>
        <w:rPr>
          <w:rFonts w:hint="eastAsia" w:hAnsi="宋体"/>
          <w:highlight w:val="none"/>
        </w:rPr>
        <w:t>具有履行合同所必需的设备和专业技术能力，且本公司（企业）参加政府采购活动前3年内在经营活动中没有重大违法记录。否则，由此所造成的损失、不良后果及法律责任，一律由我公司（企业）承担。</w:t>
      </w:r>
    </w:p>
    <w:p>
      <w:pPr>
        <w:snapToGrid w:val="0"/>
        <w:spacing w:line="360" w:lineRule="auto"/>
        <w:ind w:firstLine="444" w:firstLineChars="202"/>
        <w:rPr>
          <w:rFonts w:hint="eastAsia" w:hAnsi="宋体"/>
          <w:highlight w:val="none"/>
        </w:rPr>
      </w:pPr>
      <w:r>
        <w:rPr>
          <w:rFonts w:hint="eastAsia" w:hAnsi="宋体"/>
          <w:highlight w:val="none"/>
        </w:rPr>
        <w:t>(3)关于本企业信用情况，经对“信用中国”网站（www.creditchina.gov.cn）、“中国政府采购网”（ www.ccgp.gov.cn）信用记录信息的查询，截至规定的投标截止时间，我司没有被列入失信被执行人、税收违法黑名单、政府采购、环境保护、知识产权等领域严重违法失信行为记录名单中。</w:t>
      </w:r>
    </w:p>
    <w:p>
      <w:pPr>
        <w:snapToGrid w:val="0"/>
        <w:spacing w:line="360" w:lineRule="auto"/>
        <w:ind w:firstLine="444" w:firstLineChars="202"/>
        <w:rPr>
          <w:rFonts w:hint="eastAsia" w:hAnsi="宋体"/>
          <w:highlight w:val="none"/>
        </w:rPr>
      </w:pPr>
      <w:r>
        <w:rPr>
          <w:rFonts w:hint="eastAsia" w:hAnsi="宋体"/>
          <w:highlight w:val="none"/>
        </w:rPr>
        <w:t>(4)经核实，本公司不存在以下情况：单位负责人为同一人或者存在直接控股、管理关系的不同供应商，参加同一合同项下的政府采购活动。</w:t>
      </w:r>
    </w:p>
    <w:p>
      <w:pPr>
        <w:snapToGrid w:val="0"/>
        <w:spacing w:line="360" w:lineRule="auto"/>
        <w:ind w:firstLine="444" w:firstLineChars="202"/>
        <w:rPr>
          <w:rFonts w:hint="eastAsia" w:hAnsi="宋体"/>
          <w:highlight w:val="none"/>
        </w:rPr>
      </w:pPr>
      <w:r>
        <w:rPr>
          <w:rFonts w:hint="eastAsia" w:hAnsi="宋体"/>
          <w:highlight w:val="none"/>
        </w:rPr>
        <w:t>(5) 经核实，本公司不存在以下情况：为采购项目提供整体设计、规范编制或者项目管理、监理、检测等服务的供应商，再参加该采购项目的其他采购活动。</w:t>
      </w:r>
    </w:p>
    <w:p>
      <w:pPr>
        <w:snapToGrid w:val="0"/>
        <w:spacing w:line="360" w:lineRule="auto"/>
        <w:ind w:firstLine="444" w:firstLineChars="202"/>
        <w:rPr>
          <w:rFonts w:hint="eastAsia" w:hAnsi="宋体"/>
          <w:highlight w:val="none"/>
        </w:rPr>
      </w:pPr>
      <w:r>
        <w:rPr>
          <w:rFonts w:hint="eastAsia" w:hAnsi="宋体"/>
          <w:highlight w:val="none"/>
        </w:rPr>
        <w:t>（6）本公司不属于联合体投标，承诺如果中标不分包转包。</w:t>
      </w:r>
    </w:p>
    <w:p>
      <w:pPr>
        <w:snapToGrid w:val="0"/>
        <w:spacing w:line="360" w:lineRule="auto"/>
        <w:ind w:firstLine="444" w:firstLineChars="202"/>
        <w:rPr>
          <w:rFonts w:hint="eastAsia" w:hAnsi="宋体"/>
          <w:highlight w:val="none"/>
        </w:rPr>
      </w:pPr>
      <w:r>
        <w:rPr>
          <w:rFonts w:hint="eastAsia" w:hAnsi="宋体"/>
          <w:highlight w:val="none"/>
        </w:rPr>
        <w:t>（7）本公司符合法律、行政法规规定的其他条件。</w:t>
      </w:r>
    </w:p>
    <w:p>
      <w:pPr>
        <w:snapToGrid w:val="0"/>
        <w:spacing w:line="360" w:lineRule="auto"/>
        <w:ind w:firstLine="444" w:firstLineChars="202"/>
        <w:rPr>
          <w:rFonts w:hint="eastAsia" w:hAnsi="宋体"/>
          <w:highlight w:val="none"/>
        </w:rPr>
      </w:pPr>
      <w:r>
        <w:rPr>
          <w:rFonts w:hint="eastAsia" w:hAnsi="宋体"/>
          <w:highlight w:val="none"/>
        </w:rPr>
        <w:t>本次招标采购活动中，本单位保证全部投标文件和问题的回答是真实和有效的，并对所提供资料的真实性和正确性承担法律责任。</w:t>
      </w:r>
    </w:p>
    <w:p>
      <w:pPr>
        <w:snapToGrid w:val="0"/>
        <w:spacing w:line="360" w:lineRule="auto"/>
        <w:ind w:firstLine="444" w:firstLineChars="202"/>
        <w:rPr>
          <w:rFonts w:hint="eastAsia" w:hAnsi="宋体"/>
          <w:highlight w:val="none"/>
        </w:rPr>
      </w:pPr>
      <w:r>
        <w:rPr>
          <w:rFonts w:hint="eastAsia" w:hAnsi="宋体"/>
          <w:highlight w:val="none"/>
        </w:rPr>
        <w:t>如有违法、违规、弄虚作假行为，所造成的损失、不良后果及法律责任，一律由我公司（企业）承担。</w:t>
      </w:r>
    </w:p>
    <w:p>
      <w:pPr>
        <w:spacing w:line="360" w:lineRule="auto"/>
        <w:ind w:firstLine="420"/>
        <w:rPr>
          <w:rFonts w:hint="eastAsia" w:hAnsi="宋体"/>
          <w:szCs w:val="21"/>
          <w:highlight w:val="none"/>
        </w:rPr>
      </w:pPr>
      <w:r>
        <w:rPr>
          <w:rFonts w:hint="eastAsia" w:hAnsi="宋体"/>
          <w:b/>
          <w:highlight w:val="none"/>
        </w:rPr>
        <w:t>特此声明！</w:t>
      </w:r>
    </w:p>
    <w:p>
      <w:pPr>
        <w:spacing w:line="360" w:lineRule="auto"/>
        <w:rPr>
          <w:rFonts w:hint="eastAsia" w:hAnsi="宋体"/>
          <w:highlight w:val="none"/>
        </w:rPr>
      </w:pPr>
      <w:r>
        <w:rPr>
          <w:rFonts w:hint="eastAsia" w:hAnsi="宋体"/>
          <w:b/>
          <w:highlight w:val="none"/>
        </w:rPr>
        <w:t>附件：</w:t>
      </w:r>
    </w:p>
    <w:p>
      <w:pPr>
        <w:rPr>
          <w:rFonts w:hint="eastAsia" w:hAnsi="宋体"/>
          <w:highlight w:val="none"/>
        </w:rPr>
      </w:pPr>
      <w:r>
        <w:rPr>
          <w:rFonts w:hint="eastAsia" w:hAnsi="宋体"/>
          <w:highlight w:val="none"/>
        </w:rPr>
        <w:t>1.企业股东构成情况表</w:t>
      </w:r>
    </w:p>
    <w:p>
      <w:pPr>
        <w:snapToGrid w:val="0"/>
        <w:rPr>
          <w:rFonts w:hint="eastAsia" w:hAnsi="宋体"/>
          <w:szCs w:val="21"/>
          <w:highlight w:val="none"/>
        </w:rPr>
      </w:pPr>
    </w:p>
    <w:p>
      <w:pPr>
        <w:snapToGrid w:val="0"/>
        <w:rPr>
          <w:rFonts w:hint="eastAsia" w:hAnsi="宋体"/>
          <w:szCs w:val="21"/>
          <w:highlight w:val="none"/>
        </w:rPr>
      </w:pPr>
      <w:r>
        <w:rPr>
          <w:rFonts w:hint="eastAsia" w:hAnsi="宋体"/>
          <w:szCs w:val="21"/>
          <w:highlight w:val="none"/>
        </w:rPr>
        <w:t>投标人法定代表人（或法定代表人授权代表）签字：</w:t>
      </w:r>
      <w:r>
        <w:rPr>
          <w:rFonts w:hint="eastAsia" w:hAnsi="宋体"/>
          <w:szCs w:val="21"/>
          <w:highlight w:val="none"/>
          <w:u w:val="single"/>
        </w:rPr>
        <w:t xml:space="preserve">                   </w:t>
      </w:r>
    </w:p>
    <w:p>
      <w:pPr>
        <w:snapToGrid w:val="0"/>
        <w:rPr>
          <w:rFonts w:hint="eastAsia" w:hAnsi="宋体"/>
          <w:szCs w:val="21"/>
          <w:highlight w:val="none"/>
          <w:u w:val="single"/>
        </w:rPr>
      </w:pPr>
      <w:r>
        <w:rPr>
          <w:rFonts w:hint="eastAsia" w:hAnsi="宋体"/>
          <w:szCs w:val="21"/>
          <w:highlight w:val="none"/>
        </w:rPr>
        <w:t>投标人名称（加盖公章）：</w:t>
      </w:r>
      <w:r>
        <w:rPr>
          <w:rFonts w:hint="eastAsia" w:hAnsi="宋体"/>
          <w:szCs w:val="21"/>
          <w:highlight w:val="none"/>
          <w:u w:val="single"/>
        </w:rPr>
        <w:t xml:space="preserve">                        </w:t>
      </w:r>
    </w:p>
    <w:p>
      <w:pPr>
        <w:snapToGrid w:val="0"/>
        <w:rPr>
          <w:rFonts w:hint="eastAsia" w:hAnsi="宋体"/>
          <w:szCs w:val="21"/>
          <w:highlight w:val="none"/>
        </w:rPr>
      </w:pPr>
      <w:r>
        <w:rPr>
          <w:rFonts w:hint="eastAsia" w:hAnsi="宋体"/>
          <w:szCs w:val="21"/>
          <w:highlight w:val="none"/>
        </w:rPr>
        <w:t>日期：</w:t>
      </w:r>
      <w:r>
        <w:rPr>
          <w:rFonts w:hint="eastAsia" w:hAnsi="宋体"/>
          <w:szCs w:val="21"/>
          <w:highlight w:val="none"/>
          <w:u w:val="single"/>
        </w:rPr>
        <w:t xml:space="preserve">          </w:t>
      </w:r>
      <w:r>
        <w:rPr>
          <w:rFonts w:hint="eastAsia" w:hAnsi="宋体"/>
          <w:szCs w:val="21"/>
          <w:highlight w:val="none"/>
        </w:rPr>
        <w:t>年</w:t>
      </w:r>
      <w:r>
        <w:rPr>
          <w:rFonts w:hint="eastAsia" w:hAnsi="宋体"/>
          <w:szCs w:val="21"/>
          <w:highlight w:val="none"/>
          <w:u w:val="single"/>
        </w:rPr>
        <w:t xml:space="preserve">     </w:t>
      </w:r>
      <w:r>
        <w:rPr>
          <w:rFonts w:hint="eastAsia" w:hAnsi="宋体"/>
          <w:szCs w:val="21"/>
          <w:highlight w:val="none"/>
        </w:rPr>
        <w:t xml:space="preserve"> 月</w:t>
      </w:r>
      <w:r>
        <w:rPr>
          <w:rFonts w:hint="eastAsia" w:hAnsi="宋体"/>
          <w:szCs w:val="21"/>
          <w:highlight w:val="none"/>
          <w:u w:val="single"/>
        </w:rPr>
        <w:t xml:space="preserve">    </w:t>
      </w:r>
      <w:r>
        <w:rPr>
          <w:rFonts w:hint="eastAsia" w:hAnsi="宋体"/>
          <w:szCs w:val="21"/>
          <w:highlight w:val="none"/>
        </w:rPr>
        <w:t xml:space="preserve"> 日</w:t>
      </w:r>
    </w:p>
    <w:p>
      <w:pPr>
        <w:jc w:val="center"/>
        <w:rPr>
          <w:rFonts w:hint="eastAsia" w:hAnsi="宋体"/>
          <w:b/>
          <w:sz w:val="28"/>
          <w:szCs w:val="28"/>
          <w:highlight w:val="none"/>
        </w:rPr>
      </w:pPr>
      <w:r>
        <w:rPr>
          <w:rFonts w:hint="eastAsia" w:hAnsi="宋体"/>
          <w:b/>
          <w:sz w:val="36"/>
          <w:szCs w:val="36"/>
          <w:highlight w:val="none"/>
        </w:rPr>
        <w:br w:type="page"/>
      </w:r>
      <w:r>
        <w:rPr>
          <w:rFonts w:hint="eastAsia" w:hAnsi="宋体"/>
          <w:b/>
          <w:sz w:val="28"/>
          <w:szCs w:val="28"/>
          <w:highlight w:val="none"/>
        </w:rPr>
        <w:t>企业股东构成情况表</w:t>
      </w:r>
    </w:p>
    <w:p>
      <w:pPr>
        <w:rPr>
          <w:rFonts w:hint="eastAsia" w:hAnsi="宋体"/>
          <w:b/>
          <w:sz w:val="24"/>
          <w:highlight w:val="none"/>
        </w:rPr>
      </w:pPr>
    </w:p>
    <w:tbl>
      <w:tblPr>
        <w:tblStyle w:val="24"/>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r>
              <w:rPr>
                <w:rFonts w:hint="eastAsia" w:hAnsi="宋体"/>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r>
              <w:rPr>
                <w:rFonts w:hint="eastAsia" w:hAnsi="宋体"/>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r>
              <w:rPr>
                <w:rFonts w:hint="eastAsia" w:hAnsi="宋体"/>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r>
              <w:rPr>
                <w:rFonts w:hint="eastAsia" w:hAnsi="宋体"/>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r>
              <w:rPr>
                <w:rFonts w:hint="eastAsia" w:hAnsi="宋体"/>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b/>
                <w:szCs w:val="21"/>
                <w:highlight w:val="none"/>
              </w:rPr>
            </w:pPr>
            <w:r>
              <w:rPr>
                <w:rFonts w:hint="eastAsia" w:hAnsi="宋体"/>
                <w:b/>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b/>
                <w:szCs w:val="21"/>
                <w:highlight w:val="none"/>
              </w:rPr>
            </w:pPr>
            <w:r>
              <w:rPr>
                <w:rFonts w:hint="eastAsia" w:hAnsi="宋体"/>
                <w:b/>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b/>
                <w:szCs w:val="21"/>
                <w:highlight w:val="none"/>
              </w:rPr>
            </w:pPr>
            <w:r>
              <w:rPr>
                <w:rFonts w:hint="eastAsia" w:hAnsi="宋体"/>
                <w:b/>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b/>
                <w:szCs w:val="21"/>
                <w:highlight w:val="none"/>
              </w:rPr>
            </w:pPr>
            <w:r>
              <w:rPr>
                <w:rFonts w:hint="eastAsia" w:hAnsi="宋体"/>
                <w:b/>
                <w:szCs w:val="21"/>
                <w:highlight w:val="none"/>
              </w:rPr>
              <w:t>股东类型</w:t>
            </w:r>
          </w:p>
          <w:p>
            <w:pPr>
              <w:topLinePunct/>
              <w:spacing w:line="440" w:lineRule="exact"/>
              <w:jc w:val="center"/>
              <w:rPr>
                <w:rFonts w:hint="eastAsia" w:hAnsi="宋体"/>
                <w:b/>
                <w:szCs w:val="21"/>
                <w:highlight w:val="none"/>
              </w:rPr>
            </w:pPr>
            <w:r>
              <w:rPr>
                <w:rFonts w:hint="eastAsia" w:hAnsi="宋体"/>
                <w:b/>
                <w:szCs w:val="21"/>
                <w:highlight w:val="none"/>
              </w:rPr>
              <w:t>(自然人股东/法人股东)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b/>
                <w:szCs w:val="21"/>
                <w:highlight w:val="none"/>
              </w:rPr>
            </w:pPr>
            <w:r>
              <w:rPr>
                <w:rFonts w:hint="eastAsia" w:hAnsi="宋体"/>
                <w:b/>
                <w:szCs w:val="21"/>
                <w:highlight w:val="none"/>
              </w:rPr>
              <w:t>身份证号</w:t>
            </w:r>
          </w:p>
          <w:p>
            <w:pPr>
              <w:topLinePunct/>
              <w:spacing w:line="440" w:lineRule="exact"/>
              <w:jc w:val="center"/>
              <w:rPr>
                <w:rFonts w:hint="eastAsia" w:hAnsi="宋体"/>
                <w:b/>
                <w:szCs w:val="21"/>
                <w:highlight w:val="none"/>
              </w:rPr>
            </w:pPr>
            <w:r>
              <w:rPr>
                <w:rFonts w:hint="eastAsia" w:hAnsi="宋体"/>
                <w:b/>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b/>
                <w:szCs w:val="21"/>
                <w:highlight w:val="none"/>
              </w:rPr>
            </w:pPr>
            <w:r>
              <w:rPr>
                <w:rFonts w:hint="eastAsia" w:hAnsi="宋体"/>
                <w:b/>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b/>
                <w:szCs w:val="21"/>
                <w:highlight w:val="none"/>
              </w:rPr>
            </w:pPr>
            <w:r>
              <w:rPr>
                <w:rFonts w:hint="eastAsia" w:hAnsi="宋体"/>
                <w:b/>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b/>
                <w:szCs w:val="21"/>
                <w:highlight w:val="none"/>
              </w:rPr>
            </w:pPr>
            <w:r>
              <w:rPr>
                <w:rFonts w:hint="eastAsia" w:hAnsi="宋体"/>
                <w:b/>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hAnsi="宋体"/>
                <w:szCs w:val="21"/>
                <w:highlight w:val="none"/>
              </w:rPr>
            </w:pPr>
          </w:p>
        </w:tc>
      </w:tr>
    </w:tbl>
    <w:p>
      <w:pPr>
        <w:rPr>
          <w:rFonts w:hint="eastAsia" w:hAnsi="宋体"/>
          <w:szCs w:val="21"/>
          <w:highlight w:val="none"/>
        </w:rPr>
      </w:pPr>
    </w:p>
    <w:p>
      <w:pPr>
        <w:rPr>
          <w:rFonts w:hint="eastAsia" w:hAnsi="宋体"/>
          <w:szCs w:val="21"/>
          <w:highlight w:val="none"/>
        </w:rPr>
      </w:pPr>
      <w:r>
        <w:rPr>
          <w:rFonts w:hint="eastAsia" w:hAnsi="宋体"/>
          <w:szCs w:val="21"/>
          <w:highlight w:val="none"/>
        </w:rPr>
        <w:t>备注：</w:t>
      </w:r>
    </w:p>
    <w:p>
      <w:pPr>
        <w:rPr>
          <w:rFonts w:hint="eastAsia" w:hAnsi="宋体"/>
          <w:szCs w:val="21"/>
          <w:highlight w:val="none"/>
        </w:rPr>
      </w:pPr>
      <w:r>
        <w:rPr>
          <w:rFonts w:hint="eastAsia" w:hAnsi="宋体"/>
          <w:szCs w:val="21"/>
          <w:highlight w:val="none"/>
        </w:rPr>
        <w:t>1.股东或出资人为自然人的，填写自然人姓名及身份证号；股东或出资人为法人的，填写法人企业全称及统一社会信用代码。出资方式填写：货物、实物、工艺产权和非专利技术、土地使用权等。</w:t>
      </w:r>
    </w:p>
    <w:p>
      <w:pPr>
        <w:rPr>
          <w:rFonts w:hint="eastAsia" w:hAnsi="宋体"/>
          <w:szCs w:val="21"/>
          <w:highlight w:val="none"/>
        </w:rPr>
      </w:pPr>
      <w:r>
        <w:rPr>
          <w:rFonts w:hint="eastAsia" w:hAnsi="宋体"/>
          <w:szCs w:val="21"/>
          <w:highlight w:val="none"/>
        </w:rPr>
        <w:t>2.</w:t>
      </w:r>
      <w:r>
        <w:rPr>
          <w:rFonts w:hint="eastAsia" w:hAnsi="宋体"/>
          <w:sz w:val="20"/>
          <w:szCs w:val="18"/>
          <w:highlight w:val="none"/>
        </w:rPr>
        <w:t>投标人必须如实填写股东构成情况</w:t>
      </w:r>
      <w:r>
        <w:rPr>
          <w:rFonts w:hint="eastAsia" w:hAnsi="宋体"/>
          <w:szCs w:val="21"/>
          <w:highlight w:val="none"/>
        </w:rPr>
        <w:t>，具体信息情况应与“国家企业信用信息公示系统” (网站：</w:t>
      </w:r>
      <w:r>
        <w:rPr>
          <w:highlight w:val="none"/>
        </w:rPr>
        <w:fldChar w:fldCharType="begin"/>
      </w:r>
      <w:r>
        <w:rPr>
          <w:highlight w:val="none"/>
        </w:rPr>
        <w:instrText xml:space="preserve"> HYPERLINK "http://www.gsxt.gov.cn)查询的信息一致。" </w:instrText>
      </w:r>
      <w:r>
        <w:rPr>
          <w:highlight w:val="none"/>
        </w:rPr>
        <w:fldChar w:fldCharType="separate"/>
      </w:r>
      <w:r>
        <w:rPr>
          <w:rStyle w:val="30"/>
          <w:rFonts w:hint="eastAsia" w:hAnsi="宋体"/>
          <w:color w:val="auto"/>
          <w:szCs w:val="21"/>
          <w:highlight w:val="none"/>
        </w:rPr>
        <w:t>http://www.gsxt.gov.cn)查询的信息一致。</w:t>
      </w:r>
      <w:r>
        <w:rPr>
          <w:rStyle w:val="30"/>
          <w:rFonts w:hint="eastAsia" w:hAnsi="宋体"/>
          <w:color w:val="auto"/>
          <w:szCs w:val="21"/>
          <w:highlight w:val="none"/>
        </w:rPr>
        <w:fldChar w:fldCharType="end"/>
      </w:r>
    </w:p>
    <w:p>
      <w:pPr>
        <w:tabs>
          <w:tab w:val="left" w:pos="654"/>
          <w:tab w:val="left" w:pos="1734"/>
          <w:tab w:val="left" w:pos="2814"/>
          <w:tab w:val="left" w:pos="3894"/>
          <w:tab w:val="left" w:pos="5334"/>
          <w:tab w:val="left" w:pos="6414"/>
          <w:tab w:val="left" w:pos="7254"/>
          <w:tab w:val="left" w:pos="8574"/>
          <w:tab w:val="left" w:pos="9654"/>
        </w:tabs>
        <w:rPr>
          <w:rFonts w:hint="eastAsia" w:hAnsi="宋体"/>
          <w:b/>
          <w:sz w:val="24"/>
          <w:highlight w:val="none"/>
        </w:rPr>
      </w:pPr>
      <w:r>
        <w:rPr>
          <w:rFonts w:hint="eastAsia" w:hAnsi="宋体"/>
          <w:b/>
          <w:sz w:val="24"/>
          <w:highlight w:val="none"/>
        </w:rPr>
        <w:br w:type="page"/>
      </w:r>
      <w:r>
        <w:rPr>
          <w:rFonts w:hint="eastAsia" w:hAnsi="宋体"/>
          <w:b/>
          <w:sz w:val="24"/>
          <w:highlight w:val="none"/>
        </w:rPr>
        <w:t>1.2政府采购活动信用记录自查承诺函</w:t>
      </w:r>
    </w:p>
    <w:p>
      <w:pPr>
        <w:ind w:left="405"/>
        <w:rPr>
          <w:rFonts w:hint="eastAsia" w:hAnsi="宋体"/>
          <w:sz w:val="24"/>
          <w:highlight w:val="none"/>
        </w:rPr>
      </w:pPr>
    </w:p>
    <w:p>
      <w:pPr>
        <w:snapToGrid w:val="0"/>
        <w:spacing w:line="360" w:lineRule="auto"/>
        <w:ind w:firstLine="440" w:firstLineChars="200"/>
        <w:rPr>
          <w:rFonts w:hint="eastAsia" w:hAnsi="宋体"/>
          <w:szCs w:val="21"/>
          <w:highlight w:val="none"/>
        </w:rPr>
      </w:pPr>
    </w:p>
    <w:p>
      <w:pPr>
        <w:tabs>
          <w:tab w:val="left" w:pos="654"/>
          <w:tab w:val="left" w:pos="1734"/>
          <w:tab w:val="left" w:pos="2814"/>
          <w:tab w:val="left" w:pos="3894"/>
          <w:tab w:val="left" w:pos="5334"/>
          <w:tab w:val="left" w:pos="6414"/>
          <w:tab w:val="left" w:pos="7254"/>
          <w:tab w:val="left" w:pos="8574"/>
          <w:tab w:val="left" w:pos="9654"/>
        </w:tabs>
        <w:rPr>
          <w:rFonts w:hint="eastAsia" w:hAnsi="宋体"/>
          <w:bCs/>
          <w:szCs w:val="21"/>
          <w:highlight w:val="none"/>
        </w:rPr>
      </w:pPr>
      <w:r>
        <w:rPr>
          <w:rFonts w:hint="eastAsia" w:hAnsi="宋体"/>
          <w:bCs/>
          <w:szCs w:val="21"/>
          <w:highlight w:val="none"/>
        </w:rPr>
        <w:t>国义招标股份有限公司：</w:t>
      </w:r>
    </w:p>
    <w:p>
      <w:pPr>
        <w:tabs>
          <w:tab w:val="left" w:pos="654"/>
          <w:tab w:val="left" w:pos="1734"/>
          <w:tab w:val="left" w:pos="2814"/>
          <w:tab w:val="left" w:pos="3894"/>
          <w:tab w:val="left" w:pos="5334"/>
          <w:tab w:val="left" w:pos="6414"/>
          <w:tab w:val="left" w:pos="7254"/>
          <w:tab w:val="left" w:pos="8574"/>
          <w:tab w:val="left" w:pos="9654"/>
        </w:tabs>
        <w:rPr>
          <w:rFonts w:hint="eastAsia" w:hAnsi="宋体"/>
          <w:bCs/>
          <w:szCs w:val="21"/>
          <w:highlight w:val="none"/>
        </w:rPr>
      </w:pPr>
      <w:r>
        <w:rPr>
          <w:rFonts w:hint="eastAsia" w:hAnsi="宋体"/>
          <w:bCs/>
          <w:szCs w:val="21"/>
          <w:highlight w:val="none"/>
        </w:rPr>
        <w:t>  关于本企业信用情况，经对“信用中国”网站（www.creditchina.gov.cn）中企业信用信息、“中国政府采购网”（ www.ccgp.gov.cn）“政府采购严重违法失信行为信息记录”的网上查询，截至规定的投标截止时间，我司没有被列入失信被执行人、税收违法黑名单、政府采购严重违法失信行为记录名单及其他不符合规定条件的供应商名单中。特此承诺！</w:t>
      </w:r>
    </w:p>
    <w:p>
      <w:pPr>
        <w:ind w:left="405"/>
        <w:rPr>
          <w:rFonts w:hint="eastAsia" w:hAnsi="宋体"/>
          <w:b/>
          <w:szCs w:val="21"/>
          <w:highlight w:val="none"/>
        </w:rPr>
      </w:pPr>
    </w:p>
    <w:p>
      <w:pPr>
        <w:ind w:left="405"/>
        <w:rPr>
          <w:rFonts w:hint="eastAsia" w:hAnsi="宋体"/>
          <w:b/>
          <w:szCs w:val="21"/>
          <w:highlight w:val="none"/>
        </w:rPr>
      </w:pPr>
    </w:p>
    <w:p>
      <w:pPr>
        <w:ind w:left="405"/>
        <w:rPr>
          <w:rFonts w:hint="eastAsia" w:hAnsi="宋体"/>
          <w:b/>
          <w:szCs w:val="21"/>
          <w:highlight w:val="none"/>
        </w:rPr>
      </w:pPr>
    </w:p>
    <w:p>
      <w:pPr>
        <w:snapToGrid w:val="0"/>
        <w:rPr>
          <w:rFonts w:hint="eastAsia" w:hAnsi="宋体"/>
          <w:szCs w:val="21"/>
          <w:highlight w:val="none"/>
        </w:rPr>
      </w:pPr>
      <w:r>
        <w:rPr>
          <w:rFonts w:hint="eastAsia" w:hAnsi="宋体"/>
          <w:szCs w:val="21"/>
          <w:highlight w:val="none"/>
        </w:rPr>
        <w:t>投标人法定代表人（或法定代表人授权代表）签字：</w:t>
      </w:r>
      <w:r>
        <w:rPr>
          <w:rFonts w:hint="eastAsia" w:hAnsi="宋体"/>
          <w:szCs w:val="21"/>
          <w:highlight w:val="none"/>
          <w:u w:val="single"/>
        </w:rPr>
        <w:t xml:space="preserve">                   </w:t>
      </w:r>
    </w:p>
    <w:p>
      <w:pPr>
        <w:snapToGrid w:val="0"/>
        <w:rPr>
          <w:rFonts w:hint="eastAsia" w:hAnsi="宋体"/>
          <w:szCs w:val="21"/>
          <w:highlight w:val="none"/>
          <w:u w:val="single"/>
        </w:rPr>
      </w:pPr>
      <w:r>
        <w:rPr>
          <w:rFonts w:hint="eastAsia" w:hAnsi="宋体"/>
          <w:szCs w:val="21"/>
          <w:highlight w:val="none"/>
        </w:rPr>
        <w:t>投标人名称（加盖公章）：</w:t>
      </w:r>
      <w:r>
        <w:rPr>
          <w:rFonts w:hint="eastAsia" w:hAnsi="宋体"/>
          <w:szCs w:val="21"/>
          <w:highlight w:val="none"/>
          <w:u w:val="single"/>
        </w:rPr>
        <w:t xml:space="preserve">                        </w:t>
      </w:r>
    </w:p>
    <w:p>
      <w:pPr>
        <w:snapToGrid w:val="0"/>
        <w:rPr>
          <w:rFonts w:hint="eastAsia" w:hAnsi="宋体"/>
          <w:szCs w:val="21"/>
          <w:highlight w:val="none"/>
        </w:rPr>
      </w:pPr>
      <w:r>
        <w:rPr>
          <w:rFonts w:hint="eastAsia" w:hAnsi="宋体"/>
          <w:szCs w:val="21"/>
          <w:highlight w:val="none"/>
        </w:rPr>
        <w:t>日期：</w:t>
      </w:r>
      <w:r>
        <w:rPr>
          <w:rFonts w:hint="eastAsia" w:hAnsi="宋体"/>
          <w:szCs w:val="21"/>
          <w:highlight w:val="none"/>
          <w:u w:val="single"/>
        </w:rPr>
        <w:t xml:space="preserve">          </w:t>
      </w:r>
      <w:r>
        <w:rPr>
          <w:rFonts w:hint="eastAsia" w:hAnsi="宋体"/>
          <w:szCs w:val="21"/>
          <w:highlight w:val="none"/>
        </w:rPr>
        <w:t>年</w:t>
      </w:r>
      <w:r>
        <w:rPr>
          <w:rFonts w:hint="eastAsia" w:hAnsi="宋体"/>
          <w:szCs w:val="21"/>
          <w:highlight w:val="none"/>
          <w:u w:val="single"/>
        </w:rPr>
        <w:t xml:space="preserve">     </w:t>
      </w:r>
      <w:r>
        <w:rPr>
          <w:rFonts w:hint="eastAsia" w:hAnsi="宋体"/>
          <w:szCs w:val="21"/>
          <w:highlight w:val="none"/>
        </w:rPr>
        <w:t xml:space="preserve"> 月</w:t>
      </w:r>
      <w:r>
        <w:rPr>
          <w:rFonts w:hint="eastAsia" w:hAnsi="宋体"/>
          <w:szCs w:val="21"/>
          <w:highlight w:val="none"/>
          <w:u w:val="single"/>
        </w:rPr>
        <w:t xml:space="preserve">    </w:t>
      </w:r>
      <w:r>
        <w:rPr>
          <w:rFonts w:hint="eastAsia" w:hAnsi="宋体"/>
          <w:szCs w:val="21"/>
          <w:highlight w:val="none"/>
        </w:rPr>
        <w:t xml:space="preserve"> 日</w:t>
      </w:r>
    </w:p>
    <w:p>
      <w:pPr>
        <w:ind w:left="405"/>
        <w:rPr>
          <w:rFonts w:hint="eastAsia" w:hAnsi="宋体"/>
          <w:b/>
          <w:szCs w:val="21"/>
          <w:highlight w:val="none"/>
        </w:rPr>
      </w:pPr>
    </w:p>
    <w:p>
      <w:pPr>
        <w:ind w:left="405"/>
        <w:rPr>
          <w:rFonts w:hint="eastAsia" w:hAnsi="宋体"/>
          <w:b/>
          <w:szCs w:val="21"/>
          <w:highlight w:val="none"/>
        </w:rPr>
      </w:pPr>
    </w:p>
    <w:p>
      <w:pPr>
        <w:rPr>
          <w:rFonts w:hint="eastAsia" w:hAnsi="宋体"/>
          <w:b/>
          <w:szCs w:val="21"/>
          <w:highlight w:val="none"/>
        </w:rPr>
      </w:pPr>
      <w:r>
        <w:rPr>
          <w:rFonts w:hint="eastAsia" w:hAnsi="宋体"/>
          <w:b/>
          <w:szCs w:val="21"/>
          <w:highlight w:val="none"/>
        </w:rPr>
        <w:t>备注：采购方将对函件内容的真实性和有效性进行审查、验证，如有造假或情况不一致，将导致投标无效！</w:t>
      </w:r>
    </w:p>
    <w:p>
      <w:pPr>
        <w:rPr>
          <w:rFonts w:hint="eastAsia" w:hAnsi="宋体"/>
          <w:b/>
          <w:szCs w:val="21"/>
          <w:highlight w:val="none"/>
        </w:rPr>
      </w:pP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r>
        <w:rPr>
          <w:rFonts w:hint="eastAsia" w:hAnsi="宋体"/>
          <w:b/>
          <w:sz w:val="24"/>
          <w:highlight w:val="none"/>
        </w:rPr>
        <w:br w:type="page"/>
      </w:r>
    </w:p>
    <w:p>
      <w:pPr>
        <w:rPr>
          <w:rFonts w:hint="eastAsia" w:hAnsi="宋体"/>
          <w:b/>
          <w:sz w:val="24"/>
          <w:highlight w:val="none"/>
        </w:rPr>
      </w:pPr>
      <w:r>
        <w:rPr>
          <w:rFonts w:hint="eastAsia" w:hAnsi="宋体"/>
          <w:b/>
          <w:sz w:val="24"/>
          <w:highlight w:val="none"/>
        </w:rPr>
        <w:t>1.3法定代表人授权代表声明函</w:t>
      </w:r>
    </w:p>
    <w:p>
      <w:pPr>
        <w:jc w:val="center"/>
        <w:outlineLvl w:val="1"/>
        <w:rPr>
          <w:rFonts w:hint="eastAsia" w:hAnsi="宋体"/>
          <w:b/>
          <w:sz w:val="28"/>
          <w:szCs w:val="28"/>
          <w:highlight w:val="none"/>
        </w:rPr>
      </w:pPr>
      <w:r>
        <w:rPr>
          <w:rFonts w:hint="eastAsia" w:hAnsi="宋体"/>
          <w:b/>
          <w:szCs w:val="21"/>
          <w:highlight w:val="none"/>
        </w:rPr>
        <w:t>法定代表人授权代表声明函</w:t>
      </w:r>
    </w:p>
    <w:p>
      <w:pPr>
        <w:snapToGrid w:val="0"/>
        <w:spacing w:line="360" w:lineRule="auto"/>
        <w:rPr>
          <w:rFonts w:hint="eastAsia" w:hAnsi="宋体"/>
          <w:b/>
          <w:szCs w:val="21"/>
          <w:highlight w:val="none"/>
        </w:rPr>
      </w:pPr>
    </w:p>
    <w:p>
      <w:pPr>
        <w:snapToGrid w:val="0"/>
        <w:spacing w:line="360" w:lineRule="auto"/>
        <w:rPr>
          <w:rFonts w:hint="eastAsia" w:hAnsi="宋体"/>
          <w:b/>
          <w:highlight w:val="none"/>
        </w:rPr>
      </w:pPr>
      <w:r>
        <w:rPr>
          <w:rFonts w:hint="eastAsia" w:hAnsi="宋体"/>
          <w:b/>
          <w:szCs w:val="21"/>
          <w:highlight w:val="none"/>
        </w:rPr>
        <w:t>国义招标股份有限公司：</w:t>
      </w:r>
    </w:p>
    <w:p>
      <w:pPr>
        <w:snapToGrid w:val="0"/>
        <w:spacing w:line="360" w:lineRule="auto"/>
        <w:ind w:firstLine="444" w:firstLineChars="202"/>
        <w:rPr>
          <w:rFonts w:hint="eastAsia" w:hAnsi="宋体"/>
          <w:highlight w:val="none"/>
        </w:rPr>
      </w:pPr>
      <w:r>
        <w:rPr>
          <w:rFonts w:hint="eastAsia" w:hAnsi="宋体"/>
          <w:highlight w:val="none"/>
        </w:rPr>
        <w:t>关于贵公司</w:t>
      </w:r>
      <w:r>
        <w:rPr>
          <w:rFonts w:hint="eastAsia" w:hAnsi="宋体"/>
          <w:highlight w:val="none"/>
          <w:u w:val="single"/>
        </w:rPr>
        <w:t>　 　</w:t>
      </w:r>
      <w:r>
        <w:rPr>
          <w:rFonts w:hint="eastAsia" w:hAnsi="宋体"/>
          <w:highlight w:val="none"/>
        </w:rPr>
        <w:t>年</w:t>
      </w:r>
      <w:r>
        <w:rPr>
          <w:rFonts w:hint="eastAsia" w:hAnsi="宋体"/>
          <w:highlight w:val="none"/>
          <w:u w:val="single"/>
        </w:rPr>
        <w:t>　　</w:t>
      </w:r>
      <w:r>
        <w:rPr>
          <w:rFonts w:hint="eastAsia" w:hAnsi="宋体"/>
          <w:highlight w:val="none"/>
        </w:rPr>
        <w:t>月</w:t>
      </w:r>
      <w:r>
        <w:rPr>
          <w:rFonts w:hint="eastAsia" w:hAnsi="宋体"/>
          <w:highlight w:val="none"/>
          <w:u w:val="single"/>
        </w:rPr>
        <w:t>　　</w:t>
      </w:r>
      <w:r>
        <w:rPr>
          <w:rFonts w:hint="eastAsia" w:hAnsi="宋体"/>
          <w:highlight w:val="none"/>
        </w:rPr>
        <w:t>日发布</w:t>
      </w:r>
      <w:r>
        <w:rPr>
          <w:rFonts w:hint="eastAsia" w:hAnsi="宋体"/>
          <w:highlight w:val="none"/>
          <w:u w:val="single"/>
        </w:rPr>
        <w:t xml:space="preserve">                     </w:t>
      </w:r>
      <w:r>
        <w:rPr>
          <w:rFonts w:hint="eastAsia" w:hAnsi="宋体"/>
          <w:highlight w:val="none"/>
        </w:rPr>
        <w:t>项目（项目编号：0724-XXXXXXXX）的采购项目，本公司（企业）愿意参加投标，并声明：</w:t>
      </w:r>
    </w:p>
    <w:p>
      <w:pPr>
        <w:snapToGrid w:val="0"/>
        <w:spacing w:line="360" w:lineRule="auto"/>
        <w:ind w:firstLine="444" w:firstLineChars="202"/>
        <w:rPr>
          <w:rFonts w:hint="eastAsia" w:hAnsi="宋体"/>
          <w:highlight w:val="none"/>
        </w:rPr>
      </w:pPr>
      <w:r>
        <w:rPr>
          <w:rFonts w:hint="eastAsia" w:hAnsi="宋体"/>
          <w:highlight w:val="none"/>
        </w:rPr>
        <w:t>代表本公司（企业）参加本项目的</w:t>
      </w:r>
      <w:r>
        <w:rPr>
          <w:highlight w:val="none"/>
        </w:rPr>
        <w:t xml:space="preserve"> </w:t>
      </w:r>
      <w:r>
        <w:rPr>
          <w:highlight w:val="none"/>
          <w:u w:val="single"/>
        </w:rPr>
        <w:t>（姓名、职务）</w:t>
      </w:r>
      <w:r>
        <w:rPr>
          <w:highlight w:val="none"/>
        </w:rPr>
        <w:t xml:space="preserve"> 作为我公司的</w:t>
      </w:r>
      <w:r>
        <w:rPr>
          <w:rFonts w:hint="eastAsia" w:hAnsi="宋体"/>
          <w:szCs w:val="21"/>
          <w:highlight w:val="none"/>
        </w:rPr>
        <w:t>法定代表人授权代表</w:t>
      </w:r>
      <w:r>
        <w:rPr>
          <w:rFonts w:hint="eastAsia"/>
          <w:highlight w:val="none"/>
        </w:rPr>
        <w:t>，系</w:t>
      </w:r>
      <w:r>
        <w:rPr>
          <w:rFonts w:hint="eastAsia" w:hAnsi="宋体"/>
          <w:highlight w:val="none"/>
        </w:rPr>
        <w:t>本公司（企业）</w:t>
      </w:r>
      <w:r>
        <w:rPr>
          <w:rFonts w:hint="eastAsia"/>
          <w:highlight w:val="none"/>
        </w:rPr>
        <w:t>员工</w:t>
      </w:r>
      <w:r>
        <w:rPr>
          <w:rFonts w:hint="eastAsia" w:hAnsi="宋体"/>
          <w:highlight w:val="none"/>
        </w:rPr>
        <w:t>。</w:t>
      </w:r>
    </w:p>
    <w:p>
      <w:pPr>
        <w:snapToGrid w:val="0"/>
        <w:spacing w:line="360" w:lineRule="auto"/>
        <w:ind w:firstLine="444" w:firstLineChars="202"/>
        <w:rPr>
          <w:rFonts w:hint="eastAsia" w:hAnsi="宋体"/>
          <w:highlight w:val="none"/>
        </w:rPr>
      </w:pPr>
    </w:p>
    <w:p>
      <w:pPr>
        <w:spacing w:line="360" w:lineRule="auto"/>
        <w:ind w:firstLine="420"/>
        <w:rPr>
          <w:rFonts w:hint="eastAsia" w:hAnsi="宋体"/>
          <w:szCs w:val="21"/>
          <w:highlight w:val="none"/>
        </w:rPr>
      </w:pPr>
      <w:r>
        <w:rPr>
          <w:rFonts w:hint="eastAsia" w:hAnsi="宋体"/>
          <w:b/>
          <w:highlight w:val="none"/>
        </w:rPr>
        <w:t>特此声明！</w:t>
      </w:r>
    </w:p>
    <w:p>
      <w:pPr>
        <w:spacing w:line="360" w:lineRule="auto"/>
        <w:rPr>
          <w:rFonts w:hint="eastAsia" w:hAnsi="宋体"/>
          <w:highlight w:val="none"/>
        </w:rPr>
      </w:pPr>
      <w:r>
        <w:rPr>
          <w:rFonts w:hint="eastAsia" w:hAnsi="宋体"/>
          <w:b/>
          <w:highlight w:val="none"/>
        </w:rPr>
        <w:t>附件：</w:t>
      </w:r>
    </w:p>
    <w:p>
      <w:pPr>
        <w:rPr>
          <w:rFonts w:hint="eastAsia" w:hAnsi="宋体"/>
          <w:b/>
          <w:bCs/>
          <w:highlight w:val="none"/>
        </w:rPr>
      </w:pPr>
      <w:r>
        <w:rPr>
          <w:rFonts w:hint="eastAsia" w:hAnsi="宋体"/>
          <w:b/>
          <w:bCs/>
          <w:highlight w:val="none"/>
        </w:rPr>
        <w:t>法定代表人授权代表近六个月内任意一个月在投标人单位购买社保的证明材料。</w:t>
      </w:r>
    </w:p>
    <w:p>
      <w:pPr>
        <w:snapToGrid w:val="0"/>
        <w:rPr>
          <w:rFonts w:hint="eastAsia" w:hAnsi="宋体"/>
          <w:szCs w:val="21"/>
          <w:highlight w:val="none"/>
        </w:rPr>
      </w:pPr>
    </w:p>
    <w:p>
      <w:pPr>
        <w:snapToGrid w:val="0"/>
        <w:rPr>
          <w:rFonts w:hint="eastAsia" w:hAnsi="宋体"/>
          <w:szCs w:val="21"/>
          <w:highlight w:val="none"/>
        </w:rPr>
      </w:pPr>
      <w:r>
        <w:rPr>
          <w:rFonts w:hint="eastAsia" w:hAnsi="宋体"/>
          <w:szCs w:val="21"/>
          <w:highlight w:val="none"/>
        </w:rPr>
        <w:t>投标人法定代表人（或法定代表人授权代表）签字：</w:t>
      </w:r>
      <w:r>
        <w:rPr>
          <w:rFonts w:hint="eastAsia" w:hAnsi="宋体"/>
          <w:szCs w:val="21"/>
          <w:highlight w:val="none"/>
          <w:u w:val="single"/>
        </w:rPr>
        <w:t xml:space="preserve">                   </w:t>
      </w:r>
    </w:p>
    <w:p>
      <w:pPr>
        <w:snapToGrid w:val="0"/>
        <w:rPr>
          <w:rFonts w:hint="eastAsia" w:hAnsi="宋体"/>
          <w:szCs w:val="21"/>
          <w:highlight w:val="none"/>
          <w:u w:val="single"/>
        </w:rPr>
      </w:pPr>
      <w:r>
        <w:rPr>
          <w:rFonts w:hint="eastAsia" w:hAnsi="宋体"/>
          <w:szCs w:val="21"/>
          <w:highlight w:val="none"/>
        </w:rPr>
        <w:t>投标人名称（加盖公章）：</w:t>
      </w:r>
      <w:r>
        <w:rPr>
          <w:rFonts w:hint="eastAsia" w:hAnsi="宋体"/>
          <w:szCs w:val="21"/>
          <w:highlight w:val="none"/>
          <w:u w:val="single"/>
        </w:rPr>
        <w:t xml:space="preserve">                        </w:t>
      </w:r>
    </w:p>
    <w:p>
      <w:pPr>
        <w:snapToGrid w:val="0"/>
        <w:rPr>
          <w:rFonts w:hint="eastAsia" w:hAnsi="宋体"/>
          <w:szCs w:val="21"/>
          <w:highlight w:val="none"/>
        </w:rPr>
      </w:pPr>
      <w:r>
        <w:rPr>
          <w:rFonts w:hint="eastAsia" w:hAnsi="宋体"/>
          <w:szCs w:val="21"/>
          <w:highlight w:val="none"/>
        </w:rPr>
        <w:t>日期：</w:t>
      </w:r>
      <w:r>
        <w:rPr>
          <w:rFonts w:hint="eastAsia" w:hAnsi="宋体"/>
          <w:szCs w:val="21"/>
          <w:highlight w:val="none"/>
          <w:u w:val="single"/>
        </w:rPr>
        <w:t xml:space="preserve">          </w:t>
      </w:r>
      <w:r>
        <w:rPr>
          <w:rFonts w:hint="eastAsia" w:hAnsi="宋体"/>
          <w:szCs w:val="21"/>
          <w:highlight w:val="none"/>
        </w:rPr>
        <w:t>年</w:t>
      </w:r>
      <w:r>
        <w:rPr>
          <w:rFonts w:hint="eastAsia" w:hAnsi="宋体"/>
          <w:szCs w:val="21"/>
          <w:highlight w:val="none"/>
          <w:u w:val="single"/>
        </w:rPr>
        <w:t xml:space="preserve">     </w:t>
      </w:r>
      <w:r>
        <w:rPr>
          <w:rFonts w:hint="eastAsia" w:hAnsi="宋体"/>
          <w:szCs w:val="21"/>
          <w:highlight w:val="none"/>
        </w:rPr>
        <w:t xml:space="preserve"> 月</w:t>
      </w:r>
      <w:r>
        <w:rPr>
          <w:rFonts w:hint="eastAsia" w:hAnsi="宋体"/>
          <w:szCs w:val="21"/>
          <w:highlight w:val="none"/>
          <w:u w:val="single"/>
        </w:rPr>
        <w:t xml:space="preserve">    </w:t>
      </w:r>
      <w:r>
        <w:rPr>
          <w:rFonts w:hint="eastAsia" w:hAnsi="宋体"/>
          <w:szCs w:val="21"/>
          <w:highlight w:val="none"/>
        </w:rPr>
        <w:t xml:space="preserve"> 日</w:t>
      </w: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p>
    <w:p>
      <w:pPr>
        <w:rPr>
          <w:rFonts w:hint="eastAsia" w:hAnsi="宋体"/>
          <w:b/>
          <w:sz w:val="24"/>
          <w:highlight w:val="none"/>
        </w:rPr>
      </w:pPr>
      <w:r>
        <w:rPr>
          <w:rFonts w:hint="eastAsia" w:hAnsi="宋体"/>
          <w:b/>
          <w:sz w:val="24"/>
          <w:highlight w:val="none"/>
        </w:rPr>
        <w:t>1.4其他资格证明文件</w:t>
      </w:r>
    </w:p>
    <w:p>
      <w:pPr>
        <w:rPr>
          <w:rFonts w:hint="eastAsia" w:hAnsi="宋体"/>
          <w:b/>
          <w:sz w:val="24"/>
          <w:highlight w:val="none"/>
        </w:rPr>
      </w:pPr>
    </w:p>
    <w:p>
      <w:pPr>
        <w:ind w:right="1400"/>
        <w:rPr>
          <w:rFonts w:hint="eastAsia" w:hAnsi="宋体"/>
          <w:sz w:val="24"/>
          <w:highlight w:val="none"/>
        </w:rPr>
      </w:pPr>
      <w:r>
        <w:rPr>
          <w:rFonts w:hint="eastAsia" w:hAnsi="宋体"/>
          <w:sz w:val="24"/>
          <w:highlight w:val="none"/>
        </w:rPr>
        <w:t>一、有效的营业执照副本复印件（如非“三证合一”证照，同时提供税务登记证及组织机构代码证副本复印件）（加盖公章）</w:t>
      </w:r>
    </w:p>
    <w:p>
      <w:pPr>
        <w:ind w:right="1400"/>
        <w:rPr>
          <w:rFonts w:hint="eastAsia" w:hAnsi="宋体"/>
          <w:sz w:val="24"/>
          <w:highlight w:val="none"/>
        </w:rPr>
      </w:pPr>
    </w:p>
    <w:p>
      <w:pPr>
        <w:rPr>
          <w:rFonts w:hint="eastAsia" w:hAnsi="宋体"/>
          <w:b/>
          <w:sz w:val="36"/>
          <w:szCs w:val="36"/>
          <w:highlight w:val="none"/>
        </w:rPr>
      </w:pPr>
      <w:r>
        <w:rPr>
          <w:rFonts w:hint="eastAsia" w:hAnsi="宋体"/>
          <w:sz w:val="24"/>
          <w:highlight w:val="none"/>
        </w:rPr>
        <w:t>二、详见招标文件第一章“投标邀请”中的“投标人资格要求”</w:t>
      </w:r>
    </w:p>
    <w:p>
      <w:pPr>
        <w:rPr>
          <w:rFonts w:hint="eastAsia" w:hAnsi="宋体"/>
          <w:b/>
          <w:szCs w:val="21"/>
          <w:highlight w:val="none"/>
        </w:rPr>
      </w:pPr>
    </w:p>
    <w:p>
      <w:pPr>
        <w:spacing w:before="25" w:after="25"/>
        <w:outlineLvl w:val="0"/>
        <w:rPr>
          <w:rFonts w:hint="eastAsia" w:hAnsi="宋体"/>
          <w:b/>
          <w:bCs/>
          <w:spacing w:val="10"/>
          <w:sz w:val="28"/>
          <w:szCs w:val="28"/>
          <w:highlight w:val="none"/>
        </w:rPr>
      </w:pPr>
      <w:r>
        <w:rPr>
          <w:rFonts w:hint="eastAsia" w:hAnsi="宋体"/>
          <w:b/>
          <w:bCs/>
          <w:spacing w:val="10"/>
          <w:sz w:val="24"/>
          <w:szCs w:val="24"/>
          <w:highlight w:val="none"/>
        </w:rPr>
        <w:br w:type="page"/>
      </w:r>
      <w:r>
        <w:rPr>
          <w:rFonts w:hint="eastAsia" w:hAnsi="宋体"/>
          <w:b/>
          <w:bCs/>
          <w:spacing w:val="10"/>
          <w:sz w:val="28"/>
          <w:szCs w:val="28"/>
          <w:highlight w:val="none"/>
        </w:rPr>
        <w:t>附件二、中标服务费承诺书（格式）</w:t>
      </w:r>
    </w:p>
    <w:p>
      <w:pPr>
        <w:snapToGrid w:val="0"/>
        <w:spacing w:line="360" w:lineRule="auto"/>
        <w:rPr>
          <w:rFonts w:hint="eastAsia" w:hAnsi="宋体"/>
          <w:b/>
          <w:szCs w:val="21"/>
          <w:highlight w:val="none"/>
        </w:rPr>
      </w:pPr>
      <w:r>
        <w:rPr>
          <w:rFonts w:hint="eastAsia" w:hAnsi="宋体"/>
          <w:bCs/>
          <w:szCs w:val="21"/>
          <w:highlight w:val="none"/>
        </w:rPr>
        <w:t>（本招标文件第六章</w:t>
      </w:r>
      <w:r>
        <w:rPr>
          <w:rFonts w:hint="eastAsia" w:hAnsi="宋体"/>
          <w:bCs/>
          <w:highlight w:val="none"/>
        </w:rPr>
        <w:t>投标文件格式的要求中“</w:t>
      </w:r>
      <w:r>
        <w:rPr>
          <w:rFonts w:hint="eastAsia" w:hAnsi="宋体"/>
          <w:bCs/>
          <w:szCs w:val="21"/>
          <w:highlight w:val="none"/>
        </w:rPr>
        <w:t>格式十八：采购代理服务费支付承诺书</w:t>
      </w:r>
      <w:r>
        <w:rPr>
          <w:rFonts w:hint="eastAsia" w:hAnsi="宋体"/>
          <w:bCs/>
          <w:highlight w:val="none"/>
        </w:rPr>
        <w:t>”不适用，请根据以下格式填写</w:t>
      </w:r>
      <w:r>
        <w:rPr>
          <w:rFonts w:hint="eastAsia" w:hAnsi="宋体"/>
          <w:bCs/>
          <w:szCs w:val="21"/>
          <w:highlight w:val="none"/>
        </w:rPr>
        <w:t>）</w:t>
      </w:r>
    </w:p>
    <w:p>
      <w:pPr>
        <w:snapToGrid w:val="0"/>
        <w:spacing w:line="360" w:lineRule="auto"/>
        <w:rPr>
          <w:rFonts w:hint="eastAsia" w:hAnsi="宋体"/>
          <w:b/>
          <w:szCs w:val="21"/>
          <w:highlight w:val="none"/>
        </w:rPr>
      </w:pPr>
    </w:p>
    <w:p>
      <w:pPr>
        <w:snapToGrid w:val="0"/>
        <w:spacing w:line="360" w:lineRule="auto"/>
        <w:rPr>
          <w:rFonts w:hint="eastAsia" w:hAnsi="宋体"/>
          <w:b/>
          <w:szCs w:val="21"/>
          <w:highlight w:val="none"/>
        </w:rPr>
      </w:pPr>
      <w:r>
        <w:rPr>
          <w:rFonts w:hint="eastAsia" w:hAnsi="宋体"/>
          <w:b/>
          <w:szCs w:val="21"/>
          <w:highlight w:val="none"/>
        </w:rPr>
        <w:t>国义招标股份有限公司：</w:t>
      </w:r>
    </w:p>
    <w:p>
      <w:pPr>
        <w:snapToGrid w:val="0"/>
        <w:ind w:firstLine="440" w:firstLineChars="200"/>
        <w:rPr>
          <w:rFonts w:hint="eastAsia" w:hAnsi="宋体"/>
          <w:szCs w:val="21"/>
          <w:highlight w:val="none"/>
        </w:rPr>
      </w:pPr>
      <w:r>
        <w:rPr>
          <w:rFonts w:hint="eastAsia" w:hAnsi="宋体"/>
          <w:szCs w:val="21"/>
          <w:highlight w:val="none"/>
        </w:rPr>
        <w:t>本</w:t>
      </w:r>
      <w:r>
        <w:rPr>
          <w:rFonts w:hint="eastAsia" w:hAnsi="宋体"/>
          <w:szCs w:val="21"/>
          <w:highlight w:val="none"/>
          <w:u w:val="single"/>
        </w:rPr>
        <w:t xml:space="preserve">   （投标人名称）   </w:t>
      </w:r>
      <w:r>
        <w:rPr>
          <w:rFonts w:hint="eastAsia" w:hAnsi="宋体"/>
          <w:szCs w:val="21"/>
          <w:highlight w:val="none"/>
        </w:rPr>
        <w:t>公司在参加在贵司进行的</w:t>
      </w:r>
      <w:r>
        <w:rPr>
          <w:rFonts w:hint="eastAsia" w:hAnsi="宋体"/>
          <w:szCs w:val="21"/>
          <w:highlight w:val="none"/>
          <w:u w:val="single"/>
        </w:rPr>
        <w:t xml:space="preserve">   （项目名称）  </w:t>
      </w:r>
      <w:r>
        <w:rPr>
          <w:rFonts w:hint="eastAsia" w:hAnsi="宋体"/>
          <w:szCs w:val="21"/>
          <w:highlight w:val="none"/>
        </w:rPr>
        <w:t>(项目编号：)招标中如获中标，我司保证在领取“中标通知书”前，按本项目投标人须知相关规定向贵司缴纳 “中标服务费”。</w:t>
      </w:r>
    </w:p>
    <w:p>
      <w:pPr>
        <w:snapToGrid w:val="0"/>
        <w:ind w:firstLine="440" w:firstLineChars="200"/>
        <w:rPr>
          <w:rFonts w:hint="eastAsia" w:hAnsi="宋体"/>
          <w:szCs w:val="21"/>
          <w:highlight w:val="none"/>
        </w:rPr>
      </w:pPr>
      <w:r>
        <w:rPr>
          <w:rFonts w:hint="eastAsia" w:hAnsi="宋体"/>
          <w:szCs w:val="21"/>
          <w:highlight w:val="none"/>
        </w:rPr>
        <w:t>如我方违约，愿凭贵方开出的违约通知，按上述承付金额的200%由采购人在支付我司的合同款中代为扣付。</w:t>
      </w:r>
    </w:p>
    <w:p>
      <w:pPr>
        <w:snapToGrid w:val="0"/>
        <w:spacing w:line="360" w:lineRule="auto"/>
        <w:ind w:firstLine="440" w:firstLineChars="200"/>
        <w:rPr>
          <w:rFonts w:hint="eastAsia" w:hAnsi="宋体"/>
          <w:szCs w:val="21"/>
          <w:highlight w:val="none"/>
        </w:rPr>
      </w:pPr>
      <w:r>
        <w:rPr>
          <w:rFonts w:hint="eastAsia" w:hAnsi="宋体"/>
          <w:szCs w:val="21"/>
          <w:highlight w:val="none"/>
        </w:rPr>
        <w:t>特此承诺。</w:t>
      </w:r>
    </w:p>
    <w:p>
      <w:pPr>
        <w:rPr>
          <w:rFonts w:hint="eastAsia" w:hAnsi="宋体"/>
          <w:szCs w:val="21"/>
          <w:highlight w:val="none"/>
        </w:rPr>
      </w:pPr>
      <w:r>
        <w:rPr>
          <w:rFonts w:hint="eastAsia" w:hAnsi="宋体"/>
          <w:szCs w:val="21"/>
          <w:highlight w:val="none"/>
        </w:rPr>
        <w:t>另关于我司缴纳中标服务费后开具中标服务费发票的事宜，我司声明如下：</w:t>
      </w:r>
    </w:p>
    <w:p>
      <w:pPr>
        <w:rPr>
          <w:rFonts w:hint="eastAsia" w:hAnsi="宋体"/>
          <w:szCs w:val="21"/>
          <w:highlight w:val="none"/>
        </w:rPr>
      </w:pPr>
      <w:r>
        <w:rPr>
          <w:rFonts w:hint="eastAsia" w:hAnsi="宋体"/>
          <w:b/>
          <w:szCs w:val="21"/>
          <w:highlight w:val="none"/>
        </w:rPr>
        <w:t>A：</w:t>
      </w:r>
      <w:r>
        <w:rPr>
          <w:rFonts w:hint="eastAsia" w:hAnsi="宋体"/>
          <w:szCs w:val="21"/>
          <w:highlight w:val="none"/>
        </w:rPr>
        <w:t>如需开具</w:t>
      </w:r>
      <w:r>
        <w:rPr>
          <w:rFonts w:hint="eastAsia" w:hAnsi="宋体"/>
          <w:b/>
          <w:szCs w:val="21"/>
          <w:highlight w:val="none"/>
          <w:u w:val="single"/>
        </w:rPr>
        <w:t>增值税普通发票</w:t>
      </w:r>
      <w:r>
        <w:rPr>
          <w:rFonts w:hint="eastAsia" w:hAnsi="宋体"/>
          <w:szCs w:val="21"/>
          <w:highlight w:val="none"/>
        </w:rPr>
        <w:t>，请于下方（ ）打“√”</w:t>
      </w:r>
    </w:p>
    <w:p>
      <w:pPr>
        <w:rPr>
          <w:rFonts w:hint="eastAsia" w:hAnsi="宋体"/>
          <w:szCs w:val="21"/>
          <w:highlight w:val="none"/>
        </w:rPr>
      </w:pPr>
      <w:r>
        <w:rPr>
          <w:rFonts w:hint="eastAsia" w:hAnsi="宋体"/>
          <w:szCs w:val="21"/>
          <w:highlight w:val="none"/>
        </w:rPr>
        <w:t>（    ）请向我司开具中标费的“</w:t>
      </w:r>
      <w:r>
        <w:rPr>
          <w:rFonts w:hint="eastAsia" w:hAnsi="宋体"/>
          <w:b/>
          <w:szCs w:val="21"/>
          <w:highlight w:val="none"/>
          <w:u w:val="single"/>
        </w:rPr>
        <w:t>增值税普通发票</w:t>
      </w:r>
      <w:r>
        <w:rPr>
          <w:rFonts w:hint="eastAsia" w:hAnsi="宋体"/>
          <w:b/>
          <w:szCs w:val="21"/>
          <w:highlight w:val="none"/>
        </w:rPr>
        <w:t>”</w:t>
      </w:r>
      <w:r>
        <w:rPr>
          <w:rFonts w:hint="eastAsia" w:hAnsi="宋体"/>
          <w:szCs w:val="21"/>
          <w:highlight w:val="none"/>
        </w:rPr>
        <w:t>，开票信息如下：</w:t>
      </w:r>
    </w:p>
    <w:p>
      <w:pPr>
        <w:rPr>
          <w:rFonts w:hint="eastAsia" w:hAnsi="宋体"/>
          <w:szCs w:val="21"/>
          <w:highlight w:val="none"/>
        </w:rPr>
      </w:pPr>
      <w:r>
        <w:rPr>
          <w:rFonts w:hint="eastAsia" w:hAnsi="宋体"/>
          <w:b/>
          <w:szCs w:val="21"/>
          <w:highlight w:val="none"/>
        </w:rPr>
        <w:t>1、</w:t>
      </w:r>
      <w:r>
        <w:rPr>
          <w:rFonts w:hint="eastAsia" w:hAnsi="宋体"/>
          <w:szCs w:val="21"/>
          <w:highlight w:val="none"/>
        </w:rPr>
        <w:t>我司工商注册名称为：；</w:t>
      </w:r>
    </w:p>
    <w:p>
      <w:pPr>
        <w:rPr>
          <w:rFonts w:hint="eastAsia" w:hAnsi="宋体"/>
          <w:szCs w:val="21"/>
          <w:highlight w:val="none"/>
        </w:rPr>
      </w:pPr>
      <w:r>
        <w:rPr>
          <w:rFonts w:hint="eastAsia" w:hAnsi="宋体"/>
          <w:szCs w:val="21"/>
          <w:highlight w:val="none"/>
        </w:rPr>
        <w:t>2、纳税人识别号（国税）/或统一社会信用代码：</w:t>
      </w:r>
      <w:r>
        <w:rPr>
          <w:rFonts w:hint="eastAsia" w:hAnsi="宋体"/>
          <w:szCs w:val="21"/>
          <w:highlight w:val="none"/>
          <w:u w:val="single"/>
        </w:rPr>
        <w:t xml:space="preserve">    （请填写）              </w:t>
      </w:r>
    </w:p>
    <w:p>
      <w:pPr>
        <w:rPr>
          <w:rFonts w:hint="eastAsia" w:hAnsi="宋体"/>
          <w:szCs w:val="21"/>
          <w:highlight w:val="none"/>
        </w:rPr>
      </w:pPr>
      <w:r>
        <w:rPr>
          <w:rFonts w:hint="eastAsia" w:hAnsi="宋体"/>
          <w:b/>
          <w:szCs w:val="21"/>
          <w:highlight w:val="none"/>
        </w:rPr>
        <w:t>B：</w:t>
      </w:r>
      <w:r>
        <w:rPr>
          <w:rFonts w:hint="eastAsia" w:hAnsi="宋体"/>
          <w:szCs w:val="21"/>
          <w:highlight w:val="none"/>
        </w:rPr>
        <w:t>如需开具增值税专用发票，请于下方（ ）打“√”,并提供相关资料</w:t>
      </w:r>
    </w:p>
    <w:p>
      <w:pPr>
        <w:rPr>
          <w:rFonts w:hint="eastAsia" w:hAnsi="宋体"/>
          <w:szCs w:val="21"/>
          <w:highlight w:val="none"/>
        </w:rPr>
      </w:pPr>
      <w:r>
        <w:rPr>
          <w:rFonts w:hint="eastAsia" w:hAnsi="宋体"/>
          <w:szCs w:val="21"/>
          <w:highlight w:val="none"/>
        </w:rPr>
        <w:t>（    ）请向我司开具中标费的“</w:t>
      </w:r>
      <w:r>
        <w:rPr>
          <w:rFonts w:hint="eastAsia" w:hAnsi="宋体"/>
          <w:b/>
          <w:szCs w:val="21"/>
          <w:highlight w:val="none"/>
          <w:u w:val="single"/>
        </w:rPr>
        <w:t>增值税专用发票</w:t>
      </w:r>
      <w:r>
        <w:rPr>
          <w:rFonts w:hint="eastAsia" w:hAnsi="宋体"/>
          <w:b/>
          <w:szCs w:val="21"/>
          <w:highlight w:val="none"/>
        </w:rPr>
        <w:t>”</w:t>
      </w:r>
      <w:r>
        <w:rPr>
          <w:rFonts w:hint="eastAsia" w:hAnsi="宋体"/>
          <w:szCs w:val="21"/>
          <w:highlight w:val="none"/>
        </w:rPr>
        <w:t>，开票信息为：</w:t>
      </w:r>
    </w:p>
    <w:p>
      <w:pPr>
        <w:rPr>
          <w:rFonts w:hint="eastAsia" w:hAnsi="宋体"/>
          <w:szCs w:val="21"/>
          <w:highlight w:val="none"/>
        </w:rPr>
      </w:pPr>
      <w:r>
        <w:rPr>
          <w:rFonts w:hint="eastAsia" w:hAnsi="宋体"/>
          <w:szCs w:val="21"/>
          <w:highlight w:val="none"/>
        </w:rPr>
        <w:t>1、我司工商注册名称：</w:t>
      </w:r>
      <w:r>
        <w:rPr>
          <w:rFonts w:hint="eastAsia" w:hAnsi="宋体"/>
          <w:szCs w:val="21"/>
          <w:highlight w:val="none"/>
          <w:u w:val="single"/>
        </w:rPr>
        <w:t xml:space="preserve">    （请填写）              </w:t>
      </w:r>
    </w:p>
    <w:p>
      <w:pPr>
        <w:rPr>
          <w:rFonts w:hint="eastAsia" w:hAnsi="宋体"/>
          <w:szCs w:val="21"/>
          <w:highlight w:val="none"/>
        </w:rPr>
      </w:pPr>
      <w:r>
        <w:rPr>
          <w:rFonts w:hint="eastAsia" w:hAnsi="宋体"/>
          <w:szCs w:val="21"/>
          <w:highlight w:val="none"/>
        </w:rPr>
        <w:t>2、纳税人识别号（国税）/或统一社会信用代码：</w:t>
      </w:r>
      <w:r>
        <w:rPr>
          <w:rFonts w:hint="eastAsia" w:hAnsi="宋体"/>
          <w:szCs w:val="21"/>
          <w:highlight w:val="none"/>
          <w:u w:val="single"/>
        </w:rPr>
        <w:t xml:space="preserve">    （请填写）              </w:t>
      </w:r>
    </w:p>
    <w:p>
      <w:pPr>
        <w:rPr>
          <w:rFonts w:hint="eastAsia" w:hAnsi="宋体"/>
          <w:szCs w:val="21"/>
          <w:highlight w:val="none"/>
        </w:rPr>
      </w:pPr>
      <w:r>
        <w:rPr>
          <w:rFonts w:hint="eastAsia" w:hAnsi="宋体"/>
          <w:szCs w:val="21"/>
          <w:highlight w:val="none"/>
        </w:rPr>
        <w:t>3、注册地址：</w:t>
      </w:r>
      <w:r>
        <w:rPr>
          <w:rFonts w:hint="eastAsia" w:hAnsi="宋体"/>
          <w:szCs w:val="21"/>
          <w:highlight w:val="none"/>
          <w:u w:val="single"/>
        </w:rPr>
        <w:t xml:space="preserve">    （请填写）              </w:t>
      </w:r>
    </w:p>
    <w:p>
      <w:pPr>
        <w:rPr>
          <w:rFonts w:hint="eastAsia" w:hAnsi="宋体"/>
          <w:szCs w:val="21"/>
          <w:highlight w:val="none"/>
        </w:rPr>
      </w:pPr>
      <w:r>
        <w:rPr>
          <w:rFonts w:hint="eastAsia" w:hAnsi="宋体"/>
          <w:szCs w:val="21"/>
          <w:highlight w:val="none"/>
        </w:rPr>
        <w:t>4、办公电话（固话）：</w:t>
      </w:r>
      <w:r>
        <w:rPr>
          <w:rFonts w:hint="eastAsia" w:hAnsi="宋体"/>
          <w:szCs w:val="21"/>
          <w:highlight w:val="none"/>
          <w:u w:val="single"/>
        </w:rPr>
        <w:t xml:space="preserve">    （请填写）              </w:t>
      </w:r>
    </w:p>
    <w:p>
      <w:pPr>
        <w:rPr>
          <w:rFonts w:hint="eastAsia" w:hAnsi="宋体"/>
          <w:szCs w:val="21"/>
          <w:highlight w:val="none"/>
        </w:rPr>
      </w:pPr>
      <w:r>
        <w:rPr>
          <w:rFonts w:hint="eastAsia" w:hAnsi="宋体"/>
          <w:szCs w:val="21"/>
          <w:highlight w:val="none"/>
        </w:rPr>
        <w:t>5、开户银行及账号：</w:t>
      </w:r>
      <w:r>
        <w:rPr>
          <w:rFonts w:hint="eastAsia" w:hAnsi="宋体"/>
          <w:szCs w:val="21"/>
          <w:highlight w:val="none"/>
          <w:u w:val="single"/>
        </w:rPr>
        <w:t xml:space="preserve">    （请填写）              </w:t>
      </w:r>
    </w:p>
    <w:p>
      <w:pPr>
        <w:rPr>
          <w:rFonts w:hint="eastAsia" w:hAnsi="宋体"/>
          <w:szCs w:val="21"/>
          <w:highlight w:val="none"/>
          <w:u w:val="single"/>
        </w:rPr>
      </w:pPr>
      <w:r>
        <w:rPr>
          <w:rFonts w:hint="eastAsia" w:hAnsi="宋体"/>
          <w:szCs w:val="21"/>
          <w:highlight w:val="none"/>
        </w:rPr>
        <w:t>6、一般纳税人资格证书/或加盖了税务局“增值税一般纳税人”条章的国税登记证扫描件/或在所属国税局网站的查询结果截图</w:t>
      </w:r>
      <w:r>
        <w:rPr>
          <w:rFonts w:hint="eastAsia" w:hAnsi="宋体"/>
          <w:szCs w:val="21"/>
          <w:highlight w:val="none"/>
          <w:u w:val="single"/>
        </w:rPr>
        <w:t>（截图后附）</w:t>
      </w:r>
    </w:p>
    <w:p>
      <w:pPr>
        <w:rPr>
          <w:rFonts w:hint="eastAsia" w:hAnsi="宋体"/>
          <w:szCs w:val="21"/>
          <w:highlight w:val="none"/>
        </w:rPr>
      </w:pPr>
      <w:r>
        <w:rPr>
          <w:rFonts w:hint="eastAsia" w:hAnsi="宋体"/>
          <w:szCs w:val="21"/>
          <w:highlight w:val="none"/>
        </w:rPr>
        <w:t>中标单位联系人：， 手机</w:t>
      </w:r>
      <w:r>
        <w:rPr>
          <w:rFonts w:hint="eastAsia" w:hAnsi="宋体"/>
          <w:szCs w:val="21"/>
          <w:highlight w:val="none"/>
          <w:u w:val="single"/>
        </w:rPr>
        <w:t>号：            ;</w:t>
      </w:r>
    </w:p>
    <w:p>
      <w:pPr>
        <w:rPr>
          <w:rFonts w:hint="eastAsia" w:hAnsi="宋体"/>
          <w:szCs w:val="21"/>
          <w:highlight w:val="none"/>
          <w:u w:val="single"/>
        </w:rPr>
      </w:pPr>
      <w:r>
        <w:rPr>
          <w:rFonts w:hint="eastAsia" w:hAnsi="宋体"/>
          <w:szCs w:val="21"/>
          <w:highlight w:val="none"/>
        </w:rPr>
        <w:t>单位地址：电话：传真：</w:t>
      </w:r>
      <w:r>
        <w:rPr>
          <w:rFonts w:hint="eastAsia" w:hAnsi="宋体"/>
          <w:szCs w:val="21"/>
          <w:highlight w:val="none"/>
          <w:u w:val="single"/>
        </w:rPr>
        <w:t xml:space="preserve">        。</w:t>
      </w:r>
    </w:p>
    <w:p>
      <w:pPr>
        <w:rPr>
          <w:rFonts w:hint="eastAsia" w:hAnsi="宋体"/>
          <w:szCs w:val="21"/>
          <w:highlight w:val="none"/>
        </w:rPr>
      </w:pPr>
      <w:r>
        <w:rPr>
          <w:rFonts w:hint="eastAsia" w:hAnsi="宋体"/>
          <w:szCs w:val="21"/>
          <w:highlight w:val="none"/>
        </w:rPr>
        <w:t>特此声明。</w:t>
      </w:r>
    </w:p>
    <w:p>
      <w:pPr>
        <w:rPr>
          <w:rFonts w:hint="eastAsia" w:hAnsi="宋体"/>
          <w:szCs w:val="21"/>
          <w:highlight w:val="none"/>
        </w:rPr>
      </w:pPr>
    </w:p>
    <w:p>
      <w:pPr>
        <w:rPr>
          <w:rFonts w:hint="eastAsia" w:hAnsi="宋体"/>
          <w:szCs w:val="21"/>
          <w:highlight w:val="none"/>
        </w:rPr>
      </w:pPr>
    </w:p>
    <w:p>
      <w:pPr>
        <w:rPr>
          <w:rFonts w:hint="eastAsia" w:hAnsi="宋体"/>
          <w:szCs w:val="21"/>
          <w:highlight w:val="none"/>
        </w:rPr>
      </w:pPr>
    </w:p>
    <w:p>
      <w:pPr>
        <w:rPr>
          <w:rFonts w:hint="eastAsia" w:hAnsi="宋体"/>
          <w:szCs w:val="21"/>
          <w:highlight w:val="none"/>
        </w:rPr>
      </w:pPr>
    </w:p>
    <w:p>
      <w:pPr>
        <w:rPr>
          <w:rFonts w:hint="eastAsia" w:hAnsi="宋体"/>
          <w:szCs w:val="21"/>
          <w:highlight w:val="none"/>
        </w:rPr>
      </w:pPr>
    </w:p>
    <w:p>
      <w:pPr>
        <w:rPr>
          <w:rFonts w:hint="eastAsia" w:hAnsi="宋体"/>
          <w:szCs w:val="21"/>
          <w:highlight w:val="none"/>
        </w:rPr>
      </w:pPr>
      <w:r>
        <w:rPr>
          <w:rFonts w:hint="eastAsia" w:hAnsi="宋体"/>
          <w:szCs w:val="21"/>
          <w:highlight w:val="none"/>
        </w:rPr>
        <w:t xml:space="preserve">投标人法定代表人（或法定代表人授权代表）签字：                   </w:t>
      </w:r>
    </w:p>
    <w:p>
      <w:pPr>
        <w:rPr>
          <w:rFonts w:hint="eastAsia" w:hAnsi="宋体"/>
          <w:szCs w:val="24"/>
          <w:highlight w:val="none"/>
        </w:rPr>
      </w:pPr>
      <w:r>
        <w:rPr>
          <w:rFonts w:hint="eastAsia" w:hAnsi="宋体"/>
          <w:szCs w:val="21"/>
          <w:highlight w:val="none"/>
        </w:rPr>
        <w:t xml:space="preserve">投标人名称（加盖公章）：                </w:t>
      </w:r>
    </w:p>
    <w:p>
      <w:pPr>
        <w:rPr>
          <w:rFonts w:hint="eastAsia" w:hAnsi="宋体"/>
          <w:szCs w:val="24"/>
          <w:highlight w:val="none"/>
        </w:rPr>
      </w:pPr>
      <w:r>
        <w:rPr>
          <w:rFonts w:hint="eastAsia" w:hAnsi="宋体"/>
          <w:szCs w:val="24"/>
          <w:highlight w:val="none"/>
        </w:rPr>
        <w:t>日期：年 月 日</w:t>
      </w:r>
    </w:p>
    <w:p>
      <w:pPr>
        <w:pStyle w:val="12"/>
        <w:tabs>
          <w:tab w:val="left" w:pos="2030"/>
          <w:tab w:val="left" w:pos="3323"/>
          <w:tab w:val="left" w:pos="3515"/>
        </w:tabs>
        <w:kinsoku w:val="0"/>
        <w:overflowPunct w:val="0"/>
        <w:ind w:right="104"/>
        <w:jc w:val="right"/>
        <w:rPr>
          <w:rFonts w:hint="eastAsia" w:hAnsi="宋体"/>
          <w:highlight w:val="none"/>
        </w:rPr>
      </w:pPr>
    </w:p>
    <w:sectPr>
      <w:footerReference r:id="rId3" w:type="default"/>
      <w:pgSz w:w="11900" w:h="16840"/>
      <w:pgMar w:top="500" w:right="520" w:bottom="280" w:left="900" w:header="0" w:footer="1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方正仿宋_GBK">
    <w:altName w:val="微软雅黑"/>
    <w:panose1 w:val="00000000000000000000"/>
    <w:charset w:val="86"/>
    <w:family w:val="script"/>
    <w:pitch w:val="default"/>
    <w:sig w:usb0="00000000" w:usb1="00000000" w:usb2="00000010" w:usb3="00000000" w:csb0="003C004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10" w:usb3="00000000" w:csb0="0004009F"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insoku w:val="0"/>
      <w:overflowPunct w:val="0"/>
      <w:spacing w:line="14" w:lineRule="auto"/>
      <w:ind w:left="0"/>
      <w:rPr>
        <w:rFonts w:ascii="Times New Roman" w:eastAsia="等线"/>
        <w:sz w:val="20"/>
      </w:rPr>
    </w:pPr>
    <w:r>
      <mc:AlternateContent>
        <mc:Choice Requires="wps">
          <w:drawing>
            <wp:anchor distT="0" distB="0" distL="114300" distR="114300" simplePos="0" relativeHeight="251659264" behindDoc="1" locked="0" layoutInCell="0" allowOverlap="1">
              <wp:simplePos x="0" y="0"/>
              <wp:positionH relativeFrom="page">
                <wp:posOffset>3459480</wp:posOffset>
              </wp:positionH>
              <wp:positionV relativeFrom="page">
                <wp:posOffset>10494645</wp:posOffset>
              </wp:positionV>
              <wp:extent cx="633095" cy="2032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633095" cy="203200"/>
                      </a:xfrm>
                      <a:prstGeom prst="rect">
                        <a:avLst/>
                      </a:prstGeom>
                      <a:noFill/>
                      <a:ln>
                        <a:noFill/>
                      </a:ln>
                    </wps:spPr>
                    <wps:txbx>
                      <w:txbxContent>
                        <w:p>
                          <w:pPr>
                            <w:pStyle w:val="12"/>
                            <w:kinsoku w:val="0"/>
                            <w:overflowPunct w:val="0"/>
                            <w:spacing w:before="2"/>
                            <w:ind w:left="20"/>
                            <w:rPr>
                              <w:sz w:val="24"/>
                              <w:szCs w:val="24"/>
                            </w:rPr>
                          </w:pPr>
                          <w:r>
                            <w:rPr>
                              <w:sz w:val="24"/>
                              <w:szCs w:val="24"/>
                            </w:rPr>
                            <w:t>-</w:t>
                          </w:r>
                          <w:r>
                            <w:rPr>
                              <w:rFonts w:hint="eastAsia"/>
                              <w:sz w:val="24"/>
                              <w:szCs w:val="24"/>
                            </w:rPr>
                            <w:t>第</w:t>
                          </w:r>
                          <w:r>
                            <w:rPr>
                              <w:sz w:val="24"/>
                              <w:szCs w:val="24"/>
                            </w:rPr>
                            <w:fldChar w:fldCharType="begin"/>
                          </w:r>
                          <w:r>
                            <w:rPr>
                              <w:sz w:val="24"/>
                              <w:szCs w:val="24"/>
                            </w:rPr>
                            <w:instrText xml:space="preserve"> PAGE </w:instrText>
                          </w:r>
                          <w:r>
                            <w:rPr>
                              <w:sz w:val="24"/>
                              <w:szCs w:val="24"/>
                            </w:rPr>
                            <w:fldChar w:fldCharType="separate"/>
                          </w:r>
                          <w:r>
                            <w:rPr>
                              <w:sz w:val="24"/>
                              <w:szCs w:val="24"/>
                            </w:rPr>
                            <w:t>29</w:t>
                          </w:r>
                          <w:r>
                            <w:rPr>
                              <w:sz w:val="24"/>
                              <w:szCs w:val="24"/>
                            </w:rPr>
                            <w:fldChar w:fldCharType="end"/>
                          </w:r>
                          <w:r>
                            <w:rPr>
                              <w:rFonts w:hint="eastAsia"/>
                              <w:sz w:val="24"/>
                              <w:szCs w:val="24"/>
                            </w:rPr>
                            <w:t>页</w:t>
                          </w:r>
                          <w:r>
                            <w:rPr>
                              <w:sz w:val="24"/>
                              <w:szCs w:val="24"/>
                            </w:rPr>
                            <w:t>-</w:t>
                          </w:r>
                        </w:p>
                      </w:txbxContent>
                    </wps:txbx>
                    <wps:bodyPr wrap="square" lIns="0" tIns="0" rIns="0" bIns="0" upright="1"/>
                  </wps:wsp>
                </a:graphicData>
              </a:graphic>
            </wp:anchor>
          </w:drawing>
        </mc:Choice>
        <mc:Fallback>
          <w:pict>
            <v:shape id="文本框 2" o:spid="_x0000_s1026" o:spt="202" type="#_x0000_t202" style="position:absolute;left:0pt;margin-left:272.4pt;margin-top:826.35pt;height:16pt;width:49.85pt;mso-position-horizontal-relative:page;mso-position-vertical-relative:page;z-index:-251657216;mso-width-relative:page;mso-height-relative:page;" filled="f" stroked="f" coordsize="21600,21600" o:allowincell="f" o:gfxdata="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CVD13bAAAADQEAAA8AAAAAAAAAAQAgAAAAIgAAAGRycy9kb3du&#10;cmV2LnhtbFBLAQIUABQAAAAIAIdO4kBbN6CtwwEAAH8DAAAOAAAAAAAAAAEAIAAAACoBAABkcnMv&#10;ZTJvRG9jLnhtbFBLBQYAAAAABgAGAFkBAABfBQAAAAA=&#10;">
              <v:fill on="f" focussize="0,0"/>
              <v:stroke on="f"/>
              <v:imagedata o:title=""/>
              <o:lock v:ext="edit" aspectratio="f"/>
              <v:textbox inset="0mm,0mm,0mm,0mm">
                <w:txbxContent>
                  <w:p>
                    <w:pPr>
                      <w:pStyle w:val="12"/>
                      <w:kinsoku w:val="0"/>
                      <w:overflowPunct w:val="0"/>
                      <w:spacing w:before="2"/>
                      <w:ind w:left="20"/>
                      <w:rPr>
                        <w:sz w:val="24"/>
                        <w:szCs w:val="24"/>
                      </w:rPr>
                    </w:pPr>
                    <w:r>
                      <w:rPr>
                        <w:sz w:val="24"/>
                        <w:szCs w:val="24"/>
                      </w:rPr>
                      <w:t>-</w:t>
                    </w:r>
                    <w:r>
                      <w:rPr>
                        <w:rFonts w:hint="eastAsia"/>
                        <w:sz w:val="24"/>
                        <w:szCs w:val="24"/>
                      </w:rPr>
                      <w:t>第</w:t>
                    </w:r>
                    <w:r>
                      <w:rPr>
                        <w:sz w:val="24"/>
                        <w:szCs w:val="24"/>
                      </w:rPr>
                      <w:fldChar w:fldCharType="begin"/>
                    </w:r>
                    <w:r>
                      <w:rPr>
                        <w:sz w:val="24"/>
                        <w:szCs w:val="24"/>
                      </w:rPr>
                      <w:instrText xml:space="preserve"> PAGE </w:instrText>
                    </w:r>
                    <w:r>
                      <w:rPr>
                        <w:sz w:val="24"/>
                        <w:szCs w:val="24"/>
                      </w:rPr>
                      <w:fldChar w:fldCharType="separate"/>
                    </w:r>
                    <w:r>
                      <w:rPr>
                        <w:sz w:val="24"/>
                        <w:szCs w:val="24"/>
                      </w:rPr>
                      <w:t>29</w:t>
                    </w:r>
                    <w:r>
                      <w:rPr>
                        <w:sz w:val="24"/>
                        <w:szCs w:val="24"/>
                      </w:rPr>
                      <w:fldChar w:fldCharType="end"/>
                    </w:r>
                    <w:r>
                      <w:rPr>
                        <w:rFonts w:hint="eastAsia"/>
                        <w:sz w:val="24"/>
                        <w:szCs w:val="24"/>
                      </w:rPr>
                      <w:t>页</w:t>
                    </w:r>
                    <w:r>
                      <w:rPr>
                        <w:sz w:val="24"/>
                        <w:szCs w:val="24"/>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RlMDBlOTM5ZTdlNWYzYWQ0OWUwNTg4M2EwNGNkYjEifQ=="/>
  </w:docVars>
  <w:rsids>
    <w:rsidRoot w:val="00172A27"/>
    <w:rsid w:val="00014475"/>
    <w:rsid w:val="000247FF"/>
    <w:rsid w:val="00025C71"/>
    <w:rsid w:val="00042BC5"/>
    <w:rsid w:val="0005686F"/>
    <w:rsid w:val="000743C4"/>
    <w:rsid w:val="00074AC1"/>
    <w:rsid w:val="00075B80"/>
    <w:rsid w:val="00081D64"/>
    <w:rsid w:val="000B241F"/>
    <w:rsid w:val="000C54D7"/>
    <w:rsid w:val="000D768B"/>
    <w:rsid w:val="000E6780"/>
    <w:rsid w:val="000F3AA3"/>
    <w:rsid w:val="00106E3C"/>
    <w:rsid w:val="00145B3D"/>
    <w:rsid w:val="00162D01"/>
    <w:rsid w:val="001655B7"/>
    <w:rsid w:val="00167FCA"/>
    <w:rsid w:val="00172A27"/>
    <w:rsid w:val="0017344F"/>
    <w:rsid w:val="00190F8F"/>
    <w:rsid w:val="00192CF9"/>
    <w:rsid w:val="001C097A"/>
    <w:rsid w:val="001C2E41"/>
    <w:rsid w:val="001C72D2"/>
    <w:rsid w:val="001D43F0"/>
    <w:rsid w:val="001D5C43"/>
    <w:rsid w:val="001F2B68"/>
    <w:rsid w:val="002009B6"/>
    <w:rsid w:val="00235363"/>
    <w:rsid w:val="00240695"/>
    <w:rsid w:val="0024547E"/>
    <w:rsid w:val="00245ECE"/>
    <w:rsid w:val="0027271F"/>
    <w:rsid w:val="00272855"/>
    <w:rsid w:val="0027321D"/>
    <w:rsid w:val="00274FAC"/>
    <w:rsid w:val="002843ED"/>
    <w:rsid w:val="00286726"/>
    <w:rsid w:val="00286AF7"/>
    <w:rsid w:val="00293061"/>
    <w:rsid w:val="002A768F"/>
    <w:rsid w:val="002B32A7"/>
    <w:rsid w:val="002B3779"/>
    <w:rsid w:val="002C340F"/>
    <w:rsid w:val="002D66AB"/>
    <w:rsid w:val="002D7E03"/>
    <w:rsid w:val="002F4F34"/>
    <w:rsid w:val="002F70BE"/>
    <w:rsid w:val="0032177B"/>
    <w:rsid w:val="00323217"/>
    <w:rsid w:val="003440BE"/>
    <w:rsid w:val="00350D3E"/>
    <w:rsid w:val="00360044"/>
    <w:rsid w:val="003714C9"/>
    <w:rsid w:val="003716AD"/>
    <w:rsid w:val="003825FB"/>
    <w:rsid w:val="00387C9A"/>
    <w:rsid w:val="003A7EBD"/>
    <w:rsid w:val="003B03AD"/>
    <w:rsid w:val="003E3EC7"/>
    <w:rsid w:val="003F25F8"/>
    <w:rsid w:val="00407B4F"/>
    <w:rsid w:val="00422D21"/>
    <w:rsid w:val="00444BCF"/>
    <w:rsid w:val="0044781C"/>
    <w:rsid w:val="00462D22"/>
    <w:rsid w:val="00482839"/>
    <w:rsid w:val="00491FBB"/>
    <w:rsid w:val="00492D24"/>
    <w:rsid w:val="004970B6"/>
    <w:rsid w:val="004A1BCB"/>
    <w:rsid w:val="004A5B59"/>
    <w:rsid w:val="004B0112"/>
    <w:rsid w:val="004B06A8"/>
    <w:rsid w:val="004B2567"/>
    <w:rsid w:val="004B2924"/>
    <w:rsid w:val="004B5D7F"/>
    <w:rsid w:val="004C1B53"/>
    <w:rsid w:val="004E506F"/>
    <w:rsid w:val="00512AB0"/>
    <w:rsid w:val="00516EC7"/>
    <w:rsid w:val="00520EA5"/>
    <w:rsid w:val="005304D2"/>
    <w:rsid w:val="00545CCA"/>
    <w:rsid w:val="005629F8"/>
    <w:rsid w:val="0056575C"/>
    <w:rsid w:val="0057305C"/>
    <w:rsid w:val="005873CC"/>
    <w:rsid w:val="00587754"/>
    <w:rsid w:val="005926B4"/>
    <w:rsid w:val="00596787"/>
    <w:rsid w:val="005B110A"/>
    <w:rsid w:val="005B7191"/>
    <w:rsid w:val="005F3744"/>
    <w:rsid w:val="00602EF5"/>
    <w:rsid w:val="006035C6"/>
    <w:rsid w:val="006158F9"/>
    <w:rsid w:val="00615A93"/>
    <w:rsid w:val="00617E56"/>
    <w:rsid w:val="00625AE0"/>
    <w:rsid w:val="0063636D"/>
    <w:rsid w:val="00637E8E"/>
    <w:rsid w:val="0065013D"/>
    <w:rsid w:val="00650B2A"/>
    <w:rsid w:val="00653E89"/>
    <w:rsid w:val="00664DB1"/>
    <w:rsid w:val="006A6610"/>
    <w:rsid w:val="006B6E41"/>
    <w:rsid w:val="006C6D53"/>
    <w:rsid w:val="006F5DEA"/>
    <w:rsid w:val="00700584"/>
    <w:rsid w:val="00704E73"/>
    <w:rsid w:val="00706951"/>
    <w:rsid w:val="007268BA"/>
    <w:rsid w:val="007470FC"/>
    <w:rsid w:val="0075488F"/>
    <w:rsid w:val="00754EB6"/>
    <w:rsid w:val="00784299"/>
    <w:rsid w:val="007950A2"/>
    <w:rsid w:val="007975AF"/>
    <w:rsid w:val="007A2F54"/>
    <w:rsid w:val="007B0DF6"/>
    <w:rsid w:val="007C6E25"/>
    <w:rsid w:val="007D02AB"/>
    <w:rsid w:val="007E2656"/>
    <w:rsid w:val="00804705"/>
    <w:rsid w:val="00820D7C"/>
    <w:rsid w:val="00822ADF"/>
    <w:rsid w:val="0082791B"/>
    <w:rsid w:val="00842506"/>
    <w:rsid w:val="00856924"/>
    <w:rsid w:val="00876613"/>
    <w:rsid w:val="008772CF"/>
    <w:rsid w:val="00883075"/>
    <w:rsid w:val="008844A2"/>
    <w:rsid w:val="00886554"/>
    <w:rsid w:val="00892A7A"/>
    <w:rsid w:val="00894004"/>
    <w:rsid w:val="008D00E6"/>
    <w:rsid w:val="008E1AB7"/>
    <w:rsid w:val="009069B9"/>
    <w:rsid w:val="00921528"/>
    <w:rsid w:val="00924AFB"/>
    <w:rsid w:val="00926A75"/>
    <w:rsid w:val="009322E7"/>
    <w:rsid w:val="00945C7D"/>
    <w:rsid w:val="00946530"/>
    <w:rsid w:val="00965A5F"/>
    <w:rsid w:val="00974E8E"/>
    <w:rsid w:val="00980294"/>
    <w:rsid w:val="00982C40"/>
    <w:rsid w:val="00994B88"/>
    <w:rsid w:val="00996114"/>
    <w:rsid w:val="009A4D3A"/>
    <w:rsid w:val="009B149E"/>
    <w:rsid w:val="009B5D1E"/>
    <w:rsid w:val="009C67FD"/>
    <w:rsid w:val="009E24E4"/>
    <w:rsid w:val="009E2579"/>
    <w:rsid w:val="009E7145"/>
    <w:rsid w:val="00A00CB3"/>
    <w:rsid w:val="00A045B5"/>
    <w:rsid w:val="00A4272E"/>
    <w:rsid w:val="00A66E7D"/>
    <w:rsid w:val="00A8515C"/>
    <w:rsid w:val="00A865F7"/>
    <w:rsid w:val="00AA3F14"/>
    <w:rsid w:val="00AB0BFE"/>
    <w:rsid w:val="00AB17AC"/>
    <w:rsid w:val="00AB4835"/>
    <w:rsid w:val="00AB6B52"/>
    <w:rsid w:val="00AC74A0"/>
    <w:rsid w:val="00AE171E"/>
    <w:rsid w:val="00B63698"/>
    <w:rsid w:val="00B661C7"/>
    <w:rsid w:val="00B74BA9"/>
    <w:rsid w:val="00B8208E"/>
    <w:rsid w:val="00B82B8A"/>
    <w:rsid w:val="00B82FAE"/>
    <w:rsid w:val="00B915F7"/>
    <w:rsid w:val="00B9438E"/>
    <w:rsid w:val="00BC1C37"/>
    <w:rsid w:val="00BC2B5C"/>
    <w:rsid w:val="00BD7CB1"/>
    <w:rsid w:val="00BE2053"/>
    <w:rsid w:val="00BF09DC"/>
    <w:rsid w:val="00BF38FF"/>
    <w:rsid w:val="00BF3C7F"/>
    <w:rsid w:val="00BF566F"/>
    <w:rsid w:val="00C160EB"/>
    <w:rsid w:val="00C25464"/>
    <w:rsid w:val="00C320A0"/>
    <w:rsid w:val="00C341FA"/>
    <w:rsid w:val="00C34FC7"/>
    <w:rsid w:val="00C54EFC"/>
    <w:rsid w:val="00C70ACA"/>
    <w:rsid w:val="00C81383"/>
    <w:rsid w:val="00C82DC9"/>
    <w:rsid w:val="00C863AE"/>
    <w:rsid w:val="00C9557E"/>
    <w:rsid w:val="00CC1DD8"/>
    <w:rsid w:val="00CC3232"/>
    <w:rsid w:val="00D0519B"/>
    <w:rsid w:val="00D05EB4"/>
    <w:rsid w:val="00D10EE0"/>
    <w:rsid w:val="00D11C3D"/>
    <w:rsid w:val="00D25206"/>
    <w:rsid w:val="00D355FB"/>
    <w:rsid w:val="00D41D2C"/>
    <w:rsid w:val="00D4605B"/>
    <w:rsid w:val="00D623AA"/>
    <w:rsid w:val="00D8518F"/>
    <w:rsid w:val="00D96EC7"/>
    <w:rsid w:val="00DA12BF"/>
    <w:rsid w:val="00DA7138"/>
    <w:rsid w:val="00DF248E"/>
    <w:rsid w:val="00DF3222"/>
    <w:rsid w:val="00E07FD2"/>
    <w:rsid w:val="00E31F64"/>
    <w:rsid w:val="00E3728D"/>
    <w:rsid w:val="00E4357B"/>
    <w:rsid w:val="00E47B47"/>
    <w:rsid w:val="00E5166B"/>
    <w:rsid w:val="00E644A0"/>
    <w:rsid w:val="00E87A80"/>
    <w:rsid w:val="00E87CEC"/>
    <w:rsid w:val="00EA1BA6"/>
    <w:rsid w:val="00EA4C58"/>
    <w:rsid w:val="00EB67EC"/>
    <w:rsid w:val="00EE11F9"/>
    <w:rsid w:val="00EE7425"/>
    <w:rsid w:val="00EF6C8D"/>
    <w:rsid w:val="00F00080"/>
    <w:rsid w:val="00F01B03"/>
    <w:rsid w:val="00F03FF4"/>
    <w:rsid w:val="00F06C20"/>
    <w:rsid w:val="00F10699"/>
    <w:rsid w:val="00F1075B"/>
    <w:rsid w:val="00F10E4C"/>
    <w:rsid w:val="00F15AEA"/>
    <w:rsid w:val="00F176CD"/>
    <w:rsid w:val="00F26324"/>
    <w:rsid w:val="00F273C5"/>
    <w:rsid w:val="00F3275E"/>
    <w:rsid w:val="00F4576C"/>
    <w:rsid w:val="00F545AB"/>
    <w:rsid w:val="00F715BA"/>
    <w:rsid w:val="00F8200E"/>
    <w:rsid w:val="00F86DE9"/>
    <w:rsid w:val="00F92A8F"/>
    <w:rsid w:val="00FA6CF1"/>
    <w:rsid w:val="00FC0049"/>
    <w:rsid w:val="00FC376F"/>
    <w:rsid w:val="00FF30E1"/>
    <w:rsid w:val="01506B97"/>
    <w:rsid w:val="01565C22"/>
    <w:rsid w:val="01DC19EE"/>
    <w:rsid w:val="024610D3"/>
    <w:rsid w:val="02B04CA2"/>
    <w:rsid w:val="0311468D"/>
    <w:rsid w:val="032632FE"/>
    <w:rsid w:val="037606C3"/>
    <w:rsid w:val="04A309AD"/>
    <w:rsid w:val="04E3586E"/>
    <w:rsid w:val="05297156"/>
    <w:rsid w:val="05481259"/>
    <w:rsid w:val="062760CA"/>
    <w:rsid w:val="06367F91"/>
    <w:rsid w:val="063E7CAE"/>
    <w:rsid w:val="064061DE"/>
    <w:rsid w:val="07897C0E"/>
    <w:rsid w:val="082A1395"/>
    <w:rsid w:val="08B60D54"/>
    <w:rsid w:val="094628A0"/>
    <w:rsid w:val="09826815"/>
    <w:rsid w:val="09D91328"/>
    <w:rsid w:val="0A9B53E8"/>
    <w:rsid w:val="0ABC2331"/>
    <w:rsid w:val="0B3111FA"/>
    <w:rsid w:val="0B45387B"/>
    <w:rsid w:val="0BB57BA4"/>
    <w:rsid w:val="0C0076B8"/>
    <w:rsid w:val="0C6C37E1"/>
    <w:rsid w:val="0C6D48C1"/>
    <w:rsid w:val="0C9615C8"/>
    <w:rsid w:val="0DC3421D"/>
    <w:rsid w:val="0DF76B00"/>
    <w:rsid w:val="0EDA155C"/>
    <w:rsid w:val="0F4F6CEE"/>
    <w:rsid w:val="0F9746D1"/>
    <w:rsid w:val="0F983238"/>
    <w:rsid w:val="0FBD189C"/>
    <w:rsid w:val="0FDE4BDA"/>
    <w:rsid w:val="0FF07241"/>
    <w:rsid w:val="10D97638"/>
    <w:rsid w:val="11655791"/>
    <w:rsid w:val="11B1466E"/>
    <w:rsid w:val="121D4674"/>
    <w:rsid w:val="12954B43"/>
    <w:rsid w:val="12DC670B"/>
    <w:rsid w:val="12F42BA4"/>
    <w:rsid w:val="12F86E3A"/>
    <w:rsid w:val="131D1399"/>
    <w:rsid w:val="15932B49"/>
    <w:rsid w:val="15A5072F"/>
    <w:rsid w:val="15E05662"/>
    <w:rsid w:val="1787048B"/>
    <w:rsid w:val="179C05CE"/>
    <w:rsid w:val="192C7506"/>
    <w:rsid w:val="193548E0"/>
    <w:rsid w:val="19440BD0"/>
    <w:rsid w:val="1A102318"/>
    <w:rsid w:val="1A206039"/>
    <w:rsid w:val="1B6553C6"/>
    <w:rsid w:val="1BBC4C34"/>
    <w:rsid w:val="1C3C11C6"/>
    <w:rsid w:val="1C7520F8"/>
    <w:rsid w:val="1D0B3468"/>
    <w:rsid w:val="1D1E53EE"/>
    <w:rsid w:val="1D506AA7"/>
    <w:rsid w:val="1DC05620"/>
    <w:rsid w:val="1E470BDB"/>
    <w:rsid w:val="1E7B7EAF"/>
    <w:rsid w:val="1FE401B3"/>
    <w:rsid w:val="20C462AC"/>
    <w:rsid w:val="21B73E88"/>
    <w:rsid w:val="21D80A7B"/>
    <w:rsid w:val="222B693C"/>
    <w:rsid w:val="22A64485"/>
    <w:rsid w:val="24667DE3"/>
    <w:rsid w:val="247C0C4C"/>
    <w:rsid w:val="25DC0A00"/>
    <w:rsid w:val="262E3841"/>
    <w:rsid w:val="26AF2198"/>
    <w:rsid w:val="26B75F6B"/>
    <w:rsid w:val="27EC2A9F"/>
    <w:rsid w:val="28203CD5"/>
    <w:rsid w:val="287A337D"/>
    <w:rsid w:val="28800981"/>
    <w:rsid w:val="28A14A68"/>
    <w:rsid w:val="28F00B0D"/>
    <w:rsid w:val="298F4F7D"/>
    <w:rsid w:val="29A7551B"/>
    <w:rsid w:val="29B80978"/>
    <w:rsid w:val="2AAD6736"/>
    <w:rsid w:val="2AD00E3A"/>
    <w:rsid w:val="2AE05796"/>
    <w:rsid w:val="2B3F6C91"/>
    <w:rsid w:val="2B9F71B1"/>
    <w:rsid w:val="2BD93B03"/>
    <w:rsid w:val="2CAC0E49"/>
    <w:rsid w:val="2CC101CD"/>
    <w:rsid w:val="2D047A30"/>
    <w:rsid w:val="2D9F4E31"/>
    <w:rsid w:val="306B332E"/>
    <w:rsid w:val="308C5F48"/>
    <w:rsid w:val="30CB2D3F"/>
    <w:rsid w:val="311913D0"/>
    <w:rsid w:val="313E75B5"/>
    <w:rsid w:val="31C45AE8"/>
    <w:rsid w:val="31E17C98"/>
    <w:rsid w:val="32326DEE"/>
    <w:rsid w:val="329A66A2"/>
    <w:rsid w:val="32B71199"/>
    <w:rsid w:val="338962BA"/>
    <w:rsid w:val="33D854F6"/>
    <w:rsid w:val="33DE3C29"/>
    <w:rsid w:val="34010037"/>
    <w:rsid w:val="3412744D"/>
    <w:rsid w:val="3431735D"/>
    <w:rsid w:val="345F5981"/>
    <w:rsid w:val="35061741"/>
    <w:rsid w:val="354C01C6"/>
    <w:rsid w:val="355D635D"/>
    <w:rsid w:val="358E4C71"/>
    <w:rsid w:val="360F2EB9"/>
    <w:rsid w:val="36887E00"/>
    <w:rsid w:val="36963DEF"/>
    <w:rsid w:val="36D66C33"/>
    <w:rsid w:val="37021294"/>
    <w:rsid w:val="37096D0D"/>
    <w:rsid w:val="370B211A"/>
    <w:rsid w:val="379D6803"/>
    <w:rsid w:val="38194CD8"/>
    <w:rsid w:val="398C14D9"/>
    <w:rsid w:val="39C15F76"/>
    <w:rsid w:val="3A805BBF"/>
    <w:rsid w:val="3AA01842"/>
    <w:rsid w:val="3ACF286E"/>
    <w:rsid w:val="3B25029A"/>
    <w:rsid w:val="3B3C7214"/>
    <w:rsid w:val="3C505CA8"/>
    <w:rsid w:val="3C9E7E8F"/>
    <w:rsid w:val="3CE81B00"/>
    <w:rsid w:val="3D5740DE"/>
    <w:rsid w:val="3E5A5EE4"/>
    <w:rsid w:val="3E5F5AA5"/>
    <w:rsid w:val="3E846C23"/>
    <w:rsid w:val="3EBC7BE3"/>
    <w:rsid w:val="401E2B51"/>
    <w:rsid w:val="40F26F47"/>
    <w:rsid w:val="41117688"/>
    <w:rsid w:val="412C237F"/>
    <w:rsid w:val="4155091F"/>
    <w:rsid w:val="41695A0F"/>
    <w:rsid w:val="41BA10CB"/>
    <w:rsid w:val="42303B8B"/>
    <w:rsid w:val="42423FD9"/>
    <w:rsid w:val="43A14604"/>
    <w:rsid w:val="43A33BF5"/>
    <w:rsid w:val="43A538BC"/>
    <w:rsid w:val="447A7099"/>
    <w:rsid w:val="44F7014F"/>
    <w:rsid w:val="453B488F"/>
    <w:rsid w:val="456E692D"/>
    <w:rsid w:val="45F15E70"/>
    <w:rsid w:val="46A64344"/>
    <w:rsid w:val="46D80127"/>
    <w:rsid w:val="489706FC"/>
    <w:rsid w:val="48B733AA"/>
    <w:rsid w:val="48E20A96"/>
    <w:rsid w:val="4A5240A2"/>
    <w:rsid w:val="4A8E7608"/>
    <w:rsid w:val="4AB167DD"/>
    <w:rsid w:val="4B117A90"/>
    <w:rsid w:val="4BB34F51"/>
    <w:rsid w:val="4CFF0216"/>
    <w:rsid w:val="4D4D3AFB"/>
    <w:rsid w:val="4D683864"/>
    <w:rsid w:val="4DC46C4F"/>
    <w:rsid w:val="4E58201F"/>
    <w:rsid w:val="4FD04A87"/>
    <w:rsid w:val="50AE13D1"/>
    <w:rsid w:val="522830D1"/>
    <w:rsid w:val="52D561B8"/>
    <w:rsid w:val="52DC0984"/>
    <w:rsid w:val="548B08B3"/>
    <w:rsid w:val="55242153"/>
    <w:rsid w:val="553E1266"/>
    <w:rsid w:val="555F4A28"/>
    <w:rsid w:val="558F57DA"/>
    <w:rsid w:val="55A0038E"/>
    <w:rsid w:val="55DD4A42"/>
    <w:rsid w:val="567F1BCC"/>
    <w:rsid w:val="56D218E5"/>
    <w:rsid w:val="573F39B5"/>
    <w:rsid w:val="57B4119F"/>
    <w:rsid w:val="588A28B9"/>
    <w:rsid w:val="5A48573D"/>
    <w:rsid w:val="5A9164F8"/>
    <w:rsid w:val="5AFE1DDF"/>
    <w:rsid w:val="5B1C1D31"/>
    <w:rsid w:val="5DD46E27"/>
    <w:rsid w:val="5E193D09"/>
    <w:rsid w:val="5E997C33"/>
    <w:rsid w:val="5EB007B5"/>
    <w:rsid w:val="5EBC779A"/>
    <w:rsid w:val="60712622"/>
    <w:rsid w:val="61903065"/>
    <w:rsid w:val="61C030C6"/>
    <w:rsid w:val="6232236E"/>
    <w:rsid w:val="624C4474"/>
    <w:rsid w:val="62AC3A78"/>
    <w:rsid w:val="63B57AC3"/>
    <w:rsid w:val="64011757"/>
    <w:rsid w:val="6473529E"/>
    <w:rsid w:val="649E1F3D"/>
    <w:rsid w:val="65E0162B"/>
    <w:rsid w:val="65E53E98"/>
    <w:rsid w:val="66424626"/>
    <w:rsid w:val="665971AE"/>
    <w:rsid w:val="667B1BFB"/>
    <w:rsid w:val="67A55BDE"/>
    <w:rsid w:val="68A8667A"/>
    <w:rsid w:val="692E169F"/>
    <w:rsid w:val="69A37C09"/>
    <w:rsid w:val="6A2B3024"/>
    <w:rsid w:val="6A303659"/>
    <w:rsid w:val="6A4B2016"/>
    <w:rsid w:val="6AC344AB"/>
    <w:rsid w:val="6BA008BF"/>
    <w:rsid w:val="6BA1796A"/>
    <w:rsid w:val="6BA472B9"/>
    <w:rsid w:val="6BD77B3D"/>
    <w:rsid w:val="6C240F7A"/>
    <w:rsid w:val="6D185F70"/>
    <w:rsid w:val="6D600186"/>
    <w:rsid w:val="6EA541AD"/>
    <w:rsid w:val="6F4D0D50"/>
    <w:rsid w:val="6F835472"/>
    <w:rsid w:val="6F913D15"/>
    <w:rsid w:val="70A45725"/>
    <w:rsid w:val="710812D5"/>
    <w:rsid w:val="71227648"/>
    <w:rsid w:val="71411F9D"/>
    <w:rsid w:val="73BE4E40"/>
    <w:rsid w:val="762A69E2"/>
    <w:rsid w:val="76524E83"/>
    <w:rsid w:val="76AC04E9"/>
    <w:rsid w:val="76C60833"/>
    <w:rsid w:val="77F97A47"/>
    <w:rsid w:val="7A6C1EDF"/>
    <w:rsid w:val="7A711B4A"/>
    <w:rsid w:val="7B16294B"/>
    <w:rsid w:val="7C19011C"/>
    <w:rsid w:val="7C331E4E"/>
    <w:rsid w:val="7C934E7B"/>
    <w:rsid w:val="7C9A5431"/>
    <w:rsid w:val="7CCF5DDE"/>
    <w:rsid w:val="7D5738F9"/>
    <w:rsid w:val="7D5F62B6"/>
    <w:rsid w:val="7D707D52"/>
    <w:rsid w:val="7DC279B4"/>
    <w:rsid w:val="7E8766DE"/>
    <w:rsid w:val="7EB16339"/>
    <w:rsid w:val="7FEC1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adjustRightInd w:val="0"/>
    </w:pPr>
    <w:rPr>
      <w:rFonts w:ascii="宋体" w:hAnsi="Times New Roman" w:eastAsia="宋体" w:cs="宋体"/>
      <w:sz w:val="22"/>
      <w:szCs w:val="22"/>
      <w:lang w:val="en-US" w:eastAsia="zh-CN" w:bidi="ar-SA"/>
    </w:rPr>
  </w:style>
  <w:style w:type="paragraph" w:styleId="3">
    <w:name w:val="heading 1"/>
    <w:basedOn w:val="1"/>
    <w:next w:val="1"/>
    <w:link w:val="50"/>
    <w:qFormat/>
    <w:uiPriority w:val="9"/>
    <w:pPr>
      <w:ind w:left="3144" w:right="3120"/>
      <w:jc w:val="center"/>
      <w:outlineLvl w:val="0"/>
    </w:pPr>
    <w:rPr>
      <w:rFonts w:cs="Times New Roman"/>
      <w:b/>
      <w:bCs/>
      <w:kern w:val="44"/>
      <w:sz w:val="44"/>
      <w:szCs w:val="44"/>
    </w:rPr>
  </w:style>
  <w:style w:type="paragraph" w:styleId="4">
    <w:name w:val="heading 2"/>
    <w:basedOn w:val="1"/>
    <w:next w:val="1"/>
    <w:link w:val="59"/>
    <w:qFormat/>
    <w:uiPriority w:val="9"/>
    <w:pPr>
      <w:ind w:left="3150" w:right="3120"/>
      <w:jc w:val="center"/>
      <w:outlineLvl w:val="1"/>
    </w:pPr>
    <w:rPr>
      <w:rFonts w:ascii="等线 Light" w:hAnsi="等线 Light" w:eastAsia="等线 Light" w:cs="Times New Roman"/>
      <w:b/>
      <w:bCs/>
      <w:sz w:val="32"/>
      <w:szCs w:val="32"/>
    </w:rPr>
  </w:style>
  <w:style w:type="paragraph" w:styleId="5">
    <w:name w:val="heading 3"/>
    <w:basedOn w:val="1"/>
    <w:next w:val="1"/>
    <w:link w:val="55"/>
    <w:qFormat/>
    <w:uiPriority w:val="9"/>
    <w:pPr>
      <w:spacing w:before="48"/>
      <w:ind w:left="3150" w:right="3120"/>
      <w:jc w:val="center"/>
      <w:outlineLvl w:val="2"/>
    </w:pPr>
    <w:rPr>
      <w:rFonts w:cs="Times New Roman"/>
      <w:b/>
      <w:bCs/>
      <w:sz w:val="32"/>
      <w:szCs w:val="32"/>
    </w:rPr>
  </w:style>
  <w:style w:type="paragraph" w:styleId="6">
    <w:name w:val="heading 4"/>
    <w:basedOn w:val="1"/>
    <w:next w:val="1"/>
    <w:link w:val="53"/>
    <w:qFormat/>
    <w:uiPriority w:val="9"/>
    <w:pPr>
      <w:spacing w:before="62"/>
      <w:ind w:left="200"/>
      <w:outlineLvl w:val="3"/>
    </w:pPr>
    <w:rPr>
      <w:rFonts w:ascii="等线 Light" w:hAnsi="等线 Light" w:eastAsia="等线 Light" w:cs="Times New Roman"/>
      <w:b/>
      <w:bCs/>
      <w:sz w:val="28"/>
      <w:szCs w:val="28"/>
    </w:rPr>
  </w:style>
  <w:style w:type="paragraph" w:styleId="7">
    <w:name w:val="heading 5"/>
    <w:basedOn w:val="1"/>
    <w:next w:val="1"/>
    <w:link w:val="61"/>
    <w:qFormat/>
    <w:uiPriority w:val="9"/>
    <w:pPr>
      <w:ind w:left="412" w:hanging="207"/>
      <w:outlineLvl w:val="4"/>
    </w:pPr>
    <w:rPr>
      <w:rFonts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next w:val="1"/>
    <w:qFormat/>
    <w:uiPriority w:val="0"/>
    <w:pPr>
      <w:spacing w:before="25" w:after="25"/>
    </w:pPr>
    <w:rPr>
      <w:bCs/>
      <w:spacing w:val="10"/>
      <w:sz w:val="24"/>
      <w:szCs w:val="20"/>
    </w:rPr>
  </w:style>
  <w:style w:type="paragraph" w:styleId="8">
    <w:name w:val="index 8"/>
    <w:next w:val="1"/>
    <w:qFormat/>
    <w:uiPriority w:val="0"/>
    <w:pPr>
      <w:widowControl w:val="0"/>
      <w:ind w:left="2940"/>
      <w:jc w:val="both"/>
    </w:pPr>
    <w:rPr>
      <w:rFonts w:ascii="方正仿宋_GBK" w:hAnsi="Calibri" w:eastAsia="方正仿宋_GBK" w:cs="宋体"/>
      <w:kern w:val="2"/>
      <w:sz w:val="32"/>
      <w:szCs w:val="28"/>
      <w:lang w:val="en-US" w:eastAsia="zh-CN" w:bidi="ar-SA"/>
    </w:rPr>
  </w:style>
  <w:style w:type="paragraph" w:styleId="9">
    <w:name w:val="Normal Indent"/>
    <w:basedOn w:val="1"/>
    <w:next w:val="10"/>
    <w:qFormat/>
    <w:uiPriority w:val="0"/>
    <w:pPr>
      <w:ind w:firstLine="420"/>
    </w:pPr>
    <w:rPr>
      <w:szCs w:val="21"/>
    </w:rPr>
  </w:style>
  <w:style w:type="paragraph" w:customStyle="1" w:styleId="1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1">
    <w:name w:val="annotation text"/>
    <w:basedOn w:val="1"/>
    <w:link w:val="52"/>
    <w:unhideWhenUsed/>
    <w:qFormat/>
    <w:uiPriority w:val="99"/>
    <w:rPr>
      <w:rFonts w:cs="Times New Roman"/>
    </w:rPr>
  </w:style>
  <w:style w:type="paragraph" w:styleId="12">
    <w:name w:val="Body Text"/>
    <w:basedOn w:val="1"/>
    <w:next w:val="1"/>
    <w:link w:val="47"/>
    <w:qFormat/>
    <w:uiPriority w:val="99"/>
    <w:pPr>
      <w:ind w:left="590"/>
    </w:pPr>
    <w:rPr>
      <w:rFonts w:cs="Times New Roman"/>
      <w:szCs w:val="20"/>
    </w:rPr>
  </w:style>
  <w:style w:type="paragraph" w:styleId="13">
    <w:name w:val="Body Text Indent"/>
    <w:basedOn w:val="1"/>
    <w:next w:val="14"/>
    <w:qFormat/>
    <w:uiPriority w:val="0"/>
    <w:pPr>
      <w:ind w:firstLine="830" w:firstLineChars="352"/>
    </w:pPr>
    <w:rPr>
      <w:rFonts w:ascii="仿宋_GB2312" w:eastAsia="仿宋_GB2312"/>
      <w:sz w:val="32"/>
      <w:szCs w:val="20"/>
    </w:rPr>
  </w:style>
  <w:style w:type="paragraph" w:styleId="14">
    <w:name w:val="envelope return"/>
    <w:basedOn w:val="1"/>
    <w:qFormat/>
    <w:uiPriority w:val="99"/>
    <w:pPr>
      <w:snapToGrid w:val="0"/>
    </w:pPr>
    <w:rPr>
      <w:rFonts w:ascii="Arial" w:hAnsi="Arial"/>
    </w:rPr>
  </w:style>
  <w:style w:type="paragraph" w:styleId="15">
    <w:name w:val="Plain Text"/>
    <w:basedOn w:val="1"/>
    <w:qFormat/>
    <w:uiPriority w:val="0"/>
    <w:rPr>
      <w:rFonts w:hAnsi="Courier New" w:cs="Courier New"/>
      <w:szCs w:val="21"/>
    </w:rPr>
  </w:style>
  <w:style w:type="paragraph" w:styleId="16">
    <w:name w:val="Balloon Text"/>
    <w:basedOn w:val="1"/>
    <w:link w:val="57"/>
    <w:unhideWhenUsed/>
    <w:qFormat/>
    <w:uiPriority w:val="99"/>
    <w:rPr>
      <w:rFonts w:cs="Times New Roman"/>
      <w:sz w:val="18"/>
      <w:szCs w:val="18"/>
    </w:rPr>
  </w:style>
  <w:style w:type="paragraph" w:styleId="17">
    <w:name w:val="footer"/>
    <w:basedOn w:val="1"/>
    <w:link w:val="63"/>
    <w:unhideWhenUsed/>
    <w:qFormat/>
    <w:uiPriority w:val="0"/>
    <w:pPr>
      <w:tabs>
        <w:tab w:val="center" w:pos="4153"/>
        <w:tab w:val="right" w:pos="8306"/>
      </w:tabs>
      <w:snapToGrid w:val="0"/>
    </w:pPr>
    <w:rPr>
      <w:rFonts w:cs="Times New Roman"/>
      <w:sz w:val="18"/>
      <w:szCs w:val="18"/>
    </w:rPr>
  </w:style>
  <w:style w:type="paragraph" w:styleId="18">
    <w:name w:val="header"/>
    <w:basedOn w:val="1"/>
    <w:link w:val="49"/>
    <w:unhideWhenUsed/>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19">
    <w:name w:val="Body Text Indent 3"/>
    <w:basedOn w:val="1"/>
    <w:link w:val="58"/>
    <w:unhideWhenUsed/>
    <w:qFormat/>
    <w:uiPriority w:val="99"/>
    <w:pPr>
      <w:spacing w:after="120"/>
      <w:ind w:left="420" w:leftChars="200"/>
    </w:pPr>
    <w:rPr>
      <w:rFonts w:cs="Times New Roman"/>
      <w:sz w:val="16"/>
      <w:szCs w:val="16"/>
    </w:rPr>
  </w:style>
  <w:style w:type="paragraph" w:styleId="20">
    <w:name w:val="Normal (Web)"/>
    <w:basedOn w:val="1"/>
    <w:unhideWhenUsed/>
    <w:qFormat/>
    <w:uiPriority w:val="99"/>
    <w:pPr>
      <w:spacing w:before="100" w:beforeAutospacing="1" w:after="100" w:afterAutospacing="1"/>
    </w:pPr>
    <w:rPr>
      <w:rFonts w:cs="Times New Roman"/>
      <w:sz w:val="24"/>
    </w:rPr>
  </w:style>
  <w:style w:type="paragraph" w:styleId="21">
    <w:name w:val="annotation subject"/>
    <w:basedOn w:val="11"/>
    <w:next w:val="11"/>
    <w:link w:val="54"/>
    <w:unhideWhenUsed/>
    <w:qFormat/>
    <w:uiPriority w:val="99"/>
    <w:rPr>
      <w:b/>
      <w:bCs/>
    </w:rPr>
  </w:style>
  <w:style w:type="paragraph" w:styleId="22">
    <w:name w:val="Body Text First Indent"/>
    <w:basedOn w:val="12"/>
    <w:link w:val="51"/>
    <w:unhideWhenUsed/>
    <w:qFormat/>
    <w:uiPriority w:val="99"/>
    <w:pPr>
      <w:spacing w:after="120"/>
      <w:ind w:left="0" w:firstLine="420" w:firstLineChars="100"/>
    </w:pPr>
    <w:rPr>
      <w:szCs w:val="22"/>
    </w:rPr>
  </w:style>
  <w:style w:type="paragraph" w:styleId="23">
    <w:name w:val="Body Text First Indent 2"/>
    <w:basedOn w:val="13"/>
    <w:qFormat/>
    <w:uiPriority w:val="0"/>
    <w:pPr>
      <w:spacing w:after="120"/>
      <w:ind w:left="420" w:leftChars="200"/>
    </w:pPr>
    <w:rPr>
      <w:rFonts w:ascii="Calibri" w:hAnsi="Calibri"/>
      <w:sz w:val="21"/>
    </w:rPr>
  </w:style>
  <w:style w:type="table" w:styleId="25">
    <w:name w:val="Table Grid"/>
    <w:basedOn w:val="2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page number"/>
    <w:qFormat/>
    <w:uiPriority w:val="0"/>
    <w:rPr>
      <w:rFonts w:cs="Times New Roman"/>
    </w:rPr>
  </w:style>
  <w:style w:type="character" w:styleId="29">
    <w:name w:val="FollowedHyperlink"/>
    <w:basedOn w:val="26"/>
    <w:unhideWhenUsed/>
    <w:qFormat/>
    <w:uiPriority w:val="99"/>
    <w:rPr>
      <w:color w:val="003B70"/>
      <w:u w:val="none"/>
    </w:rPr>
  </w:style>
  <w:style w:type="character" w:styleId="30">
    <w:name w:val="Hyperlink"/>
    <w:basedOn w:val="26"/>
    <w:unhideWhenUsed/>
    <w:qFormat/>
    <w:uiPriority w:val="99"/>
    <w:rPr>
      <w:color w:val="003B70"/>
      <w:u w:val="none"/>
    </w:rPr>
  </w:style>
  <w:style w:type="character" w:styleId="31">
    <w:name w:val="annotation reference"/>
    <w:unhideWhenUsed/>
    <w:qFormat/>
    <w:uiPriority w:val="99"/>
    <w:rPr>
      <w:sz w:val="21"/>
      <w:szCs w:val="21"/>
    </w:rPr>
  </w:style>
  <w:style w:type="paragraph" w:customStyle="1" w:styleId="32">
    <w:name w:val="Heading4"/>
    <w:basedOn w:val="1"/>
    <w:qFormat/>
    <w:uiPriority w:val="0"/>
    <w:pPr>
      <w:keepNext/>
      <w:keepLines/>
      <w:snapToGrid w:val="0"/>
      <w:spacing w:before="200" w:line="360" w:lineRule="auto"/>
      <w:jc w:val="both"/>
    </w:pPr>
    <w:rPr>
      <w:rFonts w:ascii="Cambria" w:hAnsi="Cambria" w:cs="Times New Roman"/>
      <w:b/>
      <w:i/>
      <w:color w:val="4F81BD"/>
      <w:sz w:val="20"/>
      <w:szCs w:val="20"/>
    </w:rPr>
  </w:style>
  <w:style w:type="paragraph" w:customStyle="1" w:styleId="33">
    <w:name w:val="图_0"/>
    <w:basedOn w:val="34"/>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34">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
    <w:name w:val="Table Paragraph"/>
    <w:basedOn w:val="1"/>
    <w:qFormat/>
    <w:uiPriority w:val="1"/>
    <w:rPr>
      <w:sz w:val="24"/>
      <w:szCs w:val="24"/>
    </w:rPr>
  </w:style>
  <w:style w:type="paragraph" w:customStyle="1" w:styleId="36">
    <w:name w:val="_Style 3"/>
    <w:basedOn w:val="1"/>
    <w:next w:val="19"/>
    <w:qFormat/>
    <w:uiPriority w:val="0"/>
    <w:pPr>
      <w:autoSpaceDE/>
      <w:autoSpaceDN/>
      <w:adjustRightInd/>
      <w:ind w:firstLine="420" w:firstLineChars="200"/>
      <w:jc w:val="both"/>
    </w:pPr>
    <w:rPr>
      <w:rFonts w:ascii="Calibri" w:hAnsi="Calibri" w:eastAsia="Calibri" w:cs="Times New Roman"/>
      <w:kern w:val="2"/>
      <w:lang w:eastAsia="en-US"/>
    </w:rPr>
  </w:style>
  <w:style w:type="paragraph" w:customStyle="1" w:styleId="37">
    <w:name w:val="Char Char Char"/>
    <w:basedOn w:val="1"/>
    <w:qFormat/>
    <w:uiPriority w:val="0"/>
    <w:rPr>
      <w:rFonts w:hAnsi="宋体"/>
      <w:b/>
      <w:sz w:val="28"/>
      <w:szCs w:val="28"/>
    </w:rPr>
  </w:style>
  <w:style w:type="paragraph" w:customStyle="1" w:styleId="38">
    <w:name w:val="正文1"/>
    <w:basedOn w:val="1"/>
    <w:next w:val="39"/>
    <w:qFormat/>
    <w:uiPriority w:val="0"/>
    <w:pPr>
      <w:spacing w:line="360" w:lineRule="auto"/>
    </w:pPr>
    <w:rPr>
      <w:rFonts w:hAnsi="华文宋体"/>
      <w:kern w:val="20"/>
      <w:sz w:val="24"/>
      <w:szCs w:val="20"/>
    </w:rPr>
  </w:style>
  <w:style w:type="paragraph" w:customStyle="1" w:styleId="39">
    <w:name w:val="普通正文"/>
    <w:basedOn w:val="38"/>
    <w:qFormat/>
    <w:uiPriority w:val="0"/>
    <w:pPr>
      <w:widowControl/>
      <w:spacing w:line="360" w:lineRule="atLeast"/>
      <w:ind w:firstLine="425"/>
    </w:pPr>
    <w:rPr>
      <w:kern w:val="21"/>
    </w:rPr>
  </w:style>
  <w:style w:type="paragraph" w:customStyle="1" w:styleId="40">
    <w:name w:val="TOC2"/>
    <w:basedOn w:val="1"/>
    <w:next w:val="1"/>
    <w:qFormat/>
    <w:uiPriority w:val="0"/>
    <w:pPr>
      <w:ind w:left="420" w:leftChars="200"/>
    </w:pPr>
    <w:rPr>
      <w:rFonts w:ascii="Calibri" w:hAnsi="Calibri" w:eastAsia="仿宋"/>
      <w:sz w:val="24"/>
    </w:rPr>
  </w:style>
  <w:style w:type="paragraph" w:styleId="41">
    <w:name w:val="List Paragraph"/>
    <w:basedOn w:val="1"/>
    <w:qFormat/>
    <w:uiPriority w:val="1"/>
    <w:pPr>
      <w:ind w:left="206" w:firstLine="384"/>
    </w:pPr>
    <w:rPr>
      <w:sz w:val="24"/>
      <w:szCs w:val="24"/>
    </w:rPr>
  </w:style>
  <w:style w:type="paragraph" w:customStyle="1" w:styleId="42">
    <w:name w:val="_Style 40"/>
    <w:unhideWhenUsed/>
    <w:qFormat/>
    <w:uiPriority w:val="99"/>
    <w:rPr>
      <w:rFonts w:ascii="宋体" w:hAnsi="Times New Roman" w:eastAsia="宋体" w:cs="宋体"/>
      <w:sz w:val="22"/>
      <w:szCs w:val="22"/>
      <w:lang w:val="en-US" w:eastAsia="zh-CN" w:bidi="ar-SA"/>
    </w:rPr>
  </w:style>
  <w:style w:type="paragraph" w:customStyle="1" w:styleId="43">
    <w:name w:val="纯文本_0"/>
    <w:basedOn w:val="34"/>
    <w:qFormat/>
    <w:uiPriority w:val="0"/>
    <w:rPr>
      <w:rFonts w:ascii="宋体" w:hAnsi="Courier New"/>
      <w:kern w:val="0"/>
      <w:sz w:val="20"/>
      <w:szCs w:val="21"/>
    </w:rPr>
  </w:style>
  <w:style w:type="paragraph" w:customStyle="1" w:styleId="44">
    <w:name w:val="RZ表格"/>
    <w:qFormat/>
    <w:uiPriority w:val="0"/>
    <w:pPr>
      <w:textAlignment w:val="center"/>
    </w:pPr>
    <w:rPr>
      <w:rFonts w:ascii="Times New Roman" w:hAnsi="Times New Roman" w:eastAsia="宋体" w:cs="Times New Roman"/>
      <w:bCs/>
      <w:sz w:val="22"/>
      <w:szCs w:val="24"/>
      <w:lang w:val="en-US" w:eastAsia="zh-CN" w:bidi="ar-SA"/>
    </w:rPr>
  </w:style>
  <w:style w:type="paragraph" w:customStyle="1" w:styleId="45">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6">
    <w:name w:val="font41"/>
    <w:qFormat/>
    <w:uiPriority w:val="0"/>
    <w:rPr>
      <w:rFonts w:ascii="Calibri" w:hAnsi="Calibri" w:cs="Calibri"/>
      <w:color w:val="000000"/>
      <w:sz w:val="21"/>
      <w:szCs w:val="21"/>
      <w:u w:val="none"/>
    </w:rPr>
  </w:style>
  <w:style w:type="character" w:customStyle="1" w:styleId="47">
    <w:name w:val="正文文本 字符"/>
    <w:link w:val="12"/>
    <w:semiHidden/>
    <w:qFormat/>
    <w:uiPriority w:val="99"/>
    <w:rPr>
      <w:rFonts w:ascii="宋体" w:hAnsi="Times New Roman" w:eastAsia="宋体" w:cs="宋体"/>
      <w:kern w:val="0"/>
      <w:sz w:val="22"/>
    </w:rPr>
  </w:style>
  <w:style w:type="character" w:customStyle="1" w:styleId="48">
    <w:name w:val="_Style 0"/>
    <w:qFormat/>
    <w:uiPriority w:val="0"/>
    <w:rPr>
      <w:i/>
      <w:iCs/>
      <w:color w:val="808080"/>
    </w:rPr>
  </w:style>
  <w:style w:type="character" w:customStyle="1" w:styleId="49">
    <w:name w:val="页眉 字符"/>
    <w:link w:val="18"/>
    <w:qFormat/>
    <w:uiPriority w:val="99"/>
    <w:rPr>
      <w:rFonts w:ascii="宋体" w:hAnsi="Times New Roman" w:eastAsia="宋体" w:cs="宋体"/>
      <w:kern w:val="0"/>
      <w:sz w:val="18"/>
      <w:szCs w:val="18"/>
    </w:rPr>
  </w:style>
  <w:style w:type="character" w:customStyle="1" w:styleId="50">
    <w:name w:val="标题 1 字符"/>
    <w:link w:val="3"/>
    <w:qFormat/>
    <w:uiPriority w:val="9"/>
    <w:rPr>
      <w:rFonts w:ascii="宋体" w:hAnsi="Times New Roman" w:eastAsia="宋体" w:cs="宋体"/>
      <w:b/>
      <w:bCs/>
      <w:kern w:val="44"/>
      <w:sz w:val="44"/>
      <w:szCs w:val="44"/>
    </w:rPr>
  </w:style>
  <w:style w:type="character" w:customStyle="1" w:styleId="51">
    <w:name w:val="正文文本首行缩进 字符"/>
    <w:link w:val="22"/>
    <w:semiHidden/>
    <w:qFormat/>
    <w:uiPriority w:val="99"/>
    <w:rPr>
      <w:rFonts w:ascii="宋体" w:hAnsi="Times New Roman" w:eastAsia="宋体" w:cs="宋体"/>
      <w:kern w:val="0"/>
      <w:sz w:val="22"/>
      <w:szCs w:val="22"/>
    </w:rPr>
  </w:style>
  <w:style w:type="character" w:customStyle="1" w:styleId="52">
    <w:name w:val="批注文字 字符"/>
    <w:link w:val="11"/>
    <w:qFormat/>
    <w:uiPriority w:val="99"/>
    <w:rPr>
      <w:rFonts w:ascii="宋体" w:hAnsi="Times New Roman" w:eastAsia="宋体" w:cs="宋体"/>
      <w:sz w:val="22"/>
      <w:szCs w:val="22"/>
    </w:rPr>
  </w:style>
  <w:style w:type="character" w:customStyle="1" w:styleId="53">
    <w:name w:val="标题 4 字符"/>
    <w:link w:val="6"/>
    <w:semiHidden/>
    <w:qFormat/>
    <w:uiPriority w:val="9"/>
    <w:rPr>
      <w:rFonts w:ascii="等线 Light" w:hAnsi="等线 Light" w:eastAsia="等线 Light" w:cs="Times New Roman"/>
      <w:b/>
      <w:bCs/>
      <w:kern w:val="0"/>
      <w:sz w:val="28"/>
      <w:szCs w:val="28"/>
    </w:rPr>
  </w:style>
  <w:style w:type="character" w:customStyle="1" w:styleId="54">
    <w:name w:val="批注主题 字符"/>
    <w:link w:val="21"/>
    <w:semiHidden/>
    <w:qFormat/>
    <w:uiPriority w:val="99"/>
    <w:rPr>
      <w:rFonts w:ascii="宋体" w:hAnsi="Times New Roman" w:eastAsia="宋体" w:cs="宋体"/>
      <w:b/>
      <w:bCs/>
      <w:sz w:val="22"/>
      <w:szCs w:val="22"/>
    </w:rPr>
  </w:style>
  <w:style w:type="character" w:customStyle="1" w:styleId="55">
    <w:name w:val="标题 3 字符"/>
    <w:link w:val="5"/>
    <w:semiHidden/>
    <w:qFormat/>
    <w:uiPriority w:val="9"/>
    <w:rPr>
      <w:rFonts w:ascii="宋体" w:hAnsi="Times New Roman" w:eastAsia="宋体" w:cs="宋体"/>
      <w:b/>
      <w:bCs/>
      <w:kern w:val="0"/>
      <w:sz w:val="32"/>
      <w:szCs w:val="32"/>
    </w:rPr>
  </w:style>
  <w:style w:type="character" w:customStyle="1" w:styleId="56">
    <w:name w:val="p141_0"/>
    <w:qFormat/>
    <w:uiPriority w:val="0"/>
    <w:rPr>
      <w:rFonts w:ascii="Calibri" w:hAnsi="Calibri"/>
      <w:sz w:val="21"/>
      <w:szCs w:val="21"/>
    </w:rPr>
  </w:style>
  <w:style w:type="character" w:customStyle="1" w:styleId="57">
    <w:name w:val="批注框文本 字符"/>
    <w:link w:val="16"/>
    <w:semiHidden/>
    <w:qFormat/>
    <w:uiPriority w:val="99"/>
    <w:rPr>
      <w:rFonts w:ascii="宋体" w:hAnsi="Times New Roman" w:eastAsia="宋体" w:cs="宋体"/>
      <w:sz w:val="18"/>
      <w:szCs w:val="18"/>
    </w:rPr>
  </w:style>
  <w:style w:type="character" w:customStyle="1" w:styleId="58">
    <w:name w:val="正文文本缩进 3 字符"/>
    <w:link w:val="19"/>
    <w:semiHidden/>
    <w:qFormat/>
    <w:uiPriority w:val="99"/>
    <w:rPr>
      <w:rFonts w:ascii="宋体" w:hAnsi="Times New Roman" w:eastAsia="宋体" w:cs="宋体"/>
      <w:sz w:val="16"/>
      <w:szCs w:val="16"/>
    </w:rPr>
  </w:style>
  <w:style w:type="character" w:customStyle="1" w:styleId="59">
    <w:name w:val="标题 2 字符"/>
    <w:link w:val="4"/>
    <w:semiHidden/>
    <w:qFormat/>
    <w:uiPriority w:val="9"/>
    <w:rPr>
      <w:rFonts w:ascii="等线 Light" w:hAnsi="等线 Light" w:eastAsia="等线 Light" w:cs="Times New Roman"/>
      <w:b/>
      <w:bCs/>
      <w:kern w:val="0"/>
      <w:sz w:val="32"/>
      <w:szCs w:val="32"/>
    </w:rPr>
  </w:style>
  <w:style w:type="character" w:customStyle="1" w:styleId="60">
    <w:name w:val="正文文本 字符1"/>
    <w:semiHidden/>
    <w:qFormat/>
    <w:uiPriority w:val="99"/>
    <w:rPr>
      <w:rFonts w:ascii="宋体" w:hAnsi="Times New Roman" w:eastAsia="宋体" w:cs="宋体"/>
      <w:kern w:val="0"/>
      <w:sz w:val="22"/>
    </w:rPr>
  </w:style>
  <w:style w:type="character" w:customStyle="1" w:styleId="61">
    <w:name w:val="标题 5 字符"/>
    <w:link w:val="7"/>
    <w:semiHidden/>
    <w:qFormat/>
    <w:uiPriority w:val="9"/>
    <w:rPr>
      <w:rFonts w:ascii="宋体" w:hAnsi="Times New Roman" w:eastAsia="宋体" w:cs="宋体"/>
      <w:b/>
      <w:bCs/>
      <w:kern w:val="0"/>
      <w:sz w:val="28"/>
      <w:szCs w:val="28"/>
    </w:rPr>
  </w:style>
  <w:style w:type="character" w:customStyle="1" w:styleId="62">
    <w:name w:val="不明显强调1"/>
    <w:qFormat/>
    <w:uiPriority w:val="0"/>
    <w:rPr>
      <w:i/>
      <w:iCs/>
      <w:color w:val="808080"/>
    </w:rPr>
  </w:style>
  <w:style w:type="character" w:customStyle="1" w:styleId="63">
    <w:name w:val="页脚 字符"/>
    <w:link w:val="17"/>
    <w:qFormat/>
    <w:uiPriority w:val="0"/>
    <w:rPr>
      <w:rFonts w:ascii="宋体" w:hAnsi="Times New Roman" w:eastAsia="宋体" w:cs="宋体"/>
      <w:kern w:val="0"/>
      <w:sz w:val="18"/>
      <w:szCs w:val="18"/>
    </w:rPr>
  </w:style>
  <w:style w:type="paragraph" w:customStyle="1" w:styleId="64">
    <w:name w:val="首行缩进"/>
    <w:basedOn w:val="1"/>
    <w:qFormat/>
    <w:uiPriority w:val="0"/>
    <w:pPr>
      <w:spacing w:line="360" w:lineRule="auto"/>
      <w:ind w:firstLine="420"/>
    </w:pPr>
    <w:rPr>
      <w:rFonts w:hAnsi="宋体"/>
    </w:rPr>
  </w:style>
  <w:style w:type="character" w:customStyle="1" w:styleId="65">
    <w:name w:val="NormalCharacter"/>
    <w:qFormat/>
    <w:uiPriority w:val="0"/>
  </w:style>
  <w:style w:type="paragraph" w:customStyle="1" w:styleId="66">
    <w:name w:val="null3"/>
    <w:qFormat/>
    <w:uiPriority w:val="0"/>
    <w:rPr>
      <w:rFonts w:hint="eastAsia" w:ascii="Calibri" w:hAnsi="Calibri" w:eastAsia="宋体" w:cs="Times New Roman"/>
      <w:lang w:val="en-US" w:eastAsia="zh-Hans" w:bidi="ar-SA"/>
    </w:rPr>
  </w:style>
  <w:style w:type="character" w:customStyle="1" w:styleId="67">
    <w:name w:val="font101"/>
    <w:qFormat/>
    <w:uiPriority w:val="0"/>
    <w:rPr>
      <w:rFonts w:hint="eastAsia" w:ascii="宋体" w:hAnsi="宋体" w:eastAsia="宋体" w:cs="宋体"/>
      <w:b/>
      <w:bCs/>
      <w:color w:val="000000"/>
      <w:sz w:val="24"/>
      <w:szCs w:val="24"/>
      <w:u w:val="none"/>
    </w:rPr>
  </w:style>
  <w:style w:type="character" w:customStyle="1" w:styleId="68">
    <w:name w:val="font91"/>
    <w:qFormat/>
    <w:uiPriority w:val="0"/>
    <w:rPr>
      <w:rFonts w:hint="eastAsia" w:ascii="宋体" w:hAnsi="宋体" w:eastAsia="宋体" w:cs="宋体"/>
      <w:color w:val="000000"/>
      <w:sz w:val="22"/>
      <w:szCs w:val="22"/>
      <w:u w:val="none"/>
    </w:rPr>
  </w:style>
  <w:style w:type="character" w:customStyle="1" w:styleId="69">
    <w:name w:val="font112"/>
    <w:qFormat/>
    <w:uiPriority w:val="0"/>
    <w:rPr>
      <w:rFonts w:hint="eastAsia" w:ascii="宋体" w:hAnsi="宋体" w:eastAsia="宋体" w:cs="宋体"/>
      <w:color w:val="000000"/>
      <w:sz w:val="24"/>
      <w:szCs w:val="24"/>
      <w:u w:val="none"/>
    </w:rPr>
  </w:style>
  <w:style w:type="character" w:customStyle="1" w:styleId="70">
    <w:name w:val="font61"/>
    <w:qFormat/>
    <w:uiPriority w:val="0"/>
    <w:rPr>
      <w:rFonts w:hint="default" w:ascii="Times New Roman" w:hAnsi="Times New Roman" w:cs="Times New Roman"/>
      <w:color w:val="000000"/>
      <w:sz w:val="24"/>
      <w:szCs w:val="24"/>
      <w:u w:val="none"/>
    </w:rPr>
  </w:style>
  <w:style w:type="character" w:customStyle="1" w:styleId="71">
    <w:name w:val="font51"/>
    <w:qFormat/>
    <w:uiPriority w:val="0"/>
    <w:rPr>
      <w:rFonts w:hint="default" w:ascii="Times New Roman" w:hAnsi="Times New Roman" w:cs="Times New Roman"/>
      <w:color w:val="000000"/>
      <w:sz w:val="22"/>
      <w:szCs w:val="22"/>
      <w:u w:val="none"/>
    </w:rPr>
  </w:style>
  <w:style w:type="character" w:customStyle="1" w:styleId="72">
    <w:name w:val="font121"/>
    <w:qFormat/>
    <w:uiPriority w:val="0"/>
    <w:rPr>
      <w:rFonts w:hint="eastAsia" w:ascii="宋体" w:hAnsi="宋体" w:eastAsia="宋体" w:cs="宋体"/>
      <w:color w:val="000000"/>
      <w:sz w:val="22"/>
      <w:szCs w:val="22"/>
      <w:u w:val="none"/>
    </w:rPr>
  </w:style>
  <w:style w:type="character" w:customStyle="1" w:styleId="73">
    <w:name w:val="font71"/>
    <w:qFormat/>
    <w:uiPriority w:val="0"/>
    <w:rPr>
      <w:rFonts w:hint="default" w:ascii="Times New Roman" w:hAnsi="Times New Roman" w:cs="Times New Roman"/>
      <w:color w:val="000000"/>
      <w:sz w:val="22"/>
      <w:szCs w:val="22"/>
      <w:u w:val="none"/>
    </w:rPr>
  </w:style>
  <w:style w:type="character" w:customStyle="1" w:styleId="74">
    <w:name w:val="font31"/>
    <w:qFormat/>
    <w:uiPriority w:val="0"/>
    <w:rPr>
      <w:rFonts w:hint="eastAsia" w:ascii="宋体" w:hAnsi="宋体" w:eastAsia="宋体" w:cs="宋体"/>
      <w:color w:val="000000"/>
      <w:sz w:val="22"/>
      <w:szCs w:val="22"/>
      <w:u w:val="none"/>
    </w:rPr>
  </w:style>
  <w:style w:type="paragraph" w:customStyle="1" w:styleId="75">
    <w:name w:val="列出段落1"/>
    <w:qFormat/>
    <w:uiPriority w:val="0"/>
    <w:pPr>
      <w:widowControl w:val="0"/>
      <w:autoSpaceDE w:val="0"/>
      <w:autoSpaceDN w:val="0"/>
      <w:adjustRightInd w:val="0"/>
      <w:spacing w:beforeLines="100" w:line="360" w:lineRule="auto"/>
      <w:ind w:left="425" w:firstLine="420" w:firstLineChars="200"/>
    </w:pPr>
    <w:rPr>
      <w:rFonts w:ascii="Calibri" w:hAnsi="Calibri" w:eastAsia="宋体" w:cs="宋体"/>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4298</Words>
  <Characters>24501</Characters>
  <Lines>204</Lines>
  <Paragraphs>57</Paragraphs>
  <TotalTime>0</TotalTime>
  <ScaleCrop>false</ScaleCrop>
  <LinksUpToDate>false</LinksUpToDate>
  <CharactersWithSpaces>28742</CharactersWithSpaces>
  <Application>WPS Office_11.8.6.11020_F1E327BC-269C-435d-A152-05C5408002CA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2025-08-26T11:25:00Z</dcterms:created>
  <dc:creator>国义</dc:creator>
  <cp:lastModifiedBy>沈倩彤</cp:lastModifiedBy>
  <cp:lastPrinted>2023-10-26T07:49:00Z</cp:lastPrinted>
  <dcterms:modified xsi:type="dcterms:W3CDTF">2025-08-27T09:02:43Z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wkhtmltopdf 0.12.5</vt:lpwstr>
  </property>
  <property fmtid="{D5CDD505-2E9C-101B-9397-08002B2CF9AE}" pid="3" name="KSOProductBuildVer">
    <vt:lpwstr>2052-11.8.6.11020</vt:lpwstr>
  </property>
  <property fmtid="{D5CDD505-2E9C-101B-9397-08002B2CF9AE}" pid="4" name="ICV">
    <vt:lpwstr>A1DC9DB37A4449F9B8DF77012235FC64</vt:lpwstr>
  </property>
</Properties>
</file>