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441502-2025-01198</w:t>
      </w:r>
    </w:p>
    <w:p>
      <w:pPr>
        <w:pStyle w:val="null3"/>
        <w:jc w:val="center"/>
        <w:outlineLvl w:val="3"/>
      </w:pPr>
      <w:r>
        <w:rPr>
          <w:sz w:val="24"/>
          <w:b/>
        </w:rPr>
        <w:t>采购项目编号：</w:t>
      </w:r>
      <w:r>
        <w:rPr>
          <w:sz w:val="24"/>
          <w:b/>
        </w:rPr>
        <w:t>0724-—2531SW916189</w:t>
      </w:r>
    </w:p>
    <w:p>
      <w:pPr>
        <w:pStyle w:val="null3"/>
        <w:jc w:val="center"/>
        <w:outlineLvl w:val="3"/>
      </w:pPr>
      <w:r>
        <w:rPr>
          <w:sz w:val="24"/>
          <w:b/>
        </w:rPr>
        <w:t>项目名称：</w:t>
      </w:r>
      <w:r>
        <w:rPr>
          <w:sz w:val="24"/>
          <w:b/>
        </w:rPr>
        <w:t>汕尾逸挥基金医院医用气体系统设备及配套设施采购及安装</w:t>
      </w:r>
    </w:p>
    <w:p>
      <w:pPr>
        <w:pStyle w:val="null3"/>
        <w:jc w:val="center"/>
        <w:outlineLvl w:val="3"/>
      </w:pPr>
      <w:r>
        <w:rPr>
          <w:sz w:val="24"/>
          <w:b/>
        </w:rPr>
        <w:t>采购人：</w:t>
      </w:r>
      <w:r>
        <w:rPr>
          <w:sz w:val="24"/>
          <w:b/>
        </w:rPr>
        <w:t>汕尾逸挥基金医院</w:t>
      </w:r>
    </w:p>
    <w:p>
      <w:pPr>
        <w:pStyle w:val="null3"/>
        <w:jc w:val="center"/>
        <w:outlineLvl w:val="3"/>
      </w:pPr>
      <w:r>
        <w:rPr>
          <w:sz w:val="24"/>
          <w:b/>
        </w:rPr>
        <w:t>采购代理机构：</w:t>
      </w:r>
      <w:r>
        <w:rPr>
          <w:sz w:val="24"/>
          <w:b/>
        </w:rPr>
        <w:t>国义招标股份有限公司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 xml:space="preserve">国义招标股份有限公司 </w:t>
      </w:r>
      <w:r>
        <w:rPr/>
        <w:t>受</w:t>
      </w:r>
      <w:r>
        <w:rPr/>
        <w:t>汕尾逸挥基金医院</w:t>
      </w:r>
      <w:r>
        <w:rPr/>
        <w:t>的委托，采用</w:t>
      </w:r>
      <w:r>
        <w:rPr/>
        <w:t>公开招标</w:t>
      </w:r>
      <w:r>
        <w:rPr/>
        <w:t>方式组织采购</w:t>
      </w:r>
      <w:r>
        <w:rPr/>
        <w:t>汕尾逸挥基金医院医用气体系统设备及配套设施采购及安装</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汕尾逸挥基金医院医用气体系统设备及配套设施采购及安装</w:t>
      </w:r>
    </w:p>
    <w:p>
      <w:pPr>
        <w:pStyle w:val="null3"/>
        <w:ind w:firstLine="480"/>
      </w:pPr>
      <w:r>
        <w:rPr/>
        <w:t>采购计划编号：</w:t>
      </w:r>
      <w:r>
        <w:rPr/>
        <w:t>441502-2025-01198</w:t>
      </w:r>
    </w:p>
    <w:p>
      <w:pPr>
        <w:pStyle w:val="null3"/>
        <w:ind w:firstLine="480"/>
      </w:pPr>
      <w:r>
        <w:rPr/>
        <w:t>采购项目编号：</w:t>
      </w:r>
      <w:r>
        <w:rPr/>
        <w:t>0724-—2531SW916189</w:t>
      </w:r>
    </w:p>
    <w:p>
      <w:pPr>
        <w:pStyle w:val="null3"/>
        <w:ind w:firstLine="480"/>
      </w:pPr>
      <w:r>
        <w:rPr/>
        <w:t>采购方式：</w:t>
      </w:r>
      <w:r>
        <w:rPr/>
        <w:t>公开招标</w:t>
      </w:r>
    </w:p>
    <w:p>
      <w:pPr>
        <w:pStyle w:val="null3"/>
        <w:ind w:firstLine="480"/>
      </w:pPr>
      <w:r>
        <w:rPr/>
        <w:t>预算金额：</w:t>
      </w:r>
      <w:r>
        <w:rPr/>
        <w:t>3,270,000.00</w:t>
      </w:r>
      <w:r>
        <w:rPr/>
        <w:t>元</w:t>
      </w:r>
    </w:p>
    <w:p>
      <w:pPr>
        <w:pStyle w:val="null3"/>
        <w:outlineLvl w:val="3"/>
      </w:pPr>
      <w:r>
        <w:rPr>
          <w:sz w:val="24"/>
          <w:b/>
        </w:rPr>
        <w:t>2.项目内容及需求情况（采购项目技术规格、参数及要求）</w:t>
      </w:r>
    </w:p>
    <w:p>
      <w:pPr>
        <w:pStyle w:val="null3"/>
      </w:pPr>
      <w:r>
        <w:rPr/>
        <w:t>采购包1(医用气体系统设备及配套设施采购及安装):</w:t>
      </w:r>
    </w:p>
    <w:p>
      <w:pPr>
        <w:pStyle w:val="null3"/>
      </w:pPr>
      <w:r>
        <w:rPr/>
        <w:t>采购包预算金额：3,270,000.00元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其他医疗设备</w:t>
            </w:r>
          </w:p>
        </w:tc>
        <w:tc>
          <w:tcPr>
            <w:tcW w:type="dxa" w:w="2136"/>
          </w:tcPr>
          <w:p>
            <w:pPr>
              <w:pStyle w:val="null3"/>
            </w:pPr>
            <w:r>
              <w:rPr/>
              <w:t xml:space="preserve"> 汕尾逸挥基金医院医用气体系统设备及配套设施采购及安装。本次招标的医用气体系统设备主要包括：（1）医用中心制氧系统；（2）医用中心供氧系统（包含医用气体安装设计）；（3）医用中心吸引系统；（4）模拟护理/智慧护理传呼系统。</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合同履行期限：自合同生效之日起至合同全部权利义务履行完毕之日止。</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具备《政府采购法》第二十二条规定的条件,供应商在投标(响应)时，按规定提供信用承诺函即可无需提交证明材料（政府采购供应商信用承诺函见附件）。采购人有权在发放中标通知书前要求中标(成交)供应商提供证明材料，以备核实供应商承诺事项的真实性。</w:t>
      </w:r>
    </w:p>
    <w:p>
      <w:pPr>
        <w:pStyle w:val="null3"/>
      </w:pPr>
      <w:r>
        <w:rPr/>
        <w:t>2）具有良好的商业信誉和健全的财务会计制度：具备《政府采购法》第二十二条规定的条件,供应商在投标(响应)时，按规定提供信用承诺函即可无需提交证明材料（政府采购供应商信用承诺函见附件）。采购人有权在发放中标通知书前要求中标(成交)供应商提供证明材料，以备核实供应商承诺事项的真实性。</w:t>
      </w:r>
    </w:p>
    <w:p>
      <w:pPr>
        <w:pStyle w:val="null3"/>
      </w:pPr>
      <w:r>
        <w:rPr/>
        <w:t>3）履行合同所必需的设备和专业技术能力：具备《政府采购法》第二十二条规定的条件,供应商在投标(响应)时，按规定提供信用承诺函即可无需提交证明材料（政府采购供应商信用承诺函见附件）。采购人有权在发放中标通知书前要求中标(成交)供应商提供证明材料，以备核实供应商承诺事项的真实性。</w:t>
      </w:r>
    </w:p>
    <w:p>
      <w:pPr>
        <w:pStyle w:val="null3"/>
      </w:pPr>
      <w:r>
        <w:rPr/>
        <w:t>4）有依法缴纳税收和社会保障资金的良好记录：具备《政府采购法》第二十二条规定的条件,供应商在投标(响应)时，按规定提供信用承诺函即可无需提交证明材料（政府采购供应商信用承诺函见附件）。采购人有权在发放中标通知书前要求中标(成交)供应商提供证明材料，以备核实供应商承诺事项的真实性。</w:t>
      </w:r>
    </w:p>
    <w:p>
      <w:pPr>
        <w:pStyle w:val="null3"/>
      </w:pPr>
      <w:r>
        <w:rPr/>
        <w:t>5）参加采购活动前3年内，在经营活动中没有重大违法记录：具备《政府采购法》第二十二条规定的条件,供应商在投标(响应)时，按规定提供信用承诺函即可无需提交证明材料（政府采购供应商信用承诺函见附件）。采购人有权在发放中标通知书前要求中标(成交)供应商提供证明材料，以备核实供应商承诺事项的真实性。</w:t>
      </w:r>
    </w:p>
    <w:p>
      <w:pPr>
        <w:pStyle w:val="null3"/>
        <w:outlineLvl w:val="3"/>
      </w:pPr>
      <w:r>
        <w:rPr>
          <w:sz w:val="24"/>
          <w:b/>
        </w:rPr>
        <w:t>2.落实政府采购政策需满足的资格要求：</w:t>
      </w:r>
    </w:p>
    <w:p>
      <w:pPr>
        <w:pStyle w:val="null3"/>
        <w:jc w:val="left"/>
      </w:pPr>
      <w:r>
        <w:rPr/>
        <w:t>采购包1（医用气体系统设备及配套设施采购及安装）：</w:t>
      </w:r>
      <w:r>
        <w:rPr/>
        <w:t>本项目不属于专门面向中小企业采购的项目，本项目采购标的所属行业为：工业。按照《政府采购促进中小企业发展管理办法》规定，本项目属于预留采购份额无法确保充分供应、充分竞争，或者存在可能影响政府采购目标实现的情形。</w:t>
      </w:r>
    </w:p>
    <w:p>
      <w:pPr>
        <w:pStyle w:val="null3"/>
        <w:outlineLvl w:val="3"/>
      </w:pPr>
      <w:r>
        <w:rPr>
          <w:sz w:val="24"/>
          <w:b/>
        </w:rPr>
        <w:t>3.本项目特定的资格要求：</w:t>
      </w:r>
    </w:p>
    <w:p>
      <w:pPr>
        <w:pStyle w:val="null3"/>
      </w:pPr>
      <w:r>
        <w:rPr/>
        <w:t>采购包1（医用气体系统设备及配套设施采购及安装）：</w:t>
      </w:r>
    </w:p>
    <w:p>
      <w:pPr>
        <w:pStyle w:val="null3"/>
      </w:pPr>
      <w:r>
        <w:rPr/>
        <w:t>1)本采购包不接受联合体投标。</w:t>
      </w:r>
    </w:p>
    <w:p>
      <w:pPr>
        <w:pStyle w:val="null3"/>
      </w:pPr>
      <w:r>
        <w:rPr/>
        <w:t>2)如投标人为生产企业，所投产品为第二、三类医疗器械，提供有效的《医疗器械生产许可证》复印件；如投标人为经营企业，所投产品为第三类医疗器械，提供有效的《医疗器械经营许可证》复印件（如国家另有规定，则适用其规定）。</w:t>
      </w:r>
    </w:p>
    <w:p>
      <w:pPr>
        <w:pStyle w:val="null3"/>
      </w:pPr>
      <w:r>
        <w:rPr/>
        <w:t>3)建设行政主管部门颁发的安全生产许可证。</w:t>
      </w:r>
    </w:p>
    <w:p>
      <w:pPr>
        <w:pStyle w:val="null3"/>
      </w:pPr>
      <w:r>
        <w:rPr/>
        <w:t>4)建设行政主管部门颁发的建筑机电安装工程专业承包三级及以上证书。</w:t>
      </w:r>
    </w:p>
    <w:p>
      <w:pPr>
        <w:pStyle w:val="null3"/>
      </w:pPr>
      <w:r>
        <w:rPr/>
        <w:t>5)建设行政主管部门颁发的电子与智能化工程专业承包贰级及以上资质证书。</w:t>
      </w:r>
    </w:p>
    <w:p>
      <w:pPr>
        <w:pStyle w:val="null3"/>
      </w:pPr>
      <w:r>
        <w:rPr/>
        <w:t>6)市场监督管理局颁发的特种设备生产许可证（工业管道安装GC2）。</w:t>
      </w:r>
    </w:p>
    <w:p>
      <w:pPr>
        <w:pStyle w:val="null3"/>
      </w:pPr>
      <w:r>
        <w:rPr/>
        <w:t>7)市场监督管理局颁发的特种设备生产许可证（压力管道设计）。</w:t>
      </w:r>
    </w:p>
    <w:p>
      <w:pPr>
        <w:pStyle w:val="null3"/>
      </w:pPr>
      <w:r>
        <w:rPr/>
        <w:t>8)投标人没有被列入失信被执行人、重大税收违法案件当事人名单（即税收违法黑名单）、政府采购严重违法失信行为记录名单及其他不符合规定条件的供应商。[根据信用中国网站（www.creditchina.gov.cn）、中国政府采购网（www.ccgp.gov.cn）主体信用记录信息进行查询]。</w:t>
      </w:r>
    </w:p>
    <w:p>
      <w:pPr>
        <w:pStyle w:val="null3"/>
      </w:pPr>
      <w:r>
        <w:rPr/>
        <w:t>9)供应商必须符合法律、行政法规规定的其他条件。</w:t>
      </w:r>
    </w:p>
    <w:p>
      <w:pPr>
        <w:pStyle w:val="null3"/>
      </w:pPr>
      <w:r>
        <w:rPr/>
        <w:t>10)单位负责人为同一人或者存在直接控股、管理关系的不同供应商，不得参加同一包号投标或者未划分包号的同一招标项目投标(投标人出具声明函)。</w:t>
      </w:r>
    </w:p>
    <w:p>
      <w:pPr>
        <w:pStyle w:val="null3"/>
      </w:pPr>
      <w:r>
        <w:rPr/>
        <w:t>11)为本项目提供整体设计、规范编制或者项目管理、监理、检测等服务的供应商，不得再参加本项目的其他采购活动(投标人出具声明函)。</w:t>
      </w:r>
    </w:p>
    <w:p>
      <w:pPr>
        <w:pStyle w:val="null3"/>
      </w:pPr>
      <w:r>
        <w:rPr/>
        <w:t>12)已获取本次采购文件。</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汕尾逸挥基金医院</w:t>
      </w:r>
    </w:p>
    <w:p>
      <w:pPr>
        <w:pStyle w:val="null3"/>
        <w:ind w:firstLine="480"/>
      </w:pPr>
      <w:r>
        <w:rPr/>
        <w:t xml:space="preserve"> 地址：</w:t>
      </w:r>
      <w:r>
        <w:rPr/>
        <w:t>汕尾城区康平路16号</w:t>
      </w:r>
    </w:p>
    <w:p>
      <w:pPr>
        <w:pStyle w:val="null3"/>
        <w:ind w:firstLine="480"/>
      </w:pPr>
      <w:r>
        <w:rPr/>
        <w:t xml:space="preserve"> 联系方式：</w:t>
      </w:r>
      <w:r>
        <w:rPr/>
        <w:t>0660-3288228</w:t>
      </w:r>
    </w:p>
    <w:p>
      <w:pPr>
        <w:pStyle w:val="null3"/>
        <w:outlineLvl w:val="3"/>
      </w:pPr>
      <w:r>
        <w:rPr>
          <w:sz w:val="24"/>
          <w:b/>
        </w:rPr>
        <w:t xml:space="preserve"> 2.采购代理机构信息</w:t>
      </w:r>
    </w:p>
    <w:p>
      <w:pPr>
        <w:pStyle w:val="null3"/>
        <w:ind w:firstLine="480"/>
      </w:pPr>
      <w:r>
        <w:rPr/>
        <w:t xml:space="preserve"> 名称：</w:t>
      </w:r>
      <w:r>
        <w:rPr/>
        <w:t>国义招标股份有限公司</w:t>
      </w:r>
    </w:p>
    <w:p>
      <w:pPr>
        <w:pStyle w:val="null3"/>
        <w:ind w:firstLine="480"/>
      </w:pPr>
      <w:r>
        <w:rPr/>
        <w:t xml:space="preserve"> 地址：</w:t>
      </w:r>
      <w:r>
        <w:rPr/>
        <w:t>广东省广州市越秀区东风东路726号16-18楼</w:t>
      </w:r>
    </w:p>
    <w:p>
      <w:pPr>
        <w:pStyle w:val="null3"/>
        <w:ind w:firstLine="480"/>
      </w:pPr>
      <w:r>
        <w:rPr/>
        <w:t xml:space="preserve"> 联系方式：</w:t>
      </w:r>
      <w:r>
        <w:rPr/>
        <w:t>0660-3390199、020-37860522</w:t>
      </w:r>
    </w:p>
    <w:p>
      <w:pPr>
        <w:pStyle w:val="null3"/>
        <w:outlineLvl w:val="3"/>
      </w:pPr>
      <w:r>
        <w:rPr>
          <w:sz w:val="24"/>
          <w:b/>
        </w:rPr>
        <w:t xml:space="preserve"> 3.项目联系方式</w:t>
      </w:r>
    </w:p>
    <w:p>
      <w:pPr>
        <w:pStyle w:val="null3"/>
        <w:ind w:firstLine="480"/>
      </w:pPr>
      <w:r>
        <w:rPr/>
        <w:t xml:space="preserve"> 项目联系人：</w:t>
      </w:r>
      <w:r>
        <w:rPr/>
        <w:t>张女士、余先生</w:t>
      </w:r>
    </w:p>
    <w:p>
      <w:pPr>
        <w:pStyle w:val="null3"/>
        <w:ind w:firstLine="480"/>
      </w:pPr>
      <w:r>
        <w:rPr/>
        <w:t xml:space="preserve"> 电话：</w:t>
      </w:r>
      <w:r>
        <w:rPr/>
        <w:t>0660-3390199、020-37860522</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rPr>
        <w:t>（</w:t>
      </w:r>
      <w:r>
        <w:rPr>
          <w:sz w:val="21"/>
        </w:rPr>
        <w:t>一</w:t>
      </w:r>
      <w:r>
        <w:rPr>
          <w:sz w:val="21"/>
        </w:rPr>
        <w:t>）</w:t>
      </w:r>
      <w:r>
        <w:rPr>
          <w:sz w:val="21"/>
        </w:rPr>
        <w:t>本次招标内容为</w:t>
      </w:r>
      <w:r>
        <w:rPr>
          <w:sz w:val="21"/>
        </w:rPr>
        <w:t>汕尾逸挥基金</w:t>
      </w:r>
      <w:r>
        <w:rPr>
          <w:sz w:val="21"/>
        </w:rPr>
        <w:t>医院医用气体</w:t>
      </w:r>
      <w:r>
        <w:rPr>
          <w:sz w:val="21"/>
        </w:rPr>
        <w:t>系统</w:t>
      </w:r>
      <w:r>
        <w:rPr>
          <w:sz w:val="21"/>
        </w:rPr>
        <w:t>设备</w:t>
      </w:r>
      <w:r>
        <w:rPr>
          <w:sz w:val="21"/>
        </w:rPr>
        <w:t>及配套设施采购及安装</w:t>
      </w:r>
      <w:r>
        <w:rPr>
          <w:sz w:val="21"/>
        </w:rPr>
        <w:t>，具体</w:t>
      </w:r>
      <w:r>
        <w:rPr>
          <w:sz w:val="21"/>
        </w:rPr>
        <w:t>以中标人最终设计图</w:t>
      </w:r>
      <w:r>
        <w:rPr>
          <w:sz w:val="21"/>
        </w:rPr>
        <w:t>为准。本次招标的医用气体系统主要包括：（</w:t>
      </w:r>
      <w:r>
        <w:rPr>
          <w:sz w:val="21"/>
        </w:rPr>
        <w:t>1）医用中心</w:t>
      </w:r>
      <w:r>
        <w:rPr>
          <w:sz w:val="21"/>
        </w:rPr>
        <w:t>制氧系统</w:t>
      </w:r>
      <w:r>
        <w:rPr>
          <w:sz w:val="21"/>
        </w:rPr>
        <w:t>；（</w:t>
      </w:r>
      <w:r>
        <w:rPr>
          <w:sz w:val="21"/>
        </w:rPr>
        <w:t>2）医用中心供氧系统</w:t>
      </w:r>
      <w:r>
        <w:rPr>
          <w:sz w:val="21"/>
        </w:rPr>
        <w:t>（</w:t>
      </w:r>
      <w:r>
        <w:rPr>
          <w:sz w:val="21"/>
        </w:rPr>
        <w:t>包含医用气体改建设计</w:t>
      </w:r>
      <w:r>
        <w:rPr>
          <w:sz w:val="21"/>
        </w:rPr>
        <w:t>）</w:t>
      </w:r>
      <w:r>
        <w:rPr>
          <w:sz w:val="21"/>
        </w:rPr>
        <w:t>；（</w:t>
      </w:r>
      <w:r>
        <w:rPr>
          <w:sz w:val="21"/>
        </w:rPr>
        <w:t>3）医用中心吸引系统；（</w:t>
      </w:r>
      <w:r>
        <w:rPr>
          <w:sz w:val="21"/>
        </w:rPr>
        <w:t>4</w:t>
      </w:r>
      <w:r>
        <w:rPr>
          <w:sz w:val="21"/>
        </w:rPr>
        <w:t>）模拟护理</w:t>
      </w:r>
      <w:r>
        <w:rPr>
          <w:sz w:val="21"/>
        </w:rPr>
        <w:t>/智慧护理传呼系统。</w:t>
      </w:r>
    </w:p>
    <w:p>
      <w:pPr>
        <w:pStyle w:val="null3"/>
        <w:jc w:val="both"/>
      </w:pPr>
      <w:r>
        <w:rPr>
          <w:sz w:val="21"/>
        </w:rPr>
        <w:t>（</w:t>
      </w:r>
      <w:r>
        <w:rPr>
          <w:sz w:val="21"/>
        </w:rPr>
        <w:t>二</w:t>
      </w:r>
      <w:r>
        <w:rPr>
          <w:sz w:val="21"/>
        </w:rPr>
        <w:t>）</w:t>
      </w:r>
      <w:r>
        <w:rPr>
          <w:sz w:val="21"/>
        </w:rPr>
        <w:t>设计和施工遵循的技术标准、规范</w:t>
      </w:r>
    </w:p>
    <w:p>
      <w:pPr>
        <w:pStyle w:val="null3"/>
        <w:jc w:val="both"/>
      </w:pPr>
      <w:r>
        <w:rPr>
          <w:sz w:val="21"/>
        </w:rPr>
        <w:t>（</w:t>
      </w:r>
      <w:r>
        <w:rPr>
          <w:sz w:val="21"/>
        </w:rPr>
        <w:t>1</w:t>
      </w:r>
      <w:r>
        <w:rPr>
          <w:sz w:val="21"/>
        </w:rPr>
        <w:t>）</w:t>
      </w:r>
      <w:r>
        <w:rPr>
          <w:sz w:val="21"/>
        </w:rPr>
        <w:t>GB50316-2000（2008版）  《工业金属管道设计规范》</w:t>
      </w:r>
    </w:p>
    <w:p>
      <w:pPr>
        <w:pStyle w:val="null3"/>
        <w:jc w:val="both"/>
      </w:pPr>
      <w:r>
        <w:rPr>
          <w:sz w:val="21"/>
        </w:rPr>
        <w:t>（</w:t>
      </w:r>
      <w:r>
        <w:rPr>
          <w:sz w:val="21"/>
        </w:rPr>
        <w:t>2</w:t>
      </w:r>
      <w:r>
        <w:rPr>
          <w:sz w:val="21"/>
        </w:rPr>
        <w:t>）</w:t>
      </w:r>
      <w:r>
        <w:rPr>
          <w:sz w:val="21"/>
        </w:rPr>
        <w:t>GB 55037-2022</w:t>
      </w:r>
      <w:r>
        <w:rPr>
          <w:sz w:val="21"/>
        </w:rPr>
        <w:t>《建筑防火通用规范》</w:t>
      </w:r>
    </w:p>
    <w:p>
      <w:pPr>
        <w:pStyle w:val="null3"/>
        <w:jc w:val="both"/>
      </w:pPr>
      <w:r>
        <w:rPr>
          <w:sz w:val="21"/>
        </w:rPr>
        <w:t>（</w:t>
      </w:r>
      <w:r>
        <w:rPr>
          <w:sz w:val="21"/>
        </w:rPr>
        <w:t>3</w:t>
      </w:r>
      <w:r>
        <w:rPr>
          <w:sz w:val="21"/>
        </w:rPr>
        <w:t>）</w:t>
      </w:r>
      <w:r>
        <w:rPr>
          <w:sz w:val="21"/>
        </w:rPr>
        <w:t>GB50030-2013  《氧气站设计规范》</w:t>
      </w:r>
    </w:p>
    <w:p>
      <w:pPr>
        <w:pStyle w:val="null3"/>
        <w:jc w:val="both"/>
      </w:pPr>
      <w:r>
        <w:rPr>
          <w:sz w:val="21"/>
        </w:rPr>
        <w:t>（</w:t>
      </w:r>
      <w:r>
        <w:rPr>
          <w:sz w:val="21"/>
        </w:rPr>
        <w:t>4</w:t>
      </w:r>
      <w:r>
        <w:rPr>
          <w:sz w:val="21"/>
        </w:rPr>
        <w:t>）</w:t>
      </w:r>
      <w:r>
        <w:rPr>
          <w:sz w:val="21"/>
        </w:rPr>
        <w:t>GB50029-2014  《压缩空气站设计规范》</w:t>
      </w:r>
    </w:p>
    <w:p>
      <w:pPr>
        <w:pStyle w:val="null3"/>
        <w:jc w:val="both"/>
      </w:pPr>
      <w:r>
        <w:rPr>
          <w:sz w:val="21"/>
        </w:rPr>
        <w:t>（</w:t>
      </w:r>
      <w:r>
        <w:rPr>
          <w:sz w:val="21"/>
        </w:rPr>
        <w:t>5</w:t>
      </w:r>
      <w:r>
        <w:rPr>
          <w:sz w:val="21"/>
        </w:rPr>
        <w:t>）</w:t>
      </w:r>
      <w:r>
        <w:rPr>
          <w:sz w:val="21"/>
        </w:rPr>
        <w:t>GB50751-2012  《医用气体工程</w:t>
      </w:r>
      <w:r>
        <w:rPr>
          <w:sz w:val="21"/>
        </w:rPr>
        <w:t>技术</w:t>
      </w:r>
      <w:r>
        <w:rPr>
          <w:sz w:val="21"/>
        </w:rPr>
        <w:t>规范》</w:t>
      </w:r>
    </w:p>
    <w:p>
      <w:pPr>
        <w:pStyle w:val="null3"/>
        <w:jc w:val="both"/>
      </w:pPr>
      <w:r>
        <w:rPr>
          <w:sz w:val="21"/>
        </w:rPr>
        <w:t>（</w:t>
      </w:r>
      <w:r>
        <w:rPr>
          <w:sz w:val="21"/>
        </w:rPr>
        <w:t>6</w:t>
      </w:r>
      <w:r>
        <w:rPr>
          <w:sz w:val="21"/>
        </w:rPr>
        <w:t>）</w:t>
      </w:r>
      <w:r>
        <w:rPr>
          <w:sz w:val="21"/>
        </w:rPr>
        <w:t>GB8982-2009   《医用及航空呼吸用氧》</w:t>
      </w:r>
    </w:p>
    <w:p>
      <w:pPr>
        <w:pStyle w:val="null3"/>
        <w:jc w:val="both"/>
      </w:pPr>
      <w:r>
        <w:rPr>
          <w:sz w:val="21"/>
        </w:rPr>
        <w:t>（</w:t>
      </w:r>
      <w:r>
        <w:rPr>
          <w:sz w:val="21"/>
        </w:rPr>
        <w:t>7</w:t>
      </w:r>
      <w:r>
        <w:rPr>
          <w:sz w:val="21"/>
        </w:rPr>
        <w:t>）</w:t>
      </w:r>
      <w:r>
        <w:rPr>
          <w:sz w:val="21"/>
        </w:rPr>
        <w:t>YS/T 650-2020  《医用气体和真空用无缝铜管》</w:t>
      </w:r>
    </w:p>
    <w:p>
      <w:pPr>
        <w:pStyle w:val="null3"/>
        <w:jc w:val="both"/>
      </w:pPr>
      <w:r>
        <w:rPr>
          <w:sz w:val="21"/>
        </w:rPr>
        <w:t>（</w:t>
      </w:r>
      <w:r>
        <w:rPr>
          <w:sz w:val="21"/>
        </w:rPr>
        <w:t>8</w:t>
      </w:r>
      <w:r>
        <w:rPr>
          <w:sz w:val="21"/>
        </w:rPr>
        <w:t>）</w:t>
      </w:r>
      <w:r>
        <w:rPr>
          <w:sz w:val="21"/>
        </w:rPr>
        <w:t>GB50235-2010  《工业金属管道工程施工规范》</w:t>
      </w:r>
    </w:p>
    <w:p>
      <w:pPr>
        <w:pStyle w:val="null3"/>
        <w:jc w:val="both"/>
      </w:pPr>
      <w:r>
        <w:rPr>
          <w:sz w:val="21"/>
        </w:rPr>
        <w:t>（</w:t>
      </w:r>
      <w:r>
        <w:rPr>
          <w:sz w:val="21"/>
        </w:rPr>
        <w:t>9</w:t>
      </w:r>
      <w:r>
        <w:rPr>
          <w:sz w:val="21"/>
        </w:rPr>
        <w:t>）</w:t>
      </w:r>
      <w:r>
        <w:rPr>
          <w:sz w:val="21"/>
        </w:rPr>
        <w:t>GB50236-2011  《现场设备、工业管道焊接工程施工规范》</w:t>
      </w:r>
    </w:p>
    <w:p>
      <w:pPr>
        <w:pStyle w:val="null3"/>
        <w:jc w:val="both"/>
      </w:pPr>
      <w:r>
        <w:rPr>
          <w:sz w:val="21"/>
        </w:rPr>
        <w:t>（</w:t>
      </w:r>
      <w:r>
        <w:rPr>
          <w:sz w:val="21"/>
        </w:rPr>
        <w:t>10</w:t>
      </w:r>
      <w:r>
        <w:rPr>
          <w:sz w:val="21"/>
        </w:rPr>
        <w:t>）</w:t>
      </w:r>
      <w:r>
        <w:rPr>
          <w:sz w:val="21"/>
        </w:rPr>
        <w:t>GB50184-2011  《工业金属管道工程施工质量验收规范》</w:t>
      </w:r>
    </w:p>
    <w:p>
      <w:pPr>
        <w:pStyle w:val="null3"/>
        <w:jc w:val="both"/>
      </w:pPr>
      <w:r>
        <w:rPr>
          <w:sz w:val="21"/>
        </w:rPr>
        <w:t>（</w:t>
      </w:r>
      <w:r>
        <w:rPr>
          <w:sz w:val="21"/>
        </w:rPr>
        <w:t>11</w:t>
      </w:r>
      <w:r>
        <w:rPr>
          <w:sz w:val="21"/>
        </w:rPr>
        <w:t>）</w:t>
      </w:r>
      <w:r>
        <w:rPr>
          <w:sz w:val="21"/>
        </w:rPr>
        <w:t>GB50683-2011  《现场设备、工业管道焊接工程施工质量验收规范》</w:t>
      </w:r>
    </w:p>
    <w:p>
      <w:pPr>
        <w:pStyle w:val="null3"/>
        <w:jc w:val="both"/>
      </w:pPr>
      <w:r>
        <w:rPr>
          <w:sz w:val="21"/>
        </w:rPr>
        <w:t>（</w:t>
      </w:r>
      <w:r>
        <w:rPr>
          <w:sz w:val="21"/>
        </w:rPr>
        <w:t>12</w:t>
      </w:r>
      <w:r>
        <w:rPr>
          <w:sz w:val="21"/>
        </w:rPr>
        <w:t>）</w:t>
      </w:r>
      <w:r>
        <w:rPr>
          <w:sz w:val="21"/>
        </w:rPr>
        <w:t>GB/T2099.1-2021家用和类似用途插头插座</w:t>
      </w:r>
    </w:p>
    <w:p>
      <w:pPr>
        <w:pStyle w:val="null3"/>
        <w:jc w:val="both"/>
      </w:pPr>
      <w:r>
        <w:rPr>
          <w:sz w:val="21"/>
        </w:rPr>
        <w:t>（</w:t>
      </w:r>
      <w:r>
        <w:rPr>
          <w:sz w:val="21"/>
        </w:rPr>
        <w:t>13</w:t>
      </w:r>
      <w:r>
        <w:rPr>
          <w:sz w:val="21"/>
        </w:rPr>
        <w:t>）特种设备安全法</w:t>
      </w:r>
    </w:p>
    <w:p>
      <w:pPr>
        <w:pStyle w:val="null3"/>
        <w:jc w:val="both"/>
      </w:pPr>
      <w:r>
        <w:rPr>
          <w:sz w:val="21"/>
        </w:rPr>
        <w:t>（</w:t>
      </w:r>
      <w:r>
        <w:rPr>
          <w:sz w:val="21"/>
        </w:rPr>
        <w:t>14</w:t>
      </w:r>
      <w:r>
        <w:rPr>
          <w:sz w:val="21"/>
        </w:rPr>
        <w:t>）国家部门和行业其他现行的有关技术规范、规程及要求</w:t>
      </w:r>
    </w:p>
    <w:p>
      <w:pPr>
        <w:pStyle w:val="null3"/>
        <w:jc w:val="both"/>
      </w:pPr>
      <w:r>
        <w:rPr>
          <w:sz w:val="21"/>
        </w:rPr>
        <w:t>（</w:t>
      </w:r>
      <w:r>
        <w:rPr>
          <w:sz w:val="21"/>
        </w:rPr>
        <w:t>15</w:t>
      </w:r>
      <w:r>
        <w:rPr>
          <w:sz w:val="21"/>
        </w:rPr>
        <w:t>）医院提供的病房大楼平面图及要求</w:t>
      </w:r>
    </w:p>
    <w:p>
      <w:pPr>
        <w:pStyle w:val="null3"/>
        <w:jc w:val="both"/>
      </w:pPr>
      <w:r>
        <w:rPr>
          <w:sz w:val="21"/>
        </w:rPr>
        <w:t>（</w:t>
      </w:r>
      <w:r>
        <w:rPr>
          <w:sz w:val="21"/>
        </w:rPr>
        <w:t>三</w:t>
      </w:r>
      <w:r>
        <w:rPr>
          <w:sz w:val="21"/>
        </w:rPr>
        <w:t>）</w:t>
      </w:r>
      <w:r>
        <w:rPr>
          <w:sz w:val="21"/>
        </w:rPr>
        <w:t>★须提供药品监督管理局颁发的医用中心供氧系统、医用中心吸引系统产品注册证。</w:t>
      </w:r>
    </w:p>
    <w:p>
      <w:pPr>
        <w:pStyle w:val="null3"/>
        <w:jc w:val="both"/>
      </w:pPr>
      <w:r>
        <w:rPr>
          <w:sz w:val="21"/>
        </w:rPr>
        <w:t>（四）本项目不设统一勘察现场，如投标人有需要勘察现场的，请在本项目开标时间前的工作日内提前一天预约勘察。联系人：欧先生，联系电话：0660-3288228。</w:t>
      </w:r>
    </w:p>
    <w:p>
      <w:pPr>
        <w:pStyle w:val="null3"/>
        <w:jc w:val="both"/>
      </w:pPr>
      <w:r>
        <w:rPr>
          <w:sz w:val="21"/>
        </w:rPr>
        <w:t>（五）本项目包含设计部分，并提供现场平面图等基础资料，中标后需要统一组织现场勘察，并提出设计要求。</w:t>
      </w:r>
    </w:p>
    <w:p>
      <w:pPr>
        <w:pStyle w:val="null3"/>
      </w:pPr>
      <w:r>
        <w:rPr>
          <w:sz w:val="21"/>
          <w:b/>
        </w:rPr>
        <w:t>二、</w:t>
      </w:r>
      <w:r>
        <w:rPr>
          <w:sz w:val="21"/>
          <w:b/>
        </w:rPr>
        <w:t>技术规格、参数要求</w:t>
      </w:r>
    </w:p>
    <w:p>
      <w:pPr>
        <w:pStyle w:val="null3"/>
      </w:pPr>
      <w:r>
        <w:rPr>
          <w:sz w:val="21"/>
          <w:b/>
        </w:rPr>
        <w:t>（一）医用中心</w:t>
      </w:r>
      <w:r>
        <w:rPr>
          <w:sz w:val="21"/>
          <w:b/>
        </w:rPr>
        <w:t>制氧系统</w:t>
      </w:r>
    </w:p>
    <w:p>
      <w:pPr>
        <w:pStyle w:val="null3"/>
        <w:ind w:firstLine="400"/>
        <w:jc w:val="both"/>
      </w:pPr>
      <w:r>
        <w:rPr>
          <w:sz w:val="21"/>
        </w:rPr>
        <w:t>1．</w:t>
      </w:r>
      <w:r>
        <w:rPr>
          <w:sz w:val="21"/>
        </w:rPr>
        <w:t>★</w:t>
      </w:r>
      <w:r>
        <w:rPr>
          <w:sz w:val="21"/>
        </w:rPr>
        <w:t>制氧系统配置</w:t>
      </w:r>
      <w:r>
        <w:rPr>
          <w:sz w:val="21"/>
        </w:rPr>
        <w:t>1套</w:t>
      </w:r>
      <w:r>
        <w:rPr>
          <w:sz w:val="21"/>
        </w:rPr>
        <w:t>，单台产氧量</w:t>
      </w:r>
      <w:r>
        <w:rPr>
          <w:sz w:val="21"/>
        </w:rPr>
        <w:t>应</w:t>
      </w:r>
      <w:r>
        <w:rPr>
          <w:sz w:val="21"/>
        </w:rPr>
        <w:t>≥</w:t>
      </w:r>
      <w:r>
        <w:rPr>
          <w:sz w:val="21"/>
        </w:rPr>
        <w:t>40</w:t>
      </w:r>
      <w:r>
        <w:rPr>
          <w:sz w:val="21"/>
        </w:rPr>
        <w:t xml:space="preserve"> </w:t>
      </w:r>
      <w:r>
        <w:rPr>
          <w:sz w:val="21"/>
        </w:rPr>
        <w:t>m³/h。</w:t>
      </w:r>
    </w:p>
    <w:p>
      <w:pPr>
        <w:pStyle w:val="null3"/>
        <w:ind w:firstLine="403"/>
        <w:jc w:val="both"/>
      </w:pPr>
      <w:r>
        <w:rPr>
          <w:sz w:val="21"/>
        </w:rPr>
        <w:t>2．</w:t>
      </w:r>
      <w:r>
        <w:rPr>
          <w:sz w:val="21"/>
        </w:rPr>
        <w:t>▲</w:t>
      </w:r>
      <w:r>
        <w:rPr>
          <w:sz w:val="21"/>
        </w:rPr>
        <w:t>制氧系统制造原理</w:t>
      </w:r>
      <w:r>
        <w:rPr>
          <w:sz w:val="21"/>
        </w:rPr>
        <w:t>应</w:t>
      </w:r>
      <w:r>
        <w:rPr>
          <w:sz w:val="21"/>
        </w:rPr>
        <w:t>为</w:t>
      </w:r>
      <w:r>
        <w:rPr>
          <w:sz w:val="21"/>
        </w:rPr>
        <w:t>PSA技术，具有布气技术，须提供</w:t>
      </w:r>
      <w:r>
        <w:rPr>
          <w:sz w:val="21"/>
        </w:rPr>
        <w:t>第三方</w:t>
      </w:r>
      <w:r>
        <w:rPr>
          <w:sz w:val="21"/>
        </w:rPr>
        <w:t>权威机构出具的相关证明文件。</w:t>
      </w:r>
      <w:r>
        <w:rPr>
          <w:sz w:val="28"/>
        </w:rPr>
        <w:t xml:space="preserve"> </w:t>
      </w:r>
    </w:p>
    <w:p>
      <w:pPr>
        <w:pStyle w:val="null3"/>
        <w:ind w:firstLine="403"/>
        <w:jc w:val="both"/>
      </w:pPr>
      <w:r>
        <w:rPr>
          <w:sz w:val="21"/>
        </w:rPr>
        <w:t>3．</w:t>
      </w:r>
      <w:r>
        <w:rPr>
          <w:sz w:val="21"/>
        </w:rPr>
        <w:t>制氧</w:t>
      </w:r>
      <w:r>
        <w:rPr>
          <w:sz w:val="21"/>
        </w:rPr>
        <w:t>系统必须具备氧气纯度在线分析监测功能，使用寿命必须大于</w:t>
      </w:r>
      <w:r>
        <w:rPr>
          <w:sz w:val="21"/>
        </w:rPr>
        <w:t>10年，测量精度：≤±1%F.S，测量范围：10-99.99%，分辨率：0.01%，具有数据远传功能。</w:t>
      </w:r>
    </w:p>
    <w:p>
      <w:pPr>
        <w:pStyle w:val="null3"/>
        <w:ind w:firstLine="403"/>
        <w:jc w:val="both"/>
      </w:pPr>
      <w:r>
        <w:rPr>
          <w:sz w:val="21"/>
        </w:rPr>
        <w:t>4．</w:t>
      </w:r>
      <w:r>
        <w:rPr>
          <w:sz w:val="21"/>
        </w:rPr>
        <w:t>制氧系统采用的流量计应具有实时流量和累计流量显示功能，氧气经过流量计后必须无压力损失</w:t>
      </w:r>
      <w:r>
        <w:rPr>
          <w:sz w:val="21"/>
        </w:rPr>
        <w:t>,具有数据远传功能。</w:t>
      </w:r>
    </w:p>
    <w:p>
      <w:pPr>
        <w:pStyle w:val="null3"/>
        <w:ind w:firstLine="403"/>
        <w:jc w:val="both"/>
      </w:pPr>
      <w:r>
        <w:rPr>
          <w:sz w:val="21"/>
        </w:rPr>
        <w:t>5．</w:t>
      </w:r>
      <w:r>
        <w:rPr>
          <w:sz w:val="21"/>
        </w:rPr>
        <w:t>制氧系统中的气体处理精度必须达到</w:t>
      </w:r>
      <w:r>
        <w:rPr>
          <w:sz w:val="21"/>
        </w:rPr>
        <w:t>0.01μm，过滤系统必须具备功能效能自动显示功能。</w:t>
      </w:r>
    </w:p>
    <w:p>
      <w:pPr>
        <w:pStyle w:val="null3"/>
        <w:ind w:firstLine="403"/>
        <w:jc w:val="both"/>
      </w:pPr>
      <w:r>
        <w:rPr>
          <w:sz w:val="21"/>
        </w:rPr>
        <w:t>6．</w:t>
      </w:r>
      <w:r>
        <w:rPr>
          <w:sz w:val="21"/>
        </w:rPr>
        <w:t>▲</w:t>
      </w:r>
      <w:r>
        <w:rPr>
          <w:sz w:val="21"/>
        </w:rPr>
        <w:t>制氧系统开机</w:t>
      </w:r>
      <w:r>
        <w:rPr>
          <w:sz w:val="21"/>
        </w:rPr>
        <w:t>≤</w:t>
      </w:r>
      <w:r>
        <w:rPr>
          <w:sz w:val="21"/>
        </w:rPr>
        <w:t>15</w:t>
      </w:r>
      <w:r>
        <w:rPr>
          <w:sz w:val="21"/>
        </w:rPr>
        <w:t>min后，其氧产量、氧气纯度应达到规范要求</w:t>
      </w:r>
      <w:r>
        <w:rPr>
          <w:sz w:val="21"/>
        </w:rPr>
        <w:t>，</w:t>
      </w:r>
      <w:r>
        <w:rPr>
          <w:sz w:val="21"/>
        </w:rPr>
        <w:t>必须提供检测机构出具的检验报告。</w:t>
      </w:r>
    </w:p>
    <w:p>
      <w:pPr>
        <w:pStyle w:val="null3"/>
        <w:ind w:firstLine="403"/>
        <w:jc w:val="both"/>
      </w:pPr>
      <w:r>
        <w:rPr>
          <w:sz w:val="21"/>
        </w:rPr>
        <w:t>7．</w:t>
      </w:r>
      <w:r>
        <w:rPr>
          <w:sz w:val="21"/>
        </w:rPr>
        <w:t>▲</w:t>
      </w:r>
      <w:r>
        <w:rPr>
          <w:sz w:val="21"/>
        </w:rPr>
        <w:t>所投医用分子筛制氧系统应具有国家法定检测机构出具的电磁兼容检测合格报告，检测设备应符合</w:t>
      </w:r>
      <w:r>
        <w:rPr>
          <w:sz w:val="21"/>
        </w:rPr>
        <w:t>YY9706.102-2021《医用电气设备　第1-2部分：基本安全和基本性能的通用要求　并列标准：电磁兼容要求和试验》标准规定要求，提供所投产品电磁兼容检测报告。</w:t>
      </w:r>
    </w:p>
    <w:p>
      <w:pPr>
        <w:pStyle w:val="null3"/>
        <w:ind w:firstLine="403"/>
        <w:jc w:val="both"/>
      </w:pPr>
      <w:r>
        <w:rPr>
          <w:sz w:val="21"/>
        </w:rPr>
        <w:t>8．</w:t>
      </w:r>
      <w:r>
        <w:rPr>
          <w:sz w:val="21"/>
        </w:rPr>
        <w:t>▲制氧系统确保输出的氧气浓度不低于</w:t>
      </w:r>
      <w:r>
        <w:rPr>
          <w:sz w:val="21"/>
        </w:rPr>
        <w:t>90%，当产出的</w:t>
      </w:r>
      <w:r>
        <w:rPr>
          <w:sz w:val="21"/>
        </w:rPr>
        <w:t>氧气</w:t>
      </w:r>
      <w:r>
        <w:rPr>
          <w:sz w:val="21"/>
        </w:rPr>
        <w:t>浓度小于</w:t>
      </w:r>
      <w:r>
        <w:rPr>
          <w:sz w:val="21"/>
        </w:rPr>
        <w:t>90%时，自动切断输出，</w:t>
      </w:r>
      <w:r>
        <w:rPr>
          <w:sz w:val="21"/>
        </w:rPr>
        <w:t>须提供第三方权威机构出具的相关证明文件。</w:t>
      </w:r>
    </w:p>
    <w:p>
      <w:pPr>
        <w:pStyle w:val="null3"/>
        <w:ind w:firstLine="403"/>
        <w:jc w:val="both"/>
      </w:pPr>
      <w:r>
        <w:rPr>
          <w:sz w:val="21"/>
        </w:rPr>
        <w:t>9．</w:t>
      </w:r>
      <w:r>
        <w:rPr>
          <w:sz w:val="21"/>
        </w:rPr>
        <w:t>制氧主机自带氧气浓度快速回升装置，具有氧浓度回升快、出氧稳定的技术特性，须提供第三方权威机构出具的相关证明文件。</w:t>
      </w:r>
    </w:p>
    <w:p>
      <w:pPr>
        <w:pStyle w:val="null3"/>
        <w:ind w:firstLine="403"/>
        <w:jc w:val="both"/>
      </w:pPr>
      <w:r>
        <w:rPr>
          <w:sz w:val="21"/>
        </w:rPr>
        <w:t>10．</w:t>
      </w:r>
      <w:r>
        <w:rPr>
          <w:sz w:val="21"/>
        </w:rPr>
        <w:t>制氧系统应设置一种将不合格氧气直接向外排出的装置来控制氧浓度，以提高制氧效率，须提供第三方权威机构出具的相关证明文件。</w:t>
      </w:r>
    </w:p>
    <w:p>
      <w:pPr>
        <w:pStyle w:val="null3"/>
        <w:ind w:firstLine="403"/>
        <w:jc w:val="both"/>
      </w:pPr>
      <w:r>
        <w:rPr>
          <w:sz w:val="21"/>
        </w:rPr>
        <w:t>11．</w:t>
      </w:r>
      <w:r>
        <w:rPr>
          <w:sz w:val="21"/>
        </w:rPr>
        <w:t>制氧系统配件之间的连接管道的材料优质，采</w:t>
      </w:r>
      <w:r>
        <w:rPr>
          <w:sz w:val="21"/>
        </w:rPr>
        <w:t>用</w:t>
      </w:r>
      <w:r>
        <w:rPr>
          <w:sz w:val="21"/>
        </w:rPr>
        <w:t>2号磷脱氧紫铜管</w:t>
      </w:r>
      <w:r>
        <w:rPr>
          <w:sz w:val="21"/>
        </w:rPr>
        <w:t>或卫生级不锈钢管</w:t>
      </w:r>
      <w:r>
        <w:rPr>
          <w:sz w:val="21"/>
        </w:rPr>
        <w:t>材质</w:t>
      </w:r>
      <w:r>
        <w:rPr>
          <w:sz w:val="21"/>
        </w:rPr>
        <w:t>的管路及阀门等配件。</w:t>
      </w:r>
    </w:p>
    <w:p>
      <w:pPr>
        <w:pStyle w:val="null3"/>
        <w:ind w:firstLine="403"/>
        <w:jc w:val="both"/>
      </w:pPr>
      <w:r>
        <w:rPr>
          <w:sz w:val="21"/>
        </w:rPr>
        <w:t>12．</w:t>
      </w:r>
      <w:r>
        <w:rPr>
          <w:sz w:val="21"/>
        </w:rPr>
        <w:t>▲</w:t>
      </w:r>
      <w:r>
        <w:rPr>
          <w:sz w:val="21"/>
        </w:rPr>
        <w:t>制氧系统输出氧气浓度</w:t>
      </w:r>
      <w:r>
        <w:rPr>
          <w:sz w:val="21"/>
        </w:rPr>
        <w:t>93±3%（</w:t>
      </w:r>
      <w:r>
        <w:rPr>
          <w:sz w:val="21"/>
        </w:rPr>
        <w:t>V/V</w:t>
      </w:r>
      <w:r>
        <w:rPr>
          <w:sz w:val="21"/>
        </w:rPr>
        <w:t>）</w:t>
      </w:r>
      <w:r>
        <w:rPr>
          <w:sz w:val="21"/>
        </w:rPr>
        <w:t>，并有相关的技术保证措施，其它理化指标</w:t>
      </w:r>
      <w:r>
        <w:rPr>
          <w:sz w:val="21"/>
        </w:rPr>
        <w:t>应</w:t>
      </w:r>
      <w:r>
        <w:rPr>
          <w:sz w:val="21"/>
        </w:rPr>
        <w:t>符合或优于行业标准，必须提供检测机构出具的检验报告。</w:t>
      </w:r>
    </w:p>
    <w:p>
      <w:pPr>
        <w:pStyle w:val="null3"/>
        <w:ind w:firstLine="403"/>
        <w:jc w:val="both"/>
      </w:pPr>
      <w:r>
        <w:rPr>
          <w:sz w:val="21"/>
        </w:rPr>
        <w:t>13．</w:t>
      </w:r>
      <w:r>
        <w:rPr>
          <w:sz w:val="21"/>
        </w:rPr>
        <w:t>制氧系统在工作过程中所产生的废气排放标准应符合</w:t>
      </w:r>
      <w:r>
        <w:rPr>
          <w:sz w:val="21"/>
        </w:rPr>
        <w:t>YY 1468-2016，并提供权威机构出具的检测报告。</w:t>
      </w:r>
    </w:p>
    <w:p>
      <w:pPr>
        <w:pStyle w:val="null3"/>
        <w:ind w:firstLine="400"/>
        <w:jc w:val="both"/>
      </w:pPr>
      <w:r>
        <w:rPr>
          <w:sz w:val="21"/>
        </w:rPr>
        <w:t>14．</w:t>
      </w:r>
      <w:r>
        <w:rPr>
          <w:sz w:val="21"/>
        </w:rPr>
        <w:t>根据</w:t>
      </w:r>
      <w:r>
        <w:rPr>
          <w:sz w:val="21"/>
        </w:rPr>
        <w:t>GB 3096-2008《声环境质量标准》要求，在制氧系统安装过程中应考虑设备排水排氮时的噪音、电磁阀工作时的噪音、空压机和冷干机工作时震动所产生的噪音，并对其进行优化设计，</w:t>
      </w:r>
      <w:r>
        <w:rPr>
          <w:sz w:val="21"/>
        </w:rPr>
        <w:t>应</w:t>
      </w:r>
      <w:r>
        <w:rPr>
          <w:sz w:val="21"/>
        </w:rPr>
        <w:t>提供相关设计方案。</w:t>
      </w:r>
    </w:p>
    <w:p>
      <w:pPr>
        <w:pStyle w:val="null3"/>
        <w:ind w:firstLine="403"/>
        <w:jc w:val="both"/>
      </w:pPr>
      <w:r>
        <w:rPr>
          <w:sz w:val="21"/>
        </w:rPr>
        <w:t>15．</w:t>
      </w:r>
      <w:r>
        <w:rPr>
          <w:sz w:val="21"/>
        </w:rPr>
        <w:t>制氧设备应配置远程监控系统，采购方管理人员可通过智能手机或电脑登录远程监控系统进行设备管理，对制氧设备进行</w:t>
      </w:r>
      <w:r>
        <w:rPr>
          <w:sz w:val="21"/>
        </w:rPr>
        <w:t>24小时全方位监测与报警。此系统应具有计算机软件</w:t>
      </w:r>
      <w:r>
        <w:rPr>
          <w:sz w:val="21"/>
        </w:rPr>
        <w:t>著作权登记证书（著作权人应为制氧系统制造商）。</w:t>
      </w:r>
    </w:p>
    <w:p>
      <w:pPr>
        <w:pStyle w:val="null3"/>
        <w:ind w:firstLine="403"/>
        <w:jc w:val="both"/>
      </w:pPr>
      <w:r>
        <w:rPr>
          <w:sz w:val="21"/>
        </w:rPr>
        <w:t>16.</w:t>
      </w:r>
      <w:r>
        <w:rPr>
          <w:sz w:val="21"/>
        </w:rPr>
        <w:t>▲制氧系统制取每立方医用氧气的平均能耗应≤1.2度电，应提供检测机构出具的检验（测）报告。</w:t>
      </w:r>
    </w:p>
    <w:p>
      <w:pPr>
        <w:pStyle w:val="null3"/>
        <w:ind w:firstLine="400"/>
        <w:jc w:val="both"/>
      </w:pPr>
      <w:r>
        <w:rPr>
          <w:sz w:val="21"/>
        </w:rPr>
        <w:t>1</w:t>
      </w:r>
      <w:r>
        <w:rPr>
          <w:sz w:val="21"/>
        </w:rPr>
        <w:t>7</w:t>
      </w:r>
      <w:r>
        <w:rPr>
          <w:sz w:val="21"/>
        </w:rPr>
        <w:t>．</w:t>
      </w:r>
      <w:r>
        <w:rPr>
          <w:sz w:val="21"/>
        </w:rPr>
        <w:t>制氧系统设备的配置清单及规格技术要求</w:t>
      </w:r>
    </w:p>
    <w:tbl>
      <w:tblPr>
        <w:tblW w:w="0" w:type="auto"/>
        <w:tblBorders>
          <w:top w:val="none" w:color="000000" w:sz="4"/>
          <w:left w:val="none" w:color="000000" w:sz="4"/>
          <w:bottom w:val="none" w:color="000000" w:sz="4"/>
          <w:right w:val="none" w:color="000000" w:sz="4"/>
          <w:insideH w:val="none"/>
          <w:insideV w:val="none"/>
        </w:tblBorders>
      </w:tblPr>
      <w:tblGrid>
        <w:gridCol w:w="724"/>
        <w:gridCol w:w="1080"/>
        <w:gridCol w:w="5622"/>
        <w:gridCol w:w="877"/>
      </w:tblGrid>
      <w:tr>
        <w:tc>
          <w:tcPr>
            <w:tcW w:type="dxa" w:w="72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108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设备名称</w:t>
            </w:r>
          </w:p>
        </w:tc>
        <w:tc>
          <w:tcPr>
            <w:tcW w:type="dxa" w:w="562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315"/>
              <w:jc w:val="center"/>
            </w:pPr>
            <w:r>
              <w:rPr>
                <w:sz w:val="21"/>
                <w:b/>
              </w:rPr>
              <w:t>技术要求</w:t>
            </w:r>
          </w:p>
        </w:tc>
        <w:tc>
          <w:tcPr>
            <w:tcW w:type="dxa" w:w="87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数量</w:t>
            </w:r>
          </w:p>
        </w:tc>
      </w:tr>
      <w:tr>
        <w:tc>
          <w:tcPr>
            <w:tcW w:type="dxa" w:w="7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630"/>
              <w:jc w:val="both"/>
            </w:pPr>
            <w:r>
              <w:rPr>
                <w:sz w:val="21"/>
              </w:rPr>
              <w:t>1.</w:t>
            </w:r>
          </w:p>
        </w:tc>
        <w:tc>
          <w:tcPr>
            <w:tcW w:type="dxa" w:w="10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制氧主机</w:t>
            </w:r>
          </w:p>
        </w:tc>
        <w:tc>
          <w:tcPr>
            <w:tcW w:type="dxa" w:w="5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r>
              <w:rPr>
                <w:sz w:val="21"/>
              </w:rPr>
              <w:t>要求为国内品牌；</w:t>
            </w:r>
          </w:p>
          <w:p>
            <w:pPr>
              <w:pStyle w:val="null3"/>
              <w:jc w:val="both"/>
            </w:pPr>
            <w:r>
              <w:rPr>
                <w:sz w:val="21"/>
              </w:rPr>
              <w:t>2、</w:t>
            </w:r>
            <w:r>
              <w:rPr>
                <w:sz w:val="21"/>
              </w:rPr>
              <w:t>出口压力</w:t>
            </w:r>
            <w:r>
              <w:rPr>
                <w:sz w:val="21"/>
              </w:rPr>
              <w:t>应在</w:t>
            </w:r>
            <w:r>
              <w:rPr>
                <w:sz w:val="21"/>
              </w:rPr>
              <w:t>0.2~0.6</w:t>
            </w:r>
            <w:r>
              <w:rPr>
                <w:sz w:val="21"/>
              </w:rPr>
              <w:t>MPa</w:t>
            </w:r>
            <w:r>
              <w:rPr>
                <w:sz w:val="21"/>
              </w:rPr>
              <w:t>之间</w:t>
            </w:r>
            <w:r>
              <w:rPr>
                <w:sz w:val="21"/>
              </w:rPr>
              <w:t>可调</w:t>
            </w:r>
            <w:r>
              <w:rPr>
                <w:sz w:val="21"/>
              </w:rPr>
              <w:t>；</w:t>
            </w:r>
          </w:p>
          <w:p>
            <w:pPr>
              <w:pStyle w:val="null3"/>
              <w:jc w:val="both"/>
            </w:pPr>
            <w:r>
              <w:rPr>
                <w:sz w:val="21"/>
              </w:rPr>
              <w:t>3、</w:t>
            </w:r>
            <w:r>
              <w:rPr>
                <w:sz w:val="21"/>
              </w:rPr>
              <w:t>系统</w:t>
            </w:r>
            <w:r>
              <w:rPr>
                <w:sz w:val="21"/>
              </w:rPr>
              <w:t>性能稳定可靠，运行成本低；</w:t>
            </w:r>
          </w:p>
          <w:p>
            <w:pPr>
              <w:pStyle w:val="null3"/>
              <w:jc w:val="both"/>
            </w:pPr>
            <w:r>
              <w:rPr>
                <w:sz w:val="21"/>
              </w:rPr>
              <w:t>4、</w:t>
            </w:r>
            <w:r>
              <w:rPr>
                <w:sz w:val="21"/>
              </w:rPr>
              <w:t>分子筛</w:t>
            </w:r>
            <w:r>
              <w:rPr>
                <w:sz w:val="21"/>
              </w:rPr>
              <w:t>正常使用寿命达</w:t>
            </w:r>
            <w:r>
              <w:rPr>
                <w:sz w:val="21"/>
              </w:rPr>
              <w:t>10万小时。</w:t>
            </w:r>
          </w:p>
          <w:p>
            <w:pPr>
              <w:pStyle w:val="null3"/>
              <w:jc w:val="both"/>
            </w:pPr>
            <w:r>
              <w:rPr>
                <w:sz w:val="21"/>
              </w:rPr>
              <w:t>5、</w:t>
            </w:r>
            <w:r>
              <w:rPr>
                <w:sz w:val="21"/>
              </w:rPr>
              <w:t>控制</w:t>
            </w:r>
            <w:r>
              <w:rPr>
                <w:sz w:val="21"/>
              </w:rPr>
              <w:t>核心机件</w:t>
            </w:r>
            <w:r>
              <w:rPr>
                <w:sz w:val="21"/>
              </w:rPr>
              <w:t>PLC控制系统、分子筛、气控</w:t>
            </w:r>
            <w:r>
              <w:rPr>
                <w:sz w:val="21"/>
              </w:rPr>
              <w:t>阀，电磁阀；</w:t>
            </w:r>
          </w:p>
          <w:p>
            <w:pPr>
              <w:pStyle w:val="null3"/>
              <w:jc w:val="both"/>
            </w:pPr>
            <w:r>
              <w:rPr>
                <w:sz w:val="21"/>
              </w:rPr>
              <w:t>6、</w:t>
            </w:r>
            <w:r>
              <w:rPr>
                <w:sz w:val="21"/>
              </w:rPr>
              <w:t>配置压力控制器，可根据氧气使用情况调整自动停机和开机状态；</w:t>
            </w:r>
          </w:p>
          <w:p>
            <w:pPr>
              <w:pStyle w:val="null3"/>
              <w:jc w:val="both"/>
            </w:pPr>
            <w:r>
              <w:rPr>
                <w:sz w:val="21"/>
              </w:rPr>
              <w:t>7、</w:t>
            </w:r>
            <w:r>
              <w:rPr>
                <w:sz w:val="21"/>
              </w:rPr>
              <w:t>具有超视距报警功能，具有短信远程及手机微信端报警功能，并提供界面图片证明。</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台</w:t>
            </w:r>
          </w:p>
        </w:tc>
      </w:tr>
      <w:tr>
        <w:tc>
          <w:tcPr>
            <w:tcW w:type="dxa" w:w="7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630"/>
              <w:jc w:val="both"/>
            </w:pPr>
            <w:r>
              <w:rPr>
                <w:sz w:val="21"/>
              </w:rPr>
              <w:t>2.</w:t>
            </w:r>
          </w:p>
        </w:tc>
        <w:tc>
          <w:tcPr>
            <w:tcW w:type="dxa" w:w="10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智能化电气控制系统</w:t>
            </w:r>
          </w:p>
        </w:tc>
        <w:tc>
          <w:tcPr>
            <w:tcW w:type="dxa" w:w="5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285"/>
              <w:jc w:val="both"/>
            </w:pPr>
            <w:r>
              <w:rPr>
                <w:sz w:val="21"/>
              </w:rPr>
              <w:t>1、</w:t>
            </w:r>
            <w:r>
              <w:rPr>
                <w:sz w:val="21"/>
              </w:rPr>
              <w:t>该控制系统操作面板为彩色触摸屏，可对制氧系统进行现场自动化控制，</w:t>
            </w:r>
            <w:r>
              <w:rPr>
                <w:sz w:val="21"/>
              </w:rPr>
              <w:t>并对现场运行数据进行采集，包括：主控设备运行状态：运行中，待机，停止中；空压机运行状态：运行中，停止中；制氧系统报警状态；设备控制系统采用中央智能控制器，具有自动和手动两种工作方式；</w:t>
            </w:r>
          </w:p>
          <w:p>
            <w:pPr>
              <w:pStyle w:val="null3"/>
              <w:ind w:left="285"/>
              <w:jc w:val="both"/>
            </w:pPr>
            <w:r>
              <w:rPr>
                <w:sz w:val="21"/>
              </w:rPr>
              <w:t>2、</w:t>
            </w:r>
            <w:r>
              <w:rPr>
                <w:sz w:val="21"/>
              </w:rPr>
              <w:t>实时显示制氧流程及设备工作状态，高精度测量传感器，在线显示氧气浓度、氧气压力、累计流量、即时流量、工作状态等参数，具有氧气浓度、压力、流量异常报警、数据储存、查询等数据处理功能，历史数据存储功能，</w:t>
            </w:r>
            <w:r>
              <w:rPr>
                <w:sz w:val="21"/>
              </w:rPr>
              <w:t>(提供智能化触控式电气控制的实物图片，图片应能体现上述功能）</w:t>
            </w:r>
            <w:r>
              <w:rPr>
                <w:sz w:val="21"/>
              </w:rPr>
              <w:t>；</w:t>
            </w:r>
          </w:p>
          <w:p>
            <w:pPr>
              <w:pStyle w:val="null3"/>
              <w:ind w:left="285"/>
              <w:jc w:val="both"/>
            </w:pPr>
            <w:r>
              <w:rPr>
                <w:sz w:val="21"/>
              </w:rPr>
              <w:t>3、</w:t>
            </w:r>
            <w:r>
              <w:rPr>
                <w:sz w:val="21"/>
              </w:rPr>
              <w:t>具有</w:t>
            </w:r>
            <w:r>
              <w:rPr>
                <w:sz w:val="21"/>
              </w:rPr>
              <w:t>RS485远程数据输出接口，方便远程数据传输；</w:t>
            </w:r>
          </w:p>
          <w:p>
            <w:pPr>
              <w:pStyle w:val="null3"/>
              <w:ind w:left="285"/>
              <w:jc w:val="both"/>
            </w:pPr>
            <w:r>
              <w:rPr>
                <w:sz w:val="21"/>
              </w:rPr>
              <w:t>4、</w:t>
            </w:r>
            <w:r>
              <w:rPr>
                <w:sz w:val="21"/>
              </w:rPr>
              <w:t>根据</w:t>
            </w:r>
            <w:r>
              <w:rPr>
                <w:sz w:val="21"/>
              </w:rPr>
              <w:t>GB50751-2012《医用气体工程技术规范》的要求，对所产氧气的浓度进行实时监测；</w:t>
            </w:r>
          </w:p>
          <w:p>
            <w:pPr>
              <w:pStyle w:val="null3"/>
              <w:ind w:left="285"/>
              <w:jc w:val="both"/>
            </w:pPr>
            <w:r>
              <w:rPr>
                <w:sz w:val="21"/>
              </w:rPr>
              <w:t>5、</w:t>
            </w:r>
            <w:r>
              <w:rPr>
                <w:sz w:val="21"/>
              </w:rPr>
              <w:t>设备管理人员可通过密码登录系统进行设备管理，具有系统权限管理功能，确保数据安全；</w:t>
            </w:r>
          </w:p>
          <w:p>
            <w:pPr>
              <w:pStyle w:val="null3"/>
              <w:ind w:left="285"/>
              <w:jc w:val="both"/>
            </w:pPr>
            <w:r>
              <w:rPr>
                <w:sz w:val="21"/>
              </w:rPr>
              <w:t>6、</w:t>
            </w:r>
            <w:r>
              <w:rPr>
                <w:sz w:val="21"/>
              </w:rPr>
              <w:t>智能电气控制系统应具有计算机软件著作权登记证书（著作权人应为制氧系统制造商）。</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1套</w:t>
            </w:r>
          </w:p>
        </w:tc>
      </w:tr>
      <w:tr>
        <w:tc>
          <w:tcPr>
            <w:tcW w:type="dxa" w:w="7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630"/>
              <w:jc w:val="both"/>
            </w:pPr>
            <w:r>
              <w:rPr>
                <w:sz w:val="21"/>
              </w:rPr>
              <w:t>3.</w:t>
            </w:r>
          </w:p>
        </w:tc>
        <w:tc>
          <w:tcPr>
            <w:tcW w:type="dxa" w:w="10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螺杆式空压机</w:t>
            </w:r>
          </w:p>
        </w:tc>
        <w:tc>
          <w:tcPr>
            <w:tcW w:type="dxa" w:w="5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r>
              <w:rPr>
                <w:sz w:val="21"/>
              </w:rPr>
              <w:t>主电机采用</w:t>
            </w:r>
            <w:r>
              <w:rPr>
                <w:sz w:val="21"/>
              </w:rPr>
              <w:t>≥</w:t>
            </w:r>
            <w:r>
              <w:rPr>
                <w:sz w:val="21"/>
              </w:rPr>
              <w:t>IE3级超高效电机，</w:t>
            </w:r>
            <w:r>
              <w:rPr>
                <w:sz w:val="21"/>
              </w:rPr>
              <w:t>≥</w:t>
            </w:r>
            <w:r>
              <w:rPr>
                <w:sz w:val="21"/>
              </w:rPr>
              <w:t>F级绝缘等级，</w:t>
            </w:r>
            <w:r>
              <w:rPr>
                <w:sz w:val="21"/>
              </w:rPr>
              <w:t>≥</w:t>
            </w:r>
            <w:r>
              <w:rPr>
                <w:sz w:val="21"/>
              </w:rPr>
              <w:t>IP55保护等级；主机</w:t>
            </w:r>
            <w:r>
              <w:rPr>
                <w:sz w:val="21"/>
                <w:color w:val="000000"/>
              </w:rPr>
              <w:t>机头与电机采用高效直连式齿轮驱动结构；</w:t>
            </w:r>
          </w:p>
          <w:p>
            <w:pPr>
              <w:pStyle w:val="null3"/>
              <w:ind w:left="285"/>
              <w:jc w:val="both"/>
            </w:pPr>
            <w:r>
              <w:rPr>
                <w:sz w:val="21"/>
                <w:color w:val="000000"/>
              </w:rPr>
              <w:t>2、</w:t>
            </w:r>
            <w:r>
              <w:rPr>
                <w:sz w:val="21"/>
                <w:color w:val="000000"/>
              </w:rPr>
              <w:t>▲单机功率</w:t>
            </w:r>
            <w:r>
              <w:rPr>
                <w:sz w:val="21"/>
                <w:color w:val="000000"/>
              </w:rPr>
              <w:t>≥</w:t>
            </w:r>
            <w:r>
              <w:rPr>
                <w:sz w:val="21"/>
                <w:color w:val="000000"/>
              </w:rPr>
              <w:t>4</w:t>
            </w:r>
            <w:r>
              <w:rPr>
                <w:sz w:val="21"/>
                <w:color w:val="000000"/>
              </w:rPr>
              <w:t>5</w:t>
            </w:r>
            <w:r>
              <w:rPr>
                <w:sz w:val="21"/>
                <w:color w:val="000000"/>
              </w:rPr>
              <w:t>KW</w:t>
            </w:r>
            <w:r>
              <w:rPr>
                <w:sz w:val="21"/>
              </w:rPr>
              <w:t>，</w:t>
            </w:r>
            <w:r>
              <w:rPr>
                <w:sz w:val="21"/>
              </w:rPr>
              <w:t>噪音</w:t>
            </w:r>
            <w:r>
              <w:rPr>
                <w:sz w:val="21"/>
              </w:rPr>
              <w:t>≤85dB，排气压力≥0.</w:t>
            </w:r>
            <w:r>
              <w:rPr>
                <w:sz w:val="21"/>
              </w:rPr>
              <w:t>7</w:t>
            </w:r>
            <w:r>
              <w:rPr>
                <w:sz w:val="21"/>
              </w:rPr>
              <w:t>Mpa，排气量：≥</w:t>
            </w:r>
            <w:r>
              <w:rPr>
                <w:sz w:val="21"/>
              </w:rPr>
              <w:t>8.0</w:t>
            </w:r>
            <w:r>
              <w:rPr>
                <w:sz w:val="21"/>
              </w:rPr>
              <w:t>m</w:t>
            </w:r>
            <w:r>
              <w:rPr>
                <w:sz w:val="21"/>
                <w:vertAlign w:val="superscript"/>
              </w:rPr>
              <w:t>3</w:t>
            </w:r>
            <w:r>
              <w:rPr>
                <w:sz w:val="21"/>
              </w:rPr>
              <w:t>/min</w:t>
            </w:r>
            <w:r>
              <w:rPr>
                <w:sz w:val="21"/>
              </w:rPr>
              <w:t>，</w:t>
            </w:r>
            <w:r>
              <w:rPr>
                <w:sz w:val="21"/>
              </w:rPr>
              <w:t>空压机排气端含油量</w:t>
            </w:r>
            <w:r>
              <w:rPr>
                <w:sz w:val="21"/>
              </w:rPr>
              <w:t>≤1.6PPM；</w:t>
            </w:r>
          </w:p>
          <w:p>
            <w:pPr>
              <w:pStyle w:val="null3"/>
              <w:jc w:val="left"/>
            </w:pPr>
            <w:r>
              <w:rPr>
                <w:sz w:val="21"/>
              </w:rPr>
              <w:t>3、</w:t>
            </w:r>
            <w:r>
              <w:rPr>
                <w:sz w:val="21"/>
              </w:rPr>
              <w:t>控制器具有</w:t>
            </w:r>
            <w:r>
              <w:rPr>
                <w:sz w:val="21"/>
              </w:rPr>
              <w:t>≥</w:t>
            </w:r>
            <w:r>
              <w:rPr>
                <w:sz w:val="21"/>
              </w:rPr>
              <w:t>IP65级防水，具有数据显示功能，标配MODBUS通讯，可实现远程信号输入、输出。具有超载、高温、超压、过电流自动报警停机的保护功能；具有压力、温度、时间、故障等数据显示功能；</w:t>
            </w:r>
          </w:p>
          <w:p>
            <w:pPr>
              <w:pStyle w:val="null3"/>
              <w:ind w:left="285"/>
              <w:jc w:val="both"/>
            </w:pPr>
            <w:r>
              <w:rPr>
                <w:sz w:val="21"/>
              </w:rPr>
              <w:t>4、</w:t>
            </w:r>
            <w:r>
              <w:rPr>
                <w:sz w:val="21"/>
              </w:rPr>
              <w:t>冷却系统采用节能型离心风扇，耐环境温度</w:t>
            </w:r>
            <w:r>
              <w:rPr>
                <w:sz w:val="21"/>
              </w:rPr>
              <w:t>≥50℃；具备残压启动功能，标配低温启动补偿功能，噪音滤波器、电机过电流继电器等保护措施；</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台</w:t>
            </w:r>
          </w:p>
        </w:tc>
      </w:tr>
      <w:tr>
        <w:tc>
          <w:tcPr>
            <w:tcW w:type="dxa" w:w="7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630"/>
              <w:jc w:val="both"/>
            </w:pPr>
            <w:r>
              <w:rPr>
                <w:sz w:val="21"/>
              </w:rPr>
              <w:t>4.</w:t>
            </w:r>
          </w:p>
        </w:tc>
        <w:tc>
          <w:tcPr>
            <w:tcW w:type="dxa" w:w="10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风冷式</w:t>
            </w:r>
          </w:p>
          <w:p>
            <w:pPr>
              <w:pStyle w:val="null3"/>
              <w:jc w:val="both"/>
            </w:pPr>
            <w:r>
              <w:rPr>
                <w:sz w:val="21"/>
              </w:rPr>
              <w:t>干燥机</w:t>
            </w:r>
          </w:p>
        </w:tc>
        <w:tc>
          <w:tcPr>
            <w:tcW w:type="dxa" w:w="5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r>
              <w:rPr>
                <w:sz w:val="21"/>
              </w:rPr>
              <w:t>采用可靠排水装置，使凝结水同污垢同时排出，确保长时间的免维护运行；</w:t>
            </w:r>
          </w:p>
          <w:p>
            <w:pPr>
              <w:pStyle w:val="null3"/>
              <w:jc w:val="both"/>
            </w:pPr>
            <w:r>
              <w:rPr>
                <w:sz w:val="21"/>
              </w:rPr>
              <w:t>2、</w:t>
            </w:r>
            <w:r>
              <w:rPr>
                <w:sz w:val="21"/>
              </w:rPr>
              <w:t>采用双流层逆流前置预冷器的设计；</w:t>
            </w:r>
          </w:p>
          <w:p>
            <w:pPr>
              <w:pStyle w:val="null3"/>
              <w:jc w:val="both"/>
            </w:pPr>
            <w:r>
              <w:rPr>
                <w:sz w:val="21"/>
              </w:rPr>
              <w:t>3、</w:t>
            </w:r>
            <w:r>
              <w:rPr>
                <w:sz w:val="21"/>
              </w:rPr>
              <w:t>单台额定处理气量：</w:t>
            </w:r>
            <w:r>
              <w:rPr>
                <w:sz w:val="21"/>
              </w:rPr>
              <w:t>≥</w:t>
            </w:r>
            <w:r>
              <w:rPr>
                <w:sz w:val="21"/>
              </w:rPr>
              <w:t>1</w:t>
            </w:r>
            <w:r>
              <w:rPr>
                <w:sz w:val="21"/>
              </w:rPr>
              <w:t>8.5</w:t>
            </w:r>
            <w:r>
              <w:rPr>
                <w:sz w:val="21"/>
              </w:rPr>
              <w:t xml:space="preserve"> </w:t>
            </w:r>
            <w:r>
              <w:rPr>
                <w:sz w:val="21"/>
              </w:rPr>
              <w:t>m³/min，符合空压机要求；</w:t>
            </w:r>
          </w:p>
          <w:p>
            <w:pPr>
              <w:pStyle w:val="null3"/>
              <w:jc w:val="both"/>
            </w:pPr>
            <w:r>
              <w:rPr>
                <w:sz w:val="21"/>
              </w:rPr>
              <w:t>4、</w:t>
            </w:r>
            <w:r>
              <w:rPr>
                <w:sz w:val="21"/>
              </w:rPr>
              <w:t>压力露点</w:t>
            </w:r>
            <w:r>
              <w:rPr>
                <w:sz w:val="21"/>
              </w:rPr>
              <w:t>2</w:t>
            </w:r>
            <w:r>
              <w:rPr>
                <w:sz w:val="21"/>
              </w:rPr>
              <w:t>-</w:t>
            </w:r>
            <w:r>
              <w:rPr>
                <w:sz w:val="21"/>
              </w:rPr>
              <w:t>10</w:t>
            </w:r>
            <w:r>
              <w:rPr>
                <w:sz w:val="21"/>
              </w:rPr>
              <w:t>℃；</w:t>
            </w:r>
          </w:p>
          <w:p>
            <w:pPr>
              <w:pStyle w:val="null3"/>
              <w:jc w:val="both"/>
            </w:pPr>
            <w:r>
              <w:rPr>
                <w:sz w:val="21"/>
              </w:rPr>
              <w:t>5、</w:t>
            </w:r>
            <w:r>
              <w:rPr>
                <w:sz w:val="21"/>
              </w:rPr>
              <w:t>冷却方式：风冷；</w:t>
            </w:r>
          </w:p>
          <w:p>
            <w:pPr>
              <w:pStyle w:val="null3"/>
              <w:jc w:val="both"/>
            </w:pPr>
            <w:r>
              <w:rPr>
                <w:sz w:val="21"/>
              </w:rPr>
              <w:t>6、</w:t>
            </w:r>
            <w:r>
              <w:rPr>
                <w:sz w:val="21"/>
              </w:rPr>
              <w:t>高温型冷干机进气温度</w:t>
            </w:r>
            <w:r>
              <w:rPr>
                <w:sz w:val="21"/>
              </w:rPr>
              <w:t>≤80℃。</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台</w:t>
            </w:r>
          </w:p>
        </w:tc>
      </w:tr>
      <w:tr>
        <w:tc>
          <w:tcPr>
            <w:tcW w:type="dxa" w:w="7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630"/>
              <w:jc w:val="both"/>
            </w:pPr>
            <w:r>
              <w:rPr>
                <w:sz w:val="21"/>
              </w:rPr>
              <w:t>5.</w:t>
            </w:r>
          </w:p>
        </w:tc>
        <w:tc>
          <w:tcPr>
            <w:tcW w:type="dxa" w:w="10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吸附式干燥机</w:t>
            </w:r>
          </w:p>
        </w:tc>
        <w:tc>
          <w:tcPr>
            <w:tcW w:type="dxa" w:w="5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r>
              <w:rPr>
                <w:sz w:val="21"/>
              </w:rPr>
              <w:t>、</w:t>
            </w:r>
            <w:r>
              <w:rPr>
                <w:sz w:val="21"/>
              </w:rPr>
              <w:t>控制简单，安装方便，运行稳定，适用于</w:t>
            </w:r>
            <w:r>
              <w:rPr>
                <w:sz w:val="21"/>
              </w:rPr>
              <w:t>高温、高寒、高湿、高盐环境下</w:t>
            </w:r>
            <w:r>
              <w:rPr>
                <w:sz w:val="21"/>
              </w:rPr>
              <w:t>；</w:t>
            </w:r>
          </w:p>
          <w:p>
            <w:pPr>
              <w:pStyle w:val="null3"/>
              <w:jc w:val="left"/>
            </w:pPr>
            <w:r>
              <w:rPr>
                <w:sz w:val="21"/>
              </w:rPr>
              <w:t>2、</w:t>
            </w:r>
            <w:r>
              <w:rPr>
                <w:sz w:val="21"/>
              </w:rPr>
              <w:t>处理气量</w:t>
            </w:r>
            <w:r>
              <w:rPr>
                <w:sz w:val="21"/>
              </w:rPr>
              <w:t>≥</w:t>
            </w:r>
            <w:r>
              <w:rPr>
                <w:sz w:val="21"/>
              </w:rPr>
              <w:t>8</w:t>
            </w:r>
            <w:r>
              <w:rPr>
                <w:sz w:val="21"/>
              </w:rPr>
              <w:t>.0m</w:t>
            </w:r>
            <w:r>
              <w:rPr>
                <w:sz w:val="21"/>
              </w:rPr>
              <w:t>3</w:t>
            </w:r>
            <w:r>
              <w:rPr>
                <w:sz w:val="21"/>
              </w:rPr>
              <w:t>/min；</w:t>
            </w:r>
          </w:p>
          <w:p>
            <w:pPr>
              <w:pStyle w:val="null3"/>
              <w:jc w:val="both"/>
            </w:pPr>
            <w:r>
              <w:rPr>
                <w:sz w:val="21"/>
              </w:rPr>
              <w:t>3、</w:t>
            </w:r>
            <w:r>
              <w:rPr>
                <w:sz w:val="21"/>
              </w:rPr>
              <w:t>常压露点</w:t>
            </w:r>
            <w:r>
              <w:rPr>
                <w:sz w:val="21"/>
              </w:rPr>
              <w:t>≤-</w:t>
            </w:r>
            <w:r>
              <w:rPr>
                <w:sz w:val="21"/>
              </w:rPr>
              <w:t>2</w:t>
            </w:r>
            <w:r>
              <w:rPr>
                <w:sz w:val="21"/>
              </w:rPr>
              <w:t>0℃。</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1台</w:t>
            </w:r>
          </w:p>
        </w:tc>
      </w:tr>
      <w:tr>
        <w:tc>
          <w:tcPr>
            <w:tcW w:type="dxa" w:w="7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630"/>
              <w:jc w:val="both"/>
            </w:pPr>
            <w:r>
              <w:rPr>
                <w:sz w:val="21"/>
              </w:rPr>
              <w:t>6.</w:t>
            </w:r>
          </w:p>
        </w:tc>
        <w:tc>
          <w:tcPr>
            <w:tcW w:type="dxa" w:w="10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初级精密过滤器</w:t>
            </w:r>
          </w:p>
        </w:tc>
        <w:tc>
          <w:tcPr>
            <w:tcW w:type="dxa" w:w="5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285"/>
              <w:jc w:val="both"/>
            </w:pPr>
            <w:r>
              <w:rPr>
                <w:sz w:val="21"/>
              </w:rPr>
              <w:t>1、</w:t>
            </w:r>
            <w:r>
              <w:rPr>
                <w:sz w:val="21"/>
              </w:rPr>
              <w:t>单个空气处理量：</w:t>
            </w:r>
            <w:r>
              <w:rPr>
                <w:sz w:val="21"/>
              </w:rPr>
              <w:t>≥</w:t>
            </w:r>
            <w:r>
              <w:rPr>
                <w:sz w:val="21"/>
              </w:rPr>
              <w:t>12</w:t>
            </w:r>
            <w:r>
              <w:rPr>
                <w:sz w:val="21"/>
              </w:rPr>
              <w:t>m³/min，符合单台空压机要求；</w:t>
            </w:r>
          </w:p>
          <w:p>
            <w:pPr>
              <w:pStyle w:val="null3"/>
              <w:ind w:left="285"/>
              <w:jc w:val="both"/>
            </w:pPr>
            <w:r>
              <w:rPr>
                <w:sz w:val="21"/>
              </w:rPr>
              <w:t>2、</w:t>
            </w:r>
            <w:r>
              <w:rPr>
                <w:sz w:val="21"/>
              </w:rPr>
              <w:t>有效滤除</w:t>
            </w:r>
            <w:r>
              <w:rPr>
                <w:sz w:val="21"/>
              </w:rPr>
              <w:t>3微米和更大的固态与液态颗粒；</w:t>
            </w:r>
          </w:p>
          <w:p>
            <w:pPr>
              <w:pStyle w:val="null3"/>
              <w:jc w:val="left"/>
            </w:pPr>
            <w:r>
              <w:rPr>
                <w:sz w:val="21"/>
              </w:rPr>
              <w:t>3、</w:t>
            </w:r>
            <w:r>
              <w:rPr>
                <w:sz w:val="21"/>
              </w:rPr>
              <w:t>残留油分含量</w:t>
            </w:r>
            <w:r>
              <w:rPr>
                <w:sz w:val="21"/>
              </w:rPr>
              <w:t>≤</w:t>
            </w:r>
            <w:r>
              <w:rPr>
                <w:sz w:val="21"/>
              </w:rPr>
              <w:t>5ppmw/w；</w:t>
            </w:r>
          </w:p>
          <w:p>
            <w:pPr>
              <w:pStyle w:val="null3"/>
              <w:ind w:left="285"/>
              <w:jc w:val="both"/>
            </w:pPr>
            <w:r>
              <w:rPr>
                <w:sz w:val="21"/>
              </w:rPr>
              <w:t>4、</w:t>
            </w:r>
            <w:r>
              <w:rPr>
                <w:sz w:val="21"/>
              </w:rPr>
              <w:t>达到</w:t>
            </w:r>
            <w:r>
              <w:rPr>
                <w:sz w:val="21"/>
              </w:rPr>
              <w:t>ISO8573.1质量等级-固态3级，油分含量5级；</w:t>
            </w:r>
          </w:p>
          <w:p>
            <w:pPr>
              <w:pStyle w:val="null3"/>
              <w:ind w:left="285"/>
              <w:jc w:val="both"/>
            </w:pPr>
            <w:r>
              <w:rPr>
                <w:sz w:val="21"/>
              </w:rPr>
              <w:t>5、</w:t>
            </w:r>
            <w:r>
              <w:rPr>
                <w:sz w:val="21"/>
              </w:rPr>
              <w:t>进气最大液体负载：</w:t>
            </w:r>
            <w:r>
              <w:rPr>
                <w:sz w:val="21"/>
              </w:rPr>
              <w:t>25000ppmw/w。</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个</w:t>
            </w:r>
          </w:p>
        </w:tc>
      </w:tr>
      <w:tr>
        <w:tc>
          <w:tcPr>
            <w:tcW w:type="dxa" w:w="7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630"/>
              <w:jc w:val="both"/>
            </w:pPr>
            <w:r>
              <w:rPr>
                <w:sz w:val="21"/>
              </w:rPr>
              <w:t>7.</w:t>
            </w:r>
          </w:p>
        </w:tc>
        <w:tc>
          <w:tcPr>
            <w:tcW w:type="dxa" w:w="10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高级精密过滤器</w:t>
            </w:r>
          </w:p>
        </w:tc>
        <w:tc>
          <w:tcPr>
            <w:tcW w:type="dxa" w:w="5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255"/>
              <w:jc w:val="both"/>
            </w:pPr>
            <w:r>
              <w:rPr>
                <w:sz w:val="21"/>
              </w:rPr>
              <w:t>1、</w:t>
            </w:r>
            <w:r>
              <w:rPr>
                <w:sz w:val="21"/>
              </w:rPr>
              <w:t>单个空气处理量</w:t>
            </w:r>
            <w:r>
              <w:rPr>
                <w:sz w:val="21"/>
              </w:rPr>
              <w:t>≥</w:t>
            </w:r>
            <w:r>
              <w:rPr>
                <w:sz w:val="21"/>
              </w:rPr>
              <w:t>12</w:t>
            </w:r>
            <w:r>
              <w:rPr>
                <w:sz w:val="21"/>
              </w:rPr>
              <w:t>m³/min，符合单台空压机要求；</w:t>
            </w:r>
          </w:p>
          <w:p>
            <w:pPr>
              <w:pStyle w:val="null3"/>
              <w:ind w:left="255"/>
              <w:jc w:val="both"/>
            </w:pPr>
            <w:r>
              <w:rPr>
                <w:sz w:val="21"/>
              </w:rPr>
              <w:t>2、</w:t>
            </w:r>
            <w:r>
              <w:rPr>
                <w:sz w:val="21"/>
              </w:rPr>
              <w:t>有效滤除</w:t>
            </w:r>
            <w:r>
              <w:rPr>
                <w:sz w:val="21"/>
              </w:rPr>
              <w:t>0.01微米和更大的固态与液态颗粒</w:t>
            </w:r>
            <w:r>
              <w:rPr>
                <w:sz w:val="21"/>
              </w:rPr>
              <w:t>；</w:t>
            </w:r>
          </w:p>
          <w:p>
            <w:pPr>
              <w:pStyle w:val="null3"/>
              <w:ind w:left="255"/>
              <w:jc w:val="both"/>
            </w:pPr>
            <w:r>
              <w:rPr>
                <w:sz w:val="21"/>
              </w:rPr>
              <w:t>3、</w:t>
            </w:r>
            <w:r>
              <w:rPr>
                <w:sz w:val="21"/>
              </w:rPr>
              <w:t>有效滤除</w:t>
            </w:r>
            <w:r>
              <w:rPr>
                <w:sz w:val="21"/>
              </w:rPr>
              <w:t>99.99+%油雾；</w:t>
            </w:r>
          </w:p>
          <w:p>
            <w:pPr>
              <w:pStyle w:val="null3"/>
              <w:jc w:val="left"/>
            </w:pPr>
            <w:r>
              <w:rPr>
                <w:sz w:val="21"/>
              </w:rPr>
              <w:t>4、</w:t>
            </w:r>
            <w:r>
              <w:rPr>
                <w:sz w:val="21"/>
              </w:rPr>
              <w:t>残留油分含量</w:t>
            </w:r>
            <w:r>
              <w:rPr>
                <w:sz w:val="21"/>
              </w:rPr>
              <w:t>≤</w:t>
            </w:r>
            <w:r>
              <w:rPr>
                <w:sz w:val="21"/>
              </w:rPr>
              <w:t>0.01ppmw/w；</w:t>
            </w:r>
          </w:p>
          <w:p>
            <w:pPr>
              <w:pStyle w:val="null3"/>
              <w:ind w:left="255"/>
              <w:jc w:val="both"/>
            </w:pPr>
            <w:r>
              <w:rPr>
                <w:sz w:val="21"/>
              </w:rPr>
              <w:t>5、</w:t>
            </w:r>
            <w:r>
              <w:rPr>
                <w:sz w:val="21"/>
              </w:rPr>
              <w:t>达到</w:t>
            </w:r>
            <w:r>
              <w:rPr>
                <w:sz w:val="21"/>
              </w:rPr>
              <w:t>ISO8573.1质量等级-固态1级，油分含量2级；</w:t>
            </w:r>
          </w:p>
          <w:p>
            <w:pPr>
              <w:pStyle w:val="null3"/>
              <w:ind w:left="255"/>
              <w:jc w:val="both"/>
            </w:pPr>
            <w:r>
              <w:rPr>
                <w:sz w:val="21"/>
              </w:rPr>
              <w:t>6、</w:t>
            </w:r>
            <w:r>
              <w:rPr>
                <w:sz w:val="21"/>
              </w:rPr>
              <w:t>进气最大液体负载：</w:t>
            </w:r>
            <w:r>
              <w:rPr>
                <w:sz w:val="21"/>
              </w:rPr>
              <w:t>1000ppmw/w。</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个</w:t>
            </w:r>
          </w:p>
        </w:tc>
      </w:tr>
      <w:tr>
        <w:tc>
          <w:tcPr>
            <w:tcW w:type="dxa" w:w="7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630"/>
              <w:jc w:val="both"/>
            </w:pPr>
            <w:r>
              <w:rPr>
                <w:sz w:val="21"/>
              </w:rPr>
              <w:t>8.</w:t>
            </w:r>
          </w:p>
        </w:tc>
        <w:tc>
          <w:tcPr>
            <w:tcW w:type="dxa" w:w="10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特级精密过滤器</w:t>
            </w:r>
          </w:p>
        </w:tc>
        <w:tc>
          <w:tcPr>
            <w:tcW w:type="dxa" w:w="5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285"/>
              <w:jc w:val="both"/>
            </w:pPr>
            <w:r>
              <w:rPr>
                <w:sz w:val="21"/>
              </w:rPr>
              <w:t>1、</w:t>
            </w:r>
            <w:r>
              <w:rPr>
                <w:sz w:val="21"/>
              </w:rPr>
              <w:t>单个空气处理量</w:t>
            </w:r>
            <w:r>
              <w:rPr>
                <w:sz w:val="21"/>
              </w:rPr>
              <w:t>≥</w:t>
            </w:r>
            <w:r>
              <w:rPr>
                <w:sz w:val="21"/>
              </w:rPr>
              <w:t>12</w:t>
            </w:r>
            <w:r>
              <w:rPr>
                <w:sz w:val="21"/>
              </w:rPr>
              <w:t>m³/min，符合单台空压机要求</w:t>
            </w:r>
            <w:r>
              <w:rPr>
                <w:sz w:val="21"/>
              </w:rPr>
              <w:t>；</w:t>
            </w:r>
          </w:p>
          <w:p>
            <w:pPr>
              <w:pStyle w:val="null3"/>
              <w:ind w:left="285"/>
              <w:jc w:val="both"/>
            </w:pPr>
            <w:r>
              <w:rPr>
                <w:sz w:val="21"/>
              </w:rPr>
              <w:t>2、</w:t>
            </w:r>
            <w:r>
              <w:rPr>
                <w:sz w:val="21"/>
              </w:rPr>
              <w:t>有效滤除</w:t>
            </w:r>
            <w:r>
              <w:rPr>
                <w:sz w:val="21"/>
              </w:rPr>
              <w:t>0.01微米和更大的固态与液态颗粒；</w:t>
            </w:r>
          </w:p>
          <w:p>
            <w:pPr>
              <w:pStyle w:val="null3"/>
              <w:ind w:left="285"/>
              <w:jc w:val="both"/>
            </w:pPr>
            <w:r>
              <w:rPr>
                <w:sz w:val="21"/>
              </w:rPr>
              <w:t>3、</w:t>
            </w:r>
            <w:r>
              <w:rPr>
                <w:sz w:val="21"/>
              </w:rPr>
              <w:t>有效滤除</w:t>
            </w:r>
            <w:r>
              <w:rPr>
                <w:sz w:val="21"/>
              </w:rPr>
              <w:t>99.99</w:t>
            </w:r>
            <w:r>
              <w:rPr>
                <w:sz w:val="21"/>
              </w:rPr>
              <w:t>9</w:t>
            </w:r>
            <w:r>
              <w:rPr>
                <w:sz w:val="21"/>
              </w:rPr>
              <w:t>+%油雾；</w:t>
            </w:r>
          </w:p>
          <w:p>
            <w:pPr>
              <w:pStyle w:val="null3"/>
              <w:jc w:val="left"/>
            </w:pPr>
            <w:r>
              <w:rPr>
                <w:sz w:val="21"/>
              </w:rPr>
              <w:t>4、</w:t>
            </w:r>
            <w:r>
              <w:rPr>
                <w:sz w:val="21"/>
              </w:rPr>
              <w:t>残留油分含量</w:t>
            </w:r>
            <w:r>
              <w:rPr>
                <w:sz w:val="21"/>
              </w:rPr>
              <w:t>≤</w:t>
            </w:r>
            <w:r>
              <w:rPr>
                <w:sz w:val="21"/>
              </w:rPr>
              <w:t>0.001ppmw/w；</w:t>
            </w:r>
          </w:p>
          <w:p>
            <w:pPr>
              <w:pStyle w:val="null3"/>
              <w:ind w:left="285"/>
              <w:jc w:val="both"/>
            </w:pPr>
            <w:r>
              <w:rPr>
                <w:sz w:val="21"/>
              </w:rPr>
              <w:t>5、</w:t>
            </w:r>
            <w:r>
              <w:rPr>
                <w:sz w:val="21"/>
              </w:rPr>
              <w:t>达到</w:t>
            </w:r>
            <w:r>
              <w:rPr>
                <w:sz w:val="21"/>
              </w:rPr>
              <w:t>ISO8573.1质量等级-固态1级，油分含量</w:t>
            </w:r>
            <w:r>
              <w:rPr>
                <w:sz w:val="21"/>
              </w:rPr>
              <w:t>1</w:t>
            </w:r>
            <w:r>
              <w:rPr>
                <w:sz w:val="21"/>
              </w:rPr>
              <w:t>级；</w:t>
            </w:r>
          </w:p>
          <w:p>
            <w:pPr>
              <w:pStyle w:val="null3"/>
              <w:ind w:left="285"/>
              <w:jc w:val="both"/>
            </w:pPr>
            <w:r>
              <w:rPr>
                <w:sz w:val="21"/>
              </w:rPr>
              <w:t>6、</w:t>
            </w:r>
            <w:r>
              <w:rPr>
                <w:sz w:val="21"/>
              </w:rPr>
              <w:t>进气最大液体负载：</w:t>
            </w:r>
            <w:r>
              <w:rPr>
                <w:sz w:val="21"/>
              </w:rPr>
              <w:t>100</w:t>
            </w:r>
            <w:r>
              <w:rPr>
                <w:sz w:val="21"/>
              </w:rPr>
              <w:t>ppmw/w。</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r>
              <w:rPr>
                <w:sz w:val="21"/>
              </w:rPr>
              <w:t>个</w:t>
            </w:r>
          </w:p>
        </w:tc>
      </w:tr>
      <w:tr>
        <w:tc>
          <w:tcPr>
            <w:tcW w:type="dxa" w:w="7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630"/>
              <w:jc w:val="both"/>
            </w:pPr>
            <w:r>
              <w:rPr>
                <w:sz w:val="21"/>
              </w:rPr>
              <w:t>9.</w:t>
            </w:r>
          </w:p>
        </w:tc>
        <w:tc>
          <w:tcPr>
            <w:tcW w:type="dxa" w:w="10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高效除菌过滤器</w:t>
            </w:r>
          </w:p>
        </w:tc>
        <w:tc>
          <w:tcPr>
            <w:tcW w:type="dxa" w:w="5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285"/>
              <w:jc w:val="both"/>
            </w:pPr>
            <w:r>
              <w:rPr>
                <w:sz w:val="21"/>
              </w:rPr>
              <w:t>1、</w:t>
            </w:r>
            <w:r>
              <w:rPr>
                <w:sz w:val="21"/>
              </w:rPr>
              <w:t>单个空气处理量</w:t>
            </w:r>
            <w:r>
              <w:rPr>
                <w:sz w:val="21"/>
              </w:rPr>
              <w:t>≥</w:t>
            </w:r>
            <w:r>
              <w:rPr>
                <w:sz w:val="21"/>
              </w:rPr>
              <w:t>2.6</w:t>
            </w:r>
            <w:r>
              <w:rPr>
                <w:sz w:val="21"/>
              </w:rPr>
              <w:t xml:space="preserve"> </w:t>
            </w:r>
            <w:r>
              <w:rPr>
                <w:sz w:val="21"/>
              </w:rPr>
              <w:t>m³/min，符合制氧系统要求</w:t>
            </w:r>
            <w:r>
              <w:rPr>
                <w:sz w:val="21"/>
              </w:rPr>
              <w:t>；</w:t>
            </w:r>
          </w:p>
          <w:p>
            <w:pPr>
              <w:pStyle w:val="null3"/>
              <w:ind w:left="285"/>
              <w:jc w:val="both"/>
            </w:pPr>
            <w:r>
              <w:rPr>
                <w:sz w:val="21"/>
              </w:rPr>
              <w:t>2、</w:t>
            </w:r>
            <w:r>
              <w:rPr>
                <w:sz w:val="21"/>
              </w:rPr>
              <w:t>有效滤除</w:t>
            </w:r>
            <w:r>
              <w:rPr>
                <w:sz w:val="21"/>
              </w:rPr>
              <w:t>0.01微米和更大的固态颗粒、滤除油气；</w:t>
            </w:r>
          </w:p>
          <w:p>
            <w:pPr>
              <w:pStyle w:val="null3"/>
              <w:ind w:left="285"/>
              <w:jc w:val="both"/>
            </w:pPr>
            <w:r>
              <w:rPr>
                <w:sz w:val="21"/>
              </w:rPr>
              <w:t>3、</w:t>
            </w:r>
            <w:r>
              <w:rPr>
                <w:sz w:val="21"/>
              </w:rPr>
              <w:t>达到</w:t>
            </w:r>
            <w:r>
              <w:rPr>
                <w:sz w:val="21"/>
              </w:rPr>
              <w:t>ISO8573.1质量等级-固态1级，油分含量</w:t>
            </w:r>
            <w:r>
              <w:rPr>
                <w:sz w:val="21"/>
              </w:rPr>
              <w:t>1</w:t>
            </w:r>
            <w:r>
              <w:rPr>
                <w:sz w:val="21"/>
              </w:rPr>
              <w:t>级。</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1个</w:t>
            </w:r>
          </w:p>
        </w:tc>
      </w:tr>
      <w:tr>
        <w:tc>
          <w:tcPr>
            <w:tcW w:type="dxa" w:w="7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630"/>
              <w:jc w:val="both"/>
            </w:pPr>
            <w:r>
              <w:rPr>
                <w:sz w:val="21"/>
              </w:rPr>
              <w:t>10.</w:t>
            </w:r>
          </w:p>
        </w:tc>
        <w:tc>
          <w:tcPr>
            <w:tcW w:type="dxa" w:w="10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空气储罐</w:t>
            </w:r>
          </w:p>
        </w:tc>
        <w:tc>
          <w:tcPr>
            <w:tcW w:type="dxa" w:w="5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r>
              <w:rPr>
                <w:sz w:val="21"/>
              </w:rPr>
              <w:t>材质为碳钢；</w:t>
            </w:r>
          </w:p>
          <w:p>
            <w:pPr>
              <w:pStyle w:val="null3"/>
              <w:jc w:val="both"/>
            </w:pPr>
            <w:r>
              <w:rPr>
                <w:sz w:val="21"/>
              </w:rPr>
              <w:t>2、</w:t>
            </w:r>
            <w:r>
              <w:rPr>
                <w:sz w:val="21"/>
              </w:rPr>
              <w:t>有效容积</w:t>
            </w:r>
            <w:r>
              <w:rPr>
                <w:sz w:val="21"/>
              </w:rPr>
              <w:t>≥</w:t>
            </w:r>
            <w:r>
              <w:rPr>
                <w:sz w:val="21"/>
              </w:rPr>
              <w:t xml:space="preserve">2 </w:t>
            </w:r>
            <w:r>
              <w:rPr>
                <w:sz w:val="21"/>
              </w:rPr>
              <w:t>立方米；</w:t>
            </w:r>
          </w:p>
          <w:p>
            <w:pPr>
              <w:pStyle w:val="null3"/>
              <w:jc w:val="both"/>
            </w:pPr>
            <w:r>
              <w:rPr>
                <w:sz w:val="21"/>
              </w:rPr>
              <w:t>3、</w:t>
            </w:r>
            <w:r>
              <w:rPr>
                <w:sz w:val="21"/>
              </w:rPr>
              <w:t>工作压力为</w:t>
            </w:r>
            <w:r>
              <w:rPr>
                <w:sz w:val="21"/>
              </w:rPr>
              <w:t>≥0.8 MPa；</w:t>
            </w:r>
          </w:p>
          <w:p>
            <w:pPr>
              <w:pStyle w:val="null3"/>
              <w:jc w:val="both"/>
            </w:pPr>
            <w:r>
              <w:rPr>
                <w:sz w:val="21"/>
              </w:rPr>
              <w:t>4、</w:t>
            </w:r>
            <w:r>
              <w:rPr>
                <w:sz w:val="21"/>
              </w:rPr>
              <w:t>符合国家压力容器安全技术监察规程。</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个</w:t>
            </w:r>
          </w:p>
        </w:tc>
      </w:tr>
      <w:tr>
        <w:tc>
          <w:tcPr>
            <w:tcW w:type="dxa" w:w="7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630"/>
              <w:jc w:val="both"/>
            </w:pPr>
            <w:r>
              <w:rPr>
                <w:sz w:val="21"/>
              </w:rPr>
              <w:t>11.</w:t>
            </w:r>
          </w:p>
        </w:tc>
        <w:tc>
          <w:tcPr>
            <w:tcW w:type="dxa" w:w="10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氧气储罐</w:t>
            </w:r>
          </w:p>
        </w:tc>
        <w:tc>
          <w:tcPr>
            <w:tcW w:type="dxa" w:w="5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285"/>
              <w:jc w:val="both"/>
            </w:pPr>
            <w:r>
              <w:rPr>
                <w:sz w:val="21"/>
              </w:rPr>
              <w:t>1、</w:t>
            </w:r>
            <w:r>
              <w:rPr>
                <w:sz w:val="21"/>
              </w:rPr>
              <w:t>材质为碳钢；</w:t>
            </w:r>
          </w:p>
          <w:p>
            <w:pPr>
              <w:pStyle w:val="null3"/>
              <w:ind w:left="285"/>
              <w:jc w:val="both"/>
            </w:pPr>
            <w:r>
              <w:rPr>
                <w:sz w:val="21"/>
              </w:rPr>
              <w:t>2、</w:t>
            </w:r>
            <w:r>
              <w:rPr>
                <w:sz w:val="21"/>
              </w:rPr>
              <w:t>有效容积</w:t>
            </w:r>
            <w:r>
              <w:rPr>
                <w:sz w:val="21"/>
              </w:rPr>
              <w:t>≥</w:t>
            </w:r>
            <w:r>
              <w:rPr>
                <w:sz w:val="21"/>
              </w:rPr>
              <w:t>4</w:t>
            </w:r>
            <w:r>
              <w:rPr>
                <w:sz w:val="21"/>
              </w:rPr>
              <w:t xml:space="preserve"> </w:t>
            </w:r>
            <w:r>
              <w:rPr>
                <w:sz w:val="21"/>
              </w:rPr>
              <w:t>立方米；</w:t>
            </w:r>
          </w:p>
          <w:p>
            <w:pPr>
              <w:pStyle w:val="null3"/>
              <w:ind w:left="285"/>
              <w:jc w:val="both"/>
            </w:pPr>
            <w:r>
              <w:rPr>
                <w:sz w:val="21"/>
              </w:rPr>
              <w:t>3、</w:t>
            </w:r>
            <w:r>
              <w:rPr>
                <w:sz w:val="21"/>
              </w:rPr>
              <w:t>工作压力为</w:t>
            </w:r>
            <w:r>
              <w:rPr>
                <w:sz w:val="21"/>
              </w:rPr>
              <w:t>≥0.8 MPa；</w:t>
            </w:r>
          </w:p>
          <w:p>
            <w:pPr>
              <w:pStyle w:val="null3"/>
              <w:ind w:left="285"/>
              <w:jc w:val="both"/>
            </w:pPr>
            <w:r>
              <w:rPr>
                <w:sz w:val="21"/>
              </w:rPr>
              <w:t>4、</w:t>
            </w:r>
            <w:r>
              <w:rPr>
                <w:sz w:val="21"/>
              </w:rPr>
              <w:t>符合国家压力容器安全技术监察规程。</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个</w:t>
            </w:r>
          </w:p>
        </w:tc>
      </w:tr>
      <w:tr>
        <w:tc>
          <w:tcPr>
            <w:tcW w:type="dxa" w:w="7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210"/>
              <w:jc w:val="both"/>
            </w:pPr>
            <w:r>
              <w:rPr>
                <w:sz w:val="21"/>
              </w:rPr>
              <w:t>12.</w:t>
            </w:r>
          </w:p>
        </w:tc>
        <w:tc>
          <w:tcPr>
            <w:tcW w:type="dxa" w:w="10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高氧纯度</w:t>
            </w:r>
          </w:p>
          <w:p>
            <w:pPr>
              <w:pStyle w:val="null3"/>
              <w:jc w:val="both"/>
            </w:pPr>
            <w:r>
              <w:rPr>
                <w:sz w:val="21"/>
              </w:rPr>
              <w:t>监测仪</w:t>
            </w:r>
          </w:p>
        </w:tc>
        <w:tc>
          <w:tcPr>
            <w:tcW w:type="dxa" w:w="5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285"/>
              <w:jc w:val="both"/>
            </w:pPr>
            <w:r>
              <w:rPr>
                <w:sz w:val="21"/>
              </w:rPr>
              <w:t>1、</w:t>
            </w:r>
            <w:r>
              <w:rPr>
                <w:sz w:val="21"/>
              </w:rPr>
              <w:t>分辨率：</w:t>
            </w:r>
            <w:r>
              <w:rPr>
                <w:sz w:val="21"/>
              </w:rPr>
              <w:t>≤</w:t>
            </w:r>
            <w:r>
              <w:rPr>
                <w:sz w:val="21"/>
              </w:rPr>
              <w:t>0.01%；</w:t>
            </w:r>
          </w:p>
          <w:p>
            <w:pPr>
              <w:pStyle w:val="null3"/>
              <w:ind w:left="285"/>
              <w:jc w:val="both"/>
            </w:pPr>
            <w:r>
              <w:rPr>
                <w:sz w:val="21"/>
              </w:rPr>
              <w:t>2、</w:t>
            </w:r>
            <w:r>
              <w:rPr>
                <w:sz w:val="21"/>
              </w:rPr>
              <w:t>测量范围：</w:t>
            </w:r>
            <w:r>
              <w:rPr>
                <w:sz w:val="21"/>
              </w:rPr>
              <w:t>10-99.99%；</w:t>
            </w:r>
          </w:p>
          <w:p>
            <w:pPr>
              <w:pStyle w:val="null3"/>
              <w:ind w:left="285"/>
              <w:jc w:val="both"/>
            </w:pPr>
            <w:r>
              <w:rPr>
                <w:sz w:val="21"/>
              </w:rPr>
              <w:t>3、</w:t>
            </w:r>
            <w:r>
              <w:rPr>
                <w:sz w:val="24"/>
              </w:rPr>
              <w:t>▲</w:t>
            </w:r>
            <w:r>
              <w:rPr>
                <w:sz w:val="21"/>
              </w:rPr>
              <w:t>精度</w:t>
            </w:r>
            <w:r>
              <w:rPr>
                <w:sz w:val="21"/>
              </w:rPr>
              <w:t>：</w:t>
            </w:r>
            <w:r>
              <w:rPr>
                <w:sz w:val="21"/>
              </w:rPr>
              <w:t>≤0.5%F.S</w:t>
            </w:r>
            <w:r>
              <w:rPr>
                <w:sz w:val="21"/>
              </w:rPr>
              <w:t>，</w:t>
            </w:r>
            <w:r>
              <w:rPr>
                <w:sz w:val="21"/>
              </w:rPr>
              <w:t>必须提供检测机构出具的检验报告</w:t>
            </w:r>
            <w:r>
              <w:rPr>
                <w:sz w:val="21"/>
              </w:rPr>
              <w:t>；</w:t>
            </w:r>
          </w:p>
          <w:p>
            <w:pPr>
              <w:pStyle w:val="null3"/>
              <w:ind w:left="285"/>
              <w:jc w:val="both"/>
            </w:pPr>
            <w:r>
              <w:rPr>
                <w:sz w:val="21"/>
              </w:rPr>
              <w:t>4、</w:t>
            </w:r>
            <w:r>
              <w:rPr>
                <w:sz w:val="21"/>
              </w:rPr>
              <w:t>显示界面：液晶屏显示，能显示氧浓度；</w:t>
            </w:r>
          </w:p>
          <w:p>
            <w:pPr>
              <w:pStyle w:val="null3"/>
              <w:ind w:left="285"/>
              <w:jc w:val="both"/>
            </w:pPr>
            <w:r>
              <w:rPr>
                <w:sz w:val="21"/>
              </w:rPr>
              <w:t>5、</w:t>
            </w:r>
            <w:r>
              <w:rPr>
                <w:sz w:val="21"/>
              </w:rPr>
              <w:t>具有氧气低纯度报警功能，并有数据远传接口，方便远程监控，具有数据存储功能；</w:t>
            </w:r>
          </w:p>
          <w:p>
            <w:pPr>
              <w:pStyle w:val="null3"/>
              <w:ind w:left="285"/>
              <w:jc w:val="both"/>
            </w:pPr>
            <w:r>
              <w:rPr>
                <w:sz w:val="21"/>
              </w:rPr>
              <w:t>6、</w:t>
            </w:r>
            <w:r>
              <w:rPr>
                <w:sz w:val="21"/>
              </w:rPr>
              <w:t>使用寿命大于</w:t>
            </w:r>
            <w:r>
              <w:rPr>
                <w:sz w:val="21"/>
              </w:rPr>
              <w:t>10年。</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1套</w:t>
            </w:r>
          </w:p>
        </w:tc>
      </w:tr>
      <w:tr>
        <w:tc>
          <w:tcPr>
            <w:tcW w:type="dxa" w:w="7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r>
              <w:rPr>
                <w:sz w:val="21"/>
              </w:rPr>
              <w:t>3</w:t>
            </w:r>
            <w:r>
              <w:rPr>
                <w:sz w:val="21"/>
              </w:rPr>
              <w:t>.</w:t>
            </w:r>
          </w:p>
        </w:tc>
        <w:tc>
          <w:tcPr>
            <w:tcW w:type="dxa" w:w="10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管路系统（机房内设备之间连接管道）</w:t>
            </w:r>
          </w:p>
        </w:tc>
        <w:tc>
          <w:tcPr>
            <w:tcW w:type="dxa" w:w="5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285"/>
              <w:jc w:val="both"/>
            </w:pPr>
            <w:r>
              <w:rPr>
                <w:sz w:val="21"/>
              </w:rPr>
              <w:t>1、</w:t>
            </w:r>
            <w:r>
              <w:rPr>
                <w:sz w:val="21"/>
              </w:rPr>
              <w:t>医气管线系统（制氧机房内部</w:t>
            </w:r>
            <w:r>
              <w:rPr>
                <w:sz w:val="21"/>
              </w:rPr>
              <w:t>连接管、阀门及电源线）：制氧系统组件之间的连接管道采用</w:t>
            </w:r>
            <w:r>
              <w:rPr>
                <w:sz w:val="21"/>
              </w:rPr>
              <w:t>2号磷脱氧紫铜管；采用铜管路及阀门等配件；</w:t>
            </w:r>
          </w:p>
          <w:p>
            <w:pPr>
              <w:pStyle w:val="null3"/>
              <w:ind w:left="285"/>
              <w:jc w:val="both"/>
            </w:pPr>
            <w:r>
              <w:rPr>
                <w:sz w:val="21"/>
              </w:rPr>
              <w:t>2、</w:t>
            </w:r>
            <w:r>
              <w:rPr>
                <w:sz w:val="21"/>
              </w:rPr>
              <w:t>机房内制氧设备之间的连接管道选用</w:t>
            </w:r>
            <w:r>
              <w:rPr>
                <w:sz w:val="21"/>
              </w:rPr>
              <w:t>2号磷脱氧紫铜管，采用相同材质的管路及阀门等配件，并经酸洗脱脂，采</w:t>
            </w:r>
            <w:r>
              <w:rPr>
                <w:sz w:val="21"/>
              </w:rPr>
              <w:t>用</w:t>
            </w:r>
            <w:r>
              <w:rPr>
                <w:sz w:val="21"/>
              </w:rPr>
              <w:t>承插钎焊</w:t>
            </w:r>
            <w:r>
              <w:rPr>
                <w:sz w:val="21"/>
              </w:rPr>
              <w:t>焊接方式连接，无泄漏，保证稳压供氧；</w:t>
            </w:r>
          </w:p>
          <w:p>
            <w:pPr>
              <w:pStyle w:val="null3"/>
              <w:ind w:left="285"/>
              <w:jc w:val="both"/>
            </w:pPr>
            <w:r>
              <w:rPr>
                <w:sz w:val="21"/>
              </w:rPr>
              <w:t>3、</w:t>
            </w:r>
            <w:r>
              <w:rPr>
                <w:sz w:val="21"/>
              </w:rPr>
              <w:t>氧气管道应严格按脱脂工艺去油脱脂，并提供脱脂检测报告；</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1套</w:t>
            </w:r>
          </w:p>
        </w:tc>
      </w:tr>
      <w:tr>
        <w:tc>
          <w:tcPr>
            <w:tcW w:type="dxa" w:w="7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r>
              <w:rPr>
                <w:sz w:val="21"/>
              </w:rPr>
              <w:t>4</w:t>
            </w:r>
            <w:r>
              <w:rPr>
                <w:sz w:val="21"/>
              </w:rPr>
              <w:t>.</w:t>
            </w:r>
          </w:p>
        </w:tc>
        <w:tc>
          <w:tcPr>
            <w:tcW w:type="dxa" w:w="10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PSA设备远程监</w:t>
            </w:r>
            <w:r>
              <w:rPr>
                <w:sz w:val="21"/>
              </w:rPr>
              <w:t>控系统</w:t>
            </w:r>
          </w:p>
        </w:tc>
        <w:tc>
          <w:tcPr>
            <w:tcW w:type="dxa" w:w="5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通过移动物联网，实现对制氧系统各设备在现场和医院中心控制室，实时监控设备的运行状态，并对系统设备的报警</w:t>
            </w:r>
            <w:r>
              <w:rPr>
                <w:sz w:val="21"/>
              </w:rPr>
              <w:t>以及故障原因</w:t>
            </w:r>
            <w:r>
              <w:rPr>
                <w:sz w:val="21"/>
              </w:rPr>
              <w:t>做出自动或人工的相应处理。采用开放性协议</w:t>
            </w:r>
            <w:r>
              <w:rPr>
                <w:sz w:val="21"/>
              </w:rPr>
              <w:t>，</w:t>
            </w:r>
            <w:r>
              <w:rPr>
                <w:sz w:val="21"/>
              </w:rPr>
              <w:t>对监控系统的操作设置多层分级密码，以便于分级操作。采用全自动控制，远程监控功能无须工作人员长期监视</w:t>
            </w:r>
            <w:r>
              <w:rPr>
                <w:sz w:val="21"/>
              </w:rPr>
              <w:t>，</w:t>
            </w:r>
            <w:r>
              <w:rPr>
                <w:sz w:val="21"/>
              </w:rPr>
              <w:t>且物联网移动卡终身不收取网络费用。此项需提供生产厂家计算机软件著作权登记证书复印件。</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1套</w:t>
            </w:r>
          </w:p>
        </w:tc>
      </w:tr>
      <w:tr>
        <w:tc>
          <w:tcPr>
            <w:tcW w:type="dxa" w:w="7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r>
              <w:rPr>
                <w:sz w:val="21"/>
              </w:rPr>
              <w:t>5</w:t>
            </w:r>
            <w:r>
              <w:rPr>
                <w:sz w:val="21"/>
              </w:rPr>
              <w:t>.</w:t>
            </w:r>
          </w:p>
        </w:tc>
        <w:tc>
          <w:tcPr>
            <w:tcW w:type="dxa" w:w="10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氧气质量</w:t>
            </w:r>
          </w:p>
        </w:tc>
        <w:tc>
          <w:tcPr>
            <w:tcW w:type="dxa" w:w="5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285"/>
              <w:jc w:val="both"/>
            </w:pPr>
            <w:r>
              <w:rPr>
                <w:sz w:val="21"/>
              </w:rPr>
              <w:t>1、</w:t>
            </w:r>
            <w:r>
              <w:rPr>
                <w:sz w:val="21"/>
              </w:rPr>
              <w:t>氧浓度：</w:t>
            </w:r>
            <w:r>
              <w:rPr>
                <w:sz w:val="21"/>
              </w:rPr>
              <w:t>93±3%（</w:t>
            </w:r>
            <w:r>
              <w:rPr>
                <w:sz w:val="21"/>
              </w:rPr>
              <w:t>V/V</w:t>
            </w:r>
            <w:r>
              <w:rPr>
                <w:sz w:val="21"/>
              </w:rPr>
              <w:t>）；</w:t>
            </w:r>
          </w:p>
          <w:p>
            <w:pPr>
              <w:pStyle w:val="null3"/>
              <w:ind w:left="285"/>
              <w:jc w:val="both"/>
            </w:pPr>
            <w:r>
              <w:rPr>
                <w:sz w:val="21"/>
              </w:rPr>
              <w:t>2、</w:t>
            </w:r>
            <w:r>
              <w:rPr>
                <w:sz w:val="21"/>
              </w:rPr>
              <w:t>露点：</w:t>
            </w:r>
            <w:r>
              <w:rPr>
                <w:sz w:val="21"/>
              </w:rPr>
              <w:t>≤</w:t>
            </w:r>
            <w:r>
              <w:rPr>
                <w:sz w:val="21"/>
              </w:rPr>
              <w:t>-46℃</w:t>
            </w:r>
            <w:r>
              <w:rPr>
                <w:sz w:val="21"/>
              </w:rPr>
              <w:t>；</w:t>
            </w:r>
          </w:p>
          <w:p>
            <w:pPr>
              <w:pStyle w:val="null3"/>
              <w:ind w:left="285"/>
              <w:jc w:val="both"/>
            </w:pPr>
            <w:r>
              <w:rPr>
                <w:sz w:val="21"/>
              </w:rPr>
              <w:t>3、</w:t>
            </w:r>
            <w:r>
              <w:rPr>
                <w:sz w:val="21"/>
              </w:rPr>
              <w:t>二氧化碳含量：</w:t>
            </w:r>
            <w:r>
              <w:rPr>
                <w:sz w:val="21"/>
              </w:rPr>
              <w:t>≤</w:t>
            </w:r>
            <w:r>
              <w:rPr>
                <w:sz w:val="21"/>
              </w:rPr>
              <w:t>0.</w:t>
            </w:r>
            <w:r>
              <w:rPr>
                <w:sz w:val="21"/>
              </w:rPr>
              <w:t>03% (V/V);</w:t>
            </w:r>
          </w:p>
          <w:p>
            <w:pPr>
              <w:pStyle w:val="null3"/>
              <w:ind w:left="285"/>
              <w:jc w:val="both"/>
            </w:pPr>
            <w:r>
              <w:rPr>
                <w:sz w:val="21"/>
              </w:rPr>
              <w:t>4、</w:t>
            </w:r>
            <w:r>
              <w:rPr>
                <w:sz w:val="21"/>
              </w:rPr>
              <w:t>一氧化碳含量：</w:t>
            </w:r>
            <w:r>
              <w:rPr>
                <w:sz w:val="21"/>
              </w:rPr>
              <w:t>≤</w:t>
            </w:r>
            <w:r>
              <w:rPr>
                <w:sz w:val="21"/>
              </w:rPr>
              <w:t>5*10</w:t>
            </w:r>
            <w:r>
              <w:rPr>
                <w:sz w:val="21"/>
                <w:vertAlign w:val="superscript"/>
              </w:rPr>
              <w:t>-6</w:t>
            </w:r>
            <w:r>
              <w:rPr>
                <w:sz w:val="21"/>
              </w:rPr>
              <w:t>(V/V);</w:t>
            </w:r>
          </w:p>
          <w:p>
            <w:pPr>
              <w:pStyle w:val="null3"/>
              <w:ind w:left="285"/>
              <w:jc w:val="both"/>
            </w:pPr>
            <w:r>
              <w:rPr>
                <w:sz w:val="21"/>
              </w:rPr>
              <w:t>5、</w:t>
            </w:r>
            <w:r>
              <w:rPr>
                <w:sz w:val="21"/>
              </w:rPr>
              <w:t>气态酸性物质和碱性物质含量应符合</w:t>
            </w:r>
            <w:r>
              <w:rPr>
                <w:sz w:val="21"/>
              </w:rPr>
              <w:t>GB8982-2009中表1的规定；</w:t>
            </w:r>
          </w:p>
          <w:p>
            <w:pPr>
              <w:pStyle w:val="null3"/>
              <w:ind w:left="285"/>
              <w:jc w:val="both"/>
            </w:pPr>
            <w:r>
              <w:rPr>
                <w:sz w:val="21"/>
              </w:rPr>
              <w:t>6、</w:t>
            </w:r>
            <w:r>
              <w:rPr>
                <w:sz w:val="21"/>
              </w:rPr>
              <w:t>臭氧及其他气态氧化物含量应符合</w:t>
            </w:r>
            <w:r>
              <w:rPr>
                <w:sz w:val="21"/>
              </w:rPr>
              <w:t>GB8982-2009中表1的规定；</w:t>
            </w:r>
          </w:p>
          <w:p>
            <w:pPr>
              <w:pStyle w:val="null3"/>
              <w:ind w:left="285"/>
              <w:jc w:val="both"/>
            </w:pPr>
            <w:r>
              <w:rPr>
                <w:sz w:val="21"/>
              </w:rPr>
              <w:t>7、</w:t>
            </w:r>
            <w:r>
              <w:rPr>
                <w:sz w:val="21"/>
              </w:rPr>
              <w:t>氧气应无气味；</w:t>
            </w:r>
          </w:p>
          <w:p>
            <w:pPr>
              <w:pStyle w:val="null3"/>
              <w:ind w:left="285"/>
              <w:jc w:val="both"/>
            </w:pPr>
            <w:r>
              <w:rPr>
                <w:sz w:val="21"/>
              </w:rPr>
              <w:t>8、</w:t>
            </w:r>
            <w:r>
              <w:rPr>
                <w:sz w:val="21"/>
              </w:rPr>
              <w:t>固体物质粒径：</w:t>
            </w:r>
            <w:r>
              <w:rPr>
                <w:sz w:val="21"/>
              </w:rPr>
              <w:t>≤10μm；</w:t>
            </w:r>
          </w:p>
          <w:p>
            <w:pPr>
              <w:pStyle w:val="null3"/>
              <w:ind w:left="285"/>
              <w:jc w:val="both"/>
            </w:pPr>
            <w:r>
              <w:rPr>
                <w:sz w:val="21"/>
              </w:rPr>
              <w:t>9、</w:t>
            </w:r>
            <w:r>
              <w:rPr>
                <w:sz w:val="21"/>
              </w:rPr>
              <w:t>固体物质含量：</w:t>
            </w:r>
            <w:r>
              <w:rPr>
                <w:sz w:val="21"/>
              </w:rPr>
              <w:t>≤0.5mg/</w:t>
            </w:r>
            <w:r>
              <w:rPr>
                <w:sz w:val="21"/>
              </w:rPr>
              <w:t>m³；</w:t>
            </w:r>
          </w:p>
          <w:p>
            <w:pPr>
              <w:pStyle w:val="null3"/>
              <w:ind w:left="285"/>
              <w:jc w:val="both"/>
            </w:pPr>
            <w:r>
              <w:rPr>
                <w:sz w:val="21"/>
              </w:rPr>
              <w:t>10、</w:t>
            </w:r>
            <w:r>
              <w:rPr>
                <w:sz w:val="21"/>
              </w:rPr>
              <w:t>总烃含量（体积分数）</w:t>
            </w:r>
            <w:r>
              <w:rPr>
                <w:sz w:val="21"/>
              </w:rPr>
              <w:t>：</w:t>
            </w:r>
            <w:r>
              <w:rPr>
                <w:sz w:val="21"/>
              </w:rPr>
              <w:t>≤</w:t>
            </w:r>
            <w:r>
              <w:rPr>
                <w:sz w:val="21"/>
              </w:rPr>
              <w:t>60ppm；</w:t>
            </w:r>
          </w:p>
          <w:p>
            <w:pPr>
              <w:pStyle w:val="null3"/>
              <w:ind w:left="285"/>
              <w:jc w:val="both"/>
            </w:pPr>
            <w:r>
              <w:rPr>
                <w:sz w:val="21"/>
              </w:rPr>
              <w:t>11、</w:t>
            </w:r>
            <w:r>
              <w:rPr>
                <w:sz w:val="21"/>
              </w:rPr>
              <w:t>二氧化硫不超过</w:t>
            </w:r>
            <w:r>
              <w:rPr>
                <w:sz w:val="21"/>
              </w:rPr>
              <w:t>0.0001%（ml/ml）；</w:t>
            </w:r>
          </w:p>
          <w:p>
            <w:pPr>
              <w:pStyle w:val="null3"/>
              <w:ind w:left="285"/>
              <w:jc w:val="both"/>
            </w:pPr>
            <w:r>
              <w:rPr>
                <w:sz w:val="21"/>
              </w:rPr>
              <w:t>12、</w:t>
            </w:r>
            <w:r>
              <w:rPr>
                <w:sz w:val="21"/>
              </w:rPr>
              <w:t>氮氧化物不超过</w:t>
            </w:r>
            <w:r>
              <w:rPr>
                <w:sz w:val="21"/>
              </w:rPr>
              <w:t>0.0002%（ml/ml）；</w:t>
            </w:r>
          </w:p>
          <w:p>
            <w:pPr>
              <w:pStyle w:val="null3"/>
              <w:ind w:left="285"/>
              <w:jc w:val="both"/>
            </w:pPr>
            <w:r>
              <w:rPr>
                <w:sz w:val="21"/>
              </w:rPr>
              <w:t>13、</w:t>
            </w:r>
            <w:r>
              <w:rPr>
                <w:sz w:val="21"/>
              </w:rPr>
              <w:t>含油不超过</w:t>
            </w:r>
            <w:r>
              <w:rPr>
                <w:sz w:val="21"/>
              </w:rPr>
              <w:t>0.1mg/m³；</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r>
    </w:tbl>
    <w:p>
      <w:pPr>
        <w:pStyle w:val="null3"/>
        <w:jc w:val="both"/>
      </w:pPr>
      <w:r>
        <w:rPr>
          <w:sz w:val="21"/>
          <w:b/>
        </w:rPr>
        <w:t>（二）</w:t>
      </w:r>
      <w:r>
        <w:rPr>
          <w:sz w:val="21"/>
          <w:b/>
        </w:rPr>
        <w:t>医用中心供氧系统</w:t>
      </w:r>
    </w:p>
    <w:p>
      <w:pPr>
        <w:pStyle w:val="null3"/>
        <w:ind w:firstLine="415"/>
        <w:jc w:val="left"/>
      </w:pPr>
      <w:r>
        <w:rPr>
          <w:sz w:val="21"/>
          <w:b/>
        </w:rPr>
        <w:t>一</w:t>
      </w:r>
      <w:r>
        <w:rPr>
          <w:sz w:val="21"/>
          <w:b/>
        </w:rPr>
        <w:t>)</w:t>
      </w:r>
      <w:r>
        <w:rPr>
          <w:sz w:val="21"/>
          <w:b/>
        </w:rPr>
        <w:t>供氧管道</w:t>
      </w:r>
    </w:p>
    <w:p>
      <w:pPr>
        <w:pStyle w:val="null3"/>
        <w:ind w:firstLine="555"/>
        <w:jc w:val="both"/>
      </w:pPr>
      <w:r>
        <w:rPr>
          <w:sz w:val="21"/>
        </w:rPr>
        <w:t>氧气管道均采用</w:t>
      </w:r>
      <w:r>
        <w:rPr>
          <w:sz w:val="21"/>
        </w:rPr>
        <w:t>TP2紫铜管</w:t>
      </w:r>
      <w:r>
        <w:rPr>
          <w:sz w:val="21"/>
        </w:rPr>
        <w:t>，并经酸洗脱脂，采用</w:t>
      </w:r>
      <w:r>
        <w:rPr>
          <w:sz w:val="21"/>
        </w:rPr>
        <w:t>承插钎焊</w:t>
      </w:r>
      <w:r>
        <w:rPr>
          <w:sz w:val="21"/>
        </w:rPr>
        <w:t>焊接方式连接，无泄漏，保证稳压供气</w:t>
      </w:r>
      <w:r>
        <w:rPr>
          <w:sz w:val="21"/>
        </w:rPr>
        <w:t>。</w:t>
      </w:r>
    </w:p>
    <w:p>
      <w:pPr>
        <w:pStyle w:val="null3"/>
        <w:ind w:firstLine="555"/>
        <w:jc w:val="both"/>
      </w:pPr>
      <w:r>
        <w:rPr>
          <w:sz w:val="21"/>
        </w:rPr>
        <w:t>主要技术参数：</w:t>
      </w:r>
    </w:p>
    <w:p>
      <w:pPr>
        <w:pStyle w:val="null3"/>
        <w:ind w:firstLine="555"/>
        <w:jc w:val="both"/>
      </w:pPr>
      <w:r>
        <w:rPr>
          <w:sz w:val="21"/>
        </w:rPr>
        <w:t>1.</w:t>
      </w:r>
      <w:r>
        <w:rPr>
          <w:sz w:val="21"/>
        </w:rPr>
        <w:t>材质：</w:t>
      </w:r>
      <w:r>
        <w:rPr>
          <w:sz w:val="21"/>
        </w:rPr>
        <w:t>2号磷脱氧紫铜管</w:t>
      </w:r>
      <w:r>
        <w:rPr>
          <w:sz w:val="21"/>
        </w:rPr>
        <w:t>；</w:t>
      </w:r>
    </w:p>
    <w:p>
      <w:pPr>
        <w:pStyle w:val="null3"/>
        <w:ind w:firstLine="555"/>
        <w:jc w:val="both"/>
      </w:pPr>
      <w:r>
        <w:rPr>
          <w:sz w:val="21"/>
        </w:rPr>
        <w:t>2.</w:t>
      </w:r>
      <w:r>
        <w:rPr>
          <w:sz w:val="21"/>
        </w:rPr>
        <w:t>焊接方式：</w:t>
      </w:r>
      <w:r>
        <w:rPr>
          <w:sz w:val="21"/>
        </w:rPr>
        <w:t>承插钎焊</w:t>
      </w:r>
      <w:r>
        <w:rPr>
          <w:sz w:val="21"/>
        </w:rPr>
        <w:t>；</w:t>
      </w:r>
    </w:p>
    <w:p>
      <w:pPr>
        <w:pStyle w:val="null3"/>
        <w:ind w:firstLine="555"/>
        <w:jc w:val="both"/>
      </w:pPr>
      <w:r>
        <w:rPr>
          <w:sz w:val="21"/>
        </w:rPr>
        <w:t>3.</w:t>
      </w:r>
      <w:r>
        <w:rPr>
          <w:sz w:val="21"/>
        </w:rPr>
        <w:t>符合标准：</w:t>
      </w:r>
      <w:r>
        <w:rPr>
          <w:sz w:val="21"/>
        </w:rPr>
        <w:t>YS/T 650-2020《医用气体和真空用无缝铜管》</w:t>
      </w:r>
      <w:r>
        <w:rPr>
          <w:sz w:val="21"/>
        </w:rPr>
        <w:t>；为了保证病人的使用安全，</w:t>
      </w:r>
      <w:r>
        <w:rPr>
          <w:sz w:val="21"/>
        </w:rPr>
        <w:t>管道</w:t>
      </w:r>
      <w:r>
        <w:rPr>
          <w:sz w:val="21"/>
        </w:rPr>
        <w:t>指标应符合</w:t>
      </w:r>
      <w:r>
        <w:rPr>
          <w:sz w:val="21"/>
        </w:rPr>
        <w:t>相关标准</w:t>
      </w:r>
      <w:r>
        <w:rPr>
          <w:sz w:val="21"/>
        </w:rPr>
        <w:t>要求</w:t>
      </w:r>
      <w:r>
        <w:rPr>
          <w:sz w:val="21"/>
        </w:rPr>
        <w:t>，</w:t>
      </w:r>
      <w:r>
        <w:rPr>
          <w:sz w:val="21"/>
        </w:rPr>
        <w:t>提供相关检测报告。</w:t>
      </w:r>
    </w:p>
    <w:p>
      <w:pPr>
        <w:pStyle w:val="null3"/>
        <w:ind w:firstLine="420"/>
      </w:pPr>
      <w:r>
        <w:rPr>
          <w:sz w:val="21"/>
        </w:rPr>
        <w:t>氧气管道按脱脂工艺严格去油脱脂，并酸洗、脱脂及抗氧化处理后封堵，再发到现场。由氧源至大楼管井的主管根据项目实际情况敷设，管井内主管道安装根据楼层用气情况安装至各用气楼层，每个病区走廊横管安装在走廊吊顶内，病房内支管从房间内吊顶下来至设备带前</w:t>
      </w:r>
      <w:r>
        <w:rPr>
          <w:sz w:val="21"/>
        </w:rPr>
        <w:t>(1)安装方式：明敷，安装在PVC/铝合金槽板内，其余安装在铝合金设备带内；</w:t>
      </w:r>
    </w:p>
    <w:p>
      <w:pPr>
        <w:pStyle w:val="null3"/>
        <w:ind w:firstLine="415"/>
        <w:jc w:val="left"/>
      </w:pPr>
      <w:r>
        <w:rPr>
          <w:sz w:val="21"/>
          <w:b/>
        </w:rPr>
        <w:t>二</w:t>
      </w:r>
      <w:r>
        <w:rPr>
          <w:sz w:val="21"/>
          <w:b/>
        </w:rPr>
        <w:t>)</w:t>
      </w:r>
      <w:r>
        <w:rPr>
          <w:sz w:val="21"/>
          <w:b/>
        </w:rPr>
        <w:t>二级减压箱</w:t>
      </w:r>
    </w:p>
    <w:p>
      <w:pPr>
        <w:pStyle w:val="null3"/>
        <w:ind w:firstLine="555"/>
        <w:jc w:val="both"/>
      </w:pPr>
      <w:r>
        <w:rPr>
          <w:sz w:val="21"/>
        </w:rPr>
        <w:t>1.</w:t>
      </w:r>
      <w:r>
        <w:rPr>
          <w:sz w:val="21"/>
        </w:rPr>
        <w:t>用于病房所在楼层或手术室气体入口处，将管路压力调整到一定的压力范围之内。</w:t>
      </w:r>
    </w:p>
    <w:p>
      <w:pPr>
        <w:pStyle w:val="null3"/>
        <w:ind w:firstLine="555"/>
        <w:jc w:val="both"/>
      </w:pPr>
      <w:r>
        <w:rPr>
          <w:sz w:val="21"/>
        </w:rPr>
        <w:t>2.</w:t>
      </w:r>
      <w:r>
        <w:rPr>
          <w:sz w:val="21"/>
        </w:rPr>
        <w:t>能开启或者切断所在区域的管路通道，便于管道及设备维护。</w:t>
      </w:r>
    </w:p>
    <w:p>
      <w:pPr>
        <w:pStyle w:val="null3"/>
        <w:ind w:firstLine="555"/>
        <w:jc w:val="both"/>
      </w:pPr>
      <w:r>
        <w:rPr>
          <w:sz w:val="21"/>
        </w:rPr>
        <w:t>3.</w:t>
      </w:r>
      <w:r>
        <w:rPr>
          <w:sz w:val="21"/>
        </w:rPr>
        <w:t>双路设计，一路用一路备用，保证不间断供气。</w:t>
      </w:r>
    </w:p>
    <w:p>
      <w:pPr>
        <w:pStyle w:val="null3"/>
        <w:ind w:firstLine="555"/>
        <w:jc w:val="both"/>
      </w:pPr>
      <w:r>
        <w:rPr>
          <w:sz w:val="21"/>
        </w:rPr>
        <w:t>4.</w:t>
      </w:r>
      <w:r>
        <w:rPr>
          <w:sz w:val="21"/>
        </w:rPr>
        <w:t>箱体材质钢板喷塑，明装。</w:t>
      </w:r>
    </w:p>
    <w:p>
      <w:pPr>
        <w:pStyle w:val="null3"/>
        <w:ind w:firstLine="555"/>
        <w:jc w:val="both"/>
      </w:pPr>
      <w:r>
        <w:rPr>
          <w:sz w:val="21"/>
        </w:rPr>
        <w:t>5.</w:t>
      </w:r>
      <w:r>
        <w:rPr>
          <w:sz w:val="21"/>
        </w:rPr>
        <w:t>内部配置：</w:t>
      </w:r>
      <w:r>
        <w:rPr>
          <w:sz w:val="21"/>
        </w:rPr>
        <w:t>2只1.5级气体压力表，气体截止阀4只，气体减压器 2套，安全阀一只，气体管道及其配件。</w:t>
      </w:r>
    </w:p>
    <w:p>
      <w:pPr>
        <w:pStyle w:val="null3"/>
        <w:ind w:firstLine="555"/>
        <w:jc w:val="both"/>
      </w:pPr>
      <w:r>
        <w:rPr>
          <w:sz w:val="21"/>
        </w:rPr>
        <w:t>6.</w:t>
      </w:r>
      <w:r>
        <w:rPr>
          <w:sz w:val="21"/>
        </w:rPr>
        <w:t>进口压力：</w:t>
      </w:r>
      <w:r>
        <w:rPr>
          <w:sz w:val="21"/>
        </w:rPr>
        <w:t>0.8-1.2mpa。</w:t>
      </w:r>
    </w:p>
    <w:p>
      <w:pPr>
        <w:pStyle w:val="null3"/>
        <w:ind w:firstLine="555"/>
        <w:jc w:val="both"/>
      </w:pPr>
      <w:r>
        <w:rPr>
          <w:sz w:val="21"/>
        </w:rPr>
        <w:t>7.</w:t>
      </w:r>
      <w:r>
        <w:rPr>
          <w:sz w:val="21"/>
        </w:rPr>
        <w:t>出口压力：</w:t>
      </w:r>
      <w:r>
        <w:rPr>
          <w:sz w:val="21"/>
        </w:rPr>
        <w:t>0.35-0.45mpa（连续可调）。</w:t>
      </w:r>
    </w:p>
    <w:p>
      <w:pPr>
        <w:pStyle w:val="null3"/>
        <w:ind w:firstLine="555"/>
        <w:jc w:val="both"/>
      </w:pPr>
      <w:r>
        <w:rPr>
          <w:sz w:val="21"/>
        </w:rPr>
        <w:t>8.</w:t>
      </w:r>
      <w:r>
        <w:rPr>
          <w:sz w:val="21"/>
        </w:rPr>
        <w:t>多种流量可供选择。</w:t>
      </w:r>
    </w:p>
    <w:p>
      <w:pPr>
        <w:pStyle w:val="null3"/>
        <w:ind w:left="555"/>
        <w:jc w:val="both"/>
      </w:pPr>
      <w:r>
        <w:rPr>
          <w:sz w:val="21"/>
        </w:rPr>
        <w:t>10.▲二级箱符合GB/T 13927-2022工业阀门压力试验等要求进行检测，管路能承受各种气体工作压力的1.5倍，需提供第三方检测报告。</w:t>
      </w:r>
    </w:p>
    <w:p>
      <w:pPr>
        <w:pStyle w:val="null3"/>
        <w:ind w:left="555"/>
        <w:jc w:val="both"/>
      </w:pPr>
      <w:r>
        <w:rPr>
          <w:sz w:val="21"/>
        </w:rPr>
        <w:t>11.▲二级箱通过中</w:t>
      </w:r>
      <w:r>
        <w:rPr>
          <w:sz w:val="21"/>
        </w:rPr>
        <w:t>性盐雾检测</w:t>
      </w:r>
      <w:r>
        <w:rPr>
          <w:sz w:val="21"/>
        </w:rPr>
        <w:t>，需提供第三方检测报告。</w:t>
      </w:r>
    </w:p>
    <w:p>
      <w:pPr>
        <w:pStyle w:val="null3"/>
        <w:ind w:firstLine="415"/>
        <w:jc w:val="left"/>
      </w:pPr>
      <w:r>
        <w:rPr>
          <w:sz w:val="21"/>
          <w:b/>
        </w:rPr>
        <w:t>三</w:t>
      </w:r>
      <w:r>
        <w:rPr>
          <w:sz w:val="21"/>
          <w:b/>
        </w:rPr>
        <w:t>)</w:t>
      </w:r>
      <w:r>
        <w:rPr>
          <w:sz w:val="21"/>
          <w:b/>
        </w:rPr>
        <w:t>压力监测箱</w:t>
      </w:r>
    </w:p>
    <w:p>
      <w:pPr>
        <w:pStyle w:val="null3"/>
        <w:ind w:left="555"/>
        <w:jc w:val="both"/>
      </w:pPr>
      <w:r>
        <w:rPr>
          <w:sz w:val="21"/>
        </w:rPr>
        <w:t>1.</w:t>
      </w:r>
      <w:r>
        <w:rPr>
          <w:sz w:val="21"/>
        </w:rPr>
        <w:t>为保证各病区病房内终端压力使用安全和监测每个病区的气体压力情况及便于维修和管理，特在每层楼护士站安装一台压力监护装置，以便检测每个病区氧气压力在</w:t>
      </w:r>
      <w:r>
        <w:rPr>
          <w:sz w:val="21"/>
        </w:rPr>
        <w:t>0.32～0.5MPa范围内，以实现连续稳定安全的供氧，保证系统正常运行。</w:t>
      </w:r>
    </w:p>
    <w:p>
      <w:pPr>
        <w:pStyle w:val="null3"/>
        <w:ind w:left="555"/>
        <w:jc w:val="both"/>
      </w:pPr>
      <w:r>
        <w:rPr>
          <w:sz w:val="21"/>
        </w:rPr>
        <w:t>2.</w:t>
      </w:r>
      <w:r>
        <w:rPr>
          <w:sz w:val="21"/>
        </w:rPr>
        <w:t>压力监测箱接入</w:t>
      </w:r>
      <w:r>
        <w:rPr>
          <w:sz w:val="21"/>
        </w:rPr>
        <w:t>0.4MPa工作压力后，各连接处应无泄露现象。</w:t>
      </w:r>
    </w:p>
    <w:p>
      <w:pPr>
        <w:pStyle w:val="null3"/>
        <w:ind w:left="555"/>
        <w:jc w:val="both"/>
      </w:pPr>
      <w:r>
        <w:rPr>
          <w:sz w:val="21"/>
        </w:rPr>
        <w:t>3.</w:t>
      </w:r>
      <w:r>
        <w:rPr>
          <w:sz w:val="21"/>
        </w:rPr>
        <w:t>压力监测箱加工尺寸符合</w:t>
      </w:r>
      <w:r>
        <w:rPr>
          <w:sz w:val="21"/>
        </w:rPr>
        <w:t>GB/T1804-2000的m级要求。</w:t>
      </w:r>
    </w:p>
    <w:p>
      <w:pPr>
        <w:pStyle w:val="null3"/>
        <w:ind w:left="555"/>
        <w:jc w:val="both"/>
      </w:pPr>
      <w:r>
        <w:rPr>
          <w:sz w:val="21"/>
        </w:rPr>
        <w:t>4.</w:t>
      </w:r>
      <w:r>
        <w:rPr>
          <w:sz w:val="21"/>
        </w:rPr>
        <w:t>压力表符合</w:t>
      </w:r>
      <w:r>
        <w:rPr>
          <w:sz w:val="21"/>
        </w:rPr>
        <w:t>2.5级要求。</w:t>
      </w:r>
    </w:p>
    <w:p>
      <w:pPr>
        <w:pStyle w:val="null3"/>
        <w:ind w:firstLine="415"/>
        <w:jc w:val="left"/>
      </w:pPr>
      <w:r>
        <w:rPr>
          <w:sz w:val="21"/>
          <w:b/>
        </w:rPr>
        <w:t>四</w:t>
      </w:r>
      <w:r>
        <w:rPr>
          <w:sz w:val="21"/>
          <w:b/>
        </w:rPr>
        <w:t>)</w:t>
      </w:r>
      <w:r>
        <w:rPr>
          <w:sz w:val="21"/>
          <w:b/>
        </w:rPr>
        <w:t>设备带</w:t>
      </w:r>
    </w:p>
    <w:p>
      <w:pPr>
        <w:pStyle w:val="null3"/>
        <w:ind w:firstLine="555"/>
        <w:jc w:val="both"/>
      </w:pPr>
      <w:r>
        <w:rPr>
          <w:sz w:val="21"/>
        </w:rPr>
        <w:t>1.</w:t>
      </w:r>
      <w:r>
        <w:rPr>
          <w:sz w:val="21"/>
        </w:rPr>
        <w:t>本</w:t>
      </w:r>
      <w:r>
        <w:rPr>
          <w:sz w:val="21"/>
        </w:rPr>
        <w:t>项目</w:t>
      </w:r>
      <w:r>
        <w:rPr>
          <w:sz w:val="21"/>
        </w:rPr>
        <w:t>设计中采用组合式铝合金整体化设计，组合式面板，安装时通长布置，设备带上应设置氧气、吸引等自封式快速插座、防漏电电源保护开关、电源插座、传呼分机、床头灯等。所有终端设备均可在不动底板的情况下拆卸维修。</w:t>
      </w:r>
    </w:p>
    <w:p>
      <w:pPr>
        <w:pStyle w:val="null3"/>
        <w:ind w:firstLine="555"/>
        <w:jc w:val="both"/>
      </w:pPr>
      <w:r>
        <w:rPr>
          <w:sz w:val="21"/>
        </w:rPr>
        <w:t>2.</w:t>
      </w:r>
      <w:r>
        <w:rPr>
          <w:sz w:val="21"/>
        </w:rPr>
        <w:t>医疗设备带表面采用静电喷塑，截面尺寸</w:t>
      </w:r>
      <w:r>
        <w:rPr>
          <w:sz w:val="21"/>
        </w:rPr>
        <w:t>≥220×63mm，壁厚≥1.6mm。</w:t>
      </w:r>
    </w:p>
    <w:p>
      <w:pPr>
        <w:pStyle w:val="null3"/>
        <w:ind w:firstLine="555"/>
        <w:jc w:val="both"/>
      </w:pPr>
      <w:r>
        <w:rPr>
          <w:sz w:val="21"/>
        </w:rPr>
        <w:t>3.</w:t>
      </w:r>
      <w:r>
        <w:rPr>
          <w:sz w:val="21"/>
        </w:rPr>
        <w:t>医用设备带内设置气体腔、强电腔、弱电腔三个独立安装腔，以确保用电安全，符合国际安全标准，并具有良好的防腐和保洁效果。</w:t>
      </w:r>
    </w:p>
    <w:p>
      <w:pPr>
        <w:pStyle w:val="null3"/>
        <w:ind w:firstLine="555"/>
        <w:jc w:val="both"/>
      </w:pPr>
      <w:r>
        <w:rPr>
          <w:sz w:val="21"/>
        </w:rPr>
        <w:t>4.</w:t>
      </w:r>
      <w:r>
        <w:rPr>
          <w:sz w:val="21"/>
        </w:rPr>
        <w:t>▲材质：铝型材 6</w:t>
      </w:r>
      <w:r>
        <w:rPr>
          <w:sz w:val="21"/>
        </w:rPr>
        <w:t>005</w:t>
      </w:r>
      <w:r>
        <w:rPr>
          <w:sz w:val="21"/>
        </w:rPr>
        <w:t>-T5，设备带中的拉伸试验、韦氏硬度、化学成分、膜厚、封孔质量、耐盐雾腐蚀性、耐磨性达到或优于国家标准；提供国家法定检测机构出具的完整有效的拉伸试验、韦氏硬度、化学成分、膜厚、封孔质量、耐盐雾腐蚀性、耐磨性检测报告；</w:t>
      </w:r>
    </w:p>
    <w:p>
      <w:pPr>
        <w:pStyle w:val="null3"/>
        <w:ind w:firstLine="555"/>
        <w:jc w:val="both"/>
      </w:pPr>
      <w:r>
        <w:rPr>
          <w:sz w:val="21"/>
        </w:rPr>
        <w:t>5.</w:t>
      </w:r>
      <w:r>
        <w:rPr>
          <w:sz w:val="21"/>
        </w:rPr>
        <w:t>表面处理：采用粉末静电喷涂，其抗腐蚀、抗菌性能达到国家标准；提供国家法定检测机构出具的完整有效的盐雾试验、抗细菌（金黄色葡萄球菌、大肠杆菌、白色念珠菌）性能检测报告；</w:t>
      </w:r>
    </w:p>
    <w:p>
      <w:pPr>
        <w:pStyle w:val="null3"/>
        <w:ind w:firstLine="555"/>
        <w:jc w:val="both"/>
      </w:pPr>
      <w:r>
        <w:rPr>
          <w:sz w:val="21"/>
        </w:rPr>
        <w:t>6.</w:t>
      </w:r>
      <w:r>
        <w:rPr>
          <w:sz w:val="21"/>
        </w:rPr>
        <w:t>铝合金材质不含镉、铅、汞、六价铬等有害物质，提供国家法定检测机构出具的完整有效的无有害物质检测报告；</w:t>
      </w:r>
    </w:p>
    <w:p>
      <w:pPr>
        <w:pStyle w:val="null3"/>
        <w:ind w:firstLine="555"/>
        <w:jc w:val="both"/>
      </w:pPr>
      <w:r>
        <w:rPr>
          <w:sz w:val="21"/>
        </w:rPr>
        <w:t>7.</w:t>
      </w:r>
      <w:r>
        <w:rPr>
          <w:sz w:val="21"/>
        </w:rPr>
        <w:t>▲设备带的保护接地、功能接地和符合国标要求，提供国家法定检测机构出具的完整有效的接地阻抗测试报告；</w:t>
      </w:r>
    </w:p>
    <w:p>
      <w:pPr>
        <w:pStyle w:val="null3"/>
        <w:ind w:firstLine="555"/>
        <w:jc w:val="both"/>
      </w:pPr>
      <w:r>
        <w:rPr>
          <w:sz w:val="21"/>
        </w:rPr>
        <w:t>8.</w:t>
      </w:r>
      <w:r>
        <w:rPr>
          <w:sz w:val="21"/>
        </w:rPr>
        <w:t>▲设备带的燃烧性能等级达到GB 8624-2012建筑材料及制品燃烧性能分级的A（A1）级。提供国家法定检测机构出具的完整有效的且符合GB8624-2012标准的检测报告；</w:t>
      </w:r>
    </w:p>
    <w:p>
      <w:pPr>
        <w:pStyle w:val="null3"/>
      </w:pPr>
      <w:r>
        <w:rPr>
          <w:sz w:val="21"/>
          <w:b/>
        </w:rPr>
        <w:t>五</w:t>
      </w:r>
      <w:r>
        <w:rPr>
          <w:sz w:val="21"/>
          <w:b/>
        </w:rPr>
        <w:t>)</w:t>
      </w:r>
      <w:r>
        <w:rPr>
          <w:sz w:val="21"/>
          <w:b/>
        </w:rPr>
        <w:t>氧气终端设备</w:t>
      </w:r>
    </w:p>
    <w:p>
      <w:pPr>
        <w:pStyle w:val="null3"/>
        <w:ind w:left="210" w:firstLine="210"/>
        <w:jc w:val="both"/>
      </w:pPr>
      <w:r>
        <w:rPr>
          <w:sz w:val="21"/>
        </w:rPr>
        <w:t>1.</w:t>
      </w:r>
      <w:r>
        <w:rPr>
          <w:sz w:val="21"/>
        </w:rPr>
        <w:t>按照德式终端标准进行加工制造。</w:t>
      </w:r>
    </w:p>
    <w:p>
      <w:pPr>
        <w:pStyle w:val="null3"/>
        <w:ind w:left="210" w:firstLine="210"/>
        <w:jc w:val="both"/>
      </w:pPr>
      <w:r>
        <w:rPr>
          <w:sz w:val="21"/>
        </w:rPr>
        <w:t>2.</w:t>
      </w:r>
      <w:r>
        <w:rPr>
          <w:sz w:val="21"/>
        </w:rPr>
        <w:t>100%气密性试验。</w:t>
      </w:r>
    </w:p>
    <w:p>
      <w:pPr>
        <w:pStyle w:val="null3"/>
        <w:ind w:left="210" w:firstLine="210"/>
        <w:jc w:val="both"/>
      </w:pPr>
      <w:r>
        <w:rPr>
          <w:sz w:val="21"/>
        </w:rPr>
        <w:t>3.</w:t>
      </w:r>
      <w:r>
        <w:rPr>
          <w:sz w:val="21"/>
        </w:rPr>
        <w:t>采用</w:t>
      </w:r>
      <w:r>
        <w:rPr>
          <w:sz w:val="21"/>
        </w:rPr>
        <w:t>ISO32颜色标准识别气体。</w:t>
      </w:r>
    </w:p>
    <w:p>
      <w:pPr>
        <w:pStyle w:val="null3"/>
        <w:ind w:left="210" w:firstLine="210"/>
        <w:jc w:val="both"/>
      </w:pPr>
      <w:r>
        <w:rPr>
          <w:sz w:val="21"/>
        </w:rPr>
        <w:t>4.</w:t>
      </w:r>
      <w:r>
        <w:rPr>
          <w:sz w:val="21"/>
        </w:rPr>
        <w:t>一组直径相异</w:t>
      </w:r>
      <w:r>
        <w:rPr>
          <w:sz w:val="21"/>
        </w:rPr>
        <w:t>,分别与各特定气体或设施匹配的内、外接头组件,以保持气体专用性。</w:t>
      </w:r>
    </w:p>
    <w:p>
      <w:pPr>
        <w:pStyle w:val="null3"/>
        <w:ind w:left="210" w:firstLine="210"/>
        <w:jc w:val="both"/>
      </w:pPr>
      <w:r>
        <w:rPr>
          <w:sz w:val="21"/>
        </w:rPr>
        <w:t>5.</w:t>
      </w:r>
      <w:r>
        <w:rPr>
          <w:sz w:val="21"/>
        </w:rPr>
        <w:t>多种安装方式</w:t>
      </w:r>
      <w:r>
        <w:rPr>
          <w:sz w:val="21"/>
        </w:rPr>
        <w:t>,可以是外径Φ8的进气管,也可以是气管接头或者是螺纹接口。</w:t>
      </w:r>
    </w:p>
    <w:p>
      <w:pPr>
        <w:pStyle w:val="null3"/>
        <w:ind w:left="210" w:firstLine="210"/>
        <w:jc w:val="both"/>
      </w:pPr>
      <w:r>
        <w:rPr>
          <w:sz w:val="21"/>
        </w:rPr>
        <w:t>6.</w:t>
      </w:r>
      <w:r>
        <w:rPr>
          <w:sz w:val="21"/>
        </w:rPr>
        <w:t>超大流量设计</w:t>
      </w:r>
      <w:r>
        <w:rPr>
          <w:sz w:val="21"/>
        </w:rPr>
        <w:t>,所有正压气体终端，单一出气口流量瞬间能达到100L/min时，流量至少能维持3秒钟，一般流量大于80L/min。负压气体终端，单一出气口流量瞬间能达到100L/min时，流量至少能维持3秒钟，一般流量大于60L/min。</w:t>
      </w:r>
    </w:p>
    <w:p>
      <w:pPr>
        <w:pStyle w:val="null3"/>
        <w:ind w:left="210" w:firstLine="210"/>
        <w:jc w:val="both"/>
      </w:pPr>
      <w:r>
        <w:rPr>
          <w:sz w:val="21"/>
        </w:rPr>
        <w:t>7.</w:t>
      </w:r>
      <w:r>
        <w:rPr>
          <w:sz w:val="21"/>
        </w:rPr>
        <w:t>安装方式</w:t>
      </w:r>
      <w:r>
        <w:rPr>
          <w:sz w:val="21"/>
        </w:rPr>
        <w:t>:墙式,塔式,设备带式等。</w:t>
      </w:r>
    </w:p>
    <w:p>
      <w:pPr>
        <w:pStyle w:val="null3"/>
        <w:ind w:left="210" w:firstLine="210"/>
        <w:jc w:val="both"/>
      </w:pPr>
      <w:r>
        <w:rPr>
          <w:sz w:val="21"/>
        </w:rPr>
        <w:t>8.</w:t>
      </w:r>
      <w:r>
        <w:rPr>
          <w:sz w:val="24"/>
        </w:rPr>
        <w:t>▲</w:t>
      </w:r>
      <w:r>
        <w:rPr>
          <w:sz w:val="21"/>
        </w:rPr>
        <w:t>≥</w:t>
      </w:r>
      <w:r>
        <w:rPr>
          <w:sz w:val="21"/>
        </w:rPr>
        <w:t>100000次插拔无故障，需提供第三方检测报告。</w:t>
      </w:r>
    </w:p>
    <w:p>
      <w:pPr>
        <w:pStyle w:val="null3"/>
        <w:ind w:left="210" w:firstLine="210"/>
        <w:jc w:val="both"/>
      </w:pPr>
      <w:r>
        <w:rPr>
          <w:sz w:val="21"/>
        </w:rPr>
        <w:t>9.</w:t>
      </w:r>
      <w:r>
        <w:rPr>
          <w:sz w:val="21"/>
        </w:rPr>
        <w:t>终端符合</w:t>
      </w:r>
      <w:r>
        <w:rPr>
          <w:sz w:val="21"/>
        </w:rPr>
        <w:t>国际标准</w:t>
      </w:r>
      <w:r>
        <w:rPr>
          <w:sz w:val="21"/>
        </w:rPr>
        <w:t>-关于在电子电气设备中限制使用某些有害物质指令（ROHS）的要求，需提供第三方检测报告。</w:t>
      </w:r>
    </w:p>
    <w:p>
      <w:pPr>
        <w:pStyle w:val="null3"/>
        <w:ind w:left="210" w:firstLine="210"/>
        <w:jc w:val="both"/>
      </w:pPr>
      <w:r>
        <w:rPr>
          <w:sz w:val="21"/>
        </w:rPr>
        <w:t>10.</w:t>
      </w:r>
      <w:r>
        <w:rPr>
          <w:sz w:val="24"/>
        </w:rPr>
        <w:t>▲</w:t>
      </w:r>
      <w:r>
        <w:rPr>
          <w:sz w:val="21"/>
        </w:rPr>
        <w:t>终端应符合</w:t>
      </w:r>
      <w:r>
        <w:rPr>
          <w:sz w:val="21"/>
        </w:rPr>
        <w:t>GB 8624-2012，建筑电气安全防火燃烧性能达到A(A2)级以上，需提供第三方检测报告。</w:t>
      </w:r>
    </w:p>
    <w:p>
      <w:pPr>
        <w:pStyle w:val="null3"/>
        <w:ind w:firstLine="420"/>
        <w:jc w:val="left"/>
      </w:pPr>
      <w:r>
        <w:rPr>
          <w:sz w:val="21"/>
        </w:rPr>
        <w:t>11.</w:t>
      </w:r>
      <w:r>
        <w:rPr>
          <w:sz w:val="24"/>
        </w:rPr>
        <w:t>▲</w:t>
      </w:r>
      <w:r>
        <w:rPr>
          <w:sz w:val="21"/>
        </w:rPr>
        <w:t>通过国家食药监局</w:t>
      </w:r>
      <w:r>
        <w:rPr>
          <w:sz w:val="21"/>
        </w:rPr>
        <w:t>YY/T 0801.1-2020《医用气体管道系统终端 第1部分：用于压缩医用气体和真空的终端》</w:t>
      </w:r>
      <w:r>
        <w:rPr>
          <w:sz w:val="21"/>
        </w:rPr>
        <w:t>标准的检测，并出具检测报告。</w:t>
      </w:r>
    </w:p>
    <w:p>
      <w:pPr>
        <w:pStyle w:val="null3"/>
      </w:pPr>
      <w:r>
        <w:rPr>
          <w:sz w:val="21"/>
          <w:b/>
        </w:rPr>
        <w:t>（三）</w:t>
      </w:r>
      <w:r>
        <w:rPr>
          <w:sz w:val="21"/>
          <w:b/>
        </w:rPr>
        <w:t>医用中心吸引系统</w:t>
      </w:r>
    </w:p>
    <w:p>
      <w:pPr>
        <w:pStyle w:val="null3"/>
        <w:ind w:firstLine="475"/>
      </w:pPr>
      <w:r>
        <w:rPr>
          <w:sz w:val="21"/>
          <w:b/>
        </w:rPr>
        <w:t>1.</w:t>
      </w:r>
      <w:r>
        <w:rPr>
          <w:sz w:val="21"/>
          <w:b/>
        </w:rPr>
        <w:t>医用真空负压机</w:t>
      </w:r>
    </w:p>
    <w:p>
      <w:pPr>
        <w:pStyle w:val="null3"/>
        <w:ind w:firstLine="630"/>
        <w:jc w:val="both"/>
      </w:pPr>
      <w:r>
        <w:rPr>
          <w:sz w:val="21"/>
        </w:rPr>
        <w:t>医用真空负压机组由</w:t>
      </w:r>
      <w:r>
        <w:rPr>
          <w:sz w:val="21"/>
        </w:rPr>
        <w:t>2台</w:t>
      </w:r>
      <w:r>
        <w:rPr>
          <w:sz w:val="21"/>
        </w:rPr>
        <w:t>100m³.h</w:t>
      </w:r>
      <w:r>
        <w:rPr>
          <w:sz w:val="21"/>
        </w:rPr>
        <w:t>油旋式真空主机、</w:t>
      </w:r>
      <w:r>
        <w:rPr>
          <w:sz w:val="21"/>
        </w:rPr>
        <w:t>PLC控制系统，≥7寸触摸屏显示器，</w:t>
      </w:r>
      <w:r>
        <w:rPr>
          <w:sz w:val="21"/>
        </w:rPr>
        <w:t>2套细菌过滤器、</w:t>
      </w:r>
      <w:r>
        <w:rPr>
          <w:sz w:val="21"/>
        </w:rPr>
        <w:t>内置真空罐、</w:t>
      </w:r>
      <w:r>
        <w:rPr>
          <w:sz w:val="21"/>
        </w:rPr>
        <w:t>1套排气消毒灭菌装置等组成</w:t>
      </w:r>
    </w:p>
    <w:p>
      <w:pPr>
        <w:pStyle w:val="null3"/>
        <w:ind w:firstLine="630"/>
        <w:jc w:val="both"/>
      </w:pPr>
      <w:r>
        <w:rPr>
          <w:sz w:val="21"/>
        </w:rPr>
        <w:t>1.1</w:t>
      </w:r>
      <w:r>
        <w:rPr>
          <w:sz w:val="21"/>
        </w:rPr>
        <w:t>真空负压机组当控制柜控制系统</w:t>
      </w:r>
      <w:r>
        <w:rPr>
          <w:sz w:val="21"/>
        </w:rPr>
        <w:t>PLC或触摸屏出现故障无法运行 ，具备切换到应急模式下，真空负压机组具备正常启动运行功能，提供具有</w:t>
      </w:r>
      <w:r>
        <w:rPr>
          <w:sz w:val="21"/>
        </w:rPr>
        <w:t>CMA或CNAS认证资质</w:t>
      </w:r>
      <w:r>
        <w:rPr>
          <w:sz w:val="21"/>
        </w:rPr>
        <w:t>的</w:t>
      </w:r>
      <w:r>
        <w:rPr>
          <w:sz w:val="21"/>
        </w:rPr>
        <w:t>第三方机构</w:t>
      </w:r>
      <w:r>
        <w:rPr>
          <w:sz w:val="21"/>
        </w:rPr>
        <w:t>检测报告</w:t>
      </w:r>
      <w:r>
        <w:rPr>
          <w:sz w:val="21"/>
        </w:rPr>
        <w:t>及机组实物图片证明材料。</w:t>
      </w:r>
    </w:p>
    <w:p>
      <w:pPr>
        <w:pStyle w:val="null3"/>
        <w:ind w:firstLine="630"/>
        <w:jc w:val="both"/>
      </w:pPr>
      <w:r>
        <w:rPr>
          <w:sz w:val="21"/>
        </w:rPr>
        <w:t>1.2</w:t>
      </w:r>
      <w:r>
        <w:rPr>
          <w:sz w:val="21"/>
        </w:rPr>
        <w:t>真空负压机组控制系统具有远程监控管理系统（云平台）功能，提供远程监控管理系统软件著作证书证明文件</w:t>
      </w:r>
      <w:r>
        <w:rPr>
          <w:sz w:val="21"/>
        </w:rPr>
        <w:t>。</w:t>
      </w:r>
    </w:p>
    <w:p>
      <w:pPr>
        <w:pStyle w:val="null3"/>
        <w:ind w:firstLine="630"/>
        <w:jc w:val="both"/>
      </w:pPr>
      <w:r>
        <w:rPr>
          <w:sz w:val="21"/>
        </w:rPr>
        <w:t>1.3</w:t>
      </w:r>
      <w:r>
        <w:rPr>
          <w:sz w:val="21"/>
        </w:rPr>
        <w:t xml:space="preserve"> </w:t>
      </w:r>
      <w:r>
        <w:rPr>
          <w:sz w:val="21"/>
        </w:rPr>
        <w:t>真空负压机组真空泵配置了防回流装置，可避免污物回流，保证设备安全运行，增加真空负压机组的安全性，提供具有</w:t>
      </w:r>
      <w:r>
        <w:rPr>
          <w:sz w:val="21"/>
        </w:rPr>
        <w:t>CMA或CNAS认证资质</w:t>
      </w:r>
      <w:r>
        <w:rPr>
          <w:sz w:val="21"/>
        </w:rPr>
        <w:t>的</w:t>
      </w:r>
      <w:r>
        <w:rPr>
          <w:sz w:val="21"/>
        </w:rPr>
        <w:t>第三方机构</w:t>
      </w:r>
      <w:r>
        <w:rPr>
          <w:sz w:val="21"/>
        </w:rPr>
        <w:t>检测报告证明文件</w:t>
      </w:r>
    </w:p>
    <w:p>
      <w:pPr>
        <w:pStyle w:val="null3"/>
        <w:ind w:firstLine="630"/>
        <w:jc w:val="both"/>
      </w:pPr>
      <w:r>
        <w:rPr>
          <w:sz w:val="21"/>
        </w:rPr>
        <w:t>1.</w:t>
      </w:r>
      <w:r>
        <w:rPr>
          <w:sz w:val="21"/>
        </w:rPr>
        <w:t>4</w:t>
      </w:r>
      <w:r>
        <w:rPr>
          <w:sz w:val="21"/>
        </w:rPr>
        <w:t>采用</w:t>
      </w:r>
      <w:r>
        <w:rPr>
          <w:sz w:val="21"/>
        </w:rPr>
        <w:t>2台油旋式真空泵，单台抽气量≥</w:t>
      </w:r>
      <w:r>
        <w:rPr>
          <w:sz w:val="21"/>
        </w:rPr>
        <w:t>1</w:t>
      </w:r>
      <w:r>
        <w:rPr>
          <w:sz w:val="21"/>
        </w:rPr>
        <w:t>00m³/h，单台功率≤</w:t>
      </w:r>
      <w:r>
        <w:rPr>
          <w:sz w:val="21"/>
        </w:rPr>
        <w:t>3</w:t>
      </w:r>
      <w:r>
        <w:rPr>
          <w:sz w:val="21"/>
        </w:rPr>
        <w:t>kw，</w:t>
      </w:r>
      <w:r>
        <w:rPr>
          <w:sz w:val="21"/>
        </w:rPr>
        <w:t>工作调节范围：－</w:t>
      </w:r>
      <w:r>
        <w:rPr>
          <w:sz w:val="21"/>
        </w:rPr>
        <w:t>0.0</w:t>
      </w:r>
      <w:r>
        <w:rPr>
          <w:sz w:val="21"/>
        </w:rPr>
        <w:t>2</w:t>
      </w:r>
      <w:r>
        <w:rPr>
          <w:sz w:val="21"/>
        </w:rPr>
        <w:t xml:space="preserve"> </w:t>
      </w:r>
      <w:r>
        <w:rPr>
          <w:sz w:val="21"/>
        </w:rPr>
        <w:t>Mpa至－0.0</w:t>
      </w:r>
      <w:r>
        <w:rPr>
          <w:sz w:val="21"/>
        </w:rPr>
        <w:t>8</w:t>
      </w:r>
      <w:r>
        <w:rPr>
          <w:sz w:val="21"/>
        </w:rPr>
        <w:t>7Mpa（区域可调）</w:t>
      </w:r>
      <w:r>
        <w:rPr>
          <w:sz w:val="21"/>
        </w:rPr>
        <w:t>采用国际工业设计标准，真空主机保证运行稳定，使用寿命长。</w:t>
      </w:r>
    </w:p>
    <w:p>
      <w:pPr>
        <w:pStyle w:val="null3"/>
        <w:ind w:firstLine="630"/>
        <w:jc w:val="both"/>
      </w:pPr>
      <w:r>
        <w:rPr>
          <w:sz w:val="21"/>
        </w:rPr>
        <w:t>1.</w:t>
      </w:r>
      <w:r>
        <w:rPr>
          <w:sz w:val="21"/>
        </w:rPr>
        <w:t>5</w:t>
      </w:r>
      <w:r>
        <w:rPr>
          <w:sz w:val="21"/>
        </w:rPr>
        <w:t>每台真空泵主机入口配置单向阀、入口过滤器、减震喉，不锈钢手动阀门，便于检修维护</w:t>
      </w:r>
      <w:r>
        <w:rPr>
          <w:sz w:val="21"/>
        </w:rPr>
        <w:t>。</w:t>
      </w:r>
    </w:p>
    <w:p>
      <w:pPr>
        <w:pStyle w:val="null3"/>
        <w:ind w:firstLine="630"/>
        <w:jc w:val="both"/>
      </w:pPr>
      <w:r>
        <w:rPr>
          <w:sz w:val="21"/>
        </w:rPr>
        <w:t>1.</w:t>
      </w:r>
      <w:r>
        <w:rPr>
          <w:sz w:val="21"/>
        </w:rPr>
        <w:t>6</w:t>
      </w:r>
      <w:r>
        <w:rPr>
          <w:sz w:val="21"/>
        </w:rPr>
        <w:t>智能控制柜：</w:t>
      </w:r>
      <w:r>
        <w:rPr>
          <w:sz w:val="21"/>
        </w:rPr>
        <w:t>≥7寸液晶智能控制器，PLC控制，自动、手自动一体、应急功</w:t>
      </w:r>
      <w:r>
        <w:rPr>
          <w:sz w:val="21"/>
        </w:rPr>
        <w:t>能三种运行模式</w:t>
      </w:r>
      <w:r>
        <w:rPr>
          <w:sz w:val="21"/>
        </w:rPr>
        <w:t>;交叉运行，实施监测运行压力、时间、报警信息、运行状态；完全冗余设计，当单一故障状态时，连续供气;每台真空泵主机具有独立开关控制，方便检修,均为分配每台真空泵运行时间；断电自动恢复启动,具有保养提醒报警功能；预留485通讯接口，网络端口，</w:t>
      </w:r>
    </w:p>
    <w:p>
      <w:pPr>
        <w:pStyle w:val="null3"/>
        <w:ind w:firstLine="630"/>
        <w:jc w:val="both"/>
      </w:pPr>
      <w:r>
        <w:rPr>
          <w:sz w:val="21"/>
        </w:rPr>
        <w:t>1.</w:t>
      </w:r>
      <w:r>
        <w:rPr>
          <w:sz w:val="21"/>
        </w:rPr>
        <w:t>7</w:t>
      </w:r>
      <w:r>
        <w:rPr>
          <w:sz w:val="21"/>
        </w:rPr>
        <w:t xml:space="preserve"> </w:t>
      </w:r>
      <w:r>
        <w:rPr>
          <w:sz w:val="21"/>
        </w:rPr>
        <w:t>医用真空负压机组内置真空检测罐，容积</w:t>
      </w:r>
      <w:r>
        <w:rPr>
          <w:sz w:val="21"/>
        </w:rPr>
        <w:t>≥200L，碳钢材质，缓冲稳定气流，真空取样口。</w:t>
      </w:r>
    </w:p>
    <w:p>
      <w:pPr>
        <w:pStyle w:val="null3"/>
        <w:ind w:firstLine="630"/>
        <w:jc w:val="both"/>
      </w:pPr>
      <w:r>
        <w:rPr>
          <w:sz w:val="21"/>
        </w:rPr>
        <w:t>1.</w:t>
      </w:r>
      <w:r>
        <w:rPr>
          <w:sz w:val="21"/>
        </w:rPr>
        <w:t>8</w:t>
      </w:r>
      <w:r>
        <w:rPr>
          <w:sz w:val="21"/>
        </w:rPr>
        <w:t>双压力监测，数显真空及不锈钢传感器，其中</w:t>
      </w:r>
      <w:r>
        <w:rPr>
          <w:sz w:val="21"/>
        </w:rPr>
        <w:t>1个故障可切换另一个运行</w:t>
      </w:r>
    </w:p>
    <w:p>
      <w:pPr>
        <w:pStyle w:val="null3"/>
        <w:ind w:firstLine="630"/>
        <w:jc w:val="both"/>
      </w:pPr>
      <w:r>
        <w:rPr>
          <w:sz w:val="21"/>
        </w:rPr>
        <w:t>1.9</w:t>
      </w:r>
      <w:r>
        <w:rPr>
          <w:sz w:val="21"/>
        </w:rPr>
        <w:t>医用真空负压机组采用一体式撬装机组，采用不锈钢管，有效防止管道锈蚀。</w:t>
      </w:r>
      <w:r>
        <w:rPr>
          <w:sz w:val="21"/>
        </w:rPr>
        <w:t>撬装一体机组，内部不锈钢管道及阀门连接。</w:t>
      </w:r>
    </w:p>
    <w:p>
      <w:pPr>
        <w:pStyle w:val="null3"/>
        <w:ind w:firstLine="475"/>
      </w:pPr>
      <w:r>
        <w:rPr>
          <w:sz w:val="21"/>
          <w:b/>
        </w:rPr>
        <w:t>2.内置</w:t>
      </w:r>
      <w:r>
        <w:rPr>
          <w:sz w:val="21"/>
          <w:b/>
        </w:rPr>
        <w:t>除菌过滤器</w:t>
      </w:r>
      <w:r>
        <w:rPr>
          <w:sz w:val="21"/>
          <w:b/>
        </w:rPr>
        <w:t>：</w:t>
      </w:r>
    </w:p>
    <w:p>
      <w:pPr>
        <w:pStyle w:val="null3"/>
        <w:ind w:firstLine="630"/>
        <w:jc w:val="left"/>
      </w:pPr>
      <w:r>
        <w:rPr>
          <w:sz w:val="21"/>
        </w:rPr>
        <w:t>（1）单套流量：100</w:t>
      </w:r>
      <w:r>
        <w:rPr>
          <w:sz w:val="21"/>
        </w:rPr>
        <w:t>m³/</w:t>
      </w:r>
      <w:r>
        <w:rPr>
          <w:sz w:val="21"/>
        </w:rPr>
        <w:t>h，1用1备</w:t>
      </w:r>
      <w:r>
        <w:rPr>
          <w:sz w:val="21"/>
        </w:rPr>
        <w:t>。</w:t>
      </w:r>
    </w:p>
    <w:p>
      <w:pPr>
        <w:pStyle w:val="null3"/>
        <w:ind w:firstLine="630"/>
        <w:jc w:val="both"/>
      </w:pPr>
      <w:r>
        <w:rPr>
          <w:sz w:val="21"/>
        </w:rPr>
        <w:t>（</w:t>
      </w:r>
      <w:r>
        <w:rPr>
          <w:sz w:val="21"/>
        </w:rPr>
        <w:t>2</w:t>
      </w:r>
      <w:r>
        <w:rPr>
          <w:sz w:val="21"/>
        </w:rPr>
        <w:t>）</w:t>
      </w:r>
      <w:r>
        <w:rPr>
          <w:sz w:val="21"/>
        </w:rPr>
        <w:t>细菌过滤</w:t>
      </w:r>
      <w:r>
        <w:rPr>
          <w:sz w:val="21"/>
        </w:rPr>
        <w:t>器</w:t>
      </w:r>
      <w:r>
        <w:rPr>
          <w:sz w:val="21"/>
        </w:rPr>
        <w:t>采用外壳不锈钢，</w:t>
      </w:r>
      <w:r>
        <w:rPr>
          <w:sz w:val="21"/>
        </w:rPr>
        <w:t>DN50法兰接口，</w:t>
      </w:r>
      <w:r>
        <w:rPr>
          <w:sz w:val="21"/>
        </w:rPr>
        <w:t>下吸上抽方式，以减少液体滞留和细菌滋生，提供具有</w:t>
      </w:r>
      <w:r>
        <w:rPr>
          <w:sz w:val="21"/>
        </w:rPr>
        <w:t>CMA或CNAS认证资质</w:t>
      </w:r>
      <w:r>
        <w:rPr>
          <w:sz w:val="21"/>
        </w:rPr>
        <w:t>的</w:t>
      </w:r>
      <w:r>
        <w:rPr>
          <w:sz w:val="21"/>
        </w:rPr>
        <w:t>第三方机构</w:t>
      </w:r>
      <w:r>
        <w:rPr>
          <w:sz w:val="21"/>
        </w:rPr>
        <w:t>检测报告证明文件</w:t>
      </w:r>
      <w:r>
        <w:rPr>
          <w:sz w:val="21"/>
        </w:rPr>
        <w:t>及实物图片证明材料</w:t>
      </w:r>
      <w:r>
        <w:rPr>
          <w:sz w:val="21"/>
        </w:rPr>
        <w:t>。</w:t>
      </w:r>
    </w:p>
    <w:p>
      <w:pPr>
        <w:pStyle w:val="null3"/>
        <w:ind w:firstLine="630"/>
        <w:jc w:val="both"/>
      </w:pPr>
      <w:r>
        <w:rPr>
          <w:sz w:val="21"/>
        </w:rPr>
        <w:t>（</w:t>
      </w:r>
      <w:r>
        <w:rPr>
          <w:sz w:val="21"/>
        </w:rPr>
        <w:t>3</w:t>
      </w:r>
      <w:r>
        <w:rPr>
          <w:sz w:val="21"/>
        </w:rPr>
        <w:t>）</w:t>
      </w:r>
      <w:r>
        <w:rPr>
          <w:sz w:val="21"/>
        </w:rPr>
        <w:t>滤芯滤芯符合</w:t>
      </w:r>
      <w:r>
        <w:rPr>
          <w:sz w:val="21"/>
        </w:rPr>
        <w:t>ISO 8573.1 一级要求0.01μm 的过滤效率，0.01~0.2μm 过滤效率＞99.995%；提供具有</w:t>
      </w:r>
      <w:r>
        <w:rPr>
          <w:sz w:val="21"/>
        </w:rPr>
        <w:t>CMA或CNAS认证资质</w:t>
      </w:r>
      <w:r>
        <w:rPr>
          <w:sz w:val="21"/>
        </w:rPr>
        <w:t>的</w:t>
      </w:r>
      <w:r>
        <w:rPr>
          <w:sz w:val="21"/>
        </w:rPr>
        <w:t>第三方机构</w:t>
      </w:r>
      <w:r>
        <w:rPr>
          <w:sz w:val="21"/>
        </w:rPr>
        <w:t>检测报告证明文件</w:t>
      </w:r>
      <w:r>
        <w:rPr>
          <w:sz w:val="21"/>
        </w:rPr>
        <w:t>。</w:t>
      </w:r>
    </w:p>
    <w:p>
      <w:pPr>
        <w:pStyle w:val="null3"/>
        <w:ind w:firstLine="630"/>
        <w:jc w:val="both"/>
      </w:pPr>
      <w:r>
        <w:rPr>
          <w:sz w:val="21"/>
        </w:rPr>
        <w:t>（</w:t>
      </w:r>
      <w:r>
        <w:rPr>
          <w:sz w:val="21"/>
        </w:rPr>
        <w:t>4</w:t>
      </w:r>
      <w:r>
        <w:rPr>
          <w:sz w:val="21"/>
        </w:rPr>
        <w:t>）</w:t>
      </w:r>
      <w:r>
        <w:rPr>
          <w:sz w:val="21"/>
        </w:rPr>
        <w:t>压力损失负压值在</w:t>
      </w:r>
      <w:r>
        <w:rPr>
          <w:sz w:val="21"/>
        </w:rPr>
        <w:t>-85kpa的工作点，压差损失不超过1kpa，具有滤芯性能监视功能；提供具有</w:t>
      </w:r>
      <w:r>
        <w:rPr>
          <w:sz w:val="21"/>
        </w:rPr>
        <w:t>CMA或CNAS认证资质</w:t>
      </w:r>
      <w:r>
        <w:rPr>
          <w:sz w:val="21"/>
        </w:rPr>
        <w:t>的</w:t>
      </w:r>
      <w:r>
        <w:rPr>
          <w:sz w:val="21"/>
        </w:rPr>
        <w:t>第三方机构</w:t>
      </w:r>
      <w:r>
        <w:rPr>
          <w:sz w:val="21"/>
        </w:rPr>
        <w:t>检测报告证明文件</w:t>
      </w:r>
      <w:r>
        <w:rPr>
          <w:sz w:val="21"/>
        </w:rPr>
        <w:t>。</w:t>
      </w:r>
    </w:p>
    <w:p>
      <w:pPr>
        <w:pStyle w:val="null3"/>
        <w:ind w:firstLine="630"/>
        <w:jc w:val="both"/>
      </w:pPr>
      <w:r>
        <w:rPr>
          <w:sz w:val="21"/>
        </w:rPr>
        <w:t>（</w:t>
      </w:r>
      <w:r>
        <w:rPr>
          <w:sz w:val="21"/>
        </w:rPr>
        <w:t>5</w:t>
      </w:r>
      <w:r>
        <w:rPr>
          <w:sz w:val="21"/>
        </w:rPr>
        <w:t>）</w:t>
      </w:r>
      <w:r>
        <w:rPr>
          <w:sz w:val="21"/>
        </w:rPr>
        <w:t>细菌过滤器按照</w:t>
      </w:r>
      <w:r>
        <w:rPr>
          <w:sz w:val="21"/>
        </w:rPr>
        <w:t>GB 50751-2012 规范的标准，精度 0.01~0.2μm，过滤效率＞99.995%，提供具有</w:t>
      </w:r>
      <w:r>
        <w:rPr>
          <w:sz w:val="21"/>
        </w:rPr>
        <w:t>CMA或CNAS认证资质</w:t>
      </w:r>
      <w:r>
        <w:rPr>
          <w:sz w:val="21"/>
        </w:rPr>
        <w:t>的</w:t>
      </w:r>
      <w:r>
        <w:rPr>
          <w:sz w:val="21"/>
        </w:rPr>
        <w:t>第三方机构</w:t>
      </w:r>
      <w:r>
        <w:rPr>
          <w:sz w:val="21"/>
        </w:rPr>
        <w:t>检测报告证明文件</w:t>
      </w:r>
      <w:r>
        <w:rPr>
          <w:sz w:val="21"/>
        </w:rPr>
        <w:t>。</w:t>
      </w:r>
    </w:p>
    <w:p>
      <w:pPr>
        <w:pStyle w:val="null3"/>
        <w:ind w:firstLine="475"/>
      </w:pPr>
      <w:r>
        <w:rPr>
          <w:sz w:val="21"/>
          <w:b/>
        </w:rPr>
        <w:t>3.</w:t>
      </w:r>
      <w:r>
        <w:rPr>
          <w:sz w:val="21"/>
          <w:b/>
        </w:rPr>
        <w:t>集污罐</w:t>
      </w:r>
    </w:p>
    <w:p>
      <w:pPr>
        <w:pStyle w:val="null3"/>
        <w:ind w:firstLine="475"/>
        <w:jc w:val="left"/>
      </w:pPr>
      <w:r>
        <w:rPr>
          <w:sz w:val="21"/>
        </w:rPr>
        <w:t>(1)</w:t>
      </w:r>
      <w:r>
        <w:rPr>
          <w:sz w:val="21"/>
        </w:rPr>
        <w:t>材质：</w:t>
      </w:r>
      <w:r>
        <w:rPr>
          <w:sz w:val="21"/>
        </w:rPr>
        <w:t>304不锈钢</w:t>
      </w:r>
      <w:r>
        <w:rPr>
          <w:sz w:val="21"/>
        </w:rPr>
        <w:t>，表面喷涂防锈漆，防腐蚀耐用；</w:t>
      </w:r>
    </w:p>
    <w:p>
      <w:pPr>
        <w:pStyle w:val="null3"/>
        <w:ind w:firstLine="475"/>
        <w:jc w:val="left"/>
      </w:pPr>
      <w:r>
        <w:rPr>
          <w:sz w:val="21"/>
        </w:rPr>
        <w:t>(2)</w:t>
      </w:r>
      <w:r>
        <w:rPr>
          <w:sz w:val="21"/>
        </w:rPr>
        <w:t>容器类型：集污；</w:t>
      </w:r>
    </w:p>
    <w:p>
      <w:pPr>
        <w:pStyle w:val="null3"/>
        <w:ind w:firstLine="475"/>
        <w:jc w:val="left"/>
      </w:pPr>
      <w:r>
        <w:rPr>
          <w:sz w:val="21"/>
        </w:rPr>
        <w:t>(3)</w:t>
      </w:r>
      <w:r>
        <w:rPr>
          <w:sz w:val="21"/>
        </w:rPr>
        <w:t>工作压力为：</w:t>
      </w:r>
      <w:r>
        <w:rPr>
          <w:sz w:val="21"/>
        </w:rPr>
        <w:t>≥-0.1 MPa；</w:t>
      </w:r>
    </w:p>
    <w:p>
      <w:pPr>
        <w:pStyle w:val="null3"/>
        <w:ind w:firstLine="475"/>
        <w:jc w:val="left"/>
      </w:pPr>
      <w:r>
        <w:rPr>
          <w:sz w:val="21"/>
        </w:rPr>
        <w:t>(4)</w:t>
      </w:r>
      <w:r>
        <w:rPr>
          <w:sz w:val="21"/>
        </w:rPr>
        <w:t>规格型号：</w:t>
      </w:r>
      <w:r>
        <w:rPr>
          <w:sz w:val="21"/>
        </w:rPr>
        <w:t>≥</w:t>
      </w:r>
      <w:r>
        <w:rPr>
          <w:sz w:val="21"/>
        </w:rPr>
        <w:t>50L</w:t>
      </w:r>
    </w:p>
    <w:p>
      <w:pPr>
        <w:pStyle w:val="null3"/>
        <w:ind w:firstLine="475"/>
        <w:jc w:val="left"/>
      </w:pPr>
      <w:r>
        <w:rPr>
          <w:sz w:val="21"/>
        </w:rPr>
        <w:t>(5)</w:t>
      </w:r>
      <w:r>
        <w:rPr>
          <w:sz w:val="21"/>
        </w:rPr>
        <w:t>不锈钢法兰连接</w:t>
      </w:r>
      <w:r>
        <w:rPr>
          <w:sz w:val="21"/>
        </w:rPr>
        <w:t>DN</w:t>
      </w:r>
      <w:r>
        <w:rPr>
          <w:sz w:val="21"/>
        </w:rPr>
        <w:t>50</w:t>
      </w:r>
      <w:r>
        <w:rPr>
          <w:sz w:val="21"/>
        </w:rPr>
        <w:t>；</w:t>
      </w:r>
    </w:p>
    <w:p>
      <w:pPr>
        <w:pStyle w:val="null3"/>
        <w:ind w:firstLine="475"/>
      </w:pPr>
      <w:r>
        <w:rPr>
          <w:sz w:val="21"/>
          <w:b/>
        </w:rPr>
        <w:t>4.</w:t>
      </w:r>
      <w:r>
        <w:rPr>
          <w:sz w:val="21"/>
          <w:b/>
        </w:rPr>
        <w:t>真空罐</w:t>
      </w:r>
    </w:p>
    <w:p>
      <w:pPr>
        <w:pStyle w:val="null3"/>
        <w:ind w:firstLine="475"/>
        <w:jc w:val="both"/>
      </w:pPr>
      <w:r>
        <w:rPr>
          <w:sz w:val="21"/>
        </w:rPr>
        <w:t>(1)</w:t>
      </w:r>
      <w:r>
        <w:rPr>
          <w:sz w:val="21"/>
        </w:rPr>
        <w:t>材质：碳钢，表面喷涂防锈漆，防腐蚀耐用；</w:t>
      </w:r>
    </w:p>
    <w:p>
      <w:pPr>
        <w:pStyle w:val="null3"/>
        <w:ind w:firstLine="475"/>
        <w:jc w:val="both"/>
      </w:pPr>
      <w:r>
        <w:rPr>
          <w:sz w:val="21"/>
        </w:rPr>
        <w:t>(2)</w:t>
      </w:r>
      <w:r>
        <w:rPr>
          <w:sz w:val="21"/>
        </w:rPr>
        <w:t>容器类型：真空；</w:t>
      </w:r>
    </w:p>
    <w:p>
      <w:pPr>
        <w:pStyle w:val="null3"/>
        <w:ind w:firstLine="475"/>
        <w:jc w:val="both"/>
      </w:pPr>
      <w:r>
        <w:rPr>
          <w:sz w:val="21"/>
        </w:rPr>
        <w:t>(3)</w:t>
      </w:r>
      <w:r>
        <w:rPr>
          <w:sz w:val="21"/>
        </w:rPr>
        <w:t>工作压力：－</w:t>
      </w:r>
      <w:r>
        <w:rPr>
          <w:sz w:val="21"/>
        </w:rPr>
        <w:t>0.04MPa～-0.087MPa；</w:t>
      </w:r>
    </w:p>
    <w:p>
      <w:pPr>
        <w:pStyle w:val="null3"/>
        <w:ind w:firstLine="475"/>
        <w:jc w:val="both"/>
      </w:pPr>
      <w:r>
        <w:rPr>
          <w:sz w:val="21"/>
        </w:rPr>
        <w:t>(4)</w:t>
      </w:r>
      <w:r>
        <w:rPr>
          <w:sz w:val="21"/>
        </w:rPr>
        <w:t>容积</w:t>
      </w:r>
      <w:r>
        <w:rPr>
          <w:sz w:val="21"/>
        </w:rPr>
        <w:t>:≥</w:t>
      </w:r>
      <w:r>
        <w:rPr>
          <w:sz w:val="21"/>
        </w:rPr>
        <w:t>1.0</w:t>
      </w:r>
      <w:r>
        <w:rPr>
          <w:sz w:val="21"/>
        </w:rPr>
        <w:t xml:space="preserve"> </w:t>
      </w:r>
      <w:r>
        <w:rPr>
          <w:sz w:val="21"/>
        </w:rPr>
        <w:t>m</w:t>
      </w:r>
      <w:r>
        <w:rPr>
          <w:sz w:val="21"/>
          <w:vertAlign w:val="superscript"/>
        </w:rPr>
        <w:t>３</w:t>
      </w:r>
      <w:r>
        <w:rPr>
          <w:sz w:val="21"/>
        </w:rPr>
        <w:t>；</w:t>
      </w:r>
    </w:p>
    <w:p>
      <w:pPr>
        <w:pStyle w:val="null3"/>
        <w:ind w:firstLine="475"/>
      </w:pPr>
      <w:r>
        <w:rPr>
          <w:sz w:val="21"/>
        </w:rPr>
        <w:t>(5)</w:t>
      </w:r>
      <w:r>
        <w:rPr>
          <w:sz w:val="21"/>
        </w:rPr>
        <w:t>符合</w:t>
      </w:r>
      <w:r>
        <w:rPr>
          <w:sz w:val="21"/>
        </w:rPr>
        <w:t>GB150.1~GB150.4-2011《压力容器［合订本］》标准的要求；</w:t>
      </w:r>
    </w:p>
    <w:p>
      <w:pPr>
        <w:pStyle w:val="null3"/>
        <w:ind w:firstLine="475"/>
      </w:pPr>
      <w:r>
        <w:rPr>
          <w:sz w:val="21"/>
          <w:b/>
        </w:rPr>
        <w:t>5、真空排气灭菌装置：</w:t>
      </w:r>
    </w:p>
    <w:p>
      <w:pPr>
        <w:pStyle w:val="null3"/>
        <w:ind w:firstLine="475"/>
      </w:pPr>
      <w:r>
        <w:rPr>
          <w:sz w:val="21"/>
        </w:rPr>
        <w:t xml:space="preserve">  </w:t>
      </w:r>
      <w:r>
        <w:rPr>
          <w:sz w:val="21"/>
        </w:rPr>
        <w:t>5.1 流量：300m³.h</w:t>
      </w:r>
    </w:p>
    <w:p>
      <w:pPr>
        <w:pStyle w:val="null3"/>
        <w:ind w:firstLine="475"/>
      </w:pPr>
      <w:r>
        <w:rPr>
          <w:sz w:val="21"/>
        </w:rPr>
        <w:t xml:space="preserve">  </w:t>
      </w:r>
      <w:r>
        <w:rPr>
          <w:sz w:val="21"/>
        </w:rPr>
        <w:t>5.2 内置真空负压机组机架上，进出口DN50法兰接口</w:t>
      </w:r>
    </w:p>
    <w:p>
      <w:pPr>
        <w:pStyle w:val="null3"/>
        <w:ind w:firstLine="630"/>
        <w:jc w:val="both"/>
      </w:pPr>
      <w:r>
        <w:rPr>
          <w:sz w:val="21"/>
        </w:rPr>
        <w:t>5</w:t>
      </w:r>
      <w:r>
        <w:rPr>
          <w:sz w:val="21"/>
        </w:rPr>
        <w:t>.</w:t>
      </w:r>
      <w:r>
        <w:rPr>
          <w:sz w:val="21"/>
        </w:rPr>
        <w:t>3</w:t>
      </w:r>
      <w:r>
        <w:rPr>
          <w:sz w:val="21"/>
        </w:rPr>
        <w:t>真空排气灭菌装置符合《消毒技术规范》的要求，</w:t>
      </w:r>
      <w:r>
        <w:rPr>
          <w:sz w:val="21"/>
        </w:rPr>
        <w:t>真空排气灭菌装置接入</w:t>
      </w:r>
      <w:r>
        <w:rPr>
          <w:sz w:val="21"/>
        </w:rPr>
        <w:t>220</w:t>
      </w:r>
      <w:r>
        <w:rPr>
          <w:sz w:val="21"/>
        </w:rPr>
        <w:t>V电压</w:t>
      </w:r>
      <w:r>
        <w:rPr>
          <w:sz w:val="21"/>
        </w:rPr>
        <w:t>，功率</w:t>
      </w:r>
      <w:r>
        <w:rPr>
          <w:sz w:val="21"/>
        </w:rPr>
        <w:t>≤3.5KW，开启热力高温（＞350℃）、臭氧装置、氢光离子（高强紫外线）、高压电离多重功能作用时间≤10S，病菌培养≥48小时</w:t>
      </w:r>
      <w:r>
        <w:rPr>
          <w:sz w:val="21"/>
        </w:rPr>
        <w:t>，针对</w:t>
      </w:r>
      <w:r>
        <w:rPr>
          <w:sz w:val="21"/>
        </w:rPr>
        <w:t>以</w:t>
      </w:r>
      <w:r>
        <w:rPr>
          <w:sz w:val="21"/>
        </w:rPr>
        <w:t>下病菌杀灭率</w:t>
      </w:r>
      <w:r>
        <w:rPr>
          <w:sz w:val="21"/>
        </w:rPr>
        <w:t>≥99.999%，提供具有《消毒技术规范》CMA或CNAS认证资质的第三方检测报告复印件：</w:t>
      </w:r>
    </w:p>
    <w:p>
      <w:pPr>
        <w:pStyle w:val="null3"/>
        <w:ind w:firstLine="210"/>
        <w:jc w:val="both"/>
      </w:pPr>
      <w:r>
        <w:rPr>
          <w:sz w:val="21"/>
        </w:rPr>
        <w:t>①金黄色葡萄球菌         细菌培养时间达到48h，杀灭率</w:t>
      </w:r>
      <w:r>
        <w:rPr>
          <w:sz w:val="21"/>
        </w:rPr>
        <w:t>＞</w:t>
      </w:r>
      <w:r>
        <w:rPr>
          <w:sz w:val="21"/>
        </w:rPr>
        <w:t>99.999%</w:t>
      </w:r>
      <w:r>
        <w:rPr>
          <w:sz w:val="21"/>
        </w:rPr>
        <w:t>；</w:t>
      </w:r>
    </w:p>
    <w:p>
      <w:pPr>
        <w:pStyle w:val="null3"/>
        <w:ind w:firstLine="210"/>
        <w:jc w:val="both"/>
      </w:pPr>
      <w:r>
        <w:rPr>
          <w:sz w:val="21"/>
        </w:rPr>
        <w:t>②大肠杆菌               细菌培养时间达到48h，杀灭率＞99.999%；</w:t>
      </w:r>
    </w:p>
    <w:p>
      <w:pPr>
        <w:pStyle w:val="null3"/>
        <w:ind w:firstLine="210"/>
        <w:jc w:val="both"/>
      </w:pPr>
      <w:r>
        <w:rPr>
          <w:sz w:val="21"/>
        </w:rPr>
        <w:t>③枯草杆菌黑色变种芽孢</w:t>
      </w:r>
      <w:r>
        <w:rPr>
          <w:sz w:val="21"/>
        </w:rPr>
        <w:t xml:space="preserve">  </w:t>
      </w:r>
      <w:r>
        <w:rPr>
          <w:sz w:val="21"/>
        </w:rPr>
        <w:t>细菌培养时间达到</w:t>
      </w:r>
      <w:r>
        <w:rPr>
          <w:sz w:val="21"/>
        </w:rPr>
        <w:t>48h，杀灭率＞99.999%；</w:t>
      </w:r>
    </w:p>
    <w:p>
      <w:pPr>
        <w:pStyle w:val="null3"/>
        <w:ind w:firstLine="210"/>
        <w:jc w:val="both"/>
      </w:pPr>
      <w:r>
        <w:rPr>
          <w:sz w:val="21"/>
        </w:rPr>
        <w:t>④黑曲霉                 细菌培养时间达到48h，杀灭率＞99.999%；</w:t>
      </w:r>
    </w:p>
    <w:p>
      <w:pPr>
        <w:pStyle w:val="null3"/>
        <w:ind w:firstLine="210"/>
        <w:jc w:val="both"/>
      </w:pPr>
      <w:r>
        <w:rPr>
          <w:sz w:val="21"/>
        </w:rPr>
        <w:t>⑤枯草芽孢杆菌</w:t>
      </w:r>
      <w:r>
        <w:rPr>
          <w:sz w:val="21"/>
        </w:rPr>
        <w:t xml:space="preserve">           </w:t>
      </w:r>
      <w:r>
        <w:rPr>
          <w:sz w:val="21"/>
        </w:rPr>
        <w:t>细菌培养时间达到</w:t>
      </w:r>
      <w:r>
        <w:rPr>
          <w:sz w:val="21"/>
        </w:rPr>
        <w:t>48h，杀灭率＞99.999%；</w:t>
      </w:r>
    </w:p>
    <w:p>
      <w:pPr>
        <w:pStyle w:val="null3"/>
        <w:ind w:firstLine="210"/>
        <w:jc w:val="both"/>
      </w:pPr>
      <w:r>
        <w:rPr>
          <w:sz w:val="21"/>
        </w:rPr>
        <w:t>⑥龟分枝杆菌脓肿亚种</w:t>
      </w:r>
      <w:r>
        <w:rPr>
          <w:sz w:val="21"/>
        </w:rPr>
        <w:t xml:space="preserve">     </w:t>
      </w:r>
      <w:r>
        <w:rPr>
          <w:sz w:val="21"/>
        </w:rPr>
        <w:t>细菌培养时间达到</w:t>
      </w:r>
      <w:r>
        <w:rPr>
          <w:sz w:val="21"/>
        </w:rPr>
        <w:t>48h，杀灭率＞99.999%；</w:t>
      </w:r>
    </w:p>
    <w:p>
      <w:pPr>
        <w:pStyle w:val="null3"/>
        <w:ind w:firstLine="210"/>
        <w:jc w:val="both"/>
      </w:pPr>
      <w:r>
        <w:rPr>
          <w:sz w:val="21"/>
        </w:rPr>
        <w:t>⑦鲍曼不动杆菌           细菌培养时间达到48h，杀灭率＞99.999%；</w:t>
      </w:r>
    </w:p>
    <w:p>
      <w:pPr>
        <w:pStyle w:val="null3"/>
        <w:ind w:firstLine="210"/>
        <w:jc w:val="both"/>
      </w:pPr>
      <w:r>
        <w:rPr>
          <w:sz w:val="21"/>
        </w:rPr>
        <w:t xml:space="preserve">⑧铜绿假单胞菌        </w:t>
      </w:r>
      <w:r>
        <w:rPr>
          <w:sz w:val="21"/>
        </w:rPr>
        <w:t xml:space="preserve">  </w:t>
      </w:r>
      <w:r>
        <w:rPr>
          <w:sz w:val="21"/>
        </w:rPr>
        <w:t xml:space="preserve"> </w:t>
      </w:r>
      <w:r>
        <w:rPr>
          <w:sz w:val="21"/>
        </w:rPr>
        <w:t>细菌培养时间达到</w:t>
      </w:r>
      <w:r>
        <w:rPr>
          <w:sz w:val="21"/>
        </w:rPr>
        <w:t>48h,</w:t>
      </w:r>
      <w:r>
        <w:rPr>
          <w:sz w:val="21"/>
        </w:rPr>
        <w:t xml:space="preserve"> </w:t>
      </w:r>
      <w:r>
        <w:rPr>
          <w:sz w:val="21"/>
        </w:rPr>
        <w:t>杀灭率＞</w:t>
      </w:r>
      <w:r>
        <w:rPr>
          <w:sz w:val="21"/>
        </w:rPr>
        <w:t>99.999%；</w:t>
      </w:r>
    </w:p>
    <w:p>
      <w:pPr>
        <w:pStyle w:val="null3"/>
        <w:ind w:firstLine="210"/>
        <w:jc w:val="both"/>
      </w:pPr>
      <w:r>
        <w:rPr>
          <w:sz w:val="21"/>
        </w:rPr>
        <w:t xml:space="preserve">⑨肺炎克雷伯氏菌       </w:t>
      </w:r>
      <w:r>
        <w:rPr>
          <w:sz w:val="21"/>
        </w:rPr>
        <w:t xml:space="preserve">  </w:t>
      </w:r>
      <w:r>
        <w:rPr>
          <w:sz w:val="21"/>
        </w:rPr>
        <w:t>细菌培养时间达到</w:t>
      </w:r>
      <w:r>
        <w:rPr>
          <w:sz w:val="21"/>
        </w:rPr>
        <w:t>48h,</w:t>
      </w:r>
      <w:r>
        <w:rPr>
          <w:sz w:val="21"/>
        </w:rPr>
        <w:t xml:space="preserve"> </w:t>
      </w:r>
      <w:r>
        <w:rPr>
          <w:sz w:val="21"/>
        </w:rPr>
        <w:t>杀灭率＞</w:t>
      </w:r>
      <w:r>
        <w:rPr>
          <w:sz w:val="21"/>
        </w:rPr>
        <w:t>99.999%；</w:t>
      </w:r>
    </w:p>
    <w:p>
      <w:pPr>
        <w:pStyle w:val="null3"/>
        <w:ind w:firstLine="420"/>
        <w:jc w:val="both"/>
      </w:pPr>
      <w:r>
        <w:rPr>
          <w:sz w:val="21"/>
        </w:rPr>
        <w:t>5</w:t>
      </w:r>
      <w:r>
        <w:rPr>
          <w:sz w:val="21"/>
        </w:rPr>
        <w:t>.</w:t>
      </w:r>
      <w:r>
        <w:rPr>
          <w:sz w:val="21"/>
        </w:rPr>
        <w:t>4</w:t>
      </w:r>
      <w:r>
        <w:rPr>
          <w:sz w:val="21"/>
        </w:rPr>
        <w:t>真空排气灭菌装置控制柜采用</w:t>
      </w:r>
      <w:r>
        <w:rPr>
          <w:sz w:val="21"/>
        </w:rPr>
        <w:t>PLC控制，自动控制加热模块、臭氧装置模块、氢光离子（高强紫外线）、高压电离模块</w:t>
      </w:r>
      <w:r>
        <w:rPr>
          <w:sz w:val="21"/>
        </w:rPr>
        <w:t>；</w:t>
      </w:r>
      <w:r>
        <w:rPr>
          <w:sz w:val="21"/>
        </w:rPr>
        <w:t>提供</w:t>
      </w:r>
      <w:r>
        <w:rPr>
          <w:sz w:val="21"/>
        </w:rPr>
        <w:t>CMA或CNAS认证资质</w:t>
      </w:r>
      <w:r>
        <w:rPr>
          <w:sz w:val="21"/>
        </w:rPr>
        <w:t>的第三方机构检测报告证明文件</w:t>
      </w:r>
    </w:p>
    <w:p>
      <w:pPr>
        <w:pStyle w:val="null3"/>
        <w:jc w:val="both"/>
      </w:pPr>
      <w:r>
        <w:rPr>
          <w:sz w:val="21"/>
          <w:b/>
        </w:rPr>
        <w:t>6、</w:t>
      </w:r>
      <w:r>
        <w:rPr>
          <w:sz w:val="21"/>
          <w:b/>
        </w:rPr>
        <w:t>配置清单</w:t>
      </w:r>
    </w:p>
    <w:tbl>
      <w:tblPr>
        <w:tblW w:w="0" w:type="auto"/>
        <w:tblInd w:type="dxa" w:w="105"/>
        <w:tblBorders>
          <w:top w:val="none" w:color="000000" w:sz="4"/>
          <w:left w:val="none" w:color="000000" w:sz="4"/>
          <w:bottom w:val="none" w:color="000000" w:sz="4"/>
          <w:right w:val="none" w:color="000000" w:sz="4"/>
          <w:insideH w:val="none"/>
          <w:insideV w:val="none"/>
        </w:tblBorders>
      </w:tblPr>
      <w:tblGrid>
        <w:gridCol w:w="599"/>
        <w:gridCol w:w="974"/>
        <w:gridCol w:w="4572"/>
        <w:gridCol w:w="599"/>
        <w:gridCol w:w="599"/>
        <w:gridCol w:w="914"/>
      </w:tblGrid>
      <w:tr>
        <w:tc>
          <w:tcPr>
            <w:tcW w:type="dxa" w:w="59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序号</w:t>
            </w:r>
          </w:p>
        </w:tc>
        <w:tc>
          <w:tcPr>
            <w:tcW w:type="dxa" w:w="97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名称</w:t>
            </w:r>
          </w:p>
        </w:tc>
        <w:tc>
          <w:tcPr>
            <w:tcW w:type="dxa" w:w="457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规格</w:t>
            </w:r>
          </w:p>
        </w:tc>
        <w:tc>
          <w:tcPr>
            <w:tcW w:type="dxa" w:w="5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单位</w:t>
            </w:r>
          </w:p>
        </w:tc>
        <w:tc>
          <w:tcPr>
            <w:tcW w:type="dxa" w:w="5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数量</w:t>
            </w:r>
          </w:p>
        </w:tc>
        <w:tc>
          <w:tcPr>
            <w:tcW w:type="dxa" w:w="91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备注</w:t>
            </w:r>
          </w:p>
        </w:tc>
      </w:tr>
      <w:tr>
        <w:tc>
          <w:tcPr>
            <w:tcW w:type="dxa" w:w="599"/>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left"/>
            </w:pPr>
            <w:r>
              <w:rPr>
                <w:sz w:val="21"/>
              </w:rPr>
              <w:t>1</w:t>
            </w:r>
          </w:p>
        </w:tc>
        <w:tc>
          <w:tcPr>
            <w:tcW w:type="dxa" w:w="97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医用真空负压机组</w:t>
            </w:r>
          </w:p>
          <w:p>
            <w:pPr>
              <w:pStyle w:val="null3"/>
              <w:jc w:val="left"/>
            </w:pPr>
          </w:p>
        </w:tc>
        <w:tc>
          <w:tcPr>
            <w:tcW w:type="dxa" w:w="4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1、2台油旋片式真空主机，单台</w:t>
            </w:r>
            <w:r>
              <w:rPr>
                <w:sz w:val="21"/>
              </w:rPr>
              <w:t>≥</w:t>
            </w:r>
            <w:r>
              <w:rPr>
                <w:sz w:val="21"/>
              </w:rPr>
              <w:t>100m³.h，单台</w:t>
            </w:r>
            <w:r>
              <w:rPr>
                <w:sz w:val="21"/>
              </w:rPr>
              <w:t>≥</w:t>
            </w:r>
            <w:r>
              <w:rPr>
                <w:sz w:val="21"/>
              </w:rPr>
              <w:t>3Kw,配套入口防回流装置及入口过滤器，1用1备</w:t>
            </w:r>
          </w:p>
        </w:tc>
        <w:tc>
          <w:tcPr>
            <w:tcW w:type="dxa" w:w="59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套</w:t>
            </w:r>
          </w:p>
        </w:tc>
        <w:tc>
          <w:tcPr>
            <w:tcW w:type="dxa" w:w="59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p>
        </w:tc>
        <w:tc>
          <w:tcPr>
            <w:tcW w:type="dxa" w:w="914"/>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p>
        </w:tc>
      </w:tr>
      <w:tr>
        <w:tc>
          <w:tcPr>
            <w:tcW w:type="dxa" w:w="599"/>
            <w:vMerge/>
            <w:tcBorders>
              <w:top w:val="none" w:color="000000" w:sz="4"/>
              <w:left w:val="single" w:color="000000" w:sz="4"/>
              <w:bottom w:val="none" w:color="000000" w:sz="4"/>
              <w:right w:val="single" w:color="000000" w:sz="4"/>
            </w:tcBorders>
          </w:tcPr>
          <w:p/>
        </w:tc>
        <w:tc>
          <w:tcPr>
            <w:tcW w:type="dxa" w:w="974"/>
            <w:vMerge/>
            <w:tcBorders>
              <w:top w:val="none" w:color="000000" w:sz="4"/>
              <w:left w:val="none" w:color="000000" w:sz="4"/>
              <w:bottom w:val="single" w:color="000000" w:sz="4"/>
              <w:right w:val="single" w:color="000000" w:sz="4"/>
            </w:tcBorders>
          </w:tcPr>
          <w:p/>
        </w:tc>
        <w:tc>
          <w:tcPr>
            <w:tcW w:type="dxa" w:w="4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2、2台入口手动不锈钢阀门</w:t>
            </w:r>
          </w:p>
        </w:tc>
        <w:tc>
          <w:tcPr>
            <w:tcW w:type="dxa" w:w="599"/>
            <w:vMerge/>
            <w:tcBorders>
              <w:top w:val="none" w:color="000000" w:sz="4"/>
              <w:left w:val="none" w:color="000000" w:sz="4"/>
              <w:bottom w:val="single" w:color="000000" w:sz="4"/>
              <w:right w:val="single" w:color="000000" w:sz="4"/>
            </w:tcBorders>
          </w:tcPr>
          <w:p/>
        </w:tc>
        <w:tc>
          <w:tcPr>
            <w:tcW w:type="dxa" w:w="599"/>
            <w:vMerge/>
            <w:tcBorders>
              <w:top w:val="none" w:color="000000" w:sz="4"/>
              <w:left w:val="none" w:color="000000" w:sz="4"/>
              <w:bottom w:val="single" w:color="000000" w:sz="4"/>
              <w:right w:val="single" w:color="000000" w:sz="4"/>
            </w:tcBorders>
          </w:tcPr>
          <w:p/>
        </w:tc>
        <w:tc>
          <w:tcPr>
            <w:tcW w:type="dxa" w:w="914"/>
            <w:vMerge/>
            <w:tcBorders>
              <w:top w:val="none" w:color="000000" w:sz="4"/>
              <w:left w:val="none" w:color="000000" w:sz="4"/>
              <w:bottom w:val="none" w:color="000000" w:sz="4"/>
              <w:right w:val="single" w:color="000000" w:sz="4"/>
            </w:tcBorders>
          </w:tcPr>
          <w:p/>
        </w:tc>
      </w:tr>
      <w:tr>
        <w:tc>
          <w:tcPr>
            <w:tcW w:type="dxa" w:w="599"/>
            <w:vMerge/>
            <w:tcBorders>
              <w:top w:val="none" w:color="000000" w:sz="4"/>
              <w:left w:val="single" w:color="000000" w:sz="4"/>
              <w:bottom w:val="none" w:color="000000" w:sz="4"/>
              <w:right w:val="single" w:color="000000" w:sz="4"/>
            </w:tcBorders>
          </w:tcPr>
          <w:p/>
        </w:tc>
        <w:tc>
          <w:tcPr>
            <w:tcW w:type="dxa" w:w="974"/>
            <w:vMerge/>
            <w:tcBorders>
              <w:top w:val="none" w:color="000000" w:sz="4"/>
              <w:left w:val="none" w:color="000000" w:sz="4"/>
              <w:bottom w:val="single" w:color="000000" w:sz="4"/>
              <w:right w:val="single" w:color="000000" w:sz="4"/>
            </w:tcBorders>
          </w:tcPr>
          <w:p/>
        </w:tc>
        <w:tc>
          <w:tcPr>
            <w:tcW w:type="dxa" w:w="4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3、2套细菌过滤器，</w:t>
            </w:r>
            <w:r>
              <w:rPr>
                <w:sz w:val="21"/>
              </w:rPr>
              <w:t>≥</w:t>
            </w:r>
            <w:r>
              <w:rPr>
                <w:sz w:val="21"/>
              </w:rPr>
              <w:t>100m³.h，过滤精度小于0.2um，过滤效率</w:t>
            </w:r>
            <w:r>
              <w:rPr>
                <w:sz w:val="21"/>
              </w:rPr>
              <w:t>≥</w:t>
            </w:r>
            <w:r>
              <w:rPr>
                <w:sz w:val="21"/>
              </w:rPr>
              <w:t>99.995%,外壳不锈钢，带透明集污装置。</w:t>
            </w:r>
          </w:p>
        </w:tc>
        <w:tc>
          <w:tcPr>
            <w:tcW w:type="dxa" w:w="599"/>
            <w:vMerge/>
            <w:tcBorders>
              <w:top w:val="none" w:color="000000" w:sz="4"/>
              <w:left w:val="none" w:color="000000" w:sz="4"/>
              <w:bottom w:val="single" w:color="000000" w:sz="4"/>
              <w:right w:val="single" w:color="000000" w:sz="4"/>
            </w:tcBorders>
          </w:tcPr>
          <w:p/>
        </w:tc>
        <w:tc>
          <w:tcPr>
            <w:tcW w:type="dxa" w:w="599"/>
            <w:vMerge/>
            <w:tcBorders>
              <w:top w:val="none" w:color="000000" w:sz="4"/>
              <w:left w:val="none" w:color="000000" w:sz="4"/>
              <w:bottom w:val="single" w:color="000000" w:sz="4"/>
              <w:right w:val="single" w:color="000000" w:sz="4"/>
            </w:tcBorders>
          </w:tcPr>
          <w:p/>
        </w:tc>
        <w:tc>
          <w:tcPr>
            <w:tcW w:type="dxa" w:w="914"/>
            <w:vMerge/>
            <w:tcBorders>
              <w:top w:val="none" w:color="000000" w:sz="4"/>
              <w:left w:val="none" w:color="000000" w:sz="4"/>
              <w:bottom w:val="none" w:color="000000" w:sz="4"/>
              <w:right w:val="single" w:color="000000" w:sz="4"/>
            </w:tcBorders>
          </w:tcPr>
          <w:p/>
        </w:tc>
      </w:tr>
      <w:tr>
        <w:tc>
          <w:tcPr>
            <w:tcW w:type="dxa" w:w="599"/>
            <w:vMerge/>
            <w:tcBorders>
              <w:top w:val="none" w:color="000000" w:sz="4"/>
              <w:left w:val="single" w:color="000000" w:sz="4"/>
              <w:bottom w:val="none" w:color="000000" w:sz="4"/>
              <w:right w:val="single" w:color="000000" w:sz="4"/>
            </w:tcBorders>
          </w:tcPr>
          <w:p/>
        </w:tc>
        <w:tc>
          <w:tcPr>
            <w:tcW w:type="dxa" w:w="974"/>
            <w:vMerge/>
            <w:tcBorders>
              <w:top w:val="none" w:color="000000" w:sz="4"/>
              <w:left w:val="none" w:color="000000" w:sz="4"/>
              <w:bottom w:val="single" w:color="000000" w:sz="4"/>
              <w:right w:val="single" w:color="000000" w:sz="4"/>
            </w:tcBorders>
          </w:tcPr>
          <w:p/>
        </w:tc>
        <w:tc>
          <w:tcPr>
            <w:tcW w:type="dxa" w:w="4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4、内置真空检测罐，-0.1MPa，DN32</w:t>
            </w:r>
          </w:p>
        </w:tc>
        <w:tc>
          <w:tcPr>
            <w:tcW w:type="dxa" w:w="599"/>
            <w:vMerge/>
            <w:tcBorders>
              <w:top w:val="none" w:color="000000" w:sz="4"/>
              <w:left w:val="none" w:color="000000" w:sz="4"/>
              <w:bottom w:val="single" w:color="000000" w:sz="4"/>
              <w:right w:val="single" w:color="000000" w:sz="4"/>
            </w:tcBorders>
          </w:tcPr>
          <w:p/>
        </w:tc>
        <w:tc>
          <w:tcPr>
            <w:tcW w:type="dxa" w:w="599"/>
            <w:vMerge/>
            <w:tcBorders>
              <w:top w:val="none" w:color="000000" w:sz="4"/>
              <w:left w:val="none" w:color="000000" w:sz="4"/>
              <w:bottom w:val="single" w:color="000000" w:sz="4"/>
              <w:right w:val="single" w:color="000000" w:sz="4"/>
            </w:tcBorders>
          </w:tcPr>
          <w:p/>
        </w:tc>
        <w:tc>
          <w:tcPr>
            <w:tcW w:type="dxa" w:w="914"/>
            <w:vMerge/>
            <w:tcBorders>
              <w:top w:val="none" w:color="000000" w:sz="4"/>
              <w:left w:val="none" w:color="000000" w:sz="4"/>
              <w:bottom w:val="none" w:color="000000" w:sz="4"/>
              <w:right w:val="single" w:color="000000" w:sz="4"/>
            </w:tcBorders>
          </w:tcPr>
          <w:p/>
        </w:tc>
      </w:tr>
      <w:tr>
        <w:tc>
          <w:tcPr>
            <w:tcW w:type="dxa" w:w="599"/>
            <w:vMerge/>
            <w:tcBorders>
              <w:top w:val="none" w:color="000000" w:sz="4"/>
              <w:left w:val="single" w:color="000000" w:sz="4"/>
              <w:bottom w:val="none" w:color="000000" w:sz="4"/>
              <w:right w:val="single" w:color="000000" w:sz="4"/>
            </w:tcBorders>
          </w:tcPr>
          <w:p/>
        </w:tc>
        <w:tc>
          <w:tcPr>
            <w:tcW w:type="dxa" w:w="974"/>
            <w:vMerge/>
            <w:tcBorders>
              <w:top w:val="none" w:color="000000" w:sz="4"/>
              <w:left w:val="none" w:color="000000" w:sz="4"/>
              <w:bottom w:val="single" w:color="000000" w:sz="4"/>
              <w:right w:val="single" w:color="000000" w:sz="4"/>
            </w:tcBorders>
          </w:tcPr>
          <w:p/>
        </w:tc>
        <w:tc>
          <w:tcPr>
            <w:tcW w:type="dxa" w:w="4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5、双压力监测，数显真空及不锈钢传感器</w:t>
            </w:r>
          </w:p>
        </w:tc>
        <w:tc>
          <w:tcPr>
            <w:tcW w:type="dxa" w:w="599"/>
            <w:vMerge/>
            <w:tcBorders>
              <w:top w:val="none" w:color="000000" w:sz="4"/>
              <w:left w:val="none" w:color="000000" w:sz="4"/>
              <w:bottom w:val="single" w:color="000000" w:sz="4"/>
              <w:right w:val="single" w:color="000000" w:sz="4"/>
            </w:tcBorders>
          </w:tcPr>
          <w:p/>
        </w:tc>
        <w:tc>
          <w:tcPr>
            <w:tcW w:type="dxa" w:w="599"/>
            <w:vMerge/>
            <w:tcBorders>
              <w:top w:val="none" w:color="000000" w:sz="4"/>
              <w:left w:val="none" w:color="000000" w:sz="4"/>
              <w:bottom w:val="single" w:color="000000" w:sz="4"/>
              <w:right w:val="single" w:color="000000" w:sz="4"/>
            </w:tcBorders>
          </w:tcPr>
          <w:p/>
        </w:tc>
        <w:tc>
          <w:tcPr>
            <w:tcW w:type="dxa" w:w="914"/>
            <w:vMerge/>
            <w:tcBorders>
              <w:top w:val="none" w:color="000000" w:sz="4"/>
              <w:left w:val="none" w:color="000000" w:sz="4"/>
              <w:bottom w:val="none" w:color="000000" w:sz="4"/>
              <w:right w:val="single" w:color="000000" w:sz="4"/>
            </w:tcBorders>
          </w:tcPr>
          <w:p/>
        </w:tc>
      </w:tr>
      <w:tr>
        <w:tc>
          <w:tcPr>
            <w:tcW w:type="dxa" w:w="599"/>
            <w:vMerge/>
            <w:tcBorders>
              <w:top w:val="none" w:color="000000" w:sz="4"/>
              <w:left w:val="single" w:color="000000" w:sz="4"/>
              <w:bottom w:val="none" w:color="000000" w:sz="4"/>
              <w:right w:val="single" w:color="000000" w:sz="4"/>
            </w:tcBorders>
          </w:tcPr>
          <w:p/>
        </w:tc>
        <w:tc>
          <w:tcPr>
            <w:tcW w:type="dxa" w:w="974"/>
            <w:vMerge/>
            <w:tcBorders>
              <w:top w:val="none" w:color="000000" w:sz="4"/>
              <w:left w:val="none" w:color="000000" w:sz="4"/>
              <w:bottom w:val="single" w:color="000000" w:sz="4"/>
              <w:right w:val="single" w:color="000000" w:sz="4"/>
            </w:tcBorders>
          </w:tcPr>
          <w:p/>
        </w:tc>
        <w:tc>
          <w:tcPr>
            <w:tcW w:type="dxa" w:w="4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6、①控制系统，PLC控制，自动、手自动一体、应急启动三种运行模式，交叉运行，实施监测运行压力、时间、报警信息、运行状态；</w:t>
            </w:r>
            <w:r>
              <w:br/>
            </w:r>
            <w:r>
              <w:rPr>
                <w:sz w:val="21"/>
              </w:rPr>
              <w:t>②完全冗余设计，当单一故障状态时，连续供气，每台泵具有独立开关控制，方便检修</w:t>
            </w:r>
            <w:r>
              <w:br/>
            </w:r>
            <w:r>
              <w:rPr>
                <w:sz w:val="21"/>
              </w:rPr>
              <w:t>③均为分配每台真空泵运行时间，断电自动恢复启动</w:t>
            </w:r>
            <w:r>
              <w:br/>
            </w:r>
            <w:r>
              <w:rPr>
                <w:sz w:val="21"/>
              </w:rPr>
              <w:t>④具有保养提醒报警功能</w:t>
            </w:r>
            <w:r>
              <w:br/>
            </w:r>
            <w:r>
              <w:rPr>
                <w:sz w:val="21"/>
              </w:rPr>
              <w:t>⑤配置远程负压气体</w:t>
            </w:r>
            <w:r>
              <w:rPr>
                <w:sz w:val="21"/>
              </w:rPr>
              <w:t>可通过电脑登录远程监控系统进行设备管理，对设备进行</w:t>
            </w:r>
            <w:r>
              <w:rPr>
                <w:sz w:val="21"/>
              </w:rPr>
              <w:t>24小时全方位监测与报警</w:t>
            </w:r>
            <w:r>
              <w:rPr>
                <w:sz w:val="21"/>
              </w:rPr>
              <w:t>；</w:t>
            </w:r>
            <w:r>
              <w:br/>
            </w:r>
            <w:r>
              <w:rPr>
                <w:sz w:val="21"/>
              </w:rPr>
              <w:t>⑥PLC或触摸屏控制，具备应急启动功能，保证负压稳定运行；</w:t>
            </w:r>
          </w:p>
        </w:tc>
        <w:tc>
          <w:tcPr>
            <w:tcW w:type="dxa" w:w="599"/>
            <w:vMerge/>
            <w:tcBorders>
              <w:top w:val="none" w:color="000000" w:sz="4"/>
              <w:left w:val="none" w:color="000000" w:sz="4"/>
              <w:bottom w:val="single" w:color="000000" w:sz="4"/>
              <w:right w:val="single" w:color="000000" w:sz="4"/>
            </w:tcBorders>
          </w:tcPr>
          <w:p/>
        </w:tc>
        <w:tc>
          <w:tcPr>
            <w:tcW w:type="dxa" w:w="599"/>
            <w:vMerge/>
            <w:tcBorders>
              <w:top w:val="none" w:color="000000" w:sz="4"/>
              <w:left w:val="none" w:color="000000" w:sz="4"/>
              <w:bottom w:val="single" w:color="000000" w:sz="4"/>
              <w:right w:val="single" w:color="000000" w:sz="4"/>
            </w:tcBorders>
          </w:tcPr>
          <w:p/>
        </w:tc>
        <w:tc>
          <w:tcPr>
            <w:tcW w:type="dxa" w:w="914"/>
            <w:vMerge/>
            <w:tcBorders>
              <w:top w:val="none" w:color="000000" w:sz="4"/>
              <w:left w:val="none" w:color="000000" w:sz="4"/>
              <w:bottom w:val="none" w:color="000000" w:sz="4"/>
              <w:right w:val="single" w:color="000000" w:sz="4"/>
            </w:tcBorders>
          </w:tcPr>
          <w:p/>
        </w:tc>
      </w:tr>
      <w:tr>
        <w:tc>
          <w:tcPr>
            <w:tcW w:type="dxa" w:w="599"/>
            <w:vMerge/>
            <w:tcBorders>
              <w:top w:val="none" w:color="000000" w:sz="4"/>
              <w:left w:val="single" w:color="000000" w:sz="4"/>
              <w:bottom w:val="none" w:color="000000" w:sz="4"/>
              <w:right w:val="single" w:color="000000" w:sz="4"/>
            </w:tcBorders>
          </w:tcPr>
          <w:p/>
        </w:tc>
        <w:tc>
          <w:tcPr>
            <w:tcW w:type="dxa" w:w="974"/>
            <w:vMerge/>
            <w:tcBorders>
              <w:top w:val="none" w:color="000000" w:sz="4"/>
              <w:left w:val="none" w:color="000000" w:sz="4"/>
              <w:bottom w:val="single" w:color="000000" w:sz="4"/>
              <w:right w:val="single" w:color="000000" w:sz="4"/>
            </w:tcBorders>
          </w:tcPr>
          <w:p/>
        </w:tc>
        <w:tc>
          <w:tcPr>
            <w:tcW w:type="dxa" w:w="4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7、HQ撬装一体式机座及内部不锈钢管道及阀门</w:t>
            </w:r>
          </w:p>
        </w:tc>
        <w:tc>
          <w:tcPr>
            <w:tcW w:type="dxa" w:w="599"/>
            <w:vMerge/>
            <w:tcBorders>
              <w:top w:val="none" w:color="000000" w:sz="4"/>
              <w:left w:val="none" w:color="000000" w:sz="4"/>
              <w:bottom w:val="single" w:color="000000" w:sz="4"/>
              <w:right w:val="single" w:color="000000" w:sz="4"/>
            </w:tcBorders>
          </w:tcPr>
          <w:p/>
        </w:tc>
        <w:tc>
          <w:tcPr>
            <w:tcW w:type="dxa" w:w="599"/>
            <w:vMerge/>
            <w:tcBorders>
              <w:top w:val="none" w:color="000000" w:sz="4"/>
              <w:left w:val="none" w:color="000000" w:sz="4"/>
              <w:bottom w:val="single" w:color="000000" w:sz="4"/>
              <w:right w:val="single" w:color="000000" w:sz="4"/>
            </w:tcBorders>
          </w:tcPr>
          <w:p/>
        </w:tc>
        <w:tc>
          <w:tcPr>
            <w:tcW w:type="dxa" w:w="914"/>
            <w:vMerge/>
            <w:tcBorders>
              <w:top w:val="none" w:color="000000" w:sz="4"/>
              <w:left w:val="none" w:color="000000" w:sz="4"/>
              <w:bottom w:val="none" w:color="000000" w:sz="4"/>
              <w:right w:val="single" w:color="000000" w:sz="4"/>
            </w:tcBorders>
          </w:tcPr>
          <w:p/>
        </w:tc>
      </w:tr>
      <w:tr>
        <w:tc>
          <w:tcPr>
            <w:tcW w:type="dxa" w:w="5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w:t>
            </w:r>
          </w:p>
        </w:tc>
        <w:tc>
          <w:tcPr>
            <w:tcW w:type="dxa" w:w="9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真空排气灭菌装置</w:t>
            </w:r>
          </w:p>
        </w:tc>
        <w:tc>
          <w:tcPr>
            <w:tcW w:type="dxa" w:w="4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①1套排气灭菌装置</w:t>
            </w:r>
            <w:r>
              <w:rPr>
                <w:sz w:val="21"/>
              </w:rPr>
              <w:t>≥</w:t>
            </w:r>
            <w:r>
              <w:rPr>
                <w:sz w:val="21"/>
              </w:rPr>
              <w:t>300m³.h，1.5kw，220V电压，接入控制系统自动控制</w:t>
            </w:r>
            <w:r>
              <w:br/>
            </w:r>
            <w:r>
              <w:rPr>
                <w:sz w:val="21"/>
              </w:rPr>
              <w:t>②采用热力高温（</w:t>
            </w:r>
            <w:r>
              <w:rPr>
                <w:sz w:val="21"/>
              </w:rPr>
              <w:t>≥</w:t>
            </w:r>
            <w:r>
              <w:rPr>
                <w:sz w:val="21"/>
              </w:rPr>
              <w:t>350℃）、臭氧装置、氢光离子、高压电离三种功能综合杀灭，针对病菌杀灭率</w:t>
            </w:r>
            <w:r>
              <w:rPr>
                <w:sz w:val="21"/>
              </w:rPr>
              <w:t>≥</w:t>
            </w:r>
            <w:r>
              <w:rPr>
                <w:sz w:val="21"/>
              </w:rPr>
              <w:t>99.999%,出具</w:t>
            </w:r>
            <w:r>
              <w:rPr>
                <w:sz w:val="21"/>
              </w:rPr>
              <w:t>CMA或CNAS认证资质</w:t>
            </w:r>
            <w:r>
              <w:rPr>
                <w:sz w:val="21"/>
              </w:rPr>
              <w:t>的第三方检测报告复印件</w:t>
            </w:r>
            <w:r>
              <w:br/>
            </w:r>
            <w:r>
              <w:rPr>
                <w:sz w:val="21"/>
              </w:rPr>
              <w:t>③排气口DN50法兰接口</w:t>
            </w: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套</w:t>
            </w: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p>
        </w:tc>
        <w:tc>
          <w:tcPr>
            <w:tcW w:type="dxa" w:w="9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5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3</w:t>
            </w:r>
          </w:p>
        </w:tc>
        <w:tc>
          <w:tcPr>
            <w:tcW w:type="dxa" w:w="9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真空罐</w:t>
            </w:r>
          </w:p>
        </w:tc>
        <w:tc>
          <w:tcPr>
            <w:tcW w:type="dxa" w:w="4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1.0m³，真空碳钢材质,-0.1MPa，DN50螺纹</w:t>
            </w: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个</w:t>
            </w: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p>
        </w:tc>
        <w:tc>
          <w:tcPr>
            <w:tcW w:type="dxa" w:w="9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5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4</w:t>
            </w:r>
          </w:p>
        </w:tc>
        <w:tc>
          <w:tcPr>
            <w:tcW w:type="dxa" w:w="9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集污罐</w:t>
            </w:r>
          </w:p>
        </w:tc>
        <w:tc>
          <w:tcPr>
            <w:tcW w:type="dxa" w:w="4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50L/不锈钢材质/观察窗/排污收集瓶，</w:t>
            </w:r>
            <w:r>
              <w:rPr>
                <w:sz w:val="21"/>
              </w:rPr>
              <w:t>≥</w:t>
            </w:r>
            <w:r>
              <w:rPr>
                <w:sz w:val="21"/>
              </w:rPr>
              <w:t>DN50</w:t>
            </w: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个</w:t>
            </w: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p>
        </w:tc>
        <w:tc>
          <w:tcPr>
            <w:tcW w:type="dxa" w:w="9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5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5</w:t>
            </w:r>
          </w:p>
        </w:tc>
        <w:tc>
          <w:tcPr>
            <w:tcW w:type="dxa" w:w="9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安装</w:t>
            </w:r>
          </w:p>
          <w:p>
            <w:pPr>
              <w:pStyle w:val="null3"/>
              <w:jc w:val="left"/>
            </w:pPr>
            <w:r>
              <w:rPr>
                <w:sz w:val="21"/>
              </w:rPr>
              <w:t>施工</w:t>
            </w:r>
          </w:p>
        </w:tc>
        <w:tc>
          <w:tcPr>
            <w:tcW w:type="dxa" w:w="4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站房安装施工管道、阀门、电线电缆、人工及辅材等</w:t>
            </w: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套</w:t>
            </w: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p>
        </w:tc>
        <w:tc>
          <w:tcPr>
            <w:tcW w:type="dxa" w:w="9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bl>
    <w:p>
      <w:pPr>
        <w:pStyle w:val="null3"/>
        <w:jc w:val="left"/>
      </w:pPr>
      <w:r>
        <w:rPr>
          <w:sz w:val="21"/>
          <w:b/>
        </w:rPr>
        <w:t>7、</w:t>
      </w:r>
      <w:r>
        <w:rPr>
          <w:sz w:val="21"/>
          <w:b/>
        </w:rPr>
        <w:t>吸引终端设备</w:t>
      </w:r>
    </w:p>
    <w:p>
      <w:pPr>
        <w:pStyle w:val="null3"/>
        <w:ind w:left="210"/>
        <w:jc w:val="both"/>
      </w:pPr>
      <w:r>
        <w:rPr>
          <w:sz w:val="21"/>
        </w:rPr>
        <w:t xml:space="preserve">7.1 </w:t>
      </w:r>
      <w:r>
        <w:rPr>
          <w:sz w:val="21"/>
        </w:rPr>
        <w:t>气体终端产品内部上下本体为全金属材质耐用结构，牢固可靠，经久耐用。</w:t>
      </w:r>
    </w:p>
    <w:p>
      <w:pPr>
        <w:pStyle w:val="null3"/>
        <w:ind w:left="210"/>
        <w:jc w:val="both"/>
      </w:pPr>
      <w:r>
        <w:rPr>
          <w:sz w:val="21"/>
        </w:rPr>
        <w:t xml:space="preserve">7.2 </w:t>
      </w:r>
      <w:r>
        <w:rPr>
          <w:sz w:val="21"/>
        </w:rPr>
        <w:t>气体终端主材采用铜材料。</w:t>
      </w:r>
    </w:p>
    <w:p>
      <w:pPr>
        <w:pStyle w:val="null3"/>
        <w:ind w:left="210"/>
        <w:jc w:val="both"/>
      </w:pPr>
      <w:r>
        <w:rPr>
          <w:sz w:val="21"/>
        </w:rPr>
        <w:t>7.3 超大流量设计,所有正压气体终端，单一出气口流量瞬间能达到100L/min时，流量至少能维持3秒钟，一般流量大于80L/min。负压气体终端，单一出气口流量瞬间能达到100L/min时，流量至少能维持3秒钟，一般流量大于60L/min。</w:t>
      </w:r>
    </w:p>
    <w:p>
      <w:pPr>
        <w:pStyle w:val="null3"/>
        <w:ind w:left="210"/>
        <w:jc w:val="both"/>
      </w:pPr>
      <w:r>
        <w:rPr>
          <w:sz w:val="21"/>
        </w:rPr>
        <w:t xml:space="preserve">7.4 </w:t>
      </w:r>
      <w:r>
        <w:rPr>
          <w:sz w:val="21"/>
        </w:rPr>
        <w:t>100%气密性实验。</w:t>
      </w:r>
    </w:p>
    <w:p>
      <w:pPr>
        <w:pStyle w:val="null3"/>
        <w:ind w:left="210"/>
        <w:jc w:val="both"/>
      </w:pPr>
      <w:r>
        <w:rPr>
          <w:sz w:val="21"/>
        </w:rPr>
        <w:t xml:space="preserve">7.5 </w:t>
      </w:r>
      <w:r>
        <w:rPr>
          <w:sz w:val="21"/>
        </w:rPr>
        <w:t>采用</w:t>
      </w:r>
      <w:r>
        <w:rPr>
          <w:sz w:val="21"/>
        </w:rPr>
        <w:t>ISO32颜色标准识别气体。</w:t>
      </w:r>
    </w:p>
    <w:p>
      <w:pPr>
        <w:pStyle w:val="null3"/>
        <w:ind w:left="210"/>
        <w:jc w:val="both"/>
      </w:pPr>
      <w:r>
        <w:rPr>
          <w:sz w:val="21"/>
        </w:rPr>
        <w:t xml:space="preserve">7.6 </w:t>
      </w:r>
      <w:r>
        <w:rPr>
          <w:sz w:val="21"/>
        </w:rPr>
        <w:t>采用不同定位度数以区分不同气体。</w:t>
      </w:r>
    </w:p>
    <w:p>
      <w:pPr>
        <w:pStyle w:val="null3"/>
        <w:ind w:left="210"/>
        <w:jc w:val="both"/>
      </w:pPr>
      <w:r>
        <w:rPr>
          <w:sz w:val="21"/>
        </w:rPr>
        <w:t xml:space="preserve">7.7 </w:t>
      </w:r>
      <w:r>
        <w:rPr>
          <w:sz w:val="21"/>
        </w:rPr>
        <w:t>连接方式可分为球帽、焊接、卡套、锁套等。</w:t>
      </w:r>
    </w:p>
    <w:p>
      <w:pPr>
        <w:pStyle w:val="null3"/>
        <w:ind w:left="210"/>
        <w:jc w:val="both"/>
      </w:pPr>
      <w:r>
        <w:rPr>
          <w:sz w:val="21"/>
        </w:rPr>
        <w:t xml:space="preserve">7.8 </w:t>
      </w:r>
      <w:r>
        <w:rPr>
          <w:sz w:val="21"/>
        </w:rPr>
        <w:t>插座高度根据设备带高度制造。</w:t>
      </w:r>
    </w:p>
    <w:p>
      <w:pPr>
        <w:pStyle w:val="null3"/>
        <w:ind w:left="210"/>
        <w:jc w:val="both"/>
      </w:pPr>
      <w:r>
        <w:rPr>
          <w:sz w:val="21"/>
        </w:rPr>
        <w:t xml:space="preserve">7.9 </w:t>
      </w:r>
      <w:r>
        <w:rPr>
          <w:sz w:val="21"/>
        </w:rPr>
        <w:t>最大工作压力为</w:t>
      </w:r>
      <w:r>
        <w:rPr>
          <w:sz w:val="21"/>
        </w:rPr>
        <w:t>≥</w:t>
      </w:r>
      <w:r>
        <w:rPr>
          <w:sz w:val="21"/>
        </w:rPr>
        <w:t>0.75MPA。</w:t>
      </w:r>
    </w:p>
    <w:p>
      <w:pPr>
        <w:pStyle w:val="null3"/>
        <w:ind w:left="210"/>
        <w:jc w:val="both"/>
      </w:pPr>
      <w:r>
        <w:rPr>
          <w:sz w:val="21"/>
        </w:rPr>
        <w:t xml:space="preserve">7.10 </w:t>
      </w:r>
      <w:r>
        <w:rPr>
          <w:sz w:val="24"/>
        </w:rPr>
        <w:t>▲</w:t>
      </w:r>
      <w:r>
        <w:rPr>
          <w:sz w:val="21"/>
        </w:rPr>
        <w:t>≥</w:t>
      </w:r>
      <w:r>
        <w:rPr>
          <w:sz w:val="21"/>
        </w:rPr>
        <w:t>10万次插拔无故障</w:t>
      </w:r>
      <w:r>
        <w:rPr>
          <w:sz w:val="24"/>
        </w:rPr>
        <w:t>，</w:t>
      </w:r>
      <w:r>
        <w:rPr>
          <w:sz w:val="21"/>
        </w:rPr>
        <w:t>需提供第三方检测报告</w:t>
      </w:r>
      <w:r>
        <w:rPr>
          <w:sz w:val="21"/>
        </w:rPr>
        <w:t>。</w:t>
      </w:r>
    </w:p>
    <w:p>
      <w:pPr>
        <w:pStyle w:val="null3"/>
        <w:ind w:left="210"/>
        <w:jc w:val="both"/>
      </w:pPr>
      <w:r>
        <w:rPr>
          <w:sz w:val="21"/>
        </w:rPr>
        <w:t xml:space="preserve">7.11 </w:t>
      </w:r>
      <w:r>
        <w:rPr>
          <w:sz w:val="24"/>
        </w:rPr>
        <w:t>▲</w:t>
      </w:r>
      <w:r>
        <w:rPr>
          <w:sz w:val="21"/>
        </w:rPr>
        <w:t>气体终端外壳</w:t>
      </w:r>
      <w:r>
        <w:rPr>
          <w:sz w:val="21"/>
        </w:rPr>
        <w:t>具</w:t>
      </w:r>
      <w:r>
        <w:rPr>
          <w:sz w:val="21"/>
        </w:rPr>
        <w:t>有防尘保护</w:t>
      </w:r>
      <w:r>
        <w:rPr>
          <w:sz w:val="21"/>
        </w:rPr>
        <w:t>,</w:t>
      </w:r>
      <w:r>
        <w:rPr>
          <w:sz w:val="21"/>
        </w:rPr>
        <w:t>需提供第三方检测报告</w:t>
      </w:r>
      <w:r>
        <w:rPr>
          <w:sz w:val="21"/>
        </w:rPr>
        <w:t>。</w:t>
      </w:r>
    </w:p>
    <w:p>
      <w:pPr>
        <w:pStyle w:val="null3"/>
        <w:ind w:left="210"/>
        <w:jc w:val="both"/>
      </w:pPr>
      <w:r>
        <w:rPr>
          <w:sz w:val="21"/>
        </w:rPr>
        <w:t xml:space="preserve">7.12 </w:t>
      </w:r>
      <w:r>
        <w:rPr>
          <w:sz w:val="21"/>
        </w:rPr>
        <w:t>终端符合</w:t>
      </w:r>
      <w:r>
        <w:rPr>
          <w:sz w:val="21"/>
        </w:rPr>
        <w:t>国际标准</w:t>
      </w:r>
      <w:r>
        <w:rPr>
          <w:sz w:val="21"/>
        </w:rPr>
        <w:t>-关于在电子电气设备中限制使用某些有害物质指令（ROHS）</w:t>
      </w:r>
      <w:r>
        <w:rPr>
          <w:sz w:val="21"/>
        </w:rPr>
        <w:t>的要求，</w:t>
      </w:r>
      <w:r>
        <w:rPr>
          <w:sz w:val="21"/>
        </w:rPr>
        <w:t>需提供第三方检测报告。</w:t>
      </w:r>
    </w:p>
    <w:p>
      <w:pPr>
        <w:pStyle w:val="null3"/>
        <w:ind w:firstLine="210"/>
        <w:jc w:val="both"/>
      </w:pPr>
      <w:r>
        <w:rPr>
          <w:sz w:val="21"/>
        </w:rPr>
        <w:t xml:space="preserve">7.13 </w:t>
      </w:r>
      <w:r>
        <w:rPr>
          <w:sz w:val="24"/>
        </w:rPr>
        <w:t>▲</w:t>
      </w:r>
      <w:r>
        <w:rPr>
          <w:sz w:val="21"/>
        </w:rPr>
        <w:t>终端应符合</w:t>
      </w:r>
      <w:r>
        <w:rPr>
          <w:sz w:val="21"/>
        </w:rPr>
        <w:t>GB 8624-2012，建筑电气安全防火燃烧性能达到A(A2)级以上，需提供第三方检测报告。</w:t>
      </w:r>
    </w:p>
    <w:p>
      <w:pPr>
        <w:pStyle w:val="null3"/>
        <w:ind w:firstLine="210"/>
        <w:jc w:val="left"/>
      </w:pPr>
      <w:r>
        <w:rPr>
          <w:sz w:val="21"/>
        </w:rPr>
        <w:t xml:space="preserve">7.14 </w:t>
      </w:r>
      <w:r>
        <w:rPr>
          <w:sz w:val="24"/>
        </w:rPr>
        <w:t>▲</w:t>
      </w:r>
      <w:r>
        <w:rPr>
          <w:sz w:val="21"/>
        </w:rPr>
        <w:t>通过国家食药监局</w:t>
      </w:r>
      <w:r>
        <w:rPr>
          <w:sz w:val="21"/>
        </w:rPr>
        <w:t>YY/T 0801.1-2020《医用气体管道系统终端 第1部分：用于压缩医用气体和真空的终端》</w:t>
      </w:r>
      <w:r>
        <w:rPr>
          <w:sz w:val="21"/>
        </w:rPr>
        <w:t>标准的检测，并出具检测报告，检验报告应包含对终端安全性结构、压力、泄漏和压降的检测</w:t>
      </w:r>
      <w:r>
        <w:rPr>
          <w:sz w:val="21"/>
        </w:rPr>
        <w:t>。</w:t>
      </w:r>
    </w:p>
    <w:p>
      <w:pPr>
        <w:pStyle w:val="null3"/>
      </w:pPr>
      <w:r>
        <w:rPr>
          <w:sz w:val="21"/>
          <w:b/>
        </w:rPr>
        <w:t>（四）</w:t>
      </w:r>
      <w:r>
        <w:rPr>
          <w:sz w:val="21"/>
          <w:b/>
        </w:rPr>
        <w:t>智慧护理传呼系统</w:t>
      </w:r>
      <w:r>
        <w:rPr>
          <w:sz w:val="21"/>
          <w:b/>
        </w:rPr>
        <w:t>7套</w:t>
      </w:r>
    </w:p>
    <w:tbl>
      <w:tblPr>
        <w:tblW w:w="0" w:type="auto"/>
        <w:tblInd w:type="dxa" w:w="105"/>
        <w:tblBorders>
          <w:top w:val="none" w:color="000000" w:sz="4"/>
          <w:left w:val="none" w:color="000000" w:sz="4"/>
          <w:bottom w:val="none" w:color="000000" w:sz="4"/>
          <w:right w:val="none" w:color="000000" w:sz="4"/>
          <w:insideH w:val="none"/>
          <w:insideV w:val="none"/>
        </w:tblBorders>
      </w:tblPr>
      <w:tblGrid>
        <w:gridCol w:w="2769"/>
        <w:gridCol w:w="2769"/>
        <w:gridCol w:w="2769"/>
      </w:tblGrid>
      <w:tr>
        <w:tc>
          <w:tcPr>
            <w:tcW w:type="dxa" w:w="276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276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产品名称</w:t>
            </w:r>
          </w:p>
        </w:tc>
        <w:tc>
          <w:tcPr>
            <w:tcW w:type="dxa" w:w="276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技术参数</w:t>
            </w:r>
          </w:p>
        </w:tc>
      </w:tr>
      <w:tr>
        <w:tc>
          <w:tcPr>
            <w:tcW w:type="dxa" w:w="27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27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信息一览表系统</w:t>
            </w:r>
          </w:p>
        </w:tc>
        <w:tc>
          <w:tcPr>
            <w:tcW w:type="dxa" w:w="27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1、每个病区配置一台显示器，挂放在护士站方便护士查看的位置</w:t>
            </w:r>
            <w:r>
              <w:br/>
            </w:r>
            <w:r>
              <w:rPr>
                <w:sz w:val="21"/>
              </w:rPr>
              <w:t>2、通过连接电脑显示病区病员一览表、通知信息、各类示教信息等</w:t>
            </w:r>
            <w:r>
              <w:br/>
            </w:r>
            <w:r>
              <w:rPr>
                <w:sz w:val="21"/>
              </w:rPr>
              <w:t>3、一览表显示的内容可以通过设置，显示病区需要显示的内容</w:t>
            </w:r>
            <w:r>
              <w:br/>
            </w:r>
            <w:r>
              <w:rPr>
                <w:sz w:val="21"/>
              </w:rPr>
              <w:t>4、无缝HIS对接</w:t>
            </w:r>
            <w:r>
              <w:br/>
            </w:r>
            <w:r>
              <w:rPr>
                <w:sz w:val="21"/>
              </w:rPr>
              <w:t>5、护理级别、饮食、病情简易标识</w:t>
            </w:r>
            <w:r>
              <w:br/>
            </w:r>
            <w:r>
              <w:rPr>
                <w:sz w:val="21"/>
              </w:rPr>
              <w:t>6、病员姓名、床位显示</w:t>
            </w:r>
            <w:r>
              <w:br/>
            </w:r>
            <w:r>
              <w:rPr>
                <w:sz w:val="21"/>
              </w:rPr>
              <w:t>7、主管医生、护士显示</w:t>
            </w:r>
          </w:p>
        </w:tc>
      </w:tr>
      <w:tr>
        <w:tc>
          <w:tcPr>
            <w:tcW w:type="dxa" w:w="27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27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通讯信息管理系统</w:t>
            </w:r>
          </w:p>
        </w:tc>
        <w:tc>
          <w:tcPr>
            <w:tcW w:type="dxa" w:w="27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r>
              <w:rPr>
                <w:sz w:val="21"/>
              </w:rPr>
              <w:t>呼叫管理</w:t>
            </w:r>
            <w:r>
              <w:rPr>
                <w:sz w:val="21"/>
              </w:rPr>
              <w:t xml:space="preserve">                     </w:t>
            </w:r>
          </w:p>
          <w:p>
            <w:pPr>
              <w:pStyle w:val="null3"/>
              <w:jc w:val="left"/>
            </w:pPr>
            <w:r>
              <w:rPr>
                <w:sz w:val="21"/>
              </w:rPr>
              <w:t>2、</w:t>
            </w:r>
            <w:r>
              <w:rPr>
                <w:sz w:val="21"/>
              </w:rPr>
              <w:t>信息传输</w:t>
            </w:r>
          </w:p>
          <w:p>
            <w:pPr>
              <w:pStyle w:val="null3"/>
              <w:jc w:val="left"/>
            </w:pPr>
            <w:r>
              <w:rPr>
                <w:sz w:val="21"/>
              </w:rPr>
              <w:t xml:space="preserve">3、数据交换                     </w:t>
            </w:r>
          </w:p>
          <w:p>
            <w:pPr>
              <w:pStyle w:val="null3"/>
              <w:jc w:val="left"/>
            </w:pPr>
            <w:r>
              <w:rPr>
                <w:sz w:val="21"/>
              </w:rPr>
              <w:t>4、无缝HIS对接</w:t>
            </w:r>
          </w:p>
          <w:p>
            <w:pPr>
              <w:pStyle w:val="null3"/>
              <w:jc w:val="left"/>
            </w:pPr>
            <w:r>
              <w:rPr>
                <w:sz w:val="21"/>
              </w:rPr>
              <w:t>5、包含信息系统所需的交换机、服务器、网线等设备</w:t>
            </w:r>
          </w:p>
        </w:tc>
      </w:tr>
      <w:tr>
        <w:tc>
          <w:tcPr>
            <w:tcW w:type="dxa" w:w="27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27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信息管理主机</w:t>
            </w:r>
          </w:p>
        </w:tc>
        <w:tc>
          <w:tcPr>
            <w:tcW w:type="dxa" w:w="27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1、全系统供电</w:t>
            </w:r>
            <w:r>
              <w:br/>
            </w:r>
            <w:r>
              <w:rPr>
                <w:sz w:val="21"/>
              </w:rPr>
              <w:t>2、系统各项设备的信息数据分配，信息传输，数据交换</w:t>
            </w:r>
            <w:r>
              <w:br/>
            </w:r>
            <w:r>
              <w:rPr>
                <w:sz w:val="21"/>
              </w:rPr>
              <w:t>3、具备28航空插座系统总线输出端口</w:t>
            </w:r>
            <w:r>
              <w:br/>
            </w:r>
            <w:r>
              <w:rPr>
                <w:sz w:val="21"/>
              </w:rPr>
              <w:t>4、标准USB2.0数据连接端口</w:t>
            </w:r>
          </w:p>
          <w:p>
            <w:pPr>
              <w:pStyle w:val="null3"/>
              <w:jc w:val="left"/>
            </w:pPr>
            <w:r>
              <w:rPr>
                <w:sz w:val="21"/>
              </w:rPr>
              <w:t>5、</w:t>
            </w:r>
            <w:r>
              <w:rPr>
                <w:sz w:val="21"/>
              </w:rPr>
              <w:t>外形尺寸</w:t>
            </w:r>
            <w:r>
              <w:rPr>
                <w:sz w:val="21"/>
              </w:rPr>
              <w:t>≥360*300*225mm</w:t>
            </w:r>
          </w:p>
          <w:p>
            <w:pPr>
              <w:pStyle w:val="null3"/>
              <w:jc w:val="left"/>
            </w:pPr>
            <w:r>
              <w:rPr>
                <w:sz w:val="21"/>
              </w:rPr>
              <w:t>6、</w:t>
            </w:r>
            <w:r>
              <w:rPr>
                <w:sz w:val="21"/>
              </w:rPr>
              <w:t>材料：静音机箱</w:t>
            </w:r>
          </w:p>
          <w:p>
            <w:pPr>
              <w:pStyle w:val="null3"/>
              <w:jc w:val="left"/>
            </w:pPr>
            <w:r>
              <w:rPr>
                <w:sz w:val="21"/>
              </w:rPr>
              <w:t>7、</w:t>
            </w:r>
            <w:r>
              <w:rPr>
                <w:sz w:val="21"/>
              </w:rPr>
              <w:t>输入电源范围：交流</w:t>
            </w:r>
            <w:r>
              <w:rPr>
                <w:sz w:val="21"/>
              </w:rPr>
              <w:t>100 V到240V</w:t>
            </w:r>
          </w:p>
          <w:p>
            <w:pPr>
              <w:pStyle w:val="null3"/>
              <w:jc w:val="left"/>
            </w:pPr>
            <w:r>
              <w:rPr>
                <w:sz w:val="21"/>
              </w:rPr>
              <w:t>8、</w:t>
            </w:r>
            <w:r>
              <w:rPr>
                <w:sz w:val="21"/>
              </w:rPr>
              <w:t>输出电压：</w:t>
            </w:r>
            <w:r>
              <w:rPr>
                <w:sz w:val="21"/>
              </w:rPr>
              <w:t>24V±3V</w:t>
            </w:r>
          </w:p>
          <w:p>
            <w:pPr>
              <w:pStyle w:val="null3"/>
              <w:jc w:val="left"/>
            </w:pPr>
            <w:r>
              <w:rPr>
                <w:sz w:val="21"/>
              </w:rPr>
              <w:t>9、</w:t>
            </w:r>
            <w:r>
              <w:rPr>
                <w:sz w:val="21"/>
              </w:rPr>
              <w:t>噪声纹波：</w:t>
            </w:r>
            <w:r>
              <w:rPr>
                <w:sz w:val="21"/>
              </w:rPr>
              <w:t>≤</w:t>
            </w:r>
            <w:r>
              <w:rPr>
                <w:sz w:val="21"/>
              </w:rPr>
              <w:t>100mV</w:t>
            </w:r>
          </w:p>
          <w:p>
            <w:pPr>
              <w:pStyle w:val="null3"/>
              <w:jc w:val="left"/>
            </w:pPr>
            <w:r>
              <w:rPr>
                <w:sz w:val="21"/>
              </w:rPr>
              <w:t>10、</w:t>
            </w:r>
            <w:r>
              <w:rPr>
                <w:sz w:val="21"/>
              </w:rPr>
              <w:t>输出功率：单路</w:t>
            </w:r>
            <w:r>
              <w:rPr>
                <w:sz w:val="21"/>
              </w:rPr>
              <w:t>≥</w:t>
            </w:r>
            <w:r>
              <w:rPr>
                <w:sz w:val="21"/>
              </w:rPr>
              <w:t>500W</w:t>
            </w:r>
          </w:p>
        </w:tc>
      </w:tr>
      <w:tr>
        <w:tc>
          <w:tcPr>
            <w:tcW w:type="dxa" w:w="27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27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护士站主机</w:t>
            </w:r>
          </w:p>
        </w:tc>
        <w:tc>
          <w:tcPr>
            <w:tcW w:type="dxa" w:w="27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r>
              <w:rPr>
                <w:sz w:val="21"/>
              </w:rPr>
              <w:t>屏幕分辨率：</w:t>
            </w:r>
            <w:r>
              <w:rPr>
                <w:sz w:val="21"/>
              </w:rPr>
              <w:t>≥1024*600</w:t>
            </w:r>
          </w:p>
          <w:p>
            <w:pPr>
              <w:pStyle w:val="null3"/>
              <w:jc w:val="left"/>
            </w:pPr>
            <w:r>
              <w:rPr>
                <w:sz w:val="21"/>
              </w:rPr>
              <w:t>2、</w:t>
            </w:r>
            <w:r>
              <w:rPr>
                <w:sz w:val="21"/>
              </w:rPr>
              <w:t>工作电压范围：直流</w:t>
            </w:r>
            <w:r>
              <w:rPr>
                <w:sz w:val="21"/>
              </w:rPr>
              <w:t>16-28V</w:t>
            </w:r>
          </w:p>
          <w:p>
            <w:pPr>
              <w:pStyle w:val="null3"/>
              <w:jc w:val="left"/>
            </w:pPr>
            <w:r>
              <w:rPr>
                <w:sz w:val="21"/>
              </w:rPr>
              <w:t>3、</w:t>
            </w:r>
            <w:r>
              <w:rPr>
                <w:sz w:val="21"/>
              </w:rPr>
              <w:t>主控芯片：工业级</w:t>
            </w:r>
            <w:r>
              <w:rPr>
                <w:sz w:val="21"/>
              </w:rPr>
              <w:t>ARM架构、 Cortex-M4&amp;Cortex-M0双核处理器</w:t>
            </w:r>
          </w:p>
          <w:p>
            <w:pPr>
              <w:pStyle w:val="null3"/>
              <w:jc w:val="left"/>
            </w:pPr>
            <w:r>
              <w:rPr>
                <w:sz w:val="21"/>
              </w:rPr>
              <w:t>4、</w:t>
            </w:r>
            <w:r>
              <w:rPr>
                <w:sz w:val="21"/>
              </w:rPr>
              <w:t>外形尺寸</w:t>
            </w:r>
            <w:r>
              <w:rPr>
                <w:sz w:val="21"/>
              </w:rPr>
              <w:t>≥327*245*110mm</w:t>
            </w:r>
          </w:p>
          <w:p>
            <w:pPr>
              <w:pStyle w:val="null3"/>
              <w:jc w:val="left"/>
            </w:pPr>
            <w:r>
              <w:rPr>
                <w:sz w:val="21"/>
              </w:rPr>
              <w:t>5、</w:t>
            </w:r>
            <w:r>
              <w:rPr>
                <w:sz w:val="21"/>
              </w:rPr>
              <w:t>材质：</w:t>
            </w:r>
            <w:r>
              <w:rPr>
                <w:sz w:val="21"/>
              </w:rPr>
              <w:t>ABS塑胶UV喷涂</w:t>
            </w:r>
          </w:p>
          <w:p>
            <w:pPr>
              <w:pStyle w:val="null3"/>
              <w:jc w:val="left"/>
            </w:pPr>
            <w:r>
              <w:rPr>
                <w:sz w:val="21"/>
              </w:rPr>
              <w:t>6、</w:t>
            </w:r>
            <w:r>
              <w:rPr>
                <w:sz w:val="21"/>
              </w:rPr>
              <w:t>具备语音报号功能，与病床分机对讲功能</w:t>
            </w:r>
          </w:p>
          <w:p>
            <w:pPr>
              <w:pStyle w:val="null3"/>
              <w:jc w:val="left"/>
            </w:pPr>
            <w:r>
              <w:rPr>
                <w:sz w:val="21"/>
              </w:rPr>
              <w:t>7、</w:t>
            </w:r>
            <w:r>
              <w:rPr>
                <w:sz w:val="21"/>
              </w:rPr>
              <w:t>10.1寸液晶显示，可显示时间，呼叫7色指示灯功能</w:t>
            </w:r>
          </w:p>
          <w:p>
            <w:pPr>
              <w:pStyle w:val="null3"/>
              <w:jc w:val="left"/>
            </w:pPr>
            <w:r>
              <w:rPr>
                <w:sz w:val="21"/>
              </w:rPr>
              <w:t>8、</w:t>
            </w:r>
            <w:r>
              <w:rPr>
                <w:sz w:val="21"/>
              </w:rPr>
              <w:t>可实现护士站主机与病床分机之间的呼叫与对讲、广播等；护士站主机可储存多条条呼叫记录、可实现</w:t>
            </w:r>
            <w:r>
              <w:rPr>
                <w:sz w:val="21"/>
              </w:rPr>
              <w:t>16和弦多人物语音及音乐报号</w:t>
            </w:r>
          </w:p>
          <w:p>
            <w:pPr>
              <w:pStyle w:val="null3"/>
              <w:jc w:val="left"/>
            </w:pPr>
            <w:r>
              <w:rPr>
                <w:sz w:val="21"/>
              </w:rPr>
              <w:t>9、</w:t>
            </w:r>
            <w:r>
              <w:rPr>
                <w:sz w:val="21"/>
              </w:rPr>
              <w:t>具备</w:t>
            </w:r>
            <w:r>
              <w:rPr>
                <w:sz w:val="21"/>
              </w:rPr>
              <w:t>26个按键双操作功能</w:t>
            </w:r>
          </w:p>
          <w:p>
            <w:pPr>
              <w:pStyle w:val="null3"/>
              <w:jc w:val="left"/>
            </w:pPr>
            <w:r>
              <w:rPr>
                <w:sz w:val="21"/>
              </w:rPr>
              <w:t>10、</w:t>
            </w:r>
            <w:r>
              <w:rPr>
                <w:sz w:val="21"/>
              </w:rPr>
              <w:t>系统设置、参数存储功能</w:t>
            </w:r>
          </w:p>
          <w:p>
            <w:pPr>
              <w:pStyle w:val="null3"/>
              <w:jc w:val="left"/>
            </w:pPr>
            <w:r>
              <w:rPr>
                <w:sz w:val="21"/>
              </w:rPr>
              <w:t>11、</w:t>
            </w:r>
            <w:r>
              <w:rPr>
                <w:sz w:val="21"/>
              </w:rPr>
              <w:t>可实现对病床分机主动对讲功能</w:t>
            </w:r>
          </w:p>
          <w:p>
            <w:pPr>
              <w:pStyle w:val="null3"/>
              <w:jc w:val="left"/>
            </w:pPr>
            <w:r>
              <w:rPr>
                <w:sz w:val="21"/>
              </w:rPr>
              <w:t>12、</w:t>
            </w:r>
            <w:r>
              <w:rPr>
                <w:sz w:val="21"/>
              </w:rPr>
              <w:t>免提功能</w:t>
            </w:r>
          </w:p>
          <w:p>
            <w:pPr>
              <w:pStyle w:val="null3"/>
              <w:jc w:val="left"/>
            </w:pPr>
            <w:r>
              <w:rPr>
                <w:sz w:val="21"/>
              </w:rPr>
              <w:t>13、</w:t>
            </w:r>
            <w:r>
              <w:rPr>
                <w:sz w:val="21"/>
              </w:rPr>
              <w:t>一键呼叫清除与广播功能</w:t>
            </w:r>
            <w:r>
              <w:rPr>
                <w:sz w:val="21"/>
              </w:rPr>
              <w:t xml:space="preserve">                                     </w:t>
            </w:r>
          </w:p>
        </w:tc>
      </w:tr>
      <w:tr>
        <w:tc>
          <w:tcPr>
            <w:tcW w:type="dxa" w:w="27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27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走廊显示屏</w:t>
            </w:r>
          </w:p>
        </w:tc>
        <w:tc>
          <w:tcPr>
            <w:tcW w:type="dxa" w:w="27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r>
              <w:rPr>
                <w:sz w:val="21"/>
              </w:rPr>
              <w:t>双面</w:t>
            </w:r>
            <w:r>
              <w:rPr>
                <w:sz w:val="21"/>
              </w:rPr>
              <w:t>4位数码显示，可显示呼叫、床号和时间，铝合金边框，亚克力面板</w:t>
            </w:r>
          </w:p>
          <w:p>
            <w:pPr>
              <w:pStyle w:val="null3"/>
              <w:jc w:val="left"/>
            </w:pPr>
            <w:r>
              <w:rPr>
                <w:sz w:val="21"/>
              </w:rPr>
              <w:t>2、</w:t>
            </w:r>
            <w:r>
              <w:rPr>
                <w:sz w:val="21"/>
              </w:rPr>
              <w:t>工作电压范围：直流</w:t>
            </w:r>
            <w:r>
              <w:rPr>
                <w:sz w:val="21"/>
              </w:rPr>
              <w:t>16-28V</w:t>
            </w:r>
          </w:p>
          <w:p>
            <w:pPr>
              <w:pStyle w:val="null3"/>
              <w:jc w:val="left"/>
            </w:pPr>
            <w:r>
              <w:rPr>
                <w:sz w:val="21"/>
              </w:rPr>
              <w:t>3、</w:t>
            </w:r>
            <w:r>
              <w:rPr>
                <w:sz w:val="21"/>
              </w:rPr>
              <w:t>功耗最大</w:t>
            </w:r>
            <w:r>
              <w:rPr>
                <w:sz w:val="21"/>
              </w:rPr>
              <w:t>10W</w:t>
            </w:r>
          </w:p>
          <w:p>
            <w:pPr>
              <w:pStyle w:val="null3"/>
              <w:jc w:val="left"/>
            </w:pPr>
            <w:r>
              <w:rPr>
                <w:sz w:val="21"/>
              </w:rPr>
              <w:t>4、</w:t>
            </w:r>
            <w:r>
              <w:rPr>
                <w:sz w:val="21"/>
              </w:rPr>
              <w:t>数码显示：数码位数：</w:t>
            </w:r>
            <w:r>
              <w:rPr>
                <w:sz w:val="21"/>
              </w:rPr>
              <w:t>4位</w:t>
            </w:r>
          </w:p>
          <w:p>
            <w:pPr>
              <w:pStyle w:val="null3"/>
              <w:jc w:val="left"/>
            </w:pPr>
            <w:r>
              <w:rPr>
                <w:sz w:val="21"/>
              </w:rPr>
              <w:t>5、</w:t>
            </w:r>
            <w:r>
              <w:rPr>
                <w:sz w:val="21"/>
              </w:rPr>
              <w:t>数码尺寸：</w:t>
            </w:r>
            <w:r>
              <w:rPr>
                <w:sz w:val="21"/>
              </w:rPr>
              <w:t>≥</w:t>
            </w:r>
            <w:r>
              <w:rPr>
                <w:sz w:val="21"/>
              </w:rPr>
              <w:t>4寸</w:t>
            </w:r>
          </w:p>
          <w:p>
            <w:pPr>
              <w:pStyle w:val="null3"/>
              <w:jc w:val="left"/>
            </w:pPr>
            <w:r>
              <w:rPr>
                <w:sz w:val="21"/>
              </w:rPr>
              <w:t>6、</w:t>
            </w:r>
            <w:r>
              <w:rPr>
                <w:sz w:val="21"/>
              </w:rPr>
              <w:t>外形尺寸</w:t>
            </w:r>
            <w:r>
              <w:rPr>
                <w:sz w:val="21"/>
              </w:rPr>
              <w:t>≥630*228*30mm</w:t>
            </w:r>
          </w:p>
        </w:tc>
      </w:tr>
      <w:tr>
        <w:tc>
          <w:tcPr>
            <w:tcW w:type="dxa" w:w="27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27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床头数字屏及病房门口显示屏（分机）</w:t>
            </w:r>
          </w:p>
        </w:tc>
        <w:tc>
          <w:tcPr>
            <w:tcW w:type="dxa" w:w="27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r>
              <w:rPr>
                <w:sz w:val="21"/>
              </w:rPr>
              <w:t>≥</w:t>
            </w:r>
            <w:r>
              <w:rPr>
                <w:sz w:val="21"/>
              </w:rPr>
              <w:t>5寸液晶显示，具备呼叫、对讲、挂断功能，可显示病员各类信息等各类信息</w:t>
            </w:r>
            <w:r>
              <w:br/>
            </w:r>
            <w:r>
              <w:rPr>
                <w:sz w:val="21"/>
              </w:rPr>
              <w:t>2、床头同时显示病员姓名、性别、年龄、ID号、性别、护理级别、饮食方式、过敏史、防坠床、跌倒、压疮、管道高危、病情级别等</w:t>
            </w:r>
            <w:r>
              <w:br/>
            </w:r>
            <w:r>
              <w:rPr>
                <w:sz w:val="21"/>
              </w:rPr>
              <w:t>3、费用清单显示功能</w:t>
            </w:r>
            <w:r>
              <w:br/>
            </w:r>
            <w:r>
              <w:rPr>
                <w:sz w:val="21"/>
              </w:rPr>
              <w:t>4、服务评价功能：可实现病患对主管医生、护士及护士长的服务打分评价</w:t>
            </w:r>
            <w:r>
              <w:br/>
            </w:r>
            <w:r>
              <w:rPr>
                <w:sz w:val="21"/>
              </w:rPr>
              <w:t>5、超薄设计可明装或暗装</w:t>
            </w:r>
          </w:p>
          <w:p>
            <w:pPr>
              <w:pStyle w:val="null3"/>
              <w:jc w:val="left"/>
            </w:pPr>
            <w:r>
              <w:rPr>
                <w:sz w:val="21"/>
              </w:rPr>
              <w:t>6、彩色位：24位TFT,16M色</w:t>
            </w:r>
            <w:r>
              <w:br/>
            </w:r>
            <w:r>
              <w:rPr>
                <w:sz w:val="21"/>
              </w:rPr>
              <w:t>7、主控芯片：工业级ARM架构、 Cortex-M3内核，主频100M、</w:t>
            </w:r>
            <w:r>
              <w:br/>
            </w:r>
            <w:r>
              <w:rPr>
                <w:sz w:val="21"/>
              </w:rPr>
              <w:t>外形尺寸</w:t>
            </w:r>
            <w:r>
              <w:rPr>
                <w:sz w:val="21"/>
              </w:rPr>
              <w:t>≥183*93*11mm</w:t>
            </w:r>
            <w:r>
              <w:br/>
            </w:r>
            <w:r>
              <w:rPr>
                <w:sz w:val="21"/>
              </w:rPr>
              <w:t>8、10寸液晶显示，可显示管房医务人员等各类信息。</w:t>
            </w:r>
          </w:p>
        </w:tc>
      </w:tr>
      <w:tr>
        <w:tc>
          <w:tcPr>
            <w:tcW w:type="dxa" w:w="27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27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卫浴分机</w:t>
            </w:r>
          </w:p>
        </w:tc>
        <w:tc>
          <w:tcPr>
            <w:tcW w:type="dxa" w:w="27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r>
              <w:rPr>
                <w:sz w:val="21"/>
              </w:rPr>
              <w:t>卫生间紧急呼叫装置，无呼叫时按键微光显示，呼叫成功后按键强光显示</w:t>
            </w:r>
            <w:r>
              <w:br/>
            </w:r>
            <w:r>
              <w:rPr>
                <w:sz w:val="21"/>
              </w:rPr>
              <w:t>2、合并式多键设计</w:t>
            </w:r>
            <w:r>
              <w:br/>
            </w:r>
            <w:r>
              <w:rPr>
                <w:sz w:val="21"/>
              </w:rPr>
              <w:t>3、内置防水按键</w:t>
            </w:r>
            <w:r>
              <w:br/>
            </w:r>
            <w:r>
              <w:rPr>
                <w:sz w:val="21"/>
              </w:rPr>
              <w:t>4、浸泡级防水功能：电路部分全灌704胶，耐水，耐高温、耐腐蚀</w:t>
            </w:r>
          </w:p>
          <w:p>
            <w:pPr>
              <w:pStyle w:val="null3"/>
              <w:jc w:val="left"/>
            </w:pPr>
            <w:r>
              <w:rPr>
                <w:sz w:val="21"/>
              </w:rPr>
              <w:t>5、</w:t>
            </w:r>
            <w:r>
              <w:rPr>
                <w:sz w:val="21"/>
              </w:rPr>
              <w:t>工作电压范围：直流</w:t>
            </w:r>
            <w:r>
              <w:rPr>
                <w:sz w:val="21"/>
              </w:rPr>
              <w:t>16-28V</w:t>
            </w:r>
          </w:p>
          <w:p>
            <w:pPr>
              <w:pStyle w:val="null3"/>
              <w:jc w:val="left"/>
            </w:pPr>
            <w:r>
              <w:rPr>
                <w:sz w:val="21"/>
              </w:rPr>
              <w:t>6、</w:t>
            </w:r>
            <w:r>
              <w:rPr>
                <w:sz w:val="21"/>
              </w:rPr>
              <w:t>功耗：</w:t>
            </w:r>
            <w:r>
              <w:rPr>
                <w:sz w:val="21"/>
              </w:rPr>
              <w:t>≤</w:t>
            </w:r>
            <w:r>
              <w:rPr>
                <w:sz w:val="21"/>
              </w:rPr>
              <w:t>0.3W</w:t>
            </w:r>
            <w:r>
              <w:br/>
            </w:r>
            <w:r>
              <w:rPr>
                <w:sz w:val="21"/>
              </w:rPr>
              <w:t>7、外形尺寸≥86*86*28mm</w:t>
            </w:r>
            <w:r>
              <w:br/>
            </w:r>
            <w:r>
              <w:rPr>
                <w:sz w:val="21"/>
              </w:rPr>
              <w:t>8、材质：ABS塑胶</w:t>
            </w:r>
          </w:p>
        </w:tc>
      </w:tr>
      <w:tr>
        <w:tc>
          <w:tcPr>
            <w:tcW w:type="dxa" w:w="27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27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HDMI高清线</w:t>
            </w:r>
          </w:p>
        </w:tc>
        <w:tc>
          <w:tcPr>
            <w:tcW w:type="dxa" w:w="27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连接护士站电脑与信息看板（护士站电视机）</w:t>
            </w:r>
          </w:p>
        </w:tc>
      </w:tr>
      <w:tr>
        <w:tc>
          <w:tcPr>
            <w:tcW w:type="dxa" w:w="27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27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传输线</w:t>
            </w:r>
          </w:p>
        </w:tc>
        <w:tc>
          <w:tcPr>
            <w:tcW w:type="dxa" w:w="27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国标</w:t>
            </w:r>
            <w:r>
              <w:rPr>
                <w:sz w:val="21"/>
              </w:rPr>
              <w:t>RVV3*2.5mm</w:t>
            </w:r>
          </w:p>
          <w:p>
            <w:pPr>
              <w:pStyle w:val="null3"/>
              <w:jc w:val="left"/>
            </w:pPr>
            <w:r>
              <w:rPr>
                <w:sz w:val="21"/>
              </w:rPr>
              <w:t>全系统线路并联组网，总线完成集中供电及信息传输</w:t>
            </w:r>
          </w:p>
        </w:tc>
      </w:tr>
      <w:tr>
        <w:tc>
          <w:tcPr>
            <w:tcW w:type="dxa" w:w="27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27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传输线</w:t>
            </w:r>
          </w:p>
        </w:tc>
        <w:tc>
          <w:tcPr>
            <w:tcW w:type="dxa" w:w="27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国标</w:t>
            </w:r>
            <w:r>
              <w:rPr>
                <w:sz w:val="21"/>
              </w:rPr>
              <w:t>RVV3*0.75</w:t>
            </w:r>
          </w:p>
          <w:p>
            <w:pPr>
              <w:pStyle w:val="null3"/>
              <w:jc w:val="left"/>
            </w:pPr>
            <w:r>
              <w:rPr>
                <w:sz w:val="21"/>
              </w:rPr>
              <w:t>全系统线路并联组网，总线完成集中供电及信息传输</w:t>
            </w:r>
          </w:p>
        </w:tc>
      </w:tr>
      <w:tr>
        <w:tc>
          <w:tcPr>
            <w:tcW w:type="dxa" w:w="27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27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PVC套管</w:t>
            </w:r>
          </w:p>
        </w:tc>
        <w:tc>
          <w:tcPr>
            <w:tcW w:type="dxa" w:w="27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国标线管</w:t>
            </w:r>
          </w:p>
        </w:tc>
      </w:tr>
    </w:tbl>
    <w:p>
      <w:pPr>
        <w:pStyle w:val="null3"/>
        <w:jc w:val="both"/>
      </w:pPr>
      <w:r>
        <w:rPr/>
        <w:t>采购包1（医用气体系统设备及配套设施采购及安装）</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按采购人要求</w:t>
            </w:r>
          </w:p>
        </w:tc>
      </w:tr>
      <w:tr>
        <w:tc>
          <w:tcPr>
            <w:tcW w:type="dxa" w:w="4153"/>
          </w:tcPr>
          <w:p>
            <w:pPr>
              <w:pStyle w:val="null3"/>
            </w:pPr>
            <w:r>
              <w:rPr/>
              <w:t>标的提供的地点</w:t>
            </w:r>
          </w:p>
        </w:tc>
        <w:tc>
          <w:tcPr>
            <w:tcW w:type="dxa" w:w="4153"/>
          </w:tcPr>
          <w:p>
            <w:pPr>
              <w:pStyle w:val="null3"/>
            </w:pPr>
            <w:r>
              <w:rPr/>
              <w:t>按采购人要求</w:t>
            </w:r>
          </w:p>
        </w:tc>
      </w:tr>
      <w:tr>
        <w:tc>
          <w:tcPr>
            <w:tcW w:type="dxa" w:w="4153"/>
          </w:tcPr>
          <w:p>
            <w:pPr>
              <w:pStyle w:val="null3"/>
            </w:pPr>
            <w:r>
              <w:rPr/>
              <w:t>付款方式</w:t>
            </w:r>
          </w:p>
        </w:tc>
        <w:tc>
          <w:tcPr>
            <w:tcW w:type="dxa" w:w="4153"/>
          </w:tcPr>
          <w:p>
            <w:pPr>
              <w:pStyle w:val="null3"/>
            </w:pPr>
            <w:r>
              <w:rPr/>
              <w:t>1期：支付比例50%,合同签订生效后的30日内中标人向采购人开具合同总价50%的发票，采购人在收到发票并满足付款支付条件后10个工作日内支付合同总价的50%。</w:t>
            </w:r>
          </w:p>
          <w:p>
            <w:pPr>
              <w:pStyle w:val="null3"/>
            </w:pPr>
            <w:r>
              <w:rPr/>
              <w:t>2期：支付比例45%,项目安装调试完毕并验收合格入库后的30日内中标人向采购人开具合同总价45%的发票，采购人在收到发票并满足付款支付条件后10个工作日内将合同总金额的45%支付给中标人。</w:t>
            </w:r>
          </w:p>
          <w:p>
            <w:pPr>
              <w:pStyle w:val="null3"/>
            </w:pPr>
            <w:r>
              <w:rPr/>
              <w:t>3期：支付比例5%,自合同签订之日起2年后的30日内中标人向采购人开具合同总价5%的发票，采购人在收到发票并满足付款支付条件后10个工作日内将合同总金额的5%支付给中标人。</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交付验收标准依次序对照适用标准为：①符合中华人民共和国国家安全质量标准、环保标准或行业标准；②符合招标文件和响应承诺中采购人认可的合理最佳配置、参数及各项要求；③货物来源国家官方标准。 2.相关产品必须具备原产地证明和商检局的检验证明及合法进货渠道证明。 3.货物为原厂商未启封全新包装，出具出厂合格证，序列号、包装箱号与出厂批号一致，并可追索查阅。所有随设备的附件必须齐全。 4.中标人应将关键主机设备的用户手册、保修手册、有关单证资料及配备件、随机工具等交付给甲方，使用操作及安全须知等重要资料应附有中文说明。 5.采购人组成验收小组按国家有关规定、规范进行验收，必要时邀请相关的专业人员或机构参与验收。因货物质量问题发生争议时，由本地质量技术监督部门鉴定。货物符合质量技术标准的，鉴定费由采购人承担；否则鉴定费由中标人承担。</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真实性和有效性，同意采购方以任何形式对我方投标文件内容及采购方认为有必要的相关资料的真实性和有效性进行审查、验证</w:t>
            </w:r>
          </w:p>
          <w:p>
            <w:pPr>
              <w:pStyle w:val="null3"/>
            </w:pPr>
            <w:r>
              <w:rPr/>
              <w:t>招标文件附件，投标人应将招标公告的招标文件附件中“补充附件”内容填写好相关信息后附在投标文件中</w:t>
            </w: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投标报价不超过预算总价。</w:t>
            </w:r>
          </w:p>
        </w:tc>
      </w:tr>
      <w:tr>
        <w:tc>
          <w:tcPr>
            <w:tcW w:type="dxa" w:w="2076"/>
          </w:tcPr>
          <w:p/>
        </w:tc>
        <w:tc>
          <w:tcPr>
            <w:tcW w:type="dxa" w:w="2076"/>
          </w:tcPr>
          <w:p>
            <w:pPr>
              <w:pStyle w:val="null3"/>
              <w:jc w:val="center"/>
            </w:pPr>
            <w:r>
              <w:rPr/>
              <w:t>2</w:t>
            </w:r>
          </w:p>
        </w:tc>
        <w:tc>
          <w:tcPr>
            <w:tcW w:type="dxa" w:w="2076"/>
          </w:tcPr>
          <w:p>
            <w:pPr>
              <w:pStyle w:val="null3"/>
              <w:jc w:val="left"/>
            </w:pPr>
            <w:r>
              <w:rPr/>
              <w:t>质保期（服务期）</w:t>
            </w:r>
          </w:p>
        </w:tc>
        <w:tc>
          <w:tcPr>
            <w:tcW w:type="dxa" w:w="2076"/>
          </w:tcPr>
          <w:p>
            <w:pPr>
              <w:pStyle w:val="null3"/>
              <w:jc w:val="left"/>
            </w:pPr>
            <w:r>
              <w:rPr/>
              <w:t>验收合格后，整套系统全保的保修期至少5年，每年至少四次现场维护（包括整套系统清洗、保养、调整）（以上费用包含在投标报价中，采购人不再另行支付）。</w:t>
            </w:r>
          </w:p>
        </w:tc>
      </w:tr>
      <w:tr>
        <w:tc>
          <w:tcPr>
            <w:tcW w:type="dxa" w:w="2076"/>
          </w:tcPr>
          <w:p/>
        </w:tc>
        <w:tc>
          <w:tcPr>
            <w:tcW w:type="dxa" w:w="2076"/>
          </w:tcPr>
          <w:p>
            <w:pPr>
              <w:pStyle w:val="null3"/>
              <w:jc w:val="center"/>
            </w:pPr>
            <w:r>
              <w:rPr/>
              <w:t>3</w:t>
            </w:r>
          </w:p>
        </w:tc>
        <w:tc>
          <w:tcPr>
            <w:tcW w:type="dxa" w:w="2076"/>
          </w:tcPr>
          <w:p>
            <w:pPr>
              <w:pStyle w:val="null3"/>
              <w:jc w:val="left"/>
            </w:pPr>
            <w:r>
              <w:rPr/>
              <w:t>售后服务</w:t>
            </w:r>
          </w:p>
        </w:tc>
        <w:tc>
          <w:tcPr>
            <w:tcW w:type="dxa" w:w="2076"/>
          </w:tcPr>
          <w:p>
            <w:pPr>
              <w:pStyle w:val="null3"/>
              <w:jc w:val="left"/>
            </w:pPr>
            <w:r>
              <w:rPr/>
              <w:t>1.质保期内中标人对所供货物实行包修、包换、包退及合同约定的其它事项，期满后可同时提供终身(免费/有偿)维修保养服务。 2.质保期内，如设备或零部件因质量原因出现故障而造成短期停用时，则质保期和免费维修期相应顺延。如停用时间累计超过60天则质保期重新计算。 3.对采购人的服务通知，中标人在接报后1小时内响应，4小时内到达现场，48小时内处理完毕。若在48小时内仍未能有效解决，中标人须免费提供同-档次的设备予采购人临时使用。</w:t>
            </w:r>
          </w:p>
        </w:tc>
      </w:tr>
      <w:tr>
        <w:tc>
          <w:tcPr>
            <w:tcW w:type="dxa" w:w="2076"/>
          </w:tcPr>
          <w:p/>
        </w:tc>
        <w:tc>
          <w:tcPr>
            <w:tcW w:type="dxa" w:w="2076"/>
          </w:tcPr>
          <w:p>
            <w:pPr>
              <w:pStyle w:val="null3"/>
              <w:jc w:val="center"/>
            </w:pPr>
            <w:r>
              <w:rPr/>
              <w:t>4</w:t>
            </w:r>
          </w:p>
        </w:tc>
        <w:tc>
          <w:tcPr>
            <w:tcW w:type="dxa" w:w="2076"/>
          </w:tcPr>
          <w:p>
            <w:pPr>
              <w:pStyle w:val="null3"/>
              <w:jc w:val="left"/>
            </w:pPr>
            <w:r>
              <w:rPr/>
              <w:t>包装和运输</w:t>
            </w:r>
          </w:p>
        </w:tc>
        <w:tc>
          <w:tcPr>
            <w:tcW w:type="dxa" w:w="2076"/>
          </w:tcPr>
          <w:p>
            <w:pPr>
              <w:pStyle w:val="null3"/>
              <w:jc w:val="left"/>
            </w:pPr>
            <w:r>
              <w:rPr/>
              <w:t>设备的包装均应有良好的防湿、防锈、防潮、防雨、防腐及防碰撞的措施。凡由于包装不良造成的损失和由此产生的费用均由中标人承担。（具体要求根据采购人实际情况及资金实际安排而定）</w:t>
            </w:r>
          </w:p>
        </w:tc>
      </w:tr>
      <w:tr>
        <w:tc>
          <w:tcPr>
            <w:tcW w:type="dxa" w:w="2076"/>
          </w:tcPr>
          <w:p/>
        </w:tc>
        <w:tc>
          <w:tcPr>
            <w:tcW w:type="dxa" w:w="2076"/>
          </w:tcPr>
          <w:p>
            <w:pPr>
              <w:pStyle w:val="null3"/>
              <w:jc w:val="center"/>
            </w:pPr>
            <w:r>
              <w:rPr/>
              <w:t>5</w:t>
            </w:r>
          </w:p>
        </w:tc>
        <w:tc>
          <w:tcPr>
            <w:tcW w:type="dxa" w:w="2076"/>
          </w:tcPr>
          <w:p>
            <w:pPr>
              <w:pStyle w:val="null3"/>
              <w:jc w:val="left"/>
            </w:pPr>
            <w:r>
              <w:rPr/>
              <w:t>安装、调试与测试</w:t>
            </w:r>
          </w:p>
        </w:tc>
        <w:tc>
          <w:tcPr>
            <w:tcW w:type="dxa" w:w="2076"/>
          </w:tcPr>
          <w:p>
            <w:pPr>
              <w:pStyle w:val="null3"/>
              <w:jc w:val="left"/>
            </w:pPr>
            <w:r>
              <w:rPr/>
              <w:t>中标货物的安装调试 ①中标人负责合同项下的货物安装调试，须选派专门安装队伍，根据用户实际情况，完成现场勘测、现场安装调试等工作，一切费用由中标人负责。 ②中标人安装时必须对各安装场地内的其他设备、设施有良好的保护措施。</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tc>
        <w:tc>
          <w:tcPr>
            <w:tcW w:type="dxa" w:w="831"/>
          </w:tcPr>
          <w:p>
            <w:pPr>
              <w:pStyle w:val="null3"/>
              <w:jc w:val="left"/>
            </w:pPr>
            <w:r>
              <w:rPr/>
              <w:t>其他医疗设备</w:t>
            </w:r>
          </w:p>
        </w:tc>
        <w:tc>
          <w:tcPr>
            <w:tcW w:type="dxa" w:w="831"/>
          </w:tcPr>
          <w:p>
            <w:pPr>
              <w:pStyle w:val="null3"/>
              <w:jc w:val="left"/>
            </w:pPr>
            <w:r>
              <w:rPr/>
              <w:t xml:space="preserve"> 汕尾逸挥基金医院医用气体系统设备及配套设施采购及安装。本次招标的医用气体系统设备主要包括：（1）医用中心制氧系统；（2）医用中心供氧系统（包含医用气体安装设计）；（3）医用中心吸引系统；（4）模拟护理/智慧护理传呼系统。</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3,270,000.00</w:t>
            </w:r>
          </w:p>
        </w:tc>
        <w:tc>
          <w:tcPr>
            <w:tcW w:type="dxa" w:w="831"/>
          </w:tcPr>
          <w:p>
            <w:pPr>
              <w:pStyle w:val="null3"/>
              <w:jc w:val="right"/>
            </w:pPr>
            <w:r>
              <w:rPr/>
              <w:t>3,270,000.00</w:t>
            </w:r>
          </w:p>
        </w:tc>
        <w:tc>
          <w:tcPr>
            <w:tcW w:type="dxa" w:w="831"/>
          </w:tcPr>
          <w:p>
            <w:pPr>
              <w:pStyle w:val="null3"/>
            </w:pPr>
            <w:r>
              <w:rPr/>
              <w:t>工业</w:t>
            </w:r>
          </w:p>
        </w:tc>
        <w:tc>
          <w:tcPr>
            <w:tcW w:type="dxa" w:w="831"/>
          </w:tcPr>
          <w:p>
            <w:pPr>
              <w:pStyle w:val="null3"/>
            </w:pPr>
            <w:r>
              <w:rPr/>
              <w:t>详见附表一</w:t>
            </w:r>
          </w:p>
        </w:tc>
      </w:tr>
    </w:tbl>
    <w:p>
      <w:pPr>
        <w:pStyle w:val="null3"/>
      </w:pPr>
      <w:r>
        <w:rPr>
          <w:b/>
        </w:rPr>
        <w:t>附表</w:t>
      </w:r>
      <w:r>
        <w:rPr>
          <w:b/>
        </w:rPr>
        <w:t>一</w:t>
      </w:r>
      <w:r>
        <w:rPr>
          <w:b/>
        </w:rPr>
        <w:t>：</w:t>
      </w:r>
      <w:r>
        <w:rPr>
          <w:b/>
        </w:rPr>
        <w:t xml:space="preserve"> 汕尾逸挥基金医院医用气体系统设备及配套设施采购及安装。本次招标的医用气体系统设备主要包括：（1）医用中心制氧系统；（2）医用中心供氧系统（包含医用气体安装设计）；（3）医用中心吸引系统；（4）模拟护理/智慧护理传呼系统。</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详见招标文件</w:t>
            </w:r>
            <w:r>
              <w:rPr>
                <w:sz w:val="21"/>
              </w:rPr>
              <w:t>“</w:t>
            </w:r>
            <w:r>
              <w:rPr>
                <w:sz w:val="21"/>
              </w:rPr>
              <w:t>第二章采购需求</w:t>
            </w:r>
            <w:r>
              <w:rPr>
                <w:sz w:val="21"/>
              </w:rPr>
              <w:t>”</w:t>
            </w:r>
            <w:r>
              <w:rPr>
                <w:sz w:val="21"/>
              </w:rPr>
              <w:t>。</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1.采购代理机构：本项目是指国义招标股份有限公司 ，负责整个采购活动的组织，依法负责编制和发布招标文件，对招标文件拥有最终的解释权，不以任何身份出任评标委员会成员。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汕尾逸挥基金医院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本次招标向中标人收取的中标服务费，参照国家发展计划委员会颁发的[2002]1980号文《招标代理服务收费管理暂行办法》及[2011]534号文《国家发改委关于降低部分建设项目收费标准规范收费行为等有关问题的通知》的有关规定执行，具体如下： 招标代理服务收费按差额定率累进法计算，以中标通知书中确定的中标金额作为收费的计算依据。该项目中标服务费参照国家计委[计价格[2002]1980号]文货物招标代理服务收费标准差额定率累进法计算下浮20%收取。</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启动解密阶段时间为30分钟内</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 xml:space="preserve">国义招标股份有限公司 </w:t>
      </w:r>
      <w:r>
        <w:rPr/>
        <w:t>代收。具体操作要求详见</w:t>
      </w:r>
      <w:r>
        <w:rPr/>
        <w:t xml:space="preserve">国义招标股份有限公司 </w:t>
      </w:r>
      <w:r>
        <w:rPr/>
        <w:t>有关指引，递交事宜请自行咨询</w:t>
      </w:r>
      <w:r>
        <w:rPr/>
        <w:t xml:space="preserve">国义招标股份有限公司 </w:t>
      </w:r>
      <w:r>
        <w:rPr/>
        <w:t>；请各投标人在投标文件递交截止时间前按须知前附表规定的金额递交至</w:t>
      </w:r>
      <w:r>
        <w:rPr/>
        <w:t xml:space="preserve">国义招标股份有限公司 </w:t>
      </w:r>
      <w:r>
        <w:rPr/>
        <w:t>，到账情况以开标时</w:t>
      </w:r>
      <w:r>
        <w:rPr/>
        <w:t xml:space="preserve">国义招标股份有限公司 </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郭小姐、李小姐</w:t>
      </w:r>
    </w:p>
    <w:p>
      <w:pPr>
        <w:pStyle w:val="null3"/>
        <w:ind w:firstLine="480"/>
      </w:pPr>
      <w:r>
        <w:rPr/>
        <w:t>电话：</w:t>
      </w:r>
      <w:r>
        <w:rPr/>
        <w:t>020-37860713/715（工作时间：8：30-17：00）</w:t>
      </w:r>
    </w:p>
    <w:p>
      <w:pPr>
        <w:pStyle w:val="null3"/>
        <w:ind w:firstLine="480"/>
      </w:pPr>
      <w:r>
        <w:rPr/>
        <w:t>传真：</w:t>
      </w:r>
      <w:r>
        <w:rPr/>
        <w:t>/</w:t>
      </w:r>
    </w:p>
    <w:p>
      <w:pPr>
        <w:pStyle w:val="null3"/>
        <w:ind w:firstLine="480"/>
      </w:pPr>
      <w:r>
        <w:rPr/>
        <w:t>邮箱：</w:t>
      </w:r>
      <w:r>
        <w:rPr/>
        <w:t>guochunxi@ebidding.com</w:t>
      </w:r>
    </w:p>
    <w:p>
      <w:pPr>
        <w:pStyle w:val="null3"/>
        <w:ind w:firstLine="480"/>
      </w:pPr>
      <w:r>
        <w:rPr/>
        <w:t>地址：</w:t>
      </w:r>
      <w:r>
        <w:rPr/>
        <w:t>广州市东风东路726号9楼903室（纪检审计部）</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政府采购监督管理机构名称：汕尾市城区财政局政府采购监督管理股</w:t>
      </w:r>
    </w:p>
    <w:p>
      <w:pPr>
        <w:pStyle w:val="null3"/>
      </w:pPr>
      <w:r>
        <w:rPr/>
        <w:t>地 址：汕尾市市区通港路365号</w:t>
      </w:r>
    </w:p>
    <w:p>
      <w:pPr>
        <w:pStyle w:val="null3"/>
      </w:pPr>
      <w:r>
        <w:rPr/>
        <w:t>电 话：0660-3364907</w:t>
      </w:r>
    </w:p>
    <w:p>
      <w:pPr>
        <w:pStyle w:val="null3"/>
      </w:pPr>
      <w:r>
        <w:rPr/>
        <w:t>邮 编：516600</w:t>
      </w:r>
    </w:p>
    <w:p>
      <w:pPr>
        <w:pStyle w:val="null3"/>
      </w:pPr>
      <w:r>
        <w:rPr/>
        <w:t>传 真：</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医用气体系统设备及配套设施采购及安装)：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 xml:space="preserve">国义招标股份有限公司 </w:t>
      </w:r>
      <w:r>
        <w:rPr/>
        <w:t>统一对外发布。</w:t>
      </w:r>
    </w:p>
    <w:p>
      <w:pPr>
        <w:pStyle w:val="null3"/>
        <w:ind w:firstLine="480"/>
      </w:pPr>
      <w:r>
        <w:rPr/>
        <w:t>（2）对</w:t>
      </w:r>
      <w:r>
        <w:rPr/>
        <w:t xml:space="preserve">国义招标股份有限公司 </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采购包1（医用气体系统设备及配套设施采购及安装）：</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采购包1（医用气体系统设备及配套设施采购及安装）：</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具备《政府采购法》第二十二条规定的条件,供应商在投标(响应)时，按规定提供信用承诺函即可无需提交证明材料（政府采购供应商信用承诺函见附件）。采购人有权在发放中标通知书前要求中标(成交)供应商提供证明材料，以备核实供应商承诺事项的真实性。</w:t>
            </w:r>
          </w:p>
        </w:tc>
      </w:tr>
      <w:tr>
        <w:tc>
          <w:tcPr>
            <w:tcW w:type="dxa" w:w="890"/>
          </w:tcPr>
          <w:p>
            <w:pPr>
              <w:pStyle w:val="null3"/>
            </w:pPr>
            <w:r>
              <w:rPr/>
              <w:t>2</w:t>
            </w:r>
          </w:p>
        </w:tc>
        <w:tc>
          <w:tcPr>
            <w:tcW w:type="dxa" w:w="3178"/>
          </w:tcPr>
          <w:p>
            <w:pPr>
              <w:pStyle w:val="null3"/>
            </w:pPr>
            <w:r>
              <w:rPr/>
              <w:t>具有良好的商业信誉和健全的财务会计制度</w:t>
            </w:r>
          </w:p>
        </w:tc>
        <w:tc>
          <w:tcPr>
            <w:tcW w:type="dxa" w:w="4238"/>
          </w:tcPr>
          <w:p>
            <w:pPr>
              <w:pStyle w:val="null3"/>
            </w:pPr>
            <w:r>
              <w:rPr/>
              <w:t>具备《政府采购法》第二十二条规定的条件,供应商在投标(响应)时，按规定提供信用承诺函即可无需提交证明材料（政府采购供应商信用承诺函见附件）。采购人有权在发放中标通知书前要求中标(成交)供应商提供证明材料，以备核实供应商承诺事项的真实性。</w:t>
            </w:r>
          </w:p>
        </w:tc>
      </w:tr>
      <w:tr>
        <w:tc>
          <w:tcPr>
            <w:tcW w:type="dxa" w:w="890"/>
          </w:tcPr>
          <w:p>
            <w:pPr>
              <w:pStyle w:val="null3"/>
            </w:pPr>
            <w:r>
              <w:rPr/>
              <w:t>3</w:t>
            </w:r>
          </w:p>
        </w:tc>
        <w:tc>
          <w:tcPr>
            <w:tcW w:type="dxa" w:w="3178"/>
          </w:tcPr>
          <w:p>
            <w:pPr>
              <w:pStyle w:val="null3"/>
            </w:pPr>
            <w:r>
              <w:rPr/>
              <w:t>履行合同所必需的设备和专业技术能力</w:t>
            </w:r>
          </w:p>
        </w:tc>
        <w:tc>
          <w:tcPr>
            <w:tcW w:type="dxa" w:w="4238"/>
          </w:tcPr>
          <w:p>
            <w:pPr>
              <w:pStyle w:val="null3"/>
            </w:pPr>
            <w:r>
              <w:rPr/>
              <w:t>具备《政府采购法》第二十二条规定的条件,供应商在投标(响应)时，按规定提供信用承诺函即可无需提交证明材料（政府采购供应商信用承诺函见附件）。采购人有权在发放中标通知书前要求中标(成交)供应商提供证明材料，以备核实供应商承诺事项的真实性。</w:t>
            </w:r>
          </w:p>
        </w:tc>
      </w:tr>
      <w:tr>
        <w:tc>
          <w:tcPr>
            <w:tcW w:type="dxa" w:w="890"/>
          </w:tcPr>
          <w:p>
            <w:pPr>
              <w:pStyle w:val="null3"/>
            </w:pPr>
            <w:r>
              <w:rPr/>
              <w:t>4</w:t>
            </w:r>
          </w:p>
        </w:tc>
        <w:tc>
          <w:tcPr>
            <w:tcW w:type="dxa" w:w="3178"/>
          </w:tcPr>
          <w:p>
            <w:pPr>
              <w:pStyle w:val="null3"/>
            </w:pPr>
            <w:r>
              <w:rPr/>
              <w:t>有依法缴纳税收和社会保障资金的良好记录</w:t>
            </w:r>
          </w:p>
        </w:tc>
        <w:tc>
          <w:tcPr>
            <w:tcW w:type="dxa" w:w="4238"/>
          </w:tcPr>
          <w:p>
            <w:pPr>
              <w:pStyle w:val="null3"/>
            </w:pPr>
            <w:r>
              <w:rPr/>
              <w:t>具备《政府采购法》第二十二条规定的条件,供应商在投标(响应)时，按规定提供信用承诺函即可无需提交证明材料（政府采购供应商信用承诺函见附件）。采购人有权在发放中标通知书前要求中标(成交)供应商提供证明材料，以备核实供应商承诺事项的真实性。</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具备《政府采购法》第二十二条规定的条件,供应商在投标(响应)时，按规定提供信用承诺函即可无需提交证明材料（政府采购供应商信用承诺函见附件）。采购人有权在发放中标通知书前要求中标(成交)供应商提供证明材料，以备核实供应商承诺事项的真实性。</w:t>
            </w:r>
          </w:p>
        </w:tc>
      </w:tr>
      <w:tr>
        <w:tc>
          <w:tcPr>
            <w:tcW w:type="dxa" w:w="890"/>
          </w:tcPr>
          <w:p>
            <w:pPr>
              <w:pStyle w:val="null3"/>
            </w:pPr>
            <w:r>
              <w:rPr/>
              <w:t>6</w:t>
            </w:r>
          </w:p>
        </w:tc>
        <w:tc>
          <w:tcPr>
            <w:tcW w:type="dxa" w:w="3178"/>
          </w:tcPr>
          <w:p>
            <w:pPr>
              <w:pStyle w:val="null3"/>
            </w:pPr>
            <w:r>
              <w:rPr/>
              <w:t>特定资格要求</w:t>
            </w:r>
          </w:p>
        </w:tc>
        <w:tc>
          <w:tcPr>
            <w:tcW w:type="dxa" w:w="4238"/>
          </w:tcPr>
          <w:p>
            <w:pPr>
              <w:pStyle w:val="null3"/>
            </w:pPr>
            <w:r>
              <w:rPr/>
              <w:t>本采购包不接受联合体投标。</w:t>
            </w:r>
          </w:p>
        </w:tc>
      </w:tr>
      <w:tr>
        <w:tc>
          <w:tcPr>
            <w:tcW w:type="dxa" w:w="890"/>
          </w:tcPr>
          <w:p>
            <w:pPr>
              <w:pStyle w:val="null3"/>
            </w:pPr>
            <w:r>
              <w:rPr/>
              <w:t>7</w:t>
            </w:r>
          </w:p>
        </w:tc>
        <w:tc>
          <w:tcPr>
            <w:tcW w:type="dxa" w:w="3178"/>
          </w:tcPr>
          <w:p>
            <w:pPr>
              <w:pStyle w:val="null3"/>
            </w:pPr>
            <w:r>
              <w:rPr/>
              <w:t>特定资格要求</w:t>
            </w:r>
          </w:p>
        </w:tc>
        <w:tc>
          <w:tcPr>
            <w:tcW w:type="dxa" w:w="4238"/>
          </w:tcPr>
          <w:p>
            <w:pPr>
              <w:pStyle w:val="null3"/>
            </w:pPr>
            <w:r>
              <w:rPr/>
              <w:t>如投标人为生产企业，所投产品为第二、三类医疗器械，提供有效的《医疗器械生产许可证》复印件；如投标人为经营企业，所投产品为第三类医疗器械，提供有效的《医疗器械经营许可证》复印件（如国家另有规定，则适用其规定）。</w:t>
            </w:r>
          </w:p>
        </w:tc>
      </w:tr>
      <w:tr>
        <w:tc>
          <w:tcPr>
            <w:tcW w:type="dxa" w:w="890"/>
          </w:tcPr>
          <w:p>
            <w:pPr>
              <w:pStyle w:val="null3"/>
            </w:pPr>
            <w:r>
              <w:rPr/>
              <w:t>8</w:t>
            </w:r>
          </w:p>
        </w:tc>
        <w:tc>
          <w:tcPr>
            <w:tcW w:type="dxa" w:w="3178"/>
          </w:tcPr>
          <w:p>
            <w:pPr>
              <w:pStyle w:val="null3"/>
            </w:pPr>
            <w:r>
              <w:rPr/>
              <w:t>特定资格要求</w:t>
            </w:r>
          </w:p>
        </w:tc>
        <w:tc>
          <w:tcPr>
            <w:tcW w:type="dxa" w:w="4238"/>
          </w:tcPr>
          <w:p>
            <w:pPr>
              <w:pStyle w:val="null3"/>
            </w:pPr>
            <w:r>
              <w:rPr/>
              <w:t>建设行政主管部门颁发的安全生产许可证。</w:t>
            </w:r>
          </w:p>
        </w:tc>
      </w:tr>
      <w:tr>
        <w:tc>
          <w:tcPr>
            <w:tcW w:type="dxa" w:w="890"/>
          </w:tcPr>
          <w:p>
            <w:pPr>
              <w:pStyle w:val="null3"/>
            </w:pPr>
            <w:r>
              <w:rPr/>
              <w:t>9</w:t>
            </w:r>
          </w:p>
        </w:tc>
        <w:tc>
          <w:tcPr>
            <w:tcW w:type="dxa" w:w="3178"/>
          </w:tcPr>
          <w:p>
            <w:pPr>
              <w:pStyle w:val="null3"/>
            </w:pPr>
            <w:r>
              <w:rPr/>
              <w:t>特定资格要求</w:t>
            </w:r>
          </w:p>
        </w:tc>
        <w:tc>
          <w:tcPr>
            <w:tcW w:type="dxa" w:w="4238"/>
          </w:tcPr>
          <w:p>
            <w:pPr>
              <w:pStyle w:val="null3"/>
            </w:pPr>
            <w:r>
              <w:rPr/>
              <w:t>建设行政主管部门颁发的建筑机电安装工程专业承包三级及以上证书。</w:t>
            </w:r>
          </w:p>
        </w:tc>
      </w:tr>
      <w:tr>
        <w:tc>
          <w:tcPr>
            <w:tcW w:type="dxa" w:w="890"/>
          </w:tcPr>
          <w:p>
            <w:pPr>
              <w:pStyle w:val="null3"/>
            </w:pPr>
            <w:r>
              <w:rPr/>
              <w:t>10</w:t>
            </w:r>
          </w:p>
        </w:tc>
        <w:tc>
          <w:tcPr>
            <w:tcW w:type="dxa" w:w="3178"/>
          </w:tcPr>
          <w:p>
            <w:pPr>
              <w:pStyle w:val="null3"/>
            </w:pPr>
            <w:r>
              <w:rPr/>
              <w:t>特定资格要求</w:t>
            </w:r>
          </w:p>
        </w:tc>
        <w:tc>
          <w:tcPr>
            <w:tcW w:type="dxa" w:w="4238"/>
          </w:tcPr>
          <w:p>
            <w:pPr>
              <w:pStyle w:val="null3"/>
            </w:pPr>
            <w:r>
              <w:rPr/>
              <w:t>建设行政主管部门颁发的电子与智能化工程专业承包贰级及以上资质证书。</w:t>
            </w:r>
          </w:p>
        </w:tc>
      </w:tr>
      <w:tr>
        <w:tc>
          <w:tcPr>
            <w:tcW w:type="dxa" w:w="890"/>
          </w:tcPr>
          <w:p>
            <w:pPr>
              <w:pStyle w:val="null3"/>
            </w:pPr>
            <w:r>
              <w:rPr/>
              <w:t>11</w:t>
            </w:r>
          </w:p>
        </w:tc>
        <w:tc>
          <w:tcPr>
            <w:tcW w:type="dxa" w:w="3178"/>
          </w:tcPr>
          <w:p>
            <w:pPr>
              <w:pStyle w:val="null3"/>
            </w:pPr>
            <w:r>
              <w:rPr/>
              <w:t>特定资格要求</w:t>
            </w:r>
          </w:p>
        </w:tc>
        <w:tc>
          <w:tcPr>
            <w:tcW w:type="dxa" w:w="4238"/>
          </w:tcPr>
          <w:p>
            <w:pPr>
              <w:pStyle w:val="null3"/>
            </w:pPr>
            <w:r>
              <w:rPr/>
              <w:t>市场监督管理局颁发的特种设备生产许可证（工业管道安装GC2）。</w:t>
            </w:r>
          </w:p>
        </w:tc>
      </w:tr>
      <w:tr>
        <w:tc>
          <w:tcPr>
            <w:tcW w:type="dxa" w:w="890"/>
          </w:tcPr>
          <w:p>
            <w:pPr>
              <w:pStyle w:val="null3"/>
            </w:pPr>
            <w:r>
              <w:rPr/>
              <w:t>12</w:t>
            </w:r>
          </w:p>
        </w:tc>
        <w:tc>
          <w:tcPr>
            <w:tcW w:type="dxa" w:w="3178"/>
          </w:tcPr>
          <w:p>
            <w:pPr>
              <w:pStyle w:val="null3"/>
            </w:pPr>
            <w:r>
              <w:rPr/>
              <w:t>特定资格要求</w:t>
            </w:r>
          </w:p>
        </w:tc>
        <w:tc>
          <w:tcPr>
            <w:tcW w:type="dxa" w:w="4238"/>
          </w:tcPr>
          <w:p>
            <w:pPr>
              <w:pStyle w:val="null3"/>
            </w:pPr>
            <w:r>
              <w:rPr/>
              <w:t>市场监督管理局颁发的特种设备生产许可证（压力管道设计）。</w:t>
            </w:r>
          </w:p>
        </w:tc>
      </w:tr>
      <w:tr>
        <w:tc>
          <w:tcPr>
            <w:tcW w:type="dxa" w:w="890"/>
          </w:tcPr>
          <w:p>
            <w:pPr>
              <w:pStyle w:val="null3"/>
            </w:pPr>
            <w:r>
              <w:rPr/>
              <w:t>13</w:t>
            </w:r>
          </w:p>
        </w:tc>
        <w:tc>
          <w:tcPr>
            <w:tcW w:type="dxa" w:w="3178"/>
          </w:tcPr>
          <w:p>
            <w:pPr>
              <w:pStyle w:val="null3"/>
            </w:pPr>
            <w:r>
              <w:rPr/>
              <w:t>信用记录</w:t>
            </w:r>
          </w:p>
        </w:tc>
        <w:tc>
          <w:tcPr>
            <w:tcW w:type="dxa" w:w="4238"/>
          </w:tcPr>
          <w:p>
            <w:pPr>
              <w:pStyle w:val="null3"/>
            </w:pPr>
            <w:r>
              <w:rPr/>
              <w:t>投标人没有被列入失信被执行人、重大税收违法案件当事人名单（即税收违法黑名单）、政府采购严重违法失信行为记录名单及其他不符合规定条件的供应商。[根据信用中国网站（www.creditchina.gov.cn）、中国政府采购网（www.ccgp.gov.cn）主体信用记录信息进行查询]。</w:t>
            </w:r>
          </w:p>
        </w:tc>
      </w:tr>
      <w:tr>
        <w:tc>
          <w:tcPr>
            <w:tcW w:type="dxa" w:w="890"/>
          </w:tcPr>
          <w:p>
            <w:pPr>
              <w:pStyle w:val="null3"/>
            </w:pPr>
            <w:r>
              <w:rPr/>
              <w:t>14</w:t>
            </w:r>
          </w:p>
        </w:tc>
        <w:tc>
          <w:tcPr>
            <w:tcW w:type="dxa" w:w="3178"/>
          </w:tcPr>
          <w:p>
            <w:pPr>
              <w:pStyle w:val="null3"/>
            </w:pPr>
            <w:r>
              <w:rPr/>
              <w:t>供应商必须符合法律、行政法规规定的其他条件</w:t>
            </w:r>
          </w:p>
        </w:tc>
        <w:tc>
          <w:tcPr>
            <w:tcW w:type="dxa" w:w="4238"/>
          </w:tcPr>
          <w:p>
            <w:pPr>
              <w:pStyle w:val="null3"/>
            </w:pPr>
            <w:r>
              <w:rPr/>
              <w:t>供应商必须符合法律、行政法规规定的其他条件。</w:t>
            </w:r>
          </w:p>
        </w:tc>
      </w:tr>
      <w:tr>
        <w:tc>
          <w:tcPr>
            <w:tcW w:type="dxa" w:w="890"/>
          </w:tcPr>
          <w:p>
            <w:pPr>
              <w:pStyle w:val="null3"/>
            </w:pPr>
            <w:r>
              <w:rPr/>
              <w:t>15</w:t>
            </w:r>
          </w:p>
        </w:tc>
        <w:tc>
          <w:tcPr>
            <w:tcW w:type="dxa" w:w="3178"/>
          </w:tcPr>
          <w:p>
            <w:pPr>
              <w:pStyle w:val="null3"/>
            </w:pPr>
            <w:r>
              <w:rPr/>
              <w:t>特定资格要求</w:t>
            </w:r>
          </w:p>
        </w:tc>
        <w:tc>
          <w:tcPr>
            <w:tcW w:type="dxa" w:w="4238"/>
          </w:tcPr>
          <w:p>
            <w:pPr>
              <w:pStyle w:val="null3"/>
            </w:pPr>
            <w:r>
              <w:rPr/>
              <w:t>单位负责人为同一人或者存在直接控股、管理关系的不同供应商，不得参加同一包号投标或者未划分包号的同一招标项目投标(投标人出具声明函)。</w:t>
            </w:r>
          </w:p>
        </w:tc>
      </w:tr>
      <w:tr>
        <w:tc>
          <w:tcPr>
            <w:tcW w:type="dxa" w:w="890"/>
          </w:tcPr>
          <w:p>
            <w:pPr>
              <w:pStyle w:val="null3"/>
            </w:pPr>
            <w:r>
              <w:rPr/>
              <w:t>16</w:t>
            </w:r>
          </w:p>
        </w:tc>
        <w:tc>
          <w:tcPr>
            <w:tcW w:type="dxa" w:w="3178"/>
          </w:tcPr>
          <w:p>
            <w:pPr>
              <w:pStyle w:val="null3"/>
            </w:pPr>
            <w:r>
              <w:rPr/>
              <w:t>特定资格要求</w:t>
            </w:r>
          </w:p>
        </w:tc>
        <w:tc>
          <w:tcPr>
            <w:tcW w:type="dxa" w:w="4238"/>
          </w:tcPr>
          <w:p>
            <w:pPr>
              <w:pStyle w:val="null3"/>
            </w:pPr>
            <w:r>
              <w:rPr/>
              <w:t>为本项目提供整体设计、规范编制或者项目管理、监理、检测等服务的供应商，不得再参加本项目的其他采购活动(投标人出具声明函)。</w:t>
            </w:r>
          </w:p>
        </w:tc>
      </w:tr>
      <w:tr>
        <w:tc>
          <w:tcPr>
            <w:tcW w:type="dxa" w:w="890"/>
          </w:tcPr>
          <w:p>
            <w:pPr>
              <w:pStyle w:val="null3"/>
            </w:pPr>
            <w:r>
              <w:rPr/>
              <w:t>17</w:t>
            </w:r>
          </w:p>
        </w:tc>
        <w:tc>
          <w:tcPr>
            <w:tcW w:type="dxa" w:w="3178"/>
          </w:tcPr>
          <w:p>
            <w:pPr>
              <w:pStyle w:val="null3"/>
            </w:pPr>
            <w:r>
              <w:rPr/>
              <w:t>特定资格要求</w:t>
            </w:r>
          </w:p>
        </w:tc>
        <w:tc>
          <w:tcPr>
            <w:tcW w:type="dxa" w:w="4238"/>
          </w:tcPr>
          <w:p>
            <w:pPr>
              <w:pStyle w:val="null3"/>
            </w:pPr>
            <w:r>
              <w:rPr/>
              <w:t>已获取本次采购文件。</w:t>
            </w:r>
          </w:p>
        </w:tc>
      </w:tr>
      <w:tr>
        <w:tc>
          <w:tcPr>
            <w:tcW w:type="dxa" w:w="890"/>
          </w:tcPr>
          <w:p>
            <w:pPr>
              <w:pStyle w:val="null3"/>
            </w:pPr>
            <w:r>
              <w:rPr/>
              <w:t>18</w:t>
            </w:r>
          </w:p>
        </w:tc>
        <w:tc>
          <w:tcPr>
            <w:tcW w:type="dxa" w:w="3178"/>
          </w:tcPr>
          <w:p>
            <w:pPr>
              <w:pStyle w:val="null3"/>
            </w:pPr>
            <w:r>
              <w:rPr/>
              <w:t>落实政府采购政策需满足的资格要求</w:t>
            </w:r>
          </w:p>
        </w:tc>
        <w:tc>
          <w:tcPr>
            <w:tcW w:type="dxa" w:w="4238"/>
          </w:tcPr>
          <w:p>
            <w:pPr>
              <w:pStyle w:val="null3"/>
            </w:pPr>
            <w:r>
              <w:rPr/>
              <w:t>本项目不属于专门面向中小企业采购的项目，本项目采购标的所属行业为：工业。按照《政府采购促进中小企业发展管理办法》规定，本项目属于预留采购份额无法确保充分供应、充分竞争，或者存在可能影响政府采购目标实现的情形。</w:t>
            </w:r>
          </w:p>
        </w:tc>
      </w:tr>
    </w:tbl>
    <w:p>
      <w:pPr>
        <w:pStyle w:val="null3"/>
        <w:ind w:firstLine="480"/>
      </w:pPr>
      <w:r>
        <w:rPr/>
        <w:t>表二符合性审查表：</w:t>
      </w:r>
    </w:p>
    <w:p>
      <w:pPr>
        <w:pStyle w:val="null3"/>
      </w:pPr>
      <w:r>
        <w:rPr/>
        <w:t>采购包1（医用气体系统设备及配套设施采购及安装）：</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1）投标报价未超过本项目的采购预算 2）对本项目全部内容进行投标报价 3）投标报价是唯一确定的</w:t>
            </w:r>
          </w:p>
        </w:tc>
      </w:tr>
      <w:tr>
        <w:tc>
          <w:tcPr>
            <w:tcW w:type="dxa" w:w="890"/>
          </w:tcPr>
          <w:p>
            <w:pPr>
              <w:pStyle w:val="null3"/>
            </w:pPr>
            <w:r>
              <w:rPr/>
              <w:t>2</w:t>
            </w:r>
          </w:p>
        </w:tc>
        <w:tc>
          <w:tcPr>
            <w:tcW w:type="dxa" w:w="3178"/>
          </w:tcPr>
          <w:p>
            <w:pPr>
              <w:pStyle w:val="null3"/>
            </w:pPr>
            <w:r>
              <w:rPr/>
              <w:t>投标函</w:t>
            </w:r>
          </w:p>
        </w:tc>
        <w:tc>
          <w:tcPr>
            <w:tcW w:type="dxa" w:w="4238"/>
          </w:tcPr>
          <w:p>
            <w:pPr>
              <w:pStyle w:val="null3"/>
            </w:pPr>
            <w:r>
              <w:rPr/>
              <w:t>提供《投标函》，报价有效期为报价截止日后的90天</w:t>
            </w:r>
          </w:p>
        </w:tc>
      </w:tr>
      <w:tr>
        <w:tc>
          <w:tcPr>
            <w:tcW w:type="dxa" w:w="890"/>
          </w:tcPr>
          <w:p>
            <w:pPr>
              <w:pStyle w:val="null3"/>
            </w:pPr>
            <w:r>
              <w:rPr/>
              <w:t>3</w:t>
            </w:r>
          </w:p>
        </w:tc>
        <w:tc>
          <w:tcPr>
            <w:tcW w:type="dxa" w:w="3178"/>
          </w:tcPr>
          <w:p>
            <w:pPr>
              <w:pStyle w:val="null3"/>
            </w:pPr>
            <w:r>
              <w:rPr/>
              <w:t>法定代表人证明书及授权委托书</w:t>
            </w:r>
          </w:p>
        </w:tc>
        <w:tc>
          <w:tcPr>
            <w:tcW w:type="dxa" w:w="4238"/>
          </w:tcPr>
          <w:p>
            <w:pPr>
              <w:pStyle w:val="null3"/>
            </w:pPr>
            <w:r>
              <w:rPr/>
              <w:t>按对应格式文件签署、盖章(原件)</w:t>
            </w:r>
          </w:p>
        </w:tc>
      </w:tr>
      <w:tr>
        <w:tc>
          <w:tcPr>
            <w:tcW w:type="dxa" w:w="890"/>
          </w:tcPr>
          <w:p>
            <w:pPr>
              <w:pStyle w:val="null3"/>
            </w:pPr>
            <w:r>
              <w:rPr/>
              <w:t>4</w:t>
            </w:r>
          </w:p>
        </w:tc>
        <w:tc>
          <w:tcPr>
            <w:tcW w:type="dxa" w:w="3178"/>
          </w:tcPr>
          <w:p>
            <w:pPr>
              <w:pStyle w:val="null3"/>
            </w:pPr>
            <w:r>
              <w:rPr/>
              <w:t>签署、盖章</w:t>
            </w:r>
          </w:p>
        </w:tc>
        <w:tc>
          <w:tcPr>
            <w:tcW w:type="dxa" w:w="4238"/>
          </w:tcPr>
          <w:p>
            <w:pPr>
              <w:pStyle w:val="null3"/>
            </w:pPr>
            <w:r>
              <w:rPr/>
              <w:t>投标文件按照招标文件规定要求签署、盖章</w:t>
            </w:r>
          </w:p>
        </w:tc>
      </w:tr>
      <w:tr>
        <w:tc>
          <w:tcPr>
            <w:tcW w:type="dxa" w:w="890"/>
          </w:tcPr>
          <w:p>
            <w:pPr>
              <w:pStyle w:val="null3"/>
            </w:pPr>
            <w:r>
              <w:rPr/>
              <w:t>5</w:t>
            </w:r>
          </w:p>
        </w:tc>
        <w:tc>
          <w:tcPr>
            <w:tcW w:type="dxa" w:w="3178"/>
          </w:tcPr>
          <w:p>
            <w:pPr>
              <w:pStyle w:val="null3"/>
            </w:pPr>
            <w:r>
              <w:rPr/>
              <w:t>实质性响应招标文件中“★”号条款的技术、商务要求</w:t>
            </w:r>
          </w:p>
        </w:tc>
        <w:tc>
          <w:tcPr>
            <w:tcW w:type="dxa" w:w="4238"/>
          </w:tcPr>
          <w:p>
            <w:pPr>
              <w:pStyle w:val="null3"/>
            </w:pPr>
            <w:r>
              <w:rPr/>
              <w:t>投标方案不得对实质性技术与商务的（即标注★号条款）条款产生偏离</w:t>
            </w:r>
          </w:p>
        </w:tc>
      </w:tr>
      <w:tr>
        <w:tc>
          <w:tcPr>
            <w:tcW w:type="dxa" w:w="890"/>
          </w:tcPr>
          <w:p>
            <w:pPr>
              <w:pStyle w:val="null3"/>
            </w:pPr>
            <w:r>
              <w:rPr/>
              <w:t>6</w:t>
            </w:r>
          </w:p>
        </w:tc>
        <w:tc>
          <w:tcPr>
            <w:tcW w:type="dxa" w:w="3178"/>
          </w:tcPr>
          <w:p>
            <w:pPr>
              <w:pStyle w:val="null3"/>
            </w:pPr>
            <w:r>
              <w:rPr/>
              <w:t>进口产品</w:t>
            </w:r>
          </w:p>
        </w:tc>
        <w:tc>
          <w:tcPr>
            <w:tcW w:type="dxa" w:w="4238"/>
          </w:tcPr>
          <w:p>
            <w:pPr>
              <w:pStyle w:val="null3"/>
            </w:pPr>
            <w:r>
              <w:rPr/>
              <w:t>招标文件不允许采购进口产品时，不得以进口产品投标</w:t>
            </w:r>
          </w:p>
        </w:tc>
      </w:tr>
      <w:tr>
        <w:tc>
          <w:tcPr>
            <w:tcW w:type="dxa" w:w="890"/>
          </w:tcPr>
          <w:p>
            <w:pPr>
              <w:pStyle w:val="null3"/>
            </w:pPr>
            <w:r>
              <w:rPr/>
              <w:t>7</w:t>
            </w:r>
          </w:p>
        </w:tc>
        <w:tc>
          <w:tcPr>
            <w:tcW w:type="dxa" w:w="3178"/>
          </w:tcPr>
          <w:p>
            <w:pPr>
              <w:pStyle w:val="null3"/>
            </w:pPr>
            <w:r>
              <w:rPr/>
              <w:t>其它情况</w:t>
            </w:r>
          </w:p>
        </w:tc>
        <w:tc>
          <w:tcPr>
            <w:tcW w:type="dxa" w:w="4238"/>
          </w:tcPr>
          <w:p>
            <w:pPr>
              <w:pStyle w:val="null3"/>
            </w:pPr>
            <w:r>
              <w:rPr/>
              <w:t>实质性响应招标文件中规定的其它情况</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采购包1(医用气体系统设备及配套设施采购及安装):</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商务部分20.0分</w:t>
            </w:r>
          </w:p>
          <w:p>
            <w:pPr>
              <w:pStyle w:val="null3"/>
            </w:pPr>
            <w:r>
              <w:rPr/>
              <w:t>技术部分50.0分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用户需求中“▲”条款响应情况 (40.0分)</w:t>
            </w:r>
          </w:p>
        </w:tc>
        <w:tc>
          <w:tcPr>
            <w:tcW w:type="dxa" w:w="5076"/>
          </w:tcPr>
          <w:p>
            <w:pPr>
              <w:pStyle w:val="null3"/>
              <w:jc w:val="left"/>
            </w:pPr>
            <w:r>
              <w:rPr/>
              <w:t>根据投标人所投产品每满足一项用户需求书中带“▲”号的重要技术要求（共20项），得2分，合计40.0分；所有投标人须提供投标产品彩页或检测报告或相应技术参数的厂家使用说明书作为技术证明文件，如未提供相关资料，评标委员会有权认为其投标文件中相应参数不符合招标文件要求（如厂家的产品使用说明书为英文版，请同时提供中文版）。</w:t>
            </w:r>
          </w:p>
        </w:tc>
      </w:tr>
      <w:tr>
        <w:tc>
          <w:tcPr>
            <w:tcW w:type="dxa" w:w="922"/>
            <w:gridSpan w:val="2"/>
            <w:vMerge/>
          </w:tcPr>
          <w:p/>
        </w:tc>
        <w:tc>
          <w:tcPr>
            <w:tcW w:type="dxa" w:w="2307"/>
          </w:tcPr>
          <w:p>
            <w:pPr>
              <w:pStyle w:val="null3"/>
              <w:jc w:val="left"/>
            </w:pPr>
            <w:r>
              <w:rPr/>
              <w:t>用户需求中不带“▲”条款响应情况 (10.0分)</w:t>
            </w:r>
          </w:p>
        </w:tc>
        <w:tc>
          <w:tcPr>
            <w:tcW w:type="dxa" w:w="5076"/>
          </w:tcPr>
          <w:p>
            <w:pPr>
              <w:pStyle w:val="null3"/>
              <w:jc w:val="left"/>
            </w:pPr>
            <w:r>
              <w:rPr/>
              <w:t>根据投标人所投产品完全满足用户需求书中不带▲号的条款，得10分； 有1项不带▲号的一般技术参数负偏离，得9分； 有2项不带▲号的一般技术参数负偏离，得8分； 有3项不带▲号的一般技术参数负偏离，得7分； 有4项不带▲号的一般技术参数负偏离，得6分； 有5项不带▲号的一般技术参数负偏离，得5分； 有6项不带▲号的一般技术参数负偏离，得4分； 有7项不带▲号的一般技术参数负偏离，得3分； 有8项不带▲号的一般技术参数负偏离，得2分； 有9项及以上不带▲号的一般技术参数负偏离，得1分。 所有投标人须提供投标产品彩页或检测报告或相应技术参数的厂家使用说明书作为技术证明文件，如未提供相关资料，评标委员会有权认为其投标文件中相应参数不符合招标文件要求（如厂家的产品使用说明书为英文版，请同时提供中文版）。</w:t>
            </w:r>
          </w:p>
        </w:tc>
      </w:tr>
      <w:tr>
        <w:tc>
          <w:tcPr>
            <w:tcW w:type="dxa" w:w="922"/>
            <w:gridSpan w:val="2"/>
            <w:vMerge w:val="restart"/>
          </w:tcPr>
          <w:p>
            <w:pPr>
              <w:pStyle w:val="null3"/>
              <w:jc w:val="center"/>
            </w:pPr>
            <w:r>
              <w:rPr/>
              <w:t>商务部分</w:t>
            </w:r>
          </w:p>
        </w:tc>
        <w:tc>
          <w:tcPr>
            <w:tcW w:type="dxa" w:w="2307"/>
          </w:tcPr>
          <w:p>
            <w:pPr>
              <w:pStyle w:val="null3"/>
              <w:jc w:val="left"/>
            </w:pPr>
            <w:r>
              <w:rPr/>
              <w:t>投标人自2020年1月1日以来的同类业绩 (8.0分)</w:t>
            </w:r>
          </w:p>
        </w:tc>
        <w:tc>
          <w:tcPr>
            <w:tcW w:type="dxa" w:w="5076"/>
          </w:tcPr>
          <w:p>
            <w:pPr>
              <w:pStyle w:val="null3"/>
              <w:jc w:val="left"/>
            </w:pPr>
            <w:r>
              <w:rPr/>
              <w:t>（一）评审内容： 投标人自2020年1月1日以来（以合同签订时间为准）承担同类项目业绩情况，每提供一项有效业绩得2分，本项最高得8分。 （二）评分标准： 1.要求同时提供合同关键信息页（含签订合同双方的单位名称、合同项目名称、含签订合同双方的落款盖章、签订日期的关键页）作为得分依据。 2.通过以上资料无法判断是否得分的，还须同时提供能证明得分的其它证明资料，如项目报告或合同甲方出具的证明文件等。</w:t>
            </w:r>
          </w:p>
        </w:tc>
      </w:tr>
      <w:tr>
        <w:tc>
          <w:tcPr>
            <w:tcW w:type="dxa" w:w="922"/>
            <w:gridSpan w:val="2"/>
            <w:vMerge/>
          </w:tcPr>
          <w:p/>
        </w:tc>
        <w:tc>
          <w:tcPr>
            <w:tcW w:type="dxa" w:w="2307"/>
          </w:tcPr>
          <w:p>
            <w:pPr>
              <w:pStyle w:val="null3"/>
              <w:jc w:val="left"/>
            </w:pPr>
            <w:r>
              <w:rPr/>
              <w:t>投标人通过相关认证情况 (6.0分)</w:t>
            </w:r>
          </w:p>
        </w:tc>
        <w:tc>
          <w:tcPr>
            <w:tcW w:type="dxa" w:w="5076"/>
          </w:tcPr>
          <w:p>
            <w:pPr>
              <w:pStyle w:val="null3"/>
              <w:jc w:val="left"/>
            </w:pPr>
            <w:r>
              <w:rPr/>
              <w:t>（一）评审内容： 每提供一份管理体系认证证书得2分，最高得6分，不提供不得分。 （二）评分标准： 1.提供有效认证证书（如认证证书注明年审要求的，必须按规定年审且证书在有效期内的方为有效；如未注明年审要求的，证书必须在有效期内的方为有效）； 2.认证证书还需同时提供证书官网或权威机构【如：全国认证认可信息公共服务平台（http://www.cnca.gov.cn/）】认证信息查询截图（截图需显示证书状态为有效）。 相关证书在公开渠道无法查询的，投标人需提供颁发部门或者监管机构的证明材料，证明证书真实有效且为合法机构颁发； 3.以上资料均要求提供扫描件（或官方网站截图），原件备查。评分中出现无证明资料或专家无法凭所提供资料判断是否得分的情况，一律作不得分处理。如因投标人成立时间不满足认证时间要求且办理认证所需要合理时间不足导致未能获得认证证书的，投标人提供相关佐证资料，情况属实的，可对应得分，否则不得分。</w:t>
            </w:r>
          </w:p>
        </w:tc>
      </w:tr>
      <w:tr>
        <w:tc>
          <w:tcPr>
            <w:tcW w:type="dxa" w:w="922"/>
            <w:gridSpan w:val="2"/>
            <w:vMerge/>
          </w:tcPr>
          <w:p/>
        </w:tc>
        <w:tc>
          <w:tcPr>
            <w:tcW w:type="dxa" w:w="2307"/>
          </w:tcPr>
          <w:p>
            <w:pPr>
              <w:pStyle w:val="null3"/>
              <w:jc w:val="left"/>
            </w:pPr>
            <w:r>
              <w:rPr/>
              <w:t>售后服务方案 (6.0分)</w:t>
            </w:r>
          </w:p>
        </w:tc>
        <w:tc>
          <w:tcPr>
            <w:tcW w:type="dxa" w:w="5076"/>
          </w:tcPr>
          <w:p>
            <w:pPr>
              <w:pStyle w:val="null3"/>
              <w:jc w:val="left"/>
            </w:pPr>
            <w:r>
              <w:rPr/>
              <w:t>根据投标人针对本项目所提供的售后服务方案，方案内容包括但不限于售后服务人员（专人跟进、服务沟通等）的安排、服务计划安排、响应时间的及时性、提供备品备件服务等内容进行评审： （1）投标人所提供的售后服务方案内容详细，有完整合理的部署规划，有安排专人负责响应采购人的维修要求及服务过程中的沟通，有专业的、具有相关资质的售后服务人员，对需维修的设备有完整可行操作的维修处理方法，对日常维修和应急情况响应及时，完全满足项目要求的得6分； （2）投标人所提供的售后服务方案内容完整，有基本的部署规划，有安排专人负责响应采购人的维修要求及服务过程中的沟通，有专业的、具有相关资质的售后服务人员，对需维修的设备有基础保底操作的维修处理方法，对日常维修和应急情况响应不够及时，部分满足项目要求的得3分； （3）投标人只提供了简单的售后服务方案，维修服务安排无法满足项目要求，对日常维修和应急情况响应慢，不能满足项目要求的得1分； （4）不提供的不得分。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24"/>
          <w:b/>
        </w:rPr>
        <w:t>医用气体系统</w:t>
      </w:r>
      <w:r>
        <w:rPr>
          <w:sz w:val="24"/>
          <w:b/>
        </w:rPr>
        <w:t>设备及配套设施采购及安装</w:t>
      </w:r>
      <w:r>
        <w:rPr>
          <w:sz w:val="24"/>
          <w:b/>
        </w:rPr>
        <w:t>采购合同</w:t>
      </w:r>
    </w:p>
    <w:p>
      <w:pPr>
        <w:pStyle w:val="null3"/>
        <w:jc w:val="center"/>
      </w:pPr>
      <w:r>
        <w:rPr>
          <w:sz w:val="24"/>
        </w:rPr>
        <w:t>甲　　方：</w:t>
      </w:r>
      <w:r>
        <w:rPr>
          <w:sz w:val="24"/>
        </w:rPr>
        <w:t>汕尾逸挥基金医院</w:t>
      </w:r>
    </w:p>
    <w:p>
      <w:pPr>
        <w:pStyle w:val="null3"/>
        <w:jc w:val="both"/>
      </w:pPr>
      <w:r>
        <w:rPr>
          <w:sz w:val="24"/>
        </w:rPr>
        <w:t>乙　　方：　　　　　</w:t>
      </w:r>
    </w:p>
    <w:p>
      <w:pPr>
        <w:pStyle w:val="null3"/>
        <w:jc w:val="both"/>
      </w:pPr>
      <w:r>
        <w:rPr>
          <w:sz w:val="24"/>
          <w:color w:val="000000"/>
        </w:rPr>
        <w:t xml:space="preserve"> </w:t>
      </w:r>
      <w:r>
        <w:rPr>
          <w:sz w:val="24"/>
          <w:color w:val="000000"/>
        </w:rPr>
        <w:t>根据医用气体系统设备及配套设施采购及安装项目的采购结果，按照《中华人民共和国政府采购法》、《中华人民共和国民法典》的规定，经双方协商，本着平等互利和诚实信用的原则，一致同意签订本合同如下。</w:t>
      </w:r>
    </w:p>
    <w:p>
      <w:pPr>
        <w:pStyle w:val="null3"/>
        <w:jc w:val="both"/>
      </w:pPr>
      <w:r>
        <w:rPr>
          <w:sz w:val="24"/>
          <w:b/>
        </w:rPr>
        <w:t>一、货物内容</w:t>
      </w:r>
    </w:p>
    <w:tbl>
      <w:tblPr>
        <w:tblW w:w="0" w:type="auto"/>
        <w:tblBorders>
          <w:top w:val="none" w:color="000000" w:sz="4"/>
          <w:left w:val="none" w:color="000000" w:sz="4"/>
          <w:bottom w:val="none" w:color="000000" w:sz="4"/>
          <w:right w:val="none" w:color="000000" w:sz="4"/>
          <w:insideH w:val="none"/>
          <w:insideV w:val="none"/>
        </w:tblBorders>
      </w:tblPr>
      <w:tblGrid>
        <w:gridCol w:w="757"/>
        <w:gridCol w:w="3459"/>
        <w:gridCol w:w="743"/>
        <w:gridCol w:w="743"/>
        <w:gridCol w:w="743"/>
        <w:gridCol w:w="800"/>
        <w:gridCol w:w="1029"/>
      </w:tblGrid>
      <w:tr>
        <w:tc>
          <w:tcPr>
            <w:tcW w:type="dxa" w:w="757"/>
            <w:tcBorders>
              <w:top w:val="single" w:color="CCCCCC" w:sz="4"/>
              <w:left w:val="single" w:color="CCCCCC" w:sz="4"/>
              <w:bottom w:val="single" w:color="CCCCCC" w:sz="4"/>
              <w:right w:val="single" w:color="CCCCCC" w:sz="4"/>
            </w:tcBorders>
            <w:tcMar>
              <w:top w:type="dxa" w:w="0"/>
              <w:left w:type="dxa" w:w="105"/>
              <w:bottom w:type="dxa" w:w="0"/>
              <w:right w:type="dxa" w:w="105"/>
            </w:tcMar>
            <w:vAlign w:val="top"/>
          </w:tcPr>
          <w:p>
            <w:pPr>
              <w:pStyle w:val="null3"/>
              <w:jc w:val="both"/>
            </w:pPr>
            <w:r>
              <w:rPr>
                <w:sz w:val="24"/>
              </w:rPr>
              <w:t>名称</w:t>
            </w:r>
          </w:p>
        </w:tc>
        <w:tc>
          <w:tcPr>
            <w:tcW w:type="dxa" w:w="3459"/>
            <w:tcBorders>
              <w:top w:val="single" w:color="CCCCCC" w:sz="4"/>
              <w:left w:val="single" w:color="000000" w:sz="4"/>
              <w:bottom w:val="single" w:color="CCCCCC" w:sz="4"/>
              <w:right w:val="single" w:color="CCCCCC" w:sz="4"/>
            </w:tcBorders>
            <w:tcMar>
              <w:top w:type="dxa" w:w="0"/>
              <w:left w:type="dxa" w:w="105"/>
              <w:bottom w:type="dxa" w:w="0"/>
              <w:right w:type="dxa" w:w="105"/>
            </w:tcMar>
            <w:vAlign w:val="top"/>
          </w:tcPr>
          <w:p>
            <w:pPr>
              <w:pStyle w:val="null3"/>
              <w:jc w:val="center"/>
            </w:pPr>
            <w:r>
              <w:rPr>
                <w:sz w:val="24"/>
              </w:rPr>
              <w:t>品牌、规格、标准</w:t>
            </w:r>
            <w:r>
              <w:rPr>
                <w:sz w:val="24"/>
              </w:rPr>
              <w:t>/主要服务内容</w:t>
            </w:r>
          </w:p>
        </w:tc>
        <w:tc>
          <w:tcPr>
            <w:tcW w:type="dxa" w:w="743"/>
            <w:tcBorders>
              <w:top w:val="single" w:color="CCCCCC" w:sz="4"/>
              <w:left w:val="single" w:color="000000" w:sz="4"/>
              <w:bottom w:val="single" w:color="CCCCCC" w:sz="4"/>
              <w:right w:val="single" w:color="CCCCCC" w:sz="4"/>
            </w:tcBorders>
            <w:tcMar>
              <w:top w:type="dxa" w:w="0"/>
              <w:left w:type="dxa" w:w="105"/>
              <w:bottom w:type="dxa" w:w="0"/>
              <w:right w:type="dxa" w:w="105"/>
            </w:tcMar>
            <w:vAlign w:val="top"/>
          </w:tcPr>
          <w:p>
            <w:pPr>
              <w:pStyle w:val="null3"/>
              <w:jc w:val="both"/>
            </w:pPr>
            <w:r>
              <w:rPr>
                <w:sz w:val="24"/>
              </w:rPr>
              <w:t>产地</w:t>
            </w:r>
          </w:p>
        </w:tc>
        <w:tc>
          <w:tcPr>
            <w:tcW w:type="dxa" w:w="743"/>
            <w:tcBorders>
              <w:top w:val="single" w:color="CCCCCC" w:sz="4"/>
              <w:left w:val="single" w:color="000000" w:sz="4"/>
              <w:bottom w:val="single" w:color="CCCCCC" w:sz="4"/>
              <w:right w:val="single" w:color="CCCCCC" w:sz="4"/>
            </w:tcBorders>
            <w:tcMar>
              <w:top w:type="dxa" w:w="0"/>
              <w:left w:type="dxa" w:w="105"/>
              <w:bottom w:type="dxa" w:w="0"/>
              <w:right w:type="dxa" w:w="105"/>
            </w:tcMar>
            <w:vAlign w:val="top"/>
          </w:tcPr>
          <w:p>
            <w:pPr>
              <w:pStyle w:val="null3"/>
              <w:jc w:val="center"/>
            </w:pPr>
            <w:r>
              <w:rPr>
                <w:sz w:val="24"/>
              </w:rPr>
              <w:t>数量</w:t>
            </w:r>
          </w:p>
        </w:tc>
        <w:tc>
          <w:tcPr>
            <w:tcW w:type="dxa" w:w="743"/>
            <w:tcBorders>
              <w:top w:val="single" w:color="CCCCCC" w:sz="4"/>
              <w:left w:val="single" w:color="000000" w:sz="4"/>
              <w:bottom w:val="single" w:color="CCCCCC" w:sz="4"/>
              <w:right w:val="single" w:color="CCCCCC" w:sz="4"/>
            </w:tcBorders>
            <w:tcMar>
              <w:top w:type="dxa" w:w="0"/>
              <w:left w:type="dxa" w:w="105"/>
              <w:bottom w:type="dxa" w:w="0"/>
              <w:right w:type="dxa" w:w="105"/>
            </w:tcMar>
            <w:vAlign w:val="top"/>
          </w:tcPr>
          <w:p>
            <w:pPr>
              <w:pStyle w:val="null3"/>
              <w:jc w:val="center"/>
            </w:pPr>
            <w:r>
              <w:rPr>
                <w:sz w:val="24"/>
              </w:rPr>
              <w:t>单位</w:t>
            </w:r>
          </w:p>
        </w:tc>
        <w:tc>
          <w:tcPr>
            <w:tcW w:type="dxa" w:w="800"/>
            <w:tcBorders>
              <w:top w:val="single" w:color="CCCCCC" w:sz="4"/>
              <w:left w:val="single" w:color="000000" w:sz="4"/>
              <w:bottom w:val="single" w:color="CCCCCC" w:sz="4"/>
              <w:right w:val="single" w:color="CCCCCC" w:sz="4"/>
            </w:tcBorders>
            <w:tcMar>
              <w:top w:type="dxa" w:w="0"/>
              <w:left w:type="dxa" w:w="105"/>
              <w:bottom w:type="dxa" w:w="0"/>
              <w:right w:type="dxa" w:w="105"/>
            </w:tcMar>
            <w:vAlign w:val="top"/>
          </w:tcPr>
          <w:p>
            <w:pPr>
              <w:pStyle w:val="null3"/>
              <w:jc w:val="center"/>
            </w:pPr>
            <w:r>
              <w:rPr>
                <w:sz w:val="24"/>
              </w:rPr>
              <w:t>单价</w:t>
            </w:r>
          </w:p>
          <w:p>
            <w:pPr>
              <w:pStyle w:val="null3"/>
              <w:jc w:val="center"/>
            </w:pPr>
            <w:r>
              <w:rPr>
                <w:sz w:val="24"/>
              </w:rPr>
              <w:t>（元）</w:t>
            </w:r>
          </w:p>
        </w:tc>
        <w:tc>
          <w:tcPr>
            <w:tcW w:type="dxa" w:w="1029"/>
            <w:tcBorders>
              <w:top w:val="single" w:color="CCCCCC" w:sz="4"/>
              <w:left w:val="single" w:color="000000" w:sz="4"/>
              <w:bottom w:val="single" w:color="CCCCCC" w:sz="4"/>
              <w:right w:val="single" w:color="CCCCCC" w:sz="4"/>
            </w:tcBorders>
            <w:tcMar>
              <w:top w:type="dxa" w:w="0"/>
              <w:left w:type="dxa" w:w="105"/>
              <w:bottom w:type="dxa" w:w="0"/>
              <w:right w:type="dxa" w:w="105"/>
            </w:tcMar>
            <w:vAlign w:val="top"/>
          </w:tcPr>
          <w:p>
            <w:pPr>
              <w:pStyle w:val="null3"/>
              <w:jc w:val="center"/>
            </w:pPr>
            <w:r>
              <w:rPr>
                <w:sz w:val="24"/>
              </w:rPr>
              <w:t>金额</w:t>
            </w:r>
          </w:p>
          <w:p>
            <w:pPr>
              <w:pStyle w:val="null3"/>
              <w:jc w:val="center"/>
            </w:pPr>
            <w:r>
              <w:rPr>
                <w:sz w:val="24"/>
              </w:rPr>
              <w:t>（元）</w:t>
            </w:r>
          </w:p>
        </w:tc>
      </w:tr>
      <w:tr>
        <w:tc>
          <w:tcPr>
            <w:tcW w:type="dxa" w:w="757"/>
            <w:tcBorders>
              <w:top w:val="single" w:color="000000" w:sz="4"/>
              <w:left w:val="single" w:color="CCCCCC" w:sz="4"/>
              <w:bottom w:val="single" w:color="CCCCCC" w:sz="4"/>
              <w:right w:val="single" w:color="CCCCCC" w:sz="4"/>
            </w:tcBorders>
            <w:tcMar>
              <w:top w:type="dxa" w:w="0"/>
              <w:left w:type="dxa" w:w="105"/>
              <w:bottom w:type="dxa" w:w="0"/>
              <w:right w:type="dxa" w:w="105"/>
            </w:tcMar>
            <w:vAlign w:val="top"/>
          </w:tcPr>
          <w:p>
            <w:pPr>
              <w:pStyle w:val="null3"/>
              <w:jc w:val="center"/>
            </w:pPr>
            <w:r>
              <w:rPr>
                <w:sz w:val="24"/>
              </w:rPr>
              <w:t xml:space="preserve"> </w:t>
            </w:r>
            <w:r>
              <w:rPr>
                <w:sz w:val="24"/>
              </w:rPr>
              <w:t>**</w:t>
            </w:r>
          </w:p>
        </w:tc>
        <w:tc>
          <w:tcPr>
            <w:tcW w:type="dxa" w:w="3459"/>
            <w:tcBorders>
              <w:top w:val="single" w:color="000000" w:sz="4"/>
              <w:left w:val="single" w:color="000000" w:sz="4"/>
              <w:bottom w:val="single" w:color="CCCCCC" w:sz="4"/>
              <w:right w:val="single" w:color="CCCCCC" w:sz="4"/>
            </w:tcBorders>
            <w:tcMar>
              <w:top w:type="dxa" w:w="0"/>
              <w:left w:type="dxa" w:w="105"/>
              <w:bottom w:type="dxa" w:w="0"/>
              <w:right w:type="dxa" w:w="105"/>
            </w:tcMar>
            <w:vAlign w:val="top"/>
          </w:tcPr>
          <w:p>
            <w:pPr>
              <w:pStyle w:val="null3"/>
              <w:jc w:val="center"/>
            </w:pPr>
            <w:r>
              <w:rPr>
                <w:sz w:val="24"/>
              </w:rPr>
              <w:t>**</w:t>
            </w:r>
          </w:p>
        </w:tc>
        <w:tc>
          <w:tcPr>
            <w:tcW w:type="dxa" w:w="743"/>
            <w:tcBorders>
              <w:top w:val="single" w:color="000000" w:sz="4"/>
              <w:left w:val="single" w:color="000000" w:sz="4"/>
              <w:bottom w:val="single" w:color="CCCCCC" w:sz="4"/>
              <w:right w:val="single" w:color="CCCCCC" w:sz="4"/>
            </w:tcBorders>
            <w:tcMar>
              <w:top w:type="dxa" w:w="0"/>
              <w:left w:type="dxa" w:w="105"/>
              <w:bottom w:type="dxa" w:w="0"/>
              <w:right w:type="dxa" w:w="105"/>
            </w:tcMar>
            <w:vAlign w:val="top"/>
          </w:tcPr>
          <w:p>
            <w:pPr>
              <w:pStyle w:val="null3"/>
              <w:jc w:val="center"/>
            </w:pPr>
            <w:r>
              <w:rPr>
                <w:sz w:val="24"/>
              </w:rPr>
              <w:t>**</w:t>
            </w:r>
          </w:p>
        </w:tc>
        <w:tc>
          <w:tcPr>
            <w:tcW w:type="dxa" w:w="743"/>
            <w:tcBorders>
              <w:top w:val="single" w:color="000000" w:sz="4"/>
              <w:left w:val="single" w:color="000000" w:sz="4"/>
              <w:bottom w:val="single" w:color="CCCCCC" w:sz="4"/>
              <w:right w:val="single" w:color="CCCCCC" w:sz="4"/>
            </w:tcBorders>
            <w:tcMar>
              <w:top w:type="dxa" w:w="0"/>
              <w:left w:type="dxa" w:w="105"/>
              <w:bottom w:type="dxa" w:w="0"/>
              <w:right w:type="dxa" w:w="105"/>
            </w:tcMar>
            <w:vAlign w:val="top"/>
          </w:tcPr>
          <w:p>
            <w:pPr>
              <w:pStyle w:val="null3"/>
              <w:jc w:val="center"/>
            </w:pPr>
            <w:r>
              <w:rPr>
                <w:sz w:val="24"/>
              </w:rPr>
              <w:t>**</w:t>
            </w:r>
          </w:p>
        </w:tc>
        <w:tc>
          <w:tcPr>
            <w:tcW w:type="dxa" w:w="743"/>
            <w:tcBorders>
              <w:top w:val="single" w:color="000000" w:sz="4"/>
              <w:left w:val="single" w:color="000000" w:sz="4"/>
              <w:bottom w:val="single" w:color="CCCCCC" w:sz="4"/>
              <w:right w:val="single" w:color="CCCCCC" w:sz="4"/>
            </w:tcBorders>
            <w:tcMar>
              <w:top w:type="dxa" w:w="0"/>
              <w:left w:type="dxa" w:w="105"/>
              <w:bottom w:type="dxa" w:w="0"/>
              <w:right w:type="dxa" w:w="105"/>
            </w:tcMar>
            <w:vAlign w:val="top"/>
          </w:tcPr>
          <w:p>
            <w:pPr>
              <w:pStyle w:val="null3"/>
              <w:jc w:val="center"/>
            </w:pPr>
            <w:r>
              <w:rPr>
                <w:sz w:val="24"/>
              </w:rPr>
              <w:t>**</w:t>
            </w:r>
          </w:p>
        </w:tc>
        <w:tc>
          <w:tcPr>
            <w:tcW w:type="dxa" w:w="800"/>
            <w:tcBorders>
              <w:top w:val="single" w:color="000000" w:sz="4"/>
              <w:left w:val="single" w:color="000000" w:sz="4"/>
              <w:bottom w:val="single" w:color="CCCCCC" w:sz="4"/>
              <w:right w:val="single" w:color="CCCCCC" w:sz="4"/>
            </w:tcBorders>
            <w:tcMar>
              <w:top w:type="dxa" w:w="0"/>
              <w:left w:type="dxa" w:w="105"/>
              <w:bottom w:type="dxa" w:w="0"/>
              <w:right w:type="dxa" w:w="105"/>
            </w:tcMar>
            <w:vAlign w:val="top"/>
          </w:tcPr>
          <w:p>
            <w:pPr>
              <w:pStyle w:val="null3"/>
              <w:jc w:val="center"/>
            </w:pPr>
            <w:r>
              <w:rPr>
                <w:sz w:val="24"/>
              </w:rPr>
              <w:t xml:space="preserve"> </w:t>
            </w:r>
            <w:r>
              <w:rPr>
                <w:sz w:val="24"/>
              </w:rPr>
              <w:t>**</w:t>
            </w:r>
          </w:p>
        </w:tc>
        <w:tc>
          <w:tcPr>
            <w:tcW w:type="dxa" w:w="1029"/>
            <w:tcBorders>
              <w:top w:val="single" w:color="000000" w:sz="4"/>
              <w:left w:val="single" w:color="000000" w:sz="4"/>
              <w:bottom w:val="single" w:color="CCCCCC" w:sz="4"/>
              <w:right w:val="single" w:color="CCCCCC" w:sz="4"/>
            </w:tcBorders>
            <w:tcMar>
              <w:top w:type="dxa" w:w="0"/>
              <w:left w:type="dxa" w:w="105"/>
              <w:bottom w:type="dxa" w:w="0"/>
              <w:right w:type="dxa" w:w="105"/>
            </w:tcMar>
            <w:vAlign w:val="top"/>
          </w:tcPr>
          <w:p>
            <w:pPr>
              <w:pStyle w:val="null3"/>
              <w:jc w:val="center"/>
            </w:pPr>
            <w:r>
              <w:rPr>
                <w:sz w:val="24"/>
              </w:rPr>
              <w:t>**</w:t>
            </w:r>
          </w:p>
        </w:tc>
      </w:tr>
      <w:tr>
        <w:tc>
          <w:tcPr>
            <w:tcW w:type="dxa" w:w="757"/>
            <w:tcBorders>
              <w:top w:val="single" w:color="000000" w:sz="4"/>
              <w:left w:val="single" w:color="CCCCCC" w:sz="4"/>
              <w:bottom w:val="single" w:color="CCCCCC" w:sz="4"/>
              <w:right w:val="single" w:color="CCCCCC" w:sz="4"/>
            </w:tcBorders>
            <w:tcMar>
              <w:top w:type="dxa" w:w="0"/>
              <w:left w:type="dxa" w:w="105"/>
              <w:bottom w:type="dxa" w:w="0"/>
              <w:right w:type="dxa" w:w="105"/>
            </w:tcMar>
            <w:vAlign w:val="top"/>
          </w:tcPr>
          <w:p>
            <w:pPr>
              <w:pStyle w:val="null3"/>
              <w:jc w:val="center"/>
            </w:pPr>
            <w:r>
              <w:rPr>
                <w:sz w:val="21"/>
              </w:rPr>
              <w:t xml:space="preserve"> </w:t>
            </w:r>
          </w:p>
        </w:tc>
        <w:tc>
          <w:tcPr>
            <w:tcW w:type="dxa" w:w="3459"/>
            <w:tcBorders>
              <w:top w:val="single" w:color="000000" w:sz="4"/>
              <w:left w:val="single" w:color="000000" w:sz="4"/>
              <w:bottom w:val="single" w:color="CCCCCC" w:sz="4"/>
              <w:right w:val="single" w:color="CCCCCC" w:sz="4"/>
            </w:tcBorders>
            <w:tcMar>
              <w:top w:type="dxa" w:w="0"/>
              <w:left w:type="dxa" w:w="105"/>
              <w:bottom w:type="dxa" w:w="0"/>
              <w:right w:type="dxa" w:w="105"/>
            </w:tcMar>
            <w:vAlign w:val="top"/>
          </w:tcPr>
          <w:p>
            <w:pPr>
              <w:pStyle w:val="null3"/>
              <w:jc w:val="center"/>
            </w:pPr>
            <w:r>
              <w:rPr>
                <w:sz w:val="21"/>
              </w:rPr>
              <w:t xml:space="preserve"> </w:t>
            </w:r>
          </w:p>
        </w:tc>
        <w:tc>
          <w:tcPr>
            <w:tcW w:type="dxa" w:w="743"/>
            <w:tcBorders>
              <w:top w:val="single" w:color="000000" w:sz="4"/>
              <w:left w:val="single" w:color="000000" w:sz="4"/>
              <w:bottom w:val="single" w:color="CCCCCC" w:sz="4"/>
              <w:right w:val="single" w:color="CCCCCC" w:sz="4"/>
            </w:tcBorders>
            <w:tcMar>
              <w:top w:type="dxa" w:w="0"/>
              <w:left w:type="dxa" w:w="105"/>
              <w:bottom w:type="dxa" w:w="0"/>
              <w:right w:type="dxa" w:w="105"/>
            </w:tcMar>
            <w:vAlign w:val="top"/>
          </w:tcPr>
          <w:p>
            <w:pPr>
              <w:pStyle w:val="null3"/>
              <w:jc w:val="center"/>
            </w:pPr>
            <w:r>
              <w:rPr>
                <w:sz w:val="21"/>
              </w:rPr>
              <w:t xml:space="preserve"> </w:t>
            </w:r>
          </w:p>
        </w:tc>
        <w:tc>
          <w:tcPr>
            <w:tcW w:type="dxa" w:w="743"/>
            <w:tcBorders>
              <w:top w:val="single" w:color="000000" w:sz="4"/>
              <w:left w:val="single" w:color="000000" w:sz="4"/>
              <w:bottom w:val="single" w:color="CCCCCC" w:sz="4"/>
              <w:right w:val="single" w:color="CCCCCC" w:sz="4"/>
            </w:tcBorders>
            <w:tcMar>
              <w:top w:type="dxa" w:w="0"/>
              <w:left w:type="dxa" w:w="105"/>
              <w:bottom w:type="dxa" w:w="0"/>
              <w:right w:type="dxa" w:w="105"/>
            </w:tcMar>
            <w:vAlign w:val="top"/>
          </w:tcPr>
          <w:p>
            <w:pPr>
              <w:pStyle w:val="null3"/>
              <w:jc w:val="center"/>
            </w:pPr>
            <w:r>
              <w:rPr>
                <w:sz w:val="21"/>
              </w:rPr>
              <w:t xml:space="preserve"> </w:t>
            </w:r>
          </w:p>
        </w:tc>
        <w:tc>
          <w:tcPr>
            <w:tcW w:type="dxa" w:w="743"/>
            <w:tcBorders>
              <w:top w:val="single" w:color="000000" w:sz="4"/>
              <w:left w:val="single" w:color="000000" w:sz="4"/>
              <w:bottom w:val="single" w:color="CCCCCC" w:sz="4"/>
              <w:right w:val="single" w:color="CCCCCC" w:sz="4"/>
            </w:tcBorders>
            <w:tcMar>
              <w:top w:type="dxa" w:w="0"/>
              <w:left w:type="dxa" w:w="105"/>
              <w:bottom w:type="dxa" w:w="0"/>
              <w:right w:type="dxa" w:w="105"/>
            </w:tcMar>
            <w:vAlign w:val="top"/>
          </w:tcPr>
          <w:p>
            <w:pPr>
              <w:pStyle w:val="null3"/>
              <w:jc w:val="center"/>
            </w:pPr>
            <w:r>
              <w:rPr>
                <w:sz w:val="21"/>
              </w:rPr>
              <w:t xml:space="preserve"> </w:t>
            </w:r>
          </w:p>
        </w:tc>
        <w:tc>
          <w:tcPr>
            <w:tcW w:type="dxa" w:w="800"/>
            <w:tcBorders>
              <w:top w:val="single" w:color="000000" w:sz="4"/>
              <w:left w:val="single" w:color="000000" w:sz="4"/>
              <w:bottom w:val="single" w:color="CCCCCC" w:sz="4"/>
              <w:right w:val="single" w:color="CCCCCC" w:sz="4"/>
            </w:tcBorders>
            <w:tcMar>
              <w:top w:type="dxa" w:w="0"/>
              <w:left w:type="dxa" w:w="105"/>
              <w:bottom w:type="dxa" w:w="0"/>
              <w:right w:type="dxa" w:w="105"/>
            </w:tcMar>
            <w:vAlign w:val="top"/>
          </w:tcPr>
          <w:p>
            <w:pPr>
              <w:pStyle w:val="null3"/>
              <w:jc w:val="center"/>
            </w:pPr>
            <w:r>
              <w:rPr>
                <w:sz w:val="21"/>
              </w:rPr>
              <w:t xml:space="preserve"> </w:t>
            </w:r>
          </w:p>
        </w:tc>
        <w:tc>
          <w:tcPr>
            <w:tcW w:type="dxa" w:w="1029"/>
            <w:tcBorders>
              <w:top w:val="single" w:color="000000" w:sz="4"/>
              <w:left w:val="single" w:color="000000" w:sz="4"/>
              <w:bottom w:val="single" w:color="CCCCCC" w:sz="4"/>
              <w:right w:val="single" w:color="CCCCCC" w:sz="4"/>
            </w:tcBorders>
            <w:tcMar>
              <w:top w:type="dxa" w:w="0"/>
              <w:left w:type="dxa" w:w="105"/>
              <w:bottom w:type="dxa" w:w="0"/>
              <w:right w:type="dxa" w:w="105"/>
            </w:tcMar>
            <w:vAlign w:val="top"/>
          </w:tcPr>
          <w:p>
            <w:pPr>
              <w:pStyle w:val="null3"/>
              <w:jc w:val="center"/>
            </w:pPr>
            <w:r>
              <w:rPr>
                <w:sz w:val="21"/>
              </w:rPr>
              <w:t xml:space="preserve"> </w:t>
            </w:r>
          </w:p>
        </w:tc>
      </w:tr>
      <w:tr>
        <w:tc>
          <w:tcPr>
            <w:tcW w:type="dxa" w:w="757"/>
            <w:tcBorders>
              <w:top w:val="single" w:color="000000" w:sz="4"/>
              <w:left w:val="single" w:color="CCCCCC" w:sz="4"/>
              <w:bottom w:val="single" w:color="CCCCCC" w:sz="4"/>
              <w:right w:val="single" w:color="CCCCCC" w:sz="4"/>
            </w:tcBorders>
            <w:tcMar>
              <w:top w:type="dxa" w:w="0"/>
              <w:left w:type="dxa" w:w="105"/>
              <w:bottom w:type="dxa" w:w="0"/>
              <w:right w:type="dxa" w:w="105"/>
            </w:tcMar>
            <w:vAlign w:val="top"/>
          </w:tcPr>
          <w:p>
            <w:pPr>
              <w:pStyle w:val="null3"/>
              <w:jc w:val="center"/>
            </w:pPr>
            <w:r>
              <w:rPr>
                <w:sz w:val="21"/>
              </w:rPr>
              <w:t xml:space="preserve"> </w:t>
            </w:r>
          </w:p>
        </w:tc>
        <w:tc>
          <w:tcPr>
            <w:tcW w:type="dxa" w:w="3459"/>
            <w:tcBorders>
              <w:top w:val="single" w:color="000000" w:sz="4"/>
              <w:left w:val="single" w:color="000000" w:sz="4"/>
              <w:bottom w:val="single" w:color="CCCCCC" w:sz="4"/>
              <w:right w:val="single" w:color="CCCCCC" w:sz="4"/>
            </w:tcBorders>
            <w:tcMar>
              <w:top w:type="dxa" w:w="0"/>
              <w:left w:type="dxa" w:w="105"/>
              <w:bottom w:type="dxa" w:w="0"/>
              <w:right w:type="dxa" w:w="105"/>
            </w:tcMar>
            <w:vAlign w:val="top"/>
          </w:tcPr>
          <w:p>
            <w:pPr>
              <w:pStyle w:val="null3"/>
              <w:jc w:val="center"/>
            </w:pPr>
            <w:r>
              <w:rPr>
                <w:sz w:val="21"/>
              </w:rPr>
              <w:t xml:space="preserve"> </w:t>
            </w:r>
          </w:p>
        </w:tc>
        <w:tc>
          <w:tcPr>
            <w:tcW w:type="dxa" w:w="743"/>
            <w:tcBorders>
              <w:top w:val="single" w:color="000000" w:sz="4"/>
              <w:left w:val="single" w:color="000000" w:sz="4"/>
              <w:bottom w:val="single" w:color="CCCCCC" w:sz="4"/>
              <w:right w:val="single" w:color="CCCCCC" w:sz="4"/>
            </w:tcBorders>
            <w:tcMar>
              <w:top w:type="dxa" w:w="0"/>
              <w:left w:type="dxa" w:w="105"/>
              <w:bottom w:type="dxa" w:w="0"/>
              <w:right w:type="dxa" w:w="105"/>
            </w:tcMar>
            <w:vAlign w:val="top"/>
          </w:tcPr>
          <w:p>
            <w:pPr>
              <w:pStyle w:val="null3"/>
              <w:jc w:val="center"/>
            </w:pPr>
            <w:r>
              <w:rPr>
                <w:sz w:val="21"/>
              </w:rPr>
              <w:t xml:space="preserve"> </w:t>
            </w:r>
          </w:p>
        </w:tc>
        <w:tc>
          <w:tcPr>
            <w:tcW w:type="dxa" w:w="743"/>
            <w:tcBorders>
              <w:top w:val="single" w:color="000000" w:sz="4"/>
              <w:left w:val="single" w:color="000000" w:sz="4"/>
              <w:bottom w:val="single" w:color="CCCCCC" w:sz="4"/>
              <w:right w:val="single" w:color="CCCCCC" w:sz="4"/>
            </w:tcBorders>
            <w:tcMar>
              <w:top w:type="dxa" w:w="0"/>
              <w:left w:type="dxa" w:w="105"/>
              <w:bottom w:type="dxa" w:w="0"/>
              <w:right w:type="dxa" w:w="105"/>
            </w:tcMar>
            <w:vAlign w:val="top"/>
          </w:tcPr>
          <w:p>
            <w:pPr>
              <w:pStyle w:val="null3"/>
              <w:jc w:val="center"/>
            </w:pPr>
            <w:r>
              <w:rPr>
                <w:sz w:val="21"/>
              </w:rPr>
              <w:t xml:space="preserve"> </w:t>
            </w:r>
          </w:p>
        </w:tc>
        <w:tc>
          <w:tcPr>
            <w:tcW w:type="dxa" w:w="743"/>
            <w:tcBorders>
              <w:top w:val="single" w:color="000000" w:sz="4"/>
              <w:left w:val="single" w:color="000000" w:sz="4"/>
              <w:bottom w:val="single" w:color="CCCCCC" w:sz="4"/>
              <w:right w:val="single" w:color="CCCCCC" w:sz="4"/>
            </w:tcBorders>
            <w:tcMar>
              <w:top w:type="dxa" w:w="0"/>
              <w:left w:type="dxa" w:w="105"/>
              <w:bottom w:type="dxa" w:w="0"/>
              <w:right w:type="dxa" w:w="105"/>
            </w:tcMar>
            <w:vAlign w:val="top"/>
          </w:tcPr>
          <w:p>
            <w:pPr>
              <w:pStyle w:val="null3"/>
              <w:jc w:val="center"/>
            </w:pPr>
            <w:r>
              <w:rPr>
                <w:sz w:val="21"/>
              </w:rPr>
              <w:t xml:space="preserve"> </w:t>
            </w:r>
          </w:p>
        </w:tc>
        <w:tc>
          <w:tcPr>
            <w:tcW w:type="dxa" w:w="800"/>
            <w:tcBorders>
              <w:top w:val="single" w:color="000000" w:sz="4"/>
              <w:left w:val="single" w:color="000000" w:sz="4"/>
              <w:bottom w:val="single" w:color="CCCCCC" w:sz="4"/>
              <w:right w:val="single" w:color="CCCCCC" w:sz="4"/>
            </w:tcBorders>
            <w:tcMar>
              <w:top w:type="dxa" w:w="0"/>
              <w:left w:type="dxa" w:w="105"/>
              <w:bottom w:type="dxa" w:w="0"/>
              <w:right w:type="dxa" w:w="105"/>
            </w:tcMar>
            <w:vAlign w:val="top"/>
          </w:tcPr>
          <w:p>
            <w:pPr>
              <w:pStyle w:val="null3"/>
              <w:jc w:val="center"/>
            </w:pPr>
            <w:r>
              <w:rPr>
                <w:sz w:val="21"/>
              </w:rPr>
              <w:t xml:space="preserve"> </w:t>
            </w:r>
          </w:p>
        </w:tc>
        <w:tc>
          <w:tcPr>
            <w:tcW w:type="dxa" w:w="1029"/>
            <w:tcBorders>
              <w:top w:val="single" w:color="000000" w:sz="4"/>
              <w:left w:val="single" w:color="000000" w:sz="4"/>
              <w:bottom w:val="single" w:color="CCCCCC" w:sz="4"/>
              <w:right w:val="single" w:color="CCCCCC" w:sz="4"/>
            </w:tcBorders>
            <w:tcMar>
              <w:top w:type="dxa" w:w="0"/>
              <w:left w:type="dxa" w:w="105"/>
              <w:bottom w:type="dxa" w:w="0"/>
              <w:right w:type="dxa" w:w="105"/>
            </w:tcMar>
            <w:vAlign w:val="top"/>
          </w:tcPr>
          <w:p>
            <w:pPr>
              <w:pStyle w:val="null3"/>
              <w:jc w:val="center"/>
            </w:pPr>
            <w:r>
              <w:rPr>
                <w:sz w:val="21"/>
              </w:rPr>
              <w:t xml:space="preserve"> </w:t>
            </w:r>
          </w:p>
        </w:tc>
      </w:tr>
      <w:tr>
        <w:tc>
          <w:tcPr>
            <w:tcW w:type="dxa" w:w="757"/>
            <w:tcBorders>
              <w:top w:val="single" w:color="000000" w:sz="4"/>
              <w:left w:val="single" w:color="CCCCCC" w:sz="4"/>
              <w:bottom w:val="single" w:color="CCCCCC" w:sz="4"/>
              <w:right w:val="single" w:color="CCCCCC" w:sz="4"/>
            </w:tcBorders>
            <w:tcMar>
              <w:top w:type="dxa" w:w="0"/>
              <w:left w:type="dxa" w:w="105"/>
              <w:bottom w:type="dxa" w:w="0"/>
              <w:right w:type="dxa" w:w="105"/>
            </w:tcMar>
            <w:vAlign w:val="top"/>
          </w:tcPr>
          <w:p>
            <w:pPr>
              <w:pStyle w:val="null3"/>
              <w:jc w:val="center"/>
            </w:pPr>
            <w:r>
              <w:rPr>
                <w:sz w:val="21"/>
              </w:rPr>
              <w:t xml:space="preserve"> </w:t>
            </w:r>
          </w:p>
        </w:tc>
        <w:tc>
          <w:tcPr>
            <w:tcW w:type="dxa" w:w="3459"/>
            <w:tcBorders>
              <w:top w:val="single" w:color="000000" w:sz="4"/>
              <w:left w:val="single" w:color="000000" w:sz="4"/>
              <w:bottom w:val="single" w:color="CCCCCC" w:sz="4"/>
              <w:right w:val="single" w:color="CCCCCC" w:sz="4"/>
            </w:tcBorders>
            <w:tcMar>
              <w:top w:type="dxa" w:w="0"/>
              <w:left w:type="dxa" w:w="105"/>
              <w:bottom w:type="dxa" w:w="0"/>
              <w:right w:type="dxa" w:w="105"/>
            </w:tcMar>
            <w:vAlign w:val="top"/>
          </w:tcPr>
          <w:p>
            <w:pPr>
              <w:pStyle w:val="null3"/>
              <w:jc w:val="center"/>
            </w:pPr>
            <w:r>
              <w:rPr>
                <w:sz w:val="21"/>
              </w:rPr>
              <w:t xml:space="preserve"> </w:t>
            </w:r>
          </w:p>
        </w:tc>
        <w:tc>
          <w:tcPr>
            <w:tcW w:type="dxa" w:w="743"/>
            <w:tcBorders>
              <w:top w:val="single" w:color="000000" w:sz="4"/>
              <w:left w:val="single" w:color="000000" w:sz="4"/>
              <w:bottom w:val="single" w:color="CCCCCC" w:sz="4"/>
              <w:right w:val="single" w:color="CCCCCC" w:sz="4"/>
            </w:tcBorders>
            <w:tcMar>
              <w:top w:type="dxa" w:w="0"/>
              <w:left w:type="dxa" w:w="105"/>
              <w:bottom w:type="dxa" w:w="0"/>
              <w:right w:type="dxa" w:w="105"/>
            </w:tcMar>
            <w:vAlign w:val="top"/>
          </w:tcPr>
          <w:p>
            <w:pPr>
              <w:pStyle w:val="null3"/>
              <w:jc w:val="center"/>
            </w:pPr>
            <w:r>
              <w:rPr>
                <w:sz w:val="21"/>
              </w:rPr>
              <w:t xml:space="preserve"> </w:t>
            </w:r>
          </w:p>
        </w:tc>
        <w:tc>
          <w:tcPr>
            <w:tcW w:type="dxa" w:w="743"/>
            <w:tcBorders>
              <w:top w:val="single" w:color="000000" w:sz="4"/>
              <w:left w:val="single" w:color="000000" w:sz="4"/>
              <w:bottom w:val="single" w:color="CCCCCC" w:sz="4"/>
              <w:right w:val="single" w:color="CCCCCC" w:sz="4"/>
            </w:tcBorders>
            <w:tcMar>
              <w:top w:type="dxa" w:w="0"/>
              <w:left w:type="dxa" w:w="105"/>
              <w:bottom w:type="dxa" w:w="0"/>
              <w:right w:type="dxa" w:w="105"/>
            </w:tcMar>
            <w:vAlign w:val="top"/>
          </w:tcPr>
          <w:p>
            <w:pPr>
              <w:pStyle w:val="null3"/>
              <w:jc w:val="center"/>
            </w:pPr>
            <w:r>
              <w:rPr>
                <w:sz w:val="21"/>
              </w:rPr>
              <w:t xml:space="preserve"> </w:t>
            </w:r>
          </w:p>
        </w:tc>
        <w:tc>
          <w:tcPr>
            <w:tcW w:type="dxa" w:w="743"/>
            <w:tcBorders>
              <w:top w:val="single" w:color="000000" w:sz="4"/>
              <w:left w:val="single" w:color="000000" w:sz="4"/>
              <w:bottom w:val="single" w:color="CCCCCC" w:sz="4"/>
              <w:right w:val="single" w:color="CCCCCC" w:sz="4"/>
            </w:tcBorders>
            <w:tcMar>
              <w:top w:type="dxa" w:w="0"/>
              <w:left w:type="dxa" w:w="105"/>
              <w:bottom w:type="dxa" w:w="0"/>
              <w:right w:type="dxa" w:w="105"/>
            </w:tcMar>
            <w:vAlign w:val="top"/>
          </w:tcPr>
          <w:p>
            <w:pPr>
              <w:pStyle w:val="null3"/>
              <w:jc w:val="center"/>
            </w:pPr>
            <w:r>
              <w:rPr>
                <w:sz w:val="21"/>
              </w:rPr>
              <w:t xml:space="preserve"> </w:t>
            </w:r>
          </w:p>
        </w:tc>
        <w:tc>
          <w:tcPr>
            <w:tcW w:type="dxa" w:w="800"/>
            <w:tcBorders>
              <w:top w:val="single" w:color="000000" w:sz="4"/>
              <w:left w:val="single" w:color="000000" w:sz="4"/>
              <w:bottom w:val="single" w:color="CCCCCC" w:sz="4"/>
              <w:right w:val="single" w:color="CCCCCC" w:sz="4"/>
            </w:tcBorders>
            <w:tcMar>
              <w:top w:type="dxa" w:w="0"/>
              <w:left w:type="dxa" w:w="105"/>
              <w:bottom w:type="dxa" w:w="0"/>
              <w:right w:type="dxa" w:w="105"/>
            </w:tcMar>
            <w:vAlign w:val="top"/>
          </w:tcPr>
          <w:p>
            <w:pPr>
              <w:pStyle w:val="null3"/>
              <w:jc w:val="center"/>
            </w:pPr>
            <w:r>
              <w:rPr>
                <w:sz w:val="21"/>
              </w:rPr>
              <w:t xml:space="preserve"> </w:t>
            </w:r>
          </w:p>
        </w:tc>
        <w:tc>
          <w:tcPr>
            <w:tcW w:type="dxa" w:w="1029"/>
            <w:tcBorders>
              <w:top w:val="single" w:color="000000" w:sz="4"/>
              <w:left w:val="single" w:color="000000" w:sz="4"/>
              <w:bottom w:val="single" w:color="CCCCCC" w:sz="4"/>
              <w:right w:val="single" w:color="CCCCCC" w:sz="4"/>
            </w:tcBorders>
            <w:tcMar>
              <w:top w:type="dxa" w:w="0"/>
              <w:left w:type="dxa" w:w="105"/>
              <w:bottom w:type="dxa" w:w="0"/>
              <w:right w:type="dxa" w:w="105"/>
            </w:tcMar>
            <w:vAlign w:val="top"/>
          </w:tcPr>
          <w:p>
            <w:pPr>
              <w:pStyle w:val="null3"/>
              <w:jc w:val="center"/>
            </w:pPr>
            <w:r>
              <w:rPr>
                <w:sz w:val="21"/>
              </w:rPr>
              <w:t xml:space="preserve"> </w:t>
            </w:r>
          </w:p>
        </w:tc>
      </w:tr>
      <w:tr>
        <w:tc>
          <w:tcPr>
            <w:tcW w:type="dxa" w:w="757"/>
            <w:tcBorders>
              <w:top w:val="single" w:color="000000" w:sz="4"/>
              <w:left w:val="single" w:color="CCCCCC" w:sz="4"/>
              <w:bottom w:val="single" w:color="CCCCCC" w:sz="4"/>
              <w:right w:val="single" w:color="CCCCCC" w:sz="4"/>
            </w:tcBorders>
            <w:tcMar>
              <w:top w:type="dxa" w:w="0"/>
              <w:left w:type="dxa" w:w="105"/>
              <w:bottom w:type="dxa" w:w="0"/>
              <w:right w:type="dxa" w:w="105"/>
            </w:tcMar>
            <w:vAlign w:val="top"/>
          </w:tcPr>
          <w:p>
            <w:pPr>
              <w:pStyle w:val="null3"/>
              <w:jc w:val="center"/>
            </w:pPr>
            <w:r>
              <w:rPr>
                <w:sz w:val="21"/>
              </w:rPr>
              <w:t xml:space="preserve"> </w:t>
            </w:r>
          </w:p>
        </w:tc>
        <w:tc>
          <w:tcPr>
            <w:tcW w:type="dxa" w:w="3459"/>
            <w:tcBorders>
              <w:top w:val="single" w:color="000000" w:sz="4"/>
              <w:left w:val="single" w:color="000000" w:sz="4"/>
              <w:bottom w:val="single" w:color="CCCCCC" w:sz="4"/>
              <w:right w:val="single" w:color="CCCCCC" w:sz="4"/>
            </w:tcBorders>
            <w:tcMar>
              <w:top w:type="dxa" w:w="0"/>
              <w:left w:type="dxa" w:w="105"/>
              <w:bottom w:type="dxa" w:w="0"/>
              <w:right w:type="dxa" w:w="105"/>
            </w:tcMar>
            <w:vAlign w:val="top"/>
          </w:tcPr>
          <w:p>
            <w:pPr>
              <w:pStyle w:val="null3"/>
              <w:jc w:val="center"/>
            </w:pPr>
            <w:r>
              <w:rPr>
                <w:sz w:val="21"/>
              </w:rPr>
              <w:t xml:space="preserve"> </w:t>
            </w:r>
          </w:p>
        </w:tc>
        <w:tc>
          <w:tcPr>
            <w:tcW w:type="dxa" w:w="743"/>
            <w:tcBorders>
              <w:top w:val="single" w:color="000000" w:sz="4"/>
              <w:left w:val="single" w:color="000000" w:sz="4"/>
              <w:bottom w:val="single" w:color="CCCCCC" w:sz="4"/>
              <w:right w:val="single" w:color="CCCCCC" w:sz="4"/>
            </w:tcBorders>
            <w:tcMar>
              <w:top w:type="dxa" w:w="0"/>
              <w:left w:type="dxa" w:w="105"/>
              <w:bottom w:type="dxa" w:w="0"/>
              <w:right w:type="dxa" w:w="105"/>
            </w:tcMar>
            <w:vAlign w:val="top"/>
          </w:tcPr>
          <w:p>
            <w:pPr>
              <w:pStyle w:val="null3"/>
              <w:jc w:val="center"/>
            </w:pPr>
            <w:r>
              <w:rPr>
                <w:sz w:val="21"/>
              </w:rPr>
              <w:t xml:space="preserve"> </w:t>
            </w:r>
          </w:p>
        </w:tc>
        <w:tc>
          <w:tcPr>
            <w:tcW w:type="dxa" w:w="743"/>
            <w:tcBorders>
              <w:top w:val="single" w:color="000000" w:sz="4"/>
              <w:left w:val="single" w:color="000000" w:sz="4"/>
              <w:bottom w:val="single" w:color="CCCCCC" w:sz="4"/>
              <w:right w:val="single" w:color="CCCCCC" w:sz="4"/>
            </w:tcBorders>
            <w:tcMar>
              <w:top w:type="dxa" w:w="0"/>
              <w:left w:type="dxa" w:w="105"/>
              <w:bottom w:type="dxa" w:w="0"/>
              <w:right w:type="dxa" w:w="105"/>
            </w:tcMar>
            <w:vAlign w:val="top"/>
          </w:tcPr>
          <w:p>
            <w:pPr>
              <w:pStyle w:val="null3"/>
              <w:jc w:val="center"/>
            </w:pPr>
            <w:r>
              <w:rPr>
                <w:sz w:val="21"/>
              </w:rPr>
              <w:t xml:space="preserve"> </w:t>
            </w:r>
          </w:p>
        </w:tc>
        <w:tc>
          <w:tcPr>
            <w:tcW w:type="dxa" w:w="743"/>
            <w:tcBorders>
              <w:top w:val="single" w:color="000000" w:sz="4"/>
              <w:left w:val="single" w:color="000000" w:sz="4"/>
              <w:bottom w:val="single" w:color="CCCCCC" w:sz="4"/>
              <w:right w:val="single" w:color="CCCCCC" w:sz="4"/>
            </w:tcBorders>
            <w:tcMar>
              <w:top w:type="dxa" w:w="0"/>
              <w:left w:type="dxa" w:w="105"/>
              <w:bottom w:type="dxa" w:w="0"/>
              <w:right w:type="dxa" w:w="105"/>
            </w:tcMar>
            <w:vAlign w:val="top"/>
          </w:tcPr>
          <w:p>
            <w:pPr>
              <w:pStyle w:val="null3"/>
              <w:jc w:val="center"/>
            </w:pPr>
            <w:r>
              <w:rPr>
                <w:sz w:val="21"/>
              </w:rPr>
              <w:t xml:space="preserve"> </w:t>
            </w:r>
          </w:p>
        </w:tc>
        <w:tc>
          <w:tcPr>
            <w:tcW w:type="dxa" w:w="800"/>
            <w:tcBorders>
              <w:top w:val="single" w:color="000000" w:sz="4"/>
              <w:left w:val="single" w:color="000000" w:sz="4"/>
              <w:bottom w:val="single" w:color="CCCCCC" w:sz="4"/>
              <w:right w:val="single" w:color="CCCCCC" w:sz="4"/>
            </w:tcBorders>
            <w:tcMar>
              <w:top w:type="dxa" w:w="0"/>
              <w:left w:type="dxa" w:w="105"/>
              <w:bottom w:type="dxa" w:w="0"/>
              <w:right w:type="dxa" w:w="105"/>
            </w:tcMar>
            <w:vAlign w:val="top"/>
          </w:tcPr>
          <w:p>
            <w:pPr>
              <w:pStyle w:val="null3"/>
              <w:jc w:val="center"/>
            </w:pPr>
            <w:r>
              <w:rPr>
                <w:sz w:val="21"/>
              </w:rPr>
              <w:t xml:space="preserve"> </w:t>
            </w:r>
          </w:p>
        </w:tc>
        <w:tc>
          <w:tcPr>
            <w:tcW w:type="dxa" w:w="1029"/>
            <w:tcBorders>
              <w:top w:val="single" w:color="000000" w:sz="4"/>
              <w:left w:val="single" w:color="000000" w:sz="4"/>
              <w:bottom w:val="single" w:color="CCCCCC" w:sz="4"/>
              <w:right w:val="single" w:color="CCCCCC" w:sz="4"/>
            </w:tcBorders>
            <w:tcMar>
              <w:top w:type="dxa" w:w="0"/>
              <w:left w:type="dxa" w:w="105"/>
              <w:bottom w:type="dxa" w:w="0"/>
              <w:right w:type="dxa" w:w="105"/>
            </w:tcMar>
            <w:vAlign w:val="top"/>
          </w:tcPr>
          <w:p>
            <w:pPr>
              <w:pStyle w:val="null3"/>
              <w:jc w:val="center"/>
            </w:pPr>
            <w:r>
              <w:rPr>
                <w:sz w:val="21"/>
              </w:rPr>
              <w:t xml:space="preserve"> </w:t>
            </w:r>
          </w:p>
        </w:tc>
      </w:tr>
      <w:tr>
        <w:tc>
          <w:tcPr>
            <w:tcW w:type="dxa" w:w="7245"/>
            <w:gridSpan w:val="6"/>
            <w:tcBorders>
              <w:top w:val="single" w:color="000000" w:sz="4"/>
              <w:left w:val="single" w:color="CCCCCC" w:sz="4"/>
              <w:bottom w:val="single" w:color="CCCCCC" w:sz="4"/>
              <w:right w:val="single" w:color="CCCCCC" w:sz="4"/>
            </w:tcBorders>
            <w:tcMar>
              <w:top w:type="dxa" w:w="0"/>
              <w:left w:type="dxa" w:w="105"/>
              <w:bottom w:type="dxa" w:w="0"/>
              <w:right w:type="dxa" w:w="105"/>
            </w:tcMar>
            <w:vAlign w:val="top"/>
          </w:tcPr>
          <w:p>
            <w:pPr>
              <w:pStyle w:val="null3"/>
              <w:jc w:val="center"/>
            </w:pPr>
            <w:r>
              <w:rPr>
                <w:sz w:val="24"/>
              </w:rPr>
              <w:t>合计：人民币大写：</w:t>
            </w:r>
            <w:r>
              <w:rPr>
                <w:sz w:val="24"/>
              </w:rPr>
              <w:t>**元整</w:t>
            </w:r>
          </w:p>
        </w:tc>
        <w:tc>
          <w:tcPr>
            <w:tcW w:type="dxa" w:w="1029"/>
            <w:tcBorders>
              <w:top w:val="single" w:color="000000" w:sz="4"/>
              <w:left w:val="single" w:color="000000" w:sz="4"/>
              <w:bottom w:val="single" w:color="CCCCCC" w:sz="4"/>
              <w:right w:val="single" w:color="CCCCCC" w:sz="4"/>
            </w:tcBorders>
            <w:tcMar>
              <w:top w:type="dxa" w:w="0"/>
              <w:left w:type="dxa" w:w="105"/>
              <w:bottom w:type="dxa" w:w="0"/>
              <w:right w:type="dxa" w:w="105"/>
            </w:tcMar>
            <w:vAlign w:val="top"/>
          </w:tcPr>
          <w:p>
            <w:pPr>
              <w:pStyle w:val="null3"/>
              <w:jc w:val="center"/>
            </w:pPr>
            <w:r>
              <w:rPr>
                <w:sz w:val="24"/>
              </w:rPr>
              <w:t>￥：</w:t>
            </w:r>
            <w:r>
              <w:rPr>
                <w:sz w:val="24"/>
              </w:rPr>
              <w:t>**</w:t>
            </w:r>
          </w:p>
        </w:tc>
      </w:tr>
    </w:tbl>
    <w:p>
      <w:pPr>
        <w:pStyle w:val="null3"/>
        <w:jc w:val="both"/>
      </w:pPr>
      <w:r>
        <w:rPr>
          <w:sz w:val="24"/>
        </w:rPr>
        <w:t>合同总</w:t>
      </w:r>
      <w:r>
        <w:rPr>
          <w:sz w:val="24"/>
        </w:rPr>
        <w:t>金</w:t>
      </w:r>
      <w:r>
        <w:rPr>
          <w:sz w:val="24"/>
        </w:rPr>
        <w:t>额</w:t>
      </w:r>
      <w:r>
        <w:rPr>
          <w:sz w:val="24"/>
        </w:rPr>
        <w:t>已包含</w:t>
      </w:r>
      <w:r>
        <w:rPr>
          <w:sz w:val="24"/>
        </w:rPr>
        <w:t>乙方设计、安装、随机零配件、标配工具、运输</w:t>
      </w:r>
      <w:r>
        <w:rPr>
          <w:sz w:val="24"/>
        </w:rPr>
        <w:t>、</w:t>
      </w:r>
      <w:r>
        <w:rPr>
          <w:sz w:val="24"/>
        </w:rPr>
        <w:t>保险、调试、培训、质保期服务、各项税费及合同实施过程中不可预见费用等</w:t>
      </w:r>
      <w:r>
        <w:rPr>
          <w:sz w:val="24"/>
        </w:rPr>
        <w:t>一切费用</w:t>
      </w:r>
      <w:r>
        <w:rPr>
          <w:sz w:val="24"/>
        </w:rPr>
        <w:t>。</w:t>
      </w:r>
    </w:p>
    <w:p>
      <w:pPr>
        <w:pStyle w:val="null3"/>
        <w:ind w:firstLine="400"/>
        <w:jc w:val="both"/>
      </w:pPr>
      <w:r>
        <w:rPr>
          <w:sz w:val="24"/>
        </w:rPr>
        <w:t>注：货物名称内容必须与投标文件中货物名称内容一致。</w:t>
      </w:r>
    </w:p>
    <w:p>
      <w:pPr>
        <w:pStyle w:val="null3"/>
        <w:jc w:val="both"/>
      </w:pPr>
      <w:r>
        <w:rPr>
          <w:sz w:val="24"/>
          <w:b/>
        </w:rPr>
        <w:t>二、合同金额</w:t>
      </w:r>
    </w:p>
    <w:p>
      <w:pPr>
        <w:pStyle w:val="null3"/>
        <w:ind w:firstLine="480"/>
        <w:jc w:val="both"/>
      </w:pPr>
      <w:r>
        <w:rPr>
          <w:sz w:val="24"/>
        </w:rPr>
        <w:t>合同金额</w:t>
      </w:r>
      <w:r>
        <w:rPr>
          <w:sz w:val="24"/>
        </w:rPr>
        <w:t>（</w:t>
      </w:r>
      <w:r>
        <w:rPr>
          <w:sz w:val="24"/>
        </w:rPr>
        <w:t>含税</w:t>
      </w:r>
      <w:r>
        <w:rPr>
          <w:sz w:val="24"/>
        </w:rPr>
        <w:t>）：</w:t>
      </w:r>
      <w:r>
        <w:rPr>
          <w:sz w:val="24"/>
        </w:rPr>
        <w:t>（大写）：</w:t>
      </w:r>
      <w:r>
        <w:rPr>
          <w:sz w:val="24"/>
        </w:rPr>
        <w:t>_________________元（￥_______________元）人民币。</w:t>
      </w:r>
    </w:p>
    <w:p>
      <w:pPr>
        <w:pStyle w:val="null3"/>
        <w:jc w:val="both"/>
      </w:pPr>
      <w:r>
        <w:rPr>
          <w:sz w:val="24"/>
          <w:b/>
        </w:rPr>
        <w:t>三、设备要求</w:t>
      </w:r>
    </w:p>
    <w:p>
      <w:pPr>
        <w:pStyle w:val="null3"/>
        <w:ind w:firstLine="480"/>
        <w:jc w:val="both"/>
      </w:pPr>
      <w:r>
        <w:rPr>
          <w:sz w:val="24"/>
        </w:rPr>
        <w:t>货物为原制造商制造的全新产品，整机无污染，无侵权行为、表面无划损、无任何缺陷隐患，在中国境内可依常规安全合法使用。</w:t>
      </w:r>
    </w:p>
    <w:p>
      <w:pPr>
        <w:pStyle w:val="null3"/>
        <w:jc w:val="both"/>
      </w:pPr>
      <w:r>
        <w:rPr>
          <w:sz w:val="24"/>
          <w:b/>
        </w:rPr>
        <w:t>四、交货期、交货方式及交货地点</w:t>
      </w:r>
    </w:p>
    <w:p>
      <w:pPr>
        <w:pStyle w:val="null3"/>
        <w:ind w:firstLine="480"/>
        <w:jc w:val="both"/>
      </w:pPr>
      <w:r>
        <w:rPr>
          <w:sz w:val="24"/>
        </w:rPr>
        <w:t>1.交货期：</w:t>
      </w:r>
      <w:r>
        <w:rPr>
          <w:sz w:val="24"/>
        </w:rPr>
        <w:t>合同</w:t>
      </w:r>
      <w:r>
        <w:rPr>
          <w:sz w:val="24"/>
        </w:rPr>
        <w:t>签订生效后</w:t>
      </w:r>
      <w:r>
        <w:rPr>
          <w:sz w:val="24"/>
        </w:rPr>
        <w:t>20日内完成场地设计工作，设计完成后90日内完成货物交付、安装、调试及验收合格。</w:t>
      </w:r>
    </w:p>
    <w:p>
      <w:pPr>
        <w:pStyle w:val="null3"/>
        <w:ind w:firstLine="480"/>
        <w:jc w:val="both"/>
      </w:pPr>
      <w:r>
        <w:rPr>
          <w:sz w:val="24"/>
        </w:rPr>
        <w:t>2.交货方式：由乙方负责运输及卸车至甲方指定地点并承担运输及卸载</w:t>
      </w:r>
      <w:r>
        <w:rPr>
          <w:sz w:val="24"/>
        </w:rPr>
        <w:t>、安装</w:t>
      </w:r>
      <w:r>
        <w:rPr>
          <w:sz w:val="24"/>
        </w:rPr>
        <w:t>的费用。货物交付</w:t>
      </w:r>
      <w:r>
        <w:rPr>
          <w:sz w:val="24"/>
        </w:rPr>
        <w:t>、安装</w:t>
      </w:r>
      <w:r>
        <w:rPr>
          <w:sz w:val="24"/>
        </w:rPr>
        <w:t>并</w:t>
      </w:r>
      <w:r>
        <w:rPr>
          <w:sz w:val="24"/>
        </w:rPr>
        <w:t>验收</w:t>
      </w:r>
      <w:r>
        <w:rPr>
          <w:sz w:val="24"/>
        </w:rPr>
        <w:t>合格且安装完毕前的风险由乙方承担。</w:t>
      </w:r>
      <w:r>
        <w:rPr>
          <w:sz w:val="24"/>
        </w:rPr>
        <w:t>费用已经包含在本合同总价内。</w:t>
      </w:r>
    </w:p>
    <w:p>
      <w:pPr>
        <w:pStyle w:val="null3"/>
        <w:ind w:firstLine="480"/>
        <w:jc w:val="both"/>
      </w:pPr>
      <w:r>
        <w:rPr>
          <w:sz w:val="24"/>
        </w:rPr>
        <w:t>3.交货地点：</w:t>
      </w:r>
      <w:r>
        <w:rPr>
          <w:sz w:val="24"/>
        </w:rPr>
        <w:t>汕尾市城区康平路</w:t>
      </w:r>
      <w:r>
        <w:rPr>
          <w:sz w:val="24"/>
        </w:rPr>
        <w:t>16号</w:t>
      </w:r>
    </w:p>
    <w:p>
      <w:pPr>
        <w:pStyle w:val="null3"/>
        <w:jc w:val="both"/>
      </w:pPr>
      <w:r>
        <w:rPr>
          <w:sz w:val="24"/>
          <w:b/>
        </w:rPr>
        <w:t>五、付款方式</w:t>
      </w:r>
    </w:p>
    <w:p>
      <w:pPr>
        <w:pStyle w:val="null3"/>
      </w:pPr>
      <w:r>
        <w:rPr>
          <w:sz w:val="24"/>
        </w:rPr>
        <w:t>（</w:t>
      </w:r>
      <w:r>
        <w:rPr>
          <w:sz w:val="24"/>
        </w:rPr>
        <w:t>1）第1期为(预付款)：支付比例50%，合同签订生效后的30日内</w:t>
      </w:r>
      <w:r>
        <w:rPr>
          <w:sz w:val="24"/>
        </w:rPr>
        <w:t>乙方</w:t>
      </w:r>
      <w:r>
        <w:rPr>
          <w:sz w:val="24"/>
        </w:rPr>
        <w:t>向</w:t>
      </w:r>
      <w:r>
        <w:rPr>
          <w:sz w:val="24"/>
        </w:rPr>
        <w:t>甲方</w:t>
      </w:r>
      <w:r>
        <w:rPr>
          <w:sz w:val="24"/>
        </w:rPr>
        <w:t>开具合同总价</w:t>
      </w:r>
      <w:r>
        <w:rPr>
          <w:sz w:val="24"/>
        </w:rPr>
        <w:t>50%的发票，</w:t>
      </w:r>
      <w:r>
        <w:rPr>
          <w:sz w:val="24"/>
        </w:rPr>
        <w:t>甲方</w:t>
      </w:r>
      <w:r>
        <w:rPr>
          <w:sz w:val="24"/>
        </w:rPr>
        <w:t>在收到发票并满足付款支付条件后</w:t>
      </w:r>
      <w:r>
        <w:rPr>
          <w:sz w:val="24"/>
        </w:rPr>
        <w:t>10个工作日内支付合同总价的50%。</w:t>
      </w:r>
    </w:p>
    <w:p>
      <w:pPr>
        <w:pStyle w:val="null3"/>
      </w:pPr>
      <w:r>
        <w:rPr>
          <w:sz w:val="24"/>
        </w:rPr>
        <w:t>（</w:t>
      </w:r>
      <w:r>
        <w:rPr>
          <w:sz w:val="24"/>
        </w:rPr>
        <w:t>2）第2期为(进度款)：支付比例45%，项目安装调试完毕并验收合格入库后的30日内</w:t>
      </w:r>
      <w:r>
        <w:rPr>
          <w:sz w:val="24"/>
        </w:rPr>
        <w:t>乙方</w:t>
      </w:r>
      <w:r>
        <w:rPr>
          <w:sz w:val="24"/>
        </w:rPr>
        <w:t>向</w:t>
      </w:r>
      <w:r>
        <w:rPr>
          <w:sz w:val="24"/>
        </w:rPr>
        <w:t>甲方</w:t>
      </w:r>
      <w:r>
        <w:rPr>
          <w:sz w:val="24"/>
        </w:rPr>
        <w:t>开具合同总价</w:t>
      </w:r>
      <w:r>
        <w:rPr>
          <w:sz w:val="24"/>
        </w:rPr>
        <w:t>45%的发票，</w:t>
      </w:r>
      <w:r>
        <w:rPr>
          <w:sz w:val="24"/>
        </w:rPr>
        <w:t>甲方</w:t>
      </w:r>
      <w:r>
        <w:rPr>
          <w:sz w:val="24"/>
        </w:rPr>
        <w:t>在收到发票并满足付款支付条件后</w:t>
      </w:r>
      <w:r>
        <w:rPr>
          <w:sz w:val="24"/>
        </w:rPr>
        <w:t>10个工作日内将合同总金额的45%支付给</w:t>
      </w:r>
      <w:r>
        <w:rPr>
          <w:sz w:val="24"/>
        </w:rPr>
        <w:t>乙方</w:t>
      </w:r>
      <w:r>
        <w:rPr>
          <w:sz w:val="24"/>
        </w:rPr>
        <w:t>。</w:t>
      </w:r>
    </w:p>
    <w:p>
      <w:pPr>
        <w:pStyle w:val="null3"/>
      </w:pPr>
      <w:r>
        <w:rPr>
          <w:sz w:val="24"/>
        </w:rPr>
        <w:t>（</w:t>
      </w:r>
      <w:r>
        <w:rPr>
          <w:sz w:val="24"/>
        </w:rPr>
        <w:t>3）第3期为(尾款)：支付比例5%，自合同签订之日起2年后的30日内</w:t>
      </w:r>
      <w:r>
        <w:rPr>
          <w:sz w:val="24"/>
        </w:rPr>
        <w:t>乙方</w:t>
      </w:r>
      <w:r>
        <w:rPr>
          <w:sz w:val="24"/>
        </w:rPr>
        <w:t>向</w:t>
      </w:r>
      <w:r>
        <w:rPr>
          <w:sz w:val="24"/>
        </w:rPr>
        <w:t>甲方</w:t>
      </w:r>
      <w:r>
        <w:rPr>
          <w:sz w:val="24"/>
        </w:rPr>
        <w:t>开具合同总价</w:t>
      </w:r>
      <w:r>
        <w:rPr>
          <w:sz w:val="24"/>
        </w:rPr>
        <w:t>5%的发票，</w:t>
      </w:r>
      <w:r>
        <w:rPr>
          <w:sz w:val="24"/>
        </w:rPr>
        <w:t>甲方</w:t>
      </w:r>
      <w:r>
        <w:rPr>
          <w:sz w:val="24"/>
        </w:rPr>
        <w:t>在收到发票并满足付款支付条件后</w:t>
      </w:r>
      <w:r>
        <w:rPr>
          <w:sz w:val="24"/>
        </w:rPr>
        <w:t>10个工作日内将合同总金额的5%支付给</w:t>
      </w:r>
      <w:r>
        <w:rPr>
          <w:sz w:val="24"/>
        </w:rPr>
        <w:t>乙方</w:t>
      </w:r>
      <w:r>
        <w:rPr>
          <w:sz w:val="24"/>
        </w:rPr>
        <w:t>。</w:t>
      </w:r>
    </w:p>
    <w:p>
      <w:pPr>
        <w:pStyle w:val="null3"/>
      </w:pPr>
      <w:r>
        <w:rPr>
          <w:sz w:val="24"/>
        </w:rPr>
        <w:t>（</w:t>
      </w:r>
      <w:r>
        <w:rPr>
          <w:sz w:val="24"/>
        </w:rPr>
        <w:t>4）甲方凭乙方提供的合法有效发票向乙方付款，若乙方逾期提供发票</w:t>
      </w:r>
      <w:r>
        <w:rPr>
          <w:sz w:val="24"/>
        </w:rPr>
        <w:t>或所提供的发票不符合税务部门规定，甲方有权延期付款而无需承担违约</w:t>
      </w:r>
      <w:r>
        <w:rPr>
          <w:sz w:val="24"/>
        </w:rPr>
        <w:t>责任。</w:t>
      </w:r>
    </w:p>
    <w:p>
      <w:pPr>
        <w:pStyle w:val="null3"/>
      </w:pPr>
      <w:r>
        <w:rPr>
          <w:sz w:val="24"/>
        </w:rPr>
        <w:t>（</w:t>
      </w:r>
      <w:r>
        <w:rPr>
          <w:sz w:val="24"/>
        </w:rPr>
        <w:t>5</w:t>
      </w:r>
      <w:r>
        <w:rPr>
          <w:sz w:val="24"/>
        </w:rPr>
        <w:t>）甲方可将本合同项下的货款支付至乙方以下银行账户，乙方应对该收款账户的真实性、合法性和一致性负责：</w:t>
      </w:r>
    </w:p>
    <w:p>
      <w:pPr>
        <w:pStyle w:val="null3"/>
      </w:pPr>
      <w:r>
        <w:rPr>
          <w:sz w:val="24"/>
        </w:rPr>
        <w:t>开户银行：</w:t>
      </w:r>
      <w:r>
        <w:rPr>
          <w:sz w:val="24"/>
        </w:rPr>
        <w:t xml:space="preserve">                        </w:t>
      </w:r>
    </w:p>
    <w:p>
      <w:pPr>
        <w:pStyle w:val="null3"/>
      </w:pPr>
      <w:r>
        <w:rPr>
          <w:sz w:val="24"/>
        </w:rPr>
        <w:t>账户名称：</w:t>
      </w:r>
      <w:r>
        <w:rPr>
          <w:sz w:val="24"/>
        </w:rPr>
        <w:t xml:space="preserve">                        </w:t>
      </w:r>
    </w:p>
    <w:p>
      <w:pPr>
        <w:pStyle w:val="null3"/>
      </w:pPr>
      <w:r>
        <w:rPr>
          <w:sz w:val="24"/>
        </w:rPr>
        <w:t>银行账号：</w:t>
      </w:r>
      <w:r>
        <w:rPr>
          <w:sz w:val="24"/>
        </w:rPr>
        <w:t xml:space="preserve">                        </w:t>
      </w:r>
    </w:p>
    <w:p>
      <w:pPr>
        <w:pStyle w:val="null3"/>
      </w:pPr>
      <w:r>
        <w:rPr>
          <w:sz w:val="24"/>
        </w:rPr>
        <w:t>乙方如需变更该收款账户的，必须提前</w:t>
      </w:r>
      <w:r>
        <w:rPr>
          <w:sz w:val="24"/>
        </w:rPr>
        <w:t>5个工作日书面通知甲方，否则由此引发的一切责任均由乙方承担。</w:t>
      </w:r>
    </w:p>
    <w:p>
      <w:pPr>
        <w:pStyle w:val="null3"/>
        <w:jc w:val="both"/>
      </w:pPr>
      <w:r>
        <w:rPr>
          <w:sz w:val="24"/>
          <w:b/>
        </w:rPr>
        <w:t>六、质保期及售后服务要求</w:t>
      </w:r>
    </w:p>
    <w:p>
      <w:pPr>
        <w:pStyle w:val="null3"/>
        <w:jc w:val="both"/>
      </w:pPr>
      <w:r>
        <w:rPr>
          <w:sz w:val="24"/>
        </w:rPr>
        <w:t>1.本合同的质量保证期（简称“质保期”）为</w:t>
      </w:r>
      <w:r>
        <w:rPr>
          <w:sz w:val="24"/>
        </w:rPr>
        <w:t>货物交付安装调试完毕并验收合格之日起</w:t>
      </w:r>
      <w:r>
        <w:rPr>
          <w:sz w:val="21"/>
          <w:u w:val="single"/>
        </w:rPr>
        <w:t xml:space="preserve">   </w:t>
      </w:r>
      <w:r>
        <w:rPr>
          <w:sz w:val="24"/>
        </w:rPr>
        <w:t>年，质保期内乙方对所供货物实行包修、包换、包退及合同约定的其它事项，期满后可同时提供终身</w:t>
      </w:r>
      <w:r>
        <w:rPr>
          <w:sz w:val="24"/>
        </w:rPr>
        <w:t>(免费/有偿)维修保养服务。</w:t>
      </w:r>
    </w:p>
    <w:p>
      <w:pPr>
        <w:pStyle w:val="null3"/>
        <w:jc w:val="both"/>
      </w:pPr>
      <w:r>
        <w:rPr>
          <w:sz w:val="24"/>
        </w:rPr>
        <w:t>2.质保期内，如设备或零部件因质量原因出现故障而造成短期停用时，则质保期和免费维修期相应顺延。如停用时间累计超过60天则质保期重新计算。</w:t>
      </w:r>
    </w:p>
    <w:p>
      <w:pPr>
        <w:pStyle w:val="null3"/>
        <w:jc w:val="both"/>
      </w:pPr>
      <w:r>
        <w:rPr>
          <w:sz w:val="24"/>
        </w:rPr>
        <w:t>3.对甲方的服务通知，乙方在接报后1小时内响应，4小时内到达现场，48小时内处理完毕。若在48小时内仍未能有效解决，乙方须免费提供同-档次的设备予甲方临时使用。</w:t>
      </w:r>
    </w:p>
    <w:p>
      <w:pPr>
        <w:pStyle w:val="null3"/>
        <w:jc w:val="both"/>
      </w:pPr>
      <w:r>
        <w:rPr>
          <w:sz w:val="24"/>
          <w:b/>
        </w:rPr>
        <w:t>七、安装与调试</w:t>
      </w:r>
    </w:p>
    <w:p>
      <w:pPr>
        <w:pStyle w:val="null3"/>
        <w:ind w:firstLine="480"/>
        <w:jc w:val="both"/>
      </w:pPr>
      <w:r>
        <w:rPr>
          <w:sz w:val="24"/>
        </w:rPr>
        <w:t>乙方必须依照招标文件的要求和报价文件的承诺，将设备、系统安装并调试至正常运行的最佳状态</w:t>
      </w:r>
      <w:r>
        <w:rPr>
          <w:sz w:val="27"/>
        </w:rPr>
        <w:t>。</w:t>
      </w:r>
    </w:p>
    <w:p>
      <w:pPr>
        <w:pStyle w:val="null3"/>
        <w:jc w:val="both"/>
      </w:pPr>
      <w:r>
        <w:rPr>
          <w:sz w:val="24"/>
          <w:b/>
        </w:rPr>
        <w:t>八、验收：</w:t>
      </w:r>
    </w:p>
    <w:p>
      <w:pPr>
        <w:pStyle w:val="null3"/>
        <w:jc w:val="both"/>
      </w:pPr>
      <w:r>
        <w:rPr>
          <w:sz w:val="24"/>
        </w:rPr>
        <w:t>1.交付验收标准依次序对照适用标准为：①符合中华人民共和国国家安全质量标准、环保标准或行业标准；②符合招标文件和响应承诺中甲方认可的合理最佳配置、参数及各项要求；③货物来源国</w:t>
      </w:r>
      <w:r>
        <w:rPr>
          <w:sz w:val="24"/>
        </w:rPr>
        <w:t>家</w:t>
      </w:r>
      <w:r>
        <w:rPr>
          <w:sz w:val="24"/>
        </w:rPr>
        <w:t>官方标准。</w:t>
      </w:r>
    </w:p>
    <w:p>
      <w:pPr>
        <w:pStyle w:val="null3"/>
        <w:jc w:val="both"/>
      </w:pPr>
      <w:r>
        <w:rPr>
          <w:sz w:val="24"/>
        </w:rPr>
        <w:t>2.</w:t>
      </w:r>
      <w:r>
        <w:rPr>
          <w:sz w:val="24"/>
        </w:rPr>
        <w:t>相关</w:t>
      </w:r>
      <w:r>
        <w:rPr>
          <w:sz w:val="24"/>
        </w:rPr>
        <w:t>产品必须具备原产地证明和商检局的检验证明及合法进货渠道证明。</w:t>
      </w:r>
    </w:p>
    <w:p>
      <w:pPr>
        <w:pStyle w:val="null3"/>
        <w:jc w:val="both"/>
      </w:pPr>
      <w:r>
        <w:rPr>
          <w:sz w:val="24"/>
        </w:rPr>
        <w:t>3.货物为原厂商未启封全新包装，</w:t>
      </w:r>
      <w:r>
        <w:rPr>
          <w:sz w:val="24"/>
        </w:rPr>
        <w:t>出</w:t>
      </w:r>
      <w:r>
        <w:rPr>
          <w:sz w:val="24"/>
        </w:rPr>
        <w:t>具出厂合格证，序列号、包装箱号与出厂批号一致，并可追索查阅。所有随设备的附件必须齐全。</w:t>
      </w:r>
    </w:p>
    <w:p>
      <w:pPr>
        <w:pStyle w:val="null3"/>
        <w:jc w:val="both"/>
      </w:pPr>
      <w:r>
        <w:rPr>
          <w:sz w:val="24"/>
        </w:rPr>
        <w:t>4.乙方应将关键主机设备的用户手册、保修手册、有关单证资料及配备件、随机工具等交付给甲方，使用操作及安全须知等重要资料应附有中文说明。</w:t>
      </w:r>
    </w:p>
    <w:p>
      <w:pPr>
        <w:pStyle w:val="null3"/>
        <w:jc w:val="both"/>
      </w:pPr>
      <w:r>
        <w:rPr>
          <w:sz w:val="24"/>
        </w:rPr>
        <w:t>5.甲方组成验收小组按国家有关规定、规范进行验收，必要时邀请相关的专业人员或机构参与验收。因货物质量问题发生争议时，由本地质量技术监督部门鉴定。货物符合质量技术标准的，鉴定费由甲方承担；否则鉴定费由乙方承担。</w:t>
      </w:r>
    </w:p>
    <w:p>
      <w:pPr>
        <w:pStyle w:val="null3"/>
        <w:jc w:val="both"/>
      </w:pPr>
      <w:r>
        <w:rPr>
          <w:sz w:val="24"/>
          <w:b/>
        </w:rPr>
        <w:t>九、违约责任与赔偿损失</w:t>
      </w:r>
    </w:p>
    <w:p>
      <w:pPr>
        <w:pStyle w:val="null3"/>
        <w:jc w:val="left"/>
      </w:pPr>
      <w:r>
        <w:rPr>
          <w:sz w:val="24"/>
        </w:rPr>
        <w:t>1.乙方交付的货物、工程/提供的服务不符合本合同规定的，</w:t>
      </w:r>
      <w:r>
        <w:rPr>
          <w:sz w:val="24"/>
        </w:rPr>
        <w:t>甲方有权选择单方解除合同或要求</w:t>
      </w:r>
      <w:r>
        <w:rPr>
          <w:sz w:val="24"/>
        </w:rPr>
        <w:t>乙方继续履行合同。如甲方未提出解除合同，乙方应继续履行合同，由此造成逾期交付的，乙方按本合同第九条第</w:t>
      </w:r>
      <w:r>
        <w:rPr>
          <w:sz w:val="24"/>
        </w:rPr>
        <w:t>2项的约定承担违约责任；如甲方提出解除合同，甲方有权拒付货款，乙方应当退还甲方已付的合同金额，并向甲方支付本合同总金额 20%的违约金，由此造成甲方损失的，乙方承担损失赔偿责任。</w:t>
      </w:r>
    </w:p>
    <w:p>
      <w:pPr>
        <w:pStyle w:val="null3"/>
        <w:jc w:val="both"/>
      </w:pPr>
      <w:r>
        <w:rPr>
          <w:sz w:val="24"/>
        </w:rPr>
        <w:t>2.乙方未能按本合同规定的交货时间交付货物/提供服务</w:t>
      </w:r>
      <w:r>
        <w:rPr>
          <w:sz w:val="24"/>
        </w:rPr>
        <w:t>的</w:t>
      </w:r>
      <w:r>
        <w:rPr>
          <w:sz w:val="24"/>
        </w:rPr>
        <w:t>，从逾期之日起每日按本合同总价</w:t>
      </w:r>
      <w:r>
        <w:rPr>
          <w:sz w:val="24"/>
        </w:rPr>
        <w:t>3‰的数额向甲方支付违约金；逾期</w:t>
      </w:r>
      <w:r>
        <w:rPr>
          <w:sz w:val="24"/>
        </w:rPr>
        <w:t>15日或</w:t>
      </w:r>
      <w:r>
        <w:rPr>
          <w:sz w:val="24"/>
        </w:rPr>
        <w:t>以上的，甲方有权</w:t>
      </w:r>
      <w:r>
        <w:rPr>
          <w:sz w:val="24"/>
        </w:rPr>
        <w:t>解除</w:t>
      </w:r>
      <w:r>
        <w:rPr>
          <w:sz w:val="24"/>
        </w:rPr>
        <w:t>合同，</w:t>
      </w:r>
      <w:r>
        <w:rPr>
          <w:sz w:val="24"/>
        </w:rPr>
        <w:t>乙方应当退还甲方已付的合同金额并按本合同总金额的</w:t>
      </w:r>
      <w:r>
        <w:rPr>
          <w:sz w:val="24"/>
        </w:rPr>
        <w:t>20%向甲方支付违约金，</w:t>
      </w:r>
      <w:r>
        <w:rPr>
          <w:sz w:val="24"/>
        </w:rPr>
        <w:t>由此造成甲方</w:t>
      </w:r>
      <w:r>
        <w:rPr>
          <w:sz w:val="24"/>
        </w:rPr>
        <w:t>的</w:t>
      </w:r>
      <w:r>
        <w:rPr>
          <w:sz w:val="24"/>
        </w:rPr>
        <w:t>经济损失由乙方承担。</w:t>
      </w:r>
    </w:p>
    <w:p>
      <w:pPr>
        <w:pStyle w:val="null3"/>
        <w:jc w:val="both"/>
      </w:pPr>
      <w:r>
        <w:rPr>
          <w:sz w:val="24"/>
        </w:rPr>
        <w:t>3.甲方逾期付款，</w:t>
      </w:r>
      <w:r>
        <w:rPr>
          <w:sz w:val="24"/>
        </w:rPr>
        <w:t>应按逾期支付的金额和时间，以全国银行间同业拆借中心发布的一</w:t>
      </w:r>
      <w:r>
        <w:rPr>
          <w:sz w:val="24"/>
        </w:rPr>
        <w:t>年期贷款市场报价利率向乙方支付违约金</w:t>
      </w:r>
      <w:r>
        <w:rPr>
          <w:sz w:val="24"/>
        </w:rPr>
        <w:t>。</w:t>
      </w:r>
    </w:p>
    <w:p>
      <w:pPr>
        <w:pStyle w:val="null3"/>
        <w:jc w:val="both"/>
      </w:pPr>
      <w:r>
        <w:rPr>
          <w:sz w:val="24"/>
        </w:rPr>
        <w:t>4.</w:t>
      </w:r>
      <w:r>
        <w:rPr>
          <w:sz w:val="24"/>
        </w:rPr>
        <w:t>质保期内，乙方未能依约全面</w:t>
      </w:r>
      <w:r>
        <w:rPr>
          <w:sz w:val="24"/>
        </w:rPr>
        <w:t>履行质保义务的，甲方有权聘请第三方代乙方履行质保义务，由此产生的责任和费用由乙方无条件承担，同时甲方有权不予支付质量保证金给乙方，由此造成甲方损失的，乙方承担损失赔偿责任。</w:t>
      </w:r>
    </w:p>
    <w:p>
      <w:pPr>
        <w:pStyle w:val="null3"/>
        <w:jc w:val="both"/>
      </w:pPr>
      <w:r>
        <w:rPr>
          <w:sz w:val="24"/>
        </w:rPr>
        <w:t xml:space="preserve">5. </w:t>
      </w:r>
      <w:r>
        <w:rPr>
          <w:sz w:val="24"/>
        </w:rPr>
        <w:t>乙方不得在未经甲方书面同意的情况下，将本合同项下服务以任何方式转包</w:t>
      </w:r>
      <w:r>
        <w:rPr>
          <w:sz w:val="24"/>
        </w:rPr>
        <w:t>或分包给第第三方，否则，甲方有权解除本合同，乙方应当退还甲方已付的合同</w:t>
      </w:r>
      <w:r>
        <w:rPr>
          <w:sz w:val="24"/>
        </w:rPr>
        <w:t>金额并按本合同总金额的</w:t>
      </w:r>
      <w:r>
        <w:rPr>
          <w:sz w:val="24"/>
        </w:rPr>
        <w:t>20%向甲方支付违约金，由此造成的甲方经济损失由乙</w:t>
      </w:r>
      <w:r>
        <w:rPr>
          <w:sz w:val="24"/>
        </w:rPr>
        <w:t>方承担。</w:t>
      </w:r>
      <w:r>
        <w:rPr>
          <w:sz w:val="21"/>
        </w:rPr>
        <w:t xml:space="preserve">                                              </w:t>
      </w:r>
    </w:p>
    <w:p>
      <w:pPr>
        <w:pStyle w:val="null3"/>
        <w:jc w:val="both"/>
      </w:pPr>
      <w:r>
        <w:rPr>
          <w:sz w:val="24"/>
        </w:rPr>
        <w:t>6</w:t>
      </w:r>
      <w:r>
        <w:rPr>
          <w:sz w:val="24"/>
        </w:rPr>
        <w:t>.其它违约责任按《中华人民共和国民法典》处理。</w:t>
      </w:r>
    </w:p>
    <w:p>
      <w:pPr>
        <w:pStyle w:val="null3"/>
        <w:jc w:val="both"/>
      </w:pPr>
      <w:r>
        <w:rPr>
          <w:sz w:val="24"/>
          <w:b/>
        </w:rPr>
        <w:t>十、争议的解决</w:t>
      </w:r>
      <w:r>
        <w:rPr>
          <w:sz w:val="21"/>
        </w:rPr>
        <w:t xml:space="preserve">  </w:t>
      </w:r>
    </w:p>
    <w:p>
      <w:pPr>
        <w:pStyle w:val="null3"/>
        <w:ind w:firstLine="480"/>
        <w:jc w:val="both"/>
      </w:pPr>
      <w:r>
        <w:rPr>
          <w:sz w:val="24"/>
        </w:rPr>
        <w:t>签约</w:t>
      </w:r>
      <w:r>
        <w:rPr>
          <w:sz w:val="24"/>
        </w:rPr>
        <w:t>双</w:t>
      </w:r>
      <w:r>
        <w:rPr>
          <w:sz w:val="24"/>
        </w:rPr>
        <w:t>方在履约中发生争执和分歧，</w:t>
      </w:r>
      <w:r>
        <w:rPr>
          <w:sz w:val="24"/>
        </w:rPr>
        <w:t>双</w:t>
      </w:r>
      <w:r>
        <w:rPr>
          <w:sz w:val="24"/>
        </w:rPr>
        <w:t>方应通过友好协商解决，若经协商不成时，则向</w:t>
      </w:r>
      <w:r>
        <w:rPr>
          <w:sz w:val="24"/>
        </w:rPr>
        <w:t>甲</w:t>
      </w:r>
      <w:r>
        <w:rPr>
          <w:sz w:val="24"/>
        </w:rPr>
        <w:t>方所在地人民法院提起诉讼。</w:t>
      </w:r>
      <w:r>
        <w:rPr>
          <w:sz w:val="24"/>
        </w:rPr>
        <w:t>诉讼</w:t>
      </w:r>
      <w:r>
        <w:rPr>
          <w:sz w:val="24"/>
        </w:rPr>
        <w:t>期间，</w:t>
      </w:r>
      <w:r>
        <w:rPr>
          <w:sz w:val="24"/>
        </w:rPr>
        <w:t>双</w:t>
      </w:r>
      <w:r>
        <w:rPr>
          <w:sz w:val="24"/>
        </w:rPr>
        <w:t>方应继续执行合同其余</w:t>
      </w:r>
      <w:r>
        <w:rPr>
          <w:sz w:val="24"/>
        </w:rPr>
        <w:t>无争议部分</w:t>
      </w:r>
      <w:r>
        <w:rPr>
          <w:sz w:val="24"/>
        </w:rPr>
        <w:t>。</w:t>
      </w:r>
    </w:p>
    <w:p>
      <w:pPr>
        <w:pStyle w:val="null3"/>
        <w:jc w:val="both"/>
      </w:pPr>
      <w:r>
        <w:rPr>
          <w:sz w:val="24"/>
          <w:b/>
        </w:rPr>
        <w:t>十一、不可抗力</w:t>
      </w:r>
    </w:p>
    <w:p>
      <w:pPr>
        <w:pStyle w:val="null3"/>
        <w:ind w:firstLine="480"/>
        <w:jc w:val="both"/>
      </w:pPr>
      <w:r>
        <w:rPr>
          <w:sz w:val="24"/>
        </w:rPr>
        <w:t>（</w:t>
      </w:r>
      <w:r>
        <w:rPr>
          <w:sz w:val="24"/>
        </w:rPr>
        <w:t>1）不可抗力指战争、严重火灾、洪水、台风、地震等或</w:t>
      </w:r>
      <w:r>
        <w:rPr>
          <w:sz w:val="24"/>
        </w:rPr>
        <w:t>其他</w:t>
      </w:r>
      <w:r>
        <w:rPr>
          <w:sz w:val="24"/>
        </w:rPr>
        <w:t>三方认定的不可抗力事件。</w:t>
      </w:r>
    </w:p>
    <w:p>
      <w:pPr>
        <w:pStyle w:val="null3"/>
        <w:ind w:firstLine="480"/>
        <w:jc w:val="both"/>
      </w:pPr>
      <w:r>
        <w:rPr>
          <w:sz w:val="24"/>
        </w:rPr>
        <w:t>（</w:t>
      </w:r>
      <w:r>
        <w:rPr>
          <w:sz w:val="24"/>
        </w:rPr>
        <w:t>2）签约双方中任何一方由于不可抗力影响合同执行时，发生不可抗力一方应尽快将事故通知另一方。在此情况下，乙方仍然有责任采取必要的措施加速供货，双方应通过友好协商解决本合同的执行问题</w:t>
      </w:r>
      <w:r>
        <w:rPr>
          <w:sz w:val="24"/>
          <w:b/>
        </w:rPr>
        <w:t>。</w:t>
      </w:r>
    </w:p>
    <w:p>
      <w:pPr>
        <w:pStyle w:val="null3"/>
        <w:jc w:val="both"/>
      </w:pPr>
      <w:r>
        <w:rPr>
          <w:sz w:val="24"/>
          <w:b/>
        </w:rPr>
        <w:t>十二、税费</w:t>
      </w:r>
    </w:p>
    <w:p>
      <w:pPr>
        <w:pStyle w:val="null3"/>
        <w:ind w:firstLine="480"/>
        <w:jc w:val="both"/>
      </w:pPr>
      <w:r>
        <w:rPr>
          <w:sz w:val="24"/>
        </w:rPr>
        <w:t>在中国境内、外发生的与本合同执行有关的一切税费均由乙方负担。</w:t>
      </w:r>
    </w:p>
    <w:p>
      <w:pPr>
        <w:pStyle w:val="null3"/>
        <w:jc w:val="both"/>
      </w:pPr>
      <w:r>
        <w:rPr>
          <w:sz w:val="24"/>
          <w:b/>
        </w:rPr>
        <w:t>十三、</w:t>
      </w:r>
      <w:r>
        <w:rPr>
          <w:sz w:val="21"/>
        </w:rPr>
        <w:t xml:space="preserve"> </w:t>
      </w:r>
      <w:r>
        <w:rPr>
          <w:sz w:val="24"/>
          <w:b/>
        </w:rPr>
        <w:t>其它</w:t>
      </w:r>
    </w:p>
    <w:p>
      <w:pPr>
        <w:pStyle w:val="null3"/>
        <w:jc w:val="both"/>
      </w:pPr>
      <w:r>
        <w:rPr>
          <w:sz w:val="24"/>
        </w:rPr>
        <w:t>1.本合同所有附件、招标文件、投标文件、中标通知书均为合同的有效组成部分，与本合同具有同等法律效力。</w:t>
      </w:r>
    </w:p>
    <w:p>
      <w:pPr>
        <w:pStyle w:val="null3"/>
        <w:jc w:val="both"/>
      </w:pPr>
      <w:r>
        <w:rPr>
          <w:sz w:val="24"/>
        </w:rPr>
        <w:t>2.在执行本合同的过程中，所有经双方签署确认的文件（包括会议纪要、补充协议、往来信函）即成为本合同的有效组成部分。</w:t>
      </w:r>
    </w:p>
    <w:p>
      <w:pPr>
        <w:pStyle w:val="null3"/>
        <w:jc w:val="both"/>
      </w:pPr>
      <w:r>
        <w:rPr>
          <w:sz w:val="24"/>
        </w:rPr>
        <w:t>3.如一方地址、电话、传真号码有变更，应在变更当日内书面通知对方，否则，应承担相应责任。</w:t>
      </w:r>
    </w:p>
    <w:p>
      <w:pPr>
        <w:pStyle w:val="null3"/>
        <w:jc w:val="both"/>
      </w:pPr>
      <w:r>
        <w:rPr>
          <w:sz w:val="24"/>
        </w:rPr>
        <w:t>4.除甲方事先书面同意外，乙方不得部分或全部转让其应履行的合同项下的义务。</w:t>
      </w:r>
    </w:p>
    <w:p>
      <w:pPr>
        <w:pStyle w:val="null3"/>
        <w:jc w:val="both"/>
      </w:pPr>
      <w:r>
        <w:rPr>
          <w:sz w:val="24"/>
          <w:b/>
        </w:rPr>
        <w:t>十四、</w:t>
      </w:r>
      <w:r>
        <w:rPr>
          <w:sz w:val="21"/>
        </w:rPr>
        <w:t xml:space="preserve"> </w:t>
      </w:r>
      <w:r>
        <w:rPr>
          <w:sz w:val="24"/>
          <w:b/>
        </w:rPr>
        <w:t>合同生效</w:t>
      </w:r>
    </w:p>
    <w:p>
      <w:pPr>
        <w:pStyle w:val="null3"/>
        <w:jc w:val="both"/>
      </w:pPr>
      <w:r>
        <w:rPr>
          <w:sz w:val="24"/>
        </w:rPr>
        <w:t>1.本合同在甲乙双方法人代表或其授权代表签字盖章后生效。</w:t>
      </w:r>
    </w:p>
    <w:p>
      <w:pPr>
        <w:pStyle w:val="null3"/>
        <w:jc w:val="both"/>
      </w:pPr>
      <w:r>
        <w:rPr>
          <w:sz w:val="24"/>
        </w:rPr>
        <w:t>2.合同一式</w:t>
      </w:r>
      <w:r>
        <w:rPr>
          <w:sz w:val="21"/>
          <w:u w:val="single"/>
        </w:rPr>
        <w:t xml:space="preserve">   </w:t>
      </w:r>
      <w:r>
        <w:rPr>
          <w:sz w:val="24"/>
        </w:rPr>
        <w:t>份</w:t>
      </w:r>
      <w:r>
        <w:rPr>
          <w:sz w:val="24"/>
        </w:rPr>
        <w:t>，</w:t>
      </w:r>
      <w:r>
        <w:rPr>
          <w:sz w:val="24"/>
        </w:rPr>
        <w:t>甲方执</w:t>
      </w:r>
      <w:r>
        <w:rPr>
          <w:sz w:val="21"/>
          <w:u w:val="single"/>
        </w:rPr>
        <w:t xml:space="preserve">    </w:t>
      </w:r>
      <w:r>
        <w:rPr>
          <w:sz w:val="24"/>
        </w:rPr>
        <w:t>份，乙方执</w:t>
      </w:r>
      <w:r>
        <w:rPr>
          <w:sz w:val="21"/>
          <w:u w:val="single"/>
        </w:rPr>
        <w:t xml:space="preserve">   </w:t>
      </w:r>
      <w:r>
        <w:rPr>
          <w:sz w:val="24"/>
        </w:rPr>
        <w:t>份</w:t>
      </w:r>
      <w:r>
        <w:rPr>
          <w:sz w:val="24"/>
        </w:rPr>
        <w:t>。</w:t>
      </w:r>
    </w:p>
    <w:p>
      <w:pPr>
        <w:pStyle w:val="null3"/>
        <w:jc w:val="both"/>
      </w:pPr>
      <w:r>
        <w:rPr>
          <w:sz w:val="21"/>
        </w:rPr>
        <w:t xml:space="preserve"> </w:t>
      </w:r>
    </w:p>
    <w:p>
      <w:pPr>
        <w:pStyle w:val="null3"/>
        <w:jc w:val="both"/>
      </w:pPr>
      <w:r>
        <w:rPr>
          <w:sz w:val="24"/>
          <w:b/>
        </w:rPr>
        <w:t>甲方（盖章）：</w:t>
      </w:r>
      <w:r>
        <w:rPr>
          <w:sz w:val="21"/>
          <w:b/>
        </w:rPr>
        <w:t xml:space="preserve">                        </w:t>
      </w:r>
      <w:r>
        <w:rPr>
          <w:sz w:val="24"/>
          <w:b/>
        </w:rPr>
        <w:t>乙方（盖章）：</w:t>
      </w:r>
    </w:p>
    <w:p>
      <w:pPr>
        <w:pStyle w:val="null3"/>
        <w:jc w:val="both"/>
      </w:pPr>
      <w:r>
        <w:rPr>
          <w:sz w:val="24"/>
          <w:b/>
        </w:rPr>
        <w:t>法</w:t>
      </w:r>
      <w:r>
        <w:rPr>
          <w:sz w:val="24"/>
          <w:b/>
        </w:rPr>
        <w:t>定</w:t>
      </w:r>
      <w:r>
        <w:rPr>
          <w:sz w:val="24"/>
          <w:b/>
        </w:rPr>
        <w:t>代表</w:t>
      </w:r>
      <w:r>
        <w:rPr>
          <w:sz w:val="24"/>
          <w:b/>
        </w:rPr>
        <w:t>人</w:t>
      </w:r>
      <w:r>
        <w:rPr>
          <w:sz w:val="24"/>
          <w:b/>
        </w:rPr>
        <w:t>签名：</w:t>
      </w:r>
      <w:r>
        <w:rPr>
          <w:sz w:val="21"/>
          <w:b/>
        </w:rPr>
        <w:t xml:space="preserve">                     </w:t>
      </w:r>
      <w:r>
        <w:rPr>
          <w:sz w:val="24"/>
          <w:b/>
        </w:rPr>
        <w:t>法</w:t>
      </w:r>
      <w:r>
        <w:rPr>
          <w:sz w:val="24"/>
          <w:b/>
        </w:rPr>
        <w:t>定</w:t>
      </w:r>
      <w:r>
        <w:rPr>
          <w:sz w:val="24"/>
          <w:b/>
        </w:rPr>
        <w:t>代表</w:t>
      </w:r>
      <w:r>
        <w:rPr>
          <w:sz w:val="24"/>
          <w:b/>
        </w:rPr>
        <w:t>人</w:t>
      </w:r>
      <w:r>
        <w:rPr>
          <w:sz w:val="24"/>
          <w:b/>
        </w:rPr>
        <w:t>签名：</w:t>
      </w:r>
    </w:p>
    <w:p>
      <w:pPr>
        <w:pStyle w:val="null3"/>
        <w:jc w:val="both"/>
      </w:pPr>
      <w:r>
        <w:rPr>
          <w:sz w:val="24"/>
          <w:b/>
        </w:rPr>
        <w:t>签约代表：</w:t>
      </w:r>
      <w:r>
        <w:rPr>
          <w:sz w:val="21"/>
          <w:b/>
        </w:rPr>
        <w:t xml:space="preserve">                           </w:t>
      </w:r>
      <w:r>
        <w:rPr>
          <w:sz w:val="24"/>
          <w:b/>
        </w:rPr>
        <w:t>签约代表：</w:t>
      </w:r>
    </w:p>
    <w:p>
      <w:pPr>
        <w:pStyle w:val="null3"/>
        <w:jc w:val="both"/>
      </w:pPr>
      <w:r>
        <w:rPr>
          <w:sz w:val="24"/>
          <w:b/>
        </w:rPr>
        <w:t>签订地点：</w:t>
      </w:r>
    </w:p>
    <w:p>
      <w:pPr>
        <w:pStyle w:val="null3"/>
        <w:jc w:val="both"/>
      </w:pPr>
      <w:r>
        <w:rPr>
          <w:sz w:val="24"/>
          <w:b/>
        </w:rPr>
        <w:t>签订日期：　　年　月　</w:t>
      </w:r>
      <w:r>
        <w:rPr>
          <w:sz w:val="21"/>
          <w:b/>
        </w:rPr>
        <w:t xml:space="preserve"> </w:t>
      </w:r>
      <w:r>
        <w:rPr>
          <w:sz w:val="24"/>
          <w:b/>
        </w:rPr>
        <w:t>日</w:t>
      </w:r>
      <w:r>
        <w:rPr>
          <w:sz w:val="21"/>
          <w:b/>
        </w:rPr>
        <w:t xml:space="preserve">            </w:t>
      </w:r>
      <w:r>
        <w:rPr>
          <w:sz w:val="24"/>
          <w:b/>
        </w:rPr>
        <w:t>签订日期：</w:t>
      </w:r>
      <w:r>
        <w:rPr>
          <w:sz w:val="21"/>
          <w:b/>
        </w:rPr>
        <w:t xml:space="preserve"> </w:t>
      </w:r>
      <w:r>
        <w:rPr>
          <w:sz w:val="21"/>
          <w:b/>
        </w:rPr>
        <w:t xml:space="preserve"> </w:t>
      </w:r>
      <w:r>
        <w:rPr>
          <w:sz w:val="24"/>
          <w:b/>
        </w:rPr>
        <w:t>年　月　日</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441502-2025-01198</w:t>
      </w:r>
    </w:p>
    <w:p>
      <w:pPr>
        <w:pStyle w:val="null3"/>
        <w:jc w:val="center"/>
        <w:outlineLvl w:val="3"/>
      </w:pPr>
      <w:r>
        <w:rPr>
          <w:sz w:val="24"/>
          <w:b/>
        </w:rPr>
        <w:t>采购项目编号：</w:t>
      </w:r>
      <w:r>
        <w:rPr>
          <w:sz w:val="24"/>
          <w:b/>
        </w:rPr>
        <w:t>0724-—2531SW916189</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国义招标股份有限公司</w:t>
      </w:r>
    </w:p>
    <w:p>
      <w:pPr>
        <w:pStyle w:val="null3"/>
        <w:ind w:firstLine="480"/>
      </w:pPr>
      <w:r>
        <w:rPr/>
        <w:t xml:space="preserve"> 你方组织的</w:t>
      </w:r>
      <w:r>
        <w:rPr>
          <w:u w:val="single"/>
        </w:rPr>
        <w:t>“</w:t>
      </w:r>
      <w:r>
        <w:rPr>
          <w:u w:val="single"/>
        </w:rPr>
        <w:t>汕尾逸挥基金医院医用气体系统设备及配套设施采购及安装</w:t>
      </w:r>
      <w:r>
        <w:rPr>
          <w:u w:val="single"/>
        </w:rPr>
        <w:t>”</w:t>
      </w:r>
      <w:r>
        <w:rPr/>
        <w:t>项目的招标[采购项目编号为：</w:t>
      </w:r>
      <w:r>
        <w:rPr>
          <w:u w:val="single"/>
        </w:rPr>
        <w:t>0724-—2531SW916189</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汕尾逸挥基金医院医用气体系统设备及配套设施采购及安装</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国义招标股份有限公司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汕尾逸挥基金医院医用气体系统设备及配套设施采购及安装</w:t>
      </w:r>
      <w:r>
        <w:rPr/>
        <w:t>”项目采购[采购项目编号为</w:t>
      </w:r>
      <w:r>
        <w:rPr/>
        <w:t>0724-—2531SW916189</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汕尾逸挥基金医院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国义招标股份有限公司</w:t>
      </w:r>
    </w:p>
    <w:p>
      <w:pPr>
        <w:pStyle w:val="null3"/>
        <w:ind w:firstLine="480"/>
      </w:pPr>
      <w:r>
        <w:rPr/>
        <w:t xml:space="preserve"> 如果我方在贵采购代理机构组织的</w:t>
      </w:r>
      <w:r>
        <w:rPr/>
        <w:t>汕尾逸挥基金医院医用气体系统设备及配套设施采购及安装</w:t>
      </w:r>
      <w:r>
        <w:rPr/>
        <w:t>招标中获中标（采购项目编号：</w:t>
      </w:r>
      <w:r>
        <w:rPr/>
        <w:t>0724-—2531SW916189</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 xml:space="preserve">国义招标股份有限公司 </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国义招标股份有限公司</w:t>
      </w:r>
    </w:p>
    <w:p>
      <w:pPr>
        <w:pStyle w:val="null3"/>
        <w:ind w:firstLine="480"/>
      </w:pPr>
      <w:r>
        <w:rPr/>
        <w:t>我单位已登记并准备参与“</w:t>
      </w:r>
      <w:r>
        <w:rPr/>
        <w:t>汕尾逸挥基金医院医用气体系统设备及配套设施采购及安装</w:t>
      </w:r>
      <w:r>
        <w:rPr/>
        <w:t>”项目（采购项目编号：</w:t>
      </w:r>
      <w:r>
        <w:rPr/>
        <w:t>0724-—2531SW916189</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