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AFE77">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EDB942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2B7E442">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B6628E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C68736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6D040CF9">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4234820">
      <w:pPr>
        <w:tabs>
          <w:tab w:val="left" w:pos="720"/>
        </w:tabs>
        <w:spacing w:line="36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第一部分</w:t>
      </w:r>
      <w:r>
        <w:rPr>
          <w:rFonts w:hint="eastAsia" w:ascii="宋体" w:hAnsi="宋体"/>
          <w:b/>
          <w:color w:val="000000" w:themeColor="text1"/>
          <w:sz w:val="48"/>
          <w:szCs w:val="48"/>
          <w:highlight w:val="none"/>
          <w14:textFill>
            <w14:solidFill>
              <w14:schemeClr w14:val="tx1"/>
            </w14:solidFill>
          </w14:textFill>
        </w:rPr>
        <w:t>、用户需求书</w:t>
      </w:r>
    </w:p>
    <w:p w14:paraId="6BDBEBB7">
      <w:pPr>
        <w:tabs>
          <w:tab w:val="left" w:pos="720"/>
        </w:tabs>
        <w:spacing w:line="360" w:lineRule="auto"/>
        <w:rPr>
          <w:rFonts w:ascii="宋体" w:hAnsi="宋体"/>
          <w:b/>
          <w:color w:val="000000" w:themeColor="text1"/>
          <w:sz w:val="48"/>
          <w:szCs w:val="48"/>
          <w:highlight w:val="none"/>
          <w14:textFill>
            <w14:solidFill>
              <w14:schemeClr w14:val="tx1"/>
            </w14:solidFill>
          </w14:textFill>
        </w:rPr>
      </w:pPr>
    </w:p>
    <w:p w14:paraId="69D19EB4">
      <w:pPr>
        <w:spacing w:line="30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p>
    <w:p w14:paraId="3EDC9BCD">
      <w:pPr>
        <w:numPr>
          <w:ilvl w:val="0"/>
          <w:numId w:val="0"/>
        </w:numPr>
        <w:spacing w:line="300" w:lineRule="auto"/>
        <w:jc w:val="center"/>
        <w:rPr>
          <w:rFonts w:hint="eastAsia" w:ascii="宋体" w:hAnsi="宋体"/>
          <w:b/>
          <w:bCs/>
          <w:color w:val="000000" w:themeColor="text1"/>
          <w:spacing w:val="10"/>
          <w:kern w:val="0"/>
          <w:sz w:val="28"/>
          <w:szCs w:val="28"/>
          <w:highlight w:val="none"/>
          <w:lang w:val="en-US" w:eastAsia="zh-CN"/>
          <w14:textFill>
            <w14:solidFill>
              <w14:schemeClr w14:val="tx1"/>
            </w14:solidFill>
          </w14:textFill>
        </w:rPr>
      </w:pPr>
      <w:r>
        <w:rPr>
          <w:rFonts w:hint="eastAsia" w:ascii="宋体" w:hAnsi="宋体"/>
          <w:b/>
          <w:bCs/>
          <w:color w:val="000000" w:themeColor="text1"/>
          <w:spacing w:val="10"/>
          <w:kern w:val="0"/>
          <w:sz w:val="28"/>
          <w:szCs w:val="28"/>
          <w:highlight w:val="none"/>
          <w:lang w:val="en-US" w:eastAsia="zh-CN"/>
          <w14:textFill>
            <w14:solidFill>
              <w14:schemeClr w14:val="tx1"/>
            </w14:solidFill>
          </w14:textFill>
        </w:rPr>
        <w:t>用户需求书</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211"/>
        <w:gridCol w:w="638"/>
        <w:gridCol w:w="2114"/>
      </w:tblGrid>
      <w:tr w14:paraId="3B68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F714B45">
            <w:pPr>
              <w:spacing w:after="0" w:line="24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包号</w:t>
            </w:r>
          </w:p>
        </w:tc>
        <w:tc>
          <w:tcPr>
            <w:tcW w:w="0" w:type="auto"/>
            <w:vAlign w:val="center"/>
          </w:tcPr>
          <w:p w14:paraId="05A94D36">
            <w:pPr>
              <w:spacing w:after="0" w:line="24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标的名称</w:t>
            </w:r>
          </w:p>
        </w:tc>
        <w:tc>
          <w:tcPr>
            <w:tcW w:w="0" w:type="auto"/>
            <w:vAlign w:val="center"/>
          </w:tcPr>
          <w:p w14:paraId="5BC49481">
            <w:pPr>
              <w:spacing w:after="0" w:line="24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数量</w:t>
            </w:r>
          </w:p>
        </w:tc>
        <w:tc>
          <w:tcPr>
            <w:tcW w:w="0" w:type="auto"/>
            <w:vAlign w:val="center"/>
          </w:tcPr>
          <w:p w14:paraId="1153675B">
            <w:pPr>
              <w:spacing w:after="0" w:line="24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采购预算（人民币）</w:t>
            </w:r>
          </w:p>
        </w:tc>
      </w:tr>
      <w:tr w14:paraId="1594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119D540">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0" w:type="auto"/>
            <w:vAlign w:val="center"/>
          </w:tcPr>
          <w:p w14:paraId="2CFB1C96">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非接触式眼压计</w:t>
            </w:r>
          </w:p>
        </w:tc>
        <w:tc>
          <w:tcPr>
            <w:tcW w:w="0" w:type="auto"/>
            <w:vAlign w:val="center"/>
          </w:tcPr>
          <w:p w14:paraId="46BB88D3">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2套</w:t>
            </w:r>
          </w:p>
        </w:tc>
        <w:tc>
          <w:tcPr>
            <w:tcW w:w="0" w:type="auto"/>
            <w:vAlign w:val="center"/>
          </w:tcPr>
          <w:p w14:paraId="3AD9E6BE">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¥250,000.00</w:t>
            </w:r>
          </w:p>
        </w:tc>
      </w:tr>
      <w:tr w14:paraId="67CB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5068596">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0" w:type="auto"/>
            <w:vAlign w:val="center"/>
          </w:tcPr>
          <w:p w14:paraId="0310DC2E">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眼科A/B型超声诊断仪</w:t>
            </w:r>
          </w:p>
        </w:tc>
        <w:tc>
          <w:tcPr>
            <w:tcW w:w="0" w:type="auto"/>
            <w:vAlign w:val="center"/>
          </w:tcPr>
          <w:p w14:paraId="315E69F4">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2套</w:t>
            </w:r>
          </w:p>
        </w:tc>
        <w:tc>
          <w:tcPr>
            <w:tcW w:w="0" w:type="auto"/>
            <w:vAlign w:val="center"/>
          </w:tcPr>
          <w:p w14:paraId="67AD9281">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¥190,000.00</w:t>
            </w:r>
          </w:p>
        </w:tc>
      </w:tr>
      <w:tr w14:paraId="4708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04AE5CA">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0" w:type="auto"/>
            <w:vAlign w:val="center"/>
          </w:tcPr>
          <w:p w14:paraId="509541A9">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角膜内皮显微镜</w:t>
            </w:r>
          </w:p>
        </w:tc>
        <w:tc>
          <w:tcPr>
            <w:tcW w:w="0" w:type="auto"/>
            <w:vAlign w:val="center"/>
          </w:tcPr>
          <w:p w14:paraId="4A24E991">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1套</w:t>
            </w:r>
          </w:p>
        </w:tc>
        <w:tc>
          <w:tcPr>
            <w:tcW w:w="0" w:type="auto"/>
            <w:vAlign w:val="center"/>
          </w:tcPr>
          <w:p w14:paraId="73D32739">
            <w:pPr>
              <w:spacing w:after="0" w:line="24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300,000.00</w:t>
            </w:r>
          </w:p>
        </w:tc>
      </w:tr>
      <w:tr w14:paraId="5C56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ED5B0B6">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0" w:type="auto"/>
            <w:vAlign w:val="center"/>
          </w:tcPr>
          <w:p w14:paraId="66070DAE">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关节镜手术系统</w:t>
            </w:r>
          </w:p>
        </w:tc>
        <w:tc>
          <w:tcPr>
            <w:tcW w:w="0" w:type="auto"/>
            <w:vAlign w:val="center"/>
          </w:tcPr>
          <w:p w14:paraId="0E77EF82">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1套</w:t>
            </w:r>
          </w:p>
        </w:tc>
        <w:tc>
          <w:tcPr>
            <w:tcW w:w="0" w:type="auto"/>
            <w:vAlign w:val="center"/>
          </w:tcPr>
          <w:p w14:paraId="5239A83F">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¥980,000.00</w:t>
            </w:r>
          </w:p>
        </w:tc>
      </w:tr>
    </w:tbl>
    <w:p w14:paraId="2853A66E">
      <w:pPr>
        <w:spacing w:after="0" w:line="24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包1、包3经政府采购管理部门同意，采购本国产品或不属于国家法律法规政策明确规定限制的进口产品。（注：进口产品是指通过中国海关报关验放进入中国境内且产自关境外的产品，含已进入中国境内并在国内市场有销售的进口产品）；包2、包4采购本国产品。</w:t>
      </w:r>
      <w:bookmarkStart w:id="7" w:name="_GoBack"/>
      <w:bookmarkEnd w:id="7"/>
    </w:p>
    <w:p w14:paraId="462ED77D">
      <w:pPr>
        <w:pStyle w:val="30"/>
        <w:rPr>
          <w:rFonts w:hint="eastAsia" w:hAnsi="宋体"/>
          <w:color w:val="000000" w:themeColor="text1"/>
          <w:highlight w:val="none"/>
          <w14:textFill>
            <w14:solidFill>
              <w14:schemeClr w14:val="tx1"/>
            </w14:solidFill>
          </w14:textFill>
        </w:rPr>
      </w:pPr>
    </w:p>
    <w:p w14:paraId="7DF95EE7">
      <w:pPr>
        <w:pStyle w:val="68"/>
        <w:rPr>
          <w:rFonts w:hint="default" w:ascii="宋体" w:hAnsi="宋体" w:eastAsia="宋体" w:cs="宋体"/>
          <w:sz w:val="21"/>
          <w:szCs w:val="21"/>
        </w:rPr>
      </w:pPr>
      <w:r>
        <w:rPr>
          <w:rFonts w:ascii="宋体" w:hAnsi="宋体" w:eastAsia="宋体" w:cs="宋体"/>
          <w:b/>
          <w:color w:val="000000"/>
          <w:sz w:val="21"/>
          <w:szCs w:val="21"/>
        </w:rPr>
        <w:t>说明：打“★”号条款为实质性条款，若有任何一条负偏离或不满足则导致投标（响应）无效。</w:t>
      </w:r>
    </w:p>
    <w:p w14:paraId="0D6C2064">
      <w:pPr>
        <w:pStyle w:val="68"/>
        <w:rPr>
          <w:rFonts w:hint="default" w:ascii="宋体" w:hAnsi="宋体" w:eastAsia="宋体" w:cs="宋体"/>
          <w:sz w:val="21"/>
          <w:szCs w:val="21"/>
        </w:rPr>
      </w:pPr>
      <w:r>
        <w:rPr>
          <w:rFonts w:ascii="宋体" w:hAnsi="宋体" w:eastAsia="宋体" w:cs="宋体"/>
          <w:b/>
          <w:color w:val="000000"/>
          <w:sz w:val="21"/>
          <w:szCs w:val="21"/>
        </w:rPr>
        <w:t>打“▲”号条款为重要技术参数（如有），若有部分“▲”条款未响应或不满足，将根据评审要求影响其得分，但不作为无效投标（响应）条款。</w:t>
      </w:r>
    </w:p>
    <w:p w14:paraId="5325B2FA"/>
    <w:p w14:paraId="4F5786C7">
      <w:pPr>
        <w:jc w:val="center"/>
        <w:rPr>
          <w:b/>
          <w:bCs/>
        </w:rPr>
      </w:pPr>
    </w:p>
    <w:p w14:paraId="6911EE0A">
      <w:pPr>
        <w:keepNext w:val="0"/>
        <w:keepLines w:val="0"/>
        <w:pageBreakBefore w:val="0"/>
        <w:kinsoku/>
        <w:wordWrap/>
        <w:overflowPunct/>
        <w:topLinePunct w:val="0"/>
        <w:autoSpaceDE w:val="0"/>
        <w:autoSpaceDN w:val="0"/>
        <w:bidi w:val="0"/>
        <w:adjustRightInd w:val="0"/>
        <w:spacing w:beforeAutospacing="0" w:after="0" w:afterAutospacing="0"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包1：非接触式眼压计用户需求</w:t>
      </w:r>
    </w:p>
    <w:p w14:paraId="4D7C5791">
      <w:pPr>
        <w:keepNext w:val="0"/>
        <w:keepLines w:val="0"/>
        <w:pageBreakBefore w:val="0"/>
        <w:kinsoku/>
        <w:wordWrap/>
        <w:overflowPunct/>
        <w:topLinePunct w:val="0"/>
        <w:autoSpaceDE w:val="0"/>
        <w:autoSpaceDN w:val="0"/>
        <w:bidi w:val="0"/>
        <w:adjustRightInd w:val="0"/>
        <w:spacing w:beforeAutospacing="0" w:after="0" w:afterAutospacing="0" w:line="240" w:lineRule="auto"/>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一、采购需求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09"/>
        <w:gridCol w:w="708"/>
        <w:gridCol w:w="1276"/>
        <w:gridCol w:w="1276"/>
        <w:gridCol w:w="1777"/>
      </w:tblGrid>
      <w:tr w14:paraId="718A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3638240D">
            <w:pPr>
              <w:keepNext w:val="0"/>
              <w:keepLines w:val="0"/>
              <w:pageBreakBefore w:val="0"/>
              <w:kinsoku/>
              <w:wordWrap/>
              <w:overflowPunct/>
              <w:topLinePunct w:val="0"/>
              <w:autoSpaceDE w:val="0"/>
              <w:autoSpaceDN w:val="0"/>
              <w:bidi w:val="0"/>
              <w:adjustRightInd w:val="0"/>
              <w:spacing w:beforeAutospacing="0" w:after="0" w:afterAutospacing="0"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标的名称</w:t>
            </w:r>
          </w:p>
        </w:tc>
        <w:tc>
          <w:tcPr>
            <w:tcW w:w="709" w:type="dxa"/>
            <w:vAlign w:val="center"/>
          </w:tcPr>
          <w:p w14:paraId="22CBE06A">
            <w:pPr>
              <w:keepNext w:val="0"/>
              <w:keepLines w:val="0"/>
              <w:pageBreakBefore w:val="0"/>
              <w:kinsoku/>
              <w:wordWrap/>
              <w:overflowPunct/>
              <w:topLinePunct w:val="0"/>
              <w:autoSpaceDE w:val="0"/>
              <w:autoSpaceDN w:val="0"/>
              <w:bidi w:val="0"/>
              <w:adjustRightInd w:val="0"/>
              <w:spacing w:beforeAutospacing="0" w:after="0" w:afterAutospacing="0"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w:t>
            </w:r>
          </w:p>
        </w:tc>
        <w:tc>
          <w:tcPr>
            <w:tcW w:w="708" w:type="dxa"/>
            <w:vAlign w:val="center"/>
          </w:tcPr>
          <w:p w14:paraId="026D063F">
            <w:pPr>
              <w:keepNext w:val="0"/>
              <w:keepLines w:val="0"/>
              <w:pageBreakBefore w:val="0"/>
              <w:kinsoku/>
              <w:wordWrap/>
              <w:overflowPunct/>
              <w:topLinePunct w:val="0"/>
              <w:autoSpaceDE w:val="0"/>
              <w:autoSpaceDN w:val="0"/>
              <w:bidi w:val="0"/>
              <w:adjustRightInd w:val="0"/>
              <w:spacing w:beforeAutospacing="0" w:after="0" w:afterAutospacing="0"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276" w:type="dxa"/>
            <w:vAlign w:val="center"/>
          </w:tcPr>
          <w:p w14:paraId="2B955A28">
            <w:pPr>
              <w:keepNext w:val="0"/>
              <w:keepLines w:val="0"/>
              <w:pageBreakBefore w:val="0"/>
              <w:kinsoku/>
              <w:wordWrap/>
              <w:overflowPunct/>
              <w:topLinePunct w:val="0"/>
              <w:autoSpaceDE w:val="0"/>
              <w:autoSpaceDN w:val="0"/>
              <w:bidi w:val="0"/>
              <w:adjustRightInd w:val="0"/>
              <w:spacing w:beforeAutospacing="0" w:after="0" w:afterAutospacing="0"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最高单价（万元）</w:t>
            </w:r>
          </w:p>
        </w:tc>
        <w:tc>
          <w:tcPr>
            <w:tcW w:w="1276" w:type="dxa"/>
            <w:vAlign w:val="center"/>
          </w:tcPr>
          <w:p w14:paraId="1BB07E03">
            <w:pPr>
              <w:keepNext w:val="0"/>
              <w:keepLines w:val="0"/>
              <w:pageBreakBefore w:val="0"/>
              <w:kinsoku/>
              <w:wordWrap/>
              <w:overflowPunct/>
              <w:topLinePunct w:val="0"/>
              <w:autoSpaceDE w:val="0"/>
              <w:autoSpaceDN w:val="0"/>
              <w:bidi w:val="0"/>
              <w:adjustRightInd w:val="0"/>
              <w:spacing w:beforeAutospacing="0" w:after="0" w:afterAutospacing="0"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采购预算（万元）</w:t>
            </w:r>
          </w:p>
        </w:tc>
        <w:tc>
          <w:tcPr>
            <w:tcW w:w="1777" w:type="dxa"/>
            <w:vAlign w:val="center"/>
          </w:tcPr>
          <w:p w14:paraId="5CDEFC86">
            <w:pPr>
              <w:keepNext w:val="0"/>
              <w:keepLines w:val="0"/>
              <w:pageBreakBefore w:val="0"/>
              <w:kinsoku/>
              <w:wordWrap/>
              <w:overflowPunct/>
              <w:topLinePunct w:val="0"/>
              <w:autoSpaceDE w:val="0"/>
              <w:autoSpaceDN w:val="0"/>
              <w:bidi w:val="0"/>
              <w:adjustRightInd w:val="0"/>
              <w:spacing w:beforeAutospacing="0" w:after="0" w:afterAutospacing="0"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品目</w:t>
            </w:r>
          </w:p>
        </w:tc>
      </w:tr>
      <w:tr w14:paraId="17F9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6B48726E">
            <w:pPr>
              <w:pStyle w:val="16"/>
              <w:keepNext w:val="0"/>
              <w:keepLines w:val="0"/>
              <w:pageBreakBefore w:val="0"/>
              <w:kinsoku/>
              <w:wordWrap/>
              <w:overflowPunct/>
              <w:topLinePunct w:val="0"/>
              <w:autoSpaceDE w:val="0"/>
              <w:autoSpaceDN w:val="0"/>
              <w:bidi w:val="0"/>
              <w:adjustRightInd w:val="0"/>
              <w:spacing w:beforeAutospacing="0" w:after="0" w:afterAutospacing="0"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非接触式眼压计</w:t>
            </w:r>
          </w:p>
        </w:tc>
        <w:tc>
          <w:tcPr>
            <w:tcW w:w="709" w:type="dxa"/>
            <w:vAlign w:val="center"/>
          </w:tcPr>
          <w:p w14:paraId="555ADDC5">
            <w:pPr>
              <w:keepNext w:val="0"/>
              <w:keepLines w:val="0"/>
              <w:pageBreakBefore w:val="0"/>
              <w:kinsoku/>
              <w:wordWrap/>
              <w:overflowPunct/>
              <w:topLinePunct w:val="0"/>
              <w:autoSpaceDE w:val="0"/>
              <w:autoSpaceDN w:val="0"/>
              <w:bidi w:val="0"/>
              <w:adjustRightInd w:val="0"/>
              <w:spacing w:beforeAutospacing="0" w:after="0" w:afterAutospacing="0"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w:t>
            </w:r>
          </w:p>
        </w:tc>
        <w:tc>
          <w:tcPr>
            <w:tcW w:w="708" w:type="dxa"/>
            <w:vAlign w:val="center"/>
          </w:tcPr>
          <w:p w14:paraId="19FAB97E">
            <w:pPr>
              <w:keepNext w:val="0"/>
              <w:keepLines w:val="0"/>
              <w:pageBreakBefore w:val="0"/>
              <w:kinsoku/>
              <w:wordWrap/>
              <w:overflowPunct/>
              <w:topLinePunct w:val="0"/>
              <w:autoSpaceDE w:val="0"/>
              <w:autoSpaceDN w:val="0"/>
              <w:bidi w:val="0"/>
              <w:adjustRightInd w:val="0"/>
              <w:spacing w:beforeAutospacing="0" w:after="0" w:afterAutospacing="0"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276" w:type="dxa"/>
            <w:vAlign w:val="center"/>
          </w:tcPr>
          <w:p w14:paraId="42AAD1F8">
            <w:pPr>
              <w:keepNext w:val="0"/>
              <w:keepLines w:val="0"/>
              <w:pageBreakBefore w:val="0"/>
              <w:kinsoku/>
              <w:wordWrap/>
              <w:overflowPunct/>
              <w:topLinePunct w:val="0"/>
              <w:autoSpaceDE w:val="0"/>
              <w:autoSpaceDN w:val="0"/>
              <w:bidi w:val="0"/>
              <w:adjustRightInd w:val="0"/>
              <w:spacing w:beforeAutospacing="0" w:after="0" w:afterAutospacing="0"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12.5</w:t>
            </w:r>
          </w:p>
        </w:tc>
        <w:tc>
          <w:tcPr>
            <w:tcW w:w="1276" w:type="dxa"/>
            <w:vAlign w:val="center"/>
          </w:tcPr>
          <w:p w14:paraId="2E45DD9A">
            <w:pPr>
              <w:keepNext w:val="0"/>
              <w:keepLines w:val="0"/>
              <w:pageBreakBefore w:val="0"/>
              <w:kinsoku/>
              <w:wordWrap/>
              <w:overflowPunct/>
              <w:topLinePunct w:val="0"/>
              <w:autoSpaceDE w:val="0"/>
              <w:autoSpaceDN w:val="0"/>
              <w:bidi w:val="0"/>
              <w:adjustRightInd w:val="0"/>
              <w:spacing w:beforeAutospacing="0" w:after="0" w:afterAutospacing="0"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w:t>
            </w:r>
          </w:p>
        </w:tc>
        <w:tc>
          <w:tcPr>
            <w:tcW w:w="1777" w:type="dxa"/>
            <w:vAlign w:val="center"/>
          </w:tcPr>
          <w:p w14:paraId="495333DD">
            <w:pPr>
              <w:keepNext w:val="0"/>
              <w:keepLines w:val="0"/>
              <w:pageBreakBefore w:val="0"/>
              <w:kinsoku/>
              <w:wordWrap/>
              <w:overflowPunct/>
              <w:topLinePunct w:val="0"/>
              <w:autoSpaceDE w:val="0"/>
              <w:autoSpaceDN w:val="0"/>
              <w:bidi w:val="0"/>
              <w:adjustRightInd w:val="0"/>
              <w:spacing w:beforeAutospacing="0" w:after="0" w:afterAutospacing="0"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A02320400医用光学仪器</w:t>
            </w:r>
          </w:p>
        </w:tc>
      </w:tr>
    </w:tbl>
    <w:p w14:paraId="57D9D3F4">
      <w:pPr>
        <w:pStyle w:val="2"/>
        <w:keepNext w:val="0"/>
        <w:keepLines w:val="0"/>
        <w:pageBreakBefore w:val="0"/>
        <w:kinsoku/>
        <w:wordWrap/>
        <w:overflowPunct/>
        <w:topLinePunct w:val="0"/>
        <w:autoSpaceDE w:val="0"/>
        <w:autoSpaceDN w:val="0"/>
        <w:bidi w:val="0"/>
        <w:adjustRightInd w:val="0"/>
        <w:spacing w:beforeAutospacing="0" w:after="0" w:afterAutospacing="0" w:line="240" w:lineRule="auto"/>
        <w:ind w:firstLine="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报价包含各项税费、交通运输费、保险、装卸费、安装等合同实施过程中应预见或不可预见费用等所有费用。</w:t>
      </w:r>
    </w:p>
    <w:p w14:paraId="5AA51D9E">
      <w:pPr>
        <w:pStyle w:val="2"/>
        <w:keepNext w:val="0"/>
        <w:keepLines w:val="0"/>
        <w:pageBreakBefore w:val="0"/>
        <w:kinsoku/>
        <w:wordWrap/>
        <w:overflowPunct/>
        <w:topLinePunct w:val="0"/>
        <w:autoSpaceDE w:val="0"/>
        <w:autoSpaceDN w:val="0"/>
        <w:bidi w:val="0"/>
        <w:adjustRightInd w:val="0"/>
        <w:spacing w:beforeAutospacing="0" w:after="0" w:afterAutospacing="0" w:line="240" w:lineRule="auto"/>
        <w:ind w:firstLine="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 w:val="21"/>
          <w:szCs w:val="21"/>
          <w14:textFill>
            <w14:solidFill>
              <w14:schemeClr w14:val="tx1"/>
            </w14:solidFill>
          </w14:textFill>
        </w:rPr>
        <w:t>包含且不限于《医疗器械注册管理办法》、《医疗器械唯一标识系统规则》。</w:t>
      </w:r>
    </w:p>
    <w:p w14:paraId="0B6E1868">
      <w:pPr>
        <w:keepNext w:val="0"/>
        <w:keepLines w:val="0"/>
        <w:pageBreakBefore w:val="0"/>
        <w:kinsoku/>
        <w:wordWrap/>
        <w:overflowPunct/>
        <w:topLinePunct w:val="0"/>
        <w:autoSpaceDE w:val="0"/>
        <w:autoSpaceDN w:val="0"/>
        <w:bidi w:val="0"/>
        <w:adjustRightInd w:val="0"/>
        <w:spacing w:beforeAutospacing="0" w:after="0" w:afterAutospacing="0"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（二）项目基本概况介绍</w:t>
      </w:r>
    </w:p>
    <w:p w14:paraId="2AC12A8B">
      <w:pPr>
        <w:keepNext w:val="0"/>
        <w:keepLines w:val="0"/>
        <w:pageBreakBefore w:val="0"/>
        <w:widowControl/>
        <w:kinsoku/>
        <w:wordWrap/>
        <w:overflowPunct/>
        <w:topLinePunct w:val="0"/>
        <w:autoSpaceDE w:val="0"/>
        <w:autoSpaceDN w:val="0"/>
        <w:bidi w:val="0"/>
        <w:adjustRightInd w:val="0"/>
        <w:spacing w:beforeAutospacing="0" w:after="0" w:afterAutospacing="0"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本项目设备</w:t>
      </w:r>
      <w:r>
        <w:rPr>
          <w:rFonts w:hint="eastAsia" w:ascii="宋体" w:hAnsi="宋体" w:eastAsia="宋体" w:cs="宋体"/>
          <w:color w:val="000000" w:themeColor="text1"/>
          <w:kern w:val="0"/>
          <w:sz w:val="21"/>
          <w:szCs w:val="21"/>
          <w14:textFill>
            <w14:solidFill>
              <w14:schemeClr w14:val="tx1"/>
            </w14:solidFill>
          </w14:textFill>
        </w:rPr>
        <w:t>用于</w:t>
      </w:r>
      <w:r>
        <w:rPr>
          <w:rFonts w:hint="eastAsia" w:ascii="宋体" w:hAnsi="宋体" w:eastAsia="宋体" w:cs="宋体"/>
          <w:color w:val="000000" w:themeColor="text1"/>
          <w:kern w:val="0"/>
          <w:sz w:val="21"/>
          <w:szCs w:val="21"/>
          <w:lang w:bidi="ar"/>
          <w14:textFill>
            <w14:solidFill>
              <w14:schemeClr w14:val="tx1"/>
            </w14:solidFill>
          </w14:textFill>
        </w:rPr>
        <w:t>眼科临床工作中常规眼压数值检查。</w:t>
      </w:r>
    </w:p>
    <w:p w14:paraId="6E53CEB7">
      <w:pPr>
        <w:keepNext w:val="0"/>
        <w:keepLines w:val="0"/>
        <w:pageBreakBefore w:val="0"/>
        <w:kinsoku/>
        <w:wordWrap/>
        <w:overflowPunct/>
        <w:topLinePunct w:val="0"/>
        <w:autoSpaceDE w:val="0"/>
        <w:autoSpaceDN w:val="0"/>
        <w:bidi w:val="0"/>
        <w:adjustRightInd w:val="0"/>
        <w:spacing w:beforeAutospacing="0" w:after="0" w:afterAutospacing="0"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（三）参数要求</w:t>
      </w:r>
    </w:p>
    <w:p w14:paraId="36EB46D7">
      <w:pPr>
        <w:pStyle w:val="18"/>
        <w:keepNext w:val="0"/>
        <w:keepLines w:val="0"/>
        <w:pageBreakBefore w:val="0"/>
        <w:widowControl/>
        <w:kinsoku/>
        <w:wordWrap/>
        <w:overflowPunct/>
        <w:topLinePunct w:val="0"/>
        <w:autoSpaceDE w:val="0"/>
        <w:autoSpaceDN w:val="0"/>
        <w:bidi w:val="0"/>
        <w:adjustRightInd w:val="0"/>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▲1.测量范围：0～60mmHg</w:t>
      </w:r>
    </w:p>
    <w:p w14:paraId="1949AFCB">
      <w:pPr>
        <w:pStyle w:val="18"/>
        <w:keepNext w:val="0"/>
        <w:keepLines w:val="0"/>
        <w:pageBreakBefore w:val="0"/>
        <w:widowControl/>
        <w:kinsoku/>
        <w:wordWrap/>
        <w:overflowPunct/>
        <w:topLinePunct w:val="0"/>
        <w:autoSpaceDE w:val="0"/>
        <w:autoSpaceDN w:val="0"/>
        <w:bidi w:val="0"/>
        <w:adjustRightInd w:val="0"/>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2.步长：1mmHg</w:t>
      </w:r>
    </w:p>
    <w:p w14:paraId="71C0F55A">
      <w:pPr>
        <w:pStyle w:val="18"/>
        <w:keepNext w:val="0"/>
        <w:keepLines w:val="0"/>
        <w:pageBreakBefore w:val="0"/>
        <w:widowControl/>
        <w:kinsoku/>
        <w:wordWrap/>
        <w:overflowPunct/>
        <w:topLinePunct w:val="0"/>
        <w:autoSpaceDE w:val="0"/>
        <w:autoSpaceDN w:val="0"/>
        <w:bidi w:val="0"/>
        <w:adjustRightInd w:val="0"/>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3.平均值：测量精确至0.1mmHg</w:t>
      </w:r>
    </w:p>
    <w:p w14:paraId="4156F859">
      <w:pPr>
        <w:pStyle w:val="18"/>
        <w:keepNext w:val="0"/>
        <w:keepLines w:val="0"/>
        <w:pageBreakBefore w:val="0"/>
        <w:widowControl/>
        <w:kinsoku/>
        <w:wordWrap/>
        <w:overflowPunct/>
        <w:topLinePunct w:val="0"/>
        <w:autoSpaceDE w:val="0"/>
        <w:autoSpaceDN w:val="0"/>
        <w:bidi w:val="0"/>
        <w:adjustRightInd w:val="0"/>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▲4.APC功能: 自动软气流回溯控制功能</w:t>
      </w:r>
    </w:p>
    <w:p w14:paraId="5C178515">
      <w:pPr>
        <w:pStyle w:val="18"/>
        <w:keepNext w:val="0"/>
        <w:keepLines w:val="0"/>
        <w:pageBreakBefore w:val="0"/>
        <w:widowControl/>
        <w:kinsoku/>
        <w:wordWrap/>
        <w:overflowPunct/>
        <w:topLinePunct w:val="0"/>
        <w:autoSpaceDE w:val="0"/>
        <w:autoSpaceDN w:val="0"/>
        <w:bidi w:val="0"/>
        <w:adjustRightInd w:val="0"/>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▲5.AI模式: 人工智能模式/自动控制最佳测量结果</w:t>
      </w:r>
    </w:p>
    <w:p w14:paraId="4F85B1CD">
      <w:pPr>
        <w:pStyle w:val="18"/>
        <w:keepNext w:val="0"/>
        <w:keepLines w:val="0"/>
        <w:pageBreakBefore w:val="0"/>
        <w:widowControl/>
        <w:kinsoku/>
        <w:wordWrap/>
        <w:overflowPunct/>
        <w:topLinePunct w:val="0"/>
        <w:autoSpaceDE w:val="0"/>
        <w:autoSpaceDN w:val="0"/>
        <w:bidi w:val="0"/>
        <w:adjustRightInd w:val="0"/>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▲6.测量模式：3D自动测量和手动测量</w:t>
      </w:r>
    </w:p>
    <w:p w14:paraId="0D512430">
      <w:pPr>
        <w:pStyle w:val="18"/>
        <w:keepNext w:val="0"/>
        <w:keepLines w:val="0"/>
        <w:pageBreakBefore w:val="0"/>
        <w:widowControl/>
        <w:kinsoku/>
        <w:wordWrap/>
        <w:overflowPunct/>
        <w:topLinePunct w:val="0"/>
        <w:autoSpaceDE w:val="0"/>
        <w:autoSpaceDN w:val="0"/>
        <w:bidi w:val="0"/>
        <w:adjustRightInd w:val="0"/>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7.工作距离：≥10mm</w:t>
      </w:r>
    </w:p>
    <w:p w14:paraId="658ECE49">
      <w:pPr>
        <w:pStyle w:val="18"/>
        <w:keepNext w:val="0"/>
        <w:keepLines w:val="0"/>
        <w:pageBreakBefore w:val="0"/>
        <w:widowControl/>
        <w:kinsoku/>
        <w:wordWrap/>
        <w:overflowPunct/>
        <w:topLinePunct w:val="0"/>
        <w:autoSpaceDE w:val="0"/>
        <w:autoSpaceDN w:val="0"/>
        <w:bidi w:val="0"/>
        <w:adjustRightInd w:val="0"/>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8.对焦：一个对位光点和对焦显示</w:t>
      </w:r>
    </w:p>
    <w:p w14:paraId="6CBCEF10">
      <w:pPr>
        <w:pStyle w:val="18"/>
        <w:keepNext w:val="0"/>
        <w:keepLines w:val="0"/>
        <w:pageBreakBefore w:val="0"/>
        <w:widowControl/>
        <w:kinsoku/>
        <w:wordWrap/>
        <w:overflowPunct/>
        <w:topLinePunct w:val="0"/>
        <w:autoSpaceDE w:val="0"/>
        <w:autoSpaceDN w:val="0"/>
        <w:bidi w:val="0"/>
        <w:adjustRightInd w:val="0"/>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9.固视目标: 内置式绿色固视指示灯或闪烁指示灯</w:t>
      </w:r>
    </w:p>
    <w:p w14:paraId="7AB9EE61">
      <w:pPr>
        <w:pStyle w:val="18"/>
        <w:keepNext w:val="0"/>
        <w:keepLines w:val="0"/>
        <w:pageBreakBefore w:val="0"/>
        <w:widowControl/>
        <w:kinsoku/>
        <w:wordWrap/>
        <w:overflowPunct/>
        <w:topLinePunct w:val="0"/>
        <w:autoSpaceDE w:val="0"/>
        <w:autoSpaceDN w:val="0"/>
        <w:bidi w:val="0"/>
        <w:adjustRightInd w:val="0"/>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10.可调式安全锁: 避免触碰患者眼球</w:t>
      </w:r>
    </w:p>
    <w:p w14:paraId="1F58B4DD">
      <w:pPr>
        <w:pStyle w:val="18"/>
        <w:keepNext w:val="0"/>
        <w:keepLines w:val="0"/>
        <w:pageBreakBefore w:val="0"/>
        <w:widowControl/>
        <w:kinsoku/>
        <w:wordWrap/>
        <w:overflowPunct/>
        <w:topLinePunct w:val="0"/>
        <w:autoSpaceDE w:val="0"/>
        <w:autoSpaceDN w:val="0"/>
        <w:bidi w:val="0"/>
        <w:adjustRightInd w:val="0"/>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▲11.下巴托: 电动升降</w:t>
      </w:r>
    </w:p>
    <w:p w14:paraId="7E7092B9">
      <w:pPr>
        <w:pStyle w:val="18"/>
        <w:keepNext w:val="0"/>
        <w:keepLines w:val="0"/>
        <w:pageBreakBefore w:val="0"/>
        <w:widowControl/>
        <w:kinsoku/>
        <w:wordWrap/>
        <w:overflowPunct/>
        <w:topLinePunct w:val="0"/>
        <w:autoSpaceDE w:val="0"/>
        <w:autoSpaceDN w:val="0"/>
        <w:bidi w:val="0"/>
        <w:adjustRightInd w:val="0"/>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▲12.显示器: ≥5.5英寸彩屏液晶显示屏（可90°翻转）</w:t>
      </w:r>
    </w:p>
    <w:p w14:paraId="558218D1">
      <w:pPr>
        <w:pStyle w:val="18"/>
        <w:keepNext w:val="0"/>
        <w:keepLines w:val="0"/>
        <w:pageBreakBefore w:val="0"/>
        <w:widowControl/>
        <w:kinsoku/>
        <w:wordWrap/>
        <w:overflowPunct/>
        <w:topLinePunct w:val="0"/>
        <w:autoSpaceDE w:val="0"/>
        <w:autoSpaceDN w:val="0"/>
        <w:bidi w:val="0"/>
        <w:adjustRightInd w:val="0"/>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▲13.打印机：内置式热敏打印机带自动切纸功能（特快装纸）</w:t>
      </w:r>
    </w:p>
    <w:p w14:paraId="58DB1B34">
      <w:pPr>
        <w:pStyle w:val="18"/>
        <w:keepNext w:val="0"/>
        <w:keepLines w:val="0"/>
        <w:pageBreakBefore w:val="0"/>
        <w:widowControl/>
        <w:kinsoku/>
        <w:wordWrap/>
        <w:overflowPunct/>
        <w:topLinePunct w:val="0"/>
        <w:autoSpaceDE w:val="0"/>
        <w:autoSpaceDN w:val="0"/>
        <w:bidi w:val="0"/>
        <w:adjustRightInd w:val="0"/>
        <w:spacing w:before="0" w:beforeAutospacing="0" w:after="0" w:afterAutospacing="0"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▲14.开放接口，可与医院信息系统连接</w:t>
      </w:r>
    </w:p>
    <w:p w14:paraId="7CE797E4">
      <w:pPr>
        <w:keepNext w:val="0"/>
        <w:keepLines w:val="0"/>
        <w:pageBreakBefore w:val="0"/>
        <w:widowControl/>
        <w:tabs>
          <w:tab w:val="left" w:pos="420"/>
        </w:tabs>
        <w:kinsoku/>
        <w:wordWrap/>
        <w:overflowPunct/>
        <w:topLinePunct w:val="0"/>
        <w:autoSpaceDE w:val="0"/>
        <w:autoSpaceDN w:val="0"/>
        <w:bidi w:val="0"/>
        <w:adjustRightInd w:val="0"/>
        <w:spacing w:beforeAutospacing="0" w:after="0" w:afterAutospacing="0" w:line="240" w:lineRule="auto"/>
        <w:textAlignment w:val="auto"/>
        <w:rPr>
          <w:rStyle w:val="25"/>
          <w:rFonts w:hint="eastAsia" w:ascii="宋体" w:hAnsi="宋体" w:eastAsia="宋体" w:cs="宋体"/>
          <w:b w:val="0"/>
          <w:bCs/>
          <w:color w:val="000000" w:themeColor="text1"/>
          <w:sz w:val="21"/>
          <w:szCs w:val="21"/>
          <w:shd w:val="clear" w:color="auto" w:fill="FDFDFE"/>
          <w14:textFill>
            <w14:solidFill>
              <w14:schemeClr w14:val="tx1"/>
            </w14:solidFill>
          </w14:textFill>
        </w:rPr>
      </w:pPr>
      <w:r>
        <w:rPr>
          <w:rStyle w:val="25"/>
          <w:rFonts w:hint="eastAsia" w:ascii="宋体" w:hAnsi="宋体" w:eastAsia="宋体" w:cs="宋体"/>
          <w:color w:val="000000" w:themeColor="text1"/>
          <w:sz w:val="21"/>
          <w:szCs w:val="21"/>
          <w:shd w:val="clear" w:color="auto" w:fill="FDFDFE"/>
          <w14:textFill>
            <w14:solidFill>
              <w14:schemeClr w14:val="tx1"/>
            </w14:solidFill>
          </w14:textFill>
        </w:rPr>
        <w:t>（四）单台配置清单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68"/>
        <w:gridCol w:w="1276"/>
        <w:gridCol w:w="1275"/>
      </w:tblGrid>
      <w:tr w14:paraId="2DE5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14:paraId="5BBB05A8">
            <w:pPr>
              <w:pStyle w:val="2"/>
              <w:spacing w:after="0" w:line="240" w:lineRule="auto"/>
              <w:ind w:firstLine="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2268" w:type="dxa"/>
            <w:vAlign w:val="center"/>
          </w:tcPr>
          <w:p w14:paraId="30D4D360">
            <w:pPr>
              <w:pStyle w:val="2"/>
              <w:spacing w:after="0" w:line="240" w:lineRule="auto"/>
              <w:ind w:firstLine="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配置名称</w:t>
            </w:r>
          </w:p>
        </w:tc>
        <w:tc>
          <w:tcPr>
            <w:tcW w:w="1276" w:type="dxa"/>
            <w:vAlign w:val="center"/>
          </w:tcPr>
          <w:p w14:paraId="6FBDDF71">
            <w:pPr>
              <w:pStyle w:val="2"/>
              <w:spacing w:after="0" w:line="240" w:lineRule="auto"/>
              <w:ind w:firstLine="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数量</w:t>
            </w:r>
          </w:p>
        </w:tc>
        <w:tc>
          <w:tcPr>
            <w:tcW w:w="1275" w:type="dxa"/>
            <w:vAlign w:val="center"/>
          </w:tcPr>
          <w:p w14:paraId="6231DC86">
            <w:pPr>
              <w:pStyle w:val="2"/>
              <w:spacing w:after="0" w:line="240" w:lineRule="auto"/>
              <w:ind w:firstLine="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w:t>
            </w:r>
          </w:p>
        </w:tc>
      </w:tr>
      <w:tr w14:paraId="5A32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6A3AA7C">
            <w:pPr>
              <w:widowControl/>
              <w:spacing w:after="0"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2268" w:type="dxa"/>
            <w:vAlign w:val="center"/>
          </w:tcPr>
          <w:p w14:paraId="2FD04DF6">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主机</w:t>
            </w:r>
          </w:p>
        </w:tc>
        <w:tc>
          <w:tcPr>
            <w:tcW w:w="1276" w:type="dxa"/>
            <w:vAlign w:val="center"/>
          </w:tcPr>
          <w:p w14:paraId="654B93F5">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Style w:val="29"/>
                <w:rFonts w:hint="eastAsia" w:ascii="宋体" w:hAnsi="宋体" w:eastAsia="宋体" w:cs="宋体"/>
                <w:color w:val="000000" w:themeColor="text1"/>
                <w:sz w:val="21"/>
                <w:szCs w:val="21"/>
                <w14:textFill>
                  <w14:solidFill>
                    <w14:schemeClr w14:val="tx1"/>
                  </w14:solidFill>
                </w14:textFill>
              </w:rPr>
              <w:t>1</w:t>
            </w:r>
          </w:p>
        </w:tc>
        <w:tc>
          <w:tcPr>
            <w:tcW w:w="1275" w:type="dxa"/>
            <w:vAlign w:val="center"/>
          </w:tcPr>
          <w:p w14:paraId="1F7803AF">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w:t>
            </w:r>
          </w:p>
        </w:tc>
      </w:tr>
      <w:tr w14:paraId="11F0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E9DF831">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2268" w:type="dxa"/>
            <w:vAlign w:val="center"/>
          </w:tcPr>
          <w:p w14:paraId="1D4752DC">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升降台</w:t>
            </w:r>
          </w:p>
        </w:tc>
        <w:tc>
          <w:tcPr>
            <w:tcW w:w="1276" w:type="dxa"/>
            <w:vAlign w:val="center"/>
          </w:tcPr>
          <w:p w14:paraId="54427A58">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275" w:type="dxa"/>
            <w:vAlign w:val="center"/>
          </w:tcPr>
          <w:p w14:paraId="155C5332">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w:t>
            </w:r>
          </w:p>
        </w:tc>
      </w:tr>
    </w:tbl>
    <w:p w14:paraId="6BA3C46B">
      <w:pPr>
        <w:pStyle w:val="2"/>
        <w:spacing w:after="0" w:line="240" w:lineRule="auto"/>
        <w:ind w:firstLine="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（五）质保期及售后服务要求</w:t>
      </w:r>
    </w:p>
    <w:p w14:paraId="04B33728">
      <w:pPr>
        <w:widowControl/>
        <w:tabs>
          <w:tab w:val="left" w:pos="420"/>
          <w:tab w:val="left" w:pos="720"/>
          <w:tab w:val="left" w:pos="1440"/>
        </w:tabs>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DFDFE"/>
          <w14:textFill>
            <w14:solidFill>
              <w14:schemeClr w14:val="tx1"/>
            </w14:solidFill>
          </w14:textFill>
        </w:rPr>
        <w:t>1.提供至少</w:t>
      </w:r>
      <w:r>
        <w:rPr>
          <w:rFonts w:hint="eastAsia" w:ascii="宋体" w:hAnsi="宋体" w:eastAsia="宋体" w:cs="宋体"/>
          <w:b/>
          <w:bCs/>
          <w:color w:val="000000" w:themeColor="text1"/>
          <w:sz w:val="21"/>
          <w:szCs w:val="21"/>
          <w:shd w:val="clear" w:color="auto" w:fill="FDFDFE"/>
          <w14:textFill>
            <w14:solidFill>
              <w14:schemeClr w14:val="tx1"/>
            </w14:solidFill>
          </w14:textFill>
        </w:rPr>
        <w:t>5</w:t>
      </w:r>
      <w:r>
        <w:rPr>
          <w:rFonts w:hint="eastAsia" w:ascii="宋体" w:hAnsi="宋体" w:eastAsia="宋体" w:cs="宋体"/>
          <w:color w:val="000000" w:themeColor="text1"/>
          <w:sz w:val="21"/>
          <w:szCs w:val="21"/>
          <w:shd w:val="clear" w:color="auto" w:fill="FDFDFE"/>
          <w14:textFill>
            <w14:solidFill>
              <w14:schemeClr w14:val="tx1"/>
            </w14:solidFill>
          </w14:textFill>
        </w:rPr>
        <w:t>年的免费质保服务，包括设备故障维修、软件升级等。</w:t>
      </w:r>
    </w:p>
    <w:p w14:paraId="6A57BDCA">
      <w:pPr>
        <w:widowControl/>
        <w:tabs>
          <w:tab w:val="left" w:pos="420"/>
          <w:tab w:val="left" w:pos="720"/>
          <w:tab w:val="left" w:pos="1440"/>
        </w:tabs>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DFDFE"/>
          <w14:textFill>
            <w14:solidFill>
              <w14:schemeClr w14:val="tx1"/>
            </w14:solidFill>
          </w14:textFill>
        </w:rPr>
        <w:t>2.中标后设立24小时客服热线，确保在设备使用过程中能够及时解决各类问题。</w:t>
      </w:r>
    </w:p>
    <w:p w14:paraId="4318DA6E">
      <w:pPr>
        <w:widowControl/>
        <w:tabs>
          <w:tab w:val="left" w:pos="420"/>
          <w:tab w:val="left" w:pos="720"/>
          <w:tab w:val="left" w:pos="1440"/>
        </w:tabs>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DFDFE"/>
          <w14:textFill>
            <w14:solidFill>
              <w14:schemeClr w14:val="tx1"/>
            </w14:solidFill>
          </w14:textFill>
        </w:rPr>
        <w:t>3.提供每季度至少一次的设备巡检和维护服务，确保设备长期稳定运行。</w:t>
      </w:r>
    </w:p>
    <w:p w14:paraId="2B8084F4">
      <w:pPr>
        <w:widowControl/>
        <w:tabs>
          <w:tab w:val="left" w:pos="420"/>
          <w:tab w:val="left" w:pos="720"/>
          <w:tab w:val="left" w:pos="1440"/>
        </w:tabs>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DFDFE"/>
          <w14:textFill>
            <w14:solidFill>
              <w14:schemeClr w14:val="tx1"/>
            </w14:solidFill>
          </w14:textFill>
        </w:rPr>
        <w:t>4.提供完善的培训和技术支持服务，确保医护人员能够熟练掌握设备操作。</w:t>
      </w:r>
    </w:p>
    <w:p w14:paraId="7C795A0E">
      <w:pPr>
        <w:widowControl/>
        <w:tabs>
          <w:tab w:val="left" w:pos="420"/>
        </w:tabs>
        <w:spacing w:after="0" w:line="240" w:lineRule="auto"/>
        <w:rPr>
          <w:rStyle w:val="25"/>
          <w:rFonts w:hint="eastAsia" w:ascii="宋体" w:hAnsi="宋体" w:eastAsia="宋体" w:cs="宋体"/>
          <w:color w:val="000000" w:themeColor="text1"/>
          <w:sz w:val="21"/>
          <w:szCs w:val="21"/>
          <w:shd w:val="clear" w:color="auto" w:fill="FDFDFE"/>
          <w14:textFill>
            <w14:solidFill>
              <w14:schemeClr w14:val="tx1"/>
            </w14:solidFill>
          </w14:textFill>
        </w:rPr>
      </w:pPr>
      <w:r>
        <w:rPr>
          <w:rStyle w:val="25"/>
          <w:rFonts w:hint="eastAsia" w:ascii="宋体" w:hAnsi="宋体" w:eastAsia="宋体" w:cs="宋体"/>
          <w:color w:val="000000" w:themeColor="text1"/>
          <w:sz w:val="21"/>
          <w:szCs w:val="21"/>
          <w:shd w:val="clear" w:color="auto" w:fill="FDFDFE"/>
          <w14:textFill>
            <w14:solidFill>
              <w14:schemeClr w14:val="tx1"/>
            </w14:solidFill>
          </w14:textFill>
        </w:rPr>
        <w:t>（六）基本要求</w:t>
      </w:r>
    </w:p>
    <w:p w14:paraId="5680CDFC">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★1.所投设备具有有效的医疗器械注册证明（如国家有相关规定）。</w:t>
      </w:r>
    </w:p>
    <w:p w14:paraId="266B22FA">
      <w:pPr>
        <w:spacing w:after="0" w:line="240" w:lineRule="auto"/>
        <w:rPr>
          <w:rFonts w:hint="eastAsia" w:ascii="宋体" w:hAnsi="宋体" w:eastAsia="宋体" w:cs="宋体"/>
          <w:color w:val="000000" w:themeColor="text1"/>
          <w:sz w:val="21"/>
          <w:szCs w:val="21"/>
          <w:shd w:val="clear" w:color="auto" w:fill="FDFDF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▲2.如投标人为代理经销商，应提供制造商对所投产品的合法授权函。</w:t>
      </w:r>
    </w:p>
    <w:p w14:paraId="77298FE8">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p>
    <w:p w14:paraId="1082B53D">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二、交货要求</w:t>
      </w:r>
    </w:p>
    <w:p w14:paraId="016FA5AD">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（一）交货期：合同签订后收到采购人供货通知后30日历天内交货、安装、调试。</w:t>
      </w:r>
    </w:p>
    <w:p w14:paraId="3333A063">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（二）交货地点：广州市第一人民医院（采购人指定地点）。中标人需按有关标准提供货物的包装，并采用恰当的方式将货物运抵交货地点。</w:t>
      </w:r>
    </w:p>
    <w:p w14:paraId="5E9CB4D4">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p>
    <w:p w14:paraId="3CD21D91">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三、包装、运输及到货检验</w:t>
      </w:r>
    </w:p>
    <w:p w14:paraId="63C51F16">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1.设备需由原厂包装，包装箱内需有下列随箱资料：产品合格证（包括出厂试验数据）、产品使用说明书、随箱清单等。</w:t>
      </w:r>
    </w:p>
    <w:p w14:paraId="1C467FE9">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2.中标人负责所有设备从出厂到安装现场的运输。</w:t>
      </w:r>
    </w:p>
    <w:p w14:paraId="57A5DD38">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11248371">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p>
    <w:p w14:paraId="40D32E36">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四、安装调试要求</w:t>
      </w:r>
    </w:p>
    <w:p w14:paraId="00A0B53F">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1.安装和调试应由具备相应资质和能力的专业技术人员执行，确保设备的正确安装和功能的正常发挥。</w:t>
      </w:r>
    </w:p>
    <w:p w14:paraId="3055ED62">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2.安装前应确保产品名称、型号、规格、生产企业信息、医疗器械注册证编号等信息明确无误。</w:t>
      </w:r>
    </w:p>
    <w:p w14:paraId="6B80849E">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3.在安装和调试过程中，必须遵守相应的操作规程和标准，以确保过程的准确性和可靠性。</w:t>
      </w:r>
    </w:p>
    <w:p w14:paraId="3C6C99B2">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4.在验收过程中，应有详细的报告记录测试和调试的结果，确保所有功能都符合规定的要求。</w:t>
      </w:r>
    </w:p>
    <w:p w14:paraId="2D51204D">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p>
    <w:p w14:paraId="1C50ED43">
      <w:pPr>
        <w:spacing w:after="0" w:line="240" w:lineRule="auto"/>
        <w:jc w:val="left"/>
        <w:rPr>
          <w:rFonts w:hint="eastAsia" w:ascii="宋体" w:hAnsi="宋体" w:eastAsia="宋体" w:cs="宋体"/>
          <w:b/>
          <w:bCs/>
          <w:color w:val="000000" w:themeColor="text1"/>
          <w:sz w:val="21"/>
          <w:szCs w:val="21"/>
          <w:shd w:val="clear" w:color="auto" w:fill="FDFDFE"/>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五、验收要求和验收标准</w:t>
      </w:r>
    </w:p>
    <w:p w14:paraId="67AADB29">
      <w:pPr>
        <w:spacing w:after="0" w:line="240" w:lineRule="auto"/>
        <w:jc w:val="left"/>
        <w:rPr>
          <w:rFonts w:hint="eastAsia" w:ascii="宋体" w:hAnsi="宋体" w:eastAsia="宋体" w:cs="宋体"/>
          <w:color w:val="000000" w:themeColor="text1"/>
          <w:sz w:val="21"/>
          <w:szCs w:val="21"/>
          <w:shd w:val="clear" w:color="auto" w:fill="FDFDF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20A69A19">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p>
    <w:p w14:paraId="327281A2">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六、培训要求</w:t>
      </w:r>
    </w:p>
    <w:p w14:paraId="6DE3E171">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1.须提供设备使用维护培训，使采购人使用人员能掌握设备的结构原理、检修方法与操作要点。</w:t>
      </w:r>
    </w:p>
    <w:p w14:paraId="5A4C91BA">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2.培训应包括医疗设备的安全使用知识，包括设备的使用期限、禁忌、注意事项等。</w:t>
      </w:r>
    </w:p>
    <w:p w14:paraId="467F7924">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3.培训内容应涵盖设备的维护和保养方法，以及特殊运输、贮存的条件和方法。</w:t>
      </w:r>
    </w:p>
    <w:p w14:paraId="23573B7D">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4.培训应包括设备故障和问题应急处理，以便在紧急情况下能够迅速有效地采取措施。</w:t>
      </w:r>
    </w:p>
    <w:p w14:paraId="6491E2FB">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5.培训应包括对医疗器械质量控制的理解和实践，确保设备在使用过程中的质量和性能。</w:t>
      </w:r>
    </w:p>
    <w:p w14:paraId="45CCD9CB">
      <w:pPr>
        <w:spacing w:after="0" w:line="240" w:lineRule="auto"/>
        <w:jc w:val="left"/>
        <w:rPr>
          <w:rFonts w:hint="eastAsia" w:ascii="宋体" w:hAnsi="宋体" w:eastAsia="宋体" w:cs="宋体"/>
          <w:b/>
          <w:bCs/>
          <w:color w:val="000000" w:themeColor="text1"/>
          <w:sz w:val="21"/>
          <w:szCs w:val="21"/>
          <w:shd w:val="clear" w:color="auto" w:fill="FDFDFE"/>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七、付款方式</w:t>
      </w:r>
    </w:p>
    <w:p w14:paraId="5ECC2DEA">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5A0A5CCC">
      <w:pPr>
        <w:spacing w:after="0" w:line="240" w:lineRule="auto"/>
        <w:jc w:val="left"/>
        <w:rPr>
          <w:rFonts w:hint="eastAsia" w:ascii="宋体" w:hAnsi="宋体" w:eastAsia="宋体" w:cs="宋体"/>
          <w:color w:val="000000" w:themeColor="text1"/>
          <w:sz w:val="21"/>
          <w:szCs w:val="21"/>
          <w:shd w:val="clear" w:color="auto" w:fill="FDFDF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7CBA16EB">
      <w:pPr>
        <w:spacing w:after="0" w:line="240" w:lineRule="auto"/>
        <w:rPr>
          <w:rFonts w:hint="eastAsia" w:ascii="宋体" w:hAnsi="宋体" w:eastAsia="宋体" w:cs="宋体"/>
          <w:color w:val="000000" w:themeColor="text1"/>
          <w:sz w:val="21"/>
          <w:szCs w:val="21"/>
          <w14:textFill>
            <w14:solidFill>
              <w14:schemeClr w14:val="tx1"/>
            </w14:solidFill>
          </w14:textFill>
        </w:rPr>
      </w:pPr>
    </w:p>
    <w:p w14:paraId="3EBC9C8A">
      <w:pPr>
        <w:spacing w:after="0" w:line="24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包2：眼科A/B型超声诊断仪用户需求</w:t>
      </w:r>
    </w:p>
    <w:p w14:paraId="5C0DC1BC">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一、采购需求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9"/>
        <w:gridCol w:w="708"/>
        <w:gridCol w:w="1276"/>
        <w:gridCol w:w="1276"/>
        <w:gridCol w:w="2268"/>
      </w:tblGrid>
      <w:tr w14:paraId="7251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14:paraId="3F6752D9">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标的名称</w:t>
            </w:r>
          </w:p>
        </w:tc>
        <w:tc>
          <w:tcPr>
            <w:tcW w:w="709" w:type="dxa"/>
            <w:vAlign w:val="center"/>
          </w:tcPr>
          <w:p w14:paraId="312A13F2">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w:t>
            </w:r>
          </w:p>
        </w:tc>
        <w:tc>
          <w:tcPr>
            <w:tcW w:w="708" w:type="dxa"/>
            <w:vAlign w:val="center"/>
          </w:tcPr>
          <w:p w14:paraId="1C5600E7">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276" w:type="dxa"/>
            <w:vAlign w:val="center"/>
          </w:tcPr>
          <w:p w14:paraId="3AB107B4">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最高单价（万元）</w:t>
            </w:r>
          </w:p>
        </w:tc>
        <w:tc>
          <w:tcPr>
            <w:tcW w:w="1276" w:type="dxa"/>
            <w:vAlign w:val="center"/>
          </w:tcPr>
          <w:p w14:paraId="5FF7A959">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采购预算（万元）</w:t>
            </w:r>
          </w:p>
        </w:tc>
        <w:tc>
          <w:tcPr>
            <w:tcW w:w="2268" w:type="dxa"/>
            <w:vAlign w:val="center"/>
          </w:tcPr>
          <w:p w14:paraId="3638732A">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品目</w:t>
            </w:r>
          </w:p>
        </w:tc>
      </w:tr>
      <w:tr w14:paraId="2D11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14:paraId="39C9BC76">
            <w:pPr>
              <w:pStyle w:val="16"/>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眼科A/B型超声诊断仪</w:t>
            </w:r>
          </w:p>
        </w:tc>
        <w:tc>
          <w:tcPr>
            <w:tcW w:w="709" w:type="dxa"/>
            <w:vAlign w:val="center"/>
          </w:tcPr>
          <w:p w14:paraId="2315107C">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w:t>
            </w:r>
          </w:p>
        </w:tc>
        <w:tc>
          <w:tcPr>
            <w:tcW w:w="708" w:type="dxa"/>
            <w:vAlign w:val="center"/>
          </w:tcPr>
          <w:p w14:paraId="46AC7BCC">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276" w:type="dxa"/>
            <w:vAlign w:val="center"/>
          </w:tcPr>
          <w:p w14:paraId="64827D22">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9.5</w:t>
            </w:r>
          </w:p>
        </w:tc>
        <w:tc>
          <w:tcPr>
            <w:tcW w:w="1276" w:type="dxa"/>
            <w:vAlign w:val="center"/>
          </w:tcPr>
          <w:p w14:paraId="7140EB72">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9</w:t>
            </w:r>
          </w:p>
        </w:tc>
        <w:tc>
          <w:tcPr>
            <w:tcW w:w="2268" w:type="dxa"/>
            <w:vAlign w:val="center"/>
          </w:tcPr>
          <w:p w14:paraId="630AB589">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A02320500医用超声波仪器及设备</w:t>
            </w:r>
          </w:p>
        </w:tc>
      </w:tr>
    </w:tbl>
    <w:p w14:paraId="479B84F7">
      <w:pPr>
        <w:pStyle w:val="2"/>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报价包含各项税费、交通运输费、保险、装卸费、安装等合同实施过程中应预见或不可预见费用等所有费用。</w:t>
      </w:r>
    </w:p>
    <w:p w14:paraId="6B81750F">
      <w:pPr>
        <w:pStyle w:val="2"/>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 w:val="21"/>
          <w:szCs w:val="21"/>
          <w14:textFill>
            <w14:solidFill>
              <w14:schemeClr w14:val="tx1"/>
            </w14:solidFill>
          </w14:textFill>
        </w:rPr>
        <w:t>包含且不限于《医疗器械注册管理办法》、《医疗器械唯一标识系统规则》。</w:t>
      </w:r>
    </w:p>
    <w:p w14:paraId="6B63B483">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（二）项目基本概况介绍</w:t>
      </w:r>
    </w:p>
    <w:p w14:paraId="19AB17BD">
      <w:pPr>
        <w:widowControl/>
        <w:spacing w:after="0" w:line="24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本项目设备</w:t>
      </w:r>
      <w:r>
        <w:rPr>
          <w:rFonts w:hint="eastAsia" w:ascii="宋体" w:hAnsi="宋体" w:eastAsia="宋体" w:cs="宋体"/>
          <w:color w:val="000000" w:themeColor="text1"/>
          <w:kern w:val="0"/>
          <w:sz w:val="21"/>
          <w:szCs w:val="21"/>
          <w14:textFill>
            <w14:solidFill>
              <w14:schemeClr w14:val="tx1"/>
            </w14:solidFill>
          </w14:textFill>
        </w:rPr>
        <w:t>用于</w:t>
      </w:r>
      <w:r>
        <w:rPr>
          <w:rStyle w:val="29"/>
          <w:rFonts w:hint="eastAsia" w:ascii="宋体" w:hAnsi="宋体" w:eastAsia="宋体" w:cs="宋体"/>
          <w:color w:val="000000" w:themeColor="text1"/>
          <w:sz w:val="21"/>
          <w:szCs w:val="21"/>
          <w14:textFill>
            <w14:solidFill>
              <w14:schemeClr w14:val="tx1"/>
            </w14:solidFill>
          </w14:textFill>
        </w:rPr>
        <w:t>眼科</w:t>
      </w:r>
      <w:r>
        <w:rPr>
          <w:rFonts w:hint="eastAsia" w:ascii="宋体" w:hAnsi="宋体" w:eastAsia="宋体" w:cs="宋体"/>
          <w:color w:val="000000" w:themeColor="text1"/>
          <w:sz w:val="21"/>
          <w:szCs w:val="21"/>
          <w14:textFill>
            <w14:solidFill>
              <w14:schemeClr w14:val="tx1"/>
            </w14:solidFill>
          </w14:textFill>
        </w:rPr>
        <w:t>白内障、眼眶病、青光眼，可检查白瞳孔症(俗称猫眼)、屈光间质不清、视网膜和脉络膜脱离、眼底病、眼球萎缩、原因不明的视力减退、可疑眼内寄生虫和后巩膜炎、术后浅前房、玻璃体混浊或积血，以及各种原因引起的眼球突出、眼球穿孔伤和后部破裂伤。</w:t>
      </w:r>
    </w:p>
    <w:p w14:paraId="79FC86F5">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（三）参数要求</w:t>
      </w:r>
    </w:p>
    <w:p w14:paraId="0B1A95DC">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1.标称超声工作频率：A超探头≥</w:t>
      </w:r>
      <w:r>
        <w:rPr>
          <w:rFonts w:hint="eastAsia" w:ascii="宋体" w:hAnsi="宋体" w:eastAsia="宋体" w:cs="宋体"/>
          <w:color w:val="000000" w:themeColor="text1"/>
          <w:sz w:val="21"/>
          <w:szCs w:val="21"/>
          <w14:textFill>
            <w14:solidFill>
              <w14:schemeClr w14:val="tx1"/>
            </w14:solidFill>
          </w14:textFill>
        </w:rPr>
        <w:t>10MHz；B超探头≥</w:t>
      </w:r>
      <w:r>
        <w:rPr>
          <w:rFonts w:hint="eastAsia" w:ascii="宋体" w:hAnsi="宋体" w:eastAsia="宋体" w:cs="宋体"/>
          <w:color w:val="000000" w:themeColor="text1"/>
          <w:sz w:val="21"/>
          <w:szCs w:val="21"/>
          <w14:textFill>
            <w14:solidFill>
              <w14:schemeClr w14:val="tx1"/>
            </w14:solidFill>
          </w14:textFill>
        </w:rPr>
        <w:t>10MHz，灰阶：256 级</w:t>
      </w:r>
    </w:p>
    <w:p w14:paraId="01BFB347">
      <w:pPr>
        <w:pStyle w:val="73"/>
        <w:tabs>
          <w:tab w:val="left" w:pos="510"/>
          <w:tab w:val="left" w:pos="624"/>
        </w:tabs>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2.增益调节范围：1-105dB</w:t>
      </w:r>
    </w:p>
    <w:p w14:paraId="4A8DA7C2">
      <w:pPr>
        <w:pStyle w:val="73"/>
        <w:tabs>
          <w:tab w:val="left" w:pos="510"/>
          <w:tab w:val="left" w:pos="624"/>
        </w:tabs>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3.图像处理及信号后处理方式：帧平均、伪彩色、伽玛校正</w:t>
      </w:r>
    </w:p>
    <w:p w14:paraId="5B688A28">
      <w:pPr>
        <w:pStyle w:val="73"/>
        <w:tabs>
          <w:tab w:val="left" w:pos="510"/>
          <w:tab w:val="left" w:pos="624"/>
        </w:tabs>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bookmarkStart w:id="0" w:name="_Toc297708686"/>
      <w:bookmarkStart w:id="1" w:name="_Toc398556027"/>
      <w:r>
        <w:rPr>
          <w:rFonts w:hint="eastAsia" w:ascii="宋体" w:hAnsi="宋体" w:eastAsia="宋体" w:cs="宋体"/>
          <w:color w:val="000000" w:themeColor="text1"/>
          <w:sz w:val="21"/>
          <w:szCs w:val="21"/>
          <w14:textFill>
            <w14:solidFill>
              <w14:schemeClr w14:val="tx1"/>
            </w14:solidFill>
          </w14:textFill>
        </w:rPr>
        <w:t>4.数据处理计算机操作系统：Windows，支持触控操作</w:t>
      </w:r>
    </w:p>
    <w:bookmarkEnd w:id="0"/>
    <w:bookmarkEnd w:id="1"/>
    <w:p w14:paraId="51354371">
      <w:pPr>
        <w:pStyle w:val="73"/>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5.B型</w:t>
      </w:r>
    </w:p>
    <w:p w14:paraId="5EB02606">
      <w:pPr>
        <w:pStyle w:val="73"/>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5.1扫查范围：≥50</w:t>
      </w:r>
      <w:r>
        <w:rPr>
          <w:rFonts w:hint="eastAsia" w:ascii="宋体" w:hAnsi="宋体" w:eastAsia="宋体" w:cs="宋体"/>
          <w:color w:val="000000" w:themeColor="text1"/>
          <w:sz w:val="21"/>
          <w:szCs w:val="21"/>
          <w14:textFill>
            <w14:solidFill>
              <w14:schemeClr w14:val="tx1"/>
            </w14:solidFill>
          </w14:textFill>
        </w:rPr>
        <w:sym w:font="Symbol" w:char="F0B0"/>
      </w:r>
    </w:p>
    <w:p w14:paraId="07F432D3">
      <w:pPr>
        <w:pStyle w:val="73"/>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5.2探测深度：10MHz:不小于60mm</w:t>
      </w:r>
    </w:p>
    <w:p w14:paraId="48A4C022">
      <w:pPr>
        <w:pStyle w:val="73"/>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▲5.3纵向分辨力：10MHz:≤0.1mm</w:t>
      </w:r>
    </w:p>
    <w:p w14:paraId="3C48000D">
      <w:pPr>
        <w:pStyle w:val="73"/>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▲5.4横向分辨力：10MHz: ≤0.2mm</w:t>
      </w:r>
    </w:p>
    <w:p w14:paraId="34A4588B">
      <w:pPr>
        <w:pStyle w:val="73"/>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5.5扫描方式：机械扇形扫描</w:t>
      </w:r>
    </w:p>
    <w:p w14:paraId="3ED69FA8">
      <w:pPr>
        <w:pStyle w:val="73"/>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5.6 TGC：-20dB～20 dB动态范围，手动分段调节(六段调节)</w:t>
      </w:r>
    </w:p>
    <w:p w14:paraId="1183AD83">
      <w:pPr>
        <w:pStyle w:val="73"/>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5.7显示深度调节范围：33mm～60mm</w:t>
      </w:r>
    </w:p>
    <w:p w14:paraId="1718AC24">
      <w:pPr>
        <w:pStyle w:val="73"/>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5.8动态回放：10秒/100幅，循环或单幅播放</w:t>
      </w:r>
    </w:p>
    <w:p w14:paraId="47A6296C">
      <w:pPr>
        <w:pStyle w:val="73"/>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5.9彩色显示：≥8组彩色编码</w:t>
      </w:r>
    </w:p>
    <w:p w14:paraId="249108A0">
      <w:pPr>
        <w:pStyle w:val="73"/>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5.10病历信息输入：姓名，ID，性别，出生年月</w:t>
      </w:r>
    </w:p>
    <w:p w14:paraId="073CAF5F">
      <w:pPr>
        <w:pStyle w:val="73"/>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5.11探头持续扫描5分钟后，会自动冻结，以保护探头。</w:t>
      </w:r>
    </w:p>
    <w:p w14:paraId="6601719A">
      <w:pPr>
        <w:pStyle w:val="73"/>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▲5.12预留20兆B超探头接口，可配20兆探头以备升级使用（需有20兆探头AB超</w:t>
      </w:r>
      <w:r>
        <w:rPr>
          <w:rFonts w:hint="eastAsia" w:ascii="宋体" w:hAnsi="宋体" w:eastAsia="宋体" w:cs="宋体"/>
          <w:color w:val="000000" w:themeColor="text1"/>
          <w:sz w:val="21"/>
          <w:szCs w:val="21"/>
          <w:lang w:val="en-US" w:eastAsia="zh-CN"/>
          <w14:textFill>
            <w14:solidFill>
              <w14:schemeClr w14:val="tx1"/>
            </w14:solidFill>
          </w14:textFill>
        </w:rPr>
        <w:t>证明</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投标文件中提供产品彩页作为证明文件</w:t>
      </w:r>
      <w:r>
        <w:rPr>
          <w:rFonts w:hint="eastAsia" w:ascii="宋体" w:hAnsi="宋体" w:eastAsia="宋体" w:cs="宋体"/>
          <w:color w:val="000000" w:themeColor="text1"/>
          <w:sz w:val="21"/>
          <w:szCs w:val="21"/>
          <w14:textFill>
            <w14:solidFill>
              <w14:schemeClr w14:val="tx1"/>
            </w14:solidFill>
          </w14:textFill>
        </w:rPr>
        <w:t>）。</w:t>
      </w:r>
    </w:p>
    <w:p w14:paraId="544ACCEB">
      <w:pPr>
        <w:pStyle w:val="73"/>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6.A型</w:t>
      </w:r>
    </w:p>
    <w:p w14:paraId="3E4C178B">
      <w:pPr>
        <w:pStyle w:val="73"/>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6.1眼轴生物参数测量范围</w:t>
      </w:r>
    </w:p>
    <w:p w14:paraId="0D85F987">
      <w:pPr>
        <w:pStyle w:val="74"/>
        <w:tabs>
          <w:tab w:val="left" w:pos="868"/>
          <w:tab w:val="left" w:pos="1042"/>
        </w:tabs>
        <w:kinsoku w:val="0"/>
        <w:overflowPunct w:val="0"/>
        <w:autoSpaceDE w:val="0"/>
        <w:autoSpaceDN w:val="0"/>
        <w:snapToGrid w:val="0"/>
        <w:spacing w:after="0" w:line="240" w:lineRule="auto"/>
        <w:rPr>
          <w:rFonts w:hint="eastAsia"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6.2眼轴长度(AL)：15mm～40mm；</w:t>
      </w:r>
    </w:p>
    <w:p w14:paraId="779014DE">
      <w:pPr>
        <w:pStyle w:val="74"/>
        <w:tabs>
          <w:tab w:val="left" w:pos="868"/>
          <w:tab w:val="left" w:pos="1042"/>
        </w:tabs>
        <w:kinsoku w:val="0"/>
        <w:overflowPunct w:val="0"/>
        <w:autoSpaceDE w:val="0"/>
        <w:autoSpaceDN w:val="0"/>
        <w:snapToGrid w:val="0"/>
        <w:spacing w:after="0" w:line="240" w:lineRule="auto"/>
        <w:rPr>
          <w:rFonts w:hint="eastAsia"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6.3前房深度(AC)：2.0 mm～6.5mm；</w:t>
      </w:r>
    </w:p>
    <w:p w14:paraId="50D10F52">
      <w:pPr>
        <w:pStyle w:val="74"/>
        <w:tabs>
          <w:tab w:val="left" w:pos="868"/>
          <w:tab w:val="left" w:pos="1042"/>
        </w:tabs>
        <w:kinsoku w:val="0"/>
        <w:overflowPunct w:val="0"/>
        <w:autoSpaceDE w:val="0"/>
        <w:autoSpaceDN w:val="0"/>
        <w:snapToGrid w:val="0"/>
        <w:spacing w:after="0" w:line="240" w:lineRule="auto"/>
        <w:rPr>
          <w:rFonts w:hint="eastAsia"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6.4晶体厚度(LEN)：2.0 mm～6.5mm；</w:t>
      </w:r>
    </w:p>
    <w:p w14:paraId="2911E65B">
      <w:pPr>
        <w:pStyle w:val="74"/>
        <w:tabs>
          <w:tab w:val="left" w:pos="868"/>
          <w:tab w:val="left" w:pos="1042"/>
        </w:tabs>
        <w:kinsoku w:val="0"/>
        <w:overflowPunct w:val="0"/>
        <w:autoSpaceDE w:val="0"/>
        <w:autoSpaceDN w:val="0"/>
        <w:snapToGrid w:val="0"/>
        <w:spacing w:after="0" w:line="240" w:lineRule="auto"/>
        <w:rPr>
          <w:rFonts w:hint="eastAsia"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6.5玻璃体厚度(VITR)：12mm～33mm。</w:t>
      </w:r>
    </w:p>
    <w:p w14:paraId="0E401417">
      <w:pPr>
        <w:pStyle w:val="73"/>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▲6.6眼轴生物参数AL测量精度：误差不大于±0.05mm。</w:t>
      </w:r>
    </w:p>
    <w:p w14:paraId="11275F51">
      <w:pPr>
        <w:pStyle w:val="73"/>
        <w:spacing w:after="0" w:line="240" w:lineRule="auto"/>
        <w:ind w:firstLine="105" w:firstLineChars="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6.7测量模式：五组(正常眼、无晶体眼、特殊眼、致密白内障眼、手动测量)</w:t>
      </w:r>
    </w:p>
    <w:p w14:paraId="107654C3">
      <w:pPr>
        <w:pStyle w:val="73"/>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▲6.8测量方式：浸润（Immersion）/ 接触（Contact）测量</w:t>
      </w:r>
    </w:p>
    <w:p w14:paraId="74E0FCBF">
      <w:pPr>
        <w:pStyle w:val="73"/>
        <w:spacing w:after="0" w:line="240" w:lineRule="auto"/>
        <w:ind w:left="-24" w:leftChars="-11"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▲6.9人工晶体计算：≥11组</w:t>
      </w:r>
    </w:p>
    <w:p w14:paraId="1B87A9D3">
      <w:pPr>
        <w:pStyle w:val="73"/>
        <w:spacing w:after="0" w:line="240" w:lineRule="auto"/>
        <w:ind w:left="-24" w:leftChars="-11"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6.10标准：SRK-T、SRK-II、BINK-II、HOLLADAY、HOFFER-Q、HAIGIS</w:t>
      </w:r>
    </w:p>
    <w:p w14:paraId="04131B3F">
      <w:pPr>
        <w:pStyle w:val="73"/>
        <w:spacing w:after="0" w:line="240" w:lineRule="auto"/>
        <w:ind w:left="-24" w:leftChars="-11"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6.11屈光术后：</w:t>
      </w:r>
      <w:bookmarkStart w:id="2" w:name="OLE_LINK1"/>
      <w:bookmarkStart w:id="3" w:name="OLE_LINK2"/>
      <w:r>
        <w:rPr>
          <w:rFonts w:hint="eastAsia" w:ascii="宋体" w:hAnsi="宋体" w:eastAsia="宋体" w:cs="宋体"/>
          <w:color w:val="000000" w:themeColor="text1"/>
          <w:sz w:val="21"/>
          <w:szCs w:val="21"/>
          <w14:textFill>
            <w14:solidFill>
              <w14:schemeClr w14:val="tx1"/>
            </w14:solidFill>
          </w14:textFill>
        </w:rPr>
        <w:t>History-derived Double K/SRK-T Refraction-derived ROSA SHAMMAS</w:t>
      </w:r>
      <w:bookmarkEnd w:id="2"/>
      <w:bookmarkEnd w:id="3"/>
    </w:p>
    <w:p w14:paraId="63329896">
      <w:pPr>
        <w:widowControl/>
        <w:tabs>
          <w:tab w:val="left" w:pos="420"/>
        </w:tabs>
        <w:spacing w:after="0" w:line="240" w:lineRule="auto"/>
        <w:rPr>
          <w:rStyle w:val="25"/>
          <w:rFonts w:hint="eastAsia" w:ascii="宋体" w:hAnsi="宋体" w:eastAsia="宋体" w:cs="宋体"/>
          <w:b w:val="0"/>
          <w:bCs/>
          <w:color w:val="000000" w:themeColor="text1"/>
          <w:sz w:val="21"/>
          <w:szCs w:val="21"/>
          <w:shd w:val="clear" w:color="auto" w:fill="FDFDFE"/>
          <w14:textFill>
            <w14:solidFill>
              <w14:schemeClr w14:val="tx1"/>
            </w14:solidFill>
          </w14:textFill>
        </w:rPr>
      </w:pPr>
      <w:r>
        <w:rPr>
          <w:rStyle w:val="25"/>
          <w:rFonts w:hint="eastAsia" w:ascii="宋体" w:hAnsi="宋体" w:eastAsia="宋体" w:cs="宋体"/>
          <w:color w:val="000000" w:themeColor="text1"/>
          <w:sz w:val="21"/>
          <w:szCs w:val="21"/>
          <w:shd w:val="clear" w:color="auto" w:fill="FDFDFE"/>
          <w14:textFill>
            <w14:solidFill>
              <w14:schemeClr w14:val="tx1"/>
            </w14:solidFill>
          </w14:textFill>
        </w:rPr>
        <w:t>（四）单台配置</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992"/>
        <w:gridCol w:w="993"/>
      </w:tblGrid>
      <w:tr w14:paraId="6C6C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62DED8B">
            <w:pPr>
              <w:pStyle w:val="2"/>
              <w:spacing w:after="0" w:line="240" w:lineRule="auto"/>
              <w:ind w:firstLine="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3827" w:type="dxa"/>
            <w:vAlign w:val="center"/>
          </w:tcPr>
          <w:p w14:paraId="3F444A7B">
            <w:pPr>
              <w:pStyle w:val="2"/>
              <w:spacing w:after="0" w:line="240" w:lineRule="auto"/>
              <w:ind w:firstLine="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配置名称</w:t>
            </w:r>
          </w:p>
        </w:tc>
        <w:tc>
          <w:tcPr>
            <w:tcW w:w="992" w:type="dxa"/>
            <w:vAlign w:val="center"/>
          </w:tcPr>
          <w:p w14:paraId="6A4165BE">
            <w:pPr>
              <w:pStyle w:val="2"/>
              <w:spacing w:after="0" w:line="240" w:lineRule="auto"/>
              <w:ind w:firstLine="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数量</w:t>
            </w:r>
          </w:p>
        </w:tc>
        <w:tc>
          <w:tcPr>
            <w:tcW w:w="993" w:type="dxa"/>
            <w:vAlign w:val="center"/>
          </w:tcPr>
          <w:p w14:paraId="760BEFD8">
            <w:pPr>
              <w:pStyle w:val="2"/>
              <w:spacing w:after="0" w:line="240" w:lineRule="auto"/>
              <w:ind w:firstLine="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w:t>
            </w:r>
          </w:p>
        </w:tc>
      </w:tr>
      <w:tr w14:paraId="3960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5A6A382">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3827" w:type="dxa"/>
            <w:vAlign w:val="center"/>
          </w:tcPr>
          <w:p w14:paraId="47848E1A">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主机</w:t>
            </w:r>
          </w:p>
        </w:tc>
        <w:tc>
          <w:tcPr>
            <w:tcW w:w="992" w:type="dxa"/>
            <w:vAlign w:val="center"/>
          </w:tcPr>
          <w:p w14:paraId="23228C57">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vAlign w:val="center"/>
          </w:tcPr>
          <w:p w14:paraId="28839719">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5C1C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C960B31">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3827" w:type="dxa"/>
            <w:vAlign w:val="center"/>
          </w:tcPr>
          <w:p w14:paraId="4AD2947D">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键盘标鼠套装</w:t>
            </w:r>
          </w:p>
        </w:tc>
        <w:tc>
          <w:tcPr>
            <w:tcW w:w="992" w:type="dxa"/>
            <w:vAlign w:val="center"/>
          </w:tcPr>
          <w:p w14:paraId="3AF40454">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vAlign w:val="center"/>
          </w:tcPr>
          <w:p w14:paraId="337495EB">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28A8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BEFE3F9">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3827" w:type="dxa"/>
            <w:vAlign w:val="center"/>
          </w:tcPr>
          <w:p w14:paraId="4D09B753">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A超探头</w:t>
            </w:r>
          </w:p>
        </w:tc>
        <w:tc>
          <w:tcPr>
            <w:tcW w:w="992" w:type="dxa"/>
            <w:vAlign w:val="center"/>
          </w:tcPr>
          <w:p w14:paraId="08CACC43">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vAlign w:val="center"/>
          </w:tcPr>
          <w:p w14:paraId="670AE966">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434D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14DE83A">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3827" w:type="dxa"/>
            <w:vAlign w:val="center"/>
          </w:tcPr>
          <w:p w14:paraId="54D2EEDB">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B超探头</w:t>
            </w:r>
          </w:p>
        </w:tc>
        <w:tc>
          <w:tcPr>
            <w:tcW w:w="992" w:type="dxa"/>
            <w:vAlign w:val="center"/>
          </w:tcPr>
          <w:p w14:paraId="3B223614">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vAlign w:val="center"/>
          </w:tcPr>
          <w:p w14:paraId="2A817409">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31F1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5480A8F">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3827" w:type="dxa"/>
            <w:vAlign w:val="center"/>
          </w:tcPr>
          <w:p w14:paraId="37C9CED1">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电源适配器</w:t>
            </w:r>
          </w:p>
        </w:tc>
        <w:tc>
          <w:tcPr>
            <w:tcW w:w="992" w:type="dxa"/>
            <w:vAlign w:val="center"/>
          </w:tcPr>
          <w:p w14:paraId="540FEA9C">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vAlign w:val="center"/>
          </w:tcPr>
          <w:p w14:paraId="01A855D7">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1622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54D95C7">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3827" w:type="dxa"/>
            <w:vAlign w:val="center"/>
          </w:tcPr>
          <w:p w14:paraId="2C77B232">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电源线</w:t>
            </w:r>
          </w:p>
        </w:tc>
        <w:tc>
          <w:tcPr>
            <w:tcW w:w="992" w:type="dxa"/>
            <w:vAlign w:val="center"/>
          </w:tcPr>
          <w:p w14:paraId="06FC0185">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vAlign w:val="center"/>
          </w:tcPr>
          <w:p w14:paraId="0CD302E1">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69F7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80D044D">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3827" w:type="dxa"/>
            <w:vAlign w:val="center"/>
          </w:tcPr>
          <w:p w14:paraId="666AE09D">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视频线</w:t>
            </w:r>
          </w:p>
        </w:tc>
        <w:tc>
          <w:tcPr>
            <w:tcW w:w="992" w:type="dxa"/>
            <w:vAlign w:val="center"/>
          </w:tcPr>
          <w:p w14:paraId="2D37D914">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vAlign w:val="center"/>
          </w:tcPr>
          <w:p w14:paraId="528F9946">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48CF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8DC3177">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3827" w:type="dxa"/>
            <w:vAlign w:val="center"/>
          </w:tcPr>
          <w:p w14:paraId="6262A1C2">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脚踏开关</w:t>
            </w:r>
          </w:p>
        </w:tc>
        <w:tc>
          <w:tcPr>
            <w:tcW w:w="992" w:type="dxa"/>
            <w:vAlign w:val="center"/>
          </w:tcPr>
          <w:p w14:paraId="7CE46F28">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vAlign w:val="center"/>
          </w:tcPr>
          <w:p w14:paraId="62895002">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1573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3EE01FF">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3827" w:type="dxa"/>
            <w:vAlign w:val="center"/>
          </w:tcPr>
          <w:p w14:paraId="6CCF7F9B">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探头架</w:t>
            </w:r>
          </w:p>
        </w:tc>
        <w:tc>
          <w:tcPr>
            <w:tcW w:w="992" w:type="dxa"/>
            <w:vAlign w:val="center"/>
          </w:tcPr>
          <w:p w14:paraId="6F5F53B1">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vAlign w:val="center"/>
          </w:tcPr>
          <w:p w14:paraId="371AAD34">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067F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B073C78">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3827" w:type="dxa"/>
            <w:vAlign w:val="center"/>
          </w:tcPr>
          <w:p w14:paraId="2FA79033">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生物测量模罐</w:t>
            </w:r>
          </w:p>
        </w:tc>
        <w:tc>
          <w:tcPr>
            <w:tcW w:w="992" w:type="dxa"/>
            <w:vAlign w:val="center"/>
          </w:tcPr>
          <w:p w14:paraId="4A53CEBE">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vAlign w:val="center"/>
          </w:tcPr>
          <w:p w14:paraId="0C2F1D2D">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622D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278C8E2">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3827" w:type="dxa"/>
            <w:vAlign w:val="center"/>
          </w:tcPr>
          <w:p w14:paraId="5D2A4B3A">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使用说明书</w:t>
            </w:r>
          </w:p>
        </w:tc>
        <w:tc>
          <w:tcPr>
            <w:tcW w:w="992" w:type="dxa"/>
            <w:vAlign w:val="center"/>
          </w:tcPr>
          <w:p w14:paraId="32CE0C47">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vAlign w:val="center"/>
          </w:tcPr>
          <w:p w14:paraId="4112E754">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w:t>
            </w:r>
          </w:p>
        </w:tc>
      </w:tr>
      <w:tr w14:paraId="456F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400A5D3">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p>
        </w:tc>
        <w:tc>
          <w:tcPr>
            <w:tcW w:w="3827" w:type="dxa"/>
            <w:vAlign w:val="center"/>
          </w:tcPr>
          <w:p w14:paraId="44E6851C">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装箱单</w:t>
            </w:r>
          </w:p>
        </w:tc>
        <w:tc>
          <w:tcPr>
            <w:tcW w:w="992" w:type="dxa"/>
            <w:vAlign w:val="center"/>
          </w:tcPr>
          <w:p w14:paraId="3AFE5B9C">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vAlign w:val="center"/>
          </w:tcPr>
          <w:p w14:paraId="026B147C">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2891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584D43D">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w:t>
            </w:r>
          </w:p>
        </w:tc>
        <w:tc>
          <w:tcPr>
            <w:tcW w:w="3827" w:type="dxa"/>
            <w:vAlign w:val="center"/>
          </w:tcPr>
          <w:p w14:paraId="66AC0771">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保修卡</w:t>
            </w:r>
          </w:p>
        </w:tc>
        <w:tc>
          <w:tcPr>
            <w:tcW w:w="992" w:type="dxa"/>
            <w:vAlign w:val="center"/>
          </w:tcPr>
          <w:p w14:paraId="2BC64A92">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vAlign w:val="center"/>
          </w:tcPr>
          <w:p w14:paraId="0A200100">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5136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2266870">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w:t>
            </w:r>
          </w:p>
        </w:tc>
        <w:tc>
          <w:tcPr>
            <w:tcW w:w="3827" w:type="dxa"/>
            <w:vAlign w:val="center"/>
          </w:tcPr>
          <w:p w14:paraId="19A6446B">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合格证</w:t>
            </w:r>
          </w:p>
        </w:tc>
        <w:tc>
          <w:tcPr>
            <w:tcW w:w="992" w:type="dxa"/>
            <w:vAlign w:val="center"/>
          </w:tcPr>
          <w:p w14:paraId="053F4E98">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vAlign w:val="center"/>
          </w:tcPr>
          <w:p w14:paraId="63E28724">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0F1C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4B283D3">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c>
          <w:tcPr>
            <w:tcW w:w="3827" w:type="dxa"/>
            <w:vAlign w:val="center"/>
          </w:tcPr>
          <w:p w14:paraId="7B704E0E">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产品三证</w:t>
            </w:r>
          </w:p>
        </w:tc>
        <w:tc>
          <w:tcPr>
            <w:tcW w:w="992" w:type="dxa"/>
            <w:vAlign w:val="center"/>
          </w:tcPr>
          <w:p w14:paraId="523333AC">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vAlign w:val="center"/>
          </w:tcPr>
          <w:p w14:paraId="3413D965">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7319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A740521">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w:t>
            </w:r>
          </w:p>
        </w:tc>
        <w:tc>
          <w:tcPr>
            <w:tcW w:w="3827" w:type="dxa"/>
            <w:vAlign w:val="center"/>
          </w:tcPr>
          <w:p w14:paraId="1BDBA309">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产品中有害物质的名称及含量表</w:t>
            </w:r>
          </w:p>
        </w:tc>
        <w:tc>
          <w:tcPr>
            <w:tcW w:w="992" w:type="dxa"/>
            <w:vAlign w:val="center"/>
          </w:tcPr>
          <w:p w14:paraId="074E4C56">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vAlign w:val="center"/>
          </w:tcPr>
          <w:p w14:paraId="6C364B63">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21C9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558CC1D">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w:t>
            </w:r>
          </w:p>
        </w:tc>
        <w:tc>
          <w:tcPr>
            <w:tcW w:w="3827" w:type="dxa"/>
            <w:vAlign w:val="center"/>
          </w:tcPr>
          <w:p w14:paraId="56388135">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图文输出装置</w:t>
            </w:r>
          </w:p>
        </w:tc>
        <w:tc>
          <w:tcPr>
            <w:tcW w:w="992" w:type="dxa"/>
            <w:vAlign w:val="center"/>
          </w:tcPr>
          <w:p w14:paraId="5CC879BD">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vAlign w:val="center"/>
          </w:tcPr>
          <w:p w14:paraId="23B1159B">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6388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25C1F33">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p>
        </w:tc>
        <w:tc>
          <w:tcPr>
            <w:tcW w:w="3827" w:type="dxa"/>
            <w:vAlign w:val="center"/>
          </w:tcPr>
          <w:p w14:paraId="5400D04B">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B探头架</w:t>
            </w:r>
          </w:p>
        </w:tc>
        <w:tc>
          <w:tcPr>
            <w:tcW w:w="992" w:type="dxa"/>
            <w:vAlign w:val="center"/>
          </w:tcPr>
          <w:p w14:paraId="2D735460">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vAlign w:val="center"/>
          </w:tcPr>
          <w:p w14:paraId="521A7E2E">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bl>
    <w:p w14:paraId="2EA247A0">
      <w:pPr>
        <w:pStyle w:val="2"/>
        <w:spacing w:after="0" w:line="240" w:lineRule="auto"/>
        <w:ind w:firstLine="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（五）质保期及售后服务要求</w:t>
      </w:r>
    </w:p>
    <w:p w14:paraId="5E67FCAF">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1.提供至少5年的免费质保服务，包括设备故障维修、软件升级等。</w:t>
      </w:r>
    </w:p>
    <w:p w14:paraId="500505DE">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2.中标后设立24小时客服热线，确保在设备使用过程中能够及时解决各类问题。</w:t>
      </w:r>
    </w:p>
    <w:p w14:paraId="791B5A67">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3.提供每季度至少一次的设备巡检和维护服务，确保设备长期稳定运行。</w:t>
      </w:r>
    </w:p>
    <w:p w14:paraId="3E90B916">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4.提供完善的培训和技术支持服务，确保医护人员能够熟练掌握设备操作。</w:t>
      </w:r>
    </w:p>
    <w:p w14:paraId="4BA2B51C">
      <w:pPr>
        <w:widowControl/>
        <w:tabs>
          <w:tab w:val="left" w:pos="420"/>
        </w:tabs>
        <w:spacing w:after="0" w:line="240" w:lineRule="auto"/>
        <w:rPr>
          <w:rStyle w:val="25"/>
          <w:rFonts w:hint="eastAsia" w:ascii="宋体" w:hAnsi="宋体" w:eastAsia="宋体" w:cs="宋体"/>
          <w:color w:val="000000" w:themeColor="text1"/>
          <w:sz w:val="21"/>
          <w:szCs w:val="21"/>
          <w:shd w:val="clear" w:color="auto" w:fill="FDFDFE"/>
          <w14:textFill>
            <w14:solidFill>
              <w14:schemeClr w14:val="tx1"/>
            </w14:solidFill>
          </w14:textFill>
        </w:rPr>
      </w:pPr>
      <w:r>
        <w:rPr>
          <w:rStyle w:val="25"/>
          <w:rFonts w:hint="eastAsia" w:ascii="宋体" w:hAnsi="宋体" w:eastAsia="宋体" w:cs="宋体"/>
          <w:color w:val="000000" w:themeColor="text1"/>
          <w:sz w:val="21"/>
          <w:szCs w:val="21"/>
          <w:shd w:val="clear" w:color="auto" w:fill="FDFDFE"/>
          <w14:textFill>
            <w14:solidFill>
              <w14:schemeClr w14:val="tx1"/>
            </w14:solidFill>
          </w14:textFill>
        </w:rPr>
        <w:t>（六）基本要求</w:t>
      </w:r>
    </w:p>
    <w:p w14:paraId="467A2576">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★1.所投设备具有有效的医疗器械注册证明（如国家有相关规定）。</w:t>
      </w:r>
    </w:p>
    <w:p w14:paraId="018E7FF8">
      <w:pPr>
        <w:spacing w:after="0" w:line="240" w:lineRule="auto"/>
        <w:rPr>
          <w:rFonts w:hint="eastAsia" w:ascii="宋体" w:hAnsi="宋体" w:eastAsia="宋体" w:cs="宋体"/>
          <w:color w:val="000000" w:themeColor="text1"/>
          <w:sz w:val="21"/>
          <w:szCs w:val="21"/>
          <w:shd w:val="clear" w:color="auto" w:fill="FDFDF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▲2.如投标人为代理经销商，应提供制造商对所投产品的合法授权函。</w:t>
      </w:r>
    </w:p>
    <w:p w14:paraId="651615C6">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p>
    <w:p w14:paraId="53003104">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二、交货要求</w:t>
      </w:r>
    </w:p>
    <w:p w14:paraId="7D58C793">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（一）交货期：合同签订后收到采购人供货通知后30日历天内交货、安装、调试。</w:t>
      </w:r>
    </w:p>
    <w:p w14:paraId="1BF01F1E">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（二）交货地点：广州市第一人民医院（采购人指定地点）。中标人需按有关标准提供货物的包装，并采用恰当的方式将货物运抵交货地点。</w:t>
      </w:r>
    </w:p>
    <w:p w14:paraId="05302217">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p>
    <w:p w14:paraId="1CA4EF10">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三、包装、运输及到货检验</w:t>
      </w:r>
    </w:p>
    <w:p w14:paraId="55A6BAB8">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1.设备需由原厂包装，包装箱内需有下列随箱资料：产品合格证（包括出厂试验数据）、产品使用说明书、随箱清单等。</w:t>
      </w:r>
    </w:p>
    <w:p w14:paraId="15D9777B">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2.中标人负责所有设备从出厂到安装现场的运输。</w:t>
      </w:r>
    </w:p>
    <w:p w14:paraId="136E0941">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4454B9E2">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p>
    <w:p w14:paraId="76391C48">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四、安装调试要求</w:t>
      </w:r>
    </w:p>
    <w:p w14:paraId="69BB216D">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1.安装和调试应由具备相应资质和能力的专业技术人员执行，确保设备的正确安装和功能的正常发挥。</w:t>
      </w:r>
    </w:p>
    <w:p w14:paraId="00A7B0DA">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2.安装前应确保产品名称、型号、规格、生产企业信息、医疗器械注册证编号等信息明确无误。</w:t>
      </w:r>
    </w:p>
    <w:p w14:paraId="50ABD84C">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3.在安装和调试过程中，必须遵守相应的操作规程和标准，以确保过程的准确性和可靠性。</w:t>
      </w:r>
    </w:p>
    <w:p w14:paraId="3F895C50">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4.在验收过程中，应有详细的报告记录测试和调试的结果，确保所有功能都符合规定的要求。</w:t>
      </w:r>
    </w:p>
    <w:p w14:paraId="1DDE146A">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p>
    <w:p w14:paraId="21D11693">
      <w:pPr>
        <w:spacing w:after="0" w:line="240" w:lineRule="auto"/>
        <w:jc w:val="left"/>
        <w:rPr>
          <w:rFonts w:hint="eastAsia" w:ascii="宋体" w:hAnsi="宋体" w:eastAsia="宋体" w:cs="宋体"/>
          <w:b/>
          <w:bCs/>
          <w:color w:val="000000" w:themeColor="text1"/>
          <w:sz w:val="21"/>
          <w:szCs w:val="21"/>
          <w:shd w:val="clear" w:color="auto" w:fill="FDFDFE"/>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五、验收要求和验收标准</w:t>
      </w:r>
    </w:p>
    <w:p w14:paraId="57C150BF">
      <w:pPr>
        <w:spacing w:after="0" w:line="240" w:lineRule="auto"/>
        <w:jc w:val="left"/>
        <w:rPr>
          <w:rFonts w:hint="eastAsia" w:ascii="宋体" w:hAnsi="宋体" w:eastAsia="宋体" w:cs="宋体"/>
          <w:color w:val="000000" w:themeColor="text1"/>
          <w:sz w:val="21"/>
          <w:szCs w:val="21"/>
          <w:shd w:val="clear" w:color="auto" w:fill="FDFDF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4E4F2886">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p>
    <w:p w14:paraId="1406C68E">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六、培训要求</w:t>
      </w:r>
    </w:p>
    <w:p w14:paraId="16996EFB">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1.须提供设备使用维护培训，使采购人使用人员能掌握设备的结构原理、检修方法与操作要点。</w:t>
      </w:r>
    </w:p>
    <w:p w14:paraId="649D70C9">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2.培训应包括医疗设备的安全使用知识，包括设备的使用期限、禁忌、注意事项等。</w:t>
      </w:r>
    </w:p>
    <w:p w14:paraId="5BD1FF8A">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3.培训内容应涵盖设备的维护和保养方法，以及特殊运输、贮存的条件和方法。</w:t>
      </w:r>
    </w:p>
    <w:p w14:paraId="0D93C6D5">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4.培训应包括设备故障和问题应急处理，以便在紧急情况下能够迅速有效地采取措施。</w:t>
      </w:r>
    </w:p>
    <w:p w14:paraId="3583F36E">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5.培训应包括对医疗器械质量控制的理解和实践，确保设备在使用过程中的质量和性能。</w:t>
      </w:r>
    </w:p>
    <w:p w14:paraId="57CE5C3A">
      <w:pPr>
        <w:spacing w:after="0" w:line="240" w:lineRule="auto"/>
        <w:jc w:val="left"/>
        <w:rPr>
          <w:rFonts w:hint="eastAsia" w:ascii="宋体" w:hAnsi="宋体" w:eastAsia="宋体" w:cs="宋体"/>
          <w:b/>
          <w:bCs/>
          <w:color w:val="000000" w:themeColor="text1"/>
          <w:sz w:val="21"/>
          <w:szCs w:val="21"/>
          <w:shd w:val="clear" w:color="auto" w:fill="FDFDFE"/>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七、付款方式</w:t>
      </w:r>
    </w:p>
    <w:p w14:paraId="6A6F04F8">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7A561B15">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608B020D">
      <w:pPr>
        <w:spacing w:after="0" w:line="24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包3：角膜内皮显微镜用户需求</w:t>
      </w:r>
    </w:p>
    <w:p w14:paraId="56E012E4">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一、采购需求</w:t>
      </w:r>
    </w:p>
    <w:tbl>
      <w:tblPr>
        <w:tblStyle w:val="22"/>
        <w:tblW w:w="6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09"/>
        <w:gridCol w:w="708"/>
        <w:gridCol w:w="1276"/>
        <w:gridCol w:w="2268"/>
      </w:tblGrid>
      <w:tr w14:paraId="75A3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413" w:type="dxa"/>
            <w:vAlign w:val="center"/>
          </w:tcPr>
          <w:p w14:paraId="6D418AFE">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标的名称</w:t>
            </w:r>
          </w:p>
        </w:tc>
        <w:tc>
          <w:tcPr>
            <w:tcW w:w="709" w:type="dxa"/>
            <w:vAlign w:val="center"/>
          </w:tcPr>
          <w:p w14:paraId="067E2E22">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w:t>
            </w:r>
          </w:p>
        </w:tc>
        <w:tc>
          <w:tcPr>
            <w:tcW w:w="708" w:type="dxa"/>
            <w:vAlign w:val="center"/>
          </w:tcPr>
          <w:p w14:paraId="31BC8B92">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276" w:type="dxa"/>
            <w:vAlign w:val="center"/>
          </w:tcPr>
          <w:p w14:paraId="0F9DC61E">
            <w:pPr>
              <w:spacing w:after="0" w:line="24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采购预算（万元）</w:t>
            </w:r>
          </w:p>
        </w:tc>
        <w:tc>
          <w:tcPr>
            <w:tcW w:w="2268" w:type="dxa"/>
            <w:vAlign w:val="center"/>
          </w:tcPr>
          <w:p w14:paraId="32C61F1A">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品目</w:t>
            </w:r>
          </w:p>
        </w:tc>
      </w:tr>
      <w:tr w14:paraId="4B2A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413" w:type="dxa"/>
            <w:vAlign w:val="center"/>
          </w:tcPr>
          <w:p w14:paraId="2E3DD01C">
            <w:pPr>
              <w:pStyle w:val="16"/>
              <w:spacing w:after="0" w:line="240" w:lineRule="auto"/>
              <w:jc w:val="center"/>
              <w:rPr>
                <w:rFonts w:hint="eastAsia" w:ascii="宋体" w:hAnsi="宋体" w:eastAsia="宋体" w:cs="宋体"/>
                <w:color w:val="000000" w:themeColor="text1"/>
                <w:sz w:val="21"/>
                <w:szCs w:val="21"/>
                <w:lang w:eastAsia="zh-Hans"/>
                <w14:textFill>
                  <w14:solidFill>
                    <w14:schemeClr w14:val="tx1"/>
                  </w14:solidFill>
                </w14:textFill>
              </w:rPr>
            </w:pPr>
            <w:r>
              <w:rPr>
                <w:rFonts w:hint="eastAsia" w:ascii="宋体" w:hAnsi="宋体" w:eastAsia="宋体" w:cs="宋体"/>
                <w:color w:val="000000" w:themeColor="text1"/>
                <w:sz w:val="21"/>
                <w:szCs w:val="21"/>
                <w:lang w:eastAsia="zh-Hans"/>
                <w14:textFill>
                  <w14:solidFill>
                    <w14:schemeClr w14:val="tx1"/>
                  </w14:solidFill>
                </w14:textFill>
              </w:rPr>
              <w:t>角膜内皮显微镜</w:t>
            </w:r>
          </w:p>
        </w:tc>
        <w:tc>
          <w:tcPr>
            <w:tcW w:w="709" w:type="dxa"/>
            <w:vAlign w:val="center"/>
          </w:tcPr>
          <w:p w14:paraId="14658A08">
            <w:pPr>
              <w:spacing w:after="0" w:line="240" w:lineRule="auto"/>
              <w:jc w:val="center"/>
              <w:rPr>
                <w:rFonts w:hint="eastAsia" w:ascii="宋体" w:hAnsi="宋体" w:eastAsia="宋体" w:cs="宋体"/>
                <w:color w:val="000000" w:themeColor="text1"/>
                <w:sz w:val="21"/>
                <w:szCs w:val="21"/>
                <w:lang w:eastAsia="zh-Hans"/>
                <w14:textFill>
                  <w14:solidFill>
                    <w14:schemeClr w14:val="tx1"/>
                  </w14:solidFill>
                </w14:textFill>
              </w:rPr>
            </w:pPr>
            <w:r>
              <w:rPr>
                <w:rFonts w:hint="eastAsia" w:ascii="宋体" w:hAnsi="宋体" w:eastAsia="宋体" w:cs="宋体"/>
                <w:color w:val="000000" w:themeColor="text1"/>
                <w:sz w:val="21"/>
                <w:szCs w:val="21"/>
                <w:lang w:eastAsia="zh-Hans"/>
                <w14:textFill>
                  <w14:solidFill>
                    <w14:schemeClr w14:val="tx1"/>
                  </w14:solidFill>
                </w14:textFill>
              </w:rPr>
              <w:t>台</w:t>
            </w:r>
          </w:p>
        </w:tc>
        <w:tc>
          <w:tcPr>
            <w:tcW w:w="708" w:type="dxa"/>
            <w:vAlign w:val="center"/>
          </w:tcPr>
          <w:p w14:paraId="166D0FCE">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276" w:type="dxa"/>
            <w:vAlign w:val="center"/>
          </w:tcPr>
          <w:p w14:paraId="40F96EFF">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万元</w:t>
            </w:r>
          </w:p>
        </w:tc>
        <w:tc>
          <w:tcPr>
            <w:tcW w:w="2268" w:type="dxa"/>
            <w:vAlign w:val="center"/>
          </w:tcPr>
          <w:p w14:paraId="3C23F997">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A02320400医用光学仪器</w:t>
            </w:r>
          </w:p>
        </w:tc>
      </w:tr>
    </w:tbl>
    <w:p w14:paraId="469C8F78">
      <w:pPr>
        <w:pStyle w:val="2"/>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报价包含各项税费、交通运输费、保险、装卸费、安装等合同实施过程中应预见或不可预见费用等所有费用。</w:t>
      </w:r>
    </w:p>
    <w:p w14:paraId="7F38C91B">
      <w:pPr>
        <w:pStyle w:val="2"/>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 w:val="21"/>
          <w:szCs w:val="21"/>
          <w14:textFill>
            <w14:solidFill>
              <w14:schemeClr w14:val="tx1"/>
            </w14:solidFill>
          </w14:textFill>
        </w:rPr>
        <w:t>包含且不限于《医疗器械注册管理办法》、《医疗器械唯一标识系统规则》。</w:t>
      </w:r>
    </w:p>
    <w:p w14:paraId="4087FAD5">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（二）项目基本概况介绍</w:t>
      </w:r>
    </w:p>
    <w:p w14:paraId="3BAE981E">
      <w:pPr>
        <w:widowControl/>
        <w:spacing w:after="0" w:line="24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本项目设备</w:t>
      </w:r>
      <w:r>
        <w:rPr>
          <w:rFonts w:hint="eastAsia" w:ascii="宋体" w:hAnsi="宋体" w:eastAsia="宋体" w:cs="宋体"/>
          <w:color w:val="000000" w:themeColor="text1"/>
          <w:kern w:val="0"/>
          <w:sz w:val="21"/>
          <w:szCs w:val="21"/>
          <w14:textFill>
            <w14:solidFill>
              <w14:schemeClr w14:val="tx1"/>
            </w14:solidFill>
          </w14:textFill>
        </w:rPr>
        <w:t>用于</w:t>
      </w:r>
      <w:r>
        <w:rPr>
          <w:rStyle w:val="29"/>
          <w:rFonts w:hint="eastAsia" w:ascii="宋体" w:hAnsi="宋体" w:eastAsia="宋体" w:cs="宋体"/>
          <w:color w:val="000000" w:themeColor="text1"/>
          <w:sz w:val="21"/>
          <w:szCs w:val="21"/>
          <w14:textFill>
            <w14:solidFill>
              <w14:schemeClr w14:val="tx1"/>
            </w14:solidFill>
          </w14:textFill>
        </w:rPr>
        <w:t>观察角膜内皮细胞变化，通过形态、密度面积和其异常来判断其正常的生理功能及内皮细胞储备，具有广泛的临床应用价值，包括预测行内眼手术的安全性及后果，检查术眼在手术前后的角膜内皮细胞变化，评价角膜移植术供体角膜的优劣，评价前房和滴眼药物的应用安全性等。</w:t>
      </w:r>
    </w:p>
    <w:p w14:paraId="39E636BA">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（三）参数要求</w:t>
      </w:r>
    </w:p>
    <w:p w14:paraId="4FCE4E91">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1内皮细胞影像测量：</w:t>
      </w:r>
    </w:p>
    <w:p w14:paraId="4541E438">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▲1.1测量时间≤2秒</w:t>
      </w:r>
    </w:p>
    <w:p w14:paraId="0BDD00BA">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▲1.2捕捉图像区域：≥宽0.25*高0.55mm</w:t>
      </w:r>
    </w:p>
    <w:p w14:paraId="3871A4E1">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2.角膜厚度测量：</w:t>
      </w:r>
    </w:p>
    <w:p w14:paraId="7ACF2640">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2.1测量范围300-1000μm，增量1μm</w:t>
      </w:r>
    </w:p>
    <w:p w14:paraId="77FB4F45">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2.2精度：±10μm</w:t>
      </w:r>
    </w:p>
    <w:p w14:paraId="7F1D0B2A">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▲3.测量位置：角膜中心1点，旁中心8点（5°视角，45°间隔），周边6点（27°视角,60°间隔）</w:t>
      </w:r>
    </w:p>
    <w:p w14:paraId="18424944">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▲4.操作方式：X-Y-Z轴3D自动追踪测量/手动测量</w:t>
      </w:r>
    </w:p>
    <w:p w14:paraId="420164AF">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5.可倾斜式彩色触摸LCD屏幕≥8.4英寸</w:t>
      </w:r>
    </w:p>
    <w:p w14:paraId="4A806324">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6.非接触式测量</w:t>
      </w:r>
    </w:p>
    <w:p w14:paraId="3A68468D">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▲7.测量结果：细胞密度、细胞数量、最大最小细胞面积、平均细胞面积、六角形细胞数、细胞比例、标准偏差、异常系数、角膜厚度等</w:t>
      </w:r>
    </w:p>
    <w:p w14:paraId="4D676D55">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8.显示模式：原始图像、细胞轮廓、细胞面积、细胞形式（单眼图像模式下，还可提供面积和形式的直方图）</w:t>
      </w:r>
    </w:p>
    <w:p w14:paraId="13DA351E">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9.图文输出装置：内置热敏自动切割打印机，配备</w:t>
      </w:r>
      <w:r>
        <w:rPr>
          <w:rFonts w:hint="eastAsia" w:ascii="宋体" w:hAnsi="宋体" w:eastAsia="宋体" w:cs="宋体"/>
          <w:color w:val="000000" w:themeColor="text1"/>
          <w:sz w:val="21"/>
          <w:szCs w:val="21"/>
          <w14:textFill>
            <w14:solidFill>
              <w14:schemeClr w14:val="tx1"/>
            </w14:solidFill>
          </w14:textFill>
        </w:rPr>
        <w:t>外接彩色图文输出装置</w:t>
      </w:r>
      <w:r>
        <w:rPr>
          <w:rFonts w:hint="eastAsia" w:ascii="宋体" w:hAnsi="宋体" w:eastAsia="宋体" w:cs="宋体"/>
          <w:color w:val="000000" w:themeColor="text1"/>
          <w:sz w:val="21"/>
          <w:szCs w:val="21"/>
          <w14:textFill>
            <w14:solidFill>
              <w14:schemeClr w14:val="tx1"/>
            </w14:solidFill>
          </w14:textFill>
        </w:rPr>
        <w:t xml:space="preserve"> </w:t>
      </w:r>
    </w:p>
    <w:p w14:paraId="35346E35">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▲10.15点测量，每点一次拍摄≥16张图像，选择最优的8张图做分析数据，自动计算分析</w:t>
      </w:r>
    </w:p>
    <w:p w14:paraId="0EE4DE7D">
      <w:pPr>
        <w:widowControl/>
        <w:tabs>
          <w:tab w:val="left" w:pos="420"/>
        </w:tabs>
        <w:spacing w:after="0" w:line="240" w:lineRule="auto"/>
        <w:rPr>
          <w:rStyle w:val="25"/>
          <w:rFonts w:hint="eastAsia" w:ascii="宋体" w:hAnsi="宋体" w:eastAsia="宋体" w:cs="宋体"/>
          <w:b w:val="0"/>
          <w:bCs/>
          <w:color w:val="000000" w:themeColor="text1"/>
          <w:sz w:val="21"/>
          <w:szCs w:val="21"/>
          <w:shd w:val="clear" w:color="auto" w:fill="FDFDFE"/>
          <w14:textFill>
            <w14:solidFill>
              <w14:schemeClr w14:val="tx1"/>
            </w14:solidFill>
          </w14:textFill>
        </w:rPr>
      </w:pPr>
      <w:r>
        <w:rPr>
          <w:rStyle w:val="25"/>
          <w:rFonts w:hint="eastAsia" w:ascii="宋体" w:hAnsi="宋体" w:eastAsia="宋体" w:cs="宋体"/>
          <w:color w:val="000000" w:themeColor="text1"/>
          <w:sz w:val="21"/>
          <w:szCs w:val="21"/>
          <w:shd w:val="clear" w:color="auto" w:fill="FDFDFE"/>
          <w14:textFill>
            <w14:solidFill>
              <w14:schemeClr w14:val="tx1"/>
            </w14:solidFill>
          </w14:textFill>
        </w:rPr>
        <w:t>（四）配置清单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992"/>
        <w:gridCol w:w="993"/>
      </w:tblGrid>
      <w:tr w14:paraId="3EFF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14:paraId="7D38139C">
            <w:pPr>
              <w:pStyle w:val="2"/>
              <w:spacing w:after="0" w:line="240" w:lineRule="auto"/>
              <w:ind w:firstLine="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3827" w:type="dxa"/>
            <w:vAlign w:val="center"/>
          </w:tcPr>
          <w:p w14:paraId="6B553C55">
            <w:pPr>
              <w:pStyle w:val="2"/>
              <w:spacing w:after="0" w:line="240" w:lineRule="auto"/>
              <w:ind w:firstLine="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配置名称</w:t>
            </w:r>
          </w:p>
        </w:tc>
        <w:tc>
          <w:tcPr>
            <w:tcW w:w="992" w:type="dxa"/>
            <w:vAlign w:val="center"/>
          </w:tcPr>
          <w:p w14:paraId="3FF8820A">
            <w:pPr>
              <w:pStyle w:val="2"/>
              <w:spacing w:after="0" w:line="240" w:lineRule="auto"/>
              <w:ind w:firstLine="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数量</w:t>
            </w:r>
          </w:p>
        </w:tc>
        <w:tc>
          <w:tcPr>
            <w:tcW w:w="993" w:type="dxa"/>
            <w:vAlign w:val="center"/>
          </w:tcPr>
          <w:p w14:paraId="3BA18888">
            <w:pPr>
              <w:pStyle w:val="2"/>
              <w:spacing w:after="0" w:line="240" w:lineRule="auto"/>
              <w:ind w:firstLine="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w:t>
            </w:r>
          </w:p>
        </w:tc>
      </w:tr>
      <w:tr w14:paraId="6FDB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1B047D7">
            <w:pPr>
              <w:widowControl/>
              <w:spacing w:after="0"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3827" w:type="dxa"/>
            <w:vAlign w:val="center"/>
          </w:tcPr>
          <w:p w14:paraId="12C0E75D">
            <w:pPr>
              <w:spacing w:after="0" w:line="240" w:lineRule="auto"/>
              <w:rPr>
                <w:rFonts w:hint="eastAsia" w:ascii="宋体" w:hAnsi="宋体" w:eastAsia="宋体" w:cs="宋体"/>
                <w:color w:val="000000" w:themeColor="text1"/>
                <w:sz w:val="21"/>
                <w:szCs w:val="21"/>
                <w:lang w:eastAsia="zh-Hans"/>
                <w14:textFill>
                  <w14:solidFill>
                    <w14:schemeClr w14:val="tx1"/>
                  </w14:solidFill>
                </w14:textFill>
              </w:rPr>
            </w:pPr>
            <w:r>
              <w:rPr>
                <w:rFonts w:hint="eastAsia" w:ascii="宋体" w:hAnsi="宋体" w:eastAsia="宋体" w:cs="宋体"/>
                <w:color w:val="000000" w:themeColor="text1"/>
                <w:sz w:val="21"/>
                <w:szCs w:val="21"/>
                <w:lang w:eastAsia="zh-Hans"/>
                <w14:textFill>
                  <w14:solidFill>
                    <w14:schemeClr w14:val="tx1"/>
                  </w14:solidFill>
                </w14:textFill>
              </w:rPr>
              <w:t>主机</w:t>
            </w:r>
          </w:p>
        </w:tc>
        <w:tc>
          <w:tcPr>
            <w:tcW w:w="992" w:type="dxa"/>
            <w:vAlign w:val="center"/>
          </w:tcPr>
          <w:p w14:paraId="652FEF6C">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Style w:val="29"/>
                <w:rFonts w:hint="eastAsia" w:ascii="宋体" w:hAnsi="宋体" w:eastAsia="宋体" w:cs="宋体"/>
                <w:color w:val="000000" w:themeColor="text1"/>
                <w:sz w:val="21"/>
                <w:szCs w:val="21"/>
                <w14:textFill>
                  <w14:solidFill>
                    <w14:schemeClr w14:val="tx1"/>
                  </w14:solidFill>
                </w14:textFill>
              </w:rPr>
              <w:t>1</w:t>
            </w:r>
          </w:p>
        </w:tc>
        <w:tc>
          <w:tcPr>
            <w:tcW w:w="993" w:type="dxa"/>
            <w:vAlign w:val="center"/>
          </w:tcPr>
          <w:p w14:paraId="7B00FC4A">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Hans"/>
                <w14:textFill>
                  <w14:solidFill>
                    <w14:schemeClr w14:val="tx1"/>
                  </w14:solidFill>
                </w14:textFill>
              </w:rPr>
              <w:t>台</w:t>
            </w:r>
          </w:p>
        </w:tc>
      </w:tr>
      <w:tr w14:paraId="1BBE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76E3BC7">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3827" w:type="dxa"/>
            <w:vAlign w:val="center"/>
          </w:tcPr>
          <w:p w14:paraId="3AF8173D">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Hans"/>
                <w14:textFill>
                  <w14:solidFill>
                    <w14:schemeClr w14:val="tx1"/>
                  </w14:solidFill>
                </w14:textFill>
              </w:rPr>
              <w:t>电动桌</w:t>
            </w:r>
          </w:p>
        </w:tc>
        <w:tc>
          <w:tcPr>
            <w:tcW w:w="992" w:type="dxa"/>
            <w:vAlign w:val="center"/>
          </w:tcPr>
          <w:p w14:paraId="5AA03FBF">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vAlign w:val="center"/>
          </w:tcPr>
          <w:p w14:paraId="50BA7241">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Hans"/>
                <w14:textFill>
                  <w14:solidFill>
                    <w14:schemeClr w14:val="tx1"/>
                  </w14:solidFill>
                </w14:textFill>
              </w:rPr>
              <w:t>台</w:t>
            </w:r>
          </w:p>
        </w:tc>
      </w:tr>
      <w:tr w14:paraId="74EB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4616444">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3827" w:type="dxa"/>
            <w:vAlign w:val="center"/>
          </w:tcPr>
          <w:p w14:paraId="0750745A">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Hans"/>
                <w14:textFill>
                  <w14:solidFill>
                    <w14:schemeClr w14:val="tx1"/>
                  </w14:solidFill>
                </w14:textFill>
              </w:rPr>
              <w:t>说明书</w:t>
            </w:r>
          </w:p>
        </w:tc>
        <w:tc>
          <w:tcPr>
            <w:tcW w:w="992" w:type="dxa"/>
            <w:vAlign w:val="center"/>
          </w:tcPr>
          <w:p w14:paraId="348C4689">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vAlign w:val="center"/>
          </w:tcPr>
          <w:p w14:paraId="047AC533">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Hans"/>
                <w14:textFill>
                  <w14:solidFill>
                    <w14:schemeClr w14:val="tx1"/>
                  </w14:solidFill>
                </w14:textFill>
              </w:rPr>
              <w:t>本</w:t>
            </w:r>
          </w:p>
        </w:tc>
      </w:tr>
      <w:tr w14:paraId="42E0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6B03B8F">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3827" w:type="dxa"/>
            <w:vAlign w:val="center"/>
          </w:tcPr>
          <w:p w14:paraId="01E99D9E">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Hans"/>
                <w14:textFill>
                  <w14:solidFill>
                    <w14:schemeClr w14:val="tx1"/>
                  </w14:solidFill>
                </w14:textFill>
              </w:rPr>
              <w:t>防尘罩</w:t>
            </w:r>
          </w:p>
        </w:tc>
        <w:tc>
          <w:tcPr>
            <w:tcW w:w="992" w:type="dxa"/>
            <w:vAlign w:val="center"/>
          </w:tcPr>
          <w:p w14:paraId="7A506081">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vAlign w:val="center"/>
          </w:tcPr>
          <w:p w14:paraId="78933836">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Hans"/>
                <w14:textFill>
                  <w14:solidFill>
                    <w14:schemeClr w14:val="tx1"/>
                  </w14:solidFill>
                </w14:textFill>
              </w:rPr>
              <w:t>个</w:t>
            </w:r>
          </w:p>
        </w:tc>
      </w:tr>
      <w:tr w14:paraId="26C9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CBB708B">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3827" w:type="dxa"/>
            <w:vAlign w:val="center"/>
          </w:tcPr>
          <w:p w14:paraId="1C3AA570">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泪液促泌仪</w:t>
            </w:r>
          </w:p>
        </w:tc>
        <w:tc>
          <w:tcPr>
            <w:tcW w:w="992" w:type="dxa"/>
            <w:vAlign w:val="center"/>
          </w:tcPr>
          <w:p w14:paraId="4C06422D">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993" w:type="dxa"/>
            <w:vAlign w:val="center"/>
          </w:tcPr>
          <w:p w14:paraId="48D5C50D">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w:t>
            </w:r>
          </w:p>
        </w:tc>
      </w:tr>
      <w:tr w14:paraId="1C1A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960393C">
            <w:pPr>
              <w:spacing w:after="0" w:line="24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3827" w:type="dxa"/>
            <w:vAlign w:val="center"/>
          </w:tcPr>
          <w:p w14:paraId="1AC750DE">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外接</w:t>
            </w:r>
            <w:r>
              <w:rPr>
                <w:rStyle w:val="29"/>
                <w:rFonts w:hint="eastAsia" w:ascii="宋体" w:hAnsi="宋体" w:eastAsia="宋体" w:cs="宋体"/>
                <w:color w:val="000000" w:themeColor="text1"/>
                <w:sz w:val="21"/>
                <w:szCs w:val="21"/>
                <w14:textFill>
                  <w14:solidFill>
                    <w14:schemeClr w14:val="tx1"/>
                  </w14:solidFill>
                </w14:textFill>
              </w:rPr>
              <w:t>彩色</w:t>
            </w:r>
            <w:r>
              <w:rPr>
                <w:rFonts w:hint="eastAsia" w:ascii="宋体" w:hAnsi="宋体" w:eastAsia="宋体" w:cs="宋体"/>
                <w:color w:val="000000" w:themeColor="text1"/>
                <w:sz w:val="21"/>
                <w:szCs w:val="21"/>
                <w14:textFill>
                  <w14:solidFill>
                    <w14:schemeClr w14:val="tx1"/>
                  </w14:solidFill>
                </w14:textFill>
              </w:rPr>
              <w:t>图文输出装置</w:t>
            </w:r>
          </w:p>
        </w:tc>
        <w:tc>
          <w:tcPr>
            <w:tcW w:w="992" w:type="dxa"/>
            <w:vAlign w:val="center"/>
          </w:tcPr>
          <w:p w14:paraId="7389014C">
            <w:pPr>
              <w:pStyle w:val="2"/>
              <w:spacing w:after="0" w:line="240" w:lineRule="auto"/>
              <w:ind w:firstLine="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993" w:type="dxa"/>
            <w:vAlign w:val="center"/>
          </w:tcPr>
          <w:p w14:paraId="608834A9">
            <w:pPr>
              <w:pStyle w:val="2"/>
              <w:spacing w:after="0" w:line="240" w:lineRule="auto"/>
              <w:ind w:firstLine="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r>
    </w:tbl>
    <w:p w14:paraId="0FC0AC1E">
      <w:pPr>
        <w:pStyle w:val="2"/>
        <w:spacing w:after="0" w:line="240" w:lineRule="auto"/>
        <w:ind w:firstLine="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（五）质保期及售后服务要求</w:t>
      </w:r>
    </w:p>
    <w:p w14:paraId="6D97AE99">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1.提供至少3年的免费质保服务，包括设备故障维修、软件升级等。</w:t>
      </w:r>
    </w:p>
    <w:p w14:paraId="221C93FF">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2.中标后设立24小时客服热线，确保在设备使用过程中能够及时解决各类问题。</w:t>
      </w:r>
    </w:p>
    <w:p w14:paraId="3D667408">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3.提供每季度至少一次的设备巡检和维护服务，确保设备长期稳定运行。</w:t>
      </w:r>
    </w:p>
    <w:p w14:paraId="66DC66B1">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4.提供完善的培训和技术支持服务，确保医护人员能够熟练掌握设备操作。</w:t>
      </w:r>
    </w:p>
    <w:p w14:paraId="305C77A8">
      <w:pPr>
        <w:widowControl/>
        <w:tabs>
          <w:tab w:val="left" w:pos="420"/>
        </w:tabs>
        <w:spacing w:after="0" w:line="240" w:lineRule="auto"/>
        <w:rPr>
          <w:rStyle w:val="25"/>
          <w:rFonts w:hint="eastAsia" w:ascii="宋体" w:hAnsi="宋体" w:eastAsia="宋体" w:cs="宋体"/>
          <w:color w:val="000000" w:themeColor="text1"/>
          <w:sz w:val="21"/>
          <w:szCs w:val="21"/>
          <w:shd w:val="clear" w:color="auto" w:fill="FDFDFE"/>
          <w14:textFill>
            <w14:solidFill>
              <w14:schemeClr w14:val="tx1"/>
            </w14:solidFill>
          </w14:textFill>
        </w:rPr>
      </w:pPr>
      <w:r>
        <w:rPr>
          <w:rStyle w:val="25"/>
          <w:rFonts w:hint="eastAsia" w:ascii="宋体" w:hAnsi="宋体" w:eastAsia="宋体" w:cs="宋体"/>
          <w:color w:val="000000" w:themeColor="text1"/>
          <w:sz w:val="21"/>
          <w:szCs w:val="21"/>
          <w:shd w:val="clear" w:color="auto" w:fill="FDFDFE"/>
          <w14:textFill>
            <w14:solidFill>
              <w14:schemeClr w14:val="tx1"/>
            </w14:solidFill>
          </w14:textFill>
        </w:rPr>
        <w:t>（六）基本要求</w:t>
      </w:r>
    </w:p>
    <w:p w14:paraId="66673C53">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★1.所投设备具有有效的医疗器械注册证明（如国家有相关规定）。</w:t>
      </w:r>
    </w:p>
    <w:p w14:paraId="188F4C0F">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▲2.如投标人为代理经销商，应提供制造商对所投产品的合法授权函。</w:t>
      </w:r>
    </w:p>
    <w:p w14:paraId="4C658DF3">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二、交货要求</w:t>
      </w:r>
    </w:p>
    <w:p w14:paraId="6F038D73">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（一）交货期：合同签订后收到采购人供货通知后30日历天内交货、安装、调试和验收。</w:t>
      </w:r>
    </w:p>
    <w:p w14:paraId="76565D60">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（二）交货地点：广州市越秀区盘福路1号采购人指定地点。中标人需按有关标准提供货物的包装，并采用恰当的方式将货物运抵交货地点。</w:t>
      </w:r>
    </w:p>
    <w:p w14:paraId="6A491B97">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p>
    <w:p w14:paraId="11B46978">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三、包装、运输及到货检验</w:t>
      </w:r>
    </w:p>
    <w:p w14:paraId="513ECC80">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1.设备需由原厂包装，包装箱内需有下列随箱资料：产品合格证（包括出厂试验数据）、产品使用说明书、随箱清单等。</w:t>
      </w:r>
    </w:p>
    <w:p w14:paraId="71383545">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2.中标人负责所有设备从出厂到安装现场的运输。</w:t>
      </w:r>
    </w:p>
    <w:p w14:paraId="1460920D">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57CFCB79">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p>
    <w:p w14:paraId="59BDB720">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四、安装调试要求</w:t>
      </w:r>
    </w:p>
    <w:p w14:paraId="5E271C1E">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1.安装和调试应由具备相应资质和能力的专业技术人员执行，确保设备的正确安装和功能的正常发挥。</w:t>
      </w:r>
    </w:p>
    <w:p w14:paraId="1D6E8E68">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2.安装前应确保产品名称、型号、规格、生产企业信息、医疗器械注册证编号等信息明确无误。</w:t>
      </w:r>
    </w:p>
    <w:p w14:paraId="3559E7A6">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3.在安装和调试过程中，必须遵守相应的操作规程和标准，以确保过程的准确性和可靠性。</w:t>
      </w:r>
    </w:p>
    <w:p w14:paraId="5518AA2A">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4.在验收过程中，应有详细的报告记录测试和调试的结果，确保所有功能都符合规定的要求。</w:t>
      </w:r>
    </w:p>
    <w:p w14:paraId="2E44E573">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p>
    <w:p w14:paraId="24233E9A">
      <w:pPr>
        <w:spacing w:after="0" w:line="240" w:lineRule="auto"/>
        <w:jc w:val="left"/>
        <w:rPr>
          <w:rFonts w:hint="eastAsia" w:ascii="宋体" w:hAnsi="宋体" w:eastAsia="宋体" w:cs="宋体"/>
          <w:b/>
          <w:bCs/>
          <w:color w:val="000000" w:themeColor="text1"/>
          <w:sz w:val="21"/>
          <w:szCs w:val="21"/>
          <w:shd w:val="clear" w:color="auto" w:fill="FDFDFE"/>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五、验收要求和验收标准</w:t>
      </w:r>
    </w:p>
    <w:p w14:paraId="77255AE8">
      <w:pPr>
        <w:widowControl/>
        <w:tabs>
          <w:tab w:val="left" w:pos="420"/>
        </w:tabs>
        <w:spacing w:after="0" w:line="240" w:lineRule="auto"/>
        <w:rPr>
          <w:rFonts w:hint="eastAsia" w:ascii="宋体" w:hAnsi="宋体" w:eastAsia="宋体" w:cs="宋体"/>
          <w:color w:val="000000" w:themeColor="text1"/>
          <w:sz w:val="21"/>
          <w:szCs w:val="21"/>
          <w:shd w:val="clear" w:color="auto" w:fill="FDFDFE"/>
          <w14:textFill>
            <w14:solidFill>
              <w14:schemeClr w14:val="tx1"/>
            </w14:solidFill>
          </w14:textFill>
        </w:rPr>
      </w:pPr>
      <w:r>
        <w:rPr>
          <w:rFonts w:hint="eastAsia" w:ascii="宋体" w:hAnsi="宋体" w:eastAsia="宋体" w:cs="宋体"/>
          <w:color w:val="000000" w:themeColor="text1"/>
          <w:sz w:val="21"/>
          <w:szCs w:val="21"/>
          <w:shd w:val="clear" w:color="auto" w:fill="FDFDFE"/>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6F1D62A0">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p>
    <w:p w14:paraId="555D8724">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六、培训要求</w:t>
      </w:r>
    </w:p>
    <w:p w14:paraId="00164307">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1.须提供设备使用维护培训，使采购人使用人员能掌握设备的结构原理、检修方法与操作要点。</w:t>
      </w:r>
    </w:p>
    <w:p w14:paraId="711619F0">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2.培训应包括医疗设备的安全使用知识，包括设备的使用期限、禁忌、注意事项等。</w:t>
      </w:r>
    </w:p>
    <w:p w14:paraId="77EE0771">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3.培训内容应涵盖设备的维护和保养方法，以及特殊运输、贮存的条件和方法。</w:t>
      </w:r>
    </w:p>
    <w:p w14:paraId="01A08040">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4.培训应包括设备故障和问题应急处理，以便在紧急情况下能够迅速有效地采取措施。</w:t>
      </w:r>
    </w:p>
    <w:p w14:paraId="0564D705">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5.培训应包括对医疗器械质量控制的理解和实践，确保设备在使用过程中的质量和性能。</w:t>
      </w:r>
    </w:p>
    <w:p w14:paraId="08997E0A">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p>
    <w:p w14:paraId="1F6CD09B">
      <w:pPr>
        <w:spacing w:after="0" w:line="240" w:lineRule="auto"/>
        <w:jc w:val="left"/>
        <w:rPr>
          <w:rFonts w:hint="eastAsia" w:ascii="宋体" w:hAnsi="宋体" w:eastAsia="宋体" w:cs="宋体"/>
          <w:b/>
          <w:bCs/>
          <w:color w:val="000000" w:themeColor="text1"/>
          <w:sz w:val="21"/>
          <w:szCs w:val="21"/>
          <w:shd w:val="clear" w:color="auto" w:fill="FDFDFE"/>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七、付款方式</w:t>
      </w:r>
    </w:p>
    <w:p w14:paraId="1CDBFA61">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31284B1B">
      <w:pPr>
        <w:widowControl/>
        <w:tabs>
          <w:tab w:val="left" w:pos="420"/>
        </w:tabs>
        <w:spacing w:after="0" w:line="240" w:lineRule="auto"/>
        <w:rPr>
          <w:rFonts w:hint="eastAsia" w:ascii="宋体" w:hAnsi="宋体" w:eastAsia="宋体" w:cs="宋体"/>
          <w:color w:val="000000" w:themeColor="text1"/>
          <w:sz w:val="21"/>
          <w:szCs w:val="21"/>
          <w:shd w:val="clear" w:color="auto" w:fill="FDFDF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52603868">
      <w:pPr>
        <w:spacing w:after="0" w:line="240" w:lineRule="auto"/>
        <w:rPr>
          <w:rFonts w:hint="eastAsia" w:ascii="宋体" w:hAnsi="宋体" w:eastAsia="宋体" w:cs="宋体"/>
          <w:color w:val="000000" w:themeColor="text1"/>
          <w:sz w:val="21"/>
          <w:szCs w:val="21"/>
          <w14:textFill>
            <w14:solidFill>
              <w14:schemeClr w14:val="tx1"/>
            </w14:solidFill>
          </w14:textFill>
        </w:rPr>
      </w:pPr>
    </w:p>
    <w:p w14:paraId="7EF8B7CB">
      <w:pPr>
        <w:pStyle w:val="10"/>
        <w:spacing w:after="0" w:line="240" w:lineRule="auto"/>
        <w:jc w:val="center"/>
        <w:rPr>
          <w:rFonts w:hint="eastAsia" w:ascii="宋体" w:hAnsi="宋体" w:eastAsia="宋体" w:cs="宋体"/>
          <w:b/>
          <w:bCs/>
          <w:color w:val="000000" w:themeColor="text1"/>
          <w:sz w:val="21"/>
          <w:szCs w:val="21"/>
          <w:lang w:val="en-US"/>
          <w14:textFill>
            <w14:solidFill>
              <w14:schemeClr w14:val="tx1"/>
            </w14:solidFill>
          </w14:textFill>
        </w:rPr>
      </w:pPr>
      <w:r>
        <w:rPr>
          <w:rFonts w:hint="eastAsia" w:ascii="宋体" w:hAnsi="宋体" w:eastAsia="宋体" w:cs="宋体"/>
          <w:b/>
          <w:bCs/>
          <w:color w:val="000000" w:themeColor="text1"/>
          <w:sz w:val="21"/>
          <w:szCs w:val="21"/>
          <w:lang w:val="en-US"/>
          <w14:textFill>
            <w14:solidFill>
              <w14:schemeClr w14:val="tx1"/>
            </w14:solidFill>
          </w14:textFill>
        </w:rPr>
        <w:t>包4：关节镜手术系统用户需求</w:t>
      </w:r>
    </w:p>
    <w:p w14:paraId="4631B6C7">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一、采购需求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636"/>
        <w:gridCol w:w="636"/>
        <w:gridCol w:w="1896"/>
        <w:gridCol w:w="2211"/>
      </w:tblGrid>
      <w:tr w14:paraId="3807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DF5CF67">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标的名称</w:t>
            </w:r>
          </w:p>
        </w:tc>
        <w:tc>
          <w:tcPr>
            <w:tcW w:w="0" w:type="auto"/>
            <w:vAlign w:val="center"/>
          </w:tcPr>
          <w:p w14:paraId="1A0DD77B">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w:t>
            </w:r>
          </w:p>
        </w:tc>
        <w:tc>
          <w:tcPr>
            <w:tcW w:w="0" w:type="auto"/>
            <w:vAlign w:val="center"/>
          </w:tcPr>
          <w:p w14:paraId="371EA313">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0" w:type="auto"/>
            <w:vAlign w:val="center"/>
          </w:tcPr>
          <w:p w14:paraId="757848F0">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采购预算（万元）</w:t>
            </w:r>
          </w:p>
        </w:tc>
        <w:tc>
          <w:tcPr>
            <w:tcW w:w="0" w:type="auto"/>
            <w:vAlign w:val="center"/>
          </w:tcPr>
          <w:p w14:paraId="2ADBAEC0">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品目</w:t>
            </w:r>
          </w:p>
        </w:tc>
      </w:tr>
      <w:tr w14:paraId="530D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Align w:val="center"/>
          </w:tcPr>
          <w:p w14:paraId="4339E7A5">
            <w:pPr>
              <w:pStyle w:val="16"/>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关节镜手术系统</w:t>
            </w:r>
          </w:p>
        </w:tc>
        <w:tc>
          <w:tcPr>
            <w:tcW w:w="0" w:type="auto"/>
            <w:vAlign w:val="center"/>
          </w:tcPr>
          <w:p w14:paraId="2D78F4A7">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套</w:t>
            </w:r>
          </w:p>
        </w:tc>
        <w:tc>
          <w:tcPr>
            <w:tcW w:w="0" w:type="auto"/>
            <w:vAlign w:val="center"/>
          </w:tcPr>
          <w:p w14:paraId="7E470726">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0" w:type="auto"/>
            <w:vAlign w:val="center"/>
          </w:tcPr>
          <w:p w14:paraId="6E0A9CBA">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98万元</w:t>
            </w:r>
          </w:p>
        </w:tc>
        <w:tc>
          <w:tcPr>
            <w:tcW w:w="0" w:type="auto"/>
            <w:vAlign w:val="center"/>
          </w:tcPr>
          <w:p w14:paraId="77A24278">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A02320700医用内窥镜</w:t>
            </w:r>
          </w:p>
        </w:tc>
      </w:tr>
    </w:tbl>
    <w:p w14:paraId="5CF3FCDD">
      <w:pPr>
        <w:pStyle w:val="2"/>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报价包含各项税费、交通运输费、保险、装卸费、安装等合同实施过程中应预见或不可预见费用等所有费用。</w:t>
      </w:r>
    </w:p>
    <w:p w14:paraId="4F75215C">
      <w:pPr>
        <w:pStyle w:val="2"/>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（一）项目需执行的国家相关标准、行业标准、地方标准或者其他标准、规范：</w:t>
      </w:r>
      <w:r>
        <w:rPr>
          <w:rFonts w:hint="eastAsia" w:ascii="宋体" w:hAnsi="宋体" w:eastAsia="宋体" w:cs="宋体"/>
          <w:color w:val="000000" w:themeColor="text1"/>
          <w:sz w:val="21"/>
          <w:szCs w:val="21"/>
          <w14:textFill>
            <w14:solidFill>
              <w14:schemeClr w14:val="tx1"/>
            </w14:solidFill>
          </w14:textFill>
        </w:rPr>
        <w:t>包含且不限于《医疗器械注册管理办法》、《医疗器械唯一标识系统规则》。</w:t>
      </w:r>
    </w:p>
    <w:p w14:paraId="1E6F7F5C">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（二）项目基本概况介绍</w:t>
      </w:r>
    </w:p>
    <w:p w14:paraId="45E29BD0">
      <w:pPr>
        <w:pStyle w:val="2"/>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本项目设备用于完成骨关节疾病及关节运动损伤微创手术治疗。</w:t>
      </w:r>
    </w:p>
    <w:p w14:paraId="203F9ADA">
      <w:pPr>
        <w:pStyle w:val="2"/>
        <w:spacing w:after="0" w:line="240" w:lineRule="auto"/>
        <w:ind w:firstLine="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（三）参数要求</w:t>
      </w:r>
    </w:p>
    <w:p w14:paraId="1085F0F2">
      <w:pPr>
        <w:widowControl/>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1.4K超高清摄像系统：</w:t>
      </w:r>
    </w:p>
    <w:p w14:paraId="3214B02C">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具备光源、影像输出、摄像机控制三合一设计，数字化网络连接；可应用于关节镜、椎间孔镜、腹腔镜等内窥镜手术。</w:t>
      </w:r>
    </w:p>
    <w:p w14:paraId="1BFA5520">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▲1.2超高清摄像系统采用4K 3-CMOS传感器技术，实现超高清摄像功能。</w:t>
      </w:r>
    </w:p>
    <w:p w14:paraId="06EEDCDA">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▲1.3视频输出分辨率具备4K（3840×2160）和1080P（1920×1080）输出，扫描方式：逐行扫描。输出接口：3G-SDI≥4个、HD-SDI≥1个、USB-2.0≥1个、BNC-Input≥1个。</w:t>
      </w:r>
    </w:p>
    <w:p w14:paraId="20A77709">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▲1.4存储功能：具备图像和视频自动存储和USB存储设备，可支持≥1TB外部硬盘驱动器。</w:t>
      </w:r>
    </w:p>
    <w:p w14:paraId="055704E7">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手术模式包含但不限于：肩关节、膝关节、髋关节、小关节、腹腔镜等，可自定义任意手术模式。</w:t>
      </w:r>
    </w:p>
    <w:p w14:paraId="7C93A34C">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数字变焦：≥2.5倍。</w:t>
      </w:r>
    </w:p>
    <w:p w14:paraId="6FA7509D">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电气安全分类：CF型设备。</w:t>
      </w:r>
    </w:p>
    <w:p w14:paraId="0348A29E">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具备中文操作界面</w:t>
      </w:r>
    </w:p>
    <w:p w14:paraId="04EA903A">
      <w:pPr>
        <w:widowControl/>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2.光源</w:t>
      </w:r>
    </w:p>
    <w:p w14:paraId="065F7F06">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光源类型：LED冷光源，与摄像系统整合到同一主机上，光源寿命≥30000小时。</w:t>
      </w:r>
    </w:p>
    <w:p w14:paraId="69B15E3A">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光强度可通过摄像主机、摄像头进行控制，支持冷启动。</w:t>
      </w:r>
    </w:p>
    <w:p w14:paraId="3E26C0D2">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▲2.3光源高兼容性：具备轮盘式接口，可兼容其他主流品牌的导光束</w:t>
      </w:r>
    </w:p>
    <w:p w14:paraId="04513DAD">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 xml:space="preserve">光缆灭菌方式：高温高压、低温等离子消毒。 </w:t>
      </w:r>
    </w:p>
    <w:p w14:paraId="53297ADF">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光亮度≥1200 lm（流明）。</w:t>
      </w:r>
    </w:p>
    <w:p w14:paraId="761755E3">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▲2.6导光束长度≥3.6m，直径≥5mm，可与其他主流品牌的内窥镜兼容。</w:t>
      </w:r>
    </w:p>
    <w:p w14:paraId="2048AF97">
      <w:pPr>
        <w:widowControl/>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3.4K超高清摄像头：</w:t>
      </w:r>
    </w:p>
    <w:p w14:paraId="10F475C4">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▲3.1超高清摄像头为4K 3-COMS光电传感器，实现超高清摄像功能</w:t>
      </w:r>
      <w:r>
        <w:rPr>
          <w:rFonts w:hint="eastAsia" w:ascii="宋体" w:hAnsi="宋体" w:eastAsia="宋体" w:cs="宋体"/>
          <w:color w:val="000000" w:themeColor="text1"/>
          <w:sz w:val="21"/>
          <w:szCs w:val="21"/>
          <w14:textFill>
            <w14:solidFill>
              <w14:schemeClr w14:val="tx1"/>
            </w14:solidFill>
          </w14:textFill>
        </w:rPr>
        <w:t>，可高温高压及低温等离子灭菌。</w:t>
      </w:r>
    </w:p>
    <w:p w14:paraId="2AC83510">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▲3.2摄像头按钮：≥3个可编程按钮，≥6种预设功能，可自定义遥控实现开启光源、白平衡、拍照和摄像、亮度调节、变焦调节、曝光调节等功能。</w:t>
      </w:r>
    </w:p>
    <w:p w14:paraId="4EB4BB7F">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机身：C-Mount标准接口。</w:t>
      </w:r>
    </w:p>
    <w:p w14:paraId="20125834">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摄像头防水等级：≥IPX7，支持摄像头遥控按钮遥控IMS设备拍照和录像，拍照和录像清晰度最高达4K分辨率。</w:t>
      </w:r>
    </w:p>
    <w:p w14:paraId="2D29B91D">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摄像头电气安全分类：CF型。</w:t>
      </w:r>
    </w:p>
    <w:p w14:paraId="60978ED4">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▲3.6摄像头可高温高压消毒。</w:t>
      </w:r>
    </w:p>
    <w:p w14:paraId="1E6039CD">
      <w:pPr>
        <w:widowControl/>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4.关节镜镜头</w:t>
      </w:r>
    </w:p>
    <w:p w14:paraId="368D1306">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▲4.1支持高温高压灭菌</w:t>
      </w:r>
    </w:p>
    <w:p w14:paraId="20684B6B">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工作直径≤4.0mm，工作长度≥170mm，视向角30°</w:t>
      </w:r>
    </w:p>
    <w:p w14:paraId="60B41BA7">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蓝宝石玻璃镜面，抗划痕、耐磨损</w:t>
      </w:r>
    </w:p>
    <w:p w14:paraId="31A6CA6D">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▲4.4激光焊接工艺，密封、防雾</w:t>
      </w:r>
    </w:p>
    <w:p w14:paraId="330CFE78">
      <w:pPr>
        <w:widowControl/>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配套双阀镜鞘一个，配套穿刺锥一个</w:t>
      </w:r>
    </w:p>
    <w:p w14:paraId="015E8973">
      <w:pPr>
        <w:widowControl/>
        <w:tabs>
          <w:tab w:val="left" w:pos="420"/>
        </w:tabs>
        <w:spacing w:after="0" w:line="240" w:lineRule="auto"/>
        <w:rPr>
          <w:rStyle w:val="25"/>
          <w:rFonts w:hint="eastAsia" w:ascii="宋体" w:hAnsi="宋体" w:eastAsia="宋体" w:cs="宋体"/>
          <w:b w:val="0"/>
          <w:bCs/>
          <w:color w:val="000000" w:themeColor="text1"/>
          <w:sz w:val="21"/>
          <w:szCs w:val="21"/>
          <w:shd w:val="clear" w:color="auto" w:fill="FDFDFE"/>
          <w14:textFill>
            <w14:solidFill>
              <w14:schemeClr w14:val="tx1"/>
            </w14:solidFill>
          </w14:textFill>
        </w:rPr>
      </w:pPr>
      <w:r>
        <w:rPr>
          <w:rStyle w:val="25"/>
          <w:rFonts w:hint="eastAsia" w:ascii="宋体" w:hAnsi="宋体" w:eastAsia="宋体" w:cs="宋体"/>
          <w:color w:val="000000" w:themeColor="text1"/>
          <w:sz w:val="21"/>
          <w:szCs w:val="21"/>
          <w:shd w:val="clear" w:color="auto" w:fill="FDFDFE"/>
          <w14:textFill>
            <w14:solidFill>
              <w14:schemeClr w14:val="tx1"/>
            </w14:solidFill>
          </w14:textFill>
        </w:rPr>
        <w:t>（四）配置清单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992"/>
        <w:gridCol w:w="993"/>
      </w:tblGrid>
      <w:tr w14:paraId="04EB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vAlign w:val="center"/>
          </w:tcPr>
          <w:p w14:paraId="19732231">
            <w:pPr>
              <w:pStyle w:val="2"/>
              <w:spacing w:after="0" w:line="240" w:lineRule="auto"/>
              <w:ind w:firstLine="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3827" w:type="dxa"/>
            <w:vAlign w:val="center"/>
          </w:tcPr>
          <w:p w14:paraId="5556E6F4">
            <w:pPr>
              <w:pStyle w:val="2"/>
              <w:spacing w:after="0" w:line="240" w:lineRule="auto"/>
              <w:ind w:firstLine="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配置名称</w:t>
            </w:r>
          </w:p>
        </w:tc>
        <w:tc>
          <w:tcPr>
            <w:tcW w:w="992" w:type="dxa"/>
            <w:vAlign w:val="center"/>
          </w:tcPr>
          <w:p w14:paraId="7E5346E9">
            <w:pPr>
              <w:pStyle w:val="2"/>
              <w:spacing w:after="0" w:line="240" w:lineRule="auto"/>
              <w:ind w:firstLine="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数量</w:t>
            </w:r>
          </w:p>
        </w:tc>
        <w:tc>
          <w:tcPr>
            <w:tcW w:w="993" w:type="dxa"/>
            <w:vAlign w:val="center"/>
          </w:tcPr>
          <w:p w14:paraId="52069460">
            <w:pPr>
              <w:pStyle w:val="2"/>
              <w:spacing w:after="0" w:line="240" w:lineRule="auto"/>
              <w:ind w:firstLine="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w:t>
            </w:r>
          </w:p>
        </w:tc>
      </w:tr>
      <w:tr w14:paraId="68AD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vAlign w:val="center"/>
          </w:tcPr>
          <w:p w14:paraId="48529AEC">
            <w:pPr>
              <w:widowControl/>
              <w:spacing w:after="0" w:line="24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3827" w:type="dxa"/>
            <w:vAlign w:val="center"/>
          </w:tcPr>
          <w:p w14:paraId="32B3B278">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摄像系统主机（集成光源）</w:t>
            </w:r>
          </w:p>
        </w:tc>
        <w:tc>
          <w:tcPr>
            <w:tcW w:w="992" w:type="dxa"/>
            <w:vAlign w:val="center"/>
          </w:tcPr>
          <w:p w14:paraId="5EEF92FA">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vAlign w:val="center"/>
          </w:tcPr>
          <w:p w14:paraId="398850D5">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w:t>
            </w:r>
          </w:p>
        </w:tc>
      </w:tr>
      <w:tr w14:paraId="2881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shd w:val="clear" w:color="auto" w:fill="auto"/>
            <w:vAlign w:val="center"/>
          </w:tcPr>
          <w:p w14:paraId="77B7DA9A">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3827" w:type="dxa"/>
            <w:shd w:val="clear" w:color="auto" w:fill="auto"/>
            <w:vAlign w:val="center"/>
          </w:tcPr>
          <w:p w14:paraId="710281B7">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专业台车</w:t>
            </w:r>
          </w:p>
        </w:tc>
        <w:tc>
          <w:tcPr>
            <w:tcW w:w="992" w:type="dxa"/>
            <w:shd w:val="clear" w:color="auto" w:fill="auto"/>
            <w:vAlign w:val="center"/>
          </w:tcPr>
          <w:p w14:paraId="71219BAD">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shd w:val="clear" w:color="auto" w:fill="auto"/>
            <w:vAlign w:val="center"/>
          </w:tcPr>
          <w:p w14:paraId="2DC717D7">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w:t>
            </w:r>
          </w:p>
        </w:tc>
      </w:tr>
      <w:tr w14:paraId="34D1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shd w:val="clear" w:color="auto" w:fill="auto"/>
            <w:vAlign w:val="center"/>
          </w:tcPr>
          <w:p w14:paraId="51CA2454">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3827" w:type="dxa"/>
            <w:shd w:val="clear" w:color="auto" w:fill="auto"/>
            <w:vAlign w:val="center"/>
          </w:tcPr>
          <w:p w14:paraId="326A6A20">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≥32寸4K监视器</w:t>
            </w:r>
          </w:p>
        </w:tc>
        <w:tc>
          <w:tcPr>
            <w:tcW w:w="992" w:type="dxa"/>
            <w:shd w:val="clear" w:color="auto" w:fill="auto"/>
            <w:vAlign w:val="center"/>
          </w:tcPr>
          <w:p w14:paraId="56FED95F">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shd w:val="clear" w:color="auto" w:fill="auto"/>
            <w:vAlign w:val="center"/>
          </w:tcPr>
          <w:p w14:paraId="31C35BBB">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台</w:t>
            </w:r>
          </w:p>
        </w:tc>
      </w:tr>
      <w:tr w14:paraId="1958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shd w:val="clear" w:color="auto" w:fill="auto"/>
            <w:vAlign w:val="center"/>
          </w:tcPr>
          <w:p w14:paraId="291CC428">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3827" w:type="dxa"/>
            <w:shd w:val="clear" w:color="auto" w:fill="auto"/>
            <w:vAlign w:val="center"/>
          </w:tcPr>
          <w:p w14:paraId="63613E6F">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4K摄像头</w:t>
            </w:r>
          </w:p>
        </w:tc>
        <w:tc>
          <w:tcPr>
            <w:tcW w:w="992" w:type="dxa"/>
            <w:shd w:val="clear" w:color="auto" w:fill="auto"/>
            <w:vAlign w:val="center"/>
          </w:tcPr>
          <w:p w14:paraId="59F1AD5F">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993" w:type="dxa"/>
            <w:shd w:val="clear" w:color="auto" w:fill="auto"/>
            <w:vAlign w:val="center"/>
          </w:tcPr>
          <w:p w14:paraId="12645D4B">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7714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shd w:val="clear" w:color="auto" w:fill="auto"/>
            <w:vAlign w:val="center"/>
          </w:tcPr>
          <w:p w14:paraId="05A72A98">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3827" w:type="dxa"/>
            <w:shd w:val="clear" w:color="auto" w:fill="auto"/>
            <w:vAlign w:val="center"/>
          </w:tcPr>
          <w:p w14:paraId="7A21A362">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耦合器</w:t>
            </w:r>
          </w:p>
        </w:tc>
        <w:tc>
          <w:tcPr>
            <w:tcW w:w="992" w:type="dxa"/>
            <w:shd w:val="clear" w:color="auto" w:fill="auto"/>
            <w:vAlign w:val="center"/>
          </w:tcPr>
          <w:p w14:paraId="77675739">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993" w:type="dxa"/>
            <w:shd w:val="clear" w:color="auto" w:fill="auto"/>
            <w:vAlign w:val="center"/>
          </w:tcPr>
          <w:p w14:paraId="253538B5">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00CA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shd w:val="clear" w:color="auto" w:fill="auto"/>
            <w:vAlign w:val="center"/>
          </w:tcPr>
          <w:p w14:paraId="616370AD">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3827" w:type="dxa"/>
            <w:shd w:val="clear" w:color="auto" w:fill="auto"/>
            <w:vAlign w:val="center"/>
          </w:tcPr>
          <w:p w14:paraId="4199BFF1">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光缆</w:t>
            </w:r>
          </w:p>
        </w:tc>
        <w:tc>
          <w:tcPr>
            <w:tcW w:w="992" w:type="dxa"/>
            <w:shd w:val="clear" w:color="auto" w:fill="auto"/>
            <w:vAlign w:val="center"/>
          </w:tcPr>
          <w:p w14:paraId="226BA9FF">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993" w:type="dxa"/>
            <w:shd w:val="clear" w:color="auto" w:fill="auto"/>
            <w:vAlign w:val="center"/>
          </w:tcPr>
          <w:p w14:paraId="7ED896B4">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w:t>
            </w:r>
          </w:p>
        </w:tc>
      </w:tr>
      <w:tr w14:paraId="51F5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shd w:val="clear" w:color="auto" w:fill="auto"/>
            <w:vAlign w:val="center"/>
          </w:tcPr>
          <w:p w14:paraId="14A66FC6">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3827" w:type="dxa"/>
            <w:shd w:val="clear" w:color="auto" w:fill="auto"/>
            <w:vAlign w:val="center"/>
          </w:tcPr>
          <w:p w14:paraId="6F92E26A">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≤4mm,30度关节镜</w:t>
            </w:r>
          </w:p>
        </w:tc>
        <w:tc>
          <w:tcPr>
            <w:tcW w:w="992" w:type="dxa"/>
            <w:shd w:val="clear" w:color="auto" w:fill="auto"/>
            <w:vAlign w:val="center"/>
          </w:tcPr>
          <w:p w14:paraId="7D5E7C4A">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shd w:val="clear" w:color="auto" w:fill="auto"/>
            <w:vAlign w:val="center"/>
          </w:tcPr>
          <w:p w14:paraId="5EB85619">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2DCC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shd w:val="clear" w:color="auto" w:fill="auto"/>
            <w:vAlign w:val="center"/>
          </w:tcPr>
          <w:p w14:paraId="02CBBCDA">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3827" w:type="dxa"/>
            <w:shd w:val="clear" w:color="auto" w:fill="auto"/>
            <w:vAlign w:val="center"/>
          </w:tcPr>
          <w:p w14:paraId="3490CDB1">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4mm关节镜双阀镜鞘</w:t>
            </w:r>
          </w:p>
        </w:tc>
        <w:tc>
          <w:tcPr>
            <w:tcW w:w="992" w:type="dxa"/>
            <w:shd w:val="clear" w:color="auto" w:fill="auto"/>
            <w:vAlign w:val="center"/>
          </w:tcPr>
          <w:p w14:paraId="32C7AD4A">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shd w:val="clear" w:color="auto" w:fill="auto"/>
            <w:vAlign w:val="center"/>
          </w:tcPr>
          <w:p w14:paraId="6CF5630C">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r w14:paraId="17A8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46" w:type="dxa"/>
            <w:vAlign w:val="center"/>
          </w:tcPr>
          <w:p w14:paraId="56436C8E">
            <w:pPr>
              <w:spacing w:after="0"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3827" w:type="dxa"/>
            <w:shd w:val="clear" w:color="auto" w:fill="auto"/>
            <w:vAlign w:val="center"/>
          </w:tcPr>
          <w:p w14:paraId="3762439F">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4mm钝头穿刺锥</w:t>
            </w:r>
          </w:p>
        </w:tc>
        <w:tc>
          <w:tcPr>
            <w:tcW w:w="992" w:type="dxa"/>
            <w:shd w:val="clear" w:color="auto" w:fill="auto"/>
            <w:vAlign w:val="center"/>
          </w:tcPr>
          <w:p w14:paraId="55A1D3B1">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93" w:type="dxa"/>
            <w:shd w:val="clear" w:color="auto" w:fill="auto"/>
            <w:vAlign w:val="center"/>
          </w:tcPr>
          <w:p w14:paraId="6FA21928">
            <w:pPr>
              <w:pStyle w:val="2"/>
              <w:spacing w:after="0" w:line="240" w:lineRule="auto"/>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个</w:t>
            </w:r>
          </w:p>
        </w:tc>
      </w:tr>
    </w:tbl>
    <w:p w14:paraId="348691D7">
      <w:pPr>
        <w:pStyle w:val="2"/>
        <w:spacing w:after="0" w:line="240" w:lineRule="auto"/>
        <w:ind w:firstLine="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（五）质保期及售后服务要求</w:t>
      </w:r>
    </w:p>
    <w:p w14:paraId="19C17BB7">
      <w:pPr>
        <w:widowControl/>
        <w:tabs>
          <w:tab w:val="left" w:pos="420"/>
          <w:tab w:val="left" w:pos="720"/>
          <w:tab w:val="left" w:pos="1440"/>
        </w:tabs>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DFDFE"/>
          <w14:textFill>
            <w14:solidFill>
              <w14:schemeClr w14:val="tx1"/>
            </w14:solidFill>
          </w14:textFill>
        </w:rPr>
        <w:t>1.提供至少</w:t>
      </w:r>
      <w:r>
        <w:rPr>
          <w:rFonts w:hint="eastAsia" w:ascii="宋体" w:hAnsi="宋体" w:eastAsia="宋体" w:cs="宋体"/>
          <w:b/>
          <w:bCs/>
          <w:color w:val="000000" w:themeColor="text1"/>
          <w:sz w:val="21"/>
          <w:szCs w:val="21"/>
          <w:shd w:val="clear" w:color="auto" w:fill="FDFDFE"/>
          <w14:textFill>
            <w14:solidFill>
              <w14:schemeClr w14:val="tx1"/>
            </w14:solidFill>
          </w14:textFill>
        </w:rPr>
        <w:t>3</w:t>
      </w:r>
      <w:r>
        <w:rPr>
          <w:rFonts w:hint="eastAsia" w:ascii="宋体" w:hAnsi="宋体" w:eastAsia="宋体" w:cs="宋体"/>
          <w:color w:val="000000" w:themeColor="text1"/>
          <w:sz w:val="21"/>
          <w:szCs w:val="21"/>
          <w:shd w:val="clear" w:color="auto" w:fill="FDFDFE"/>
          <w14:textFill>
            <w14:solidFill>
              <w14:schemeClr w14:val="tx1"/>
            </w14:solidFill>
          </w14:textFill>
        </w:rPr>
        <w:t>年的免费质保服务，包括设备故障维修、软件升级等。</w:t>
      </w:r>
    </w:p>
    <w:p w14:paraId="1A6441D9">
      <w:pPr>
        <w:widowControl/>
        <w:tabs>
          <w:tab w:val="left" w:pos="420"/>
          <w:tab w:val="left" w:pos="720"/>
          <w:tab w:val="left" w:pos="1440"/>
        </w:tabs>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DFDFE"/>
          <w14:textFill>
            <w14:solidFill>
              <w14:schemeClr w14:val="tx1"/>
            </w14:solidFill>
          </w14:textFill>
        </w:rPr>
        <w:t>2.成交后设立24小时客服热线，确保在设备使用过程中能够及时解决各类问题。</w:t>
      </w:r>
    </w:p>
    <w:p w14:paraId="39427050">
      <w:pPr>
        <w:widowControl/>
        <w:tabs>
          <w:tab w:val="left" w:pos="420"/>
          <w:tab w:val="left" w:pos="720"/>
          <w:tab w:val="left" w:pos="1440"/>
        </w:tabs>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DFDFE"/>
          <w14:textFill>
            <w14:solidFill>
              <w14:schemeClr w14:val="tx1"/>
            </w14:solidFill>
          </w14:textFill>
        </w:rPr>
        <w:t>3.提供每季度至少一次的设备巡检和维护服务，确保设备长期稳定运行。</w:t>
      </w:r>
    </w:p>
    <w:p w14:paraId="383918CF">
      <w:pPr>
        <w:widowControl/>
        <w:tabs>
          <w:tab w:val="left" w:pos="420"/>
          <w:tab w:val="left" w:pos="720"/>
          <w:tab w:val="left" w:pos="1440"/>
        </w:tabs>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color="auto" w:fill="FDFDFE"/>
          <w14:textFill>
            <w14:solidFill>
              <w14:schemeClr w14:val="tx1"/>
            </w14:solidFill>
          </w14:textFill>
        </w:rPr>
        <w:t>4.提供完善的培训和技术支持服务，确保医护人员能够熟练掌握设备操作。</w:t>
      </w:r>
    </w:p>
    <w:p w14:paraId="0F95AC75">
      <w:pPr>
        <w:widowControl/>
        <w:tabs>
          <w:tab w:val="left" w:pos="420"/>
        </w:tabs>
        <w:spacing w:after="0" w:line="240" w:lineRule="auto"/>
        <w:rPr>
          <w:rStyle w:val="25"/>
          <w:rFonts w:hint="eastAsia" w:ascii="宋体" w:hAnsi="宋体" w:eastAsia="宋体" w:cs="宋体"/>
          <w:color w:val="000000" w:themeColor="text1"/>
          <w:sz w:val="21"/>
          <w:szCs w:val="21"/>
          <w:shd w:val="clear" w:color="auto" w:fill="FDFDFE"/>
          <w14:textFill>
            <w14:solidFill>
              <w14:schemeClr w14:val="tx1"/>
            </w14:solidFill>
          </w14:textFill>
        </w:rPr>
      </w:pPr>
      <w:r>
        <w:rPr>
          <w:rStyle w:val="25"/>
          <w:rFonts w:hint="eastAsia" w:ascii="宋体" w:hAnsi="宋体" w:eastAsia="宋体" w:cs="宋体"/>
          <w:color w:val="000000" w:themeColor="text1"/>
          <w:sz w:val="21"/>
          <w:szCs w:val="21"/>
          <w:shd w:val="clear" w:color="auto" w:fill="FDFDFE"/>
          <w14:textFill>
            <w14:solidFill>
              <w14:schemeClr w14:val="tx1"/>
            </w14:solidFill>
          </w14:textFill>
        </w:rPr>
        <w:t>（六）基本要求</w:t>
      </w:r>
    </w:p>
    <w:p w14:paraId="0DA128E8">
      <w:pPr>
        <w:spacing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★1.所投设备具有有效的医疗器械注册证明（如国家有相关规定）。</w:t>
      </w:r>
    </w:p>
    <w:p w14:paraId="7F32D24A">
      <w:pPr>
        <w:spacing w:after="0" w:line="240" w:lineRule="auto"/>
        <w:rPr>
          <w:rFonts w:hint="eastAsia" w:ascii="宋体" w:hAnsi="宋体" w:eastAsia="宋体" w:cs="宋体"/>
          <w:color w:val="000000" w:themeColor="text1"/>
          <w:sz w:val="21"/>
          <w:szCs w:val="21"/>
          <w:shd w:val="clear" w:color="auto" w:fill="FDFDF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▲2.如投标人为代理经销商，应提供制造商对所投产品的合法授权函。</w:t>
      </w:r>
    </w:p>
    <w:p w14:paraId="61EE0993">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p>
    <w:p w14:paraId="4EF7C920">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二、交货要求</w:t>
      </w:r>
    </w:p>
    <w:p w14:paraId="1DC80154">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（一）交货期：合同签订后收到采购人供货通知后30日历天内交货、安装、调试。</w:t>
      </w:r>
    </w:p>
    <w:p w14:paraId="0021E02A">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（二）交货地点：广州市第一人民医院（采购人指定地点）。中标人需按有关标准提供货物的包装，并采用恰当的方式将货物运抵交货地点。</w:t>
      </w:r>
    </w:p>
    <w:p w14:paraId="1205FBA0">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p>
    <w:p w14:paraId="60DDB2E0">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三、包装、运输及到货检验</w:t>
      </w:r>
    </w:p>
    <w:p w14:paraId="50A1208F">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1.设备需由原厂包装，包装箱内需有下列随箱资料：产品合格证（包括出厂试验数据）、产品使用说明书、随箱清单等。</w:t>
      </w:r>
    </w:p>
    <w:p w14:paraId="5A1C09FC">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2.中标人负责所有设备从出厂到安装现场的运输。</w:t>
      </w:r>
    </w:p>
    <w:p w14:paraId="6DA12C92">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16D450B4">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p>
    <w:p w14:paraId="33EEE5E3">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四、安装调试要求</w:t>
      </w:r>
    </w:p>
    <w:p w14:paraId="71173C52">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1.安装和调试应由具备相应资质和能力的专业技术人员执行，确保设备的正确安装和功能的正常发挥。</w:t>
      </w:r>
    </w:p>
    <w:p w14:paraId="3A5CB600">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2.安装前应确保产品名称、型号、规格、生产企业信息、医疗器械注册证编号等信息明确无误。</w:t>
      </w:r>
    </w:p>
    <w:p w14:paraId="4BB4F68B">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3.在安装和调试过程中，必须遵守相应的操作规程和标准，以确保过程的准确性和可靠性。</w:t>
      </w:r>
    </w:p>
    <w:p w14:paraId="767BAF6A">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4.在验收过程中，应有详细的报告记录测试和调试的结果，确保所有功能都符合规定的要求。</w:t>
      </w:r>
    </w:p>
    <w:p w14:paraId="68ED9099">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p>
    <w:p w14:paraId="7EB2BAE1">
      <w:pPr>
        <w:spacing w:after="0" w:line="240" w:lineRule="auto"/>
        <w:jc w:val="left"/>
        <w:rPr>
          <w:rFonts w:hint="eastAsia" w:ascii="宋体" w:hAnsi="宋体" w:eastAsia="宋体" w:cs="宋体"/>
          <w:b/>
          <w:bCs/>
          <w:color w:val="000000" w:themeColor="text1"/>
          <w:sz w:val="21"/>
          <w:szCs w:val="21"/>
          <w:shd w:val="clear" w:color="auto" w:fill="FDFDFE"/>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五、验收要求和验收标准</w:t>
      </w:r>
    </w:p>
    <w:p w14:paraId="435D9DC8">
      <w:pPr>
        <w:spacing w:after="0" w:line="240" w:lineRule="auto"/>
        <w:jc w:val="left"/>
        <w:rPr>
          <w:rFonts w:hint="eastAsia" w:ascii="宋体" w:hAnsi="宋体" w:eastAsia="宋体" w:cs="宋体"/>
          <w:color w:val="000000" w:themeColor="text1"/>
          <w:sz w:val="21"/>
          <w:szCs w:val="21"/>
          <w:shd w:val="clear" w:color="auto" w:fill="FDFDF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设备到货后依照招标文件及中标人投标文件响应内容中关于货物的技术规格要求和质量标准进行验收，必须免费安装调试至能正常使用，并免费培训操作。</w:t>
      </w:r>
    </w:p>
    <w:p w14:paraId="6C8B8C88">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p>
    <w:p w14:paraId="36364B37">
      <w:pPr>
        <w:spacing w:after="0" w:line="24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六、培训要求</w:t>
      </w:r>
    </w:p>
    <w:p w14:paraId="6B1A0472">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1.须提供设备使用维护培训，使采购人使用人员能掌握设备的结构原理、检修方法与操作要点。</w:t>
      </w:r>
    </w:p>
    <w:p w14:paraId="317F0FF7">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2.培训应包括医疗设备的安全使用知识，包括设备的使用期限、禁忌、注意事项等。</w:t>
      </w:r>
    </w:p>
    <w:p w14:paraId="2D5E4D48">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3.培训内容应涵盖设备的维护和保养方法，以及特殊运输、贮存的条件和方法。</w:t>
      </w:r>
    </w:p>
    <w:p w14:paraId="1112F4F6">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4.培训应包括设备故障和问题应急处理，以便在紧急情况下能够迅速有效地采取措施。</w:t>
      </w:r>
    </w:p>
    <w:p w14:paraId="0A5DCA4C">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5.培训应包括对医疗器械质量控制的理解和实践，确保设备在使用过程中的质量和性能。</w:t>
      </w:r>
    </w:p>
    <w:p w14:paraId="50FE1D12">
      <w:pPr>
        <w:spacing w:after="0" w:line="240" w:lineRule="auto"/>
        <w:jc w:val="left"/>
        <w:rPr>
          <w:rFonts w:hint="eastAsia" w:ascii="宋体" w:hAnsi="宋体" w:eastAsia="宋体" w:cs="宋体"/>
          <w:b/>
          <w:bCs/>
          <w:color w:val="000000" w:themeColor="text1"/>
          <w:sz w:val="21"/>
          <w:szCs w:val="21"/>
          <w:shd w:val="clear" w:color="auto" w:fill="FDFDFE"/>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七、付款方式</w:t>
      </w:r>
    </w:p>
    <w:p w14:paraId="69DFB781">
      <w:pPr>
        <w:spacing w:after="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1期：支付比例40%,1.合同的款项以人民币转账方式支付。若属国库支付项目的，其支付时间按财政部相关规定执行。 2.签订合同之日起5个工作日内凭合同40%发票由采购人向中标人支付40%合同款；</w:t>
      </w:r>
    </w:p>
    <w:p w14:paraId="20036115">
      <w:pPr>
        <w:spacing w:line="240" w:lineRule="auto"/>
        <w:jc w:val="left"/>
        <w:rPr>
          <w:rFonts w:hint="eastAsia" w:hAnsi="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期：支付比例60%,3.合同设备全部到指定地点交付并完成安装及验收后，中标人凭（1）送货单；（2）合同剩余60%发票；（3）安装验收报告，由采购人在收到发票后5个工作日内支付60%合同款给中标人。4.付款方式：银行转账。</w:t>
      </w:r>
    </w:p>
    <w:p w14:paraId="45B929D3">
      <w:pPr>
        <w:spacing w:line="300" w:lineRule="auto"/>
        <w:jc w:val="center"/>
        <w:rPr>
          <w:rFonts w:hint="eastAsia" w:hAnsi="宋体"/>
          <w:color w:val="000000" w:themeColor="text1"/>
          <w:highlight w:val="none"/>
          <w14:textFill>
            <w14:solidFill>
              <w14:schemeClr w14:val="tx1"/>
            </w14:solidFill>
          </w14:textFill>
        </w:rPr>
      </w:pPr>
    </w:p>
    <w:p w14:paraId="64FF38B8">
      <w:pPr>
        <w:spacing w:line="300" w:lineRule="auto"/>
        <w:jc w:val="center"/>
        <w:rPr>
          <w:rFonts w:hint="eastAsia" w:hAnsi="宋体"/>
          <w:color w:val="000000" w:themeColor="text1"/>
          <w:highlight w:val="none"/>
          <w14:textFill>
            <w14:solidFill>
              <w14:schemeClr w14:val="tx1"/>
            </w14:solidFill>
          </w14:textFill>
        </w:rPr>
      </w:pPr>
    </w:p>
    <w:p w14:paraId="02D8FF0C">
      <w:pPr>
        <w:spacing w:line="300" w:lineRule="auto"/>
        <w:jc w:val="center"/>
        <w:rPr>
          <w:rFonts w:hint="eastAsia" w:hAnsi="宋体"/>
          <w:color w:val="000000" w:themeColor="text1"/>
          <w:highlight w:val="none"/>
          <w14:textFill>
            <w14:solidFill>
              <w14:schemeClr w14:val="tx1"/>
            </w14:solidFill>
          </w14:textFill>
        </w:rPr>
      </w:pPr>
    </w:p>
    <w:p w14:paraId="3C2AC252">
      <w:pPr>
        <w:spacing w:line="300" w:lineRule="auto"/>
        <w:jc w:val="center"/>
        <w:rPr>
          <w:rFonts w:hint="eastAsia" w:hAnsi="宋体"/>
          <w:color w:val="000000" w:themeColor="text1"/>
          <w:highlight w:val="none"/>
          <w14:textFill>
            <w14:solidFill>
              <w14:schemeClr w14:val="tx1"/>
            </w14:solidFill>
          </w14:textFill>
        </w:rPr>
      </w:pPr>
    </w:p>
    <w:p w14:paraId="28043673">
      <w:pPr>
        <w:spacing w:line="300" w:lineRule="auto"/>
        <w:jc w:val="center"/>
        <w:rPr>
          <w:rFonts w:hint="eastAsia" w:hAnsi="宋体"/>
          <w:color w:val="000000" w:themeColor="text1"/>
          <w:highlight w:val="none"/>
          <w14:textFill>
            <w14:solidFill>
              <w14:schemeClr w14:val="tx1"/>
            </w14:solidFill>
          </w14:textFill>
        </w:rPr>
      </w:pPr>
    </w:p>
    <w:p w14:paraId="64B30652">
      <w:pPr>
        <w:spacing w:line="300" w:lineRule="auto"/>
        <w:jc w:val="center"/>
        <w:rPr>
          <w:rFonts w:hint="eastAsia" w:hAnsi="宋体"/>
          <w:color w:val="000000" w:themeColor="text1"/>
          <w:highlight w:val="none"/>
          <w14:textFill>
            <w14:solidFill>
              <w14:schemeClr w14:val="tx1"/>
            </w14:solidFill>
          </w14:textFill>
        </w:rPr>
      </w:pPr>
    </w:p>
    <w:p w14:paraId="1F0848BC">
      <w:pPr>
        <w:spacing w:line="300" w:lineRule="auto"/>
        <w:jc w:val="center"/>
        <w:rPr>
          <w:rFonts w:hint="eastAsia" w:hAnsi="宋体"/>
          <w:color w:val="000000" w:themeColor="text1"/>
          <w:highlight w:val="none"/>
          <w14:textFill>
            <w14:solidFill>
              <w14:schemeClr w14:val="tx1"/>
            </w14:solidFill>
          </w14:textFill>
        </w:rPr>
      </w:pPr>
    </w:p>
    <w:p w14:paraId="1E4AB8BC">
      <w:pPr>
        <w:spacing w:line="300" w:lineRule="auto"/>
        <w:jc w:val="center"/>
        <w:rPr>
          <w:rFonts w:hint="eastAsia" w:hAnsi="宋体"/>
          <w:color w:val="000000" w:themeColor="text1"/>
          <w:highlight w:val="none"/>
          <w14:textFill>
            <w14:solidFill>
              <w14:schemeClr w14:val="tx1"/>
            </w14:solidFill>
          </w14:textFill>
        </w:rPr>
      </w:pPr>
    </w:p>
    <w:p w14:paraId="34526D0D">
      <w:pPr>
        <w:spacing w:line="300" w:lineRule="auto"/>
        <w:jc w:val="center"/>
        <w:rPr>
          <w:rFonts w:hint="eastAsia" w:hAnsi="宋体"/>
          <w:color w:val="000000" w:themeColor="text1"/>
          <w:highlight w:val="none"/>
          <w14:textFill>
            <w14:solidFill>
              <w14:schemeClr w14:val="tx1"/>
            </w14:solidFill>
          </w14:textFill>
        </w:rPr>
      </w:pPr>
    </w:p>
    <w:p w14:paraId="7EF4318E">
      <w:pPr>
        <w:spacing w:line="300" w:lineRule="auto"/>
        <w:jc w:val="center"/>
        <w:rPr>
          <w:rFonts w:hint="eastAsia" w:hAnsi="宋体"/>
          <w:color w:val="000000" w:themeColor="text1"/>
          <w:highlight w:val="none"/>
          <w14:textFill>
            <w14:solidFill>
              <w14:schemeClr w14:val="tx1"/>
            </w14:solidFill>
          </w14:textFill>
        </w:rPr>
      </w:pPr>
    </w:p>
    <w:p w14:paraId="0561A7BB">
      <w:pPr>
        <w:rPr>
          <w:rFonts w:hint="eastAsia" w:ascii="宋体" w:hAnsi="宋体"/>
          <w:b/>
          <w:color w:val="000000" w:themeColor="text1"/>
          <w:sz w:val="48"/>
          <w:szCs w:val="48"/>
          <w:highlight w:val="none"/>
          <w:lang w:val="en-US" w:eastAsia="zh-CN"/>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br w:type="page"/>
      </w:r>
    </w:p>
    <w:p w14:paraId="748CAB63">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8A8907A">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CE51905">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2BEAF521">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F418CC7">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109A3FF0">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7C6B5C4">
      <w:pPr>
        <w:spacing w:line="30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第二部分</w:t>
      </w:r>
      <w:r>
        <w:rPr>
          <w:rFonts w:hint="eastAsia" w:ascii="宋体" w:hAnsi="宋体"/>
          <w:b/>
          <w:color w:val="000000" w:themeColor="text1"/>
          <w:sz w:val="48"/>
          <w:szCs w:val="48"/>
          <w:highlight w:val="none"/>
          <w14:textFill>
            <w14:solidFill>
              <w14:schemeClr w14:val="tx1"/>
            </w14:solidFill>
          </w14:textFill>
        </w:rPr>
        <w:t>、补充附件</w:t>
      </w:r>
    </w:p>
    <w:p w14:paraId="5E2D6E37">
      <w:pPr>
        <w:spacing w:line="30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注：以下部分的附件应后附在投标文件中，作为投标文件的一部分。</w:t>
      </w:r>
    </w:p>
    <w:p w14:paraId="5F47F7EC">
      <w:pPr>
        <w:spacing w:line="300" w:lineRule="auto"/>
        <w:rPr>
          <w:rFonts w:ascii="宋体" w:hAnsi="宋体"/>
          <w:b/>
          <w:color w:val="000000" w:themeColor="text1"/>
          <w:sz w:val="24"/>
          <w:szCs w:val="24"/>
          <w:highlight w:val="none"/>
          <w14:textFill>
            <w14:solidFill>
              <w14:schemeClr w14:val="tx1"/>
            </w14:solidFill>
          </w14:textFill>
        </w:rPr>
      </w:pPr>
    </w:p>
    <w:p w14:paraId="6F1FBDC8">
      <w:pPr>
        <w:outlineLvl w:val="1"/>
        <w:rPr>
          <w:rFonts w:hint="eastAsia" w:ascii="宋体" w:hAnsi="宋体" w:eastAsia="宋体" w:cs="宋体"/>
          <w:b/>
          <w:color w:val="auto"/>
          <w:sz w:val="28"/>
          <w:szCs w:val="28"/>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auto"/>
          <w:sz w:val="28"/>
          <w:szCs w:val="28"/>
        </w:rPr>
        <w:t>附件一、</w:t>
      </w:r>
      <w:bookmarkStart w:id="4" w:name="_Toc275865606"/>
      <w:bookmarkStart w:id="5" w:name="_Toc435515295"/>
      <w:bookmarkStart w:id="6" w:name="_Toc435514855"/>
      <w:r>
        <w:rPr>
          <w:rFonts w:hint="eastAsia" w:ascii="宋体" w:hAnsi="宋体" w:eastAsia="宋体" w:cs="宋体"/>
          <w:b/>
          <w:color w:val="auto"/>
          <w:sz w:val="28"/>
          <w:szCs w:val="28"/>
        </w:rPr>
        <w:t>资格文件</w:t>
      </w:r>
    </w:p>
    <w:p w14:paraId="4D3E7121">
      <w:pPr>
        <w:outlineLvl w:val="1"/>
        <w:rPr>
          <w:rFonts w:hint="eastAsia" w:ascii="宋体" w:hAnsi="宋体" w:eastAsia="宋体" w:cs="宋体"/>
          <w:b/>
          <w:szCs w:val="21"/>
          <w:lang w:val="en-US" w:eastAsia="zh-CN"/>
        </w:rPr>
      </w:pPr>
    </w:p>
    <w:p w14:paraId="0FB7443F">
      <w:pPr>
        <w:outlineLvl w:val="1"/>
        <w:rPr>
          <w:rFonts w:hint="eastAsia" w:ascii="宋体" w:hAnsi="宋体" w:eastAsia="宋体" w:cs="宋体"/>
          <w:b/>
          <w:sz w:val="28"/>
          <w:szCs w:val="28"/>
        </w:rPr>
      </w:pPr>
      <w:r>
        <w:rPr>
          <w:rFonts w:hint="eastAsia" w:ascii="宋体" w:hAnsi="宋体" w:eastAsia="宋体" w:cs="宋体"/>
          <w:b/>
          <w:szCs w:val="21"/>
          <w:lang w:val="en-US" w:eastAsia="zh-CN"/>
        </w:rPr>
        <w:t>1.1</w:t>
      </w:r>
      <w:r>
        <w:rPr>
          <w:rFonts w:hint="eastAsia" w:ascii="宋体" w:hAnsi="宋体" w:eastAsia="宋体" w:cs="宋体"/>
          <w:b/>
          <w:szCs w:val="21"/>
        </w:rPr>
        <w:t>投标人资格声明函</w:t>
      </w:r>
      <w:bookmarkEnd w:id="4"/>
      <w:bookmarkEnd w:id="5"/>
      <w:bookmarkEnd w:id="6"/>
    </w:p>
    <w:p w14:paraId="09404081">
      <w:pPr>
        <w:adjustRightInd w:val="0"/>
        <w:snapToGrid w:val="0"/>
        <w:spacing w:line="360" w:lineRule="auto"/>
        <w:rPr>
          <w:rFonts w:hint="eastAsia" w:ascii="宋体" w:hAnsi="宋体" w:eastAsia="宋体" w:cs="宋体"/>
          <w:b/>
          <w:szCs w:val="21"/>
        </w:rPr>
      </w:pPr>
    </w:p>
    <w:p w14:paraId="15F5002E">
      <w:pPr>
        <w:adjustRightInd w:val="0"/>
        <w:snapToGrid w:val="0"/>
        <w:spacing w:line="360" w:lineRule="auto"/>
        <w:rPr>
          <w:rFonts w:hint="eastAsia" w:ascii="宋体" w:hAnsi="宋体" w:eastAsia="宋体" w:cs="宋体"/>
          <w:b/>
          <w:lang w:eastAsia="zh-CN"/>
        </w:rPr>
      </w:pPr>
      <w:r>
        <w:rPr>
          <w:rFonts w:hint="eastAsia" w:ascii="宋体" w:hAnsi="宋体" w:eastAsia="宋体" w:cs="宋体"/>
          <w:b/>
          <w:szCs w:val="21"/>
        </w:rPr>
        <w:t>国义招标股份有限公司</w:t>
      </w:r>
      <w:r>
        <w:rPr>
          <w:rFonts w:hint="eastAsia" w:ascii="宋体" w:hAnsi="宋体" w:eastAsia="宋体" w:cs="宋体"/>
          <w:b/>
          <w:szCs w:val="21"/>
          <w:lang w:eastAsia="zh-CN"/>
        </w:rPr>
        <w:t>：</w:t>
      </w:r>
    </w:p>
    <w:p w14:paraId="168DF35B">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项目（项目编号：0724-XXXXXXXX）的采购公告，本公司（企业）愿意参加投标，并声明：</w:t>
      </w:r>
    </w:p>
    <w:p w14:paraId="5B9AD564">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(1)本公司（企业）具备《中华人民共和国政府采购法》第二十二条资格条件，并已清楚招标文件的要求及有关文件规定。</w:t>
      </w:r>
    </w:p>
    <w:p w14:paraId="4410A821">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(2)本公司（企业）具有良好的商业信誉和健全的财务会计制度</w:t>
      </w:r>
      <w:r>
        <w:rPr>
          <w:rFonts w:hint="eastAsia" w:ascii="宋体" w:hAnsi="宋体" w:eastAsia="宋体" w:cs="宋体"/>
          <w:color w:val="auto"/>
          <w:highlight w:val="none"/>
          <w:lang w:val="zh-CN"/>
        </w:rPr>
        <w:t>；</w:t>
      </w:r>
      <w:r>
        <w:rPr>
          <w:rFonts w:hint="eastAsia" w:ascii="宋体" w:hAnsi="宋体" w:eastAsia="宋体" w:cs="宋体"/>
          <w:color w:val="auto"/>
          <w:highlight w:val="none"/>
        </w:rPr>
        <w:t>有依法缴纳税收和社会保障资金的良好记录</w:t>
      </w:r>
      <w:r>
        <w:rPr>
          <w:rFonts w:hint="eastAsia" w:ascii="宋体" w:hAnsi="宋体" w:eastAsia="宋体" w:cs="宋体"/>
          <w:color w:val="auto"/>
          <w:highlight w:val="none"/>
          <w:lang w:val="zh-CN"/>
        </w:rPr>
        <w:t>；</w:t>
      </w:r>
      <w:r>
        <w:rPr>
          <w:rFonts w:hint="eastAsia" w:ascii="宋体" w:hAnsi="宋体" w:eastAsia="宋体" w:cs="宋体"/>
          <w:color w:val="auto"/>
          <w:highlight w:val="none"/>
        </w:rPr>
        <w:t>具有履行合同所必需的设备和专业技术能力，且本公司（企业）参加政府采购活动前3年内在经营活动中没有重大违法记录。否则，由此所造成的损失、不良后果及法律责任，一律由我公司（企业）承担。</w:t>
      </w:r>
    </w:p>
    <w:p w14:paraId="53910E11">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(3)关于本企业信用情况，经对“信用中国”网站（www.creditchina.gov.cn）、“中国政府采购网”（ www.ccgp.gov.cn）信用记录信息的查询，截至规定的投标截止时间，我司没有被列入失信被执行人、税收违法黑名单、政府采购、环境保护、知识产权等领域严重违法失信行为记录名单中。</w:t>
      </w:r>
    </w:p>
    <w:p w14:paraId="4FC11F84">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(4)经核实，本公司不存在以下情况：单位负责人为同一人或者存在直接控股、管理关系的不同供应商，参加同一合同项下的政府采购活动。</w:t>
      </w:r>
    </w:p>
    <w:p w14:paraId="3B928D5C">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(5) 经核实，本公司不存在以下情况：为采购项目提供整体设计、规范编制或者项目管理、监理、检测等服务的供应商，再参加该采购项目的其他采购活动。</w:t>
      </w:r>
    </w:p>
    <w:p w14:paraId="4DB34063">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（6）本公司不属于联合体投标，承诺如果中标不分包转包。</w:t>
      </w:r>
    </w:p>
    <w:p w14:paraId="691ABAB6">
      <w:pPr>
        <w:adjustRightInd w:val="0"/>
        <w:snapToGrid w:val="0"/>
        <w:spacing w:line="360" w:lineRule="auto"/>
        <w:ind w:firstLine="444" w:firstLineChars="20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本公司</w:t>
      </w:r>
      <w:r>
        <w:rPr>
          <w:rFonts w:hint="eastAsia" w:ascii="宋体" w:hAnsi="宋体" w:eastAsia="宋体" w:cs="宋体"/>
          <w:color w:val="auto"/>
          <w:highlight w:val="none"/>
          <w:lang w:eastAsia="zh-CN"/>
        </w:rPr>
        <w:t>符合法律、行政法规规定的其他条件。</w:t>
      </w:r>
    </w:p>
    <w:p w14:paraId="4D69099A">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本次招标采购活动中，本单位保证全部投标文件和问题的回答是真实和有效的，并对所提供资料的真实性和正确性承担法律责任。</w:t>
      </w:r>
    </w:p>
    <w:p w14:paraId="02EC4135">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如有违法、违规、弄虚作假行为，所造成的损失、不良后果及法律责任，一律由我公司（企业）承担。</w:t>
      </w:r>
    </w:p>
    <w:p w14:paraId="2DA31208">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4683043C">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4C99F5C9">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企业股东构成情况表</w:t>
      </w:r>
    </w:p>
    <w:p w14:paraId="461E50D0">
      <w:pPr>
        <w:adjustRightInd w:val="0"/>
        <w:snapToGrid w:val="0"/>
        <w:rPr>
          <w:rFonts w:hint="eastAsia" w:ascii="宋体" w:hAnsi="宋体" w:eastAsia="宋体" w:cs="宋体"/>
          <w:szCs w:val="21"/>
        </w:rPr>
      </w:pPr>
    </w:p>
    <w:p w14:paraId="1BEAF9A4">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6F17EF8B">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62EC4CEE">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17AECCA8">
      <w:pPr>
        <w:jc w:val="center"/>
        <w:rPr>
          <w:rFonts w:hint="eastAsia" w:ascii="宋体" w:hAnsi="宋体" w:eastAsia="宋体" w:cs="宋体"/>
          <w:b/>
          <w:sz w:val="28"/>
          <w:szCs w:val="28"/>
          <w:highlight w:val="none"/>
        </w:rPr>
      </w:pPr>
      <w:r>
        <w:rPr>
          <w:rFonts w:hint="eastAsia" w:ascii="宋体" w:hAnsi="宋体" w:eastAsia="宋体" w:cs="宋体"/>
          <w:b/>
          <w:color w:val="auto"/>
          <w:sz w:val="36"/>
          <w:szCs w:val="36"/>
        </w:rPr>
        <w:br w:type="page"/>
      </w:r>
      <w:r>
        <w:rPr>
          <w:rFonts w:hint="eastAsia" w:ascii="宋体" w:hAnsi="宋体" w:eastAsia="宋体" w:cs="宋体"/>
          <w:b/>
          <w:sz w:val="28"/>
          <w:szCs w:val="28"/>
          <w:highlight w:val="none"/>
        </w:rPr>
        <w:t>企业股东构成情况表</w:t>
      </w:r>
    </w:p>
    <w:p w14:paraId="0305EF9C">
      <w:pPr>
        <w:jc w:val="left"/>
        <w:rPr>
          <w:rFonts w:hint="eastAsia" w:ascii="宋体" w:hAnsi="宋体" w:eastAsia="宋体" w:cs="宋体"/>
          <w:b/>
          <w:sz w:val="24"/>
          <w:highlight w:val="none"/>
        </w:rPr>
      </w:pPr>
    </w:p>
    <w:tbl>
      <w:tblPr>
        <w:tblStyle w:val="2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DC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48F7740A">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noWrap w:val="0"/>
            <w:vAlign w:val="center"/>
          </w:tcPr>
          <w:p w14:paraId="07AF1FBB">
            <w:pPr>
              <w:topLinePunct/>
              <w:spacing w:line="440" w:lineRule="exact"/>
              <w:jc w:val="center"/>
              <w:rPr>
                <w:rFonts w:hint="eastAsia" w:ascii="宋体" w:hAnsi="宋体" w:eastAsia="宋体" w:cs="宋体"/>
                <w:szCs w:val="21"/>
                <w:highlight w:val="none"/>
              </w:rPr>
            </w:pPr>
          </w:p>
        </w:tc>
      </w:tr>
      <w:tr w14:paraId="00EEC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F8A314B">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0C561A4E">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779375F8">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50BDDBBD">
            <w:pPr>
              <w:topLinePunct/>
              <w:spacing w:line="440" w:lineRule="exact"/>
              <w:jc w:val="center"/>
              <w:rPr>
                <w:rFonts w:hint="eastAsia" w:ascii="宋体" w:hAnsi="宋体" w:eastAsia="宋体" w:cs="宋体"/>
                <w:szCs w:val="21"/>
                <w:highlight w:val="none"/>
              </w:rPr>
            </w:pPr>
          </w:p>
        </w:tc>
      </w:tr>
      <w:tr w14:paraId="198D4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02D72133">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7AC5AC91">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54DC784A">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5EC3D27A">
            <w:pPr>
              <w:topLinePunct/>
              <w:spacing w:line="440" w:lineRule="exact"/>
              <w:jc w:val="center"/>
              <w:rPr>
                <w:rFonts w:hint="eastAsia" w:ascii="宋体" w:hAnsi="宋体" w:eastAsia="宋体" w:cs="宋体"/>
                <w:szCs w:val="21"/>
                <w:highlight w:val="none"/>
              </w:rPr>
            </w:pPr>
          </w:p>
        </w:tc>
      </w:tr>
      <w:tr w14:paraId="6A123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center"/>
          </w:tcPr>
          <w:p w14:paraId="5AC90BA0">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股东及出资信息</w:t>
            </w:r>
          </w:p>
        </w:tc>
      </w:tr>
      <w:tr w14:paraId="1A05F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A1885A0">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D2C55E9">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19A1B33">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股东类型</w:t>
            </w:r>
          </w:p>
          <w:p w14:paraId="6A14B5F6">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B49FE5A">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身份证号</w:t>
            </w:r>
          </w:p>
          <w:p w14:paraId="5E91CB9C">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7CBCDADC">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FE8559">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79F865">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占全部股份比例</w:t>
            </w:r>
          </w:p>
        </w:tc>
      </w:tr>
      <w:tr w14:paraId="3C004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9A189CD">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7EE7E26B">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5B49203">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A479D02">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A6268CF">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58F0A2">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52A54A">
            <w:pPr>
              <w:topLinePunct/>
              <w:spacing w:line="440" w:lineRule="exact"/>
              <w:jc w:val="center"/>
              <w:rPr>
                <w:rFonts w:hint="eastAsia" w:ascii="宋体" w:hAnsi="宋体" w:eastAsia="宋体" w:cs="宋体"/>
                <w:szCs w:val="21"/>
                <w:highlight w:val="none"/>
              </w:rPr>
            </w:pPr>
          </w:p>
        </w:tc>
      </w:tr>
      <w:tr w14:paraId="122B8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803F877">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B88A4F5">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E710B99">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4A07767">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2696149">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8EB5EC">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8018DA">
            <w:pPr>
              <w:topLinePunct/>
              <w:spacing w:line="440" w:lineRule="exact"/>
              <w:jc w:val="center"/>
              <w:rPr>
                <w:rFonts w:hint="eastAsia" w:ascii="宋体" w:hAnsi="宋体" w:eastAsia="宋体" w:cs="宋体"/>
                <w:szCs w:val="21"/>
                <w:highlight w:val="none"/>
              </w:rPr>
            </w:pPr>
          </w:p>
        </w:tc>
      </w:tr>
      <w:tr w14:paraId="63EC1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6B8629C">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366116D">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B941600">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7DBF8299">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721F8B8">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18C821">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3FE4EF">
            <w:pPr>
              <w:topLinePunct/>
              <w:spacing w:line="440" w:lineRule="exact"/>
              <w:jc w:val="center"/>
              <w:rPr>
                <w:rFonts w:hint="eastAsia" w:ascii="宋体" w:hAnsi="宋体" w:eastAsia="宋体" w:cs="宋体"/>
                <w:szCs w:val="21"/>
                <w:highlight w:val="none"/>
              </w:rPr>
            </w:pPr>
          </w:p>
        </w:tc>
      </w:tr>
      <w:tr w14:paraId="46410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1BC684B">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728F69F">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293414C">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8449DE7">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85417B0">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3FCF91">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CF7ECE">
            <w:pPr>
              <w:topLinePunct/>
              <w:spacing w:line="440" w:lineRule="exact"/>
              <w:jc w:val="center"/>
              <w:rPr>
                <w:rFonts w:hint="eastAsia" w:ascii="宋体" w:hAnsi="宋体" w:eastAsia="宋体" w:cs="宋体"/>
                <w:szCs w:val="21"/>
                <w:highlight w:val="none"/>
              </w:rPr>
            </w:pPr>
          </w:p>
        </w:tc>
      </w:tr>
      <w:tr w14:paraId="26A6F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64D82F3">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3648A86">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6B4F60C">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7470D11">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1D2DDC3">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4732EB">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E18E7F">
            <w:pPr>
              <w:topLinePunct/>
              <w:spacing w:line="440" w:lineRule="exact"/>
              <w:jc w:val="center"/>
              <w:rPr>
                <w:rFonts w:hint="eastAsia" w:ascii="宋体" w:hAnsi="宋体" w:eastAsia="宋体" w:cs="宋体"/>
                <w:szCs w:val="21"/>
                <w:highlight w:val="none"/>
              </w:rPr>
            </w:pPr>
          </w:p>
        </w:tc>
      </w:tr>
      <w:tr w14:paraId="75AF0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3EDAB2B">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7B1568A">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1386F12">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3706999">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FC9A60C">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A0E16B">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96DB29">
            <w:pPr>
              <w:topLinePunct/>
              <w:spacing w:line="440" w:lineRule="exact"/>
              <w:jc w:val="center"/>
              <w:rPr>
                <w:rFonts w:hint="eastAsia" w:ascii="宋体" w:hAnsi="宋体" w:eastAsia="宋体" w:cs="宋体"/>
                <w:szCs w:val="21"/>
                <w:highlight w:val="none"/>
              </w:rPr>
            </w:pPr>
          </w:p>
        </w:tc>
      </w:tr>
    </w:tbl>
    <w:p w14:paraId="79C6E042">
      <w:pPr>
        <w:jc w:val="left"/>
        <w:rPr>
          <w:rFonts w:hint="eastAsia" w:ascii="宋体" w:hAnsi="宋体" w:eastAsia="宋体" w:cs="宋体"/>
          <w:szCs w:val="21"/>
          <w:highlight w:val="none"/>
        </w:rPr>
      </w:pPr>
    </w:p>
    <w:p w14:paraId="180E564F">
      <w:pPr>
        <w:jc w:val="left"/>
        <w:rPr>
          <w:rFonts w:hint="eastAsia" w:ascii="宋体" w:hAnsi="宋体" w:eastAsia="宋体" w:cs="宋体"/>
          <w:szCs w:val="21"/>
          <w:highlight w:val="none"/>
        </w:rPr>
      </w:pPr>
      <w:r>
        <w:rPr>
          <w:rFonts w:hint="eastAsia" w:ascii="宋体" w:hAnsi="宋体" w:eastAsia="宋体" w:cs="宋体"/>
          <w:szCs w:val="21"/>
          <w:highlight w:val="none"/>
        </w:rPr>
        <w:t>备注：</w:t>
      </w:r>
    </w:p>
    <w:p w14:paraId="21724352">
      <w:pPr>
        <w:jc w:val="left"/>
        <w:rPr>
          <w:rFonts w:hint="eastAsia" w:ascii="宋体" w:hAnsi="宋体" w:eastAsia="宋体" w:cs="宋体"/>
          <w:szCs w:val="21"/>
          <w:highlight w:val="none"/>
        </w:rPr>
      </w:pPr>
      <w:r>
        <w:rPr>
          <w:rFonts w:hint="eastAsia" w:ascii="宋体" w:hAnsi="宋体" w:eastAsia="宋体" w:cs="宋体"/>
          <w:szCs w:val="21"/>
          <w:highlight w:val="none"/>
        </w:rPr>
        <w:t>1.股东或出资人为自然人的，填写自然人姓名及身份证号；股东或出资人为法人的，填写法人企业全称及统一社会信用代码。出资方式填写：货物、实物、工艺产权和非专利技术、土地使用权等。</w:t>
      </w:r>
    </w:p>
    <w:p w14:paraId="197632AF">
      <w:pPr>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 w:val="20"/>
          <w:szCs w:val="18"/>
          <w:highlight w:val="none"/>
        </w:rPr>
        <w:t>投标人必须如实填写股东构成情况</w:t>
      </w:r>
      <w:r>
        <w:rPr>
          <w:rFonts w:hint="eastAsia" w:ascii="宋体" w:hAnsi="宋体" w:eastAsia="宋体" w:cs="宋体"/>
          <w:szCs w:val="21"/>
          <w:highlight w:val="none"/>
        </w:rPr>
        <w:t>，具体信息情况应与“国家企业信用信息公示系统” (网站：</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"http://www.gsxt.gov.cn)查询的信息一致。" </w:instrText>
      </w:r>
      <w:r>
        <w:rPr>
          <w:rFonts w:hint="eastAsia" w:ascii="宋体" w:hAnsi="宋体" w:eastAsia="宋体" w:cs="宋体"/>
          <w:szCs w:val="21"/>
          <w:highlight w:val="none"/>
        </w:rPr>
        <w:fldChar w:fldCharType="separate"/>
      </w:r>
      <w:r>
        <w:rPr>
          <w:rStyle w:val="28"/>
          <w:rFonts w:hint="eastAsia" w:ascii="宋体" w:hAnsi="宋体" w:eastAsia="宋体" w:cs="宋体"/>
          <w:szCs w:val="21"/>
          <w:highlight w:val="none"/>
        </w:rPr>
        <w:t>http://www.gsxt.gov.cn)查询的信息一致。</w:t>
      </w:r>
      <w:r>
        <w:rPr>
          <w:rFonts w:hint="eastAsia" w:ascii="宋体" w:hAnsi="宋体" w:eastAsia="宋体" w:cs="宋体"/>
          <w:szCs w:val="21"/>
          <w:highlight w:val="none"/>
        </w:rPr>
        <w:fldChar w:fldCharType="end"/>
      </w:r>
    </w:p>
    <w:p w14:paraId="01A9997E">
      <w:pPr>
        <w:tabs>
          <w:tab w:val="left" w:pos="654"/>
          <w:tab w:val="left" w:pos="1734"/>
          <w:tab w:val="left" w:pos="2814"/>
          <w:tab w:val="left" w:pos="3894"/>
          <w:tab w:val="left" w:pos="5334"/>
          <w:tab w:val="left" w:pos="6414"/>
          <w:tab w:val="left" w:pos="7254"/>
          <w:tab w:val="left" w:pos="8574"/>
          <w:tab w:val="left" w:pos="9654"/>
        </w:tabs>
        <w:jc w:val="left"/>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.2政府采购活动信用记录自查承诺函</w:t>
      </w:r>
    </w:p>
    <w:p w14:paraId="30E594B5">
      <w:pPr>
        <w:ind w:left="405"/>
        <w:rPr>
          <w:rFonts w:hint="eastAsia" w:ascii="宋体" w:hAnsi="宋体" w:eastAsia="宋体" w:cs="宋体"/>
          <w:sz w:val="24"/>
          <w:highlight w:val="none"/>
        </w:rPr>
      </w:pPr>
    </w:p>
    <w:p w14:paraId="43F93EC2">
      <w:pPr>
        <w:adjustRightInd w:val="0"/>
        <w:snapToGrid w:val="0"/>
        <w:spacing w:line="360" w:lineRule="auto"/>
        <w:ind w:firstLine="440" w:firstLineChars="200"/>
        <w:rPr>
          <w:rFonts w:hint="eastAsia" w:ascii="宋体" w:hAnsi="宋体" w:eastAsia="宋体" w:cs="宋体"/>
          <w:szCs w:val="21"/>
          <w:highlight w:val="none"/>
        </w:rPr>
      </w:pPr>
    </w:p>
    <w:p w14:paraId="53ECB1A4">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国义招标股份有限公司：</w:t>
      </w:r>
    </w:p>
    <w:p w14:paraId="1B7530EB">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  关于本企业信用情况，经对“信用中国”网站（www.creditchina.gov.cn）中企业信用信息、“中国政府采购网”（ www.ccgp.gov.cn）“政府采购严重违法失信行为信息记录”的网上查询，截至规定的投标截止时间，我司没有被列入失信被执行人、税收违法黑名单、政府采购严重违法失信行为记录名单及其他不符合规定条件的供应商名单中。特此承诺！</w:t>
      </w:r>
    </w:p>
    <w:p w14:paraId="69333F88">
      <w:pPr>
        <w:ind w:left="405"/>
        <w:rPr>
          <w:rFonts w:hint="eastAsia" w:ascii="宋体" w:hAnsi="宋体" w:eastAsia="宋体" w:cs="宋体"/>
          <w:b/>
          <w:szCs w:val="21"/>
          <w:highlight w:val="none"/>
        </w:rPr>
      </w:pPr>
    </w:p>
    <w:p w14:paraId="53282AF6">
      <w:pPr>
        <w:ind w:left="405"/>
        <w:rPr>
          <w:rFonts w:hint="eastAsia" w:ascii="宋体" w:hAnsi="宋体" w:eastAsia="宋体" w:cs="宋体"/>
          <w:b/>
          <w:szCs w:val="21"/>
          <w:highlight w:val="none"/>
        </w:rPr>
      </w:pPr>
    </w:p>
    <w:p w14:paraId="6507C5FD">
      <w:pPr>
        <w:ind w:left="405"/>
        <w:rPr>
          <w:rFonts w:hint="eastAsia" w:ascii="宋体" w:hAnsi="宋体" w:eastAsia="宋体" w:cs="宋体"/>
          <w:b/>
          <w:szCs w:val="21"/>
          <w:highlight w:val="none"/>
        </w:rPr>
      </w:pPr>
    </w:p>
    <w:p w14:paraId="148505E7">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6D34FB8B">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D0588B5">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日</w:t>
      </w:r>
    </w:p>
    <w:p w14:paraId="0DC6EB3E">
      <w:pPr>
        <w:ind w:left="405"/>
        <w:rPr>
          <w:rFonts w:hint="eastAsia" w:ascii="宋体" w:hAnsi="宋体" w:eastAsia="宋体" w:cs="宋体"/>
          <w:b/>
          <w:szCs w:val="21"/>
          <w:highlight w:val="none"/>
        </w:rPr>
      </w:pPr>
    </w:p>
    <w:p w14:paraId="3FF79C82">
      <w:pPr>
        <w:ind w:left="405"/>
        <w:rPr>
          <w:rFonts w:hint="eastAsia" w:ascii="宋体" w:hAnsi="宋体" w:eastAsia="宋体" w:cs="宋体"/>
          <w:b/>
          <w:szCs w:val="21"/>
          <w:highlight w:val="none"/>
        </w:rPr>
      </w:pPr>
    </w:p>
    <w:p w14:paraId="00B4FA4D">
      <w:pPr>
        <w:rPr>
          <w:rFonts w:hint="eastAsia" w:ascii="宋体" w:hAnsi="宋体" w:eastAsia="宋体" w:cs="宋体"/>
          <w:b/>
          <w:szCs w:val="21"/>
          <w:highlight w:val="none"/>
        </w:rPr>
      </w:pPr>
      <w:r>
        <w:rPr>
          <w:rFonts w:hint="eastAsia" w:ascii="宋体" w:hAnsi="宋体" w:eastAsia="宋体" w:cs="宋体"/>
          <w:b/>
          <w:szCs w:val="21"/>
          <w:highlight w:val="none"/>
        </w:rPr>
        <w:t>备注：采购方将对函件内容的真实性和有效性进行审查、验证，如有造假或情况不一致，将导致投标无效！</w:t>
      </w:r>
    </w:p>
    <w:p w14:paraId="0EDE5759">
      <w:pPr>
        <w:rPr>
          <w:rFonts w:hint="eastAsia" w:ascii="宋体" w:hAnsi="宋体" w:eastAsia="宋体" w:cs="宋体"/>
          <w:b/>
          <w:szCs w:val="21"/>
          <w:highlight w:val="none"/>
        </w:rPr>
      </w:pPr>
    </w:p>
    <w:p w14:paraId="37D279A1">
      <w:pPr>
        <w:rPr>
          <w:rFonts w:hint="eastAsia" w:ascii="宋体" w:hAnsi="宋体" w:eastAsia="宋体" w:cs="宋体"/>
          <w:b/>
          <w:sz w:val="24"/>
          <w:highlight w:val="none"/>
        </w:rPr>
      </w:pPr>
    </w:p>
    <w:p w14:paraId="156F02A9">
      <w:pPr>
        <w:rPr>
          <w:rFonts w:hint="eastAsia" w:ascii="宋体" w:hAnsi="宋体" w:eastAsia="宋体" w:cs="宋体"/>
          <w:b/>
          <w:sz w:val="24"/>
          <w:highlight w:val="none"/>
        </w:rPr>
      </w:pPr>
    </w:p>
    <w:p w14:paraId="15934E39">
      <w:pPr>
        <w:rPr>
          <w:rFonts w:hint="eastAsia" w:ascii="宋体" w:hAnsi="宋体" w:eastAsia="宋体" w:cs="宋体"/>
          <w:b/>
          <w:sz w:val="24"/>
          <w:highlight w:val="none"/>
        </w:rPr>
      </w:pPr>
    </w:p>
    <w:p w14:paraId="0D150DC6">
      <w:pP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br w:type="page"/>
      </w:r>
    </w:p>
    <w:p w14:paraId="7B0B8ACD">
      <w:pPr>
        <w:rPr>
          <w:rFonts w:hint="eastAsia" w:hAnsi="宋体" w:cs="宋体"/>
          <w:b/>
          <w:sz w:val="24"/>
          <w:highlight w:val="none"/>
          <w:lang w:val="en-US" w:eastAsia="zh-CN"/>
        </w:rPr>
      </w:pPr>
      <w:r>
        <w:rPr>
          <w:rFonts w:hint="eastAsia" w:ascii="宋体" w:hAnsi="宋体" w:eastAsia="宋体" w:cs="宋体"/>
          <w:b/>
          <w:sz w:val="24"/>
          <w:highlight w:val="none"/>
          <w:lang w:val="en-US" w:eastAsia="zh-CN"/>
        </w:rPr>
        <w:t>1.3法定代表人授权代表声明函</w:t>
      </w:r>
    </w:p>
    <w:p w14:paraId="470C4B71">
      <w:pPr>
        <w:jc w:val="center"/>
        <w:outlineLvl w:val="1"/>
        <w:rPr>
          <w:rFonts w:hint="eastAsia" w:ascii="宋体" w:hAnsi="宋体" w:eastAsia="宋体" w:cs="宋体"/>
          <w:b/>
          <w:sz w:val="28"/>
          <w:szCs w:val="28"/>
        </w:rPr>
      </w:pPr>
      <w:r>
        <w:rPr>
          <w:rFonts w:hint="eastAsia" w:ascii="宋体" w:hAnsi="宋体" w:eastAsia="宋体" w:cs="宋体"/>
          <w:b/>
          <w:szCs w:val="21"/>
        </w:rPr>
        <w:t>法定代表人授权代表声明函</w:t>
      </w:r>
    </w:p>
    <w:p w14:paraId="11B4697B">
      <w:pPr>
        <w:adjustRightInd w:val="0"/>
        <w:snapToGrid w:val="0"/>
        <w:spacing w:line="360" w:lineRule="auto"/>
        <w:rPr>
          <w:rFonts w:hint="eastAsia" w:ascii="宋体" w:hAnsi="宋体" w:eastAsia="宋体" w:cs="宋体"/>
          <w:b/>
          <w:szCs w:val="21"/>
        </w:rPr>
      </w:pPr>
    </w:p>
    <w:p w14:paraId="58AC48DF">
      <w:pPr>
        <w:adjustRightInd w:val="0"/>
        <w:snapToGrid w:val="0"/>
        <w:spacing w:line="360" w:lineRule="auto"/>
        <w:rPr>
          <w:rFonts w:hint="eastAsia" w:ascii="宋体" w:hAnsi="宋体" w:eastAsia="宋体" w:cs="宋体"/>
          <w:b/>
          <w:lang w:eastAsia="zh-CN"/>
        </w:rPr>
      </w:pPr>
      <w:r>
        <w:rPr>
          <w:rFonts w:hint="eastAsia" w:hAnsi="宋体" w:cs="宋体"/>
          <w:b/>
          <w:szCs w:val="21"/>
          <w:lang w:val="en-US" w:eastAsia="zh-CN"/>
        </w:rPr>
        <w:t>国义招标股份有限公司</w:t>
      </w:r>
      <w:r>
        <w:rPr>
          <w:rFonts w:hint="eastAsia" w:ascii="宋体" w:hAnsi="宋体" w:eastAsia="宋体" w:cs="宋体"/>
          <w:b/>
          <w:szCs w:val="21"/>
          <w:lang w:eastAsia="zh-CN"/>
        </w:rPr>
        <w:t>：</w:t>
      </w:r>
    </w:p>
    <w:p w14:paraId="5705645A">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w:t>
      </w:r>
      <w:r>
        <w:rPr>
          <w:rFonts w:hint="eastAsia" w:hAnsi="宋体" w:cs="宋体"/>
          <w:color w:val="auto"/>
          <w:highlight w:val="none"/>
          <w:lang w:val="en-US" w:eastAsia="zh-CN"/>
        </w:rPr>
        <w:t>项目</w:t>
      </w:r>
      <w:r>
        <w:rPr>
          <w:rFonts w:hint="eastAsia" w:ascii="宋体" w:hAnsi="宋体" w:eastAsia="宋体" w:cs="宋体"/>
          <w:color w:val="auto"/>
          <w:highlight w:val="none"/>
        </w:rPr>
        <w:t>，本公司（企业）愿意参加投标，并声明：</w:t>
      </w:r>
    </w:p>
    <w:p w14:paraId="447A19FE">
      <w:pPr>
        <w:adjustRightInd w:val="0"/>
        <w:snapToGrid w:val="0"/>
        <w:spacing w:line="360" w:lineRule="auto"/>
        <w:ind w:firstLine="444" w:firstLineChars="202"/>
        <w:rPr>
          <w:rFonts w:hint="eastAsia" w:ascii="宋体" w:hAnsi="宋体" w:eastAsia="宋体" w:cs="宋体"/>
          <w:color w:val="auto"/>
          <w:highlight w:val="none"/>
        </w:rPr>
      </w:pPr>
      <w:r>
        <w:rPr>
          <w:rFonts w:hint="eastAsia" w:hAnsi="宋体" w:cs="宋体"/>
          <w:color w:val="auto"/>
          <w:highlight w:val="none"/>
          <w:lang w:val="en-US" w:eastAsia="zh-CN"/>
        </w:rPr>
        <w:t>代表</w:t>
      </w:r>
      <w:r>
        <w:rPr>
          <w:rFonts w:hint="eastAsia" w:ascii="宋体" w:hAnsi="宋体" w:eastAsia="宋体" w:cs="宋体"/>
          <w:color w:val="auto"/>
          <w:highlight w:val="none"/>
        </w:rPr>
        <w:t>本公司（企业）</w:t>
      </w:r>
      <w:r>
        <w:rPr>
          <w:rFonts w:hint="eastAsia" w:hAnsi="宋体" w:cs="宋体"/>
          <w:color w:val="auto"/>
          <w:highlight w:val="none"/>
          <w:lang w:val="en-US" w:eastAsia="zh-CN"/>
        </w:rPr>
        <w:t>参加本项目的</w:t>
      </w: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（姓名、职务）</w:t>
      </w:r>
      <w:r>
        <w:rPr>
          <w:color w:val="000000" w:themeColor="text1"/>
          <w:highlight w:val="none"/>
          <w14:textFill>
            <w14:solidFill>
              <w14:schemeClr w14:val="tx1"/>
            </w14:solidFill>
          </w14:textFill>
        </w:rPr>
        <w:t xml:space="preserve"> 作为我公司的</w:t>
      </w:r>
      <w:r>
        <w:rPr>
          <w:rFonts w:hint="eastAsia" w:ascii="宋体" w:hAnsi="宋体" w:eastAsia="宋体" w:cs="宋体"/>
          <w:szCs w:val="21"/>
        </w:rPr>
        <w:t>法定代表人授权代表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系</w:t>
      </w:r>
      <w:r>
        <w:rPr>
          <w:rFonts w:hint="eastAsia" w:ascii="宋体" w:hAnsi="宋体" w:eastAsia="宋体" w:cs="宋体"/>
          <w:color w:val="auto"/>
          <w:highlight w:val="none"/>
        </w:rPr>
        <w:t>本公司（企业）</w:t>
      </w:r>
      <w:r>
        <w:rPr>
          <w:rFonts w:hint="eastAsia"/>
          <w:color w:val="000000" w:themeColor="text1"/>
          <w:highlight w:val="none"/>
          <w:lang w:val="en-US" w:eastAsia="zh-CN"/>
          <w14:textFill>
            <w14:solidFill>
              <w14:schemeClr w14:val="tx1"/>
            </w14:solidFill>
          </w14:textFill>
        </w:rPr>
        <w:t>员工</w:t>
      </w:r>
      <w:r>
        <w:rPr>
          <w:rFonts w:hint="eastAsia" w:ascii="宋体" w:hAnsi="宋体" w:eastAsia="宋体" w:cs="宋体"/>
          <w:color w:val="auto"/>
          <w:highlight w:val="none"/>
        </w:rPr>
        <w:t>。</w:t>
      </w:r>
    </w:p>
    <w:p w14:paraId="621441FB">
      <w:pPr>
        <w:adjustRightInd w:val="0"/>
        <w:snapToGrid w:val="0"/>
        <w:spacing w:line="360" w:lineRule="auto"/>
        <w:ind w:firstLine="444" w:firstLineChars="202"/>
        <w:rPr>
          <w:rFonts w:hint="eastAsia" w:ascii="宋体" w:hAnsi="宋体" w:eastAsia="宋体" w:cs="宋体"/>
          <w:color w:val="auto"/>
          <w:highlight w:val="none"/>
        </w:rPr>
      </w:pPr>
    </w:p>
    <w:p w14:paraId="1C540690">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4FBF1845">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6A25C78B">
      <w:pPr>
        <w:rPr>
          <w:rFonts w:hint="default" w:ascii="宋体" w:hAnsi="宋体" w:eastAsia="宋体" w:cs="宋体"/>
          <w:b/>
          <w:bCs/>
          <w:highlight w:val="none"/>
          <w:lang w:val="en-US" w:eastAsia="zh-CN"/>
        </w:rPr>
      </w:pPr>
      <w:r>
        <w:rPr>
          <w:rFonts w:hint="eastAsia" w:hAnsi="宋体" w:cs="宋体"/>
          <w:b/>
          <w:bCs/>
          <w:highlight w:val="none"/>
          <w:lang w:val="en-US" w:eastAsia="zh-CN"/>
        </w:rPr>
        <w:t>法定代表人授权代表近六个月内任意一个月在投标人单位购买社保的证明材料。</w:t>
      </w:r>
    </w:p>
    <w:p w14:paraId="4DDE07D6">
      <w:pPr>
        <w:adjustRightInd w:val="0"/>
        <w:snapToGrid w:val="0"/>
        <w:rPr>
          <w:rFonts w:hint="eastAsia" w:ascii="宋体" w:hAnsi="宋体" w:eastAsia="宋体" w:cs="宋体"/>
          <w:szCs w:val="21"/>
        </w:rPr>
      </w:pPr>
    </w:p>
    <w:p w14:paraId="3F80031D">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550D5C36">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4208DEB6">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2EE0272D">
      <w:pPr>
        <w:rPr>
          <w:rFonts w:hint="default" w:hAnsi="宋体" w:cs="宋体"/>
          <w:b/>
          <w:sz w:val="24"/>
          <w:highlight w:val="none"/>
          <w:lang w:val="en-US" w:eastAsia="zh-CN"/>
        </w:rPr>
      </w:pPr>
    </w:p>
    <w:p w14:paraId="77A302D2">
      <w:pPr>
        <w:rPr>
          <w:rFonts w:hint="eastAsia" w:ascii="宋体" w:hAnsi="宋体" w:eastAsia="宋体" w:cs="宋体"/>
          <w:b/>
          <w:sz w:val="24"/>
          <w:highlight w:val="none"/>
        </w:rPr>
      </w:pPr>
    </w:p>
    <w:p w14:paraId="6F1615D1">
      <w:pPr>
        <w:rPr>
          <w:rFonts w:hint="eastAsia" w:ascii="宋体" w:hAnsi="宋体" w:eastAsia="宋体" w:cs="宋体"/>
          <w:b/>
          <w:sz w:val="24"/>
          <w:highlight w:val="none"/>
        </w:rPr>
      </w:pPr>
    </w:p>
    <w:p w14:paraId="16ABF60D">
      <w:pPr>
        <w:rPr>
          <w:rFonts w:hint="eastAsia" w:ascii="宋体" w:hAnsi="宋体" w:eastAsia="宋体" w:cs="宋体"/>
          <w:b/>
          <w:sz w:val="24"/>
          <w:highlight w:val="none"/>
          <w:lang w:val="en-US" w:eastAsia="zh-CN"/>
        </w:rPr>
      </w:pPr>
    </w:p>
    <w:p w14:paraId="5BD2781C">
      <w:pPr>
        <w:rPr>
          <w:rFonts w:hint="eastAsia" w:ascii="宋体" w:hAnsi="宋体" w:eastAsia="宋体" w:cs="宋体"/>
          <w:b/>
          <w:sz w:val="24"/>
          <w:highlight w:val="none"/>
          <w:lang w:val="en-US" w:eastAsia="zh-CN"/>
        </w:rPr>
      </w:pPr>
    </w:p>
    <w:p w14:paraId="6CC83F1D">
      <w:pPr>
        <w:rPr>
          <w:rFonts w:hint="eastAsia" w:ascii="宋体" w:hAnsi="宋体" w:eastAsia="宋体" w:cs="宋体"/>
          <w:b/>
          <w:sz w:val="24"/>
          <w:highlight w:val="none"/>
          <w:lang w:val="en-US" w:eastAsia="zh-CN"/>
        </w:rPr>
      </w:pPr>
    </w:p>
    <w:p w14:paraId="34F1644C">
      <w:pPr>
        <w:rPr>
          <w:rFonts w:hint="eastAsia" w:ascii="宋体" w:hAnsi="宋体" w:eastAsia="宋体" w:cs="宋体"/>
          <w:b/>
          <w:sz w:val="24"/>
          <w:highlight w:val="none"/>
          <w:lang w:val="en-US" w:eastAsia="zh-CN"/>
        </w:rPr>
      </w:pPr>
    </w:p>
    <w:p w14:paraId="4E917B82">
      <w:pPr>
        <w:rPr>
          <w:rFonts w:hint="eastAsia" w:ascii="宋体" w:hAnsi="宋体" w:eastAsia="宋体" w:cs="宋体"/>
          <w:b/>
          <w:sz w:val="24"/>
          <w:highlight w:val="none"/>
          <w:lang w:val="en-US" w:eastAsia="zh-CN"/>
        </w:rPr>
      </w:pPr>
    </w:p>
    <w:p w14:paraId="7E192005">
      <w:pPr>
        <w:rPr>
          <w:rFonts w:hint="eastAsia" w:ascii="宋体" w:hAnsi="宋体" w:eastAsia="宋体" w:cs="宋体"/>
          <w:b/>
          <w:sz w:val="24"/>
          <w:highlight w:val="none"/>
          <w:lang w:val="en-US" w:eastAsia="zh-CN"/>
        </w:rPr>
      </w:pPr>
    </w:p>
    <w:p w14:paraId="293B11CF">
      <w:pPr>
        <w:rPr>
          <w:rFonts w:hint="eastAsia" w:ascii="宋体" w:hAnsi="宋体" w:eastAsia="宋体" w:cs="宋体"/>
          <w:b/>
          <w:sz w:val="24"/>
          <w:highlight w:val="none"/>
        </w:rPr>
      </w:pP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w:t>
      </w:r>
      <w:r>
        <w:rPr>
          <w:rFonts w:hint="eastAsia" w:hAnsi="宋体" w:cs="宋体"/>
          <w:b/>
          <w:sz w:val="24"/>
          <w:highlight w:val="none"/>
          <w:lang w:val="en-US" w:eastAsia="zh-CN"/>
        </w:rPr>
        <w:t>4</w:t>
      </w:r>
      <w:r>
        <w:rPr>
          <w:rFonts w:hint="eastAsia" w:ascii="宋体" w:hAnsi="宋体" w:eastAsia="宋体" w:cs="宋体"/>
          <w:b/>
          <w:sz w:val="24"/>
          <w:highlight w:val="none"/>
        </w:rPr>
        <w:t>其他资格证明文件</w:t>
      </w:r>
    </w:p>
    <w:p w14:paraId="519EE6B7">
      <w:pPr>
        <w:rPr>
          <w:rFonts w:hint="eastAsia" w:ascii="宋体" w:hAnsi="宋体" w:eastAsia="宋体" w:cs="宋体"/>
          <w:b/>
          <w:sz w:val="24"/>
          <w:highlight w:val="none"/>
        </w:rPr>
      </w:pPr>
    </w:p>
    <w:p w14:paraId="6FA2F720">
      <w:pPr>
        <w:autoSpaceDE w:val="0"/>
        <w:autoSpaceDN w:val="0"/>
        <w:ind w:right="1400"/>
        <w:rPr>
          <w:rFonts w:hint="eastAsia" w:ascii="宋体" w:hAnsi="宋体" w:eastAsia="宋体" w:cs="宋体"/>
          <w:sz w:val="24"/>
          <w:highlight w:val="none"/>
        </w:rPr>
      </w:pPr>
      <w:r>
        <w:rPr>
          <w:rFonts w:hint="eastAsia" w:ascii="宋体" w:hAnsi="宋体" w:eastAsia="宋体" w:cs="宋体"/>
          <w:sz w:val="24"/>
          <w:highlight w:val="none"/>
        </w:rPr>
        <w:t>一、有效的营业执照副本复印件（如非“三证合一”证照，同时提供税务登记证及组织机构代码证副本复印件）（加盖公章）</w:t>
      </w:r>
    </w:p>
    <w:p w14:paraId="21F6F4AB">
      <w:pPr>
        <w:autoSpaceDE w:val="0"/>
        <w:autoSpaceDN w:val="0"/>
        <w:ind w:right="1400"/>
        <w:rPr>
          <w:rFonts w:hint="eastAsia" w:ascii="宋体" w:hAnsi="宋体" w:eastAsia="宋体" w:cs="宋体"/>
          <w:sz w:val="24"/>
          <w:highlight w:val="none"/>
        </w:rPr>
      </w:pPr>
    </w:p>
    <w:p w14:paraId="7D16B67D">
      <w:pPr>
        <w:rPr>
          <w:rFonts w:hint="eastAsia" w:ascii="宋体" w:hAnsi="宋体" w:eastAsia="宋体" w:cs="宋体"/>
          <w:b/>
          <w:color w:val="auto"/>
          <w:sz w:val="36"/>
          <w:szCs w:val="36"/>
          <w:highlight w:val="none"/>
          <w:lang w:val="en-US" w:eastAsia="zh-CN"/>
        </w:rPr>
      </w:pPr>
      <w:r>
        <w:rPr>
          <w:rFonts w:hint="eastAsia" w:ascii="宋体" w:hAnsi="宋体" w:cs="宋体"/>
          <w:sz w:val="24"/>
          <w:highlight w:val="none"/>
          <w:lang w:eastAsia="zh-CN"/>
        </w:rPr>
        <w:t>二</w:t>
      </w:r>
      <w:r>
        <w:rPr>
          <w:rFonts w:hint="eastAsia" w:ascii="宋体" w:hAnsi="宋体" w:eastAsia="宋体" w:cs="宋体"/>
          <w:sz w:val="24"/>
          <w:highlight w:val="none"/>
        </w:rPr>
        <w:t>、详见招标文件第一</w:t>
      </w:r>
      <w:r>
        <w:rPr>
          <w:rFonts w:hint="eastAsia" w:ascii="宋体" w:hAnsi="宋体" w:eastAsia="宋体" w:cs="宋体"/>
          <w:sz w:val="24"/>
          <w:highlight w:val="none"/>
          <w:lang w:val="en-US" w:eastAsia="zh-CN"/>
        </w:rPr>
        <w:t>章</w:t>
      </w:r>
      <w:r>
        <w:rPr>
          <w:rFonts w:hint="eastAsia" w:ascii="宋体" w:hAnsi="宋体" w:eastAsia="宋体" w:cs="宋体"/>
          <w:sz w:val="24"/>
          <w:highlight w:val="none"/>
        </w:rPr>
        <w:t>“投标邀请”中的“投标人资格</w:t>
      </w:r>
      <w:r>
        <w:rPr>
          <w:rFonts w:hint="eastAsia" w:ascii="宋体" w:hAnsi="宋体" w:eastAsia="宋体" w:cs="宋体"/>
          <w:sz w:val="24"/>
          <w:highlight w:val="none"/>
          <w:lang w:val="en-US" w:eastAsia="zh-CN"/>
        </w:rPr>
        <w:t>要求</w:t>
      </w:r>
      <w:r>
        <w:rPr>
          <w:rFonts w:hint="eastAsia" w:ascii="宋体" w:hAnsi="宋体" w:eastAsia="宋体" w:cs="宋体"/>
          <w:sz w:val="24"/>
          <w:highlight w:val="none"/>
        </w:rPr>
        <w:t>”</w:t>
      </w:r>
    </w:p>
    <w:p w14:paraId="630607DE">
      <w:pPr>
        <w:rPr>
          <w:rFonts w:hint="eastAsia" w:ascii="宋体" w:hAnsi="宋体" w:eastAsia="宋体" w:cs="宋体"/>
          <w:b/>
          <w:color w:val="auto"/>
          <w:szCs w:val="21"/>
          <w:highlight w:val="none"/>
        </w:rPr>
      </w:pPr>
    </w:p>
    <w:p w14:paraId="69E33784">
      <w:pPr>
        <w:spacing w:before="25" w:after="25"/>
        <w:jc w:val="left"/>
        <w:outlineLvl w:val="0"/>
        <w:rPr>
          <w:rFonts w:hint="eastAsia" w:ascii="宋体" w:hAnsi="宋体" w:eastAsia="宋体" w:cs="宋体"/>
          <w:b/>
          <w:bCs/>
          <w:color w:val="auto"/>
          <w:spacing w:val="10"/>
          <w:kern w:val="0"/>
          <w:sz w:val="28"/>
          <w:szCs w:val="28"/>
        </w:rPr>
      </w:pPr>
      <w:r>
        <w:rPr>
          <w:rFonts w:hint="eastAsia" w:ascii="宋体" w:hAnsi="宋体" w:eastAsia="宋体" w:cs="宋体"/>
          <w:b/>
          <w:bCs/>
          <w:color w:val="auto"/>
          <w:spacing w:val="10"/>
          <w:kern w:val="0"/>
          <w:sz w:val="24"/>
          <w:szCs w:val="24"/>
          <w:highlight w:val="none"/>
        </w:rPr>
        <w:br w:type="page"/>
      </w:r>
      <w:r>
        <w:rPr>
          <w:rFonts w:hint="eastAsia" w:ascii="宋体" w:hAnsi="宋体" w:eastAsia="宋体" w:cs="宋体"/>
          <w:b/>
          <w:bCs/>
          <w:color w:val="auto"/>
          <w:spacing w:val="10"/>
          <w:kern w:val="0"/>
          <w:sz w:val="28"/>
          <w:szCs w:val="28"/>
        </w:rPr>
        <w:t>附件二、中标服务费承诺书（格式）</w:t>
      </w:r>
    </w:p>
    <w:p w14:paraId="5E67FE0C">
      <w:pPr>
        <w:adjustRightInd w:val="0"/>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本招标文件第六章</w:t>
      </w:r>
      <w:r>
        <w:rPr>
          <w:rFonts w:hint="eastAsia" w:ascii="宋体" w:hAnsi="宋体" w:eastAsia="宋体" w:cs="宋体"/>
          <w:b w:val="0"/>
          <w:bCs/>
          <w:highlight w:val="none"/>
        </w:rPr>
        <w:t>投标文件格式</w:t>
      </w:r>
      <w:r>
        <w:rPr>
          <w:rFonts w:hint="eastAsia" w:ascii="宋体" w:hAnsi="宋体" w:eastAsia="宋体" w:cs="宋体"/>
          <w:b w:val="0"/>
          <w:bCs/>
          <w:highlight w:val="none"/>
          <w:lang w:val="en-US" w:eastAsia="zh-CN"/>
        </w:rPr>
        <w:t>的</w:t>
      </w:r>
      <w:r>
        <w:rPr>
          <w:rFonts w:hint="eastAsia" w:ascii="宋体" w:hAnsi="宋体" w:eastAsia="宋体" w:cs="宋体"/>
          <w:b w:val="0"/>
          <w:bCs/>
          <w:highlight w:val="none"/>
        </w:rPr>
        <w:t>要求</w:t>
      </w:r>
      <w:r>
        <w:rPr>
          <w:rFonts w:hint="eastAsia" w:ascii="宋体" w:hAnsi="宋体" w:eastAsia="宋体" w:cs="宋体"/>
          <w:b w:val="0"/>
          <w:bCs/>
          <w:highlight w:val="none"/>
          <w:lang w:val="en-US" w:eastAsia="zh-CN"/>
        </w:rPr>
        <w:t>中“</w:t>
      </w:r>
      <w:r>
        <w:rPr>
          <w:rFonts w:hint="eastAsia" w:ascii="宋体" w:hAnsi="宋体" w:eastAsia="宋体" w:cs="宋体"/>
          <w:b w:val="0"/>
          <w:bCs/>
          <w:color w:val="auto"/>
          <w:szCs w:val="21"/>
          <w:highlight w:val="none"/>
          <w:lang w:val="en-US" w:eastAsia="zh-CN"/>
        </w:rPr>
        <w:t>格式十八：采购代理服务费支付承诺书</w:t>
      </w:r>
      <w:r>
        <w:rPr>
          <w:rFonts w:hint="eastAsia" w:ascii="宋体" w:hAnsi="宋体" w:eastAsia="宋体" w:cs="宋体"/>
          <w:b w:val="0"/>
          <w:bCs/>
          <w:highlight w:val="none"/>
          <w:lang w:val="en-US" w:eastAsia="zh-CN"/>
        </w:rPr>
        <w:t>”不适用，请根据以下格式填写</w:t>
      </w:r>
      <w:r>
        <w:rPr>
          <w:rFonts w:hint="eastAsia" w:ascii="宋体" w:hAnsi="宋体" w:eastAsia="宋体" w:cs="宋体"/>
          <w:b w:val="0"/>
          <w:bCs/>
          <w:color w:val="auto"/>
          <w:szCs w:val="21"/>
          <w:highlight w:val="none"/>
          <w:lang w:eastAsia="zh-CN"/>
        </w:rPr>
        <w:t>）</w:t>
      </w:r>
    </w:p>
    <w:p w14:paraId="401CAB2D">
      <w:pPr>
        <w:adjustRightInd w:val="0"/>
        <w:snapToGrid w:val="0"/>
        <w:spacing w:line="360" w:lineRule="auto"/>
        <w:rPr>
          <w:rFonts w:hint="eastAsia" w:ascii="宋体" w:hAnsi="宋体" w:eastAsia="宋体" w:cs="宋体"/>
          <w:b/>
          <w:color w:val="auto"/>
          <w:szCs w:val="21"/>
        </w:rPr>
      </w:pPr>
    </w:p>
    <w:p w14:paraId="5F2D7D5C">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国义招标股份有限公司：</w:t>
      </w:r>
    </w:p>
    <w:p w14:paraId="311F8914">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eastAsia="宋体" w:cs="宋体"/>
          <w:color w:val="auto"/>
          <w:szCs w:val="21"/>
          <w:u w:val="single"/>
        </w:rPr>
        <w:t xml:space="preserve">   （投标人名称）   </w:t>
      </w:r>
      <w:r>
        <w:rPr>
          <w:rFonts w:hint="eastAsia" w:ascii="宋体" w:hAnsi="宋体" w:eastAsia="宋体" w:cs="宋体"/>
          <w:color w:val="auto"/>
          <w:szCs w:val="21"/>
        </w:rPr>
        <w:t>公司在参加在贵司进行的</w:t>
      </w:r>
      <w:r>
        <w:rPr>
          <w:rFonts w:hint="eastAsia" w:ascii="宋体" w:hAnsi="宋体" w:eastAsia="宋体" w:cs="宋体"/>
          <w:color w:val="auto"/>
          <w:szCs w:val="21"/>
          <w:u w:val="single"/>
        </w:rPr>
        <w:t xml:space="preserve">   （项目名称）  </w:t>
      </w:r>
      <w:r>
        <w:rPr>
          <w:rFonts w:hint="eastAsia" w:ascii="宋体" w:hAnsi="宋体" w:eastAsia="宋体" w:cs="宋体"/>
          <w:color w:val="auto"/>
          <w:szCs w:val="21"/>
        </w:rPr>
        <w:t>(项目编号：)招标中如获中标，我司保证在领取“中标通知书”前，按本项目投标人须知相关规定向贵司缴纳 “中标服务费”。</w:t>
      </w:r>
    </w:p>
    <w:p w14:paraId="6C3C45C7">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highlight w:val="none"/>
        </w:rPr>
        <w:t>如我方违约，愿凭贵方开出的违约通知，按上述承付金额的200%由采购人在支付我司的合同款中代为扣付。</w:t>
      </w:r>
    </w:p>
    <w:p w14:paraId="2129CE6B">
      <w:pPr>
        <w:adjustRightInd w:val="0"/>
        <w:snapToGrid w:val="0"/>
        <w:spacing w:line="360" w:lineRule="auto"/>
        <w:ind w:firstLine="440" w:firstLineChars="200"/>
        <w:rPr>
          <w:rFonts w:hint="eastAsia" w:ascii="宋体" w:hAnsi="宋体" w:eastAsia="宋体" w:cs="宋体"/>
          <w:color w:val="auto"/>
          <w:szCs w:val="21"/>
        </w:rPr>
      </w:pPr>
      <w:r>
        <w:rPr>
          <w:rFonts w:hint="eastAsia" w:ascii="宋体" w:hAnsi="宋体" w:eastAsia="宋体" w:cs="宋体"/>
          <w:color w:val="auto"/>
          <w:szCs w:val="21"/>
        </w:rPr>
        <w:t>特此承诺。</w:t>
      </w:r>
    </w:p>
    <w:p w14:paraId="315C507C">
      <w:pPr>
        <w:rPr>
          <w:rFonts w:hint="eastAsia" w:ascii="宋体" w:hAnsi="宋体" w:eastAsia="宋体" w:cs="宋体"/>
          <w:color w:val="auto"/>
          <w:szCs w:val="21"/>
        </w:rPr>
      </w:pPr>
      <w:r>
        <w:rPr>
          <w:rFonts w:hint="eastAsia" w:ascii="宋体" w:hAnsi="宋体" w:eastAsia="宋体" w:cs="宋体"/>
          <w:color w:val="auto"/>
          <w:szCs w:val="21"/>
        </w:rPr>
        <w:t>另关于我司缴纳中标服务费后开具中标服务费发票的事宜，我司声明如下：</w:t>
      </w:r>
    </w:p>
    <w:p w14:paraId="15883A67">
      <w:pPr>
        <w:rPr>
          <w:rFonts w:hint="eastAsia" w:ascii="宋体" w:hAnsi="宋体" w:eastAsia="宋体" w:cs="宋体"/>
          <w:color w:val="auto"/>
          <w:szCs w:val="21"/>
        </w:rPr>
      </w:pPr>
      <w:r>
        <w:rPr>
          <w:rFonts w:hint="eastAsia" w:ascii="宋体" w:hAnsi="宋体" w:eastAsia="宋体" w:cs="宋体"/>
          <w:b/>
          <w:color w:val="auto"/>
          <w:szCs w:val="21"/>
        </w:rPr>
        <w:t>A：</w:t>
      </w:r>
      <w:r>
        <w:rPr>
          <w:rFonts w:hint="eastAsia" w:ascii="宋体" w:hAnsi="宋体" w:eastAsia="宋体" w:cs="宋体"/>
          <w:color w:val="auto"/>
          <w:szCs w:val="21"/>
        </w:rPr>
        <w:t>如需开具</w:t>
      </w:r>
      <w:r>
        <w:rPr>
          <w:rFonts w:hint="eastAsia" w:ascii="宋体" w:hAnsi="宋体" w:eastAsia="宋体" w:cs="宋体"/>
          <w:b/>
          <w:color w:val="auto"/>
          <w:szCs w:val="21"/>
          <w:u w:val="single"/>
        </w:rPr>
        <w:t>增值税普通发票</w:t>
      </w:r>
      <w:r>
        <w:rPr>
          <w:rFonts w:hint="eastAsia" w:ascii="宋体" w:hAnsi="宋体" w:eastAsia="宋体" w:cs="宋体"/>
          <w:color w:val="auto"/>
          <w:szCs w:val="21"/>
        </w:rPr>
        <w:t>，请于下方（ ）打“√”</w:t>
      </w:r>
    </w:p>
    <w:p w14:paraId="1CDB4050">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增值税普通发票</w:t>
      </w:r>
      <w:r>
        <w:rPr>
          <w:rFonts w:hint="eastAsia" w:ascii="宋体" w:hAnsi="宋体" w:eastAsia="宋体" w:cs="宋体"/>
          <w:b/>
          <w:color w:val="auto"/>
          <w:szCs w:val="21"/>
        </w:rPr>
        <w:t>”</w:t>
      </w:r>
      <w:r>
        <w:rPr>
          <w:rFonts w:hint="eastAsia" w:ascii="宋体" w:hAnsi="宋体" w:eastAsia="宋体" w:cs="宋体"/>
          <w:color w:val="auto"/>
          <w:szCs w:val="21"/>
        </w:rPr>
        <w:t>，开票信息如下：</w:t>
      </w:r>
    </w:p>
    <w:p w14:paraId="191F6427">
      <w:pPr>
        <w:rPr>
          <w:rFonts w:hint="eastAsia" w:ascii="宋体" w:hAnsi="宋体" w:eastAsia="宋体" w:cs="宋体"/>
          <w:color w:val="auto"/>
          <w:szCs w:val="21"/>
        </w:rPr>
      </w:pPr>
      <w:r>
        <w:rPr>
          <w:rFonts w:hint="eastAsia" w:ascii="宋体" w:hAnsi="宋体" w:eastAsia="宋体" w:cs="宋体"/>
          <w:b/>
          <w:color w:val="auto"/>
          <w:szCs w:val="21"/>
        </w:rPr>
        <w:t>1、</w:t>
      </w:r>
      <w:r>
        <w:rPr>
          <w:rFonts w:hint="eastAsia" w:ascii="宋体" w:hAnsi="宋体" w:eastAsia="宋体" w:cs="宋体"/>
          <w:color w:val="auto"/>
          <w:szCs w:val="21"/>
        </w:rPr>
        <w:t>我司工商注册名称为：；</w:t>
      </w:r>
    </w:p>
    <w:p w14:paraId="0D61106E">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7B15F212">
      <w:pPr>
        <w:rPr>
          <w:rFonts w:hint="eastAsia" w:ascii="宋体" w:hAnsi="宋体" w:eastAsia="宋体" w:cs="宋体"/>
          <w:color w:val="auto"/>
          <w:szCs w:val="21"/>
        </w:rPr>
      </w:pPr>
      <w:r>
        <w:rPr>
          <w:rFonts w:hint="eastAsia" w:ascii="宋体" w:hAnsi="宋体" w:eastAsia="宋体" w:cs="宋体"/>
          <w:b/>
          <w:color w:val="auto"/>
          <w:szCs w:val="21"/>
        </w:rPr>
        <w:t>B：</w:t>
      </w:r>
      <w:r>
        <w:rPr>
          <w:rFonts w:hint="eastAsia" w:ascii="宋体" w:hAnsi="宋体" w:eastAsia="宋体" w:cs="宋体"/>
          <w:color w:val="auto"/>
          <w:szCs w:val="21"/>
        </w:rPr>
        <w:t>如需开具增值税专用发票，请于下方（ ）打“√”,并提供相关资料</w:t>
      </w:r>
    </w:p>
    <w:p w14:paraId="09E774A1">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增值税专用发票</w:t>
      </w:r>
      <w:r>
        <w:rPr>
          <w:rFonts w:hint="eastAsia" w:ascii="宋体" w:hAnsi="宋体" w:eastAsia="宋体" w:cs="宋体"/>
          <w:b/>
          <w:color w:val="auto"/>
          <w:szCs w:val="21"/>
        </w:rPr>
        <w:t>”</w:t>
      </w:r>
      <w:r>
        <w:rPr>
          <w:rFonts w:hint="eastAsia" w:ascii="宋体" w:hAnsi="宋体" w:eastAsia="宋体" w:cs="宋体"/>
          <w:color w:val="auto"/>
          <w:szCs w:val="21"/>
        </w:rPr>
        <w:t>，开票信息为：</w:t>
      </w:r>
    </w:p>
    <w:p w14:paraId="33D28513">
      <w:pPr>
        <w:rPr>
          <w:rFonts w:hint="eastAsia" w:ascii="宋体" w:hAnsi="宋体" w:eastAsia="宋体" w:cs="宋体"/>
          <w:color w:val="auto"/>
          <w:szCs w:val="21"/>
        </w:rPr>
      </w:pPr>
      <w:r>
        <w:rPr>
          <w:rFonts w:hint="eastAsia" w:ascii="宋体" w:hAnsi="宋体" w:eastAsia="宋体" w:cs="宋体"/>
          <w:color w:val="auto"/>
          <w:szCs w:val="21"/>
        </w:rPr>
        <w:t>1、我司工商注册名称：</w:t>
      </w:r>
      <w:r>
        <w:rPr>
          <w:rFonts w:hint="eastAsia" w:ascii="宋体" w:hAnsi="宋体" w:eastAsia="宋体" w:cs="宋体"/>
          <w:color w:val="auto"/>
          <w:szCs w:val="21"/>
          <w:u w:val="single"/>
        </w:rPr>
        <w:t xml:space="preserve">    （请填写）              </w:t>
      </w:r>
    </w:p>
    <w:p w14:paraId="1B5C1D3D">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48BE9834">
      <w:pPr>
        <w:rPr>
          <w:rFonts w:hint="eastAsia" w:ascii="宋体" w:hAnsi="宋体" w:eastAsia="宋体" w:cs="宋体"/>
          <w:color w:val="auto"/>
          <w:szCs w:val="21"/>
        </w:rPr>
      </w:pPr>
      <w:r>
        <w:rPr>
          <w:rFonts w:hint="eastAsia" w:ascii="宋体" w:hAnsi="宋体" w:eastAsia="宋体" w:cs="宋体"/>
          <w:color w:val="auto"/>
          <w:szCs w:val="21"/>
        </w:rPr>
        <w:t>3、注册地址：</w:t>
      </w:r>
      <w:r>
        <w:rPr>
          <w:rFonts w:hint="eastAsia" w:ascii="宋体" w:hAnsi="宋体" w:eastAsia="宋体" w:cs="宋体"/>
          <w:color w:val="auto"/>
          <w:szCs w:val="21"/>
          <w:u w:val="single"/>
        </w:rPr>
        <w:t xml:space="preserve">    （请填写）              </w:t>
      </w:r>
    </w:p>
    <w:p w14:paraId="55CC1B7C">
      <w:pPr>
        <w:rPr>
          <w:rFonts w:hint="eastAsia" w:ascii="宋体" w:hAnsi="宋体" w:eastAsia="宋体" w:cs="宋体"/>
          <w:color w:val="auto"/>
          <w:szCs w:val="21"/>
        </w:rPr>
      </w:pPr>
      <w:r>
        <w:rPr>
          <w:rFonts w:hint="eastAsia" w:ascii="宋体" w:hAnsi="宋体" w:eastAsia="宋体" w:cs="宋体"/>
          <w:color w:val="auto"/>
          <w:szCs w:val="21"/>
        </w:rPr>
        <w:t>4、办公电话（固话）：</w:t>
      </w:r>
      <w:r>
        <w:rPr>
          <w:rFonts w:hint="eastAsia" w:ascii="宋体" w:hAnsi="宋体" w:eastAsia="宋体" w:cs="宋体"/>
          <w:color w:val="auto"/>
          <w:szCs w:val="21"/>
          <w:u w:val="single"/>
        </w:rPr>
        <w:t xml:space="preserve">    （请填写）              </w:t>
      </w:r>
    </w:p>
    <w:p w14:paraId="4E22BC12">
      <w:pPr>
        <w:rPr>
          <w:rFonts w:hint="eastAsia" w:ascii="宋体" w:hAnsi="宋体" w:eastAsia="宋体" w:cs="宋体"/>
          <w:color w:val="auto"/>
          <w:szCs w:val="21"/>
        </w:rPr>
      </w:pPr>
      <w:r>
        <w:rPr>
          <w:rFonts w:hint="eastAsia" w:ascii="宋体" w:hAnsi="宋体" w:eastAsia="宋体" w:cs="宋体"/>
          <w:color w:val="auto"/>
          <w:szCs w:val="21"/>
        </w:rPr>
        <w:t>5、开户银行及账号：</w:t>
      </w:r>
      <w:r>
        <w:rPr>
          <w:rFonts w:hint="eastAsia" w:ascii="宋体" w:hAnsi="宋体" w:eastAsia="宋体" w:cs="宋体"/>
          <w:color w:val="auto"/>
          <w:szCs w:val="21"/>
          <w:u w:val="single"/>
        </w:rPr>
        <w:t xml:space="preserve">    （请填写）              </w:t>
      </w:r>
    </w:p>
    <w:p w14:paraId="4848F4F3">
      <w:pPr>
        <w:rPr>
          <w:rFonts w:hint="eastAsia" w:ascii="宋体" w:hAnsi="宋体" w:eastAsia="宋体" w:cs="宋体"/>
          <w:color w:val="auto"/>
          <w:szCs w:val="21"/>
          <w:u w:val="single"/>
        </w:rPr>
      </w:pPr>
      <w:r>
        <w:rPr>
          <w:rFonts w:hint="eastAsia" w:ascii="宋体" w:hAnsi="宋体" w:eastAsia="宋体" w:cs="宋体"/>
          <w:color w:val="auto"/>
          <w:szCs w:val="21"/>
        </w:rPr>
        <w:t>6、一般纳税人资格证书/或加盖了税务局“增值税一般纳税人”条章的国税登记证扫描件/或在所属国税局网站的查询结果截图</w:t>
      </w:r>
      <w:r>
        <w:rPr>
          <w:rFonts w:hint="eastAsia" w:ascii="宋体" w:hAnsi="宋体" w:eastAsia="宋体" w:cs="宋体"/>
          <w:color w:val="auto"/>
          <w:szCs w:val="21"/>
          <w:u w:val="single"/>
        </w:rPr>
        <w:t>（截图后附）</w:t>
      </w:r>
    </w:p>
    <w:p w14:paraId="184E69EE">
      <w:pPr>
        <w:rPr>
          <w:rFonts w:hint="eastAsia" w:ascii="宋体" w:hAnsi="宋体" w:eastAsia="宋体" w:cs="宋体"/>
          <w:color w:val="auto"/>
          <w:szCs w:val="21"/>
        </w:rPr>
      </w:pPr>
      <w:r>
        <w:rPr>
          <w:rFonts w:hint="eastAsia" w:ascii="宋体" w:hAnsi="宋体" w:eastAsia="宋体" w:cs="宋体"/>
          <w:color w:val="auto"/>
          <w:szCs w:val="21"/>
        </w:rPr>
        <w:t>中标单位联系人：， 手机</w:t>
      </w:r>
      <w:r>
        <w:rPr>
          <w:rFonts w:hint="eastAsia" w:ascii="宋体" w:hAnsi="宋体" w:eastAsia="宋体" w:cs="宋体"/>
          <w:color w:val="auto"/>
          <w:szCs w:val="21"/>
          <w:u w:val="single"/>
        </w:rPr>
        <w:t>号：            ;</w:t>
      </w:r>
    </w:p>
    <w:p w14:paraId="754C8666">
      <w:pPr>
        <w:rPr>
          <w:rFonts w:hint="eastAsia" w:ascii="宋体" w:hAnsi="宋体" w:eastAsia="宋体" w:cs="宋体"/>
          <w:color w:val="auto"/>
          <w:szCs w:val="21"/>
          <w:u w:val="single"/>
        </w:rPr>
      </w:pPr>
      <w:r>
        <w:rPr>
          <w:rFonts w:hint="eastAsia" w:ascii="宋体" w:hAnsi="宋体" w:eastAsia="宋体" w:cs="宋体"/>
          <w:color w:val="auto"/>
          <w:szCs w:val="21"/>
        </w:rPr>
        <w:t>单位地址：电话：传真：</w:t>
      </w:r>
      <w:r>
        <w:rPr>
          <w:rFonts w:hint="eastAsia" w:ascii="宋体" w:hAnsi="宋体" w:eastAsia="宋体" w:cs="宋体"/>
          <w:color w:val="auto"/>
          <w:szCs w:val="21"/>
          <w:u w:val="single"/>
        </w:rPr>
        <w:t xml:space="preserve">        。</w:t>
      </w:r>
    </w:p>
    <w:p w14:paraId="355FC867">
      <w:pPr>
        <w:rPr>
          <w:rFonts w:hint="eastAsia" w:ascii="宋体" w:hAnsi="宋体" w:eastAsia="宋体" w:cs="宋体"/>
          <w:color w:val="auto"/>
          <w:szCs w:val="21"/>
        </w:rPr>
      </w:pPr>
      <w:r>
        <w:rPr>
          <w:rFonts w:hint="eastAsia" w:ascii="宋体" w:hAnsi="宋体" w:eastAsia="宋体" w:cs="宋体"/>
          <w:color w:val="auto"/>
          <w:szCs w:val="21"/>
        </w:rPr>
        <w:t>特此声明。</w:t>
      </w:r>
    </w:p>
    <w:p w14:paraId="3D654967">
      <w:pPr>
        <w:rPr>
          <w:rFonts w:hint="eastAsia" w:ascii="宋体" w:hAnsi="宋体" w:eastAsia="宋体" w:cs="宋体"/>
          <w:color w:val="auto"/>
          <w:szCs w:val="21"/>
        </w:rPr>
      </w:pPr>
    </w:p>
    <w:p w14:paraId="587029A1">
      <w:pPr>
        <w:rPr>
          <w:rFonts w:hint="eastAsia" w:ascii="宋体" w:hAnsi="宋体" w:eastAsia="宋体" w:cs="宋体"/>
          <w:color w:val="auto"/>
          <w:szCs w:val="21"/>
        </w:rPr>
      </w:pPr>
    </w:p>
    <w:p w14:paraId="40EC6F49">
      <w:pPr>
        <w:rPr>
          <w:rFonts w:hint="eastAsia" w:ascii="宋体" w:hAnsi="宋体" w:eastAsia="宋体" w:cs="宋体"/>
          <w:color w:val="auto"/>
          <w:szCs w:val="21"/>
        </w:rPr>
      </w:pPr>
    </w:p>
    <w:p w14:paraId="4EAF5E82">
      <w:pPr>
        <w:rPr>
          <w:rFonts w:hint="eastAsia" w:ascii="宋体" w:hAnsi="宋体" w:eastAsia="宋体" w:cs="宋体"/>
          <w:color w:val="auto"/>
          <w:szCs w:val="21"/>
        </w:rPr>
      </w:pPr>
    </w:p>
    <w:p w14:paraId="4EE2D9C4">
      <w:pPr>
        <w:rPr>
          <w:rFonts w:hint="eastAsia" w:ascii="宋体" w:hAnsi="宋体" w:eastAsia="宋体" w:cs="宋体"/>
          <w:color w:val="auto"/>
          <w:szCs w:val="21"/>
        </w:rPr>
      </w:pPr>
    </w:p>
    <w:p w14:paraId="28763547">
      <w:pPr>
        <w:rPr>
          <w:rFonts w:hint="eastAsia" w:ascii="宋体" w:hAnsi="宋体" w:eastAsia="宋体" w:cs="宋体"/>
          <w:color w:val="auto"/>
          <w:szCs w:val="21"/>
        </w:rPr>
      </w:pPr>
      <w:r>
        <w:rPr>
          <w:rFonts w:hint="eastAsia" w:ascii="宋体" w:hAnsi="宋体" w:eastAsia="宋体" w:cs="宋体"/>
          <w:color w:val="auto"/>
          <w:szCs w:val="21"/>
        </w:rPr>
        <w:t xml:space="preserve">投标人法定代表人（或法定代表人授权代表）签字：                   </w:t>
      </w:r>
    </w:p>
    <w:p w14:paraId="4BAC4045">
      <w:pPr>
        <w:rPr>
          <w:rFonts w:hint="eastAsia" w:ascii="宋体" w:hAnsi="宋体" w:eastAsia="宋体" w:cs="宋体"/>
          <w:color w:val="auto"/>
          <w:szCs w:val="24"/>
        </w:rPr>
      </w:pPr>
      <w:r>
        <w:rPr>
          <w:rFonts w:hint="eastAsia" w:ascii="宋体" w:hAnsi="宋体" w:eastAsia="宋体" w:cs="宋体"/>
          <w:color w:val="auto"/>
          <w:szCs w:val="21"/>
        </w:rPr>
        <w:t xml:space="preserve">投标人名称（加盖公章）：                </w:t>
      </w:r>
    </w:p>
    <w:p w14:paraId="0F8ADEA5">
      <w:pPr>
        <w:rPr>
          <w:rFonts w:hint="eastAsia" w:ascii="宋体" w:hAnsi="宋体" w:eastAsia="宋体" w:cs="宋体"/>
          <w:color w:val="auto"/>
          <w:szCs w:val="24"/>
        </w:rPr>
      </w:pPr>
      <w:r>
        <w:rPr>
          <w:rFonts w:hint="eastAsia" w:ascii="宋体" w:hAnsi="宋体" w:eastAsia="宋体" w:cs="宋体"/>
          <w:color w:val="auto"/>
          <w:szCs w:val="24"/>
        </w:rPr>
        <w:t>日期：年</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日</w:t>
      </w:r>
    </w:p>
    <w:p w14:paraId="76FA48AE">
      <w:pPr>
        <w:pStyle w:val="30"/>
        <w:rPr>
          <w:rFonts w:hint="eastAsia" w:ascii="宋体" w:hAnsi="宋体" w:eastAsia="宋体" w:cs="宋体"/>
        </w:rPr>
      </w:pPr>
    </w:p>
    <w:p w14:paraId="77B2DD34">
      <w:pPr>
        <w:pStyle w:val="30"/>
        <w:rPr>
          <w:rFonts w:hint="eastAsia" w:ascii="宋体" w:hAnsi="宋体" w:eastAsia="宋体" w:cs="宋体"/>
          <w:color w:val="auto"/>
          <w:szCs w:val="24"/>
          <w:lang w:val="en-US" w:eastAsia="zh-CN"/>
        </w:rPr>
      </w:pPr>
    </w:p>
    <w:p w14:paraId="557B6E71">
      <w:pPr>
        <w:rPr>
          <w:rFonts w:hint="eastAsia" w:eastAsia="宋体" w:cs="Times New Roman"/>
          <w:lang w:val="en-US" w:eastAsia="zh-CN"/>
        </w:rPr>
      </w:pPr>
    </w:p>
    <w:p w14:paraId="4F6F36D0">
      <w:pPr>
        <w:pStyle w:val="10"/>
        <w:tabs>
          <w:tab w:val="left" w:pos="2030"/>
          <w:tab w:val="left" w:pos="3323"/>
          <w:tab w:val="left" w:pos="3515"/>
        </w:tabs>
        <w:kinsoku w:val="0"/>
        <w:overflowPunct w:val="0"/>
        <w:ind w:right="104"/>
        <w:jc w:val="right"/>
        <w:rPr>
          <w:rFonts w:hint="eastAsia" w:hAnsi="宋体"/>
          <w:color w:val="000000" w:themeColor="text1"/>
          <w:highlight w:val="none"/>
          <w14:textFill>
            <w14:solidFill>
              <w14:schemeClr w14:val="tx1"/>
            </w14:solidFill>
          </w14:textFill>
        </w:rPr>
      </w:pPr>
    </w:p>
    <w:sectPr>
      <w:headerReference r:id="rId3" w:type="default"/>
      <w:footerReference r:id="rId4" w:type="default"/>
      <w:pgSz w:w="11900" w:h="16840"/>
      <w:pgMar w:top="1440" w:right="1080" w:bottom="1440" w:left="1080" w:header="567" w:footer="56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03AF9">
    <w:pPr>
      <w:pStyle w:val="10"/>
      <w:kinsoku w:val="0"/>
      <w:overflowPunct w:val="0"/>
      <w:spacing w:line="14" w:lineRule="auto"/>
      <w:ind w:left="0"/>
      <w:rPr>
        <w:rFonts w:ascii="Times New Roman" w:eastAsia="等线"/>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A9DB8">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2A9DB8">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11FC">
    <w:pPr>
      <w:pStyle w:val="1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compat>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mJiY2RlMzMxNDdlZTIzMzVmNDYzYmNlNTYwODkifQ=="/>
  </w:docVars>
  <w:rsids>
    <w:rsidRoot w:val="00172A27"/>
    <w:rsid w:val="00014475"/>
    <w:rsid w:val="00025C71"/>
    <w:rsid w:val="00042BC5"/>
    <w:rsid w:val="0005686F"/>
    <w:rsid w:val="000743C4"/>
    <w:rsid w:val="00074AC1"/>
    <w:rsid w:val="00075B80"/>
    <w:rsid w:val="00081D64"/>
    <w:rsid w:val="000B241F"/>
    <w:rsid w:val="000C54D7"/>
    <w:rsid w:val="000D768B"/>
    <w:rsid w:val="000E6780"/>
    <w:rsid w:val="00106E3C"/>
    <w:rsid w:val="00145B3D"/>
    <w:rsid w:val="00162D01"/>
    <w:rsid w:val="001655B7"/>
    <w:rsid w:val="00167FCA"/>
    <w:rsid w:val="0017344F"/>
    <w:rsid w:val="00190F8F"/>
    <w:rsid w:val="00192CF9"/>
    <w:rsid w:val="001C097A"/>
    <w:rsid w:val="001C2E41"/>
    <w:rsid w:val="001C72D2"/>
    <w:rsid w:val="001D43F0"/>
    <w:rsid w:val="001F2B68"/>
    <w:rsid w:val="002009B6"/>
    <w:rsid w:val="00235363"/>
    <w:rsid w:val="00240695"/>
    <w:rsid w:val="0024547E"/>
    <w:rsid w:val="00245ECE"/>
    <w:rsid w:val="0027271F"/>
    <w:rsid w:val="00272855"/>
    <w:rsid w:val="0027321D"/>
    <w:rsid w:val="002843ED"/>
    <w:rsid w:val="00286726"/>
    <w:rsid w:val="00286AF7"/>
    <w:rsid w:val="00293061"/>
    <w:rsid w:val="002A768F"/>
    <w:rsid w:val="002B32A7"/>
    <w:rsid w:val="002B3779"/>
    <w:rsid w:val="002C340F"/>
    <w:rsid w:val="002D66AB"/>
    <w:rsid w:val="002D7E03"/>
    <w:rsid w:val="002F4F34"/>
    <w:rsid w:val="002F70BE"/>
    <w:rsid w:val="0032177B"/>
    <w:rsid w:val="00323217"/>
    <w:rsid w:val="003440BE"/>
    <w:rsid w:val="00350D3E"/>
    <w:rsid w:val="00360044"/>
    <w:rsid w:val="003714C9"/>
    <w:rsid w:val="003716AD"/>
    <w:rsid w:val="003825FB"/>
    <w:rsid w:val="00387C9A"/>
    <w:rsid w:val="003A7EBD"/>
    <w:rsid w:val="003B03AD"/>
    <w:rsid w:val="003E3EC7"/>
    <w:rsid w:val="003F25F8"/>
    <w:rsid w:val="00422D21"/>
    <w:rsid w:val="00444BCF"/>
    <w:rsid w:val="00462D22"/>
    <w:rsid w:val="00482839"/>
    <w:rsid w:val="00491FBB"/>
    <w:rsid w:val="00492D24"/>
    <w:rsid w:val="004970B6"/>
    <w:rsid w:val="004A1BCB"/>
    <w:rsid w:val="004A5B59"/>
    <w:rsid w:val="004B0112"/>
    <w:rsid w:val="004B06A8"/>
    <w:rsid w:val="004B2567"/>
    <w:rsid w:val="004B2924"/>
    <w:rsid w:val="004B5D7F"/>
    <w:rsid w:val="004C1B53"/>
    <w:rsid w:val="00512AB0"/>
    <w:rsid w:val="00520EA5"/>
    <w:rsid w:val="005304D2"/>
    <w:rsid w:val="00545CCA"/>
    <w:rsid w:val="005629F8"/>
    <w:rsid w:val="0056575C"/>
    <w:rsid w:val="0057305C"/>
    <w:rsid w:val="005873CC"/>
    <w:rsid w:val="00587754"/>
    <w:rsid w:val="005926B4"/>
    <w:rsid w:val="00596787"/>
    <w:rsid w:val="005B110A"/>
    <w:rsid w:val="005B7191"/>
    <w:rsid w:val="00602EF5"/>
    <w:rsid w:val="006035C6"/>
    <w:rsid w:val="006158F9"/>
    <w:rsid w:val="00615A93"/>
    <w:rsid w:val="00617E56"/>
    <w:rsid w:val="00625AE0"/>
    <w:rsid w:val="0063636D"/>
    <w:rsid w:val="00637E8E"/>
    <w:rsid w:val="0065013D"/>
    <w:rsid w:val="00650B2A"/>
    <w:rsid w:val="00653E89"/>
    <w:rsid w:val="00664DB1"/>
    <w:rsid w:val="006A6610"/>
    <w:rsid w:val="006B6E41"/>
    <w:rsid w:val="006C6D53"/>
    <w:rsid w:val="006F5DEA"/>
    <w:rsid w:val="00700584"/>
    <w:rsid w:val="00704E73"/>
    <w:rsid w:val="00706951"/>
    <w:rsid w:val="007268BA"/>
    <w:rsid w:val="007470FC"/>
    <w:rsid w:val="0075488F"/>
    <w:rsid w:val="00754EB6"/>
    <w:rsid w:val="00784299"/>
    <w:rsid w:val="007950A2"/>
    <w:rsid w:val="007975AF"/>
    <w:rsid w:val="007A2F54"/>
    <w:rsid w:val="007B0DF6"/>
    <w:rsid w:val="007C6E25"/>
    <w:rsid w:val="007D02AB"/>
    <w:rsid w:val="007E2656"/>
    <w:rsid w:val="00820D7C"/>
    <w:rsid w:val="00822ADF"/>
    <w:rsid w:val="0082791B"/>
    <w:rsid w:val="00842506"/>
    <w:rsid w:val="00856924"/>
    <w:rsid w:val="00876613"/>
    <w:rsid w:val="008772CF"/>
    <w:rsid w:val="00883075"/>
    <w:rsid w:val="008844A2"/>
    <w:rsid w:val="00886554"/>
    <w:rsid w:val="00892A7A"/>
    <w:rsid w:val="00894004"/>
    <w:rsid w:val="008D00E6"/>
    <w:rsid w:val="009069B9"/>
    <w:rsid w:val="00921528"/>
    <w:rsid w:val="00924AFB"/>
    <w:rsid w:val="00926A75"/>
    <w:rsid w:val="009322E7"/>
    <w:rsid w:val="00945C7D"/>
    <w:rsid w:val="00946530"/>
    <w:rsid w:val="00965A5F"/>
    <w:rsid w:val="00974E8E"/>
    <w:rsid w:val="00980294"/>
    <w:rsid w:val="00982C40"/>
    <w:rsid w:val="00994B88"/>
    <w:rsid w:val="00996114"/>
    <w:rsid w:val="009A4D3A"/>
    <w:rsid w:val="009B149E"/>
    <w:rsid w:val="009B5D1E"/>
    <w:rsid w:val="009E24E4"/>
    <w:rsid w:val="009E2579"/>
    <w:rsid w:val="009E7145"/>
    <w:rsid w:val="00A00CB3"/>
    <w:rsid w:val="00A045B5"/>
    <w:rsid w:val="00A4272E"/>
    <w:rsid w:val="00A66E7D"/>
    <w:rsid w:val="00A8515C"/>
    <w:rsid w:val="00A865F7"/>
    <w:rsid w:val="00AA3F14"/>
    <w:rsid w:val="00AB0BFE"/>
    <w:rsid w:val="00AB17AC"/>
    <w:rsid w:val="00AB4835"/>
    <w:rsid w:val="00AB6B52"/>
    <w:rsid w:val="00AC74A0"/>
    <w:rsid w:val="00AE171E"/>
    <w:rsid w:val="00B63698"/>
    <w:rsid w:val="00B661C7"/>
    <w:rsid w:val="00B74BA9"/>
    <w:rsid w:val="00B8208E"/>
    <w:rsid w:val="00B82B8A"/>
    <w:rsid w:val="00B82FAE"/>
    <w:rsid w:val="00B915F7"/>
    <w:rsid w:val="00B9438E"/>
    <w:rsid w:val="00BC1C37"/>
    <w:rsid w:val="00BC2B5C"/>
    <w:rsid w:val="00BE2053"/>
    <w:rsid w:val="00BF09DC"/>
    <w:rsid w:val="00BF38FF"/>
    <w:rsid w:val="00BF3C7F"/>
    <w:rsid w:val="00C160EB"/>
    <w:rsid w:val="00C25464"/>
    <w:rsid w:val="00C320A0"/>
    <w:rsid w:val="00C341FA"/>
    <w:rsid w:val="00C34FC7"/>
    <w:rsid w:val="00C54EFC"/>
    <w:rsid w:val="00C70ACA"/>
    <w:rsid w:val="00C81383"/>
    <w:rsid w:val="00C82DC9"/>
    <w:rsid w:val="00C863AE"/>
    <w:rsid w:val="00C9557E"/>
    <w:rsid w:val="00CC1DD8"/>
    <w:rsid w:val="00CC3232"/>
    <w:rsid w:val="00D0519B"/>
    <w:rsid w:val="00D05EB4"/>
    <w:rsid w:val="00D11C3D"/>
    <w:rsid w:val="00D25206"/>
    <w:rsid w:val="00D355FB"/>
    <w:rsid w:val="00D41D2C"/>
    <w:rsid w:val="00D4605B"/>
    <w:rsid w:val="00D623AA"/>
    <w:rsid w:val="00D8518F"/>
    <w:rsid w:val="00D96EC7"/>
    <w:rsid w:val="00DA12BF"/>
    <w:rsid w:val="00DA7138"/>
    <w:rsid w:val="00DF248E"/>
    <w:rsid w:val="00DF3222"/>
    <w:rsid w:val="00E07FD2"/>
    <w:rsid w:val="00E31F64"/>
    <w:rsid w:val="00E3728D"/>
    <w:rsid w:val="00E4357B"/>
    <w:rsid w:val="00E47B47"/>
    <w:rsid w:val="00E5166B"/>
    <w:rsid w:val="00E644A0"/>
    <w:rsid w:val="00E87A80"/>
    <w:rsid w:val="00E87CEC"/>
    <w:rsid w:val="00EA1BA6"/>
    <w:rsid w:val="00EA4C58"/>
    <w:rsid w:val="00EB67EC"/>
    <w:rsid w:val="00EE11F9"/>
    <w:rsid w:val="00EE7425"/>
    <w:rsid w:val="00EF6C8D"/>
    <w:rsid w:val="00F00080"/>
    <w:rsid w:val="00F01B03"/>
    <w:rsid w:val="00F03FF4"/>
    <w:rsid w:val="00F06C20"/>
    <w:rsid w:val="00F10699"/>
    <w:rsid w:val="00F1075B"/>
    <w:rsid w:val="00F10E4C"/>
    <w:rsid w:val="00F176CD"/>
    <w:rsid w:val="00F26324"/>
    <w:rsid w:val="00F273C5"/>
    <w:rsid w:val="00F3275E"/>
    <w:rsid w:val="00F4576C"/>
    <w:rsid w:val="00F545AB"/>
    <w:rsid w:val="00F715BA"/>
    <w:rsid w:val="00F8200E"/>
    <w:rsid w:val="00F86DE9"/>
    <w:rsid w:val="00F92A8F"/>
    <w:rsid w:val="00FA6CF1"/>
    <w:rsid w:val="00FC0049"/>
    <w:rsid w:val="00FC376F"/>
    <w:rsid w:val="00FF30E1"/>
    <w:rsid w:val="01506B97"/>
    <w:rsid w:val="01565C22"/>
    <w:rsid w:val="01DC19EE"/>
    <w:rsid w:val="024610D3"/>
    <w:rsid w:val="0311468D"/>
    <w:rsid w:val="032632FE"/>
    <w:rsid w:val="037606C3"/>
    <w:rsid w:val="04A309AD"/>
    <w:rsid w:val="04E3586E"/>
    <w:rsid w:val="05297156"/>
    <w:rsid w:val="062760CA"/>
    <w:rsid w:val="06367F91"/>
    <w:rsid w:val="063E7CAE"/>
    <w:rsid w:val="064061DE"/>
    <w:rsid w:val="07897C0E"/>
    <w:rsid w:val="082A1395"/>
    <w:rsid w:val="08B4403A"/>
    <w:rsid w:val="08B60D54"/>
    <w:rsid w:val="094628A0"/>
    <w:rsid w:val="09D91328"/>
    <w:rsid w:val="0ABC2331"/>
    <w:rsid w:val="0B3111FA"/>
    <w:rsid w:val="0B45387B"/>
    <w:rsid w:val="0BB57BA4"/>
    <w:rsid w:val="0C0076B8"/>
    <w:rsid w:val="0C6C37E1"/>
    <w:rsid w:val="0C9615C8"/>
    <w:rsid w:val="0D9C5751"/>
    <w:rsid w:val="0DC3421D"/>
    <w:rsid w:val="0DF76B00"/>
    <w:rsid w:val="0EDA155C"/>
    <w:rsid w:val="0F4F6CEE"/>
    <w:rsid w:val="0F9746D1"/>
    <w:rsid w:val="0FBD189C"/>
    <w:rsid w:val="0FDE4BDA"/>
    <w:rsid w:val="0FF07241"/>
    <w:rsid w:val="11655791"/>
    <w:rsid w:val="11B1466E"/>
    <w:rsid w:val="121D4674"/>
    <w:rsid w:val="12331A20"/>
    <w:rsid w:val="12437B24"/>
    <w:rsid w:val="12954B43"/>
    <w:rsid w:val="12DC670B"/>
    <w:rsid w:val="12F42BA4"/>
    <w:rsid w:val="131D1399"/>
    <w:rsid w:val="1396419C"/>
    <w:rsid w:val="15932B49"/>
    <w:rsid w:val="15A5072F"/>
    <w:rsid w:val="15E05662"/>
    <w:rsid w:val="1787048B"/>
    <w:rsid w:val="179C05CE"/>
    <w:rsid w:val="192C7506"/>
    <w:rsid w:val="193548E0"/>
    <w:rsid w:val="19440BD0"/>
    <w:rsid w:val="1A102318"/>
    <w:rsid w:val="1A206039"/>
    <w:rsid w:val="1B6553C6"/>
    <w:rsid w:val="1BBC4C34"/>
    <w:rsid w:val="1C3C11C6"/>
    <w:rsid w:val="1C7520F8"/>
    <w:rsid w:val="1D0B3468"/>
    <w:rsid w:val="1D1E53EE"/>
    <w:rsid w:val="1D506AA7"/>
    <w:rsid w:val="1E470BDB"/>
    <w:rsid w:val="1E7B7EAF"/>
    <w:rsid w:val="1FE401B3"/>
    <w:rsid w:val="20C462AC"/>
    <w:rsid w:val="21B73E88"/>
    <w:rsid w:val="222B693C"/>
    <w:rsid w:val="22A64485"/>
    <w:rsid w:val="24667DE3"/>
    <w:rsid w:val="247C0C4C"/>
    <w:rsid w:val="25DC0A00"/>
    <w:rsid w:val="262E3841"/>
    <w:rsid w:val="26AF2198"/>
    <w:rsid w:val="26B75F6B"/>
    <w:rsid w:val="27EC2A9F"/>
    <w:rsid w:val="28203CD5"/>
    <w:rsid w:val="287A337D"/>
    <w:rsid w:val="28800981"/>
    <w:rsid w:val="28A14A68"/>
    <w:rsid w:val="28F00B0D"/>
    <w:rsid w:val="298316DB"/>
    <w:rsid w:val="298F4F7D"/>
    <w:rsid w:val="29B80978"/>
    <w:rsid w:val="2AAD6736"/>
    <w:rsid w:val="2AD00E3A"/>
    <w:rsid w:val="2AE05796"/>
    <w:rsid w:val="2B3F6C91"/>
    <w:rsid w:val="2B9F71B1"/>
    <w:rsid w:val="2CAC0E49"/>
    <w:rsid w:val="2CC101CD"/>
    <w:rsid w:val="2D047A30"/>
    <w:rsid w:val="2D9F4E31"/>
    <w:rsid w:val="2F09761D"/>
    <w:rsid w:val="306B332E"/>
    <w:rsid w:val="308C5F48"/>
    <w:rsid w:val="30CB2D3F"/>
    <w:rsid w:val="311913D0"/>
    <w:rsid w:val="313E75B5"/>
    <w:rsid w:val="31C45AE8"/>
    <w:rsid w:val="31E17C98"/>
    <w:rsid w:val="32326DEE"/>
    <w:rsid w:val="329A66A2"/>
    <w:rsid w:val="32B71199"/>
    <w:rsid w:val="338962BA"/>
    <w:rsid w:val="33D854F6"/>
    <w:rsid w:val="33DE3C29"/>
    <w:rsid w:val="34010037"/>
    <w:rsid w:val="3412744D"/>
    <w:rsid w:val="3431735D"/>
    <w:rsid w:val="345F5981"/>
    <w:rsid w:val="35061741"/>
    <w:rsid w:val="354C01C6"/>
    <w:rsid w:val="355D635D"/>
    <w:rsid w:val="358E4C71"/>
    <w:rsid w:val="360F2EB9"/>
    <w:rsid w:val="36887E00"/>
    <w:rsid w:val="368F1C37"/>
    <w:rsid w:val="36963DEF"/>
    <w:rsid w:val="36D66C33"/>
    <w:rsid w:val="37021294"/>
    <w:rsid w:val="370B211A"/>
    <w:rsid w:val="379D6803"/>
    <w:rsid w:val="38194CD8"/>
    <w:rsid w:val="398C14D9"/>
    <w:rsid w:val="39C15F76"/>
    <w:rsid w:val="3AA01842"/>
    <w:rsid w:val="3ACF286E"/>
    <w:rsid w:val="3C3C48C9"/>
    <w:rsid w:val="3C505CA8"/>
    <w:rsid w:val="3C9E7E8F"/>
    <w:rsid w:val="3CE81B00"/>
    <w:rsid w:val="3D5740DE"/>
    <w:rsid w:val="3E5A5EE4"/>
    <w:rsid w:val="3E5F5AA5"/>
    <w:rsid w:val="3E846C23"/>
    <w:rsid w:val="3EBC7BE3"/>
    <w:rsid w:val="401E2B51"/>
    <w:rsid w:val="40F26F47"/>
    <w:rsid w:val="41117688"/>
    <w:rsid w:val="412C237F"/>
    <w:rsid w:val="4155091F"/>
    <w:rsid w:val="41695A0F"/>
    <w:rsid w:val="41BA10CB"/>
    <w:rsid w:val="42303B8B"/>
    <w:rsid w:val="42423FD9"/>
    <w:rsid w:val="43A14604"/>
    <w:rsid w:val="43A33BF5"/>
    <w:rsid w:val="43A538BC"/>
    <w:rsid w:val="44E17F63"/>
    <w:rsid w:val="44F7014F"/>
    <w:rsid w:val="453B488F"/>
    <w:rsid w:val="45F15E70"/>
    <w:rsid w:val="46A64344"/>
    <w:rsid w:val="46D80127"/>
    <w:rsid w:val="477A5515"/>
    <w:rsid w:val="489706FC"/>
    <w:rsid w:val="48B733AA"/>
    <w:rsid w:val="48E20A96"/>
    <w:rsid w:val="4B117A90"/>
    <w:rsid w:val="4BB34F51"/>
    <w:rsid w:val="4D4D3AFB"/>
    <w:rsid w:val="4D683864"/>
    <w:rsid w:val="4DC46C4F"/>
    <w:rsid w:val="4DE173FF"/>
    <w:rsid w:val="4E58201F"/>
    <w:rsid w:val="50AE13D1"/>
    <w:rsid w:val="50D1098B"/>
    <w:rsid w:val="52D561B8"/>
    <w:rsid w:val="52DC0984"/>
    <w:rsid w:val="548B08B3"/>
    <w:rsid w:val="55242153"/>
    <w:rsid w:val="555F4A28"/>
    <w:rsid w:val="558F57DA"/>
    <w:rsid w:val="55A0038E"/>
    <w:rsid w:val="55DD4A42"/>
    <w:rsid w:val="567F1BCC"/>
    <w:rsid w:val="56D218E5"/>
    <w:rsid w:val="573F39B5"/>
    <w:rsid w:val="57B4119F"/>
    <w:rsid w:val="588A28B9"/>
    <w:rsid w:val="5A9164F8"/>
    <w:rsid w:val="5AFE1DDF"/>
    <w:rsid w:val="5B1C1D31"/>
    <w:rsid w:val="5D3A54D2"/>
    <w:rsid w:val="5DD46E27"/>
    <w:rsid w:val="5E997C33"/>
    <w:rsid w:val="5EB007B5"/>
    <w:rsid w:val="5EBC779A"/>
    <w:rsid w:val="60712622"/>
    <w:rsid w:val="61903065"/>
    <w:rsid w:val="61C030C6"/>
    <w:rsid w:val="6232236E"/>
    <w:rsid w:val="624C4474"/>
    <w:rsid w:val="62AC3A78"/>
    <w:rsid w:val="63B57AC3"/>
    <w:rsid w:val="64011757"/>
    <w:rsid w:val="6473529E"/>
    <w:rsid w:val="649E1F3D"/>
    <w:rsid w:val="64FD4B95"/>
    <w:rsid w:val="65E0162B"/>
    <w:rsid w:val="65E53E98"/>
    <w:rsid w:val="661A72F4"/>
    <w:rsid w:val="66424626"/>
    <w:rsid w:val="665971AE"/>
    <w:rsid w:val="667B1BFB"/>
    <w:rsid w:val="67A55BDE"/>
    <w:rsid w:val="6835600A"/>
    <w:rsid w:val="68A8667A"/>
    <w:rsid w:val="692E169F"/>
    <w:rsid w:val="69A37C09"/>
    <w:rsid w:val="6A2B3024"/>
    <w:rsid w:val="6A303659"/>
    <w:rsid w:val="6A4B2016"/>
    <w:rsid w:val="6AC344AB"/>
    <w:rsid w:val="6BA008BF"/>
    <w:rsid w:val="6BA1796A"/>
    <w:rsid w:val="6BA472B9"/>
    <w:rsid w:val="6BD77B3D"/>
    <w:rsid w:val="6C240F7A"/>
    <w:rsid w:val="6D00349A"/>
    <w:rsid w:val="6D600186"/>
    <w:rsid w:val="6E945E6C"/>
    <w:rsid w:val="6F835472"/>
    <w:rsid w:val="6F913D15"/>
    <w:rsid w:val="70A45725"/>
    <w:rsid w:val="710812D5"/>
    <w:rsid w:val="71227648"/>
    <w:rsid w:val="71411F9D"/>
    <w:rsid w:val="73BE4E40"/>
    <w:rsid w:val="762A69E2"/>
    <w:rsid w:val="76524E83"/>
    <w:rsid w:val="76AC04E9"/>
    <w:rsid w:val="7A6C1EDF"/>
    <w:rsid w:val="7A711B4A"/>
    <w:rsid w:val="7B16294B"/>
    <w:rsid w:val="7BC24922"/>
    <w:rsid w:val="7C19011C"/>
    <w:rsid w:val="7C331E4E"/>
    <w:rsid w:val="7C934E7B"/>
    <w:rsid w:val="7CCF5DDE"/>
    <w:rsid w:val="7D5738F9"/>
    <w:rsid w:val="7D5F62B6"/>
    <w:rsid w:val="7D707D52"/>
    <w:rsid w:val="7E3B10CB"/>
    <w:rsid w:val="7E8766DE"/>
    <w:rsid w:val="7F443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宋体" w:hAnsi="Times New Roman" w:eastAsia="宋体" w:cs="宋体"/>
      <w:sz w:val="22"/>
      <w:szCs w:val="22"/>
      <w:lang w:val="en-US" w:eastAsia="zh-CN" w:bidi="ar-SA"/>
    </w:rPr>
  </w:style>
  <w:style w:type="paragraph" w:styleId="3">
    <w:name w:val="heading 1"/>
    <w:basedOn w:val="1"/>
    <w:next w:val="1"/>
    <w:link w:val="51"/>
    <w:qFormat/>
    <w:uiPriority w:val="9"/>
    <w:pPr>
      <w:ind w:left="3144" w:right="3120"/>
      <w:jc w:val="center"/>
      <w:outlineLvl w:val="0"/>
    </w:pPr>
    <w:rPr>
      <w:rFonts w:cs="Times New Roman"/>
      <w:b/>
      <w:bCs/>
      <w:kern w:val="44"/>
      <w:sz w:val="44"/>
      <w:szCs w:val="44"/>
    </w:rPr>
  </w:style>
  <w:style w:type="paragraph" w:styleId="4">
    <w:name w:val="heading 2"/>
    <w:basedOn w:val="1"/>
    <w:next w:val="1"/>
    <w:link w:val="60"/>
    <w:qFormat/>
    <w:uiPriority w:val="9"/>
    <w:pPr>
      <w:ind w:left="3150" w:right="3120"/>
      <w:jc w:val="center"/>
      <w:outlineLvl w:val="1"/>
    </w:pPr>
    <w:rPr>
      <w:rFonts w:ascii="等线 Light" w:hAnsi="等线 Light" w:eastAsia="等线 Light" w:cs="Times New Roman"/>
      <w:b/>
      <w:bCs/>
      <w:sz w:val="32"/>
      <w:szCs w:val="32"/>
    </w:rPr>
  </w:style>
  <w:style w:type="paragraph" w:styleId="5">
    <w:name w:val="heading 3"/>
    <w:basedOn w:val="1"/>
    <w:next w:val="1"/>
    <w:link w:val="56"/>
    <w:qFormat/>
    <w:uiPriority w:val="9"/>
    <w:pPr>
      <w:spacing w:before="48"/>
      <w:ind w:left="3150" w:right="3120"/>
      <w:jc w:val="center"/>
      <w:outlineLvl w:val="2"/>
    </w:pPr>
    <w:rPr>
      <w:rFonts w:cs="Times New Roman"/>
      <w:b/>
      <w:bCs/>
      <w:sz w:val="32"/>
      <w:szCs w:val="32"/>
    </w:rPr>
  </w:style>
  <w:style w:type="paragraph" w:styleId="6">
    <w:name w:val="heading 4"/>
    <w:basedOn w:val="1"/>
    <w:next w:val="1"/>
    <w:link w:val="54"/>
    <w:qFormat/>
    <w:uiPriority w:val="9"/>
    <w:pPr>
      <w:spacing w:before="62"/>
      <w:ind w:left="200"/>
      <w:outlineLvl w:val="3"/>
    </w:pPr>
    <w:rPr>
      <w:rFonts w:ascii="等线 Light" w:hAnsi="等线 Light" w:eastAsia="等线 Light" w:cs="Times New Roman"/>
      <w:b/>
      <w:bCs/>
      <w:sz w:val="28"/>
      <w:szCs w:val="28"/>
    </w:rPr>
  </w:style>
  <w:style w:type="paragraph" w:styleId="7">
    <w:name w:val="heading 5"/>
    <w:basedOn w:val="1"/>
    <w:next w:val="1"/>
    <w:link w:val="62"/>
    <w:qFormat/>
    <w:uiPriority w:val="9"/>
    <w:pPr>
      <w:ind w:left="412" w:hanging="207"/>
      <w:outlineLvl w:val="4"/>
    </w:pPr>
    <w:rPr>
      <w:rFonts w:cs="Times New Roman"/>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1"/>
    </w:rPr>
  </w:style>
  <w:style w:type="paragraph" w:styleId="8">
    <w:name w:val="index 8"/>
    <w:next w:val="1"/>
    <w:qFormat/>
    <w:uiPriority w:val="0"/>
    <w:pPr>
      <w:widowControl w:val="0"/>
      <w:ind w:left="2940"/>
      <w:jc w:val="both"/>
    </w:pPr>
    <w:rPr>
      <w:rFonts w:ascii="方正仿宋_GBK" w:hAnsi="Calibri" w:eastAsia="方正仿宋_GBK" w:cs="宋体"/>
      <w:kern w:val="2"/>
      <w:sz w:val="32"/>
      <w:szCs w:val="28"/>
      <w:lang w:val="en-US" w:eastAsia="zh-CN" w:bidi="ar-SA"/>
    </w:rPr>
  </w:style>
  <w:style w:type="paragraph" w:styleId="9">
    <w:name w:val="annotation text"/>
    <w:basedOn w:val="1"/>
    <w:link w:val="53"/>
    <w:unhideWhenUsed/>
    <w:qFormat/>
    <w:uiPriority w:val="99"/>
    <w:rPr>
      <w:rFonts w:cs="Times New Roman"/>
    </w:rPr>
  </w:style>
  <w:style w:type="paragraph" w:styleId="10">
    <w:name w:val="Body Text"/>
    <w:basedOn w:val="1"/>
    <w:link w:val="48"/>
    <w:qFormat/>
    <w:uiPriority w:val="99"/>
    <w:pPr>
      <w:ind w:left="590"/>
    </w:pPr>
    <w:rPr>
      <w:rFonts w:cs="Times New Roman"/>
      <w:szCs w:val="20"/>
    </w:rPr>
  </w:style>
  <w:style w:type="paragraph" w:styleId="11">
    <w:name w:val="Body Text Indent"/>
    <w:basedOn w:val="1"/>
    <w:next w:val="12"/>
    <w:qFormat/>
    <w:uiPriority w:val="0"/>
    <w:pPr>
      <w:ind w:firstLine="830" w:firstLineChars="352"/>
    </w:pPr>
    <w:rPr>
      <w:rFonts w:ascii="仿宋_GB2312" w:eastAsia="仿宋_GB2312"/>
      <w:sz w:val="32"/>
      <w:szCs w:val="20"/>
    </w:rPr>
  </w:style>
  <w:style w:type="paragraph" w:styleId="12">
    <w:name w:val="envelope return"/>
    <w:basedOn w:val="1"/>
    <w:qFormat/>
    <w:uiPriority w:val="99"/>
    <w:pPr>
      <w:snapToGrid w:val="0"/>
    </w:pPr>
    <w:rPr>
      <w:rFonts w:ascii="Arial" w:hAnsi="Arial"/>
    </w:rPr>
  </w:style>
  <w:style w:type="paragraph" w:styleId="13">
    <w:name w:val="Plain Text"/>
    <w:basedOn w:val="1"/>
    <w:qFormat/>
    <w:uiPriority w:val="0"/>
    <w:rPr>
      <w:rFonts w:ascii="宋体" w:hAnsi="Courier New" w:cs="Courier New"/>
      <w:szCs w:val="21"/>
    </w:rPr>
  </w:style>
  <w:style w:type="paragraph" w:styleId="14">
    <w:name w:val="Balloon Text"/>
    <w:basedOn w:val="1"/>
    <w:link w:val="58"/>
    <w:unhideWhenUsed/>
    <w:qFormat/>
    <w:uiPriority w:val="99"/>
    <w:rPr>
      <w:rFonts w:cs="Times New Roman"/>
      <w:sz w:val="18"/>
      <w:szCs w:val="18"/>
    </w:rPr>
  </w:style>
  <w:style w:type="paragraph" w:styleId="15">
    <w:name w:val="footer"/>
    <w:basedOn w:val="1"/>
    <w:link w:val="64"/>
    <w:unhideWhenUsed/>
    <w:qFormat/>
    <w:uiPriority w:val="0"/>
    <w:pPr>
      <w:tabs>
        <w:tab w:val="center" w:pos="4153"/>
        <w:tab w:val="right" w:pos="8306"/>
      </w:tabs>
      <w:snapToGrid w:val="0"/>
    </w:pPr>
    <w:rPr>
      <w:rFonts w:cs="Times New Roman"/>
      <w:sz w:val="18"/>
      <w:szCs w:val="18"/>
    </w:rPr>
  </w:style>
  <w:style w:type="paragraph" w:styleId="16">
    <w:name w:val="header"/>
    <w:basedOn w:val="1"/>
    <w:link w:val="50"/>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7">
    <w:name w:val="Body Text Indent 3"/>
    <w:basedOn w:val="1"/>
    <w:link w:val="59"/>
    <w:unhideWhenUsed/>
    <w:qFormat/>
    <w:uiPriority w:val="99"/>
    <w:pPr>
      <w:spacing w:after="120"/>
      <w:ind w:left="420" w:leftChars="200"/>
    </w:pPr>
    <w:rPr>
      <w:rFonts w:cs="Times New Roman"/>
      <w:sz w:val="16"/>
      <w:szCs w:val="16"/>
    </w:rPr>
  </w:style>
  <w:style w:type="paragraph" w:styleId="1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9">
    <w:name w:val="annotation subject"/>
    <w:basedOn w:val="9"/>
    <w:next w:val="9"/>
    <w:link w:val="55"/>
    <w:unhideWhenUsed/>
    <w:qFormat/>
    <w:uiPriority w:val="99"/>
    <w:rPr>
      <w:b/>
      <w:bCs/>
    </w:rPr>
  </w:style>
  <w:style w:type="paragraph" w:styleId="20">
    <w:name w:val="Body Text First Indent"/>
    <w:basedOn w:val="10"/>
    <w:link w:val="52"/>
    <w:unhideWhenUsed/>
    <w:qFormat/>
    <w:uiPriority w:val="99"/>
    <w:pPr>
      <w:spacing w:after="120"/>
      <w:ind w:left="0" w:firstLine="420" w:firstLineChars="100"/>
    </w:pPr>
    <w:rPr>
      <w:szCs w:val="22"/>
    </w:rPr>
  </w:style>
  <w:style w:type="paragraph" w:styleId="21">
    <w:name w:val="Body Text First Indent 2"/>
    <w:basedOn w:val="11"/>
    <w:qFormat/>
    <w:uiPriority w:val="0"/>
    <w:pPr>
      <w:spacing w:after="120"/>
      <w:ind w:left="420" w:leftChars="200"/>
    </w:pPr>
    <w:rPr>
      <w:rFonts w:ascii="Calibri" w:hAnsi="Calibri"/>
      <w:sz w:val="21"/>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qFormat/>
    <w:uiPriority w:val="0"/>
    <w:rPr>
      <w:rFonts w:cs="Times New Roman"/>
    </w:rPr>
  </w:style>
  <w:style w:type="character" w:styleId="27">
    <w:name w:val="FollowedHyperlink"/>
    <w:basedOn w:val="24"/>
    <w:unhideWhenUsed/>
    <w:qFormat/>
    <w:uiPriority w:val="99"/>
    <w:rPr>
      <w:color w:val="003B70"/>
      <w:u w:val="none"/>
    </w:rPr>
  </w:style>
  <w:style w:type="character" w:styleId="28">
    <w:name w:val="Hyperlink"/>
    <w:basedOn w:val="24"/>
    <w:unhideWhenUsed/>
    <w:qFormat/>
    <w:uiPriority w:val="99"/>
    <w:rPr>
      <w:color w:val="003B70"/>
      <w:u w:val="none"/>
    </w:rPr>
  </w:style>
  <w:style w:type="character" w:styleId="29">
    <w:name w:val="annotation reference"/>
    <w:basedOn w:val="24"/>
    <w:unhideWhenUsed/>
    <w:qFormat/>
    <w:uiPriority w:val="99"/>
    <w:rPr>
      <w:sz w:val="21"/>
      <w:szCs w:val="21"/>
    </w:rPr>
  </w:style>
  <w:style w:type="paragraph" w:customStyle="1" w:styleId="30">
    <w:name w:val="表格文字"/>
    <w:basedOn w:val="31"/>
    <w:next w:val="1"/>
    <w:qFormat/>
    <w:uiPriority w:val="0"/>
    <w:pPr>
      <w:spacing w:before="25" w:after="25"/>
      <w:jc w:val="left"/>
    </w:pPr>
    <w:rPr>
      <w:bCs/>
      <w:spacing w:val="10"/>
      <w:kern w:val="0"/>
      <w:sz w:val="24"/>
      <w:szCs w:val="20"/>
    </w:rPr>
  </w:style>
  <w:style w:type="paragraph" w:customStyle="1" w:styleId="31">
    <w:name w:val="表格文字（两侧对齐）"/>
    <w:basedOn w:val="1"/>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Heading4"/>
    <w:basedOn w:val="1"/>
    <w:qFormat/>
    <w:uiPriority w:val="0"/>
    <w:pPr>
      <w:keepNext/>
      <w:keepLines/>
      <w:widowControl w:val="0"/>
      <w:suppressLineNumbers w:val="0"/>
      <w:snapToGrid w:val="0"/>
      <w:spacing w:before="200" w:beforeAutospacing="0" w:line="360" w:lineRule="auto"/>
      <w:jc w:val="both"/>
    </w:pPr>
    <w:rPr>
      <w:rFonts w:hint="default" w:ascii="Cambria" w:hAnsi="Cambria" w:eastAsia="宋体" w:cs="Times New Roman"/>
      <w:b/>
      <w:i/>
      <w:color w:val="4F81BD"/>
      <w:kern w:val="0"/>
      <w:sz w:val="20"/>
      <w:szCs w:val="20"/>
      <w:lang w:val="en-US" w:eastAsia="zh-CN" w:bidi="ar"/>
    </w:rPr>
  </w:style>
  <w:style w:type="paragraph" w:customStyle="1" w:styleId="34">
    <w:name w:val="图_0"/>
    <w:basedOn w:val="35"/>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 Paragraph"/>
    <w:basedOn w:val="1"/>
    <w:qFormat/>
    <w:uiPriority w:val="1"/>
    <w:rPr>
      <w:sz w:val="24"/>
      <w:szCs w:val="24"/>
    </w:rPr>
  </w:style>
  <w:style w:type="paragraph" w:customStyle="1" w:styleId="37">
    <w:name w:val="_Style 3"/>
    <w:basedOn w:val="1"/>
    <w:next w:val="17"/>
    <w:qFormat/>
    <w:uiPriority w:val="0"/>
    <w:pPr>
      <w:autoSpaceDE/>
      <w:autoSpaceDN/>
      <w:adjustRightInd/>
      <w:ind w:firstLine="420" w:firstLineChars="200"/>
      <w:jc w:val="both"/>
    </w:pPr>
    <w:rPr>
      <w:rFonts w:ascii="Calibri" w:hAnsi="Calibri" w:eastAsia="Calibri" w:cs="Times New Roman"/>
      <w:kern w:val="2"/>
      <w:lang w:eastAsia="en-US"/>
    </w:rPr>
  </w:style>
  <w:style w:type="paragraph" w:customStyle="1" w:styleId="38">
    <w:name w:val="Char Char Char"/>
    <w:basedOn w:val="1"/>
    <w:qFormat/>
    <w:uiPriority w:val="0"/>
    <w:rPr>
      <w:rFonts w:ascii="宋体" w:hAnsi="宋体"/>
      <w:b/>
      <w:sz w:val="28"/>
      <w:szCs w:val="28"/>
    </w:rPr>
  </w:style>
  <w:style w:type="paragraph" w:customStyle="1" w:styleId="39">
    <w:name w:val="正文1"/>
    <w:basedOn w:val="1"/>
    <w:next w:val="40"/>
    <w:qFormat/>
    <w:uiPriority w:val="0"/>
    <w:pPr>
      <w:spacing w:line="360" w:lineRule="auto"/>
    </w:pPr>
    <w:rPr>
      <w:rFonts w:ascii="宋体" w:hAnsi="华文宋体"/>
      <w:kern w:val="20"/>
      <w:sz w:val="24"/>
      <w:szCs w:val="20"/>
    </w:rPr>
  </w:style>
  <w:style w:type="paragraph" w:customStyle="1" w:styleId="40">
    <w:name w:val="普通正文"/>
    <w:basedOn w:val="39"/>
    <w:qFormat/>
    <w:uiPriority w:val="0"/>
    <w:pPr>
      <w:widowControl/>
      <w:spacing w:line="360" w:lineRule="atLeast"/>
      <w:ind w:firstLine="425"/>
    </w:pPr>
    <w:rPr>
      <w:kern w:val="21"/>
    </w:rPr>
  </w:style>
  <w:style w:type="paragraph" w:customStyle="1" w:styleId="41">
    <w:name w:val="TOC2"/>
    <w:basedOn w:val="1"/>
    <w:next w:val="1"/>
    <w:qFormat/>
    <w:uiPriority w:val="0"/>
    <w:pPr>
      <w:ind w:left="420" w:leftChars="200"/>
    </w:pPr>
    <w:rPr>
      <w:rFonts w:ascii="Calibri" w:hAnsi="Calibri" w:eastAsia="仿宋"/>
      <w:sz w:val="24"/>
    </w:rPr>
  </w:style>
  <w:style w:type="paragraph" w:styleId="42">
    <w:name w:val="List Paragraph"/>
    <w:basedOn w:val="1"/>
    <w:qFormat/>
    <w:uiPriority w:val="1"/>
    <w:pPr>
      <w:ind w:left="206" w:firstLine="384"/>
    </w:pPr>
    <w:rPr>
      <w:sz w:val="24"/>
      <w:szCs w:val="24"/>
    </w:rPr>
  </w:style>
  <w:style w:type="paragraph" w:customStyle="1" w:styleId="43">
    <w:name w:val="_Style 40"/>
    <w:unhideWhenUsed/>
    <w:qFormat/>
    <w:uiPriority w:val="99"/>
    <w:rPr>
      <w:rFonts w:ascii="宋体" w:hAnsi="Times New Roman" w:eastAsia="宋体" w:cs="宋体"/>
      <w:sz w:val="22"/>
      <w:szCs w:val="22"/>
      <w:lang w:val="en-US" w:eastAsia="zh-CN" w:bidi="ar-SA"/>
    </w:rPr>
  </w:style>
  <w:style w:type="paragraph" w:customStyle="1" w:styleId="44">
    <w:name w:val="纯文本_0"/>
    <w:basedOn w:val="35"/>
    <w:qFormat/>
    <w:uiPriority w:val="0"/>
    <w:rPr>
      <w:rFonts w:ascii="宋体" w:hAnsi="Courier New"/>
      <w:kern w:val="0"/>
      <w:sz w:val="20"/>
      <w:szCs w:val="21"/>
    </w:rPr>
  </w:style>
  <w:style w:type="paragraph" w:customStyle="1" w:styleId="45">
    <w:name w:val="RZ表格"/>
    <w:qFormat/>
    <w:uiPriority w:val="0"/>
    <w:pPr>
      <w:textAlignment w:val="center"/>
    </w:pPr>
    <w:rPr>
      <w:rFonts w:ascii="Times New Roman" w:hAnsi="Times New Roman" w:eastAsia="宋体" w:cs="Times New Roman"/>
      <w:bCs/>
      <w:sz w:val="22"/>
      <w:szCs w:val="24"/>
      <w:lang w:val="en-US" w:eastAsia="zh-CN" w:bidi="ar-SA"/>
    </w:rPr>
  </w:style>
  <w:style w:type="paragraph" w:customStyle="1" w:styleId="46">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41"/>
    <w:qFormat/>
    <w:uiPriority w:val="0"/>
    <w:rPr>
      <w:rFonts w:ascii="Calibri" w:hAnsi="Calibri" w:cs="Calibri"/>
      <w:color w:val="000000"/>
      <w:sz w:val="21"/>
      <w:szCs w:val="21"/>
      <w:u w:val="none"/>
    </w:rPr>
  </w:style>
  <w:style w:type="character" w:customStyle="1" w:styleId="48">
    <w:name w:val="正文文本 Char"/>
    <w:link w:val="10"/>
    <w:semiHidden/>
    <w:qFormat/>
    <w:uiPriority w:val="99"/>
    <w:rPr>
      <w:rFonts w:ascii="宋体" w:hAnsi="Times New Roman" w:eastAsia="宋体" w:cs="宋体"/>
      <w:kern w:val="0"/>
      <w:sz w:val="22"/>
    </w:rPr>
  </w:style>
  <w:style w:type="character" w:customStyle="1" w:styleId="49">
    <w:name w:val="_Style 0"/>
    <w:qFormat/>
    <w:uiPriority w:val="0"/>
    <w:rPr>
      <w:i/>
      <w:iCs/>
      <w:color w:val="808080"/>
    </w:rPr>
  </w:style>
  <w:style w:type="character" w:customStyle="1" w:styleId="50">
    <w:name w:val="页眉 Char"/>
    <w:link w:val="16"/>
    <w:qFormat/>
    <w:uiPriority w:val="99"/>
    <w:rPr>
      <w:rFonts w:ascii="宋体" w:hAnsi="Times New Roman" w:eastAsia="宋体" w:cs="宋体"/>
      <w:kern w:val="0"/>
      <w:sz w:val="18"/>
      <w:szCs w:val="18"/>
    </w:rPr>
  </w:style>
  <w:style w:type="character" w:customStyle="1" w:styleId="51">
    <w:name w:val="标题 1 Char"/>
    <w:link w:val="3"/>
    <w:qFormat/>
    <w:uiPriority w:val="9"/>
    <w:rPr>
      <w:rFonts w:ascii="宋体" w:hAnsi="Times New Roman" w:eastAsia="宋体" w:cs="宋体"/>
      <w:b/>
      <w:bCs/>
      <w:kern w:val="44"/>
      <w:sz w:val="44"/>
      <w:szCs w:val="44"/>
    </w:rPr>
  </w:style>
  <w:style w:type="character" w:customStyle="1" w:styleId="52">
    <w:name w:val="正文首行缩进 Char"/>
    <w:link w:val="20"/>
    <w:semiHidden/>
    <w:qFormat/>
    <w:uiPriority w:val="99"/>
    <w:rPr>
      <w:rFonts w:ascii="宋体" w:hAnsi="Times New Roman" w:eastAsia="宋体" w:cs="宋体"/>
      <w:kern w:val="0"/>
      <w:sz w:val="22"/>
      <w:szCs w:val="22"/>
    </w:rPr>
  </w:style>
  <w:style w:type="character" w:customStyle="1" w:styleId="53">
    <w:name w:val="批注文字 Char"/>
    <w:link w:val="9"/>
    <w:qFormat/>
    <w:uiPriority w:val="99"/>
    <w:rPr>
      <w:rFonts w:ascii="宋体" w:hAnsi="Times New Roman" w:eastAsia="宋体" w:cs="宋体"/>
      <w:sz w:val="22"/>
      <w:szCs w:val="22"/>
    </w:rPr>
  </w:style>
  <w:style w:type="character" w:customStyle="1" w:styleId="54">
    <w:name w:val="标题 4 Char"/>
    <w:link w:val="6"/>
    <w:semiHidden/>
    <w:qFormat/>
    <w:uiPriority w:val="9"/>
    <w:rPr>
      <w:rFonts w:ascii="等线 Light" w:hAnsi="等线 Light" w:eastAsia="等线 Light" w:cs="Times New Roman"/>
      <w:b/>
      <w:bCs/>
      <w:kern w:val="0"/>
      <w:sz w:val="28"/>
      <w:szCs w:val="28"/>
    </w:rPr>
  </w:style>
  <w:style w:type="character" w:customStyle="1" w:styleId="55">
    <w:name w:val="批注主题 Char"/>
    <w:link w:val="19"/>
    <w:semiHidden/>
    <w:qFormat/>
    <w:uiPriority w:val="99"/>
    <w:rPr>
      <w:rFonts w:ascii="宋体" w:hAnsi="Times New Roman" w:eastAsia="宋体" w:cs="宋体"/>
      <w:b/>
      <w:bCs/>
      <w:sz w:val="22"/>
      <w:szCs w:val="22"/>
    </w:rPr>
  </w:style>
  <w:style w:type="character" w:customStyle="1" w:styleId="56">
    <w:name w:val="标题 3 Char"/>
    <w:link w:val="5"/>
    <w:semiHidden/>
    <w:qFormat/>
    <w:uiPriority w:val="9"/>
    <w:rPr>
      <w:rFonts w:ascii="宋体" w:hAnsi="Times New Roman" w:eastAsia="宋体" w:cs="宋体"/>
      <w:b/>
      <w:bCs/>
      <w:kern w:val="0"/>
      <w:sz w:val="32"/>
      <w:szCs w:val="32"/>
    </w:rPr>
  </w:style>
  <w:style w:type="character" w:customStyle="1" w:styleId="57">
    <w:name w:val="p141_0"/>
    <w:qFormat/>
    <w:uiPriority w:val="0"/>
    <w:rPr>
      <w:rFonts w:ascii="Calibri" w:hAnsi="Calibri"/>
      <w:sz w:val="21"/>
      <w:szCs w:val="21"/>
    </w:rPr>
  </w:style>
  <w:style w:type="character" w:customStyle="1" w:styleId="58">
    <w:name w:val="批注框文本 Char"/>
    <w:link w:val="14"/>
    <w:semiHidden/>
    <w:qFormat/>
    <w:uiPriority w:val="99"/>
    <w:rPr>
      <w:rFonts w:ascii="宋体" w:hAnsi="Times New Roman" w:eastAsia="宋体" w:cs="宋体"/>
      <w:sz w:val="18"/>
      <w:szCs w:val="18"/>
    </w:rPr>
  </w:style>
  <w:style w:type="character" w:customStyle="1" w:styleId="59">
    <w:name w:val="正文文本缩进 3 Char"/>
    <w:link w:val="17"/>
    <w:semiHidden/>
    <w:qFormat/>
    <w:uiPriority w:val="99"/>
    <w:rPr>
      <w:rFonts w:ascii="宋体" w:hAnsi="Times New Roman" w:eastAsia="宋体" w:cs="宋体"/>
      <w:sz w:val="16"/>
      <w:szCs w:val="16"/>
    </w:rPr>
  </w:style>
  <w:style w:type="character" w:customStyle="1" w:styleId="60">
    <w:name w:val="标题 2 Char"/>
    <w:link w:val="4"/>
    <w:semiHidden/>
    <w:qFormat/>
    <w:uiPriority w:val="9"/>
    <w:rPr>
      <w:rFonts w:ascii="等线 Light" w:hAnsi="等线 Light" w:eastAsia="等线 Light" w:cs="Times New Roman"/>
      <w:b/>
      <w:bCs/>
      <w:kern w:val="0"/>
      <w:sz w:val="32"/>
      <w:szCs w:val="32"/>
    </w:rPr>
  </w:style>
  <w:style w:type="character" w:customStyle="1" w:styleId="61">
    <w:name w:val="正文文本 字符1"/>
    <w:semiHidden/>
    <w:qFormat/>
    <w:uiPriority w:val="99"/>
    <w:rPr>
      <w:rFonts w:ascii="宋体" w:hAnsi="Times New Roman" w:eastAsia="宋体" w:cs="宋体"/>
      <w:kern w:val="0"/>
      <w:sz w:val="22"/>
    </w:rPr>
  </w:style>
  <w:style w:type="character" w:customStyle="1" w:styleId="62">
    <w:name w:val="标题 5 Char"/>
    <w:link w:val="7"/>
    <w:semiHidden/>
    <w:qFormat/>
    <w:uiPriority w:val="9"/>
    <w:rPr>
      <w:rFonts w:ascii="宋体" w:hAnsi="Times New Roman" w:eastAsia="宋体" w:cs="宋体"/>
      <w:b/>
      <w:bCs/>
      <w:kern w:val="0"/>
      <w:sz w:val="28"/>
      <w:szCs w:val="28"/>
    </w:rPr>
  </w:style>
  <w:style w:type="character" w:customStyle="1" w:styleId="63">
    <w:name w:val="不明显强调1"/>
    <w:qFormat/>
    <w:uiPriority w:val="0"/>
    <w:rPr>
      <w:i/>
      <w:iCs/>
      <w:color w:val="808080"/>
    </w:rPr>
  </w:style>
  <w:style w:type="character" w:customStyle="1" w:styleId="64">
    <w:name w:val="页脚 Char"/>
    <w:link w:val="15"/>
    <w:qFormat/>
    <w:uiPriority w:val="0"/>
    <w:rPr>
      <w:rFonts w:ascii="宋体" w:hAnsi="Times New Roman" w:eastAsia="宋体" w:cs="宋体"/>
      <w:kern w:val="0"/>
      <w:sz w:val="18"/>
      <w:szCs w:val="18"/>
    </w:rPr>
  </w:style>
  <w:style w:type="paragraph" w:customStyle="1" w:styleId="65">
    <w:name w:val="首行缩进"/>
    <w:basedOn w:val="1"/>
    <w:qFormat/>
    <w:uiPriority w:val="0"/>
    <w:pPr>
      <w:spacing w:line="360" w:lineRule="auto"/>
      <w:ind w:firstLine="420"/>
    </w:pPr>
    <w:rPr>
      <w:rFonts w:ascii="宋体" w:hAnsi="宋体" w:eastAsia="宋体"/>
    </w:rPr>
  </w:style>
  <w:style w:type="character" w:customStyle="1" w:styleId="66">
    <w:name w:val="font21"/>
    <w:basedOn w:val="24"/>
    <w:qFormat/>
    <w:uiPriority w:val="0"/>
    <w:rPr>
      <w:rFonts w:hint="eastAsia" w:ascii="宋体" w:hAnsi="宋体" w:eastAsia="宋体" w:cs="宋体"/>
      <w:color w:val="333333"/>
      <w:sz w:val="20"/>
      <w:szCs w:val="20"/>
      <w:u w:val="none"/>
    </w:rPr>
  </w:style>
  <w:style w:type="paragraph" w:customStyle="1" w:styleId="67">
    <w:name w:val="Char Char1 Char Char Char Char Char Char Char Char Char Char"/>
    <w:basedOn w:val="1"/>
    <w:qFormat/>
    <w:uiPriority w:val="0"/>
    <w:rPr>
      <w:rFonts w:ascii="Tahoma" w:hAnsi="Tahoma"/>
      <w:sz w:val="24"/>
      <w:szCs w:val="20"/>
    </w:rPr>
  </w:style>
  <w:style w:type="paragraph" w:customStyle="1" w:styleId="68">
    <w:name w:val="null3"/>
    <w:hidden/>
    <w:qFormat/>
    <w:uiPriority w:val="0"/>
    <w:rPr>
      <w:rFonts w:hint="eastAsia" w:asciiTheme="minorHAnsi" w:hAnsiTheme="minorHAnsi" w:eastAsiaTheme="minorEastAsia" w:cstheme="minorBidi"/>
      <w:lang w:val="en-US" w:eastAsia="zh-Hans" w:bidi="ar-SA"/>
    </w:rPr>
  </w:style>
  <w:style w:type="character" w:customStyle="1" w:styleId="69">
    <w:name w:val="font51"/>
    <w:basedOn w:val="24"/>
    <w:qFormat/>
    <w:uiPriority w:val="0"/>
    <w:rPr>
      <w:rFonts w:hint="eastAsia" w:ascii="宋体" w:hAnsi="宋体" w:eastAsia="宋体" w:cs="宋体"/>
      <w:b/>
      <w:bCs/>
      <w:color w:val="000000"/>
      <w:sz w:val="22"/>
      <w:szCs w:val="22"/>
      <w:u w:val="none"/>
    </w:rPr>
  </w:style>
  <w:style w:type="character" w:customStyle="1" w:styleId="70">
    <w:name w:val="font01"/>
    <w:basedOn w:val="24"/>
    <w:qFormat/>
    <w:uiPriority w:val="0"/>
    <w:rPr>
      <w:rFonts w:hint="eastAsia" w:ascii="等线" w:hAnsi="等线" w:eastAsia="等线" w:cs="等线"/>
      <w:color w:val="000000"/>
      <w:sz w:val="22"/>
      <w:szCs w:val="22"/>
      <w:u w:val="none"/>
    </w:rPr>
  </w:style>
  <w:style w:type="paragraph" w:customStyle="1" w:styleId="7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2">
    <w:name w:val="正文-标准"/>
    <w:basedOn w:val="1"/>
    <w:qFormat/>
    <w:uiPriority w:val="0"/>
    <w:pPr>
      <w:autoSpaceDE w:val="0"/>
      <w:autoSpaceDN w:val="0"/>
      <w:adjustRightInd w:val="0"/>
      <w:spacing w:line="360" w:lineRule="exact"/>
      <w:jc w:val="left"/>
    </w:pPr>
    <w:rPr>
      <w:rFonts w:eastAsia="宋体" w:cs="宋体"/>
      <w:kern w:val="21"/>
      <w:szCs w:val="20"/>
    </w:rPr>
  </w:style>
  <w:style w:type="paragraph" w:customStyle="1" w:styleId="73">
    <w:name w:val="正文缩进1"/>
    <w:basedOn w:val="1"/>
    <w:qFormat/>
    <w:uiPriority w:val="0"/>
    <w:pPr>
      <w:ind w:firstLine="420"/>
    </w:pPr>
    <w:rPr>
      <w:szCs w:val="20"/>
    </w:rPr>
  </w:style>
  <w:style w:type="paragraph" w:customStyle="1" w:styleId="74">
    <w:name w:val="正文-manu"/>
    <w:basedOn w:val="1"/>
    <w:qFormat/>
    <w:uiPriority w:val="0"/>
    <w:pPr>
      <w:spacing w:line="300" w:lineRule="auto"/>
    </w:pPr>
    <w:rPr>
      <w:b/>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3692</Words>
  <Characters>4065</Characters>
  <Lines>634</Lines>
  <Paragraphs>178</Paragraphs>
  <TotalTime>1</TotalTime>
  <ScaleCrop>false</ScaleCrop>
  <LinksUpToDate>false</LinksUpToDate>
  <CharactersWithSpaces>4161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2022-02-21T07:40:00Z</dcterms:created>
  <dc:creator>国义</dc:creator>
  <cp:lastModifiedBy>梁云亭</cp:lastModifiedBy>
  <cp:lastPrinted>2023-10-26T07:49:00Z</cp:lastPrinted>
  <dcterms:modified xsi:type="dcterms:W3CDTF">2025-06-03T04:03:41Z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0.12.5</vt:lpwstr>
  </property>
  <property fmtid="{D5CDD505-2E9C-101B-9397-08002B2CF9AE}" pid="3" name="KSOProductBuildVer">
    <vt:lpwstr>2052-12.1.0.21171</vt:lpwstr>
  </property>
  <property fmtid="{D5CDD505-2E9C-101B-9397-08002B2CF9AE}" pid="4" name="ICV">
    <vt:lpwstr>A254415CA20A4AB485A36E38AA2BA942</vt:lpwstr>
  </property>
  <property fmtid="{D5CDD505-2E9C-101B-9397-08002B2CF9AE}" pid="5" name="KSOTemplateDocerSaveRecord">
    <vt:lpwstr>eyJoZGlkIjoiY2UxZmJiY2RlMzMxNDdlZTIzMzVmNDYzYmNlNTYwODkiLCJ1c2VySWQiOiI2NDYzNTY4ODUifQ==</vt:lpwstr>
  </property>
</Properties>
</file>