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441781-2025-01713</w:t>
      </w:r>
    </w:p>
    <w:p>
      <w:pPr>
        <w:pStyle w:val="null3"/>
        <w:jc w:val="center"/>
        <w:outlineLvl w:val="3"/>
      </w:pPr>
      <w:r>
        <w:rPr>
          <w:sz w:val="24"/>
          <w:b/>
        </w:rPr>
        <w:t>采购项目编号：</w:t>
      </w:r>
      <w:r>
        <w:rPr>
          <w:sz w:val="24"/>
          <w:b/>
        </w:rPr>
        <w:t>0724-2531YJ014044</w:t>
      </w:r>
    </w:p>
    <w:p>
      <w:pPr>
        <w:pStyle w:val="null3"/>
        <w:jc w:val="center"/>
        <w:outlineLvl w:val="3"/>
      </w:pPr>
      <w:r>
        <w:rPr>
          <w:sz w:val="24"/>
          <w:b/>
        </w:rPr>
        <w:t>项目名称：</w:t>
      </w:r>
      <w:r>
        <w:rPr>
          <w:sz w:val="24"/>
          <w:b/>
        </w:rPr>
        <w:t>第三方供电服务</w:t>
      </w:r>
    </w:p>
    <w:p>
      <w:pPr>
        <w:pStyle w:val="null3"/>
        <w:jc w:val="center"/>
        <w:outlineLvl w:val="3"/>
      </w:pPr>
      <w:r>
        <w:rPr>
          <w:sz w:val="24"/>
          <w:b/>
        </w:rPr>
        <w:t>采购人：</w:t>
      </w:r>
      <w:r>
        <w:rPr>
          <w:sz w:val="24"/>
          <w:b/>
        </w:rPr>
        <w:t>阳春市人民医院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阳春市人民医院</w:t>
      </w:r>
      <w:r>
        <w:rPr/>
        <w:t>的委托，采用</w:t>
      </w:r>
      <w:r>
        <w:rPr/>
        <w:t>公开招标</w:t>
      </w:r>
      <w:r>
        <w:rPr/>
        <w:t>方式组织采购</w:t>
      </w:r>
      <w:r>
        <w:rPr/>
        <w:t>第三方供电服务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第三方供电服务</w:t>
      </w:r>
    </w:p>
    <w:p>
      <w:pPr>
        <w:pStyle w:val="null3"/>
        <w:ind w:firstLine="480"/>
      </w:pPr>
      <w:r>
        <w:rPr/>
        <w:t>采购计划编号：</w:t>
      </w:r>
      <w:r>
        <w:rPr/>
        <w:t>441781-2025-01713</w:t>
      </w:r>
    </w:p>
    <w:p>
      <w:pPr>
        <w:pStyle w:val="null3"/>
        <w:ind w:firstLine="480"/>
      </w:pPr>
      <w:r>
        <w:rPr/>
        <w:t>采购项目编号：</w:t>
      </w:r>
      <w:r>
        <w:rPr/>
        <w:t>0724-2531YJ014044</w:t>
      </w:r>
    </w:p>
    <w:p>
      <w:pPr>
        <w:pStyle w:val="null3"/>
        <w:ind w:firstLine="480"/>
      </w:pPr>
      <w:r>
        <w:rPr/>
        <w:t>采购方式：</w:t>
      </w:r>
      <w:r>
        <w:rPr/>
        <w:t>公开招标</w:t>
      </w:r>
    </w:p>
    <w:p>
      <w:pPr>
        <w:pStyle w:val="null3"/>
        <w:ind w:firstLine="480"/>
      </w:pPr>
      <w:r>
        <w:rPr/>
        <w:t>预算金额：</w:t>
      </w:r>
      <w:r>
        <w:rPr/>
        <w:t>19,691,200.00</w:t>
      </w:r>
      <w:r>
        <w:rPr/>
        <w:t>元</w:t>
      </w:r>
    </w:p>
    <w:p>
      <w:pPr>
        <w:pStyle w:val="null3"/>
        <w:outlineLvl w:val="3"/>
      </w:pPr>
      <w:r>
        <w:rPr>
          <w:sz w:val="24"/>
          <w:b/>
        </w:rPr>
        <w:t>2.项目内容及需求情况（采购项目技术规格、参数及要求）</w:t>
      </w:r>
    </w:p>
    <w:p>
      <w:pPr>
        <w:pStyle w:val="null3"/>
      </w:pPr>
      <w:r>
        <w:rPr/>
        <w:t>采购包1(第三方供电服务):</w:t>
      </w:r>
    </w:p>
    <w:p>
      <w:pPr>
        <w:pStyle w:val="null3"/>
      </w:pPr>
      <w:r>
        <w:rPr/>
        <w:t>采购包预算金额：19,691,200.00元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电力分配服务</w:t>
            </w:r>
          </w:p>
        </w:tc>
        <w:tc>
          <w:tcPr>
            <w:tcW w:type="dxa" w:w="2052"/>
          </w:tcPr>
          <w:p>
            <w:pPr>
              <w:pStyle w:val="null3"/>
            </w:pPr>
            <w:r>
              <w:rPr/>
              <w:t>阳春市人民医院第三方供电服务项目</w:t>
            </w:r>
          </w:p>
        </w:tc>
        <w:tc>
          <w:tcPr>
            <w:tcW w:type="dxa" w:w="977"/>
          </w:tcPr>
          <w:p>
            <w:pPr>
              <w:pStyle w:val="null3"/>
            </w:pPr>
            <w:r>
              <w:rPr/>
              <w:t>29,389,850(度)</w:t>
            </w:r>
          </w:p>
        </w:tc>
        <w:tc>
          <w:tcPr>
            <w:tcW w:type="dxa" w:w="977"/>
          </w:tcPr>
          <w:p>
            <w:pPr>
              <w:pStyle w:val="null3"/>
            </w:pPr>
            <w:r>
              <w:rPr/>
              <w:t>详见第二章</w:t>
            </w:r>
          </w:p>
        </w:tc>
        <w:tc>
          <w:tcPr>
            <w:tcW w:type="dxa" w:w="977"/>
          </w:tcPr>
          <w:p>
            <w:pPr>
              <w:pStyle w:val="null3"/>
            </w:pPr>
            <w:r>
              <w:rPr/>
              <w:t>19,691,200.00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合同履行期限：本合同服务期限自合同生效条件达成之日起计算，持续有效36个月。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2）有依法缴纳税收和社会保障资金的良好记录：提供《阳江市政府采购供应商资格信用承诺函》（格式详见附件）；</w:t>
      </w:r>
    </w:p>
    <w:p>
      <w:pPr>
        <w:pStyle w:val="null3"/>
      </w:pPr>
      <w:r>
        <w:rPr/>
        <w:t>3）具有良好的商业信誉和健全的财务会计制度：提供《阳江市政府采购供应商资格信用承诺函》（格式详见附件）。</w:t>
      </w:r>
    </w:p>
    <w:p>
      <w:pPr>
        <w:pStyle w:val="null3"/>
      </w:pPr>
      <w:r>
        <w:rPr/>
        <w:t>4）履行合同所必需的设备和专业技术能力：提供《阳江市政府采购供应商资格信用承诺函》（格式详见附件）。</w:t>
      </w:r>
    </w:p>
    <w:p>
      <w:pPr>
        <w:pStyle w:val="null3"/>
      </w:pPr>
      <w:r>
        <w:rPr/>
        <w:t>5）参加采购活动前3年内，在经营活动中没有重大违法记录：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采购包1（第三方供电服务）：</w:t>
      </w:r>
      <w:r>
        <w:rPr/>
        <w:t>本项目整体专门面向中小微企业采购。供应商须符合本项目采购标的对应行业（本项目行业为：工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采购包1（第三方供电服务）：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是已通过广东电力交易中心注册且具备交易资格的售电公司，需提供证明文件及有效的售电牌照编码；若投标人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投标人须提供承诺函，格式自拟并加盖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阳春市人民医院</w:t>
      </w:r>
    </w:p>
    <w:p>
      <w:pPr>
        <w:pStyle w:val="null3"/>
        <w:ind w:firstLine="480"/>
      </w:pPr>
      <w:r>
        <w:rPr/>
        <w:t xml:space="preserve"> 地址：</w:t>
      </w:r>
      <w:r>
        <w:rPr/>
        <w:t>广东省阳春市春城街道环城南路24号</w:t>
      </w:r>
    </w:p>
    <w:p>
      <w:pPr>
        <w:pStyle w:val="null3"/>
        <w:ind w:firstLine="480"/>
      </w:pPr>
      <w:r>
        <w:rPr/>
        <w:t xml:space="preserve"> 联系方式：</w:t>
      </w:r>
      <w:r>
        <w:rPr/>
        <w:t>06627768532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w:t>
      </w:r>
    </w:p>
    <w:p>
      <w:pPr>
        <w:pStyle w:val="null3"/>
      </w:pPr>
      <w:r>
        <w:rPr/>
        <w:t>采购包1（第三方供电服务）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本合同服务期限自合同生效条件达成之日起计算，持续有效36个月。</w:t>
            </w:r>
          </w:p>
        </w:tc>
      </w:tr>
      <w:tr>
        <w:tc>
          <w:tcPr>
            <w:tcW w:type="dxa" w:w="4153"/>
          </w:tcPr>
          <w:p>
            <w:pPr>
              <w:pStyle w:val="null3"/>
            </w:pPr>
            <w:r>
              <w:rPr/>
              <w:t>标的提供的地点</w:t>
            </w:r>
          </w:p>
        </w:tc>
        <w:tc>
          <w:tcPr>
            <w:tcW w:type="dxa" w:w="4153"/>
          </w:tcPr>
          <w:p>
            <w:pPr>
              <w:pStyle w:val="null3"/>
            </w:pPr>
            <w:r>
              <w:rPr/>
              <w:t>阳春市人民医院</w:t>
            </w:r>
          </w:p>
        </w:tc>
      </w:tr>
      <w:tr/>
      <w:tr/>
      <w:tr>
        <w:tc>
          <w:tcPr>
            <w:tcW w:type="dxa" w:w="4153"/>
          </w:tcPr>
          <w:p>
            <w:pPr>
              <w:pStyle w:val="null3"/>
            </w:pPr>
            <w:r>
              <w:rPr/>
              <w:t>付款方式</w:t>
            </w:r>
          </w:p>
        </w:tc>
        <w:tc>
          <w:tcPr>
            <w:tcW w:type="dxa" w:w="4153"/>
          </w:tcPr>
          <w:p>
            <w:pPr>
              <w:pStyle w:val="null3"/>
            </w:pPr>
            <w:r>
              <w:rPr/>
              <w:t>第1期为(月度结算)：支付比例100%，采购人按月度结算电费，支付比例为100%。每月实际用电量以中标供应商电力计量装置采集并经广东电力交易中心发布的数据为准。采购人应在收到中标供应商提供的完整请款资料（包括等额增值税专用发票、广东电力交易中心发布的当月电量结算单、用电量明细表及其他相关证明文件）后5个工作日内支付当月全额电费。 （注：若因节假日或数据延迟导致支付时限调整，以实际收到完整请款资料及广东电力交易中心最终核定电量为准。）。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工作应严格依据国家相关规定、采购文件的质量要求和技术指标、中标供应商的投标文件承诺及合同约定标准执行；若采购人与中标供应商对质量要求或技术指标的约定标准存在异议或冲突，应以采购文件及投标文件中规定的更严格或更优的技术标准为准进行验收，并由采购人最终确定具体验收标准，确保验收结果符合项目质量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用电量</w:t>
            </w:r>
          </w:p>
        </w:tc>
        <w:tc>
          <w:tcPr>
            <w:tcW w:type="dxa" w:w="2076"/>
          </w:tcPr>
          <w:p>
            <w:pPr>
              <w:pStyle w:val="null3"/>
              <w:jc w:val="left"/>
            </w:pPr>
            <w:r>
              <w:rPr/>
              <w:t>三年总电量约29389850度。（最终以实际用电量结算。）</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1．广东电力市场按现货模式运行期间，按照《广东电力市场结算实施细则》以及现货运行有关要求进行结算。广东电力市场按非现货模式运行期间，按照《广东电力市场交易基本规则》进行结算。 2．采购人和中标供应商双方按照成交结果在交易系统中进行申报、确认，广东电力交易中心以双方在交易系统中申报、确认的模式和数据进行结算。 3．采购人的电费结算方式为月度结算。每月实际交易电量以中标供应商电力计量装置采集并推送至广东电力交易中心发布的实际用电量为准。 4．采购人或中标供应商对电网公司统计的电量和电费、广东电力交易中心结算结果有异议的，有权按照有关法律法规等规定向广东电力交易中心、电网公司等有关主体申请复核。</w:t>
            </w:r>
          </w:p>
        </w:tc>
      </w:tr>
      <w:tr>
        <w:tc>
          <w:tcPr>
            <w:tcW w:type="dxa" w:w="2076"/>
          </w:tcPr>
          <w:p/>
        </w:tc>
        <w:tc>
          <w:tcPr>
            <w:tcW w:type="dxa" w:w="2076"/>
          </w:tcPr>
          <w:p>
            <w:pPr>
              <w:pStyle w:val="null3"/>
              <w:jc w:val="center"/>
            </w:pPr>
            <w:r>
              <w:rPr/>
              <w:t>3</w:t>
            </w:r>
          </w:p>
        </w:tc>
        <w:tc>
          <w:tcPr>
            <w:tcW w:type="dxa" w:w="2076"/>
          </w:tcPr>
          <w:p>
            <w:pPr>
              <w:pStyle w:val="null3"/>
              <w:jc w:val="left"/>
            </w:pPr>
            <w:r>
              <w:rPr/>
              <w:t>报价要求</w:t>
            </w:r>
          </w:p>
        </w:tc>
        <w:tc>
          <w:tcPr>
            <w:tcW w:type="dxa" w:w="2076"/>
          </w:tcPr>
          <w:p>
            <w:pPr>
              <w:pStyle w:val="null3"/>
              <w:jc w:val="left"/>
            </w:pPr>
            <w:r>
              <w:rPr/>
              <w:t>1.电价组成模式 本项目采用"固定价格+联动价格"的双轨制电价机制，具体构成如下： （1）电量分配比例： 固定价格结算电量：实际用电量的90% 市场联动价格结算电量：实际用电量的10% 浮动费用：0元/度（全电量收取） （2）价格构成： 固定价格：以最终中标价为准 联动价格：采用广东电力交易中心发布的月度中长期交易综合价 浮动费用：0元/度 2.风险防控机制 （1）超额电费共担条款： ① 当结算价＞市场均价130%时： 超额承担额=（实际结算价-市场均价×130%）×结算电量 示例：市场价0.5元/度，结算价0.7元/度，电量100万度 （0.7-0.5×1.3）×100万=5万元（乙方承担） ② 当结算价＜市场均价80%时： 差额返还额=（市场均价×80%-实际结算价）×结算电量 示例：市场价0.5元/度，结算价0.35元/度，电量100万度 （0.5×0.8-0.35）×100万=5万元（甲方返还） （2）其他条款： ①交易手续费及用电偏差由售电公司承担 ②不启用煤电联动机制 ③政策调整等不可抗力除外 3.投标报价规范 （1）报价限制： 固定价格平段单价≤0.67元/度（含税） （2）报价方式： ① 线上报价：通过广东政府采购智慧云平台电子投标客户端. ② 文件报价：《分项报价表》需严格按投标文件格式填写. 4.注意事项 （1）所有价格均为含税价； （2）投标人应自行评估市场风险； （3）最终解释权归采购人所有。</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电力分配服务</w:t>
            </w:r>
          </w:p>
        </w:tc>
        <w:tc>
          <w:tcPr>
            <w:tcW w:type="dxa" w:w="933"/>
          </w:tcPr>
          <w:p>
            <w:pPr>
              <w:pStyle w:val="null3"/>
              <w:jc w:val="left"/>
            </w:pPr>
            <w:r>
              <w:rPr/>
              <w:t>阳春市人民医院第三方供电服务项目</w:t>
            </w:r>
          </w:p>
        </w:tc>
        <w:tc>
          <w:tcPr>
            <w:tcW w:type="dxa" w:w="933"/>
          </w:tcPr>
          <w:p>
            <w:pPr>
              <w:pStyle w:val="null3"/>
              <w:jc w:val="left"/>
            </w:pPr>
            <w:r>
              <w:rPr/>
              <w:t>度</w:t>
            </w:r>
          </w:p>
        </w:tc>
        <w:tc>
          <w:tcPr>
            <w:tcW w:type="dxa" w:w="933"/>
          </w:tcPr>
          <w:p>
            <w:pPr>
              <w:pStyle w:val="null3"/>
              <w:jc w:val="right"/>
            </w:pPr>
            <w:r>
              <w:rPr/>
              <w:t>29,389,850.00</w:t>
            </w:r>
          </w:p>
        </w:tc>
        <w:tc>
          <w:tcPr>
            <w:tcW w:type="dxa" w:w="933"/>
          </w:tcPr>
          <w:p>
            <w:pPr>
              <w:pStyle w:val="null3"/>
              <w:jc w:val="right"/>
            </w:pPr>
            <w:r>
              <w:rPr/>
              <w:t>0.67</w:t>
            </w:r>
          </w:p>
        </w:tc>
        <w:tc>
          <w:tcPr>
            <w:tcW w:type="dxa" w:w="933"/>
          </w:tcPr>
          <w:p>
            <w:pPr>
              <w:pStyle w:val="null3"/>
              <w:jc w:val="right"/>
            </w:pPr>
            <w:r>
              <w:rPr/>
              <w:t>19,691,200.00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阳春市人民医院第三方供电服务项目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spacing w:after="60"/>
              <w:jc w:val="left"/>
            </w:pPr>
            <w:r>
              <w:rPr>
                <w:sz w:val="21"/>
                <w:b/>
                <w:shd w:fill="FFFFFF" w:val="clear"/>
              </w:rPr>
              <w:t>1.电力交易代理服务：</w:t>
            </w:r>
            <w:r>
              <w:rPr>
                <w:sz w:val="21"/>
                <w:shd w:fill="FFFFFF" w:val="clear"/>
              </w:rPr>
              <w:t>全权代理参与广东省电力市场化交易</w:t>
            </w:r>
            <w:r>
              <w:rPr>
                <w:sz w:val="21"/>
                <w:shd w:fill="FFFFFF" w:val="clear"/>
              </w:rPr>
              <w:t>，</w:t>
            </w:r>
            <w:r>
              <w:rPr>
                <w:sz w:val="21"/>
                <w:shd w:fill="FFFFFF" w:val="clear"/>
              </w:rPr>
              <w:t>负责完成每月交易电量的申报、交易执行及结算全流程工作</w:t>
            </w:r>
            <w:r>
              <w:rPr>
                <w:sz w:val="21"/>
                <w:shd w:fill="FFFFFF" w:val="clear"/>
              </w:rPr>
              <w:t>，</w:t>
            </w:r>
            <w:r>
              <w:rPr>
                <w:sz w:val="21"/>
                <w:shd w:fill="FFFFFF" w:val="clear"/>
              </w:rPr>
              <w:t>提供交易策略建议及优化方案</w:t>
            </w:r>
            <w:r>
              <w:rPr>
                <w:sz w:val="21"/>
                <w:shd w:fill="FFFFFF" w:val="clear"/>
              </w:rPr>
              <w:t>；</w:t>
            </w:r>
          </w:p>
          <w:p>
            <w:pPr>
              <w:pStyle w:val="null3"/>
              <w:jc w:val="left"/>
            </w:pPr>
            <w:r>
              <w:rPr>
                <w:sz w:val="21"/>
                <w:b/>
                <w:shd w:fill="FFFFFF" w:val="clear"/>
              </w:rPr>
              <w:t>2.交易平台管理服务：</w:t>
            </w:r>
            <w:r>
              <w:rPr>
                <w:sz w:val="21"/>
                <w:shd w:fill="FFFFFF" w:val="clear"/>
              </w:rPr>
              <w:t>负责电力交易平台的市场注册及维护</w:t>
            </w:r>
            <w:r>
              <w:rPr>
                <w:sz w:val="21"/>
                <w:shd w:fill="FFFFFF" w:val="clear"/>
              </w:rPr>
              <w:t>，</w:t>
            </w:r>
            <w:r>
              <w:rPr>
                <w:sz w:val="21"/>
                <w:shd w:fill="FFFFFF" w:val="clear"/>
              </w:rPr>
              <w:t>处理交易资格申请、变更、延续等手续</w:t>
            </w:r>
          </w:p>
          <w:p>
            <w:pPr>
              <w:pStyle w:val="null3"/>
              <w:jc w:val="left"/>
            </w:pPr>
            <w:r>
              <w:rPr>
                <w:sz w:val="21"/>
                <w:shd w:fill="FFFFFF" w:val="clear"/>
              </w:rPr>
              <w:t>确保交易账户合规运营</w:t>
            </w:r>
            <w:r>
              <w:rPr>
                <w:sz w:val="21"/>
                <w:shd w:fill="FFFFFF" w:val="clear"/>
              </w:rPr>
              <w:t>；</w:t>
            </w:r>
          </w:p>
          <w:p>
            <w:pPr>
              <w:pStyle w:val="null3"/>
              <w:jc w:val="left"/>
            </w:pPr>
            <w:r>
              <w:rPr>
                <w:sz w:val="21"/>
                <w:shd w:fill="FFFFFF" w:val="clear"/>
              </w:rPr>
              <w:t>3.</w:t>
            </w:r>
            <w:r>
              <w:rPr>
                <w:sz w:val="21"/>
                <w:b/>
                <w:shd w:fill="FFFFFF" w:val="clear"/>
              </w:rPr>
              <w:t>电费管理及技术服务：</w:t>
            </w:r>
            <w:r>
              <w:rPr>
                <w:sz w:val="21"/>
                <w:shd w:fill="FFFFFF" w:val="clear"/>
              </w:rPr>
              <w:t>提供月度电量电费分析报告（含用电量、电价构成、费用明细等）</w:t>
            </w:r>
            <w:r>
              <w:rPr>
                <w:sz w:val="21"/>
                <w:shd w:fill="FFFFFF" w:val="clear"/>
              </w:rPr>
              <w:t>，</w:t>
            </w:r>
            <w:r>
              <w:rPr>
                <w:sz w:val="21"/>
                <w:shd w:fill="FFFFFF" w:val="clear"/>
              </w:rPr>
              <w:t>开展电费账单审核，确保计费准确性</w:t>
            </w:r>
            <w:r>
              <w:rPr>
                <w:sz w:val="21"/>
                <w:shd w:fill="FFFFFF" w:val="clear"/>
              </w:rPr>
              <w:t>，</w:t>
            </w:r>
            <w:r>
              <w:rPr>
                <w:sz w:val="21"/>
                <w:shd w:fill="FFFFFF" w:val="clear"/>
              </w:rPr>
              <w:t>负责与电网企业的沟通协调</w:t>
            </w:r>
            <w:r>
              <w:rPr>
                <w:sz w:val="21"/>
                <w:shd w:fill="FFFFFF" w:val="clear"/>
              </w:rPr>
              <w:t>，</w:t>
            </w:r>
            <w:r>
              <w:rPr>
                <w:sz w:val="21"/>
                <w:shd w:fill="FFFFFF" w:val="clear"/>
              </w:rPr>
              <w:t>办理电费发票获取及相关用电手续</w:t>
            </w:r>
            <w:r>
              <w:rPr>
                <w:sz w:val="21"/>
                <w:shd w:fill="FFFFFF" w:val="clear"/>
              </w:rPr>
              <w:t>；</w:t>
            </w:r>
          </w:p>
          <w:p>
            <w:pPr>
              <w:pStyle w:val="null3"/>
              <w:spacing w:after="60"/>
              <w:jc w:val="left"/>
            </w:pPr>
            <w:r>
              <w:rPr>
                <w:sz w:val="21"/>
                <w:b/>
                <w:shd w:fill="FFFFFF" w:val="clear"/>
              </w:rPr>
              <w:t>4.</w:t>
            </w:r>
            <w:r>
              <w:rPr>
                <w:sz w:val="21"/>
                <w:b/>
                <w:shd w:fill="FFFFFF" w:val="clear"/>
              </w:rPr>
              <w:t>结算服务</w:t>
            </w:r>
            <w:r>
              <w:rPr>
                <w:sz w:val="21"/>
                <w:b/>
                <w:shd w:fill="FFFFFF" w:val="clear"/>
              </w:rPr>
              <w:t>：</w:t>
            </w:r>
            <w:r>
              <w:rPr>
                <w:sz w:val="21"/>
                <w:shd w:fill="FFFFFF" w:val="clear"/>
              </w:rPr>
              <w:t>每月提供经广东电力交易中心认证的交易结算清单</w:t>
            </w:r>
            <w:r>
              <w:rPr>
                <w:sz w:val="21"/>
                <w:shd w:fill="FFFFFF" w:val="clear"/>
              </w:rPr>
              <w:t>，</w:t>
            </w:r>
            <w:r>
              <w:rPr>
                <w:sz w:val="21"/>
                <w:shd w:fill="FFFFFF" w:val="clear"/>
              </w:rPr>
              <w:t>清单需明确列</w:t>
            </w:r>
            <w:r>
              <w:rPr>
                <w:sz w:val="21"/>
                <w:shd w:fill="FFFFFF" w:val="clear"/>
              </w:rPr>
              <w:t>明，</w:t>
            </w:r>
            <w:r>
              <w:rPr>
                <w:sz w:val="21"/>
                <w:shd w:fill="FFFFFF" w:val="clear"/>
              </w:rPr>
              <w:t>确保所有交易数据真实、准确、可追溯：</w:t>
            </w:r>
          </w:p>
          <w:p>
            <w:pPr>
              <w:pStyle w:val="null3"/>
              <w:jc w:val="left"/>
            </w:pPr>
            <w:r>
              <w:rPr>
                <w:sz w:val="21"/>
                <w:shd w:fill="FFFFFF" w:val="clear"/>
              </w:rPr>
              <w:t>1）</w:t>
            </w:r>
            <w:r>
              <w:rPr>
                <w:sz w:val="21"/>
                <w:shd w:fill="FFFFFF" w:val="clear"/>
              </w:rPr>
              <w:t>交易电量（分固定价格与联动价格电量）</w:t>
            </w:r>
          </w:p>
          <w:p>
            <w:pPr>
              <w:pStyle w:val="null3"/>
              <w:jc w:val="left"/>
            </w:pPr>
            <w:r>
              <w:rPr>
                <w:sz w:val="21"/>
                <w:shd w:fill="FFFFFF" w:val="clear"/>
              </w:rPr>
              <w:t>2）</w:t>
            </w:r>
            <w:r>
              <w:rPr>
                <w:sz w:val="21"/>
                <w:shd w:fill="FFFFFF" w:val="clear"/>
              </w:rPr>
              <w:t>各价格组成明细</w:t>
            </w:r>
          </w:p>
          <w:p>
            <w:pPr>
              <w:pStyle w:val="null3"/>
              <w:jc w:val="left"/>
            </w:pPr>
            <w:r>
              <w:rPr>
                <w:sz w:val="21"/>
                <w:shd w:fill="FFFFFF" w:val="clear"/>
              </w:rPr>
              <w:t>3）</w:t>
            </w:r>
            <w:r>
              <w:rPr>
                <w:sz w:val="21"/>
                <w:shd w:fill="FFFFFF" w:val="clear"/>
              </w:rPr>
              <w:t>超额/差额电费调整金额</w:t>
            </w:r>
          </w:p>
          <w:p>
            <w:pPr>
              <w:pStyle w:val="null3"/>
              <w:jc w:val="both"/>
            </w:pPr>
            <w:r>
              <w:rPr>
                <w:sz w:val="21"/>
                <w:b/>
              </w:rPr>
              <w:t>5.用电保障服务</w:t>
            </w:r>
            <w:r>
              <w:rPr>
                <w:sz w:val="21"/>
              </w:rPr>
              <w:t>：维持采购人原有用电模式不变，确保供电质量符合国家标准，不改变现有电网接入方式和用电流程。</w:t>
            </w:r>
          </w:p>
          <w:p>
            <w:pPr>
              <w:pStyle w:val="null3"/>
              <w:jc w:val="both"/>
            </w:pPr>
            <w:r>
              <w:rPr>
                <w:sz w:val="21"/>
                <w:b/>
              </w:rPr>
              <w:t>6.增值服务：</w:t>
            </w:r>
          </w:p>
          <w:p>
            <w:pPr>
              <w:pStyle w:val="null3"/>
              <w:jc w:val="both"/>
            </w:pPr>
            <w:r>
              <w:rPr>
                <w:sz w:val="21"/>
              </w:rPr>
              <w:t>1）提供电力市场动态分析报告</w:t>
            </w:r>
          </w:p>
          <w:p>
            <w:pPr>
              <w:pStyle w:val="null3"/>
              <w:jc w:val="both"/>
            </w:pPr>
            <w:r>
              <w:rPr>
                <w:sz w:val="21"/>
              </w:rPr>
              <w:t>2）定期进行用电能效评估</w:t>
            </w:r>
          </w:p>
          <w:p>
            <w:pPr>
              <w:pStyle w:val="null3"/>
              <w:jc w:val="both"/>
            </w:pPr>
            <w:r>
              <w:rPr>
                <w:sz w:val="21"/>
              </w:rPr>
              <w:t>3）协助处理用电异常情况</w:t>
            </w:r>
          </w:p>
          <w:p>
            <w:pPr>
              <w:pStyle w:val="null3"/>
              <w:jc w:val="both"/>
            </w:pPr>
            <w:r>
              <w:rPr>
                <w:sz w:val="21"/>
                <w:b/>
              </w:rPr>
              <w:t>7.服务承诺：</w:t>
            </w:r>
            <w:r>
              <w:rPr>
                <w:sz w:val="21"/>
              </w:rPr>
              <w:t>所有服务均按照广东省电力交易规则执行，建立专属服务团队，指定客户经理全程跟进，确保交易信息透明，定期进行服务汇报，7×24小时应急响应服务。</w:t>
            </w:r>
          </w:p>
          <w:p>
            <w:pPr>
              <w:pStyle w:val="null3"/>
              <w:jc w:val="both"/>
            </w:pPr>
            <w:r>
              <w:rPr>
                <w:sz w:val="21"/>
                <w:b/>
              </w:rPr>
              <w:t>二、服务要求：</w:t>
            </w:r>
          </w:p>
          <w:p>
            <w:pPr>
              <w:pStyle w:val="null3"/>
              <w:jc w:val="both"/>
            </w:pPr>
            <w:r>
              <w:rPr>
                <w:sz w:val="21"/>
                <w:shd w:fill="FFFFFF" w:val="clear"/>
              </w:rPr>
              <w:t xml:space="preserve">    中标供应商须严格按照《中华人民共和国电力法》《电力市场监管办法》等国家法律法规及广东省电力交易规则，为采购人提供全周期电力交易服务，包括但不限于代理参与电力市场交易、月度电量申报、电费结算及偏差处理等全流程服务；须确保向采购人提供的所有交易信息、结算数据及市场分析报告真实、准确、完整，严禁提供任何虚假或误导性信息；须依法按时缴纳电力交易相关手续费及偏差考核费用；负责全程代办电力交易相关手续，包括市场注册、协议签订及结算账户绑定等事宜；同时须制定完善的应急预案，对市场价格异常波动、电力供应紧张等突发情况建立快速响应机制，确保7×24小时应急联络畅通，保障采购人用电权益。供应商应配备专业服务团队，建立服务质量考核体系，定期提供用电优化建议，确保服务过程合规、透明、高效。</w:t>
            </w:r>
          </w:p>
          <w:p>
            <w:pPr>
              <w:pStyle w:val="null3"/>
              <w:jc w:val="both"/>
            </w:pPr>
            <w:r>
              <w:rPr>
                <w:sz w:val="21"/>
                <w:b/>
                <w:shd w:fill="FFFFFF" w:val="clear"/>
              </w:rPr>
              <w:t>三、</w:t>
            </w:r>
            <w:r>
              <w:rPr>
                <w:sz w:val="21"/>
                <w:b/>
                <w:shd w:fill="FFFFFF" w:val="clear"/>
              </w:rPr>
              <w:t>技术规范与系统保障</w:t>
            </w:r>
          </w:p>
          <w:p>
            <w:pPr>
              <w:pStyle w:val="null3"/>
              <w:jc w:val="both"/>
            </w:pPr>
            <w:r>
              <w:rPr>
                <w:sz w:val="21"/>
                <w:shd w:fill="FFFFFF" w:val="clear"/>
              </w:rPr>
              <w:t>中标供应商须严格按照国家及广东省电力交易相关法规和技术规范，建立完善的电力交易技术服务体系，具体要求包括：</w:t>
            </w:r>
          </w:p>
          <w:p>
            <w:pPr>
              <w:pStyle w:val="null3"/>
              <w:jc w:val="both"/>
            </w:pPr>
            <w:r>
              <w:rPr>
                <w:sz w:val="21"/>
                <w:shd w:fill="FFFFFF" w:val="clear"/>
              </w:rPr>
              <w:t>1.数据安全方面，需部署符合国家网络安全等级保护要求的系统，实现与电力交易平台的安全数据交互，确保交易数据加密传输和存储；</w:t>
            </w:r>
          </w:p>
          <w:p>
            <w:pPr>
              <w:pStyle w:val="null3"/>
              <w:jc w:val="both"/>
            </w:pPr>
            <w:r>
              <w:rPr>
                <w:sz w:val="21"/>
                <w:shd w:fill="FFFFFF" w:val="clear"/>
              </w:rPr>
              <w:t>2.交易系统需具备智能算法功能，能够基于历史数据和市场预测模型提供最优交易策略；</w:t>
            </w:r>
          </w:p>
          <w:p>
            <w:pPr>
              <w:pStyle w:val="null3"/>
              <w:jc w:val="both"/>
            </w:pPr>
            <w:r>
              <w:rPr>
                <w:sz w:val="21"/>
                <w:shd w:fill="FFFFFF" w:val="clear"/>
              </w:rPr>
              <w:t>3.采用经国家认证的计量装置，确保数据采集精度符合GB/T 17215标准；</w:t>
            </w:r>
          </w:p>
          <w:p>
            <w:pPr>
              <w:pStyle w:val="null3"/>
              <w:jc w:val="both"/>
            </w:pPr>
            <w:r>
              <w:rPr>
                <w:sz w:val="21"/>
                <w:shd w:fill="FFFFFF" w:val="clear"/>
              </w:rPr>
              <w:t>4.建立7×24小时运维保障体系，配备灾备系统确保服务连续性；</w:t>
            </w:r>
          </w:p>
          <w:p>
            <w:pPr>
              <w:pStyle w:val="null3"/>
              <w:jc w:val="both"/>
            </w:pPr>
            <w:r>
              <w:rPr>
                <w:sz w:val="21"/>
                <w:shd w:fill="FFFFFF" w:val="clear"/>
              </w:rPr>
              <w:t>5.提供能效监测与分析服务，包括负荷特性分析、用电优化建议等增值服务；</w:t>
            </w:r>
          </w:p>
          <w:p>
            <w:pPr>
              <w:pStyle w:val="null3"/>
              <w:jc w:val="both"/>
            </w:pPr>
            <w:r>
              <w:rPr>
                <w:sz w:val="21"/>
                <w:shd w:fill="FFFFFF" w:val="clear"/>
              </w:rPr>
              <w:t>6.每半年委托第三方机构开展系统安全审计和交易合规性审计；</w:t>
            </w:r>
          </w:p>
          <w:p>
            <w:pPr>
              <w:pStyle w:val="null3"/>
              <w:jc w:val="both"/>
            </w:pPr>
            <w:r>
              <w:rPr>
                <w:sz w:val="21"/>
                <w:shd w:fill="FFFFFF" w:val="clear"/>
              </w:rPr>
              <w:t>7.建立实时预警机制，对电价异常波动、交易风险等情况及时预警。所有技术服务需确保符合《电力市场运营系统网络安全防护指南》等最新规范要求，并接受采购人的技术合规性检查。</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采购包1：最低评标价法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采购机构代理服务收费标准：采购代理人向中标人收取的中标服务费标准，按固定价￥50000.00(大写:人民币伍万元整) 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具体情况根据开标(开启)时现场代理机构人员设置为准。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采购包1(第三方供电服务)：最低评标价法,是指投标文件满足招标文件全部实质性要求，且投标报价最低的投标人为中标候选人的评标方法。</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采购包1（第三方供电服务）：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采购包1（第三方供电服务）：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投标人须是已通过广东电力交易中心注册且具备交易资格的售电公司，需提供证明文件及有效的售电牌照编码；若投标人未通过广东电力交易中心注册、未具备售电交易资格的，须承诺在《中标通知书》发出后七个日历日之内通过广东电力交易中心注册且具备售电交易资格。如中标供应商不遵守承诺，视作自动放弃中标资格，采购人有权单方解除合同。（投标人须提供承诺函，格式自拟并加盖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微企业采购。供应商须符合本项目采购标的对应行业（本项目行业为：工业）的政策划分标准。监狱企业、残疾人福利单位视同小型、微型企业。（注：中小企业以供应商填写的《中小企业声明函》（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采购包1（第三方供电服务）：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 托书</w:t>
            </w:r>
          </w:p>
        </w:tc>
        <w:tc>
          <w:tcPr>
            <w:tcW w:type="dxa" w:w="4238"/>
          </w:tcPr>
          <w:p>
            <w:pPr>
              <w:pStyle w:val="null3"/>
            </w:pPr>
            <w:r>
              <w:rPr/>
              <w:t>按对应格式文件签署、盖章及附身份证正反面，扫描件。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投标报价没有超过本项目最高限价（或采购预算）。</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投标文件没有招标文件中规定的其他无效投标条款的</w:t>
            </w:r>
          </w:p>
        </w:tc>
        <w:tc>
          <w:tcPr>
            <w:tcW w:type="dxa" w:w="4238"/>
          </w:tcPr>
          <w:p>
            <w:pPr>
              <w:pStyle w:val="null3"/>
            </w:pPr>
            <w:r>
              <w:rPr/>
              <w:t>投标文件没有招标文件中规定的其他无效投标条款的。</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ind w:firstLine="480"/>
        <w:outlineLvl w:val="3"/>
      </w:pPr>
      <w:r>
        <w:rPr>
          <w:sz w:val="24"/>
          <w:b/>
        </w:rPr>
        <w:t>4.汇总、排序</w:t>
      </w:r>
    </w:p>
    <w:p>
      <w:pPr>
        <w:pStyle w:val="null3"/>
      </w:pPr>
      <w:r>
        <w:rPr/>
        <w:t>采购包1：</w:t>
      </w:r>
    </w:p>
    <w:p>
      <w:pPr>
        <w:pStyle w:val="null3"/>
      </w:pPr>
      <w:r>
        <w:rPr/>
        <w:t>投标文件满足招标文件全部实质性要求，且进行政府采购政策落实的价格扣除后，对投标报价进行由低到高排序，确定价格最低的投标供应商为中标候选人。价格相同的，则采用随机抽取方式确定中标候选人。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甲方</w:t>
      </w:r>
      <w:r>
        <w:rPr>
          <w:sz w:val="30"/>
          <w:color w:val="404040"/>
          <w:shd w:fill="FFFFFF" w:val="clear"/>
        </w:rPr>
        <w:t>按月度结算电费，支付比例为100%。每月实际用电量以乙方电力计量装置采集并经广东电力交易中心发布的数据为准。甲方应在收到乙方提供的完整请款资料（包括等额增值税专用发票、广东电力交易中心发布的当月电量结算单、用电量明细表及其他相关证明文件）后5个工作日内支付当月全额电费。</w:t>
      </w:r>
    </w:p>
    <w:p>
      <w:pPr>
        <w:pStyle w:val="null3"/>
        <w:spacing w:before="210"/>
        <w:jc w:val="left"/>
      </w:pPr>
      <w:r>
        <w:rPr>
          <w:sz w:val="30"/>
          <w:color w:val="404040"/>
          <w:shd w:fill="FFFFFF" w:val="clear"/>
        </w:rPr>
        <w:t>（注：若因节假日或数据延迟导致支付时限调整，以实际收到完整请款资料及广东电力交易中心最终核定电量为准。）</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441781-2025-01713</w:t>
      </w:r>
    </w:p>
    <w:p>
      <w:pPr>
        <w:pStyle w:val="null3"/>
        <w:jc w:val="center"/>
        <w:outlineLvl w:val="3"/>
      </w:pPr>
      <w:r>
        <w:rPr>
          <w:sz w:val="24"/>
          <w:b/>
        </w:rPr>
        <w:t>采购项目编号：</w:t>
      </w:r>
      <w:r>
        <w:rPr>
          <w:sz w:val="24"/>
          <w:b/>
        </w:rPr>
        <w:t>0724-2531YJ014044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第三方供电服务</w:t>
      </w:r>
      <w:r>
        <w:rPr>
          <w:u w:val="single"/>
        </w:rPr>
        <w:t>”</w:t>
      </w:r>
      <w:r>
        <w:rPr/>
        <w:t>项目的招标[采购项目编号为：</w:t>
      </w:r>
      <w:r>
        <w:rPr>
          <w:u w:val="single"/>
        </w:rPr>
        <w:t>0724-2531YJ014044</w:t>
      </w:r>
      <w:r>
        <w:rPr/>
        <w:t>]，我方愿参与投标。</w:t>
      </w:r>
    </w:p>
    <w:p>
      <w:pPr>
        <w:pStyle w:val="null3"/>
        <w:ind w:firstLine="480"/>
      </w:pPr>
      <w:r>
        <w:rPr/>
        <w:t>我方确认收到贵方提供的</w:t>
      </w:r>
      <w:r>
        <w:rPr>
          <w:u w:val="single"/>
        </w:rPr>
        <w:t>“</w:t>
      </w:r>
      <w:r>
        <w:rPr>
          <w:u w:val="single"/>
        </w:rPr>
        <w:t>第三方供电服务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第三方供电服务</w:t>
      </w:r>
      <w:r>
        <w:rPr/>
        <w:t>”项目采购[采购项目编号为</w:t>
      </w:r>
      <w:r>
        <w:rPr/>
        <w:t>0724-2531YJ014044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第三方供电服务</w:t>
      </w:r>
      <w:r>
        <w:rPr/>
        <w:t>招标中获中标（采购项目编号：</w:t>
      </w:r>
      <w:r>
        <w:rPr/>
        <w:t>0724-2531YJ014044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第三方供电服务</w:t>
      </w:r>
      <w:r>
        <w:rPr/>
        <w:t>”项目（采购项目编号：</w:t>
      </w:r>
      <w:r>
        <w:rPr/>
        <w:t>0724-2531YJ014044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