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440101-2025-04020</w:t>
      </w:r>
    </w:p>
    <w:p>
      <w:pPr>
        <w:pStyle w:val="null3"/>
        <w:jc w:val="center"/>
        <w:outlineLvl w:val="3"/>
      </w:pPr>
      <w:r>
        <w:rPr>
          <w:sz w:val="24"/>
          <w:b/>
        </w:rPr>
        <w:t>采购项目编号：</w:t>
      </w:r>
      <w:r>
        <w:rPr>
          <w:sz w:val="24"/>
          <w:b/>
        </w:rPr>
        <w:t>0724-2531Z2161076</w:t>
      </w:r>
    </w:p>
    <w:p>
      <w:pPr>
        <w:pStyle w:val="null3"/>
        <w:jc w:val="center"/>
        <w:outlineLvl w:val="3"/>
      </w:pPr>
      <w:r>
        <w:rPr>
          <w:sz w:val="24"/>
          <w:b/>
        </w:rPr>
        <w:t>项目名称：</w:t>
      </w:r>
      <w:r>
        <w:rPr>
          <w:sz w:val="24"/>
          <w:b/>
        </w:rPr>
        <w:t>广州医科大学附属妇女儿童医疗中心儿童肿瘤相关检测服务及一代测序相关技术服务采购项目</w:t>
      </w:r>
    </w:p>
    <w:p>
      <w:pPr>
        <w:pStyle w:val="null3"/>
        <w:jc w:val="center"/>
        <w:outlineLvl w:val="3"/>
      </w:pPr>
      <w:r>
        <w:rPr>
          <w:sz w:val="24"/>
          <w:b/>
        </w:rPr>
        <w:t>采购人：</w:t>
      </w:r>
      <w:r>
        <w:rPr>
          <w:sz w:val="24"/>
          <w:b/>
        </w:rPr>
        <w:t>广州医科大学附属妇女儿童医疗中心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广州医科大学附属妇女儿童医疗中心</w:t>
      </w:r>
      <w:r>
        <w:rPr/>
        <w:t>的委托，采用</w:t>
      </w:r>
      <w:r>
        <w:rPr/>
        <w:t>公开招标</w:t>
      </w:r>
      <w:r>
        <w:rPr/>
        <w:t>方式组织采购</w:t>
      </w:r>
      <w:r>
        <w:rPr/>
        <w:t>广州医科大学附属妇女儿童医疗中心儿童肿瘤相关检测服务及一代测序相关技术服务采购项目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广州医科大学附属妇女儿童医疗中心儿童肿瘤相关检测服务及一代测序相关技术服务采购项目</w:t>
      </w:r>
    </w:p>
    <w:p>
      <w:pPr>
        <w:pStyle w:val="null3"/>
        <w:ind w:firstLine="480"/>
      </w:pPr>
      <w:r>
        <w:rPr/>
        <w:t>采购计划编号：</w:t>
      </w:r>
      <w:r>
        <w:rPr/>
        <w:t>440101-2025-04020</w:t>
      </w:r>
    </w:p>
    <w:p>
      <w:pPr>
        <w:pStyle w:val="null3"/>
        <w:ind w:firstLine="480"/>
      </w:pPr>
      <w:r>
        <w:rPr/>
        <w:t>采购项目编号：</w:t>
      </w:r>
      <w:r>
        <w:rPr/>
        <w:t>0724-2531Z2161076</w:t>
      </w:r>
    </w:p>
    <w:p>
      <w:pPr>
        <w:pStyle w:val="null3"/>
        <w:ind w:firstLine="480"/>
      </w:pPr>
      <w:r>
        <w:rPr/>
        <w:t>采购方式：</w:t>
      </w:r>
      <w:r>
        <w:rPr/>
        <w:t>公开招标</w:t>
      </w:r>
    </w:p>
    <w:p>
      <w:pPr>
        <w:pStyle w:val="null3"/>
        <w:ind w:firstLine="480"/>
      </w:pPr>
      <w:r>
        <w:rPr/>
        <w:t>预算金额：</w:t>
      </w:r>
      <w:r>
        <w:rPr/>
        <w:t>28,000,000.00</w:t>
      </w:r>
      <w:r>
        <w:rPr/>
        <w:t>元</w:t>
      </w:r>
    </w:p>
    <w:p>
      <w:pPr>
        <w:pStyle w:val="null3"/>
        <w:outlineLvl w:val="3"/>
      </w:pPr>
      <w:r>
        <w:rPr>
          <w:sz w:val="24"/>
          <w:b/>
        </w:rPr>
        <w:t>2.项目内容及需求情况（采购项目技术规格、参数及要求）</w:t>
      </w:r>
    </w:p>
    <w:p>
      <w:pPr>
        <w:pStyle w:val="null3"/>
      </w:pPr>
      <w:r>
        <w:rPr/>
        <w:t>采购包1(儿童肿瘤及相关疾病分子检测项目):</w:t>
      </w:r>
    </w:p>
    <w:p>
      <w:pPr>
        <w:pStyle w:val="null3"/>
      </w:pPr>
      <w:r>
        <w:rPr/>
        <w:t>采购包预算金额：25,000,000.00元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儿童肿瘤及相关疾病分子检测项目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采购包2(一代测序及引物合成):</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其他医疗卫生服务</w:t>
            </w:r>
          </w:p>
        </w:tc>
        <w:tc>
          <w:tcPr>
            <w:tcW w:type="dxa" w:w="2052"/>
          </w:tcPr>
          <w:p>
            <w:pPr>
              <w:pStyle w:val="null3"/>
            </w:pPr>
            <w:r>
              <w:rPr/>
              <w:t>一代测序及引物合成</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采购包1（儿童肿瘤及相关疾病分子检测项目）：</w:t>
      </w:r>
      <w:r>
        <w:rPr/>
        <w:t>本采购包不专门面向中小企业。原因和情形为：按照《政府采购促进促进中小企业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其他未列明行业。</w:t>
      </w:r>
    </w:p>
    <w:p>
      <w:pPr>
        <w:pStyle w:val="null3"/>
        <w:jc w:val="left"/>
      </w:pPr>
      <w:r>
        <w:rPr/>
        <w:t>采购包2（一代测序及引物合成）：</w:t>
      </w:r>
      <w:r>
        <w:rPr/>
        <w:t>本采购包不专门面向中小企业。原因和情形为：按照《政府采购促进促进中小企业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其他未列明行业。</w:t>
      </w:r>
    </w:p>
    <w:p>
      <w:pPr>
        <w:pStyle w:val="null3"/>
        <w:outlineLvl w:val="3"/>
      </w:pPr>
      <w:r>
        <w:rPr>
          <w:sz w:val="24"/>
          <w:b/>
        </w:rPr>
        <w:t>3.本项目特定的资格要求：</w:t>
      </w:r>
    </w:p>
    <w:p>
      <w:pPr>
        <w:pStyle w:val="null3"/>
      </w:pPr>
      <w:r>
        <w:rPr/>
        <w:t>采购包1（儿童肿瘤及相关疾病分子检测项目）：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7)投标人具有有效的《医疗机构执业许可证》（诊疗科目须涵盖医学检验科专业及临床细胞分子遗传学专业）、并具备有效的临床基因扩增实验室资质，提供相关证书复印件并加盖公章。</w:t>
      </w:r>
    </w:p>
    <w:p>
      <w:pPr>
        <w:pStyle w:val="null3"/>
      </w:pPr>
      <w:r>
        <w:rPr/>
        <w:t>采购包2（一代测序及引物合成）：</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广州医科大学附属妇女儿童医疗中心</w:t>
      </w:r>
    </w:p>
    <w:p>
      <w:pPr>
        <w:pStyle w:val="null3"/>
        <w:ind w:firstLine="480"/>
      </w:pPr>
      <w:r>
        <w:rPr/>
        <w:t xml:space="preserve"> 地址：</w:t>
      </w:r>
      <w:r>
        <w:rPr/>
        <w:t>金穗路9号</w:t>
      </w:r>
    </w:p>
    <w:p>
      <w:pPr>
        <w:pStyle w:val="null3"/>
        <w:ind w:firstLine="480"/>
      </w:pPr>
      <w:r>
        <w:rPr/>
        <w:t xml:space="preserve"> 联系方式：</w:t>
      </w:r>
      <w:r>
        <w:rPr/>
        <w:t>020-38076626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020-37860503/559</w:t>
      </w:r>
    </w:p>
    <w:p>
      <w:pPr>
        <w:pStyle w:val="null3"/>
        <w:outlineLvl w:val="3"/>
      </w:pPr>
      <w:r>
        <w:rPr>
          <w:sz w:val="24"/>
          <w:b/>
        </w:rPr>
        <w:t xml:space="preserve"> 3.项目联系方式</w:t>
      </w:r>
    </w:p>
    <w:p>
      <w:pPr>
        <w:pStyle w:val="null3"/>
        <w:ind w:firstLine="480"/>
      </w:pPr>
      <w:r>
        <w:rPr/>
        <w:t xml:space="preserve"> 项目联系人：</w:t>
      </w:r>
      <w:r>
        <w:rPr/>
        <w:t>刘金、李哲霖</w:t>
      </w:r>
    </w:p>
    <w:p>
      <w:pPr>
        <w:pStyle w:val="null3"/>
        <w:ind w:firstLine="480"/>
      </w:pPr>
      <w:r>
        <w:rPr/>
        <w:t xml:space="preserve"> 电话：</w:t>
      </w:r>
      <w:r>
        <w:rPr/>
        <w:t>020-37860503/559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（一）项目一览表：</w:t>
      </w:r>
    </w:p>
    <w:tbl>
      <w:tblPr>
        <w:tblW w:w="0" w:type="auto"/>
        <w:tblBorders>
          <w:top w:val="none" w:color="000000" w:sz="4"/>
          <w:left w:val="none" w:color="000000" w:sz="4"/>
          <w:bottom w:val="none" w:color="000000" w:sz="4"/>
          <w:right w:val="none" w:color="000000" w:sz="4"/>
          <w:insideH w:val="none"/>
          <w:insideV w:val="none"/>
        </w:tblBorders>
      </w:tblPr>
      <w:tblGrid>
        <w:gridCol w:w="782"/>
        <w:gridCol w:w="1700"/>
        <w:gridCol w:w="662"/>
        <w:gridCol w:w="2001"/>
        <w:gridCol w:w="3160"/>
      </w:tblGrid>
      <w:tr>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采购包号</w:t>
            </w:r>
          </w:p>
        </w:tc>
        <w:tc>
          <w:tcPr>
            <w:tcW w:type="dxa" w:w="1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采购内容</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2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项目预算</w:t>
            </w:r>
          </w:p>
        </w:tc>
        <w:tc>
          <w:tcPr>
            <w:tcW w:type="dxa" w:w="3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服务期</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儿童肿瘤及相关疾病分子检测项目</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w:t>
            </w:r>
            <w:r>
              <w:rPr>
                <w:sz w:val="21"/>
              </w:rPr>
              <w:t>2500</w:t>
            </w:r>
            <w:r>
              <w:rPr>
                <w:sz w:val="21"/>
              </w:rPr>
              <w:t>万元</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合同签订之日起三年或累计实际结算款项达到包组预算（以先到为准）。第一年安排预算为</w:t>
            </w:r>
            <w:r>
              <w:rPr>
                <w:sz w:val="21"/>
              </w:rPr>
              <w:t>834</w:t>
            </w:r>
            <w:r>
              <w:rPr>
                <w:sz w:val="21"/>
              </w:rPr>
              <w:t>万元，第二年度预算拟安排</w:t>
            </w:r>
            <w:r>
              <w:rPr>
                <w:sz w:val="21"/>
              </w:rPr>
              <w:t>833</w:t>
            </w:r>
            <w:r>
              <w:rPr>
                <w:sz w:val="21"/>
              </w:rPr>
              <w:t>万元，第三年度预算拟安排</w:t>
            </w:r>
            <w:r>
              <w:rPr>
                <w:sz w:val="21"/>
              </w:rPr>
              <w:t>833</w:t>
            </w:r>
            <w:r>
              <w:rPr>
                <w:sz w:val="21"/>
              </w:rPr>
              <w:t>万元。</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一代测序及引物合成</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w:t>
            </w:r>
            <w:r>
              <w:rPr>
                <w:sz w:val="21"/>
              </w:rPr>
              <w:t>300</w:t>
            </w:r>
            <w:r>
              <w:rPr>
                <w:sz w:val="21"/>
              </w:rPr>
              <w:t>万元</w:t>
            </w:r>
          </w:p>
        </w:tc>
        <w:tc>
          <w:tcPr>
            <w:tcW w:type="dxa" w:w="3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合同签订之日起三年或累计实际结算款项达到包组预算（以先到为准）。第一年安排预算为</w:t>
            </w:r>
            <w:r>
              <w:rPr>
                <w:sz w:val="21"/>
              </w:rPr>
              <w:t>100</w:t>
            </w:r>
            <w:r>
              <w:rPr>
                <w:sz w:val="21"/>
              </w:rPr>
              <w:t>万元，第二年度预算拟安排</w:t>
            </w:r>
            <w:r>
              <w:rPr>
                <w:sz w:val="21"/>
              </w:rPr>
              <w:t>100</w:t>
            </w:r>
            <w:r>
              <w:rPr>
                <w:sz w:val="21"/>
              </w:rPr>
              <w:t>万元，第三年度预算拟安排</w:t>
            </w:r>
            <w:r>
              <w:rPr>
                <w:sz w:val="21"/>
              </w:rPr>
              <w:t>100</w:t>
            </w:r>
            <w:r>
              <w:rPr>
                <w:sz w:val="21"/>
              </w:rPr>
              <w:t>万元。</w:t>
            </w:r>
          </w:p>
        </w:tc>
      </w:tr>
    </w:tbl>
    <w:p>
      <w:pPr>
        <w:pStyle w:val="null3"/>
        <w:ind w:firstLine="480"/>
        <w:jc w:val="both"/>
      </w:pPr>
      <w:r>
        <w:rPr>
          <w:sz w:val="21"/>
        </w:rPr>
        <w:t>（二）项目基本情况及要求：</w:t>
      </w:r>
    </w:p>
    <w:p>
      <w:pPr>
        <w:pStyle w:val="null3"/>
        <w:ind w:firstLine="480"/>
        <w:jc w:val="both"/>
      </w:pPr>
      <w:r>
        <w:rPr>
          <w:sz w:val="21"/>
        </w:rPr>
        <w:t>1.</w:t>
      </w:r>
      <w:r>
        <w:rPr>
          <w:sz w:val="21"/>
        </w:rPr>
        <w:t>项目属性：服务类</w:t>
      </w:r>
    </w:p>
    <w:p>
      <w:pPr>
        <w:pStyle w:val="null3"/>
        <w:ind w:firstLine="480"/>
        <w:jc w:val="both"/>
      </w:pPr>
      <w:r>
        <w:rPr>
          <w:sz w:val="21"/>
        </w:rPr>
        <w:t>2.</w:t>
      </w:r>
      <w:r>
        <w:rPr>
          <w:sz w:val="21"/>
        </w:rPr>
        <w:t>投标人须对本项目以采购包为单位的服务进行整体投标，任何只对采购包内其中一部分内容进行的投标都被视为</w:t>
      </w:r>
      <w:r>
        <w:rPr>
          <w:sz w:val="21"/>
          <w:b/>
        </w:rPr>
        <w:t>无效投标</w:t>
      </w:r>
      <w:r>
        <w:rPr>
          <w:sz w:val="21"/>
        </w:rPr>
        <w:t>。</w:t>
      </w:r>
    </w:p>
    <w:p>
      <w:pPr>
        <w:pStyle w:val="null3"/>
        <w:ind w:firstLine="480"/>
        <w:jc w:val="both"/>
      </w:pPr>
      <w:r>
        <w:rPr>
          <w:sz w:val="21"/>
        </w:rPr>
        <w:t>3.</w:t>
      </w:r>
      <w:r>
        <w:rPr>
          <w:sz w:val="21"/>
        </w:rPr>
        <w:t>凡标记为“★”号的条款为实质性条款，投标人若有任何一条负偏离或不满足则导致投标（响应）无效。</w:t>
      </w:r>
    </w:p>
    <w:p>
      <w:pPr>
        <w:pStyle w:val="null3"/>
        <w:ind w:firstLine="480"/>
        <w:jc w:val="both"/>
      </w:pPr>
      <w:r>
        <w:rPr>
          <w:sz w:val="21"/>
        </w:rPr>
        <w:t>4.</w:t>
      </w:r>
      <w:r>
        <w:rPr>
          <w:sz w:val="21"/>
        </w:rPr>
        <w:t>需要落实的政府采购政策：《政府采购促进中小企业发展管理办法》的通知（财库</w:t>
      </w:r>
      <w:r>
        <w:rPr>
          <w:sz w:val="21"/>
        </w:rPr>
        <w:t>[2020]46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号）、《关于运用政府采购政策支持乡村产业振兴的通知》（财库〔</w:t>
      </w:r>
      <w:r>
        <w:rPr>
          <w:sz w:val="21"/>
        </w:rPr>
        <w:t>2021</w:t>
      </w:r>
      <w:r>
        <w:rPr>
          <w:sz w:val="21"/>
        </w:rPr>
        <w:t>〕</w:t>
      </w:r>
      <w:r>
        <w:rPr>
          <w:sz w:val="21"/>
        </w:rPr>
        <w:t>19</w:t>
      </w:r>
      <w:r>
        <w:rPr>
          <w:sz w:val="21"/>
        </w:rPr>
        <w:t>号）、《商品包装政府采购需求标准（试行）》及《快递包装政府采购需求标准（试行）》（财办库〔</w:t>
      </w:r>
      <w:r>
        <w:rPr>
          <w:sz w:val="21"/>
        </w:rPr>
        <w:t>2020</w:t>
      </w:r>
      <w:r>
        <w:rPr>
          <w:sz w:val="21"/>
        </w:rPr>
        <w:t>〕</w:t>
      </w:r>
      <w:r>
        <w:rPr>
          <w:sz w:val="21"/>
        </w:rPr>
        <w:t>123</w:t>
      </w:r>
      <w:r>
        <w:rPr>
          <w:sz w:val="21"/>
        </w:rPr>
        <w:t>号）等。</w:t>
      </w:r>
    </w:p>
    <w:p>
      <w:pPr>
        <w:pStyle w:val="null3"/>
        <w:ind w:firstLine="480"/>
        <w:jc w:val="both"/>
      </w:pPr>
      <w:r>
        <w:rPr>
          <w:sz w:val="21"/>
        </w:rPr>
        <w:t>5.</w:t>
      </w:r>
      <w:r>
        <w:rPr>
          <w:sz w:val="21"/>
        </w:rPr>
        <w:t>以下《资格声明函》，投标人须在“格式十八 各类证明材料”中提供。</w:t>
      </w:r>
    </w:p>
    <w:p>
      <w:pPr>
        <w:pStyle w:val="null3"/>
        <w:ind w:firstLine="480"/>
        <w:jc w:val="both"/>
      </w:pPr>
      <w:r>
        <w:rPr>
          <w:sz w:val="21"/>
        </w:rPr>
        <w:t>《资格声明函》</w:t>
      </w:r>
    </w:p>
    <w:p>
      <w:pPr>
        <w:pStyle w:val="null3"/>
        <w:ind w:firstLine="480"/>
        <w:jc w:val="both"/>
      </w:pPr>
      <w:r>
        <w:rPr>
          <w:sz w:val="21"/>
        </w:rPr>
        <w:t>采购项目名称：广州医科大学附属妇女儿童医疗中心儿童肿瘤相关检测服务及一代测序相关技术服务采购项目</w:t>
      </w:r>
    </w:p>
    <w:p>
      <w:pPr>
        <w:pStyle w:val="null3"/>
        <w:ind w:firstLine="480"/>
        <w:jc w:val="both"/>
      </w:pPr>
      <w:r>
        <w:rPr>
          <w:sz w:val="21"/>
        </w:rPr>
        <w:t>采购文件编号：</w:t>
      </w:r>
      <w:r>
        <w:rPr>
          <w:sz w:val="21"/>
        </w:rPr>
        <w:t>0724-2531Z2161076</w:t>
      </w:r>
    </w:p>
    <w:p>
      <w:pPr>
        <w:pStyle w:val="null3"/>
        <w:ind w:firstLine="480"/>
        <w:jc w:val="both"/>
      </w:pPr>
      <w:r>
        <w:rPr>
          <w:sz w:val="21"/>
        </w:rPr>
        <w:t>国义招标股份有限公司：</w:t>
      </w:r>
    </w:p>
    <w:p>
      <w:pPr>
        <w:pStyle w:val="null3"/>
        <w:ind w:firstLine="480"/>
        <w:jc w:val="both"/>
      </w:pPr>
      <w:r>
        <w:rPr>
          <w:sz w:val="21"/>
        </w:rPr>
        <w:t>关于贵公司发布广州医科大学附属妇女儿童医疗中心儿童肿瘤相关检测服务及一代测序相关技术服务采购项目（项目编号：</w:t>
      </w:r>
      <w:r>
        <w:rPr>
          <w:sz w:val="21"/>
        </w:rPr>
        <w:t>0724-2531Z2161076</w:t>
      </w:r>
      <w:r>
        <w:rPr>
          <w:sz w:val="21"/>
        </w:rPr>
        <w:t>）的采购公告及采购文件，本单位愿意参加投标，并声明：</w:t>
      </w:r>
    </w:p>
    <w:p>
      <w:pPr>
        <w:pStyle w:val="null3"/>
        <w:ind w:firstLine="480"/>
        <w:jc w:val="both"/>
      </w:pPr>
      <w:r>
        <w:rPr>
          <w:sz w:val="21"/>
        </w:rPr>
        <w:t>一、本单位具备以下条件：</w:t>
      </w:r>
    </w:p>
    <w:p>
      <w:pPr>
        <w:pStyle w:val="null3"/>
        <w:ind w:firstLine="480"/>
        <w:jc w:val="both"/>
      </w:pPr>
      <w:r>
        <w:rPr>
          <w:sz w:val="21"/>
        </w:rPr>
        <w:t>（一）具有良好的社会、商业信誉和健全的内部治理结构、财务会计和资产管理制度；</w:t>
      </w:r>
    </w:p>
    <w:p>
      <w:pPr>
        <w:pStyle w:val="null3"/>
        <w:ind w:firstLine="480"/>
        <w:jc w:val="both"/>
      </w:pPr>
      <w:r>
        <w:rPr>
          <w:sz w:val="21"/>
        </w:rPr>
        <w:t>（二）具备提供服务所必需的设施、人员和专业技术能力；</w:t>
      </w:r>
    </w:p>
    <w:p>
      <w:pPr>
        <w:pStyle w:val="null3"/>
        <w:ind w:firstLine="480"/>
        <w:jc w:val="both"/>
      </w:pPr>
      <w:r>
        <w:rPr>
          <w:sz w:val="21"/>
        </w:rPr>
        <w:t>（三）有依法缴纳税收和社会保障资金的良好记录；</w:t>
      </w:r>
    </w:p>
    <w:p>
      <w:pPr>
        <w:pStyle w:val="null3"/>
        <w:ind w:firstLine="480"/>
        <w:jc w:val="both"/>
      </w:pPr>
      <w:r>
        <w:rPr>
          <w:sz w:val="21"/>
        </w:rPr>
        <w:t>（四）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w:t>
      </w:r>
    </w:p>
    <w:p>
      <w:pPr>
        <w:pStyle w:val="null3"/>
        <w:ind w:firstLine="480"/>
        <w:jc w:val="both"/>
      </w:pPr>
      <w:r>
        <w:rPr>
          <w:sz w:val="21"/>
        </w:rPr>
        <w:t>（五）法律、法规规定要求的其他条件</w:t>
      </w:r>
    </w:p>
    <w:p>
      <w:pPr>
        <w:pStyle w:val="null3"/>
        <w:ind w:firstLine="480"/>
        <w:jc w:val="both"/>
      </w:pPr>
      <w:r>
        <w:rPr>
          <w:sz w:val="21"/>
        </w:rPr>
        <w:t>（六）本单位并非联合体参加投标，承诺中标后不将本项目分包、转包。</w:t>
      </w:r>
    </w:p>
    <w:p>
      <w:pPr>
        <w:pStyle w:val="null3"/>
        <w:ind w:firstLine="480"/>
        <w:jc w:val="both"/>
      </w:pPr>
      <w:r>
        <w:rPr>
          <w:sz w:val="21"/>
        </w:rPr>
        <w:t>二、本单位没有为采购项目同一合同项下提供整体设计、规范编制或者项目管理、监理、检测等服务。</w:t>
      </w:r>
    </w:p>
    <w:p>
      <w:pPr>
        <w:pStyle w:val="null3"/>
        <w:ind w:firstLine="480"/>
        <w:jc w:val="both"/>
      </w:pPr>
      <w:r>
        <w:rPr>
          <w:sz w:val="21"/>
        </w:rPr>
        <w:t>三、我方承诺如与本项目同一合同项下其他投标人的单位负责人为同一人或者存在直接控股、管理关系的情形，同意按投标无效处理。</w:t>
      </w:r>
    </w:p>
    <w:p>
      <w:pPr>
        <w:pStyle w:val="null3"/>
        <w:ind w:firstLine="480"/>
        <w:jc w:val="both"/>
      </w:pPr>
      <w:r>
        <w:rPr>
          <w:sz w:val="21"/>
        </w:rPr>
        <w:t>四、本单位承诺在本次招标采购活动中，如有违法、违规、弄虚作假行为，所造成的损失、不良后果及法律责任，一律由我单位承担。</w:t>
      </w:r>
    </w:p>
    <w:p>
      <w:pPr>
        <w:pStyle w:val="null3"/>
        <w:ind w:firstLine="480"/>
        <w:jc w:val="both"/>
      </w:pPr>
      <w:r>
        <w:rPr>
          <w:sz w:val="21"/>
        </w:rPr>
        <w:t>特此声明！</w:t>
      </w:r>
    </w:p>
    <w:p>
      <w:pPr>
        <w:pStyle w:val="null3"/>
        <w:ind w:firstLine="480"/>
        <w:jc w:val="both"/>
      </w:pPr>
      <w:r>
        <w:rPr>
          <w:sz w:val="21"/>
        </w:rPr>
        <w:t>说明：</w:t>
      </w:r>
    </w:p>
    <w:p>
      <w:pPr>
        <w:pStyle w:val="null3"/>
        <w:ind w:firstLine="480"/>
        <w:jc w:val="both"/>
      </w:pPr>
      <w:r>
        <w:rPr>
          <w:sz w:val="21"/>
        </w:rPr>
        <w:t>1</w:t>
      </w:r>
      <w:r>
        <w:rPr>
          <w:sz w:val="21"/>
        </w:rPr>
        <w:t>、本声明函必须提供且内容不得擅自删改，否则视为</w:t>
      </w:r>
      <w:r>
        <w:rPr>
          <w:sz w:val="21"/>
          <w:b/>
        </w:rPr>
        <w:t>无效响应</w:t>
      </w:r>
      <w:r>
        <w:rPr>
          <w:sz w:val="21"/>
        </w:rPr>
        <w:t>。</w:t>
      </w:r>
    </w:p>
    <w:p>
      <w:pPr>
        <w:pStyle w:val="null3"/>
        <w:ind w:firstLine="480"/>
        <w:jc w:val="both"/>
      </w:pPr>
      <w:r>
        <w:rPr>
          <w:sz w:val="21"/>
        </w:rPr>
        <w:t>2</w:t>
      </w:r>
      <w:r>
        <w:rPr>
          <w:sz w:val="21"/>
        </w:rPr>
        <w:t>、本声明函如有虚假或与事实不符的，作</w:t>
      </w:r>
      <w:r>
        <w:rPr>
          <w:sz w:val="21"/>
          <w:b/>
        </w:rPr>
        <w:t>无效响应</w:t>
      </w:r>
      <w:r>
        <w:rPr>
          <w:sz w:val="21"/>
        </w:rPr>
        <w:t>处理。</w:t>
      </w:r>
    </w:p>
    <w:p>
      <w:pPr>
        <w:pStyle w:val="null3"/>
        <w:ind w:firstLine="480"/>
        <w:jc w:val="both"/>
      </w:pPr>
      <w:r>
        <w:rPr>
          <w:sz w:val="21"/>
        </w:rPr>
        <w:t>响应供应商名称（盖公章）：</w:t>
      </w:r>
    </w:p>
    <w:p>
      <w:pPr>
        <w:pStyle w:val="null3"/>
        <w:ind w:firstLine="480"/>
        <w:jc w:val="both"/>
      </w:pPr>
      <w:r>
        <w:rPr>
          <w:sz w:val="21"/>
        </w:rPr>
        <w:t>地址：</w:t>
      </w:r>
    </w:p>
    <w:p>
      <w:pPr>
        <w:pStyle w:val="null3"/>
        <w:ind w:firstLine="480"/>
        <w:jc w:val="both"/>
      </w:pPr>
      <w:r>
        <w:rPr>
          <w:sz w:val="21"/>
        </w:rPr>
        <w:t>日期：</w:t>
      </w:r>
    </w:p>
    <w:p>
      <w:pPr>
        <w:pStyle w:val="null3"/>
        <w:ind w:firstLine="480"/>
        <w:jc w:val="both"/>
      </w:pPr>
      <w:r>
        <w:rPr>
          <w:sz w:val="21"/>
        </w:rPr>
        <w:t>6.</w:t>
      </w:r>
      <w:r>
        <w:rPr>
          <w:sz w:val="21"/>
        </w:rPr>
        <w:t>以下《实质性响应一览表》内容均为本项目的“★”号条款，投标人须“在格式五 实质性响应一览表”中提供，并根据实质性响应条款内容进行响应，如有差异请进行说明。投标人若有任何一条负偏离或不满足或缺项漏项响应则导致投标无效。</w:t>
      </w:r>
      <w:r>
        <w:rPr>
          <w:sz w:val="21"/>
          <w:b/>
        </w:rPr>
        <w:t>（注：投标人根据所投采购包情况提供以下对应的《实质性响应一览表》）</w:t>
      </w:r>
    </w:p>
    <w:p>
      <w:pPr>
        <w:pStyle w:val="null3"/>
        <w:ind w:firstLine="480"/>
        <w:jc w:val="both"/>
      </w:pPr>
      <w:r>
        <w:rPr>
          <w:sz w:val="21"/>
          <w:b/>
        </w:rPr>
        <w:t xml:space="preserve">6.1 </w:t>
      </w:r>
      <w:r>
        <w:rPr>
          <w:sz w:val="21"/>
          <w:b/>
        </w:rPr>
        <w:t>《实质性响应一览表》</w:t>
      </w:r>
    </w:p>
    <w:p>
      <w:pPr>
        <w:pStyle w:val="null3"/>
        <w:ind w:firstLine="480"/>
        <w:jc w:val="both"/>
      </w:pPr>
      <w:r>
        <w:rPr>
          <w:sz w:val="21"/>
        </w:rPr>
        <w:t>采购项目名称：广州医科大学附属妇女儿童医疗中心儿童肿瘤相关检测服务及一代测序相关技术服务采购项目</w:t>
      </w:r>
    </w:p>
    <w:p>
      <w:pPr>
        <w:pStyle w:val="null3"/>
        <w:ind w:firstLine="480"/>
        <w:jc w:val="both"/>
      </w:pPr>
      <w:r>
        <w:rPr>
          <w:sz w:val="21"/>
        </w:rPr>
        <w:t>采购文件编号：</w:t>
      </w:r>
      <w:r>
        <w:rPr>
          <w:sz w:val="21"/>
        </w:rPr>
        <w:t>0724-2531Z2161076</w:t>
      </w:r>
    </w:p>
    <w:p>
      <w:pPr>
        <w:pStyle w:val="null3"/>
        <w:ind w:firstLine="480"/>
        <w:jc w:val="both"/>
      </w:pPr>
      <w:r>
        <w:rPr>
          <w:sz w:val="21"/>
          <w:b/>
        </w:rPr>
        <w:t>采购包号：</w:t>
      </w:r>
      <w:r>
        <w:rPr>
          <w:sz w:val="21"/>
          <w:b/>
        </w:rPr>
        <w:t>01</w:t>
      </w:r>
    </w:p>
    <w:tbl>
      <w:tblPr>
        <w:tblW w:w="0" w:type="auto"/>
        <w:tblBorders>
          <w:top w:val="none" w:color="000000" w:sz="4"/>
          <w:left w:val="none" w:color="000000" w:sz="4"/>
          <w:bottom w:val="none" w:color="000000" w:sz="4"/>
          <w:right w:val="none" w:color="000000" w:sz="4"/>
          <w:insideH w:val="none"/>
          <w:insideV w:val="none"/>
        </w:tblBorders>
      </w:tblPr>
      <w:tblGrid>
        <w:gridCol w:w="752"/>
        <w:gridCol w:w="5703"/>
        <w:gridCol w:w="1204"/>
        <w:gridCol w:w="647"/>
      </w:tblGrid>
      <w:tr>
        <w:tc>
          <w:tcPr>
            <w:tcW w:type="dxa" w:w="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5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实质性响应条款</w:t>
            </w:r>
          </w:p>
        </w:tc>
        <w:tc>
          <w:tcPr>
            <w:tcW w:type="dxa" w:w="1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投标人响应情况</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差异</w:t>
            </w: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5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采用以高通量测序技术为主、多种非测序类分子检测技术为辅的综合技术方案，提供儿童肿瘤及相关疾病分子检测项目的整体检测方案。具体项目见《表1：采购包1招标项目列表》。投标人须提供书面承诺函，内容包括：</w:t>
            </w:r>
            <w:r>
              <w:rPr>
                <w:sz w:val="20"/>
                <w:b/>
              </w:rPr>
              <w:t>可独立完成以下列表中所有检测项目，且</w:t>
            </w:r>
            <w:r>
              <w:rPr>
                <w:sz w:val="20"/>
              </w:rPr>
              <w:t>按以下列表各项目最终报告交付时间要求向采购人交付检测报告，特殊检验样本按采购人的要求交付周期进行交付，以上时间以样本到达检测实验室的时间为起点计算。</w:t>
            </w:r>
            <w:r>
              <w:rPr>
                <w:sz w:val="20"/>
                <w:b/>
              </w:rPr>
              <w:t>（注：投标人须提供书面承诺函并加盖投标人公章，格式自定。）</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5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4）肿瘤基因检测：投标人项目检测流程中设置严格的质量控制节点，如由专业病理医生对肿瘤样本进行检测前条件质控，包括样本中肿瘤细胞比例，选择最具检测价值的肿瘤区域等，保证检测样本质量，提高结果可靠性，</w:t>
            </w:r>
            <w:r>
              <w:rPr>
                <w:sz w:val="19"/>
                <w:b/>
              </w:rPr>
              <w:t>注：投标人提供系统截图和阳性结果报告单，并加盖投标人公章。</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★2.测序数据质量要求：</w:t>
            </w:r>
          </w:p>
          <w:p>
            <w:pPr>
              <w:pStyle w:val="null3"/>
              <w:jc w:val="both"/>
            </w:pPr>
            <w:r>
              <w:rPr>
                <w:sz w:val="19"/>
              </w:rPr>
              <w:t>本采购包所含各测序项目产出数据性能应不低于下表中相应标准要求。同时，批次间及批次内指征数据一致性的参数应不低于</w:t>
            </w:r>
            <w:r>
              <w:rPr>
                <w:sz w:val="19"/>
              </w:rPr>
              <w:t>99%。</w:t>
            </w:r>
            <w:r>
              <w:rPr>
                <w:sz w:val="19"/>
                <w:b/>
              </w:rPr>
              <w:t>注：投标人提供质控数据截图，并加盖投标人公章。（表格详见下面采购需求）</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5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投标人须承诺临床检测报告实时网络传送，实现实验室数据的汇总、储存、传输功能，检测报告要上传到采购人LIS系统。投标人负责与医院LIS和HIS系统对接，并负责LIS和HIS系统对接产生的所有费用，该费用包含在投标报价中。</w:t>
            </w:r>
            <w:r>
              <w:rPr>
                <w:sz w:val="19"/>
                <w:b/>
              </w:rPr>
              <w:t>（提供承诺函并加盖投标人公章，格式自定）</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★十、剩余样本保存</w:t>
            </w:r>
          </w:p>
          <w:p>
            <w:pPr>
              <w:pStyle w:val="null3"/>
              <w:jc w:val="both"/>
            </w:pPr>
            <w:r>
              <w:rPr>
                <w:sz w:val="19"/>
              </w:rPr>
              <w:t>检测完成后，中标人须提供不少于</w:t>
            </w:r>
            <w:r>
              <w:rPr>
                <w:sz w:val="19"/>
              </w:rPr>
              <w:t>12个月的样本（包括剩余原始样本以及检测后剩余核酸样本）保存服务以及不少于15年的病理切片、蜡块和阳性涂片保存服务（如因不可抗力或其他不可克服因素导致不能按规定时间保存标本，需提前通知采购单位，得到采购单位书面同意后启动进行标本返还流程，或对标本进行无害化处理，相关费用由中标人承担）。中标人在保存样本时，须对样本进行一一对应标记，按不同样本类型保存要求进行保存，其中需低温保存的样本（如剩余核酸）在专用样本存储处进行低温（-20℃~-80℃)保存，标记需清晰，以便采购人有需要可随时进行调档；12个月后经采购人的书面通知后进行无害化处理。对于超过保存期的样本，中标人需经采购人书面同意后方可处理；如采购人需要，投标人需按采购人要求在规定时间内返还保存的样本（中标方指派专人通过冷链运输（-20℃)的方式将数据交付到采购人指定地点）。由此过程中产生的一切费用均由中标人承担。</w:t>
            </w:r>
            <w:r>
              <w:rPr>
                <w:sz w:val="19"/>
                <w:b/>
              </w:rPr>
              <w:t>（提供承诺函并加盖投标人公章，格式自定）</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5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★十一、数据储存及数据安全保障</w:t>
            </w:r>
          </w:p>
          <w:p>
            <w:pPr>
              <w:pStyle w:val="null3"/>
              <w:jc w:val="both"/>
            </w:pPr>
            <w:r>
              <w:rPr>
                <w:sz w:val="20"/>
              </w:rPr>
              <w:t>1.数据交付后，中标人须提供不少于36个月（服务期内）的数据存储服务。中标人须对样本数据进行对应标记及专用保密方式存储，以便采购人有需要时可随时调档；36个月（服务期满）后根据采购人的书面通知进行无保留的移交（中标人指派专人通过移动硬盘的方式将数据交付到采购人指定地点）且对已移交的样本数据情况进行无痕清除处理。由此产生的一切费用均由中标人承担。</w:t>
            </w:r>
            <w:r>
              <w:rPr>
                <w:sz w:val="20"/>
                <w:b/>
              </w:rPr>
              <w:t>（提供承诺函并加盖投标人公章，格式自定）</w:t>
            </w:r>
          </w:p>
          <w:p>
            <w:pPr>
              <w:pStyle w:val="null3"/>
              <w:ind w:firstLine="420"/>
              <w:jc w:val="both"/>
            </w:pPr>
            <w:r>
              <w:rPr>
                <w:sz w:val="19"/>
                <w:b/>
              </w:rPr>
              <w:t>2.</w:t>
            </w:r>
            <w:r>
              <w:rPr>
                <w:sz w:val="19"/>
              </w:rPr>
              <w:t>针对本项目数据安全管理，隐私信息保护，数据泄露保护，投标人提供成熟解决方案，具备异地数据备份功能，可为采购人提供本地化数据储存和访问服务，全部数据只允许在中国大陆备份。</w:t>
            </w:r>
            <w:r>
              <w:rPr>
                <w:sz w:val="19"/>
                <w:b/>
              </w:rPr>
              <w:t>（提供承诺函并加盖投标人公章，格式自定）</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5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一、独立投标：投标人的实验室需满足该标的对实验设备及分析流程的要求，独立完成该标的所有检测项目。不允许联合该投标人外的任何机构提供投标所需硬件设备及资质等，不允许投标人分包或外包完成标的中任一环节。</w:t>
            </w:r>
            <w:r>
              <w:rPr>
                <w:sz w:val="19"/>
                <w:b/>
              </w:rPr>
              <w:t>（提供承诺函并加盖投标人公章，格式自定）</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5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一）为本项目配备的服务人员中：①提供至少2名肿瘤分子检测相关从业人员（提供相关从业人员的毕业证书，专业为遗传学或肿瘤学或血液病学；或提供遗传咨询师证）。②提供5名或以上具有医学检验专业卫生技术人员，其中同时具有卫生行政部门指定机构技术培训颁发的临床基因扩增检验技术培训合格证明的不少于5名。（注：①~②同一人员不重复计算；提供①~②的拟派服务人员的对应证书证明及社保证明，复印件并加盖投标人公章。）</w:t>
            </w:r>
            <w:r>
              <w:rPr>
                <w:sz w:val="19"/>
                <w:b/>
              </w:rPr>
              <w:t>注：须提供上述人员相关证明材料复印件及投标截止日前</w:t>
            </w:r>
            <w:r>
              <w:rPr>
                <w:sz w:val="19"/>
                <w:b/>
              </w:rPr>
              <w:t>6个月内任意1个月在投标人单位购买社保的证明材料复印件(退休返聘人员须提供聘用合同复印件)并加盖投标人公章。</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5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★四、报价要求：</w:t>
            </w:r>
          </w:p>
          <w:p>
            <w:pPr>
              <w:pStyle w:val="null3"/>
              <w:jc w:val="both"/>
            </w:pPr>
            <w:r>
              <w:rPr>
                <w:sz w:val="20"/>
              </w:rPr>
              <w:t>（一）投标人根据《表</w:t>
            </w:r>
            <w:r>
              <w:rPr>
                <w:sz w:val="20"/>
              </w:rPr>
              <w:t>1：采购包1招标项目列表》检测项目招标基准价为基准，报出统一的折扣率，折扣率范围：0&lt;折扣率≤48%，且该折扣必须为固定数值，不接受区间报价（如30%~40%）。</w:t>
            </w:r>
          </w:p>
          <w:p>
            <w:pPr>
              <w:pStyle w:val="null3"/>
              <w:jc w:val="both"/>
            </w:pPr>
            <w:r>
              <w:rPr>
                <w:sz w:val="20"/>
              </w:rPr>
              <w:t>（二）投标报价应为人民币含税全包价。投标人的投标折扣率报价不能为负数或零。投标报价包括但不限于：</w:t>
            </w:r>
          </w:p>
          <w:p>
            <w:pPr>
              <w:pStyle w:val="null3"/>
              <w:jc w:val="both"/>
            </w:pPr>
            <w:r>
              <w:rPr>
                <w:sz w:val="20"/>
              </w:rPr>
              <w:t>（</w:t>
            </w:r>
            <w:r>
              <w:rPr>
                <w:sz w:val="20"/>
              </w:rPr>
              <w:t>1）本项目服务实施过程中涉及的相关检验设备使用，分析平台、解读软件使用及试剂试纸耗材等费用。</w:t>
            </w:r>
          </w:p>
          <w:p>
            <w:pPr>
              <w:pStyle w:val="null3"/>
              <w:jc w:val="both"/>
            </w:pPr>
            <w:r>
              <w:rPr>
                <w:sz w:val="20"/>
              </w:rPr>
              <w:t>（</w:t>
            </w:r>
            <w:r>
              <w:rPr>
                <w:sz w:val="20"/>
              </w:rPr>
              <w:t>2）样本运输，结果数据传输，与采购人系统对接，剩余样本保存，数据保存等完成本项目一切可见或不可预见的费用。一切可见或不可见之车辆养路费、车辆保险费、车辆保养、维修、燃油费车辆设备折旧费、所有设备的维护费和清洁费、水电费。</w:t>
            </w:r>
          </w:p>
          <w:p>
            <w:pPr>
              <w:pStyle w:val="null3"/>
              <w:jc w:val="both"/>
            </w:pPr>
            <w:r>
              <w:rPr>
                <w:sz w:val="20"/>
              </w:rPr>
              <w:t>（</w:t>
            </w:r>
            <w:r>
              <w:rPr>
                <w:sz w:val="20"/>
              </w:rPr>
              <w:t>3）人员工资、社保、保险、福利、管理费、风险费、税费、利润等所有费用。</w:t>
            </w:r>
          </w:p>
          <w:p>
            <w:pPr>
              <w:pStyle w:val="null3"/>
              <w:jc w:val="both"/>
            </w:pPr>
            <w:r>
              <w:rPr>
                <w:sz w:val="19"/>
              </w:rPr>
              <w:t>（</w:t>
            </w:r>
            <w:r>
              <w:rPr>
                <w:sz w:val="19"/>
              </w:rPr>
              <w:t>4）投标人报价中须包括所投采购包检验项目中的全部项目。</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5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★九、知识产权及保密信息要求（提供承诺函，格式自拟）</w:t>
            </w:r>
          </w:p>
          <w:p>
            <w:pPr>
              <w:pStyle w:val="null3"/>
              <w:jc w:val="both"/>
            </w:pPr>
            <w:r>
              <w:rPr>
                <w:sz w:val="20"/>
              </w:rPr>
              <w:t>（一）保密信息要求：在本项目服务期限内或者合同终止后中标人都有为采购人保密的义务。在未经采购人书面同意或授权前提下，中标人不得向采购人临床科室工作人员、患者、患者家属及法律或采购人许可的单位或人员以外等的任何第三方泄露采购人委托检测的项目、检测的内容、检测的结果；且不得将本项目所涉及的生物样本、相关数据、技术文件及其他有关信息用于任何目的和</w:t>
            </w:r>
            <w:r>
              <w:rPr>
                <w:sz w:val="20"/>
              </w:rPr>
              <w:t>/或形式的用途。同时中标人对在本项目采购合同有效期内从采购人知悉的关于采购人的一切非公开的保密信息负有保密义务。本项目执行过程中产生的所有知识产权归采购人所有。中标人若违反上述约定，应赔偿采购人损失，并负相关法律责任。本保密条款不因合同终止而终止。</w:t>
            </w:r>
          </w:p>
          <w:p>
            <w:pPr>
              <w:pStyle w:val="null3"/>
              <w:jc w:val="both"/>
            </w:pPr>
            <w:r>
              <w:rPr>
                <w:sz w:val="20"/>
              </w:rPr>
              <w:t>（二）知识产权：检测样本、检测剩余样本、检测数据的所有权、使用权为采购人所有，未经采购人书面许可不得挪作它用。采购人拥有本项目所有数据及相关衍生的所有知识产权。</w:t>
            </w:r>
          </w:p>
          <w:p>
            <w:pPr>
              <w:pStyle w:val="null3"/>
            </w:pPr>
            <w:r>
              <w:rPr>
                <w:sz w:val="19"/>
              </w:rPr>
              <w:t>（三）投标人生物信息安全性要求：中标人在项目实施过程中未经安全审查，不得将国家人类遗传资源信息向境外组织、个人及其设立或实际控制的机构提供或者开放使用。</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说明：</w:t>
      </w:r>
    </w:p>
    <w:p>
      <w:pPr>
        <w:pStyle w:val="null3"/>
        <w:ind w:firstLine="480"/>
        <w:jc w:val="both"/>
      </w:pPr>
      <w:r>
        <w:rPr>
          <w:sz w:val="21"/>
        </w:rPr>
        <w:t>1.</w:t>
      </w:r>
      <w:r>
        <w:rPr>
          <w:sz w:val="21"/>
        </w:rPr>
        <w:t>本表所列条款必须一一予以响应，“投标人响应情况”一栏应填写具体的响应内容，</w:t>
      </w:r>
      <w:r>
        <w:rPr>
          <w:sz w:val="21"/>
          <w:b/>
        </w:rPr>
        <w:t>有差异的要具体说明。</w:t>
      </w:r>
    </w:p>
    <w:p>
      <w:pPr>
        <w:pStyle w:val="null3"/>
        <w:ind w:firstLine="480"/>
        <w:jc w:val="both"/>
      </w:pPr>
      <w:r>
        <w:rPr>
          <w:sz w:val="21"/>
        </w:rPr>
        <w:t>2.</w:t>
      </w:r>
      <w:r>
        <w:rPr>
          <w:sz w:val="21"/>
        </w:rPr>
        <w:t>请投标人认真填写本表内容，如填写错误将可能导致</w:t>
      </w:r>
      <w:r>
        <w:rPr>
          <w:sz w:val="21"/>
          <w:b/>
        </w:rPr>
        <w:t>投标（响应）无效。</w:t>
      </w:r>
    </w:p>
    <w:p>
      <w:pPr>
        <w:pStyle w:val="null3"/>
        <w:ind w:firstLine="480"/>
        <w:jc w:val="both"/>
      </w:pPr>
      <w:r>
        <w:rPr>
          <w:sz w:val="21"/>
          <w:b/>
        </w:rPr>
        <w:t>投标人名称（加盖公章）：</w:t>
      </w:r>
    </w:p>
    <w:p>
      <w:pPr>
        <w:pStyle w:val="null3"/>
        <w:ind w:firstLine="480"/>
        <w:jc w:val="both"/>
      </w:pPr>
      <w:r>
        <w:rPr>
          <w:sz w:val="21"/>
          <w:b/>
        </w:rPr>
        <w:t>投标人法定代表人或授权代表（签字或盖章）：</w:t>
      </w:r>
    </w:p>
    <w:p>
      <w:pPr>
        <w:pStyle w:val="null3"/>
        <w:ind w:firstLine="480"/>
        <w:jc w:val="both"/>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ind w:firstLine="480"/>
        <w:jc w:val="both"/>
      </w:pPr>
      <w:r>
        <w:rPr>
          <w:sz w:val="21"/>
          <w:b/>
        </w:rPr>
        <w:t xml:space="preserve">6.2 </w:t>
      </w:r>
      <w:r>
        <w:rPr>
          <w:sz w:val="21"/>
          <w:b/>
        </w:rPr>
        <w:t>《实质性响应一览表》</w:t>
      </w:r>
    </w:p>
    <w:p>
      <w:pPr>
        <w:pStyle w:val="null3"/>
        <w:ind w:firstLine="480"/>
        <w:jc w:val="both"/>
      </w:pPr>
      <w:r>
        <w:rPr>
          <w:sz w:val="21"/>
        </w:rPr>
        <w:t>采购项目名称：广州医科大学附属妇女儿童医疗中心儿童肿瘤相关检测服务及一代测序相关技术服务采购项目</w:t>
      </w:r>
    </w:p>
    <w:p>
      <w:pPr>
        <w:pStyle w:val="null3"/>
        <w:ind w:firstLine="480"/>
        <w:jc w:val="both"/>
      </w:pPr>
      <w:r>
        <w:rPr>
          <w:sz w:val="21"/>
        </w:rPr>
        <w:t>采购文件编号：</w:t>
      </w:r>
      <w:r>
        <w:rPr>
          <w:sz w:val="21"/>
        </w:rPr>
        <w:t>0724-2531Z2161076</w:t>
      </w:r>
    </w:p>
    <w:p>
      <w:pPr>
        <w:pStyle w:val="null3"/>
        <w:ind w:firstLine="480"/>
        <w:jc w:val="both"/>
      </w:pPr>
      <w:r>
        <w:rPr>
          <w:sz w:val="21"/>
          <w:b/>
        </w:rPr>
        <w:t>采购包号：</w:t>
      </w:r>
      <w:r>
        <w:rPr>
          <w:sz w:val="21"/>
          <w:b/>
        </w:rPr>
        <w:t>02</w:t>
      </w:r>
    </w:p>
    <w:tbl>
      <w:tblPr>
        <w:tblW w:w="0" w:type="auto"/>
        <w:tblBorders>
          <w:top w:val="none" w:color="000000" w:sz="4"/>
          <w:left w:val="none" w:color="000000" w:sz="4"/>
          <w:bottom w:val="none" w:color="000000" w:sz="4"/>
          <w:right w:val="none" w:color="000000" w:sz="4"/>
          <w:insideH w:val="none"/>
          <w:insideV w:val="none"/>
        </w:tblBorders>
      </w:tblPr>
      <w:tblGrid>
        <w:gridCol w:w="451"/>
        <w:gridCol w:w="5989"/>
        <w:gridCol w:w="1219"/>
        <w:gridCol w:w="647"/>
      </w:tblGrid>
      <w:tr>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59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实质性响应条款</w:t>
            </w:r>
          </w:p>
        </w:tc>
        <w:tc>
          <w:tcPr>
            <w:tcW w:type="dxa" w:w="1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投标人响应情况</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差异</w:t>
            </w: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5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r>
              <w:rPr>
                <w:sz w:val="20"/>
              </w:rPr>
              <w:t>投标人应提供相关方案，具体内容应包含</w:t>
            </w:r>
            <w:r>
              <w:rPr>
                <w:sz w:val="20"/>
              </w:rPr>
              <w:t>DNA一代测序的质量控制体系及方法、检验方案、结果判定原则、结果报送要求、引物合成技术服务工作交付形式、引物合成质量要求、工作纪律、应急预案、后续服务等相关内容。具体项目见《表1：</w:t>
            </w:r>
            <w:r>
              <w:rPr>
                <w:sz w:val="20"/>
              </w:rPr>
              <w:t>采购包</w:t>
            </w:r>
            <w:r>
              <w:rPr>
                <w:sz w:val="20"/>
              </w:rPr>
              <w:t>2</w:t>
            </w:r>
            <w:r>
              <w:rPr>
                <w:sz w:val="20"/>
              </w:rPr>
              <w:t>招标项目列表》</w:t>
            </w:r>
            <w:r>
              <w:rPr>
                <w:sz w:val="20"/>
                <w:b/>
              </w:rPr>
              <w:t>。</w:t>
            </w:r>
            <w:r>
              <w:rPr>
                <w:sz w:val="20"/>
              </w:rPr>
              <w:t>投标人须提供书面承诺函，内容包括：</w:t>
            </w:r>
            <w:r>
              <w:rPr>
                <w:sz w:val="20"/>
                <w:b/>
              </w:rPr>
              <w:t>可独立完成以下列表中</w:t>
            </w:r>
            <w:r>
              <w:rPr>
                <w:sz w:val="20"/>
                <w:b/>
              </w:rPr>
              <w:t>所有</w:t>
            </w:r>
            <w:r>
              <w:rPr>
                <w:sz w:val="20"/>
                <w:b/>
              </w:rPr>
              <w:t>检测项目</w:t>
            </w:r>
            <w:r>
              <w:rPr>
                <w:sz w:val="20"/>
                <w:b/>
              </w:rPr>
              <w:t>，且</w:t>
            </w:r>
            <w:r>
              <w:rPr>
                <w:sz w:val="20"/>
              </w:rPr>
              <w:t>按项目交付时间（一代测序次日中午前交付结果，引物合成</w:t>
            </w:r>
            <w:r>
              <w:rPr>
                <w:sz w:val="20"/>
              </w:rPr>
              <w:t>2天以内交付结果）要求向采购人交付数据和引物，特殊检验样本按采购人的要求交付周期进行交付，以上时间以样本到达检测实验室的时间为起点计算。</w:t>
            </w:r>
            <w:r>
              <w:rPr>
                <w:sz w:val="20"/>
                <w:b/>
              </w:rPr>
              <w:t>（注：投标人须提供书面承诺函并加盖投标人公章，格式自定。）</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5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★1.投标人实验室需配备至少一台一代测序仪。</w:t>
            </w:r>
            <w:r>
              <w:rPr>
                <w:sz w:val="19"/>
                <w:b/>
              </w:rPr>
              <w:t>注：需提供实物图片</w:t>
            </w:r>
            <w:r>
              <w:rPr>
                <w:sz w:val="19"/>
                <w:b/>
              </w:rPr>
              <w:t>+发票或实物图片+合同；如是租赁的，需提供实物图片+租赁合同，并加盖投标人公章。</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2）测序目的信号强度应该在500-2000fu，噪音信号应该控制在0-15fu，精确读序&gt;800bp，有效读序&gt;900bp，QV20+和CRL值&gt;1000，要求测序峰形图单一、清晰、明确，对所有测序序列评分，要求测序评分3分以上。（5分无任何背景峰；4分有一些背景峰但不影响结果判断；3分背景峰较高，但双向均可明显判断结果；3分以下为不可接受结果），测序结果准确率高（≥98%），并提供测序原始峰图。</w:t>
            </w:r>
            <w:r>
              <w:rPr>
                <w:sz w:val="19"/>
                <w:b/>
              </w:rPr>
              <w:t>注：投标人需提供报告单和质检报告并加盖投标人公章予以证明。</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5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★（3）具备应对HighGC、ATrich、发夹结构、重复序列等复杂情况的解决方案。</w:t>
            </w:r>
            <w:r>
              <w:rPr>
                <w:sz w:val="19"/>
                <w:b/>
              </w:rPr>
              <w:t>注：投标人需提供报告单和质检报告并加盖投标人公章予以证明。</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★九、剩余样本保存</w:t>
            </w:r>
          </w:p>
          <w:p>
            <w:pPr>
              <w:pStyle w:val="null3"/>
              <w:ind w:firstLine="420"/>
              <w:jc w:val="both"/>
            </w:pPr>
            <w:r>
              <w:rPr>
                <w:sz w:val="19"/>
              </w:rPr>
              <w:t>检测完成后，中标人须提供不少于</w:t>
            </w:r>
            <w:r>
              <w:rPr>
                <w:sz w:val="19"/>
              </w:rPr>
              <w:t>3个月的样本（包括剩余原始样本以及检测后剩余核酸样本）保存服务。中标人在保存样本时，须对样本进行一一对应标记及专用样本存储处进行低温（-20℃~-80℃)保存，标记需清晰，以便采购人有需要可随时进行调档.如采购人需要，投标人需按采购人要求在规定时间内返还保存的样本（中标人指派专人通过冷链运输的方式将数据交付到采购人指定地点）。由此过程中产生的一切费用均由中标人承担。</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5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rPr>
              <w:t>★十、数据储存及数据安全保障</w:t>
            </w:r>
          </w:p>
          <w:p>
            <w:pPr>
              <w:pStyle w:val="null3"/>
              <w:jc w:val="both"/>
            </w:pPr>
            <w:r>
              <w:rPr>
                <w:sz w:val="20"/>
              </w:rPr>
              <w:t>1.数据交付后，中标人须提供不少于36个月（服务期内）的数据存储服务。中标人须对样本数据进行对应标记及专用保密方式存储，以便采购人有需要时可随时调档；36个月（服务期满）后根据采购人的书面通知进行无保留的移交（中标人指派专人通过移动硬盘的方式将数据交付到采购人指定地点）且对已移交的样本数据情况进行无痕清除处理。由此产生的一切费用均由中标人承担。</w:t>
            </w:r>
            <w:r>
              <w:rPr>
                <w:sz w:val="20"/>
                <w:b/>
              </w:rPr>
              <w:t>（注：投标人须提供书面承诺函并加盖投标人公章，格式自定。）</w:t>
            </w:r>
          </w:p>
          <w:p>
            <w:pPr>
              <w:pStyle w:val="null3"/>
              <w:jc w:val="both"/>
            </w:pPr>
            <w:r>
              <w:rPr>
                <w:sz w:val="19"/>
                <w:b/>
              </w:rPr>
              <w:t>2.</w:t>
            </w:r>
            <w:r>
              <w:rPr>
                <w:sz w:val="19"/>
              </w:rPr>
              <w:t>针对本项目数据安全管理，隐私信息保护，数据泄露保护，投标人提供成熟解决方案，具备异地数据备份功能，可为采购人提供本地化数据储存和访问服务，全部数据只允许在中国大陆备份。</w:t>
            </w:r>
            <w:r>
              <w:rPr>
                <w:sz w:val="19"/>
                <w:b/>
              </w:rPr>
              <w:t>（注：投标人须提供书面承诺函并加盖投标人公章，格式自定。）</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5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一、独立投标：投标人的实验室需满足该标的对实验设备及分析流程的要求，独立完成该标的所有检测项目。不允许联合该投标人外的任何机构提供投标所需硬件设备及资质等，不允许投标人分包或外包完成标的中任一环节。</w:t>
            </w:r>
            <w:r>
              <w:rPr>
                <w:sz w:val="19"/>
                <w:b/>
              </w:rPr>
              <w:t>（提供承诺函并加盖投标人公章，格式自定）</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5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一）为本项目配备的服务人员中：①提供至少2名生物类专业技术人员（提供相关专业人员的毕业证书，为生物类专业）。②提供2名或以上具有卫生行政部门指定机构技术培训颁发的临床基因扩增检验技术培训合格证明的人员。（注：①~②同一人员不重复计算；提供①~②的拟派服务人员的对应证书证明及社保证明，复印件并加盖投标人公章。）注：须提供上述人员相关证明材料复印件及投标截止日前6个月内任意1个月在投标人单位购买社保的证明材料复印件(退休返聘人员须提供聘用合同复印件)并加盖投标人公章。</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5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★四、报价要求：</w:t>
            </w:r>
          </w:p>
          <w:p>
            <w:pPr>
              <w:pStyle w:val="null3"/>
              <w:jc w:val="both"/>
            </w:pPr>
            <w:r>
              <w:rPr>
                <w:sz w:val="20"/>
              </w:rPr>
              <w:t>（一）投标人根据《表</w:t>
            </w:r>
            <w:r>
              <w:rPr>
                <w:sz w:val="20"/>
              </w:rPr>
              <w:t>1：采购包2招标项目列表》检测项目招标基准价为基准，报出统一的折扣率，折扣率范围：0&lt;折扣率≤85%，且该折扣率必须为固定数值，不接受区间报价（如30%~40%）。</w:t>
            </w:r>
          </w:p>
          <w:p>
            <w:pPr>
              <w:pStyle w:val="null3"/>
              <w:jc w:val="both"/>
            </w:pPr>
            <w:r>
              <w:rPr>
                <w:sz w:val="20"/>
              </w:rPr>
              <w:t>（二）投标报价应为人民币含税全包价。投标人的投标折扣率报价不能为负数或零。投标报价包括但不限于：</w:t>
            </w:r>
          </w:p>
          <w:p>
            <w:pPr>
              <w:pStyle w:val="null3"/>
              <w:jc w:val="both"/>
            </w:pPr>
            <w:r>
              <w:rPr>
                <w:sz w:val="20"/>
              </w:rPr>
              <w:t>（</w:t>
            </w:r>
            <w:r>
              <w:rPr>
                <w:sz w:val="20"/>
              </w:rPr>
              <w:t>1）本项目服务实施过程中涉及的相关检验设备使用，分析平台及试剂试纸耗材等费用。</w:t>
            </w:r>
          </w:p>
          <w:p>
            <w:pPr>
              <w:pStyle w:val="null3"/>
              <w:jc w:val="both"/>
            </w:pPr>
            <w:r>
              <w:rPr>
                <w:sz w:val="20"/>
              </w:rPr>
              <w:t>（</w:t>
            </w:r>
            <w:r>
              <w:rPr>
                <w:sz w:val="20"/>
              </w:rPr>
              <w:t>2）样本运输，结果数据传输，与采购人系统对接，剩余样本保存，数据保存等完成本项目一切可见或不可预见的费用。一切可见或不可见之车辆养路费、车辆保险费、车辆保养、维修、燃油费车辆设备折旧费、所有设备的维护费和清洁费、水电费。</w:t>
            </w:r>
          </w:p>
          <w:p>
            <w:pPr>
              <w:pStyle w:val="null3"/>
              <w:jc w:val="both"/>
            </w:pPr>
            <w:r>
              <w:rPr>
                <w:sz w:val="20"/>
              </w:rPr>
              <w:t>（</w:t>
            </w:r>
            <w:r>
              <w:rPr>
                <w:sz w:val="20"/>
              </w:rPr>
              <w:t>3）人员工资、社保、保险、福利、管理费、风险费、税费、利润等所有费用。</w:t>
            </w:r>
          </w:p>
          <w:p>
            <w:pPr>
              <w:pStyle w:val="null3"/>
              <w:jc w:val="both"/>
            </w:pPr>
            <w:r>
              <w:rPr>
                <w:sz w:val="19"/>
              </w:rPr>
              <w:t>（</w:t>
            </w:r>
            <w:r>
              <w:rPr>
                <w:sz w:val="19"/>
              </w:rPr>
              <w:t>4）投标人报价中须包括所投采购包检验项目中的全部项目。</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★九、知识产权及保密信息要求（提供承诺函，格式自拟）</w:t>
            </w:r>
          </w:p>
          <w:p>
            <w:pPr>
              <w:pStyle w:val="null3"/>
              <w:jc w:val="both"/>
            </w:pPr>
            <w:r>
              <w:rPr>
                <w:sz w:val="20"/>
              </w:rPr>
              <w:t>（一）保密信息要求：在本项目服务期限内或者合同终止后中标人都有为采购人保密的义务。在未经采购人书面同意或授权前提下，中标人不得向采购人临床科室工作人员、患者、患者家属及法律或采购人许可的单位或人员以外等的任何第三方泄露采购人委托检测的项目、检测的内容、检测的结果；且不得将本项目所涉及的生物样本、相关数据、技术文件及其他有关信息用于任何目的和</w:t>
            </w:r>
            <w:r>
              <w:rPr>
                <w:sz w:val="20"/>
              </w:rPr>
              <w:t>/或形式的用途。同时中标人对在本项目采购合同有效期内从采购人知悉的关于采购人的一切非公开的保密信息负有保密义务。本项目执行过程中产生的所有知识产权归采购人所有。中标人若违反上述约定，应赔偿采购人损失，并负相关法律责任。本保密条款不因合同终止而终止。</w:t>
            </w:r>
          </w:p>
          <w:p>
            <w:pPr>
              <w:pStyle w:val="null3"/>
              <w:jc w:val="both"/>
            </w:pPr>
            <w:r>
              <w:rPr>
                <w:sz w:val="19"/>
              </w:rPr>
              <w:t>（二）知识产权：检测样本、检测剩余样本、检测数据的所有权、使用权为采购人所有，未经采购人书面许可不得挪作它用。采购人拥有本项目所有数据及相关衍生的所有知识产权。（三）投标人生物信息安全性要求：中标人在项目实施过程中未经安全审查，不得将国家人类遗传资源信息向境外组织、个人及其设立或实际控制的机构提供或者开放使用。</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说明：</w:t>
      </w:r>
    </w:p>
    <w:p>
      <w:pPr>
        <w:pStyle w:val="null3"/>
        <w:ind w:firstLine="480"/>
        <w:jc w:val="both"/>
      </w:pPr>
      <w:r>
        <w:rPr>
          <w:sz w:val="21"/>
        </w:rPr>
        <w:t>1.</w:t>
      </w:r>
      <w:r>
        <w:rPr>
          <w:sz w:val="21"/>
        </w:rPr>
        <w:t>本表所列条款必须一一予以响应，“投标人响应情况”一栏应填写具体的响应内容，</w:t>
      </w:r>
      <w:r>
        <w:rPr>
          <w:sz w:val="21"/>
          <w:b/>
        </w:rPr>
        <w:t>有差异的要具体说明。</w:t>
      </w:r>
    </w:p>
    <w:p>
      <w:pPr>
        <w:pStyle w:val="null3"/>
        <w:ind w:firstLine="480"/>
        <w:jc w:val="both"/>
      </w:pPr>
      <w:r>
        <w:rPr>
          <w:sz w:val="21"/>
        </w:rPr>
        <w:t>2.</w:t>
      </w:r>
      <w:r>
        <w:rPr>
          <w:sz w:val="21"/>
        </w:rPr>
        <w:t>请投标人认真填写本表内容，如填写错误将可能导致</w:t>
      </w:r>
      <w:r>
        <w:rPr>
          <w:sz w:val="21"/>
          <w:b/>
        </w:rPr>
        <w:t>投标（响应）无效。</w:t>
      </w:r>
    </w:p>
    <w:p>
      <w:pPr>
        <w:pStyle w:val="null3"/>
        <w:ind w:firstLine="480"/>
        <w:jc w:val="both"/>
      </w:pPr>
      <w:r>
        <w:rPr>
          <w:sz w:val="21"/>
          <w:b/>
        </w:rPr>
        <w:t>投标人名称（加盖公章）：</w:t>
      </w:r>
    </w:p>
    <w:p>
      <w:pPr>
        <w:pStyle w:val="null3"/>
        <w:ind w:firstLine="480"/>
        <w:jc w:val="both"/>
      </w:pPr>
      <w:r>
        <w:rPr>
          <w:sz w:val="21"/>
          <w:b/>
        </w:rPr>
        <w:t>投标人法定代表人或授权代表（签字或盖章）：</w:t>
      </w:r>
    </w:p>
    <w:p>
      <w:pPr>
        <w:pStyle w:val="null3"/>
        <w:ind w:firstLine="480"/>
        <w:jc w:val="both"/>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left"/>
      </w:pPr>
      <w:r>
        <w:rPr>
          <w:sz w:val="21"/>
        </w:rPr>
        <w:t>7</w:t>
      </w:r>
      <w:r>
        <w:rPr>
          <w:sz w:val="21"/>
        </w:rPr>
        <w:t>、</w:t>
      </w:r>
      <w:r>
        <w:rPr>
          <w:sz w:val="22"/>
          <w:b/>
        </w:rPr>
        <w:t>投标人信息</w:t>
      </w:r>
      <w:r>
        <w:rPr>
          <w:sz w:val="21"/>
          <w:b/>
        </w:rPr>
        <w:t>（投标人需要在投标文件中如实填写提供以下信息）</w:t>
      </w:r>
    </w:p>
    <w:tbl>
      <w:tblPr>
        <w:tblW w:w="0" w:type="auto"/>
        <w:tblBorders>
          <w:top w:val="none" w:color="000000" w:sz="4"/>
          <w:left w:val="none" w:color="000000" w:sz="4"/>
          <w:bottom w:val="none" w:color="000000" w:sz="4"/>
          <w:right w:val="none" w:color="000000" w:sz="4"/>
          <w:insideH w:val="none"/>
          <w:insideV w:val="none"/>
        </w:tblBorders>
      </w:tblPr>
      <w:tblGrid>
        <w:gridCol w:w="896"/>
        <w:gridCol w:w="2581"/>
        <w:gridCol w:w="1078"/>
        <w:gridCol w:w="3751"/>
      </w:tblGrid>
      <w:tr>
        <w:tc>
          <w:tcPr>
            <w:tcW w:type="dxa" w:w="8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内容</w:t>
            </w:r>
          </w:p>
        </w:tc>
        <w:tc>
          <w:tcPr>
            <w:tcW w:type="dxa" w:w="482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具体内容</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名称</w:t>
            </w:r>
          </w:p>
        </w:tc>
        <w:tc>
          <w:tcPr>
            <w:tcW w:type="dxa" w:w="48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地址</w:t>
            </w:r>
            <w:r>
              <w:rPr>
                <w:sz w:val="21"/>
              </w:rPr>
              <w:t>(省、市、区+详细地址）</w:t>
            </w:r>
          </w:p>
        </w:tc>
        <w:tc>
          <w:tcPr>
            <w:tcW w:type="dxa" w:w="48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规模</w:t>
            </w:r>
          </w:p>
        </w:tc>
        <w:tc>
          <w:tcPr>
            <w:tcW w:type="dxa" w:w="48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1、小微型企业（根据投标文件格式《中小企业声明函》如实填写）</w:t>
            </w:r>
          </w:p>
          <w:p>
            <w:pPr>
              <w:pStyle w:val="null3"/>
              <w:jc w:val="both"/>
            </w:pPr>
            <w:r>
              <w:rPr>
                <w:sz w:val="21"/>
              </w:rPr>
              <w:t>¨</w:t>
            </w:r>
            <w:r>
              <w:rPr>
                <w:sz w:val="21"/>
              </w:rPr>
              <w:t>2、中型企业（根据投标文件格式《中小企业声明函》如实填写）</w:t>
            </w:r>
          </w:p>
          <w:p>
            <w:pPr>
              <w:pStyle w:val="null3"/>
              <w:jc w:val="both"/>
            </w:pPr>
            <w:r>
              <w:rPr>
                <w:sz w:val="21"/>
              </w:rPr>
              <w:t>¨</w:t>
            </w:r>
            <w:r>
              <w:rPr>
                <w:sz w:val="21"/>
              </w:rPr>
              <w:t>3、大型企业</w:t>
            </w:r>
          </w:p>
          <w:p>
            <w:pPr>
              <w:pStyle w:val="null3"/>
              <w:jc w:val="both"/>
            </w:pPr>
            <w:r>
              <w:rPr>
                <w:sz w:val="21"/>
              </w:rPr>
              <w:t>¨</w:t>
            </w:r>
            <w:r>
              <w:rPr>
                <w:sz w:val="21"/>
              </w:rPr>
              <w:t>4、其他</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供应商特殊性质（根据投标文件格式《监狱企业》、《残疾人福利性单位声明函》如实填写）</w:t>
            </w:r>
          </w:p>
        </w:tc>
        <w:tc>
          <w:tcPr>
            <w:tcW w:type="dxa" w:w="48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1、监狱企业</w:t>
            </w:r>
          </w:p>
          <w:p>
            <w:pPr>
              <w:pStyle w:val="null3"/>
              <w:jc w:val="both"/>
            </w:pPr>
            <w:r>
              <w:rPr>
                <w:sz w:val="21"/>
              </w:rPr>
              <w:t>¨</w:t>
            </w:r>
            <w:r>
              <w:rPr>
                <w:sz w:val="21"/>
              </w:rPr>
              <w:t>2、残疾人福利性单位</w:t>
            </w:r>
          </w:p>
          <w:p>
            <w:pPr>
              <w:pStyle w:val="null3"/>
              <w:jc w:val="both"/>
            </w:pPr>
            <w:r>
              <w:rPr>
                <w:sz w:val="21"/>
              </w:rPr>
              <w:t>¨</w:t>
            </w:r>
            <w:r>
              <w:rPr>
                <w:sz w:val="21"/>
              </w:rPr>
              <w:t>3、其他</w:t>
            </w:r>
          </w:p>
          <w:p>
            <w:pPr>
              <w:pStyle w:val="null3"/>
              <w:jc w:val="both"/>
            </w:pPr>
          </w:p>
        </w:tc>
      </w:tr>
      <w:tr>
        <w:tc>
          <w:tcPr>
            <w:tcW w:type="dxa" w:w="8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5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是否外商投资</w:t>
            </w: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否</w:t>
            </w:r>
          </w:p>
        </w:tc>
        <w:tc>
          <w:tcPr>
            <w:tcW w:type="dxa" w:w="3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是</w:t>
            </w:r>
          </w:p>
          <w:p>
            <w:pPr>
              <w:pStyle w:val="null3"/>
              <w:jc w:val="both"/>
            </w:pPr>
            <w:r>
              <w:rPr>
                <w:sz w:val="21"/>
              </w:rPr>
              <w:t>（以下必须填写）</w:t>
            </w:r>
          </w:p>
        </w:tc>
      </w:tr>
      <w:tr>
        <w:tc>
          <w:tcPr>
            <w:tcW w:type="dxa" w:w="896"/>
            <w:vMerge/>
            <w:tcBorders>
              <w:top w:val="none" w:color="000000" w:sz="4"/>
              <w:left w:val="single" w:color="000000" w:sz="4"/>
              <w:bottom w:val="single" w:color="000000" w:sz="4"/>
              <w:right w:val="single" w:color="000000" w:sz="4"/>
            </w:tcBorders>
          </w:tcPr>
          <w:p/>
        </w:tc>
        <w:tc>
          <w:tcPr>
            <w:tcW w:type="dxa" w:w="2581"/>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3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外商国别</w:t>
            </w:r>
            <w:r>
              <w:rPr>
                <w:sz w:val="21"/>
              </w:rPr>
              <w:t>:</w:t>
            </w:r>
          </w:p>
          <w:p>
            <w:pPr>
              <w:pStyle w:val="null3"/>
              <w:jc w:val="both"/>
            </w:pPr>
            <w:r>
              <w:rPr>
                <w:sz w:val="21"/>
              </w:rPr>
              <w:t>¨</w:t>
            </w:r>
            <w:r>
              <w:rPr>
                <w:sz w:val="21"/>
              </w:rPr>
              <w:t>1、欧资企业</w:t>
            </w:r>
          </w:p>
          <w:p>
            <w:pPr>
              <w:pStyle w:val="null3"/>
              <w:jc w:val="both"/>
            </w:pPr>
            <w:r>
              <w:rPr>
                <w:sz w:val="21"/>
              </w:rPr>
              <w:t>¨</w:t>
            </w:r>
            <w:r>
              <w:rPr>
                <w:sz w:val="21"/>
              </w:rPr>
              <w:t>2、美资企业</w:t>
            </w:r>
          </w:p>
          <w:p>
            <w:pPr>
              <w:pStyle w:val="null3"/>
              <w:jc w:val="both"/>
            </w:pPr>
            <w:r>
              <w:rPr>
                <w:sz w:val="21"/>
              </w:rPr>
              <w:t>¨</w:t>
            </w:r>
            <w:r>
              <w:rPr>
                <w:sz w:val="21"/>
              </w:rPr>
              <w:t>3、日资企业</w:t>
            </w:r>
          </w:p>
          <w:p>
            <w:pPr>
              <w:pStyle w:val="null3"/>
              <w:jc w:val="both"/>
            </w:pPr>
            <w:r>
              <w:rPr>
                <w:sz w:val="21"/>
              </w:rPr>
              <w:t>¨</w:t>
            </w:r>
            <w:r>
              <w:rPr>
                <w:sz w:val="21"/>
              </w:rPr>
              <w:t>4、其他</w:t>
            </w:r>
          </w:p>
        </w:tc>
      </w:tr>
      <w:tr>
        <w:tc>
          <w:tcPr>
            <w:tcW w:type="dxa" w:w="896"/>
            <w:vMerge/>
            <w:tcBorders>
              <w:top w:val="none" w:color="000000" w:sz="4"/>
              <w:left w:val="single" w:color="000000" w:sz="4"/>
              <w:bottom w:val="single" w:color="000000" w:sz="4"/>
              <w:right w:val="single" w:color="000000" w:sz="4"/>
            </w:tcBorders>
          </w:tcPr>
          <w:p/>
        </w:tc>
        <w:tc>
          <w:tcPr>
            <w:tcW w:type="dxa" w:w="2581"/>
            <w:vMerge/>
            <w:tcBorders>
              <w:top w:val="none" w:color="000000" w:sz="4"/>
              <w:left w:val="single" w:color="000000" w:sz="4"/>
              <w:bottom w:val="single" w:color="000000" w:sz="4"/>
              <w:right w:val="single" w:color="000000" w:sz="4"/>
            </w:tcBorders>
          </w:tcP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40"/>
              <w:jc w:val="both"/>
            </w:pPr>
            <w:r>
              <w:rPr>
                <w:sz w:val="21"/>
              </w:rPr>
              <w:t>/</w:t>
            </w:r>
          </w:p>
        </w:tc>
        <w:tc>
          <w:tcPr>
            <w:tcW w:type="dxa" w:w="3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外商投资类型：</w:t>
            </w:r>
          </w:p>
          <w:p>
            <w:pPr>
              <w:pStyle w:val="null3"/>
              <w:jc w:val="both"/>
            </w:pPr>
            <w:r>
              <w:rPr>
                <w:sz w:val="21"/>
              </w:rPr>
              <w:t>¨</w:t>
            </w:r>
            <w:r>
              <w:rPr>
                <w:sz w:val="21"/>
              </w:rPr>
              <w:t>1、外商</w:t>
            </w:r>
            <w:r>
              <w:rPr>
                <w:sz w:val="21"/>
                <w:b/>
              </w:rPr>
              <w:t>单独</w:t>
            </w:r>
            <w:r>
              <w:rPr>
                <w:sz w:val="21"/>
              </w:rPr>
              <w:t>投资</w:t>
            </w:r>
          </w:p>
          <w:p>
            <w:pPr>
              <w:pStyle w:val="null3"/>
              <w:jc w:val="both"/>
            </w:pPr>
            <w:r>
              <w:rPr>
                <w:sz w:val="21"/>
              </w:rPr>
              <w:t>¨</w:t>
            </w:r>
            <w:r>
              <w:rPr>
                <w:sz w:val="21"/>
              </w:rPr>
              <w:t>2、外商</w:t>
            </w:r>
            <w:r>
              <w:rPr>
                <w:sz w:val="21"/>
                <w:b/>
              </w:rPr>
              <w:t>部份</w:t>
            </w:r>
            <w:r>
              <w:rPr>
                <w:sz w:val="21"/>
              </w:rPr>
              <w:t>投资</w:t>
            </w:r>
          </w:p>
          <w:p>
            <w:pPr>
              <w:pStyle w:val="null3"/>
              <w:jc w:val="both"/>
            </w:pP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单位法人姓名</w:t>
            </w:r>
          </w:p>
        </w:tc>
        <w:tc>
          <w:tcPr>
            <w:tcW w:type="dxa" w:w="48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单位法人性别</w:t>
            </w:r>
          </w:p>
        </w:tc>
        <w:tc>
          <w:tcPr>
            <w:tcW w:type="dxa" w:w="48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男</w:t>
            </w:r>
            <w:r>
              <w:rPr>
                <w:sz w:val="21"/>
              </w:rPr>
              <w:t xml:space="preserve">        </w:t>
            </w:r>
            <w:r>
              <w:rPr>
                <w:sz w:val="21"/>
              </w:rPr>
              <w:t>¨</w:t>
            </w:r>
            <w:r>
              <w:rPr>
                <w:sz w:val="21"/>
              </w:rPr>
              <w:t>女</w:t>
            </w:r>
          </w:p>
        </w:tc>
      </w:tr>
      <w:tr>
        <w:tc>
          <w:tcPr>
            <w:tcW w:type="dxa" w:w="8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投标人</w:t>
            </w:r>
            <w:r>
              <w:rPr>
                <w:sz w:val="21"/>
              </w:rPr>
              <w:t>办公电话</w:t>
            </w:r>
          </w:p>
        </w:tc>
        <w:tc>
          <w:tcPr>
            <w:tcW w:type="dxa" w:w="48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sz w:val="28"/>
          <w:b/>
        </w:rPr>
        <w:t>二、服务及商务要求：</w:t>
      </w:r>
    </w:p>
    <w:p>
      <w:pPr>
        <w:pStyle w:val="null3"/>
        <w:jc w:val="center"/>
      </w:pPr>
      <w:r>
        <w:rPr>
          <w:sz w:val="20"/>
          <w:b/>
        </w:rPr>
        <w:t>采购包</w:t>
      </w:r>
      <w:r>
        <w:rPr>
          <w:sz w:val="20"/>
          <w:b/>
        </w:rPr>
        <w:t>1：儿童肿瘤及相关疾病分子检测项目</w:t>
      </w:r>
    </w:p>
    <w:p>
      <w:pPr>
        <w:pStyle w:val="null3"/>
        <w:jc w:val="left"/>
      </w:pPr>
      <w:r>
        <w:rPr>
          <w:sz w:val="20"/>
          <w:b/>
        </w:rPr>
        <w:t>一）服务要求</w:t>
      </w:r>
    </w:p>
    <w:p>
      <w:pPr>
        <w:pStyle w:val="null3"/>
        <w:jc w:val="both"/>
      </w:pPr>
      <w:r>
        <w:rPr>
          <w:sz w:val="20"/>
          <w:b/>
        </w:rPr>
        <w:t>一、</w:t>
      </w:r>
      <w:r>
        <w:rPr>
          <w:sz w:val="20"/>
          <w:b/>
        </w:rPr>
        <w:t>基本要求</w:t>
      </w:r>
    </w:p>
    <w:p>
      <w:pPr>
        <w:pStyle w:val="null3"/>
        <w:jc w:val="both"/>
      </w:pPr>
      <w:r>
        <w:rPr>
          <w:sz w:val="20"/>
        </w:rPr>
        <w:t>★采用以高通量测序技术为主、多种非测序类分子检测技术为辅的综合技术方案，提供儿童肿瘤及相关疾病分子检测项目的整体检测方案。具体项目见《表1：采购包1招标项目列表》。投标人须提供书面承诺函，内容包括：</w:t>
      </w:r>
      <w:r>
        <w:rPr>
          <w:sz w:val="20"/>
          <w:b/>
        </w:rPr>
        <w:t>可独立完成以下列表中所有检测项目，且</w:t>
      </w:r>
      <w:r>
        <w:rPr>
          <w:sz w:val="20"/>
        </w:rPr>
        <w:t>按以下列表各项目最终报告交付时间要求向采购人交付检测报告，特殊检验样本按采购人的要求交付周期进行交付，以上时间以样本到达检测实验室的时间为起点计算。</w:t>
      </w:r>
      <w:r>
        <w:rPr>
          <w:sz w:val="20"/>
          <w:b/>
        </w:rPr>
        <w:t>（注：投标人须提供书面承诺函并加盖投标人公章，格式自定。）</w:t>
      </w:r>
    </w:p>
    <w:p>
      <w:pPr>
        <w:pStyle w:val="null3"/>
        <w:jc w:val="both"/>
      </w:pPr>
      <w:r>
        <w:rPr>
          <w:sz w:val="20"/>
          <w:b/>
        </w:rPr>
        <w:t>表</w:t>
      </w:r>
      <w:r>
        <w:rPr>
          <w:sz w:val="20"/>
          <w:b/>
        </w:rPr>
        <w:t>1：采购包1招标项目列表</w:t>
      </w:r>
    </w:p>
    <w:tbl>
      <w:tblPr>
        <w:tblW w:w="0" w:type="auto"/>
        <w:tblBorders>
          <w:top w:val="none" w:color="000000" w:sz="4"/>
          <w:left w:val="none" w:color="000000" w:sz="4"/>
          <w:bottom w:val="none" w:color="000000" w:sz="4"/>
          <w:right w:val="none" w:color="000000" w:sz="4"/>
          <w:insideH w:val="none"/>
          <w:insideV w:val="none"/>
        </w:tblBorders>
      </w:tblPr>
      <w:tblGrid>
        <w:gridCol w:w="620"/>
        <w:gridCol w:w="4009"/>
        <w:gridCol w:w="1495"/>
        <w:gridCol w:w="2179"/>
      </w:tblGrid>
      <w:tr>
        <w:tc>
          <w:tcPr>
            <w:tcW w:type="dxa" w:w="6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序号</w:t>
            </w:r>
          </w:p>
        </w:tc>
        <w:tc>
          <w:tcPr>
            <w:tcW w:type="dxa" w:w="4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招标项目名称</w:t>
            </w:r>
          </w:p>
        </w:tc>
        <w:tc>
          <w:tcPr>
            <w:tcW w:type="dxa" w:w="14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招标基准价（元）</w:t>
            </w:r>
          </w:p>
        </w:tc>
        <w:tc>
          <w:tcPr>
            <w:tcW w:type="dxa" w:w="217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最终报告交付时间</w:t>
            </w:r>
            <w:r>
              <w:rPr>
                <w:sz w:val="20"/>
                <w:b/>
              </w:rPr>
              <w:t>(≤以下时间）</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急性淋巴细胞白血病检测套系</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12272.61</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急性髓细胞白血病检测套系</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12960.77</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骨髓衰竭性疾病检测套系</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19933.57</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噬血细胞综合征检测套系</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4041.60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嗜酸粒细胞增多症检测套系</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3440.80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血液肿瘤全外显子组检测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8769.28</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血液肿瘤全转录组测序检测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5091.84</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10个工作日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实体肿瘤全外显子组测序检测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10183.68</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血液肿瘤全景式基因检测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6789.12</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淋巴瘤基因突变检测</w:t>
            </w:r>
            <w:r>
              <w:rPr>
                <w:sz w:val="20"/>
              </w:rPr>
              <w:t>panel(</w:t>
            </w:r>
            <w:r>
              <w:rPr>
                <w:sz w:val="20"/>
              </w:rPr>
              <w:t>组织</w:t>
            </w:r>
            <w:r>
              <w:rPr>
                <w:sz w:val="20"/>
              </w:rPr>
              <w:t>/</w:t>
            </w:r>
            <w:r>
              <w:rPr>
                <w:sz w:val="20"/>
              </w:rPr>
              <w:t>骨髓）</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5374.72</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淋巴瘤基因突变筛查</w:t>
            </w:r>
            <w:r>
              <w:rPr>
                <w:sz w:val="20"/>
              </w:rPr>
              <w:t>panel</w:t>
            </w:r>
          </w:p>
          <w:p>
            <w:pPr>
              <w:pStyle w:val="null3"/>
              <w:jc w:val="center"/>
            </w:pPr>
            <w:r>
              <w:rPr>
                <w:sz w:val="20"/>
              </w:rPr>
              <w:t>（外周血</w:t>
            </w:r>
            <w:r>
              <w:rPr>
                <w:sz w:val="20"/>
              </w:rPr>
              <w:t>ctDNA)</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8203.52</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16个工作日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朗格罕组织细胞增多症基因突变检测</w:t>
            </w:r>
            <w:r>
              <w:rPr>
                <w:sz w:val="20"/>
              </w:rPr>
              <w:t>panel</w:t>
            </w:r>
            <w:r>
              <w:rPr>
                <w:sz w:val="20"/>
              </w:rPr>
              <w:t>（组织</w:t>
            </w:r>
            <w:r>
              <w:rPr>
                <w:sz w:val="20"/>
              </w:rPr>
              <w:t>/</w:t>
            </w:r>
            <w:r>
              <w:rPr>
                <w:sz w:val="20"/>
              </w:rPr>
              <w:t>骨髓）</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4526.08</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朗格罕组织细胞增生症基因突变筛查</w:t>
            </w:r>
            <w:r>
              <w:rPr>
                <w:sz w:val="20"/>
              </w:rPr>
              <w:t>panel</w:t>
            </w:r>
            <w:r>
              <w:rPr>
                <w:sz w:val="20"/>
              </w:rPr>
              <w:t>（外周血</w:t>
            </w:r>
            <w:r>
              <w:rPr>
                <w:sz w:val="20"/>
              </w:rPr>
              <w:t>ctDNA)</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5940.48</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JMML</w:t>
            </w:r>
            <w:r>
              <w:rPr>
                <w:sz w:val="20"/>
              </w:rPr>
              <w:t>基因突变检测</w:t>
            </w:r>
            <w:r>
              <w:rPr>
                <w:sz w:val="20"/>
              </w:rPr>
              <w:t>panel</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2545.92</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MDS-</w:t>
            </w:r>
            <w:r>
              <w:rPr>
                <w:sz w:val="20"/>
              </w:rPr>
              <w:t>髓系基因突变检测</w:t>
            </w:r>
            <w:r>
              <w:rPr>
                <w:sz w:val="20"/>
              </w:rPr>
              <w:t>panel</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4243.20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ABL1</w:t>
            </w:r>
            <w:r>
              <w:rPr>
                <w:sz w:val="20"/>
              </w:rPr>
              <w:t>激酶区突变检测（</w:t>
            </w:r>
            <w:r>
              <w:rPr>
                <w:sz w:val="20"/>
              </w:rPr>
              <w:t>NGS</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1060.80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淋巴及血液肿瘤分子核型分析</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4808.96</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NGS</w:t>
            </w:r>
            <w:r>
              <w:rPr>
                <w:sz w:val="20"/>
              </w:rPr>
              <w:t>检测</w:t>
            </w:r>
            <w:r>
              <w:rPr>
                <w:sz w:val="20"/>
              </w:rPr>
              <w:t>MRD(TCR</w:t>
            </w:r>
            <w:r>
              <w:rPr>
                <w:sz w:val="20"/>
              </w:rPr>
              <w:t>重排</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4808.96</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19</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NGS</w:t>
            </w:r>
            <w:r>
              <w:rPr>
                <w:sz w:val="20"/>
              </w:rPr>
              <w:t>检测</w:t>
            </w:r>
            <w:r>
              <w:rPr>
                <w:sz w:val="20"/>
              </w:rPr>
              <w:t>MRD(IgH</w:t>
            </w:r>
            <w:r>
              <w:rPr>
                <w:sz w:val="20"/>
              </w:rPr>
              <w:t>重排</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4808.96</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20</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免疫组库测序</w:t>
            </w:r>
            <w:r>
              <w:rPr>
                <w:sz w:val="20"/>
              </w:rPr>
              <w:t>TCR</w:t>
            </w:r>
            <w:r>
              <w:rPr>
                <w:sz w:val="20"/>
              </w:rPr>
              <w:t>重排</w:t>
            </w:r>
            <w:r>
              <w:rPr>
                <w:sz w:val="20"/>
              </w:rPr>
              <w:t>-</w:t>
            </w:r>
            <w:r>
              <w:rPr>
                <w:sz w:val="20"/>
              </w:rPr>
              <w:t>克隆动力学检测（</w:t>
            </w:r>
            <w:r>
              <w:rPr>
                <w:sz w:val="20"/>
              </w:rPr>
              <w:t>HSCT)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2828.80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21</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免疫组库测序</w:t>
            </w:r>
            <w:r>
              <w:rPr>
                <w:sz w:val="20"/>
              </w:rPr>
              <w:t>TCR</w:t>
            </w:r>
            <w:r>
              <w:rPr>
                <w:sz w:val="20"/>
              </w:rPr>
              <w:t>重排</w:t>
            </w:r>
            <w:r>
              <w:rPr>
                <w:sz w:val="20"/>
              </w:rPr>
              <w:t>-</w:t>
            </w:r>
            <w:r>
              <w:rPr>
                <w:sz w:val="20"/>
              </w:rPr>
              <w:t>克隆动力学检测（</w:t>
            </w:r>
            <w:r>
              <w:rPr>
                <w:sz w:val="20"/>
              </w:rPr>
              <w:t>CAR-T)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2828.80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22</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免疫组库测序</w:t>
            </w:r>
            <w:r>
              <w:rPr>
                <w:sz w:val="20"/>
              </w:rPr>
              <w:t>TCR</w:t>
            </w:r>
            <w:r>
              <w:rPr>
                <w:sz w:val="20"/>
              </w:rPr>
              <w:t>重排</w:t>
            </w:r>
            <w:r>
              <w:rPr>
                <w:sz w:val="20"/>
              </w:rPr>
              <w:t>-</w:t>
            </w:r>
            <w:r>
              <w:rPr>
                <w:sz w:val="20"/>
              </w:rPr>
              <w:t>免疫状态监测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2828.80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23</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NPM1::ALK</w:t>
            </w:r>
            <w:r>
              <w:rPr>
                <w:sz w:val="20"/>
              </w:rPr>
              <w:t>融合基因定量检测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478.40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24</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血液肿瘤</w:t>
            </w:r>
            <w:r>
              <w:rPr>
                <w:sz w:val="20"/>
              </w:rPr>
              <w:t>IKZF1-plus</w:t>
            </w:r>
            <w:r>
              <w:rPr>
                <w:sz w:val="20"/>
              </w:rPr>
              <w:t>基因检测</w:t>
            </w:r>
            <w:r>
              <w:rPr>
                <w:sz w:val="20"/>
              </w:rPr>
              <w:t>(MLPA)</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2828.80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25</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白血病相关融合基因筛查套餐</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1578.72</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26</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白血病融合基因定性</w:t>
            </w:r>
            <w:r>
              <w:rPr>
                <w:sz w:val="20"/>
              </w:rPr>
              <w:t>(RT-PCR</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151.80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27</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白血病融合基因定量</w:t>
            </w:r>
            <w:r>
              <w:rPr>
                <w:sz w:val="20"/>
              </w:rPr>
              <w:t>(RQ-PCR)</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478.40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28</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数字</w:t>
            </w:r>
            <w:r>
              <w:rPr>
                <w:sz w:val="20"/>
              </w:rPr>
              <w:t>PCR</w:t>
            </w:r>
            <w:r>
              <w:rPr>
                <w:sz w:val="20"/>
              </w:rPr>
              <w:t>基因定量检测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956.80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29</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基因已知变异位点定制检测</w:t>
            </w:r>
            <w:r>
              <w:rPr>
                <w:sz w:val="20"/>
              </w:rPr>
              <w:t>(1-2</w:t>
            </w:r>
            <w:r>
              <w:rPr>
                <w:sz w:val="20"/>
              </w:rPr>
              <w:t>位点</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460.00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30</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基因已知变异位点定制检测</w:t>
            </w:r>
          </w:p>
          <w:p>
            <w:pPr>
              <w:pStyle w:val="null3"/>
              <w:jc w:val="center"/>
            </w:pPr>
            <w:r>
              <w:rPr>
                <w:sz w:val="20"/>
              </w:rPr>
              <w:t>（</w:t>
            </w:r>
            <w:r>
              <w:rPr>
                <w:sz w:val="20"/>
              </w:rPr>
              <w:t>3</w:t>
            </w:r>
            <w:r>
              <w:rPr>
                <w:sz w:val="20"/>
              </w:rPr>
              <w:t>位点及以上）</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690.00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31</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白血病融合基因分型</w:t>
            </w:r>
            <w:r>
              <w:rPr>
                <w:sz w:val="20"/>
              </w:rPr>
              <w:t>(FISH</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860.20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32</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IGH::MYC</w:t>
            </w:r>
            <w:r>
              <w:rPr>
                <w:sz w:val="20"/>
              </w:rPr>
              <w:t>融合基因检测（</w:t>
            </w:r>
            <w:r>
              <w:rPr>
                <w:sz w:val="20"/>
              </w:rPr>
              <w:t>FISH</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860.20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33</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IGH::BCL6</w:t>
            </w:r>
            <w:r>
              <w:rPr>
                <w:sz w:val="20"/>
              </w:rPr>
              <w:t>融合基因检测（</w:t>
            </w:r>
            <w:r>
              <w:rPr>
                <w:sz w:val="20"/>
              </w:rPr>
              <w:t>FISH</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860.20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34</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IGH::BCL2</w:t>
            </w:r>
            <w:r>
              <w:rPr>
                <w:sz w:val="20"/>
              </w:rPr>
              <w:t>融合基因检测（</w:t>
            </w:r>
            <w:r>
              <w:rPr>
                <w:sz w:val="20"/>
              </w:rPr>
              <w:t>FISH</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860.20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35</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IGH</w:t>
            </w:r>
            <w:r>
              <w:rPr>
                <w:sz w:val="20"/>
              </w:rPr>
              <w:t>基因克隆性重排检测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580.00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36</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IGK</w:t>
            </w:r>
            <w:r>
              <w:rPr>
                <w:sz w:val="20"/>
              </w:rPr>
              <w:t>基因克隆性重排检测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580.00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37</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IGL</w:t>
            </w:r>
            <w:r>
              <w:rPr>
                <w:sz w:val="20"/>
              </w:rPr>
              <w:t>基因克隆性重排检测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580.00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38</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TCRG</w:t>
            </w:r>
            <w:r>
              <w:rPr>
                <w:sz w:val="20"/>
              </w:rPr>
              <w:t>基因克隆性重排检测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580.00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39</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TCRB</w:t>
            </w:r>
            <w:r>
              <w:rPr>
                <w:sz w:val="20"/>
              </w:rPr>
              <w:t>基因克隆性重排检测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580.00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40</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TCRD</w:t>
            </w:r>
            <w:r>
              <w:rPr>
                <w:sz w:val="20"/>
              </w:rPr>
              <w:t>基因克隆性重排检测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580.00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41</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骨髓染色体核型分析</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1138.96</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42</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外周血染色体核型分析</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678.96</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43</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彗星实验</w:t>
            </w:r>
            <w:r>
              <w:rPr>
                <w:sz w:val="20"/>
              </w:rPr>
              <w:t>+</w:t>
            </w:r>
            <w:r>
              <w:rPr>
                <w:sz w:val="20"/>
              </w:rPr>
              <w:t>染色体畸变断裂套系</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1720.40</w:t>
            </w:r>
          </w:p>
        </w:tc>
        <w:tc>
          <w:tcPr>
            <w:tcW w:type="dxa" w:w="2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44</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儿童肿瘤药物多态性检测</w:t>
            </w:r>
          </w:p>
          <w:p>
            <w:pPr>
              <w:pStyle w:val="null3"/>
              <w:jc w:val="center"/>
            </w:pPr>
            <w:r>
              <w:rPr>
                <w:sz w:val="20"/>
              </w:rPr>
              <w:t>(MTHFR</w:t>
            </w:r>
            <w:r>
              <w:rPr>
                <w:sz w:val="20"/>
              </w:rPr>
              <w:t>、</w:t>
            </w:r>
            <w:r>
              <w:rPr>
                <w:sz w:val="20"/>
              </w:rPr>
              <w:t>CEP72</w:t>
            </w:r>
            <w:r>
              <w:rPr>
                <w:sz w:val="20"/>
              </w:rPr>
              <w:t>、</w:t>
            </w:r>
            <w:r>
              <w:rPr>
                <w:sz w:val="20"/>
              </w:rPr>
              <w:t>NUDT15</w:t>
            </w:r>
            <w:r>
              <w:rPr>
                <w:sz w:val="20"/>
              </w:rPr>
              <w:t>、</w:t>
            </w:r>
            <w:r>
              <w:rPr>
                <w:sz w:val="20"/>
              </w:rPr>
              <w:t>SLCO1B1</w:t>
            </w:r>
            <w:r>
              <w:rPr>
                <w:sz w:val="20"/>
              </w:rPr>
              <w:t>和</w:t>
            </w:r>
            <w:r>
              <w:rPr>
                <w:sz w:val="20"/>
              </w:rPr>
              <w:t>TPMT)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1062.60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45</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神经与精神疾病个体化用药检测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2263.04</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46</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抗癫痫药物个体化用药检测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1414.40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47</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抗精神病药物个体化用药检测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1414.40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48</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抗抑郁与焦虑药物个体化用药检测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1768.00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49</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儿童个体化安全用药检测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1768.00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50</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同源重组修复</w:t>
            </w:r>
            <w:r>
              <w:rPr>
                <w:sz w:val="20"/>
              </w:rPr>
              <w:t>(HRR)</w:t>
            </w:r>
            <w:r>
              <w:rPr>
                <w:sz w:val="20"/>
              </w:rPr>
              <w:t>相关基因测序及</w:t>
            </w:r>
          </w:p>
          <w:p>
            <w:pPr>
              <w:pStyle w:val="null3"/>
              <w:jc w:val="center"/>
            </w:pPr>
            <w:r>
              <w:rPr>
                <w:sz w:val="20"/>
              </w:rPr>
              <w:t>同源重组修复缺陷</w:t>
            </w:r>
            <w:r>
              <w:rPr>
                <w:sz w:val="20"/>
              </w:rPr>
              <w:t>(HRD)</w:t>
            </w:r>
            <w:r>
              <w:rPr>
                <w:sz w:val="20"/>
              </w:rPr>
              <w:t>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5374.72</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51</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Lynch</w:t>
            </w:r>
            <w:r>
              <w:rPr>
                <w:sz w:val="20"/>
              </w:rPr>
              <w:t>综合征基因检测</w:t>
            </w:r>
          </w:p>
          <w:p>
            <w:pPr>
              <w:pStyle w:val="null3"/>
              <w:jc w:val="center"/>
            </w:pPr>
            <w:r>
              <w:rPr>
                <w:sz w:val="20"/>
              </w:rPr>
              <w:t>(MLH1</w:t>
            </w:r>
            <w:r>
              <w:rPr>
                <w:sz w:val="20"/>
              </w:rPr>
              <w:t>，</w:t>
            </w:r>
            <w:r>
              <w:rPr>
                <w:sz w:val="20"/>
              </w:rPr>
              <w:t>MSH2</w:t>
            </w:r>
            <w:r>
              <w:rPr>
                <w:sz w:val="20"/>
              </w:rPr>
              <w:t>，</w:t>
            </w:r>
            <w:r>
              <w:rPr>
                <w:sz w:val="20"/>
              </w:rPr>
              <w:t>MSH6</w:t>
            </w:r>
            <w:r>
              <w:rPr>
                <w:sz w:val="20"/>
              </w:rPr>
              <w:t>，</w:t>
            </w:r>
            <w:r>
              <w:rPr>
                <w:sz w:val="20"/>
              </w:rPr>
              <w:t>PMS2</w:t>
            </w:r>
            <w:r>
              <w:rPr>
                <w:sz w:val="20"/>
              </w:rPr>
              <w:t>，</w:t>
            </w:r>
            <w:r>
              <w:rPr>
                <w:sz w:val="20"/>
              </w:rPr>
              <w:t>EPCAM)</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6506.24</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52</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卵巢癌基因高深度测序检测</w:t>
            </w:r>
          </w:p>
          <w:p>
            <w:pPr>
              <w:pStyle w:val="null3"/>
              <w:jc w:val="center"/>
            </w:pPr>
            <w:r>
              <w:rPr>
                <w:sz w:val="20"/>
              </w:rPr>
              <w:t>（</w:t>
            </w:r>
            <w:r>
              <w:rPr>
                <w:sz w:val="20"/>
              </w:rPr>
              <w:t>FFPE</w:t>
            </w:r>
            <w:r>
              <w:rPr>
                <w:sz w:val="20"/>
              </w:rPr>
              <w:t>，</w:t>
            </w:r>
            <w:r>
              <w:rPr>
                <w:sz w:val="20"/>
              </w:rPr>
              <w:t>10-15</w:t>
            </w:r>
            <w:r>
              <w:rPr>
                <w:sz w:val="20"/>
              </w:rPr>
              <w:t>基因</w:t>
            </w:r>
            <w:r>
              <w:rPr>
                <w:sz w:val="20"/>
              </w:rPr>
              <w:t>+MSI</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2121.60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53</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卵巢癌相关基因高深度测序检测</w:t>
            </w:r>
          </w:p>
          <w:p>
            <w:pPr>
              <w:pStyle w:val="null3"/>
              <w:jc w:val="center"/>
            </w:pPr>
            <w:r>
              <w:rPr>
                <w:sz w:val="20"/>
              </w:rPr>
              <w:t>（</w:t>
            </w:r>
            <w:r>
              <w:rPr>
                <w:sz w:val="20"/>
              </w:rPr>
              <w:t>ctDNA</w:t>
            </w:r>
            <w:r>
              <w:rPr>
                <w:sz w:val="20"/>
              </w:rPr>
              <w:t>，</w:t>
            </w:r>
            <w:r>
              <w:rPr>
                <w:sz w:val="20"/>
              </w:rPr>
              <w:t>10-15</w:t>
            </w:r>
            <w:r>
              <w:rPr>
                <w:sz w:val="20"/>
              </w:rPr>
              <w:t>基因</w:t>
            </w:r>
            <w:r>
              <w:rPr>
                <w:sz w:val="20"/>
              </w:rPr>
              <w:t>+MSI</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2545.92</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54</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子宫内膜癌相关基因高深度测序检测</w:t>
            </w:r>
          </w:p>
          <w:p>
            <w:pPr>
              <w:pStyle w:val="null3"/>
              <w:jc w:val="center"/>
            </w:pPr>
            <w:r>
              <w:rPr>
                <w:sz w:val="20"/>
              </w:rPr>
              <w:t>（</w:t>
            </w:r>
            <w:r>
              <w:rPr>
                <w:sz w:val="20"/>
              </w:rPr>
              <w:t>FFPE</w:t>
            </w:r>
            <w:r>
              <w:rPr>
                <w:sz w:val="20"/>
              </w:rPr>
              <w:t>，</w:t>
            </w:r>
            <w:r>
              <w:rPr>
                <w:sz w:val="20"/>
              </w:rPr>
              <w:t>10-15</w:t>
            </w:r>
            <w:r>
              <w:rPr>
                <w:sz w:val="20"/>
              </w:rPr>
              <w:t>基因</w:t>
            </w:r>
            <w:r>
              <w:rPr>
                <w:sz w:val="20"/>
              </w:rPr>
              <w:t>+MSI</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2121.60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55</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子宫内膜癌相关基因高深度测序检测</w:t>
            </w:r>
          </w:p>
          <w:p>
            <w:pPr>
              <w:pStyle w:val="null3"/>
              <w:jc w:val="center"/>
            </w:pPr>
            <w:r>
              <w:rPr>
                <w:sz w:val="20"/>
              </w:rPr>
              <w:t>（</w:t>
            </w:r>
            <w:r>
              <w:rPr>
                <w:sz w:val="20"/>
              </w:rPr>
              <w:t>ctDNA</w:t>
            </w:r>
            <w:r>
              <w:rPr>
                <w:sz w:val="20"/>
              </w:rPr>
              <w:t>，</w:t>
            </w:r>
            <w:r>
              <w:rPr>
                <w:sz w:val="20"/>
              </w:rPr>
              <w:t>10-15</w:t>
            </w:r>
            <w:r>
              <w:rPr>
                <w:sz w:val="20"/>
              </w:rPr>
              <w:t>基因</w:t>
            </w:r>
            <w:r>
              <w:rPr>
                <w:sz w:val="20"/>
              </w:rPr>
              <w:t>+MSI</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2545.92</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56</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RET</w:t>
            </w:r>
            <w:r>
              <w:rPr>
                <w:sz w:val="20"/>
              </w:rPr>
              <w:t>基因突变检测</w:t>
            </w:r>
            <w:r>
              <w:rPr>
                <w:sz w:val="20"/>
              </w:rPr>
              <w:t>(MEN2,</w:t>
            </w:r>
            <w:r>
              <w:rPr>
                <w:sz w:val="20"/>
              </w:rPr>
              <w:t>测序</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2828.80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57</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乳腺癌复发风险</w:t>
            </w:r>
            <w:r>
              <w:rPr>
                <w:sz w:val="20"/>
              </w:rPr>
              <w:t>21</w:t>
            </w:r>
            <w:r>
              <w:rPr>
                <w:sz w:val="20"/>
              </w:rPr>
              <w:t>基因检测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5657.60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58</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甲状腺肿瘤热点基因突变与融合检测</w:t>
            </w:r>
            <w:r>
              <w:rPr>
                <w:sz w:val="20"/>
              </w:rPr>
              <w:t>(DNA+RNA)</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1060.80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59</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脑膜瘤精准诊疗测序检测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7637.76</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60</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髓母细胞瘤精准诊疗测序检测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11032.32</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61</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中枢神经系统肿瘤精准诊疗测序检测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8486.40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62</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中枢神经系统肿瘤精准用药全景式测序检测</w:t>
            </w:r>
            <w:r>
              <w:rPr>
                <w:sz w:val="20"/>
              </w:rPr>
              <w:t>(DNA+RNA)</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13012.48</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63</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MGMT</w:t>
            </w:r>
            <w:r>
              <w:rPr>
                <w:sz w:val="20"/>
              </w:rPr>
              <w:t>启动子甲基化检测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478.40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64</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免疫分型</w:t>
            </w:r>
            <w:r>
              <w:rPr>
                <w:sz w:val="20"/>
              </w:rPr>
              <w:t>(CCCG-ALL</w:t>
            </w:r>
            <w:r>
              <w:rPr>
                <w:sz w:val="20"/>
              </w:rPr>
              <w:t>协作组）</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2384.64</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65</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MRD</w:t>
            </w:r>
            <w:r>
              <w:rPr>
                <w:sz w:val="20"/>
              </w:rPr>
              <w:t>筛选</w:t>
            </w:r>
            <w:r>
              <w:rPr>
                <w:sz w:val="20"/>
              </w:rPr>
              <w:t>(CCCG-ALL</w:t>
            </w:r>
            <w:r>
              <w:rPr>
                <w:sz w:val="20"/>
              </w:rPr>
              <w:t>协作组）</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1324.80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66</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MRD</w:t>
            </w:r>
            <w:r>
              <w:rPr>
                <w:sz w:val="20"/>
              </w:rPr>
              <w:t>监测</w:t>
            </w:r>
            <w:r>
              <w:rPr>
                <w:sz w:val="20"/>
              </w:rPr>
              <w:t>(CCCG-ALL</w:t>
            </w:r>
            <w:r>
              <w:rPr>
                <w:sz w:val="20"/>
              </w:rPr>
              <w:t>协作组）</w:t>
            </w:r>
            <w:r>
              <w:rPr>
                <w:sz w:val="20"/>
              </w:rPr>
              <w:t>(</w:t>
            </w:r>
            <w:r>
              <w:rPr>
                <w:sz w:val="20"/>
              </w:rPr>
              <w:t>骨髓</w:t>
            </w:r>
            <w:r>
              <w:rPr>
                <w:sz w:val="20"/>
              </w:rPr>
              <w:t>)</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1324.80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67</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MRD</w:t>
            </w:r>
            <w:r>
              <w:rPr>
                <w:sz w:val="20"/>
              </w:rPr>
              <w:t>监测</w:t>
            </w:r>
            <w:r>
              <w:rPr>
                <w:sz w:val="20"/>
              </w:rPr>
              <w:t>(CCCG-ALL</w:t>
            </w:r>
            <w:r>
              <w:rPr>
                <w:sz w:val="20"/>
              </w:rPr>
              <w:t>协作组）</w:t>
            </w:r>
            <w:r>
              <w:rPr>
                <w:sz w:val="20"/>
              </w:rPr>
              <w:t>(</w:t>
            </w:r>
            <w:r>
              <w:rPr>
                <w:sz w:val="20"/>
              </w:rPr>
              <w:t>脑脊液）</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1324.80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68</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神经母细胞瘤微小残留病灶</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386.40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69</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CD55CD59(</w:t>
            </w:r>
            <w:r>
              <w:rPr>
                <w:sz w:val="20"/>
              </w:rPr>
              <w:t>流式细胞术）</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276.00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70</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可溶性</w:t>
            </w:r>
            <w:r>
              <w:rPr>
                <w:sz w:val="20"/>
              </w:rPr>
              <w:t>CD25</w:t>
            </w:r>
            <w:r>
              <w:rPr>
                <w:sz w:val="20"/>
              </w:rPr>
              <w:t>水平检测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600.00</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2个工作日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71</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NK</w:t>
            </w:r>
            <w:r>
              <w:rPr>
                <w:sz w:val="20"/>
              </w:rPr>
              <w:t>细胞活性测定</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1501.44</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72</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CD107a</w:t>
            </w:r>
            <w:r>
              <w:rPr>
                <w:sz w:val="20"/>
              </w:rPr>
              <w:t>激发试验检测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1015.68</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73</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穿孔素</w:t>
            </w:r>
            <w:r>
              <w:rPr>
                <w:sz w:val="20"/>
              </w:rPr>
              <w:t>(PRF1)</w:t>
            </w:r>
            <w:r>
              <w:rPr>
                <w:sz w:val="20"/>
              </w:rPr>
              <w:t>蛋白表达</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1501.44</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74</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颗粒酶</w:t>
            </w:r>
            <w:r>
              <w:rPr>
                <w:sz w:val="20"/>
              </w:rPr>
              <w:t>(GranzymeB)</w:t>
            </w:r>
            <w:r>
              <w:rPr>
                <w:sz w:val="20"/>
              </w:rPr>
              <w:t>表达</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1501.44</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75</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SAP</w:t>
            </w:r>
            <w:r>
              <w:rPr>
                <w:sz w:val="20"/>
              </w:rPr>
              <w:t>蛋白表达</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1501.44</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76</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XIAP</w:t>
            </w:r>
            <w:r>
              <w:rPr>
                <w:sz w:val="20"/>
              </w:rPr>
              <w:t>蛋白表达</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1501.44</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77</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神经母细胞瘤</w:t>
            </w:r>
            <w:r>
              <w:rPr>
                <w:sz w:val="20"/>
              </w:rPr>
              <w:t>NB_5</w:t>
            </w:r>
            <w:r>
              <w:rPr>
                <w:sz w:val="20"/>
              </w:rPr>
              <w:t>基因检测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1435.20</w:t>
            </w:r>
          </w:p>
        </w:tc>
        <w:tc>
          <w:tcPr>
            <w:tcW w:type="dxa" w:w="2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78</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荧光原位杂交（</w:t>
            </w:r>
            <w:r>
              <w:rPr>
                <w:sz w:val="20"/>
              </w:rPr>
              <w:t>FISH)</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1900.00</w:t>
            </w:r>
          </w:p>
        </w:tc>
        <w:tc>
          <w:tcPr>
            <w:tcW w:type="dxa" w:w="2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5个工作日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79</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Y染色体AZF微缺失检测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1768.00</w:t>
            </w:r>
          </w:p>
        </w:tc>
        <w:tc>
          <w:tcPr>
            <w:tcW w:type="dxa" w:w="2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20个自然日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80</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子宫内膜容受性检测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5657.60</w:t>
            </w:r>
          </w:p>
        </w:tc>
        <w:tc>
          <w:tcPr>
            <w:tcW w:type="dxa" w:w="2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20个工作日</w:t>
            </w:r>
          </w:p>
        </w:tc>
      </w:tr>
      <w:tr>
        <w:tc>
          <w:tcPr>
            <w:tcW w:type="dxa" w:w="6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81</w:t>
            </w:r>
          </w:p>
        </w:tc>
        <w:tc>
          <w:tcPr>
            <w:tcW w:type="dxa" w:w="40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子宫内膜微生物检测</w:t>
            </w:r>
          </w:p>
        </w:tc>
        <w:tc>
          <w:tcPr>
            <w:tcW w:type="dxa" w:w="14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5657.60</w:t>
            </w:r>
          </w:p>
        </w:tc>
        <w:tc>
          <w:tcPr>
            <w:tcW w:type="dxa" w:w="217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20个工作日</w:t>
            </w:r>
          </w:p>
        </w:tc>
      </w:tr>
    </w:tbl>
    <w:p>
      <w:pPr>
        <w:pStyle w:val="null3"/>
        <w:jc w:val="both"/>
      </w:pPr>
      <w:r>
        <w:rPr>
          <w:sz w:val="20"/>
        </w:rPr>
        <w:t>注：本项目按实结算，累计结算总金额不超过本采购包采购预算人民币</w:t>
      </w:r>
      <w:r>
        <w:rPr>
          <w:sz w:val="20"/>
        </w:rPr>
        <w:t>2500万元。采购人是按需采购，以合同期内实际检测量为准，采购人不保证最低检测数量，采购人实际检测量低于预估量的，不视为采购人违约，投标人应自行综合考虑潜在风险且若中标须自行承担。</w:t>
      </w:r>
    </w:p>
    <w:p>
      <w:pPr>
        <w:pStyle w:val="null3"/>
        <w:jc w:val="both"/>
      </w:pPr>
      <w:r>
        <w:rPr>
          <w:sz w:val="20"/>
          <w:b/>
        </w:rPr>
        <w:t>二、收样阶段</w:t>
      </w:r>
    </w:p>
    <w:p>
      <w:pPr>
        <w:pStyle w:val="null3"/>
        <w:ind w:firstLine="400"/>
        <w:jc w:val="both"/>
      </w:pPr>
      <w:r>
        <w:rPr>
          <w:sz w:val="20"/>
        </w:rPr>
        <w:t>1.投标人须配备符合《GB/T 42186-2022 医学检验生物样本冷链物流运作规范》国家标准的物流标本箱，且具备GPS定位和温度监控功能，可实现全程实时监测。每日下午17点之前（遇特殊标本投标人应在采购人通知后4小时内上门收取标本）由专职物流人员至接收标本院区按照样本类型分别对常温样本及冷藏样本进行分类，检查样本状态是否存在漏液、污染等情况，检查无问题后装入样本运转箱。若发现问题需及时与采购人沟通解决。接收标本院区包括广州医科大学附属妇女儿童医疗中心下属各院区：珠江新城院区，增城院区，儿童院区，妇婴院区，白云院区。</w:t>
      </w:r>
    </w:p>
    <w:p>
      <w:pPr>
        <w:pStyle w:val="null3"/>
        <w:ind w:firstLine="400"/>
        <w:jc w:val="both"/>
      </w:pPr>
      <w:r>
        <w:rPr>
          <w:sz w:val="20"/>
        </w:rPr>
        <w:t>2.投标人应有完善的应急预案予以妥善解决标本在送检过程中出现延迟、遗漏、丢失等情况。若出现样本丢失或延误、错误情况，需要中标人根据应急预案，查找原因，及时找回样本，并将丢失原因及查找结果及时告知采购人，若出现标本延迟、遗漏、丢失等情况，中标人需承担重采样本的费用，并承担相应的责任。</w:t>
      </w:r>
    </w:p>
    <w:p>
      <w:pPr>
        <w:pStyle w:val="null3"/>
        <w:ind w:firstLine="400"/>
        <w:jc w:val="both"/>
      </w:pPr>
      <w:r>
        <w:rPr>
          <w:sz w:val="20"/>
        </w:rPr>
        <w:t>3.投标人需提供或建立标本流转系统，样本流转系统中体现标本送出、运送人员及接收时间等信息，可实时追踪监测标本。同时，确保送检方可以独立账号登录该系统，并查阅名下样本运输、检测、报告及异常情况处置进度等信息。投标人在接收检测样本时需做好相关记录、标记，并将名称录入公司样本系统，每个样本要生成唯一的样本条码，后续提取，检测需根据条码扫描核实，确保样本不会出错。</w:t>
      </w:r>
    </w:p>
    <w:p>
      <w:pPr>
        <w:pStyle w:val="null3"/>
        <w:jc w:val="both"/>
      </w:pPr>
      <w:r>
        <w:rPr>
          <w:sz w:val="20"/>
          <w:b/>
        </w:rPr>
        <w:t>三、样本运输</w:t>
      </w:r>
    </w:p>
    <w:p>
      <w:pPr>
        <w:pStyle w:val="null3"/>
        <w:ind w:right="60"/>
        <w:jc w:val="both"/>
      </w:pPr>
      <w:r>
        <w:rPr>
          <w:sz w:val="20"/>
        </w:rPr>
        <w:t>1.投标人拥有冷链物流团队，并且提供冷链方案，样本接收人员须通过投标人的内部严格培训，具备生物防护能力及持有投标人的授权；投标人指派的专职物流人员保证受委托检验标本根据标本转运要求，进行冷链或常温物流运输，且符合《GB/T28577-2021冷链物流分类与基本要求》与生物安全要求，确保运输过程的样品质量和环境安全；若发现问题需及时与采购人沟通解决。</w:t>
      </w:r>
      <w:r>
        <w:rPr>
          <w:sz w:val="20"/>
          <w:b/>
        </w:rPr>
        <w:t>注：须提供上述相关证明文件的复印件并加盖投标人公章。</w:t>
      </w:r>
    </w:p>
    <w:p>
      <w:pPr>
        <w:pStyle w:val="null3"/>
        <w:jc w:val="both"/>
      </w:pPr>
      <w:r>
        <w:rPr>
          <w:sz w:val="20"/>
        </w:rPr>
        <w:t>2.对于有特殊要求的样本视具体项目与采购人商定，特殊急查样本按采购人要求时间运输到投标人实验室并进行检测，具体可视实际情况协商。</w:t>
      </w:r>
    </w:p>
    <w:p>
      <w:pPr>
        <w:pStyle w:val="null3"/>
        <w:jc w:val="both"/>
      </w:pPr>
      <w:r>
        <w:rPr>
          <w:sz w:val="20"/>
        </w:rPr>
        <w:t>3.流式细胞学检测样本要求接收后6小时内转运至检测实验室；分子生物学检测样本要求接收后12小时内转运至检测实验室，以保障检测时效性。</w:t>
      </w:r>
    </w:p>
    <w:p>
      <w:pPr>
        <w:pStyle w:val="null3"/>
        <w:jc w:val="both"/>
      </w:pPr>
      <w:r>
        <w:rPr>
          <w:sz w:val="20"/>
        </w:rPr>
        <w:t>4.投标人需提供《诊断项目总汇》、《采样手册》（包括其修改版，作为附件并视为本项目采购合同不可分割的一个部分）内容包括但不限于上所述各项目的要求，包括样品的状态、数量及检验方法的说明、采集样本的要求等内容。</w:t>
      </w:r>
    </w:p>
    <w:p>
      <w:pPr>
        <w:pStyle w:val="null3"/>
        <w:jc w:val="both"/>
      </w:pPr>
      <w:r>
        <w:rPr>
          <w:sz w:val="20"/>
          <w:b/>
        </w:rPr>
        <w:t>四、样本类型</w:t>
      </w:r>
    </w:p>
    <w:p>
      <w:pPr>
        <w:pStyle w:val="null3"/>
        <w:jc w:val="both"/>
      </w:pPr>
      <w:r>
        <w:rPr>
          <w:sz w:val="20"/>
        </w:rPr>
        <w:t>样本要求：可以接收至少</w:t>
      </w:r>
      <w:r>
        <w:rPr>
          <w:sz w:val="20"/>
        </w:rPr>
        <w:t>全血、骨髓穿刺液、玻片、</w:t>
      </w:r>
      <w:r>
        <w:rPr>
          <w:sz w:val="20"/>
        </w:rPr>
        <w:t>FFPE固定组织、脑脊液等类型样本用于检测</w:t>
      </w:r>
      <w:r>
        <w:rPr>
          <w:sz w:val="20"/>
        </w:rPr>
        <w:t>。</w:t>
      </w:r>
      <w:r>
        <w:rPr>
          <w:sz w:val="20"/>
          <w:b/>
        </w:rPr>
        <w:t>注：投标人</w:t>
      </w:r>
      <w:r>
        <w:rPr>
          <w:sz w:val="20"/>
          <w:b/>
        </w:rPr>
        <w:t>提供项目告知书</w:t>
      </w:r>
      <w:r>
        <w:rPr>
          <w:sz w:val="21"/>
        </w:rPr>
        <w:t>或相关证明材料</w:t>
      </w:r>
      <w:r>
        <w:rPr>
          <w:sz w:val="20"/>
          <w:b/>
        </w:rPr>
        <w:t>，并加盖投标人公章。</w:t>
      </w:r>
    </w:p>
    <w:p>
      <w:pPr>
        <w:pStyle w:val="null3"/>
        <w:jc w:val="both"/>
      </w:pPr>
      <w:r>
        <w:rPr>
          <w:sz w:val="20"/>
          <w:b/>
        </w:rPr>
        <w:t>五、硬件设备要求</w:t>
      </w:r>
    </w:p>
    <w:p>
      <w:pPr>
        <w:pStyle w:val="null3"/>
        <w:jc w:val="both"/>
      </w:pPr>
      <w:r>
        <w:rPr>
          <w:sz w:val="20"/>
        </w:rPr>
        <w:t>▲1.投标人至少需具备肿瘤相关基因测序平台设备2台或以上，以满足项目检测通量需求并保障其稳定开展，每台设备在PE150模式下单次运行48小时内可产生不低于6T数据量。</w:t>
      </w:r>
      <w:r>
        <w:rPr>
          <w:sz w:val="20"/>
          <w:b/>
        </w:rPr>
        <w:t>注：提供相关设备实物图片和仪器购买发票或租赁合同、说明书，并加盖投标人公章。</w:t>
      </w:r>
    </w:p>
    <w:p>
      <w:pPr>
        <w:pStyle w:val="null3"/>
        <w:jc w:val="both"/>
      </w:pPr>
      <w:r>
        <w:rPr>
          <w:sz w:val="20"/>
        </w:rPr>
        <w:t>▲2.拥有与其主要二代测序平台配套的标准化自动化样本抽提及建库设备一套或以上。</w:t>
      </w:r>
      <w:r>
        <w:rPr>
          <w:sz w:val="20"/>
          <w:b/>
        </w:rPr>
        <w:t>注：提供相关设备实物图片和仪器购买发票或租赁合同，并加盖投标人公章。</w:t>
      </w:r>
    </w:p>
    <w:p>
      <w:pPr>
        <w:pStyle w:val="null3"/>
        <w:jc w:val="both"/>
      </w:pPr>
      <w:r>
        <w:rPr>
          <w:sz w:val="20"/>
        </w:rPr>
        <w:t>▲3.为保障特殊类型变异检出及验证能力、对肿瘤的综合诊断能力，投标人须拥有数字PCR、定量PCR、毛细管电泳、FISH、SNP-Array、染色体核型分析、CYTEK全光谱流式细胞仪等非测序类检测设备，并承诺有能力提供肿瘤综合诊断咨询。</w:t>
      </w:r>
      <w:r>
        <w:rPr>
          <w:sz w:val="20"/>
          <w:b/>
        </w:rPr>
        <w:t>注：提供相关设备实物图片和仪器购买发票或租赁合同，并加盖投标人公章；同时提供承诺函。</w:t>
      </w:r>
    </w:p>
    <w:p>
      <w:pPr>
        <w:pStyle w:val="null3"/>
        <w:jc w:val="both"/>
      </w:pPr>
      <w:r>
        <w:rPr>
          <w:sz w:val="20"/>
        </w:rPr>
        <w:t>4.投标人需提供承诺函，内容包括明确具体操作地点及承诺实际操作时的检测设备与以上投标承诺一致。</w:t>
      </w:r>
    </w:p>
    <w:p>
      <w:pPr>
        <w:pStyle w:val="null3"/>
        <w:jc w:val="both"/>
      </w:pPr>
      <w:r>
        <w:rPr>
          <w:sz w:val="20"/>
          <w:b/>
        </w:rPr>
        <w:t>六、检测技术指标</w:t>
      </w:r>
    </w:p>
    <w:p>
      <w:pPr>
        <w:pStyle w:val="null3"/>
        <w:jc w:val="both"/>
      </w:pPr>
      <w:r>
        <w:rPr>
          <w:sz w:val="20"/>
        </w:rPr>
        <w:t>1.技术要求</w:t>
      </w:r>
      <w:r>
        <w:rPr>
          <w:sz w:val="20"/>
          <w:b/>
        </w:rPr>
        <w:t>：</w:t>
      </w:r>
    </w:p>
    <w:p>
      <w:pPr>
        <w:pStyle w:val="null3"/>
        <w:ind w:left="15" w:right="75" w:firstLine="10"/>
        <w:jc w:val="both"/>
      </w:pPr>
      <w:r>
        <w:rPr>
          <w:sz w:val="20"/>
        </w:rPr>
        <w:t>▲（1）肿瘤相关基因高深度测序检测项目：所用探针应覆盖600个以上相关基因。</w:t>
      </w:r>
      <w:r>
        <w:rPr>
          <w:sz w:val="20"/>
          <w:b/>
        </w:rPr>
        <w:t>投标人提供报告单模板及项目告知书或相关技术文档，并加盖投标人公章。</w:t>
      </w:r>
    </w:p>
    <w:p>
      <w:pPr>
        <w:pStyle w:val="null3"/>
        <w:ind w:left="15" w:right="75" w:firstLine="10"/>
        <w:jc w:val="both"/>
      </w:pPr>
      <w:r>
        <w:rPr>
          <w:sz w:val="20"/>
        </w:rPr>
        <w:t>▲（2）肿瘤相关融合变异测序检测项目应覆盖检测400个以上融合变异相关基因。</w:t>
      </w:r>
      <w:r>
        <w:rPr>
          <w:sz w:val="20"/>
          <w:b/>
        </w:rPr>
        <w:t>投标人提供报告单模板及项目告知书或相关技术文档，并加盖投标人公章。</w:t>
      </w:r>
    </w:p>
    <w:p>
      <w:pPr>
        <w:pStyle w:val="null3"/>
        <w:ind w:left="15" w:right="75" w:firstLine="10"/>
        <w:jc w:val="both"/>
      </w:pPr>
      <w:r>
        <w:rPr>
          <w:sz w:val="20"/>
        </w:rPr>
        <w:t>▲（3）投标人实验室能提供血液肿瘤相关RNA-NGS检测，可覆盖融合基因、基因突变、基因表达检测。</w:t>
      </w:r>
      <w:r>
        <w:rPr>
          <w:sz w:val="20"/>
          <w:b/>
        </w:rPr>
        <w:t>注：投标人需提供报告单和生信质检报告并加盖投标人公章予以证明。</w:t>
      </w:r>
    </w:p>
    <w:p>
      <w:pPr>
        <w:pStyle w:val="null3"/>
        <w:ind w:left="15" w:right="75" w:firstLine="10"/>
        <w:jc w:val="both"/>
      </w:pPr>
      <w:r>
        <w:rPr>
          <w:sz w:val="20"/>
        </w:rPr>
        <w:t>★（4）肿瘤基因检测：投标人项目检测流程中设置严格的质量控制节点，如由专业病理医生对肿瘤样本进行检测前条件质控，包括样本中肿瘤细胞比例，选择最具检测价值的肿瘤区域等，保证检测样本质量，提高结果可靠性，</w:t>
      </w:r>
      <w:r>
        <w:rPr>
          <w:sz w:val="20"/>
          <w:b/>
        </w:rPr>
        <w:t>注：投标人提供系统截图和阳性结果报告单，并加盖投标人公章。</w:t>
      </w:r>
    </w:p>
    <w:p>
      <w:pPr>
        <w:pStyle w:val="null3"/>
        <w:ind w:left="15" w:right="75" w:firstLine="10"/>
        <w:jc w:val="both"/>
      </w:pPr>
      <w:r>
        <w:rPr>
          <w:sz w:val="20"/>
        </w:rPr>
        <w:t>（</w:t>
      </w:r>
      <w:r>
        <w:rPr>
          <w:sz w:val="20"/>
        </w:rPr>
        <w:t>5）投标人能提供室内质量控制报告，或其他能力验证证据；投标人能提供项目的室内质控报告，包括质控检测数据、控制标准、质控分析、失控报告等。</w:t>
      </w:r>
    </w:p>
    <w:p>
      <w:pPr>
        <w:pStyle w:val="null3"/>
        <w:ind w:left="15" w:right="75" w:firstLine="10"/>
        <w:jc w:val="both"/>
      </w:pPr>
      <w:r>
        <w:rPr>
          <w:sz w:val="20"/>
        </w:rPr>
        <w:t>★2.测序数据质量要求：</w:t>
      </w:r>
    </w:p>
    <w:p>
      <w:pPr>
        <w:pStyle w:val="null3"/>
        <w:ind w:left="15" w:right="75" w:firstLine="10"/>
        <w:jc w:val="both"/>
      </w:pPr>
      <w:r>
        <w:rPr>
          <w:sz w:val="20"/>
        </w:rPr>
        <w:t>本采购包所含各测序项目产出数据性能应不低于下表中相应标准要求。同时，批次间及批次内指征数据一致性的参数应不低于</w:t>
      </w:r>
      <w:r>
        <w:rPr>
          <w:sz w:val="20"/>
        </w:rPr>
        <w:t>99%。</w:t>
      </w:r>
      <w:r>
        <w:rPr>
          <w:sz w:val="20"/>
          <w:b/>
        </w:rPr>
        <w:t>注：投标人提供质控数据截图，并加盖投标人公章。</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2655"/>
        <w:gridCol w:w="1695"/>
        <w:gridCol w:w="1980"/>
        <w:gridCol w:w="1785"/>
      </w:tblGrid>
      <w:tr>
        <w:tc>
          <w:tcPr>
            <w:tcW w:type="dxa" w:w="26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测序项目名称</w:t>
            </w:r>
          </w:p>
        </w:tc>
        <w:tc>
          <w:tcPr>
            <w:tcW w:type="dxa" w:w="5460"/>
            <w:gridSpan w:val="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肿瘤相关基因高深度测序检测（实体肿瘤）</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送检样本属性</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病灶组织</w:t>
            </w:r>
            <w:r>
              <w:rPr>
                <w:sz w:val="20"/>
              </w:rPr>
              <w:t>FFPE</w:t>
            </w:r>
          </w:p>
        </w:tc>
        <w:tc>
          <w:tcPr>
            <w:tcW w:type="dxa" w:w="19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病灶组织</w:t>
            </w:r>
            <w:r>
              <w:rPr>
                <w:sz w:val="20"/>
              </w:rPr>
              <w:t>ctDNA</w:t>
            </w:r>
          </w:p>
        </w:tc>
        <w:tc>
          <w:tcPr>
            <w:tcW w:type="dxa" w:w="178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对照样本</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Raw paired-end read length</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150*2</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150*2</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150*2</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Raw data yield(Gb)</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&gt;=12</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&gt;=60</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&gt;=1</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Q30</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&gt;=85%</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&gt;=85%</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&gt;=85%</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Clean reads ratio</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&gt;=99%</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&gt;=99%</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&gt;=99%</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Mapped rate</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&gt;=98%</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&gt;=98%</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&gt;=98%</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Capture efficiency rate on target regions</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&gt;75%</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&gt;75%</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&gt;75%</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PCR duplication rate</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&lt;30%</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&lt;60%</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&lt;15%</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Mean coverage sequencing depth on official target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&gt;1500X</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&gt;5000X</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&gt;200X</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Fraction of official target covered with at least 20X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&gt;=98%</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Fraction of official target covered with at least 100X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&gt;=98%</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&gt;=90%</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Fraction of official target covered with at least 200X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&gt;=95%</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Fraction of official target covered with at least 500X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&gt;=90%</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&gt;=98%</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Fraction of official target covered with at least 1000X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&gt;=80%</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&gt;=95%</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Fraction of official target covered with at least 2000X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&gt;=80%</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Fraction of official target covered with at least 5000X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&gt;=50%</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r>
    </w:tbl>
    <w:tbl>
      <w:tblPr>
        <w:tblW w:w="0" w:type="auto"/>
        <w:tblInd w:type="dxa" w:w="120"/>
        <w:tblBorders>
          <w:top w:val="none" w:color="000000" w:sz="4"/>
          <w:left w:val="none" w:color="000000" w:sz="4"/>
          <w:bottom w:val="none" w:color="000000" w:sz="4"/>
          <w:right w:val="none" w:color="000000" w:sz="4"/>
          <w:insideH w:val="none"/>
          <w:insideV w:val="none"/>
        </w:tblBorders>
      </w:tblPr>
      <w:tblGrid>
        <w:gridCol w:w="3420"/>
        <w:gridCol w:w="4740"/>
      </w:tblGrid>
      <w:tr>
        <w:tc>
          <w:tcPr>
            <w:tcW w:type="dxa" w:w="34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测序项目名称</w:t>
            </w:r>
          </w:p>
        </w:tc>
        <w:tc>
          <w:tcPr>
            <w:tcW w:type="dxa" w:w="47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肿瘤相关融合变异测序检测</w:t>
            </w:r>
          </w:p>
        </w:tc>
      </w:tr>
      <w:tr>
        <w:tc>
          <w:tcPr>
            <w:tcW w:type="dxa" w:w="3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Raw paired-end read length</w:t>
            </w:r>
          </w:p>
        </w:tc>
        <w:tc>
          <w:tcPr>
            <w:tcW w:type="dxa" w:w="4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150*2</w:t>
            </w:r>
          </w:p>
        </w:tc>
      </w:tr>
      <w:tr>
        <w:tc>
          <w:tcPr>
            <w:tcW w:type="dxa" w:w="3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Raw Total Reads(M)</w:t>
            </w:r>
          </w:p>
        </w:tc>
        <w:tc>
          <w:tcPr>
            <w:tcW w:type="dxa" w:w="4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&gt;=40</w:t>
            </w:r>
          </w:p>
        </w:tc>
      </w:tr>
      <w:tr>
        <w:tc>
          <w:tcPr>
            <w:tcW w:type="dxa" w:w="3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Q30</w:t>
            </w:r>
          </w:p>
        </w:tc>
        <w:tc>
          <w:tcPr>
            <w:tcW w:type="dxa" w:w="4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&gt;=85%</w:t>
            </w:r>
          </w:p>
        </w:tc>
      </w:tr>
      <w:tr>
        <w:tc>
          <w:tcPr>
            <w:tcW w:type="dxa" w:w="3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Clean reads ratio</w:t>
            </w:r>
          </w:p>
        </w:tc>
        <w:tc>
          <w:tcPr>
            <w:tcW w:type="dxa" w:w="4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&gt;=95%</w:t>
            </w:r>
          </w:p>
        </w:tc>
      </w:tr>
      <w:tr>
        <w:tc>
          <w:tcPr>
            <w:tcW w:type="dxa" w:w="3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Mapped rate</w:t>
            </w:r>
          </w:p>
        </w:tc>
        <w:tc>
          <w:tcPr>
            <w:tcW w:type="dxa" w:w="4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&gt;=90%</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测序项目名称</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血液肿瘤相关融合基因测序检测</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送检样本属性</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骨髓</w:t>
            </w:r>
            <w:r>
              <w:rPr>
                <w:sz w:val="20"/>
              </w:rPr>
              <w:t>/外周血</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Raw paired-end read length</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150*2</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Raw data yield(Gb)</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≥6</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Q30</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≥85%</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Mapped reads</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≥10M</w:t>
            </w:r>
          </w:p>
        </w:tc>
      </w:tr>
      <w:tr>
        <w:tc>
          <w:tcPr>
            <w:tcW w:type="dxa" w:w="34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Capture efficiency rate on target regions</w:t>
            </w:r>
          </w:p>
        </w:tc>
        <w:tc>
          <w:tcPr>
            <w:tcW w:type="dxa" w:w="47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≥65%</w:t>
            </w:r>
          </w:p>
        </w:tc>
      </w:tr>
      <w:tr>
        <w:tc>
          <w:tcPr>
            <w:tcW w:type="dxa" w:w="3420"/>
            <w:vMerge/>
            <w:tcBorders>
              <w:top w:val="none" w:color="000000" w:sz="4"/>
              <w:left w:val="single" w:color="000000" w:sz="4"/>
              <w:bottom w:val="single" w:color="000000" w:sz="4"/>
              <w:right w:val="single" w:color="000000" w:sz="4"/>
            </w:tcBorders>
          </w:tcPr>
          <w:p/>
        </w:tc>
        <w:tc>
          <w:tcPr>
            <w:tcW w:type="dxa" w:w="4740"/>
            <w:vMerge/>
            <w:tcBorders>
              <w:top w:val="none" w:color="000000" w:sz="4"/>
              <w:left w:val="single" w:color="000000" w:sz="4"/>
              <w:bottom w:val="single" w:color="000000" w:sz="4"/>
              <w:right w:val="single" w:color="000000" w:sz="4"/>
            </w:tcBorders>
          </w:tcP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PCR duplication rate</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≤35%</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Coverage of target region</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≥99%</w:t>
            </w:r>
          </w:p>
        </w:tc>
      </w:tr>
      <w:tr>
        <w:tc>
          <w:tcPr>
            <w:tcW w:type="dxa" w:w="34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Remove duplicate Mean depth of target region</w:t>
            </w:r>
          </w:p>
        </w:tc>
        <w:tc>
          <w:tcPr>
            <w:tcW w:type="dxa" w:w="47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≥1000X</w:t>
            </w:r>
          </w:p>
        </w:tc>
      </w:tr>
      <w:tr>
        <w:tc>
          <w:tcPr>
            <w:tcW w:type="dxa" w:w="3420"/>
            <w:vMerge/>
            <w:tcBorders>
              <w:top w:val="none" w:color="000000" w:sz="4"/>
              <w:left w:val="single" w:color="000000" w:sz="4"/>
              <w:bottom w:val="single" w:color="000000" w:sz="4"/>
              <w:right w:val="single" w:color="000000" w:sz="4"/>
            </w:tcBorders>
          </w:tcPr>
          <w:p/>
        </w:tc>
        <w:tc>
          <w:tcPr>
            <w:tcW w:type="dxa" w:w="4740"/>
            <w:vMerge/>
            <w:tcBorders>
              <w:top w:val="none" w:color="000000" w:sz="4"/>
              <w:left w:val="single" w:color="000000" w:sz="4"/>
              <w:bottom w:val="single" w:color="000000" w:sz="4"/>
              <w:right w:val="single" w:color="000000" w:sz="4"/>
            </w:tcBorders>
          </w:tcPr>
          <w:p/>
        </w:tc>
      </w:tr>
      <w:tr>
        <w:tc>
          <w:tcPr>
            <w:tcW w:type="dxa" w:w="3420"/>
            <w:vMerge/>
            <w:tcBorders>
              <w:top w:val="none" w:color="000000" w:sz="4"/>
              <w:left w:val="single" w:color="000000" w:sz="4"/>
              <w:bottom w:val="single" w:color="000000" w:sz="4"/>
              <w:right w:val="single" w:color="000000" w:sz="4"/>
            </w:tcBorders>
          </w:tcPr>
          <w:p/>
        </w:tc>
        <w:tc>
          <w:tcPr>
            <w:tcW w:type="dxa" w:w="4740"/>
            <w:vMerge/>
            <w:tcBorders>
              <w:top w:val="none" w:color="000000" w:sz="4"/>
              <w:left w:val="single" w:color="000000" w:sz="4"/>
              <w:bottom w:val="single" w:color="000000" w:sz="4"/>
              <w:right w:val="single" w:color="000000" w:sz="4"/>
            </w:tcBorders>
          </w:tcPr>
          <w:p/>
        </w:tc>
      </w:tr>
      <w:tr>
        <w:tc>
          <w:tcPr>
            <w:tcW w:type="dxa" w:w="34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Remove duplicate Fraction of target covered&gt;=500X(%)</w:t>
            </w:r>
          </w:p>
        </w:tc>
        <w:tc>
          <w:tcPr>
            <w:tcW w:type="dxa" w:w="47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≥90%</w:t>
            </w:r>
          </w:p>
        </w:tc>
      </w:tr>
      <w:tr>
        <w:tc>
          <w:tcPr>
            <w:tcW w:type="dxa" w:w="3420"/>
            <w:vMerge/>
            <w:tcBorders>
              <w:top w:val="none" w:color="000000" w:sz="4"/>
              <w:left w:val="single" w:color="000000" w:sz="4"/>
              <w:bottom w:val="single" w:color="000000" w:sz="4"/>
              <w:right w:val="single" w:color="000000" w:sz="4"/>
            </w:tcBorders>
          </w:tcPr>
          <w:p/>
        </w:tc>
        <w:tc>
          <w:tcPr>
            <w:tcW w:type="dxa" w:w="4740"/>
            <w:vMerge/>
            <w:tcBorders>
              <w:top w:val="none" w:color="000000" w:sz="4"/>
              <w:left w:val="single" w:color="000000" w:sz="4"/>
              <w:bottom w:val="single" w:color="000000" w:sz="4"/>
              <w:right w:val="single" w:color="000000" w:sz="4"/>
            </w:tcBorders>
          </w:tcPr>
          <w:p/>
        </w:tc>
      </w:tr>
      <w:tr>
        <w:tc>
          <w:tcPr>
            <w:tcW w:type="dxa" w:w="3420"/>
            <w:vMerge/>
            <w:tcBorders>
              <w:top w:val="none" w:color="000000" w:sz="4"/>
              <w:left w:val="single" w:color="000000" w:sz="4"/>
              <w:bottom w:val="single" w:color="000000" w:sz="4"/>
              <w:right w:val="single" w:color="000000" w:sz="4"/>
            </w:tcBorders>
          </w:tcPr>
          <w:p/>
        </w:tc>
        <w:tc>
          <w:tcPr>
            <w:tcW w:type="dxa" w:w="4740"/>
            <w:vMerge/>
            <w:tcBorders>
              <w:top w:val="none" w:color="000000" w:sz="4"/>
              <w:left w:val="single" w:color="000000" w:sz="4"/>
              <w:bottom w:val="single" w:color="000000" w:sz="4"/>
              <w:right w:val="single" w:color="000000" w:sz="4"/>
            </w:tcBorders>
          </w:tcPr>
          <w:p/>
        </w:tc>
      </w:tr>
    </w:tbl>
    <w:p>
      <w:pPr>
        <w:pStyle w:val="null3"/>
        <w:ind w:left="15" w:right="75" w:firstLine="10"/>
        <w:jc w:val="both"/>
      </w:pPr>
      <w:r>
        <w:rPr>
          <w:sz w:val="20"/>
          <w:b/>
        </w:rPr>
        <w:t>七、</w:t>
      </w:r>
      <w:r>
        <w:rPr>
          <w:sz w:val="20"/>
          <w:b/>
        </w:rPr>
        <w:t>测序数</w:t>
      </w:r>
      <w:r>
        <w:rPr>
          <w:sz w:val="20"/>
          <w:b/>
        </w:rPr>
        <w:t>据分析处理能力</w:t>
      </w:r>
    </w:p>
    <w:p>
      <w:pPr>
        <w:pStyle w:val="null3"/>
        <w:jc w:val="both"/>
      </w:pPr>
      <w:r>
        <w:rPr>
          <w:sz w:val="20"/>
        </w:rPr>
        <w:t>▲</w:t>
      </w:r>
      <w:r>
        <w:rPr>
          <w:sz w:val="20"/>
        </w:rPr>
        <w:t>1.生信分析环节采用自建或第三方商用分析加速软件提速生信分析过程。单例肿瘤转录组测序数据生信分析时长低于24小时，单例肿瘤大panel测序数据生信分析时长低于18小时</w:t>
      </w:r>
      <w:r>
        <w:rPr>
          <w:sz w:val="20"/>
        </w:rPr>
        <w:t>。</w:t>
      </w:r>
      <w:r>
        <w:rPr>
          <w:sz w:val="20"/>
          <w:b/>
        </w:rPr>
        <w:t>注：投标人提供系统截图，并加盖投标人公章。</w:t>
      </w:r>
    </w:p>
    <w:p>
      <w:pPr>
        <w:pStyle w:val="null3"/>
        <w:jc w:val="both"/>
      </w:pPr>
      <w:r>
        <w:rPr>
          <w:sz w:val="20"/>
        </w:rPr>
        <w:t>▲</w:t>
      </w:r>
      <w:r>
        <w:rPr>
          <w:sz w:val="20"/>
        </w:rPr>
        <w:t>2.</w:t>
      </w:r>
      <w:r>
        <w:rPr>
          <w:sz w:val="20"/>
        </w:rPr>
        <w:t>投标人需提供承诺函：承诺中标后</w:t>
      </w:r>
      <w:r>
        <w:rPr>
          <w:sz w:val="20"/>
        </w:rPr>
        <w:t>使用规范采购及授权的</w:t>
      </w:r>
      <w:r>
        <w:rPr>
          <w:sz w:val="20"/>
        </w:rPr>
        <w:t>OMIM、GnomAD、HGMD、ClinVar等数据库对变异进行注释</w:t>
      </w:r>
      <w:r>
        <w:rPr>
          <w:sz w:val="20"/>
        </w:rPr>
        <w:t>，承诺函需加盖公章</w:t>
      </w:r>
      <w:r>
        <w:rPr>
          <w:sz w:val="20"/>
        </w:rPr>
        <w:t>。</w:t>
      </w:r>
      <w:r>
        <w:rPr>
          <w:sz w:val="20"/>
        </w:rPr>
        <w:t>其中须提供</w:t>
      </w:r>
      <w:r>
        <w:rPr>
          <w:sz w:val="20"/>
        </w:rPr>
        <w:t>HGMD数据库采</w:t>
      </w:r>
      <w:r>
        <w:rPr>
          <w:sz w:val="20"/>
        </w:rPr>
        <w:t>购的</w:t>
      </w:r>
      <w:r>
        <w:rPr>
          <w:sz w:val="20"/>
          <w:b/>
        </w:rPr>
        <w:t>发票或合同。</w:t>
      </w:r>
    </w:p>
    <w:p>
      <w:pPr>
        <w:pStyle w:val="null3"/>
        <w:jc w:val="both"/>
      </w:pPr>
      <w:r>
        <w:rPr>
          <w:sz w:val="20"/>
        </w:rPr>
        <w:t>▲3.测序数据医学遗传分析工具要求：项目需使用自主开发或者采购第三方商业系统的集成化医学遗传分析系统完成检测。该系统需至少具备基因筛选、变异筛选、变异评级等前端可视化操作界面，内嵌点变异、小片段插入/缺失变异ACMG评级辅助工具及BAM文件可视化查看插件，内嵌拷贝数变异可视化分析工具，并允许即时调用测序数据进行实时分析；支持对本项目所属样本及数据进行筛选和搜索（如姓名、性别、样本类型及基因信息等）。</w:t>
      </w:r>
      <w:r>
        <w:rPr>
          <w:sz w:val="20"/>
          <w:b/>
        </w:rPr>
        <w:t>投标人出具相关分析系统功能描述、数据分析各步骤截图等材料及相关承诺函，并加盖投标人公章。</w:t>
      </w:r>
    </w:p>
    <w:p>
      <w:pPr>
        <w:pStyle w:val="null3"/>
        <w:ind w:left="30"/>
        <w:jc w:val="both"/>
      </w:pPr>
      <w:r>
        <w:rPr>
          <w:sz w:val="20"/>
          <w:b/>
        </w:rPr>
        <w:t>八、交付内容</w:t>
      </w:r>
    </w:p>
    <w:p>
      <w:pPr>
        <w:pStyle w:val="null3"/>
        <w:jc w:val="both"/>
      </w:pPr>
      <w:r>
        <w:rPr>
          <w:sz w:val="20"/>
        </w:rPr>
        <w:t>检测结果交付：测序项目以临床检测报告及二代测序原始数据（交付格式包括</w:t>
      </w:r>
      <w:r>
        <w:rPr>
          <w:sz w:val="20"/>
        </w:rPr>
        <w:t>FASTQ、BAM及VCF，中标人指派专人通过移动硬盘的方式将二代测序原始数据交付到采购人指定地点）作为主要检测交付内容；非测序项目以临床检测报告为主要检测交付内容。检测报告应在</w:t>
      </w:r>
      <w:r>
        <w:rPr>
          <w:sz w:val="20"/>
          <w:b/>
        </w:rPr>
        <w:t>最终报告交付时间</w:t>
      </w:r>
      <w:r>
        <w:rPr>
          <w:sz w:val="20"/>
        </w:rPr>
        <w:t>交付，并满足如下内容格式要求：</w:t>
      </w:r>
    </w:p>
    <w:p>
      <w:pPr>
        <w:pStyle w:val="null3"/>
        <w:jc w:val="both"/>
      </w:pPr>
      <w:r>
        <w:rPr>
          <w:sz w:val="20"/>
        </w:rPr>
        <w:t>1、</w:t>
      </w:r>
      <w:r>
        <w:rPr>
          <w:sz w:val="20"/>
        </w:rPr>
        <w:t>肿瘤相关基因高深度测序、肿瘤相关融合变异测序检测报告中常规变异位点需依循</w:t>
      </w:r>
      <w:r>
        <w:rPr>
          <w:sz w:val="20"/>
        </w:rPr>
        <w:t>AMP/ASCO体细胞系变异评级指南进行分类评级及报告。</w:t>
      </w:r>
      <w:r>
        <w:rPr>
          <w:sz w:val="20"/>
          <w:b/>
        </w:rPr>
        <w:t>以上投标人提供报告单模板，并加盖投标人公章。</w:t>
      </w:r>
    </w:p>
    <w:p>
      <w:pPr>
        <w:pStyle w:val="null3"/>
        <w:jc w:val="both"/>
      </w:pPr>
      <w:r>
        <w:rPr>
          <w:sz w:val="20"/>
        </w:rPr>
        <w:t>2、其他非测序类项目交付的检测报告应遵循相关行业标准，包含临床检验报告应有的相关要素。</w:t>
      </w:r>
      <w:r>
        <w:rPr>
          <w:sz w:val="20"/>
          <w:b/>
        </w:rPr>
        <w:t>以上投标人提供报告单模板，并加盖投标人公章。</w:t>
      </w:r>
    </w:p>
    <w:p>
      <w:pPr>
        <w:pStyle w:val="null3"/>
        <w:jc w:val="both"/>
      </w:pPr>
      <w:r>
        <w:rPr>
          <w:sz w:val="20"/>
          <w:b/>
        </w:rPr>
        <w:t>九、系统管理</w:t>
      </w:r>
    </w:p>
    <w:p>
      <w:pPr>
        <w:pStyle w:val="null3"/>
        <w:jc w:val="both"/>
      </w:pPr>
      <w:r>
        <w:rPr>
          <w:sz w:val="20"/>
        </w:rPr>
        <w:t>★1.投标人须承诺临床检测报告实时网络传送，实现实验室数据的汇总、储存、传输功能，检测报告要上传到采购人LIS系统。投标人负责与医院LIS和HIS系统对接，并负责LIS和HIS系统对接产生的所有费用，该费用包含在投标报价中。</w:t>
      </w:r>
      <w:r>
        <w:rPr>
          <w:sz w:val="20"/>
          <w:b/>
        </w:rPr>
        <w:t>（提供承诺函并加盖投标人公章，格式自定）</w:t>
      </w:r>
    </w:p>
    <w:p>
      <w:pPr>
        <w:pStyle w:val="null3"/>
        <w:jc w:val="both"/>
      </w:pPr>
      <w:r>
        <w:rPr>
          <w:sz w:val="20"/>
        </w:rPr>
        <w:t>2.为采购人提供检测样本完整质控信息及基于分子标签技术的样本溯源技术。确保一次实验同时完成项目结果产出及样本溯源，能提示样本混样污染情况，保障样本在实验和分析周期中的有效管理。</w:t>
      </w:r>
      <w:r>
        <w:rPr>
          <w:sz w:val="20"/>
          <w:b/>
        </w:rPr>
        <w:t>（提供承诺函并加盖投标人公章，格式自定）</w:t>
      </w:r>
    </w:p>
    <w:p>
      <w:pPr>
        <w:pStyle w:val="null3"/>
        <w:jc w:val="both"/>
      </w:pPr>
      <w:r>
        <w:rPr>
          <w:sz w:val="20"/>
          <w:b/>
        </w:rPr>
        <w:t>★十、剩余样本保存</w:t>
      </w:r>
    </w:p>
    <w:p>
      <w:pPr>
        <w:pStyle w:val="null3"/>
        <w:ind w:firstLine="400"/>
        <w:jc w:val="both"/>
      </w:pPr>
      <w:r>
        <w:rPr>
          <w:sz w:val="20"/>
        </w:rPr>
        <w:t>检测完成后，中标人须提供不少于</w:t>
      </w:r>
      <w:r>
        <w:rPr>
          <w:sz w:val="20"/>
        </w:rPr>
        <w:t>12个月的样本（包括剩余原始样本以及检测后剩余核酸样本）保存服务以及</w:t>
      </w:r>
      <w:r>
        <w:rPr>
          <w:sz w:val="20"/>
        </w:rPr>
        <w:t>不少于</w:t>
      </w:r>
      <w:r>
        <w:rPr>
          <w:sz w:val="20"/>
        </w:rPr>
        <w:t>15</w:t>
      </w:r>
      <w:r>
        <w:rPr>
          <w:sz w:val="20"/>
        </w:rPr>
        <w:t>年</w:t>
      </w:r>
      <w:r>
        <w:rPr>
          <w:sz w:val="20"/>
        </w:rPr>
        <w:t>的</w:t>
      </w:r>
      <w:r>
        <w:rPr>
          <w:sz w:val="20"/>
        </w:rPr>
        <w:t>病理切片、蜡块和阳性涂片保存服务</w:t>
      </w:r>
      <w:r>
        <w:rPr>
          <w:sz w:val="20"/>
        </w:rPr>
        <w:t>（如因不可抗力或其他不可克服因素导致不能按规定时间保存标本，需提前通知采购单位，得到采购单位书面同意后启动进行标本返还流程，或对标本进行无害化处理，相关费用由中标人承担）。中标人在保存样本时，须对样本进行一一对应标记，按不同样本类型保存要求进行保存，其中需低温保存的样本（如剩余核酸）在专用样本存储处进行低温（</w:t>
      </w:r>
      <w:r>
        <w:rPr>
          <w:sz w:val="20"/>
        </w:rPr>
        <w:t>-20℃~-80℃)保存，标记需清晰，以便采购人有需要可随时进行调档；12个月后经采购人的书面通知后进行无害化处理。对于超过保存期的样本，中标人需经采购人书面同意后方可处理；如采购人需要，投标人需按采购人要求在规定时间内返还保存的样本（中标方指派专人通过冷链运输（-20℃)的方式将数据交付到采购人指定地点）。由此过程中产生的一切费用均由中标人承担。</w:t>
      </w:r>
      <w:r>
        <w:rPr>
          <w:sz w:val="20"/>
          <w:b/>
        </w:rPr>
        <w:t>（提供承诺函并加盖投标人公章，格式自定）</w:t>
      </w:r>
    </w:p>
    <w:p>
      <w:pPr>
        <w:pStyle w:val="null3"/>
        <w:ind w:firstLine="400"/>
        <w:jc w:val="both"/>
      </w:pPr>
      <w:r>
        <w:rPr>
          <w:sz w:val="20"/>
          <w:b/>
        </w:rPr>
        <w:t>★十一、数据储存及数据安全保障</w:t>
      </w:r>
    </w:p>
    <w:p>
      <w:pPr>
        <w:pStyle w:val="null3"/>
        <w:jc w:val="both"/>
      </w:pPr>
      <w:r>
        <w:rPr>
          <w:sz w:val="20"/>
        </w:rPr>
        <w:t>1.数据交付后，中标人须提供不少于36个月（服务期内）的数据存储服务。中标人须对样本数据进行对应标记及专用保密方式存储，以便采购人有需要时可随时调档；36个月（服务期满）后根据采购人的书面通知进行无保留的移交（中标人指派专人通过移动硬盘的方式将数据交付到采购人指定地点）且对已移交的样本数据情况进行无痕清除处理。由此产生的一切费用均由中标人承担。</w:t>
      </w:r>
      <w:r>
        <w:rPr>
          <w:sz w:val="20"/>
          <w:b/>
        </w:rPr>
        <w:t>（提供承诺函并加盖投标人公章，格式自定）</w:t>
      </w:r>
    </w:p>
    <w:p>
      <w:pPr>
        <w:pStyle w:val="null3"/>
        <w:jc w:val="both"/>
      </w:pPr>
      <w:r>
        <w:rPr>
          <w:sz w:val="20"/>
          <w:b/>
        </w:rPr>
        <w:t>2.</w:t>
      </w:r>
      <w:r>
        <w:rPr>
          <w:sz w:val="20"/>
        </w:rPr>
        <w:t>针对本项目数据安全管理，隐私信息保护，数据泄露保护，投标人提供成熟解决方案，具备异地数据备份功能，可为采购人提供本地化数据储存和访问服务，全部数据只允许在中国大陆备份。</w:t>
      </w:r>
      <w:r>
        <w:rPr>
          <w:sz w:val="20"/>
          <w:b/>
        </w:rPr>
        <w:t>（提供承诺函并加盖投标人公章，格式自定）</w:t>
      </w:r>
    </w:p>
    <w:p>
      <w:pPr>
        <w:pStyle w:val="null3"/>
        <w:jc w:val="both"/>
      </w:pPr>
      <w:r>
        <w:rPr>
          <w:sz w:val="20"/>
          <w:b/>
        </w:rPr>
        <w:t>二）</w:t>
      </w:r>
      <w:r>
        <w:rPr>
          <w:sz w:val="20"/>
          <w:b/>
        </w:rPr>
        <w:t>商务要求</w:t>
      </w:r>
    </w:p>
    <w:p>
      <w:pPr>
        <w:pStyle w:val="null3"/>
        <w:jc w:val="both"/>
      </w:pPr>
      <w:r>
        <w:rPr>
          <w:sz w:val="20"/>
        </w:rPr>
        <w:t>★一、独立投标：投标人的实验室需满足该标的对实验设备及分析流程的要求，独立完成该标的所有检测项目。不允许联合该投标人外的任何机构提供投标所需硬件设备及资质等，不允许投标人分包或外包完成标的中任一环节。</w:t>
      </w:r>
      <w:r>
        <w:rPr>
          <w:sz w:val="20"/>
          <w:b/>
        </w:rPr>
        <w:t>（提供承诺函并加盖投标人公章，格式自定）</w:t>
      </w:r>
    </w:p>
    <w:p>
      <w:pPr>
        <w:pStyle w:val="null3"/>
        <w:jc w:val="both"/>
      </w:pPr>
      <w:r>
        <w:rPr>
          <w:sz w:val="20"/>
        </w:rPr>
        <w:t>二、投标人所投入的专职人员的要求：</w:t>
      </w:r>
    </w:p>
    <w:p>
      <w:pPr>
        <w:pStyle w:val="null3"/>
        <w:jc w:val="both"/>
      </w:pPr>
      <w:r>
        <w:rPr>
          <w:sz w:val="20"/>
        </w:rPr>
        <w:t>★（一）为本项目配备的服务人员中：①提供至少2名肿瘤分子检测相关从业人员（提供相关从业人员的毕业证书，专业为遗传学或肿瘤学或血液病学；或提供遗传咨询师证）。②提供5名或以上具有医学检验专业卫生技术人员，其中同时具有卫生行政部门指定机构技术培训颁发的临床基因扩增检验技术培训合格证明的不少于5名。（注：①~②同一人员不重复计算；提供①~②的拟派服务人员的对应证书证明及社保证明，复印件并加盖投标人公章。）</w:t>
      </w:r>
      <w:r>
        <w:rPr>
          <w:sz w:val="20"/>
          <w:b/>
        </w:rPr>
        <w:t>注：须提供上述人员相关证明材料复印件及投标截止日前</w:t>
      </w:r>
      <w:r>
        <w:rPr>
          <w:sz w:val="20"/>
          <w:b/>
        </w:rPr>
        <w:t>6个月内任意1个月在投标人单位购买社保的证明材料复印件(退休返聘人员须提供聘用合同复印件)并加盖投标人公章。</w:t>
      </w:r>
    </w:p>
    <w:p>
      <w:pPr>
        <w:pStyle w:val="null3"/>
        <w:jc w:val="both"/>
      </w:pPr>
      <w:r>
        <w:rPr>
          <w:sz w:val="20"/>
        </w:rPr>
        <w:t>（二）为本项目配备的上述服务人员中：</w:t>
      </w:r>
      <w:r>
        <w:rPr>
          <w:sz w:val="20"/>
        </w:rPr>
        <w:t>①投标人所提供5名或以上的医学检验专业卫生技术人员中需有具备中级或以上的检验技师职称；②肿瘤分子检测相关从业人员中需有具有5年或以上的相关肿瘤分子检测数据分析（或解读或管理）服务工作经验。（注：同一人员不重复计算；提供①~②的拟派服务人员的对应职称证明或相关的证明材料，提供肿瘤分子检测相关从业人员的相关服务工作经验证明材料（如甲乙双方合同或用户评价或第三方委派工作证明等），复印件并加盖投标人公章。）注：须提供上述人员相关证明材料复印件并加盖投标人公章。</w:t>
      </w:r>
    </w:p>
    <w:p>
      <w:pPr>
        <w:pStyle w:val="null3"/>
        <w:jc w:val="both"/>
      </w:pPr>
      <w:r>
        <w:rPr>
          <w:sz w:val="20"/>
        </w:rPr>
        <w:t>三、服务地点：采购人指定地点，包括广州医科大学附属妇女儿童医疗中心珠江新城院区，儿童院区，妇婴院区，增城院区，白云院区等。</w:t>
      </w:r>
    </w:p>
    <w:p>
      <w:pPr>
        <w:pStyle w:val="null3"/>
        <w:jc w:val="both"/>
      </w:pPr>
      <w:r>
        <w:rPr>
          <w:sz w:val="20"/>
        </w:rPr>
        <w:t>1、珠江新城院区：广州市天河区金穗路9号；</w:t>
      </w:r>
    </w:p>
    <w:p>
      <w:pPr>
        <w:pStyle w:val="null3"/>
        <w:jc w:val="both"/>
      </w:pPr>
      <w:r>
        <w:rPr>
          <w:sz w:val="20"/>
        </w:rPr>
        <w:t>2、儿童院区：广州市越秀区人民中路318号；</w:t>
      </w:r>
    </w:p>
    <w:p>
      <w:pPr>
        <w:pStyle w:val="null3"/>
        <w:jc w:val="both"/>
      </w:pPr>
      <w:r>
        <w:rPr>
          <w:sz w:val="20"/>
        </w:rPr>
        <w:t>3、妇婴院区：广州市越秀区人民中路402号；</w:t>
      </w:r>
    </w:p>
    <w:p>
      <w:pPr>
        <w:pStyle w:val="null3"/>
        <w:jc w:val="both"/>
      </w:pPr>
      <w:r>
        <w:rPr>
          <w:sz w:val="20"/>
        </w:rPr>
        <w:t>4、增城院区：广州市增城区增城大道293号；</w:t>
      </w:r>
    </w:p>
    <w:p>
      <w:pPr>
        <w:pStyle w:val="null3"/>
        <w:jc w:val="both"/>
      </w:pPr>
      <w:r>
        <w:rPr>
          <w:sz w:val="20"/>
        </w:rPr>
        <w:t>5、白云院区：广州市白云区新达路91号、93号。</w:t>
      </w:r>
    </w:p>
    <w:p>
      <w:pPr>
        <w:pStyle w:val="null3"/>
        <w:jc w:val="both"/>
      </w:pPr>
      <w:r>
        <w:rPr>
          <w:sz w:val="20"/>
        </w:rPr>
        <w:t>★四、报价要求：</w:t>
      </w:r>
    </w:p>
    <w:p>
      <w:pPr>
        <w:pStyle w:val="null3"/>
        <w:jc w:val="both"/>
      </w:pPr>
      <w:r>
        <w:rPr>
          <w:sz w:val="20"/>
        </w:rPr>
        <w:t>（一）投标人根据《表</w:t>
      </w:r>
      <w:r>
        <w:rPr>
          <w:sz w:val="20"/>
        </w:rPr>
        <w:t>1：采购包1招标项目列表》检测项目招标基准价为基准，报出统一的折扣率，折扣率范围：0&lt;折扣率≤48%，且该折扣必须为固定数值，不接受区间报价（如30%~40%）。</w:t>
      </w:r>
    </w:p>
    <w:p>
      <w:pPr>
        <w:pStyle w:val="null3"/>
        <w:jc w:val="both"/>
      </w:pPr>
      <w:r>
        <w:rPr>
          <w:sz w:val="20"/>
        </w:rPr>
        <w:t>（二）投标报价应为人民币含税全包价。投标人的投标折扣率报价不能为负数或零。投标报价包括但不限于：</w:t>
      </w:r>
    </w:p>
    <w:p>
      <w:pPr>
        <w:pStyle w:val="null3"/>
        <w:jc w:val="both"/>
      </w:pPr>
      <w:r>
        <w:rPr>
          <w:sz w:val="20"/>
        </w:rPr>
        <w:t>（</w:t>
      </w:r>
      <w:r>
        <w:rPr>
          <w:sz w:val="20"/>
        </w:rPr>
        <w:t>1）本项目服务实施过程中涉及的相关检验设备使用，分析平台、解读软件使用及试剂试纸耗材等费用。</w:t>
      </w:r>
    </w:p>
    <w:p>
      <w:pPr>
        <w:pStyle w:val="null3"/>
        <w:jc w:val="both"/>
      </w:pPr>
      <w:r>
        <w:rPr>
          <w:sz w:val="20"/>
        </w:rPr>
        <w:t>（</w:t>
      </w:r>
      <w:r>
        <w:rPr>
          <w:sz w:val="20"/>
        </w:rPr>
        <w:t>2）样本运输，结果数据传输，与采购人系统对接，剩余样本保存，数据保存等完成本项目一切可见或不可预见的费用。一切可见或不可见之车辆养路费、车辆保险费、车辆保养、维修、燃油费车辆设备折旧费、所有设备的维护费和清洁费、水电费。</w:t>
      </w:r>
    </w:p>
    <w:p>
      <w:pPr>
        <w:pStyle w:val="null3"/>
        <w:jc w:val="both"/>
      </w:pPr>
      <w:r>
        <w:rPr>
          <w:sz w:val="20"/>
        </w:rPr>
        <w:t>（</w:t>
      </w:r>
      <w:r>
        <w:rPr>
          <w:sz w:val="20"/>
        </w:rPr>
        <w:t>3）人员工资、社保、保险、福利、管理费、风险费、税费、利润等所有费用。</w:t>
      </w:r>
    </w:p>
    <w:p>
      <w:pPr>
        <w:pStyle w:val="null3"/>
        <w:jc w:val="both"/>
      </w:pPr>
      <w:r>
        <w:rPr>
          <w:sz w:val="20"/>
        </w:rPr>
        <w:t>（</w:t>
      </w:r>
      <w:r>
        <w:rPr>
          <w:sz w:val="20"/>
        </w:rPr>
        <w:t>4）投标人报价中须包括所投采购包检验项目中的全部项目。</w:t>
      </w:r>
    </w:p>
    <w:p>
      <w:pPr>
        <w:pStyle w:val="null3"/>
        <w:jc w:val="both"/>
      </w:pPr>
      <w:r>
        <w:rPr>
          <w:sz w:val="20"/>
        </w:rPr>
        <w:t>五、付款方式：</w:t>
      </w:r>
    </w:p>
    <w:p>
      <w:pPr>
        <w:pStyle w:val="null3"/>
        <w:jc w:val="both"/>
      </w:pPr>
      <w:r>
        <w:rPr>
          <w:sz w:val="20"/>
        </w:rPr>
        <w:t>（</w:t>
      </w:r>
      <w:r>
        <w:rPr>
          <w:sz w:val="20"/>
        </w:rPr>
        <w:t>1）采购人以银行转账形式每月按实结算，根据每月检测项目和数量，按中标折扣</w:t>
      </w:r>
      <w:r>
        <w:rPr>
          <w:sz w:val="20"/>
        </w:rPr>
        <w:t>率</w:t>
      </w:r>
      <w:r>
        <w:rPr>
          <w:sz w:val="20"/>
        </w:rPr>
        <w:t>结算，实际结算款</w:t>
      </w:r>
      <w:r>
        <w:rPr>
          <w:sz w:val="20"/>
        </w:rPr>
        <w:t>=∑【对应检测项目的招标</w:t>
      </w:r>
      <w:r>
        <w:rPr>
          <w:sz w:val="20"/>
        </w:rPr>
        <w:t>基准</w:t>
      </w:r>
      <w:r>
        <w:rPr>
          <w:sz w:val="20"/>
        </w:rPr>
        <w:t>价</w:t>
      </w:r>
      <w:r>
        <w:rPr>
          <w:sz w:val="20"/>
        </w:rPr>
        <w:t>×中标折扣</w:t>
      </w:r>
      <w:r>
        <w:rPr>
          <w:sz w:val="20"/>
        </w:rPr>
        <w:t>率</w:t>
      </w:r>
      <w:r>
        <w:rPr>
          <w:sz w:val="20"/>
        </w:rPr>
        <w:t>×实际采购数量】。经采购人确认后，中标人于次月15日前向采购人提交结算资料，采购人收到结算资料并核对无误后5个工作日内开始办理支付手续。</w:t>
      </w:r>
    </w:p>
    <w:p>
      <w:pPr>
        <w:pStyle w:val="null3"/>
        <w:jc w:val="both"/>
      </w:pPr>
      <w:r>
        <w:rPr>
          <w:sz w:val="20"/>
        </w:rPr>
        <w:t>（</w:t>
      </w:r>
      <w:r>
        <w:rPr>
          <w:sz w:val="20"/>
        </w:rPr>
        <w:t>2）三年合同累计结算金额不超过采购预算人民币2500万元，最终结算数额以采购人在合同期间的实际检测情况为准。</w:t>
      </w:r>
    </w:p>
    <w:p>
      <w:pPr>
        <w:pStyle w:val="null3"/>
        <w:jc w:val="both"/>
      </w:pPr>
      <w:r>
        <w:rPr>
          <w:sz w:val="20"/>
        </w:rPr>
        <w:t>（</w:t>
      </w:r>
      <w:r>
        <w:rPr>
          <w:sz w:val="20"/>
        </w:rPr>
        <w:t>3）中标人在每月5日（如遇节假日往后顺延）前将上月的工作量清单明细表交由采购人核对后，开具正式发票，由采购人收到发票及结算资料后5个工作日办理支付手续。</w:t>
      </w:r>
    </w:p>
    <w:p>
      <w:pPr>
        <w:pStyle w:val="null3"/>
        <w:jc w:val="both"/>
      </w:pPr>
      <w:r>
        <w:rPr>
          <w:sz w:val="20"/>
        </w:rPr>
        <w:t>（</w:t>
      </w:r>
      <w:r>
        <w:rPr>
          <w:sz w:val="20"/>
        </w:rPr>
        <w:t>4）因采购人使用的是财政性资金，采购人在前款规定的付款时间为向支付部门提出办理财政支付申请手续的时间（不含支付部门审核的时间），在规定时间内提出支付申请手续后即视为采购人已经按期支付，中标人应按项目进度要求进行实施。</w:t>
      </w:r>
    </w:p>
    <w:p>
      <w:pPr>
        <w:pStyle w:val="null3"/>
        <w:jc w:val="both"/>
      </w:pPr>
      <w:r>
        <w:rPr>
          <w:sz w:val="20"/>
        </w:rPr>
        <w:t>（</w:t>
      </w:r>
      <w:r>
        <w:rPr>
          <w:sz w:val="20"/>
        </w:rPr>
        <w:t>5）中标人与采购人签订合同后15个工作日内，按采购预算的2%以银行转账或支票（汇票、本票）或保函（保险）等非现金形式向采购人提交履约保证金【保函（保险）方式提交的，须提供保函（保险）原件交予采购人备案】，同时须在合同期内保持履约保证金长期有效。若不提交履约保证金或履约保证金在服务期内失效后15个工作日内不向采购人更新提交，采购人有权终止合同，并上报政府采购监管部门，由此产生的一切责任及损失均由中标人承担。若合同期内中标人没有违约行为，采购人无息退还履约保证金（以保函（保险）形式提交的履约保证金在合同期满后或合同终止后30个工作日内自动失效；以银行转账或支票（汇票）提交的履约保证金在合同期满后或合同终止后30个工作日内，采购人收到中标人的退还申请后，无息退还给中标人）；如逾期退还，采购人按每日逾期款总额的3‰向中标人偿付违约金。下列任何一种情况发生时，采购人有权不予退还履约保证金：（一）中标人未完全履行项目投标文件承诺或合同约定的；（二）中标人的原因导致采购人单位发生医疗纠纷或医疗事故或医疗过错。</w:t>
      </w:r>
    </w:p>
    <w:p>
      <w:pPr>
        <w:pStyle w:val="null3"/>
        <w:jc w:val="both"/>
      </w:pPr>
      <w:r>
        <w:rPr>
          <w:sz w:val="20"/>
        </w:rPr>
        <w:t>（</w:t>
      </w:r>
      <w:r>
        <w:rPr>
          <w:sz w:val="20"/>
        </w:rPr>
        <w:t>6）本项目以银行转账方式进行结算，中标人在每次结算时需向采购人提交以下资料：</w:t>
      </w:r>
    </w:p>
    <w:p>
      <w:pPr>
        <w:pStyle w:val="null3"/>
        <w:jc w:val="both"/>
      </w:pPr>
      <w:r>
        <w:rPr>
          <w:sz w:val="20"/>
        </w:rPr>
        <w:t>1）合同、中标通知书、履约保证金缴纳材料；（首次结算时提供）</w:t>
      </w:r>
    </w:p>
    <w:p>
      <w:pPr>
        <w:pStyle w:val="null3"/>
        <w:jc w:val="both"/>
      </w:pPr>
      <w:r>
        <w:rPr>
          <w:sz w:val="20"/>
        </w:rPr>
        <w:t>2）中标人开具的正式发票；</w:t>
      </w:r>
    </w:p>
    <w:p>
      <w:pPr>
        <w:pStyle w:val="null3"/>
        <w:jc w:val="both"/>
      </w:pPr>
      <w:r>
        <w:rPr>
          <w:sz w:val="20"/>
        </w:rPr>
        <w:t>3）经采购人管理科室确认的上月的工作量清单明细表。</w:t>
      </w:r>
    </w:p>
    <w:p>
      <w:pPr>
        <w:pStyle w:val="null3"/>
        <w:jc w:val="both"/>
      </w:pPr>
      <w:r>
        <w:rPr>
          <w:sz w:val="20"/>
        </w:rPr>
        <w:t>六、质量要求：</w:t>
      </w:r>
    </w:p>
    <w:p>
      <w:pPr>
        <w:pStyle w:val="null3"/>
        <w:jc w:val="both"/>
      </w:pPr>
      <w:r>
        <w:rPr>
          <w:sz w:val="20"/>
        </w:rPr>
        <w:t>（一）投标人具有完善的相关管理体系，如通过国家认证认可监督管理部门批准设立的认证机构颁发并在有效期内的认证：质量管理体系认证、环境管理体系认证、职业健康安全管理体系认证。</w:t>
      </w:r>
    </w:p>
    <w:p>
      <w:pPr>
        <w:pStyle w:val="null3"/>
        <w:jc w:val="both"/>
      </w:pPr>
      <w:r>
        <w:rPr>
          <w:sz w:val="20"/>
        </w:rPr>
        <w:t>（二）投标人实验室具有标准化的质量管理体系，每次检测都有严格的室内质控，中标人按月提供室内质量控制报表，其内容包括质控检测数据、控制标准、质控分析、失控报告等；每年参加临检中心的质量控制和室间质评工作</w:t>
      </w:r>
      <w:r>
        <w:rPr>
          <w:sz w:val="20"/>
        </w:rPr>
        <w:t>(提供2024年1月1日以来任意一次肿瘤高通量测序检测室间质量评价活动合格证书)，以控制诊断结果的质量，定期参加质量评审，因投标实验室质量因素导致的医疗纠纷、事故等不良后果的，由此产生的赔偿责任由中标人承担。</w:t>
      </w:r>
    </w:p>
    <w:p>
      <w:pPr>
        <w:pStyle w:val="null3"/>
        <w:jc w:val="both"/>
      </w:pPr>
      <w:r>
        <w:rPr>
          <w:sz w:val="20"/>
        </w:rPr>
        <w:t>（三）投标人实验室</w:t>
      </w:r>
      <w:r>
        <w:rPr>
          <w:sz w:val="20"/>
        </w:rPr>
        <w:t>(不包括其连锁公司)具有关于医学体系认可标准(IS015189)的认证。</w:t>
      </w:r>
    </w:p>
    <w:p>
      <w:pPr>
        <w:pStyle w:val="null3"/>
        <w:jc w:val="both"/>
      </w:pPr>
      <w:r>
        <w:rPr>
          <w:sz w:val="20"/>
        </w:rPr>
        <w:t>（四）投标人拥有承接同类合同业绩的实施经验，每项业绩须提供合同关键页。</w:t>
      </w:r>
    </w:p>
    <w:p>
      <w:pPr>
        <w:pStyle w:val="null3"/>
        <w:jc w:val="both"/>
      </w:pPr>
      <w:r>
        <w:rPr>
          <w:sz w:val="20"/>
        </w:rPr>
        <w:t>上述资料要求提供扫描件，并加盖投标人公章。</w:t>
      </w:r>
    </w:p>
    <w:p>
      <w:pPr>
        <w:pStyle w:val="null3"/>
        <w:jc w:val="both"/>
      </w:pPr>
      <w:r>
        <w:rPr>
          <w:sz w:val="20"/>
        </w:rPr>
        <w:t>七、售后服务：</w:t>
      </w:r>
    </w:p>
    <w:p>
      <w:pPr>
        <w:pStyle w:val="null3"/>
        <w:jc w:val="both"/>
      </w:pPr>
      <w:r>
        <w:rPr>
          <w:sz w:val="20"/>
        </w:rPr>
        <w:t>（一）投标人为采购人提供本地化售后服务。提供固定的具有医学背景的专业人员负责日常送检标本的临床咨询、标本采集培训、标本接收、报告发放、结果咨询等服务。</w:t>
      </w:r>
    </w:p>
    <w:p>
      <w:pPr>
        <w:pStyle w:val="null3"/>
        <w:jc w:val="both"/>
      </w:pPr>
      <w:r>
        <w:rPr>
          <w:sz w:val="20"/>
        </w:rPr>
        <w:t>（二）投标人需提供专门售后服务团队，设立专门联系跟进的人员及</w:t>
      </w:r>
      <w:r>
        <w:rPr>
          <w:sz w:val="20"/>
        </w:rPr>
        <w:t>400（或800或其他专用）联系方式，采购人联系中标人后，涉及售后的相关问题技术支持或工程师需要在12小时内通过电话/邮件/微信进行响应回复，在72小时内对采购人所提出的问题进行解决。如样本的质量出现不合格的情况，需6小时内通过电话/邮件/微信通知采购人，并于7个工作日内予以解决。</w:t>
      </w:r>
    </w:p>
    <w:p>
      <w:pPr>
        <w:pStyle w:val="null3"/>
        <w:jc w:val="both"/>
      </w:pPr>
      <w:r>
        <w:rPr>
          <w:sz w:val="20"/>
        </w:rPr>
        <w:t>（三）投标人提供网上查询服务和提供电话查询服务，以供随时查询进度和结果。</w:t>
      </w:r>
    </w:p>
    <w:p>
      <w:pPr>
        <w:pStyle w:val="null3"/>
        <w:jc w:val="both"/>
      </w:pPr>
      <w:r>
        <w:rPr>
          <w:sz w:val="20"/>
        </w:rPr>
        <w:t>（四）投标人如需召回检测报告的，应在</w:t>
      </w:r>
      <w:r>
        <w:rPr>
          <w:sz w:val="20"/>
        </w:rPr>
        <w:t>24小时内通过一切形式包括电话、邮寄、传真、电子邮件、当面告知等方式通知采购人召回检测报告并通过上述形式提供新的检测报告。因召回检测报告而产生的一切法律责任由投标人承担。</w:t>
      </w:r>
    </w:p>
    <w:p>
      <w:pPr>
        <w:pStyle w:val="null3"/>
        <w:jc w:val="both"/>
      </w:pPr>
      <w:r>
        <w:rPr>
          <w:sz w:val="20"/>
        </w:rPr>
        <w:t>（五）对于检测结果错误或采购人对检测结果提出异议的样本，投标人需按采购人要求进行重新检测，并在采购人提出重新检测要求的</w:t>
      </w:r>
      <w:r>
        <w:rPr>
          <w:sz w:val="20"/>
        </w:rPr>
        <w:t>7个工作日内交付检测结果。</w:t>
      </w:r>
    </w:p>
    <w:p>
      <w:pPr>
        <w:pStyle w:val="null3"/>
        <w:jc w:val="both"/>
      </w:pPr>
      <w:r>
        <w:rPr>
          <w:sz w:val="20"/>
        </w:rPr>
        <w:t>（六）投标人针对本项目提供售后服务方案，内容包括专门售后服务人员的岗位及工作安排、跟进人员、问题改进及措施、解决纠纷及措施、全过程跟进服务的安排。</w:t>
      </w:r>
    </w:p>
    <w:p>
      <w:pPr>
        <w:pStyle w:val="null3"/>
        <w:jc w:val="both"/>
      </w:pPr>
      <w:r>
        <w:rPr>
          <w:sz w:val="20"/>
        </w:rPr>
        <w:t>（七）投标人定期开展与项目相关学术交流、培训，促进采购人的临床项目开展。</w:t>
      </w:r>
    </w:p>
    <w:p>
      <w:pPr>
        <w:pStyle w:val="null3"/>
        <w:jc w:val="both"/>
      </w:pPr>
      <w:r>
        <w:rPr>
          <w:sz w:val="20"/>
        </w:rPr>
        <w:t>（八）投标人向采购人提供每年不少于</w:t>
      </w:r>
      <w:r>
        <w:rPr>
          <w:sz w:val="20"/>
        </w:rPr>
        <w:t>5次的相关业务培训，根据采购人的要求制定培训方式及培训内容，经采购人确认后开展培训课程。</w:t>
      </w:r>
    </w:p>
    <w:p>
      <w:pPr>
        <w:pStyle w:val="null3"/>
        <w:jc w:val="both"/>
      </w:pPr>
      <w:r>
        <w:rPr>
          <w:sz w:val="20"/>
        </w:rPr>
        <w:t>八、应急要求</w:t>
      </w:r>
    </w:p>
    <w:p>
      <w:pPr>
        <w:pStyle w:val="null3"/>
        <w:jc w:val="both"/>
      </w:pPr>
      <w:r>
        <w:rPr>
          <w:sz w:val="20"/>
        </w:rPr>
        <w:t>（一）投标人对样本丢失、数据泄露、漏检、误检、检测失误、样本污染、检测数据异常等情况进行提供针对性的应急防范措施及应对措施。</w:t>
      </w:r>
    </w:p>
    <w:p>
      <w:pPr>
        <w:pStyle w:val="null3"/>
        <w:jc w:val="both"/>
      </w:pPr>
      <w:r>
        <w:rPr>
          <w:sz w:val="20"/>
        </w:rPr>
        <w:t>（二）对项目实施期间可能出现突发的、不可预见的情况，投标人应在接到采购人通知</w:t>
      </w:r>
      <w:r>
        <w:rPr>
          <w:sz w:val="20"/>
        </w:rPr>
        <w:t>2小时内响应，派专职人员与采购人对接，并在4小时内向采购人如实汇报处理措施、进度、处理结果。</w:t>
      </w:r>
    </w:p>
    <w:p>
      <w:pPr>
        <w:pStyle w:val="null3"/>
        <w:jc w:val="both"/>
      </w:pPr>
      <w:r>
        <w:rPr>
          <w:sz w:val="20"/>
        </w:rPr>
        <w:t>（三）投标人应制定应急预案，包括但不限于标本运输应急处理、样本信息异常处理、样本异常处理（样本污染、样本遗失）、结果数据传输异常、质量事故应急处理、检测结果错误应急处理。预案应包括需包括应急人员组织架构、人员职责、各种紧急情况的响应时间、联系方式、各种紧急情况的详细处理流程及紧急情况的预防措施。</w:t>
      </w:r>
    </w:p>
    <w:p>
      <w:pPr>
        <w:pStyle w:val="null3"/>
        <w:jc w:val="both"/>
      </w:pPr>
      <w:r>
        <w:rPr>
          <w:sz w:val="20"/>
        </w:rPr>
        <w:t>（四）中标人能提供送检服务应急措施、具备处理投入本项目核心设备故障、防止检验室或样本污染的能力。有完整的对突发事件、安全事故处理的方案。建立相应质量控制制度，制定相应的质量管理手册</w:t>
      </w:r>
      <w:r>
        <w:rPr>
          <w:sz w:val="20"/>
        </w:rPr>
        <w:t>(或制度等相关内容)。</w:t>
      </w:r>
    </w:p>
    <w:p>
      <w:pPr>
        <w:pStyle w:val="null3"/>
        <w:jc w:val="both"/>
      </w:pPr>
      <w:r>
        <w:rPr>
          <w:sz w:val="20"/>
        </w:rPr>
        <w:t>★九、知识产权及保密信息要求（提供承诺函，格式自拟）</w:t>
      </w:r>
    </w:p>
    <w:p>
      <w:pPr>
        <w:pStyle w:val="null3"/>
        <w:jc w:val="both"/>
      </w:pPr>
      <w:r>
        <w:rPr>
          <w:sz w:val="20"/>
        </w:rPr>
        <w:t>（一）保密信息要求：在本项目服务期限内或者合同终止后中标人都有为采购人保密的义务。在未经采购人书面同意或授权前提下，中标人不得向采购人临床科室工作人员、患者、患者家属及法律或采购人许可的单位或人员以外等的任何第三方泄露采购人委托检测的项目、检测的内容、检测的结果；且不得将本项目所涉及的生物样本、相关数据、技术文件及其他有关信息用于任何目的和</w:t>
      </w:r>
      <w:r>
        <w:rPr>
          <w:sz w:val="20"/>
        </w:rPr>
        <w:t>/或形式的用途。同时中标人对在本项目采购合同有效期内从采购人知悉的关于采购人的一切非公开的保密信息负有保密义务。本项目执行过程中产生的所有知识产权归采购人所有。中标人若违反上述约定，应赔偿采购人损失，并负相关法律责任。本保密条款不因合同终止而终止。</w:t>
      </w:r>
    </w:p>
    <w:p>
      <w:pPr>
        <w:pStyle w:val="null3"/>
        <w:jc w:val="both"/>
      </w:pPr>
      <w:r>
        <w:rPr>
          <w:sz w:val="20"/>
        </w:rPr>
        <w:t>（二）知识产权：检测样本、检测剩余样本、检测数据的所有权、使用权为采购人所有，未经采购人书面许可不得挪作它用。采购人拥有本项目所有数据及相关衍生的所有知识产权。</w:t>
      </w:r>
    </w:p>
    <w:p>
      <w:pPr>
        <w:pStyle w:val="null3"/>
        <w:jc w:val="both"/>
      </w:pPr>
      <w:r>
        <w:rPr>
          <w:sz w:val="20"/>
        </w:rPr>
        <w:t>（三）投标人生物信息安全性要求：中标人在项目实施过程中未经安全审查，不得将国家人类遗传资源信息向境外组织、个人及其设立或实际控制的机构提供或者开放使用。</w:t>
      </w:r>
    </w:p>
    <w:p>
      <w:pPr>
        <w:pStyle w:val="null3"/>
        <w:jc w:val="both"/>
      </w:pPr>
      <w:r>
        <w:rPr>
          <w:sz w:val="20"/>
        </w:rPr>
        <w:t>十、验收要求：</w:t>
      </w:r>
    </w:p>
    <w:p>
      <w:pPr>
        <w:pStyle w:val="null3"/>
        <w:jc w:val="both"/>
      </w:pPr>
      <w:r>
        <w:rPr>
          <w:sz w:val="20"/>
        </w:rPr>
        <w:t>（一）验收标准：</w:t>
      </w:r>
    </w:p>
    <w:p>
      <w:pPr>
        <w:pStyle w:val="null3"/>
        <w:jc w:val="both"/>
      </w:pPr>
      <w:r>
        <w:rPr>
          <w:sz w:val="20"/>
        </w:rPr>
        <w:t>1、符合中华人民共和国国家和履约地相关检测质量标准、行业技术规范标准；</w:t>
      </w:r>
    </w:p>
    <w:p>
      <w:pPr>
        <w:pStyle w:val="null3"/>
        <w:jc w:val="both"/>
      </w:pPr>
      <w:r>
        <w:rPr>
          <w:sz w:val="20"/>
        </w:rPr>
        <w:t>2、符合招标文件和中标人响应承诺中采购人认可的各项要求；</w:t>
      </w:r>
    </w:p>
    <w:p>
      <w:pPr>
        <w:pStyle w:val="null3"/>
        <w:jc w:val="both"/>
      </w:pPr>
      <w:r>
        <w:rPr>
          <w:sz w:val="20"/>
        </w:rPr>
        <w:t>3、项目检测准确性：投标人负责对提供的样品进行检测、建库、测序，负责数据及质控报告交付（按照交付周期要求）。如达不到技术要求，则不予验收，并责令中标人在15个工作日内完成整改，直到整改达标后再予以验收。</w:t>
      </w:r>
    </w:p>
    <w:p>
      <w:pPr>
        <w:pStyle w:val="null3"/>
        <w:jc w:val="both"/>
      </w:pPr>
      <w:r>
        <w:rPr>
          <w:sz w:val="20"/>
        </w:rPr>
        <w:t>（二）为保障本项目进度及完成质量，项目开展后，采购人每月对上个月中标人提供的服务、完成的样本检测进行验收；项目履约期满后，采购人对项目进行验收。</w:t>
      </w:r>
    </w:p>
    <w:p>
      <w:pPr>
        <w:pStyle w:val="null3"/>
        <w:jc w:val="both"/>
      </w:pPr>
      <w:r>
        <w:rPr>
          <w:sz w:val="20"/>
        </w:rPr>
        <w:t>（三）采购人按照以下标准每季度（每三个月为一个季度）对中标人的服务质量进行季度考核，并根据考核结果扣罚中标人的服务费。如发生不良事件，除了扣罚相应标本的服务费，还需给予采购人问题样本费用双倍的赔偿，如项目延期，每延期一日应向采购人赔偿该标本服务费金额（检测项目招标限价</w:t>
      </w:r>
      <w:r>
        <w:rPr>
          <w:sz w:val="20"/>
        </w:rPr>
        <w:t>x折扣）的百分之五。如上季度考核期内发生不良事件3次或以上的，中标人除了承担上述赔偿责任外，采购人可立刻终止合作合同且不承担违约责任。</w:t>
      </w:r>
    </w:p>
    <w:p>
      <w:pPr>
        <w:pStyle w:val="null3"/>
        <w:jc w:val="both"/>
      </w:pPr>
      <w:r>
        <w:rPr>
          <w:sz w:val="20"/>
        </w:rPr>
        <w:t>1、误验例数：每季度不高于1例；</w:t>
      </w:r>
    </w:p>
    <w:p>
      <w:pPr>
        <w:pStyle w:val="null3"/>
        <w:jc w:val="both"/>
      </w:pPr>
      <w:r>
        <w:rPr>
          <w:sz w:val="20"/>
        </w:rPr>
        <w:t>2、漏检例数：每季度少于1例；</w:t>
      </w:r>
    </w:p>
    <w:p>
      <w:pPr>
        <w:pStyle w:val="null3"/>
        <w:jc w:val="both"/>
      </w:pPr>
      <w:r>
        <w:rPr>
          <w:sz w:val="20"/>
        </w:rPr>
        <w:t>3、及时率：结果及时，及时率每季度大于99.5%；</w:t>
      </w:r>
    </w:p>
    <w:p>
      <w:pPr>
        <w:pStyle w:val="null3"/>
        <w:jc w:val="both"/>
      </w:pPr>
      <w:r>
        <w:rPr>
          <w:sz w:val="20"/>
        </w:rPr>
        <w:t>4、误报率：姓名、结果等误报每季度不高于2例；</w:t>
      </w:r>
    </w:p>
    <w:p>
      <w:pPr>
        <w:pStyle w:val="null3"/>
        <w:jc w:val="both"/>
      </w:pPr>
      <w:r>
        <w:rPr>
          <w:sz w:val="20"/>
        </w:rPr>
        <w:t>5、检测样本丢失、运送错误、混淆等问题：每季度不高于1例；</w:t>
      </w:r>
    </w:p>
    <w:p>
      <w:pPr>
        <w:pStyle w:val="null3"/>
        <w:jc w:val="both"/>
      </w:pPr>
      <w:r>
        <w:rPr>
          <w:sz w:val="20"/>
        </w:rPr>
        <w:t>6、如因投标人检测结果与复检结果不一致，造成法律纠纷或经济损失的，由投标人承担纠纷产生的一切法律责任和经济责任。</w:t>
      </w:r>
    </w:p>
    <w:p>
      <w:pPr>
        <w:pStyle w:val="null3"/>
        <w:jc w:val="both"/>
      </w:pPr>
      <w:r>
        <w:rPr>
          <w:sz w:val="20"/>
        </w:rPr>
        <w:t>（四）采购人对中标人进行年度考核，年度考核评价内容分以下三方面：第一，测序质量，考核年度内若发生测序质量不达标事件（包括但不限于测序深度低于目标值、测序碱基错误率高于</w:t>
      </w:r>
      <w:r>
        <w:rPr>
          <w:sz w:val="20"/>
        </w:rPr>
        <w:t>0.4%以及任何原因的重测），每发生一次，扣5分；第二，报告交付，考核年度内若发生报告交付问题（包括但不限于报告延时、误报、漏报、样本丢失、样本混淆），每发生一次，扣5分；第三，售后服务，考核年度内若中标人没有遵守承诺的售后服务标准及响应速度，扣10分；年度总评分八十分或以上为合格。若年度总评分八十分（不含）以下，采购人可单方终止本项目，且有权要求中标人承担违约责任。中标人如对采购人造成经济损失的，还需赔偿采购人遭受的所有的损失。合同签署执行后，如中标人出现连续两个批次技术参数不达标，采购人有权终止合同。</w:t>
      </w:r>
    </w:p>
    <w:p>
      <w:pPr>
        <w:pStyle w:val="null3"/>
        <w:jc w:val="both"/>
      </w:pPr>
      <w:r>
        <w:rPr>
          <w:sz w:val="20"/>
        </w:rPr>
        <w:t>（五）双方约定的其他验收标准。</w:t>
      </w:r>
    </w:p>
    <w:p>
      <w:pPr>
        <w:pStyle w:val="null3"/>
        <w:jc w:val="both"/>
      </w:pPr>
      <w:r>
        <w:rPr>
          <w:sz w:val="20"/>
        </w:rPr>
        <w:t>十一、违约责任</w:t>
      </w:r>
    </w:p>
    <w:p>
      <w:pPr>
        <w:pStyle w:val="null3"/>
        <w:jc w:val="both"/>
      </w:pPr>
      <w:r>
        <w:rPr>
          <w:sz w:val="20"/>
        </w:rPr>
        <w:t>（一）合同履行中发生下列情况之一的，属中标人违约</w:t>
      </w:r>
      <w:r>
        <w:rPr>
          <w:sz w:val="20"/>
        </w:rPr>
        <w:t>:</w:t>
      </w:r>
    </w:p>
    <w:p>
      <w:pPr>
        <w:pStyle w:val="null3"/>
        <w:jc w:val="both"/>
      </w:pPr>
      <w:r>
        <w:rPr>
          <w:sz w:val="20"/>
        </w:rPr>
        <w:t>1、中标人检测报告不符合法律以及卫生行政部门要求的;</w:t>
      </w:r>
    </w:p>
    <w:p>
      <w:pPr>
        <w:pStyle w:val="null3"/>
        <w:jc w:val="both"/>
      </w:pPr>
      <w:r>
        <w:rPr>
          <w:sz w:val="20"/>
        </w:rPr>
        <w:t>2、中标人转包、分包本项目;</w:t>
      </w:r>
    </w:p>
    <w:p>
      <w:pPr>
        <w:pStyle w:val="null3"/>
        <w:jc w:val="both"/>
      </w:pPr>
      <w:r>
        <w:rPr>
          <w:sz w:val="20"/>
        </w:rPr>
        <w:t>3、中标人未按招标文件要求或投标承诺或合同要求完成检测服务;</w:t>
      </w:r>
    </w:p>
    <w:p>
      <w:pPr>
        <w:pStyle w:val="null3"/>
        <w:jc w:val="both"/>
      </w:pPr>
      <w:r>
        <w:rPr>
          <w:sz w:val="20"/>
        </w:rPr>
        <w:t>4、中标人无法履行或停止履行合同;</w:t>
      </w:r>
    </w:p>
    <w:p>
      <w:pPr>
        <w:pStyle w:val="null3"/>
        <w:jc w:val="both"/>
      </w:pPr>
      <w:r>
        <w:rPr>
          <w:sz w:val="20"/>
        </w:rPr>
        <w:t>5、中标人未履行招标文件要求或投标承诺或合同约定的其他义务。</w:t>
      </w:r>
    </w:p>
    <w:p>
      <w:pPr>
        <w:pStyle w:val="null3"/>
        <w:ind w:firstLine="400"/>
      </w:pPr>
      <w:r>
        <w:rPr>
          <w:sz w:val="20"/>
        </w:rPr>
        <w:t>中标人发生上述情况时，采购人向中标人发出整改通知，要求其在限定期限内整改</w:t>
      </w:r>
      <w:r>
        <w:rPr>
          <w:sz w:val="20"/>
        </w:rPr>
        <w:t>;逾期不整改或整改不及格的，采购人有权单方面终止合同，不予退还中标人履约保证金并上报政府采购监管部门，由此引起的一切后果，由中标人承担。中标人须承担由于违约所造成的费用增加、周期延误和采购人损失、采购人维权支出的律师费、诉讼费、鉴定费等合理费用等。</w:t>
      </w:r>
    </w:p>
    <w:p>
      <w:pPr>
        <w:pStyle w:val="null3"/>
      </w:pPr>
      <w:r>
        <w:rPr>
          <w:sz w:val="20"/>
        </w:rPr>
        <w:t>（二）中标人需保证按国家检测规范进行操作，并对来样检测结果负责。如果因检测结果错误而导致发生医疗纠纷</w:t>
      </w:r>
      <w:r>
        <w:rPr>
          <w:sz w:val="20"/>
        </w:rPr>
        <w:t>/事故、医疗过错或其他问题的，中标人承担全部赔偿责任，采购人有权单方终止合同，不予退还中标人履约保证金并上报政府采购监管部门，给采购人造成任何损失的，包括采购人维权支出的律师费、诉讼费、鉴定费等合理费用，中标人应当承担赔偿责任。</w:t>
      </w:r>
    </w:p>
    <w:p>
      <w:pPr>
        <w:pStyle w:val="null3"/>
      </w:pPr>
      <w:r>
        <w:rPr>
          <w:sz w:val="20"/>
        </w:rPr>
        <w:t>（三）如发生样本交叉污染或者样本混淆，中标人须支付采购人问题样本检测费用的双倍赔偿，上述情况一个月发生三次的，采购人有权单方面终止合同，不予退还中标人履约保证金并上报政府采购监管部门，由此引起的一切后果，由中标人承担，</w:t>
      </w:r>
      <w:r>
        <w:rPr>
          <w:sz w:val="20"/>
        </w:rPr>
        <w:t>给采购人造成任何损失的，包括采购人维权支出的律师费、诉讼费、鉴定费等合理费用，中标人应当承担赔偿责任。</w:t>
      </w:r>
    </w:p>
    <w:p>
      <w:pPr>
        <w:pStyle w:val="null3"/>
      </w:pPr>
      <w:r>
        <w:rPr>
          <w:sz w:val="20"/>
        </w:rPr>
        <w:t>（四）如未按招标文件或合同要求的项目交付时间交付数据或报告的，每延期一日中标人向采购人赔偿该样本检测费用金额的百分之一（样本检测费</w:t>
      </w:r>
      <w:r>
        <w:rPr>
          <w:sz w:val="20"/>
        </w:rPr>
        <w:t>x0.01）；如因中标人原因检测报告出现错误的，中标人应当承担相应的法律责任。上述情况（指未按项目交付时间交付数据或报告的）一个月共发生五次及以上的，采购人有权单方面终止合同，不予退还中标人履约保证金并上报政府采购监管部门，由此引起的一切后果，由中标人承担</w:t>
      </w:r>
      <w:r>
        <w:rPr>
          <w:sz w:val="20"/>
        </w:rPr>
        <w:t>，给采购人造成任何损失的，包括采购人维权支出的律师费、诉讼费、鉴定费等合理费用，中标人应当承担赔偿责任。</w:t>
      </w:r>
    </w:p>
    <w:p>
      <w:pPr>
        <w:pStyle w:val="null3"/>
      </w:pPr>
      <w:r>
        <w:rPr>
          <w:sz w:val="20"/>
        </w:rPr>
        <w:t>（五）中标人对采购人送检的合格样本结果负责，对于按照中标人要求取材的样本，若因中标人原因丢失或损坏、污染采购人提供的技术资料、技术数据、文件和其它物品的，采购人有权要求中标人采取补救措施，中标人负责重做的所有费用，并承担采购人的损失及因此引起的一系列后果</w:t>
      </w:r>
      <w:r>
        <w:rPr>
          <w:sz w:val="20"/>
        </w:rPr>
        <w:t>，包括采购人维权支出的律师费、诉讼费、鉴定费等合理费用。</w:t>
      </w:r>
    </w:p>
    <w:p>
      <w:pPr>
        <w:pStyle w:val="null3"/>
      </w:pPr>
      <w:r>
        <w:rPr>
          <w:sz w:val="20"/>
        </w:rPr>
        <w:t>（六）若中标人季度考核连续两次不及格，或一年有三次不及格，采购人有权单方终止合同，不与中标人续签合同，不予退还中标人履约保证金并上报政府采购监管部门，由此引起的一切后果，由中标人承担</w:t>
      </w:r>
      <w:r>
        <w:rPr>
          <w:sz w:val="20"/>
        </w:rPr>
        <w:t>，</w:t>
      </w:r>
      <w:r>
        <w:rPr>
          <w:sz w:val="20"/>
        </w:rPr>
        <w:t>给采购人造成任何损失的，包括采购人维权支出的律师费、诉讼费、鉴定费等合理费用，中标人应当承担赔偿责任。</w:t>
      </w:r>
    </w:p>
    <w:p>
      <w:pPr>
        <w:pStyle w:val="null3"/>
        <w:jc w:val="both"/>
      </w:pPr>
      <w:r>
        <w:rPr>
          <w:sz w:val="20"/>
        </w:rPr>
        <w:t>（七）若中标人年度考核评价八十分以下，采购人有权单方终止合同，并上报政府采购监管部门，采购人不承担违约责任；中标人如对采购人造成经济损失的，需赔偿采购人遭受的所有的损失</w:t>
      </w:r>
      <w:r>
        <w:rPr>
          <w:sz w:val="20"/>
        </w:rPr>
        <w:t>，包括采购人维权支出的律师费、诉讼费、鉴定费等合理费用。</w:t>
      </w:r>
      <w:r>
        <w:rPr>
          <w:sz w:val="20"/>
        </w:rPr>
        <w:t>（八）如在合同期间，由于国家相关政策规定，致使合同不能继续履行的，合同自动终止，双方不承担违约责任。</w:t>
      </w:r>
    </w:p>
    <w:p>
      <w:pPr>
        <w:pStyle w:val="null3"/>
        <w:jc w:val="both"/>
      </w:pPr>
      <w:r>
        <w:rPr>
          <w:sz w:val="20"/>
        </w:rPr>
        <w:t>（九）采购人如发现中标人的检测设备及操作地点与投标承诺不一致的，视为中标人违约，采购人有权单方终止合同，不予退还中标人履约保证金并上报政府采购监管部门，由此引起的一切后果，由中标人承担</w:t>
      </w:r>
      <w:r>
        <w:rPr>
          <w:sz w:val="20"/>
        </w:rPr>
        <w:t>，包括采购人维权支出的律师费、诉讼费、鉴定费等合理费用。</w:t>
      </w:r>
    </w:p>
    <w:p>
      <w:pPr>
        <w:pStyle w:val="null3"/>
      </w:pPr>
      <w:r>
        <w:rPr>
          <w:sz w:val="20"/>
        </w:rPr>
        <w:t>（十）合同履行过程中，采购人对中标人的检测质量进行抽检，如发现中标人的检测技术指标未达到招标文件</w:t>
      </w:r>
      <w:r>
        <w:rPr>
          <w:sz w:val="20"/>
        </w:rPr>
        <w:t>“检测技术指标”要求的，采购人通知中标人限期整改，中标人逾期不整改或整改不及格或采购人再次发现不达标情况的，采购人有权单方终止合同，不予退还中标人履约保证金并上报政府采购监管部门，由此引起的一切后果，由中标人承担，给采购人造成任何损失的，包括采购人维权支出的律师费、诉讼费、鉴定费等合理费用，中标人应当承担赔偿责任。</w:t>
      </w:r>
    </w:p>
    <w:p>
      <w:pPr>
        <w:pStyle w:val="null3"/>
        <w:jc w:val="both"/>
      </w:pPr>
      <w:r>
        <w:rPr>
          <w:sz w:val="20"/>
        </w:rPr>
        <w:t>十二、其他要求</w:t>
      </w:r>
    </w:p>
    <w:p>
      <w:pPr>
        <w:pStyle w:val="null3"/>
        <w:jc w:val="both"/>
      </w:pPr>
      <w:r>
        <w:rPr>
          <w:sz w:val="20"/>
        </w:rPr>
        <w:t>（一）中标人对检测结果进行修正或更改过程中，不受任何诱使或压力的影响，保证检测结果的公正性。</w:t>
      </w:r>
    </w:p>
    <w:p>
      <w:pPr>
        <w:pStyle w:val="null3"/>
        <w:jc w:val="both"/>
      </w:pPr>
      <w:r>
        <w:rPr>
          <w:sz w:val="20"/>
        </w:rPr>
        <w:t>（二）如在合同期间，由于国家相关政策规定，致使合同不能继续履行的，项目自动终止，采购人不承担违约责任。</w:t>
      </w:r>
    </w:p>
    <w:p>
      <w:pPr>
        <w:pStyle w:val="null3"/>
        <w:jc w:val="both"/>
      </w:pPr>
      <w:r>
        <w:rPr>
          <w:sz w:val="20"/>
          <w:b/>
        </w:rPr>
        <w:t>采购包</w:t>
      </w:r>
      <w:r>
        <w:rPr>
          <w:sz w:val="20"/>
          <w:b/>
        </w:rPr>
        <w:t>2：一代测序及引物合成</w:t>
      </w:r>
    </w:p>
    <w:p>
      <w:pPr>
        <w:pStyle w:val="null3"/>
        <w:jc w:val="left"/>
      </w:pPr>
      <w:r>
        <w:rPr>
          <w:sz w:val="20"/>
          <w:b/>
        </w:rPr>
        <w:t>一）服务要求</w:t>
      </w:r>
    </w:p>
    <w:p>
      <w:pPr>
        <w:pStyle w:val="null3"/>
        <w:jc w:val="both"/>
      </w:pPr>
      <w:r>
        <w:rPr>
          <w:sz w:val="20"/>
          <w:b/>
        </w:rPr>
        <w:t>一、</w:t>
      </w:r>
      <w:r>
        <w:rPr>
          <w:sz w:val="20"/>
          <w:b/>
        </w:rPr>
        <w:t>基本要求</w:t>
      </w:r>
    </w:p>
    <w:p>
      <w:pPr>
        <w:pStyle w:val="null3"/>
        <w:jc w:val="both"/>
      </w:pPr>
      <w:r>
        <w:rPr>
          <w:sz w:val="20"/>
        </w:rPr>
        <w:t>★</w:t>
      </w:r>
      <w:r>
        <w:rPr>
          <w:sz w:val="20"/>
        </w:rPr>
        <w:t>投标人应提供相关方案，具体内容应包含</w:t>
      </w:r>
      <w:r>
        <w:rPr>
          <w:sz w:val="20"/>
        </w:rPr>
        <w:t>DNA一代测序的质量控制体系及方法、检验方案、结果判定原则、结果报送要求、引物合成技术服务工作交付形式、引物合成质量要求、工作纪律、应急预案、后续服务等相关内容。具体项目见《表1：</w:t>
      </w:r>
      <w:r>
        <w:rPr>
          <w:sz w:val="20"/>
        </w:rPr>
        <w:t>采购包</w:t>
      </w:r>
      <w:r>
        <w:rPr>
          <w:sz w:val="20"/>
        </w:rPr>
        <w:t>2</w:t>
      </w:r>
      <w:r>
        <w:rPr>
          <w:sz w:val="20"/>
        </w:rPr>
        <w:t>招标项目列表》</w:t>
      </w:r>
      <w:r>
        <w:rPr>
          <w:sz w:val="20"/>
          <w:b/>
        </w:rPr>
        <w:t>。</w:t>
      </w:r>
      <w:r>
        <w:rPr>
          <w:sz w:val="20"/>
        </w:rPr>
        <w:t>投标人须提供书面承诺函，内容包括：</w:t>
      </w:r>
      <w:r>
        <w:rPr>
          <w:sz w:val="20"/>
          <w:b/>
        </w:rPr>
        <w:t>可独立完成以下列表中</w:t>
      </w:r>
      <w:r>
        <w:rPr>
          <w:sz w:val="20"/>
          <w:b/>
        </w:rPr>
        <w:t>所有</w:t>
      </w:r>
      <w:r>
        <w:rPr>
          <w:sz w:val="20"/>
          <w:b/>
        </w:rPr>
        <w:t>检测项目</w:t>
      </w:r>
      <w:r>
        <w:rPr>
          <w:sz w:val="20"/>
          <w:b/>
        </w:rPr>
        <w:t>，且</w:t>
      </w:r>
      <w:r>
        <w:rPr>
          <w:sz w:val="20"/>
        </w:rPr>
        <w:t>按项目交付时间（一代测序次日中午前交付结果，引物合成</w:t>
      </w:r>
      <w:r>
        <w:rPr>
          <w:sz w:val="20"/>
        </w:rPr>
        <w:t>2天以内交付结果）要求向采购人交付数据和引物，特殊检验样本按采购人的要求交付周期进行交付，以上时间以样本到达检测实验室的时间为起点计算。</w:t>
      </w:r>
      <w:r>
        <w:rPr>
          <w:sz w:val="20"/>
          <w:b/>
        </w:rPr>
        <w:t>（注：投标人须提供书面承诺函并加盖投标人公章，格式自定。）</w:t>
      </w:r>
    </w:p>
    <w:p>
      <w:pPr>
        <w:pStyle w:val="null3"/>
        <w:jc w:val="left"/>
      </w:pPr>
      <w:r>
        <w:rPr>
          <w:sz w:val="20"/>
          <w:b/>
        </w:rPr>
        <w:t>表</w:t>
      </w:r>
      <w:r>
        <w:rPr>
          <w:sz w:val="20"/>
          <w:b/>
        </w:rPr>
        <w:t>1：采购包2招标项目列表</w:t>
      </w:r>
    </w:p>
    <w:tbl>
      <w:tblPr>
        <w:tblW w:w="0" w:type="auto"/>
        <w:tblBorders>
          <w:top w:val="none" w:color="000000" w:sz="4"/>
          <w:left w:val="none" w:color="000000" w:sz="4"/>
          <w:bottom w:val="none" w:color="000000" w:sz="4"/>
          <w:right w:val="none" w:color="000000" w:sz="4"/>
          <w:insideH w:val="none"/>
          <w:insideV w:val="none"/>
        </w:tblBorders>
      </w:tblPr>
      <w:tblGrid>
        <w:gridCol w:w="926"/>
        <w:gridCol w:w="2013"/>
        <w:gridCol w:w="1881"/>
        <w:gridCol w:w="3483"/>
      </w:tblGrid>
      <w:tr>
        <w:tc>
          <w:tcPr>
            <w:tcW w:type="dxa" w:w="92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序号</w:t>
            </w:r>
          </w:p>
        </w:tc>
        <w:tc>
          <w:tcPr>
            <w:tcW w:type="dxa" w:w="2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招标项目名称</w:t>
            </w:r>
          </w:p>
        </w:tc>
        <w:tc>
          <w:tcPr>
            <w:tcW w:type="dxa" w:w="18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b/>
              </w:rPr>
              <w:t>招标基准价（元）</w:t>
            </w:r>
          </w:p>
        </w:tc>
        <w:tc>
          <w:tcPr>
            <w:tcW w:type="dxa" w:w="348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项目要求</w:t>
            </w:r>
          </w:p>
        </w:tc>
      </w:tr>
      <w:tr>
        <w:tc>
          <w:tcPr>
            <w:tcW w:type="dxa" w:w="9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2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常规引物合成</w:t>
            </w:r>
            <w:r>
              <w:rPr>
                <w:sz w:val="20"/>
              </w:rPr>
              <w:t>1</w:t>
            </w:r>
          </w:p>
        </w:tc>
        <w:tc>
          <w:tcPr>
            <w:tcW w:type="dxa" w:w="1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0.5元/BP</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15-59BP（1-4ODC18DSL脱盐纯化）</w:t>
            </w:r>
          </w:p>
        </w:tc>
      </w:tr>
      <w:tr>
        <w:tc>
          <w:tcPr>
            <w:tcW w:type="dxa" w:w="9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2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常规引物合成</w:t>
            </w:r>
            <w:r>
              <w:rPr>
                <w:sz w:val="20"/>
              </w:rPr>
              <w:t>2</w:t>
            </w:r>
          </w:p>
        </w:tc>
        <w:tc>
          <w:tcPr>
            <w:tcW w:type="dxa" w:w="1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0.8元/BP</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15-59BP（1-4ODPage纯化）</w:t>
            </w:r>
          </w:p>
        </w:tc>
      </w:tr>
      <w:tr>
        <w:tc>
          <w:tcPr>
            <w:tcW w:type="dxa" w:w="9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2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常规引物合成</w:t>
            </w:r>
            <w:r>
              <w:rPr>
                <w:sz w:val="20"/>
              </w:rPr>
              <w:t>3</w:t>
            </w:r>
          </w:p>
        </w:tc>
        <w:tc>
          <w:tcPr>
            <w:tcW w:type="dxa" w:w="1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0.7元/BP</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15-59BP（1-4ODPageplus纯化）</w:t>
            </w:r>
          </w:p>
        </w:tc>
      </w:tr>
      <w:tr>
        <w:tc>
          <w:tcPr>
            <w:tcW w:type="dxa" w:w="9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w:t>
            </w:r>
          </w:p>
        </w:tc>
        <w:tc>
          <w:tcPr>
            <w:tcW w:type="dxa" w:w="2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常规引物合成</w:t>
            </w:r>
            <w:r>
              <w:rPr>
                <w:sz w:val="20"/>
              </w:rPr>
              <w:t>4</w:t>
            </w:r>
          </w:p>
        </w:tc>
        <w:tc>
          <w:tcPr>
            <w:tcW w:type="dxa" w:w="1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1.5元/BP</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60-80BP(1-2ODPage纯化)</w:t>
            </w:r>
          </w:p>
        </w:tc>
      </w:tr>
      <w:tr>
        <w:tc>
          <w:tcPr>
            <w:tcW w:type="dxa" w:w="9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2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修饰引物合成</w:t>
            </w:r>
          </w:p>
        </w:tc>
        <w:tc>
          <w:tcPr>
            <w:tcW w:type="dxa" w:w="1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180元/基团</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磷酸修饰、</w:t>
            </w:r>
            <w:r>
              <w:rPr>
                <w:sz w:val="20"/>
              </w:rPr>
              <w:t>FAM修饰等</w:t>
            </w:r>
          </w:p>
        </w:tc>
      </w:tr>
      <w:tr>
        <w:tc>
          <w:tcPr>
            <w:tcW w:type="dxa" w:w="9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c>
          <w:tcPr>
            <w:tcW w:type="dxa" w:w="2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一代测序</w:t>
            </w:r>
          </w:p>
        </w:tc>
        <w:tc>
          <w:tcPr>
            <w:tcW w:type="dxa" w:w="1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12元/反应</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一个反应的精确读序</w:t>
            </w:r>
            <w:r>
              <w:rPr>
                <w:sz w:val="20"/>
              </w:rPr>
              <w:t>&gt;800bp，有效读序&gt;900bp</w:t>
            </w:r>
          </w:p>
        </w:tc>
      </w:tr>
    </w:tbl>
    <w:p>
      <w:pPr>
        <w:pStyle w:val="null3"/>
        <w:jc w:val="both"/>
      </w:pPr>
      <w:r>
        <w:rPr>
          <w:sz w:val="20"/>
        </w:rPr>
        <w:t>注：本项目按实结算，累计结算总金额不超过本采购包采购预算人民币</w:t>
      </w:r>
      <w:r>
        <w:rPr>
          <w:sz w:val="20"/>
        </w:rPr>
        <w:t>300万元。采购人是按需采购，以合同期内实际检测量为准，采购人不保证最低检测数量，采购人实际检测量低于预估量的，不视为采购人违约，投标人应自行综合考虑潜在风险且若中标须自行承担。</w:t>
      </w:r>
    </w:p>
    <w:p>
      <w:pPr>
        <w:pStyle w:val="null3"/>
        <w:jc w:val="both"/>
      </w:pPr>
      <w:r>
        <w:rPr>
          <w:sz w:val="20"/>
          <w:b/>
        </w:rPr>
        <w:t>二、收样阶段</w:t>
      </w:r>
    </w:p>
    <w:p>
      <w:pPr>
        <w:pStyle w:val="null3"/>
        <w:ind w:firstLine="400"/>
        <w:jc w:val="both"/>
      </w:pPr>
      <w:r>
        <w:rPr>
          <w:sz w:val="20"/>
        </w:rPr>
        <w:t>1.投标人必须配备符合《GB/T 42186-2022 医学检验生物样本冷链物流运作规范》国家标准的物流标本箱，且具备GPS定位和温度监控功能，可实现全程实时监测。每日下午17点之前（遇特殊标本投标人应在采购人通知后4小时内上门收取标本）由专职物流人员至接收标本院区按照样本类型分别对常温样本及冷藏样本进行分类，检查样本状态是否存在漏液、污染等情况，检查无问题后装入样本运转箱。若发现问题需及时与采购人沟通解决。接收标本院区包括广州医科大学附属妇女儿童医疗中心下属各院区：珠江新城院区，增城院区，儿童院区，妇婴院区，白云院区。</w:t>
      </w:r>
    </w:p>
    <w:p>
      <w:pPr>
        <w:pStyle w:val="null3"/>
        <w:ind w:firstLine="400"/>
        <w:jc w:val="both"/>
      </w:pPr>
      <w:r>
        <w:rPr>
          <w:sz w:val="20"/>
        </w:rPr>
        <w:t>2.投标人应有完善的应急预案予以妥善解决标本在送检过程中出现延迟、遗漏、丢失等情况。若出现样本丢失或延误、错误情况，需要中标人根据应急预案，查找原因，及时找回样本，并将丢失原因及查找结果及时告知采购人，若出现标本延迟、遗漏、丢失等情况，中标人需承担重采样本的费用，并承担相应的责任。</w:t>
      </w:r>
    </w:p>
    <w:p>
      <w:pPr>
        <w:pStyle w:val="null3"/>
        <w:ind w:firstLine="400"/>
        <w:jc w:val="both"/>
      </w:pPr>
      <w:r>
        <w:rPr>
          <w:sz w:val="20"/>
        </w:rPr>
        <w:t>3.投标人需提供或建立标本流转系统，样本流转系统中体现标本送出、运送人员及接收时间等信息，可实时追踪监测标本。同时，确保送检方可以独立账号登录该系统，并查阅名下样本运输、检测、报告及异常情况处置进度等信息。投标人在接收检测样本时需做好相关记录、标记，并将名称录入公司样本系统，每个样本要生成唯一的样本条码，后续提取，检测需根据条码扫描核实，确保样本不会出错。</w:t>
      </w:r>
    </w:p>
    <w:p>
      <w:pPr>
        <w:pStyle w:val="null3"/>
        <w:jc w:val="both"/>
      </w:pPr>
      <w:r>
        <w:rPr>
          <w:sz w:val="20"/>
          <w:b/>
        </w:rPr>
        <w:t>三、样本运输</w:t>
      </w:r>
    </w:p>
    <w:p>
      <w:pPr>
        <w:pStyle w:val="null3"/>
        <w:ind w:right="60"/>
        <w:jc w:val="both"/>
      </w:pPr>
      <w:r>
        <w:rPr>
          <w:sz w:val="20"/>
        </w:rPr>
        <w:t>1.投标人拥有冷链物流团队，并且提供冷链方案，样本接收人员须通过投标人的内部严格培训，具备生物防护能力及持有投标人的授权；投标人指派的专职物流人员保证受委托检验标本根据标本转运要求，进行冷链或常温物流运输，且符合《GB/T28577-2021冷链物流分类与基本要求》与生物安全要求，确保运输过程的样品质量和环境安全；若发现问题需及时与采购人沟通解决。</w:t>
      </w:r>
      <w:r>
        <w:rPr>
          <w:sz w:val="20"/>
          <w:b/>
        </w:rPr>
        <w:t>注：须提供上述相关证明文件的复印件并加盖投标人公章。</w:t>
      </w:r>
    </w:p>
    <w:p>
      <w:pPr>
        <w:pStyle w:val="null3"/>
        <w:jc w:val="both"/>
      </w:pPr>
      <w:r>
        <w:rPr>
          <w:sz w:val="20"/>
        </w:rPr>
        <w:t>2.样本要求接收后12小时内转运至检测实验室，以保障检测时效性。</w:t>
      </w:r>
    </w:p>
    <w:p>
      <w:pPr>
        <w:pStyle w:val="null3"/>
        <w:jc w:val="both"/>
      </w:pPr>
      <w:r>
        <w:rPr>
          <w:sz w:val="20"/>
        </w:rPr>
        <w:t>3.检测样本、检测数据的所有权、使用权为采购人所有，未经采购人书面许可不得挪作它用。</w:t>
      </w:r>
    </w:p>
    <w:p>
      <w:pPr>
        <w:pStyle w:val="null3"/>
        <w:jc w:val="both"/>
      </w:pPr>
      <w:r>
        <w:rPr>
          <w:sz w:val="20"/>
          <w:b/>
        </w:rPr>
        <w:t>四、样本类型</w:t>
      </w:r>
    </w:p>
    <w:p>
      <w:pPr>
        <w:pStyle w:val="null3"/>
        <w:jc w:val="both"/>
      </w:pPr>
      <w:r>
        <w:rPr>
          <w:sz w:val="20"/>
        </w:rPr>
        <w:t>样本要求：质粒、菌液</w:t>
      </w:r>
      <w:r>
        <w:rPr>
          <w:sz w:val="20"/>
        </w:rPr>
        <w:t>/菌板、PCR产物等。</w:t>
      </w:r>
    </w:p>
    <w:p>
      <w:pPr>
        <w:pStyle w:val="null3"/>
        <w:jc w:val="both"/>
      </w:pPr>
      <w:r>
        <w:rPr>
          <w:sz w:val="20"/>
          <w:b/>
        </w:rPr>
        <w:t>五、硬件设备要求</w:t>
      </w:r>
    </w:p>
    <w:p>
      <w:pPr>
        <w:pStyle w:val="null3"/>
        <w:jc w:val="both"/>
      </w:pPr>
      <w:r>
        <w:rPr>
          <w:sz w:val="20"/>
        </w:rPr>
        <w:t>★1.投标人实验室需配备至少一台一代测序仪。</w:t>
      </w:r>
      <w:r>
        <w:rPr>
          <w:sz w:val="20"/>
          <w:b/>
        </w:rPr>
        <w:t>注：需提供实物图片</w:t>
      </w:r>
      <w:r>
        <w:rPr>
          <w:sz w:val="20"/>
          <w:b/>
        </w:rPr>
        <w:t>+发票或实物图片+合同；如是租赁的，需提供实物图片+租赁合同，并加盖投标人公章。</w:t>
      </w:r>
    </w:p>
    <w:p>
      <w:pPr>
        <w:pStyle w:val="null3"/>
        <w:jc w:val="both"/>
      </w:pPr>
      <w:r>
        <w:rPr>
          <w:sz w:val="20"/>
        </w:rPr>
        <w:t>▲2.投标人实验室需配备至少一台合成仪、氨解仪、酶标仪、分光光度计、高效液相色谱仪。</w:t>
      </w:r>
      <w:r>
        <w:rPr>
          <w:sz w:val="20"/>
          <w:b/>
        </w:rPr>
        <w:t>注：需提供实物图片</w:t>
      </w:r>
      <w:r>
        <w:rPr>
          <w:sz w:val="20"/>
          <w:b/>
        </w:rPr>
        <w:t>+发票或实物图片+合同；如是租赁的，需提供实物图片+租赁合同并加盖投标人公章</w:t>
      </w:r>
      <w:r>
        <w:rPr>
          <w:sz w:val="20"/>
        </w:rPr>
        <w:t>。</w:t>
      </w:r>
    </w:p>
    <w:p>
      <w:pPr>
        <w:pStyle w:val="null3"/>
        <w:jc w:val="both"/>
      </w:pPr>
      <w:r>
        <w:rPr>
          <w:sz w:val="20"/>
        </w:rPr>
        <w:t>3.投标人需提供承诺函，内容包括明确具体操作地点及承诺实际操作时的检测设备与以上投标承诺一致。</w:t>
      </w:r>
    </w:p>
    <w:p>
      <w:pPr>
        <w:pStyle w:val="null3"/>
        <w:jc w:val="both"/>
      </w:pPr>
      <w:r>
        <w:rPr>
          <w:sz w:val="20"/>
          <w:b/>
        </w:rPr>
        <w:t>六、检测技术指标</w:t>
      </w:r>
    </w:p>
    <w:p>
      <w:pPr>
        <w:pStyle w:val="null3"/>
        <w:ind w:left="15" w:right="75" w:firstLine="10"/>
        <w:jc w:val="both"/>
      </w:pPr>
      <w:r>
        <w:rPr>
          <w:sz w:val="20"/>
        </w:rPr>
        <w:t>▲（1）引物合成相关项目：应建立完善的测序引物保存机制，如建立测序引物库及常用测序引物长期分类保存。</w:t>
      </w:r>
      <w:r>
        <w:rPr>
          <w:sz w:val="20"/>
          <w:b/>
        </w:rPr>
        <w:t>注：投标人需提供</w:t>
      </w:r>
      <w:r>
        <w:rPr>
          <w:sz w:val="20"/>
        </w:rPr>
        <w:t>引物长期分类保存方案、记录文件及承诺函</w:t>
      </w:r>
      <w:r>
        <w:rPr>
          <w:sz w:val="20"/>
          <w:b/>
        </w:rPr>
        <w:t>加盖投标人公章予以证明。</w:t>
      </w:r>
    </w:p>
    <w:p>
      <w:pPr>
        <w:pStyle w:val="null3"/>
        <w:ind w:left="15" w:right="75" w:firstLine="10"/>
        <w:jc w:val="both"/>
      </w:pPr>
      <w:r>
        <w:rPr>
          <w:sz w:val="20"/>
        </w:rPr>
        <w:t>★（2）测序目的信号强度应该在500-2000fu，噪音信号应该控制在0-15fu，精确读序&gt;800bp，有效读序&gt;900bp，QV20+和CRL值&gt;1000，要求测序峰形图单一、清晰、明确，对所有测序序列评分，要求测序评分3分以上。（5分无任何背景峰；4分有一些背景峰但不影响结果判断；3分背景峰较高，但双向均可明显判断结果；3分以下为不可接受结果），测序结果准确率高（≥98%），并提供测序原始峰图。</w:t>
      </w:r>
      <w:r>
        <w:rPr>
          <w:sz w:val="20"/>
          <w:b/>
        </w:rPr>
        <w:t>注：投标人需提供报告单和质检报告并加盖投标人公章予以证明。</w:t>
      </w:r>
    </w:p>
    <w:p>
      <w:pPr>
        <w:pStyle w:val="null3"/>
        <w:ind w:left="15" w:right="75" w:firstLine="10"/>
        <w:jc w:val="both"/>
      </w:pPr>
      <w:r>
        <w:rPr>
          <w:sz w:val="20"/>
        </w:rPr>
        <w:t>★（3）具备应对HighGC、ATrich、发夹结构、重复序列等复杂情况的解决方案。</w:t>
      </w:r>
      <w:r>
        <w:rPr>
          <w:sz w:val="20"/>
          <w:b/>
        </w:rPr>
        <w:t>注：投标人需提供报告单和质检报告并加盖投标人公章予以证明。</w:t>
      </w:r>
    </w:p>
    <w:p>
      <w:pPr>
        <w:pStyle w:val="null3"/>
        <w:jc w:val="left"/>
      </w:pPr>
      <w:r>
        <w:rPr>
          <w:sz w:val="20"/>
          <w:b/>
          <w:color w:val="000000"/>
        </w:rPr>
        <w:t>▲（4）投标人须承诺拥有MLPA、qPCR平台，具备对指定病种的缺失重复变异验证的能力。注：投标人需提供承诺函及拥有MLPA、qPCR平台的证明资料，并加盖投标人公章。</w:t>
      </w:r>
    </w:p>
    <w:p>
      <w:pPr>
        <w:pStyle w:val="null3"/>
        <w:ind w:left="120"/>
        <w:jc w:val="both"/>
      </w:pPr>
      <w:r>
        <w:rPr>
          <w:sz w:val="20"/>
          <w:b/>
        </w:rPr>
        <w:t>七、</w:t>
      </w:r>
      <w:r>
        <w:rPr>
          <w:sz w:val="20"/>
          <w:b/>
        </w:rPr>
        <w:t>测序数据分析处理能力</w:t>
      </w:r>
    </w:p>
    <w:p>
      <w:pPr>
        <w:pStyle w:val="null3"/>
        <w:jc w:val="both"/>
      </w:pPr>
      <w:r>
        <w:rPr>
          <w:sz w:val="20"/>
        </w:rPr>
        <w:t>数据分析过程采用第三方分析软件（</w:t>
      </w:r>
      <w:r>
        <w:rPr>
          <w:sz w:val="20"/>
        </w:rPr>
        <w:t>MutationSurveyor、Chromas等）进行分析。</w:t>
      </w:r>
    </w:p>
    <w:p>
      <w:pPr>
        <w:pStyle w:val="null3"/>
        <w:ind w:left="30"/>
        <w:jc w:val="both"/>
      </w:pPr>
      <w:r>
        <w:rPr>
          <w:sz w:val="20"/>
          <w:b/>
        </w:rPr>
        <w:t>八、交付内容</w:t>
      </w:r>
    </w:p>
    <w:p>
      <w:pPr>
        <w:pStyle w:val="null3"/>
        <w:ind w:left="30"/>
        <w:jc w:val="both"/>
      </w:pPr>
      <w:r>
        <w:rPr>
          <w:sz w:val="20"/>
        </w:rPr>
        <w:t>检测结果交付：测序项目以</w:t>
      </w:r>
      <w:r>
        <w:rPr>
          <w:sz w:val="20"/>
        </w:rPr>
        <w:t>“合成的引物”及“一代测序原始数据”（引物交付形式为粉末和液体，数据交付格式为ab1，中标人指派专人将引物或数据交付到采购人指定地点）作为主要检测交付内容；引物及数据应在承诺的交付周期内交付。</w:t>
      </w:r>
    </w:p>
    <w:p>
      <w:pPr>
        <w:pStyle w:val="null3"/>
        <w:jc w:val="both"/>
      </w:pPr>
      <w:r>
        <w:rPr>
          <w:sz w:val="20"/>
          <w:b/>
        </w:rPr>
        <w:t>★九、剩余样本保存</w:t>
      </w:r>
    </w:p>
    <w:p>
      <w:pPr>
        <w:pStyle w:val="null3"/>
        <w:jc w:val="both"/>
      </w:pPr>
      <w:r>
        <w:rPr>
          <w:sz w:val="20"/>
        </w:rPr>
        <w:t>检测完成后，中标人须提供不少于</w:t>
      </w:r>
      <w:r>
        <w:rPr>
          <w:sz w:val="20"/>
        </w:rPr>
        <w:t>3个月的样本（包括剩余原始样本以及检测后剩余核酸样本）保存服务。中标人在保存样本时，须对样本进行一一对应标记及专用样本存储处进行低温（-20℃~-80℃)保存，标记需清晰，以便采购人有需要可随时进行调档.如采购人需要，投标人需按采购人要求在规定时间内返还保存的样本（中标人指派专人通过冷链运输的方式将数据交付到采购人指定地点）。由此过程中产生的一切费用均由中标人承担。</w:t>
      </w:r>
    </w:p>
    <w:p>
      <w:pPr>
        <w:pStyle w:val="null3"/>
        <w:jc w:val="both"/>
      </w:pPr>
      <w:r>
        <w:rPr>
          <w:sz w:val="20"/>
          <w:b/>
        </w:rPr>
        <w:t>★十、数据储存及数据安全保障</w:t>
      </w:r>
    </w:p>
    <w:p>
      <w:pPr>
        <w:pStyle w:val="null3"/>
        <w:jc w:val="both"/>
      </w:pPr>
      <w:r>
        <w:rPr>
          <w:sz w:val="20"/>
        </w:rPr>
        <w:t>1.数据交付后，中标人须提供不少于36个月（服务期内）的数据存储服务。中标人须对样本数据进行对应标记及专用保密方式存储，以便采购人有需要时可随时调档；36个月（服务期满）后根据采购人的书面通知进行无保留的移交（中标人指派专人通过移动硬盘的方式将数据交付到采购人指定地点）且对已移交的样本数据情况进行无痕清除处理。由此产生的一切费用均由中标人承担。</w:t>
      </w:r>
      <w:r>
        <w:rPr>
          <w:sz w:val="20"/>
          <w:b/>
        </w:rPr>
        <w:t>（注：投标人须提供书面承诺函并加盖投标人公章，格式自定。）</w:t>
      </w:r>
    </w:p>
    <w:p>
      <w:pPr>
        <w:pStyle w:val="null3"/>
        <w:jc w:val="both"/>
      </w:pPr>
      <w:r>
        <w:rPr>
          <w:sz w:val="20"/>
          <w:b/>
        </w:rPr>
        <w:t>2.</w:t>
      </w:r>
      <w:r>
        <w:rPr>
          <w:sz w:val="20"/>
        </w:rPr>
        <w:t>针对本项目数据安全管理，隐私信息保护，数据泄露保护，投标人提供成熟解决方案，具备异地数据备份功能，可为采购人提供本地化数据储存和访问服务，全部数据只允许在中国大陆备份。</w:t>
      </w:r>
      <w:r>
        <w:rPr>
          <w:sz w:val="20"/>
          <w:b/>
        </w:rPr>
        <w:t>（注：投标人须提供书面承诺函并加盖投标人公章，格式自定。）</w:t>
      </w:r>
    </w:p>
    <w:p>
      <w:pPr>
        <w:pStyle w:val="null3"/>
        <w:jc w:val="both"/>
      </w:pPr>
      <w:r>
        <w:rPr>
          <w:sz w:val="20"/>
          <w:b/>
        </w:rPr>
        <w:t>二）商务要求</w:t>
      </w:r>
    </w:p>
    <w:p>
      <w:pPr>
        <w:pStyle w:val="null3"/>
        <w:jc w:val="both"/>
      </w:pPr>
      <w:r>
        <w:rPr>
          <w:sz w:val="20"/>
        </w:rPr>
        <w:t>★一、独立投标：投标人的实验室需满足该标的对实验设备及分析流程的要求，独立完成该标的所有检测项目。不允许联合该投标人外的任何机构提供投标所需硬件设备及资质等，不允许投标人分包或外包完成标的中任一环节。</w:t>
      </w:r>
      <w:r>
        <w:rPr>
          <w:sz w:val="20"/>
          <w:b/>
        </w:rPr>
        <w:t>（提供承诺函并加盖投标人公章，格式自定）</w:t>
      </w:r>
    </w:p>
    <w:p>
      <w:pPr>
        <w:pStyle w:val="null3"/>
        <w:jc w:val="both"/>
      </w:pPr>
      <w:r>
        <w:rPr>
          <w:sz w:val="20"/>
        </w:rPr>
        <w:t>二、投标人所投入的专职人员的要求：</w:t>
      </w:r>
    </w:p>
    <w:p>
      <w:pPr>
        <w:pStyle w:val="null3"/>
        <w:jc w:val="both"/>
      </w:pPr>
      <w:r>
        <w:rPr>
          <w:sz w:val="20"/>
        </w:rPr>
        <w:t>★（一）为本项目配备的服务人员中：①提供至少2名生物类专业技术人员（提供相关专业人员的毕业证书，为生物类专业）。②提供2名或以上具有卫生行政部门指定机构技术培训颁发的临床基因扩增检验技术培训合格证明的人员。（注：①~②同一人员不重复计算；提供①~②的拟派服务人员的对应证书证明及社保证明，复印件并加盖投标人公章。）注：须提供上述人员相关证明材料复印件及投标截止日前6个月内任意1个月在投标人单位购买社保的证明材料复印件(退休返聘人员须提供聘用合同复印件)并加盖投标人公章。</w:t>
      </w:r>
    </w:p>
    <w:p>
      <w:pPr>
        <w:pStyle w:val="null3"/>
        <w:jc w:val="both"/>
      </w:pPr>
      <w:r>
        <w:rPr>
          <w:sz w:val="20"/>
        </w:rPr>
        <w:t>（二）为本项目配备的上述服务人员中：投标人所提供专业技术人员中至少有</w:t>
      </w:r>
      <w:r>
        <w:rPr>
          <w:sz w:val="20"/>
        </w:rPr>
        <w:t>2名从事一代测序或引物合成工作经验5年及以上，具备中级</w:t>
      </w:r>
      <w:r>
        <w:rPr>
          <w:sz w:val="19"/>
        </w:rPr>
        <w:t>或以上生物类相关</w:t>
      </w:r>
      <w:r>
        <w:rPr>
          <w:sz w:val="20"/>
        </w:rPr>
        <w:t>专业技术职称证书；（注：拟派服务人员技术资格证、工作合同证明或相关的证明材料复印件并加盖投标人公章。）</w:t>
      </w:r>
    </w:p>
    <w:p>
      <w:pPr>
        <w:pStyle w:val="null3"/>
        <w:jc w:val="both"/>
      </w:pPr>
      <w:r>
        <w:rPr>
          <w:sz w:val="20"/>
        </w:rPr>
        <w:t>三、服务地点：采购人指定地点，包括广州医科大学附属妇女儿童医疗中心珠江新城院区，儿童院区，妇婴院区，增城院区，白云院区等。</w:t>
      </w:r>
    </w:p>
    <w:p>
      <w:pPr>
        <w:pStyle w:val="null3"/>
        <w:jc w:val="both"/>
      </w:pPr>
      <w:r>
        <w:rPr>
          <w:sz w:val="20"/>
        </w:rPr>
        <w:t>1、珠江新城院区：广州市天河区金穗路9号；</w:t>
      </w:r>
    </w:p>
    <w:p>
      <w:pPr>
        <w:pStyle w:val="null3"/>
        <w:jc w:val="both"/>
      </w:pPr>
      <w:r>
        <w:rPr>
          <w:sz w:val="20"/>
        </w:rPr>
        <w:t>2、儿童院区：广州市越秀区人民中路318号；</w:t>
      </w:r>
    </w:p>
    <w:p>
      <w:pPr>
        <w:pStyle w:val="null3"/>
        <w:jc w:val="both"/>
      </w:pPr>
      <w:r>
        <w:rPr>
          <w:sz w:val="20"/>
        </w:rPr>
        <w:t>3、妇婴院区：广州市越秀区人民中路402号；</w:t>
      </w:r>
    </w:p>
    <w:p>
      <w:pPr>
        <w:pStyle w:val="null3"/>
        <w:jc w:val="both"/>
      </w:pPr>
      <w:r>
        <w:rPr>
          <w:sz w:val="20"/>
        </w:rPr>
        <w:t>4、增城院区：广州市增城区增城大道293号；</w:t>
      </w:r>
    </w:p>
    <w:p>
      <w:pPr>
        <w:pStyle w:val="null3"/>
        <w:jc w:val="both"/>
      </w:pPr>
      <w:r>
        <w:rPr>
          <w:sz w:val="20"/>
        </w:rPr>
        <w:t>5、白云院区：广州市白云区新达路91号、93号。</w:t>
      </w:r>
    </w:p>
    <w:p>
      <w:pPr>
        <w:pStyle w:val="null3"/>
        <w:jc w:val="both"/>
      </w:pPr>
      <w:r>
        <w:rPr>
          <w:sz w:val="20"/>
        </w:rPr>
        <w:t>★四、报价要求：</w:t>
      </w:r>
    </w:p>
    <w:p>
      <w:pPr>
        <w:pStyle w:val="null3"/>
        <w:jc w:val="both"/>
      </w:pPr>
      <w:r>
        <w:rPr>
          <w:sz w:val="20"/>
        </w:rPr>
        <w:t>（一）投标人根据《表</w:t>
      </w:r>
      <w:r>
        <w:rPr>
          <w:sz w:val="20"/>
        </w:rPr>
        <w:t>1：采购包2招标项目列表》检测项目招标基准价为基准，报出统一的折扣率，折扣率范围：0&lt;折扣率≤85%，且该折扣率必须为固定数值，不接受区间报价（如30%~40%）。</w:t>
      </w:r>
    </w:p>
    <w:p>
      <w:pPr>
        <w:pStyle w:val="null3"/>
        <w:jc w:val="both"/>
      </w:pPr>
      <w:r>
        <w:rPr>
          <w:sz w:val="20"/>
        </w:rPr>
        <w:t>（二）投标报价应为人民币含税全包价。投标人的投标折扣率报价不能为负数或零。投标报价包括但不限于：</w:t>
      </w:r>
    </w:p>
    <w:p>
      <w:pPr>
        <w:pStyle w:val="null3"/>
        <w:jc w:val="both"/>
      </w:pPr>
      <w:r>
        <w:rPr>
          <w:sz w:val="20"/>
        </w:rPr>
        <w:t>（</w:t>
      </w:r>
      <w:r>
        <w:rPr>
          <w:sz w:val="20"/>
        </w:rPr>
        <w:t>1）本项目服务实施过程中涉及的相关检验设备使用，分析平台及试剂试纸耗材等费用。</w:t>
      </w:r>
    </w:p>
    <w:p>
      <w:pPr>
        <w:pStyle w:val="null3"/>
        <w:jc w:val="both"/>
      </w:pPr>
      <w:r>
        <w:rPr>
          <w:sz w:val="20"/>
        </w:rPr>
        <w:t>（</w:t>
      </w:r>
      <w:r>
        <w:rPr>
          <w:sz w:val="20"/>
        </w:rPr>
        <w:t>2）样本运输，结果数据传输，与采购人系统对接，剩余样本保存，数据保存等完成本项目一切可见或不可预见的费用。一切可见或不可见之车辆养路费、车辆保险费、车辆保养、维修、燃油费车辆设备折旧费、所有设备的维护费和清洁费、水电费。</w:t>
      </w:r>
    </w:p>
    <w:p>
      <w:pPr>
        <w:pStyle w:val="null3"/>
        <w:jc w:val="both"/>
      </w:pPr>
      <w:r>
        <w:rPr>
          <w:sz w:val="20"/>
        </w:rPr>
        <w:t>（</w:t>
      </w:r>
      <w:r>
        <w:rPr>
          <w:sz w:val="20"/>
        </w:rPr>
        <w:t>3）人员工资、社保、保险、福利、管理费、风险费、税费、利润等所有费用。</w:t>
      </w:r>
    </w:p>
    <w:p>
      <w:pPr>
        <w:pStyle w:val="null3"/>
        <w:jc w:val="both"/>
      </w:pPr>
      <w:r>
        <w:rPr>
          <w:sz w:val="20"/>
        </w:rPr>
        <w:t>（</w:t>
      </w:r>
      <w:r>
        <w:rPr>
          <w:sz w:val="20"/>
        </w:rPr>
        <w:t>4）投标人报价中须包括所投采购包检验项目中的全部项目。</w:t>
      </w:r>
    </w:p>
    <w:p>
      <w:pPr>
        <w:pStyle w:val="null3"/>
        <w:jc w:val="both"/>
      </w:pPr>
      <w:r>
        <w:rPr>
          <w:sz w:val="20"/>
        </w:rPr>
        <w:t>五、付款方式：</w:t>
      </w:r>
    </w:p>
    <w:p>
      <w:pPr>
        <w:pStyle w:val="null3"/>
        <w:jc w:val="both"/>
      </w:pPr>
      <w:r>
        <w:rPr>
          <w:sz w:val="20"/>
        </w:rPr>
        <w:t>（</w:t>
      </w:r>
      <w:r>
        <w:rPr>
          <w:sz w:val="20"/>
        </w:rPr>
        <w:t>1）采购人以银行转账形式每月按实结算，根据每月检测项目和数量，按中标折扣</w:t>
      </w:r>
      <w:r>
        <w:rPr>
          <w:sz w:val="20"/>
        </w:rPr>
        <w:t>率</w:t>
      </w:r>
      <w:r>
        <w:rPr>
          <w:sz w:val="20"/>
        </w:rPr>
        <w:t>结算，实际结算款</w:t>
      </w:r>
      <w:r>
        <w:rPr>
          <w:sz w:val="20"/>
        </w:rPr>
        <w:t>=∑【对应检测项目的招标</w:t>
      </w:r>
      <w:r>
        <w:rPr>
          <w:sz w:val="20"/>
        </w:rPr>
        <w:t>基准</w:t>
      </w:r>
      <w:r>
        <w:rPr>
          <w:sz w:val="20"/>
        </w:rPr>
        <w:t>价</w:t>
      </w:r>
      <w:r>
        <w:rPr>
          <w:sz w:val="20"/>
        </w:rPr>
        <w:t>×中标折扣</w:t>
      </w:r>
      <w:r>
        <w:rPr>
          <w:sz w:val="20"/>
        </w:rPr>
        <w:t>率</w:t>
      </w:r>
      <w:r>
        <w:rPr>
          <w:sz w:val="20"/>
        </w:rPr>
        <w:t>×实际采购数量】。经采购人确认后，中标人于次月15日前向采购人提交结算资料，采购人收到结算资料并核对无误后5个工作日内开始办理支付手续。</w:t>
      </w:r>
    </w:p>
    <w:p>
      <w:pPr>
        <w:pStyle w:val="null3"/>
        <w:jc w:val="both"/>
      </w:pPr>
      <w:r>
        <w:rPr>
          <w:sz w:val="20"/>
        </w:rPr>
        <w:t>（</w:t>
      </w:r>
      <w:r>
        <w:rPr>
          <w:sz w:val="20"/>
        </w:rPr>
        <w:t>2）三年合同累计总价不超过采购包的采购预算人民币300万元，最终结算数额以采购人在合同期间的实际检测情况为准。</w:t>
      </w:r>
    </w:p>
    <w:p>
      <w:pPr>
        <w:pStyle w:val="null3"/>
        <w:jc w:val="both"/>
      </w:pPr>
      <w:r>
        <w:rPr>
          <w:sz w:val="20"/>
        </w:rPr>
        <w:t>（</w:t>
      </w:r>
      <w:r>
        <w:rPr>
          <w:sz w:val="20"/>
        </w:rPr>
        <w:t>3）中标人在每月5日（如遇节假日往后顺延）前将上月的工作量清单明细表交由采购人核对后，开具正式发票，由采购人收到发票及结算资料后5个工作日办理支付手续。</w:t>
      </w:r>
    </w:p>
    <w:p>
      <w:pPr>
        <w:pStyle w:val="null3"/>
        <w:jc w:val="both"/>
      </w:pPr>
      <w:r>
        <w:rPr>
          <w:sz w:val="20"/>
        </w:rPr>
        <w:t>（</w:t>
      </w:r>
      <w:r>
        <w:rPr>
          <w:sz w:val="20"/>
        </w:rPr>
        <w:t>4）因采购人使用的是财政性资金，采购人在前款规定的付款时间为向支付部门提出办理财政支付申请手续的时间（不含支付部门审核的时间），在规定时间内提出支付申请手续后即视为采购人已经按期支付，中标人应按项目进度要求进行实施。</w:t>
      </w:r>
    </w:p>
    <w:p>
      <w:pPr>
        <w:pStyle w:val="null3"/>
        <w:jc w:val="both"/>
      </w:pPr>
      <w:r>
        <w:rPr>
          <w:sz w:val="20"/>
        </w:rPr>
        <w:t>（</w:t>
      </w:r>
      <w:r>
        <w:rPr>
          <w:sz w:val="20"/>
        </w:rPr>
        <w:t>5）中标人与采购人签订合同后15个工作日内，按采购预算的2%以银行转账或支票（汇票、本票）或保函（保险）等非现金形式向采购人提交履约保证金【保函（保险）方式提交的，须提供保函（保险）原件交予采购人备案】，同时须在合同期内保持履约保证金长期有效。若不提交履约保证金或履约保证金在服务期内失效后15个工作日内不向采购人更新提交，采购人有权终止合同，并上报政府采购监管部门，由此产生的一切责任及损失均由中标人承担。若合同期内中标人没有违约行为，采购人无息退还履约保证金（以保函（保险）形式提交的履约保证金在合同期满后或合同终止后30个工作日内自动失效；以银行转账或支票（汇票）提交的履约保证金在合同期满后或合同终止后30个工作日内，采购人收到中标人的退还申请后，无息退还给中标人）；如逾期退还，采购人按每日逾期款总额的3‰向中标人偿付违约金。下列任何一种情况发生时，采购人有权不予退还履约保证金：（一）中标人未完全履行项目投标文件承诺或合同约定的；（二）中标人的原因导致采购人单位发生医疗纠纷或医疗事故或医疗过错。</w:t>
      </w:r>
    </w:p>
    <w:p>
      <w:pPr>
        <w:pStyle w:val="null3"/>
        <w:jc w:val="both"/>
      </w:pPr>
      <w:r>
        <w:rPr>
          <w:sz w:val="20"/>
        </w:rPr>
        <w:t>（</w:t>
      </w:r>
      <w:r>
        <w:rPr>
          <w:sz w:val="20"/>
        </w:rPr>
        <w:t>6）本项目以银行转账方式进行结算，中标人在每次结算时需向采购人提交以下资料：</w:t>
      </w:r>
    </w:p>
    <w:p>
      <w:pPr>
        <w:pStyle w:val="null3"/>
        <w:jc w:val="both"/>
      </w:pPr>
      <w:r>
        <w:rPr>
          <w:sz w:val="20"/>
        </w:rPr>
        <w:t>1）合同、中标通知书、履约保证金缴纳材料；（首次结算时提供）</w:t>
      </w:r>
    </w:p>
    <w:p>
      <w:pPr>
        <w:pStyle w:val="null3"/>
        <w:jc w:val="both"/>
      </w:pPr>
      <w:r>
        <w:rPr>
          <w:sz w:val="20"/>
        </w:rPr>
        <w:t>2）中标人开具的正式发票；</w:t>
      </w:r>
    </w:p>
    <w:p>
      <w:pPr>
        <w:pStyle w:val="null3"/>
        <w:jc w:val="both"/>
      </w:pPr>
      <w:r>
        <w:rPr>
          <w:sz w:val="20"/>
        </w:rPr>
        <w:t>3）经采购人管理科室确认的上月的工作量清单明细表。</w:t>
      </w:r>
    </w:p>
    <w:p>
      <w:pPr>
        <w:pStyle w:val="null3"/>
        <w:jc w:val="both"/>
      </w:pPr>
      <w:r>
        <w:rPr>
          <w:sz w:val="20"/>
        </w:rPr>
        <w:t>六、质量要求：</w:t>
      </w:r>
    </w:p>
    <w:p>
      <w:pPr>
        <w:pStyle w:val="null3"/>
        <w:jc w:val="both"/>
      </w:pPr>
      <w:r>
        <w:rPr>
          <w:sz w:val="20"/>
        </w:rPr>
        <w:t>（一）投标人具有完善的相关管理体系，如通过国家认证认可监督管理部门批准设立的认证机构颁发并在有效期内的认证：质量管理体系认证、环境管理体系认证、职业健康安全管理体系认证。</w:t>
      </w:r>
    </w:p>
    <w:p>
      <w:pPr>
        <w:pStyle w:val="null3"/>
        <w:jc w:val="left"/>
      </w:pPr>
      <w:r>
        <w:rPr>
          <w:sz w:val="20"/>
        </w:rPr>
        <w:t>（二）</w:t>
      </w:r>
      <w:r>
        <w:rPr>
          <w:sz w:val="20"/>
        </w:rPr>
        <w:t>投标人拥有承接同类合同业绩的实施经验，每项业绩须提供合同关键页，上述资料要求提供扫描件，并加盖投标人公章。</w:t>
      </w:r>
    </w:p>
    <w:p>
      <w:pPr>
        <w:pStyle w:val="null3"/>
        <w:jc w:val="both"/>
      </w:pPr>
      <w:r>
        <w:rPr>
          <w:sz w:val="20"/>
        </w:rPr>
        <w:t>七、售后服务：</w:t>
      </w:r>
    </w:p>
    <w:p>
      <w:pPr>
        <w:pStyle w:val="null3"/>
        <w:jc w:val="both"/>
      </w:pPr>
      <w:r>
        <w:rPr>
          <w:sz w:val="20"/>
        </w:rPr>
        <w:t>（一）投标人为采购人提供本地化售后服务。提供固定的具有专职人员负责日常送检标本的临床咨询、标本采集培训、标本接收、报告发放、结果咨询等服务。</w:t>
      </w:r>
    </w:p>
    <w:p>
      <w:pPr>
        <w:pStyle w:val="null3"/>
        <w:jc w:val="both"/>
      </w:pPr>
      <w:r>
        <w:rPr>
          <w:sz w:val="20"/>
        </w:rPr>
        <w:t>（二）投标人需提供专门售后服务团队，设立专门联系跟进的人员及</w:t>
      </w:r>
      <w:r>
        <w:rPr>
          <w:sz w:val="20"/>
        </w:rPr>
        <w:t>400（或800或其他专用）联系方式，采购人联系中标人后，涉及售后的相关问题技术支持或工程师需要在12小时内通过电话/邮件/微信进行响应回复，在24小时内对采购人所提出的问题进行解决。如样本的测序质量出现不合格的情况，需6小时内响应并于7个工作日内予以解决。</w:t>
      </w:r>
    </w:p>
    <w:p>
      <w:pPr>
        <w:pStyle w:val="null3"/>
        <w:jc w:val="both"/>
      </w:pPr>
      <w:r>
        <w:rPr>
          <w:sz w:val="20"/>
        </w:rPr>
        <w:t>（三）投标人提供网上查询服务和提供电话查询服务，以供随时查询进度和结果。</w:t>
      </w:r>
    </w:p>
    <w:p>
      <w:pPr>
        <w:pStyle w:val="null3"/>
        <w:jc w:val="both"/>
      </w:pPr>
      <w:r>
        <w:rPr>
          <w:sz w:val="20"/>
        </w:rPr>
        <w:t>（四）投标人如需召回检测报告的，应在</w:t>
      </w:r>
      <w:r>
        <w:rPr>
          <w:sz w:val="20"/>
        </w:rPr>
        <w:t>24小时内通过一切形式包括电话、邮寄、传真、电子邮件、当面告知等方式通知采购人召回检测报告并通过上述形式提供新的检测报告。因召回检测报告而产生的一切法律责任由投标人承担。</w:t>
      </w:r>
    </w:p>
    <w:p>
      <w:pPr>
        <w:pStyle w:val="null3"/>
        <w:jc w:val="both"/>
      </w:pPr>
      <w:r>
        <w:rPr>
          <w:sz w:val="20"/>
        </w:rPr>
        <w:t>（五）对于检测结果错误或采购人对检测结果提出异议的样本，投标人需按采购人要求进行重新检测，并在采购人提出重新检测要求的</w:t>
      </w:r>
      <w:r>
        <w:rPr>
          <w:sz w:val="20"/>
        </w:rPr>
        <w:t>1个工作日内交付检测结果。</w:t>
      </w:r>
    </w:p>
    <w:p>
      <w:pPr>
        <w:pStyle w:val="null3"/>
        <w:jc w:val="both"/>
      </w:pPr>
      <w:r>
        <w:rPr>
          <w:sz w:val="20"/>
        </w:rPr>
        <w:t>（六）投标人针对本项目提供售后服务方案，内容包括专门售后服务人员的岗位及工作安排、跟进人员、问题改进及措施、解决纠纷及措施、全过程跟进服务的安排。</w:t>
      </w:r>
    </w:p>
    <w:p>
      <w:pPr>
        <w:pStyle w:val="null3"/>
        <w:jc w:val="both"/>
      </w:pPr>
      <w:r>
        <w:rPr>
          <w:sz w:val="20"/>
        </w:rPr>
        <w:t>八、应急要求</w:t>
      </w:r>
    </w:p>
    <w:p>
      <w:pPr>
        <w:pStyle w:val="null3"/>
        <w:jc w:val="both"/>
      </w:pPr>
      <w:r>
        <w:rPr>
          <w:sz w:val="20"/>
        </w:rPr>
        <w:t>（一）投标人对样本丢失、数据泄露、漏检、误检、检测失误、样本污染、检测数据异常等情况进行提供针对性的应急防范措施及应对措施。</w:t>
      </w:r>
    </w:p>
    <w:p>
      <w:pPr>
        <w:pStyle w:val="null3"/>
        <w:jc w:val="both"/>
      </w:pPr>
      <w:r>
        <w:rPr>
          <w:sz w:val="20"/>
        </w:rPr>
        <w:t>（二）对项目实施期间可能出现突发的、不可预见的情况，投标人应在接到采购人通知</w:t>
      </w:r>
      <w:r>
        <w:rPr>
          <w:sz w:val="20"/>
        </w:rPr>
        <w:t>2小时内响应，派专职人员与采购人对接，并在4小时内向采购人如实汇报处理措施、进度、处理结果。</w:t>
      </w:r>
    </w:p>
    <w:p>
      <w:pPr>
        <w:pStyle w:val="null3"/>
        <w:jc w:val="both"/>
      </w:pPr>
      <w:r>
        <w:rPr>
          <w:sz w:val="20"/>
        </w:rPr>
        <w:t>（三）投标人应制定应急预案，包括但不限于标本运输应急处理、样本信息异常处理、样本异常处理（样本污染、样本遗失）、结果数据传输异常、质量事故应急处理、检测结果错误应急处理。预案应包括需包括应急人员组织架构、人员职责、各种紧急情况的响应时间、联系方式、各种紧急情况的详细处理流程及紧急情况的预防措施。</w:t>
      </w:r>
    </w:p>
    <w:p>
      <w:pPr>
        <w:pStyle w:val="null3"/>
        <w:jc w:val="both"/>
      </w:pPr>
      <w:r>
        <w:rPr>
          <w:sz w:val="20"/>
        </w:rPr>
        <w:t>（四）中标人能提供送检服务应急措施、具备处理投入本项目核心设备故障、防止检验室或样本污染的能力。有完整的对突发事件、安全事故处理的方案。建立相应质量控制制度，制定相应的质量管理手册</w:t>
      </w:r>
      <w:r>
        <w:rPr>
          <w:sz w:val="20"/>
        </w:rPr>
        <w:t>(或制度等相关内容)。</w:t>
      </w:r>
    </w:p>
    <w:p>
      <w:pPr>
        <w:pStyle w:val="null3"/>
        <w:jc w:val="both"/>
      </w:pPr>
      <w:r>
        <w:rPr>
          <w:sz w:val="20"/>
        </w:rPr>
        <w:t>★九、知识产权及保密信息要求（提供承诺函，格式自拟）</w:t>
      </w:r>
    </w:p>
    <w:p>
      <w:pPr>
        <w:pStyle w:val="null3"/>
        <w:jc w:val="both"/>
      </w:pPr>
      <w:r>
        <w:rPr>
          <w:sz w:val="20"/>
        </w:rPr>
        <w:t>（一）保密信息要求：在本项目服务期限内或者合同终止后中标人都有为采购人保密的义务。在未经采购人书面同意或授权前提下，中标人不得向采购人临床科室工作人员、患者、患者家属及法律或采购人许可的单位或人员以外等的任何第三方泄露采购人委托检测的项目、检测的内容、检测的结果；且不得将本项目所涉及的生物样本、相关数据、技术文件及其他有关信息用于任何目的和</w:t>
      </w:r>
      <w:r>
        <w:rPr>
          <w:sz w:val="20"/>
        </w:rPr>
        <w:t>/或形式的用途。同时中标人对在本项目采购合同有效期内从采购人知悉的关于采购人的一切非公开的保密信息负有保密义务。本项目执行过程中产生的所有知识产权归采购人所有。中标人若违反上述约定，应赔偿采购人损失，并负相关法律责任。本保密条款不因合同终止而终止。</w:t>
      </w:r>
    </w:p>
    <w:p>
      <w:pPr>
        <w:pStyle w:val="null3"/>
        <w:jc w:val="both"/>
      </w:pPr>
      <w:r>
        <w:rPr>
          <w:sz w:val="20"/>
        </w:rPr>
        <w:t>（二）知识产权：检测样本、检测剩余样本、检测数据的所有权、使用权为采购人所有，未经采购人书面许可不得挪作它用。采购人拥有本项目所有数据及相关衍生的所有知识产权。（三）投标人生物信息安全性要求：中标人在项目实施过程中未经安全审查，不得将国家人类遗传资源信息向境外组织、个人及其设立或实际控制的机构提供或者开放使用。</w:t>
      </w:r>
    </w:p>
    <w:p>
      <w:pPr>
        <w:pStyle w:val="null3"/>
        <w:jc w:val="both"/>
      </w:pPr>
      <w:r>
        <w:rPr>
          <w:sz w:val="20"/>
        </w:rPr>
        <w:t>十、验收要求：</w:t>
      </w:r>
    </w:p>
    <w:p>
      <w:pPr>
        <w:pStyle w:val="null3"/>
        <w:jc w:val="both"/>
      </w:pPr>
      <w:r>
        <w:rPr>
          <w:sz w:val="20"/>
        </w:rPr>
        <w:t>（一）验收标准：</w:t>
      </w:r>
    </w:p>
    <w:p>
      <w:pPr>
        <w:pStyle w:val="null3"/>
        <w:jc w:val="both"/>
      </w:pPr>
      <w:r>
        <w:rPr>
          <w:sz w:val="20"/>
        </w:rPr>
        <w:t>1、符合中华人民共和国国家和履约地相关检测质量标准、行业技术规范标准；</w:t>
      </w:r>
    </w:p>
    <w:p>
      <w:pPr>
        <w:pStyle w:val="null3"/>
        <w:jc w:val="both"/>
      </w:pPr>
      <w:r>
        <w:rPr>
          <w:sz w:val="20"/>
        </w:rPr>
        <w:t>2、符合招标文件和中标人响应承诺中采购人认可的各项要求；</w:t>
      </w:r>
    </w:p>
    <w:p>
      <w:pPr>
        <w:pStyle w:val="null3"/>
        <w:jc w:val="both"/>
      </w:pPr>
      <w:r>
        <w:rPr>
          <w:sz w:val="20"/>
        </w:rPr>
        <w:t>3、项目检测准确性：投标人负责对提供的样品进行测序，负责数据及质控报告交付（按照交付周期要求）。如达不到技术要求，则不予验收，并责令中标人在3个工作日内完成整改，直到整改达标后再予以验收。</w:t>
      </w:r>
    </w:p>
    <w:p>
      <w:pPr>
        <w:pStyle w:val="null3"/>
        <w:jc w:val="both"/>
      </w:pPr>
      <w:r>
        <w:rPr>
          <w:sz w:val="20"/>
        </w:rPr>
        <w:t>4、双方约定的其他验收标准。</w:t>
      </w:r>
    </w:p>
    <w:p>
      <w:pPr>
        <w:pStyle w:val="null3"/>
        <w:jc w:val="both"/>
      </w:pPr>
      <w:r>
        <w:rPr>
          <w:sz w:val="20"/>
        </w:rPr>
        <w:t>（二）为保障本项目进度及完成质量，项目开展后，采购人每月对上个月中标人提供的服务、完成的样本检测进行验收；项目履约期满后，采购人对项目进行验收。</w:t>
      </w:r>
    </w:p>
    <w:p>
      <w:pPr>
        <w:pStyle w:val="null3"/>
        <w:jc w:val="both"/>
      </w:pPr>
      <w:r>
        <w:rPr>
          <w:sz w:val="20"/>
        </w:rPr>
        <w:t>（三）采购人按照以下标准每季度（每三个月为一个季度）对中标人的服务质量进行季度考核，并根据考核结果扣罚中标人的服务费。如发生不良事件，除了扣罚相应标本的服务费，还需给予采购人问题样本费用双倍的赔偿，如项目延期，每延期一日应向采购人赔偿该标本服务费金额（检测项目招标限价</w:t>
      </w:r>
      <w:r>
        <w:rPr>
          <w:sz w:val="20"/>
        </w:rPr>
        <w:t>x折扣）的百分之五。如上季度考核期内发生不良事件3次或以上的，中标人除了承担上述赔偿责任外，采购人可立刻终止合作合同且不承担违约责任。</w:t>
      </w:r>
    </w:p>
    <w:p>
      <w:pPr>
        <w:pStyle w:val="null3"/>
        <w:jc w:val="both"/>
      </w:pPr>
      <w:r>
        <w:rPr>
          <w:sz w:val="20"/>
        </w:rPr>
        <w:t>1、误验例数：每季度不高于1例；</w:t>
      </w:r>
    </w:p>
    <w:p>
      <w:pPr>
        <w:pStyle w:val="null3"/>
        <w:jc w:val="both"/>
      </w:pPr>
      <w:r>
        <w:rPr>
          <w:sz w:val="20"/>
        </w:rPr>
        <w:t>2、漏检例数：每季度少于1例；</w:t>
      </w:r>
    </w:p>
    <w:p>
      <w:pPr>
        <w:pStyle w:val="null3"/>
        <w:jc w:val="both"/>
      </w:pPr>
      <w:r>
        <w:rPr>
          <w:sz w:val="20"/>
        </w:rPr>
        <w:t>3、及时率：结果及时，及时率每季度大于99.5%；</w:t>
      </w:r>
    </w:p>
    <w:p>
      <w:pPr>
        <w:pStyle w:val="null3"/>
        <w:jc w:val="both"/>
      </w:pPr>
      <w:r>
        <w:rPr>
          <w:sz w:val="20"/>
        </w:rPr>
        <w:t>4、检测样本丢失、运送错误、混淆等问题：每季度不高于1例；</w:t>
      </w:r>
    </w:p>
    <w:p>
      <w:pPr>
        <w:pStyle w:val="null3"/>
        <w:jc w:val="both"/>
      </w:pPr>
      <w:r>
        <w:rPr>
          <w:sz w:val="20"/>
        </w:rPr>
        <w:t>5、如检测结果与复检结果不一致，确认因投标人操作过程导致的结果，造成法律纠纷或经济损失的，由投标人承担纠纷产生的一切法律责任和经济责任。</w:t>
      </w:r>
    </w:p>
    <w:p>
      <w:pPr>
        <w:pStyle w:val="null3"/>
        <w:jc w:val="both"/>
      </w:pPr>
      <w:r>
        <w:rPr>
          <w:sz w:val="20"/>
        </w:rPr>
        <w:t>（四）采购人对中标人进行年度考核，年度考核评价内容分以下三方面：第一，测序质量，考核年度内若发生测序质量不达标事件，每发生一次，扣</w:t>
      </w:r>
      <w:r>
        <w:rPr>
          <w:sz w:val="20"/>
        </w:rPr>
        <w:t>5分；第二，结果交付，考核年度内若发生结果交付问题（包括但不限于交付延时、误报、漏报、样本丢失、样本混淆），每发生一次，扣5分；第三，售后服务，考核年度内若中标方没有遵守承诺的售后服务标准及响应速度，扣10分；年度总评分八十分或以上为合格。若年度总评分八十分（不含）以下，采购人可单方终止本项目，且有权要求中标人承担违约责任。中标人如对采购人造成经济损失的，还需赔偿采购人遭受的所有的损失。合同签署执行后，如中标人出现连续两个批次技术参数不达标，采购人有权终止合同。</w:t>
      </w:r>
    </w:p>
    <w:p>
      <w:pPr>
        <w:pStyle w:val="null3"/>
        <w:jc w:val="both"/>
      </w:pPr>
      <w:r>
        <w:rPr>
          <w:sz w:val="20"/>
        </w:rPr>
        <w:t>十一、违约责任</w:t>
      </w:r>
    </w:p>
    <w:p>
      <w:pPr>
        <w:pStyle w:val="null3"/>
        <w:jc w:val="both"/>
      </w:pPr>
      <w:r>
        <w:rPr>
          <w:sz w:val="20"/>
        </w:rPr>
        <w:t>（一）合同履行中发生下列情况之一的，属中标人违约</w:t>
      </w:r>
      <w:r>
        <w:rPr>
          <w:sz w:val="20"/>
        </w:rPr>
        <w:t>:</w:t>
      </w:r>
    </w:p>
    <w:p>
      <w:pPr>
        <w:pStyle w:val="null3"/>
        <w:jc w:val="both"/>
      </w:pPr>
      <w:r>
        <w:rPr>
          <w:sz w:val="20"/>
        </w:rPr>
        <w:t>1、中标人检测报告不符合法律以及卫生行政部门要求的;</w:t>
      </w:r>
    </w:p>
    <w:p>
      <w:pPr>
        <w:pStyle w:val="null3"/>
        <w:jc w:val="both"/>
      </w:pPr>
      <w:r>
        <w:rPr>
          <w:sz w:val="20"/>
        </w:rPr>
        <w:t>2、中标人转包、分包本项目;</w:t>
      </w:r>
    </w:p>
    <w:p>
      <w:pPr>
        <w:pStyle w:val="null3"/>
        <w:jc w:val="both"/>
      </w:pPr>
      <w:r>
        <w:rPr>
          <w:sz w:val="20"/>
        </w:rPr>
        <w:t>3、中标人未按招标文件要求或投标承诺或合同要求完成检测服务;</w:t>
      </w:r>
    </w:p>
    <w:p>
      <w:pPr>
        <w:pStyle w:val="null3"/>
        <w:jc w:val="both"/>
      </w:pPr>
      <w:r>
        <w:rPr>
          <w:sz w:val="20"/>
        </w:rPr>
        <w:t>4、中标人无法履行或停止履行合同;</w:t>
      </w:r>
    </w:p>
    <w:p>
      <w:pPr>
        <w:pStyle w:val="null3"/>
        <w:jc w:val="both"/>
      </w:pPr>
      <w:r>
        <w:rPr>
          <w:sz w:val="20"/>
        </w:rPr>
        <w:t>5、中标人未履行招标文件要求或投标承诺或合同约定的其他义务。</w:t>
      </w:r>
    </w:p>
    <w:p>
      <w:pPr>
        <w:pStyle w:val="null3"/>
        <w:ind w:firstLine="400"/>
      </w:pPr>
      <w:r>
        <w:rPr>
          <w:sz w:val="20"/>
        </w:rPr>
        <w:t>中标人发生上述情况时，采购人向中标人发出整改通知，要求其在限定期限内整改</w:t>
      </w:r>
      <w:r>
        <w:rPr>
          <w:sz w:val="20"/>
        </w:rPr>
        <w:t>;逾期不整改或整改不及格的，采购人有权单方面终止合同，不予退还中标人履约保证金并上报政府采购监管部门，由此引起的一切后果，由中标人承担。</w:t>
      </w:r>
    </w:p>
    <w:p>
      <w:pPr>
        <w:pStyle w:val="null3"/>
      </w:pPr>
      <w:r>
        <w:rPr>
          <w:sz w:val="20"/>
        </w:rPr>
        <w:t>中标人须承担由于违约所造成的费用增加、周期延误和采购人损失、采购人维权支出的律师费、诉讼费、鉴定费等合理费用等。</w:t>
      </w:r>
    </w:p>
    <w:p>
      <w:pPr>
        <w:pStyle w:val="null3"/>
      </w:pPr>
      <w:r>
        <w:rPr>
          <w:sz w:val="20"/>
        </w:rPr>
        <w:t>（二）中标人需保证按国家检测规范进行操作，并对来样检测结果负责。如果因检测结果错误而导致发生医疗纠纷</w:t>
      </w:r>
      <w:r>
        <w:rPr>
          <w:sz w:val="20"/>
        </w:rPr>
        <w:t>/事故、医疗过错或其他问题，确认因中标人操作过程导致的，中标人承担全部赔偿责任，采购人有权单方终止合同，不予退还中标人履约保证金并上报政府采购监管部门，</w:t>
      </w:r>
      <w:r>
        <w:rPr>
          <w:sz w:val="20"/>
        </w:rPr>
        <w:t>给采购人造成任何损失的，包括采购人维权支出的律师费、诉讼费、鉴定费等合理费用，中标人应当承担赔偿责任</w:t>
      </w:r>
      <w:r>
        <w:rPr>
          <w:sz w:val="20"/>
        </w:rPr>
        <w:t>。</w:t>
      </w:r>
    </w:p>
    <w:p>
      <w:pPr>
        <w:pStyle w:val="null3"/>
        <w:jc w:val="both"/>
      </w:pPr>
      <w:r>
        <w:rPr>
          <w:sz w:val="20"/>
        </w:rPr>
        <w:t>（三）如发生样本交叉污染或者样本混淆，中标人须支付采购人问题样本检测费用的双倍赔偿，上述情况一个月发生三次的，采购人有权单方面终止合同，不予退还中标人履约保证金并上报政府采购监管部门，由此引起的一切后果，由中标人承担，</w:t>
      </w:r>
      <w:r>
        <w:rPr>
          <w:sz w:val="20"/>
        </w:rPr>
        <w:t>给采购人造成任何损失的，包括采购人维权支出的律师费、诉讼费、鉴定费等合理费用，中标人应当承担赔偿责任</w:t>
      </w:r>
      <w:r>
        <w:rPr>
          <w:sz w:val="20"/>
        </w:rPr>
        <w:t>。</w:t>
      </w:r>
    </w:p>
    <w:p>
      <w:pPr>
        <w:pStyle w:val="null3"/>
        <w:jc w:val="both"/>
      </w:pPr>
      <w:r>
        <w:rPr>
          <w:sz w:val="20"/>
        </w:rPr>
        <w:t>（四）如未按招标文件或合同要求的项目交付时间交付数据或报告的，每延期一日中标人向采购人赔偿该样本检测费用金额的百分之一（样本检测费</w:t>
      </w:r>
      <w:r>
        <w:rPr>
          <w:sz w:val="20"/>
        </w:rPr>
        <w:t>x0.01）；上述情况一个月发生五次的，采购人有权单方面终止合同，不予退还中标人履约保证金并上报政府采购监管部门，由此引起的一切后果，由中标人承担</w:t>
      </w:r>
      <w:r>
        <w:rPr>
          <w:sz w:val="20"/>
        </w:rPr>
        <w:t>，</w:t>
      </w:r>
      <w:r>
        <w:rPr>
          <w:sz w:val="20"/>
        </w:rPr>
        <w:t>给采购人造成任何损失的，包括采购人维权支出的律师费、诉讼费、鉴定费等合理费用，中标人应当承担赔偿责任</w:t>
      </w:r>
      <w:r>
        <w:rPr>
          <w:sz w:val="20"/>
        </w:rPr>
        <w:t>。</w:t>
      </w:r>
    </w:p>
    <w:p>
      <w:pPr>
        <w:pStyle w:val="null3"/>
      </w:pPr>
      <w:r>
        <w:rPr>
          <w:sz w:val="20"/>
        </w:rPr>
        <w:t>（五）中标人对采购人送检的合格样本结果负责，对于按照中标人要求取材的样本，若因中标人原因丢失或损坏、污染采购人提供的技术资料、技术数据、文件和其它物品的，采购人有权要求中标人采取补救措施，中标人负责重做的所有费用，并承担采购人的损失及因此引起的一系列后果</w:t>
      </w:r>
      <w:r>
        <w:rPr>
          <w:sz w:val="20"/>
        </w:rPr>
        <w:t>，包括采购人维权支出的律师费、诉讼费、鉴定费等合理费用。</w:t>
      </w:r>
    </w:p>
    <w:p>
      <w:pPr>
        <w:pStyle w:val="null3"/>
        <w:jc w:val="both"/>
      </w:pPr>
      <w:r>
        <w:rPr>
          <w:sz w:val="20"/>
        </w:rPr>
        <w:t>（六）若中标人季度考核连续两次不及格，或一年有三次不及格，采购人有权单方终止合同，不予退还中标人履约保证金并上报政府采购监管部门，由此引起的一切后果，由中标人承担，</w:t>
      </w:r>
      <w:r>
        <w:rPr>
          <w:sz w:val="20"/>
        </w:rPr>
        <w:t>给采购人造成任何损失的，包括采购人维权支出的律师费、诉讼费、鉴定费等合理费用，中标人应当承担赔偿责任</w:t>
      </w:r>
      <w:r>
        <w:rPr>
          <w:sz w:val="20"/>
        </w:rPr>
        <w:t>。</w:t>
      </w:r>
    </w:p>
    <w:p>
      <w:pPr>
        <w:pStyle w:val="null3"/>
        <w:jc w:val="both"/>
      </w:pPr>
      <w:r>
        <w:rPr>
          <w:sz w:val="20"/>
        </w:rPr>
        <w:t>（七）若中标人年度考核评价八十分以下，采购人有权单方终止合同，并上报政府采购监管部门，采购人不承担违约责任；中标人如对采购人造成经济损失的，需赔偿采购人遭受的所有的损失</w:t>
      </w:r>
      <w:r>
        <w:rPr>
          <w:sz w:val="20"/>
        </w:rPr>
        <w:t>，包括采购人维权支出的律师费、诉讼费、鉴定费等合理费用。</w:t>
      </w:r>
    </w:p>
    <w:p>
      <w:pPr>
        <w:pStyle w:val="null3"/>
        <w:jc w:val="both"/>
      </w:pPr>
      <w:r>
        <w:rPr>
          <w:sz w:val="20"/>
        </w:rPr>
        <w:t>（八）如在合同期间，由于国家相关政策规定，致使合同不能继续履行的，合同自动终止，双方不承担违约责任。</w:t>
      </w:r>
    </w:p>
    <w:p>
      <w:pPr>
        <w:pStyle w:val="null3"/>
        <w:jc w:val="both"/>
      </w:pPr>
      <w:r>
        <w:rPr>
          <w:sz w:val="20"/>
        </w:rPr>
        <w:t>（九）采购人如发现中标人的检测设备及操作地点与投标承诺不一致的，视为中标人违约，采购人有权单方终止合同，不予退还中标人履约保证金并上报政府采购监管部门，由此引起的一切后果，由中标人承担</w:t>
      </w:r>
      <w:r>
        <w:rPr>
          <w:sz w:val="20"/>
        </w:rPr>
        <w:t>，包括采购人维权支出的律师费、诉讼费、鉴定费等合理费用。</w:t>
      </w:r>
    </w:p>
    <w:p>
      <w:pPr>
        <w:pStyle w:val="null3"/>
        <w:jc w:val="both"/>
      </w:pPr>
      <w:r>
        <w:rPr>
          <w:sz w:val="20"/>
        </w:rPr>
        <w:t>（十）合同履行过程中，采购人对中标人的检测质量进行抽检，如发现中标人的检测技术指标未达到招标文件</w:t>
      </w:r>
      <w:r>
        <w:rPr>
          <w:sz w:val="20"/>
        </w:rPr>
        <w:t>“检测技术指标”要求的，采购人通知中标人限期整改，中标人逾期不整改或整改不及格或采购人再次发现不达标情况的，采购人有权单方终止合同，不予退还中标人履约保证金并上报政府采购监管部门，由此引起的一切后果，由中标人承担，</w:t>
      </w:r>
      <w:r>
        <w:rPr>
          <w:sz w:val="20"/>
        </w:rPr>
        <w:t>给采购人造成任何损失的，包括采购人维权支出的律师费、诉讼费、鉴定费等合理费用，中标人应当承担赔偿责任</w:t>
      </w:r>
      <w:r>
        <w:rPr>
          <w:sz w:val="20"/>
        </w:rPr>
        <w:t>。</w:t>
      </w:r>
    </w:p>
    <w:p>
      <w:pPr>
        <w:pStyle w:val="null3"/>
        <w:jc w:val="both"/>
      </w:pPr>
      <w:r>
        <w:rPr>
          <w:sz w:val="20"/>
        </w:rPr>
        <w:t>十二、其他要求</w:t>
      </w:r>
    </w:p>
    <w:p>
      <w:pPr>
        <w:pStyle w:val="null3"/>
        <w:jc w:val="both"/>
      </w:pPr>
      <w:r>
        <w:rPr>
          <w:sz w:val="20"/>
        </w:rPr>
        <w:t>（一）中标人对检测结果进行修正或更改过程中，不受任何诱使或压力的影响，保证检测结果的公正性。</w:t>
      </w:r>
    </w:p>
    <w:p>
      <w:pPr>
        <w:pStyle w:val="null3"/>
        <w:jc w:val="both"/>
      </w:pPr>
      <w:r>
        <w:rPr>
          <w:sz w:val="20"/>
        </w:rPr>
        <w:t>（二）如在合同期间，由于国家相关政策规定，致使合同不能继续履行的，项目自动终止，采购人不承担违约责任。</w:t>
      </w:r>
    </w:p>
    <w:p>
      <w:pPr>
        <w:pStyle w:val="null3"/>
      </w:pPr>
      <w:r>
        <w:rPr/>
        <w:t>采购包1（儿童肿瘤及相关疾病分子检测项目）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合同签订之日起三年或累计实际结算款项达到包组预算（以先到为准）。</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第1期为(进度款)：支付比例100%，见采购需求。。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收取比例：2%,说明：见采购需求。</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儿童肿瘤及相关疾病分子检测项目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25,000,000.00</w:t>
            </w:r>
          </w:p>
        </w:tc>
        <w:tc>
          <w:tcPr>
            <w:tcW w:type="dxa" w:w="831"/>
          </w:tcPr>
          <w:p>
            <w:pPr>
              <w:pStyle w:val="null3"/>
              <w:jc w:val="right"/>
            </w:pPr>
            <w:r>
              <w:rPr/>
              <w:t>25,000,000.00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儿童肿瘤及相关疾病分子检测项目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采购包2（一代测序及引物合成）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合同签订之日起三年或累计实际结算款项达到包组预算（以先到为准）。</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第1期为(进度款)：支付比例100%，见采购需求。。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1期：见采购需求。</w:t>
            </w:r>
          </w:p>
        </w:tc>
      </w:tr>
      <w:tr>
        <w:tc>
          <w:tcPr>
            <w:tcW w:type="dxa" w:w="4153"/>
          </w:tcPr>
          <w:p>
            <w:pPr>
              <w:pStyle w:val="null3"/>
            </w:pPr>
            <w:r>
              <w:rPr/>
              <w:t>履约保证金</w:t>
            </w:r>
          </w:p>
        </w:tc>
        <w:tc>
          <w:tcPr>
            <w:tcW w:type="dxa" w:w="4153"/>
          </w:tcPr>
          <w:p>
            <w:pPr>
              <w:pStyle w:val="null3"/>
            </w:pPr>
            <w:r>
              <w:rPr/>
              <w:t>收取比例：2%,说明：见采购需求。</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其他，见采购需求。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一代测序及引物合成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一代测序及引物合成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广州医科大学附属妇女儿童医疗中心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- 48%</w:t>
            </w:r>
          </w:p>
          <w:p>
            <w:pPr>
              <w:pStyle w:val="null3"/>
            </w:pPr>
            <w:r>
              <w:rPr/>
              <w:t>采购包2：0% - 85%</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项目的采购预算为计费基数，根据服务类型按差额定率累进法计算，按各包组采购预算占比分摊计算采购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2，有融资要求的中标供应商可根据自身情况，申请政府采购合同融资。详见政府采购合同融资相关政策：①《广东省财政厅广东省地方金融监督管理局中国人民银行广州分行关于开展省级政府采购合同融资工作的通知》（粤财采购〔2020〕6号）、②《广州市财政局中国人民银行广州分行营业部关于开展广州市政府采购合同线上融资业务的通知》（穗财采〔2020〕9号）》、③《广州市财政局关于进一步做好已融资政府采购合同支付工作的通知》（穗财采〔2020〕65号）等。3，信用评价，（1）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以开标当天广州交易集团有限公司网站公布的分值为准（通过“广州交易集团有限公司网站-信用信息-广州公共资源交易信用平台3.0”进行核实，未能在网站查询到供应商信用评价分的，以当天信用评价基准分计算。供应商为联合体的，以牵头方信用评价分计算。（2）履约评价。采购人负责对中标人的履约行为进行评价，评价标准详见《广州市财政局关于在政府采购项目中应用公共资源交易信用的通知》(穗财采〔2023〕55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儿童肿瘤及相关疾病分子检测项目)：综合评分法,是指投标文件满足招标文件全部实质性要求，且按照评审因素的量化指标评审得分最高的投标人为中标候选人的评标方法。（最低报价不是中标的唯一依据。）</w:t>
      </w:r>
    </w:p>
    <w:p>
      <w:pPr>
        <w:pStyle w:val="null3"/>
      </w:pPr>
      <w:r>
        <w:rPr/>
        <w:t>采购包2(一代测序及引物合成)：综合评分法,是指投标文件满足招标文件全部实质性要求，且按照评审因素的量化指标评审得分最高的投标人为中标候选人的评标方法。（最低报价不是中标的唯一依据。）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采购包1（儿童肿瘤及相关疾病分子检测项目）：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采购包2（一代测序及引物合成）：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采购包1（儿童肿瘤及相关疾病分子检测项目）：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投标人具有有效的《医疗机构执业许可证》（诊疗科目须涵盖医学检验科专业及临床细胞分子遗传学专业）、并具备有效的临床基因扩增实验室资质，提供相关证书复印件并加盖公章。</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专门面向中小企业。原因和情形为：按照《政府采购促进促进中小企业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其他未列明行业。</w:t>
            </w:r>
          </w:p>
        </w:tc>
      </w:tr>
    </w:tbl>
    <w:p>
      <w:pPr>
        <w:pStyle w:val="null3"/>
      </w:pPr>
      <w:r>
        <w:rPr/>
        <w:t>采购包2（一代测序及引物合成）：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专门面向中小企业。原因和情形为：按照《政府采购促进促进中小企业管理办法》规定预留采购份额无法确保充分供应、充分竞争，或者存在可能影响政府采购目标实现的情形。根据《关于印发中小企业划型标准规定的通知》（工信部联企业〔2011〕300号）规定，本项目采购标的对应的中小企业划分标准所属行业为：其他未列明行业。</w:t>
            </w:r>
          </w:p>
        </w:tc>
      </w:tr>
    </w:tbl>
    <w:p>
      <w:pPr>
        <w:pStyle w:val="null3"/>
        <w:ind w:firstLine="480"/>
      </w:pPr>
      <w:r>
        <w:rPr/>
        <w:t>表二符合性审查表：</w:t>
      </w:r>
    </w:p>
    <w:p>
      <w:pPr>
        <w:pStyle w:val="null3"/>
      </w:pPr>
      <w:r>
        <w:rPr/>
        <w:t>采购包1（儿童肿瘤及相关疾病分子检测项目）：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折扣率未超过所投包号折扣率范围。2）对本项目（所投包号内）全部招标内容进行投标报价。3）投标报价是唯一确定的。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供应商对采购人、采购代理机构、评标委员会及其工作人员施加影响，有碍公平、公正；招标文件中规定的其它无效投标情形；法律法规规定属于响应无效的其他情形。</w:t>
            </w:r>
          </w:p>
        </w:tc>
      </w:tr>
    </w:tbl>
    <w:p>
      <w:pPr>
        <w:pStyle w:val="null3"/>
      </w:pPr>
      <w:r>
        <w:rPr/>
        <w:t>采购包2（一代测序及引物合成）：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折扣率未超过所投包号折扣率范围。2）对本项目（所投包号内）全部招标内容进行投标报价。3）投标报价是唯一确定的。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供应商对采购人、采购代理机构、评标委员会及其工作人员施加影响，有碍公平、公正；招标文件中规定的其它无效投标情形；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采购包1(儿童肿瘤及相关疾病分子检测项目):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技术部分56.0分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“▲”的重要参数响应情况 (18.0分)</w:t>
            </w:r>
          </w:p>
        </w:tc>
        <w:tc>
          <w:tcPr>
            <w:tcW w:type="dxa" w:w="5076"/>
          </w:tcPr>
          <w:p>
            <w:pPr>
              <w:pStyle w:val="null3"/>
              <w:jc w:val="left"/>
            </w:pPr>
            <w:r>
              <w:rPr/>
              <w:t>投标人对《第二章 采购需求》“采购包1：儿童肿瘤及相关疾病分子检测项目”中带有“▲”的重要参数（共9项）的响应情况进行评审。 （1）全部满足，得18分； （2）每一个“▲”号的重要参数负偏离扣2分，最低得0分。 （注：1、一般条款和带“★”条款除外；2、须按照采购需求中的要求提供相关资料，否则不得分）</w:t>
            </w:r>
          </w:p>
        </w:tc>
      </w:tr>
      <w:tr>
        <w:tc>
          <w:tcPr>
            <w:tcW w:type="dxa" w:w="922"/>
            <w:gridSpan w:val="2"/>
            <w:vMerge/>
          </w:tcPr>
          <w:p/>
        </w:tc>
        <w:tc>
          <w:tcPr>
            <w:tcW w:type="dxa" w:w="2307"/>
          </w:tcPr>
          <w:p>
            <w:pPr>
              <w:pStyle w:val="null3"/>
              <w:jc w:val="left"/>
            </w:pPr>
            <w:r>
              <w:rPr/>
              <w:t>样本接收运输服务方案 (7.0分)</w:t>
            </w:r>
          </w:p>
        </w:tc>
        <w:tc>
          <w:tcPr>
            <w:tcW w:type="dxa" w:w="5076"/>
          </w:tcPr>
          <w:p>
            <w:pPr>
              <w:pStyle w:val="null3"/>
              <w:jc w:val="left"/>
            </w:pPr>
            <w:r>
              <w:rPr/>
              <w:t>投标人根据本项目要求制定的样本接收运输服务方案（内容包括：收样配备的设施、收样程序、样本的分类及检查的操作规程、样本流转系统、样本质量的初检、标识核对、样本接收及储存，运输方式及、运输专职人员的安排、样本运输过程的保障措施情况）进行评分： 1、投标人能提供样本接收运输服务方案，内容完整且包括以上内容得1分；若没有提供方案或内容不完整，本小项及以下评分项均不得分。 2、投标人提供的服务方案整体内容优于项目需求的得6分； 投标人提供的服务方案整体内容满足项目需求的得3分； 服务方案整体内容有部分内容满足项目的得1分； 其他情况或不响应，得0分。</w:t>
            </w:r>
          </w:p>
        </w:tc>
      </w:tr>
      <w:tr>
        <w:tc>
          <w:tcPr>
            <w:tcW w:type="dxa" w:w="922"/>
            <w:gridSpan w:val="2"/>
            <w:vMerge/>
          </w:tcPr>
          <w:p/>
        </w:tc>
        <w:tc>
          <w:tcPr>
            <w:tcW w:type="dxa" w:w="2307"/>
          </w:tcPr>
          <w:p>
            <w:pPr>
              <w:pStyle w:val="null3"/>
              <w:jc w:val="left"/>
            </w:pPr>
            <w:r>
              <w:rPr/>
              <w:t>售后服务 (9.0分)</w:t>
            </w:r>
          </w:p>
        </w:tc>
        <w:tc>
          <w:tcPr>
            <w:tcW w:type="dxa" w:w="5076"/>
          </w:tcPr>
          <w:p>
            <w:pPr>
              <w:pStyle w:val="null3"/>
              <w:jc w:val="left"/>
            </w:pPr>
            <w:r>
              <w:rPr/>
              <w:t>投标人针对本项目制定售后服务方案（内容包括：专门售后服务人员的岗位及工作安排、跟进人员、问题改进及措施、解决纠纷及措施、全过程跟进服务的安排）： 1、投标人能提供售后服务方案，且内容完整包括专职人员的岗位及工作安排、跟进人员、问题改进及措施、全过程跟进服务的安排、解决纠纷及措施的内容，得2分；若没有提供方案或内容不完整，本小项及以下评分项均不得分。 2、投标人提供的售后服务方案内容优于采购需求的同时，提供具有保障措施的得7分； 投标人提供的售后服务方案内容满足采购需求，同时具有保障措施的得4分； 售后服务方案部分内容满足采购需求的得1分； 其他情况或不响应，得0分。</w:t>
            </w:r>
          </w:p>
        </w:tc>
      </w:tr>
      <w:tr>
        <w:tc>
          <w:tcPr>
            <w:tcW w:type="dxa" w:w="922"/>
            <w:gridSpan w:val="2"/>
            <w:vMerge/>
          </w:tcPr>
          <w:p/>
        </w:tc>
        <w:tc>
          <w:tcPr>
            <w:tcW w:type="dxa" w:w="2307"/>
          </w:tcPr>
          <w:p>
            <w:pPr>
              <w:pStyle w:val="null3"/>
              <w:jc w:val="left"/>
            </w:pPr>
            <w:r>
              <w:rPr/>
              <w:t>应急服务方案 (7.0分)</w:t>
            </w:r>
          </w:p>
        </w:tc>
        <w:tc>
          <w:tcPr>
            <w:tcW w:type="dxa" w:w="5076"/>
          </w:tcPr>
          <w:p>
            <w:pPr>
              <w:pStyle w:val="null3"/>
              <w:jc w:val="left"/>
            </w:pPr>
            <w:r>
              <w:rPr/>
              <w:t>投标人根据采购包1的采购需求中“八、应急要求”所提供的应急服务方案： 1、投标人针对本项目提供应急服务，内容完整且包括采购需求中“八、应急要求”全部内容的得1分；若没有提供完整的方案或不提供方案，本小项及以下评分项均不得分。 2、投标人提供的应急服务方案的整体内容优于项目需求得6分；投标人提供的应急服务方案的整体内容满足项目需求的得3分；应急服务方案整体内容有部分内容满足项目的得1分；其他情况或不响应，得0分。</w:t>
            </w:r>
          </w:p>
        </w:tc>
      </w:tr>
      <w:tr>
        <w:tc>
          <w:tcPr>
            <w:tcW w:type="dxa" w:w="922"/>
            <w:gridSpan w:val="2"/>
            <w:vMerge/>
          </w:tcPr>
          <w:p/>
        </w:tc>
        <w:tc>
          <w:tcPr>
            <w:tcW w:type="dxa" w:w="2307"/>
          </w:tcPr>
          <w:p>
            <w:pPr>
              <w:pStyle w:val="null3"/>
              <w:jc w:val="left"/>
            </w:pPr>
            <w:r>
              <w:rPr/>
              <w:t>现场讲解及答辩 (15.0分)</w:t>
            </w:r>
          </w:p>
        </w:tc>
        <w:tc>
          <w:tcPr>
            <w:tcW w:type="dxa" w:w="5076"/>
          </w:tcPr>
          <w:p>
            <w:pPr>
              <w:pStyle w:val="null3"/>
              <w:jc w:val="left"/>
            </w:pPr>
            <w:r>
              <w:rPr/>
              <w:t>1.本项目投标人除提交书面材料外，还须进行现场讲解及答辩。讲解及答辩时长合计不超过15分钟。【注：参与讲解及答辩现场的讲解人员不超过2人（其中1人须为投标人针对本项目所派的授权代表）。投标人在讲解及答辩过程所需要的一切设备须自行准备（除电源和投影设备由采购代理机构准备之外）】 2.现场讲解：投标人根据本项目的采购要求，对本项目的了解程度及服务要求进行现场讲解，现场讲解包括以下内容①对本项目服务要求的了解程度；②自身具备的核心检测分析能力优势；③阐述公司的服务能力及承接本项目的实验室简介等。 （1）对所讲解的内容准备充足，内容完整，对以上讲解内容进行分类汇总；讲解人员对本项目服务要求的了解程度进行完整阐述；详细明确介绍公司自身具备的核心检测分析能力优势；同时阐述公司的服务能力及承接本项目的实验室简介的得6分； （2）对所讲解的内容有所准备，内容完整，对以上讲解内容进行分类汇总；讲解人员对本项目服务要求的了解程度进行简单的阐述；详细介绍公司自身具备的核心检测分析能力优势；同时阐述公司的服务能力及承接本项目的实验室简介的得3分； （3）对所讲解的内容准备不充足；内容有缺漏，对以上讲解内容进行无分类汇总；讲解人员对本项目服务要求的了解程度进行讲解但无重点；简单介绍公司自身具备的核心检测分析能力优势；对公司的服务能力及承接本项目的实验室简介的阐述含糊的得1分； （4）其他情况或没有提供讲解的不得分。 3.现场答辩：评标委员会根据投标人演讲内容及投标文件对投标人进行提问，投标人应及时应答，且应答内容须合理可行： 对评标委员会所提出的问题能够及时清晰的回应，回应内容优于现场提问内容需求目标，可以保障高效优质履行本项目的得9分； 对评标委员会所提出的问题能够及时清晰的回应，回应内容满足现场提问内容需求目标，可以保障履行本项目的得6分； 对评标委员会所提出的问题没有及时或清晰的回应，回应内容部分满足现场提问内容需求目标，不能切实保障履行本项目的得3分； 没有进行相关回答或者回应内容不能满足现场提问内容需求目标的，得0分。</w:t>
            </w:r>
          </w:p>
        </w:tc>
      </w:tr>
      <w:tr>
        <w:tc>
          <w:tcPr>
            <w:tcW w:type="dxa" w:w="922"/>
            <w:gridSpan w:val="2"/>
            <w:vMerge w:val="restart"/>
          </w:tcPr>
          <w:p>
            <w:pPr>
              <w:pStyle w:val="null3"/>
              <w:jc w:val="center"/>
            </w:pPr>
            <w:r>
              <w:rPr/>
              <w:t>商务部分</w:t>
            </w:r>
          </w:p>
        </w:tc>
        <w:tc>
          <w:tcPr>
            <w:tcW w:type="dxa" w:w="2307"/>
          </w:tcPr>
          <w:p>
            <w:pPr>
              <w:pStyle w:val="null3"/>
              <w:jc w:val="left"/>
            </w:pPr>
            <w:r>
              <w:rPr/>
              <w:t>室间质评情况 (2.0分)</w:t>
            </w:r>
          </w:p>
        </w:tc>
        <w:tc>
          <w:tcPr>
            <w:tcW w:type="dxa" w:w="5076"/>
          </w:tcPr>
          <w:p>
            <w:pPr>
              <w:pStyle w:val="null3"/>
              <w:jc w:val="left"/>
            </w:pPr>
            <w:r>
              <w:rPr/>
              <w:t>投标人提供2024年1月1日以来任意一次通过临床检验中心颁发的肿瘤高通量测序检测室间质量评价活动合格证明得2分，不提供不得分。注：提供相关合格证明文件复印件并加盖投标人公章；不提供不得分。</w:t>
            </w:r>
          </w:p>
        </w:tc>
      </w:tr>
      <w:tr>
        <w:tc>
          <w:tcPr>
            <w:tcW w:type="dxa" w:w="922"/>
            <w:gridSpan w:val="2"/>
            <w:vMerge/>
          </w:tcPr>
          <w:p/>
        </w:tc>
        <w:tc>
          <w:tcPr>
            <w:tcW w:type="dxa" w:w="2307"/>
          </w:tcPr>
          <w:p>
            <w:pPr>
              <w:pStyle w:val="null3"/>
              <w:jc w:val="left"/>
            </w:pPr>
            <w:r>
              <w:rPr/>
              <w:t>管理体系能力 (3.0分)</w:t>
            </w:r>
          </w:p>
        </w:tc>
        <w:tc>
          <w:tcPr>
            <w:tcW w:type="dxa" w:w="5076"/>
          </w:tcPr>
          <w:p>
            <w:pPr>
              <w:pStyle w:val="null3"/>
              <w:jc w:val="left"/>
            </w:pPr>
            <w:r>
              <w:rPr/>
              <w:t>投标人具有以下由经国家认证认可监督管理部门批准设立的认证机构颁发并在有效期内的证书：（1）质量管理体系认证证书；（2）环境管理体系认证证书；（3）职业健康安全管理体系认证证书。每提供一个得1分，本小项最高得3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实验室水平认证 (3.0分)</w:t>
            </w:r>
          </w:p>
        </w:tc>
        <w:tc>
          <w:tcPr>
            <w:tcW w:type="dxa" w:w="5076"/>
          </w:tcPr>
          <w:p>
            <w:pPr>
              <w:pStyle w:val="null3"/>
              <w:jc w:val="left"/>
            </w:pPr>
            <w:r>
              <w:rPr/>
              <w:t>投标人实验室(不包括其连锁公司)具有关于医学体系认可标准(IS015189)的认证，得3分； 注：1）须提供在有效期内的相应证书扫描件、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投标人配备服务人员的情况 (10.0分)</w:t>
            </w:r>
          </w:p>
        </w:tc>
        <w:tc>
          <w:tcPr>
            <w:tcW w:type="dxa" w:w="5076"/>
          </w:tcPr>
          <w:p>
            <w:pPr>
              <w:pStyle w:val="null3"/>
              <w:jc w:val="left"/>
            </w:pPr>
            <w:r>
              <w:rPr/>
              <w:t>1、投标人根据采购包1的采购需求中“为本项目配备的服务人员中”为本项目所配备的5名或以上具有医学检验专业卫生技术人员中：（1）每提供1名具备副高或以上检验技师职称的得2分，最高得6分；（2）每提供1名具备中级检验技师职称的得1分，最高得2分；（3）本小项最高得6分；同一人员按其最高职称级别计算一次，不累计得分，不提供不得分。 2、投标人为本项目所配备的肿瘤分子检测相关从业人员中，每提供1名肿瘤分子检测相关从业人员具有5年及以上的相关肿瘤分子检测数据分析（或解读或管理）服务工作经验的，得2分，本小项最高得4分；不提供不得分。 （注：提供人员配备清单（格式自定），以上1～2同一人员不重复且不混合计算；提供医学检验专业卫生技术人员的对应职称证明，提供肿瘤分子检测相关从业人员的相关服务工作经验证明材料（如甲乙双方合同、用户评价、第三方委派工作证明等），复印件并加盖投标人公章。证明材料不清晰或不按要求提供或缺项漏项或不提供的，则不得分。） 注：须提供上述人员相关证明材料复印件及投标截止日前6个月内任意1个月在投标人单位购买社保的证明材料复印件(退休返聘人员须提供聘用合同复印件)并加盖投标人公章，不提供不得分。</w:t>
            </w:r>
          </w:p>
        </w:tc>
      </w:tr>
      <w:tr>
        <w:tc>
          <w:tcPr>
            <w:tcW w:type="dxa" w:w="922"/>
            <w:gridSpan w:val="2"/>
            <w:vMerge/>
          </w:tcPr>
          <w:p/>
        </w:tc>
        <w:tc>
          <w:tcPr>
            <w:tcW w:type="dxa" w:w="2307"/>
          </w:tcPr>
          <w:p>
            <w:pPr>
              <w:pStyle w:val="null3"/>
              <w:jc w:val="left"/>
            </w:pPr>
            <w:r>
              <w:rPr/>
              <w:t>同类项目业绩情况 (6.0分)</w:t>
            </w:r>
          </w:p>
        </w:tc>
        <w:tc>
          <w:tcPr>
            <w:tcW w:type="dxa" w:w="5076"/>
          </w:tcPr>
          <w:p>
            <w:pPr>
              <w:pStyle w:val="null3"/>
              <w:jc w:val="left"/>
            </w:pPr>
            <w:r>
              <w:rPr/>
              <w:t>投标人自2022年1月1日以来（以合同签订时间为准）具有同类项目（与肿瘤分子检测相关的检验服务）的项目业绩，每提供一个得0.6分，最高得6分。 注：须提供合同关键页（含项目名称、项目内容、甲乙双方签字盖章页），并加盖投标人公章，否则不得分。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采购包2(一代测序及引物合成):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“▲”的重要参数响应情况 (24.0分)</w:t>
            </w:r>
          </w:p>
        </w:tc>
        <w:tc>
          <w:tcPr>
            <w:tcW w:type="dxa" w:w="5076"/>
          </w:tcPr>
          <w:p>
            <w:pPr>
              <w:pStyle w:val="null3"/>
              <w:jc w:val="left"/>
            </w:pPr>
            <w:r>
              <w:rPr/>
              <w:t>投标人对《第二章 采购需求》“采购包2：一代测序及引物合成”中带有“▲”的重要参数（共3项）的响应情况进行评审。 （1）全部满足，得24分； （2）每一个“▲”号的重要参数负偏离扣8分，最低得0分。 （注：1、一般条款和带“★”条款除外；2、须按照采购需求中的要求提供相关资料，否则不得分）</w:t>
            </w:r>
          </w:p>
        </w:tc>
      </w:tr>
      <w:tr>
        <w:tc>
          <w:tcPr>
            <w:tcW w:type="dxa" w:w="922"/>
            <w:gridSpan w:val="2"/>
            <w:vMerge/>
          </w:tcPr>
          <w:p/>
        </w:tc>
        <w:tc>
          <w:tcPr>
            <w:tcW w:type="dxa" w:w="2307"/>
          </w:tcPr>
          <w:p>
            <w:pPr>
              <w:pStyle w:val="null3"/>
              <w:jc w:val="left"/>
            </w:pPr>
            <w:r>
              <w:rPr/>
              <w:t>样本接收运输服务方案1 (4.0分)</w:t>
            </w:r>
          </w:p>
        </w:tc>
        <w:tc>
          <w:tcPr>
            <w:tcW w:type="dxa" w:w="5076"/>
          </w:tcPr>
          <w:p>
            <w:pPr>
              <w:pStyle w:val="null3"/>
              <w:jc w:val="left"/>
            </w:pPr>
            <w:r>
              <w:rPr/>
              <w:t>投标人为本项目配备的物流标本箱具备 GPS 定位和温度监控功能，且可实现全程实时监测得4分（投标人需提供相关证明文件）</w:t>
            </w:r>
          </w:p>
        </w:tc>
      </w:tr>
      <w:tr>
        <w:tc>
          <w:tcPr>
            <w:tcW w:type="dxa" w:w="922"/>
            <w:gridSpan w:val="2"/>
            <w:vMerge/>
          </w:tcPr>
          <w:p/>
        </w:tc>
        <w:tc>
          <w:tcPr>
            <w:tcW w:type="dxa" w:w="2307"/>
          </w:tcPr>
          <w:p>
            <w:pPr>
              <w:pStyle w:val="null3"/>
              <w:jc w:val="left"/>
            </w:pPr>
            <w:r>
              <w:rPr/>
              <w:t>样本接收运输服务方案2 (9.0分)</w:t>
            </w:r>
          </w:p>
        </w:tc>
        <w:tc>
          <w:tcPr>
            <w:tcW w:type="dxa" w:w="5076"/>
          </w:tcPr>
          <w:p>
            <w:pPr>
              <w:pStyle w:val="null3"/>
              <w:jc w:val="left"/>
            </w:pPr>
            <w:r>
              <w:rPr/>
              <w:t>投标人根据本项目要求制定的样本接收运输服务方案（内容包括：收样配备的设施（物流标本箱除外）、收样程序、样本的分类及检查的操作规程、样本流转系统、样本质量的初检、标识核对、样本接收及储存，运输方式、运输专职人员的安排、样本运输过程的保障措施情况）进行评分： （1）投标人能提供样本接收运输服务方案，内容完整且包括以上内容得2分；若没有提供方案或内容不完整，本小项及以下评分项均不得分。 （2）投标人提供的服务方案整体内容优于项目需求的得7分；投标人提供的服务方案整体内容满足项目需求的得3分；服务方案整体内容有部分内容满足项目的得1分；其他情况或不响应，得0分。</w:t>
            </w:r>
          </w:p>
        </w:tc>
      </w:tr>
      <w:tr>
        <w:tc>
          <w:tcPr>
            <w:tcW w:type="dxa" w:w="922"/>
            <w:gridSpan w:val="2"/>
            <w:vMerge/>
          </w:tcPr>
          <w:p/>
        </w:tc>
        <w:tc>
          <w:tcPr>
            <w:tcW w:type="dxa" w:w="2307"/>
          </w:tcPr>
          <w:p>
            <w:pPr>
              <w:pStyle w:val="null3"/>
              <w:jc w:val="left"/>
            </w:pPr>
            <w:r>
              <w:rPr/>
              <w:t>售后服务 (9.0分)</w:t>
            </w:r>
          </w:p>
        </w:tc>
        <w:tc>
          <w:tcPr>
            <w:tcW w:type="dxa" w:w="5076"/>
          </w:tcPr>
          <w:p>
            <w:pPr>
              <w:pStyle w:val="null3"/>
              <w:jc w:val="left"/>
            </w:pPr>
            <w:r>
              <w:rPr/>
              <w:t>投标人针对本项目制定售后服务方案（内容包括：专门售后服务人员的岗位及工作安排、跟进人员、问题改进及措施、解决纠纷及措施、全过程跟进服务的安排）： 1、投标人能提供售后服务方案，且内容完整包括专职人员的岗位及工作安排、跟进人员、问题改进及措施、全过程跟进服务的安排、解决纠纷及措施的内容，得2分；若没有提供方案或内容不完整，本小项及以下评分项均不得分。 2、投标人提供的售后服务方案内容优于采购需求的同时，提供具有保障措施的得7分；投标人提供的售后服务方案内容满足采购需求，同时具有保障措施的得4分；售后服务方案部分内容满足采购需求的得1分；其他情况或不响应，得0分。</w:t>
            </w:r>
          </w:p>
        </w:tc>
      </w:tr>
      <w:tr>
        <w:tc>
          <w:tcPr>
            <w:tcW w:type="dxa" w:w="922"/>
            <w:gridSpan w:val="2"/>
            <w:vMerge/>
          </w:tcPr>
          <w:p/>
        </w:tc>
        <w:tc>
          <w:tcPr>
            <w:tcW w:type="dxa" w:w="2307"/>
          </w:tcPr>
          <w:p>
            <w:pPr>
              <w:pStyle w:val="null3"/>
              <w:jc w:val="left"/>
            </w:pPr>
            <w:r>
              <w:rPr/>
              <w:t>应急服务方案 (9.0分)</w:t>
            </w:r>
          </w:p>
        </w:tc>
        <w:tc>
          <w:tcPr>
            <w:tcW w:type="dxa" w:w="5076"/>
          </w:tcPr>
          <w:p>
            <w:pPr>
              <w:pStyle w:val="null3"/>
              <w:jc w:val="left"/>
            </w:pPr>
            <w:r>
              <w:rPr/>
              <w:t>投标人根据采购包2的采购需求中“八、应急要求”所提供的应急服务方案： 1、投标人针对本项目提供应急服务，内容完整且包括采购需求中“八、应急要求”全部内容的得2分；若没有提供完整的方案或不提供方案，本小项及以下评分项均不得分。 2、投标人提供的应急服务方案的整体内容优于项目需求得7分；投标人提供的应急服务方案的整体内容满足项目需求的得3分；应急服务方案整体内容有部分内容满足项目的得1分；其他情况或不响应，得0分。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投标人配备服务人员的情况 (16.0分)</w:t>
            </w:r>
          </w:p>
        </w:tc>
        <w:tc>
          <w:tcPr>
            <w:tcW w:type="dxa" w:w="5076"/>
          </w:tcPr>
          <w:p>
            <w:pPr>
              <w:pStyle w:val="null3"/>
              <w:jc w:val="left"/>
            </w:pPr>
            <w:r>
              <w:rPr/>
              <w:t>1、投标人根据采购包2的采购需求中“为本项目配备的服务人员”中：（1）每提供1名具备中级或以上生物类相关专业技术职称的得4分，本小项最高得8分；同一人员按其最高职称级别计算一次，不累计得分，不提供不得分。（2）每提供1名生物类相关专业技术人员具有5年或以上的一代测序或引物合成相关服务工作经验的，得4分，本小项最高得8分；不提供不得分。 （注：提供人员配备清单（格式自定），以上1～2同一人员不重复且不混合计算；提供生物类相关专业技术职称证书，提供一代测序和引物合成相关服务工作经验证明材料（如甲乙双方合同、用户评价、第三方委派工作证明等），复印件并加盖投标人公章。证明材料不清晰或不按要求提供或缺项漏项或不提供的，则不得分。） 注：须提供上述人员相关证明材料复印件及投标截止日前6个月内任意1个月在投标人单位购买社保的证明材料复印件(退休返聘人员须提供聘用合同复印件)并加盖投标人公章，不提供不得分。</w:t>
            </w:r>
          </w:p>
        </w:tc>
      </w:tr>
      <w:tr>
        <w:tc>
          <w:tcPr>
            <w:tcW w:type="dxa" w:w="922"/>
            <w:gridSpan w:val="2"/>
            <w:vMerge/>
          </w:tcPr>
          <w:p/>
        </w:tc>
        <w:tc>
          <w:tcPr>
            <w:tcW w:type="dxa" w:w="2307"/>
          </w:tcPr>
          <w:p>
            <w:pPr>
              <w:pStyle w:val="null3"/>
              <w:jc w:val="left"/>
            </w:pPr>
            <w:r>
              <w:rPr/>
              <w:t>管理体系能力 (3.0分)</w:t>
            </w:r>
          </w:p>
        </w:tc>
        <w:tc>
          <w:tcPr>
            <w:tcW w:type="dxa" w:w="5076"/>
          </w:tcPr>
          <w:p>
            <w:pPr>
              <w:pStyle w:val="null3"/>
              <w:jc w:val="left"/>
            </w:pPr>
            <w:r>
              <w:rPr/>
              <w:t>投标人具有以下由经国家认证认可监督管理部门批准设立的认证机构颁发并在有效期内的证书：（1）质量管理体系认证证书；（2）环境管理体系认证证书；（3）职业健康安全管理体系认证证书。每提供一个得1分，本小项最高得3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供应商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同类项目业绩情况 (6.0分)</w:t>
            </w:r>
          </w:p>
        </w:tc>
        <w:tc>
          <w:tcPr>
            <w:tcW w:type="dxa" w:w="5076"/>
          </w:tcPr>
          <w:p>
            <w:pPr>
              <w:pStyle w:val="null3"/>
              <w:jc w:val="left"/>
            </w:pPr>
            <w:r>
              <w:rPr/>
              <w:t>投标人自2022年1月1日以来（以合同签订时间为准）具有同类项目（与一代测序或引物合成相关的检验服务）的项目业绩，每提供一个得0.6分，最高得6分。 注：须提供合同关键页（含项目名称、项目内容、甲乙双方签字盖章页），并加盖投标人公章，否则不得分。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或委托评审委员采取随机抽取方式确定。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或委托评审委员采取随机抽取方式确定。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pPr>
      <w:r>
        <w:rPr>
          <w:sz w:val="44"/>
          <w:b/>
        </w:rPr>
        <w:t>广州医科大学附属妇女儿童医疗中心儿童肿瘤相关检测服务及一代测序相关技术服务采购项目合同</w:t>
      </w:r>
    </w:p>
    <w:p>
      <w:pPr>
        <w:pStyle w:val="null3"/>
        <w:jc w:val="center"/>
      </w:pPr>
      <w:r>
        <w:rPr>
          <w:sz w:val="28"/>
          <w:b/>
        </w:rPr>
        <w:t>项目名称：</w:t>
      </w:r>
      <w:r>
        <w:rPr>
          <w:sz w:val="28"/>
          <w:b/>
          <w:u w:val="single"/>
        </w:rPr>
        <w:t>广州医科大学附属妇女儿童医疗中心儿童肿瘤相关检测服务及一代测序相关技术服务采购项目</w:t>
      </w:r>
    </w:p>
    <w:p>
      <w:pPr>
        <w:pStyle w:val="null3"/>
      </w:pPr>
      <w:r>
        <w:rPr>
          <w:sz w:val="28"/>
          <w:b/>
        </w:rPr>
        <w:t>合同编号：</w:t>
      </w:r>
      <w:r>
        <w:rPr>
          <w:b/>
          <w:u w:val="single"/>
        </w:rPr>
        <w:t xml:space="preserve">                       </w:t>
      </w:r>
    </w:p>
    <w:p>
      <w:pPr>
        <w:pStyle w:val="null3"/>
        <w:jc w:val="both"/>
      </w:pPr>
      <w:r>
        <w:rPr>
          <w:sz w:val="28"/>
          <w:b/>
        </w:rPr>
        <w:t>签约地点：</w:t>
      </w:r>
      <w:r>
        <w:rPr>
          <w:sz w:val="28"/>
          <w:b/>
          <w:u w:val="single"/>
        </w:rPr>
        <w:t>广州医科大学附属妇女儿童医疗中心</w:t>
      </w:r>
    </w:p>
    <w:p>
      <w:pPr>
        <w:pStyle w:val="null3"/>
        <w:jc w:val="both"/>
      </w:pPr>
      <w:r>
        <w:rPr>
          <w:sz w:val="24"/>
        </w:rPr>
        <w:t>甲方：广州医科大学附属妇女儿童医疗中心</w:t>
      </w:r>
    </w:p>
    <w:p>
      <w:pPr>
        <w:pStyle w:val="null3"/>
        <w:jc w:val="both"/>
      </w:pPr>
      <w:r>
        <w:rPr>
          <w:sz w:val="24"/>
        </w:rPr>
        <w:t>乙方：</w:t>
      </w:r>
    </w:p>
    <w:p>
      <w:pPr>
        <w:pStyle w:val="null3"/>
        <w:ind w:firstLine="480"/>
        <w:jc w:val="both"/>
      </w:pPr>
      <w:r>
        <w:rPr>
          <w:sz w:val="24"/>
        </w:rPr>
        <w:t>根据《中华人民共和国民法典》、《中华人民共和国政府采购法》及</w:t>
      </w:r>
      <w:r>
        <w:rPr>
          <w:sz w:val="24"/>
        </w:rPr>
        <w:t>“广州医科大学附属妇女儿童医疗中心儿童肿瘤相关检测服务及一代测序相关技术服务采购项目”包组一儿童肿瘤及相关疾病分子检测项目（项目编号：0724-2531Z2161076）招标文件的要求和招标结果，经甲乙双方协商一致，签订本合同。双方共同遵守如下条款（其他有关合同项目的特定信息由合同附件予以说明，合同附件及本项目的采购文件、投标文件、中标通知书、会议纪要、在实施过程中双方共同签署的补充文件等均为本合同不可分割之一部分）。</w:t>
      </w:r>
    </w:p>
    <w:p>
      <w:pPr>
        <w:pStyle w:val="null3"/>
        <w:ind w:left="480"/>
      </w:pPr>
      <w:r>
        <w:rPr>
          <w:sz w:val="24"/>
        </w:rPr>
        <w:t>一、</w:t>
      </w:r>
      <w:r>
        <w:rPr>
          <w:sz w:val="24"/>
        </w:rPr>
        <w:t>服务内容</w:t>
      </w:r>
    </w:p>
    <w:p>
      <w:pPr>
        <w:pStyle w:val="null3"/>
        <w:ind w:firstLine="480"/>
        <w:jc w:val="both"/>
      </w:pPr>
      <w:r>
        <w:rPr>
          <w:sz w:val="24"/>
        </w:rPr>
        <w:t>乙方采用高通量测序技术、多种非测序类分子检测技术为甲方提供儿童肿瘤及相关疾病分子检测服务，详细检测项目见附件</w:t>
      </w:r>
      <w:r>
        <w:rPr>
          <w:sz w:val="24"/>
        </w:rPr>
        <w:t>1《检测项目列表》。</w:t>
      </w:r>
    </w:p>
    <w:p>
      <w:pPr>
        <w:pStyle w:val="null3"/>
        <w:ind w:left="480"/>
      </w:pPr>
      <w:r>
        <w:rPr>
          <w:sz w:val="24"/>
        </w:rPr>
        <w:t>二、</w:t>
      </w:r>
      <w:r>
        <w:rPr>
          <w:sz w:val="24"/>
        </w:rPr>
        <w:t>服务要求</w:t>
      </w:r>
    </w:p>
    <w:p>
      <w:pPr>
        <w:pStyle w:val="null3"/>
        <w:ind w:left="720"/>
      </w:pPr>
      <w:r>
        <w:rPr>
          <w:sz w:val="24"/>
        </w:rPr>
        <w:t>（一）</w:t>
      </w:r>
      <w:r>
        <w:rPr>
          <w:sz w:val="24"/>
        </w:rPr>
        <w:t>收样</w:t>
      </w:r>
    </w:p>
    <w:p>
      <w:pPr>
        <w:pStyle w:val="null3"/>
        <w:jc w:val="both"/>
      </w:pPr>
      <w:r>
        <w:rPr>
          <w:sz w:val="24"/>
        </w:rPr>
        <w:t>1.乙方须配备符合《GB/T 42186-2022 医学检验生物样本冷链物流运作规范》国家标准的物流标本箱，且具备GPS定位和温度监控功能，可实现全程实时监测。每日下午17点之前（遇特殊标本乙方应在甲方通知后4小时内上门收取标本）由专职物流人员至接收标本院区按照样本类型分别对常温样本及冷藏样本进行分类，检查样本状态是否存在漏液、污染等情况，检查无问题后装入样本运转箱。若发现问题需及时与甲方沟通解决。接收标本院区包括广州医科大学附属妇女儿童医疗中心下属各院区：珠江新城院区，增城院区，儿童院区，妇婴院区，白云院区。</w:t>
      </w:r>
    </w:p>
    <w:p>
      <w:pPr>
        <w:pStyle w:val="null3"/>
        <w:jc w:val="both"/>
      </w:pPr>
      <w:r>
        <w:rPr>
          <w:sz w:val="24"/>
        </w:rPr>
        <w:t>2.乙方应有完善的应急预案予以妥善解决标本在送检过程中出现延迟、遗漏、丢失等情况。若出现样本丢失或延误、错误情况，需要乙方根据应急预案，查找原因，及时找回样本，并将丢失原因及查找结果及时告知甲方，若出现标本延迟、遗漏、丢失等情况，乙方需承担重采样本的费用，并承担相应的责任。</w:t>
      </w:r>
    </w:p>
    <w:p>
      <w:pPr>
        <w:pStyle w:val="null3"/>
        <w:jc w:val="both"/>
      </w:pPr>
      <w:r>
        <w:rPr>
          <w:sz w:val="24"/>
        </w:rPr>
        <w:t>3.乙方需提供或建立标本流转系统，样本流转系统中体现标本送出、运送人员及接收时间等信息，可实时追踪监测标本。同时，确保送检方可以独立账号登录该系统，并查阅名下样本运输、检测、报告及异常情况处置进度等信息。乙方在接收检测样本时需做好相关记录、标记，并将名称录入公司样本系统，每个样本要生成唯一的样本条码，后续提取，检测需根据条码扫描核实，确保样本不会出错。</w:t>
      </w:r>
    </w:p>
    <w:p>
      <w:pPr>
        <w:pStyle w:val="null3"/>
        <w:ind w:left="720"/>
      </w:pPr>
      <w:r>
        <w:rPr>
          <w:sz w:val="24"/>
        </w:rPr>
        <w:t>（二）</w:t>
      </w:r>
      <w:r>
        <w:rPr>
          <w:sz w:val="24"/>
        </w:rPr>
        <w:t>样本运输</w:t>
      </w:r>
    </w:p>
    <w:p>
      <w:pPr>
        <w:pStyle w:val="null3"/>
        <w:jc w:val="both"/>
      </w:pPr>
      <w:r>
        <w:rPr>
          <w:sz w:val="24"/>
        </w:rPr>
        <w:t>1.乙方拥有冷链物流团队，并且提供冷链方案，样本接收人员须通过乙方的内部严格培训，具备生物防护能力及持有乙方的授权；乙方指派的专职物流人员保证受委托检验标本根据标本转运要求，进行冷链或常温物流运输，且符合《GB/T28577-2021冷链物流分类与基本要求》与生物安全要求，确保运输过程的样品质量和环境安全；若发现问题需及时与甲方沟通解决。</w:t>
      </w:r>
    </w:p>
    <w:p>
      <w:pPr>
        <w:pStyle w:val="null3"/>
        <w:jc w:val="both"/>
      </w:pPr>
      <w:r>
        <w:rPr>
          <w:sz w:val="24"/>
        </w:rPr>
        <w:t>2.对于有特殊要求的样本视具体项目与甲方商定，特殊急查样本按甲方要求时间运输到乙方实验室并进行检测，具体可视实际情况协商。</w:t>
      </w:r>
    </w:p>
    <w:p>
      <w:pPr>
        <w:pStyle w:val="null3"/>
        <w:jc w:val="both"/>
      </w:pPr>
      <w:r>
        <w:rPr>
          <w:sz w:val="24"/>
        </w:rPr>
        <w:t>3.流式细胞学检测样本要求接收后6小时内转运至检测实验室；分子生物学检测样本要求接收后12小时内转运至检测实验室，以保障检测时效性。</w:t>
      </w:r>
    </w:p>
    <w:p>
      <w:pPr>
        <w:pStyle w:val="null3"/>
        <w:jc w:val="both"/>
      </w:pPr>
      <w:r>
        <w:rPr>
          <w:sz w:val="24"/>
        </w:rPr>
        <w:t>4.乙方需提供《诊断项目总汇》、《采样手册》（包括其修改版，作为附件并视为本项目采购合同不可分割的一个部分）内容包括但不限于上所述各项目的要求，包括样品的状态、数量及检验方法的说明、采集样本的要求等内容。</w:t>
      </w:r>
    </w:p>
    <w:p>
      <w:pPr>
        <w:pStyle w:val="null3"/>
        <w:ind w:left="720"/>
      </w:pPr>
      <w:r>
        <w:rPr>
          <w:sz w:val="24"/>
        </w:rPr>
        <w:t>（三）</w:t>
      </w:r>
      <w:r>
        <w:rPr>
          <w:sz w:val="24"/>
        </w:rPr>
        <w:t>样本要求</w:t>
      </w:r>
    </w:p>
    <w:p>
      <w:pPr>
        <w:pStyle w:val="null3"/>
        <w:ind w:firstLine="120"/>
        <w:jc w:val="both"/>
      </w:pPr>
      <w:r>
        <w:rPr>
          <w:sz w:val="24"/>
        </w:rPr>
        <w:t>样本类型包括但不限于血、骨髓穿刺液、玻片、</w:t>
      </w:r>
      <w:r>
        <w:rPr>
          <w:sz w:val="24"/>
        </w:rPr>
        <w:t>FFPE固定组织、脑脊液等。</w:t>
      </w:r>
    </w:p>
    <w:p>
      <w:pPr>
        <w:pStyle w:val="null3"/>
        <w:ind w:left="720"/>
      </w:pPr>
      <w:r>
        <w:rPr>
          <w:sz w:val="24"/>
        </w:rPr>
        <w:t>（四）</w:t>
      </w:r>
      <w:r>
        <w:rPr>
          <w:sz w:val="24"/>
        </w:rPr>
        <w:t>硬件设备要求</w:t>
      </w:r>
    </w:p>
    <w:p>
      <w:pPr>
        <w:pStyle w:val="null3"/>
        <w:jc w:val="both"/>
      </w:pPr>
      <w:r>
        <w:rPr>
          <w:sz w:val="24"/>
        </w:rPr>
        <w:t>1.乙方至少需具备肿瘤相关基因测序平台设备2台或以上，以满足项目检测通量需求并保障其稳定开展，每台设备在PE150模式下单次运行48小时内可产生不低于6T数据量。</w:t>
      </w:r>
    </w:p>
    <w:p>
      <w:pPr>
        <w:pStyle w:val="null3"/>
        <w:jc w:val="both"/>
      </w:pPr>
      <w:r>
        <w:rPr>
          <w:sz w:val="24"/>
        </w:rPr>
        <w:t>2.乙方拥有与其主要二代测序平台配套的标准化自动化样本抽提及建库设备一套或以上。</w:t>
      </w:r>
    </w:p>
    <w:p>
      <w:pPr>
        <w:pStyle w:val="null3"/>
        <w:jc w:val="both"/>
      </w:pPr>
      <w:r>
        <w:rPr>
          <w:sz w:val="24"/>
        </w:rPr>
        <w:t>3.为保障特殊类型变异检出及验证能力、对肿瘤的综合诊断能力，乙方须拥有数字PCR、定量PCR、毛细管电泳、FISH、SNP-Array、染色体核型分析、CYTEK全光谱流式细胞仪等非测序类检测设备，并提供肿瘤综合诊断咨询。</w:t>
      </w:r>
    </w:p>
    <w:p>
      <w:pPr>
        <w:pStyle w:val="null3"/>
        <w:ind w:left="720"/>
      </w:pPr>
      <w:r>
        <w:rPr>
          <w:sz w:val="24"/>
        </w:rPr>
        <w:t>（五）</w:t>
      </w:r>
      <w:r>
        <w:rPr>
          <w:sz w:val="24"/>
        </w:rPr>
        <w:t>检测技术指标</w:t>
      </w:r>
    </w:p>
    <w:p>
      <w:pPr>
        <w:pStyle w:val="null3"/>
        <w:jc w:val="both"/>
      </w:pPr>
      <w:r>
        <w:rPr>
          <w:sz w:val="24"/>
        </w:rPr>
        <w:t>1.合同履行过程中，</w:t>
      </w:r>
      <w:r>
        <w:rPr>
          <w:sz w:val="24"/>
        </w:rPr>
        <w:t>乙方提供的检测服务需达到以下技术要求：</w:t>
      </w:r>
    </w:p>
    <w:p>
      <w:pPr>
        <w:pStyle w:val="null3"/>
        <w:jc w:val="both"/>
      </w:pPr>
      <w:r>
        <w:rPr>
          <w:sz w:val="24"/>
        </w:rPr>
        <w:t>（</w:t>
      </w:r>
      <w:r>
        <w:rPr>
          <w:sz w:val="24"/>
        </w:rPr>
        <w:t>1）肿瘤相关基因高深度测序检测项目：所用探针应覆盖600个以上相关基因。</w:t>
      </w:r>
    </w:p>
    <w:p>
      <w:pPr>
        <w:pStyle w:val="null3"/>
        <w:jc w:val="both"/>
      </w:pPr>
      <w:r>
        <w:rPr>
          <w:sz w:val="24"/>
        </w:rPr>
        <w:t>（</w:t>
      </w:r>
      <w:r>
        <w:rPr>
          <w:sz w:val="24"/>
        </w:rPr>
        <w:t>2）肿瘤相关融合变异测序检测项目应覆盖检测400个以上融合变异相关基因。</w:t>
      </w:r>
    </w:p>
    <w:p>
      <w:pPr>
        <w:pStyle w:val="null3"/>
        <w:jc w:val="both"/>
      </w:pPr>
      <w:r>
        <w:rPr>
          <w:sz w:val="24"/>
        </w:rPr>
        <w:t>（</w:t>
      </w:r>
      <w:r>
        <w:rPr>
          <w:sz w:val="24"/>
        </w:rPr>
        <w:t>3）乙方实验室能提供血液肿瘤相关RNA-NGS检测，可覆盖融合基因、基因突变、基因表达检测。</w:t>
      </w:r>
    </w:p>
    <w:p>
      <w:pPr>
        <w:pStyle w:val="null3"/>
        <w:jc w:val="both"/>
      </w:pPr>
      <w:r>
        <w:rPr>
          <w:sz w:val="24"/>
        </w:rPr>
        <w:t>（</w:t>
      </w:r>
      <w:r>
        <w:rPr>
          <w:sz w:val="24"/>
        </w:rPr>
        <w:t>4）肿瘤基因检测：乙方的检测流程中设置严格的质量控制节点，由专业病理医生对肿瘤样本进行检测前条件质控，包括样本中肿瘤细胞比例，选择最具检测价值的肿瘤区域等，保证检测样本质量，提高结果可靠性</w:t>
      </w:r>
      <w:r>
        <w:rPr>
          <w:sz w:val="24"/>
        </w:rPr>
        <w:t>。</w:t>
      </w:r>
    </w:p>
    <w:p>
      <w:pPr>
        <w:pStyle w:val="null3"/>
        <w:jc w:val="both"/>
      </w:pPr>
      <w:r>
        <w:rPr>
          <w:sz w:val="24"/>
        </w:rPr>
        <w:t>（</w:t>
      </w:r>
      <w:r>
        <w:rPr>
          <w:sz w:val="24"/>
        </w:rPr>
        <w:t>5）乙方提供室内质量控制报告，能提供项目的室内质控报告，包括质控检测数据、控制标准、质控分析、失控报告等。</w:t>
      </w:r>
    </w:p>
    <w:p>
      <w:pPr>
        <w:pStyle w:val="null3"/>
        <w:jc w:val="left"/>
      </w:pPr>
      <w:r>
        <w:rPr>
          <w:sz w:val="24"/>
          <w:b/>
          <w:color w:val="000000"/>
        </w:rPr>
        <w:t>2. 合同履行过程中，乙方的项目产出数据性能应不低于下表中相应标准要求。同时，批次间及批次内指征数据一致性的参数应不低于99%。</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2655"/>
        <w:gridCol w:w="1695"/>
        <w:gridCol w:w="1980"/>
        <w:gridCol w:w="1785"/>
      </w:tblGrid>
      <w:tr>
        <w:tc>
          <w:tcPr>
            <w:tcW w:type="dxa" w:w="26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测序项目名称</w:t>
            </w:r>
          </w:p>
        </w:tc>
        <w:tc>
          <w:tcPr>
            <w:tcW w:type="dxa" w:w="5460"/>
            <w:gridSpan w:val="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肿瘤相关基因高深度测序检测（实体肿瘤）</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送检样本属性</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病灶组织</w:t>
            </w:r>
            <w:r>
              <w:rPr>
                <w:sz w:val="20"/>
              </w:rPr>
              <w:t>FFPE</w:t>
            </w:r>
          </w:p>
        </w:tc>
        <w:tc>
          <w:tcPr>
            <w:tcW w:type="dxa" w:w="198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病灶组织</w:t>
            </w:r>
            <w:r>
              <w:rPr>
                <w:sz w:val="20"/>
              </w:rPr>
              <w:t>ctDNA</w:t>
            </w:r>
          </w:p>
        </w:tc>
        <w:tc>
          <w:tcPr>
            <w:tcW w:type="dxa" w:w="178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对照样本</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Raw paired-end read length</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150*2</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150*2</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150*2</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Raw data yield(Gb)</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&gt;=12</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&gt;=60</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&gt;=1</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Q30</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&gt;=85%</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&gt;=85%</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&gt;=85%</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Clean reads ratio</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&gt;=99%</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&gt;=99%</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&gt;=99%</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Mapped rate</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&gt;=98%</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&gt;=98%</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&gt;=98%</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Capture efficiency rate on target regions</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&gt;75%</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&gt;75%</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&gt;75%</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PCR duplication rate</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&lt;30%</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&lt;60%</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&lt;15%</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Mean coverage sequencing depth on official target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&gt;1500X</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&gt;5000X</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&gt;200X</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Fraction of official target covered with at least 20X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&gt;=98%</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Fraction of official target covered with at least 100X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&gt;=98%</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&gt;=90%</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Fraction of official target covered with at least 200X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&gt;=95%</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Fraction of official target covered with at least 500X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&gt;=90%</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&gt;=98%</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Fraction of official target covered with at least 1000X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&gt;=80%</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&gt;=95%</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Fraction of official target covered with at least 2000X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&gt;=80%</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r>
      <w:tr>
        <w:tc>
          <w:tcPr>
            <w:tcW w:type="dxa" w:w="26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Fraction of official target covered with at least 5000X after duplication removal</w:t>
            </w:r>
          </w:p>
        </w:tc>
        <w:tc>
          <w:tcPr>
            <w:tcW w:type="dxa" w:w="16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c>
          <w:tcPr>
            <w:tcW w:type="dxa" w:w="198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&gt;=50%</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w:t>
            </w:r>
          </w:p>
        </w:tc>
      </w:tr>
    </w:tbl>
    <w:tbl>
      <w:tblPr>
        <w:tblW w:w="0" w:type="auto"/>
        <w:tblInd w:type="dxa" w:w="105"/>
        <w:tblBorders>
          <w:top w:val="none" w:color="000000" w:sz="4"/>
          <w:left w:val="none" w:color="000000" w:sz="4"/>
          <w:bottom w:val="none" w:color="000000" w:sz="4"/>
          <w:right w:val="none" w:color="000000" w:sz="4"/>
          <w:insideH w:val="none"/>
          <w:insideV w:val="none"/>
        </w:tblBorders>
      </w:tblPr>
      <w:tblGrid>
        <w:gridCol w:w="3420"/>
        <w:gridCol w:w="4740"/>
      </w:tblGrid>
      <w:tr>
        <w:tc>
          <w:tcPr>
            <w:tcW w:type="dxa" w:w="34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测序项目名称</w:t>
            </w:r>
          </w:p>
        </w:tc>
        <w:tc>
          <w:tcPr>
            <w:tcW w:type="dxa" w:w="47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肿瘤相关融合变异测序检测</w:t>
            </w:r>
          </w:p>
        </w:tc>
      </w:tr>
      <w:tr>
        <w:tc>
          <w:tcPr>
            <w:tcW w:type="dxa" w:w="3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Raw paired-end read length</w:t>
            </w:r>
          </w:p>
        </w:tc>
        <w:tc>
          <w:tcPr>
            <w:tcW w:type="dxa" w:w="4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150*2</w:t>
            </w:r>
          </w:p>
        </w:tc>
      </w:tr>
      <w:tr>
        <w:tc>
          <w:tcPr>
            <w:tcW w:type="dxa" w:w="3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Raw Total Reads(M)</w:t>
            </w:r>
          </w:p>
        </w:tc>
        <w:tc>
          <w:tcPr>
            <w:tcW w:type="dxa" w:w="4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&gt;=40</w:t>
            </w:r>
          </w:p>
        </w:tc>
      </w:tr>
      <w:tr>
        <w:tc>
          <w:tcPr>
            <w:tcW w:type="dxa" w:w="3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Q30</w:t>
            </w:r>
          </w:p>
        </w:tc>
        <w:tc>
          <w:tcPr>
            <w:tcW w:type="dxa" w:w="4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&gt;=85%</w:t>
            </w:r>
          </w:p>
        </w:tc>
      </w:tr>
      <w:tr>
        <w:tc>
          <w:tcPr>
            <w:tcW w:type="dxa" w:w="3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Clean reads ratio</w:t>
            </w:r>
          </w:p>
        </w:tc>
        <w:tc>
          <w:tcPr>
            <w:tcW w:type="dxa" w:w="4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&gt;=95%</w:t>
            </w:r>
          </w:p>
        </w:tc>
      </w:tr>
      <w:tr>
        <w:tc>
          <w:tcPr>
            <w:tcW w:type="dxa" w:w="3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Mapped rate</w:t>
            </w:r>
          </w:p>
        </w:tc>
        <w:tc>
          <w:tcPr>
            <w:tcW w:type="dxa" w:w="4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75" w:firstLine="10"/>
              <w:jc w:val="both"/>
            </w:pPr>
            <w:r>
              <w:rPr>
                <w:sz w:val="20"/>
              </w:rPr>
              <w:t>&gt;=90%</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测序项目名称</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血液肿瘤相关融合基因测序检测</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送检样本属性</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骨髓</w:t>
            </w:r>
            <w:r>
              <w:rPr>
                <w:sz w:val="20"/>
              </w:rPr>
              <w:t>/外周血</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Raw paired-end read length</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150*2</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Raw data yield(Gb)</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≥6</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Q30</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≥85%</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Mapped reads</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≥10M</w:t>
            </w:r>
          </w:p>
        </w:tc>
      </w:tr>
      <w:tr>
        <w:tc>
          <w:tcPr>
            <w:tcW w:type="dxa" w:w="34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Capture efficiency rate on target regions</w:t>
            </w:r>
          </w:p>
        </w:tc>
        <w:tc>
          <w:tcPr>
            <w:tcW w:type="dxa" w:w="47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≥65%</w:t>
            </w:r>
          </w:p>
        </w:tc>
      </w:tr>
      <w:tr>
        <w:tc>
          <w:tcPr>
            <w:tcW w:type="dxa" w:w="3420"/>
            <w:vMerge/>
            <w:tcBorders>
              <w:top w:val="none" w:color="000000" w:sz="4"/>
              <w:left w:val="single" w:color="000000" w:sz="4"/>
              <w:bottom w:val="single" w:color="000000" w:sz="4"/>
              <w:right w:val="single" w:color="000000" w:sz="4"/>
            </w:tcBorders>
          </w:tcPr>
          <w:p/>
        </w:tc>
        <w:tc>
          <w:tcPr>
            <w:tcW w:type="dxa" w:w="4740"/>
            <w:vMerge/>
            <w:tcBorders>
              <w:top w:val="none" w:color="000000" w:sz="4"/>
              <w:left w:val="single" w:color="000000" w:sz="4"/>
              <w:bottom w:val="single" w:color="000000" w:sz="4"/>
              <w:right w:val="single" w:color="000000" w:sz="4"/>
            </w:tcBorders>
          </w:tcP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PCR duplication rate</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≤35%</w:t>
            </w:r>
          </w:p>
        </w:tc>
      </w:tr>
      <w:tr>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Coverage of target region</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≥99%</w:t>
            </w:r>
          </w:p>
        </w:tc>
      </w:tr>
      <w:tr>
        <w:tc>
          <w:tcPr>
            <w:tcW w:type="dxa" w:w="34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Remove duplicate Mean depth of target region</w:t>
            </w:r>
          </w:p>
        </w:tc>
        <w:tc>
          <w:tcPr>
            <w:tcW w:type="dxa" w:w="47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≥1000X</w:t>
            </w:r>
          </w:p>
        </w:tc>
      </w:tr>
      <w:tr>
        <w:tc>
          <w:tcPr>
            <w:tcW w:type="dxa" w:w="3420"/>
            <w:vMerge/>
            <w:tcBorders>
              <w:top w:val="none" w:color="000000" w:sz="4"/>
              <w:left w:val="single" w:color="000000" w:sz="4"/>
              <w:bottom w:val="single" w:color="000000" w:sz="4"/>
              <w:right w:val="single" w:color="000000" w:sz="4"/>
            </w:tcBorders>
          </w:tcPr>
          <w:p/>
        </w:tc>
        <w:tc>
          <w:tcPr>
            <w:tcW w:type="dxa" w:w="4740"/>
            <w:vMerge/>
            <w:tcBorders>
              <w:top w:val="none" w:color="000000" w:sz="4"/>
              <w:left w:val="single" w:color="000000" w:sz="4"/>
              <w:bottom w:val="single" w:color="000000" w:sz="4"/>
              <w:right w:val="single" w:color="000000" w:sz="4"/>
            </w:tcBorders>
          </w:tcPr>
          <w:p/>
        </w:tc>
      </w:tr>
      <w:tr>
        <w:tc>
          <w:tcPr>
            <w:tcW w:type="dxa" w:w="3420"/>
            <w:vMerge/>
            <w:tcBorders>
              <w:top w:val="none" w:color="000000" w:sz="4"/>
              <w:left w:val="single" w:color="000000" w:sz="4"/>
              <w:bottom w:val="single" w:color="000000" w:sz="4"/>
              <w:right w:val="single" w:color="000000" w:sz="4"/>
            </w:tcBorders>
          </w:tcPr>
          <w:p/>
        </w:tc>
        <w:tc>
          <w:tcPr>
            <w:tcW w:type="dxa" w:w="4740"/>
            <w:vMerge/>
            <w:tcBorders>
              <w:top w:val="none" w:color="000000" w:sz="4"/>
              <w:left w:val="single" w:color="000000" w:sz="4"/>
              <w:bottom w:val="single" w:color="000000" w:sz="4"/>
              <w:right w:val="single" w:color="000000" w:sz="4"/>
            </w:tcBorders>
          </w:tcPr>
          <w:p/>
        </w:tc>
      </w:tr>
      <w:tr>
        <w:tc>
          <w:tcPr>
            <w:tcW w:type="dxa" w:w="34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Remove duplicate Fraction of target covered&gt;=500X(%)</w:t>
            </w:r>
          </w:p>
        </w:tc>
        <w:tc>
          <w:tcPr>
            <w:tcW w:type="dxa" w:w="47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right="75" w:firstLine="10"/>
              <w:jc w:val="both"/>
            </w:pPr>
            <w:r>
              <w:rPr>
                <w:sz w:val="20"/>
              </w:rPr>
              <w:t>≥90%</w:t>
            </w:r>
          </w:p>
        </w:tc>
      </w:tr>
      <w:tr>
        <w:tc>
          <w:tcPr>
            <w:tcW w:type="dxa" w:w="3420"/>
            <w:vMerge/>
            <w:tcBorders>
              <w:top w:val="none" w:color="000000" w:sz="4"/>
              <w:left w:val="single" w:color="000000" w:sz="4"/>
              <w:bottom w:val="single" w:color="000000" w:sz="4"/>
              <w:right w:val="single" w:color="000000" w:sz="4"/>
            </w:tcBorders>
          </w:tcPr>
          <w:p/>
        </w:tc>
        <w:tc>
          <w:tcPr>
            <w:tcW w:type="dxa" w:w="4740"/>
            <w:vMerge/>
            <w:tcBorders>
              <w:top w:val="none" w:color="000000" w:sz="4"/>
              <w:left w:val="single" w:color="000000" w:sz="4"/>
              <w:bottom w:val="single" w:color="000000" w:sz="4"/>
              <w:right w:val="single" w:color="000000" w:sz="4"/>
            </w:tcBorders>
          </w:tcPr>
          <w:p/>
        </w:tc>
      </w:tr>
      <w:tr>
        <w:tc>
          <w:tcPr>
            <w:tcW w:type="dxa" w:w="3420"/>
            <w:vMerge/>
            <w:tcBorders>
              <w:top w:val="none" w:color="000000" w:sz="4"/>
              <w:left w:val="single" w:color="000000" w:sz="4"/>
              <w:bottom w:val="single" w:color="000000" w:sz="4"/>
              <w:right w:val="single" w:color="000000" w:sz="4"/>
            </w:tcBorders>
          </w:tcPr>
          <w:p/>
        </w:tc>
        <w:tc>
          <w:tcPr>
            <w:tcW w:type="dxa" w:w="4740"/>
            <w:vMerge/>
            <w:tcBorders>
              <w:top w:val="none" w:color="000000" w:sz="4"/>
              <w:left w:val="single" w:color="000000" w:sz="4"/>
              <w:bottom w:val="single" w:color="000000" w:sz="4"/>
              <w:right w:val="single" w:color="000000" w:sz="4"/>
            </w:tcBorders>
          </w:tcPr>
          <w:p/>
        </w:tc>
      </w:tr>
    </w:tbl>
    <w:p>
      <w:pPr>
        <w:pStyle w:val="null3"/>
        <w:jc w:val="center"/>
      </w:pPr>
      <w:r>
        <w:rPr/>
        <w:t xml:space="preserve"> </w:t>
      </w:r>
    </w:p>
    <w:p>
      <w:pPr>
        <w:pStyle w:val="null3"/>
        <w:ind w:left="720"/>
      </w:pPr>
      <w:r>
        <w:rPr>
          <w:sz w:val="24"/>
        </w:rPr>
        <w:t>（六）</w:t>
      </w:r>
      <w:r>
        <w:rPr>
          <w:sz w:val="24"/>
        </w:rPr>
        <w:t>测序数据分析处理要求</w:t>
      </w:r>
    </w:p>
    <w:p>
      <w:pPr>
        <w:pStyle w:val="null3"/>
        <w:jc w:val="both"/>
      </w:pPr>
      <w:r>
        <w:rPr>
          <w:sz w:val="24"/>
        </w:rPr>
        <w:t>1.合同履行期间，在生信分析环节乙方需采用自建或第三方商用分析加速软件提速生信分析过程。单例肿瘤转录组测序数据生信分析时长低于24小时，单例肿瘤大panel测序数据生信分析时长低于18小时。</w:t>
      </w:r>
    </w:p>
    <w:p>
      <w:pPr>
        <w:pStyle w:val="null3"/>
        <w:jc w:val="both"/>
      </w:pPr>
      <w:r>
        <w:rPr>
          <w:sz w:val="24"/>
        </w:rPr>
        <w:t>2.合同履行期间，乙方需使用规范采购及授权的OMIM、GnomAD、HGMD、ClinVar等数据库对变异进行注释</w:t>
      </w:r>
      <w:r>
        <w:rPr>
          <w:sz w:val="24"/>
        </w:rPr>
        <w:t>。</w:t>
      </w:r>
    </w:p>
    <w:p>
      <w:pPr>
        <w:pStyle w:val="null3"/>
        <w:jc w:val="both"/>
      </w:pPr>
      <w:r>
        <w:rPr>
          <w:sz w:val="24"/>
        </w:rPr>
        <w:t>3.测序数据医学遗传分析工具要求：合同履行期间，乙方需使用自主开发或者采购第三方商业系统的集成化医学遗传分析系统完成检测。该系统需至少具备基因筛选、变异筛选、变异评级等前端可视化操作界面，内嵌点变异、小片段插入/缺失变异ACMG评级辅助工具及BAM文件可视化查看插件，内嵌拷贝数变异可视化分析工具，并允许即时调用测序数据进行实时分析；支持对本项目所属样本及数据进行筛选和搜索（如姓名、性别、样本类型及基因信息等）。</w:t>
      </w:r>
    </w:p>
    <w:p>
      <w:pPr>
        <w:pStyle w:val="null3"/>
        <w:ind w:left="720"/>
      </w:pPr>
      <w:r>
        <w:rPr>
          <w:sz w:val="24"/>
        </w:rPr>
        <w:t>（七）</w:t>
      </w:r>
      <w:r>
        <w:rPr>
          <w:sz w:val="24"/>
        </w:rPr>
        <w:t>交付要求</w:t>
      </w:r>
    </w:p>
    <w:p>
      <w:pPr>
        <w:pStyle w:val="null3"/>
        <w:jc w:val="both"/>
      </w:pPr>
      <w:r>
        <w:rPr>
          <w:sz w:val="24"/>
        </w:rPr>
        <w:t>1.测序项目以临床检测报告及二代测序原始数据（交付格式包括FASTQ、BAM及VCF，乙方指派专人通过移动硬盘的方式将二代测序原始数据交付到甲方指定地点）作为主要检测交付内容；非测序项目以临床检测报告为主要检测交付内容。检测报告应在</w:t>
      </w:r>
      <w:r>
        <w:rPr>
          <w:sz w:val="24"/>
        </w:rPr>
        <w:t>最终报告交付时间</w:t>
      </w:r>
      <w:r>
        <w:rPr>
          <w:sz w:val="24"/>
        </w:rPr>
        <w:t>交付，并满足如下内容格式要求：</w:t>
      </w:r>
    </w:p>
    <w:p>
      <w:pPr>
        <w:pStyle w:val="null3"/>
        <w:jc w:val="both"/>
      </w:pPr>
      <w:r>
        <w:rPr>
          <w:sz w:val="24"/>
        </w:rPr>
        <w:t>（</w:t>
      </w:r>
      <w:r>
        <w:rPr>
          <w:sz w:val="24"/>
        </w:rPr>
        <w:t>1）肿瘤相关基因高深度测序、肿瘤相关融合变异测序检测报告中常规变异位点需依循AMP/ASCO体细胞系变异评级指南进行分类评级及报告。</w:t>
      </w:r>
    </w:p>
    <w:p>
      <w:pPr>
        <w:pStyle w:val="null3"/>
        <w:jc w:val="both"/>
      </w:pPr>
      <w:r>
        <w:rPr>
          <w:sz w:val="24"/>
        </w:rPr>
        <w:t>（</w:t>
      </w:r>
      <w:r>
        <w:rPr>
          <w:sz w:val="24"/>
        </w:rPr>
        <w:t>2）其他非测序类项目交付的检测报告应遵循相关行业标准，包含临床检验报告应有的相关要素。</w:t>
      </w:r>
    </w:p>
    <w:p>
      <w:pPr>
        <w:pStyle w:val="null3"/>
        <w:jc w:val="both"/>
      </w:pPr>
      <w:r>
        <w:rPr>
          <w:sz w:val="24"/>
        </w:rPr>
        <w:t>2. 乙方需按附件1《检测项目列表》中各项目最终报告交付时间要求向甲方交付数据和检测报告，特殊检验样本按甲方的要求交付周期进行交付，以上时间以样本到达检测实验室的时间为起点计算。如因乙方原因不能按时出具报告或者检测报告出现错误的，乙方应当承担相应的法律责任。</w:t>
      </w:r>
    </w:p>
    <w:p>
      <w:pPr>
        <w:pStyle w:val="null3"/>
        <w:ind w:left="720"/>
      </w:pPr>
      <w:r>
        <w:rPr>
          <w:sz w:val="24"/>
        </w:rPr>
        <w:t>（八）</w:t>
      </w:r>
      <w:r>
        <w:rPr>
          <w:sz w:val="24"/>
        </w:rPr>
        <w:t>系统要求</w:t>
      </w:r>
    </w:p>
    <w:p>
      <w:pPr>
        <w:pStyle w:val="null3"/>
        <w:jc w:val="both"/>
      </w:pPr>
      <w:r>
        <w:rPr>
          <w:sz w:val="24"/>
        </w:rPr>
        <w:t>1.乙方须将临床检测报告实时网络传送，实现实验室数据的汇总、储存、传输功能，检测报告要上传到甲方LIS系统。乙方负责与医院LIS和HIS系统对接，并负责LIS和HIS系统对接产生的所有费用，该费用包含在合同总价中。</w:t>
      </w:r>
    </w:p>
    <w:p>
      <w:pPr>
        <w:pStyle w:val="null3"/>
        <w:jc w:val="both"/>
      </w:pPr>
      <w:r>
        <w:rPr>
          <w:sz w:val="24"/>
        </w:rPr>
        <w:t>2.为甲方提供检测样本完整质控信息及基于分子标签技术的样本溯源技术。确保一次实验同时完成项目结果产出及样本溯源，能提示样本混样污染情况，保障样本在实验和分析周期中的有效管理。</w:t>
      </w:r>
    </w:p>
    <w:p>
      <w:pPr>
        <w:pStyle w:val="null3"/>
        <w:ind w:left="720"/>
      </w:pPr>
      <w:r>
        <w:rPr>
          <w:sz w:val="24"/>
        </w:rPr>
        <w:t>（九）</w:t>
      </w:r>
      <w:r>
        <w:rPr>
          <w:sz w:val="24"/>
        </w:rPr>
        <w:t>剩余样本保存</w:t>
      </w:r>
    </w:p>
    <w:p>
      <w:pPr>
        <w:pStyle w:val="null3"/>
        <w:jc w:val="both"/>
      </w:pPr>
      <w:r>
        <w:rPr>
          <w:sz w:val="24"/>
        </w:rPr>
        <w:t>检测完成后，乙方须提供不少于</w:t>
      </w:r>
      <w:r>
        <w:rPr>
          <w:sz w:val="24"/>
        </w:rPr>
        <w:t>12个月的样本（包括剩余原始样本以及检测后剩余核酸样本）保存服务以及不少于15年的病理切片、蜡块和阳性涂片保存服务（如因不可抗力或其他不可克服因素导致不能按规定时间保存标本，需提前通知甲方，得到甲方书面同意后启动进行标本返还流程，或对标本进行无害化处理，相关费用由乙方承担）。乙方在保存样本时，须对样本进行一一对应标记，按不同样本类型保存要求进行保存，其中需低温保存的样本（如剩余核酸）在专用样本存储处进行低温（-20℃~-80℃)保存，标记需清晰，以便甲方有需要可随时进行调档；12个月后经甲方的书面通知后进行无害化处理。对于超过保存期的样本，乙方需经甲方书面同意后方可处理；如甲方需要，乙方需按甲方要求在规定时间内返还保存的样本（乙方指派专人通过冷链运输（-20℃)的方式将数据交付到甲方指定地点）。由此过程中产生的一切费用均由乙方承担。</w:t>
      </w:r>
    </w:p>
    <w:p>
      <w:pPr>
        <w:pStyle w:val="null3"/>
        <w:ind w:left="720"/>
      </w:pPr>
      <w:r>
        <w:rPr>
          <w:sz w:val="24"/>
        </w:rPr>
        <w:t>（十）</w:t>
      </w:r>
      <w:r>
        <w:rPr>
          <w:sz w:val="24"/>
        </w:rPr>
        <w:t>数据储存及数据安全保障要求</w:t>
      </w:r>
    </w:p>
    <w:p>
      <w:pPr>
        <w:pStyle w:val="null3"/>
        <w:jc w:val="both"/>
      </w:pPr>
      <w:r>
        <w:rPr>
          <w:sz w:val="24"/>
        </w:rPr>
        <w:t>1.数据交付后，乙方须提供不少于36个月（服务期内）的数据存储服务。乙方须对样本数据进行对应标记及专用保密方式存储，以便甲方有需要时可随时调档；36个月（服务期满）后根据甲方的书面通知进行无保留的移交（乙方指派专人通过移动硬盘的方式将数据交付到甲方指定地点）且对已移交的样本数据情况进行无痕清除处理。由此产生的一切费用均由乙方承担。</w:t>
      </w:r>
    </w:p>
    <w:p>
      <w:pPr>
        <w:pStyle w:val="null3"/>
        <w:jc w:val="both"/>
      </w:pPr>
      <w:r>
        <w:rPr>
          <w:sz w:val="24"/>
        </w:rPr>
        <w:t>2.</w:t>
      </w:r>
      <w:r>
        <w:rPr>
          <w:sz w:val="24"/>
        </w:rPr>
        <w:t>乙方须提供本项目数据安全管理，隐私信息保护，数据泄露保护，具备异地数据备份功能，为甲方提供本地化数据储存和访问服务，全部数据只允许在中国大陆备份。</w:t>
      </w:r>
    </w:p>
    <w:p>
      <w:pPr>
        <w:pStyle w:val="null3"/>
        <w:ind w:left="480"/>
      </w:pPr>
      <w:r>
        <w:rPr>
          <w:sz w:val="24"/>
        </w:rPr>
        <w:t>三、</w:t>
      </w:r>
      <w:r>
        <w:rPr>
          <w:sz w:val="24"/>
        </w:rPr>
        <w:t>服务人员要求</w:t>
      </w:r>
    </w:p>
    <w:p>
      <w:pPr>
        <w:pStyle w:val="null3"/>
        <w:jc w:val="both"/>
      </w:pPr>
      <w:r>
        <w:rPr>
          <w:sz w:val="24"/>
        </w:rPr>
        <w:t>乙方需按投标承诺为本项目配备以下服务人员，合同履行期间未经甲方同意不得随意更换人员，如因不可抗力因素需更换人员，必须经甲方同意后更换同等或以上资历的服务人员。</w:t>
      </w:r>
    </w:p>
    <w:p>
      <w:pPr>
        <w:pStyle w:val="null3"/>
        <w:jc w:val="both"/>
      </w:pPr>
      <w:r>
        <w:rPr>
          <w:sz w:val="24"/>
        </w:rPr>
        <w:t>1.</w:t>
      </w:r>
      <w:r>
        <w:rPr>
          <w:sz w:val="21"/>
        </w:rPr>
        <w:t xml:space="preserve"> </w:t>
      </w:r>
      <w:r>
        <w:rPr>
          <w:sz w:val="24"/>
        </w:rPr>
        <w:t>配备至少</w:t>
      </w:r>
      <w:r>
        <w:rPr>
          <w:sz w:val="24"/>
        </w:rPr>
        <w:t>2名肿瘤分子检测相关从业人员（人员的专业为遗传学或肿瘤学或血液病学或提供遗传咨询师证）；配备5名或以上具有医学检验专业卫生技术人员，其中同时具有卫生行政部门指定机构技术培训颁发的临床基因扩增检验技术培训合格证明的不少于5名。</w:t>
      </w:r>
    </w:p>
    <w:p>
      <w:pPr>
        <w:pStyle w:val="null3"/>
        <w:jc w:val="both"/>
      </w:pPr>
      <w:r>
        <w:rPr>
          <w:sz w:val="24"/>
        </w:rPr>
        <w:t>2.</w:t>
      </w:r>
      <w:r>
        <w:rPr>
          <w:sz w:val="21"/>
        </w:rPr>
        <w:t xml:space="preserve"> </w:t>
      </w:r>
      <w:r>
        <w:rPr>
          <w:sz w:val="24"/>
        </w:rPr>
        <w:t>医学检验专业卫生技术人员中需有具备中级或以上的检验技师职称；肿瘤分子检测相关从业人员中需有具有</w:t>
      </w:r>
      <w:r>
        <w:rPr>
          <w:sz w:val="24"/>
        </w:rPr>
        <w:t>5年或以上的相关肿瘤分子检测数据分析（或检测或解读或管理）服务工作经验。</w:t>
      </w:r>
    </w:p>
    <w:p>
      <w:pPr>
        <w:pStyle w:val="null3"/>
        <w:ind w:left="480"/>
      </w:pPr>
      <w:r>
        <w:rPr>
          <w:sz w:val="24"/>
        </w:rPr>
        <w:t>四、</w:t>
      </w:r>
      <w:r>
        <w:rPr>
          <w:sz w:val="24"/>
        </w:rPr>
        <w:t>售后服务</w:t>
      </w:r>
    </w:p>
    <w:p>
      <w:pPr>
        <w:pStyle w:val="null3"/>
        <w:jc w:val="both"/>
      </w:pPr>
      <w:r>
        <w:rPr>
          <w:sz w:val="24"/>
        </w:rPr>
        <w:t>（一）乙方为甲方提供本地化售后服务。提供固定的具有医学背景的专业人员负责日常送检标本的临床咨询、标本采集培训、标本接收、报告发放、结果咨询等服务。</w:t>
      </w:r>
    </w:p>
    <w:p>
      <w:pPr>
        <w:pStyle w:val="null3"/>
        <w:jc w:val="both"/>
      </w:pPr>
      <w:r>
        <w:rPr>
          <w:sz w:val="24"/>
        </w:rPr>
        <w:t>（二）乙方需提供专门售后服务团队，设立专门联系跟进的人员及</w:t>
      </w:r>
      <w:r>
        <w:rPr>
          <w:sz w:val="24"/>
        </w:rPr>
        <w:t>400（或800或其他专用）联系方式，甲方联系乙方后，涉及售后的相关问题技术支持或工程师需要在12小时内通过电话/邮件/微信进行响应回复，在72小时内对甲方所提出的问题进行解决。如样本的质量出现不合格的情况，需6小时内通过电话/邮件/微信通知</w:t>
      </w:r>
      <w:r>
        <w:rPr>
          <w:sz w:val="24"/>
        </w:rPr>
        <w:t>甲方</w:t>
      </w:r>
      <w:r>
        <w:rPr>
          <w:sz w:val="24"/>
        </w:rPr>
        <w:t>，并于</w:t>
      </w:r>
      <w:r>
        <w:rPr>
          <w:sz w:val="24"/>
        </w:rPr>
        <w:t>7个工作日内予以解决。</w:t>
      </w:r>
    </w:p>
    <w:p>
      <w:pPr>
        <w:pStyle w:val="null3"/>
        <w:jc w:val="both"/>
      </w:pPr>
      <w:r>
        <w:rPr>
          <w:sz w:val="24"/>
        </w:rPr>
        <w:t>（三）乙方提供网上查询服务和提供电话查询服务，以供随时查询进度和结果。</w:t>
      </w:r>
    </w:p>
    <w:p>
      <w:pPr>
        <w:pStyle w:val="null3"/>
        <w:jc w:val="both"/>
      </w:pPr>
      <w:r>
        <w:rPr>
          <w:sz w:val="24"/>
        </w:rPr>
        <w:t>（四）乙方如需召回检测报告的，应在</w:t>
      </w:r>
      <w:r>
        <w:rPr>
          <w:sz w:val="24"/>
        </w:rPr>
        <w:t>24小时内通过一切形式包括电话、邮寄、传真、电子邮件、当面告知等方式通知甲方召回检测报告并通过上述形式提供新的检测报告。因召回检测报告而产生的一切法律责任由乙方承担。</w:t>
      </w:r>
    </w:p>
    <w:p>
      <w:pPr>
        <w:pStyle w:val="null3"/>
        <w:jc w:val="both"/>
      </w:pPr>
      <w:r>
        <w:rPr>
          <w:sz w:val="24"/>
        </w:rPr>
        <w:t>（五）对于检测结果错误或甲方对检测结果提出异议的样本，乙方需按甲方要求进行重新检测，并在甲方提出重新检测要求的</w:t>
      </w:r>
      <w:r>
        <w:rPr>
          <w:sz w:val="24"/>
        </w:rPr>
        <w:t>7个工作日内交付检测结果。</w:t>
      </w:r>
    </w:p>
    <w:p>
      <w:pPr>
        <w:pStyle w:val="null3"/>
        <w:jc w:val="both"/>
      </w:pPr>
      <w:r>
        <w:rPr>
          <w:sz w:val="24"/>
        </w:rPr>
        <w:t>（六）乙方定期开展与项目相关学术交流、培训，促进甲方的临床项目开展。</w:t>
      </w:r>
    </w:p>
    <w:p>
      <w:pPr>
        <w:pStyle w:val="null3"/>
        <w:jc w:val="both"/>
      </w:pPr>
      <w:r>
        <w:rPr>
          <w:sz w:val="24"/>
        </w:rPr>
        <w:t>（七）乙方向甲方提供每年不少于</w:t>
      </w:r>
      <w:r>
        <w:rPr>
          <w:sz w:val="24"/>
        </w:rPr>
        <w:t>5次的相关业务培训，根据甲方的要求制定培训方式及培训内容，经甲方确认后开展培训课程。</w:t>
      </w:r>
    </w:p>
    <w:p>
      <w:pPr>
        <w:pStyle w:val="null3"/>
        <w:ind w:left="480"/>
      </w:pPr>
      <w:r>
        <w:rPr>
          <w:sz w:val="24"/>
        </w:rPr>
        <w:t>五、</w:t>
      </w:r>
      <w:r>
        <w:rPr>
          <w:sz w:val="24"/>
        </w:rPr>
        <w:t>应急要求</w:t>
      </w:r>
    </w:p>
    <w:p>
      <w:pPr>
        <w:pStyle w:val="null3"/>
        <w:jc w:val="left"/>
      </w:pPr>
      <w:r>
        <w:rPr>
          <w:sz w:val="24"/>
          <w:b/>
          <w:color w:val="000000"/>
        </w:rPr>
        <w:t>（一）乙方需对样本丢失、数据泄露、漏检、误检、检测失误、样本污染、检测数据异常等情况进行提供针对性的应急防范措施及应对措施，合同签订后</w:t>
      </w:r>
      <w:r>
        <w:rPr>
          <w:sz w:val="24"/>
          <w:b/>
          <w:color w:val="000000"/>
        </w:rPr>
        <w:t>10天内需将相关应急预案交甲方存档备案。</w:t>
      </w:r>
    </w:p>
    <w:p>
      <w:pPr>
        <w:pStyle w:val="null3"/>
        <w:jc w:val="left"/>
      </w:pPr>
      <w:r>
        <w:rPr>
          <w:sz w:val="24"/>
          <w:b/>
          <w:color w:val="000000"/>
        </w:rPr>
        <w:t>（二）对项目实施期间可能出现突发的、不可预见的情况，乙方应在接到甲方通知</w:t>
      </w:r>
      <w:r>
        <w:rPr>
          <w:sz w:val="24"/>
          <w:b/>
          <w:color w:val="000000"/>
        </w:rPr>
        <w:t>2小时内响应，派专职人员与甲方对接，并在4小时内向甲方如实汇报处理措施、进度、处理结果。</w:t>
      </w:r>
    </w:p>
    <w:p>
      <w:pPr>
        <w:pStyle w:val="null3"/>
        <w:jc w:val="left"/>
      </w:pPr>
      <w:r>
        <w:rPr>
          <w:sz w:val="24"/>
          <w:b/>
          <w:color w:val="000000"/>
        </w:rPr>
        <w:t>（三）乙方应制定应急预案，包括但不限于标本运输应急处理、样本信息异常处理、样本异常处理（样本污染、样本遗失）、结果数据传输异常、质量事故应急处理、检测结果错误应急处理。预案应包括需包括应急人员组织架构、人员职责、各种紧急情况的响应时间、联系方式、各种紧急情况的详细处理流程及紧急情况的预防措施。</w:t>
      </w:r>
    </w:p>
    <w:p>
      <w:pPr>
        <w:pStyle w:val="null3"/>
        <w:jc w:val="left"/>
      </w:pPr>
      <w:r>
        <w:rPr>
          <w:sz w:val="24"/>
          <w:b/>
          <w:color w:val="000000"/>
        </w:rPr>
        <w:t>（四）乙方能提供送检服务应急措施、具备处理投入本项目核心设备故障、防止检验室或样本污染的能力。有完整的对突发事件、安全事故处理的方案。建立相应质量控制制度，制定相应的质量管理手册</w:t>
      </w:r>
      <w:r>
        <w:rPr>
          <w:sz w:val="24"/>
          <w:b/>
          <w:color w:val="000000"/>
        </w:rPr>
        <w:t>(或制度等相关内容)。</w:t>
      </w:r>
    </w:p>
    <w:p>
      <w:pPr>
        <w:pStyle w:val="null3"/>
        <w:ind w:left="480"/>
      </w:pPr>
      <w:r>
        <w:rPr>
          <w:sz w:val="24"/>
        </w:rPr>
        <w:t>六、</w:t>
      </w:r>
      <w:r>
        <w:rPr>
          <w:sz w:val="24"/>
        </w:rPr>
        <w:t>知识产权及保密要求</w:t>
      </w:r>
    </w:p>
    <w:p>
      <w:pPr>
        <w:pStyle w:val="null3"/>
        <w:jc w:val="both"/>
      </w:pPr>
      <w:r>
        <w:rPr>
          <w:sz w:val="24"/>
        </w:rPr>
        <w:t>（一）保密信息要求：在本项目服务期限内或者合同终止后乙方都有为甲方保密的义务。在未经甲方书面同意或授权前提下，乙方不得向甲方临床科室工作人员、患者、患者家属及法律或甲方许可的单位或人员以外等的任何第三方泄露甲方委托检测的项目、检测的内容、检测的结果；且不得将本项目所涉及的生物样本、相关数据、技术文件及其他有关信息用于任何目的和</w:t>
      </w:r>
      <w:r>
        <w:rPr>
          <w:sz w:val="24"/>
        </w:rPr>
        <w:t>/或形式的用途。同时乙方对在本项目采购合同有效期内从甲方知悉的关于甲方的一切非公开的保密信息负有保密义务。本项目执行过程中产生的所有知识产权归甲方所有。乙方若违反上述约定，应赔偿甲方损失，并负相关法律责任。本保密条款不因合同终止而终止。</w:t>
      </w:r>
    </w:p>
    <w:p>
      <w:pPr>
        <w:pStyle w:val="null3"/>
        <w:jc w:val="both"/>
      </w:pPr>
      <w:r>
        <w:rPr>
          <w:sz w:val="24"/>
        </w:rPr>
        <w:t>（二）知识产权：检测样本、检测剩余样本、检测数据的所有权、使用权为甲方所有，未经甲方书面许可不得挪作它用。甲方拥有本项目所有数据及相关衍生的所有知识产权。</w:t>
      </w:r>
    </w:p>
    <w:p>
      <w:pPr>
        <w:pStyle w:val="null3"/>
        <w:jc w:val="both"/>
      </w:pPr>
      <w:r>
        <w:rPr>
          <w:sz w:val="24"/>
        </w:rPr>
        <w:t>（三）乙方生物信息安全性要求：乙方在项目实施过程中未经安全审查，不得将国家人类遗传资源信息向境外组织、个人及其设立或实际控制的机构提供或者开放使用。</w:t>
      </w:r>
    </w:p>
    <w:p>
      <w:pPr>
        <w:pStyle w:val="null3"/>
        <w:ind w:left="480"/>
      </w:pPr>
      <w:r>
        <w:rPr>
          <w:sz w:val="24"/>
        </w:rPr>
        <w:t>七、</w:t>
      </w:r>
      <w:r>
        <w:rPr>
          <w:sz w:val="24"/>
        </w:rPr>
        <w:t>项目验收</w:t>
      </w:r>
    </w:p>
    <w:p>
      <w:pPr>
        <w:pStyle w:val="null3"/>
        <w:jc w:val="both"/>
      </w:pPr>
      <w:r>
        <w:rPr>
          <w:sz w:val="24"/>
        </w:rPr>
        <w:t>（一）验收标准：</w:t>
      </w:r>
    </w:p>
    <w:p>
      <w:pPr>
        <w:pStyle w:val="null3"/>
        <w:jc w:val="both"/>
      </w:pPr>
      <w:r>
        <w:rPr>
          <w:sz w:val="24"/>
        </w:rPr>
        <w:t>1.符合中华人民共和国国家和履约地相关检测质量标准、行业技术规范标准；</w:t>
      </w:r>
    </w:p>
    <w:p>
      <w:pPr>
        <w:pStyle w:val="null3"/>
        <w:jc w:val="both"/>
      </w:pPr>
      <w:r>
        <w:rPr>
          <w:sz w:val="24"/>
        </w:rPr>
        <w:t>2.符合招标文件和乙方响应承诺中甲方认可的各项要求；</w:t>
      </w:r>
    </w:p>
    <w:p>
      <w:pPr>
        <w:pStyle w:val="null3"/>
        <w:jc w:val="both"/>
      </w:pPr>
      <w:r>
        <w:rPr>
          <w:sz w:val="24"/>
        </w:rPr>
        <w:t>3.项目检测准确性：乙方负责对提供的样品进行检测、建库、测序，负责数据及质控报告交付（按照交付周期要求）。如达不到技术要求，则不予验收，并责令乙方在15个工作日内完成整改，直到整改达标后再予以验收。</w:t>
      </w:r>
    </w:p>
    <w:p>
      <w:pPr>
        <w:pStyle w:val="null3"/>
        <w:jc w:val="both"/>
      </w:pPr>
      <w:r>
        <w:rPr>
          <w:sz w:val="24"/>
        </w:rPr>
        <w:t>（二）为保障本项目进度及完成质量，项目开展后，甲方每月对上个月乙方提供的服务、完成的样本检测进行验收；项目履约期满后，甲方对项目进行验收。</w:t>
      </w:r>
    </w:p>
    <w:p>
      <w:pPr>
        <w:pStyle w:val="null3"/>
        <w:jc w:val="both"/>
      </w:pPr>
      <w:r>
        <w:rPr>
          <w:sz w:val="24"/>
        </w:rPr>
        <w:t>（三）甲方按照以下标准每季度（每三个月为一个季度）对乙方的服务质量进行季度考核，并根据考核结果扣罚乙方的服务费。如发生不良事件，除了扣罚相应标本的服务费，还需给予甲方问题样本费用双倍的赔偿，如项目延期，每延期一日应向甲方赔偿该标本服务费金额（检测项目招标限价</w:t>
      </w:r>
      <w:r>
        <w:rPr>
          <w:sz w:val="24"/>
        </w:rPr>
        <w:t>x折扣）的百分之五。如上季度考核期内发生不良事件3次或以上的，乙方除了承担上述赔偿责任外，甲方可立刻终止合作合同且不承担违约责任。</w:t>
      </w:r>
    </w:p>
    <w:p>
      <w:pPr>
        <w:pStyle w:val="null3"/>
        <w:jc w:val="both"/>
      </w:pPr>
      <w:r>
        <w:rPr>
          <w:sz w:val="24"/>
        </w:rPr>
        <w:t>1、误验例数：每季度不高于1例；</w:t>
      </w:r>
    </w:p>
    <w:p>
      <w:pPr>
        <w:pStyle w:val="null3"/>
        <w:jc w:val="both"/>
      </w:pPr>
      <w:r>
        <w:rPr>
          <w:sz w:val="24"/>
        </w:rPr>
        <w:t>2、漏检例数：每季度少于1例；</w:t>
      </w:r>
    </w:p>
    <w:p>
      <w:pPr>
        <w:pStyle w:val="null3"/>
        <w:jc w:val="both"/>
      </w:pPr>
      <w:r>
        <w:rPr>
          <w:sz w:val="24"/>
        </w:rPr>
        <w:t>3、及时率：结果及时，及时率每季度大于99.5%；</w:t>
      </w:r>
    </w:p>
    <w:p>
      <w:pPr>
        <w:pStyle w:val="null3"/>
        <w:jc w:val="both"/>
      </w:pPr>
      <w:r>
        <w:rPr>
          <w:sz w:val="24"/>
        </w:rPr>
        <w:t>4、误报率：姓名、结果等误报每季度不高于2例；</w:t>
      </w:r>
    </w:p>
    <w:p>
      <w:pPr>
        <w:pStyle w:val="null3"/>
        <w:jc w:val="both"/>
      </w:pPr>
      <w:r>
        <w:rPr>
          <w:sz w:val="24"/>
        </w:rPr>
        <w:t>5、检测样本丢失、运送错误、混淆等问题：每季度不高于1例；</w:t>
      </w:r>
    </w:p>
    <w:p>
      <w:pPr>
        <w:pStyle w:val="null3"/>
        <w:jc w:val="both"/>
      </w:pPr>
      <w:r>
        <w:rPr>
          <w:sz w:val="24"/>
        </w:rPr>
        <w:t>6、如因乙方检测结果与复检结果不一致，造成法律纠纷或经济损失的，由乙方承担纠纷产生的一切法律责任和经济责任。</w:t>
      </w:r>
    </w:p>
    <w:p>
      <w:pPr>
        <w:pStyle w:val="null3"/>
        <w:jc w:val="both"/>
      </w:pPr>
      <w:r>
        <w:rPr>
          <w:sz w:val="24"/>
        </w:rPr>
        <w:t>（四）甲方对乙方进行年度考核，年度考核评价内容分以下三方面：第一，测序质量，考核年度内若发生测序质量不达标事件（包括但不限于测序深度低于目标值、测序碱基错误率高于</w:t>
      </w:r>
      <w:r>
        <w:rPr>
          <w:sz w:val="24"/>
        </w:rPr>
        <w:t>0.4%以及任何原因的重测），每发生一次，扣5分；第二，报告交付，考核年度内若发生报告交付问题（包括但不限于报告延时、误报、漏报、样本丢失、样本混淆），每发生一次，扣5分；第三，售后服务，考核年度内若乙方没有遵守承诺的售后服务标准及响应速度，扣10分；年度总评分八十分或以上为合格。若年度总评分八十分（不含）以下，甲方可单方终止本项目，且有权要求乙方承担违约责任。乙方如对甲方造成经济损失的，还需赔偿甲方遭受的所有的损失。合同签署执行后，如乙方出现连续两个批次技术参数不达标，甲方有权终止合同。</w:t>
      </w:r>
    </w:p>
    <w:p>
      <w:pPr>
        <w:pStyle w:val="null3"/>
        <w:jc w:val="both"/>
      </w:pPr>
      <w:r>
        <w:rPr>
          <w:sz w:val="24"/>
        </w:rPr>
        <w:t>（五）双方约定的其他验收标准。</w:t>
      </w:r>
    </w:p>
    <w:p>
      <w:pPr>
        <w:pStyle w:val="null3"/>
        <w:ind w:left="480"/>
      </w:pPr>
      <w:r>
        <w:rPr>
          <w:sz w:val="24"/>
        </w:rPr>
        <w:t>八、</w:t>
      </w:r>
      <w:r>
        <w:rPr>
          <w:sz w:val="24"/>
        </w:rPr>
        <w:t>项目实施时间及地点</w:t>
      </w:r>
    </w:p>
    <w:p>
      <w:pPr>
        <w:pStyle w:val="null3"/>
      </w:pPr>
      <w:r>
        <w:rPr>
          <w:sz w:val="24"/>
        </w:rPr>
        <w:t>（一）项目实施时间：</w:t>
      </w:r>
      <w:r>
        <w:rPr>
          <w:sz w:val="24"/>
        </w:rPr>
        <w:t>3年（即2025年</w:t>
      </w:r>
      <w:r>
        <w:rPr>
          <w:u w:val="single"/>
        </w:rPr>
        <w:t xml:space="preserve">  </w:t>
      </w:r>
      <w:r>
        <w:rPr>
          <w:sz w:val="24"/>
        </w:rPr>
        <w:t>月</w:t>
      </w:r>
      <w:r>
        <w:rPr>
          <w:u w:val="single"/>
        </w:rPr>
        <w:t xml:space="preserve">  </w:t>
      </w:r>
      <w:r>
        <w:rPr>
          <w:sz w:val="24"/>
        </w:rPr>
        <w:t>日至</w:t>
      </w:r>
      <w:r>
        <w:rPr>
          <w:sz w:val="24"/>
        </w:rPr>
        <w:t>2028年</w:t>
      </w:r>
      <w:r>
        <w:rPr>
          <w:u w:val="single"/>
        </w:rPr>
        <w:t xml:space="preserve">  </w:t>
      </w:r>
      <w:r>
        <w:rPr>
          <w:sz w:val="24"/>
        </w:rPr>
        <w:t>月</w:t>
      </w:r>
      <w:r>
        <w:rPr>
          <w:u w:val="single"/>
        </w:rPr>
        <w:t xml:space="preserve">  </w:t>
      </w:r>
      <w:r>
        <w:rPr>
          <w:sz w:val="24"/>
        </w:rPr>
        <w:t>日至）或累计实际结算款项达到</w:t>
      </w:r>
      <w:r>
        <w:rPr>
          <w:sz w:val="24"/>
        </w:rPr>
        <w:t>2500万元，以先到为准。</w:t>
      </w:r>
    </w:p>
    <w:p>
      <w:pPr>
        <w:pStyle w:val="null3"/>
      </w:pPr>
      <w:r>
        <w:rPr>
          <w:sz w:val="24"/>
        </w:rPr>
        <w:t>（二）项目实施地点：广州医科大学附属妇女儿童医疗中心五院区，分别为：</w:t>
      </w:r>
    </w:p>
    <w:p>
      <w:pPr>
        <w:pStyle w:val="null3"/>
        <w:jc w:val="both"/>
      </w:pPr>
      <w:r>
        <w:rPr>
          <w:sz w:val="24"/>
        </w:rPr>
        <w:t>1.珠江新城院区：广州市天河区金穗路9号；</w:t>
      </w:r>
    </w:p>
    <w:p>
      <w:pPr>
        <w:pStyle w:val="null3"/>
        <w:jc w:val="both"/>
      </w:pPr>
      <w:r>
        <w:rPr>
          <w:sz w:val="24"/>
        </w:rPr>
        <w:t>2.儿童院区：广州市越秀区人民中路318号；</w:t>
      </w:r>
    </w:p>
    <w:p>
      <w:pPr>
        <w:pStyle w:val="null3"/>
        <w:jc w:val="both"/>
      </w:pPr>
      <w:r>
        <w:rPr>
          <w:sz w:val="24"/>
        </w:rPr>
        <w:t>3.妇婴院区：广州市越秀区人民中路402号；</w:t>
      </w:r>
    </w:p>
    <w:p>
      <w:pPr>
        <w:pStyle w:val="null3"/>
        <w:jc w:val="both"/>
      </w:pPr>
      <w:r>
        <w:rPr>
          <w:sz w:val="24"/>
        </w:rPr>
        <w:t>4.增城院区：广州市增城区增城大道293号；</w:t>
      </w:r>
    </w:p>
    <w:p>
      <w:pPr>
        <w:pStyle w:val="null3"/>
        <w:jc w:val="both"/>
      </w:pPr>
      <w:r>
        <w:rPr>
          <w:sz w:val="24"/>
        </w:rPr>
        <w:t>5.白云院区：广州市白云区新达路91号、93号。</w:t>
      </w:r>
    </w:p>
    <w:p>
      <w:pPr>
        <w:pStyle w:val="null3"/>
        <w:ind w:left="480"/>
      </w:pPr>
      <w:r>
        <w:rPr>
          <w:sz w:val="24"/>
        </w:rPr>
        <w:t>九、</w:t>
      </w:r>
      <w:r>
        <w:rPr>
          <w:sz w:val="24"/>
        </w:rPr>
        <w:t>项目结算</w:t>
      </w:r>
    </w:p>
    <w:p>
      <w:pPr>
        <w:pStyle w:val="null3"/>
      </w:pPr>
      <w:r>
        <w:rPr>
          <w:sz w:val="24"/>
        </w:rPr>
        <w:t>（一）本项目合同总额为人民币（大写）</w:t>
      </w:r>
      <w:r>
        <w:rPr>
          <w:sz w:val="24"/>
          <w:u w:val="single"/>
        </w:rPr>
        <w:t>贰仟伍佰万元整</w:t>
      </w:r>
      <w:r>
        <w:rPr>
          <w:sz w:val="24"/>
        </w:rPr>
        <w:t>，（小写）</w:t>
      </w:r>
      <w:r>
        <w:rPr>
          <w:sz w:val="24"/>
        </w:rPr>
        <w:t>¥</w:t>
      </w:r>
      <w:r>
        <w:rPr>
          <w:sz w:val="24"/>
          <w:u w:val="single"/>
        </w:rPr>
        <w:t>25000000.00</w:t>
      </w:r>
      <w:r>
        <w:rPr>
          <w:sz w:val="24"/>
        </w:rPr>
        <w:t>元；中标折扣率为</w:t>
      </w:r>
      <w:r>
        <w:rPr>
          <w:u w:val="single"/>
        </w:rPr>
        <w:t xml:space="preserve">   </w:t>
      </w:r>
      <w:r>
        <w:rPr>
          <w:sz w:val="24"/>
        </w:rPr>
        <w:t>。合同期内，所有检测项目均按同一中标折扣率结算，中标折扣率包括本项目服务实施过程中涉及的相关检验设备使用，分析平台、解读软件使用及试剂试纸耗材等费用；包括样本运输，结果数据传输，与甲方系统对接，剩余样本保存，数据保存服务人员工资等完成本项目一切可见或不可预见的费用。</w:t>
      </w:r>
    </w:p>
    <w:p>
      <w:pPr>
        <w:pStyle w:val="null3"/>
      </w:pPr>
      <w:r>
        <w:rPr>
          <w:sz w:val="24"/>
        </w:rPr>
        <w:t>（二）付款方式</w:t>
      </w:r>
    </w:p>
    <w:p>
      <w:pPr>
        <w:pStyle w:val="null3"/>
      </w:pPr>
      <w:r>
        <w:rPr>
          <w:sz w:val="24"/>
        </w:rPr>
        <w:t>1.甲方以银行转账形式每月按实结算，根据每月检测项目和数量，按中标折扣率结算，实际结算款=∑【对应检测项目的招标基准价×中标折扣率×实际检测数量】。经甲方确认后，乙方于次月15日前向甲方提交结算资料，甲方收到结算资料并核对无误后5个工作日内开始办理支付手续。</w:t>
      </w:r>
    </w:p>
    <w:p>
      <w:pPr>
        <w:pStyle w:val="null3"/>
      </w:pPr>
      <w:r>
        <w:rPr>
          <w:sz w:val="24"/>
        </w:rPr>
        <w:t>2.三年合同期累计结算金额不超过采购预算人民币2500万元，最终结算数额以甲方在合同期间的实际检测情况为准。</w:t>
      </w:r>
    </w:p>
    <w:p>
      <w:pPr>
        <w:pStyle w:val="null3"/>
      </w:pPr>
      <w:r>
        <w:rPr>
          <w:sz w:val="24"/>
        </w:rPr>
        <w:t>3.乙方在每月5日（如遇节假日往后顺延）前将上月的工作量清单明细表交由甲方核对无误后，方可开具发票。</w:t>
      </w:r>
    </w:p>
    <w:p>
      <w:pPr>
        <w:pStyle w:val="null3"/>
      </w:pPr>
      <w:r>
        <w:rPr>
          <w:sz w:val="24"/>
        </w:rPr>
        <w:t>4.因甲方使用的是财政性资金，甲方在前款规定的付款时间为向支付部门提出办理财政支付申请手续的时间（不含支付部门审核的时间），在规定时间内提出支付申请手续后即视为甲方已经按期支付，乙方应按项目进度要求进行实施。</w:t>
      </w:r>
    </w:p>
    <w:p>
      <w:pPr>
        <w:pStyle w:val="null3"/>
      </w:pPr>
      <w:r>
        <w:rPr>
          <w:sz w:val="24"/>
        </w:rPr>
        <w:t>5.</w:t>
      </w:r>
      <w:r>
        <w:rPr/>
        <w:t xml:space="preserve"> </w:t>
      </w:r>
      <w:r>
        <w:rPr>
          <w:sz w:val="24"/>
        </w:rPr>
        <w:t>乙方在每次结算时需向甲方提交以下资料：</w:t>
      </w:r>
    </w:p>
    <w:p>
      <w:pPr>
        <w:pStyle w:val="null3"/>
      </w:pPr>
      <w:r>
        <w:rPr>
          <w:sz w:val="24"/>
        </w:rPr>
        <w:t>（</w:t>
      </w:r>
      <w:r>
        <w:rPr>
          <w:sz w:val="24"/>
        </w:rPr>
        <w:t>1）合同、中标通知书、履约保证金缴纳材料；（首次结算时提供）</w:t>
      </w:r>
    </w:p>
    <w:p>
      <w:pPr>
        <w:pStyle w:val="null3"/>
      </w:pPr>
      <w:r>
        <w:rPr>
          <w:sz w:val="24"/>
        </w:rPr>
        <w:t>（</w:t>
      </w:r>
      <w:r>
        <w:rPr>
          <w:sz w:val="24"/>
        </w:rPr>
        <w:t>2）乙方开具的正式发票；</w:t>
      </w:r>
    </w:p>
    <w:p>
      <w:pPr>
        <w:pStyle w:val="null3"/>
      </w:pPr>
      <w:r>
        <w:rPr>
          <w:sz w:val="24"/>
        </w:rPr>
        <w:t>（</w:t>
      </w:r>
      <w:r>
        <w:rPr>
          <w:sz w:val="24"/>
        </w:rPr>
        <w:t>3）经甲方管理科室确认的上月的工作量清单明细表。</w:t>
      </w:r>
    </w:p>
    <w:p>
      <w:pPr>
        <w:pStyle w:val="null3"/>
      </w:pPr>
      <w:r>
        <w:rPr>
          <w:sz w:val="24"/>
        </w:rPr>
        <w:t>（三）履约保证金</w:t>
      </w:r>
    </w:p>
    <w:p>
      <w:pPr>
        <w:pStyle w:val="null3"/>
      </w:pPr>
      <w:r>
        <w:rPr>
          <w:sz w:val="24"/>
        </w:rPr>
        <w:t>乙方与甲方签订合同后</w:t>
      </w:r>
      <w:r>
        <w:rPr>
          <w:sz w:val="24"/>
        </w:rPr>
        <w:t>15个工作日内，按采购预算的2%以银行转账或支票（汇票、本票）或保函（保险）等非现金形式向甲方提交履约保证金【保函（保险）方式提交的，须提供保函（保险）原件交予甲方备案】，同时须在合同期内保持履约保证金长期有效。若不提交履约保证金或履约保证金在服务期内失效后15个工作日内不向甲方更新提交，甲方有权终止合同，并上报政府采购监管部门，由此产生的一切责任及损失均由乙方承担。若合同期内乙方没有违约行为，甲方无息退还履约保证金（以保函（保险）形式提交的履约保证金在合同期满后或合同终止后30个工作日内自动失效；以银行转账或支票（汇票）提交的履约保证金在合同期满后或合同终止后30个工作日内，甲方收到乙方的退还申请后，无息退还给乙方）；如逾期退还，甲方按每日逾期款总额的3‰向乙方偿付违约金。下列任何一种情况发生时，甲方有权不予退还履约保证金：1.乙方未完全履行项目投标文件承诺或合同约定的；2.乙方的原因导致甲方单位发生医疗纠纷或医疗事故或医疗过错。</w:t>
      </w:r>
    </w:p>
    <w:p>
      <w:pPr>
        <w:pStyle w:val="null3"/>
        <w:ind w:left="480"/>
      </w:pPr>
      <w:r>
        <w:rPr>
          <w:sz w:val="24"/>
        </w:rPr>
        <w:t>十、</w:t>
      </w:r>
      <w:r>
        <w:rPr>
          <w:sz w:val="24"/>
        </w:rPr>
        <w:t>双方权利及义务</w:t>
      </w:r>
    </w:p>
    <w:p>
      <w:pPr>
        <w:pStyle w:val="null3"/>
      </w:pPr>
      <w:r>
        <w:rPr>
          <w:sz w:val="24"/>
        </w:rPr>
        <w:t>（一）甲方权利及义务</w:t>
      </w:r>
    </w:p>
    <w:p>
      <w:pPr>
        <w:pStyle w:val="null3"/>
      </w:pPr>
      <w:r>
        <w:rPr>
          <w:sz w:val="24"/>
        </w:rPr>
        <w:t>1.甲方有权指定甲方代表以维护甲方的合法权益。</w:t>
      </w:r>
    </w:p>
    <w:p>
      <w:pPr>
        <w:pStyle w:val="null3"/>
      </w:pPr>
      <w:r>
        <w:rPr>
          <w:sz w:val="24"/>
        </w:rPr>
        <w:t>2.甲方负责检查监督乙方在甲方的服务工作的实施执行情况。</w:t>
      </w:r>
    </w:p>
    <w:p>
      <w:pPr>
        <w:pStyle w:val="null3"/>
      </w:pPr>
      <w:r>
        <w:rPr>
          <w:sz w:val="24"/>
        </w:rPr>
        <w:t>3.甲方对乙方实行每季度、每年的服务质量考核评分，如考核不合格，对乙方作相应处罚。</w:t>
      </w:r>
    </w:p>
    <w:p>
      <w:pPr>
        <w:pStyle w:val="null3"/>
      </w:pPr>
      <w:r>
        <w:rPr>
          <w:sz w:val="24"/>
        </w:rPr>
        <w:t>4.甲方管理部门可随时对乙方提供的服务进行抽查。</w:t>
      </w:r>
    </w:p>
    <w:p>
      <w:pPr>
        <w:pStyle w:val="null3"/>
      </w:pPr>
      <w:r>
        <w:rPr>
          <w:sz w:val="24"/>
        </w:rPr>
        <w:t>5.甲方管理部门可随时要求乙方对不完善的问题进行限期整改。</w:t>
      </w:r>
    </w:p>
    <w:p>
      <w:pPr>
        <w:pStyle w:val="null3"/>
      </w:pPr>
      <w:r>
        <w:rPr>
          <w:sz w:val="24"/>
        </w:rPr>
        <w:t>6.甲方对乙方服务人员（包括管理人员）不满意时，乙方应及时且无条件的为甲方更换合格的人员。</w:t>
      </w:r>
    </w:p>
    <w:p>
      <w:pPr>
        <w:pStyle w:val="null3"/>
      </w:pPr>
      <w:r>
        <w:rPr>
          <w:sz w:val="24"/>
        </w:rPr>
        <w:t>7.甲方有按时结算货款的义务。</w:t>
      </w:r>
    </w:p>
    <w:p>
      <w:pPr>
        <w:pStyle w:val="null3"/>
      </w:pPr>
      <w:r>
        <w:rPr>
          <w:sz w:val="24"/>
        </w:rPr>
        <w:t>（二）乙方权利与义务</w:t>
      </w:r>
    </w:p>
    <w:p>
      <w:pPr>
        <w:pStyle w:val="null3"/>
      </w:pPr>
      <w:r>
        <w:rPr>
          <w:sz w:val="24"/>
        </w:rPr>
        <w:t>1.制订各种相关服务制度、操作流程、培训计划、管理标准；乙方须严格按照标准化的操作程序、完善的培训体系和质量控制体系完成本项目，以保证本项目能高效、有序和有计划地完成。</w:t>
      </w:r>
    </w:p>
    <w:p>
      <w:pPr>
        <w:pStyle w:val="null3"/>
      </w:pPr>
      <w:r>
        <w:rPr>
          <w:sz w:val="24"/>
        </w:rPr>
        <w:t>2.乙方于合同签订后10天内将各种相关服务制度、培训计划、管理标准、标准化的操作程序等文件资料交甲方进行审核并存档，作为甲方实施管理的依据。</w:t>
      </w:r>
    </w:p>
    <w:p>
      <w:pPr>
        <w:pStyle w:val="null3"/>
      </w:pPr>
      <w:r>
        <w:rPr>
          <w:sz w:val="24"/>
        </w:rPr>
        <w:t>3.乙方在日常服务过程中对无法解决的事故要及时向甲方反映。</w:t>
      </w:r>
    </w:p>
    <w:p>
      <w:pPr>
        <w:pStyle w:val="null3"/>
      </w:pPr>
      <w:r>
        <w:rPr>
          <w:sz w:val="24"/>
        </w:rPr>
        <w:t>4.乙方承担服务人员的责任风险，及因所提供服务不当而引至相应法律责任（如工作质量、服务态度、用人不当、不购买“五险一金”、员工工伤、员工生病、劳资纠纷等）。</w:t>
      </w:r>
    </w:p>
    <w:p>
      <w:pPr>
        <w:pStyle w:val="null3"/>
      </w:pPr>
      <w:r>
        <w:rPr>
          <w:sz w:val="24"/>
        </w:rPr>
        <w:t>5.乙方的服务人员应严格遵守保密承诺及知识产权承诺。</w:t>
      </w:r>
    </w:p>
    <w:p>
      <w:pPr>
        <w:pStyle w:val="null3"/>
      </w:pPr>
      <w:r>
        <w:rPr>
          <w:sz w:val="24"/>
        </w:rPr>
        <w:t>6.如甲方对乙方提供的服务人员不满意要求更换时，乙方应及时且无条件的为甲方更换合格人员。</w:t>
      </w:r>
    </w:p>
    <w:p>
      <w:pPr>
        <w:pStyle w:val="null3"/>
      </w:pPr>
      <w:r>
        <w:rPr>
          <w:sz w:val="24"/>
        </w:rPr>
        <w:t>7.乙方应能及时提供满足甲方突发性需求的服务。乙方应在收到甲方通知后，在甲方指定的时间内提供服务；如未能及时提供的，甲方有权要求乙方承担一切损失和责任，同时，甲方有权单方终止本合同。</w:t>
      </w:r>
    </w:p>
    <w:p>
      <w:pPr>
        <w:pStyle w:val="null3"/>
      </w:pPr>
      <w:r>
        <w:rPr>
          <w:sz w:val="24"/>
        </w:rPr>
        <w:t>8.乙方的服务人员出现违法行为，所造成的一切后果及损失，由乙方承担责任和负责赔偿；出现严重违纪、违规行为，甲方有权单方终止合同。</w:t>
      </w:r>
    </w:p>
    <w:p>
      <w:pPr>
        <w:pStyle w:val="null3"/>
      </w:pPr>
      <w:r>
        <w:rPr>
          <w:sz w:val="24"/>
        </w:rPr>
        <w:t>9.乙方未经甲方批准，不得再以任何方式转包、分包本项目，否则甲方有权单方终止合同。</w:t>
      </w:r>
    </w:p>
    <w:p>
      <w:pPr>
        <w:pStyle w:val="null3"/>
      </w:pPr>
      <w:r>
        <w:rPr>
          <w:sz w:val="24"/>
        </w:rPr>
        <w:t>10.乙方因拖欠本项目服务人员工资及第三方货款而发生的纠纷、债务，由乙方自行解决，甲方不承担任何责任，也不负责协商解决。</w:t>
      </w:r>
    </w:p>
    <w:p>
      <w:pPr>
        <w:pStyle w:val="null3"/>
      </w:pPr>
      <w:r>
        <w:rPr>
          <w:sz w:val="24"/>
        </w:rPr>
        <w:t>11.乙方完全遵守《中华人民共和国民法典》有关规定和《中华人民共和国妇女权益保障法》中关于“劳动和社会保障权益”的有关要求。</w:t>
      </w:r>
    </w:p>
    <w:p>
      <w:pPr>
        <w:pStyle w:val="null3"/>
        <w:ind w:left="480"/>
      </w:pPr>
      <w:r>
        <w:rPr>
          <w:sz w:val="24"/>
        </w:rPr>
        <w:t>十一、</w:t>
      </w:r>
      <w:r>
        <w:rPr>
          <w:sz w:val="24"/>
        </w:rPr>
        <w:t>违约责任</w:t>
      </w:r>
    </w:p>
    <w:p>
      <w:pPr>
        <w:pStyle w:val="null3"/>
      </w:pPr>
      <w:r>
        <w:rPr>
          <w:sz w:val="24"/>
        </w:rPr>
        <w:t>（一）合同履行中发生下列情况之一的，属乙方违约</w:t>
      </w:r>
      <w:r>
        <w:rPr>
          <w:sz w:val="24"/>
        </w:rPr>
        <w:t>:</w:t>
      </w:r>
    </w:p>
    <w:p>
      <w:pPr>
        <w:pStyle w:val="null3"/>
      </w:pPr>
      <w:r>
        <w:rPr>
          <w:sz w:val="24"/>
        </w:rPr>
        <w:t>1.乙方检测报告不符合法律以及卫生行政部门要求的;</w:t>
      </w:r>
    </w:p>
    <w:p>
      <w:pPr>
        <w:pStyle w:val="null3"/>
      </w:pPr>
      <w:r>
        <w:rPr>
          <w:sz w:val="24"/>
        </w:rPr>
        <w:t>2.乙方转包、分包本项目;</w:t>
      </w:r>
    </w:p>
    <w:p>
      <w:pPr>
        <w:pStyle w:val="null3"/>
      </w:pPr>
      <w:r>
        <w:rPr>
          <w:sz w:val="24"/>
        </w:rPr>
        <w:t>3.乙方未按招标文件要求或投标承诺或合同要求完成检测服务;</w:t>
      </w:r>
    </w:p>
    <w:p>
      <w:pPr>
        <w:pStyle w:val="null3"/>
      </w:pPr>
      <w:r>
        <w:rPr>
          <w:sz w:val="24"/>
        </w:rPr>
        <w:t>4.乙方无法履行或停止履行合同;</w:t>
      </w:r>
    </w:p>
    <w:p>
      <w:pPr>
        <w:pStyle w:val="null3"/>
      </w:pPr>
      <w:r>
        <w:rPr>
          <w:sz w:val="24"/>
        </w:rPr>
        <w:t>5.乙方未履行招标文件要求或投标承诺或合同约定的其他义务。</w:t>
      </w:r>
    </w:p>
    <w:p>
      <w:pPr>
        <w:pStyle w:val="null3"/>
        <w:ind w:firstLine="480"/>
      </w:pPr>
      <w:r>
        <w:rPr>
          <w:sz w:val="24"/>
        </w:rPr>
        <w:t>乙方发生上述情况时，甲方向乙方发出整改通知，要求其在限定期限内整改</w:t>
      </w:r>
      <w:r>
        <w:rPr>
          <w:sz w:val="24"/>
        </w:rPr>
        <w:t>;逾期不整改或整改不及格的，甲方有权单方面终止合同，不予退还乙方履约保证金并上报政府采购监管部门，由此引起的一切后果，由乙方承担。</w:t>
      </w:r>
    </w:p>
    <w:p>
      <w:pPr>
        <w:pStyle w:val="null3"/>
      </w:pPr>
      <w:r>
        <w:rPr>
          <w:sz w:val="24"/>
        </w:rPr>
        <w:t>乙方须承担由于违约所造成的费用增加、周期延误和甲方损失、甲方维权支出的律师费、诉讼费、鉴定费等合理费用等。</w:t>
      </w:r>
    </w:p>
    <w:p>
      <w:pPr>
        <w:pStyle w:val="null3"/>
      </w:pPr>
      <w:r>
        <w:rPr>
          <w:sz w:val="24"/>
        </w:rPr>
        <w:t>（二）乙方需保证按国家检测规范进行操作，并对来样检测结果负责。如果因检测结果错误而导致发生医疗纠纷</w:t>
      </w:r>
      <w:r>
        <w:rPr>
          <w:sz w:val="24"/>
        </w:rPr>
        <w:t>/事故、医疗过错或其他问题的，乙方承担全部赔偿责任，甲方有权单方终止合同，不予退还乙方履约保证金并上报政府采购监管部门,给甲方造成任何损失的，包括甲方维权支出的律师费、诉讼费、鉴定费等合理费用，乙方应当承担赔偿责任。</w:t>
      </w:r>
    </w:p>
    <w:p>
      <w:pPr>
        <w:pStyle w:val="null3"/>
      </w:pPr>
      <w:r>
        <w:rPr>
          <w:sz w:val="24"/>
        </w:rPr>
        <w:t>（三）如发生样本交叉污染或者样本混淆，乙方须支付甲方问题样本检测费用的双倍赔偿，上述情况一个月发生三次的，甲方有权单方面终止合同，不予退还乙方履约保证金并上报政府采购监管部门，由此引起的一切后果，由乙方承担，给甲方造成任何损失的，包括甲方维权支出的律师费、诉讼费、鉴定费等合理费用，乙方应当承担赔偿责任。</w:t>
      </w:r>
    </w:p>
    <w:p>
      <w:pPr>
        <w:pStyle w:val="null3"/>
      </w:pPr>
      <w:r>
        <w:rPr>
          <w:sz w:val="24"/>
        </w:rPr>
        <w:t>（四）如未按招标文件或合同要求的项目交付时间交付数据或报告的，每延期一日乙方向甲方赔偿该样本检测费用金额的百分之一（样本检测费</w:t>
      </w:r>
      <w:r>
        <w:rPr>
          <w:sz w:val="24"/>
        </w:rPr>
        <w:t>x0.01）；如因乙方原因检测报告出现错误的，乙方应当承担相应的法律责任。上述情况（指未按项目交付时间交付数据或报告的）一个月共发生五次及以上的，甲方有权单方面终止合同，不予退还乙方履约保证金并上报政府采购监管部门，由此引起的一切后果，由乙方承担，给甲方造成任何损失的，包括甲方维权支出的律师费、诉讼费、鉴定费等合理费用，乙方应当承担赔偿责任。</w:t>
      </w:r>
    </w:p>
    <w:p>
      <w:pPr>
        <w:pStyle w:val="null3"/>
      </w:pPr>
      <w:r>
        <w:rPr>
          <w:sz w:val="24"/>
        </w:rPr>
        <w:t>（五）乙方对甲方送检的合格样本结果负责，对于按照乙方要求取材的样本，若因乙方原因丢失或损坏、污染甲方提供的技术资料、技术数据、文件和其它物品的，甲方有权要求乙方采取补救措施，乙方负责重做的所有费用，并承担甲方的损失及因此引起的一系列后果，包括甲方维权支出的律师费、诉讼费、鉴定费等合理费用。</w:t>
      </w:r>
    </w:p>
    <w:p>
      <w:pPr>
        <w:pStyle w:val="null3"/>
      </w:pPr>
      <w:r>
        <w:rPr>
          <w:sz w:val="24"/>
        </w:rPr>
        <w:t>（六）若乙方季度考核连续两次不及格，或一年有三次不及格，甲方有权单方终止合同，不予退还乙方履约保证金并上报政府采购监管部门，由此引起的一切后果，由乙方承担，给甲方造成任何损失的，包括甲方维权支出的律师费、诉讼费、鉴定费等合理费用，乙方应当承担赔偿责任。</w:t>
      </w:r>
    </w:p>
    <w:p>
      <w:pPr>
        <w:pStyle w:val="null3"/>
      </w:pPr>
      <w:r>
        <w:rPr>
          <w:sz w:val="24"/>
        </w:rPr>
        <w:t>（七）若乙方年度考核评价八十分以下，甲方有权单方终止，不予退还乙方履约保证金并上报政府采购监管部门，甲方不承担违约责任；乙方如对甲方造成经济损失的，需赔偿甲方遭受的所有的损失，包括甲方维权支出的律师费、诉讼费、鉴定费等合理费用。</w:t>
      </w:r>
    </w:p>
    <w:p>
      <w:pPr>
        <w:pStyle w:val="null3"/>
      </w:pPr>
      <w:r>
        <w:rPr>
          <w:sz w:val="24"/>
        </w:rPr>
        <w:t>（八）如在合同期间，由于国家相关政策规定，致使合同不能继续履行的，合同自动终止，双方不承担违约责任。</w:t>
      </w:r>
    </w:p>
    <w:p>
      <w:pPr>
        <w:pStyle w:val="null3"/>
      </w:pPr>
      <w:r>
        <w:rPr>
          <w:sz w:val="24"/>
        </w:rPr>
        <w:t>（九）甲方如发现乙方的检测设备及操作地点与投标承诺不一致的，视为乙方违约，甲方有权单方终止合同，不予退还乙方履约保证金并上报政府采购监管部门，由此引起的一切后果，由乙方承担，包括甲方维权支出的律师费、诉讼费、鉴定费等合理费用。</w:t>
      </w:r>
    </w:p>
    <w:p>
      <w:pPr>
        <w:pStyle w:val="null3"/>
      </w:pPr>
      <w:r>
        <w:rPr>
          <w:sz w:val="24"/>
        </w:rPr>
        <w:t>（十）合同履行过程中，甲方对乙方的检测质量进行抽检，如发现乙方的检测技术指标未达到招标文件</w:t>
      </w:r>
      <w:r>
        <w:rPr>
          <w:sz w:val="24"/>
        </w:rPr>
        <w:t>“检测技术指标”要求的，甲方通知乙方限期整改，乙方逾期不整改或整改不及格或甲方再次发现不达标情况的，甲方有权单方终止合同，不予退还乙方履约保证金并上报政府采购监管部门，由此引起的一切后果，由乙方承担，给甲方造成任何损失的，包括甲方维权支出的律师费、诉讼费、鉴定费等合理费用，乙方应当承担赔偿责任。</w:t>
      </w:r>
    </w:p>
    <w:p>
      <w:pPr>
        <w:pStyle w:val="null3"/>
        <w:ind w:left="480"/>
      </w:pPr>
      <w:r>
        <w:rPr>
          <w:sz w:val="24"/>
        </w:rPr>
        <w:t>十二、</w:t>
      </w:r>
      <w:r>
        <w:rPr>
          <w:sz w:val="24"/>
        </w:rPr>
        <w:t>廉洁条款</w:t>
      </w:r>
    </w:p>
    <w:p>
      <w:pPr>
        <w:pStyle w:val="null3"/>
        <w:jc w:val="both"/>
      </w:pPr>
      <w:r>
        <w:rPr>
          <w:sz w:val="24"/>
        </w:rPr>
        <w:t>1.甲方应当严格执行购销合同验收、入库制度，对服务及发票进行查验，不得违反有关规定合同规定。</w:t>
      </w:r>
    </w:p>
    <w:p>
      <w:pPr>
        <w:pStyle w:val="null3"/>
        <w:jc w:val="both"/>
      </w:pPr>
      <w:r>
        <w:rPr>
          <w:sz w:val="24"/>
        </w:rPr>
        <w:t>2.甲方严禁接受乙方以任何名义、形式给予的</w:t>
      </w:r>
      <w:r>
        <w:rPr>
          <w:sz w:val="24"/>
        </w:rPr>
        <w:t>回</w:t>
      </w:r>
      <w:r>
        <w:rPr>
          <w:sz w:val="24"/>
        </w:rPr>
        <w:t>.扣</w:t>
      </w:r>
      <w:r>
        <w:rPr>
          <w:sz w:val="24"/>
        </w:rPr>
        <w:t>，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jc w:val="both"/>
      </w:pPr>
      <w:r>
        <w:rPr>
          <w:sz w:val="24"/>
        </w:rPr>
        <w:t>3.乙方不得以</w:t>
      </w:r>
      <w:r>
        <w:rPr>
          <w:sz w:val="24"/>
        </w:rPr>
        <w:t>回</w:t>
      </w:r>
      <w:r>
        <w:rPr>
          <w:sz w:val="24"/>
        </w:rPr>
        <w:t>.扣</w:t>
      </w:r>
      <w:r>
        <w:rPr>
          <w:sz w:val="24"/>
        </w:rPr>
        <w:t>、宴请等方式影响甲方工作人员采购或使用科室的选择权，不得在学术活动中提供旅游、超标准支付食宿费用。</w:t>
      </w:r>
    </w:p>
    <w:p>
      <w:pPr>
        <w:pStyle w:val="null3"/>
        <w:jc w:val="both"/>
      </w:pPr>
      <w:r>
        <w:rPr>
          <w:sz w:val="24"/>
        </w:rPr>
        <w:t>4.严禁甲方工作人员利用任何途径和方式，为乙方统计医师个人及临床科室有关信息，或为乙方统计提供便利。</w:t>
      </w:r>
    </w:p>
    <w:p>
      <w:pPr>
        <w:pStyle w:val="null3"/>
        <w:jc w:val="both"/>
      </w:pPr>
      <w:r>
        <w:rPr>
          <w:sz w:val="24"/>
        </w:rPr>
        <w:t>5.乙方指定 XXX  联系电话：邮箱： 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jc w:val="both"/>
      </w:pPr>
      <w:r>
        <w:rPr>
          <w:sz w:val="24"/>
        </w:rPr>
        <w:t>6.乙方如违反上述条款，一经发现，甲方有权终止合同，并向有关卫生计生行政部门报告。如乙方被列入商业贿赂不良记录，则严格按照《国家卫生计生委关于建立医药购销领域商业贿赂不良记录的规定》（国卫法制发[2013]50号）相关规定处理。</w:t>
      </w:r>
    </w:p>
    <w:p>
      <w:pPr>
        <w:pStyle w:val="null3"/>
        <w:ind w:left="480"/>
      </w:pPr>
      <w:r>
        <w:rPr>
          <w:sz w:val="24"/>
        </w:rPr>
        <w:t>十三、</w:t>
      </w:r>
      <w:r>
        <w:rPr>
          <w:sz w:val="24"/>
        </w:rPr>
        <w:t>不可抗力</w:t>
      </w:r>
    </w:p>
    <w:p>
      <w:pPr>
        <w:pStyle w:val="null3"/>
        <w:jc w:val="both"/>
      </w:pPr>
      <w:r>
        <w:rPr>
          <w:sz w:val="24"/>
        </w:rPr>
        <w:t>由于不可预见、不可避免、不可克服等不可抗力的原因，包括地震、火灾、战争、洪水、正常的人员来源中断、罢工、动乱及国家紧急情况而延迟或中断提供服务，一方不能履行合同义务的，应当在不可抗力发生之日起</w:t>
      </w:r>
      <w:r>
        <w:rPr>
          <w:sz w:val="24"/>
        </w:rPr>
        <w:t>5 天内以书面形式通知对方，证明不可抗力事件的存在。不可抗力事件发生后，甲方和乙方应当积极寻求以合理的方式履行本合同。如不可抗力无法消除，致使合同目的无法实现的，双方均有权解除合同，且均不互相索赔。</w:t>
      </w:r>
    </w:p>
    <w:p>
      <w:pPr>
        <w:pStyle w:val="null3"/>
        <w:ind w:left="480"/>
      </w:pPr>
      <w:r>
        <w:rPr>
          <w:sz w:val="24"/>
        </w:rPr>
        <w:t>十四、</w:t>
      </w:r>
      <w:r>
        <w:rPr>
          <w:sz w:val="24"/>
        </w:rPr>
        <w:t>争议及解决办法</w:t>
      </w:r>
    </w:p>
    <w:p>
      <w:pPr>
        <w:pStyle w:val="null3"/>
      </w:pPr>
      <w:r>
        <w:rPr>
          <w:sz w:val="24"/>
        </w:rPr>
        <w:t>本合同在履行中发生争议，由双方本着互惠互利的原则共同协商解决或由政府采购监管部门调解解决。如经协商后仍不能解决，双方同意向甲方所在地法院提出诉讼的方式解决。</w:t>
      </w:r>
    </w:p>
    <w:p>
      <w:pPr>
        <w:pStyle w:val="null3"/>
        <w:ind w:left="480"/>
      </w:pPr>
      <w:r>
        <w:rPr>
          <w:sz w:val="24"/>
        </w:rPr>
        <w:t>十五、</w:t>
      </w:r>
      <w:r>
        <w:rPr>
          <w:sz w:val="24"/>
        </w:rPr>
        <w:t>其他</w:t>
      </w:r>
    </w:p>
    <w:p>
      <w:pPr>
        <w:pStyle w:val="null3"/>
      </w:pPr>
      <w:r>
        <w:rPr>
          <w:sz w:val="24"/>
        </w:rPr>
        <w:t>1.</w:t>
      </w:r>
      <w:r>
        <w:rPr/>
        <w:t xml:space="preserve"> </w:t>
      </w:r>
      <w:r>
        <w:rPr>
          <w:sz w:val="24"/>
        </w:rPr>
        <w:t>乙方对检测结果进行修正或更改过程中，不受任何诱使或压力的影响，保证检测结果的公正性。</w:t>
      </w:r>
    </w:p>
    <w:p>
      <w:pPr>
        <w:pStyle w:val="null3"/>
      </w:pPr>
      <w:r>
        <w:rPr>
          <w:sz w:val="24"/>
        </w:rPr>
        <w:t>2.本合同一式捌份，具有同等效力，甲方执陆份，乙方执贰份。合同自双方签字盖章之日起生效。</w:t>
      </w:r>
    </w:p>
    <w:p>
      <w:pPr>
        <w:pStyle w:val="null3"/>
      </w:pPr>
      <w:r>
        <w:rPr>
          <w:sz w:val="24"/>
        </w:rPr>
        <w:t>3.本合同未尽事宜，由双方协商处理。</w:t>
      </w:r>
    </w:p>
    <w:p>
      <w:pPr>
        <w:pStyle w:val="null3"/>
      </w:pPr>
      <w:r>
        <w:rPr>
          <w:sz w:val="24"/>
        </w:rPr>
        <w:t>——以下无正文——</w:t>
      </w:r>
    </w:p>
    <w:p>
      <w:pPr>
        <w:pStyle w:val="null3"/>
      </w:pPr>
      <w:r>
        <w:rPr>
          <w:sz w:val="24"/>
        </w:rPr>
        <w:t>附件</w:t>
      </w:r>
      <w:r>
        <w:rPr>
          <w:sz w:val="24"/>
        </w:rPr>
        <w:t>1《检测项目列表》</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4275"/>
        <w:gridCol w:w="4015"/>
      </w:tblGrid>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甲方：广州医科大学附属妇女儿童医疗中心</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乙方：</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法人代表：</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法人代表：</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签约代表：</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签约代表：</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科部主任：</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项目经办人：</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地址：广州市天河区珠江新城金穗路</w:t>
            </w:r>
            <w:r>
              <w:rPr>
                <w:sz w:val="21"/>
              </w:rPr>
              <w:t>9</w:t>
            </w:r>
            <w:r>
              <w:rPr>
                <w:sz w:val="21"/>
              </w:rPr>
              <w:t>号</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600"/>
              <w:jc w:val="left"/>
            </w:pPr>
            <w:r>
              <w:rPr>
                <w:sz w:val="21"/>
              </w:rPr>
              <w:t>地址：</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电话：</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电话：</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18"/>
              </w:rPr>
              <w:t>统一社会信用代码：</w:t>
            </w:r>
            <w:r>
              <w:rPr>
                <w:sz w:val="21"/>
              </w:rPr>
              <w:t>124401006832921365</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18"/>
              </w:rPr>
              <w:t>统一社会信用代码</w:t>
            </w:r>
            <w:r>
              <w:rPr>
                <w:sz w:val="21"/>
              </w:rPr>
              <w:t>：</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1125"/>
              <w:jc w:val="left"/>
            </w:pPr>
            <w:r>
              <w:rPr>
                <w:sz w:val="21"/>
              </w:rPr>
              <w:t>开户银行：招商银行股份有限公司广州人民中路支行</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开户银行：</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账</w:t>
            </w:r>
            <w:r>
              <w:rPr>
                <w:sz w:val="21"/>
              </w:rPr>
              <w:t xml:space="preserve"> </w:t>
            </w:r>
            <w:r>
              <w:rPr>
                <w:sz w:val="21"/>
              </w:rPr>
              <w:t>号：</w:t>
            </w:r>
            <w:r>
              <w:rPr>
                <w:sz w:val="21"/>
              </w:rPr>
              <w:t>120906481310503</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账</w:t>
            </w:r>
            <w:r>
              <w:rPr>
                <w:sz w:val="21"/>
              </w:rPr>
              <w:t xml:space="preserve"> </w:t>
            </w:r>
            <w:r>
              <w:rPr>
                <w:sz w:val="21"/>
              </w:rPr>
              <w:t>号</w:t>
            </w:r>
            <w:r>
              <w:rPr>
                <w:sz w:val="21"/>
              </w:rPr>
              <w:t>：</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both"/>
      </w:pPr>
      <w:r>
        <w:rPr/>
        <w:t xml:space="preserve"> </w:t>
      </w:r>
    </w:p>
    <w:p>
      <w:pPr>
        <w:pStyle w:val="null3"/>
        <w:jc w:val="center"/>
      </w:pPr>
      <w:r>
        <w:rPr>
          <w:sz w:val="44"/>
          <w:b/>
        </w:rPr>
        <w:t>广州医科大学附属妇女儿童医疗中心儿童肿瘤相关检测服务及一代测序相关技术服务采购项目合同</w:t>
      </w:r>
    </w:p>
    <w:p>
      <w:pPr>
        <w:pStyle w:val="null3"/>
        <w:jc w:val="center"/>
      </w:pPr>
      <w:r>
        <w:rPr>
          <w:sz w:val="28"/>
          <w:b/>
        </w:rPr>
        <w:t>项目名称：</w:t>
      </w:r>
      <w:r>
        <w:rPr>
          <w:sz w:val="28"/>
          <w:b/>
          <w:u w:val="single"/>
        </w:rPr>
        <w:t>广州医科大学附属妇女儿童医疗中心儿童肿瘤相关检测服务及一代测序相关技术服务采购项目</w:t>
      </w:r>
    </w:p>
    <w:p>
      <w:pPr>
        <w:pStyle w:val="null3"/>
      </w:pPr>
      <w:r>
        <w:rPr>
          <w:sz w:val="28"/>
          <w:b/>
        </w:rPr>
        <w:t>合同编号：</w:t>
      </w:r>
      <w:r>
        <w:rPr>
          <w:b/>
          <w:u w:val="single"/>
        </w:rPr>
        <w:t xml:space="preserve">                       </w:t>
      </w:r>
    </w:p>
    <w:p>
      <w:pPr>
        <w:pStyle w:val="null3"/>
        <w:jc w:val="both"/>
      </w:pPr>
      <w:r>
        <w:rPr>
          <w:sz w:val="28"/>
          <w:b/>
        </w:rPr>
        <w:t>签约地点：</w:t>
      </w:r>
      <w:r>
        <w:rPr>
          <w:sz w:val="28"/>
          <w:b/>
          <w:u w:val="single"/>
        </w:rPr>
        <w:t>广州医科大学附属妇女儿童医疗中心</w:t>
      </w:r>
    </w:p>
    <w:p>
      <w:pPr>
        <w:pStyle w:val="null3"/>
        <w:jc w:val="both"/>
      </w:pPr>
      <w:r>
        <w:rPr>
          <w:sz w:val="24"/>
        </w:rPr>
        <w:t>甲方：广州医科大学附属妇女儿童医疗中心</w:t>
      </w:r>
    </w:p>
    <w:p>
      <w:pPr>
        <w:pStyle w:val="null3"/>
        <w:jc w:val="both"/>
      </w:pPr>
      <w:r>
        <w:rPr>
          <w:sz w:val="24"/>
        </w:rPr>
        <w:t>乙方：</w:t>
      </w:r>
    </w:p>
    <w:p>
      <w:pPr>
        <w:pStyle w:val="null3"/>
        <w:ind w:firstLine="480"/>
        <w:jc w:val="both"/>
      </w:pPr>
      <w:r>
        <w:rPr>
          <w:sz w:val="24"/>
        </w:rPr>
        <w:t>根据《中华人民共和国民法典》、《中华人民共和国政府采购法》及</w:t>
      </w:r>
      <w:r>
        <w:rPr>
          <w:sz w:val="24"/>
        </w:rPr>
        <w:t>“广州医科大学附属妇女儿童医疗中心儿童肿瘤相关检测服务及一代测序相关技术服务采购项目”包组二一代测序及引物合成项目（项目编号：0724-2531Z2161076）招标文件的要求和招标结果，经甲乙双方协商一致，签订本合同。双方共同遵守如下条款（其他有关合同项目的特定信息由合同附件予以说明，合同附件及本项目的采购文件、投标文件、中标通知书、会议纪要、在实施过程中双方共同签署的补充文件等均为本合同不可分割之一部分）。</w:t>
      </w:r>
    </w:p>
    <w:p>
      <w:pPr>
        <w:pStyle w:val="null3"/>
        <w:ind w:left="480"/>
      </w:pPr>
      <w:r>
        <w:rPr>
          <w:sz w:val="24"/>
        </w:rPr>
        <w:t>一、</w:t>
      </w:r>
      <w:r>
        <w:rPr>
          <w:sz w:val="24"/>
        </w:rPr>
        <w:t>服务内容</w:t>
      </w:r>
    </w:p>
    <w:p>
      <w:pPr>
        <w:pStyle w:val="null3"/>
        <w:jc w:val="both"/>
      </w:pPr>
      <w:r>
        <w:rPr>
          <w:sz w:val="24"/>
        </w:rPr>
        <w:t>乙方为甲方提供一代测序及引物合成服务，相关要求如下表：</w:t>
      </w:r>
    </w:p>
    <w:tbl>
      <w:tblPr>
        <w:tblW w:w="0" w:type="auto"/>
        <w:tblBorders>
          <w:top w:val="none" w:color="000000" w:sz="4"/>
          <w:left w:val="none" w:color="000000" w:sz="4"/>
          <w:bottom w:val="none" w:color="000000" w:sz="4"/>
          <w:right w:val="none" w:color="000000" w:sz="4"/>
          <w:insideH w:val="none"/>
          <w:insideV w:val="none"/>
        </w:tblBorders>
      </w:tblPr>
      <w:tblGrid>
        <w:gridCol w:w="926"/>
        <w:gridCol w:w="2013"/>
        <w:gridCol w:w="1881"/>
        <w:gridCol w:w="3483"/>
      </w:tblGrid>
      <w:tr>
        <w:tc>
          <w:tcPr>
            <w:tcW w:type="dxa" w:w="92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序号</w:t>
            </w:r>
          </w:p>
        </w:tc>
        <w:tc>
          <w:tcPr>
            <w:tcW w:type="dxa" w:w="20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项目名称</w:t>
            </w:r>
          </w:p>
        </w:tc>
        <w:tc>
          <w:tcPr>
            <w:tcW w:type="dxa" w:w="18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b/>
              </w:rPr>
              <w:t>招标基准价（元）</w:t>
            </w:r>
          </w:p>
        </w:tc>
        <w:tc>
          <w:tcPr>
            <w:tcW w:type="dxa" w:w="348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项目要求</w:t>
            </w:r>
          </w:p>
        </w:tc>
      </w:tr>
      <w:tr>
        <w:tc>
          <w:tcPr>
            <w:tcW w:type="dxa" w:w="9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2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常规引物合成</w:t>
            </w:r>
            <w:r>
              <w:rPr>
                <w:sz w:val="20"/>
              </w:rPr>
              <w:t>1</w:t>
            </w:r>
          </w:p>
        </w:tc>
        <w:tc>
          <w:tcPr>
            <w:tcW w:type="dxa" w:w="1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0.5元/BP</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15-59BP（1-4ODC18DSL脱盐纯化）</w:t>
            </w:r>
          </w:p>
        </w:tc>
      </w:tr>
      <w:tr>
        <w:tc>
          <w:tcPr>
            <w:tcW w:type="dxa" w:w="9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2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常规引物合成</w:t>
            </w:r>
            <w:r>
              <w:rPr>
                <w:sz w:val="20"/>
              </w:rPr>
              <w:t>2</w:t>
            </w:r>
          </w:p>
        </w:tc>
        <w:tc>
          <w:tcPr>
            <w:tcW w:type="dxa" w:w="1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0.8元/BP</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15-59BP（1-4ODPage纯化）</w:t>
            </w:r>
          </w:p>
        </w:tc>
      </w:tr>
      <w:tr>
        <w:tc>
          <w:tcPr>
            <w:tcW w:type="dxa" w:w="9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20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常规引物合成</w:t>
            </w:r>
            <w:r>
              <w:rPr>
                <w:sz w:val="20"/>
              </w:rPr>
              <w:t>3</w:t>
            </w:r>
          </w:p>
        </w:tc>
        <w:tc>
          <w:tcPr>
            <w:tcW w:type="dxa" w:w="1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0.7元/BP</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15-59BP（1-4ODPageplus纯化）</w:t>
            </w:r>
          </w:p>
        </w:tc>
      </w:tr>
      <w:tr>
        <w:tc>
          <w:tcPr>
            <w:tcW w:type="dxa" w:w="9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w:t>
            </w:r>
          </w:p>
        </w:tc>
        <w:tc>
          <w:tcPr>
            <w:tcW w:type="dxa" w:w="2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常规引物合成</w:t>
            </w:r>
            <w:r>
              <w:rPr>
                <w:sz w:val="20"/>
              </w:rPr>
              <w:t>4</w:t>
            </w:r>
          </w:p>
        </w:tc>
        <w:tc>
          <w:tcPr>
            <w:tcW w:type="dxa" w:w="1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1.5元/BP</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60-80BP(1-2ODPage纯化)</w:t>
            </w:r>
          </w:p>
        </w:tc>
      </w:tr>
      <w:tr>
        <w:tc>
          <w:tcPr>
            <w:tcW w:type="dxa" w:w="9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2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修饰引物合成</w:t>
            </w:r>
          </w:p>
        </w:tc>
        <w:tc>
          <w:tcPr>
            <w:tcW w:type="dxa" w:w="1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180元/基团</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磷酸修饰、</w:t>
            </w:r>
            <w:r>
              <w:rPr>
                <w:sz w:val="20"/>
              </w:rPr>
              <w:t>FAM修饰等</w:t>
            </w:r>
          </w:p>
        </w:tc>
      </w:tr>
      <w:tr>
        <w:tc>
          <w:tcPr>
            <w:tcW w:type="dxa" w:w="9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c>
          <w:tcPr>
            <w:tcW w:type="dxa" w:w="20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一代测序</w:t>
            </w:r>
          </w:p>
        </w:tc>
        <w:tc>
          <w:tcPr>
            <w:tcW w:type="dxa" w:w="18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12元/反应</w:t>
            </w:r>
          </w:p>
        </w:tc>
        <w:tc>
          <w:tcPr>
            <w:tcW w:type="dxa" w:w="3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一个反应的精确读序</w:t>
            </w:r>
            <w:r>
              <w:rPr>
                <w:sz w:val="20"/>
              </w:rPr>
              <w:t>&gt;800bp，有效读序&gt;900bp</w:t>
            </w:r>
          </w:p>
        </w:tc>
      </w:tr>
    </w:tbl>
    <w:p>
      <w:pPr>
        <w:pStyle w:val="null3"/>
        <w:jc w:val="both"/>
      </w:pPr>
      <w:r>
        <w:rPr>
          <w:sz w:val="24"/>
        </w:rPr>
        <w:t>二、</w:t>
      </w:r>
      <w:r>
        <w:rPr>
          <w:sz w:val="24"/>
        </w:rPr>
        <w:t>服务要求</w:t>
      </w:r>
    </w:p>
    <w:p>
      <w:pPr>
        <w:pStyle w:val="null3"/>
      </w:pPr>
      <w:r>
        <w:rPr>
          <w:sz w:val="21"/>
        </w:rPr>
        <w:t>（一）</w:t>
      </w:r>
      <w:r>
        <w:rPr>
          <w:sz w:val="21"/>
        </w:rPr>
        <w:t>收样</w:t>
      </w:r>
    </w:p>
    <w:p>
      <w:pPr>
        <w:pStyle w:val="null3"/>
        <w:jc w:val="both"/>
      </w:pPr>
      <w:r>
        <w:rPr>
          <w:sz w:val="24"/>
        </w:rPr>
        <w:t>1.乙方必须配备符合《GB/T 42186-2022 医学检验生物样本冷链物流运作规范》国家标准的物流标本箱，且具备GPS定位和温度监控功能，可实现全程实时监测。每日下午17点之前（遇特殊标本乙方应在甲方通知后4小时内上门收取标本）由专职物流人员至接收标本院区按照样本类型分别对常温样本及冷藏样本进行分类，检查样本状态是否存在漏液、污染等情况，检查无问题后装入样本运转箱。若发现问题需及时与甲方沟通解决。接收标本院区包括广州医科大学附属妇女儿童医疗中心下属各院区：珠江新城院区，增城院区，儿童院区，妇婴院区，白云院区。</w:t>
      </w:r>
    </w:p>
    <w:p>
      <w:pPr>
        <w:pStyle w:val="null3"/>
        <w:jc w:val="both"/>
      </w:pPr>
      <w:r>
        <w:rPr>
          <w:sz w:val="24"/>
        </w:rPr>
        <w:t>2.乙方应有完善的应急预案予以妥善解决标本在送检过程中出现延迟、遗漏、丢失等情况。若出现样本丢失或延误、错误情况，需要乙方根据应急预案，查找原因，及时找回样本，并将丢失原因及查找结果及时告知甲方，若出现标本延迟、遗漏、丢失等情况，乙方需承担重采样本的费用，并承担相应的责任。</w:t>
      </w:r>
    </w:p>
    <w:p>
      <w:pPr>
        <w:pStyle w:val="null3"/>
        <w:jc w:val="both"/>
      </w:pPr>
      <w:r>
        <w:rPr>
          <w:sz w:val="24"/>
        </w:rPr>
        <w:t>3.乙方需提供或建立标本流转系统，样本流转系统中体现标本送出、运送人员及接收时间等信息，可实时追踪监测标本。同时，确保送检方可以独立账号登录该系统，并查阅名下样本运输、检测、报告及异常情况处置进度等信息。乙方在接收检测样本时需做好相关记录、标记，并将名称录入公司样本系统，每个样本要生成唯一的样本条码，后续提取，检测需根据条码扫描核实，确保样本不会出错。</w:t>
      </w:r>
    </w:p>
    <w:p>
      <w:pPr>
        <w:pStyle w:val="null3"/>
      </w:pPr>
      <w:r>
        <w:rPr>
          <w:sz w:val="24"/>
        </w:rPr>
        <w:t>（二）</w:t>
      </w:r>
      <w:r>
        <w:rPr>
          <w:sz w:val="24"/>
        </w:rPr>
        <w:t>样本运输</w:t>
      </w:r>
    </w:p>
    <w:p>
      <w:pPr>
        <w:pStyle w:val="null3"/>
        <w:jc w:val="both"/>
      </w:pPr>
      <w:r>
        <w:rPr>
          <w:sz w:val="24"/>
        </w:rPr>
        <w:t>1.乙方拥有冷链物流团队，并且提供冷链方案，样本接收人员须通过乙方的内部严格培训，具备生物防护能力及持有乙方的授权；乙方指派的专职物流人员保证受委托检验标本根据标本转运要求，进行冷链或常温物流运输，且符合《GB/T28577-2021冷链物流分类与基本要求》与生物安全要求，确保运输过程的样品质量和环境安全；若发现问题需及时与甲方沟通解决。</w:t>
      </w:r>
    </w:p>
    <w:p>
      <w:pPr>
        <w:pStyle w:val="null3"/>
        <w:jc w:val="both"/>
      </w:pPr>
      <w:r>
        <w:rPr>
          <w:sz w:val="24"/>
        </w:rPr>
        <w:t>2.样本要求接收后12小时内转运至检测实验室，以保障检测时效性。</w:t>
      </w:r>
    </w:p>
    <w:p>
      <w:pPr>
        <w:pStyle w:val="null3"/>
        <w:jc w:val="both"/>
      </w:pPr>
      <w:r>
        <w:rPr>
          <w:sz w:val="24"/>
        </w:rPr>
        <w:t>3.检测样本、检测数据的所有权、使用权为甲方所有，未经甲方书面许可不得挪作它用。</w:t>
      </w:r>
    </w:p>
    <w:p>
      <w:pPr>
        <w:pStyle w:val="null3"/>
      </w:pPr>
      <w:r>
        <w:rPr>
          <w:sz w:val="24"/>
        </w:rPr>
        <w:t>（三）</w:t>
      </w:r>
      <w:r>
        <w:rPr>
          <w:sz w:val="24"/>
        </w:rPr>
        <w:t>样本要求</w:t>
      </w:r>
    </w:p>
    <w:p>
      <w:pPr>
        <w:pStyle w:val="null3"/>
        <w:jc w:val="both"/>
      </w:pPr>
      <w:r>
        <w:rPr>
          <w:sz w:val="24"/>
        </w:rPr>
        <w:t>质粒、菌液</w:t>
      </w:r>
      <w:r>
        <w:rPr>
          <w:sz w:val="24"/>
        </w:rPr>
        <w:t>/菌板、PCR产物等。</w:t>
      </w:r>
    </w:p>
    <w:p>
      <w:pPr>
        <w:pStyle w:val="null3"/>
      </w:pPr>
      <w:r>
        <w:rPr>
          <w:sz w:val="24"/>
        </w:rPr>
        <w:t>（四）</w:t>
      </w:r>
      <w:r>
        <w:rPr>
          <w:sz w:val="24"/>
        </w:rPr>
        <w:t>硬件设备要求</w:t>
      </w:r>
    </w:p>
    <w:p>
      <w:pPr>
        <w:pStyle w:val="null3"/>
        <w:jc w:val="both"/>
      </w:pPr>
      <w:r>
        <w:rPr>
          <w:sz w:val="24"/>
        </w:rPr>
        <w:t>1.乙方实验室需配备至少一台一代测序仪。</w:t>
      </w:r>
    </w:p>
    <w:p>
      <w:pPr>
        <w:pStyle w:val="null3"/>
        <w:jc w:val="both"/>
      </w:pPr>
      <w:r>
        <w:rPr>
          <w:sz w:val="24"/>
        </w:rPr>
        <w:t>2.乙方实验室需配备至少一台合成仪、氨解仪、酶标仪、分光光度计、高效液相色谱仪。</w:t>
      </w:r>
    </w:p>
    <w:p>
      <w:pPr>
        <w:pStyle w:val="null3"/>
      </w:pPr>
      <w:r>
        <w:rPr>
          <w:sz w:val="24"/>
        </w:rPr>
        <w:t>（五）</w:t>
      </w:r>
      <w:r>
        <w:rPr>
          <w:sz w:val="24"/>
        </w:rPr>
        <w:t>检测技术指标</w:t>
      </w:r>
    </w:p>
    <w:p>
      <w:pPr>
        <w:pStyle w:val="null3"/>
        <w:jc w:val="both"/>
      </w:pPr>
      <w:r>
        <w:rPr>
          <w:sz w:val="24"/>
        </w:rPr>
        <w:t>1.技术要求</w:t>
      </w:r>
      <w:r>
        <w:rPr>
          <w:sz w:val="24"/>
          <w:b/>
        </w:rPr>
        <w:t>：</w:t>
      </w:r>
    </w:p>
    <w:p>
      <w:pPr>
        <w:pStyle w:val="null3"/>
        <w:jc w:val="both"/>
      </w:pPr>
      <w:r>
        <w:rPr>
          <w:sz w:val="24"/>
        </w:rPr>
        <w:t>（</w:t>
      </w:r>
      <w:r>
        <w:rPr>
          <w:sz w:val="24"/>
        </w:rPr>
        <w:t>1）引物合成相关项目：乙方应建立完善的测序引物保存机制，如建立测序引物库及常用测序引物长期分类保存。</w:t>
      </w:r>
    </w:p>
    <w:p>
      <w:pPr>
        <w:pStyle w:val="null3"/>
        <w:jc w:val="both"/>
      </w:pPr>
      <w:r>
        <w:rPr>
          <w:sz w:val="24"/>
        </w:rPr>
        <w:t>（</w:t>
      </w:r>
      <w:r>
        <w:rPr>
          <w:sz w:val="24"/>
        </w:rPr>
        <w:t>2）测序目的信号强度应该在500-2000fu，噪音信号应该控制在0-15fu，精确读序&gt;800bp，有效读序&gt;900bp，QV20+和CRL值&gt;1000，要求测序峰形图单一、清晰、明确，对所有测序序列评分，要求测序评分3分以上。（5分无任何背景峰；4分有一些背景峰但不影响结果判断；3分背景峰较高，但双向均可明显判断结果；3分以下为不可接受结果），测序结果准确率高（≥98%）。</w:t>
      </w:r>
    </w:p>
    <w:p>
      <w:pPr>
        <w:pStyle w:val="null3"/>
        <w:jc w:val="both"/>
      </w:pPr>
      <w:r>
        <w:rPr>
          <w:sz w:val="24"/>
        </w:rPr>
        <w:t>（</w:t>
      </w:r>
      <w:r>
        <w:rPr>
          <w:sz w:val="24"/>
        </w:rPr>
        <w:t>3）乙方需具备应对HighGC、ATrich、发夹结构、重复序列等复杂情况的解决方案。</w:t>
      </w:r>
    </w:p>
    <w:p>
      <w:pPr>
        <w:pStyle w:val="null3"/>
        <w:jc w:val="both"/>
      </w:pPr>
      <w:r>
        <w:rPr>
          <w:sz w:val="24"/>
        </w:rPr>
        <w:t>（</w:t>
      </w:r>
      <w:r>
        <w:rPr>
          <w:sz w:val="24"/>
        </w:rPr>
        <w:t>4）</w:t>
      </w:r>
      <w:r>
        <w:rPr>
          <w:sz w:val="24"/>
        </w:rPr>
        <w:t>乙方需拥有</w:t>
      </w:r>
      <w:r>
        <w:rPr>
          <w:sz w:val="24"/>
        </w:rPr>
        <w:t>MLPA、qPCR平台</w:t>
      </w:r>
      <w:r>
        <w:rPr>
          <w:sz w:val="24"/>
        </w:rPr>
        <w:t>，</w:t>
      </w:r>
      <w:r>
        <w:rPr>
          <w:sz w:val="24"/>
        </w:rPr>
        <w:t>具备</w:t>
      </w:r>
      <w:r>
        <w:rPr>
          <w:sz w:val="24"/>
        </w:rPr>
        <w:t>对指定病种的缺失重复变异验证的能力。</w:t>
      </w:r>
    </w:p>
    <w:p>
      <w:pPr>
        <w:pStyle w:val="null3"/>
      </w:pPr>
      <w:r>
        <w:rPr>
          <w:sz w:val="24"/>
        </w:rPr>
        <w:t>（六）</w:t>
      </w:r>
      <w:r>
        <w:rPr>
          <w:sz w:val="24"/>
        </w:rPr>
        <w:t>测序数据分析处理要求</w:t>
      </w:r>
    </w:p>
    <w:p>
      <w:pPr>
        <w:pStyle w:val="null3"/>
        <w:jc w:val="both"/>
      </w:pPr>
      <w:r>
        <w:rPr>
          <w:sz w:val="24"/>
        </w:rPr>
        <w:t>乙方在数据分析过程需采用第三方分析软件（</w:t>
      </w:r>
      <w:r>
        <w:rPr>
          <w:sz w:val="24"/>
        </w:rPr>
        <w:t>MutationSurveyor、Chromas等）进行分析。</w:t>
      </w:r>
    </w:p>
    <w:p>
      <w:pPr>
        <w:pStyle w:val="null3"/>
      </w:pPr>
      <w:r>
        <w:rPr>
          <w:sz w:val="24"/>
        </w:rPr>
        <w:t>（七）</w:t>
      </w:r>
      <w:r>
        <w:rPr>
          <w:sz w:val="24"/>
        </w:rPr>
        <w:t>交付要求</w:t>
      </w:r>
    </w:p>
    <w:p>
      <w:pPr>
        <w:pStyle w:val="null3"/>
        <w:jc w:val="both"/>
      </w:pPr>
      <w:r>
        <w:rPr>
          <w:sz w:val="24"/>
        </w:rPr>
        <w:t>1.测序项目以“合成的引物”及“一代测序原始数据”（引物交付形式为粉末和液体，数据交付格式为ab1，乙方指派专人将引物或数据交付到甲方指定地点）作为主要检测交付内容；引物及数据应在承诺的交付周期内交付。</w:t>
      </w:r>
    </w:p>
    <w:p>
      <w:pPr>
        <w:pStyle w:val="null3"/>
        <w:jc w:val="both"/>
      </w:pPr>
      <w:r>
        <w:rPr>
          <w:sz w:val="24"/>
        </w:rPr>
        <w:t>2.一代测序乙方需在次日中午前交付结果，引物合成需在2天以内交付结果，乙方需按上述要求向甲方交付数据和引物，特殊检验样本按甲方的要求交付周期进行交付，以上时间以样本到达检测实验室的时间为起点计算。</w:t>
      </w:r>
    </w:p>
    <w:p>
      <w:pPr>
        <w:pStyle w:val="null3"/>
      </w:pPr>
      <w:r>
        <w:rPr>
          <w:sz w:val="24"/>
        </w:rPr>
        <w:t>（八）</w:t>
      </w:r>
      <w:r>
        <w:rPr>
          <w:sz w:val="24"/>
        </w:rPr>
        <w:t>剩余样本保存</w:t>
      </w:r>
    </w:p>
    <w:p>
      <w:pPr>
        <w:pStyle w:val="null3"/>
        <w:jc w:val="both"/>
      </w:pPr>
      <w:r>
        <w:rPr>
          <w:sz w:val="24"/>
        </w:rPr>
        <w:t>检测完成后，乙方须提供不少于</w:t>
      </w:r>
      <w:r>
        <w:rPr>
          <w:sz w:val="24"/>
        </w:rPr>
        <w:t>3个月的样本（包括剩余原始样本以及检测后剩余核酸样本）保存服务。乙方在保存样本时，须对样本进行一一对应标记及专用样本存储处进行低温（-20℃~-80℃)保存，标记需清晰，以便甲方有需要可随时进行调档.如甲方需要，乙方需按甲方要求在规定时间内返还保存的样本（乙方指派专人通过冷链运输的方式将数据交付到甲方指定地点）。由此过程中产生的一切费用均由乙方承担。</w:t>
      </w:r>
    </w:p>
    <w:p>
      <w:pPr>
        <w:pStyle w:val="null3"/>
      </w:pPr>
      <w:r>
        <w:rPr>
          <w:sz w:val="24"/>
        </w:rPr>
        <w:t>（九）</w:t>
      </w:r>
      <w:r>
        <w:rPr>
          <w:sz w:val="24"/>
        </w:rPr>
        <w:t>数据储存及数据安全保障要求</w:t>
      </w:r>
    </w:p>
    <w:p>
      <w:pPr>
        <w:pStyle w:val="null3"/>
        <w:jc w:val="both"/>
      </w:pPr>
      <w:r>
        <w:rPr>
          <w:sz w:val="24"/>
        </w:rPr>
        <w:t>1.数据交付后，乙方须提供不少于36个月（服务期内）的数据存储服务。乙方须对样本数据进行对应标记及专用保密方式存储，以便甲方有需要时可随时调档；36个月（服务期满）后根据甲方的书面通知进行无保留的移交（乙方指派专人通过移动硬盘的方式将数据交付到甲方指定地点）且对已移交的样本数据情况进行无痕清除处理。由此产生的一切费用均由乙方承担。</w:t>
      </w:r>
    </w:p>
    <w:p>
      <w:pPr>
        <w:pStyle w:val="null3"/>
        <w:jc w:val="both"/>
      </w:pPr>
      <w:r>
        <w:rPr>
          <w:sz w:val="24"/>
        </w:rPr>
        <w:t>2.</w:t>
      </w:r>
      <w:r>
        <w:rPr>
          <w:sz w:val="24"/>
        </w:rPr>
        <w:t>针对本项目数据安全管理，隐私信息保护，数据泄露保护，乙方需具备异地数据备份功能，为甲方提供本地化数据储存和访问服务，全部数据只允许在中国大陆备份。</w:t>
      </w:r>
    </w:p>
    <w:p>
      <w:pPr>
        <w:pStyle w:val="null3"/>
        <w:ind w:left="480"/>
      </w:pPr>
      <w:r>
        <w:rPr>
          <w:sz w:val="24"/>
        </w:rPr>
        <w:t>三、</w:t>
      </w:r>
      <w:r>
        <w:rPr>
          <w:sz w:val="24"/>
        </w:rPr>
        <w:t>服务人员要求</w:t>
      </w:r>
    </w:p>
    <w:p>
      <w:pPr>
        <w:pStyle w:val="null3"/>
        <w:jc w:val="both"/>
      </w:pPr>
      <w:r>
        <w:rPr>
          <w:sz w:val="24"/>
        </w:rPr>
        <w:t>乙方需按投标承诺为本项目配备以下服务人员，合同履行期间未经甲方同意不得随意更换人员，如因不可抗力因素需更换人员，必须经甲方同意后更换同等或以上资历的服务人员。</w:t>
      </w:r>
    </w:p>
    <w:p>
      <w:pPr>
        <w:pStyle w:val="null3"/>
        <w:jc w:val="both"/>
      </w:pPr>
      <w:r>
        <w:rPr>
          <w:sz w:val="24"/>
        </w:rPr>
        <w:t>1.配备至少2名生物类专业技术人员（提供相关专业人员的毕业证书，为生物类专业）。</w:t>
      </w:r>
    </w:p>
    <w:p>
      <w:pPr>
        <w:pStyle w:val="null3"/>
        <w:jc w:val="both"/>
      </w:pPr>
      <w:r>
        <w:rPr>
          <w:sz w:val="24"/>
        </w:rPr>
        <w:t>2. 配备的专业技术人员中至少有2名从事一代测序或引物合成工作经验5年及以上，具备中级或以上生物类相关专业技术职称证书。</w:t>
      </w:r>
    </w:p>
    <w:p>
      <w:pPr>
        <w:pStyle w:val="null3"/>
        <w:ind w:left="480"/>
      </w:pPr>
      <w:r>
        <w:rPr>
          <w:sz w:val="24"/>
        </w:rPr>
        <w:t>四、</w:t>
      </w:r>
      <w:r>
        <w:rPr>
          <w:sz w:val="24"/>
        </w:rPr>
        <w:t>售后服务</w:t>
      </w:r>
      <w:r>
        <w:rPr/>
        <w:t xml:space="preserve"> </w:t>
      </w:r>
    </w:p>
    <w:p>
      <w:pPr>
        <w:pStyle w:val="null3"/>
        <w:jc w:val="both"/>
      </w:pPr>
      <w:r>
        <w:rPr>
          <w:sz w:val="24"/>
        </w:rPr>
        <w:t>（一）乙方为甲方提供本地化售后服务。提供固定的具有专职人员负责日常送检标本的临床咨询、标本采集培训、标本接收、报告发放、结果咨询等服务。</w:t>
      </w:r>
    </w:p>
    <w:p>
      <w:pPr>
        <w:pStyle w:val="null3"/>
        <w:jc w:val="both"/>
      </w:pPr>
      <w:r>
        <w:rPr>
          <w:sz w:val="24"/>
        </w:rPr>
        <w:t>（二）乙方需提供专门售后服务团队，设立专门联系跟进的人员及</w:t>
      </w:r>
      <w:r>
        <w:rPr>
          <w:sz w:val="24"/>
        </w:rPr>
        <w:t>400（或800或其他专用）联系方式，甲方联系乙方后，涉及售后的相关问题技术支持或工程师需要在12小时内通过电话/邮件/微信进行响应回复，在24小时内对甲方所提出的问题进行解决。如样本的测序质量出现不合格的情况，需6小时内响应并于7个工作日内予以解决。</w:t>
      </w:r>
    </w:p>
    <w:p>
      <w:pPr>
        <w:pStyle w:val="null3"/>
        <w:jc w:val="both"/>
      </w:pPr>
      <w:r>
        <w:rPr>
          <w:sz w:val="24"/>
        </w:rPr>
        <w:t>（三）乙方提供网上查询服务和提供电话查询服务，以供随时查询进度和结果。</w:t>
      </w:r>
    </w:p>
    <w:p>
      <w:pPr>
        <w:pStyle w:val="null3"/>
        <w:jc w:val="both"/>
      </w:pPr>
      <w:r>
        <w:rPr>
          <w:sz w:val="24"/>
        </w:rPr>
        <w:t>（四）乙方如需召回检测报告的，应在</w:t>
      </w:r>
      <w:r>
        <w:rPr>
          <w:sz w:val="24"/>
        </w:rPr>
        <w:t>24小时内通过一切形式包括电话、邮寄、传真、电子邮件、当面告知等方式通知甲方召回检测报告并通过上述形式提供新的检测报告。因召回检测报告而产生的一切法律责任由乙方承担。</w:t>
      </w:r>
    </w:p>
    <w:p>
      <w:pPr>
        <w:pStyle w:val="null3"/>
        <w:jc w:val="both"/>
      </w:pPr>
      <w:r>
        <w:rPr>
          <w:sz w:val="24"/>
        </w:rPr>
        <w:t>（五）对于检测结果错误或甲方对检测结果提出异议的样本，乙方需按甲方要求进行重新检测，并在甲方提出重新检测要求的</w:t>
      </w:r>
      <w:r>
        <w:rPr>
          <w:sz w:val="24"/>
        </w:rPr>
        <w:t>1个工作日内交付检测结果。</w:t>
      </w:r>
    </w:p>
    <w:p>
      <w:pPr>
        <w:pStyle w:val="null3"/>
        <w:jc w:val="both"/>
      </w:pPr>
      <w:r>
        <w:rPr>
          <w:sz w:val="24"/>
        </w:rPr>
        <w:t>（六）乙方针对本项目提供售后服务方案，内容包括专门售后服务人员的岗位及工作安排、跟进人员、问题改进及措施、解决纠纷及措施、全过程跟进服务的安排。</w:t>
      </w:r>
    </w:p>
    <w:p>
      <w:pPr>
        <w:pStyle w:val="null3"/>
        <w:ind w:left="480"/>
      </w:pPr>
      <w:r>
        <w:rPr>
          <w:sz w:val="24"/>
        </w:rPr>
        <w:t>五、</w:t>
      </w:r>
      <w:r>
        <w:rPr>
          <w:sz w:val="24"/>
        </w:rPr>
        <w:t>应急要求</w:t>
      </w:r>
    </w:p>
    <w:p>
      <w:pPr>
        <w:pStyle w:val="null3"/>
        <w:jc w:val="left"/>
      </w:pPr>
      <w:r>
        <w:rPr>
          <w:sz w:val="24"/>
          <w:b/>
          <w:color w:val="000000"/>
        </w:rPr>
        <w:t>（一）乙方对样本丢失、数据泄露、漏检、误检、检测失误、样本污染、检测数据异常等情况进行提供针对性的应急防范措施及应对措施，合同签订后</w:t>
      </w:r>
      <w:r>
        <w:rPr>
          <w:sz w:val="24"/>
          <w:b/>
          <w:color w:val="000000"/>
        </w:rPr>
        <w:t>10天内需将相关应急预案交甲方存档备案。</w:t>
      </w:r>
    </w:p>
    <w:p>
      <w:pPr>
        <w:pStyle w:val="null3"/>
        <w:jc w:val="both"/>
      </w:pPr>
      <w:r>
        <w:rPr>
          <w:sz w:val="24"/>
        </w:rPr>
        <w:t>（二）对项目实施期间可能出现突发的、不可预见的情况，乙方应在接到甲方通知</w:t>
      </w:r>
      <w:r>
        <w:rPr>
          <w:sz w:val="24"/>
        </w:rPr>
        <w:t>2小时内响应，派专职人员与甲方对接，并在4小时内向甲方如实汇报处理措施、进度、处理结果。</w:t>
      </w:r>
    </w:p>
    <w:p>
      <w:pPr>
        <w:pStyle w:val="null3"/>
        <w:jc w:val="both"/>
      </w:pPr>
      <w:r>
        <w:rPr>
          <w:sz w:val="24"/>
        </w:rPr>
        <w:t>（三）乙方应制定应急预案，包括但不限于标本运输应急处理、样本信息异常处理、样本异常处理（样本污染、样本遗失）、结果数据传输异常、质量事故应急处理、检测结果错误应急处理。预案应包括需包括应急人员组织架构、人员职责、各种紧急情况的响应时间、联系方式、各种紧急情况的详细处理流程及紧急情况的预防措施。</w:t>
      </w:r>
    </w:p>
    <w:p>
      <w:pPr>
        <w:pStyle w:val="null3"/>
        <w:jc w:val="both"/>
      </w:pPr>
      <w:r>
        <w:rPr>
          <w:sz w:val="24"/>
        </w:rPr>
        <w:t>（四）乙方能提供送检服务应急措施、具备处理投入本项目核心设备故障、防止检验室或样本污染的能力。有完整的对突发事件、安全事故处理的方案。建立相应质量控制制度，制定相应的质量管理手册</w:t>
      </w:r>
      <w:r>
        <w:rPr>
          <w:sz w:val="24"/>
        </w:rPr>
        <w:t>(或制度等相关内容)。</w:t>
      </w:r>
    </w:p>
    <w:p>
      <w:pPr>
        <w:pStyle w:val="null3"/>
        <w:ind w:left="480"/>
      </w:pPr>
      <w:r>
        <w:rPr>
          <w:sz w:val="24"/>
        </w:rPr>
        <w:t>六、</w:t>
      </w:r>
      <w:r>
        <w:rPr>
          <w:sz w:val="24"/>
        </w:rPr>
        <w:t>知识产权及保密信息要求</w:t>
      </w:r>
    </w:p>
    <w:p>
      <w:pPr>
        <w:pStyle w:val="null3"/>
        <w:jc w:val="both"/>
      </w:pPr>
      <w:r>
        <w:rPr>
          <w:sz w:val="24"/>
        </w:rPr>
        <w:t>（一）保密信息要求：在本项目服务期限内或者合同终止后乙方都有为甲方保密的义务。在未经甲方书面同意或授权前提下，乙方不得向甲方临床科室工作人员、患者、患者家属及法律或甲方许可的单位或人员以外等的任何第三方泄露甲方委托检测的项目、检测的内容、检测的结果；且不得将本项目所涉及的生物样本、相关数据、技术文件及其他有关信息用于任何目的和</w:t>
      </w:r>
      <w:r>
        <w:rPr>
          <w:sz w:val="24"/>
        </w:rPr>
        <w:t>/或形式的用途。同时乙方对在本项目采购合同有效期内从甲方知悉的关于甲方的一切非公开的保密信息负有保密义务。本项目执行过程中产生的所有知识产权归甲方所有。乙方若违反上述约定，应赔偿甲方损失，并负相关法律责任。本保密条款不因合同终止而终止。</w:t>
      </w:r>
    </w:p>
    <w:p>
      <w:pPr>
        <w:pStyle w:val="null3"/>
        <w:jc w:val="both"/>
      </w:pPr>
      <w:r>
        <w:rPr>
          <w:sz w:val="24"/>
        </w:rPr>
        <w:t>（二）知识产权：检测样本、检测剩余样本、检测数据的所有权、使用权为甲方所有，未经甲方书面许可不得挪作它用。甲方拥有本项目所有数据及相关衍生的所有知识产权。</w:t>
      </w:r>
    </w:p>
    <w:p>
      <w:pPr>
        <w:pStyle w:val="null3"/>
        <w:jc w:val="both"/>
      </w:pPr>
      <w:r>
        <w:rPr>
          <w:sz w:val="24"/>
        </w:rPr>
        <w:t>（三）乙方生物信息安全性要求：乙方在项目实施过程中未经安全审查，不得将国家人类遗传资源信息向境外组织、个人及其设立或实际控制的机构提供或者开放使用。</w:t>
      </w:r>
    </w:p>
    <w:p>
      <w:pPr>
        <w:pStyle w:val="null3"/>
        <w:ind w:left="480"/>
      </w:pPr>
      <w:r>
        <w:rPr>
          <w:sz w:val="24"/>
        </w:rPr>
        <w:t>七、</w:t>
      </w:r>
      <w:r>
        <w:rPr>
          <w:sz w:val="24"/>
        </w:rPr>
        <w:t>项目验收</w:t>
      </w:r>
    </w:p>
    <w:p>
      <w:pPr>
        <w:pStyle w:val="null3"/>
        <w:jc w:val="both"/>
      </w:pPr>
      <w:r>
        <w:rPr>
          <w:sz w:val="24"/>
        </w:rPr>
        <w:t>（一）验收标准：</w:t>
      </w:r>
    </w:p>
    <w:p>
      <w:pPr>
        <w:pStyle w:val="null3"/>
        <w:jc w:val="both"/>
      </w:pPr>
      <w:r>
        <w:rPr>
          <w:sz w:val="24"/>
        </w:rPr>
        <w:t>1.符合中华人民共和国国家和履约地相关检测质量标准、行业技术规范标准；</w:t>
      </w:r>
    </w:p>
    <w:p>
      <w:pPr>
        <w:pStyle w:val="null3"/>
        <w:jc w:val="both"/>
      </w:pPr>
      <w:r>
        <w:rPr>
          <w:sz w:val="24"/>
        </w:rPr>
        <w:t>2.符合招标文件和乙方响应承诺中甲方认可的各项要求；</w:t>
      </w:r>
    </w:p>
    <w:p>
      <w:pPr>
        <w:pStyle w:val="null3"/>
        <w:jc w:val="both"/>
      </w:pPr>
      <w:r>
        <w:rPr>
          <w:sz w:val="24"/>
        </w:rPr>
        <w:t>3.项目检测准确性：乙方负责对提供的样品进行测序，负责数据及质控报告交付（按照交付周期要求）。如达不到技术要求，则不予验收，并责令乙方在3个工作日内完成整改，直到整改达标后再予以验收。</w:t>
      </w:r>
    </w:p>
    <w:p>
      <w:pPr>
        <w:pStyle w:val="null3"/>
        <w:jc w:val="both"/>
      </w:pPr>
      <w:r>
        <w:rPr>
          <w:sz w:val="24"/>
        </w:rPr>
        <w:t>4.双方约定的其他验收标准。</w:t>
      </w:r>
    </w:p>
    <w:p>
      <w:pPr>
        <w:pStyle w:val="null3"/>
        <w:jc w:val="both"/>
      </w:pPr>
      <w:r>
        <w:rPr>
          <w:sz w:val="24"/>
        </w:rPr>
        <w:t>（二）为保障本项目进度及完成质量，项目开展后，甲方每月对上个月乙方提供的服务、完成的样本检测进行验收；项目履约期满后，甲方对项目进行验收。</w:t>
      </w:r>
    </w:p>
    <w:p>
      <w:pPr>
        <w:pStyle w:val="null3"/>
        <w:jc w:val="both"/>
      </w:pPr>
      <w:r>
        <w:rPr>
          <w:sz w:val="24"/>
        </w:rPr>
        <w:t>（三）甲方按照以下标准每季度（每三个月为一个季度）对乙方的服务质量进行季度考核，并根据考核结果扣罚乙方的服务费。如发生不良事件，除了扣罚相应标本的服务费，还需给予甲方问题样本费用双倍的赔偿，如项目延期，每延期一日应向甲方赔偿该标本服务费金额（检测项目招标限价</w:t>
      </w:r>
      <w:r>
        <w:rPr>
          <w:sz w:val="24"/>
        </w:rPr>
        <w:t>x折扣）的百分之五。如上季度考核期内发生不良事件3次或以上的，乙方除了承担上述赔偿责任外，甲方可立刻终止合作合同且不承担违约责任。</w:t>
      </w:r>
    </w:p>
    <w:p>
      <w:pPr>
        <w:pStyle w:val="null3"/>
        <w:jc w:val="both"/>
      </w:pPr>
      <w:r>
        <w:rPr>
          <w:sz w:val="24"/>
        </w:rPr>
        <w:t>1.误验例数：每季度不高于1例；</w:t>
      </w:r>
    </w:p>
    <w:p>
      <w:pPr>
        <w:pStyle w:val="null3"/>
        <w:jc w:val="both"/>
      </w:pPr>
      <w:r>
        <w:rPr>
          <w:sz w:val="24"/>
        </w:rPr>
        <w:t>2.漏检例数：每季度少于1例；</w:t>
      </w:r>
    </w:p>
    <w:p>
      <w:pPr>
        <w:pStyle w:val="null3"/>
        <w:jc w:val="both"/>
      </w:pPr>
      <w:r>
        <w:rPr>
          <w:sz w:val="24"/>
        </w:rPr>
        <w:t>3.及时率：结果及时，及时率每季度大于99.5%；</w:t>
      </w:r>
    </w:p>
    <w:p>
      <w:pPr>
        <w:pStyle w:val="null3"/>
        <w:jc w:val="both"/>
      </w:pPr>
      <w:r>
        <w:rPr>
          <w:sz w:val="24"/>
        </w:rPr>
        <w:t>4.检测样本丢失、运送错误、混淆等问题：每季度不高于1例；</w:t>
      </w:r>
    </w:p>
    <w:p>
      <w:pPr>
        <w:pStyle w:val="null3"/>
        <w:jc w:val="both"/>
      </w:pPr>
      <w:r>
        <w:rPr>
          <w:sz w:val="24"/>
        </w:rPr>
        <w:t>5.如检测结果与复检结果不一致，确认因乙方操作过程导致的结果，造成法律纠纷或经济损失的，由乙方承担纠纷产生的一切法律责任和经济责任。</w:t>
      </w:r>
    </w:p>
    <w:p>
      <w:pPr>
        <w:pStyle w:val="null3"/>
        <w:jc w:val="both"/>
      </w:pPr>
      <w:r>
        <w:rPr>
          <w:sz w:val="24"/>
        </w:rPr>
        <w:t>（四）甲方对乙方进行年度考核，年度考核评价内容分以下三方面：第一，测序质量，考核年度内若发生测序质量不达标事件，每发生一次，扣</w:t>
      </w:r>
      <w:r>
        <w:rPr>
          <w:sz w:val="24"/>
        </w:rPr>
        <w:t>5分；第二，结果交付，考核年度内若发生结果交付问题（包括但不限于交付延时、误报、漏报、样本丢失、样本混淆），每发生一次，扣5分；第三，售后服务，考核年度内若中标方没有遵守承诺的售后服务标准及响应速度，扣10分；年度总评分八十分或以上为合格。若年度总评分八十分（不含）以下，甲方可单方终止本项目，且有权要求乙方承担违约责任。乙方如对甲方造成经济损失的，还需赔偿甲方遭受的所有的损失。合同签署执行后，如乙方出现连续两个批次技术参数不达标，甲方有权终止合同。</w:t>
      </w:r>
    </w:p>
    <w:p>
      <w:pPr>
        <w:pStyle w:val="null3"/>
        <w:ind w:left="480"/>
      </w:pPr>
      <w:r>
        <w:rPr>
          <w:sz w:val="24"/>
        </w:rPr>
        <w:t>八、</w:t>
      </w:r>
      <w:r>
        <w:rPr>
          <w:sz w:val="24"/>
        </w:rPr>
        <w:t>项目实施时间及地点</w:t>
      </w:r>
    </w:p>
    <w:p>
      <w:pPr>
        <w:pStyle w:val="null3"/>
      </w:pPr>
      <w:r>
        <w:rPr>
          <w:sz w:val="24"/>
        </w:rPr>
        <w:t>（一）项目实施时间：</w:t>
      </w:r>
      <w:r>
        <w:rPr>
          <w:sz w:val="24"/>
        </w:rPr>
        <w:t>3年（即2025年</w:t>
      </w:r>
      <w:r>
        <w:rPr>
          <w:u w:val="single"/>
        </w:rPr>
        <w:t xml:space="preserve">  </w:t>
      </w:r>
      <w:r>
        <w:rPr>
          <w:sz w:val="24"/>
        </w:rPr>
        <w:t>月</w:t>
      </w:r>
      <w:r>
        <w:rPr>
          <w:u w:val="single"/>
        </w:rPr>
        <w:t xml:space="preserve">  </w:t>
      </w:r>
      <w:r>
        <w:rPr>
          <w:sz w:val="24"/>
        </w:rPr>
        <w:t>日至</w:t>
      </w:r>
      <w:r>
        <w:rPr>
          <w:sz w:val="24"/>
        </w:rPr>
        <w:t>2028年</w:t>
      </w:r>
      <w:r>
        <w:rPr>
          <w:u w:val="single"/>
        </w:rPr>
        <w:t xml:space="preserve">  </w:t>
      </w:r>
      <w:r>
        <w:rPr>
          <w:sz w:val="24"/>
        </w:rPr>
        <w:t>月</w:t>
      </w:r>
      <w:r>
        <w:rPr>
          <w:u w:val="single"/>
        </w:rPr>
        <w:t xml:space="preserve">  </w:t>
      </w:r>
      <w:r>
        <w:rPr>
          <w:sz w:val="24"/>
        </w:rPr>
        <w:t>日至）或累计实际结算款项达到</w:t>
      </w:r>
      <w:r>
        <w:rPr>
          <w:sz w:val="24"/>
        </w:rPr>
        <w:t>300万元，以先到为准。</w:t>
      </w:r>
    </w:p>
    <w:p>
      <w:pPr>
        <w:pStyle w:val="null3"/>
      </w:pPr>
      <w:r>
        <w:rPr>
          <w:sz w:val="24"/>
        </w:rPr>
        <w:t>（二）项目实施地点：广州医科大学附属妇女儿童医疗中心五院区，分别为：</w:t>
      </w:r>
    </w:p>
    <w:p>
      <w:pPr>
        <w:pStyle w:val="null3"/>
        <w:jc w:val="both"/>
      </w:pPr>
      <w:r>
        <w:rPr>
          <w:sz w:val="24"/>
        </w:rPr>
        <w:t>1.珠江新城院区：广州市天河区金穗路9号；</w:t>
      </w:r>
    </w:p>
    <w:p>
      <w:pPr>
        <w:pStyle w:val="null3"/>
        <w:jc w:val="both"/>
      </w:pPr>
      <w:r>
        <w:rPr>
          <w:sz w:val="24"/>
        </w:rPr>
        <w:t>2.儿童院区：广州市越秀区人民中路318号；</w:t>
      </w:r>
    </w:p>
    <w:p>
      <w:pPr>
        <w:pStyle w:val="null3"/>
        <w:jc w:val="both"/>
      </w:pPr>
      <w:r>
        <w:rPr>
          <w:sz w:val="24"/>
        </w:rPr>
        <w:t>3.妇婴院区：广州市越秀区人民中路402号；</w:t>
      </w:r>
    </w:p>
    <w:p>
      <w:pPr>
        <w:pStyle w:val="null3"/>
        <w:jc w:val="both"/>
      </w:pPr>
      <w:r>
        <w:rPr>
          <w:sz w:val="24"/>
        </w:rPr>
        <w:t>4.增城院区：广州市增城区增城大道293号；</w:t>
      </w:r>
    </w:p>
    <w:p>
      <w:pPr>
        <w:pStyle w:val="null3"/>
        <w:jc w:val="both"/>
      </w:pPr>
      <w:r>
        <w:rPr>
          <w:sz w:val="24"/>
        </w:rPr>
        <w:t>5.白云院区：广州市白云区新达路91号、93号。</w:t>
      </w:r>
    </w:p>
    <w:p>
      <w:pPr>
        <w:pStyle w:val="null3"/>
        <w:ind w:left="480"/>
      </w:pPr>
      <w:r>
        <w:rPr>
          <w:sz w:val="24"/>
        </w:rPr>
        <w:t>九、</w:t>
      </w:r>
      <w:r>
        <w:rPr>
          <w:sz w:val="24"/>
        </w:rPr>
        <w:t>项目结算</w:t>
      </w:r>
    </w:p>
    <w:p>
      <w:pPr>
        <w:pStyle w:val="null3"/>
        <w:jc w:val="both"/>
      </w:pPr>
      <w:r>
        <w:rPr>
          <w:sz w:val="24"/>
        </w:rPr>
        <w:t>（一）本项目合同总额为人民币（大写）</w:t>
      </w:r>
      <w:r>
        <w:rPr>
          <w:sz w:val="24"/>
          <w:u w:val="single"/>
        </w:rPr>
        <w:t>叁佰万元整</w:t>
      </w:r>
      <w:r>
        <w:rPr>
          <w:sz w:val="24"/>
        </w:rPr>
        <w:t>，（小写）</w:t>
      </w:r>
      <w:r>
        <w:rPr>
          <w:sz w:val="24"/>
        </w:rPr>
        <w:t>¥</w:t>
      </w:r>
      <w:r>
        <w:rPr>
          <w:sz w:val="24"/>
          <w:u w:val="single"/>
        </w:rPr>
        <w:t>3000000.00</w:t>
      </w:r>
      <w:r>
        <w:rPr>
          <w:sz w:val="24"/>
        </w:rPr>
        <w:t>元；中标折扣率为</w:t>
      </w:r>
      <w:r>
        <w:rPr>
          <w:sz w:val="21"/>
          <w:u w:val="single"/>
        </w:rPr>
        <w:t xml:space="preserve">   </w:t>
      </w:r>
      <w:r>
        <w:rPr>
          <w:sz w:val="24"/>
        </w:rPr>
        <w:t>。合同期内，所有检测项目均按同一中标折扣率结算，中标折扣率包括本项目服务实施过程中涉及的相关检验设备使用，分析平台、解读软件使用及试剂试纸耗材等费用；包括样本运输，结果数据传输，与甲方系统对接，剩余样本保存，数据保存服务人员工资等完成本项目一切可见或不可预见的费用。</w:t>
      </w:r>
    </w:p>
    <w:p>
      <w:pPr>
        <w:pStyle w:val="null3"/>
        <w:jc w:val="both"/>
      </w:pPr>
      <w:r>
        <w:rPr>
          <w:sz w:val="24"/>
        </w:rPr>
        <w:t>（二）付款方式</w:t>
      </w:r>
    </w:p>
    <w:p>
      <w:pPr>
        <w:pStyle w:val="null3"/>
        <w:jc w:val="both"/>
      </w:pPr>
      <w:r>
        <w:rPr>
          <w:sz w:val="24"/>
        </w:rPr>
        <w:t>1.</w:t>
      </w:r>
      <w:r>
        <w:rPr>
          <w:sz w:val="24"/>
        </w:rPr>
        <w:t>甲方以银行转账形式每月按实结算，根据每月检测项目和数量，按中标折扣</w:t>
      </w:r>
      <w:r>
        <w:rPr>
          <w:sz w:val="24"/>
        </w:rPr>
        <w:t>率</w:t>
      </w:r>
      <w:r>
        <w:rPr>
          <w:sz w:val="24"/>
        </w:rPr>
        <w:t>结算，实际结算款</w:t>
      </w:r>
      <w:r>
        <w:rPr>
          <w:sz w:val="24"/>
        </w:rPr>
        <w:t>=∑【对应检测项目的招标</w:t>
      </w:r>
      <w:r>
        <w:rPr>
          <w:sz w:val="24"/>
        </w:rPr>
        <w:t>基准</w:t>
      </w:r>
      <w:r>
        <w:rPr>
          <w:sz w:val="24"/>
        </w:rPr>
        <w:t>价</w:t>
      </w:r>
      <w:r>
        <w:rPr>
          <w:sz w:val="24"/>
        </w:rPr>
        <w:t>×中标折扣</w:t>
      </w:r>
      <w:r>
        <w:rPr>
          <w:sz w:val="24"/>
        </w:rPr>
        <w:t>率</w:t>
      </w:r>
      <w:r>
        <w:rPr>
          <w:sz w:val="24"/>
        </w:rPr>
        <w:t>×实际采购数量】。经甲方确认后，乙方于次月15日前向甲方提交结算资料，甲方收到结算资料并核对无误后5个工作日内开始办理支付手续。</w:t>
      </w:r>
    </w:p>
    <w:p>
      <w:pPr>
        <w:pStyle w:val="null3"/>
        <w:jc w:val="both"/>
      </w:pPr>
      <w:r>
        <w:rPr>
          <w:sz w:val="24"/>
        </w:rPr>
        <w:t>2.三年合同累计总价不超过采购包的采购预算人民币300万元，最终结算数额以甲方在合同期间的实际检测情况为准。</w:t>
      </w:r>
    </w:p>
    <w:p>
      <w:pPr>
        <w:pStyle w:val="null3"/>
        <w:jc w:val="both"/>
      </w:pPr>
      <w:r>
        <w:rPr>
          <w:sz w:val="24"/>
        </w:rPr>
        <w:t>3.乙方在每月5日（如遇节假日往后顺延）前将上月的工作量清单明细表交由甲方核对后，方可开具发票。</w:t>
      </w:r>
    </w:p>
    <w:p>
      <w:pPr>
        <w:pStyle w:val="null3"/>
        <w:jc w:val="both"/>
      </w:pPr>
      <w:r>
        <w:rPr>
          <w:sz w:val="24"/>
        </w:rPr>
        <w:t>4.因甲方使用的是财政性资金，甲方在前款规定的付款时间为向支付部门提出办理财政支付申请手续的时间（不含支付部门审核的时间），在规定时间内提出支付申请手续后即视为甲方已经按期支付，乙方应按项目进度要求进行实施。</w:t>
      </w:r>
    </w:p>
    <w:p>
      <w:pPr>
        <w:pStyle w:val="null3"/>
      </w:pPr>
      <w:r>
        <w:rPr>
          <w:sz w:val="24"/>
        </w:rPr>
        <w:t>5.</w:t>
      </w:r>
      <w:r>
        <w:rPr/>
        <w:t xml:space="preserve"> </w:t>
      </w:r>
      <w:r>
        <w:rPr>
          <w:sz w:val="24"/>
        </w:rPr>
        <w:t>乙方在每次结算时需向甲方提交以下资料：</w:t>
      </w:r>
    </w:p>
    <w:p>
      <w:pPr>
        <w:pStyle w:val="null3"/>
      </w:pPr>
      <w:r>
        <w:rPr>
          <w:sz w:val="24"/>
        </w:rPr>
        <w:t>（</w:t>
      </w:r>
      <w:r>
        <w:rPr>
          <w:sz w:val="24"/>
        </w:rPr>
        <w:t>1）合同、中标通知书、履约保证金缴纳材料；（首次结算时提供）</w:t>
      </w:r>
    </w:p>
    <w:p>
      <w:pPr>
        <w:pStyle w:val="null3"/>
      </w:pPr>
      <w:r>
        <w:rPr>
          <w:sz w:val="24"/>
        </w:rPr>
        <w:t>（</w:t>
      </w:r>
      <w:r>
        <w:rPr>
          <w:sz w:val="24"/>
        </w:rPr>
        <w:t>2）乙方开具的正式发票；</w:t>
      </w:r>
    </w:p>
    <w:p>
      <w:pPr>
        <w:pStyle w:val="null3"/>
      </w:pPr>
      <w:r>
        <w:rPr>
          <w:sz w:val="24"/>
        </w:rPr>
        <w:t>（</w:t>
      </w:r>
      <w:r>
        <w:rPr>
          <w:sz w:val="24"/>
        </w:rPr>
        <w:t>3）经甲方管理科室确认的上月的工作量清单明细表。</w:t>
      </w:r>
    </w:p>
    <w:p>
      <w:pPr>
        <w:pStyle w:val="null3"/>
        <w:jc w:val="left"/>
      </w:pPr>
      <w:r>
        <w:rPr>
          <w:sz w:val="24"/>
          <w:b/>
          <w:color w:val="000000"/>
        </w:rPr>
        <w:t>（三）履约保证金</w:t>
      </w:r>
    </w:p>
    <w:p>
      <w:pPr>
        <w:pStyle w:val="null3"/>
        <w:jc w:val="both"/>
      </w:pPr>
      <w:r>
        <w:rPr>
          <w:sz w:val="24"/>
        </w:rPr>
        <w:t>乙方与甲方签订合同后</w:t>
      </w:r>
      <w:r>
        <w:rPr>
          <w:sz w:val="24"/>
        </w:rPr>
        <w:t>15个工作日内，按采购预算的2%以银行转账或支票（汇票、本票）或保函（保险）等非现金形式向甲方提交履约保证金【保函（保险）方式提交的，须提供保函（保险）原件交予甲方备案】，同时须在合同期内保持履约保证金长期有效。若不提交履约保证金或履约保证金在服务期内失效后15个工作日内不向甲方更新提交，甲方有权终止合同，并上报政府采购监管部门，由此产生的一切责任及损失均由乙方承担。若合同期内乙方没有违约行为，甲方无息退还履约保证金（以保函（保险）形式提交的履约保证金在合同期满后或合同终止后30个工作日内自动失效；以银行转账或支票（汇票）提交的履约保证金在合同期满后或合同终止后30个工作日内，甲方收到乙方的退还申请后，无息退还给乙方）；如逾期退还，甲方按每日逾期款总额的3‰向乙方偿付违约金。下列任何一种情况发生时，甲方有权不予退还履约保证金：1.乙方未完全履行项目投标文件承诺或合同约定的；2.乙方的原因导致甲方单位发生医疗纠纷或医疗事故或医疗过错。</w:t>
      </w:r>
    </w:p>
    <w:p>
      <w:pPr>
        <w:pStyle w:val="null3"/>
        <w:ind w:left="480"/>
      </w:pPr>
      <w:r>
        <w:rPr>
          <w:sz w:val="24"/>
        </w:rPr>
        <w:t>十、</w:t>
      </w:r>
      <w:r>
        <w:rPr>
          <w:sz w:val="24"/>
        </w:rPr>
        <w:t>双方权利及义务</w:t>
      </w:r>
    </w:p>
    <w:p>
      <w:pPr>
        <w:pStyle w:val="null3"/>
        <w:jc w:val="both"/>
      </w:pPr>
      <w:r>
        <w:rPr>
          <w:sz w:val="24"/>
        </w:rPr>
        <w:t>（一）甲方权利及义务</w:t>
      </w:r>
    </w:p>
    <w:p>
      <w:pPr>
        <w:pStyle w:val="null3"/>
        <w:jc w:val="both"/>
      </w:pPr>
      <w:r>
        <w:rPr>
          <w:sz w:val="24"/>
        </w:rPr>
        <w:t>1.甲方有权指定甲方代表以维护甲方的合法权益。</w:t>
      </w:r>
    </w:p>
    <w:p>
      <w:pPr>
        <w:pStyle w:val="null3"/>
        <w:jc w:val="both"/>
      </w:pPr>
      <w:r>
        <w:rPr>
          <w:sz w:val="24"/>
        </w:rPr>
        <w:t>2.甲方负责检查监督乙方在甲方的服务工作的实施执行情况。</w:t>
      </w:r>
    </w:p>
    <w:p>
      <w:pPr>
        <w:pStyle w:val="null3"/>
        <w:jc w:val="both"/>
      </w:pPr>
      <w:r>
        <w:rPr>
          <w:sz w:val="24"/>
        </w:rPr>
        <w:t>3.甲方对乙方实行每季度、每年的服务质量考核评分，如考核不合格，对乙方作相应处罚。</w:t>
      </w:r>
    </w:p>
    <w:p>
      <w:pPr>
        <w:pStyle w:val="null3"/>
        <w:jc w:val="both"/>
      </w:pPr>
      <w:r>
        <w:rPr>
          <w:sz w:val="24"/>
        </w:rPr>
        <w:t>4.甲方管理部门可随时对乙方提供的服务进行抽查。</w:t>
      </w:r>
    </w:p>
    <w:p>
      <w:pPr>
        <w:pStyle w:val="null3"/>
        <w:jc w:val="both"/>
      </w:pPr>
      <w:r>
        <w:rPr>
          <w:sz w:val="24"/>
        </w:rPr>
        <w:t>5.甲方管理部门可随时要求乙方对不完善的问题进行限期整改。</w:t>
      </w:r>
    </w:p>
    <w:p>
      <w:pPr>
        <w:pStyle w:val="null3"/>
        <w:jc w:val="both"/>
      </w:pPr>
      <w:r>
        <w:rPr>
          <w:sz w:val="24"/>
        </w:rPr>
        <w:t>6.甲方对乙方服务人员（包括管理人员）不满意时，乙方应及时且无条件的为甲方更换合格的人员。</w:t>
      </w:r>
    </w:p>
    <w:p>
      <w:pPr>
        <w:pStyle w:val="null3"/>
        <w:jc w:val="both"/>
      </w:pPr>
      <w:r>
        <w:rPr>
          <w:sz w:val="24"/>
        </w:rPr>
        <w:t>7.甲方有按时结算货款的义务。</w:t>
      </w:r>
    </w:p>
    <w:p>
      <w:pPr>
        <w:pStyle w:val="null3"/>
        <w:jc w:val="both"/>
      </w:pPr>
      <w:r>
        <w:rPr>
          <w:sz w:val="24"/>
        </w:rPr>
        <w:t>（二）乙方权利与义务</w:t>
      </w:r>
    </w:p>
    <w:p>
      <w:pPr>
        <w:pStyle w:val="null3"/>
        <w:jc w:val="both"/>
      </w:pPr>
      <w:r>
        <w:rPr>
          <w:sz w:val="24"/>
        </w:rPr>
        <w:t>1.制订各种相关服务制度、操作流程、培训计划、管理标准；乙方须严格按照标准化的操作程序、完善的培训体系和质量控制体系完成本项目，以保证本项目能高效、有序和有计划地完成。</w:t>
      </w:r>
    </w:p>
    <w:p>
      <w:pPr>
        <w:pStyle w:val="null3"/>
        <w:jc w:val="both"/>
      </w:pPr>
      <w:r>
        <w:rPr>
          <w:sz w:val="24"/>
        </w:rPr>
        <w:t>2.乙方于合同签订后10天内将各种相关服务制度、培训计划、管理标准、标准化的操作程序等文件资料交甲方进行审核并存档，作为甲方实施管理的依据。</w:t>
      </w:r>
    </w:p>
    <w:p>
      <w:pPr>
        <w:pStyle w:val="null3"/>
        <w:jc w:val="both"/>
      </w:pPr>
      <w:r>
        <w:rPr>
          <w:sz w:val="24"/>
        </w:rPr>
        <w:t>3.乙方在日常服务过程中对无法解决的事故要及时向甲方反映。</w:t>
      </w:r>
    </w:p>
    <w:p>
      <w:pPr>
        <w:pStyle w:val="null3"/>
        <w:jc w:val="both"/>
      </w:pPr>
      <w:r>
        <w:rPr>
          <w:sz w:val="24"/>
        </w:rPr>
        <w:t>4.乙方承担服务人员的责任风险，及因所提供服务不当而引至相应法律责任（如工作质量、服务态度、用人不当、不购买“五险一金”、员工工伤、员工生病、劳资纠纷等）。</w:t>
      </w:r>
    </w:p>
    <w:p>
      <w:pPr>
        <w:pStyle w:val="null3"/>
        <w:jc w:val="both"/>
      </w:pPr>
      <w:r>
        <w:rPr>
          <w:sz w:val="24"/>
        </w:rPr>
        <w:t>5.乙方的服务人员应严格遵守保密承诺及知识产权承诺。</w:t>
      </w:r>
    </w:p>
    <w:p>
      <w:pPr>
        <w:pStyle w:val="null3"/>
        <w:jc w:val="both"/>
      </w:pPr>
      <w:r>
        <w:rPr>
          <w:sz w:val="24"/>
        </w:rPr>
        <w:t>6.如甲方对乙方提供的服务人员不满意要求更换时，乙方应及时且无条件的为甲方更换合格人员。</w:t>
      </w:r>
    </w:p>
    <w:p>
      <w:pPr>
        <w:pStyle w:val="null3"/>
        <w:jc w:val="both"/>
      </w:pPr>
      <w:r>
        <w:rPr>
          <w:sz w:val="24"/>
        </w:rPr>
        <w:t>7.乙方应能及时提供满足甲方突发性需求的服务。乙方应在收到甲方通知后，在甲方指定的时间内提供服务；如未能及时提供的，甲方有权要求乙方承担一切损失和责任，同时，甲方有权单方终止本合同。</w:t>
      </w:r>
    </w:p>
    <w:p>
      <w:pPr>
        <w:pStyle w:val="null3"/>
        <w:jc w:val="both"/>
      </w:pPr>
      <w:r>
        <w:rPr>
          <w:sz w:val="24"/>
        </w:rPr>
        <w:t>8.乙方的服务人员出现违法行为，所造成的一切后果及损失，由乙方承担责任和负责赔偿；出现严重违纪、违规行为，甲方有权单方终止合同。</w:t>
      </w:r>
    </w:p>
    <w:p>
      <w:pPr>
        <w:pStyle w:val="null3"/>
        <w:jc w:val="both"/>
      </w:pPr>
      <w:r>
        <w:rPr>
          <w:sz w:val="24"/>
        </w:rPr>
        <w:t>9.乙方未经甲方批准，不得再以任何方式转包、分包本项目，否则甲方有权单方终止合同。</w:t>
      </w:r>
    </w:p>
    <w:p>
      <w:pPr>
        <w:pStyle w:val="null3"/>
        <w:jc w:val="both"/>
      </w:pPr>
      <w:r>
        <w:rPr>
          <w:sz w:val="24"/>
        </w:rPr>
        <w:t>10.乙方因拖欠本项目服务人员工资及第三方货款而发生的纠纷、债务，由乙方自行解决，甲方不承担任何责任，也不负责协商解决。</w:t>
      </w:r>
    </w:p>
    <w:p>
      <w:pPr>
        <w:pStyle w:val="null3"/>
        <w:jc w:val="both"/>
      </w:pPr>
      <w:r>
        <w:rPr>
          <w:sz w:val="24"/>
        </w:rPr>
        <w:t>11.乙方完全遵守《中华人民共和国民法典》有关规定和《中华人民共和国妇女权益保障法》中关于“劳动和社会保障权益”的有关要求。</w:t>
      </w:r>
    </w:p>
    <w:p>
      <w:pPr>
        <w:pStyle w:val="null3"/>
        <w:ind w:left="480"/>
      </w:pPr>
      <w:r>
        <w:rPr>
          <w:sz w:val="24"/>
        </w:rPr>
        <w:t>十一、</w:t>
      </w:r>
      <w:r>
        <w:rPr>
          <w:sz w:val="24"/>
        </w:rPr>
        <w:t>违约责任</w:t>
      </w:r>
    </w:p>
    <w:p>
      <w:pPr>
        <w:pStyle w:val="null3"/>
        <w:jc w:val="both"/>
      </w:pPr>
      <w:r>
        <w:rPr>
          <w:sz w:val="24"/>
        </w:rPr>
        <w:t>（一）合同履行中发生下列情况之一的，属乙方违约</w:t>
      </w:r>
      <w:r>
        <w:rPr>
          <w:sz w:val="24"/>
        </w:rPr>
        <w:t>:</w:t>
      </w:r>
    </w:p>
    <w:p>
      <w:pPr>
        <w:pStyle w:val="null3"/>
        <w:jc w:val="both"/>
      </w:pPr>
      <w:r>
        <w:rPr>
          <w:sz w:val="24"/>
        </w:rPr>
        <w:t>1.乙方检测报告不符合法律以及卫生行政部门要求的;</w:t>
      </w:r>
    </w:p>
    <w:p>
      <w:pPr>
        <w:pStyle w:val="null3"/>
        <w:jc w:val="both"/>
      </w:pPr>
      <w:r>
        <w:rPr>
          <w:sz w:val="24"/>
        </w:rPr>
        <w:t>2.乙方转包、分包本项目;</w:t>
      </w:r>
    </w:p>
    <w:p>
      <w:pPr>
        <w:pStyle w:val="null3"/>
        <w:jc w:val="both"/>
      </w:pPr>
      <w:r>
        <w:rPr>
          <w:sz w:val="24"/>
        </w:rPr>
        <w:t>3.乙方未按招标文件要求或投标承诺或合同要求完成检测服务;</w:t>
      </w:r>
    </w:p>
    <w:p>
      <w:pPr>
        <w:pStyle w:val="null3"/>
        <w:jc w:val="both"/>
      </w:pPr>
      <w:r>
        <w:rPr>
          <w:sz w:val="24"/>
        </w:rPr>
        <w:t>4.乙方无法履行或停止履行合同;</w:t>
      </w:r>
    </w:p>
    <w:p>
      <w:pPr>
        <w:pStyle w:val="null3"/>
        <w:jc w:val="both"/>
      </w:pPr>
      <w:r>
        <w:rPr>
          <w:sz w:val="24"/>
        </w:rPr>
        <w:t>5.乙方未履行招标文件要求或投标承诺或合同约定的其他义务。</w:t>
      </w:r>
    </w:p>
    <w:p>
      <w:pPr>
        <w:pStyle w:val="null3"/>
        <w:ind w:firstLine="480"/>
      </w:pPr>
      <w:r>
        <w:rPr>
          <w:sz w:val="24"/>
        </w:rPr>
        <w:t>乙方发生上述情况时，甲方向乙方发出整改通知，要求其在限定期限内整改</w:t>
      </w:r>
      <w:r>
        <w:rPr>
          <w:sz w:val="24"/>
        </w:rPr>
        <w:t>;逾期不整改或整改不及格的，甲方有权单方面终止合同，不予退还乙方履约保证金并上报政府采购监管部门，由此引起的一切后果，由乙方承担。</w:t>
      </w:r>
    </w:p>
    <w:p>
      <w:pPr>
        <w:pStyle w:val="null3"/>
      </w:pPr>
      <w:r>
        <w:rPr>
          <w:sz w:val="24"/>
        </w:rPr>
        <w:t>乙方须承担由于违约所造成的费用增加、周期延误和甲方损失、甲方维权支出的律师费、诉讼费、鉴定费等合理费用等。</w:t>
      </w:r>
    </w:p>
    <w:p>
      <w:pPr>
        <w:pStyle w:val="null3"/>
      </w:pPr>
      <w:r>
        <w:rPr>
          <w:sz w:val="24"/>
        </w:rPr>
        <w:t>（二）乙方需保证按国家检测规范进行操作，并对来样检测结果负责。如果因检测结果错误而导致发生医疗纠纷</w:t>
      </w:r>
      <w:r>
        <w:rPr>
          <w:sz w:val="24"/>
        </w:rPr>
        <w:t>/事故、医疗过错或其他问题，确认因乙方操作过程导致的，乙方承担全部赔偿责任，甲方有权单方终止合同，不予退还乙方履约保证金并上报政府采购监管部门，给甲方造成任何损失的，包括甲方维权支出的律师费、诉讼费、鉴定费等合理费用，乙方应当承担赔偿责任。</w:t>
      </w:r>
    </w:p>
    <w:p>
      <w:pPr>
        <w:pStyle w:val="null3"/>
      </w:pPr>
      <w:r>
        <w:rPr>
          <w:sz w:val="24"/>
        </w:rPr>
        <w:t>（三）如发生样本交叉污染或者样本混淆，乙方须支付甲方问题样本检测费用的双倍赔偿，上述情况一个月发生三次的，甲方有权单方面终止合同，不予退还乙方履约保证金并上报政府采购监管部门，由此引起的一切后果，由乙方承担，给甲方造成任何损失的，包括甲方维权支出的律师费、诉讼费、鉴定费等合理费用，乙方应当承担赔偿责任。</w:t>
      </w:r>
    </w:p>
    <w:p>
      <w:pPr>
        <w:pStyle w:val="null3"/>
      </w:pPr>
      <w:r>
        <w:rPr>
          <w:sz w:val="24"/>
        </w:rPr>
        <w:t>（四）如未按招标文件或合同要求的项目交付时间交付数据或报告的，每延期一日乙方向甲方赔偿该样本检测费用金额的百分之一（样本检测费</w:t>
      </w:r>
      <w:r>
        <w:rPr>
          <w:sz w:val="24"/>
        </w:rPr>
        <w:t>x0.01）；上述情况一个月发生五次的，甲方有权单方面终止合同，不予退还乙方履约保证金并上报政府采购监管部门，由此引起的一切后果，由乙方承担，给甲方造成任何损失的，包括甲方维权支出的律师费、诉讼费、鉴定费等合理费用，乙方应当承担赔偿责任。</w:t>
      </w:r>
    </w:p>
    <w:p>
      <w:pPr>
        <w:pStyle w:val="null3"/>
      </w:pPr>
      <w:r>
        <w:rPr>
          <w:sz w:val="24"/>
        </w:rPr>
        <w:t>（五）乙方对甲方送检的合格样本结果负责，对于按照乙方要求取材的样本，若因乙方原因丢失或损坏、污染甲方提供的技术资料、技术数据、文件和其它物品的，甲方有权要求乙方采取补救措施，乙方负责重做的所有费用，并承担甲方的损失及因此引起的一系列后果，包括甲方维权支出的律师费、诉讼费、鉴定费等合理费用。</w:t>
      </w:r>
    </w:p>
    <w:p>
      <w:pPr>
        <w:pStyle w:val="null3"/>
      </w:pPr>
      <w:r>
        <w:rPr>
          <w:sz w:val="24"/>
        </w:rPr>
        <w:t>（六）若乙方季度考核连续两次不及格，或一年有三次不及格，甲方有权单方终止合同，不予退还乙方履约保证金并上报政府采购监管部门，由此引起的一切后果，由乙方承担，给甲方造成任何损失的，包括甲方维权支出的律师费、诉讼费、鉴定费等合理费用，乙方应当承担赔偿责任。</w:t>
      </w:r>
    </w:p>
    <w:p>
      <w:pPr>
        <w:pStyle w:val="null3"/>
      </w:pPr>
      <w:r>
        <w:rPr>
          <w:sz w:val="24"/>
        </w:rPr>
        <w:t>（七）若乙方年度考核评价八十分以下，甲方有权单方终止合同，并上报政府采购监管部门，甲方不承担违约责任；乙方如对甲方造成经济损失的，需赔偿甲方遭受的所有的损失，包括甲方维权支出的律师费、诉讼费、鉴定费等合理费用。</w:t>
      </w:r>
    </w:p>
    <w:p>
      <w:pPr>
        <w:pStyle w:val="null3"/>
        <w:jc w:val="both"/>
      </w:pPr>
      <w:r>
        <w:rPr>
          <w:sz w:val="24"/>
        </w:rPr>
        <w:t>（八）如在合同期间，由于国家相关政策规定，致使合同不能继续履行的，合同自动终止，双方不承担违约责任。</w:t>
      </w:r>
    </w:p>
    <w:p>
      <w:pPr>
        <w:pStyle w:val="null3"/>
      </w:pPr>
      <w:r>
        <w:rPr>
          <w:sz w:val="24"/>
        </w:rPr>
        <w:t>（九）甲方如发现乙方的检测设备及操作地点与投标承诺不一致的，视为乙方违约，甲方有权单方终止合同，不予退还乙方履约保证金并上报政府采购监管部门，由此引起的一切后果，由乙方承担，包括甲方维权支出的律师费、诉讼费、鉴定费等合理费用。</w:t>
      </w:r>
    </w:p>
    <w:p>
      <w:pPr>
        <w:pStyle w:val="null3"/>
      </w:pPr>
      <w:r>
        <w:rPr>
          <w:sz w:val="24"/>
        </w:rPr>
        <w:t>（十）合同履行过程中，甲方对乙方的检测质量进行抽检，如发现乙方的检测技术指标未达到招标文件</w:t>
      </w:r>
      <w:r>
        <w:rPr>
          <w:sz w:val="24"/>
        </w:rPr>
        <w:t>“检测技术指标”要求的，甲方通知乙方限期整改，乙方逾期不整改或整改不及格或甲方再次发现不达标情况的，甲方有权单方终止合同，不予退还乙方履约保证金并上报政府采购监管部门，由此引起的一切后果，由乙方承担，给甲方造成任何损失的，包括甲方维权支出的律师费、诉讼费、鉴定费等合理费用，乙方应当承担赔偿责任。</w:t>
      </w:r>
    </w:p>
    <w:p>
      <w:pPr>
        <w:pStyle w:val="null3"/>
        <w:jc w:val="both"/>
      </w:pPr>
      <w:r>
        <w:rPr>
          <w:sz w:val="24"/>
        </w:rPr>
        <w:t>十二、</w:t>
      </w:r>
      <w:r>
        <w:rPr>
          <w:sz w:val="24"/>
        </w:rPr>
        <w:t>廉洁条款</w:t>
      </w:r>
    </w:p>
    <w:p>
      <w:pPr>
        <w:pStyle w:val="null3"/>
        <w:jc w:val="both"/>
      </w:pPr>
      <w:r>
        <w:rPr>
          <w:sz w:val="24"/>
        </w:rPr>
        <w:t>1.甲方应当严格执行购销合同验收、入库制度，对服务及发票进行查验，不得违反有关规定合同规定。</w:t>
      </w:r>
    </w:p>
    <w:p>
      <w:pPr>
        <w:pStyle w:val="null3"/>
        <w:jc w:val="both"/>
      </w:pPr>
      <w:r>
        <w:rPr>
          <w:sz w:val="24"/>
        </w:rPr>
        <w:t>2.甲方严禁接受乙方以任何名义、形式给予的</w:t>
      </w:r>
      <w:r>
        <w:rPr>
          <w:sz w:val="24"/>
        </w:rPr>
        <w:t>回</w:t>
      </w:r>
      <w:r>
        <w:rPr>
          <w:sz w:val="24"/>
        </w:rPr>
        <w:t>.扣</w:t>
      </w:r>
      <w:r>
        <w:rPr>
          <w:sz w:val="24"/>
        </w:rPr>
        <w:t>，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jc w:val="both"/>
      </w:pPr>
      <w:r>
        <w:rPr>
          <w:sz w:val="24"/>
        </w:rPr>
        <w:t>3.乙方不得以</w:t>
      </w:r>
      <w:r>
        <w:rPr>
          <w:sz w:val="24"/>
        </w:rPr>
        <w:t>回</w:t>
      </w:r>
      <w:r>
        <w:rPr>
          <w:sz w:val="24"/>
        </w:rPr>
        <w:t>.扣</w:t>
      </w:r>
      <w:r>
        <w:rPr>
          <w:sz w:val="24"/>
        </w:rPr>
        <w:t>、宴请等方式影响甲方工作人员采购或使用科室的选择权，不得在学术活动中提供旅游、超标准支付食宿费用。</w:t>
      </w:r>
    </w:p>
    <w:p>
      <w:pPr>
        <w:pStyle w:val="null3"/>
        <w:jc w:val="both"/>
      </w:pPr>
      <w:r>
        <w:rPr>
          <w:sz w:val="24"/>
        </w:rPr>
        <w:t>4.严禁甲方工作人员利用任何途径和方式，为乙方统计医师个人及临床科室有关信息，或为乙方统计提供便利。</w:t>
      </w:r>
    </w:p>
    <w:p>
      <w:pPr>
        <w:pStyle w:val="null3"/>
        <w:jc w:val="both"/>
      </w:pPr>
      <w:r>
        <w:rPr>
          <w:sz w:val="24"/>
        </w:rPr>
        <w:t>5.乙方指定 XXX  联系电话：邮箱： 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jc w:val="both"/>
      </w:pPr>
      <w:r>
        <w:rPr>
          <w:sz w:val="24"/>
        </w:rPr>
        <w:t>6.乙方如违反上述条款，一经发现，甲方有权终止合同，并向有关卫生计生行政部门报告。如乙方被列入商业贿赂不良记录，则严格按照《国家卫生计生委关于建立医药购销领域商业贿赂不良记录的规定》（国卫法制发[2013]50号）相关规定处理。</w:t>
      </w:r>
    </w:p>
    <w:p>
      <w:pPr>
        <w:pStyle w:val="null3"/>
        <w:ind w:left="480"/>
      </w:pPr>
      <w:r>
        <w:rPr>
          <w:sz w:val="24"/>
        </w:rPr>
        <w:t>十三、</w:t>
      </w:r>
      <w:r>
        <w:rPr>
          <w:sz w:val="24"/>
        </w:rPr>
        <w:t>不可抗力</w:t>
      </w:r>
    </w:p>
    <w:p>
      <w:pPr>
        <w:pStyle w:val="null3"/>
        <w:jc w:val="both"/>
      </w:pPr>
      <w:r>
        <w:rPr>
          <w:sz w:val="24"/>
        </w:rPr>
        <w:t>由于不可预见、不可避免、不可克服等不可抗力的原因，包括地震、火灾、战争、洪水、正常的人员来源中断、罢工、动乱及国家紧急情况而延迟或中断提供服务，一方不能履行合同义务的，应当在不可抗力发生之日起</w:t>
      </w:r>
      <w:r>
        <w:rPr>
          <w:sz w:val="24"/>
        </w:rPr>
        <w:t>5 天内以书面形式通知对方，证明不可抗力事件的存在。不可抗力事件发生后，甲方和乙方应当积极寻求以合理的方式履行本合同。如不可抗力无法消除，致使合同目的无法实现的，双方均有权解除合同，且均不互相索赔。</w:t>
      </w:r>
    </w:p>
    <w:p>
      <w:pPr>
        <w:pStyle w:val="null3"/>
        <w:ind w:left="480"/>
      </w:pPr>
      <w:r>
        <w:rPr>
          <w:sz w:val="24"/>
        </w:rPr>
        <w:t>十四、</w:t>
      </w:r>
      <w:r>
        <w:rPr>
          <w:sz w:val="24"/>
        </w:rPr>
        <w:t>争议及解决办法</w:t>
      </w:r>
    </w:p>
    <w:p>
      <w:pPr>
        <w:pStyle w:val="null3"/>
      </w:pPr>
      <w:r>
        <w:rPr>
          <w:sz w:val="24"/>
        </w:rPr>
        <w:t>本合同在履行中发生争议，由双方本着互惠互利的原则共同协商解决或由政府采购监管部门调解解决。如经协商后仍不能解决，双方同意向甲方所在地法院提出诉讼的方式解决。</w:t>
      </w:r>
    </w:p>
    <w:p>
      <w:pPr>
        <w:pStyle w:val="null3"/>
        <w:ind w:left="480"/>
      </w:pPr>
      <w:r>
        <w:rPr>
          <w:sz w:val="24"/>
        </w:rPr>
        <w:t>十五、</w:t>
      </w:r>
      <w:r>
        <w:rPr>
          <w:sz w:val="24"/>
        </w:rPr>
        <w:t>其他</w:t>
      </w:r>
    </w:p>
    <w:p>
      <w:pPr>
        <w:pStyle w:val="null3"/>
      </w:pPr>
      <w:r>
        <w:rPr>
          <w:sz w:val="24"/>
        </w:rPr>
        <w:t>1.</w:t>
      </w:r>
      <w:r>
        <w:rPr/>
        <w:t xml:space="preserve"> </w:t>
      </w:r>
      <w:r>
        <w:rPr>
          <w:sz w:val="24"/>
        </w:rPr>
        <w:t>乙方对检测结果进行修正或更改过程中，不受任何诱使或压力的影响，保证检测结果的公正性。</w:t>
      </w:r>
    </w:p>
    <w:p>
      <w:pPr>
        <w:pStyle w:val="null3"/>
      </w:pPr>
      <w:r>
        <w:rPr>
          <w:sz w:val="24"/>
        </w:rPr>
        <w:t>2.本合同一式捌份，具有同等效力，甲方执陆份，乙方执贰份。合同自双方签字盖章之日起生效。</w:t>
      </w:r>
    </w:p>
    <w:p>
      <w:pPr>
        <w:pStyle w:val="null3"/>
      </w:pPr>
      <w:r>
        <w:rPr>
          <w:sz w:val="24"/>
        </w:rPr>
        <w:t>3.本合同未尽事宜，由双方协商处理。</w:t>
      </w:r>
    </w:p>
    <w:p>
      <w:pPr>
        <w:pStyle w:val="null3"/>
      </w:pPr>
      <w:r>
        <w:rPr>
          <w:sz w:val="24"/>
        </w:rPr>
        <w:t>——以下无正文——</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4275"/>
        <w:gridCol w:w="4015"/>
      </w:tblGrid>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甲方：广州医科大学附属妇女儿童医疗中心</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乙方：</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法人代表：</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法人代表：</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签约代表：</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签约代表：</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科部主任：</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项目经办人：</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地址：广州市天河区珠江新城金穗路</w:t>
            </w:r>
            <w:r>
              <w:rPr>
                <w:sz w:val="21"/>
              </w:rPr>
              <w:t>9</w:t>
            </w:r>
            <w:r>
              <w:rPr>
                <w:sz w:val="21"/>
              </w:rPr>
              <w:t>号</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600"/>
              <w:jc w:val="left"/>
            </w:pPr>
            <w:r>
              <w:rPr>
                <w:sz w:val="21"/>
              </w:rPr>
              <w:t>地址：</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电话：</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电话：</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18"/>
              </w:rPr>
              <w:t>统一社会信用代码：</w:t>
            </w:r>
            <w:r>
              <w:rPr>
                <w:sz w:val="21"/>
              </w:rPr>
              <w:t>124401006832921365</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18"/>
              </w:rPr>
              <w:t>统一社会信用代码</w:t>
            </w:r>
            <w:r>
              <w:rPr>
                <w:sz w:val="21"/>
              </w:rPr>
              <w:t>：</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1125"/>
              <w:jc w:val="left"/>
            </w:pPr>
            <w:r>
              <w:rPr>
                <w:sz w:val="21"/>
              </w:rPr>
              <w:t>开户银行：招商银行股份有限公司广州人民中路支行</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开户银行：</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账</w:t>
            </w:r>
            <w:r>
              <w:rPr>
                <w:sz w:val="21"/>
              </w:rPr>
              <w:t xml:space="preserve"> </w:t>
            </w:r>
            <w:r>
              <w:rPr>
                <w:sz w:val="21"/>
              </w:rPr>
              <w:t>号：</w:t>
            </w:r>
            <w:r>
              <w:rPr>
                <w:sz w:val="21"/>
              </w:rPr>
              <w:t>120906481310503</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账</w:t>
            </w:r>
            <w:r>
              <w:rPr>
                <w:sz w:val="21"/>
              </w:rPr>
              <w:t xml:space="preserve"> </w:t>
            </w:r>
            <w:r>
              <w:rPr>
                <w:sz w:val="21"/>
              </w:rPr>
              <w:t>号</w:t>
            </w:r>
            <w:r>
              <w:rPr>
                <w:sz w:val="21"/>
              </w:rPr>
              <w:t>：</w:t>
            </w:r>
          </w:p>
        </w:tc>
      </w:tr>
      <w:tr>
        <w:tc>
          <w:tcPr>
            <w:tcW w:type="dxa" w:w="4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5"/>
              <w:jc w:val="left"/>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440101-2025-04020</w:t>
      </w:r>
    </w:p>
    <w:p>
      <w:pPr>
        <w:pStyle w:val="null3"/>
        <w:jc w:val="center"/>
        <w:outlineLvl w:val="3"/>
      </w:pPr>
      <w:r>
        <w:rPr>
          <w:sz w:val="24"/>
          <w:b/>
        </w:rPr>
        <w:t>采购项目编号：</w:t>
      </w:r>
      <w:r>
        <w:rPr>
          <w:sz w:val="24"/>
          <w:b/>
        </w:rPr>
        <w:t>0724-2531Z2161076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广州医科大学附属妇女儿童医疗中心儿童肿瘤相关检测服务及一代测序相关技术服务采购项目</w:t>
      </w:r>
      <w:r>
        <w:rPr>
          <w:u w:val="single"/>
        </w:rPr>
        <w:t>”</w:t>
      </w:r>
      <w:r>
        <w:rPr/>
        <w:t>项目的招标[采购项目编号为：</w:t>
      </w:r>
      <w:r>
        <w:rPr>
          <w:u w:val="single"/>
        </w:rPr>
        <w:t>0724-2531Z2161076</w:t>
      </w:r>
      <w:r>
        <w:rPr/>
        <w:t>]，我方愿参与投标。</w:t>
      </w:r>
    </w:p>
    <w:p>
      <w:pPr>
        <w:pStyle w:val="null3"/>
        <w:ind w:firstLine="480"/>
      </w:pPr>
      <w:r>
        <w:rPr/>
        <w:t>我方确认收到贵方提供的</w:t>
      </w:r>
      <w:r>
        <w:rPr>
          <w:u w:val="single"/>
        </w:rPr>
        <w:t>“</w:t>
      </w:r>
      <w:r>
        <w:rPr>
          <w:u w:val="single"/>
        </w:rPr>
        <w:t>广州医科大学附属妇女儿童医疗中心儿童肿瘤相关检测服务及一代测序相关技术服务采购项目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广州医科大学附属妇女儿童医疗中心儿童肿瘤相关检测服务及一代测序相关技术服务采购项目</w:t>
      </w:r>
      <w:r>
        <w:rPr/>
        <w:t>”项目采购[采购项目编号为</w:t>
      </w:r>
      <w:r>
        <w:rPr/>
        <w:t>0724-2531Z2161076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广州医科大学附属妇女儿童医疗中心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广州医科大学附属妇女儿童医疗中心儿童肿瘤相关检测服务及一代测序相关技术服务采购项目</w:t>
      </w:r>
      <w:r>
        <w:rPr/>
        <w:t>招标中获中标（采购项目编号：</w:t>
      </w:r>
      <w:r>
        <w:rPr/>
        <w:t>0724-2531Z2161076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