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tabs>
          <w:tab w:val="left" w:pos="720"/>
        </w:tabs>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一、招标文件补充说明</w:t>
      </w:r>
    </w:p>
    <w:p>
      <w:pPr>
        <w:tabs>
          <w:tab w:val="left" w:pos="720"/>
        </w:tabs>
        <w:spacing w:line="360" w:lineRule="auto"/>
        <w:rPr>
          <w:rFonts w:hint="eastAsia" w:ascii="宋体" w:hAnsi="宋体" w:eastAsia="宋体" w:cs="宋体"/>
          <w:b/>
          <w:color w:val="auto"/>
          <w:sz w:val="48"/>
          <w:szCs w:val="48"/>
        </w:rPr>
      </w:pPr>
    </w:p>
    <w:p>
      <w:pPr>
        <w:spacing w:line="300" w:lineRule="auto"/>
        <w:rPr>
          <w:rFonts w:hint="eastAsia" w:ascii="宋体" w:hAnsi="宋体" w:eastAsia="宋体" w:cs="宋体"/>
          <w:b/>
          <w:bCs/>
          <w:color w:val="auto"/>
          <w:spacing w:val="10"/>
          <w:kern w:val="0"/>
          <w:sz w:val="28"/>
          <w:szCs w:val="28"/>
        </w:rPr>
      </w:pPr>
      <w:r>
        <w:rPr>
          <w:rFonts w:hint="eastAsia" w:ascii="宋体" w:hAnsi="宋体" w:eastAsia="宋体" w:cs="宋体"/>
          <w:b/>
          <w:color w:val="auto"/>
          <w:sz w:val="24"/>
          <w:szCs w:val="24"/>
        </w:rPr>
        <w:br w:type="page"/>
      </w:r>
      <w:r>
        <w:rPr>
          <w:rFonts w:hint="eastAsia" w:ascii="宋体" w:hAnsi="宋体" w:eastAsia="宋体" w:cs="宋体"/>
          <w:b/>
          <w:bCs/>
          <w:color w:val="auto"/>
          <w:spacing w:val="10"/>
          <w:kern w:val="0"/>
          <w:sz w:val="28"/>
          <w:szCs w:val="28"/>
        </w:rPr>
        <w:t>一、投标人须知补充事宜</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（一）中标服务费标准</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1.投标费用</w:t>
      </w:r>
    </w:p>
    <w:p>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pPr>
        <w:adjustRightInd w:val="0"/>
        <w:snapToGrid w:val="0"/>
        <w:ind w:firstLine="359"/>
        <w:rPr>
          <w:rFonts w:ascii="宋体" w:hAnsi="宋体" w:cs="Courier New"/>
          <w:color w:val="auto"/>
          <w:szCs w:val="21"/>
          <w:highlight w:val="none"/>
        </w:rPr>
      </w:pPr>
      <w:r>
        <w:rPr>
          <w:rFonts w:hint="eastAsia" w:ascii="宋体" w:hAnsi="宋体"/>
          <w:color w:val="auto"/>
          <w:szCs w:val="21"/>
        </w:rPr>
        <w:t>1.2本次招标向中标人收取本项目的采购代理服务费，以中标通知书中确定的中标金额为计算基数，参照国家计委〔2002〕1980号文及国家发改委〔2011〕534号文货物类招标代理服务收费标准差额定率累进法计算收取；</w:t>
      </w:r>
      <w:r>
        <w:rPr>
          <w:rFonts w:hint="eastAsia" w:ascii="宋体" w:hAnsi="宋体" w:cs="Courier New"/>
          <w:color w:val="auto"/>
          <w:szCs w:val="21"/>
        </w:rPr>
        <w:t>本项目类型</w:t>
      </w:r>
      <w:r>
        <w:rPr>
          <w:rFonts w:hint="eastAsia" w:ascii="宋体" w:hAnsi="宋体" w:cs="Courier New"/>
          <w:color w:val="auto"/>
          <w:szCs w:val="21"/>
          <w:highlight w:val="none"/>
        </w:rPr>
        <w:t>为</w:t>
      </w:r>
      <w:r>
        <w:rPr>
          <w:rFonts w:hint="eastAsia" w:ascii="宋体" w:hAnsi="宋体" w:cs="Courier New"/>
          <w:b/>
          <w:color w:val="auto"/>
          <w:szCs w:val="21"/>
          <w:highlight w:val="none"/>
          <w:u w:val="single"/>
        </w:rPr>
        <w:t>货物招标</w:t>
      </w:r>
      <w:r>
        <w:rPr>
          <w:rFonts w:hint="eastAsia" w:ascii="宋体" w:hAnsi="宋体" w:cs="Courier New"/>
          <w:color w:val="auto"/>
          <w:szCs w:val="21"/>
          <w:highlight w:val="none"/>
        </w:rPr>
        <w:t>：</w:t>
      </w:r>
    </w:p>
    <w:tbl>
      <w:tblPr>
        <w:tblStyle w:val="16"/>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pPr>
              <w:ind w:firstLine="1228" w:firstLineChars="585"/>
              <w:rPr>
                <w:rFonts w:hint="eastAsia" w:ascii="宋体" w:hAnsi="宋体" w:eastAsia="宋体" w:cs="宋体"/>
                <w:b/>
                <w:color w:val="auto"/>
                <w:szCs w:val="24"/>
              </w:rPr>
            </w:pPr>
            <w:r>
              <w:rPr>
                <w:rFonts w:hint="eastAsia" w:ascii="宋体" w:hAnsi="宋体" w:eastAsia="宋体" w:cs="宋体"/>
                <w:color w:val="auto"/>
              </w:rPr>
              <w:pict>
                <v:line id="Line 23" o:spid="_x0000_s1026"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pPr>
              <w:ind w:firstLine="1440" w:firstLineChars="683"/>
              <w:rPr>
                <w:rFonts w:hint="eastAsia" w:ascii="宋体" w:hAnsi="宋体" w:eastAsia="宋体" w:cs="宋体"/>
                <w:b/>
                <w:color w:val="auto"/>
                <w:szCs w:val="24"/>
              </w:rPr>
            </w:pPr>
            <w:r>
              <w:rPr>
                <w:rFonts w:hint="eastAsia" w:ascii="宋体" w:hAnsi="宋体" w:eastAsia="宋体" w:cs="宋体"/>
                <w:b/>
                <w:color w:val="auto"/>
                <w:szCs w:val="24"/>
              </w:rPr>
              <w:t>类型</w:t>
            </w:r>
          </w:p>
          <w:p>
            <w:pPr>
              <w:ind w:firstLine="411" w:firstLineChars="196"/>
              <w:rPr>
                <w:rFonts w:hint="eastAsia" w:ascii="宋体" w:hAnsi="宋体" w:eastAsia="宋体" w:cs="宋体"/>
                <w:b/>
                <w:color w:val="auto"/>
                <w:szCs w:val="24"/>
              </w:rPr>
            </w:pPr>
            <w:r>
              <w:rPr>
                <w:rFonts w:hint="eastAsia" w:ascii="宋体" w:hAnsi="宋体" w:eastAsia="宋体" w:cs="宋体"/>
                <w:color w:val="auto"/>
              </w:rPr>
              <w:pict>
                <v:line id="Line 22" o:spid="_x0000_s1027"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eastAsia="宋体" w:cs="宋体"/>
                <w:b/>
                <w:color w:val="auto"/>
                <w:szCs w:val="24"/>
              </w:rPr>
              <w:t>费率</w:t>
            </w:r>
          </w:p>
          <w:p>
            <w:pPr>
              <w:rPr>
                <w:rFonts w:hint="eastAsia" w:ascii="宋体" w:hAnsi="宋体" w:eastAsia="宋体" w:cs="宋体"/>
                <w:b/>
                <w:color w:val="auto"/>
                <w:szCs w:val="24"/>
              </w:rPr>
            </w:pPr>
          </w:p>
          <w:p>
            <w:pPr>
              <w:rPr>
                <w:rFonts w:hint="eastAsia" w:ascii="宋体" w:hAnsi="宋体" w:eastAsia="宋体" w:cs="宋体"/>
                <w:b/>
                <w:color w:val="auto"/>
                <w:szCs w:val="24"/>
              </w:rPr>
            </w:pPr>
          </w:p>
          <w:p>
            <w:pPr>
              <w:rPr>
                <w:rFonts w:hint="eastAsia" w:ascii="宋体" w:hAnsi="宋体" w:eastAsia="宋体" w:cs="宋体"/>
                <w:b/>
                <w:color w:val="auto"/>
                <w:szCs w:val="24"/>
              </w:rPr>
            </w:pPr>
            <w:r>
              <w:rPr>
                <w:rFonts w:hint="eastAsia" w:ascii="宋体" w:hAnsi="宋体" w:eastAsia="宋体" w:cs="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人民币450万元</w:t>
            </w:r>
          </w:p>
        </w:tc>
      </w:tr>
    </w:tbl>
    <w:p>
      <w:pPr>
        <w:autoSpaceDE w:val="0"/>
        <w:autoSpaceDN w:val="0"/>
        <w:adjustRightInd w:val="0"/>
        <w:snapToGrid w:val="0"/>
        <w:ind w:left="473" w:right="32" w:hanging="472" w:hangingChars="225"/>
        <w:rPr>
          <w:rFonts w:hint="eastAsia" w:ascii="宋体" w:hAnsi="宋体" w:eastAsia="宋体" w:cs="宋体"/>
          <w:color w:val="auto"/>
          <w:szCs w:val="21"/>
        </w:rPr>
      </w:pPr>
      <w:r>
        <w:rPr>
          <w:rFonts w:hint="eastAsia" w:ascii="宋体" w:hAnsi="宋体" w:eastAsia="宋体" w:cs="宋体"/>
          <w:color w:val="auto"/>
          <w:szCs w:val="21"/>
        </w:rPr>
        <w:t xml:space="preserve">例如：某设备招标代理项目中标金额为300万元，计算招标代理服务收费额如下：  </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100万元×1.5%=1.5万元</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（300-100）万元×1.1%=2.2万元</w:t>
      </w:r>
    </w:p>
    <w:p>
      <w:pPr>
        <w:adjustRightInd w:val="0"/>
        <w:snapToGrid w:val="0"/>
        <w:ind w:firstLine="359"/>
        <w:rPr>
          <w:rFonts w:hint="eastAsia" w:ascii="宋体" w:hAnsi="宋体" w:eastAsia="宋体" w:cs="宋体"/>
          <w:b/>
          <w:color w:val="auto"/>
          <w:szCs w:val="21"/>
        </w:rPr>
      </w:pPr>
      <w:r>
        <w:rPr>
          <w:rFonts w:hint="eastAsia" w:ascii="宋体" w:hAnsi="宋体" w:eastAsia="宋体" w:cs="宋体"/>
          <w:color w:val="auto"/>
          <w:szCs w:val="24"/>
        </w:rPr>
        <w:t>合计收费=1.5+2.2=</w:t>
      </w:r>
      <w:r>
        <w:rPr>
          <w:rFonts w:hint="eastAsia" w:ascii="宋体" w:hAnsi="宋体" w:cs="宋体"/>
          <w:color w:val="auto"/>
          <w:szCs w:val="24"/>
          <w:lang w:val="en-US" w:eastAsia="zh-CN"/>
        </w:rPr>
        <w:t>3.7</w:t>
      </w:r>
      <w:r>
        <w:rPr>
          <w:rFonts w:hint="eastAsia" w:ascii="宋体" w:hAnsi="宋体" w:eastAsia="宋体" w:cs="宋体"/>
          <w:color w:val="auto"/>
          <w:szCs w:val="24"/>
        </w:rPr>
        <w:t>（万元）</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中标人在收到中标通知书前向采购代理机构缴纳中标服务费，以电汇方式缴纳，交费账户为：</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收款人：国义招标股份有限公司</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开户银行：招商银行广州体育东路支行</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银行账号：120905690610808</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用    途：“0724-XXXXXXXXXXXX”中标费</w:t>
      </w:r>
    </w:p>
    <w:p>
      <w:pPr>
        <w:adjustRightInd w:val="0"/>
        <w:snapToGrid w:val="0"/>
        <w:ind w:left="470" w:leftChars="171" w:hanging="111" w:hangingChars="53"/>
        <w:rPr>
          <w:rFonts w:hint="eastAsia" w:ascii="宋体" w:hAnsi="宋体" w:eastAsia="宋体" w:cs="宋体"/>
          <w:color w:val="auto"/>
          <w:szCs w:val="21"/>
        </w:rPr>
      </w:pPr>
    </w:p>
    <w:p>
      <w:pPr>
        <w:spacing w:line="360" w:lineRule="auto"/>
        <w:rPr>
          <w:rFonts w:hint="eastAsia" w:ascii="宋体" w:hAnsi="宋体" w:eastAsia="宋体" w:cs="宋体"/>
          <w:b/>
          <w:bCs/>
          <w:color w:val="auto"/>
          <w:sz w:val="24"/>
          <w:szCs w:val="24"/>
        </w:rPr>
      </w:pPr>
    </w:p>
    <w:p>
      <w:pPr>
        <w:rPr>
          <w:rFonts w:hint="eastAsia" w:ascii="宋体" w:hAnsi="宋体" w:eastAsia="宋体" w:cs="宋体"/>
          <w:color w:val="auto"/>
        </w:rPr>
      </w:pPr>
      <w:r>
        <w:rPr>
          <w:rFonts w:hint="eastAsia" w:ascii="宋体" w:hAnsi="宋体" w:eastAsia="宋体" w:cs="宋体"/>
          <w:color w:val="auto"/>
          <w:sz w:val="28"/>
          <w:szCs w:val="28"/>
        </w:rPr>
        <w:br w:type="page"/>
      </w:r>
    </w:p>
    <w:p>
      <w:pPr>
        <w:pStyle w:val="2"/>
        <w:rPr>
          <w:rFonts w:hint="eastAsia" w:ascii="宋体" w:hAnsi="宋体" w:eastAsia="宋体" w:cs="宋体"/>
          <w:color w:val="auto"/>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二、补充附件</w:t>
      </w:r>
    </w:p>
    <w:p>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注：以下部分的附件应后附在投标文件中，作为投标文件的一部分。</w:t>
      </w:r>
    </w:p>
    <w:p>
      <w:pPr>
        <w:spacing w:line="300" w:lineRule="auto"/>
        <w:rPr>
          <w:rFonts w:hint="eastAsia" w:ascii="宋体" w:hAnsi="宋体" w:eastAsia="宋体" w:cs="宋体"/>
          <w:b/>
          <w:color w:val="auto"/>
          <w:sz w:val="24"/>
          <w:szCs w:val="24"/>
        </w:rPr>
      </w:pPr>
    </w:p>
    <w:p>
      <w:pPr>
        <w:outlineLvl w:val="1"/>
        <w:rPr>
          <w:rFonts w:hint="eastAsia"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附件一、</w:t>
      </w:r>
      <w:bookmarkStart w:id="0" w:name="_Toc435515295"/>
      <w:bookmarkStart w:id="1" w:name="_Toc435514855"/>
      <w:bookmarkStart w:id="2" w:name="_Toc275865606"/>
      <w:r>
        <w:rPr>
          <w:rFonts w:hint="eastAsia" w:ascii="宋体" w:hAnsi="宋体" w:eastAsia="宋体" w:cs="宋体"/>
          <w:b/>
          <w:color w:val="auto"/>
          <w:sz w:val="28"/>
          <w:szCs w:val="28"/>
        </w:rPr>
        <w:t>资格文件</w:t>
      </w:r>
    </w:p>
    <w:p>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pPr>
        <w:adjustRightInd w:val="0"/>
        <w:snapToGrid w:val="0"/>
        <w:spacing w:line="360" w:lineRule="auto"/>
        <w:rPr>
          <w:rFonts w:hint="eastAsia" w:ascii="宋体" w:hAnsi="宋体" w:eastAsia="宋体" w:cs="宋体"/>
          <w:b/>
          <w:szCs w:val="21"/>
        </w:rPr>
      </w:pPr>
    </w:p>
    <w:p>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pPr>
        <w:spacing w:line="360" w:lineRule="auto"/>
        <w:rPr>
          <w:rFonts w:hint="eastAsia" w:ascii="宋体" w:hAnsi="宋体" w:eastAsia="宋体" w:cs="宋体"/>
          <w:highlight w:val="none"/>
        </w:rPr>
      </w:pPr>
      <w:r>
        <w:rPr>
          <w:rFonts w:hint="eastAsia" w:ascii="宋体" w:hAnsi="宋体" w:eastAsia="宋体" w:cs="宋体"/>
          <w:b/>
          <w:highlight w:val="none"/>
        </w:rPr>
        <w:t>附件：</w:t>
      </w:r>
    </w:p>
    <w:p>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pPr>
        <w:adjustRightInd w:val="0"/>
        <w:snapToGrid w:val="0"/>
        <w:rPr>
          <w:rFonts w:hint="eastAsia" w:ascii="宋体" w:hAnsi="宋体" w:eastAsia="宋体" w:cs="宋体"/>
          <w:szCs w:val="21"/>
        </w:rPr>
      </w:pPr>
    </w:p>
    <w:p>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pPr>
        <w:jc w:val="left"/>
        <w:rPr>
          <w:rFonts w:hint="eastAsia" w:ascii="宋体" w:hAnsi="宋体" w:eastAsia="宋体" w:cs="宋体"/>
          <w:b/>
          <w:sz w:val="24"/>
          <w:highlight w:val="none"/>
        </w:rPr>
      </w:pPr>
    </w:p>
    <w:tbl>
      <w:tblPr>
        <w:tblStyle w:val="16"/>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bl>
    <w:p>
      <w:pPr>
        <w:jc w:val="left"/>
        <w:rPr>
          <w:rFonts w:hint="eastAsia" w:ascii="宋体" w:hAnsi="宋体" w:eastAsia="宋体" w:cs="宋体"/>
          <w:szCs w:val="21"/>
          <w:highlight w:val="none"/>
        </w:rPr>
      </w:pPr>
    </w:p>
    <w:p>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19"/>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pPr>
        <w:ind w:left="405"/>
        <w:rPr>
          <w:rFonts w:hint="eastAsia" w:ascii="宋体" w:hAnsi="宋体" w:eastAsia="宋体" w:cs="宋体"/>
          <w:sz w:val="24"/>
          <w:highlight w:val="none"/>
        </w:rPr>
      </w:pPr>
    </w:p>
    <w:p>
      <w:pPr>
        <w:adjustRightInd w:val="0"/>
        <w:snapToGrid w:val="0"/>
        <w:spacing w:line="360" w:lineRule="auto"/>
        <w:ind w:firstLine="420" w:firstLineChars="200"/>
        <w:rPr>
          <w:rFonts w:hint="eastAsia" w:ascii="宋体" w:hAnsi="宋体" w:eastAsia="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pPr>
        <w:rPr>
          <w:rFonts w:hint="eastAsia" w:ascii="宋体" w:hAnsi="宋体" w:eastAsia="宋体" w:cs="宋体"/>
          <w:b/>
          <w:szCs w:val="21"/>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.3其他资格证明文件</w:t>
      </w:r>
    </w:p>
    <w:p>
      <w:pPr>
        <w:rPr>
          <w:rFonts w:hint="eastAsia" w:ascii="宋体" w:hAnsi="宋体" w:eastAsia="宋体" w:cs="宋体"/>
          <w:b/>
          <w:sz w:val="24"/>
          <w:highlight w:val="none"/>
        </w:rPr>
      </w:pPr>
    </w:p>
    <w:p>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pPr>
        <w:autoSpaceDE w:val="0"/>
        <w:autoSpaceDN w:val="0"/>
        <w:ind w:right="1400"/>
        <w:rPr>
          <w:rFonts w:hint="eastAsia" w:ascii="宋体" w:hAnsi="宋体" w:eastAsia="宋体" w:cs="宋体"/>
          <w:sz w:val="24"/>
          <w:highlight w:val="none"/>
        </w:rPr>
      </w:pPr>
    </w:p>
    <w:p>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pPr>
        <w:rPr>
          <w:rFonts w:hint="eastAsia" w:ascii="宋体" w:hAnsi="宋体" w:eastAsia="宋体" w:cs="宋体"/>
          <w:b/>
          <w:color w:val="auto"/>
          <w:szCs w:val="21"/>
          <w:highlight w:val="none"/>
        </w:rPr>
      </w:pPr>
    </w:p>
    <w:p>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w:t>
      </w:r>
      <w:r>
        <w:rPr>
          <w:rFonts w:hint="eastAsia" w:ascii="宋体" w:hAnsi="宋体" w:cs="宋体"/>
          <w:b w:val="0"/>
          <w:bCs/>
          <w:color w:val="auto"/>
          <w:szCs w:val="21"/>
          <w:highlight w:val="none"/>
          <w:lang w:val="en-US" w:eastAsia="zh-CN"/>
        </w:rPr>
        <w:t>二</w:t>
      </w:r>
      <w:r>
        <w:rPr>
          <w:rFonts w:hint="eastAsia" w:ascii="宋体" w:hAnsi="宋体" w:eastAsia="宋体" w:cs="宋体"/>
          <w:b w:val="0"/>
          <w:bCs/>
          <w:color w:val="auto"/>
          <w:szCs w:val="21"/>
          <w:highlight w:val="none"/>
          <w:lang w:val="en-US" w:eastAsia="zh-CN"/>
        </w:rPr>
        <w:t>十：采购代理服务费支付承诺书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pPr>
        <w:adjustRightInd w:val="0"/>
        <w:snapToGrid w:val="0"/>
        <w:spacing w:line="360" w:lineRule="auto"/>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cs="宋体"/>
          <w:b/>
          <w:color w:val="auto"/>
          <w:szCs w:val="21"/>
          <w:u w:val="single"/>
          <w:lang w:eastAsia="zh-CN"/>
        </w:rPr>
        <w:t>普票数电发票</w:t>
      </w:r>
      <w:r>
        <w:rPr>
          <w:rFonts w:hint="eastAsia" w:ascii="宋体" w:hAnsi="宋体" w:eastAsia="宋体" w:cs="宋体"/>
          <w:color w:val="auto"/>
          <w:szCs w:val="21"/>
        </w:rPr>
        <w:t>，请于下方（ ）打“√”</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cs="宋体"/>
          <w:b/>
          <w:color w:val="auto"/>
          <w:szCs w:val="21"/>
          <w:u w:val="single"/>
          <w:lang w:eastAsia="zh-CN"/>
        </w:rPr>
        <w:t>普票数电发票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w:t>
      </w:r>
      <w:r>
        <w:rPr>
          <w:rFonts w:hint="eastAsia" w:ascii="宋体" w:hAnsi="宋体" w:cs="宋体"/>
          <w:color w:val="auto"/>
          <w:szCs w:val="21"/>
          <w:lang w:eastAsia="zh-CN"/>
        </w:rPr>
        <w:t>专用数电发票</w:t>
      </w:r>
      <w:r>
        <w:rPr>
          <w:rFonts w:hint="eastAsia" w:ascii="宋体" w:hAnsi="宋体" w:eastAsia="宋体" w:cs="宋体"/>
          <w:color w:val="auto"/>
          <w:szCs w:val="21"/>
        </w:rPr>
        <w:t>，请于下方（ ）打“√”,并提供相关资料</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bookmarkStart w:id="3" w:name="_GoBack"/>
      <w:bookmarkEnd w:id="3"/>
      <w:r>
        <w:rPr>
          <w:rFonts w:hint="eastAsia" w:ascii="宋体" w:hAnsi="宋体" w:cs="宋体"/>
          <w:b/>
          <w:color w:val="auto"/>
          <w:szCs w:val="21"/>
          <w:u w:val="single"/>
          <w:lang w:eastAsia="zh-CN"/>
        </w:rPr>
        <w:t>专用数电发票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pPr>
        <w:rPr>
          <w:rFonts w:hint="eastAsia" w:ascii="宋体" w:hAnsi="宋体" w:eastAsia="宋体" w:cs="宋体"/>
          <w:color w:val="auto"/>
          <w:szCs w:val="21"/>
        </w:rPr>
      </w:pPr>
      <w:r>
        <w:rPr>
          <w:rFonts w:hint="eastAsia" w:ascii="宋体" w:hAnsi="宋体" w:eastAsia="宋体" w:cs="宋体"/>
          <w:color w:val="auto"/>
          <w:szCs w:val="21"/>
        </w:rPr>
        <w:t>特此声明。</w:t>
      </w: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pPr>
        <w:pStyle w:val="2"/>
        <w:rPr>
          <w:rFonts w:hint="eastAsia" w:ascii="宋体" w:hAnsi="宋体" w:eastAsia="宋体" w:cs="宋体"/>
        </w:rPr>
      </w:pPr>
    </w:p>
    <w:p>
      <w:pPr>
        <w:pStyle w:val="2"/>
        <w:rPr>
          <w:rFonts w:hint="eastAsia" w:ascii="宋体" w:hAnsi="宋体" w:eastAsia="宋体" w:cs="宋体"/>
          <w:color w:val="auto"/>
          <w:szCs w:val="24"/>
          <w:lang w:val="en-US" w:eastAsia="zh-CN"/>
        </w:rPr>
      </w:pPr>
    </w:p>
    <w:p>
      <w:pPr>
        <w:rPr>
          <w:rFonts w:hint="eastAsia" w:eastAsia="宋体"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center"/>
      <w:rPr>
        <w:rStyle w:val="18"/>
      </w:rPr>
    </w:pPr>
    <w:r>
      <w:fldChar w:fldCharType="begin"/>
    </w:r>
    <w:r>
      <w:rPr>
        <w:rStyle w:val="18"/>
      </w:rPr>
      <w:instrText xml:space="preserve">PAGE  </w:instrText>
    </w:r>
    <w:r>
      <w:fldChar w:fldCharType="separate"/>
    </w:r>
    <w:r>
      <w:rPr>
        <w:rStyle w:val="18"/>
      </w:rPr>
      <w:t>8</w:t>
    </w:r>
    <w:r>
      <w:fldChar w:fldCharType="end"/>
    </w:r>
  </w:p>
  <w:p>
    <w:pPr>
      <w:pStyle w:val="12"/>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UxZmJiY2RlMzMxNDdlZTIzMzVmNDYzYmNlNTYwODkifQ=="/>
  </w:docVars>
  <w:rsids>
    <w:rsidRoot w:val="00172A27"/>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5705B44"/>
    <w:rsid w:val="08FA7A69"/>
    <w:rsid w:val="0A7B22E1"/>
    <w:rsid w:val="11C47369"/>
    <w:rsid w:val="16B8213B"/>
    <w:rsid w:val="17ED22FD"/>
    <w:rsid w:val="18A15A26"/>
    <w:rsid w:val="196830AF"/>
    <w:rsid w:val="19F33AD8"/>
    <w:rsid w:val="1AC475B2"/>
    <w:rsid w:val="1C0E6993"/>
    <w:rsid w:val="1DD70DD3"/>
    <w:rsid w:val="29C323D4"/>
    <w:rsid w:val="2EB76AE4"/>
    <w:rsid w:val="32242E67"/>
    <w:rsid w:val="365E4EAB"/>
    <w:rsid w:val="370928CA"/>
    <w:rsid w:val="3FB86E53"/>
    <w:rsid w:val="4018689C"/>
    <w:rsid w:val="444E0CFB"/>
    <w:rsid w:val="44DA23D7"/>
    <w:rsid w:val="45A87C94"/>
    <w:rsid w:val="46A62EC3"/>
    <w:rsid w:val="494B4A90"/>
    <w:rsid w:val="4B3F2700"/>
    <w:rsid w:val="4C7019A0"/>
    <w:rsid w:val="4D606F1C"/>
    <w:rsid w:val="502E3102"/>
    <w:rsid w:val="50E21F56"/>
    <w:rsid w:val="541B5BBC"/>
    <w:rsid w:val="564801AE"/>
    <w:rsid w:val="56733A28"/>
    <w:rsid w:val="5A0F5517"/>
    <w:rsid w:val="5A4C37D6"/>
    <w:rsid w:val="5AFB04CB"/>
    <w:rsid w:val="5D915639"/>
    <w:rsid w:val="5F225970"/>
    <w:rsid w:val="5FD60B04"/>
    <w:rsid w:val="612A032F"/>
    <w:rsid w:val="65F943E2"/>
    <w:rsid w:val="66A47FA9"/>
    <w:rsid w:val="66ED1014"/>
    <w:rsid w:val="67286656"/>
    <w:rsid w:val="672D7D7F"/>
    <w:rsid w:val="6A812D70"/>
    <w:rsid w:val="6ADF20B2"/>
    <w:rsid w:val="6B696AC6"/>
    <w:rsid w:val="6C2D0379"/>
    <w:rsid w:val="6CB32191"/>
    <w:rsid w:val="6D9C0A7A"/>
    <w:rsid w:val="6DD4629B"/>
    <w:rsid w:val="6EAA3AE4"/>
    <w:rsid w:val="6EEC5403"/>
    <w:rsid w:val="7106501B"/>
    <w:rsid w:val="71C341AF"/>
    <w:rsid w:val="74680E0B"/>
    <w:rsid w:val="763440B9"/>
    <w:rsid w:val="770C6F4C"/>
    <w:rsid w:val="775768D1"/>
    <w:rsid w:val="7B866B8C"/>
    <w:rsid w:val="7BBA6E7A"/>
    <w:rsid w:val="7E330723"/>
    <w:rsid w:val="7F6E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1"/>
    <w:pPr>
      <w:ind w:left="3144" w:right="3120"/>
      <w:jc w:val="center"/>
      <w:outlineLvl w:val="0"/>
    </w:pPr>
    <w:rPr>
      <w:b/>
      <w:bCs/>
      <w:sz w:val="38"/>
      <w:szCs w:val="38"/>
    </w:rPr>
  </w:style>
  <w:style w:type="paragraph" w:styleId="5">
    <w:name w:val="heading 4"/>
    <w:basedOn w:val="1"/>
    <w:next w:val="1"/>
    <w:qFormat/>
    <w:uiPriority w:val="1"/>
    <w:pPr>
      <w:spacing w:before="62"/>
      <w:ind w:left="200"/>
      <w:outlineLvl w:val="3"/>
    </w:pPr>
    <w:rPr>
      <w:b/>
      <w:bCs/>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1"/>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styleId="6">
    <w:name w:val="Normal Indent"/>
    <w:basedOn w:val="1"/>
    <w:link w:val="22"/>
    <w:qFormat/>
    <w:uiPriority w:val="0"/>
    <w:pPr>
      <w:ind w:firstLine="420"/>
    </w:pPr>
    <w:rPr>
      <w:szCs w:val="24"/>
    </w:rPr>
  </w:style>
  <w:style w:type="paragraph" w:styleId="7">
    <w:name w:val="annotation text"/>
    <w:basedOn w:val="1"/>
    <w:semiHidden/>
    <w:unhideWhenUsed/>
    <w:qFormat/>
    <w:uiPriority w:val="99"/>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line="360" w:lineRule="auto"/>
    </w:pPr>
    <w:rPr>
      <w:szCs w:val="20"/>
    </w:rPr>
  </w:style>
  <w:style w:type="paragraph" w:styleId="10">
    <w:name w:val="Body Text Indent"/>
    <w:basedOn w:val="1"/>
    <w:qFormat/>
    <w:uiPriority w:val="0"/>
    <w:pPr>
      <w:ind w:left="540"/>
    </w:pPr>
    <w:rPr>
      <w:rFonts w:hint="eastAsia" w:ascii="Times New Roman" w:hAnsi="Times New Roman"/>
    </w:rPr>
  </w:style>
  <w:style w:type="paragraph" w:styleId="11">
    <w:name w:val="Date"/>
    <w:basedOn w:val="1"/>
    <w:next w:val="1"/>
    <w:qFormat/>
    <w:uiPriority w:val="0"/>
    <w:rPr>
      <w:rFonts w:hint="eastAsia" w:ascii="宋体" w:hAnsi="Times New Roman"/>
      <w:sz w:val="24"/>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rPr>
      <w:szCs w:val="20"/>
    </w:rPr>
  </w:style>
  <w:style w:type="paragraph" w:styleId="15">
    <w:name w:val="index 1"/>
    <w:basedOn w:val="1"/>
    <w:next w:val="1"/>
    <w:qFormat/>
    <w:uiPriority w:val="0"/>
    <w:pPr>
      <w:tabs>
        <w:tab w:val="left" w:pos="7740"/>
      </w:tabs>
      <w:jc w:val="center"/>
    </w:pPr>
    <w:rPr>
      <w:rFonts w:ascii="仿宋" w:hAnsi="仿宋" w:eastAsia="仿宋"/>
      <w:b/>
      <w:sz w:val="28"/>
      <w:szCs w:val="28"/>
    </w:rPr>
  </w:style>
  <w:style w:type="character" w:styleId="18">
    <w:name w:val="page number"/>
    <w:qFormat/>
    <w:uiPriority w:val="0"/>
    <w:rPr>
      <w:rFonts w:eastAsia="宋体"/>
      <w:kern w:val="2"/>
      <w:sz w:val="24"/>
      <w:szCs w:val="24"/>
      <w:lang w:val="en-US" w:eastAsia="zh-CN" w:bidi="ar-SA"/>
    </w:rPr>
  </w:style>
  <w:style w:type="character" w:styleId="19">
    <w:name w:val="Hyperlink"/>
    <w:basedOn w:val="17"/>
    <w:semiHidden/>
    <w:unhideWhenUsed/>
    <w:qFormat/>
    <w:uiPriority w:val="99"/>
    <w:rPr>
      <w:color w:val="0000FF"/>
      <w:u w:val="single"/>
    </w:rPr>
  </w:style>
  <w:style w:type="character" w:customStyle="1" w:styleId="20">
    <w:name w:val="页眉 字符"/>
    <w:link w:val="13"/>
    <w:qFormat/>
    <w:uiPriority w:val="99"/>
    <w:rPr>
      <w:kern w:val="2"/>
      <w:sz w:val="18"/>
      <w:szCs w:val="18"/>
    </w:rPr>
  </w:style>
  <w:style w:type="character" w:customStyle="1" w:styleId="21">
    <w:name w:val="页脚 字符"/>
    <w:link w:val="12"/>
    <w:qFormat/>
    <w:uiPriority w:val="99"/>
    <w:rPr>
      <w:kern w:val="2"/>
      <w:sz w:val="18"/>
      <w:szCs w:val="18"/>
    </w:rPr>
  </w:style>
  <w:style w:type="character" w:customStyle="1" w:styleId="22">
    <w:name w:val="正文缩进 字符"/>
    <w:link w:val="6"/>
    <w:qFormat/>
    <w:uiPriority w:val="0"/>
    <w:rPr>
      <w:kern w:val="2"/>
      <w:sz w:val="21"/>
      <w:szCs w:val="24"/>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Table Paragraph"/>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3458</Words>
  <Characters>3891</Characters>
  <Lines>49</Lines>
  <Paragraphs>13</Paragraphs>
  <TotalTime>4</TotalTime>
  <ScaleCrop>false</ScaleCrop>
  <LinksUpToDate>false</LinksUpToDate>
  <CharactersWithSpaces>4295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郑发权</cp:lastModifiedBy>
  <dcterms:modified xsi:type="dcterms:W3CDTF">2026-04-22T07:16:59Z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8565AE29538B4293A8E2F8966ED103AC</vt:lpwstr>
  </property>
</Properties>
</file>