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440701-2025-02489</w:t>
      </w:r>
    </w:p>
    <w:p>
      <w:pPr>
        <w:pStyle w:val="null3"/>
        <w:jc w:val="center"/>
        <w:outlineLvl w:val="3"/>
      </w:pPr>
      <w:r>
        <w:rPr>
          <w:sz w:val="24"/>
          <w:b/>
        </w:rPr>
        <w:t>采购项目编号：</w:t>
      </w:r>
      <w:r>
        <w:rPr>
          <w:sz w:val="24"/>
          <w:b/>
        </w:rPr>
        <w:t>0724-2511Z1618539</w:t>
      </w:r>
    </w:p>
    <w:p>
      <w:pPr>
        <w:pStyle w:val="null3"/>
        <w:jc w:val="center"/>
        <w:outlineLvl w:val="3"/>
      </w:pPr>
      <w:r>
        <w:rPr>
          <w:sz w:val="24"/>
          <w:b/>
        </w:rPr>
        <w:t>项目名称：</w:t>
      </w:r>
      <w:r>
        <w:rPr>
          <w:sz w:val="24"/>
          <w:b/>
        </w:rPr>
        <w:t>江门市中心医院全院临床科研大数据平台项目</w:t>
      </w:r>
    </w:p>
    <w:p>
      <w:pPr>
        <w:pStyle w:val="null3"/>
        <w:jc w:val="center"/>
        <w:outlineLvl w:val="3"/>
      </w:pPr>
      <w:r>
        <w:rPr>
          <w:sz w:val="24"/>
          <w:b/>
        </w:rPr>
        <w:t>采购人：</w:t>
      </w:r>
      <w:r>
        <w:rPr>
          <w:sz w:val="24"/>
          <w:b/>
        </w:rPr>
        <w:t>江门市中心医院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江门市中心医院</w:t>
      </w:r>
      <w:r>
        <w:rPr/>
        <w:t>的委托，采用</w:t>
      </w:r>
      <w:r>
        <w:rPr/>
        <w:t>公开招标</w:t>
      </w:r>
      <w:r>
        <w:rPr/>
        <w:t>方式组织采购</w:t>
      </w:r>
      <w:r>
        <w:rPr/>
        <w:t>江门市中心医院全院临床科研大数据平台项目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江门市中心医院全院临床科研大数据平台项目</w:t>
      </w:r>
    </w:p>
    <w:p>
      <w:pPr>
        <w:pStyle w:val="null3"/>
        <w:ind w:firstLine="480"/>
      </w:pPr>
      <w:r>
        <w:rPr/>
        <w:t>采购计划编号：</w:t>
      </w:r>
      <w:r>
        <w:rPr/>
        <w:t>440701-2025-02489</w:t>
      </w:r>
    </w:p>
    <w:p>
      <w:pPr>
        <w:pStyle w:val="null3"/>
        <w:ind w:firstLine="480"/>
      </w:pPr>
      <w:r>
        <w:rPr/>
        <w:t>采购项目编号：</w:t>
      </w:r>
      <w:r>
        <w:rPr/>
        <w:t>0724-2511Z1618539</w:t>
      </w:r>
    </w:p>
    <w:p>
      <w:pPr>
        <w:pStyle w:val="null3"/>
        <w:ind w:firstLine="480"/>
      </w:pPr>
      <w:r>
        <w:rPr/>
        <w:t>采购方式：</w:t>
      </w:r>
      <w:r>
        <w:rPr/>
        <w:t>公开招标</w:t>
      </w:r>
    </w:p>
    <w:p>
      <w:pPr>
        <w:pStyle w:val="null3"/>
        <w:ind w:firstLine="480"/>
      </w:pPr>
      <w:r>
        <w:rPr/>
        <w:t>预算金额：</w:t>
      </w:r>
      <w:r>
        <w:rPr/>
        <w:t>1,980,000.00</w:t>
      </w:r>
      <w:r>
        <w:rPr/>
        <w:t>元</w:t>
      </w:r>
    </w:p>
    <w:p>
      <w:pPr>
        <w:pStyle w:val="null3"/>
        <w:outlineLvl w:val="3"/>
      </w:pPr>
      <w:r>
        <w:rPr>
          <w:sz w:val="24"/>
          <w:b/>
        </w:rPr>
        <w:t>2.项目内容及需求情况（采购项目技术规格、参数及要求）</w:t>
      </w:r>
    </w:p>
    <w:p>
      <w:pPr>
        <w:pStyle w:val="null3"/>
      </w:pPr>
      <w:r>
        <w:rPr/>
        <w:t>采购包1(全院临床科研大数据平台项目):</w:t>
      </w:r>
    </w:p>
    <w:p>
      <w:pPr>
        <w:pStyle w:val="null3"/>
      </w:pPr>
      <w:r>
        <w:rPr/>
        <w:t>采购包预算金额：1,980,000.00元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行业应用软件开发服务</w:t>
            </w:r>
          </w:p>
        </w:tc>
        <w:tc>
          <w:tcPr>
            <w:tcW w:type="dxa" w:w="2136"/>
          </w:tcPr>
          <w:p>
            <w:pPr>
              <w:pStyle w:val="null3"/>
            </w:pPr>
            <w:r>
              <w:rPr/>
              <w:t>全院临床科研大数据平台项目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合同履行期限：在签订合同后12个月内完成需求分析、系统设计、开发测试、部署以及试运行和验收工作，按合同约定完成维保服务。</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如依法免税或不需要缴纳社会保障资金的，提供相应证明材料。</w:t>
      </w:r>
    </w:p>
    <w:p>
      <w:pPr>
        <w:pStyle w:val="null3"/>
      </w:pPr>
      <w:r>
        <w:rPr/>
        <w:t>3）具有良好的商业信誉和健全的财务会计制度：提供2022-2024年任意一年的财务状况报告或基本开户行出具的资信证明。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采购包1（全院临床科研大数据平台项目）：</w:t>
      </w:r>
      <w:r>
        <w:rPr/>
        <w:t>本项目不专门面向中小企业采购。</w:t>
      </w:r>
    </w:p>
    <w:p>
      <w:pPr>
        <w:pStyle w:val="null3"/>
        <w:outlineLvl w:val="3"/>
      </w:pPr>
      <w:r>
        <w:rPr>
          <w:sz w:val="24"/>
          <w:b/>
        </w:rPr>
        <w:t>3.本项目特定的资格要求：</w:t>
      </w:r>
    </w:p>
    <w:p>
      <w:pPr>
        <w:pStyle w:val="null3"/>
      </w:pPr>
      <w:r>
        <w:rPr/>
        <w:t>采购包1（全院临床科研大数据平台项目）：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江门市中心医院</w:t>
      </w:r>
    </w:p>
    <w:p>
      <w:pPr>
        <w:pStyle w:val="null3"/>
        <w:ind w:firstLine="480"/>
      </w:pPr>
      <w:r>
        <w:rPr/>
        <w:t xml:space="preserve"> 地址：</w:t>
      </w:r>
      <w:r>
        <w:rPr/>
        <w:t>广东省江门市蓬江区海傍街23号</w:t>
      </w:r>
    </w:p>
    <w:p>
      <w:pPr>
        <w:pStyle w:val="null3"/>
        <w:ind w:firstLine="480"/>
      </w:pPr>
      <w:r>
        <w:rPr/>
        <w:t xml:space="preserve"> 联系方式：</w:t>
      </w:r>
      <w:r>
        <w:rPr/>
        <w:t>0750-3165953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020-37861065、020-37860530、020-37860519</w:t>
      </w:r>
    </w:p>
    <w:p>
      <w:pPr>
        <w:pStyle w:val="null3"/>
        <w:outlineLvl w:val="3"/>
      </w:pPr>
      <w:r>
        <w:rPr>
          <w:sz w:val="24"/>
          <w:b/>
        </w:rPr>
        <w:t xml:space="preserve"> 3.项目联系方式</w:t>
      </w:r>
    </w:p>
    <w:p>
      <w:pPr>
        <w:pStyle w:val="null3"/>
        <w:ind w:firstLine="480"/>
      </w:pPr>
      <w:r>
        <w:rPr/>
        <w:t xml:space="preserve"> 项目联系人：</w:t>
      </w:r>
      <w:r>
        <w:rPr/>
        <w:t>林程宏、黎安翘、罗海山</w:t>
      </w:r>
    </w:p>
    <w:p>
      <w:pPr>
        <w:pStyle w:val="null3"/>
        <w:ind w:firstLine="480"/>
      </w:pPr>
      <w:r>
        <w:rPr/>
        <w:t xml:space="preserve"> 电话：</w:t>
      </w:r>
      <w:r>
        <w:rPr/>
        <w:t>020-37861065、020-37860530、020-37860519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1、项目背景</w:t>
      </w:r>
    </w:p>
    <w:p>
      <w:pPr>
        <w:pStyle w:val="null3"/>
        <w:spacing w:after="60"/>
        <w:ind w:firstLine="480"/>
        <w:jc w:val="left"/>
      </w:pPr>
      <w:r>
        <w:rPr>
          <w:sz w:val="21"/>
        </w:rPr>
        <w:t>根据</w:t>
      </w:r>
      <w:r>
        <w:rPr>
          <w:sz w:val="21"/>
        </w:rPr>
        <w:t>“十四五”事业发展规划，全面推动互联网技术与医疗服务的融合发展，综合运用现代信息和人工智能手段，打造医疗、服务和管理三位一体的智慧医院系统，为大数据集成、科学研究和医院综合全面发展提供强大的支撑。</w:t>
      </w:r>
      <w:r>
        <w:rPr>
          <w:sz w:val="21"/>
        </w:rPr>
        <w:t>采购人</w:t>
      </w:r>
      <w:r>
        <w:rPr>
          <w:sz w:val="21"/>
        </w:rPr>
        <w:t>自</w:t>
      </w:r>
      <w:r>
        <w:rPr>
          <w:sz w:val="21"/>
        </w:rPr>
        <w:t>202</w:t>
      </w:r>
      <w:r>
        <w:rPr>
          <w:sz w:val="21"/>
        </w:rPr>
        <w:t>4</w:t>
      </w:r>
      <w:r>
        <w:rPr>
          <w:sz w:val="21"/>
        </w:rPr>
        <w:t>年</w:t>
      </w:r>
      <w:r>
        <w:rPr>
          <w:sz w:val="21"/>
        </w:rPr>
        <w:t>6月起进行了为期一年的全域数据湖建设项目，项目为</w:t>
      </w:r>
      <w:r>
        <w:rPr>
          <w:sz w:val="21"/>
        </w:rPr>
        <w:t>采购人</w:t>
      </w:r>
      <w:r>
        <w:rPr>
          <w:sz w:val="21"/>
        </w:rPr>
        <w:t>建设一个全域数据湖、一套大数据中台，构建两类大数据创新应用，以及</w:t>
      </w:r>
      <w:r>
        <w:rPr>
          <w:sz w:val="21"/>
        </w:rPr>
        <w:t>1套大数据治理运营服务。底座汇集全院临床、科研、管理、运营等数据，形成全院数据湖；在此基础之上，建设两类大数据创新应用，实现医院数据高质量共享、临床诊疗协同、临床科研创新转化，实现医院诊疗、科研、运营能力的整体提升，支撑领导层、职能科室、临床科室以及医务人员的个性化数据需求，通过“数据智能一体化”助力</w:t>
      </w:r>
      <w:r>
        <w:rPr>
          <w:sz w:val="21"/>
        </w:rPr>
        <w:t>采购人</w:t>
      </w:r>
      <w:r>
        <w:rPr>
          <w:sz w:val="21"/>
        </w:rPr>
        <w:t>数字化转型和高质量发展。</w:t>
      </w:r>
    </w:p>
    <w:p>
      <w:pPr>
        <w:pStyle w:val="null3"/>
        <w:spacing w:after="60"/>
        <w:ind w:firstLine="480"/>
        <w:jc w:val="left"/>
      </w:pPr>
      <w:r>
        <w:rPr>
          <w:sz w:val="21"/>
        </w:rPr>
        <w:t>采购人</w:t>
      </w:r>
      <w:r>
        <w:rPr>
          <w:sz w:val="21"/>
        </w:rPr>
        <w:t>建设有</w:t>
      </w:r>
      <w:r>
        <w:rPr>
          <w:sz w:val="21"/>
        </w:rPr>
        <w:t>HIS、EMR、LIS、PACS等业务系统，需要解决院内数据孤岛、数据标准不规范不统一等问题，</w:t>
      </w:r>
      <w:r>
        <w:rPr>
          <w:sz w:val="21"/>
        </w:rPr>
        <w:t>通过数据湖</w:t>
      </w:r>
      <w:r>
        <w:rPr>
          <w:sz w:val="21"/>
        </w:rPr>
        <w:t>平台的建设实现了全院全量入湖医院近</w:t>
      </w:r>
      <w:r>
        <w:rPr>
          <w:sz w:val="21"/>
        </w:rPr>
        <w:t>30多</w:t>
      </w:r>
      <w:r>
        <w:rPr>
          <w:sz w:val="21"/>
        </w:rPr>
        <w:t>个核心业务系统，形成</w:t>
      </w:r>
      <w:r>
        <w:rPr>
          <w:sz w:val="21"/>
        </w:rPr>
        <w:t>9个数据域，数据总量超</w:t>
      </w:r>
      <w:r>
        <w:rPr>
          <w:sz w:val="21"/>
        </w:rPr>
        <w:t>3</w:t>
      </w:r>
      <w:r>
        <w:rPr>
          <w:sz w:val="21"/>
        </w:rPr>
        <w:t>TB，构建140多张数据表形成医院数据标准集，实现对院内临床业务、科研、教学等运营管理活动数据的提供数据分析服务、多维度浏览、管理，整合院内运营数据资源，对医院运营业务提供数据支撑及预警服务等应用。</w:t>
      </w:r>
    </w:p>
    <w:p>
      <w:pPr>
        <w:pStyle w:val="null3"/>
        <w:spacing w:before="150" w:after="60"/>
        <w:jc w:val="left"/>
      </w:pPr>
      <w:r>
        <w:rPr>
          <w:sz w:val="24"/>
          <w:b/>
        </w:rPr>
        <w:t>2、项目建设目标</w:t>
      </w:r>
    </w:p>
    <w:p>
      <w:pPr>
        <w:pStyle w:val="null3"/>
        <w:spacing w:after="60"/>
        <w:ind w:firstLine="420"/>
        <w:jc w:val="left"/>
      </w:pPr>
      <w:r>
        <w:rPr>
          <w:sz w:val="21"/>
        </w:rPr>
        <w:t>本期项目在</w:t>
      </w:r>
      <w:r>
        <w:rPr>
          <w:sz w:val="21"/>
        </w:rPr>
        <w:t>一期数据湖建设</w:t>
      </w:r>
      <w:r>
        <w:rPr>
          <w:sz w:val="21"/>
        </w:rPr>
        <w:t>的基础上</w:t>
      </w:r>
      <w:r>
        <w:rPr>
          <w:sz w:val="21"/>
        </w:rPr>
        <w:t>，进行</w:t>
      </w:r>
      <w:r>
        <w:rPr>
          <w:sz w:val="21"/>
        </w:rPr>
        <w:t>进一步的</w:t>
      </w:r>
      <w:r>
        <w:rPr>
          <w:sz w:val="21"/>
        </w:rPr>
        <w:t>科研数据治理，</w:t>
      </w:r>
      <w:r>
        <w:rPr>
          <w:sz w:val="21"/>
        </w:rPr>
        <w:t>通过</w:t>
      </w:r>
      <w:r>
        <w:rPr>
          <w:sz w:val="21"/>
        </w:rPr>
        <w:t>数据模型</w:t>
      </w:r>
      <w:r>
        <w:rPr>
          <w:sz w:val="21"/>
        </w:rPr>
        <w:t>构建</w:t>
      </w:r>
      <w:r>
        <w:rPr>
          <w:sz w:val="21"/>
        </w:rPr>
        <w:t>、后结构化和</w:t>
      </w:r>
      <w:r>
        <w:rPr>
          <w:sz w:val="21"/>
        </w:rPr>
        <w:t>医学术语</w:t>
      </w:r>
      <w:r>
        <w:rPr>
          <w:sz w:val="21"/>
        </w:rPr>
        <w:t>标准化</w:t>
      </w:r>
      <w:r>
        <w:rPr>
          <w:sz w:val="21"/>
        </w:rPr>
        <w:t>等</w:t>
      </w:r>
      <w:r>
        <w:rPr>
          <w:sz w:val="21"/>
        </w:rPr>
        <w:t>工作</w:t>
      </w:r>
      <w:r>
        <w:rPr>
          <w:sz w:val="21"/>
        </w:rPr>
        <w:t>，实现全院统一科研大数据平台。</w:t>
      </w:r>
      <w:r>
        <w:rPr>
          <w:sz w:val="21"/>
        </w:rPr>
        <w:t>依托科研数据治理建设科研数据应用，</w:t>
      </w:r>
      <w:r>
        <w:rPr>
          <w:sz w:val="21"/>
        </w:rPr>
        <w:t>通过</w:t>
      </w:r>
      <w:r>
        <w:rPr>
          <w:sz w:val="21"/>
        </w:rPr>
        <w:t>建设全院科研数据库，整合多维度医疗数据，提供</w:t>
      </w:r>
      <w:r>
        <w:rPr>
          <w:sz w:val="21"/>
        </w:rPr>
        <w:t>“一站式”数据提取服务，为科研人员提供丰富的研究数据源；升级数据检索功能，支持多条件组合检索与可视化分析，帮助科研人员快速定位关键数据</w:t>
      </w:r>
      <w:r>
        <w:rPr>
          <w:sz w:val="21"/>
        </w:rPr>
        <w:t>；提供</w:t>
      </w:r>
      <w:r>
        <w:rPr>
          <w:sz w:val="21"/>
        </w:rPr>
        <w:t>课题研究支撑，整合患者全流程诊疗数据，辅助前瞻性、回顾性研究，助力科研人员高效完成数据管理与分析，加速研究进程。通过上述建设，将实现医院数据资产价值的深度释放，为临床研究、医学创新提供坚实数据支撑，推动科研数字化转型与高质量发展。</w:t>
      </w:r>
    </w:p>
    <w:p>
      <w:pPr>
        <w:pStyle w:val="null3"/>
        <w:spacing w:before="150" w:after="60"/>
        <w:jc w:val="left"/>
      </w:pPr>
      <w:r>
        <w:rPr>
          <w:sz w:val="24"/>
          <w:b/>
        </w:rPr>
        <w:t>3、项目建设范围</w:t>
      </w:r>
    </w:p>
    <w:p>
      <w:pPr>
        <w:pStyle w:val="null3"/>
        <w:spacing w:after="60"/>
        <w:ind w:firstLine="480"/>
        <w:jc w:val="left"/>
      </w:pPr>
      <w:r>
        <w:rPr>
          <w:sz w:val="21"/>
        </w:rPr>
        <w:t>本期项目建设一个</w:t>
      </w:r>
      <w:r>
        <w:rPr>
          <w:sz w:val="21"/>
        </w:rPr>
        <w:t>基于全院</w:t>
      </w:r>
      <w:r>
        <w:rPr>
          <w:sz w:val="21"/>
        </w:rPr>
        <w:t>数据湖</w:t>
      </w:r>
      <w:r>
        <w:rPr>
          <w:sz w:val="21"/>
        </w:rPr>
        <w:t>的临床科研大数据平台</w:t>
      </w:r>
      <w:r>
        <w:rPr>
          <w:sz w:val="21"/>
        </w:rPr>
        <w:t>，并提供</w:t>
      </w:r>
      <w:r>
        <w:rPr>
          <w:sz w:val="21"/>
        </w:rPr>
        <w:t>科研</w:t>
      </w:r>
      <w:r>
        <w:rPr>
          <w:sz w:val="21"/>
        </w:rPr>
        <w:t>数据治理运营服务。</w:t>
      </w:r>
      <w:r>
        <w:rPr>
          <w:sz w:val="21"/>
        </w:rPr>
        <w:t>通过</w:t>
      </w:r>
      <w:r>
        <w:rPr>
          <w:sz w:val="21"/>
        </w:rPr>
        <w:t>统一医疗数据标准，推进数据全生命周期治理，全面接入医院</w:t>
      </w:r>
      <w:r>
        <w:rPr>
          <w:sz w:val="21"/>
        </w:rPr>
        <w:t>HIS、EMR、LIS、PACS等核心临床数据，</w:t>
      </w:r>
      <w:r>
        <w:rPr>
          <w:sz w:val="21"/>
        </w:rPr>
        <w:t>形成全院科研数据中心，</w:t>
      </w:r>
      <w:r>
        <w:rPr>
          <w:sz w:val="21"/>
        </w:rPr>
        <w:t>为</w:t>
      </w:r>
      <w:r>
        <w:rPr>
          <w:sz w:val="21"/>
        </w:rPr>
        <w:t>科研大数据应用</w:t>
      </w:r>
      <w:r>
        <w:rPr>
          <w:sz w:val="21"/>
        </w:rPr>
        <w:t>提供</w:t>
      </w:r>
      <w:r>
        <w:rPr>
          <w:sz w:val="21"/>
        </w:rPr>
        <w:t>高质量</w:t>
      </w:r>
      <w:r>
        <w:rPr>
          <w:sz w:val="21"/>
        </w:rPr>
        <w:t>数据支撑，实现</w:t>
      </w:r>
      <w:r>
        <w:rPr>
          <w:sz w:val="21"/>
        </w:rPr>
        <w:t>高效数据检索利用</w:t>
      </w:r>
      <w:r>
        <w:rPr>
          <w:sz w:val="21"/>
        </w:rPr>
        <w:t>、</w:t>
      </w:r>
      <w:r>
        <w:rPr>
          <w:sz w:val="21"/>
        </w:rPr>
        <w:t>加速</w:t>
      </w:r>
      <w:r>
        <w:rPr>
          <w:sz w:val="21"/>
        </w:rPr>
        <w:t>临床科研创新转化，满足医院</w:t>
      </w:r>
      <w:r>
        <w:rPr>
          <w:sz w:val="21"/>
        </w:rPr>
        <w:t>临床、科研、运营等</w:t>
      </w:r>
      <w:r>
        <w:rPr>
          <w:sz w:val="21"/>
        </w:rPr>
        <w:t>数据需求</w:t>
      </w:r>
      <w:r>
        <w:rPr>
          <w:sz w:val="21"/>
        </w:rPr>
        <w:t>。</w:t>
      </w:r>
    </w:p>
    <w:p>
      <w:pPr>
        <w:pStyle w:val="null3"/>
        <w:spacing w:before="150" w:after="60"/>
        <w:jc w:val="left"/>
      </w:pPr>
      <w:r>
        <w:rPr>
          <w:sz w:val="24"/>
          <w:b/>
        </w:rPr>
        <w:t>4、采购需求清单</w:t>
      </w:r>
    </w:p>
    <w:p>
      <w:pPr>
        <w:pStyle w:val="null3"/>
        <w:spacing w:after="60"/>
        <w:ind w:firstLine="480"/>
        <w:jc w:val="left"/>
      </w:pPr>
      <w:r>
        <w:rPr>
          <w:sz w:val="21"/>
        </w:rPr>
        <w:t>本期建设内容为江门市中心医院全院临床科研大数据平台建设项目，主要包括一套全院临床科研大数据平台、科研数据治理运营服务。</w:t>
      </w:r>
    </w:p>
    <w:p>
      <w:pPr>
        <w:pStyle w:val="null3"/>
        <w:spacing w:after="60"/>
        <w:ind w:firstLine="480"/>
        <w:jc w:val="left"/>
      </w:pPr>
      <w:r>
        <w:rPr>
          <w:sz w:val="21"/>
        </w:rPr>
        <w:t>采购需求清单内容如下表：</w:t>
      </w:r>
    </w:p>
    <w:tbl>
      <w:tblPr>
        <w:tblW w:w="0" w:type="auto"/>
        <w:tblBorders>
          <w:top w:val="none" w:color="000000" w:sz="4"/>
          <w:left w:val="none" w:color="000000" w:sz="4"/>
          <w:bottom w:val="none" w:color="000000" w:sz="4"/>
          <w:right w:val="none" w:color="000000" w:sz="4"/>
          <w:insideH w:val="none"/>
          <w:insideV w:val="none"/>
        </w:tblBorders>
      </w:tblPr>
      <w:tblGrid>
        <w:gridCol w:w="1049"/>
        <w:gridCol w:w="3176"/>
        <w:gridCol w:w="3234"/>
        <w:gridCol w:w="3205"/>
        <w:gridCol w:w="874"/>
        <w:gridCol w:w="888"/>
      </w:tblGrid>
      <w:tr>
        <w:tc>
          <w:tcPr>
            <w:tcW w:type="dxa" w:w="1049"/>
            <w:tcBorders>
              <w:top w:val="single" w:color="000000" w:sz="4"/>
              <w:left w:val="single" w:color="000000" w:sz="4"/>
              <w:bottom w:val="single" w:color="000000" w:sz="4"/>
              <w:right w:val="single" w:color="000000" w:sz="4"/>
            </w:tcBorders>
            <w:shd w:fill="BFBFBF"/>
            <w:tcMar>
              <w:top w:type="dxa" w:w="30"/>
              <w:left w:type="dxa" w:w="60"/>
              <w:bottom w:type="dxa" w:w="30"/>
              <w:right w:type="dxa" w:w="60"/>
            </w:tcMar>
            <w:vAlign w:val="top"/>
          </w:tcPr>
          <w:p>
            <w:pPr>
              <w:pStyle w:val="null3"/>
              <w:spacing w:after="60"/>
              <w:jc w:val="center"/>
            </w:pPr>
            <w:r>
              <w:rPr>
                <w:sz w:val="21"/>
                <w:b/>
              </w:rPr>
              <w:t>序号</w:t>
            </w:r>
          </w:p>
        </w:tc>
        <w:tc>
          <w:tcPr>
            <w:tcW w:type="dxa" w:w="3176"/>
            <w:tcBorders>
              <w:top w:val="single" w:color="000000" w:sz="4"/>
              <w:left w:val="single" w:color="000000" w:sz="4"/>
              <w:bottom w:val="single" w:color="000000" w:sz="4"/>
              <w:right w:val="single" w:color="000000" w:sz="4"/>
            </w:tcBorders>
            <w:shd w:fill="BFBFBF"/>
            <w:tcMar>
              <w:top w:type="dxa" w:w="30"/>
              <w:left w:type="dxa" w:w="60"/>
              <w:bottom w:type="dxa" w:w="30"/>
              <w:right w:type="dxa" w:w="60"/>
            </w:tcMar>
            <w:vAlign w:val="top"/>
          </w:tcPr>
          <w:p>
            <w:pPr>
              <w:pStyle w:val="null3"/>
              <w:spacing w:after="60"/>
              <w:jc w:val="center"/>
            </w:pPr>
            <w:r>
              <w:rPr>
                <w:sz w:val="21"/>
                <w:b/>
              </w:rPr>
              <w:t>建设内容</w:t>
            </w:r>
          </w:p>
        </w:tc>
        <w:tc>
          <w:tcPr>
            <w:tcW w:type="dxa" w:w="3234"/>
            <w:tcBorders>
              <w:top w:val="single" w:color="000000" w:sz="4"/>
              <w:left w:val="single" w:color="000000" w:sz="4"/>
              <w:bottom w:val="single" w:color="000000" w:sz="4"/>
              <w:right w:val="single" w:color="000000" w:sz="4"/>
            </w:tcBorders>
            <w:shd w:fill="BFBFBF"/>
            <w:tcMar>
              <w:top w:type="dxa" w:w="30"/>
              <w:left w:type="dxa" w:w="60"/>
              <w:bottom w:type="dxa" w:w="30"/>
              <w:right w:type="dxa" w:w="60"/>
            </w:tcMar>
            <w:vAlign w:val="top"/>
          </w:tcPr>
          <w:p>
            <w:pPr>
              <w:pStyle w:val="null3"/>
              <w:spacing w:after="60"/>
              <w:jc w:val="center"/>
            </w:pPr>
            <w:r>
              <w:rPr>
                <w:sz w:val="21"/>
                <w:b/>
              </w:rPr>
              <w:t>交付内容要求</w:t>
            </w:r>
          </w:p>
        </w:tc>
        <w:tc>
          <w:tcPr>
            <w:tcW w:type="dxa" w:w="3205"/>
            <w:tcBorders>
              <w:top w:val="single" w:color="000000" w:sz="4"/>
              <w:left w:val="single" w:color="000000" w:sz="4"/>
              <w:bottom w:val="single" w:color="000000" w:sz="4"/>
              <w:right w:val="single" w:color="000000" w:sz="4"/>
            </w:tcBorders>
            <w:shd w:fill="BFBFBF"/>
            <w:tcMar>
              <w:top w:type="dxa" w:w="30"/>
              <w:left w:type="dxa" w:w="60"/>
              <w:bottom w:type="dxa" w:w="30"/>
              <w:right w:type="dxa" w:w="60"/>
            </w:tcMar>
            <w:vAlign w:val="top"/>
          </w:tcPr>
          <w:p>
            <w:pPr>
              <w:pStyle w:val="null3"/>
              <w:spacing w:after="60"/>
              <w:jc w:val="center"/>
            </w:pPr>
            <w:r>
              <w:rPr>
                <w:sz w:val="21"/>
                <w:b/>
              </w:rPr>
              <w:t>系统模块</w:t>
            </w:r>
          </w:p>
        </w:tc>
        <w:tc>
          <w:tcPr>
            <w:tcW w:type="dxa" w:w="874"/>
            <w:tcBorders>
              <w:top w:val="single" w:color="000000" w:sz="4"/>
              <w:left w:val="single" w:color="000000" w:sz="4"/>
              <w:bottom w:val="single" w:color="000000" w:sz="4"/>
              <w:right w:val="single" w:color="000000" w:sz="4"/>
            </w:tcBorders>
            <w:shd w:fill="BFBFBF"/>
            <w:tcMar>
              <w:top w:type="dxa" w:w="30"/>
              <w:left w:type="dxa" w:w="60"/>
              <w:bottom w:type="dxa" w:w="30"/>
              <w:right w:type="dxa" w:w="60"/>
            </w:tcMar>
            <w:vAlign w:val="top"/>
          </w:tcPr>
          <w:p>
            <w:pPr>
              <w:pStyle w:val="null3"/>
              <w:spacing w:after="60"/>
              <w:jc w:val="center"/>
            </w:pPr>
            <w:r>
              <w:rPr>
                <w:sz w:val="21"/>
                <w:b/>
              </w:rPr>
              <w:t>数量</w:t>
            </w:r>
          </w:p>
        </w:tc>
        <w:tc>
          <w:tcPr>
            <w:tcW w:type="dxa" w:w="888"/>
            <w:tcBorders>
              <w:top w:val="single" w:color="000000" w:sz="4"/>
              <w:left w:val="single" w:color="000000" w:sz="4"/>
              <w:bottom w:val="single" w:color="000000" w:sz="4"/>
              <w:right w:val="single" w:color="000000" w:sz="4"/>
            </w:tcBorders>
            <w:shd w:fill="BFBFBF"/>
            <w:tcMar>
              <w:top w:type="dxa" w:w="30"/>
              <w:left w:type="dxa" w:w="60"/>
              <w:bottom w:type="dxa" w:w="30"/>
              <w:right w:type="dxa" w:w="60"/>
            </w:tcMar>
            <w:vAlign w:val="top"/>
          </w:tcPr>
          <w:p>
            <w:pPr>
              <w:pStyle w:val="null3"/>
              <w:spacing w:after="60"/>
              <w:jc w:val="center"/>
            </w:pPr>
            <w:r>
              <w:rPr>
                <w:sz w:val="21"/>
                <w:b/>
              </w:rPr>
              <w:t>单位</w:t>
            </w:r>
          </w:p>
        </w:tc>
      </w:tr>
      <w:tr>
        <w:tc>
          <w:tcPr>
            <w:tcW w:type="dxa" w:w="104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spacing w:after="60"/>
              <w:jc w:val="center"/>
            </w:pPr>
            <w:r>
              <w:rPr>
                <w:sz w:val="19"/>
              </w:rPr>
              <w:t>1.</w:t>
            </w:r>
          </w:p>
        </w:tc>
        <w:tc>
          <w:tcPr>
            <w:tcW w:type="dxa" w:w="3176"/>
            <w:vMerge w:val="restart"/>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spacing w:after="60"/>
              <w:jc w:val="center"/>
            </w:pPr>
            <w:r>
              <w:rPr>
                <w:sz w:val="21"/>
              </w:rPr>
              <w:t>临床科研大数据平台</w:t>
            </w:r>
          </w:p>
        </w:tc>
        <w:tc>
          <w:tcPr>
            <w:tcW w:type="dxa" w:w="3234"/>
            <w:vMerge w:val="restart"/>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spacing w:after="60"/>
              <w:jc w:val="center"/>
            </w:pPr>
          </w:p>
        </w:tc>
        <w:tc>
          <w:tcPr>
            <w:tcW w:type="dxa" w:w="3205"/>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数据检索与筛选</w:t>
            </w:r>
          </w:p>
        </w:tc>
        <w:tc>
          <w:tcPr>
            <w:tcW w:type="dxa" w:w="874"/>
            <w:vMerge w:val="restart"/>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spacing w:after="60"/>
              <w:jc w:val="center"/>
            </w:pPr>
            <w:r>
              <w:rPr>
                <w:sz w:val="21"/>
              </w:rPr>
              <w:t>1</w:t>
            </w:r>
          </w:p>
        </w:tc>
        <w:tc>
          <w:tcPr>
            <w:tcW w:type="dxa" w:w="888"/>
            <w:vMerge w:val="restart"/>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spacing w:after="60"/>
              <w:jc w:val="center"/>
            </w:pPr>
            <w:r>
              <w:rPr>
                <w:sz w:val="21"/>
              </w:rPr>
              <w:t>套</w:t>
            </w:r>
          </w:p>
        </w:tc>
      </w:tr>
      <w:tr>
        <w:tc>
          <w:tcPr>
            <w:tcW w:type="dxa" w:w="104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numPr>
                <w:ilvl w:val="0"/>
                <w:numId w:val="1"/>
              </w:numPr>
              <w:spacing w:after="60"/>
              <w:jc w:val="center"/>
            </w:pPr>
          </w:p>
        </w:tc>
        <w:tc>
          <w:tcPr>
            <w:tcW w:type="dxa" w:w="3176"/>
            <w:vMerge/>
            <w:tcBorders>
              <w:top w:val="none" w:color="000000" w:sz="4"/>
              <w:left w:val="single" w:color="000000" w:sz="4"/>
              <w:bottom w:val="single" w:color="000000" w:sz="4"/>
              <w:right w:val="single" w:color="000000" w:sz="4"/>
            </w:tcBorders>
          </w:tcPr>
          <w:p/>
        </w:tc>
        <w:tc>
          <w:tcPr>
            <w:tcW w:type="dxa" w:w="3234"/>
            <w:vMerge/>
            <w:tcBorders>
              <w:top w:val="none" w:color="000000" w:sz="4"/>
              <w:left w:val="single" w:color="000000" w:sz="4"/>
              <w:bottom w:val="single" w:color="000000" w:sz="4"/>
              <w:right w:val="single" w:color="000000" w:sz="4"/>
            </w:tcBorders>
          </w:tcPr>
          <w:p/>
        </w:tc>
        <w:tc>
          <w:tcPr>
            <w:tcW w:type="dxa" w:w="3205"/>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spacing w:after="60"/>
              <w:jc w:val="center"/>
            </w:pPr>
            <w:r>
              <w:rPr>
                <w:sz w:val="21"/>
              </w:rPr>
              <w:t>研究队列管理</w:t>
            </w:r>
          </w:p>
        </w:tc>
        <w:tc>
          <w:tcPr>
            <w:tcW w:type="dxa" w:w="874"/>
            <w:vMerge/>
            <w:tcBorders>
              <w:top w:val="none" w:color="000000" w:sz="4"/>
              <w:left w:val="single" w:color="000000" w:sz="4"/>
              <w:bottom w:val="single" w:color="000000" w:sz="4"/>
              <w:right w:val="single" w:color="000000" w:sz="4"/>
            </w:tcBorders>
          </w:tcPr>
          <w:p/>
        </w:tc>
        <w:tc>
          <w:tcPr>
            <w:tcW w:type="dxa" w:w="888"/>
            <w:vMerge/>
            <w:tcBorders>
              <w:top w:val="none" w:color="000000" w:sz="4"/>
              <w:left w:val="single" w:color="000000" w:sz="4"/>
              <w:bottom w:val="single" w:color="000000" w:sz="4"/>
              <w:right w:val="single" w:color="000000" w:sz="4"/>
            </w:tcBorders>
          </w:tcPr>
          <w:p/>
        </w:tc>
      </w:tr>
      <w:tr>
        <w:tc>
          <w:tcPr>
            <w:tcW w:type="dxa" w:w="104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numPr>
                <w:ilvl w:val="0"/>
                <w:numId w:val="1"/>
              </w:numPr>
              <w:spacing w:after="60"/>
              <w:jc w:val="center"/>
            </w:pPr>
          </w:p>
        </w:tc>
        <w:tc>
          <w:tcPr>
            <w:tcW w:type="dxa" w:w="3176"/>
            <w:vMerge/>
            <w:tcBorders>
              <w:top w:val="none" w:color="000000" w:sz="4"/>
              <w:left w:val="single" w:color="000000" w:sz="4"/>
              <w:bottom w:val="single" w:color="000000" w:sz="4"/>
              <w:right w:val="single" w:color="000000" w:sz="4"/>
            </w:tcBorders>
          </w:tcPr>
          <w:p/>
        </w:tc>
        <w:tc>
          <w:tcPr>
            <w:tcW w:type="dxa" w:w="3234"/>
            <w:vMerge/>
            <w:tcBorders>
              <w:top w:val="none" w:color="000000" w:sz="4"/>
              <w:left w:val="single" w:color="000000" w:sz="4"/>
              <w:bottom w:val="single" w:color="000000" w:sz="4"/>
              <w:right w:val="single" w:color="000000" w:sz="4"/>
            </w:tcBorders>
          </w:tcPr>
          <w:p/>
        </w:tc>
        <w:tc>
          <w:tcPr>
            <w:tcW w:type="dxa" w:w="3205"/>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spacing w:after="60"/>
              <w:jc w:val="center"/>
            </w:pPr>
            <w:r>
              <w:rPr>
                <w:sz w:val="21"/>
              </w:rPr>
              <w:t>课题管理</w:t>
            </w:r>
          </w:p>
        </w:tc>
        <w:tc>
          <w:tcPr>
            <w:tcW w:type="dxa" w:w="874"/>
            <w:vMerge/>
            <w:tcBorders>
              <w:top w:val="none" w:color="000000" w:sz="4"/>
              <w:left w:val="single" w:color="000000" w:sz="4"/>
              <w:bottom w:val="single" w:color="000000" w:sz="4"/>
              <w:right w:val="single" w:color="000000" w:sz="4"/>
            </w:tcBorders>
          </w:tcPr>
          <w:p/>
        </w:tc>
        <w:tc>
          <w:tcPr>
            <w:tcW w:type="dxa" w:w="888"/>
            <w:vMerge/>
            <w:tcBorders>
              <w:top w:val="none" w:color="000000" w:sz="4"/>
              <w:left w:val="single" w:color="000000" w:sz="4"/>
              <w:bottom w:val="single" w:color="000000" w:sz="4"/>
              <w:right w:val="single" w:color="000000" w:sz="4"/>
            </w:tcBorders>
          </w:tcPr>
          <w:p/>
        </w:tc>
      </w:tr>
      <w:tr>
        <w:tc>
          <w:tcPr>
            <w:tcW w:type="dxa" w:w="104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numPr>
                <w:ilvl w:val="0"/>
                <w:numId w:val="1"/>
              </w:numPr>
              <w:spacing w:after="60"/>
              <w:jc w:val="center"/>
            </w:pPr>
          </w:p>
        </w:tc>
        <w:tc>
          <w:tcPr>
            <w:tcW w:type="dxa" w:w="3176"/>
            <w:vMerge/>
            <w:tcBorders>
              <w:top w:val="none" w:color="000000" w:sz="4"/>
              <w:left w:val="single" w:color="000000" w:sz="4"/>
              <w:bottom w:val="single" w:color="000000" w:sz="4"/>
              <w:right w:val="single" w:color="000000" w:sz="4"/>
            </w:tcBorders>
          </w:tcPr>
          <w:p/>
        </w:tc>
        <w:tc>
          <w:tcPr>
            <w:tcW w:type="dxa" w:w="3234"/>
            <w:vMerge/>
            <w:tcBorders>
              <w:top w:val="none" w:color="000000" w:sz="4"/>
              <w:left w:val="single" w:color="000000" w:sz="4"/>
              <w:bottom w:val="single" w:color="000000" w:sz="4"/>
              <w:right w:val="single" w:color="000000" w:sz="4"/>
            </w:tcBorders>
          </w:tcPr>
          <w:p/>
        </w:tc>
        <w:tc>
          <w:tcPr>
            <w:tcW w:type="dxa" w:w="3205"/>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spacing w:after="60"/>
              <w:jc w:val="center"/>
            </w:pPr>
            <w:r>
              <w:rPr>
                <w:sz w:val="21"/>
              </w:rPr>
              <w:t>患者随访</w:t>
            </w:r>
          </w:p>
        </w:tc>
        <w:tc>
          <w:tcPr>
            <w:tcW w:type="dxa" w:w="874"/>
            <w:vMerge/>
            <w:tcBorders>
              <w:top w:val="none" w:color="000000" w:sz="4"/>
              <w:left w:val="single" w:color="000000" w:sz="4"/>
              <w:bottom w:val="single" w:color="000000" w:sz="4"/>
              <w:right w:val="single" w:color="000000" w:sz="4"/>
            </w:tcBorders>
          </w:tcPr>
          <w:p/>
        </w:tc>
        <w:tc>
          <w:tcPr>
            <w:tcW w:type="dxa" w:w="888"/>
            <w:vMerge/>
            <w:tcBorders>
              <w:top w:val="none" w:color="000000" w:sz="4"/>
              <w:left w:val="single" w:color="000000" w:sz="4"/>
              <w:bottom w:val="single" w:color="000000" w:sz="4"/>
              <w:right w:val="single" w:color="000000" w:sz="4"/>
            </w:tcBorders>
          </w:tcPr>
          <w:p/>
        </w:tc>
      </w:tr>
      <w:tr>
        <w:tc>
          <w:tcPr>
            <w:tcW w:type="dxa" w:w="104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numPr>
                <w:ilvl w:val="0"/>
                <w:numId w:val="1"/>
              </w:numPr>
              <w:spacing w:after="60"/>
              <w:jc w:val="center"/>
            </w:pPr>
          </w:p>
        </w:tc>
        <w:tc>
          <w:tcPr>
            <w:tcW w:type="dxa" w:w="3176"/>
            <w:vMerge/>
            <w:tcBorders>
              <w:top w:val="none" w:color="000000" w:sz="4"/>
              <w:left w:val="single" w:color="000000" w:sz="4"/>
              <w:bottom w:val="single" w:color="000000" w:sz="4"/>
              <w:right w:val="single" w:color="000000" w:sz="4"/>
            </w:tcBorders>
          </w:tcPr>
          <w:p/>
        </w:tc>
        <w:tc>
          <w:tcPr>
            <w:tcW w:type="dxa" w:w="3234"/>
            <w:vMerge/>
            <w:tcBorders>
              <w:top w:val="none" w:color="000000" w:sz="4"/>
              <w:left w:val="single" w:color="000000" w:sz="4"/>
              <w:bottom w:val="single" w:color="000000" w:sz="4"/>
              <w:right w:val="single" w:color="000000" w:sz="4"/>
            </w:tcBorders>
          </w:tcPr>
          <w:p/>
        </w:tc>
        <w:tc>
          <w:tcPr>
            <w:tcW w:type="dxa" w:w="3205"/>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spacing w:after="60"/>
              <w:jc w:val="center"/>
            </w:pPr>
            <w:r>
              <w:rPr>
                <w:sz w:val="21"/>
              </w:rPr>
              <w:t>患者科研</w:t>
            </w:r>
            <w:r>
              <w:rPr>
                <w:sz w:val="21"/>
              </w:rPr>
              <w:t>360视图</w:t>
            </w:r>
          </w:p>
        </w:tc>
        <w:tc>
          <w:tcPr>
            <w:tcW w:type="dxa" w:w="874"/>
            <w:vMerge/>
            <w:tcBorders>
              <w:top w:val="none" w:color="000000" w:sz="4"/>
              <w:left w:val="single" w:color="000000" w:sz="4"/>
              <w:bottom w:val="single" w:color="000000" w:sz="4"/>
              <w:right w:val="single" w:color="000000" w:sz="4"/>
            </w:tcBorders>
          </w:tcPr>
          <w:p/>
        </w:tc>
        <w:tc>
          <w:tcPr>
            <w:tcW w:type="dxa" w:w="888"/>
            <w:vMerge/>
            <w:tcBorders>
              <w:top w:val="none" w:color="000000" w:sz="4"/>
              <w:left w:val="single" w:color="000000" w:sz="4"/>
              <w:bottom w:val="single" w:color="000000" w:sz="4"/>
              <w:right w:val="single" w:color="000000" w:sz="4"/>
            </w:tcBorders>
          </w:tcPr>
          <w:p/>
        </w:tc>
      </w:tr>
      <w:tr>
        <w:tc>
          <w:tcPr>
            <w:tcW w:type="dxa" w:w="104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numPr>
                <w:ilvl w:val="0"/>
                <w:numId w:val="1"/>
              </w:numPr>
              <w:spacing w:after="60"/>
              <w:jc w:val="center"/>
            </w:pPr>
          </w:p>
        </w:tc>
        <w:tc>
          <w:tcPr>
            <w:tcW w:type="dxa" w:w="3176"/>
            <w:vMerge/>
            <w:tcBorders>
              <w:top w:val="none" w:color="000000" w:sz="4"/>
              <w:left w:val="single" w:color="000000" w:sz="4"/>
              <w:bottom w:val="single" w:color="000000" w:sz="4"/>
              <w:right w:val="single" w:color="000000" w:sz="4"/>
            </w:tcBorders>
          </w:tcPr>
          <w:p/>
        </w:tc>
        <w:tc>
          <w:tcPr>
            <w:tcW w:type="dxa" w:w="3234"/>
            <w:vMerge/>
            <w:tcBorders>
              <w:top w:val="none" w:color="000000" w:sz="4"/>
              <w:left w:val="single" w:color="000000" w:sz="4"/>
              <w:bottom w:val="single" w:color="000000" w:sz="4"/>
              <w:right w:val="single" w:color="000000" w:sz="4"/>
            </w:tcBorders>
          </w:tcPr>
          <w:p/>
        </w:tc>
        <w:tc>
          <w:tcPr>
            <w:tcW w:type="dxa" w:w="3205"/>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spacing w:after="60"/>
              <w:jc w:val="center"/>
            </w:pPr>
            <w:r>
              <w:rPr>
                <w:sz w:val="21"/>
              </w:rPr>
              <w:t>统计分析</w:t>
            </w:r>
          </w:p>
        </w:tc>
        <w:tc>
          <w:tcPr>
            <w:tcW w:type="dxa" w:w="874"/>
            <w:vMerge/>
            <w:tcBorders>
              <w:top w:val="none" w:color="000000" w:sz="4"/>
              <w:left w:val="single" w:color="000000" w:sz="4"/>
              <w:bottom w:val="single" w:color="000000" w:sz="4"/>
              <w:right w:val="single" w:color="000000" w:sz="4"/>
            </w:tcBorders>
          </w:tcPr>
          <w:p/>
        </w:tc>
        <w:tc>
          <w:tcPr>
            <w:tcW w:type="dxa" w:w="888"/>
            <w:vMerge/>
            <w:tcBorders>
              <w:top w:val="none" w:color="000000" w:sz="4"/>
              <w:left w:val="single" w:color="000000" w:sz="4"/>
              <w:bottom w:val="single" w:color="000000" w:sz="4"/>
              <w:right w:val="single" w:color="000000" w:sz="4"/>
            </w:tcBorders>
          </w:tcPr>
          <w:p/>
        </w:tc>
      </w:tr>
      <w:tr>
        <w:tc>
          <w:tcPr>
            <w:tcW w:type="dxa" w:w="104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numPr>
                <w:ilvl w:val="0"/>
                <w:numId w:val="1"/>
              </w:numPr>
              <w:spacing w:after="60"/>
              <w:jc w:val="center"/>
            </w:pPr>
          </w:p>
        </w:tc>
        <w:tc>
          <w:tcPr>
            <w:tcW w:type="dxa" w:w="3176"/>
            <w:vMerge/>
            <w:tcBorders>
              <w:top w:val="none" w:color="000000" w:sz="4"/>
              <w:left w:val="single" w:color="000000" w:sz="4"/>
              <w:bottom w:val="single" w:color="000000" w:sz="4"/>
              <w:right w:val="single" w:color="000000" w:sz="4"/>
            </w:tcBorders>
          </w:tcPr>
          <w:p/>
        </w:tc>
        <w:tc>
          <w:tcPr>
            <w:tcW w:type="dxa" w:w="3234"/>
            <w:vMerge/>
            <w:tcBorders>
              <w:top w:val="none" w:color="000000" w:sz="4"/>
              <w:left w:val="single" w:color="000000" w:sz="4"/>
              <w:bottom w:val="single" w:color="000000" w:sz="4"/>
              <w:right w:val="single" w:color="000000" w:sz="4"/>
            </w:tcBorders>
          </w:tcPr>
          <w:p/>
        </w:tc>
        <w:tc>
          <w:tcPr>
            <w:tcW w:type="dxa" w:w="3205"/>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spacing w:after="60"/>
              <w:jc w:val="center"/>
            </w:pPr>
            <w:r>
              <w:rPr>
                <w:sz w:val="21"/>
              </w:rPr>
              <w:t>多模态数据</w:t>
            </w:r>
          </w:p>
        </w:tc>
        <w:tc>
          <w:tcPr>
            <w:tcW w:type="dxa" w:w="874"/>
            <w:vMerge/>
            <w:tcBorders>
              <w:top w:val="none" w:color="000000" w:sz="4"/>
              <w:left w:val="single" w:color="000000" w:sz="4"/>
              <w:bottom w:val="single" w:color="000000" w:sz="4"/>
              <w:right w:val="single" w:color="000000" w:sz="4"/>
            </w:tcBorders>
          </w:tcPr>
          <w:p/>
        </w:tc>
        <w:tc>
          <w:tcPr>
            <w:tcW w:type="dxa" w:w="888"/>
            <w:vMerge/>
            <w:tcBorders>
              <w:top w:val="none" w:color="000000" w:sz="4"/>
              <w:left w:val="single" w:color="000000" w:sz="4"/>
              <w:bottom w:val="single" w:color="000000" w:sz="4"/>
              <w:right w:val="single" w:color="000000" w:sz="4"/>
            </w:tcBorders>
          </w:tcPr>
          <w:p/>
        </w:tc>
      </w:tr>
      <w:tr>
        <w:tc>
          <w:tcPr>
            <w:tcW w:type="dxa" w:w="104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numPr>
                <w:ilvl w:val="0"/>
                <w:numId w:val="1"/>
              </w:numPr>
              <w:spacing w:after="60"/>
              <w:jc w:val="center"/>
            </w:pPr>
          </w:p>
        </w:tc>
        <w:tc>
          <w:tcPr>
            <w:tcW w:type="dxa" w:w="3176"/>
            <w:vMerge/>
            <w:tcBorders>
              <w:top w:val="none" w:color="000000" w:sz="4"/>
              <w:left w:val="single" w:color="000000" w:sz="4"/>
              <w:bottom w:val="single" w:color="000000" w:sz="4"/>
              <w:right w:val="single" w:color="000000" w:sz="4"/>
            </w:tcBorders>
          </w:tcPr>
          <w:p/>
        </w:tc>
        <w:tc>
          <w:tcPr>
            <w:tcW w:type="dxa" w:w="3234"/>
            <w:vMerge/>
            <w:tcBorders>
              <w:top w:val="none" w:color="000000" w:sz="4"/>
              <w:left w:val="single" w:color="000000" w:sz="4"/>
              <w:bottom w:val="single" w:color="000000" w:sz="4"/>
              <w:right w:val="single" w:color="000000" w:sz="4"/>
            </w:tcBorders>
          </w:tcPr>
          <w:p/>
        </w:tc>
        <w:tc>
          <w:tcPr>
            <w:tcW w:type="dxa" w:w="3205"/>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spacing w:after="60"/>
              <w:jc w:val="center"/>
            </w:pPr>
            <w:r>
              <w:rPr>
                <w:sz w:val="21"/>
              </w:rPr>
              <w:t>患者科研样本管理</w:t>
            </w:r>
          </w:p>
        </w:tc>
        <w:tc>
          <w:tcPr>
            <w:tcW w:type="dxa" w:w="874"/>
            <w:vMerge/>
            <w:tcBorders>
              <w:top w:val="none" w:color="000000" w:sz="4"/>
              <w:left w:val="single" w:color="000000" w:sz="4"/>
              <w:bottom w:val="single" w:color="000000" w:sz="4"/>
              <w:right w:val="single" w:color="000000" w:sz="4"/>
            </w:tcBorders>
          </w:tcPr>
          <w:p/>
        </w:tc>
        <w:tc>
          <w:tcPr>
            <w:tcW w:type="dxa" w:w="888"/>
            <w:vMerge/>
            <w:tcBorders>
              <w:top w:val="none" w:color="000000" w:sz="4"/>
              <w:left w:val="single" w:color="000000" w:sz="4"/>
              <w:bottom w:val="single" w:color="000000" w:sz="4"/>
              <w:right w:val="single" w:color="000000" w:sz="4"/>
            </w:tcBorders>
          </w:tcPr>
          <w:p/>
        </w:tc>
      </w:tr>
      <w:tr>
        <w:tc>
          <w:tcPr>
            <w:tcW w:type="dxa" w:w="104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numPr>
                <w:ilvl w:val="0"/>
                <w:numId w:val="1"/>
              </w:numPr>
              <w:spacing w:after="60"/>
              <w:jc w:val="center"/>
            </w:pPr>
          </w:p>
        </w:tc>
        <w:tc>
          <w:tcPr>
            <w:tcW w:type="dxa" w:w="3176"/>
            <w:vMerge/>
            <w:tcBorders>
              <w:top w:val="none" w:color="000000" w:sz="4"/>
              <w:left w:val="single" w:color="000000" w:sz="4"/>
              <w:bottom w:val="single" w:color="000000" w:sz="4"/>
              <w:right w:val="single" w:color="000000" w:sz="4"/>
            </w:tcBorders>
          </w:tcPr>
          <w:p/>
        </w:tc>
        <w:tc>
          <w:tcPr>
            <w:tcW w:type="dxa" w:w="3234"/>
            <w:vMerge/>
            <w:tcBorders>
              <w:top w:val="none" w:color="000000" w:sz="4"/>
              <w:left w:val="single" w:color="000000" w:sz="4"/>
              <w:bottom w:val="single" w:color="000000" w:sz="4"/>
              <w:right w:val="single" w:color="000000" w:sz="4"/>
            </w:tcBorders>
          </w:tcPr>
          <w:p/>
        </w:tc>
        <w:tc>
          <w:tcPr>
            <w:tcW w:type="dxa" w:w="3205"/>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spacing w:after="60"/>
              <w:jc w:val="center"/>
            </w:pPr>
            <w:r>
              <w:rPr>
                <w:sz w:val="21"/>
              </w:rPr>
              <w:t>全院临床科研样本管理</w:t>
            </w:r>
          </w:p>
        </w:tc>
        <w:tc>
          <w:tcPr>
            <w:tcW w:type="dxa" w:w="874"/>
            <w:vMerge/>
            <w:tcBorders>
              <w:top w:val="none" w:color="000000" w:sz="4"/>
              <w:left w:val="single" w:color="000000" w:sz="4"/>
              <w:bottom w:val="single" w:color="000000" w:sz="4"/>
              <w:right w:val="single" w:color="000000" w:sz="4"/>
            </w:tcBorders>
          </w:tcPr>
          <w:p/>
        </w:tc>
        <w:tc>
          <w:tcPr>
            <w:tcW w:type="dxa" w:w="888"/>
            <w:vMerge/>
            <w:tcBorders>
              <w:top w:val="none" w:color="000000" w:sz="4"/>
              <w:left w:val="single" w:color="000000" w:sz="4"/>
              <w:bottom w:val="single" w:color="000000" w:sz="4"/>
              <w:right w:val="single" w:color="000000" w:sz="4"/>
            </w:tcBorders>
          </w:tcPr>
          <w:p/>
        </w:tc>
      </w:tr>
      <w:tr>
        <w:tc>
          <w:tcPr>
            <w:tcW w:type="dxa" w:w="104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numPr>
                <w:ilvl w:val="0"/>
                <w:numId w:val="1"/>
              </w:numPr>
              <w:spacing w:after="60"/>
              <w:jc w:val="center"/>
            </w:pPr>
          </w:p>
        </w:tc>
        <w:tc>
          <w:tcPr>
            <w:tcW w:type="dxa" w:w="3176"/>
            <w:vMerge w:val="restart"/>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spacing w:after="60"/>
              <w:jc w:val="center"/>
            </w:pPr>
            <w:r>
              <w:rPr>
                <w:sz w:val="21"/>
              </w:rPr>
              <w:t>科研数据治理运营服务</w:t>
            </w:r>
          </w:p>
        </w:tc>
        <w:tc>
          <w:tcPr>
            <w:tcW w:type="dxa" w:w="323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spacing w:after="60"/>
              <w:jc w:val="center"/>
            </w:pPr>
            <w:r>
              <w:rPr>
                <w:sz w:val="21"/>
              </w:rPr>
              <w:t>患者主索引治理服务</w:t>
            </w:r>
          </w:p>
        </w:tc>
        <w:tc>
          <w:tcPr>
            <w:tcW w:type="dxa" w:w="3205"/>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spacing w:after="60"/>
              <w:jc w:val="center"/>
            </w:pPr>
            <w:r>
              <w:rPr>
                <w:sz w:val="21"/>
              </w:rPr>
              <w:t>患者主索引服务</w:t>
            </w:r>
          </w:p>
        </w:tc>
        <w:tc>
          <w:tcPr>
            <w:tcW w:type="dxa" w:w="874"/>
            <w:vMerge w:val="restart"/>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spacing w:after="60"/>
              <w:jc w:val="center"/>
            </w:pPr>
            <w:r>
              <w:rPr>
                <w:sz w:val="21"/>
              </w:rPr>
              <w:t>1</w:t>
            </w:r>
          </w:p>
        </w:tc>
        <w:tc>
          <w:tcPr>
            <w:tcW w:type="dxa" w:w="888"/>
            <w:vMerge w:val="restart"/>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spacing w:after="60"/>
              <w:jc w:val="center"/>
            </w:pPr>
            <w:r>
              <w:rPr>
                <w:sz w:val="21"/>
              </w:rPr>
              <w:t>项</w:t>
            </w:r>
          </w:p>
        </w:tc>
      </w:tr>
      <w:tr>
        <w:tc>
          <w:tcPr>
            <w:tcW w:type="dxa" w:w="104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numPr>
                <w:ilvl w:val="0"/>
                <w:numId w:val="1"/>
              </w:numPr>
              <w:spacing w:after="60"/>
              <w:jc w:val="center"/>
            </w:pPr>
          </w:p>
        </w:tc>
        <w:tc>
          <w:tcPr>
            <w:tcW w:type="dxa" w:w="3176"/>
            <w:vMerge/>
            <w:tcBorders>
              <w:top w:val="none" w:color="000000" w:sz="4"/>
              <w:left w:val="single" w:color="000000" w:sz="4"/>
              <w:bottom w:val="single" w:color="000000" w:sz="4"/>
              <w:right w:val="single" w:color="000000" w:sz="4"/>
            </w:tcBorders>
          </w:tcPr>
          <w:p/>
        </w:tc>
        <w:tc>
          <w:tcPr>
            <w:tcW w:type="dxa" w:w="323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spacing w:after="60"/>
              <w:jc w:val="center"/>
            </w:pPr>
            <w:r>
              <w:rPr>
                <w:sz w:val="21"/>
              </w:rPr>
              <w:t>医学术语标准化服务</w:t>
            </w:r>
          </w:p>
        </w:tc>
        <w:tc>
          <w:tcPr>
            <w:tcW w:type="dxa" w:w="3205"/>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spacing w:after="60"/>
              <w:jc w:val="center"/>
            </w:pPr>
            <w:r>
              <w:rPr>
                <w:sz w:val="21"/>
              </w:rPr>
              <w:t>术语标准化服务</w:t>
            </w:r>
          </w:p>
        </w:tc>
        <w:tc>
          <w:tcPr>
            <w:tcW w:type="dxa" w:w="874"/>
            <w:vMerge/>
            <w:tcBorders>
              <w:top w:val="none" w:color="000000" w:sz="4"/>
              <w:left w:val="single" w:color="000000" w:sz="4"/>
              <w:bottom w:val="single" w:color="000000" w:sz="4"/>
              <w:right w:val="single" w:color="000000" w:sz="4"/>
            </w:tcBorders>
          </w:tcPr>
          <w:p/>
        </w:tc>
        <w:tc>
          <w:tcPr>
            <w:tcW w:type="dxa" w:w="888"/>
            <w:vMerge/>
            <w:tcBorders>
              <w:top w:val="none" w:color="000000" w:sz="4"/>
              <w:left w:val="single" w:color="000000" w:sz="4"/>
              <w:bottom w:val="single" w:color="000000" w:sz="4"/>
              <w:right w:val="single" w:color="000000" w:sz="4"/>
            </w:tcBorders>
          </w:tcPr>
          <w:p/>
        </w:tc>
      </w:tr>
      <w:tr>
        <w:tc>
          <w:tcPr>
            <w:tcW w:type="dxa" w:w="104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numPr>
                <w:ilvl w:val="0"/>
                <w:numId w:val="1"/>
              </w:numPr>
              <w:spacing w:after="60"/>
              <w:jc w:val="center"/>
            </w:pPr>
          </w:p>
        </w:tc>
        <w:tc>
          <w:tcPr>
            <w:tcW w:type="dxa" w:w="3176"/>
            <w:vMerge/>
            <w:tcBorders>
              <w:top w:val="none" w:color="000000" w:sz="4"/>
              <w:left w:val="single" w:color="000000" w:sz="4"/>
              <w:bottom w:val="single" w:color="000000" w:sz="4"/>
              <w:right w:val="single" w:color="000000" w:sz="4"/>
            </w:tcBorders>
          </w:tcPr>
          <w:p/>
        </w:tc>
        <w:tc>
          <w:tcPr>
            <w:tcW w:type="dxa" w:w="323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spacing w:after="60"/>
              <w:jc w:val="center"/>
            </w:pPr>
            <w:r>
              <w:rPr>
                <w:sz w:val="21"/>
              </w:rPr>
              <w:t>医学文本结构化服务</w:t>
            </w:r>
          </w:p>
        </w:tc>
        <w:tc>
          <w:tcPr>
            <w:tcW w:type="dxa" w:w="3205"/>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spacing w:after="60"/>
              <w:jc w:val="center"/>
            </w:pPr>
            <w:r>
              <w:rPr>
                <w:sz w:val="21"/>
              </w:rPr>
              <w:t>文本结构化服务</w:t>
            </w:r>
          </w:p>
        </w:tc>
        <w:tc>
          <w:tcPr>
            <w:tcW w:type="dxa" w:w="874"/>
            <w:vMerge/>
            <w:tcBorders>
              <w:top w:val="none" w:color="000000" w:sz="4"/>
              <w:left w:val="single" w:color="000000" w:sz="4"/>
              <w:bottom w:val="single" w:color="000000" w:sz="4"/>
              <w:right w:val="single" w:color="000000" w:sz="4"/>
            </w:tcBorders>
          </w:tcPr>
          <w:p/>
        </w:tc>
        <w:tc>
          <w:tcPr>
            <w:tcW w:type="dxa" w:w="888"/>
            <w:vMerge/>
            <w:tcBorders>
              <w:top w:val="none" w:color="000000" w:sz="4"/>
              <w:left w:val="single" w:color="000000" w:sz="4"/>
              <w:bottom w:val="single" w:color="000000" w:sz="4"/>
              <w:right w:val="single" w:color="000000" w:sz="4"/>
            </w:tcBorders>
          </w:tcPr>
          <w:p/>
        </w:tc>
      </w:tr>
      <w:tr>
        <w:tc>
          <w:tcPr>
            <w:tcW w:type="dxa" w:w="104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numPr>
                <w:ilvl w:val="0"/>
                <w:numId w:val="1"/>
              </w:numPr>
              <w:spacing w:after="60"/>
              <w:jc w:val="center"/>
            </w:pPr>
          </w:p>
        </w:tc>
        <w:tc>
          <w:tcPr>
            <w:tcW w:type="dxa" w:w="3176"/>
            <w:vMerge/>
            <w:tcBorders>
              <w:top w:val="none" w:color="000000" w:sz="4"/>
              <w:left w:val="single" w:color="000000" w:sz="4"/>
              <w:bottom w:val="single" w:color="000000" w:sz="4"/>
              <w:right w:val="single" w:color="000000" w:sz="4"/>
            </w:tcBorders>
          </w:tcPr>
          <w:p/>
        </w:tc>
        <w:tc>
          <w:tcPr>
            <w:tcW w:type="dxa" w:w="323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spacing w:after="60"/>
              <w:jc w:val="center"/>
            </w:pPr>
            <w:r>
              <w:rPr>
                <w:sz w:val="21"/>
              </w:rPr>
              <w:t>通用数据元（数据集）</w:t>
            </w:r>
          </w:p>
        </w:tc>
        <w:tc>
          <w:tcPr>
            <w:tcW w:type="dxa" w:w="3205"/>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spacing w:after="60"/>
              <w:jc w:val="center"/>
            </w:pPr>
            <w:r>
              <w:rPr>
                <w:sz w:val="21"/>
              </w:rPr>
              <w:t>数据治理服务</w:t>
            </w:r>
          </w:p>
        </w:tc>
        <w:tc>
          <w:tcPr>
            <w:tcW w:type="dxa" w:w="874"/>
            <w:vMerge/>
            <w:tcBorders>
              <w:top w:val="none" w:color="000000" w:sz="4"/>
              <w:left w:val="single" w:color="000000" w:sz="4"/>
              <w:bottom w:val="single" w:color="000000" w:sz="4"/>
              <w:right w:val="single" w:color="000000" w:sz="4"/>
            </w:tcBorders>
          </w:tcPr>
          <w:p/>
        </w:tc>
        <w:tc>
          <w:tcPr>
            <w:tcW w:type="dxa" w:w="888"/>
            <w:vMerge/>
            <w:tcBorders>
              <w:top w:val="none" w:color="000000" w:sz="4"/>
              <w:left w:val="single" w:color="000000" w:sz="4"/>
              <w:bottom w:val="single" w:color="000000" w:sz="4"/>
              <w:right w:val="single" w:color="000000" w:sz="4"/>
            </w:tcBorders>
          </w:tcPr>
          <w:p/>
        </w:tc>
      </w:tr>
      <w:tr>
        <w:tc>
          <w:tcPr>
            <w:tcW w:type="dxa" w:w="104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numPr>
                <w:ilvl w:val="0"/>
                <w:numId w:val="1"/>
              </w:numPr>
              <w:spacing w:after="60"/>
              <w:jc w:val="center"/>
            </w:pPr>
          </w:p>
        </w:tc>
        <w:tc>
          <w:tcPr>
            <w:tcW w:type="dxa" w:w="3176"/>
            <w:vMerge/>
            <w:tcBorders>
              <w:top w:val="none" w:color="000000" w:sz="4"/>
              <w:left w:val="single" w:color="000000" w:sz="4"/>
              <w:bottom w:val="single" w:color="000000" w:sz="4"/>
              <w:right w:val="single" w:color="000000" w:sz="4"/>
            </w:tcBorders>
          </w:tcPr>
          <w:p/>
        </w:tc>
        <w:tc>
          <w:tcPr>
            <w:tcW w:type="dxa" w:w="323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spacing w:after="60"/>
              <w:jc w:val="center"/>
            </w:pPr>
            <w:r>
              <w:rPr>
                <w:sz w:val="21"/>
              </w:rPr>
              <w:t>专科数据元（数据集）</w:t>
            </w:r>
          </w:p>
        </w:tc>
        <w:tc>
          <w:tcPr>
            <w:tcW w:type="dxa" w:w="3205"/>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spacing w:after="60"/>
              <w:jc w:val="center"/>
            </w:pPr>
            <w:r>
              <w:rPr>
                <w:sz w:val="21"/>
              </w:rPr>
              <w:t>数据治理服务</w:t>
            </w:r>
          </w:p>
        </w:tc>
        <w:tc>
          <w:tcPr>
            <w:tcW w:type="dxa" w:w="874"/>
            <w:vMerge/>
            <w:tcBorders>
              <w:top w:val="none" w:color="000000" w:sz="4"/>
              <w:left w:val="single" w:color="000000" w:sz="4"/>
              <w:bottom w:val="single" w:color="000000" w:sz="4"/>
              <w:right w:val="single" w:color="000000" w:sz="4"/>
            </w:tcBorders>
          </w:tcPr>
          <w:p/>
        </w:tc>
        <w:tc>
          <w:tcPr>
            <w:tcW w:type="dxa" w:w="888"/>
            <w:vMerge/>
            <w:tcBorders>
              <w:top w:val="none" w:color="000000" w:sz="4"/>
              <w:left w:val="single" w:color="000000" w:sz="4"/>
              <w:bottom w:val="single" w:color="000000" w:sz="4"/>
              <w:right w:val="single" w:color="000000" w:sz="4"/>
            </w:tcBorders>
          </w:tcPr>
          <w:p/>
        </w:tc>
      </w:tr>
      <w:tr>
        <w:tc>
          <w:tcPr>
            <w:tcW w:type="dxa" w:w="104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numPr>
                <w:ilvl w:val="0"/>
                <w:numId w:val="1"/>
              </w:numPr>
              <w:spacing w:after="60"/>
              <w:jc w:val="center"/>
            </w:pPr>
          </w:p>
        </w:tc>
        <w:tc>
          <w:tcPr>
            <w:tcW w:type="dxa" w:w="3176"/>
            <w:vMerge/>
            <w:tcBorders>
              <w:top w:val="none" w:color="000000" w:sz="4"/>
              <w:left w:val="single" w:color="000000" w:sz="4"/>
              <w:bottom w:val="single" w:color="000000" w:sz="4"/>
              <w:right w:val="single" w:color="000000" w:sz="4"/>
            </w:tcBorders>
          </w:tcPr>
          <w:p/>
        </w:tc>
        <w:tc>
          <w:tcPr>
            <w:tcW w:type="dxa" w:w="323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spacing w:after="60"/>
              <w:jc w:val="center"/>
            </w:pPr>
            <w:r>
              <w:rPr>
                <w:sz w:val="21"/>
              </w:rPr>
              <w:t>数据质控服务</w:t>
            </w:r>
          </w:p>
        </w:tc>
        <w:tc>
          <w:tcPr>
            <w:tcW w:type="dxa" w:w="3205"/>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spacing w:after="60"/>
              <w:jc w:val="center"/>
            </w:pPr>
            <w:r>
              <w:rPr>
                <w:sz w:val="21"/>
              </w:rPr>
              <w:t>数据质控服务</w:t>
            </w:r>
          </w:p>
        </w:tc>
        <w:tc>
          <w:tcPr>
            <w:tcW w:type="dxa" w:w="874"/>
            <w:vMerge/>
            <w:tcBorders>
              <w:top w:val="none" w:color="000000" w:sz="4"/>
              <w:left w:val="single" w:color="000000" w:sz="4"/>
              <w:bottom w:val="single" w:color="000000" w:sz="4"/>
              <w:right w:val="single" w:color="000000" w:sz="4"/>
            </w:tcBorders>
          </w:tcPr>
          <w:p/>
        </w:tc>
        <w:tc>
          <w:tcPr>
            <w:tcW w:type="dxa" w:w="888"/>
            <w:vMerge/>
            <w:tcBorders>
              <w:top w:val="none" w:color="000000" w:sz="4"/>
              <w:left w:val="single" w:color="000000" w:sz="4"/>
              <w:bottom w:val="single" w:color="000000" w:sz="4"/>
              <w:right w:val="single" w:color="000000" w:sz="4"/>
            </w:tcBorders>
          </w:tcPr>
          <w:p/>
        </w:tc>
      </w:tr>
      <w:tr>
        <w:tc>
          <w:tcPr>
            <w:tcW w:type="dxa" w:w="104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numPr>
                <w:ilvl w:val="0"/>
                <w:numId w:val="1"/>
              </w:numPr>
              <w:spacing w:after="60"/>
              <w:jc w:val="center"/>
            </w:pPr>
          </w:p>
        </w:tc>
        <w:tc>
          <w:tcPr>
            <w:tcW w:type="dxa" w:w="3176"/>
            <w:vMerge/>
            <w:tcBorders>
              <w:top w:val="none" w:color="000000" w:sz="4"/>
              <w:left w:val="single" w:color="000000" w:sz="4"/>
              <w:bottom w:val="single" w:color="000000" w:sz="4"/>
              <w:right w:val="single" w:color="000000" w:sz="4"/>
            </w:tcBorders>
          </w:tcPr>
          <w:p/>
        </w:tc>
        <w:tc>
          <w:tcPr>
            <w:tcW w:type="dxa" w:w="323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spacing w:after="60"/>
              <w:jc w:val="center"/>
            </w:pPr>
            <w:r>
              <w:rPr>
                <w:sz w:val="21"/>
              </w:rPr>
              <w:t>数据安全服务</w:t>
            </w:r>
          </w:p>
        </w:tc>
        <w:tc>
          <w:tcPr>
            <w:tcW w:type="dxa" w:w="3205"/>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spacing w:after="60"/>
              <w:jc w:val="center"/>
            </w:pPr>
            <w:r>
              <w:rPr>
                <w:sz w:val="21"/>
              </w:rPr>
              <w:t>数据脱敏要求</w:t>
            </w:r>
          </w:p>
        </w:tc>
        <w:tc>
          <w:tcPr>
            <w:tcW w:type="dxa" w:w="874"/>
            <w:vMerge/>
            <w:tcBorders>
              <w:top w:val="none" w:color="000000" w:sz="4"/>
              <w:left w:val="single" w:color="000000" w:sz="4"/>
              <w:bottom w:val="single" w:color="000000" w:sz="4"/>
              <w:right w:val="single" w:color="000000" w:sz="4"/>
            </w:tcBorders>
          </w:tcPr>
          <w:p/>
        </w:tc>
        <w:tc>
          <w:tcPr>
            <w:tcW w:type="dxa" w:w="888"/>
            <w:vMerge/>
            <w:tcBorders>
              <w:top w:val="none" w:color="000000" w:sz="4"/>
              <w:left w:val="single" w:color="000000" w:sz="4"/>
              <w:bottom w:val="single" w:color="000000" w:sz="4"/>
              <w:right w:val="single" w:color="000000" w:sz="4"/>
            </w:tcBorders>
          </w:tcPr>
          <w:p/>
        </w:tc>
      </w:tr>
      <w:tr>
        <w:tc>
          <w:tcPr>
            <w:tcW w:type="dxa" w:w="104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numPr>
                <w:ilvl w:val="0"/>
                <w:numId w:val="1"/>
              </w:numPr>
              <w:spacing w:after="60"/>
              <w:jc w:val="center"/>
            </w:pPr>
          </w:p>
        </w:tc>
        <w:tc>
          <w:tcPr>
            <w:tcW w:type="dxa" w:w="3176"/>
            <w:vMerge/>
            <w:tcBorders>
              <w:top w:val="none" w:color="000000" w:sz="4"/>
              <w:left w:val="single" w:color="000000" w:sz="4"/>
              <w:bottom w:val="single" w:color="000000" w:sz="4"/>
              <w:right w:val="single" w:color="000000" w:sz="4"/>
            </w:tcBorders>
          </w:tcPr>
          <w:p/>
        </w:tc>
        <w:tc>
          <w:tcPr>
            <w:tcW w:type="dxa" w:w="323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spacing w:after="60"/>
              <w:jc w:val="center"/>
            </w:pPr>
            <w:r>
              <w:rPr>
                <w:sz w:val="21"/>
              </w:rPr>
              <w:t>数据资产管理服务</w:t>
            </w:r>
          </w:p>
        </w:tc>
        <w:tc>
          <w:tcPr>
            <w:tcW w:type="dxa" w:w="3205"/>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spacing w:after="60"/>
              <w:jc w:val="center"/>
            </w:pPr>
            <w:r>
              <w:rPr>
                <w:sz w:val="21"/>
              </w:rPr>
              <w:t>数据管理服务</w:t>
            </w:r>
          </w:p>
        </w:tc>
        <w:tc>
          <w:tcPr>
            <w:tcW w:type="dxa" w:w="874"/>
            <w:vMerge/>
            <w:tcBorders>
              <w:top w:val="none" w:color="000000" w:sz="4"/>
              <w:left w:val="single" w:color="000000" w:sz="4"/>
              <w:bottom w:val="single" w:color="000000" w:sz="4"/>
              <w:right w:val="single" w:color="000000" w:sz="4"/>
            </w:tcBorders>
          </w:tcPr>
          <w:p/>
        </w:tc>
        <w:tc>
          <w:tcPr>
            <w:tcW w:type="dxa" w:w="888"/>
            <w:vMerge/>
            <w:tcBorders>
              <w:top w:val="none" w:color="000000" w:sz="4"/>
              <w:left w:val="single" w:color="000000" w:sz="4"/>
              <w:bottom w:val="single" w:color="000000" w:sz="4"/>
              <w:right w:val="single" w:color="000000" w:sz="4"/>
            </w:tcBorders>
          </w:tcPr>
          <w:p/>
        </w:tc>
      </w:tr>
    </w:tbl>
    <w:p>
      <w:pPr>
        <w:pStyle w:val="null3"/>
        <w:spacing w:before="150" w:after="60"/>
        <w:jc w:val="left"/>
      </w:pPr>
      <w:r>
        <w:rPr>
          <w:sz w:val="28"/>
          <w:b/>
        </w:rPr>
        <w:t>二、项目技术需求</w:t>
      </w:r>
    </w:p>
    <w:p>
      <w:pPr>
        <w:pStyle w:val="null3"/>
        <w:spacing w:before="150" w:after="60"/>
        <w:jc w:val="left"/>
      </w:pPr>
      <w:r>
        <w:rPr>
          <w:sz w:val="24"/>
          <w:b/>
        </w:rPr>
        <w:t>（一）总体技术要求</w:t>
      </w:r>
    </w:p>
    <w:p>
      <w:pPr>
        <w:pStyle w:val="null3"/>
        <w:spacing w:before="150" w:after="60"/>
        <w:jc w:val="left"/>
      </w:pPr>
      <w:r>
        <w:rPr>
          <w:sz w:val="24"/>
          <w:b/>
        </w:rPr>
        <w:t>1、系统技术基本要求</w:t>
      </w:r>
    </w:p>
    <w:p>
      <w:pPr>
        <w:pStyle w:val="null3"/>
        <w:spacing w:after="60"/>
        <w:ind w:firstLine="420"/>
        <w:jc w:val="left"/>
      </w:pPr>
      <w:r>
        <w:rPr>
          <w:sz w:val="21"/>
        </w:rPr>
        <w:t>(1) 支持各类异构数据服务对接，包含但不限于：数据湖仓系统、医院临床信息系统（HIS）、各个实验室信息管理系统（LIS）、电子病历（EMR）、放疗信息化管理（MIP）、影像归档和通讯（PACS）、手术麻醉、护理、临床试验电子数据采集（EDC）、血液透析管理等临床及科研业务系统等。平台需免费对接医院现有及未来所有数据库系统，并支持通过数据湖仓的ETL（抽取-转换-加载）功能，从非结构化数据中自动提取结构化指标内容，实现医疗科研数据的标准化、语义化与高效整合，保障数据的完整性与一致性。</w:t>
      </w:r>
    </w:p>
    <w:p>
      <w:pPr>
        <w:pStyle w:val="null3"/>
        <w:spacing w:after="60"/>
        <w:ind w:firstLine="420"/>
        <w:jc w:val="left"/>
      </w:pPr>
      <w:r>
        <w:rPr>
          <w:sz w:val="21"/>
        </w:rPr>
        <w:t>(2) 支持面向B/S服务架构设计，通过已经发布的和可发现的接口为终端用户应用程序或其它服务提供服务，所有接口均免费开放。</w:t>
      </w:r>
    </w:p>
    <w:p>
      <w:pPr>
        <w:pStyle w:val="null3"/>
        <w:spacing w:after="60"/>
        <w:ind w:firstLine="420"/>
        <w:jc w:val="left"/>
      </w:pPr>
      <w:r>
        <w:rPr>
          <w:sz w:val="21"/>
        </w:rPr>
        <w:t>(3) 原始数据接入应保障数据实时性、稳定性、准确性、安全性，业务系统元数据变更、数据量异常变化对系统运行不受影响，支持24小时不间断运行。</w:t>
      </w:r>
    </w:p>
    <w:p>
      <w:pPr>
        <w:pStyle w:val="null3"/>
        <w:spacing w:after="60"/>
        <w:ind w:firstLine="420"/>
        <w:jc w:val="left"/>
      </w:pPr>
      <w:r>
        <w:rPr>
          <w:sz w:val="21"/>
        </w:rPr>
        <w:t>(4) 支持与医院信息系统数据的T+0或T+1同步。</w:t>
      </w:r>
    </w:p>
    <w:p>
      <w:pPr>
        <w:pStyle w:val="null3"/>
        <w:spacing w:before="150" w:after="60"/>
        <w:jc w:val="left"/>
      </w:pPr>
      <w:r>
        <w:rPr>
          <w:sz w:val="24"/>
          <w:b/>
        </w:rPr>
        <w:t>2、数据集成基本要求</w:t>
      </w:r>
    </w:p>
    <w:p>
      <w:pPr>
        <w:pStyle w:val="null3"/>
        <w:spacing w:after="60"/>
        <w:ind w:firstLine="420"/>
        <w:jc w:val="left"/>
      </w:pPr>
      <w:r>
        <w:rPr>
          <w:sz w:val="21"/>
        </w:rPr>
        <w:t>(1) 提供针对性的自然语言处理模型用于处理不同源数据，实现数据的后结构化；导入外院数据时，也能免费使用部署的自然语言处理模型进行后结构化；自然语言处理模型在维保期内保持更新。</w:t>
      </w:r>
    </w:p>
    <w:p>
      <w:pPr>
        <w:pStyle w:val="null3"/>
        <w:spacing w:after="60"/>
        <w:ind w:firstLine="420"/>
        <w:jc w:val="left"/>
      </w:pPr>
      <w:r>
        <w:rPr>
          <w:sz w:val="21"/>
        </w:rPr>
        <w:t>(2) 建立覆盖全院所有患者和体检人群的通用数据集，集成各业务系统自2008年以来的数据，并按通用数据集进行数据治理。</w:t>
      </w:r>
    </w:p>
    <w:p>
      <w:pPr>
        <w:pStyle w:val="null3"/>
        <w:spacing w:after="60"/>
        <w:ind w:firstLine="420"/>
        <w:jc w:val="left"/>
      </w:pPr>
      <w:r>
        <w:rPr>
          <w:sz w:val="21"/>
        </w:rPr>
        <w:t>(3) 支持研究者导入患者关联的文本、图像、影像、测序等第三方数据及随访数据，经系统处理后能进入科研数据湖仓；支持文本或表单图像的字符识别和抓取；支持抓取文本内容调动系统内现有处理模型进行后结构化处理，获得相应的信息；支持对导入的图像和影像数据进行标注；个人导入的数据可被正常检索，但具体内容可以被隐藏，数据持有人授权后可全文展现。</w:t>
      </w:r>
    </w:p>
    <w:p>
      <w:pPr>
        <w:pStyle w:val="null3"/>
        <w:spacing w:after="60"/>
        <w:ind w:firstLine="420"/>
        <w:jc w:val="left"/>
      </w:pPr>
      <w:r>
        <w:rPr>
          <w:sz w:val="21"/>
        </w:rPr>
        <w:t>(4) 支持研究者导入批量数据，需兼容不同的数据库格式、文本文件格式、XML格式、JSON等。</w:t>
      </w:r>
    </w:p>
    <w:p>
      <w:pPr>
        <w:pStyle w:val="null3"/>
        <w:spacing w:after="60"/>
        <w:ind w:firstLine="420"/>
        <w:jc w:val="left"/>
      </w:pPr>
      <w:r>
        <w:rPr>
          <w:sz w:val="21"/>
        </w:rPr>
        <w:t>（</w:t>
      </w:r>
      <w:r>
        <w:rPr>
          <w:sz w:val="21"/>
        </w:rPr>
        <w:t>5）支持EDC、生物样本库系统的数据集成能力；满足医院多模态、多源项目数据集成与管理；格式等，支持结构化数据、半结构化或非结构化数据。</w:t>
      </w:r>
    </w:p>
    <w:p>
      <w:pPr>
        <w:pStyle w:val="null3"/>
        <w:spacing w:before="150" w:after="60"/>
        <w:jc w:val="left"/>
      </w:pPr>
      <w:r>
        <w:rPr>
          <w:sz w:val="24"/>
          <w:b/>
        </w:rPr>
        <w:t>3、数据治理基本要求</w:t>
      </w:r>
    </w:p>
    <w:p>
      <w:pPr>
        <w:pStyle w:val="null3"/>
        <w:spacing w:after="60"/>
        <w:ind w:firstLine="420"/>
        <w:jc w:val="left"/>
      </w:pPr>
      <w:r>
        <w:rPr>
          <w:sz w:val="21"/>
        </w:rPr>
        <w:t>(1) 通过各种数据治理手段，结合标准的医疗术语的标准规范管理，实现数据的标准化、结构化，并在治理过程中体现完整性、准确性、一致性和有效性；重点实现，科室、病区、诊断编码、疾病、药品、检验关键业务编码的统一，支持数据清洗后的快速可视化。</w:t>
      </w:r>
    </w:p>
    <w:p>
      <w:pPr>
        <w:pStyle w:val="null3"/>
        <w:spacing w:after="60"/>
        <w:ind w:firstLine="420"/>
        <w:jc w:val="left"/>
      </w:pPr>
      <w:r>
        <w:rPr>
          <w:sz w:val="21"/>
        </w:rPr>
        <w:t>(2) 支持用户的权限的设置，明确不同等级的用户对范围数据的查看、导出、修改和审核等权限；支持外部导入数据的授权模式；支持医院管理人员方便管理各种用户的功能权限、数据访问和使用权限的定义。</w:t>
      </w:r>
    </w:p>
    <w:p>
      <w:pPr>
        <w:pStyle w:val="null3"/>
        <w:spacing w:after="60"/>
        <w:ind w:firstLine="420"/>
        <w:jc w:val="left"/>
      </w:pPr>
      <w:r>
        <w:rPr>
          <w:sz w:val="21"/>
        </w:rPr>
        <w:t>(3) 支持治理好的文本数据的溯源功能和关联性分析，能展现某具体文本数据生成任务的流程及数据元之间的关系，能快速定位其在原始数据中的位置。</w:t>
      </w:r>
    </w:p>
    <w:p>
      <w:pPr>
        <w:pStyle w:val="null3"/>
        <w:spacing w:after="60"/>
        <w:ind w:firstLine="420"/>
        <w:jc w:val="left"/>
      </w:pPr>
      <w:r>
        <w:rPr>
          <w:sz w:val="21"/>
        </w:rPr>
        <w:t>(4) 支持操作日志的记录。对所有用户建立操作记录日志，至少包括：记录访问IP地址、时间、用户名、操作涉及的模块等信息。</w:t>
      </w:r>
    </w:p>
    <w:p>
      <w:pPr>
        <w:pStyle w:val="null3"/>
        <w:spacing w:after="60"/>
        <w:ind w:firstLine="420"/>
        <w:jc w:val="left"/>
      </w:pPr>
      <w:r>
        <w:rPr>
          <w:sz w:val="21"/>
        </w:rPr>
        <w:t>(5) 研究者导入的数据需要在系统中醒目标记，导入的数据（含CRF表单等外源数据）要有明确的质控和管理方式。</w:t>
      </w:r>
    </w:p>
    <w:p>
      <w:pPr>
        <w:pStyle w:val="null3"/>
        <w:spacing w:before="150" w:after="60"/>
        <w:jc w:val="left"/>
      </w:pPr>
      <w:r>
        <w:rPr>
          <w:sz w:val="24"/>
          <w:b/>
        </w:rPr>
        <w:t>4、数据安全基本要求</w:t>
      </w:r>
    </w:p>
    <w:p>
      <w:pPr>
        <w:pStyle w:val="null3"/>
        <w:spacing w:after="60"/>
        <w:ind w:firstLine="420"/>
        <w:jc w:val="left"/>
      </w:pPr>
      <w:r>
        <w:rPr>
          <w:sz w:val="21"/>
        </w:rPr>
        <w:t>(1) 与医院信息系统对接时应遵循医院数据管理的要求，对医院生产系统进行只读访问，不对医院生产系统进行数据写入。</w:t>
      </w:r>
    </w:p>
    <w:p>
      <w:pPr>
        <w:pStyle w:val="null3"/>
        <w:spacing w:after="60"/>
        <w:ind w:firstLine="420"/>
        <w:jc w:val="left"/>
      </w:pPr>
      <w:r>
        <w:rPr>
          <w:sz w:val="21"/>
        </w:rPr>
        <w:t>(2) 系统仅允许院内部署、本地维护，保证数据不出院。</w:t>
      </w:r>
    </w:p>
    <w:p>
      <w:pPr>
        <w:pStyle w:val="null3"/>
        <w:spacing w:after="60"/>
        <w:ind w:firstLine="420"/>
        <w:jc w:val="left"/>
      </w:pPr>
      <w:r>
        <w:rPr>
          <w:sz w:val="21"/>
        </w:rPr>
        <w:t>(3) 支持患者去隐私管理。可对院内数据或个人导入数据进行科学的分类分级管理；支持数据脱敏和加密处理；支持授权后对患者个人信息进行还原，能还原个人信息数据的格式和属性，保证其可识别性和可用性。</w:t>
      </w:r>
    </w:p>
    <w:p>
      <w:pPr>
        <w:pStyle w:val="null3"/>
        <w:spacing w:after="60"/>
        <w:ind w:firstLine="420"/>
        <w:jc w:val="left"/>
      </w:pPr>
      <w:r>
        <w:rPr>
          <w:sz w:val="21"/>
        </w:rPr>
        <w:t>(4) 所有用户的密码在数据库中，采用算法加密后再保存，保证系统维护人员无法通过数据库查看到账号明文密码。</w:t>
      </w:r>
    </w:p>
    <w:p>
      <w:pPr>
        <w:pStyle w:val="null3"/>
        <w:spacing w:after="60"/>
        <w:ind w:firstLine="420"/>
        <w:jc w:val="left"/>
      </w:pPr>
      <w:r>
        <w:rPr>
          <w:sz w:val="21"/>
        </w:rPr>
        <w:t>(5) 系统建设需要满足国家要求，必须与医院现有运行系统无缝对接，本项目所建设数据库的使用不受承建公司限制，且必须免费开放。</w:t>
      </w:r>
    </w:p>
    <w:p>
      <w:pPr>
        <w:pStyle w:val="null3"/>
        <w:spacing w:before="150" w:after="60"/>
        <w:jc w:val="left"/>
      </w:pPr>
      <w:r>
        <w:rPr>
          <w:sz w:val="24"/>
          <w:b/>
        </w:rPr>
        <w:t>（二）详细功能参数技术要求</w:t>
      </w:r>
    </w:p>
    <w:p>
      <w:pPr>
        <w:pStyle w:val="null3"/>
        <w:spacing w:before="150" w:after="60"/>
        <w:jc w:val="left"/>
      </w:pPr>
      <w:r>
        <w:rPr>
          <w:sz w:val="24"/>
          <w:b/>
        </w:rPr>
        <w:t>1、数据治理</w:t>
      </w:r>
    </w:p>
    <w:p>
      <w:pPr>
        <w:pStyle w:val="null3"/>
        <w:spacing w:after="60"/>
        <w:ind w:firstLine="420"/>
        <w:jc w:val="left"/>
      </w:pPr>
      <w:r>
        <w:rPr>
          <w:sz w:val="21"/>
        </w:rPr>
        <w:t>具体数据治理功能需求如下：</w:t>
      </w:r>
    </w:p>
    <w:tbl>
      <w:tblPr>
        <w:tblW w:w="0" w:type="auto"/>
        <w:tblBorders>
          <w:top w:val="none" w:color="000000" w:sz="4"/>
          <w:left w:val="none" w:color="000000" w:sz="4"/>
          <w:bottom w:val="none" w:color="000000" w:sz="4"/>
          <w:right w:val="none" w:color="000000" w:sz="4"/>
          <w:insideH w:val="none"/>
          <w:insideV w:val="none"/>
        </w:tblBorders>
      </w:tblPr>
      <w:tblGrid>
        <w:gridCol w:w="1169"/>
        <w:gridCol w:w="1880"/>
        <w:gridCol w:w="9401"/>
      </w:tblGrid>
      <w:tr>
        <w:tc>
          <w:tcPr>
            <w:tcW w:type="dxa" w:w="1169"/>
            <w:tcBorders>
              <w:top w:val="single" w:color="000000" w:sz="4"/>
              <w:left w:val="single" w:color="000000" w:sz="4"/>
              <w:bottom w:val="single" w:color="000000" w:sz="4"/>
              <w:right w:val="single" w:color="000000" w:sz="4"/>
            </w:tcBorders>
            <w:shd w:fill="D0CECE"/>
            <w:tcMar>
              <w:top w:type="dxa" w:w="45"/>
              <w:left w:type="dxa" w:w="90"/>
              <w:bottom w:type="dxa" w:w="45"/>
              <w:right w:type="dxa" w:w="90"/>
            </w:tcMar>
            <w:vAlign w:val="top"/>
          </w:tcPr>
          <w:p>
            <w:pPr>
              <w:pStyle w:val="null3"/>
              <w:spacing w:after="60"/>
              <w:jc w:val="center"/>
            </w:pPr>
            <w:r>
              <w:rPr>
                <w:sz w:val="21"/>
                <w:b/>
              </w:rPr>
              <w:t>序号</w:t>
            </w:r>
          </w:p>
        </w:tc>
        <w:tc>
          <w:tcPr>
            <w:tcW w:type="dxa" w:w="1880"/>
            <w:tcBorders>
              <w:top w:val="single" w:color="000000" w:sz="4"/>
              <w:left w:val="single" w:color="000000" w:sz="4"/>
              <w:bottom w:val="single" w:color="000000" w:sz="4"/>
              <w:right w:val="single" w:color="000000" w:sz="4"/>
            </w:tcBorders>
            <w:shd w:fill="D0CECE"/>
            <w:tcMar>
              <w:top w:type="dxa" w:w="45"/>
              <w:left w:type="dxa" w:w="90"/>
              <w:bottom w:type="dxa" w:w="45"/>
              <w:right w:type="dxa" w:w="90"/>
            </w:tcMar>
            <w:vAlign w:val="top"/>
          </w:tcPr>
          <w:p>
            <w:pPr>
              <w:pStyle w:val="null3"/>
              <w:spacing w:after="60"/>
              <w:jc w:val="center"/>
            </w:pPr>
            <w:r>
              <w:rPr>
                <w:sz w:val="21"/>
                <w:b/>
              </w:rPr>
              <w:t>技术指标</w:t>
            </w:r>
          </w:p>
        </w:tc>
        <w:tc>
          <w:tcPr>
            <w:tcW w:type="dxa" w:w="9401"/>
            <w:tcBorders>
              <w:top w:val="single" w:color="000000" w:sz="4"/>
              <w:left w:val="single" w:color="000000" w:sz="4"/>
              <w:bottom w:val="single" w:color="000000" w:sz="4"/>
              <w:right w:val="single" w:color="000000" w:sz="4"/>
            </w:tcBorders>
            <w:shd w:fill="D0CECE"/>
            <w:tcMar>
              <w:top w:type="dxa" w:w="45"/>
              <w:left w:type="dxa" w:w="90"/>
              <w:bottom w:type="dxa" w:w="45"/>
              <w:right w:type="dxa" w:w="90"/>
            </w:tcMar>
            <w:vAlign w:val="top"/>
          </w:tcPr>
          <w:p>
            <w:pPr>
              <w:pStyle w:val="null3"/>
              <w:spacing w:after="60"/>
              <w:jc w:val="center"/>
            </w:pPr>
            <w:r>
              <w:rPr>
                <w:sz w:val="21"/>
                <w:b/>
              </w:rPr>
              <w:t>具体技术参数要求</w:t>
            </w:r>
          </w:p>
        </w:tc>
      </w:tr>
      <w:tr>
        <w:tc>
          <w:tcPr>
            <w:tcW w:type="dxa" w:w="1169"/>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numPr>
                <w:ilvl w:val="0"/>
                <w:numId w:val="2"/>
              </w:numPr>
              <w:spacing w:after="60"/>
              <w:jc w:val="left"/>
            </w:pPr>
          </w:p>
        </w:tc>
        <w:tc>
          <w:tcPr>
            <w:tcW w:type="dxa" w:w="1880"/>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spacing w:after="60"/>
              <w:jc w:val="center"/>
            </w:pPr>
            <w:r>
              <w:rPr>
                <w:sz w:val="21"/>
              </w:rPr>
              <w:t>患者主索引</w:t>
            </w:r>
          </w:p>
        </w:tc>
        <w:tc>
          <w:tcPr>
            <w:tcW w:type="dxa" w:w="940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spacing w:after="60"/>
              <w:jc w:val="left"/>
            </w:pPr>
            <w:r>
              <w:rPr>
                <w:sz w:val="21"/>
              </w:rPr>
              <w:t>▲支持患者主索引，通过智能化数据算法完成患者主索引处理；同一患者的全部信息整合到一个唯一条目下，关键要解决健康卡制度实施前，同一患者的不同住院和门诊记录。</w:t>
            </w:r>
            <w:r>
              <w:rPr>
                <w:sz w:val="21"/>
                <w:b/>
              </w:rPr>
              <w:t>（投标人需提供相关的系统功能界面截图作为证明材料）。</w:t>
            </w:r>
          </w:p>
        </w:tc>
      </w:tr>
      <w:tr>
        <w:tc>
          <w:tcPr>
            <w:tcW w:type="dxa" w:w="1169"/>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numPr>
                <w:ilvl w:val="0"/>
                <w:numId w:val="1"/>
              </w:numPr>
              <w:spacing w:after="60"/>
              <w:jc w:val="left"/>
            </w:pPr>
          </w:p>
        </w:tc>
        <w:tc>
          <w:tcPr>
            <w:tcW w:type="dxa" w:w="1880"/>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spacing w:after="60"/>
              <w:jc w:val="center"/>
            </w:pPr>
            <w:r>
              <w:rPr>
                <w:sz w:val="21"/>
              </w:rPr>
              <w:t>医学术语标准化管理</w:t>
            </w:r>
          </w:p>
        </w:tc>
        <w:tc>
          <w:tcPr>
            <w:tcW w:type="dxa" w:w="940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spacing w:after="60"/>
              <w:jc w:val="left"/>
            </w:pPr>
            <w:r>
              <w:rPr>
                <w:sz w:val="21"/>
              </w:rPr>
              <w:t>支持医学术语标准映射，术语维护、术语对照、术语概念归一、术语管理。要求定期更新，且支持基于本院实际情况的修改。</w:t>
            </w:r>
          </w:p>
        </w:tc>
      </w:tr>
      <w:tr>
        <w:tc>
          <w:tcPr>
            <w:tcW w:type="dxa" w:w="1169"/>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numPr>
                <w:ilvl w:val="0"/>
                <w:numId w:val="1"/>
              </w:numPr>
              <w:spacing w:after="60"/>
              <w:jc w:val="left"/>
            </w:pPr>
          </w:p>
        </w:tc>
        <w:tc>
          <w:tcPr>
            <w:tcW w:type="dxa" w:w="1880"/>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spacing w:after="60"/>
              <w:jc w:val="center"/>
            </w:pPr>
            <w:r>
              <w:rPr>
                <w:sz w:val="21"/>
              </w:rPr>
              <w:t>医学文本结构化</w:t>
            </w:r>
          </w:p>
        </w:tc>
        <w:tc>
          <w:tcPr>
            <w:tcW w:type="dxa" w:w="940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spacing w:after="60"/>
              <w:jc w:val="left"/>
            </w:pPr>
            <w:r>
              <w:rPr>
                <w:sz w:val="21"/>
              </w:rPr>
              <w:t>支持医学文本结构化，支持医学文本溯源、标注、自然语言结构化术语概念归一等功能。</w:t>
            </w:r>
          </w:p>
        </w:tc>
      </w:tr>
      <w:tr>
        <w:tc>
          <w:tcPr>
            <w:tcW w:type="dxa" w:w="1169"/>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numPr>
                <w:ilvl w:val="0"/>
                <w:numId w:val="1"/>
              </w:numPr>
              <w:spacing w:after="60"/>
              <w:jc w:val="left"/>
            </w:pPr>
          </w:p>
        </w:tc>
        <w:tc>
          <w:tcPr>
            <w:tcW w:type="dxa" w:w="1880"/>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spacing w:after="60"/>
              <w:jc w:val="center"/>
            </w:pPr>
            <w:r>
              <w:rPr>
                <w:sz w:val="21"/>
              </w:rPr>
              <w:t>通用数据元（数据集）</w:t>
            </w:r>
          </w:p>
        </w:tc>
        <w:tc>
          <w:tcPr>
            <w:tcW w:type="dxa" w:w="940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spacing w:after="60"/>
              <w:jc w:val="left"/>
            </w:pPr>
            <w:r>
              <w:rPr>
                <w:sz w:val="21"/>
              </w:rPr>
              <w:t xml:space="preserve"> </w:t>
            </w:r>
            <w:r>
              <w:rPr>
                <w:sz w:val="21"/>
              </w:rPr>
              <w:t>基于医学术语标准化的深度治理，形成全院可用的通用科研数据层。厂商需提供治理后的全院通用数据元清单。</w:t>
            </w:r>
            <w:r>
              <w:rPr>
                <w:sz w:val="21"/>
                <w:b/>
              </w:rPr>
              <w:t>若使用第三方授权产品，需同时提供明确的授权书，授权书应包含授权方与被授权方信息、授权范围、授权期限。</w:t>
            </w:r>
            <w:r>
              <w:rPr>
                <w:sz w:val="21"/>
                <w:b/>
              </w:rPr>
              <w:t>）</w:t>
            </w:r>
          </w:p>
        </w:tc>
      </w:tr>
      <w:tr>
        <w:tc>
          <w:tcPr>
            <w:tcW w:type="dxa" w:w="1169"/>
            <w:vMerge w:val="restart"/>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numPr>
                <w:ilvl w:val="0"/>
                <w:numId w:val="1"/>
              </w:numPr>
              <w:spacing w:after="60"/>
              <w:jc w:val="left"/>
            </w:pPr>
          </w:p>
        </w:tc>
        <w:tc>
          <w:tcPr>
            <w:tcW w:type="dxa" w:w="1880"/>
            <w:vMerge w:val="restart"/>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spacing w:after="60"/>
              <w:jc w:val="both"/>
            </w:pPr>
            <w:r>
              <w:rPr>
                <w:sz w:val="21"/>
              </w:rPr>
              <w:t>专科数据元（数据集）</w:t>
            </w:r>
          </w:p>
        </w:tc>
        <w:tc>
          <w:tcPr>
            <w:tcW w:type="dxa" w:w="940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spacing w:after="60"/>
              <w:jc w:val="left"/>
            </w:pPr>
            <w:r>
              <w:rPr>
                <w:sz w:val="21"/>
              </w:rPr>
              <w:t>建设不少于</w:t>
            </w:r>
            <w:r>
              <w:rPr>
                <w:sz w:val="21"/>
              </w:rPr>
              <w:t>1,500个可根据课题需求灵活定制的专科数据元（数据集），专科数据元指需通过非结构化数据的结构化抽取、人工审核及语义标注处理后形成的专科特征化数据单元，不包括年龄、性别、住院号等常规通用结构化数据。</w:t>
            </w:r>
          </w:p>
        </w:tc>
      </w:tr>
      <w:tr>
        <w:tc>
          <w:tcPr>
            <w:tcW w:type="dxa" w:w="1169"/>
            <w:vMerge/>
            <w:tcBorders>
              <w:top w:val="none" w:color="000000" w:sz="4"/>
              <w:left w:val="single" w:color="000000" w:sz="4"/>
              <w:bottom w:val="single" w:color="000000" w:sz="4"/>
              <w:right w:val="single" w:color="000000" w:sz="4"/>
            </w:tcBorders>
          </w:tcPr>
          <w:p/>
        </w:tc>
        <w:tc>
          <w:tcPr>
            <w:tcW w:type="dxa" w:w="1880"/>
            <w:vMerge/>
            <w:tcBorders>
              <w:top w:val="none" w:color="000000" w:sz="4"/>
              <w:left w:val="single" w:color="000000" w:sz="4"/>
              <w:bottom w:val="single" w:color="000000" w:sz="4"/>
              <w:right w:val="single" w:color="000000" w:sz="4"/>
            </w:tcBorders>
          </w:tcPr>
          <w:p/>
        </w:tc>
        <w:tc>
          <w:tcPr>
            <w:tcW w:type="dxa" w:w="940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spacing w:after="60"/>
              <w:jc w:val="left"/>
            </w:pPr>
            <w:r>
              <w:rPr>
                <w:sz w:val="21"/>
              </w:rPr>
              <w:t>▲支持通过可视化界面操作实现自助式专科数据库创建。</w:t>
            </w:r>
            <w:r>
              <w:rPr>
                <w:sz w:val="21"/>
                <w:b/>
              </w:rPr>
              <w:t>（投标人需提供相关的系统功能界面截图作为证明材料）</w:t>
            </w:r>
            <w:r>
              <w:rPr>
                <w:sz w:val="21"/>
              </w:rPr>
              <w:t>。</w:t>
            </w:r>
          </w:p>
        </w:tc>
      </w:tr>
      <w:tr>
        <w:tc>
          <w:tcPr>
            <w:tcW w:type="dxa" w:w="1169"/>
            <w:vMerge/>
            <w:tcBorders>
              <w:top w:val="none" w:color="000000" w:sz="4"/>
              <w:left w:val="single" w:color="000000" w:sz="4"/>
              <w:bottom w:val="single" w:color="000000" w:sz="4"/>
              <w:right w:val="single" w:color="000000" w:sz="4"/>
            </w:tcBorders>
          </w:tcPr>
          <w:p/>
        </w:tc>
        <w:tc>
          <w:tcPr>
            <w:tcW w:type="dxa" w:w="1880"/>
            <w:vMerge/>
            <w:tcBorders>
              <w:top w:val="none" w:color="000000" w:sz="4"/>
              <w:left w:val="single" w:color="000000" w:sz="4"/>
              <w:bottom w:val="single" w:color="000000" w:sz="4"/>
              <w:right w:val="single" w:color="000000" w:sz="4"/>
            </w:tcBorders>
          </w:tcPr>
          <w:p/>
        </w:tc>
        <w:tc>
          <w:tcPr>
            <w:tcW w:type="dxa" w:w="940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spacing w:after="60"/>
              <w:jc w:val="left"/>
            </w:pPr>
            <w:r>
              <w:rPr>
                <w:sz w:val="21"/>
              </w:rPr>
              <w:t>厂商需提供可持续更新的后结构化专用工具，并确保所有数据元（数据集）具备良好的可扩展性，以支持后续扩容和标准演进。</w:t>
            </w:r>
          </w:p>
        </w:tc>
      </w:tr>
      <w:tr>
        <w:tc>
          <w:tcPr>
            <w:tcW w:type="dxa" w:w="1169"/>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numPr>
                <w:ilvl w:val="0"/>
                <w:numId w:val="1"/>
              </w:numPr>
              <w:spacing w:after="60"/>
              <w:jc w:val="left"/>
            </w:pPr>
          </w:p>
        </w:tc>
        <w:tc>
          <w:tcPr>
            <w:tcW w:type="dxa" w:w="1880"/>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spacing w:after="60"/>
              <w:jc w:val="center"/>
            </w:pPr>
            <w:r>
              <w:rPr>
                <w:sz w:val="21"/>
              </w:rPr>
              <w:t>数据质量管理</w:t>
            </w:r>
          </w:p>
        </w:tc>
        <w:tc>
          <w:tcPr>
            <w:tcW w:type="dxa" w:w="940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spacing w:after="60"/>
              <w:jc w:val="left"/>
            </w:pPr>
            <w:r>
              <w:rPr>
                <w:sz w:val="21"/>
              </w:rPr>
              <w:t>通过设定数据质控规则与标准，开发并运行质控任务，实现对数据完整性、一致性、准确性、时效性和合理性的自动化监控。质控人员（或普通用户）可对具体数据进行质疑、标记和报告；医院管理人员可指派稽查人员或授权质控人员，对数据库纠偏、补全等，但必须留有痕迹并标识，定期自动化生成数据质控报告。</w:t>
            </w:r>
          </w:p>
        </w:tc>
      </w:tr>
      <w:tr>
        <w:tc>
          <w:tcPr>
            <w:tcW w:type="dxa" w:w="1169"/>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numPr>
                <w:ilvl w:val="0"/>
                <w:numId w:val="1"/>
              </w:numPr>
              <w:spacing w:after="60"/>
              <w:jc w:val="left"/>
            </w:pPr>
          </w:p>
        </w:tc>
        <w:tc>
          <w:tcPr>
            <w:tcW w:type="dxa" w:w="1880"/>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spacing w:after="60"/>
              <w:jc w:val="center"/>
            </w:pPr>
            <w:r>
              <w:rPr>
                <w:sz w:val="21"/>
              </w:rPr>
              <w:t>数据安全管理</w:t>
            </w:r>
          </w:p>
        </w:tc>
        <w:tc>
          <w:tcPr>
            <w:tcW w:type="dxa" w:w="940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spacing w:after="60"/>
              <w:jc w:val="left"/>
            </w:pPr>
            <w:r>
              <w:rPr>
                <w:sz w:val="21"/>
              </w:rPr>
              <w:t>▲支持数据安全管理，包括数据去隐私、数据调阅及下载的权限管理等功能。基于规则的敏感数据自动识别与加密，以及数据分级访问权限控制。</w:t>
            </w:r>
            <w:r>
              <w:rPr>
                <w:sz w:val="21"/>
                <w:b/>
              </w:rPr>
              <w:t>（投标人需提供相关的系统功能界面截图作为证明材料）。</w:t>
            </w:r>
          </w:p>
        </w:tc>
      </w:tr>
      <w:tr>
        <w:tc>
          <w:tcPr>
            <w:tcW w:type="dxa" w:w="1169"/>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numPr>
                <w:ilvl w:val="0"/>
                <w:numId w:val="1"/>
              </w:numPr>
              <w:spacing w:after="60"/>
              <w:jc w:val="left"/>
            </w:pPr>
          </w:p>
        </w:tc>
        <w:tc>
          <w:tcPr>
            <w:tcW w:type="dxa" w:w="1880"/>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spacing w:after="60"/>
              <w:jc w:val="center"/>
            </w:pPr>
            <w:r>
              <w:rPr>
                <w:sz w:val="21"/>
              </w:rPr>
              <w:t>数据资产管理</w:t>
            </w:r>
          </w:p>
        </w:tc>
        <w:tc>
          <w:tcPr>
            <w:tcW w:type="dxa" w:w="940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spacing w:after="60"/>
              <w:jc w:val="left"/>
            </w:pPr>
            <w:r>
              <w:rPr>
                <w:sz w:val="21"/>
              </w:rPr>
              <w:t>▲建立统一的数据资产分类管理体系。基于数据类型与业务场景等多个维度，构建清晰的多级分类目录，以实现数据资产的规范化、可追溯化管理，确保能够被快速定位与高效利用。</w:t>
            </w:r>
            <w:r>
              <w:rPr>
                <w:sz w:val="21"/>
                <w:b/>
              </w:rPr>
              <w:t>（投标人需提供相关的系统功能界面截图作为证明材料）。</w:t>
            </w:r>
          </w:p>
        </w:tc>
      </w:tr>
    </w:tbl>
    <w:p>
      <w:pPr>
        <w:pStyle w:val="null3"/>
        <w:spacing w:before="150" w:after="60"/>
        <w:jc w:val="left"/>
      </w:pPr>
      <w:r>
        <w:rPr>
          <w:sz w:val="24"/>
          <w:b/>
        </w:rPr>
        <w:t>2、数据检索与筛选</w:t>
      </w:r>
    </w:p>
    <w:p>
      <w:pPr>
        <w:pStyle w:val="null3"/>
        <w:spacing w:after="60"/>
        <w:ind w:firstLine="480"/>
        <w:jc w:val="left"/>
      </w:pPr>
      <w:r>
        <w:rPr>
          <w:sz w:val="21"/>
        </w:rPr>
        <w:t>提供方便快捷的检索入口，通过智能分析和切词等技术处理，检索并展现符合请求条件的患者，支持多种组合查询筛选界面，数据检索响应时间需要考察。需满足以下功能要求：</w:t>
      </w:r>
    </w:p>
    <w:tbl>
      <w:tblPr>
        <w:tblW w:w="0" w:type="auto"/>
        <w:tblBorders>
          <w:top w:val="none" w:color="000000" w:sz="4"/>
          <w:left w:val="none" w:color="000000" w:sz="4"/>
          <w:bottom w:val="none" w:color="000000" w:sz="4"/>
          <w:right w:val="none" w:color="000000" w:sz="4"/>
          <w:insideH w:val="none"/>
          <w:insideV w:val="none"/>
        </w:tblBorders>
      </w:tblPr>
      <w:tblGrid>
        <w:gridCol w:w="869"/>
        <w:gridCol w:w="839"/>
        <w:gridCol w:w="6597"/>
      </w:tblGrid>
      <w:tr>
        <w:tc>
          <w:tcPr>
            <w:tcW w:type="dxa" w:w="869"/>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spacing w:after="60"/>
              <w:jc w:val="center"/>
            </w:pPr>
            <w:r>
              <w:rPr>
                <w:sz w:val="21"/>
              </w:rPr>
              <w:t>序号</w:t>
            </w:r>
          </w:p>
        </w:tc>
        <w:tc>
          <w:tcPr>
            <w:tcW w:type="dxa" w:w="7436"/>
            <w:gridSpan w:val="2"/>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spacing w:after="60"/>
              <w:jc w:val="center"/>
            </w:pPr>
            <w:r>
              <w:rPr>
                <w:sz w:val="21"/>
              </w:rPr>
              <w:t>规格要求</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spacing w:after="60"/>
              <w:jc w:val="center"/>
            </w:pPr>
          </w:p>
        </w:tc>
        <w:tc>
          <w:tcPr>
            <w:tcW w:type="dxa" w:w="8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center"/>
            </w:pPr>
            <w:r>
              <w:rPr>
                <w:sz w:val="21"/>
              </w:rPr>
              <w:t>数据检索与筛选</w:t>
            </w:r>
          </w:p>
        </w:tc>
        <w:tc>
          <w:tcPr>
            <w:tcW w:type="dxa" w:w="65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具备一般的简单全文搜索、条件自定义的高级检索和设置检索范围的精确检索。</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全文检索采用关键词检索模式，可以设置关键词出处，如：现病史、既往史、病程记录、体格检查、影像检查、病理检查、手术记录和出院记录等。</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条件自定义的高级检索结果可以根据一般数据元进行简单筛选和排序，如：性别、年龄（分段）、就诊科室、就诊日期（分段）等。</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4"/>
              </w:rPr>
              <w:t>▲</w:t>
            </w:r>
            <w:r>
              <w:rPr>
                <w:sz w:val="21"/>
              </w:rPr>
              <w:t>高级检索可以使用通用数据元及专科数据元设置检索和筛选条件及逻辑，支持筛选条件的逐级设定（如漏斗式层级搜索），并能展现逐级检索和筛选过程中的病例数量，方便研究者对数据的探索。</w:t>
            </w:r>
            <w:r>
              <w:rPr>
                <w:sz w:val="21"/>
                <w:b/>
              </w:rPr>
              <w:t>（投标人需提供相关的系统功能界面截图作为证明材料）。</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检索及筛选过程均支持复杂的关系条件，包括且、或、非、大于、小于、介于等逻辑检索。检索及筛选过程均支持事件过滤器（包括按频次过滤、时间过滤等）和函数运算过滤器（最大值、最小值、最早、最晚、大于、小于等）。</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检索结果需要支持患者维度的展现，也就是需要显示符合检索条件的非重复患者。</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支持检索结果的一般统计展示，展示对应的患者量、病历数、人口学信息统计（性别、年龄等）、诊断排行，可以另外显示，治疗方式排行、生存结局等。</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在高级检索中支持三组以上条件对比的检索，检索结果能直观反映当前各条件下人群的分布情况。</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 xml:space="preserve"> </w:t>
            </w:r>
            <w:r>
              <w:rPr>
                <w:sz w:val="21"/>
              </w:rPr>
              <w:t>▲事件检索功能：系统支持多条件组合检索，检索范围依照用户权限自动限定，无权限数据集不可见。可通过多条件精确定义 T0 事件，并在其前后设置限定条件，组内条件支持“并且”“或者”逻辑，灵活筛选患者及相关就诊记录。检索范围可按患者全病历或单次就诊进行选择，并支持纳入与排除条件的组合使用。检索结果显示患者数、病历数及各条件下的匹配情况，便于快速完成筛选与分析。</w:t>
            </w:r>
            <w:r>
              <w:rPr>
                <w:sz w:val="21"/>
                <w:b/>
              </w:rPr>
              <w:t>（投标人需提供相关的系统功能界面截图作为证明材料）。</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使用医学自然语言处理技术，能对非结构化文本进行精确检索，支持对疾病名进行归一化搜索（支持院内字典的持续性更新），支持对导入并清洗后的外源数据进行检索。</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支持通过批量导入目标人群（例如批量导入目标患者的住院号、检查号、门诊号、健康卡号等），实现在目标人群中进行一般检索或高级检索，从而精确搜索找到符合检索条件的目标人群。</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支持将记录检索条件存为常用并另命名，已操作过的检索条件及结果可存为检索历史并另命名，运行引用常用检索和历史检索进行检索，方便研究者查看结果和再次检索。</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检索结果支持展示命中患者及病例，将命中检索条件的关联数据元高亮标记，检索结果可以自定义展示指标范围，或者被纳入具体的自建研究队列与课题项目，或者被申请导出。除标记外，纳入研究队列、课题项目或被申请导出数据均需要医院管理者审核。</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可提供检索结果报告，并通过环形图、柱状图、指标卡等方式展示患者基本特征的统计分析。同时对检出数据涉及的诊断、检查检验、用药和手术情况进行统计，并支持自定义新增变量，以查看包含该数据的患者人次。</w:t>
            </w:r>
            <w:r>
              <w:rPr>
                <w:sz w:val="21"/>
                <w:b/>
              </w:rPr>
              <w:t>（投标人需提供相关的系统功能界面截图作为证明材料）。</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支持将</w:t>
            </w:r>
            <w:r>
              <w:rPr>
                <w:sz w:val="21"/>
              </w:rPr>
              <w:t>VB，导入统计分析模块，对选定的基础数据源或专科数据源进行简单的统计分析。</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数据导出要求具有审批流程；在授权后，允许搜索结果加密脱敏后导出，支持将符合条件的病人及其数据元导出</w:t>
            </w:r>
            <w:r>
              <w:rPr>
                <w:sz w:val="21"/>
              </w:rPr>
              <w:t>EXCEL、SAS、SPSS可支持的文件类型到本地；在导出明文数据或脱敏数据、加密数据等过程中，支持根据用户权限设置和审批流程设置。</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▲支持医院管理者可根据用户权限和级别，设置搜索范围。</w:t>
            </w:r>
            <w:r>
              <w:rPr>
                <w:sz w:val="21"/>
                <w:b/>
              </w:rPr>
              <w:t>（投标人需提供相关的系统功能界面截图作为证明材料）。</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支持数据检索能够按科分类和汇总，检查检验结果能够进行字符和代码转换。</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对于多中心研究，经过审批后允许外中心数据导入，并提供简单的方式将其他中心的数据批量导入科研平台的数据湖仓内，并可以被检索到。</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支持精准识别外院检验、检查结果；支持导入外院检查、检验结果到课题队列中，相关数据能保存在医院的数据湖仓内，并可以被检索到。</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提升数据检索效率，进行全院数据检索时检索结果的反馈时间需保持在</w:t>
            </w:r>
            <w:r>
              <w:rPr>
                <w:sz w:val="21"/>
              </w:rPr>
              <w:t>5秒内。</w:t>
            </w:r>
          </w:p>
        </w:tc>
      </w:tr>
    </w:tbl>
    <w:p>
      <w:pPr>
        <w:pStyle w:val="null3"/>
        <w:spacing w:before="150" w:after="60"/>
        <w:jc w:val="left"/>
      </w:pPr>
      <w:r>
        <w:rPr>
          <w:sz w:val="24"/>
          <w:b/>
        </w:rPr>
        <w:t>3、研究队列管理</w:t>
      </w:r>
    </w:p>
    <w:p>
      <w:pPr>
        <w:pStyle w:val="null3"/>
        <w:spacing w:after="60"/>
        <w:ind w:firstLine="420"/>
        <w:jc w:val="left"/>
      </w:pPr>
      <w:r>
        <w:rPr>
          <w:sz w:val="21"/>
        </w:rPr>
        <w:t>对符合某些特定条件或者具有某些一致特征的患者列表，研究人员可通过科研平台检索出来并组建临时的研究队列，对目标患者数据进行初步探索，完成个人课题的研究。需满足以下功能要求：</w:t>
      </w:r>
    </w:p>
    <w:tbl>
      <w:tblPr>
        <w:tblW w:w="0" w:type="auto"/>
        <w:tblBorders>
          <w:top w:val="none" w:color="000000" w:sz="4"/>
          <w:left w:val="none" w:color="000000" w:sz="4"/>
          <w:bottom w:val="none" w:color="000000" w:sz="4"/>
          <w:right w:val="none" w:color="000000" w:sz="4"/>
          <w:insideH w:val="none"/>
          <w:insideV w:val="none"/>
        </w:tblBorders>
      </w:tblPr>
      <w:tblGrid>
        <w:gridCol w:w="869"/>
        <w:gridCol w:w="839"/>
        <w:gridCol w:w="6597"/>
      </w:tblGrid>
      <w:tr>
        <w:tc>
          <w:tcPr>
            <w:tcW w:type="dxa" w:w="869"/>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spacing w:after="60"/>
              <w:jc w:val="center"/>
            </w:pPr>
            <w:r>
              <w:rPr>
                <w:sz w:val="21"/>
              </w:rPr>
              <w:t>序号</w:t>
            </w:r>
          </w:p>
        </w:tc>
        <w:tc>
          <w:tcPr>
            <w:tcW w:type="dxa" w:w="7436"/>
            <w:gridSpan w:val="2"/>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spacing w:after="60"/>
              <w:jc w:val="center"/>
            </w:pPr>
            <w:r>
              <w:rPr>
                <w:sz w:val="21"/>
              </w:rPr>
              <w:t>规格要求</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spacing w:after="60"/>
              <w:jc w:val="center"/>
            </w:pPr>
          </w:p>
        </w:tc>
        <w:tc>
          <w:tcPr>
            <w:tcW w:type="dxa" w:w="8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研究队列管理</w:t>
            </w:r>
          </w:p>
        </w:tc>
        <w:tc>
          <w:tcPr>
            <w:tcW w:type="dxa" w:w="65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队列信息录入：支持多种方式录入队列信息，包括但不限于：</w:t>
            </w:r>
            <w:r>
              <w:rPr>
                <w:sz w:val="21"/>
              </w:rPr>
              <w:t>PC端手动录入、PC端批量导入、移动端录入、语音外呼结果的AI语音转写录入、以及诊疗数据字段自动填充。</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个人数据补充上传</w:t>
            </w:r>
            <w:r>
              <w:rPr>
                <w:sz w:val="21"/>
              </w:rPr>
              <w:t>: 支持通过手动录入和图片OCR识别两种方式进行上传，OCR识别方式应能将图片内容结构化录入，包括但不限于：门诊记录、门诊诊断、入院记录、出院记录、检查报告、检验报告、病理报告、手术记录。</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支持针对某个课题制定移动端信息录入功能；支持外部数据用文件方式批量导入；提供智能语音外呼功能，支持对接外部智能语音系统结果返回。</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每个授权的研究人员都可以建立临时的研究队列，并对队列进行简单的管理，可将选定队列导入关联的课题项目。</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 支持管理者对敏感数据信息加密，开启匿名化避免患者隐私泄露。</w:t>
            </w:r>
            <w:r>
              <w:rPr>
                <w:sz w:val="21"/>
                <w:b/>
              </w:rPr>
              <w:t>（投标人需提供相关的系统功能界面截图作为证明材料）。</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允许研究人员将检索得到的患者过渡性纳入临时的研究队列，支持对研究队列进行个案探索和统计分析，允许研究人员在建立正式课题前或导出数据前，观察研究队列是否符合研究要求后再进行下一步操作。</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每个常规账户默认允许建立多个研究队列，自建研究队列允许长期在线保存，但允许医院管理者设置年度审核后开放权限。</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支持对自建队列中患者进行标签标记、检索、筛选、排序等基本管理功能，但无法改变或增加任何数据。</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支持在自建队列中，对通用数据元或专科数据元进行描述性统计，并用简单的图表展示。</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支持将检索条件订阅入自建研究队列，系统会在设定的时间执行检索条件，将符合的患者自动加入相关队列，并标记为新入选患者。允许研究者核查后再正式纳入自建研究队列。</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支持自建研究队列的自动入组设置，支持自定义队列截至日期或达到样本数量自动停止加入队列。</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在授权后，自建研究队列允许下载备份或导出所选定的数据。备份的数据库文件或导出的数据中，个人信息必须加密并开启匿名化。</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离线备份的数据库文件能被系统所识别导入，并还原成指定的自建研究队列，且在后续的更新中允许系统进行查重更新。</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支持对敏感信息的导出设置额外审核。如含有人类遗传信息、影像图片、病理图片的原始文件导出必须经医院相关管理科室批准。</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允许队列研究管理中的患者信息状态中显示其他研究者录入的信息条目，但在取得录入的研究者授权前，无法显示患者具体录入的信息内容。</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允许各课题组之间授权、共享数据，任何人员可在系统查询到其他课题组已建立的数据库，但需要课题组</w:t>
            </w:r>
            <w:r>
              <w:rPr>
                <w:sz w:val="21"/>
              </w:rPr>
              <w:t>PI授权后方可将他人数据库数据纳入自己项目中。</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分级权限控制与授权机制，平台需支持对科研用户账号进行多级权限配置，实现基于用户角色、项目类型及安全级别的精细化检索与访问控制：一级账号：仅可检索、访问本课题组自有数据库；二级账号：可检索全院范围内已审核通过的课题数据库，但仅显示数据汇总信息；三级账号：可检索全院所有课题数据库（包括未审核数据库），但默认仅查看数据规模，不可浏览患者明细数据。</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非自有数据库访问限制，对非自有数据库，系统仅展示数据量与分布概况（如病例数、样本类型、数据模态等），默认不显示具体患者明细或可识别信息。若科研人员需将他人课题数据库数据纳入本项目分析，须经该数据库负责人（课题组</w:t>
            </w:r>
            <w:r>
              <w:rPr>
                <w:sz w:val="21"/>
              </w:rPr>
              <w:t>PI）授权后方可访问、提取或分析具体数据内容。所有授权操作应留痕可追溯，支持日志审计与授权记录管理。</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科研数据共享与激励体系，平台应建立科研数据贡献与共享的积分体系，对课题组及个人在数据建设、共享及开放使用方面的贡献进行量化评估。积分可依据数据上传量、质量审核通过率、他人引用次数、共享授权次数等指标计算，并可作为科研绩效考核、评优评先及科研资源分配的重要参考依据。系统应支持积分可视化展示与自动统计功能，促进科研数据开放共享与合作创新。</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▲支持利用韦恩图展示和计算不同研究队列间的交集、并集和补集关系，并可将指定人群灵活纳入新的研究队列。</w:t>
            </w:r>
            <w:r>
              <w:rPr>
                <w:sz w:val="21"/>
                <w:b/>
              </w:rPr>
              <w:t>（投标人需提供相关的系统功能界面截图作为证明材料）。</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▲支持队列指标配置可按基线时间聚合数据，聚合方式涵盖首次、末次、最大值、最小值及全量；支持多指标组配置，不同指标组可独立设定基线时间与规则。</w:t>
            </w:r>
            <w:r>
              <w:rPr>
                <w:sz w:val="21"/>
                <w:b/>
              </w:rPr>
              <w:t>（投标人需提供相关的系统功能界面截图作为证明材料）。</w:t>
            </w:r>
          </w:p>
        </w:tc>
      </w:tr>
    </w:tbl>
    <w:p>
      <w:pPr>
        <w:pStyle w:val="null3"/>
        <w:spacing w:before="150" w:after="60"/>
        <w:jc w:val="left"/>
      </w:pPr>
      <w:r>
        <w:rPr>
          <w:sz w:val="24"/>
          <w:b/>
        </w:rPr>
        <w:t>4、课题管理</w:t>
      </w:r>
    </w:p>
    <w:p>
      <w:pPr>
        <w:pStyle w:val="null3"/>
        <w:spacing w:after="60"/>
        <w:ind w:firstLine="420"/>
        <w:jc w:val="left"/>
      </w:pPr>
      <w:r>
        <w:rPr>
          <w:sz w:val="21"/>
        </w:rPr>
        <w:t>针对获批实施的课题，需要有专门的课题管理模块，能便捷管理课题内纳排患者、关注变量自动采集、患者随访和外部数据导入的等功能。需满足以下功能要求：</w:t>
      </w:r>
    </w:p>
    <w:tbl>
      <w:tblPr>
        <w:tblW w:w="0" w:type="auto"/>
        <w:tblBorders>
          <w:top w:val="none" w:color="000000" w:sz="4"/>
          <w:left w:val="none" w:color="000000" w:sz="4"/>
          <w:bottom w:val="none" w:color="000000" w:sz="4"/>
          <w:right w:val="none" w:color="000000" w:sz="4"/>
          <w:insideH w:val="none"/>
          <w:insideV w:val="none"/>
        </w:tblBorders>
      </w:tblPr>
      <w:tblGrid>
        <w:gridCol w:w="869"/>
        <w:gridCol w:w="839"/>
        <w:gridCol w:w="6597"/>
      </w:tblGrid>
      <w:tr>
        <w:tc>
          <w:tcPr>
            <w:tcW w:type="dxa" w:w="869"/>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spacing w:after="60"/>
              <w:jc w:val="center"/>
            </w:pPr>
            <w:r>
              <w:rPr>
                <w:sz w:val="21"/>
              </w:rPr>
              <w:t>序号</w:t>
            </w:r>
          </w:p>
        </w:tc>
        <w:tc>
          <w:tcPr>
            <w:tcW w:type="dxa" w:w="7436"/>
            <w:gridSpan w:val="2"/>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spacing w:after="60"/>
              <w:jc w:val="center"/>
            </w:pPr>
            <w:r>
              <w:rPr>
                <w:sz w:val="21"/>
              </w:rPr>
              <w:t>规格要求</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center"/>
            </w:pPr>
            <w:r>
              <w:rPr>
                <w:sz w:val="19"/>
              </w:rPr>
              <w:t>1.</w:t>
            </w:r>
          </w:p>
        </w:tc>
        <w:tc>
          <w:tcPr>
            <w:tcW w:type="dxa" w:w="8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课题管理</w:t>
            </w:r>
          </w:p>
        </w:tc>
        <w:tc>
          <w:tcPr>
            <w:tcW w:type="dxa" w:w="65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与现有科研管理系统关联或构建一个能完全替代现有科研管理系统的平台。</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能实现课题从立项到结题的全过程管理。每个授权的研究人员都可以建立在医院立项的课题，没有数量限制，但长期课题需要定期审核。课题负责人及授权的课题组成员具备查看课题进度，管理课题成员，管理课题描述，上传课题附件等。课题数据误删后，在约定的时间内能后台恢复。</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支持添加、修改、删除团队成员等，支持团队成员分级权限管理，根据不同权限配置用户角色的功能权限及数据权限。支持用户对敏感数据信息加密，开启匿名化避免患者隐私泄露。</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课题首页可显示入组患者数量、新增患者数（待审核患者数）、课题信息、课题组成员等信息汇总。支持添加项目描述说明及项目附件，附件支持图片、</w:t>
            </w:r>
            <w:r>
              <w:rPr>
                <w:sz w:val="21"/>
              </w:rPr>
              <w:t>pdf、MP4、word等格式文件。</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课题首页可显示关注数据元的填充率和有效值，支持用户在基础数据元或专科数据元中自定义添加关注数据元，并提供散点图、折线图、柱状图、矩形树图等展现形式和下载。</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支持自动入组，可设置纳排条件。支持展示纳入患者列表，支持搜索、删除和管理患者；支持满足纳排条件的患者每日自动更新加入，可自由配置纳排条件中止患者入组。支持纳排管理的可视化展示，显示每个纳排条件具体命中的患者数和病例数，以及每个条件的检索表达式。</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4"/>
              </w:rPr>
              <w:t>▲</w:t>
            </w:r>
            <w:r>
              <w:rPr>
                <w:sz w:val="21"/>
              </w:rPr>
              <w:t>支持组与组关系纳排，可支持多种数据范围的纳排（同病人：患者所有病历数据；同就诊：同一次就诊所有数据；同报告：一份报告单上的数据）。（投标人需提供相关的系统功能界面截图作为证明材料）。</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支持手动及批量导入院外的患者到课题内；支持导入患者关联的文本、图像、影像等数据；支持文本或表单图像的字符识别和抓取，能精准识别外院检验、检查结果；支持抓取文本内容调动系统内现有处理模型进行后结构化处理，获得相应的信息；支持对导入的图像和影像数据进行标注。相关数据能保存在医院的数据湖仓内，并可以被检索到，但具体内容可以被隐藏，数据持有人授权后可全文展现。</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对于多中心研究，经过审批后允许外中心数据导入，并提供简单的方式将其他中心数据成批量导入科研平台的数据湖仓内，并可以被检索到，但具体内容可以被隐藏，数据持有人授权后可全文展现。经过审批后，能够给出外接或内置</w:t>
            </w:r>
            <w:r>
              <w:rPr>
                <w:sz w:val="21"/>
              </w:rPr>
              <w:t>r语言或者Python的调用点，不必二次下载允许计算时再导入。</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支持患者</w:t>
            </w:r>
            <w:r>
              <w:rPr>
                <w:sz w:val="21"/>
              </w:rPr>
              <w:t>360视图，展示患者的全生命周期的就诊和科研数据，同时也支持将变量数据元进行聚合分析并快速查看计算后结果（聚合方式包括首次、末次、平均值、最大值、最小值等）。</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支持进行标签标记、检索、筛选、排序等基本管理功能。支持检索后进行特征提取，包含行列转换、最大值、最小值、最早、最晚、存在、合计、平均等函数运算；支持多条过滤条件并且、或者和排除三种逻辑关系组合过滤；支持事件管理，包括按频次过滤、时间过滤等；支持复杂的组合事件，通过事件管理可以将更高级的变量筛选出来。</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支持在当前课题下创建表单，可将课题方案的设计过程通过表单制作来实现，方便数据可视化管理；表单题型应包括：单选、多选、日期选择、级联、表格题、填空题、文字提醒、自定义上传附件等；支持表格样式展示上传的附件、图片；支持表单绑定随访计划。</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支持表单中设置变量间隐藏和显示逻辑，如：当题目</w:t>
            </w:r>
            <w:r>
              <w:rPr>
                <w:sz w:val="21"/>
              </w:rPr>
              <w:t>A选择答案1时，题目B才显示，否则题目B隐藏；支持设置题目的格式属性等，如是否隐藏单位、是否允许小数点、是否允许输入文本、是否必填等。</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支持跨表单智能关联分析功能，实现一套模板内跨表单、多条件定义分支逻辑功能。当一套随访模板中具备多张表单时，其中一张表单中选项的取值有变化时，其他表单中的一些选项会智能关联显示</w:t>
            </w:r>
            <w:r>
              <w:rPr>
                <w:sz w:val="21"/>
              </w:rPr>
              <w:t>/隐藏。</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支持课题分组管理，支持分组新增、删除和编辑，提供患者分组移动，以分组的方式展示患者信息。</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支持冻结课题数据，冻结后课题数据不再更新。</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在授权后，允许课题数据的打包导出，支持文本和数字等字符数据导出成</w:t>
            </w:r>
            <w:r>
              <w:rPr>
                <w:sz w:val="21"/>
              </w:rPr>
              <w:t>Excel文件，个人信息必须加密。支持对敏感信息的导出设置额外审核。</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支持课题日志以可视化日历的方式展示，记录课题详情，便于审计回顾。</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支持新建课题引导，提供步骤，引导用户填写课题必要信息。</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对患者的全量数据，需支持数据质控，质控人员对具体数据进行质疑，并指派对于录入人员进行确认及修正，会保留全流程修改痕迹。</w:t>
            </w:r>
          </w:p>
        </w:tc>
      </w:tr>
    </w:tbl>
    <w:p>
      <w:pPr>
        <w:pStyle w:val="null3"/>
        <w:spacing w:before="150" w:after="60"/>
        <w:jc w:val="left"/>
      </w:pPr>
      <w:r>
        <w:rPr>
          <w:sz w:val="24"/>
          <w:b/>
        </w:rPr>
        <w:t>5、患者随访</w:t>
      </w:r>
    </w:p>
    <w:p>
      <w:pPr>
        <w:pStyle w:val="null3"/>
        <w:spacing w:after="60"/>
        <w:ind w:firstLine="420"/>
        <w:jc w:val="left"/>
      </w:pPr>
      <w:r>
        <w:rPr>
          <w:sz w:val="21"/>
        </w:rPr>
        <w:t>支撑以科研为目的随访数据收集，个性化配置随访表单和方案，实现智能化的随访提醒和标准化数据采集，包括医生</w:t>
      </w:r>
      <w:r>
        <w:rPr>
          <w:sz w:val="21"/>
        </w:rPr>
        <w:t>Web端与患者微信端。需满足以下功能要求：</w:t>
      </w:r>
    </w:p>
    <w:tbl>
      <w:tblPr>
        <w:tblW w:w="0" w:type="auto"/>
        <w:tblBorders>
          <w:top w:val="none" w:color="000000" w:sz="4"/>
          <w:left w:val="none" w:color="000000" w:sz="4"/>
          <w:bottom w:val="none" w:color="000000" w:sz="4"/>
          <w:right w:val="none" w:color="000000" w:sz="4"/>
          <w:insideH w:val="none"/>
          <w:insideV w:val="none"/>
        </w:tblBorders>
      </w:tblPr>
      <w:tblGrid>
        <w:gridCol w:w="869"/>
        <w:gridCol w:w="839"/>
        <w:gridCol w:w="6597"/>
      </w:tblGrid>
      <w:tr>
        <w:tc>
          <w:tcPr>
            <w:tcW w:type="dxa" w:w="869"/>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spacing w:after="60"/>
              <w:jc w:val="center"/>
            </w:pPr>
            <w:r>
              <w:rPr>
                <w:sz w:val="21"/>
              </w:rPr>
              <w:t>序号</w:t>
            </w:r>
          </w:p>
        </w:tc>
        <w:tc>
          <w:tcPr>
            <w:tcW w:type="dxa" w:w="7436"/>
            <w:gridSpan w:val="2"/>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spacing w:after="60"/>
              <w:jc w:val="center"/>
            </w:pPr>
            <w:r>
              <w:rPr>
                <w:sz w:val="21"/>
              </w:rPr>
              <w:t>规格要求</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center"/>
            </w:pPr>
            <w:r>
              <w:rPr>
                <w:sz w:val="19"/>
              </w:rPr>
              <w:t>1.</w:t>
            </w:r>
          </w:p>
        </w:tc>
        <w:tc>
          <w:tcPr>
            <w:tcW w:type="dxa" w:w="8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患者随访</w:t>
            </w:r>
          </w:p>
        </w:tc>
        <w:tc>
          <w:tcPr>
            <w:tcW w:type="dxa" w:w="65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支持课题或专病库随访员按照计划随访患者。支持课题负责人和专病库管理人员制定随访计划和相关随访模板。</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患者自动入组后，随访计划及任务全员可见，但具体值需要项目负责人授权开放。支持项目负责人或指定的随访人员进行人工核验并自主选择是否入组，针对无需继续随访的对象，可添加至过滤名单中，标记过滤原因，并可全员可见。支持自动过滤特殊标识（如死亡标识、明确拒绝随访标识等）的随访对象，不再纳入随访任务中。</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支持不同的课题共享随访计划及任务，在相互授权的基础上，允许不同课题之间共享及共同管理随访表格及随访数据，允许不同课题的负责人或授权随访人员对同一患者进行合作随访。</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系统可根据患者唯一标识判断该患者是否存在多个随访任务，若存在多个随访任务，系统自动提醒每个项目负责人对随访计划进行合并或共享。同一个患者可设定的随访计划及任务不得超过</w:t>
            </w:r>
            <w:r>
              <w:rPr>
                <w:sz w:val="21"/>
              </w:rPr>
              <w:t>3个。</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在一个课题内，支持添加一个或多个随访计划；支持随访计划设置人群分组；支持设置计划启停；对接课题表单设计模块，设置计划推送的表单；支持设置表单推送触发规则，如患者康复后推送等；支持可视化展示与录入患者随访表单。</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支持以事件为维度设置计划起始时间如出入院、手术后等，结束时间如患者死亡、康复等；支持自定义设置随访周期，及每个周期的对应随访表单；支持设置随访有效期，如</w:t>
            </w:r>
            <w:r>
              <w:rPr>
                <w:sz w:val="21"/>
              </w:rPr>
              <w:t>3年内等。</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支持设置随访方式，如微信推送、短信推送、电话访谈、医生填写等，支持根据消息模板单个或批量给患者发送消息（微信或短信）、推送表单，消息模板支持自定义配置。支持查看课题随访的工作日历，包括每天应访的患者，每天随访过期患者。支持通过线上的方式与患者进行一对一沟通，了解患者随访情况。</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支持患者通过手机号或就诊卡号等基本信息进行微信随访系统认证绑定，实现与微信的对接；支持不在科研随访项目中的患者通过扫码后直接进入随访项目中，并与院内数据进行绑定；支持已认证的患者可填写病历基本信息、上传病历图片及录音等。</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支持目录形式管理患者随访表单及当前完成情况展示；支持展示所有纳入随访计划的人群信息，包括基本信息、随访情况、计划开始状态、开始计划名称等；支持展示患者近期应访的随访表单名称、应访时间，并对临近到期的随访进行提醒。</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支持展示单个患者的随访总体进度，并对失访记录进行提醒；支持日历形式查看当前患者的计划与实际执行情况，并标记展示异常如逾期等状态的记录；支持对逾期随访计划进行补录，对不满足数据要求的随访患者标记为脱落；支持统计关键状态的患者数，包括临近逾期患者数、脱落患者数、结局患者数等。</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支持跳转患者</w:t>
            </w:r>
            <w:r>
              <w:rPr>
                <w:sz w:val="21"/>
              </w:rPr>
              <w:t>360视图查看患者在院的所有诊疗和科研信息，如病历文书、护理记录、检验检查报告等。</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支持在当前课题下创建表单，可将课题方案的设计过程通过表单制作来实现，方便数据可视化管理；表单题型应包括：单选、多选、日期选择、级联、表格题、填空题、文字提醒、自定义上传附件等；支持表格样式展示上传的附件、图片；支持表单绑定随访计划。</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支持表单中设置变量间隐藏和显示逻辑，如：当题目</w:t>
            </w:r>
            <w:r>
              <w:rPr>
                <w:sz w:val="21"/>
              </w:rPr>
              <w:t>A选择答案1时，题目B才显示，否则题目B隐藏；支持设置题目的格式属性等，如是否隐藏单位、是否允许小数点、是否允许输入文本、是否必填等。</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支持跨表单智能关联分析功能，实现一套模板内跨表单、多条件定义分支逻辑功能。当一套随访模板中具备多张表单时，其中一张表单中选项的取值有变化时，其他表单中的一些选项会智能关联显示</w:t>
            </w:r>
            <w:r>
              <w:rPr>
                <w:sz w:val="21"/>
              </w:rPr>
              <w:t>/隐藏。</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支持质控流程，提供质疑功能，如发现数据有问题时由质控员发起质疑，随访员回复质疑，协助发现完整性、准确性等数据质量问题。</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支持记录质控操作，形成质控记录；支持查看待质控列表，支持通过住院号检索，内容包括待质控变量、待解决变量、已解决变量、质控开启时间等。</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支持全院课题项目总览，能一目了然显示全院各数据总体情况和课题组数据情况。</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 xml:space="preserve"> </w:t>
            </w:r>
            <w:r>
              <w:rPr>
                <w:sz w:val="21"/>
              </w:rPr>
              <w:t>▲支持科研数据库的数据总览，包括数据集样本量、入组样本量及关键变量填充率分布；基于诊疗业务，展示病历类型、性别、年龄及诊断、用药、检查等多维度统计，实现从数据层与业务层对科研通用库的全方位透视分析。</w:t>
            </w:r>
            <w:r>
              <w:rPr>
                <w:sz w:val="21"/>
                <w:b/>
              </w:rPr>
              <w:t>（投标人需提供相关的系统功能界面截图作为证明材料）。</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厂商提供累计不少于</w:t>
            </w:r>
            <w:r>
              <w:rPr>
                <w:sz w:val="21"/>
              </w:rPr>
              <w:t>10,000人次的有效随访服务，所有随访均按标准操作流程执行，确保数据真实完整。</w:t>
            </w:r>
          </w:p>
        </w:tc>
      </w:tr>
    </w:tbl>
    <w:p>
      <w:pPr>
        <w:pStyle w:val="null3"/>
        <w:spacing w:before="150" w:after="60"/>
        <w:jc w:val="left"/>
      </w:pPr>
      <w:r>
        <w:rPr>
          <w:sz w:val="24"/>
          <w:b/>
        </w:rPr>
        <w:t>6、患者科研360视图</w:t>
      </w:r>
    </w:p>
    <w:p>
      <w:pPr>
        <w:pStyle w:val="null3"/>
        <w:spacing w:after="60"/>
        <w:ind w:firstLine="420"/>
        <w:jc w:val="left"/>
      </w:pPr>
      <w:r>
        <w:rPr>
          <w:sz w:val="21"/>
        </w:rPr>
        <w:t>患者科研</w:t>
      </w:r>
      <w:r>
        <w:rPr>
          <w:sz w:val="21"/>
        </w:rPr>
        <w:t>360视图应实现全院、全科及课题组科研数据的可视化概览展示，以科研为核心视角，围绕患者构建多维度数据全景分析体系。需满足以下功能要求：</w:t>
      </w:r>
    </w:p>
    <w:tbl>
      <w:tblPr>
        <w:tblW w:w="0" w:type="auto"/>
        <w:tblBorders>
          <w:top w:val="none" w:color="000000" w:sz="4"/>
          <w:left w:val="none" w:color="000000" w:sz="4"/>
          <w:bottom w:val="none" w:color="000000" w:sz="4"/>
          <w:right w:val="none" w:color="000000" w:sz="4"/>
          <w:insideH w:val="none"/>
          <w:insideV w:val="none"/>
        </w:tblBorders>
      </w:tblPr>
      <w:tblGrid>
        <w:gridCol w:w="869"/>
        <w:gridCol w:w="839"/>
        <w:gridCol w:w="6597"/>
      </w:tblGrid>
      <w:tr>
        <w:tc>
          <w:tcPr>
            <w:tcW w:type="dxa" w:w="869"/>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spacing w:after="60"/>
              <w:jc w:val="center"/>
            </w:pPr>
            <w:r>
              <w:rPr>
                <w:sz w:val="21"/>
              </w:rPr>
              <w:t>序号</w:t>
            </w:r>
          </w:p>
        </w:tc>
        <w:tc>
          <w:tcPr>
            <w:tcW w:type="dxa" w:w="7436"/>
            <w:gridSpan w:val="2"/>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spacing w:after="60"/>
              <w:jc w:val="center"/>
            </w:pPr>
            <w:r>
              <w:rPr>
                <w:sz w:val="21"/>
              </w:rPr>
              <w:t>规格要求</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center"/>
            </w:pPr>
            <w:r>
              <w:rPr>
                <w:sz w:val="19"/>
              </w:rPr>
              <w:t>1.</w:t>
            </w:r>
          </w:p>
        </w:tc>
        <w:tc>
          <w:tcPr>
            <w:tcW w:type="dxa" w:w="8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患者</w:t>
            </w:r>
            <w:r>
              <w:rPr>
                <w:sz w:val="21"/>
              </w:rPr>
              <w:t>360视图</w:t>
            </w:r>
          </w:p>
        </w:tc>
        <w:tc>
          <w:tcPr>
            <w:tcW w:type="dxa" w:w="65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科研数据全景展示，根据用户授权范围，以可配置看板形式展示科研数据总体分布概况，涵盖全院、科室或课题组等不同层级。展示内容应包括但不限于：患者所属系统（如消化系统、呼吸系统、循环系统等）；样本类型（如蜡块、血液、体液、组织、病理切片等）；疾病或病变类型（如肝癌、乳腺癌、宫颈癌等）；数据类型及模态（如基因组、转录组、蛋白组、影像学数据、超声、</w:t>
            </w:r>
            <w:r>
              <w:rPr>
                <w:sz w:val="21"/>
              </w:rPr>
              <w:t>PET-CT等）；以及基础人口学特征（如年龄、性别等）。实现科研数据在系统、样本、病变及多模态维度的全面展示与交叉分析。</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可视化配置与交互操作，支持用户通过鼠标勾选、拖拽、筛选等可视化交互方式，自定义组合不同维度的数据指标，动态生成复杂多变的科研可视化报表。报表布局应支持自由调整与保存，允许用户基于科研需求构建个性化的科研数据看板。</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自定义数据库概览报表，支持科研用户根据课题或研究方向自定义数据库概览报表，灵活选择展示维度与指标，生成科研专属分析视图，实现从宏观数据分布到具体病例层级的多层次科研数据洞察。</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采集全院数据，通过患者唯一标识形成患者全息视图，支持展示的数据信息包括患者基本信息、历次就诊病史、门急诊和住院诊断、检验、检查、用药</w:t>
            </w:r>
            <w:r>
              <w:rPr>
                <w:sz w:val="21"/>
              </w:rPr>
              <w:t>/非用药医嘱、病理、手术、病历文书、病案首页、体检、基因检测、生物样本等集成数据，授权后可以查看原始信息数据。</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支持以时间轴可视化方式展示患者诊疗全景包括关键诊疗行为，支持相关检验指标的变化趋势配置及视图展示。</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支持设置展示模块，包括就诊记录概要、检验检查、药物治疗、手术治疗信息；记录患者在每一个时间节点的诊断、用药、体征数据、检查、检验、治疗、手术等数据。</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允许导入的数据进入数据湖仓，并在患者</w:t>
            </w:r>
            <w:r>
              <w:rPr>
                <w:sz w:val="21"/>
              </w:rPr>
              <w:t>360视图中展现，但具体内容可以被隐藏，数据持有人授权后可全文展现。</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随访数据和全量的多模态数据收集情况在患者</w:t>
            </w:r>
            <w:r>
              <w:rPr>
                <w:sz w:val="21"/>
              </w:rPr>
              <w:t>360视图中进行展示，但具体情况需要相关课题组的授权才能展现。</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指标收藏：支持检验指标收藏功能，研究者在研究过程中，可以将自己关注的检验指标设置为重点观察来进行收藏，系统可以根据时间维度来展示这些被收藏的重点观察指标随时间维度发生的连续性趋势变化。为研究者提供指标观察便利。</w:t>
            </w:r>
          </w:p>
        </w:tc>
      </w:tr>
    </w:tbl>
    <w:p>
      <w:pPr>
        <w:pStyle w:val="null3"/>
        <w:spacing w:before="150" w:after="60"/>
        <w:jc w:val="left"/>
      </w:pPr>
      <w:r>
        <w:rPr>
          <w:sz w:val="24"/>
          <w:b/>
        </w:rPr>
        <w:t>7、统计分析</w:t>
      </w:r>
    </w:p>
    <w:p>
      <w:pPr>
        <w:pStyle w:val="null3"/>
        <w:spacing w:after="60"/>
        <w:ind w:firstLine="420"/>
        <w:jc w:val="both"/>
      </w:pPr>
      <w:r>
        <w:rPr>
          <w:sz w:val="21"/>
        </w:rPr>
        <w:t>可对科研项目数据进行数据清洗、查询以及简单的统计分析。需满足以下功能要求：</w:t>
      </w:r>
    </w:p>
    <w:tbl>
      <w:tblPr>
        <w:tblW w:w="0" w:type="auto"/>
        <w:tblBorders>
          <w:top w:val="none" w:color="000000" w:sz="4"/>
          <w:left w:val="none" w:color="000000" w:sz="4"/>
          <w:bottom w:val="none" w:color="000000" w:sz="4"/>
          <w:right w:val="none" w:color="000000" w:sz="4"/>
          <w:insideH w:val="none"/>
          <w:insideV w:val="none"/>
        </w:tblBorders>
      </w:tblPr>
      <w:tblGrid>
        <w:gridCol w:w="869"/>
        <w:gridCol w:w="839"/>
        <w:gridCol w:w="6597"/>
      </w:tblGrid>
      <w:tr>
        <w:tc>
          <w:tcPr>
            <w:tcW w:type="dxa" w:w="869"/>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spacing w:after="60"/>
              <w:jc w:val="center"/>
            </w:pPr>
            <w:r>
              <w:rPr>
                <w:sz w:val="21"/>
              </w:rPr>
              <w:t>序号</w:t>
            </w:r>
          </w:p>
        </w:tc>
        <w:tc>
          <w:tcPr>
            <w:tcW w:type="dxa" w:w="7436"/>
            <w:gridSpan w:val="2"/>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spacing w:after="60"/>
              <w:jc w:val="center"/>
            </w:pPr>
            <w:r>
              <w:rPr>
                <w:sz w:val="21"/>
              </w:rPr>
              <w:t>规格要求</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center"/>
            </w:pPr>
            <w:r>
              <w:rPr>
                <w:sz w:val="19"/>
              </w:rPr>
              <w:t>1.</w:t>
            </w:r>
          </w:p>
        </w:tc>
        <w:tc>
          <w:tcPr>
            <w:tcW w:type="dxa" w:w="8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统计分析</w:t>
            </w:r>
          </w:p>
        </w:tc>
        <w:tc>
          <w:tcPr>
            <w:tcW w:type="dxa" w:w="65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支持通过选定课题内或自建队列中的患者或分组，导入具体的元数据到待分析的数据集中；允许系统外上传和管理数据集，支持对数据集的编辑、删除操作。</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基于基线事件提供指标聚合，可按设定时机（事件前、事件后或就诊期间）及聚合规则（如首次、末次、最大值、最小值、平均值等）实现数据汇总，并支持对同类指标的批量聚合，一次设置即可生成多个指标结果。</w:t>
            </w:r>
            <w:r>
              <w:rPr>
                <w:sz w:val="21"/>
                <w:b/>
              </w:rPr>
              <w:t>（投标人需提供相关的系统功能界面截图作为证明材料）。</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支持对数据集进行数据清洗以及变量的衍生，包括缺失值填补、剔除文本、记录替换、变量分级、记录合并、类别转变量；支持对文本数据进行各类编码，包括：标签编码、目标编码等。</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支持展示清洗前和清洗后的数据分布情况，并查看清洗变量的清洗前和清洗后的对比情况；支持清洗后的衍生变量删除、重命名等。</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支持对数据集进行分组的描述统计（均值、方差、极值等），绘制离散直方图、散点图、箱型图、折线图等数据探索；支持对数据的异常值和相关性（含：皮尔逊相关、斯皮尔曼相关、肯德尔相关）进行初步探索。</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支持参数检验、方差及分布检验、非参数检验、相关性检验进行推断统计；并进行相应的统计学绘图。</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支持线性回归、非线性回归、集成回归算法、二分类算法、多分类算法、树形分类算法等统计分析算法；并进行相应的统计学绘图。</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支持神经网络、集成算法（随机森林、</w:t>
            </w:r>
            <w:r>
              <w:rPr>
                <w:sz w:val="21"/>
              </w:rPr>
              <w:t>XGBoost）等高级人工智能算法，根据不同算法提供ROC、特征重要性、特征SHAP图、混淆矩阵。</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 xml:space="preserve"> </w:t>
            </w:r>
            <w:r>
              <w:rPr>
                <w:sz w:val="21"/>
              </w:rPr>
              <w:t>▲支持多种主流机器学习算法：包括随机森林（RandomForest）、逻辑回归（LogisticRegression）、决策树（DecisionTree）、XGBoost、人工神经网络（ANN）和支持向量机（SVM），能够覆盖分类、回归、排序等多种任务场景。同时支持响应变量与预测变量的灵活配置，兼容二分、有序、无序及连续型数据。提供智能推荐与手动配置两种模式。</w:t>
            </w:r>
            <w:r>
              <w:rPr>
                <w:sz w:val="21"/>
                <w:b/>
              </w:rPr>
              <w:t>（投标人需提供相关的系统功能界面截图作为证明材料）。</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提供一键生成统计分析报告的功能，方便临床和科研使用。</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保证统计分析模块持续升级。</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多维度科研数据分析</w:t>
            </w:r>
            <w:r>
              <w:rPr>
                <w:sz w:val="21"/>
              </w:rPr>
              <w:t>:支持病种整体分析,对该病种患者的患病情况、临床诊断、治疗方法等维度构建疾病图谱并进行可视化展示，同时支持根据不同场景和业务需要，通过自定义指标（根据病种特征选取）进行组合分析以及趋势分析。</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病种人群画像，通过对病种人群的分析，以指标展示该部分群体的特点，包括人群年龄分布、性别比例、地域分布、生活习惯、职业特征等维度。支持对患者进行留存分析，按治疗规则进行患者人群分组与路径标记，打造患者流向全流程闭环分析视图。</w:t>
            </w:r>
          </w:p>
        </w:tc>
      </w:tr>
    </w:tbl>
    <w:p>
      <w:pPr>
        <w:pStyle w:val="null3"/>
        <w:spacing w:before="150" w:after="60"/>
        <w:jc w:val="left"/>
      </w:pPr>
      <w:r>
        <w:rPr>
          <w:sz w:val="24"/>
          <w:b/>
        </w:rPr>
        <w:t>8、多模态数据</w:t>
      </w:r>
    </w:p>
    <w:p>
      <w:pPr>
        <w:pStyle w:val="null3"/>
        <w:ind w:firstLine="420"/>
      </w:pPr>
      <w:r>
        <w:rPr>
          <w:sz w:val="21"/>
        </w:rPr>
        <w:t>支持多模态数据的处理、管理和应用是科研数据平台面向未来的核心功能，我院希望部署具有多模态数据采集、标准化处理、对齐与关联、初步分析和挖掘的科研数据平台：</w:t>
      </w:r>
    </w:p>
    <w:tbl>
      <w:tblPr>
        <w:tblW w:w="0" w:type="auto"/>
        <w:tblBorders>
          <w:top w:val="none" w:color="000000" w:sz="4"/>
          <w:left w:val="none" w:color="000000" w:sz="4"/>
          <w:bottom w:val="none" w:color="000000" w:sz="4"/>
          <w:right w:val="none" w:color="000000" w:sz="4"/>
          <w:insideH w:val="none"/>
          <w:insideV w:val="none"/>
        </w:tblBorders>
      </w:tblPr>
      <w:tblGrid>
        <w:gridCol w:w="869"/>
        <w:gridCol w:w="839"/>
        <w:gridCol w:w="6597"/>
      </w:tblGrid>
      <w:tr>
        <w:tc>
          <w:tcPr>
            <w:tcW w:type="dxa" w:w="869"/>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spacing w:after="60"/>
              <w:jc w:val="center"/>
            </w:pPr>
            <w:r>
              <w:rPr>
                <w:sz w:val="21"/>
              </w:rPr>
              <w:t>序号</w:t>
            </w:r>
          </w:p>
        </w:tc>
        <w:tc>
          <w:tcPr>
            <w:tcW w:type="dxa" w:w="7436"/>
            <w:gridSpan w:val="2"/>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spacing w:after="60"/>
              <w:jc w:val="center"/>
            </w:pPr>
            <w:r>
              <w:rPr>
                <w:sz w:val="21"/>
              </w:rPr>
              <w:t>规格要求</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center"/>
            </w:pPr>
            <w:r>
              <w:rPr>
                <w:sz w:val="19"/>
              </w:rPr>
              <w:t>1.</w:t>
            </w:r>
          </w:p>
        </w:tc>
        <w:tc>
          <w:tcPr>
            <w:tcW w:type="dxa" w:w="8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多模态数据</w:t>
            </w:r>
          </w:p>
        </w:tc>
        <w:tc>
          <w:tcPr>
            <w:tcW w:type="dxa" w:w="65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支持多模态数据采集与接入。对现有的影像、病理（包括数字病理）、基因测序、临床样品等图片、检测信号、视频、文本、表格等信息格式提供支持。支持将我院现有或未来新增科研多模态数据免费采集和接入，并纳入科研数据库检索、统计、分析等管理体系。</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支持实时流式接入（如生理监测、手术录像），也支持定时批量导入（基因测序、研究队列表）。</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具备自动化质量管控，在接入环节自动校验格式、缺失值，统计数据一致性与时序完整性。</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时效性高的数据保留于高性能存储，历史归档置于机械存储；影像、基因组等大文件进行对象存储；结构化指标与标注入关系型数据库。</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提供多模态预处理组件。例如影像（去噪、配准、分割、标注）；文本自然语言处理（分词、实体识别、关系抽取）；基因组（测序质控、比对、变异注释）。</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做好异构数据对齐，保证时间轴对齐、个体级关联（主索引）、空间坐标映射等重要映射关系。</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提供相关的多模态数据分析与挖掘工具，部署常见机器学习、深度学习模型（</w:t>
            </w:r>
            <w:r>
              <w:rPr>
                <w:sz w:val="21"/>
              </w:rPr>
              <w:t>CNN、Transformer、多模态融合模型）等；提供多模态研究案例库（如影像组学+基因组学关联分析、数字病理切片+电子病历预测模型），支持一键导入示例数据和范式。</w:t>
            </w:r>
          </w:p>
        </w:tc>
      </w:tr>
    </w:tbl>
    <w:p>
      <w:pPr>
        <w:pStyle w:val="null3"/>
        <w:spacing w:before="150" w:after="60"/>
        <w:jc w:val="left"/>
      </w:pPr>
      <w:r>
        <w:rPr>
          <w:sz w:val="24"/>
          <w:b/>
        </w:rPr>
        <w:t>9、患者科研样本管理</w:t>
      </w:r>
    </w:p>
    <w:p>
      <w:pPr>
        <w:pStyle w:val="null3"/>
        <w:spacing w:after="60"/>
        <w:ind w:firstLine="420"/>
        <w:jc w:val="both"/>
      </w:pPr>
      <w:r>
        <w:rPr>
          <w:sz w:val="21"/>
        </w:rPr>
        <w:t>实现全院样本库管理，需满足以下功能要求：</w:t>
      </w:r>
    </w:p>
    <w:tbl>
      <w:tblPr>
        <w:tblW w:w="0" w:type="auto"/>
        <w:tblBorders>
          <w:top w:val="none" w:color="000000" w:sz="4"/>
          <w:left w:val="none" w:color="000000" w:sz="4"/>
          <w:bottom w:val="none" w:color="000000" w:sz="4"/>
          <w:right w:val="none" w:color="000000" w:sz="4"/>
          <w:insideH w:val="none"/>
          <w:insideV w:val="none"/>
        </w:tblBorders>
      </w:tblPr>
      <w:tblGrid>
        <w:gridCol w:w="869"/>
        <w:gridCol w:w="839"/>
        <w:gridCol w:w="6597"/>
      </w:tblGrid>
      <w:tr>
        <w:tc>
          <w:tcPr>
            <w:tcW w:type="dxa" w:w="869"/>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spacing w:after="60"/>
              <w:jc w:val="center"/>
            </w:pPr>
            <w:r>
              <w:rPr>
                <w:sz w:val="21"/>
              </w:rPr>
              <w:t>序号</w:t>
            </w:r>
          </w:p>
        </w:tc>
        <w:tc>
          <w:tcPr>
            <w:tcW w:type="dxa" w:w="7436"/>
            <w:gridSpan w:val="2"/>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spacing w:after="60"/>
              <w:jc w:val="center"/>
            </w:pPr>
            <w:r>
              <w:rPr>
                <w:sz w:val="21"/>
              </w:rPr>
              <w:t>规格要求</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center"/>
            </w:pPr>
            <w:r>
              <w:rPr>
                <w:sz w:val="19"/>
              </w:rPr>
              <w:t>1.</w:t>
            </w:r>
          </w:p>
        </w:tc>
        <w:tc>
          <w:tcPr>
            <w:tcW w:type="dxa" w:w="8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患者</w:t>
            </w:r>
            <w:r>
              <w:rPr>
                <w:sz w:val="21"/>
              </w:rPr>
              <w:t>科研样本管理</w:t>
            </w:r>
          </w:p>
        </w:tc>
        <w:tc>
          <w:tcPr>
            <w:tcW w:type="dxa" w:w="65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支持样本全生命周期管理。系统能与现有样品库管理设备进行关联，包括样本录入（手动</w:t>
            </w:r>
            <w:r>
              <w:rPr>
                <w:sz w:val="21"/>
              </w:rPr>
              <w:t>/批量导入）、分配唯一ID（条形码/二维码/RFID）、能够实现记录样本类型（组织、血液、DNA等）、来源、数量、状态（可用/冻融次数/耗尽/销毁）、能够跟踪样本位置（冰箱编号、架子、盒子、行列坐标）、能够实现管理样本流转：出库申请（手动/批量导出）、审批、归还、转移、销毁记录。</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元数据管理。支持自定义字段：支持添加样本属性（如采集时间、离体时间、供体信息、浓度、体积等）；支持关联文件（上传实验报告、知情同意书、质检证书等附件）。</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支持库存可视化：包括图形化展示存储设备（冰箱、液氮罐）布局及样本占用状态、实时库存统计（按类型、位置、状态分类汇总）。</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支持查询与报表。能够用多条件组合搜索（样本组、样本源、样本类型、时间范围、供体</w:t>
            </w:r>
            <w:r>
              <w:rPr>
                <w:sz w:val="21"/>
              </w:rPr>
              <w:t>ID等）；能够自动生成库存报告、使用日志、审计追踪报表；支持数据导出格式：CSV、XML、HL7、FHIR等。</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工作流管理。支持配置审批流程（如高危样本出库需二级审核）、权限控制，可设置任务提醒：低库存预警、样本到期提醒、设备维护计划，支持电子签名。</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支持对接和展示标本库物联网管理功能。</w:t>
            </w:r>
          </w:p>
        </w:tc>
      </w:tr>
    </w:tbl>
    <w:p>
      <w:pPr>
        <w:pStyle w:val="null3"/>
        <w:spacing w:before="150" w:after="60"/>
        <w:jc w:val="left"/>
      </w:pPr>
      <w:r>
        <w:rPr>
          <w:sz w:val="24"/>
          <w:b/>
        </w:rPr>
        <w:t>10、全院临床科研信息管理</w:t>
      </w:r>
    </w:p>
    <w:p>
      <w:pPr>
        <w:pStyle w:val="null3"/>
        <w:ind w:firstLine="420"/>
      </w:pPr>
      <w:r>
        <w:rPr>
          <w:sz w:val="21"/>
        </w:rPr>
        <w:t>实现数据治理可视化，科研数据概览，科研项目数据概览，医院运营数据概览等信息，为项目决策者提供决策支持。需满足以下功能要求：</w:t>
      </w:r>
    </w:p>
    <w:tbl>
      <w:tblPr>
        <w:tblW w:w="0" w:type="auto"/>
        <w:tblBorders>
          <w:top w:val="none" w:color="000000" w:sz="4"/>
          <w:left w:val="none" w:color="000000" w:sz="4"/>
          <w:bottom w:val="none" w:color="000000" w:sz="4"/>
          <w:right w:val="none" w:color="000000" w:sz="4"/>
          <w:insideH w:val="none"/>
          <w:insideV w:val="none"/>
        </w:tblBorders>
      </w:tblPr>
      <w:tblGrid>
        <w:gridCol w:w="869"/>
        <w:gridCol w:w="839"/>
        <w:gridCol w:w="6597"/>
      </w:tblGrid>
      <w:tr>
        <w:tc>
          <w:tcPr>
            <w:tcW w:type="dxa" w:w="869"/>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spacing w:after="60"/>
              <w:jc w:val="center"/>
            </w:pPr>
            <w:r>
              <w:rPr>
                <w:sz w:val="21"/>
              </w:rPr>
              <w:t>序号</w:t>
            </w:r>
          </w:p>
        </w:tc>
        <w:tc>
          <w:tcPr>
            <w:tcW w:type="dxa" w:w="7436"/>
            <w:gridSpan w:val="2"/>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spacing w:after="60"/>
              <w:jc w:val="center"/>
            </w:pPr>
            <w:r>
              <w:rPr>
                <w:sz w:val="21"/>
              </w:rPr>
              <w:t>规格要求</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center"/>
            </w:pPr>
            <w:r>
              <w:rPr>
                <w:sz w:val="19"/>
              </w:rPr>
              <w:t>1.</w:t>
            </w:r>
          </w:p>
        </w:tc>
        <w:tc>
          <w:tcPr>
            <w:tcW w:type="dxa" w:w="8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center"/>
            </w:pPr>
            <w:r>
              <w:rPr>
                <w:sz w:val="21"/>
              </w:rPr>
              <w:t>全院临床科研信息管理</w:t>
            </w:r>
          </w:p>
        </w:tc>
        <w:tc>
          <w:tcPr>
            <w:tcW w:type="dxa" w:w="65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提供系统管理驾驶舱页面，支持数据概览，包括患者人数、就诊记录数、门诊记录数、住院记录数展示；支持硬件存储量展示；支持数据集成一览，包括数据中心总记录数、就诊数量、检查报告数量、门诊处方数量、诊断数量、检验报告数量、手术记录数、多模态数据填充量等。</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支持显示患者主索引建设进度，包括患者基本信息数、主索引数、信息字段覆盖率；支持显示数据标准化进度，包括诊断、检验和药品标准化业务数据量及归一化数据量；支持显示数据结构化进度，包括病历文书与检查报告的结构化份数；支持显示数据清洗和质控进度，包括清洗的病历报告份数和质控纠错的病历份数等。</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支持显示使用科研数据平台的情况，包括病历检索次数、队列创建数、课题创建数等。支持查看日</w:t>
            </w:r>
            <w:r>
              <w:rPr>
                <w:sz w:val="21"/>
              </w:rPr>
              <w:t>/周/月维度的累计录入字段数以及录入占比，展示科研项目列表下项目领域类型分布、项目状态分布、项目类型分布以及进行中科研项目入组人数、创建人等信息，活跃人数、科室使用情况排名。</w:t>
            </w:r>
          </w:p>
        </w:tc>
      </w:tr>
      <w:tr>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60"/>
              <w:jc w:val="center"/>
            </w:pPr>
          </w:p>
        </w:tc>
        <w:tc>
          <w:tcPr>
            <w:tcW w:type="dxa" w:w="839"/>
            <w:vMerge/>
            <w:tcBorders>
              <w:top w:val="none" w:color="000000" w:sz="4"/>
              <w:left w:val="single" w:color="000000" w:sz="4"/>
              <w:bottom w:val="single" w:color="000000" w:sz="4"/>
              <w:right w:val="single" w:color="000000" w:sz="4"/>
            </w:tcBorders>
          </w:tcPr>
          <w:p/>
        </w:tc>
        <w:tc>
          <w:tcPr>
            <w:tcW w:type="dxa" w:w="6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left"/>
            </w:pPr>
            <w:r>
              <w:rPr>
                <w:sz w:val="21"/>
              </w:rPr>
              <w:t>支持数据权限配置和审批，包括根据用户职称、职位配置全院、所在科室可以查看的数据范围；支持对于某一类患者个人信息加密，开启匿名化避免患者隐私泄露；对数据导出和质控进行审批。</w:t>
            </w:r>
          </w:p>
        </w:tc>
      </w:tr>
    </w:tbl>
    <w:p>
      <w:pPr>
        <w:pStyle w:val="null3"/>
        <w:spacing w:before="150" w:after="60"/>
        <w:jc w:val="left"/>
      </w:pPr>
      <w:r>
        <w:rPr>
          <w:sz w:val="28"/>
          <w:b/>
        </w:rPr>
        <w:t>（二）项目实施要求</w:t>
      </w:r>
    </w:p>
    <w:p>
      <w:pPr>
        <w:pStyle w:val="null3"/>
        <w:spacing w:before="105" w:after="60"/>
        <w:ind w:firstLine="480"/>
        <w:jc w:val="left"/>
      </w:pPr>
      <w:r>
        <w:rPr>
          <w:sz w:val="21"/>
        </w:rPr>
        <w:t>实施地点：江门市中心医院总院。</w:t>
      </w:r>
    </w:p>
    <w:p>
      <w:pPr>
        <w:pStyle w:val="null3"/>
        <w:spacing w:before="105" w:after="60"/>
        <w:ind w:firstLine="480"/>
        <w:jc w:val="left"/>
      </w:pPr>
      <w:r>
        <w:rPr>
          <w:sz w:val="21"/>
        </w:rPr>
        <w:t>（</w:t>
      </w:r>
      <w:r>
        <w:rPr>
          <w:sz w:val="21"/>
        </w:rPr>
        <w:t>1）总体要求： 1、为确保项目顺利实施，投标人应建立职责明确、决策有效、执行有力的项目组织机构，从组织管理方面对项目实施严格、规范和有效地控制。明确项目团队各岗位的职责，建立健全保障项目顺利实施的各项管理制度和质量保证体系，确保工程顺利实施。实施团队人员和项目经理应具有与本项目相适应的项目开发经验，并承诺在项目开发期间不得随意更换人员。 2、医疗健康关乎民生，为加强信息安全，防止数据泄漏事故的发生，本项目应根据国家、省、市信息网络安全管理的有关规定和要求实施，做好网络和信息安全保障相关工作，项目应按照信息安全等级保护三级标准进行建设。投标人应具备完善的安全保障体系（需提供承诺函）。</w:t>
      </w:r>
    </w:p>
    <w:p>
      <w:pPr>
        <w:pStyle w:val="null3"/>
        <w:spacing w:before="105" w:after="60"/>
        <w:jc w:val="left"/>
      </w:pPr>
      <w:r>
        <w:rPr>
          <w:sz w:val="21"/>
        </w:rPr>
        <w:t>（</w:t>
      </w:r>
      <w:r>
        <w:rPr>
          <w:sz w:val="21"/>
        </w:rPr>
        <w:t>2）实施组织管理要求 1、人员要求：为保障项目按质、按量、按时及有序实施，投标人应针对本项目建立一个完善和稳定的项目团队、管理机构及执行流程。</w:t>
      </w:r>
    </w:p>
    <w:p>
      <w:pPr>
        <w:pStyle w:val="null3"/>
        <w:spacing w:before="105" w:after="60"/>
        <w:jc w:val="left"/>
      </w:pPr>
      <w:r>
        <w:rPr>
          <w:sz w:val="21"/>
        </w:rPr>
        <w:t xml:space="preserve"> </w:t>
      </w:r>
      <w:r>
        <w:rPr>
          <w:sz w:val="21"/>
        </w:rPr>
        <w:t>2、项目建设期间，投标人需提供至少4名现场驻场人员，整体项目团队不少于15人。投标人需要设置项目医学支持专家组，负责项目的整体设计工作和全面负责项目的管理工作。医学支持专家组要求： 1)专家组长要求(1人)：本项目涉及复杂的医学数据治理技术和医疗领域专业知识问题，需要具备丰富的医学领域研究相关经验和经历，以承接本项目相关医疗数据业务标准建设、项目医学指标制定的数据底座的顶层设计研究工作。 2）医学支持专家组成员要求(不少于3人)：负责本项目医学需求调研梳理及承接专家组长相关医疗数据业务标准规范落地，配合本项目数据治理工作实施推进。</w:t>
      </w:r>
    </w:p>
    <w:p>
      <w:pPr>
        <w:pStyle w:val="null3"/>
        <w:spacing w:before="105" w:after="60"/>
        <w:jc w:val="left"/>
      </w:pPr>
      <w:r>
        <w:rPr>
          <w:sz w:val="21"/>
        </w:rPr>
        <w:t>3、项目实施期间，中标人如更换项目经理或关键人员，须及时通知采购人且经采购人同意后方可更换相关人员。</w:t>
      </w:r>
    </w:p>
    <w:p>
      <w:pPr>
        <w:pStyle w:val="null3"/>
        <w:spacing w:before="105" w:after="60"/>
        <w:jc w:val="left"/>
      </w:pPr>
      <w:r>
        <w:rPr>
          <w:sz w:val="21"/>
        </w:rPr>
        <w:t>4、项目实施期间，项目经理、技术负责人必须常驻采购人院内，接到采购人通知 2 小时内必须到达现场处理问题。驻场人员要求： 1）项目经理要求(1人)：具备管理大型、复杂信息系统项目和多项目的经验和能力；能根据需求组织制订项目管理计划，并能根据实际情况及时做出调整，系统地监督项目实施过程的绩效，能分析和评估项目管理计划和成果；能对项目进行风险管理，制定并适时执行风险应对措施；具有5年以上项目管理经验，具有（1）信息系统项目管理师证书、（2）数据库系统工程师证书、（3）大数据分析师（高级）</w:t>
      </w:r>
      <w:r>
        <w:rPr>
          <w:sz w:val="21"/>
        </w:rPr>
        <w:t>，</w:t>
      </w:r>
      <w:r>
        <w:rPr>
          <w:sz w:val="21"/>
        </w:rPr>
        <w:t>等相关资质。</w:t>
      </w:r>
      <w:r>
        <w:rPr>
          <w:sz w:val="21"/>
        </w:rPr>
        <w:t>2）技术负责人要求(不少于1人)：本项目基于医疗大数据平台建设，应有医疗数据类项目管理能力，能合理规划技术实施路径，协调技术团队工作，提供医学数据处理专业技术指导，需提供信息系统项目管理师证书3）医工结合系统规划师要求(不少于1人)：需要承担系统整体规划的重任，要精通信息技术，更要理解医疗业务逻辑。能够深入理解医疗数据特点、医疗业务流程，从而在系统规划中充分考虑医疗行业需求，确保数据治理、系统建设等核心环节符合医疗行业实际应用场景。需具有系统规划与管理师证书，具备医学相关专业的学历证书，以及不少于少于2年软件实施、开发经验人员。</w:t>
      </w:r>
      <w:r>
        <w:rPr>
          <w:sz w:val="21"/>
        </w:rPr>
        <w:t>4</w:t>
      </w:r>
      <w:r>
        <w:rPr>
          <w:sz w:val="21"/>
        </w:rPr>
        <w:t>）团队其他人员要求</w:t>
      </w:r>
      <w:r>
        <w:rPr>
          <w:sz w:val="21"/>
        </w:rPr>
        <w:t>(不少于</w:t>
      </w:r>
      <w:r>
        <w:rPr>
          <w:sz w:val="21"/>
        </w:rPr>
        <w:t>6</w:t>
      </w:r>
      <w:r>
        <w:rPr>
          <w:sz w:val="21"/>
        </w:rPr>
        <w:t>人</w:t>
      </w:r>
      <w:r>
        <w:rPr>
          <w:sz w:val="21"/>
        </w:rPr>
        <w:t>)：不含项目经理、技术负责人、医工结合系统规划师。团队人员需需包含系统集成工程师，具有集成项目管理工程师认证；包含数据库系统管理人员，具有数据库系统工程师证书；包含软件设计人员，应具备软件设计师证书以及不少于1年软件实施、开发经验人员。</w:t>
      </w:r>
    </w:p>
    <w:p>
      <w:pPr>
        <w:pStyle w:val="null3"/>
        <w:spacing w:before="105" w:after="60"/>
        <w:jc w:val="left"/>
      </w:pPr>
      <w:r>
        <w:rPr>
          <w:sz w:val="21"/>
        </w:rPr>
        <w:t>（</w:t>
      </w:r>
      <w:r>
        <w:rPr>
          <w:sz w:val="21"/>
        </w:rPr>
        <w:t>3）调研、部署、调试要求</w:t>
      </w:r>
      <w:r>
        <w:rPr>
          <w:sz w:val="21"/>
        </w:rPr>
        <w:t>1、项目实施过程中，中标人应根据项目进度和阶段里程碑要求，交付完善的项目成果物，在签订合同后10个月内完成需求分析、系统设计、开发测试、部署以及试运行和验收工作。 1）项目调研阶段，项目组成员常驻不低于4人，在签订合同后的2个月内完成服务器软件环境准备和项目需求调研工作，并提交本次项目建设数据元范围的调研报告； 2）全院通用科研数据治理阶段，项目组成员不低于4人，在3个月内完成全院通用数据元的治理； 3）专科数据元开发阶段，项目组成员不低于4人，每收到医院100个专科数据元需求，在1个月内完成数据元开发，累计完成不少于1500个专科自定义数据元； 4）项目试运行阶段，项目组成员不低于4人，在完成全院通用数据元开发后，第6个月内完成系统部署测试，并进入试运行； 5）项目验收阶段，项目组成员不低于2人，保障系统运行。 2、中标人按照招标文件要求，制定具体的进度计划，双方共同协商制定时间表。 3、中标人负责调研、研发、安装部署、测试所需的工具和资料，并负责指导采购人掌握和使用这些技术资料。 4、中标人有义务对采购人的技术人员提出的问题作出解答。 5、测试应进行详细记录，由中标人的技术人员交给采购人，双方签字认可后方可作为验收依据之一</w:t>
      </w:r>
      <w:r>
        <w:rPr>
          <w:sz w:val="21"/>
        </w:rPr>
        <w:t>。</w:t>
      </w:r>
      <w:r>
        <w:rPr>
          <w:sz w:val="21"/>
        </w:rPr>
        <w:t>（</w:t>
      </w:r>
      <w:r>
        <w:rPr>
          <w:sz w:val="21"/>
        </w:rPr>
        <w:t>4）培训要求 中标人应负责对用户进行全面的技术培训，使用户达到能独立进行管理、维护和故障处理等工作的水平，保证用户所使用的软件产品能够正常、安全地运行。具体培训要求包括： 1、提供针对采购单位相关业务部门管理人员、技术人员的集中培训和对第三方公司技术人员集中培训。 2、必须提供具有相应专业知识、实际工作和教学经验的培训讲师、辅导人员和相应的教材，培训所使用的语言和教材必须是中文。 3、在系统运行期间，若采购单位有其他培训要求，中标人应协助采购单位完成相关培训，并负责提供教材、电子材料及讲师。</w:t>
      </w:r>
    </w:p>
    <w:p>
      <w:pPr>
        <w:pStyle w:val="null3"/>
        <w:spacing w:before="150" w:after="60"/>
        <w:jc w:val="left"/>
      </w:pPr>
      <w:r>
        <w:rPr>
          <w:sz w:val="28"/>
          <w:b/>
        </w:rPr>
        <w:t>（三）项目服务要求</w:t>
      </w:r>
    </w:p>
    <w:p>
      <w:pPr>
        <w:pStyle w:val="null3"/>
        <w:spacing w:after="60"/>
        <w:ind w:firstLine="420"/>
        <w:jc w:val="left"/>
      </w:pPr>
      <w:r>
        <w:rPr>
          <w:sz w:val="21"/>
        </w:rPr>
        <w:t>（</w:t>
      </w:r>
      <w:r>
        <w:rPr>
          <w:sz w:val="21"/>
        </w:rPr>
        <w:t>1）免费维保期：免费维保期中标人应提供驻场人员不低于2人。针对本项目售后服务，要求自项目最终验收合格之日算起，软件系统提供三年免费维保服务：</w:t>
      </w:r>
      <w:r>
        <w:rPr>
          <w:sz w:val="21"/>
        </w:rPr>
        <w:t>软件质保期自双方代表在项目终验报告上签字之日起计算（此费用已包含在报价内，采购人不另外支付）。质保期后，如采购人要求，中标人应长期负责有偿售后服务。</w:t>
      </w:r>
    </w:p>
    <w:p>
      <w:pPr>
        <w:pStyle w:val="null3"/>
        <w:spacing w:after="60"/>
        <w:ind w:firstLine="420"/>
        <w:jc w:val="left"/>
      </w:pPr>
      <w:r>
        <w:rPr>
          <w:sz w:val="21"/>
        </w:rPr>
        <w:t>（</w:t>
      </w:r>
      <w:r>
        <w:rPr>
          <w:sz w:val="21"/>
        </w:rPr>
        <w:t>2）维保期间免费提供系统模块升级、修改、优化和接口使用，含自定义数据元新增数据清洗。</w:t>
      </w:r>
    </w:p>
    <w:p>
      <w:pPr>
        <w:pStyle w:val="null3"/>
        <w:spacing w:after="60"/>
        <w:ind w:firstLine="480"/>
        <w:jc w:val="left"/>
      </w:pPr>
      <w:r>
        <w:rPr>
          <w:sz w:val="21"/>
        </w:rPr>
        <w:t>（</w:t>
      </w:r>
      <w:r>
        <w:rPr>
          <w:sz w:val="21"/>
        </w:rPr>
        <w:t>3）维保期内，中标人须提供7天×24小时售后服务联系电话和免费技术支持。一般情况下，中标人在接到服务通知后2小时内响应，6小时内到达现场，24小时内处理完毕。若主要设备故障在24小时内仍未处理完毕，需采取应急措施解决，避免故障影响采购人的正常工作业务。此外，</w:t>
      </w:r>
      <w:r>
        <w:rPr>
          <w:sz w:val="21"/>
        </w:rPr>
        <w:t>中标人必须具有完善的售后服务机构和售后服务体系。软件系统通过终审验收后，中标人开始提供三年的运维保障服务，包含但不限于数据治理、软件版本升级、功能更新及优化、原有接口及系统改造以及维护服务，相关所有费用均包含在本次项目费用中，采</w:t>
      </w:r>
      <w:r>
        <w:rPr>
          <w:sz w:val="21"/>
        </w:rPr>
        <w:t>购人无需另行支付人工费、服务费、培训费等任何费用。</w:t>
      </w:r>
    </w:p>
    <w:p>
      <w:pPr>
        <w:pStyle w:val="null3"/>
        <w:spacing w:after="60"/>
        <w:ind w:firstLine="480"/>
        <w:jc w:val="left"/>
      </w:pPr>
      <w:r>
        <w:rPr>
          <w:sz w:val="21"/>
        </w:rPr>
        <w:t>（</w:t>
      </w:r>
      <w:r>
        <w:rPr>
          <w:sz w:val="21"/>
        </w:rPr>
        <w:t>4）系统应用软件维护，对应用软件设计在质保期内进行更新维护，并迅速恢复因某些错误操作导致的系统故障。</w:t>
      </w:r>
    </w:p>
    <w:p>
      <w:pPr>
        <w:pStyle w:val="null3"/>
        <w:spacing w:before="150" w:after="60"/>
        <w:jc w:val="left"/>
      </w:pPr>
      <w:r>
        <w:rPr>
          <w:sz w:val="28"/>
          <w:b/>
        </w:rPr>
        <w:t>三、</w:t>
      </w:r>
      <w:r>
        <w:rPr>
          <w:sz w:val="28"/>
          <w:b/>
        </w:rPr>
        <w:t>★商务要求</w:t>
      </w:r>
      <w:r>
        <w:rPr>
          <w:sz w:val="21"/>
          <w:b/>
        </w:rPr>
        <w:t xml:space="preserve"> </w:t>
      </w:r>
    </w:p>
    <w:p>
      <w:pPr>
        <w:pStyle w:val="null3"/>
        <w:spacing w:before="150" w:after="60"/>
        <w:jc w:val="left"/>
      </w:pPr>
      <w:r>
        <w:rPr>
          <w:sz w:val="21"/>
        </w:rPr>
        <w:t>（1）本项目提供的应用软件系统需基于采购人的全院数据湖平台建设，实现科研数据的统一管理和共享，科研数据成果必须入湖，形成医院数据资产。系统对接时，需要遵循医院数据湖管理要求，使用符合相关行业标准的接口规范进行系统集成。且伴随数据湖仓技术的持续演进与革新，系统务必能够无缝衔接并顺利升级至采购人所提供的前沿版本，诸如采用最新一代卓越的流式数据湖存储技术</w:t>
      </w:r>
      <w:r>
        <w:rPr>
          <w:sz w:val="21"/>
        </w:rPr>
        <w:t>Apache Paimon。</w:t>
      </w:r>
    </w:p>
    <w:p>
      <w:pPr>
        <w:pStyle w:val="null3"/>
        <w:spacing w:before="150" w:after="60"/>
        <w:jc w:val="left"/>
      </w:pPr>
      <w:r>
        <w:rPr>
          <w:sz w:val="21"/>
        </w:rPr>
        <w:t>（2）投标人项目中标价及后续维护费，包含以下数据服务费用：</w:t>
      </w:r>
      <w:r>
        <w:rPr>
          <w:sz w:val="21"/>
        </w:rPr>
        <w:t xml:space="preserve">①配合采购人通过国家《电子病历系统应用水平分级评价标准》评价要求，达到5级水平。 ②配合采购人通过国家《医院信息互联互通标准化成熟度测评》测评要求，达到五级乙等。 配合采购人通过国家“智慧医疗”、“智慧管理”、“智慧服务”要求，达到3级水平。 ③配合采购人满足三级甲等医院评审要求。 </w:t>
      </w:r>
      <w:r>
        <w:rPr>
          <w:sz w:val="21"/>
        </w:rPr>
        <w:t>④</w:t>
      </w:r>
      <w:r>
        <w:rPr>
          <w:sz w:val="21"/>
        </w:rPr>
        <w:t>配合采购人完成国家、省、市各级政府部门及国家卫健委、省卫健委、市卫健局对采购人的医联体、区域医疗等最新管理目标任务。</w:t>
      </w:r>
      <w:r>
        <w:rPr>
          <w:sz w:val="21"/>
        </w:rPr>
        <w:t>⑤</w:t>
      </w:r>
      <w:r>
        <w:rPr>
          <w:sz w:val="21"/>
        </w:rPr>
        <w:t>项目含中标人的接口费用、改造费用、嵌入费用等。</w:t>
      </w:r>
      <w:r>
        <w:rPr>
          <w:sz w:val="21"/>
        </w:rPr>
        <w:t>⑥</w:t>
      </w:r>
      <w:r>
        <w:rPr>
          <w:sz w:val="21"/>
        </w:rPr>
        <w:t>配合采购人接入单点登录建设。</w:t>
      </w:r>
      <w:r>
        <w:rPr>
          <w:sz w:val="21"/>
        </w:rPr>
        <w:t>⑦</w:t>
      </w:r>
      <w:r>
        <w:rPr>
          <w:sz w:val="21"/>
        </w:rPr>
        <w:t>配合采购人完成数据集成、界面集成。</w:t>
      </w:r>
    </w:p>
    <w:p>
      <w:pPr>
        <w:pStyle w:val="null3"/>
        <w:spacing w:before="150" w:after="60"/>
        <w:jc w:val="left"/>
      </w:pPr>
      <w:r>
        <w:rPr>
          <w:sz w:val="21"/>
        </w:rPr>
        <w:t>（3）投标人所投产品支持国  产服务器、国  产服务器操作系统、国  产客户端操作系统、国  产数据库。</w:t>
      </w:r>
    </w:p>
    <w:p>
      <w:pPr>
        <w:pStyle w:val="null3"/>
        <w:spacing w:before="150" w:after="60"/>
        <w:jc w:val="left"/>
      </w:pPr>
      <w:r>
        <w:rPr>
          <w:sz w:val="21"/>
        </w:rPr>
        <w:t>（4）软件系统符合信息安全等级保护（最新版）规定，同时应确保信息系统安全，依据国家相关法规和标准，防范和应对信息安全风险，保障网络、系统和数据的安全。</w:t>
      </w:r>
    </w:p>
    <w:p>
      <w:pPr>
        <w:pStyle w:val="null3"/>
        <w:spacing w:before="150" w:after="60"/>
        <w:jc w:val="left"/>
      </w:pPr>
      <w:r>
        <w:rPr>
          <w:sz w:val="21"/>
        </w:rPr>
        <w:t>（5）合同期内，投标人应采取必要的安全措施，保障采购人数据和系统的安全，防范各类网络安全事件的发生。投标人应建立健全的网络安全管理体系，实施严格的数据备份和恢复策略，保证系统和数据的安全性和可用性。</w:t>
      </w:r>
    </w:p>
    <w:p>
      <w:pPr>
        <w:pStyle w:val="null3"/>
        <w:spacing w:before="150" w:after="60"/>
        <w:jc w:val="left"/>
      </w:pPr>
      <w:r>
        <w:rPr>
          <w:sz w:val="21"/>
        </w:rPr>
        <w:t>（6）投标人应采取合理的安全措施，防止采购人数据和系统的非授权访问、篡改或泄漏。投标人应按照采购人的要求，落实采购人提出的安全控制措施建议，并根据采购人的安全策略进行系统配置和安全加固。</w:t>
      </w:r>
    </w:p>
    <w:p>
      <w:pPr>
        <w:pStyle w:val="null3"/>
        <w:spacing w:before="150" w:after="60"/>
        <w:jc w:val="left"/>
      </w:pPr>
      <w:r>
        <w:rPr>
          <w:sz w:val="21"/>
        </w:rPr>
        <w:t>（7）在合同期内，投标人应对所有安全事件进行记录、分析和报告，及时通知采购人并配合采购人进行事件处理和恢复工作。投标人应定期进行安全审计和检查，及时发现和处理潜在的安全风险和漏洞。</w:t>
      </w:r>
      <w:r>
        <w:rPr>
          <w:sz w:val="21"/>
        </w:rPr>
        <w:t xml:space="preserve">  </w:t>
      </w:r>
    </w:p>
    <w:p>
      <w:pPr>
        <w:pStyle w:val="null3"/>
        <w:spacing w:before="150" w:after="60"/>
        <w:jc w:val="left"/>
      </w:pPr>
      <w:r>
        <w:rPr>
          <w:sz w:val="21"/>
        </w:rPr>
        <w:t>（8）投标人应构建一套全面、高效且可靠的数据容灾备份解决方案，确保在各类灾难场景（如硬件故障、软件错误、自然灾害、人为误操作等）下，数据与软件系统能够迅速恢复正常运行，数据完整性和可用性得到有效保障，最大限度减少业务中断时间和数据损失对采购人业务运营造成的负面影响。</w:t>
      </w:r>
    </w:p>
    <w:p>
      <w:pPr>
        <w:pStyle w:val="null3"/>
        <w:spacing w:after="60"/>
        <w:jc w:val="left"/>
      </w:pPr>
      <w:r>
        <w:rPr>
          <w:sz w:val="21"/>
        </w:rPr>
        <w:t>（</w:t>
      </w:r>
      <w:r>
        <w:rPr>
          <w:sz w:val="21"/>
        </w:rPr>
        <w:t>9</w:t>
      </w:r>
      <w:r>
        <w:rPr>
          <w:sz w:val="21"/>
        </w:rPr>
        <w:t>）</w:t>
      </w:r>
      <w:r>
        <w:rPr>
          <w:sz w:val="21"/>
        </w:rPr>
        <w:t>投标人系统数据库不能加密、不能使用加密狗或其它方式限制软件使用。</w:t>
      </w:r>
    </w:p>
    <w:p>
      <w:pPr>
        <w:pStyle w:val="null3"/>
        <w:spacing w:after="60"/>
        <w:jc w:val="left"/>
      </w:pPr>
      <w:r>
        <w:rPr>
          <w:sz w:val="21"/>
        </w:rPr>
        <w:t>（</w:t>
      </w:r>
      <w:r>
        <w:rPr>
          <w:sz w:val="21"/>
        </w:rPr>
        <w:t>1</w:t>
      </w:r>
      <w:r>
        <w:rPr>
          <w:sz w:val="21"/>
        </w:rPr>
        <w:t>0</w:t>
      </w:r>
      <w:r>
        <w:rPr>
          <w:sz w:val="21"/>
        </w:rPr>
        <w:t>）</w:t>
      </w:r>
      <w:r>
        <w:rPr>
          <w:sz w:val="21"/>
        </w:rPr>
        <w:t>维保期满后，投标人必须</w:t>
      </w:r>
      <w:r>
        <w:rPr>
          <w:sz w:val="21"/>
        </w:rPr>
        <w:t>提供维护服务，维保期满后每年的维护费根据双方实际情况协商，维护费含同系列版本升级费用以及所有接</w:t>
      </w:r>
      <w:r>
        <w:rPr>
          <w:sz w:val="21"/>
        </w:rPr>
        <w:t>口费用。在免费维保期内需驻场不少于</w:t>
      </w:r>
      <w:r>
        <w:rPr>
          <w:sz w:val="21"/>
        </w:rPr>
        <w:t>4</w:t>
      </w:r>
      <w:r>
        <w:rPr>
          <w:sz w:val="21"/>
        </w:rPr>
        <w:t>人，均为开发及维护经验丰富的工程师，其中高级工程师不少于</w:t>
      </w:r>
      <w:r>
        <w:rPr>
          <w:sz w:val="21"/>
        </w:rPr>
        <w:t>1</w:t>
      </w:r>
      <w:r>
        <w:rPr>
          <w:sz w:val="21"/>
        </w:rPr>
        <w:t>人 、中级或以上工程师不少于</w:t>
      </w:r>
      <w:r>
        <w:rPr>
          <w:sz w:val="21"/>
        </w:rPr>
        <w:t>2</w:t>
      </w:r>
      <w:r>
        <w:rPr>
          <w:sz w:val="21"/>
        </w:rPr>
        <w:t>人，初级或以上工程师不少于</w:t>
      </w:r>
      <w:r>
        <w:rPr>
          <w:sz w:val="21"/>
        </w:rPr>
        <w:t>1</w:t>
      </w:r>
      <w:r>
        <w:rPr>
          <w:sz w:val="21"/>
        </w:rPr>
        <w:t>人。</w:t>
      </w:r>
    </w:p>
    <w:p>
      <w:pPr>
        <w:pStyle w:val="null3"/>
        <w:spacing w:after="60"/>
        <w:jc w:val="left"/>
      </w:pPr>
      <w:r>
        <w:rPr>
          <w:sz w:val="21"/>
        </w:rPr>
        <w:t>（</w:t>
      </w:r>
      <w:r>
        <w:rPr>
          <w:sz w:val="21"/>
        </w:rPr>
        <w:t>1</w:t>
      </w:r>
      <w:r>
        <w:rPr>
          <w:sz w:val="21"/>
        </w:rPr>
        <w:t>1</w:t>
      </w:r>
      <w:r>
        <w:rPr>
          <w:sz w:val="21"/>
        </w:rPr>
        <w:t>）</w:t>
      </w:r>
      <w:r>
        <w:rPr>
          <w:sz w:val="21"/>
        </w:rPr>
        <w:t>投标人无偿开放所有数据接口，后期不</w:t>
      </w:r>
      <w:r>
        <w:rPr>
          <w:sz w:val="21"/>
        </w:rPr>
        <w:t>再另行收取第三方任何接口费用。投标人在项目实施过程中与第三方对接产生的改造和接口费用全部由中标</w:t>
      </w:r>
      <w:r>
        <w:rPr>
          <w:sz w:val="21"/>
        </w:rPr>
        <w:t>人承担。（此费用已包含在报价内，采购人不另外支付）若本项目由投标人继续维护的，采购人所支付的年</w:t>
      </w:r>
      <w:r>
        <w:rPr>
          <w:sz w:val="21"/>
        </w:rPr>
        <w:t>维护费已经包含本项目所有接口费。</w:t>
      </w:r>
    </w:p>
    <w:p>
      <w:pPr>
        <w:pStyle w:val="null3"/>
        <w:spacing w:after="60"/>
        <w:jc w:val="left"/>
      </w:pPr>
      <w:r>
        <w:rPr>
          <w:sz w:val="21"/>
        </w:rPr>
        <w:t>（</w:t>
      </w:r>
      <w:r>
        <w:rPr>
          <w:sz w:val="21"/>
        </w:rPr>
        <w:t>1</w:t>
      </w:r>
      <w:r>
        <w:rPr>
          <w:sz w:val="21"/>
        </w:rPr>
        <w:t>2</w:t>
      </w:r>
      <w:r>
        <w:rPr>
          <w:sz w:val="21"/>
        </w:rPr>
        <w:t>）</w:t>
      </w:r>
      <w:r>
        <w:rPr>
          <w:sz w:val="21"/>
        </w:rPr>
        <w:t>本项目提供的应用软件系统与医院信息系统（包括但不限于</w:t>
      </w:r>
      <w:r>
        <w:rPr>
          <w:sz w:val="21"/>
        </w:rPr>
        <w:t>HIS</w:t>
      </w:r>
      <w:r>
        <w:rPr>
          <w:sz w:val="21"/>
        </w:rPr>
        <w:t>、</w:t>
      </w:r>
      <w:r>
        <w:rPr>
          <w:sz w:val="21"/>
        </w:rPr>
        <w:t>E MR</w:t>
      </w:r>
      <w:r>
        <w:rPr>
          <w:sz w:val="21"/>
        </w:rPr>
        <w:t>、</w:t>
      </w:r>
      <w:r>
        <w:rPr>
          <w:sz w:val="21"/>
        </w:rPr>
        <w:t>LIS</w:t>
      </w:r>
      <w:r>
        <w:rPr>
          <w:sz w:val="21"/>
        </w:rPr>
        <w:t>、</w:t>
      </w:r>
      <w:r>
        <w:rPr>
          <w:sz w:val="21"/>
        </w:rPr>
        <w:t>PACS</w:t>
      </w:r>
      <w:r>
        <w:rPr>
          <w:sz w:val="21"/>
        </w:rPr>
        <w:t>、</w:t>
      </w:r>
      <w:r>
        <w:rPr>
          <w:sz w:val="21"/>
        </w:rPr>
        <w:t>CIS</w:t>
      </w:r>
      <w:r>
        <w:rPr>
          <w:sz w:val="21"/>
        </w:rPr>
        <w:t>、病案系统、手术麻醉等各业务系统）对接时可按采购人需求基于集成平台提供的国 家标准接口方式提供对接，系统数据格式符合相关行业标准，使用集成平台统一接口与其他信息系统进行集 成对接。</w:t>
      </w:r>
    </w:p>
    <w:p>
      <w:pPr>
        <w:pStyle w:val="null3"/>
        <w:spacing w:after="60"/>
        <w:jc w:val="left"/>
      </w:pPr>
      <w:r>
        <w:rPr>
          <w:sz w:val="21"/>
        </w:rPr>
        <w:t>（</w:t>
      </w:r>
      <w:r>
        <w:rPr>
          <w:sz w:val="21"/>
        </w:rPr>
        <w:t>1</w:t>
      </w:r>
      <w:r>
        <w:rPr>
          <w:sz w:val="21"/>
        </w:rPr>
        <w:t>3</w:t>
      </w:r>
      <w:r>
        <w:rPr>
          <w:sz w:val="21"/>
        </w:rPr>
        <w:t>）</w:t>
      </w:r>
      <w:r>
        <w:rPr>
          <w:sz w:val="21"/>
        </w:rPr>
        <w:t>软件版本需要兼容并稳定运行在</w:t>
      </w:r>
      <w:r>
        <w:rPr>
          <w:sz w:val="21"/>
        </w:rPr>
        <w:t>WINDOWS</w:t>
      </w:r>
      <w:r>
        <w:rPr>
          <w:sz w:val="21"/>
        </w:rPr>
        <w:t>、各移动设备（含手机）操作系统的各个版本。</w:t>
      </w:r>
    </w:p>
    <w:p>
      <w:pPr>
        <w:pStyle w:val="null3"/>
        <w:spacing w:after="60"/>
        <w:jc w:val="left"/>
      </w:pPr>
      <w:r>
        <w:rPr>
          <w:sz w:val="21"/>
        </w:rPr>
        <w:t>（</w:t>
      </w:r>
      <w:r>
        <w:rPr>
          <w:sz w:val="21"/>
        </w:rPr>
        <w:t>1</w:t>
      </w:r>
      <w:r>
        <w:rPr>
          <w:sz w:val="21"/>
        </w:rPr>
        <w:t>4</w:t>
      </w:r>
      <w:r>
        <w:rPr>
          <w:sz w:val="21"/>
        </w:rPr>
        <w:t>）</w:t>
      </w:r>
      <w:r>
        <w:rPr>
          <w:sz w:val="21"/>
        </w:rPr>
        <w:t>投标人应与采购人签订《网络信息安全责任及保  密协议书》和《廉洁购销合同</w:t>
      </w:r>
      <w:r>
        <w:rPr>
          <w:sz w:val="21"/>
        </w:rPr>
        <w:t>》。</w:t>
      </w:r>
    </w:p>
    <w:p>
      <w:pPr>
        <w:pStyle w:val="null3"/>
        <w:spacing w:after="60"/>
        <w:jc w:val="left"/>
      </w:pPr>
      <w:r>
        <w:rPr>
          <w:sz w:val="21"/>
        </w:rPr>
        <w:t>（</w:t>
      </w:r>
      <w:r>
        <w:rPr>
          <w:sz w:val="21"/>
        </w:rPr>
        <w:t>1</w:t>
      </w:r>
      <w:r>
        <w:rPr>
          <w:sz w:val="21"/>
        </w:rPr>
        <w:t>5</w:t>
      </w:r>
      <w:r>
        <w:rPr>
          <w:sz w:val="21"/>
        </w:rPr>
        <w:t>）</w:t>
      </w:r>
      <w:r>
        <w:rPr>
          <w:sz w:val="21"/>
        </w:rPr>
        <w:t>对于投标人在其系统构建过程中所采购的第三方组件或系统，在规定的维保期内，相关版本应确</w:t>
      </w:r>
      <w:r>
        <w:rPr>
          <w:sz w:val="21"/>
        </w:rPr>
        <w:t>保能够进行更新，以保障系统的持续优化与稳定运行，维护采购人的合法权益与使用体验（此费用已包含在</w:t>
      </w:r>
      <w:r>
        <w:rPr>
          <w:sz w:val="21"/>
        </w:rPr>
        <w:t>报价内，采购人不另外支付）。</w:t>
      </w:r>
    </w:p>
    <w:p>
      <w:pPr>
        <w:pStyle w:val="null3"/>
        <w:spacing w:after="60"/>
        <w:jc w:val="left"/>
      </w:pPr>
      <w:r>
        <w:rPr>
          <w:sz w:val="21"/>
        </w:rPr>
        <w:t>（</w:t>
      </w:r>
      <w:r>
        <w:rPr>
          <w:sz w:val="21"/>
        </w:rPr>
        <w:t>1</w:t>
      </w:r>
      <w:r>
        <w:rPr>
          <w:sz w:val="21"/>
        </w:rPr>
        <w:t>6</w:t>
      </w:r>
      <w:r>
        <w:rPr>
          <w:sz w:val="21"/>
        </w:rPr>
        <w:t>）</w:t>
      </w:r>
      <w:r>
        <w:rPr>
          <w:sz w:val="21"/>
        </w:rPr>
        <w:t>中标人不得以任何方式转包或分包本项目。</w:t>
      </w:r>
    </w:p>
    <w:p>
      <w:pPr>
        <w:pStyle w:val="null3"/>
        <w:spacing w:after="60"/>
        <w:jc w:val="left"/>
      </w:pPr>
      <w:r>
        <w:rPr>
          <w:sz w:val="21"/>
        </w:rPr>
        <w:t>（</w:t>
      </w:r>
      <w:r>
        <w:rPr>
          <w:sz w:val="21"/>
        </w:rPr>
        <w:t>1</w:t>
      </w:r>
      <w:r>
        <w:rPr>
          <w:sz w:val="21"/>
        </w:rPr>
        <w:t>7</w:t>
      </w:r>
      <w:r>
        <w:rPr>
          <w:sz w:val="21"/>
        </w:rPr>
        <w:t>）</w:t>
      </w:r>
      <w:r>
        <w:rPr>
          <w:sz w:val="21"/>
        </w:rPr>
        <w:t>本项目所涉及的所有软件系统应基于成熟的</w:t>
      </w:r>
      <w:r>
        <w:rPr>
          <w:sz w:val="21"/>
        </w:rPr>
        <w:t xml:space="preserve"> B/S</w:t>
      </w:r>
      <w:r>
        <w:rPr>
          <w:sz w:val="21"/>
        </w:rPr>
        <w:t xml:space="preserve">（浏览器 </w:t>
      </w:r>
      <w:r>
        <w:rPr>
          <w:sz w:val="21"/>
        </w:rPr>
        <w:t xml:space="preserve">/ </w:t>
      </w:r>
      <w:r>
        <w:rPr>
          <w:sz w:val="21"/>
        </w:rPr>
        <w:t>服务器）架构进行设 计与开发，以此确保系统在架构层面拥有稳固根基，具备高可扩展性、便捷的维护性以及良好的用户交互体 验等特性，为项目的高效推进与长远发展提供坚实有力的支撑，有力保障系统在各类复杂应用场景下均能稳定、可靠且高效地运行。</w:t>
      </w:r>
    </w:p>
    <w:p>
      <w:pPr>
        <w:pStyle w:val="null3"/>
        <w:spacing w:after="60"/>
        <w:jc w:val="left"/>
      </w:pPr>
      <w:r>
        <w:rPr>
          <w:sz w:val="21"/>
        </w:rPr>
        <w:t>（</w:t>
      </w:r>
      <w:r>
        <w:rPr>
          <w:sz w:val="21"/>
        </w:rPr>
        <w:t>1</w:t>
      </w:r>
      <w:r>
        <w:rPr>
          <w:sz w:val="21"/>
        </w:rPr>
        <w:t>8</w:t>
      </w:r>
      <w:r>
        <w:rPr>
          <w:sz w:val="21"/>
        </w:rPr>
        <w:t>）本项目实施过程中，中标人与院方</w:t>
      </w:r>
      <w:r>
        <w:rPr>
          <w:sz w:val="21"/>
        </w:rPr>
        <w:t>HIS</w:t>
      </w:r>
      <w:r>
        <w:rPr>
          <w:sz w:val="21"/>
        </w:rPr>
        <w:t>系统、医院其他系统的开发对接产生的开发费用、接口费用、所有设备施工安装调试费用或其他费用由中标人承担</w:t>
      </w:r>
      <w:r>
        <w:rPr>
          <w:sz w:val="21"/>
        </w:rPr>
        <w:t>,</w:t>
      </w:r>
      <w:r>
        <w:rPr>
          <w:sz w:val="21"/>
        </w:rPr>
        <w:t>采购人不再支付；投标人必须承诺投标报价应为人民币含税全包价，包括所投产品的设计、开发、测试、运输、安装调试、第三方接口开发调试、对接、验收、培训、三年质保期内软件系统升级和个性化改造、售后服务及相关服务等一切费用。所投产品开发过程中若涉及第三方的知识产权，其使用过程所产生的一切费用应包含在本次投标报价内。本项目覆盖医院新、旧院区应用，系统本地化部署。</w:t>
      </w:r>
    </w:p>
    <w:p>
      <w:pPr>
        <w:pStyle w:val="null3"/>
        <w:spacing w:after="60"/>
        <w:jc w:val="left"/>
      </w:pPr>
      <w:r>
        <w:rPr>
          <w:sz w:val="28"/>
          <w:b/>
        </w:rPr>
        <w:t>四、演示要求</w:t>
      </w:r>
    </w:p>
    <w:p>
      <w:pPr>
        <w:pStyle w:val="null3"/>
        <w:spacing w:before="150" w:after="60"/>
        <w:jc w:val="left"/>
      </w:pPr>
      <w:r>
        <w:rPr>
          <w:sz w:val="21"/>
          <w:b/>
        </w:rPr>
        <w:t>1、数据质量管理</w:t>
      </w:r>
    </w:p>
    <w:p>
      <w:pPr>
        <w:pStyle w:val="null3"/>
        <w:spacing w:after="60"/>
        <w:ind w:firstLine="480"/>
        <w:jc w:val="both"/>
      </w:pPr>
      <w:r>
        <w:rPr>
          <w:sz w:val="21"/>
        </w:rPr>
        <w:t>①支持对数据质控规则进行管理，提供不低于100条的质控规则模板，支持对格式校验进行正则表达式配置及样例数据测试；支持范围校验进行预期范围设置；支持最值校验进行最值范围设置；支持值域校验选择标准术语规范（提供不低于20项可引入的医疗信息化相关术语）进行值域选项设置，并支持拖拉配置校验的合格阈值。</w:t>
      </w:r>
    </w:p>
    <w:p>
      <w:pPr>
        <w:pStyle w:val="null3"/>
        <w:spacing w:after="60"/>
        <w:ind w:firstLine="480"/>
        <w:jc w:val="both"/>
      </w:pPr>
      <w:r>
        <w:rPr>
          <w:sz w:val="21"/>
        </w:rPr>
        <w:t xml:space="preserve">②支持对质控任务进行管理，支持以数据表为单位进行任务配置，支持表级规则和字段集规则配置，包括可以从规则库中选择规则模板，根据字段格式类型，在同一页面进行空值校验、重复校验、格式校验、值域校验、最值校验、范围校验、固定值校验、自定义校验等规则配置。 </w:t>
      </w:r>
    </w:p>
    <w:p>
      <w:pPr>
        <w:pStyle w:val="null3"/>
        <w:spacing w:after="60"/>
        <w:ind w:firstLine="480"/>
        <w:jc w:val="both"/>
      </w:pPr>
      <w:r>
        <w:rPr>
          <w:sz w:val="21"/>
        </w:rPr>
        <w:t>③现场演示配置实时生成库级数据质控报告，包括明细质控报告、异常质控报告、对比质控报告三种类型报告，支持在明细报告中展示质控总体结果，各项表和字段的合格率、质控结论，能够下载PDF或者Word质控报告，支持异常质控报告提供问题数据查看及问题数据下载功能，支持在对比质控报告中查看前后两次质控时间超过1个月的对比质控报告，包括完整性、一致性、整合性、合规性、及时性、唯一性等维度展示，以对比图展示两次质控结果对比情况、两次健康质量对比图（包括展示得分比对图表，规则大类通过情况对比表格展示通过率提升结果）、展示质控明细对比情况等。</w:t>
      </w:r>
    </w:p>
    <w:p>
      <w:pPr>
        <w:pStyle w:val="null3"/>
        <w:spacing w:before="150" w:after="60"/>
        <w:jc w:val="both"/>
      </w:pPr>
      <w:r>
        <w:rPr>
          <w:sz w:val="21"/>
          <w:b/>
        </w:rPr>
        <w:t>2、专病数据库管理</w:t>
      </w:r>
    </w:p>
    <w:p>
      <w:pPr>
        <w:pStyle w:val="null3"/>
        <w:spacing w:after="60"/>
        <w:ind w:firstLine="480"/>
        <w:jc w:val="both"/>
      </w:pPr>
      <w:r>
        <w:rPr>
          <w:sz w:val="21"/>
        </w:rPr>
        <w:t>支持在全院科研数据中心的基础上自助搭建专病数据库，支持配置专病库的基本信息，如专病库名称、图标、纳入标准、简介、管理员等内容。支持依据专病的业务纳排标准，配置专病库纳排标准，全院数据中心内满足纳排标准的患者进入专病库；提供多种方式实现专病库指标创建，通过选取通用库的指标快速进行专病指标创建，基于全病种通用指标经过行转列配置得到专病库特有指标，从而实现通过可视化界面化操作实现自助式专科数据库创建。</w:t>
      </w:r>
    </w:p>
    <w:p>
      <w:pPr>
        <w:pStyle w:val="null3"/>
        <w:spacing w:before="150" w:after="60"/>
        <w:jc w:val="both"/>
      </w:pPr>
      <w:r>
        <w:rPr>
          <w:sz w:val="21"/>
          <w:b/>
        </w:rPr>
        <w:t>3、科研数据处理</w:t>
      </w:r>
    </w:p>
    <w:p>
      <w:pPr>
        <w:pStyle w:val="null3"/>
        <w:spacing w:after="60"/>
        <w:ind w:firstLine="480"/>
        <w:jc w:val="both"/>
      </w:pPr>
      <w:r>
        <w:rPr>
          <w:sz w:val="21"/>
        </w:rPr>
        <w:t>①支持创建研究队列，可以开启或关闭数据订阅功能，后续符合纳排条件的患者和病历可以自动进入患者队列中；在队列里支持按照课题需要抽取出所需要观测的指标，科研库内所有指标均支持被选为观测指标，形成一个以就诊记录为维度的二维表；支持灵活定义指标组，不同指标组的基线可以不一致，例如手术前、用药后等；支持灵活定义观测指标的聚合规则，例如首次、末次、所有值、总次数、最大值、最小值、平均值、自定义次数等，根据指标类型不同可以有不同的聚合规则；支持观测指标下钻到指标的值域，取出特定某个值的首次/末次等指定逻辑。能够查看病历的具体详情，支持结构化指标和非结构化指标数据溯源到原始病历或文书。</w:t>
      </w:r>
    </w:p>
    <w:p>
      <w:pPr>
        <w:pStyle w:val="null3"/>
        <w:spacing w:after="60"/>
        <w:ind w:firstLine="420"/>
        <w:jc w:val="both"/>
      </w:pPr>
      <w:r>
        <w:rPr>
          <w:sz w:val="21"/>
        </w:rPr>
        <w:t>②支持创建课题，并在课题数据集里支持数据清洗，清洗后的指标列在不改变原有指标列的基础上进行新增列，支持单个指标进行多次数据清洗，例如同一指标可先后完成缺失值填补与变量分级。系统提供多种数据清洗方法，具体包含缺失值填补、文本剔除、记录替换、变量分级、记录合并、类别变量转换等，并提供原始数据预览。系统可展示清洗前后的指标数据分布情况，同时支持根据不同统计类型的指标进行多种图表的展示切换。清洗后的数据集</w:t>
      </w:r>
      <w:r>
        <w:rPr>
          <w:sz w:val="21"/>
        </w:rPr>
        <w:t>支持导出申请，可设置加密方式、导出文件格式。</w:t>
      </w:r>
    </w:p>
    <w:p>
      <w:pPr>
        <w:pStyle w:val="null3"/>
        <w:spacing w:after="60"/>
        <w:ind w:firstLine="480"/>
        <w:jc w:val="both"/>
      </w:pPr>
      <w:r>
        <w:rPr>
          <w:sz w:val="21"/>
        </w:rPr>
        <w:t>③支持使用系统内置的机器学习模型进行初步预训练和模型验证，系统内置RandomForest、LogisticRegression、DecisionTree、XGBoost、ANN、SVM等算法；支持配置响应变量、预测变量、模型参数对模型进行调整；模型参数支持智能推荐模式和手动模式；运算后生成预测报告，支持分类任务、回归任务报告展示模型说明、模型评价、特征重要性排序；支持报告历史任务的查看。</w:t>
      </w:r>
    </w:p>
    <w:p>
      <w:pPr>
        <w:pStyle w:val="null3"/>
      </w:pPr>
      <w:r>
        <w:rPr/>
        <w:t>采购包1（全院临床科研大数据平台项目）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交付（实施）的时间（期限）：项目实施过程中，中标人应根据项目进度和阶段里程碑要求，交付完善的项目成果物，在签订合同后6个月内完成需求分析、系统设计、开发测试、部署以及试运行和验收工作。</w:t>
            </w:r>
          </w:p>
        </w:tc>
      </w:tr>
      <w:tr>
        <w:tc>
          <w:tcPr>
            <w:tcW w:type="dxa" w:w="4153"/>
          </w:tcPr>
          <w:p>
            <w:pPr>
              <w:pStyle w:val="null3"/>
            </w:pPr>
            <w:r>
              <w:rPr/>
              <w:t>标的提供的地点</w:t>
            </w:r>
          </w:p>
        </w:tc>
        <w:tc>
          <w:tcPr>
            <w:tcW w:type="dxa" w:w="4153"/>
          </w:tcPr>
          <w:p>
            <w:pPr>
              <w:pStyle w:val="null3"/>
            </w:pPr>
            <w:r>
              <w:rPr/>
              <w:t>江门市中心医院</w:t>
            </w:r>
          </w:p>
        </w:tc>
      </w:tr>
      <w:tr>
        <w:tc>
          <w:tcPr>
            <w:tcW w:type="dxa" w:w="4153"/>
          </w:tcPr>
          <w:p>
            <w:pPr>
              <w:pStyle w:val="null3"/>
            </w:pPr>
            <w:r>
              <w:rPr/>
              <w:t>付款方式</w:t>
            </w:r>
          </w:p>
        </w:tc>
        <w:tc>
          <w:tcPr>
            <w:tcW w:type="dxa" w:w="4153"/>
          </w:tcPr>
          <w:p>
            <w:pPr>
              <w:pStyle w:val="null3"/>
            </w:pPr>
            <w:r>
              <w:rPr/>
              <w:t>1期：支付比例30%,合同签订生效，且采购人收到投标人开具符合国家财务规定的等额发票后的60日内，采购人将合同总金额的30%作为预付款支付给投标人；</w:t>
            </w:r>
          </w:p>
          <w:p>
            <w:pPr>
              <w:pStyle w:val="null3"/>
            </w:pPr>
            <w:r>
              <w:rPr/>
              <w:t>2期：支付比例60%,系统完工整体验收合格，且采购人收到投标人开具符合国家财务规定的等额发票后的60日内，采购人将合同总金额的60%支付给投标人；</w:t>
            </w:r>
          </w:p>
          <w:p>
            <w:pPr>
              <w:pStyle w:val="null3"/>
            </w:pPr>
            <w:r>
              <w:rPr/>
              <w:t>3期：支付比例10%,系统完工整体验收合格且正常运行1年后，且采购人收到投标人开具符合国家财务规定的等额发票后的60日内，采购人将余下款项（合同总金额的10%）支付给投标人。</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系统安装、调试、对接完成后并且系统顺利持续运行一个月后10个日内进行验收，中标人向采购人提出验收申请。采购人在收到上述申请后10日内组织验收。验收合格后视为交货。验收按国家有关的规定、合同及有关附件要求进行。本项目验收要求对本项目全部系统软件、应用软件对应全部功能进行验收。 2.验收地点：江门市中心医院（采购人指定地点）。 3.验收方式：：项目启动的两个月内，出具的建设指标范围的调研报告为本次项目交付的所有指标内容。 整体验收：对照招标文件及投标文件，逐项功能，逐项指标查阅，由使用部门、信息部门、院领导三方签字。中标人应负责 在项目验收时将系统的全部有关产品说明书、原厂家安装手册、技术文件、资 料、安装、验收报告等文档汇集成册交付系统使用单位。 在项目完成后由中 标人提出申请7日内，采购人组织验收。验收合格后视为交货。验收按国家有 关的规定、合同及有关附件要求进行。 本项目验收要求对本项目全部系统软 件、应用软件对应全部功能进行验收。。4.验收异议：①在验收过程中，如发现系统相关内容未完善、未能完全对接院内系统或者未能按照招投标文件中约定的方式进行操作的，中标人须无条件进行整改，整改产生的费用由中标人承担。中标人未能完成整改前，采购人有权拒绝签字验收。②中标人提供的功能未达到招标文件规定要求，且对采购人造成损失的，由投标人承担一切责任，并赔偿所造成的损失。</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账号：详见合同</w:t>
            </w:r>
          </w:p>
          <w:p>
            <w:pPr>
              <w:pStyle w:val="null3"/>
            </w:pPr>
            <w:r>
              <w:rPr/>
              <w:t>户名：详见合同</w:t>
            </w:r>
          </w:p>
          <w:p>
            <w:pPr>
              <w:pStyle w:val="null3"/>
            </w:pPr>
            <w:r>
              <w:rPr/>
              <w:t>开户行：详见合同</w:t>
            </w:r>
          </w:p>
          <w:p>
            <w:pPr>
              <w:pStyle w:val="null3"/>
            </w:pPr>
            <w:r>
              <w:rPr/>
              <w:t>支票提交方式：详见说明</w:t>
            </w:r>
          </w:p>
          <w:p>
            <w:pPr>
              <w:pStyle w:val="null3"/>
            </w:pPr>
            <w:r>
              <w:rPr/>
              <w:t>汇票、本票提交方式：详见说明</w:t>
            </w:r>
          </w:p>
          <w:p>
            <w:pPr>
              <w:pStyle w:val="null3"/>
            </w:pPr>
            <w:r>
              <w:rPr/>
              <w:t>说明：1、提交说明： (1)时间：在合同签订生效五个工作日内； (2)金额：项目合同总金额的5%； (3)方式：转账、支票、汇票、本票、金融机构开具的保函（保函有效期至合同履约结束）等非现金形式。 2、退还说明：服务期满后采购人接到中标供应商退款申请之日起30个工作日内一次性无息退还。履约保证金不退还情形：①未按照合同履约的，履约保证金不予退还，给采购人造成的损失超过履约保证金数额的，还应当对超过部分予以赔偿。②其他违反国家相关法律法规的情形。③中标供应商违反合同及其附件约定的任何义务，采购人有权在履约保证金中直接扣除中标供应商应向采购人支付的违约金或损失赔偿额，如有不足的，中标供应商应对超过的部分予以赔偿。采购人逾期退还履约保证金的，从逾期之日起每日按履约保证金万分之一的数额向中标供应商支付违约金。但因中标供应商自身原因导致无法及时退还的除外。</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行业应用软件开发服务</w:t>
            </w:r>
          </w:p>
        </w:tc>
        <w:tc>
          <w:tcPr>
            <w:tcW w:type="dxa" w:w="933"/>
          </w:tcPr>
          <w:p>
            <w:pPr>
              <w:pStyle w:val="null3"/>
              <w:jc w:val="left"/>
            </w:pPr>
            <w:r>
              <w:rPr/>
              <w:t>全院临床科研大数据平台项目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1,980,000.00</w:t>
            </w:r>
          </w:p>
        </w:tc>
        <w:tc>
          <w:tcPr>
            <w:tcW w:type="dxa" w:w="933"/>
          </w:tcPr>
          <w:p>
            <w:pPr>
              <w:pStyle w:val="null3"/>
              <w:jc w:val="right"/>
            </w:pPr>
            <w:r>
              <w:rPr/>
              <w:t>1,980,000.00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全院临床科研大数据平台项目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w:t>
            </w:r>
            <w:r>
              <w:rPr>
                <w:sz w:val="21"/>
              </w:rPr>
              <w:t>“</w:t>
            </w:r>
            <w:r>
              <w:rPr>
                <w:sz w:val="21"/>
              </w:rPr>
              <w:t>项目概况</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江门市中心医院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照差额定率累进法采购代理机构按缴纳采购代理服务费，以中标通知书中的中标金额作为采购代理服务费的计算基数。参照中华人民共和国国家发展计划委员会颁发的计价格〔2002〕1980号、发改办价格〔2003〕857号及发改价格〔2011〕534号文规定的“服务类”计费标准下浮20%计算并缴纳，采购代理服务费不足5000元的按5000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政府采购监督管理机构名称：江门市财政局</w:t>
      </w:r>
    </w:p>
    <w:p>
      <w:pPr>
        <w:pStyle w:val="null3"/>
      </w:pPr>
      <w:r>
        <w:rPr/>
        <w:t>地 址：江门市蓬江区华园中路21-23号</w:t>
      </w:r>
    </w:p>
    <w:p>
      <w:pPr>
        <w:pStyle w:val="null3"/>
      </w:pPr>
      <w:r>
        <w:rPr/>
        <w:t>电 话：0750-3501936、0750-3501903</w:t>
      </w:r>
    </w:p>
    <w:p>
      <w:pPr>
        <w:pStyle w:val="null3"/>
      </w:pPr>
      <w:r>
        <w:rPr/>
        <w:t>邮 编：529000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全院临床科研大数据平台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采购包1（全院临床科研大数据平台项目）：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采购包1（全院临床科研大数据平台项目）：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提供2022-2024年任意一年的财务状况报告或基本开户行出具的资信证明。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采购包1（全院临床科研大数据平台项目）</w:t>
            </w:r>
          </w:p>
        </w:tc>
        <w:tc>
          <w:tcPr>
            <w:tcW w:type="dxa" w:w="4238"/>
          </w:tcPr>
          <w:p>
            <w:pPr>
              <w:pStyle w:val="null3"/>
            </w:pPr>
            <w:r>
              <w:rPr/>
              <w:t>本项目不专门面向中小企业采购。</w:t>
            </w:r>
          </w:p>
        </w:tc>
      </w:tr>
    </w:tbl>
    <w:p>
      <w:pPr>
        <w:pStyle w:val="null3"/>
        <w:ind w:firstLine="480"/>
      </w:pPr>
      <w:r>
        <w:rPr/>
        <w:t>表二符合性审查表：</w:t>
      </w:r>
    </w:p>
    <w:p>
      <w:pPr>
        <w:pStyle w:val="null3"/>
      </w:pPr>
      <w:r>
        <w:rPr/>
        <w:t>采购包1（全院临床科研大数据平台项目）：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（1）对本采购包全部内容进行投标报价；（2）投标报价是唯一确定的；（3）报价不超过采购预算或最高限价。</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提供有效的代表人证明书及授权委托书。</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其他投标无效情形</w:t>
            </w:r>
          </w:p>
        </w:tc>
        <w:tc>
          <w:tcPr>
            <w:tcW w:type="dxa" w:w="4238"/>
          </w:tcPr>
          <w:p>
            <w:pPr>
              <w:pStyle w:val="null3"/>
            </w:pPr>
            <w:r>
              <w:rPr/>
              <w:t>不存在相关法律法规及招标文件规定的其他投标无效情形。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采购包1(全院临床科研大数据平台项目):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技术参数响应情况 (30.0分)</w:t>
            </w:r>
          </w:p>
        </w:tc>
        <w:tc>
          <w:tcPr>
            <w:tcW w:type="dxa" w:w="5076"/>
          </w:tcPr>
          <w:p>
            <w:pPr>
              <w:pStyle w:val="null3"/>
              <w:jc w:val="left"/>
            </w:pPr>
            <w:r>
              <w:rPr/>
              <w:t>根据投标人对招标文件中的技术参数响应情况进行评审： 技术要求中带“▲”参数共15项，全部满足得30.0分；存在负偏离扣减2分/项，扣完为止。 （注：技术参数中带“▲”号条款重要参数要求提供截图证明材料并加盖投标人公章，不提供不得分，证明材料不能体现功能的，视为负偏离）</w:t>
            </w:r>
          </w:p>
        </w:tc>
      </w:tr>
      <w:tr>
        <w:tc>
          <w:tcPr>
            <w:tcW w:type="dxa" w:w="922"/>
            <w:gridSpan w:val="2"/>
            <w:vMerge/>
          </w:tcPr>
          <w:p/>
        </w:tc>
        <w:tc>
          <w:tcPr>
            <w:tcW w:type="dxa" w:w="2307"/>
          </w:tcPr>
          <w:p>
            <w:pPr>
              <w:pStyle w:val="null3"/>
              <w:jc w:val="left"/>
            </w:pPr>
            <w:r>
              <w:rPr/>
              <w:t>系统演示 (14.0分)</w:t>
            </w:r>
          </w:p>
        </w:tc>
        <w:tc>
          <w:tcPr>
            <w:tcW w:type="dxa" w:w="5076"/>
          </w:tcPr>
          <w:p>
            <w:pPr>
              <w:pStyle w:val="null3"/>
              <w:jc w:val="left"/>
            </w:pPr>
            <w:r>
              <w:rPr/>
              <w:t>由有效投标人进行系统功能演示，演示时间不超过20分钟，评标委员会成员根据其演示情况，依据以下功能点进行评分： 1.数据质量管理（6.0分） ①支持对数据质控规则进行管理，提供不低于100条的质控规则模板，支持对格式校验进行正则表达式配置及样例数据测试；支持范围校验进行预期范围设置；支持最值校验进行最值范围设置；支持值域校验选择标准术语规范（提供不低于20项可引入的医疗信息化相关术语）进行值域选项设置，并支持拖拉配置校验的合格阈值。 ②支持对质控任务进行管理，支持以数据表为单位进行任务配置，支持表级规则和字段集规则配置，包括可以从规则库中选择规则模板，根据字段格式类型，在同一页面进行空值校验、重复校验、格式校验、值域校验、 最值校验、范围校验、固定值校验、自定义校验等规则配置。 ③现场演示配置实时生成库级数据质控报告，包括明细质控报告、异常质控报告、对比质控报告三种类型报告，支持在明细报告中展示质控总体结果，各项表和字段的合格率、质控结论，能够下载PDF或者Word质控报告，支持异常质控报告提供问题数据查看及问题数据下载功能，支持在对比质控报告中查看前后两次质控时间超过1个月的对比质控报告，包括完整性、一致性、整合性、合规性、及时性、唯一性等维度展示，以对比图展示两次质控结果对比情况、两次健康质量对比图（包括展示得分比对图表，规则大类通过情况对比表格展示通过率提升结果）、展示质控明细对比情况等。 2.专病数据库管理（2.0分） 支持在全院科研数据中心的基础上自助搭建专病数据库，支持配置专病库的基本信息，如专病库名称、图标、纳入标准、简介、管理员等内容。支持依据专病的业务纳排标准，配置专病库纳排标准，全院数据中心内满足纳排标准的患者进入专病库；提供多种方式实现专病库指标创建，通过选取通用库的指标快速进行专病指标创建，基于全病种通用指标经过行转列配置得到专病库特有指标，从而实现通过可视化界面化操作实现自助式专科数据库创建。 3.科研数据处理（6.0分） ①支持创建临时研究队列，可以开启或关闭数据订阅功能，后续符合纳排条件的患者和病历可以自动进入患者队列中；在队列里支持按照课题需要抽取出所需要观测的指标，科研库内所有指标均支持被选为观测指标，形成一个以就诊记录为维度的二维表；支持灵活定义指标组，不同指标组的基线可以不一致，例如手术前、用药后等；支持灵活定义观测指标的聚合规则，例如首次、末次、所有值、总次数、最大值、最小值、平均值、自定义次数等，根据指标类型不同可以有不同的聚合规则；支持观测指标下钻到指标的值域，取出特定某个值的首次/末次等指定逻辑。能够查看病历的具体详情，支持结构化指标和非结构化指标数据溯源到原始病历或文书。 ②支持创建课题，并在课题数据集里支持数据清洗，清洗后的指标列在不改变原有指标列的基础上进行新增列，支持单个指标进行多次数据清洗，例如同一指标可先后完成缺失值填补与变量分级。系统提供多种数据清洗方法，具体包含缺失值填补、文本剔除、记录替换、变量分级、记录合并、类别变量转换等，并提供原始数据预览。系统可展示清洗前后的指标数据分布情况，同时支持根据不同统计类型的指标进行多种图表的展示切换。清洗后的数据集支持导出申请，可设置加密方式、导出文件格式。 ③支持使用系统内置的机器学习模型进行初步预训练和模型验证，系统内置RandomForest、LogisticRegression、DecisionTree、XGBoost、ANN、SVM等算法；支持配置响应变量、预测变量、模型参数对模型进行调整；模型参数支持智能推荐模式和手动模式；运算后生成预测报告，支持分类任务、回归任务报告展示模型说明、模型评价、特征重要性排序；支持报告历史任务的查看。 以上7个功能点，每个功能点演示完整、效果清晰的得2.0分，否则不得分。本项最高得14.0分。 注： 1.演示现场提供投影设备，投标人指派授权代表到场演示，并自带演示所需设备，演示时间控制在10-20分钟； 2.使用PPT或Word或图片等文档展示的不得分。 3.演示地点：江门市蓬江区堤西路88号3层江门市公共资源交易中心评标区。</w:t>
            </w:r>
          </w:p>
        </w:tc>
      </w:tr>
      <w:tr>
        <w:tc>
          <w:tcPr>
            <w:tcW w:type="dxa" w:w="922"/>
            <w:gridSpan w:val="2"/>
            <w:vMerge/>
          </w:tcPr>
          <w:p/>
        </w:tc>
        <w:tc>
          <w:tcPr>
            <w:tcW w:type="dxa" w:w="2307"/>
          </w:tcPr>
          <w:p>
            <w:pPr>
              <w:pStyle w:val="null3"/>
              <w:jc w:val="left"/>
            </w:pPr>
            <w:r>
              <w:rPr/>
              <w:t>项目技术方案 (6.0分)</w:t>
            </w:r>
          </w:p>
        </w:tc>
        <w:tc>
          <w:tcPr>
            <w:tcW w:type="dxa" w:w="5076"/>
          </w:tcPr>
          <w:p>
            <w:pPr>
              <w:pStyle w:val="null3"/>
              <w:jc w:val="left"/>
            </w:pPr>
            <w:r>
              <w:rPr/>
              <w:t>根据投标人提供的技术方案进行综合评审（包括但不限于项目背景分析、需求分析、建设目标、建设思路、总体设计等内容）： （1）投标人所提供的项目设计方案完整，对项目背景有深入的理解和分析，且方案中的需求分析、建设目标、建设思路、总体设计内容完全满足采购需求，对项目分析到位、方案设计科学合理，具有针对性和可操作性，得6.0分； （2）投标人所提供的项目设计方案完整，对项目背景有一定的理解，且方案中的需求分析、建设目标、建设思路、总体设计内容部分满足采购需求，对项目有一定理解、具有针对性，具有可操作性，得3.0分； （3）投标人所提供的项目设计方案完整性差，对项目背景的理解和分析明显不足，方案中的需求分析、建设目标、建设思路、总体设计内容部分满足采购需求，不具有针对性或可操作性，得1.0分； （4）投标人无提供方案或其它，不得分。</w:t>
            </w:r>
          </w:p>
        </w:tc>
      </w:tr>
      <w:tr>
        <w:tc>
          <w:tcPr>
            <w:tcW w:type="dxa" w:w="922"/>
            <w:gridSpan w:val="2"/>
            <w:vMerge/>
          </w:tcPr>
          <w:p/>
        </w:tc>
        <w:tc>
          <w:tcPr>
            <w:tcW w:type="dxa" w:w="2307"/>
          </w:tcPr>
          <w:p>
            <w:pPr>
              <w:pStyle w:val="null3"/>
              <w:jc w:val="left"/>
            </w:pPr>
            <w:r>
              <w:rPr/>
              <w:t>项目实施方案 (5.0分)</w:t>
            </w:r>
          </w:p>
        </w:tc>
        <w:tc>
          <w:tcPr>
            <w:tcW w:type="dxa" w:w="5076"/>
          </w:tcPr>
          <w:p>
            <w:pPr>
              <w:pStyle w:val="null3"/>
              <w:jc w:val="left"/>
            </w:pPr>
            <w:r>
              <w:rPr/>
              <w:t>根据投标人所提供的项目实施方案进行综合评审（包括但不限于项目实施组织、实施进度计划、质量保证措施、进度保证措施、项目保密管理、文档资料管理、风险管控等）： （1）项目实施方案内容详尽，各阶段进度计划安排完全符合医院实施周期要求、并采用横道图/甘特图等方式非常清晰标明各阶段任务的实施周期。质量保证、进度保证、项目保密管理、文档资料管理、风险管控措施合理可行，针对性强，完全满足采购需求，得 5.0 分； （2）项目实施方案内容完整，项目管理进度计划安排较详尽，质量保证、进度保证、项目保密管理、文档资料管理、风险管控措施较合理可行，具有针对性，部分满足采购需求，得 3.0 分； （3）项目实施方案内容有缺失项，项目管理进度计划安排简单，质量保证、进度保证、项目保密管理、文档资料管理、风险管控措施欠佳，设计不合理，无针对性，部分满足采购需求，得 1.0 分； （4）未提供项目实施方案，不得分。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根据投标人提供的售后服务方案进行综合评审（包括但不限于售后服务体系、售后服务分类、售后服务方式、售后服务流程、售后服务应急、本地化售后服务能力）： （1）售后服务体系、售后服务分类、售后服务方式、售后服务流程、售后服务应急、本地化售后服务能力的方案完全满足采购需求、内容详细完善、具有科学性和可操作性的，得5.0分； （2）售后服务体系、售后服务分类、售后服务方式、售后服务流程、售后服务应急、本地化售后服务能力的方案完全满足采购需求，方案内容基本详细、有科学性、可操作性和针对性，得3.0分； （3）售后服务体系、售后服务分类、售后服务方式、售后服务流程、售后服务应急、本地化售后服务能力的方案部分满足采购需求，方案内容只有简单描述，不齐全，不具有科学性、可操作性和针对性，得1.0分； （4）未提供方案，得0分。</w:t>
            </w:r>
          </w:p>
        </w:tc>
      </w:tr>
      <w:tr>
        <w:tc>
          <w:tcPr>
            <w:tcW w:type="dxa" w:w="922"/>
            <w:gridSpan w:val="2"/>
            <w:vMerge w:val="restart"/>
          </w:tcPr>
          <w:p>
            <w:pPr>
              <w:pStyle w:val="null3"/>
              <w:jc w:val="center"/>
            </w:pPr>
            <w:r>
              <w:rPr/>
              <w:t>商务部分</w:t>
            </w:r>
          </w:p>
        </w:tc>
        <w:tc>
          <w:tcPr>
            <w:tcW w:type="dxa" w:w="2307"/>
          </w:tcPr>
          <w:p>
            <w:pPr>
              <w:pStyle w:val="null3"/>
              <w:jc w:val="left"/>
            </w:pPr>
            <w:r>
              <w:rPr/>
              <w:t>医疗信息化能力 (10.0分)</w:t>
            </w:r>
          </w:p>
        </w:tc>
        <w:tc>
          <w:tcPr>
            <w:tcW w:type="dxa" w:w="5076"/>
          </w:tcPr>
          <w:p>
            <w:pPr>
              <w:pStyle w:val="null3"/>
              <w:jc w:val="left"/>
            </w:pPr>
            <w:r>
              <w:rPr/>
              <w:t>投标人需具备医疗信息化产品服务能力，具备以下功能的软件开发或应用能力：“数据湖”、“科研管理”、“数据治理”、“科研数据”、“隐私防护”。 注：须提供投标人自身所有的相应证书的复印件或扫描件并加盖投标人公章，所登记注册的软件名称可以与项目内容表述略有不同，但必须是功能类似的产品。需提供有效期内的相应证书扫描件作为证明材料，未提供不得分。如为相关授权使用，同时提供以上证明及授权证明。每提供一个得2.0分，最高得10.0分。</w:t>
            </w:r>
          </w:p>
        </w:tc>
      </w:tr>
      <w:tr>
        <w:tc>
          <w:tcPr>
            <w:tcW w:type="dxa" w:w="922"/>
            <w:gridSpan w:val="2"/>
            <w:vMerge/>
          </w:tcPr>
          <w:p/>
        </w:tc>
        <w:tc>
          <w:tcPr>
            <w:tcW w:type="dxa" w:w="2307"/>
          </w:tcPr>
          <w:p>
            <w:pPr>
              <w:pStyle w:val="null3"/>
              <w:jc w:val="left"/>
            </w:pPr>
            <w:r>
              <w:rPr/>
              <w:t>投标人综合实力 (3.0分)</w:t>
            </w:r>
          </w:p>
        </w:tc>
        <w:tc>
          <w:tcPr>
            <w:tcW w:type="dxa" w:w="5076"/>
          </w:tcPr>
          <w:p>
            <w:pPr>
              <w:pStyle w:val="null3"/>
              <w:jc w:val="left"/>
            </w:pPr>
            <w:r>
              <w:rPr/>
              <w:t>投标人具有质量管理体系认证证书，得3.0分。 注：提供上述证明材料复印件加盖公章，且证书需在有效期内并经监督审核合格，提供该证书于全国认证认可信息公共服务平台（http://cx.cnca.cn）证书的信息查询截图作为评审依据，已失效或撤销的不得分，无提供不得分。</w:t>
            </w:r>
          </w:p>
        </w:tc>
      </w:tr>
      <w:tr>
        <w:tc>
          <w:tcPr>
            <w:tcW w:type="dxa" w:w="922"/>
            <w:gridSpan w:val="2"/>
            <w:vMerge/>
          </w:tcPr>
          <w:p/>
        </w:tc>
        <w:tc>
          <w:tcPr>
            <w:tcW w:type="dxa" w:w="2307"/>
          </w:tcPr>
          <w:p>
            <w:pPr>
              <w:pStyle w:val="null3"/>
              <w:jc w:val="left"/>
            </w:pPr>
            <w:r>
              <w:rPr/>
              <w:t>项目经理（1人） (6.0分)</w:t>
            </w:r>
          </w:p>
        </w:tc>
        <w:tc>
          <w:tcPr>
            <w:tcW w:type="dxa" w:w="5076"/>
          </w:tcPr>
          <w:p>
            <w:pPr>
              <w:pStyle w:val="null3"/>
              <w:jc w:val="left"/>
            </w:pPr>
            <w:r>
              <w:rPr/>
              <w:t>本项目的项目经理应具备（1）信息系统项目管理师证书、（2）数据库系统工程师证书、（3）大数据分析师（高级），全部满足得6.0分，每缺少一个扣2分，扣完为止。须提供相关证书复印件或扫描件及投标截止前6个月内任意一个月在投标人为其缴纳的社保证明材料复印件，未提供或提供资料不齐全不得分。</w:t>
            </w:r>
          </w:p>
        </w:tc>
      </w:tr>
      <w:tr>
        <w:tc>
          <w:tcPr>
            <w:tcW w:type="dxa" w:w="922"/>
            <w:gridSpan w:val="2"/>
            <w:vMerge/>
          </w:tcPr>
          <w:p/>
        </w:tc>
        <w:tc>
          <w:tcPr>
            <w:tcW w:type="dxa" w:w="2307"/>
          </w:tcPr>
          <w:p>
            <w:pPr>
              <w:pStyle w:val="null3"/>
              <w:jc w:val="left"/>
            </w:pPr>
            <w:r>
              <w:rPr/>
              <w:t>本项目团队成员资质情况（项目经理除外）不得兼任 (11.0分)</w:t>
            </w:r>
          </w:p>
        </w:tc>
        <w:tc>
          <w:tcPr>
            <w:tcW w:type="dxa" w:w="5076"/>
          </w:tcPr>
          <w:p>
            <w:pPr>
              <w:pStyle w:val="null3"/>
              <w:jc w:val="left"/>
            </w:pPr>
            <w:r>
              <w:rPr/>
              <w:t>1、技术负责人1人：应具备信息系统项目管理师证书，满足得3.0分。须提供相关证书复印件或扫描件及投标截止前6个月内任意一个月在投标人为其缴纳的社保证明材料复印件，未提供或提供资料不齐全不得分。 2、其他项目团队成员： ①集成工程师2名：应具备系统集成项目管理工程师，每提供一个证书得1分，最高得2.0分。须提供相关证书复印件或扫描件及投标截止前6个月内任意一个月在投标人为其缴纳的社保证明材料复印件，未提供或提供资料不齐全不得分。 ②数据库系统管理人员2名：应具备数据库系统工程师证书，每提供一名人员得1分，最高得2.0分。须提供相关证书复印件或扫描件及投标截止前6个月内任意一个月在投标人为其缴纳的社保证明材料复印件，未提供或提供资料不齐全不得分。 ③软件设计人员2名：应具备软件设计师证书，每提供一名人员得1分，最高得2.0分。须提供相关证书复印件或扫描件及投标截止前6个月内任意一个月在投标人为其缴纳的社保证明材料复印件，未提供或提供资料不齐全不得分。④系统规划人员1名：应具备系统规划与管理师证书，满足得2.0分，任一项不满足则不得分。须提供相关证书复印件或扫描件及投标截止前6个月内任意一个月在投标人为其缴纳得社保证明材料复印件，未提供或提供资料不齐全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rPr>
        <w:t>全院临床科研大数据平台项目</w:t>
      </w:r>
    </w:p>
    <w:p>
      <w:pPr>
        <w:pStyle w:val="null3"/>
        <w:jc w:val="center"/>
      </w:pPr>
      <w:r>
        <w:rPr>
          <w:sz w:val="52"/>
          <w:b/>
        </w:rPr>
        <w:t>采购合同</w:t>
      </w:r>
    </w:p>
    <w:p>
      <w:pPr>
        <w:pStyle w:val="null3"/>
        <w:jc w:val="both"/>
      </w:pPr>
      <w:r>
        <w:rPr>
          <w:b/>
        </w:rPr>
        <w:t xml:space="preserve">  </w:t>
      </w:r>
    </w:p>
    <w:p>
      <w:pPr>
        <w:pStyle w:val="null3"/>
        <w:spacing w:after="120"/>
        <w:ind w:left="420" w:firstLine="732"/>
        <w:jc w:val="both"/>
      </w:pPr>
      <w:r>
        <w:rPr>
          <w:sz w:val="32"/>
          <w:b/>
          <w:u w:val="single"/>
        </w:rPr>
        <w:t>甲方：江门市中心医院</w:t>
      </w:r>
      <w:r>
        <w:rPr>
          <w:b/>
          <w:u w:val="single"/>
        </w:rPr>
        <w:t xml:space="preserve">       </w:t>
      </w:r>
    </w:p>
    <w:p>
      <w:pPr>
        <w:pStyle w:val="null3"/>
        <w:spacing w:after="120"/>
        <w:ind w:left="420" w:firstLine="732"/>
        <w:jc w:val="both"/>
      </w:pPr>
      <w:r>
        <w:rPr>
          <w:sz w:val="32"/>
          <w:b/>
          <w:u w:val="single"/>
        </w:rPr>
        <w:t>乙方：</w:t>
      </w:r>
      <w:r>
        <w:rPr>
          <w:b/>
          <w:u w:val="single"/>
        </w:rPr>
        <w:t xml:space="preserve">                     </w:t>
      </w:r>
    </w:p>
    <w:p>
      <w:pPr>
        <w:pStyle w:val="null3"/>
        <w:spacing w:after="120"/>
        <w:ind w:left="420" w:firstLine="732"/>
        <w:jc w:val="both"/>
      </w:pPr>
      <w:r>
        <w:rPr>
          <w:sz w:val="32"/>
          <w:b/>
          <w:u w:val="single"/>
        </w:rPr>
        <w:t>签订地点：广东省江门市蓬江区</w:t>
      </w:r>
    </w:p>
    <w:p>
      <w:pPr>
        <w:pStyle w:val="null3"/>
        <w:jc w:val="both"/>
      </w:pPr>
      <w:r>
        <w:rPr/>
        <w:t xml:space="preserve"> </w:t>
      </w:r>
    </w:p>
    <w:p>
      <w:pPr>
        <w:pStyle w:val="null3"/>
        <w:spacing w:after="120"/>
        <w:jc w:val="both"/>
      </w:pPr>
      <w:r>
        <w:rPr>
          <w:sz w:val="24"/>
          <w:b/>
        </w:rPr>
        <w:t>甲方（需方）：</w:t>
      </w:r>
      <w:r>
        <w:rPr>
          <w:sz w:val="24"/>
          <w:b/>
        </w:rPr>
        <w:t xml:space="preserve">  </w:t>
      </w:r>
      <w:r>
        <w:rPr>
          <w:sz w:val="24"/>
          <w:u w:val="single"/>
        </w:rPr>
        <w:t xml:space="preserve">  </w:t>
      </w:r>
      <w:r>
        <w:rPr>
          <w:sz w:val="24"/>
          <w:u w:val="single"/>
        </w:rPr>
        <w:t>江门市中心医院</w:t>
      </w:r>
      <w:r>
        <w:rPr>
          <w:sz w:val="24"/>
          <w:u w:val="single"/>
        </w:rPr>
        <w:t xml:space="preserve">          </w:t>
      </w:r>
    </w:p>
    <w:p>
      <w:pPr>
        <w:pStyle w:val="null3"/>
      </w:pPr>
      <w:r>
        <w:rPr>
          <w:sz w:val="24"/>
          <w:b/>
        </w:rPr>
        <w:t>乙方（服务方）：</w:t>
      </w:r>
      <w:r>
        <w:rPr>
          <w:u w:val="single"/>
        </w:rPr>
        <w:t xml:space="preserve">                          </w:t>
      </w:r>
    </w:p>
    <w:p>
      <w:pPr>
        <w:pStyle w:val="null3"/>
        <w:ind w:firstLine="420"/>
      </w:pPr>
      <w:r>
        <w:rPr>
          <w:sz w:val="21"/>
        </w:rPr>
        <w:t>甲乙双方根据《中华人民共和国民法典》等有关法律法规的规定，按照</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b/>
          <w:u w:val="single"/>
        </w:rPr>
        <w:t>江门市中心医院</w:t>
      </w:r>
      <w:r>
        <w:rPr>
          <w:sz w:val="21"/>
          <w:b/>
          <w:u w:val="single"/>
        </w:rPr>
        <w:t>全院临床科研大数据平台项目</w:t>
      </w:r>
      <w:r>
        <w:rPr>
          <w:sz w:val="21"/>
        </w:rPr>
        <w:t>的采购结果、采购文件、乙方的响应文件及澄清文件和中标通知书的要求，经双方协商一致，订立合同如下：</w:t>
      </w:r>
    </w:p>
    <w:p>
      <w:pPr>
        <w:pStyle w:val="null3"/>
        <w:ind w:firstLine="422"/>
      </w:pPr>
      <w:r>
        <w:rPr>
          <w:sz w:val="21"/>
          <w:b/>
        </w:rPr>
        <w:t>第一条项目的名称、项目总价、技术要求和服务内容</w:t>
      </w:r>
    </w:p>
    <w:p>
      <w:pPr>
        <w:pStyle w:val="null3"/>
        <w:ind w:firstLine="420"/>
      </w:pPr>
      <w:r>
        <w:rPr>
          <w:sz w:val="21"/>
        </w:rPr>
        <w:t>（一）项目名称：</w:t>
      </w:r>
      <w:r>
        <w:rPr>
          <w:sz w:val="21"/>
          <w:b/>
          <w:u w:val="single"/>
        </w:rPr>
        <w:t>江门市中心医院</w:t>
      </w:r>
      <w:r>
        <w:rPr>
          <w:sz w:val="21"/>
          <w:b/>
          <w:u w:val="single"/>
        </w:rPr>
        <w:t>全院临床科研大数据平台项目</w:t>
      </w:r>
      <w:r>
        <w:rPr>
          <w:sz w:val="21"/>
        </w:rPr>
        <w:t>；</w:t>
      </w:r>
    </w:p>
    <w:p>
      <w:pPr>
        <w:pStyle w:val="null3"/>
        <w:ind w:firstLine="420"/>
      </w:pPr>
      <w:r>
        <w:rPr>
          <w:sz w:val="21"/>
        </w:rPr>
        <w:t>（二）项目总价为</w:t>
      </w:r>
      <w:r>
        <w:rPr>
          <w:sz w:val="21"/>
          <w:u w:val="single"/>
        </w:rPr>
        <w:t>（小写）</w:t>
      </w:r>
      <w:r>
        <w:rPr>
          <w:sz w:val="21"/>
          <w:b/>
          <w:u w:val="single"/>
        </w:rPr>
        <w:t xml:space="preserve">     </w:t>
      </w:r>
      <w:r>
        <w:rPr>
          <w:sz w:val="21"/>
          <w:b/>
          <w:u w:val="single"/>
        </w:rPr>
        <w:t>元</w:t>
      </w:r>
      <w:r>
        <w:rPr>
          <w:sz w:val="21"/>
          <w:u w:val="single"/>
        </w:rPr>
        <w:t>，（大写）</w:t>
      </w:r>
      <w:r>
        <w:rPr>
          <w:sz w:val="21"/>
          <w:b/>
          <w:u w:val="single"/>
        </w:rPr>
        <w:t>人民币</w:t>
      </w:r>
      <w:r>
        <w:rPr>
          <w:sz w:val="21"/>
          <w:b/>
          <w:u w:val="single"/>
        </w:rPr>
        <w:t xml:space="preserve">     </w:t>
      </w:r>
      <w:r>
        <w:rPr>
          <w:sz w:val="21"/>
          <w:b/>
          <w:u w:val="single"/>
        </w:rPr>
        <w:t>元整</w:t>
      </w:r>
      <w:r>
        <w:rPr>
          <w:sz w:val="21"/>
        </w:rPr>
        <w:t>。（其中增值税税款：</w:t>
      </w:r>
      <w:r>
        <w:rPr>
          <w:sz w:val="21"/>
          <w:b/>
        </w:rPr>
        <w:t>XXX</w:t>
      </w:r>
      <w:r>
        <w:rPr>
          <w:sz w:val="21"/>
          <w:b/>
        </w:rPr>
        <w:t>元</w:t>
      </w:r>
      <w:r>
        <w:rPr>
          <w:sz w:val="21"/>
        </w:rPr>
        <w:t>，税率</w:t>
      </w:r>
      <w:r>
        <w:rPr>
          <w:sz w:val="21"/>
          <w:b/>
        </w:rPr>
        <w:t>XX%</w:t>
      </w:r>
      <w:r>
        <w:rPr>
          <w:sz w:val="21"/>
        </w:rPr>
        <w:t>）</w:t>
      </w:r>
    </w:p>
    <w:p>
      <w:pPr>
        <w:pStyle w:val="null3"/>
        <w:ind w:firstLine="420"/>
      </w:pPr>
      <w:r>
        <w:rPr>
          <w:sz w:val="21"/>
        </w:rPr>
        <w:t>（三）项目总价是完成项目的含税全包价，包括系统的设计、开发、升级、测试、技术人员的差旅费、安装调试、第三方接口开发调试、对接、验收、培训、售后服务、与甲方信息系统接口及相关服务等一切费用。以及系统软件开发过程中若涉及第三方的知识产权，甲方使用过程所产生的一切费用。所有价格变动的风险均由乙方承担，甲方不需再向乙方支付任何其他费用。</w:t>
      </w:r>
    </w:p>
    <w:p>
      <w:pPr>
        <w:pStyle w:val="null3"/>
        <w:ind w:firstLine="420"/>
        <w:jc w:val="both"/>
      </w:pPr>
      <w:r>
        <w:rPr>
          <w:sz w:val="21"/>
        </w:rPr>
        <w:t>（四）项目内容及产品清单：</w:t>
      </w:r>
    </w:p>
    <w:tbl>
      <w:tblPr>
        <w:tblW w:w="0" w:type="auto"/>
        <w:tblBorders>
          <w:top w:val="none" w:color="000000" w:sz="4"/>
          <w:left w:val="none" w:color="000000" w:sz="4"/>
          <w:bottom w:val="none" w:color="000000" w:sz="4"/>
          <w:right w:val="none" w:color="000000" w:sz="4"/>
          <w:insideH w:val="none"/>
          <w:insideV w:val="none"/>
        </w:tblBorders>
      </w:tblPr>
      <w:tblGrid>
        <w:gridCol w:w="1655"/>
        <w:gridCol w:w="4564"/>
        <w:gridCol w:w="2087"/>
      </w:tblGrid>
      <w:tr>
        <w:tc>
          <w:tcPr>
            <w:tcW w:type="dxa" w:w="16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45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服务内容</w:t>
            </w:r>
          </w:p>
        </w:tc>
        <w:tc>
          <w:tcPr>
            <w:tcW w:type="dxa" w:w="20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价格（元）</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项目总价</w:t>
            </w:r>
          </w:p>
          <w:p>
            <w:pPr>
              <w:pStyle w:val="null3"/>
              <w:jc w:val="center"/>
            </w:pPr>
            <w:r>
              <w:rPr>
                <w:sz w:val="21"/>
              </w:rPr>
              <w:t>(</w:t>
            </w:r>
            <w:r>
              <w:rPr>
                <w:sz w:val="21"/>
              </w:rPr>
              <w:t>元</w:t>
            </w:r>
            <w:r>
              <w:rPr>
                <w:sz w:val="21"/>
              </w:rPr>
              <w:t>)</w:t>
            </w:r>
          </w:p>
        </w:tc>
        <w:tc>
          <w:tcPr>
            <w:tcW w:type="dxa" w:w="66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小写：</w:t>
            </w:r>
          </w:p>
        </w:tc>
      </w:tr>
      <w:tr>
        <w:tc>
          <w:tcPr>
            <w:tcW w:type="dxa" w:w="1655"/>
            <w:vMerge/>
            <w:tcBorders>
              <w:top w:val="none" w:color="000000" w:sz="4"/>
              <w:left w:val="single" w:color="000000" w:sz="4"/>
              <w:bottom w:val="single" w:color="000000" w:sz="4"/>
              <w:right w:val="single" w:color="000000" w:sz="4"/>
            </w:tcBorders>
          </w:tcPr>
          <w:p/>
        </w:tc>
        <w:tc>
          <w:tcPr>
            <w:tcW w:type="dxa" w:w="66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大写：</w:t>
            </w:r>
          </w:p>
        </w:tc>
      </w:tr>
    </w:tbl>
    <w:p>
      <w:pPr>
        <w:pStyle w:val="null3"/>
        <w:ind w:firstLine="420"/>
      </w:pPr>
      <w:r>
        <w:rPr>
          <w:sz w:val="21"/>
        </w:rPr>
        <w:t>（五）技术要求：</w:t>
      </w:r>
    </w:p>
    <w:p>
      <w:pPr>
        <w:pStyle w:val="null3"/>
        <w:ind w:firstLine="420"/>
      </w:pPr>
      <w:r>
        <w:rPr>
          <w:sz w:val="21"/>
        </w:rPr>
        <w:t>1</w:t>
      </w:r>
      <w:r>
        <w:rPr>
          <w:sz w:val="21"/>
        </w:rPr>
        <w:t>、乙方根据甲方实际情况按照招标文件的要求采用相关技术完成甲方所需项目设计和开发；</w:t>
      </w:r>
    </w:p>
    <w:p>
      <w:pPr>
        <w:pStyle w:val="null3"/>
        <w:ind w:firstLine="420"/>
      </w:pPr>
      <w:r>
        <w:rPr>
          <w:sz w:val="21"/>
        </w:rPr>
        <w:t>2</w:t>
      </w:r>
      <w:r>
        <w:rPr>
          <w:sz w:val="21"/>
        </w:rPr>
        <w:t>、项目的设计和开发中的各项技术功能的实现程度和性能指标应具有安全性、规范性、灵活性及扩展性。</w:t>
      </w:r>
    </w:p>
    <w:p>
      <w:pPr>
        <w:pStyle w:val="null3"/>
        <w:ind w:firstLine="420"/>
      </w:pPr>
      <w:r>
        <w:rPr>
          <w:sz w:val="21"/>
        </w:rPr>
        <w:t>3</w:t>
      </w:r>
      <w:r>
        <w:rPr>
          <w:sz w:val="21"/>
        </w:rPr>
        <w:t>、服务内容：</w:t>
      </w:r>
    </w:p>
    <w:p>
      <w:pPr>
        <w:pStyle w:val="null3"/>
        <w:ind w:firstLine="420"/>
      </w:pPr>
      <w:r>
        <w:rPr>
          <w:sz w:val="21"/>
        </w:rPr>
        <w:t>（</w:t>
      </w:r>
      <w:r>
        <w:rPr>
          <w:sz w:val="21"/>
        </w:rPr>
        <w:t>1</w:t>
      </w:r>
      <w:r>
        <w:rPr>
          <w:sz w:val="21"/>
        </w:rPr>
        <w:t>）乙方应有良好的服务理念和完善的售后服务体系，能够提供本地技术服务；</w:t>
      </w:r>
    </w:p>
    <w:p>
      <w:pPr>
        <w:pStyle w:val="null3"/>
        <w:ind w:firstLine="420"/>
      </w:pPr>
      <w:r>
        <w:rPr>
          <w:sz w:val="21"/>
        </w:rPr>
        <w:t>（</w:t>
      </w:r>
      <w:r>
        <w:rPr>
          <w:sz w:val="21"/>
        </w:rPr>
        <w:t>2</w:t>
      </w:r>
      <w:r>
        <w:rPr>
          <w:sz w:val="21"/>
        </w:rPr>
        <w:t>）针对本项目，由乙方提出完整而切实可行的服务方案。</w:t>
      </w:r>
    </w:p>
    <w:p>
      <w:pPr>
        <w:pStyle w:val="null3"/>
        <w:spacing w:after="120"/>
        <w:jc w:val="both"/>
      </w:pPr>
      <w:r>
        <w:rPr>
          <w:sz w:val="21"/>
        </w:rPr>
        <w:t xml:space="preserve">    </w:t>
      </w:r>
      <w:r>
        <w:rPr>
          <w:sz w:val="21"/>
        </w:rPr>
        <w:t>（</w:t>
      </w:r>
      <w:r>
        <w:rPr>
          <w:sz w:val="21"/>
        </w:rPr>
        <w:t>3</w:t>
      </w:r>
      <w:r>
        <w:rPr>
          <w:sz w:val="21"/>
        </w:rPr>
        <w:t>）开发服务应包含软件版本升级改造和功能更新。</w:t>
      </w:r>
    </w:p>
    <w:p>
      <w:pPr>
        <w:pStyle w:val="null3"/>
        <w:ind w:firstLine="422"/>
      </w:pPr>
      <w:r>
        <w:rPr>
          <w:sz w:val="21"/>
          <w:b/>
        </w:rPr>
        <w:t>第二条质量要求、售后服务</w:t>
      </w:r>
    </w:p>
    <w:p>
      <w:pPr>
        <w:pStyle w:val="null3"/>
        <w:ind w:firstLine="417"/>
      </w:pPr>
      <w:r>
        <w:rPr>
          <w:sz w:val="21"/>
        </w:rPr>
        <w:t>（一）质量要求：按照采购文件，乙方的响应文件、澄清文件、成交通知书及本合同的要求执行。（以上文件发生冲突时以较高标准为准）。</w:t>
      </w:r>
    </w:p>
    <w:p>
      <w:pPr>
        <w:pStyle w:val="null3"/>
        <w:ind w:firstLine="417"/>
      </w:pPr>
      <w:r>
        <w:rPr>
          <w:sz w:val="21"/>
        </w:rPr>
        <w:t>（二）售后服务要求：</w:t>
      </w:r>
    </w:p>
    <w:p>
      <w:pPr>
        <w:pStyle w:val="null3"/>
        <w:ind w:firstLine="417"/>
      </w:pPr>
      <w:r>
        <w:rPr>
          <w:sz w:val="21"/>
        </w:rPr>
        <w:t>1.</w:t>
      </w:r>
      <w:r>
        <w:rPr>
          <w:sz w:val="21"/>
        </w:rPr>
        <w:t>自甲方验收从项目整体验收通过之日起，由乙方免费维护</w:t>
      </w:r>
      <w:r>
        <w:rPr>
          <w:b/>
          <w:u w:val="single"/>
        </w:rPr>
        <w:t xml:space="preserve">    </w:t>
      </w:r>
      <w:r>
        <w:rPr>
          <w:sz w:val="21"/>
          <w:b/>
          <w:u w:val="single"/>
        </w:rPr>
        <w:t>年</w:t>
      </w:r>
      <w:r>
        <w:rPr>
          <w:sz w:val="21"/>
        </w:rPr>
        <w:t>。乙方提供</w:t>
      </w:r>
      <w:r>
        <w:rPr>
          <w:u w:val="single"/>
        </w:rPr>
        <w:t xml:space="preserve">    </w:t>
      </w:r>
      <w:r>
        <w:rPr>
          <w:sz w:val="21"/>
        </w:rPr>
        <w:t>年的软件运维保障服务包含但不限于软件版本升级、功能更新及优化、原有接口及系统改造以及维护服务，相关运维保障服务所有费用均包含在本次项目费用中，甲方无需另行支付人工费、服务费、培训费等任何费用。</w:t>
      </w:r>
    </w:p>
    <w:p>
      <w:pPr>
        <w:pStyle w:val="null3"/>
        <w:ind w:firstLine="417"/>
      </w:pPr>
      <w:r>
        <w:rPr>
          <w:sz w:val="21"/>
        </w:rPr>
        <w:t>2.</w:t>
      </w:r>
      <w:r>
        <w:rPr>
          <w:sz w:val="21"/>
        </w:rPr>
        <w:t>维护服务期内乙方提供远程维护和现场维护，远程无法解决的故障应在规定的时间内派相关技术人员到现场上门服务，排除故障，并分析故障原因，提出防范措施；即乙方提供</w:t>
      </w:r>
      <w:r>
        <w:rPr>
          <w:sz w:val="21"/>
          <w:b/>
        </w:rPr>
        <w:t>_________</w:t>
      </w:r>
      <w:r>
        <w:rPr>
          <w:sz w:val="21"/>
        </w:rPr>
        <w:t>的维修服务热线、远程网络、现场等服务方式。在接到甲方服务请求后</w:t>
      </w:r>
      <w:r>
        <w:rPr>
          <w:sz w:val="21"/>
          <w:b/>
        </w:rPr>
        <w:t>_________</w:t>
      </w:r>
      <w:r>
        <w:rPr>
          <w:sz w:val="21"/>
        </w:rPr>
        <w:t>内技术响应；乙方逾期不处理的，甲方有权另行聘请第三方进行维修，由此产生的一切费用由乙方承担，甲方有权在未支付的费用中直接扣除。合同期内乙方未响应或未按时响应次数达</w:t>
      </w:r>
      <w:r>
        <w:rPr>
          <w:sz w:val="21"/>
          <w:b/>
          <w:u w:val="single"/>
        </w:rPr>
        <w:t>5</w:t>
      </w:r>
      <w:r>
        <w:rPr>
          <w:sz w:val="21"/>
          <w:b/>
          <w:u w:val="single"/>
        </w:rPr>
        <w:t>次</w:t>
      </w:r>
      <w:r>
        <w:rPr>
          <w:sz w:val="21"/>
        </w:rPr>
        <w:t>以上的，乙方在接到甲方书面异议后，应在</w:t>
      </w:r>
      <w:r>
        <w:rPr>
          <w:sz w:val="21"/>
          <w:b/>
          <w:u w:val="single"/>
        </w:rPr>
        <w:t>5</w:t>
      </w:r>
      <w:r>
        <w:rPr>
          <w:sz w:val="21"/>
          <w:b/>
          <w:u w:val="single"/>
        </w:rPr>
        <w:t>天</w:t>
      </w:r>
      <w:r>
        <w:rPr>
          <w:sz w:val="21"/>
        </w:rPr>
        <w:t>内改进并处理，否则，甲方有权单方面解除合同。</w:t>
      </w:r>
    </w:p>
    <w:p>
      <w:pPr>
        <w:pStyle w:val="null3"/>
        <w:ind w:firstLine="420"/>
      </w:pPr>
      <w:r>
        <w:rPr>
          <w:sz w:val="21"/>
        </w:rPr>
        <w:t>3.</w:t>
      </w:r>
      <w:r>
        <w:rPr>
          <w:sz w:val="21"/>
        </w:rPr>
        <w:t>乙方每次维护后须与甲方书面确认维修的时间以及维修后的结果，由乙方工程师签字确认维修报告，否则，视为乙方未按期承担维保责任。维保通知及维保后的书面确认将作为最后一期款项结算的依据。</w:t>
      </w:r>
    </w:p>
    <w:p>
      <w:pPr>
        <w:pStyle w:val="null3"/>
        <w:spacing w:after="120"/>
        <w:ind w:firstLine="420"/>
        <w:jc w:val="both"/>
      </w:pPr>
      <w:r>
        <w:rPr>
          <w:sz w:val="21"/>
        </w:rPr>
        <w:t>4</w:t>
      </w:r>
      <w:r>
        <w:rPr>
          <w:sz w:val="21"/>
        </w:rPr>
        <w:t>乙方须按照招标文件及本合同等要求为甲方的软件进行设计、开发、调试、安装、上线及售后服务等。</w:t>
      </w:r>
    </w:p>
    <w:p>
      <w:pPr>
        <w:pStyle w:val="null3"/>
        <w:spacing w:after="120"/>
        <w:ind w:firstLine="420"/>
        <w:jc w:val="both"/>
      </w:pPr>
      <w:r>
        <w:rPr>
          <w:sz w:val="21"/>
        </w:rPr>
        <w:t>5.</w:t>
      </w:r>
      <w:r>
        <w:rPr>
          <w:sz w:val="21"/>
        </w:rPr>
        <w:t>其他招标文件、投标文件等文件约定的为甲方提供的服务：</w:t>
      </w:r>
    </w:p>
    <w:p>
      <w:pPr>
        <w:pStyle w:val="null3"/>
        <w:spacing w:after="120"/>
        <w:ind w:firstLine="420"/>
        <w:jc w:val="both"/>
      </w:pPr>
      <w:r>
        <w:rPr>
          <w:sz w:val="21"/>
          <w:b/>
        </w:rPr>
        <w:t>_______________________________________________________________</w:t>
      </w:r>
    </w:p>
    <w:p>
      <w:pPr>
        <w:pStyle w:val="null3"/>
        <w:ind w:firstLine="480"/>
      </w:pPr>
      <w:r>
        <w:rPr>
          <w:sz w:val="21"/>
          <w:b/>
        </w:rPr>
        <w:t>第三条项目的结算</w:t>
      </w:r>
    </w:p>
    <w:p>
      <w:pPr>
        <w:pStyle w:val="null3"/>
        <w:ind w:firstLine="417"/>
      </w:pPr>
      <w:r>
        <w:rPr>
          <w:sz w:val="21"/>
        </w:rPr>
        <w:t>（一）第一期款：合同签订生效，且甲方收到乙方开具符合国家财务规定的等额发票后的</w:t>
      </w:r>
      <w:r>
        <w:rPr>
          <w:sz w:val="21"/>
          <w:u w:val="single"/>
        </w:rPr>
        <w:t>60</w:t>
      </w:r>
      <w:r>
        <w:rPr>
          <w:sz w:val="21"/>
          <w:u w:val="single"/>
        </w:rPr>
        <w:t>日</w:t>
      </w:r>
      <w:r>
        <w:rPr>
          <w:sz w:val="21"/>
        </w:rPr>
        <w:t>内，甲方将合同总金额的</w:t>
      </w:r>
      <w:r>
        <w:rPr>
          <w:sz w:val="21"/>
          <w:b/>
        </w:rPr>
        <w:t>30%</w:t>
      </w:r>
      <w:r>
        <w:rPr>
          <w:sz w:val="21"/>
        </w:rPr>
        <w:t>作为预付款支付给乙方，即（小写）</w:t>
      </w:r>
      <w:r>
        <w:rPr>
          <w:sz w:val="21"/>
          <w:b/>
          <w:u w:val="single"/>
        </w:rPr>
        <w:t>***</w:t>
      </w:r>
      <w:r>
        <w:rPr>
          <w:sz w:val="21"/>
          <w:b/>
          <w:u w:val="single"/>
        </w:rPr>
        <w:t>元</w:t>
      </w:r>
      <w:r>
        <w:rPr>
          <w:sz w:val="24"/>
          <w:b/>
        </w:rPr>
        <w:t>（</w:t>
      </w:r>
      <w:r>
        <w:rPr>
          <w:sz w:val="21"/>
          <w:b/>
          <w:u w:val="single"/>
        </w:rPr>
        <w:t>人民币</w:t>
      </w:r>
      <w:r>
        <w:rPr>
          <w:sz w:val="21"/>
          <w:b/>
          <w:u w:val="single"/>
        </w:rPr>
        <w:t>***</w:t>
      </w:r>
      <w:r>
        <w:rPr>
          <w:sz w:val="21"/>
          <w:b/>
          <w:u w:val="single"/>
        </w:rPr>
        <w:t>元整</w:t>
      </w:r>
      <w:r>
        <w:rPr>
          <w:sz w:val="24"/>
          <w:b/>
        </w:rPr>
        <w:t>）</w:t>
      </w:r>
      <w:r>
        <w:rPr>
          <w:sz w:val="21"/>
        </w:rPr>
        <w:t>；</w:t>
      </w:r>
    </w:p>
    <w:p>
      <w:pPr>
        <w:pStyle w:val="null3"/>
        <w:ind w:firstLine="417"/>
      </w:pPr>
      <w:r>
        <w:rPr>
          <w:sz w:val="21"/>
        </w:rPr>
        <w:t>（二）第二期款：系统完工整体验收合格，且甲方收到乙方开具符合国家财务规定的等额发票后的</w:t>
      </w:r>
      <w:r>
        <w:rPr>
          <w:sz w:val="21"/>
          <w:u w:val="single"/>
        </w:rPr>
        <w:t>1</w:t>
      </w:r>
      <w:r>
        <w:rPr>
          <w:sz w:val="21"/>
          <w:u w:val="single"/>
        </w:rPr>
        <w:t>60</w:t>
      </w:r>
      <w:r>
        <w:rPr>
          <w:sz w:val="21"/>
          <w:u w:val="single"/>
        </w:rPr>
        <w:t>日</w:t>
      </w:r>
      <w:r>
        <w:rPr>
          <w:sz w:val="21"/>
        </w:rPr>
        <w:t>内，甲方将合同总金额的</w:t>
      </w:r>
      <w:r>
        <w:rPr>
          <w:sz w:val="21"/>
          <w:b/>
        </w:rPr>
        <w:t>60%</w:t>
      </w:r>
      <w:r>
        <w:rPr>
          <w:sz w:val="21"/>
        </w:rPr>
        <w:t>支付给乙方，即（小写）</w:t>
      </w:r>
      <w:r>
        <w:rPr>
          <w:sz w:val="21"/>
          <w:b/>
          <w:u w:val="single"/>
        </w:rPr>
        <w:t>***</w:t>
      </w:r>
      <w:r>
        <w:rPr>
          <w:sz w:val="21"/>
          <w:b/>
          <w:u w:val="single"/>
        </w:rPr>
        <w:t>元</w:t>
      </w:r>
      <w:r>
        <w:rPr>
          <w:sz w:val="21"/>
        </w:rPr>
        <w:t>（</w:t>
      </w:r>
      <w:r>
        <w:rPr>
          <w:sz w:val="21"/>
          <w:b/>
          <w:u w:val="single"/>
        </w:rPr>
        <w:t>人民币</w:t>
      </w:r>
      <w:r>
        <w:rPr>
          <w:sz w:val="21"/>
          <w:b/>
          <w:u w:val="single"/>
        </w:rPr>
        <w:t>***</w:t>
      </w:r>
      <w:r>
        <w:rPr>
          <w:sz w:val="21"/>
          <w:b/>
          <w:u w:val="single"/>
        </w:rPr>
        <w:t>元整</w:t>
      </w:r>
      <w:r>
        <w:rPr>
          <w:sz w:val="24"/>
        </w:rPr>
        <w:t>）</w:t>
      </w:r>
      <w:r>
        <w:rPr>
          <w:sz w:val="21"/>
        </w:rPr>
        <w:t>；</w:t>
      </w:r>
    </w:p>
    <w:p>
      <w:pPr>
        <w:pStyle w:val="null3"/>
        <w:ind w:firstLine="420"/>
      </w:pPr>
      <w:r>
        <w:rPr>
          <w:sz w:val="21"/>
        </w:rPr>
        <w:t>（三）第三期款：系统完工整体验收合格且正常运行</w:t>
      </w:r>
      <w:r>
        <w:rPr>
          <w:sz w:val="21"/>
          <w:b/>
          <w:u w:val="single"/>
        </w:rPr>
        <w:t>1</w:t>
      </w:r>
      <w:r>
        <w:rPr>
          <w:sz w:val="21"/>
          <w:b/>
          <w:u w:val="single"/>
        </w:rPr>
        <w:t>年</w:t>
      </w:r>
      <w:r>
        <w:rPr>
          <w:sz w:val="21"/>
        </w:rPr>
        <w:t>后，且甲方收到乙方开具符合国家财务规定的等额发票后的</w:t>
      </w:r>
      <w:r>
        <w:rPr>
          <w:sz w:val="21"/>
          <w:u w:val="single"/>
        </w:rPr>
        <w:t>60</w:t>
      </w:r>
      <w:r>
        <w:rPr>
          <w:sz w:val="21"/>
          <w:u w:val="single"/>
        </w:rPr>
        <w:t>日</w:t>
      </w:r>
      <w:r>
        <w:rPr>
          <w:sz w:val="21"/>
        </w:rPr>
        <w:t>内，甲方将余下款项（合同总金额的</w:t>
      </w:r>
      <w:r>
        <w:rPr>
          <w:sz w:val="21"/>
          <w:b/>
        </w:rPr>
        <w:t>10%</w:t>
      </w:r>
      <w:r>
        <w:rPr>
          <w:sz w:val="21"/>
        </w:rPr>
        <w:t>）支付给乙方。即（小写）</w:t>
      </w:r>
      <w:r>
        <w:rPr>
          <w:sz w:val="21"/>
          <w:b/>
          <w:u w:val="single"/>
        </w:rPr>
        <w:t>***</w:t>
      </w:r>
      <w:r>
        <w:rPr>
          <w:sz w:val="21"/>
          <w:b/>
        </w:rPr>
        <w:t>元（</w:t>
      </w:r>
      <w:r>
        <w:rPr>
          <w:sz w:val="21"/>
          <w:b/>
          <w:u w:val="single"/>
        </w:rPr>
        <w:t>人民币</w:t>
      </w:r>
      <w:r>
        <w:rPr>
          <w:sz w:val="21"/>
          <w:b/>
          <w:u w:val="single"/>
        </w:rPr>
        <w:t>***</w:t>
      </w:r>
      <w:r>
        <w:rPr>
          <w:sz w:val="21"/>
          <w:b/>
          <w:u w:val="single"/>
        </w:rPr>
        <w:t>元整</w:t>
      </w:r>
      <w:r>
        <w:rPr>
          <w:sz w:val="21"/>
          <w:b/>
        </w:rPr>
        <w:t>）</w:t>
      </w:r>
      <w:r>
        <w:rPr>
          <w:sz w:val="21"/>
        </w:rPr>
        <w:t>。</w:t>
      </w:r>
    </w:p>
    <w:p>
      <w:pPr>
        <w:pStyle w:val="null3"/>
        <w:ind w:firstLine="417"/>
      </w:pPr>
      <w:r>
        <w:rPr>
          <w:sz w:val="21"/>
        </w:rPr>
        <w:t>（四）履约保证金：</w:t>
      </w:r>
    </w:p>
    <w:p>
      <w:pPr>
        <w:pStyle w:val="null3"/>
        <w:ind w:firstLine="417"/>
      </w:pPr>
      <w:r>
        <w:rPr>
          <w:sz w:val="21"/>
        </w:rPr>
        <w:t>1</w:t>
      </w:r>
      <w:r>
        <w:rPr>
          <w:sz w:val="21"/>
        </w:rPr>
        <w:t>、提交说明：</w:t>
      </w:r>
    </w:p>
    <w:p>
      <w:pPr>
        <w:pStyle w:val="null3"/>
        <w:ind w:firstLine="417"/>
      </w:pPr>
      <w:r>
        <w:rPr>
          <w:sz w:val="21"/>
        </w:rPr>
        <w:t>(1)</w:t>
      </w:r>
      <w:r>
        <w:rPr>
          <w:sz w:val="21"/>
        </w:rPr>
        <w:t>时间：在合同签订生效五个工作日内；</w:t>
      </w:r>
    </w:p>
    <w:p>
      <w:pPr>
        <w:pStyle w:val="null3"/>
        <w:ind w:firstLine="417"/>
      </w:pPr>
      <w:r>
        <w:rPr>
          <w:sz w:val="21"/>
        </w:rPr>
        <w:t>(2)</w:t>
      </w:r>
      <w:r>
        <w:rPr>
          <w:sz w:val="21"/>
        </w:rPr>
        <w:t>金额：项目合同金额的</w:t>
      </w:r>
      <w:r>
        <w:rPr>
          <w:sz w:val="21"/>
        </w:rPr>
        <w:t>5%</w:t>
      </w:r>
      <w:r>
        <w:rPr>
          <w:sz w:val="21"/>
        </w:rPr>
        <w:t>；</w:t>
      </w:r>
    </w:p>
    <w:p>
      <w:pPr>
        <w:pStyle w:val="null3"/>
        <w:ind w:firstLine="417"/>
      </w:pPr>
      <w:r>
        <w:rPr>
          <w:sz w:val="21"/>
        </w:rPr>
        <w:t>(3)</w:t>
      </w:r>
      <w:r>
        <w:rPr>
          <w:sz w:val="21"/>
        </w:rPr>
        <w:t>方式：转账、支票、汇票、本票、银行保函（保函有效期至合同履约结束）等非现金形式。</w:t>
      </w:r>
    </w:p>
    <w:p>
      <w:pPr>
        <w:pStyle w:val="null3"/>
        <w:ind w:firstLine="417"/>
      </w:pPr>
      <w:r>
        <w:rPr>
          <w:sz w:val="21"/>
        </w:rPr>
        <w:t>2</w:t>
      </w:r>
      <w:r>
        <w:rPr>
          <w:sz w:val="21"/>
        </w:rPr>
        <w:t>、退还说明：</w:t>
      </w:r>
    </w:p>
    <w:p>
      <w:pPr>
        <w:pStyle w:val="null3"/>
        <w:ind w:firstLine="417"/>
      </w:pPr>
      <w:r>
        <w:rPr>
          <w:sz w:val="21"/>
        </w:rPr>
        <w:t>服务期满后甲方接到乙方退款申请之日起</w:t>
      </w:r>
      <w:r>
        <w:rPr>
          <w:sz w:val="21"/>
        </w:rPr>
        <w:t>30</w:t>
      </w:r>
      <w:r>
        <w:rPr>
          <w:sz w:val="21"/>
        </w:rPr>
        <w:t>个工作日内一次性无息退还。履约保证金不退还情形：①未按照合同履约的，履约保证金不予退还，给甲方造成的损失超过履约保证金数额的，还应当对超过部分予以赔偿。②其他违反国家相关法律法规的情形。③乙方违反合同及其附件约定的任何义务，甲方有权在履约保证金中直接扣除乙方应向甲方支付的违约金或损失赔偿额，如有不足的，乙方应对超过的部分予以赔偿。甲方逾期退还履约保证金的，从逾期之日起每日按履约保证金万分之一的数额向乙方支付违约金。但因乙方自身原因导致无法及时退还的除外。</w:t>
      </w:r>
    </w:p>
    <w:p>
      <w:pPr>
        <w:pStyle w:val="null3"/>
        <w:ind w:firstLine="422"/>
      </w:pPr>
      <w:r>
        <w:rPr>
          <w:sz w:val="21"/>
          <w:b/>
        </w:rPr>
        <w:t>第四条项目工期及培训</w:t>
      </w:r>
    </w:p>
    <w:p>
      <w:pPr>
        <w:pStyle w:val="null3"/>
        <w:ind w:firstLine="420"/>
      </w:pPr>
      <w:r>
        <w:rPr>
          <w:sz w:val="21"/>
        </w:rPr>
        <w:t>（一）完工期：合同生效之日起</w:t>
      </w:r>
      <w:r>
        <w:rPr>
          <w:sz w:val="21"/>
          <w:b/>
        </w:rPr>
        <w:t>_________</w:t>
      </w:r>
      <w:r>
        <w:rPr>
          <w:sz w:val="21"/>
          <w:b/>
          <w:u w:val="single"/>
        </w:rPr>
        <w:t>内</w:t>
      </w:r>
      <w:r>
        <w:rPr>
          <w:sz w:val="21"/>
        </w:rPr>
        <w:t>完成所有系统的设计、开发、系统部署、第三方业务系统集成、对接、联调测试、安装调试、培训推广及上线。</w:t>
      </w:r>
    </w:p>
    <w:p>
      <w:pPr>
        <w:pStyle w:val="null3"/>
        <w:ind w:firstLine="420"/>
      </w:pPr>
      <w:r>
        <w:rPr>
          <w:sz w:val="21"/>
        </w:rPr>
        <w:t>（二）培训：培训对象包括甲方系统管理员、管理人员、操作员。培训内容为系统中涉及的相关技术内容；管理人员培训内容为系统流程和相关管理思想，操作员培训内容为系统的操作培训，乙方须培训至甲方上述人员掌握操作技术为止。</w:t>
      </w:r>
    </w:p>
    <w:p>
      <w:pPr>
        <w:pStyle w:val="null3"/>
        <w:ind w:firstLine="422"/>
      </w:pPr>
      <w:r>
        <w:rPr>
          <w:sz w:val="21"/>
          <w:b/>
        </w:rPr>
        <w:t>第五条甲方责任</w:t>
      </w:r>
    </w:p>
    <w:p>
      <w:pPr>
        <w:pStyle w:val="null3"/>
        <w:ind w:firstLine="420"/>
      </w:pPr>
      <w:r>
        <w:rPr>
          <w:sz w:val="21"/>
        </w:rPr>
        <w:t>（一）项目实施过程，甲方有对项目进度、软件系统运行情况进行监督控制的职责和权利。</w:t>
      </w:r>
    </w:p>
    <w:p>
      <w:pPr>
        <w:pStyle w:val="null3"/>
        <w:ind w:firstLine="420"/>
      </w:pPr>
      <w:r>
        <w:rPr>
          <w:sz w:val="21"/>
        </w:rPr>
        <w:t>（二）甲方须配合乙方的业务需求调研，向乙方提供本项目设计开发所需资料（图片、文字等），并保证所提供资料的按时性和准确性；</w:t>
      </w:r>
    </w:p>
    <w:p>
      <w:pPr>
        <w:pStyle w:val="null3"/>
        <w:ind w:firstLine="420"/>
      </w:pPr>
      <w:r>
        <w:rPr>
          <w:sz w:val="21"/>
        </w:rPr>
        <w:t>（三）甲方负责协调乙方以及相关部门及其他单位的工作关系和问题解决和系统接口协调工作。</w:t>
      </w:r>
    </w:p>
    <w:p>
      <w:pPr>
        <w:pStyle w:val="null3"/>
        <w:ind w:firstLine="420"/>
      </w:pPr>
      <w:r>
        <w:rPr>
          <w:sz w:val="21"/>
        </w:rPr>
        <w:t>（四）为了保证系统的稳定运行和审核的响应效率，甲方需提供相应的软硬件环境。</w:t>
      </w:r>
    </w:p>
    <w:p>
      <w:pPr>
        <w:pStyle w:val="null3"/>
        <w:ind w:firstLine="420"/>
      </w:pPr>
      <w:r>
        <w:rPr>
          <w:sz w:val="21"/>
        </w:rPr>
        <w:t>（五）甲方负责协调各方进行系统安装、测试、开通及验收的环境及场所，同时提供必要的文档资料和数据，协助乙方做好系统的实施工作。</w:t>
      </w:r>
    </w:p>
    <w:p>
      <w:pPr>
        <w:pStyle w:val="null3"/>
        <w:ind w:firstLine="420"/>
      </w:pPr>
      <w:r>
        <w:rPr>
          <w:sz w:val="21"/>
        </w:rPr>
        <w:t>（六）甲方定期做好系统数据备份，并妥善保管。</w:t>
      </w:r>
    </w:p>
    <w:p>
      <w:pPr>
        <w:pStyle w:val="null3"/>
        <w:ind w:firstLine="420"/>
      </w:pPr>
      <w:r>
        <w:rPr>
          <w:sz w:val="21"/>
        </w:rPr>
        <w:t>（七）甲方在应用过程中发现系统出现异常，应及时与乙方取得联系，并记录当前故障现象，便于乙方做出诊断；甲方在乙方服务人员服务完成后，配合检查系统运行是否正常，并在现场服务请求单上签字确认。</w:t>
      </w:r>
    </w:p>
    <w:p>
      <w:pPr>
        <w:pStyle w:val="null3"/>
        <w:ind w:firstLine="420"/>
      </w:pPr>
      <w:r>
        <w:rPr>
          <w:sz w:val="21"/>
        </w:rPr>
        <w:t>（八）甲方在履行本合同过程中，不得将本合同涉及到的系统提供给第三方使用，因此引起的乙方损失均由甲方承担。</w:t>
      </w:r>
    </w:p>
    <w:p>
      <w:pPr>
        <w:pStyle w:val="null3"/>
        <w:ind w:firstLine="420"/>
      </w:pPr>
      <w:r>
        <w:rPr>
          <w:sz w:val="21"/>
        </w:rPr>
        <w:t>（九）按本合同约定的合同金额及支付方式向乙方支付有关费用。</w:t>
      </w:r>
    </w:p>
    <w:p>
      <w:pPr>
        <w:pStyle w:val="null3"/>
        <w:ind w:firstLine="420"/>
      </w:pPr>
      <w:r>
        <w:rPr>
          <w:sz w:val="21"/>
        </w:rPr>
        <w:t>（十）项目设计和开发期间，甲方负责向乙方提出参考意见或修改意见。</w:t>
      </w:r>
    </w:p>
    <w:p>
      <w:pPr>
        <w:pStyle w:val="null3"/>
        <w:ind w:firstLine="422"/>
      </w:pPr>
      <w:r>
        <w:rPr>
          <w:sz w:val="21"/>
          <w:b/>
        </w:rPr>
        <w:t>第六条乙方责任</w:t>
      </w:r>
    </w:p>
    <w:p>
      <w:pPr>
        <w:pStyle w:val="null3"/>
        <w:ind w:firstLine="420"/>
      </w:pPr>
      <w:r>
        <w:rPr>
          <w:sz w:val="21"/>
        </w:rPr>
        <w:t>（一）乙方负责成立项目设计开发工作小组，承担甲方项目的设计与开发，按照项目的要求及其他资料承担甲方项目的实施交付；</w:t>
      </w:r>
    </w:p>
    <w:p>
      <w:pPr>
        <w:pStyle w:val="null3"/>
        <w:ind w:firstLine="420"/>
      </w:pPr>
      <w:r>
        <w:rPr>
          <w:sz w:val="21"/>
        </w:rPr>
        <w:t>（二）乙方须按合同所规定期限完成甲方项目的设计和开发，实施交付并按照采购的技术需求完成系统的调试、对接及正式上线；</w:t>
      </w:r>
    </w:p>
    <w:p>
      <w:pPr>
        <w:pStyle w:val="null3"/>
        <w:ind w:firstLine="420"/>
      </w:pPr>
      <w:r>
        <w:rPr>
          <w:sz w:val="21"/>
        </w:rPr>
        <w:t>（三）项目设计和开发期间，乙方负责听取并研究甲方相关意见；</w:t>
      </w:r>
    </w:p>
    <w:p>
      <w:pPr>
        <w:pStyle w:val="null3"/>
        <w:ind w:firstLine="420"/>
      </w:pPr>
      <w:r>
        <w:rPr>
          <w:sz w:val="21"/>
        </w:rPr>
        <w:t>（四）项目设计和开发期间，若甲方提出异议，经甲乙双方友好协商后，乙方可进行修改，协商不成，以甲方要求为准，若甲方提出的要求违反相关法律规定或影响系统运行的，乙方应及时告知甲方。</w:t>
      </w:r>
    </w:p>
    <w:p>
      <w:pPr>
        <w:pStyle w:val="null3"/>
        <w:ind w:firstLine="420"/>
      </w:pPr>
      <w:r>
        <w:rPr>
          <w:sz w:val="21"/>
        </w:rPr>
        <w:t>（五）乙方保证系统功能与招标文件的用户需求、乙方的投标文件等一致。</w:t>
      </w:r>
    </w:p>
    <w:p>
      <w:pPr>
        <w:pStyle w:val="null3"/>
        <w:ind w:firstLine="420"/>
      </w:pPr>
      <w:r>
        <w:rPr>
          <w:sz w:val="21"/>
        </w:rPr>
        <w:t>（六）乙方保证其所提供的系统及服务等未侵犯任何第三方的知识产权或合法权益，并应保护甲方在使用该系统时不受第三方提出侵权指控。若违反该承诺，由此引起的知识产权问题、侵权责任等以及因此而发生的所有费用由乙方负责。</w:t>
      </w:r>
    </w:p>
    <w:p>
      <w:pPr>
        <w:pStyle w:val="null3"/>
        <w:ind w:firstLine="420"/>
      </w:pPr>
      <w:r>
        <w:rPr>
          <w:sz w:val="21"/>
        </w:rPr>
        <w:t>（七）乙方必须具备相应的维护保养、升级服务能力，能按照采购文件的用户需求、乙方的响应文件以及合同约定提供完善的售后服务（包括技术人员、响应时间及备品、备件方面等）。</w:t>
      </w:r>
    </w:p>
    <w:p>
      <w:pPr>
        <w:pStyle w:val="null3"/>
        <w:ind w:firstLine="420"/>
      </w:pPr>
      <w:r>
        <w:rPr>
          <w:sz w:val="21"/>
        </w:rPr>
        <w:t>（八）负责甲方系统维护人员及操作人员的培训。</w:t>
      </w:r>
    </w:p>
    <w:p>
      <w:pPr>
        <w:pStyle w:val="null3"/>
        <w:ind w:firstLine="420"/>
      </w:pPr>
      <w:r>
        <w:rPr>
          <w:sz w:val="21"/>
        </w:rPr>
        <w:t>（九）负责在交货验收合格后将操作说明书等全部技术资料移交给甲方。</w:t>
      </w:r>
    </w:p>
    <w:p>
      <w:pPr>
        <w:pStyle w:val="null3"/>
        <w:ind w:firstLine="422"/>
      </w:pPr>
      <w:r>
        <w:rPr>
          <w:sz w:val="21"/>
          <w:b/>
        </w:rPr>
        <w:t>第七条版权、源代码及商业机密</w:t>
      </w:r>
    </w:p>
    <w:p>
      <w:pPr>
        <w:pStyle w:val="null3"/>
        <w:ind w:firstLine="420"/>
      </w:pPr>
      <w:r>
        <w:rPr>
          <w:sz w:val="21"/>
        </w:rPr>
        <w:t>（一）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firstLine="420"/>
      </w:pPr>
      <w:r>
        <w:rPr>
          <w:sz w:val="21"/>
        </w:rPr>
        <w:t>（二）乙方为甲方所设计和开发的项目的所有权（指源代码）归乙方和甲方共同所有；但是如果甲方提出正常维护需求（包括免费维保期和有偿维护期）乙方因本方技术人员流失、公司破产或类似原因无法提供维护服务时，乙方有义务将源代码提交给甲方。</w:t>
      </w:r>
    </w:p>
    <w:p>
      <w:pPr>
        <w:pStyle w:val="null3"/>
        <w:ind w:firstLine="420"/>
      </w:pPr>
      <w:r>
        <w:rPr>
          <w:sz w:val="21"/>
        </w:rPr>
        <w:t>（三）乙方为甲方严守商业机密，不得将该项目的设计和数据转用于第三方或向第三方泄露。</w:t>
      </w:r>
    </w:p>
    <w:p>
      <w:pPr>
        <w:pStyle w:val="null3"/>
        <w:ind w:firstLine="422"/>
      </w:pPr>
      <w:r>
        <w:rPr>
          <w:sz w:val="21"/>
          <w:b/>
        </w:rPr>
        <w:t>第八条验收方式</w:t>
      </w:r>
    </w:p>
    <w:p>
      <w:pPr>
        <w:pStyle w:val="null3"/>
        <w:ind w:firstLine="420"/>
      </w:pPr>
      <w:r>
        <w:rPr>
          <w:sz w:val="21"/>
        </w:rPr>
        <w:t>（一）系统安装、调试、对接完成后并且系统顺利持续运行一个月后</w:t>
      </w:r>
      <w:r>
        <w:rPr>
          <w:sz w:val="21"/>
          <w:b/>
          <w:u w:val="single"/>
        </w:rPr>
        <w:t>10</w:t>
      </w:r>
      <w:r>
        <w:rPr>
          <w:sz w:val="21"/>
        </w:rPr>
        <w:t>日内进行验收，乙方向甲方提出验收申请。甲方在收到上述申请后</w:t>
      </w:r>
      <w:r>
        <w:rPr>
          <w:sz w:val="21"/>
          <w:b/>
          <w:u w:val="single"/>
        </w:rPr>
        <w:t>10</w:t>
      </w:r>
      <w:r>
        <w:rPr>
          <w:sz w:val="21"/>
        </w:rPr>
        <w:t>日内组织验收；</w:t>
      </w:r>
    </w:p>
    <w:p>
      <w:pPr>
        <w:pStyle w:val="null3"/>
        <w:ind w:firstLine="420"/>
      </w:pPr>
      <w:r>
        <w:rPr>
          <w:sz w:val="21"/>
        </w:rPr>
        <w:t>（二）验收地点：</w:t>
      </w:r>
      <w:r>
        <w:rPr>
          <w:sz w:val="21"/>
          <w:b/>
          <w:u w:val="single"/>
        </w:rPr>
        <w:t>江门市中心医院</w:t>
      </w:r>
      <w:r>
        <w:rPr>
          <w:sz w:val="21"/>
        </w:rPr>
        <w:t>；</w:t>
      </w:r>
    </w:p>
    <w:p>
      <w:pPr>
        <w:pStyle w:val="null3"/>
        <w:ind w:firstLine="420"/>
      </w:pPr>
      <w:r>
        <w:rPr>
          <w:sz w:val="21"/>
        </w:rPr>
        <w:t>（三）验收方式：由甲方相关人员与乙方相关人员共同组成，甲方与乙方共同对整个系统集成依据合同要求进行检查测试；对集成的每一部分进行诊断，并对系统进行</w:t>
      </w:r>
      <w:r>
        <w:rPr>
          <w:sz w:val="21"/>
        </w:rPr>
        <w:t>48</w:t>
      </w:r>
      <w:r>
        <w:rPr>
          <w:sz w:val="21"/>
        </w:rPr>
        <w:t>小时测试，验收结果由甲乙双方主管人员签字并盖章认可，存档留作验收时参考。</w:t>
      </w:r>
    </w:p>
    <w:p>
      <w:pPr>
        <w:pStyle w:val="null3"/>
        <w:ind w:firstLine="420"/>
      </w:pPr>
      <w:r>
        <w:rPr>
          <w:sz w:val="21"/>
        </w:rPr>
        <w:t>（四）验收标准：符合采购文件、乙方的响应文件、澄清文件和中标通知书的要求；单证齐全，有发票和其它应当具有单证文件。</w:t>
      </w:r>
    </w:p>
    <w:p>
      <w:pPr>
        <w:pStyle w:val="null3"/>
        <w:ind w:firstLine="420"/>
      </w:pPr>
      <w:r>
        <w:rPr>
          <w:sz w:val="21"/>
        </w:rPr>
        <w:t>（五）验收交付文档包括但不限于：全套、完整的安装手册、配置、管理及维护的全面技术资料，所有与用户、设备等相关联的说明、表格等资料，以及产品合格证明材料和验收报告。</w:t>
      </w:r>
    </w:p>
    <w:p>
      <w:pPr>
        <w:pStyle w:val="null3"/>
        <w:ind w:firstLine="420"/>
      </w:pPr>
      <w:r>
        <w:rPr>
          <w:sz w:val="21"/>
        </w:rPr>
        <w:t>（六）验收异议：在验收过程中，如发现系统相关内容未完善、未能完全对接院内系统或者未能按照招投标文件中约定的方式进行操作的，乙方须无条件进行整改，整改产生的费用由乙方承担。乙方未能完成整改前，甲方有权拒绝签字验收。</w:t>
      </w:r>
    </w:p>
    <w:p>
      <w:pPr>
        <w:pStyle w:val="null3"/>
        <w:ind w:firstLine="422"/>
      </w:pPr>
      <w:r>
        <w:rPr>
          <w:sz w:val="21"/>
          <w:b/>
        </w:rPr>
        <w:t>第九条乙方的违约责任</w:t>
      </w:r>
    </w:p>
    <w:p>
      <w:pPr>
        <w:pStyle w:val="null3"/>
        <w:ind w:firstLine="420"/>
      </w:pPr>
      <w:r>
        <w:rPr>
          <w:sz w:val="21"/>
        </w:rPr>
        <w:t>（一）乙方不能交付系统的，甲方有权解除本合同，要求乙方退还全部已经支付的款项，不向乙方支付剩余款项并有权要求乙方应向甲方偿付合同总价的</w:t>
      </w:r>
      <w:r>
        <w:rPr>
          <w:sz w:val="21"/>
          <w:b/>
          <w:u w:val="single"/>
        </w:rPr>
        <w:t>百分之十</w:t>
      </w:r>
      <w:r>
        <w:rPr>
          <w:sz w:val="21"/>
        </w:rPr>
        <w:t>作为违约金，若以上违约金不足以弥补甲方损失的，乙方须赔偿甲方实际损失；</w:t>
      </w:r>
    </w:p>
    <w:p>
      <w:pPr>
        <w:pStyle w:val="null3"/>
        <w:ind w:firstLine="420"/>
      </w:pPr>
      <w:r>
        <w:rPr>
          <w:sz w:val="21"/>
        </w:rPr>
        <w:t>（二）乙方所交系统不符合合同规定或采购文件要求的，由乙方负责整改，由乙方负责修改或更换，并承担修改、维护或退货而支付的实际费用，且乙方须向甲方偿付合同总价的</w:t>
      </w:r>
      <w:r>
        <w:rPr>
          <w:sz w:val="21"/>
          <w:b/>
          <w:u w:val="single"/>
        </w:rPr>
        <w:t>百分之五</w:t>
      </w:r>
      <w:r>
        <w:rPr>
          <w:sz w:val="21"/>
        </w:rPr>
        <w:t>作为违约金，上述违约金不足以弥补甲方损失的，乙方须赔偿甲方实际损失；乙方拒绝整改或整改后仍不符合合同规定的，甲方有权单方面解除本合同，乙方须向甲方偿付合同总价的</w:t>
      </w:r>
      <w:r>
        <w:rPr>
          <w:sz w:val="21"/>
          <w:b/>
          <w:u w:val="single"/>
        </w:rPr>
        <w:t>百分之三</w:t>
      </w:r>
      <w:r>
        <w:rPr>
          <w:sz w:val="21"/>
        </w:rPr>
        <w:t>作为违约金，若以上违约金不足以弥补甲方损失的，乙方须赔偿甲方实际损失；</w:t>
      </w:r>
    </w:p>
    <w:p>
      <w:pPr>
        <w:pStyle w:val="null3"/>
        <w:ind w:firstLine="420"/>
      </w:pPr>
      <w:r>
        <w:rPr>
          <w:sz w:val="21"/>
        </w:rPr>
        <w:t>（三）乙方未按时完成系统安装调试上线并通过验收的，每逾期一日应向甲方偿付合同总额的</w:t>
      </w:r>
      <w:r>
        <w:rPr>
          <w:sz w:val="21"/>
          <w:b/>
          <w:u w:val="single"/>
        </w:rPr>
        <w:t>千分之三</w:t>
      </w:r>
      <w:r>
        <w:rPr>
          <w:sz w:val="21"/>
        </w:rPr>
        <w:t>作为违约金。如乙方逾期的天数达到</w:t>
      </w:r>
      <w:r>
        <w:rPr>
          <w:sz w:val="21"/>
          <w:b/>
          <w:u w:val="single"/>
        </w:rPr>
        <w:t xml:space="preserve"> </w:t>
      </w:r>
      <w:r>
        <w:rPr>
          <w:sz w:val="21"/>
          <w:b/>
          <w:u w:val="single"/>
        </w:rPr>
        <w:t xml:space="preserve">30 </w:t>
      </w:r>
      <w:r>
        <w:rPr>
          <w:sz w:val="21"/>
          <w:b/>
          <w:u w:val="single"/>
        </w:rPr>
        <w:t>天</w:t>
      </w:r>
      <w:r>
        <w:rPr>
          <w:sz w:val="21"/>
        </w:rPr>
        <w:t>及以上的，甲方有权解除本合同，要求乙方退还全部已经支付的款项，并有权要求乙方承担合同总金额</w:t>
      </w:r>
      <w:r>
        <w:rPr>
          <w:sz w:val="21"/>
          <w:b/>
          <w:u w:val="single"/>
        </w:rPr>
        <w:t>百分之三</w:t>
      </w:r>
      <w:r>
        <w:rPr>
          <w:sz w:val="21"/>
        </w:rPr>
        <w:t>作为违约金，若以上违约金不足以弥补甲方损失的，乙方须赔偿甲方实际损失。</w:t>
      </w:r>
    </w:p>
    <w:p>
      <w:pPr>
        <w:pStyle w:val="null3"/>
        <w:ind w:firstLine="420"/>
      </w:pPr>
      <w:r>
        <w:rPr>
          <w:sz w:val="21"/>
        </w:rPr>
        <w:t>（四）乙方未能按照合同约定提供维保、升级服务的，每次须按照合同总价的</w:t>
      </w:r>
      <w:r>
        <w:rPr>
          <w:sz w:val="21"/>
          <w:b/>
          <w:u w:val="single"/>
        </w:rPr>
        <w:t>百分之三</w:t>
      </w:r>
      <w:r>
        <w:rPr>
          <w:sz w:val="21"/>
        </w:rPr>
        <w:t>向甲方支付违约金，若以上违约金不足以弥补甲方损失的，乙方须赔偿甲方实际损失。出现上述情况达到</w:t>
      </w:r>
      <w:r>
        <w:rPr>
          <w:sz w:val="21"/>
          <w:b/>
          <w:u w:val="single"/>
        </w:rPr>
        <w:t xml:space="preserve">3 </w:t>
      </w:r>
      <w:r>
        <w:rPr>
          <w:sz w:val="21"/>
          <w:b/>
          <w:u w:val="single"/>
        </w:rPr>
        <w:t>次</w:t>
      </w:r>
      <w:r>
        <w:rPr>
          <w:sz w:val="21"/>
        </w:rPr>
        <w:t>及以上的，甲方有权解除本合同，要求乙方承担合同总金额</w:t>
      </w:r>
      <w:r>
        <w:rPr>
          <w:sz w:val="21"/>
          <w:b/>
          <w:u w:val="single"/>
        </w:rPr>
        <w:t>百分之三</w:t>
      </w:r>
      <w:r>
        <w:rPr>
          <w:sz w:val="21"/>
        </w:rPr>
        <w:t>作为违约金，若以上违约金不足以弥补甲方损失的，乙方须赔偿甲方实际损失。</w:t>
      </w:r>
    </w:p>
    <w:p>
      <w:pPr>
        <w:pStyle w:val="null3"/>
        <w:spacing w:after="120"/>
        <w:ind w:firstLine="420"/>
        <w:jc w:val="both"/>
      </w:pPr>
      <w:r>
        <w:rPr>
          <w:sz w:val="21"/>
        </w:rPr>
        <w:t>（五）乙方对系统相关要求予以响应却未能有效落实到位时，甲方将依具体情形按相应比例扣减合同金额。若未落实状况较为严重，诸如因乙方责任致使项目验收延期，那么甲方有权依法向乙方索偿损失。具体扣减规则为：每出现延期一个月的情形，便扣除合同金额的</w:t>
      </w:r>
      <w:r>
        <w:rPr>
          <w:sz w:val="21"/>
          <w:b/>
          <w:u w:val="single"/>
        </w:rPr>
        <w:t>百分之一</w:t>
      </w:r>
      <w:r>
        <w:rPr>
          <w:sz w:val="21"/>
        </w:rPr>
        <w:t>；若延期时长不足一个月，亦按照一个月的标准予以扣除计算。</w:t>
      </w:r>
    </w:p>
    <w:p>
      <w:pPr>
        <w:pStyle w:val="null3"/>
        <w:ind w:firstLine="422"/>
      </w:pPr>
      <w:r>
        <w:rPr>
          <w:sz w:val="21"/>
          <w:b/>
        </w:rPr>
        <w:t>第十条甲方的违约责任</w:t>
      </w:r>
    </w:p>
    <w:p>
      <w:pPr>
        <w:pStyle w:val="null3"/>
        <w:ind w:firstLine="420"/>
      </w:pPr>
      <w:r>
        <w:rPr>
          <w:sz w:val="21"/>
        </w:rPr>
        <w:t>（一）甲方无正当理由逾期付款的，应每日按逾期金额的</w:t>
      </w:r>
      <w:r>
        <w:rPr>
          <w:sz w:val="21"/>
          <w:b/>
          <w:u w:val="single"/>
        </w:rPr>
        <w:t>万分之五</w:t>
      </w:r>
      <w:r>
        <w:rPr>
          <w:sz w:val="21"/>
        </w:rPr>
        <w:t>向乙方支付违约金，违约金上限不超过合同总金额的</w:t>
      </w:r>
      <w:r>
        <w:rPr>
          <w:sz w:val="21"/>
          <w:b/>
          <w:u w:val="single"/>
        </w:rPr>
        <w:t>百分之三</w:t>
      </w:r>
      <w:r>
        <w:rPr>
          <w:sz w:val="21"/>
        </w:rPr>
        <w:t>；</w:t>
      </w:r>
    </w:p>
    <w:p>
      <w:pPr>
        <w:pStyle w:val="null3"/>
        <w:ind w:firstLine="420"/>
      </w:pPr>
      <w:r>
        <w:rPr>
          <w:sz w:val="21"/>
        </w:rPr>
        <w:t>（二）甲方违反合同规定无正当理由拒绝接受系统安装的，应当承担由此而对乙方造成的损失。</w:t>
      </w:r>
    </w:p>
    <w:p>
      <w:pPr>
        <w:pStyle w:val="null3"/>
        <w:ind w:firstLine="422"/>
      </w:pPr>
      <w:r>
        <w:rPr>
          <w:sz w:val="21"/>
          <w:b/>
        </w:rPr>
        <w:t>第十一条不可抗力</w:t>
      </w:r>
    </w:p>
    <w:p>
      <w:pPr>
        <w:pStyle w:val="null3"/>
        <w:ind w:firstLine="420"/>
      </w:pPr>
      <w:r>
        <w:rPr>
          <w:sz w:val="21"/>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pPr>
        <w:pStyle w:val="null3"/>
        <w:ind w:firstLine="422"/>
      </w:pPr>
      <w:r>
        <w:rPr>
          <w:sz w:val="21"/>
          <w:b/>
        </w:rPr>
        <w:t>第十二条争议的解决</w:t>
      </w:r>
    </w:p>
    <w:p>
      <w:pPr>
        <w:pStyle w:val="null3"/>
        <w:ind w:firstLine="420"/>
      </w:pPr>
      <w:r>
        <w:rPr>
          <w:sz w:val="21"/>
        </w:rPr>
        <w:t>（一）如因产品的质量问题发生争议，由法定的质量技术鉴定机构进行质量鉴定，双方应当服从该鉴定的结论；</w:t>
      </w:r>
    </w:p>
    <w:p>
      <w:pPr>
        <w:pStyle w:val="null3"/>
        <w:ind w:firstLine="420"/>
      </w:pPr>
      <w:r>
        <w:rPr>
          <w:sz w:val="21"/>
        </w:rPr>
        <w:t>（二）若执行本合同的过程中发生纠纷，双方当事人应当及时协商解决；协商不成时，可向甲方所在地人民法院提起诉讼。</w:t>
      </w:r>
    </w:p>
    <w:p>
      <w:pPr>
        <w:pStyle w:val="null3"/>
        <w:ind w:firstLine="422"/>
      </w:pPr>
      <w:r>
        <w:rPr>
          <w:sz w:val="21"/>
          <w:b/>
        </w:rPr>
        <w:t>第十三条保密条款</w:t>
      </w:r>
    </w:p>
    <w:p>
      <w:pPr>
        <w:pStyle w:val="null3"/>
        <w:ind w:firstLine="420"/>
      </w:pPr>
      <w:r>
        <w:rPr>
          <w:sz w:val="21"/>
        </w:rPr>
        <w:t>乙方遵守国家的经济、技术工作保密规定和甲方的保密工作条例，对项目实施期间从甲方了解的各种情况、获取的全部信息资料严格保密，不得泄露。本保密条款长期有效，直至甲方放弃保密要求。</w:t>
      </w:r>
    </w:p>
    <w:p>
      <w:pPr>
        <w:pStyle w:val="null3"/>
        <w:ind w:firstLine="422"/>
      </w:pPr>
      <w:r>
        <w:rPr>
          <w:sz w:val="21"/>
          <w:b/>
        </w:rPr>
        <w:t>第十四条监督和管理</w:t>
      </w:r>
    </w:p>
    <w:p>
      <w:pPr>
        <w:pStyle w:val="null3"/>
        <w:ind w:firstLine="420"/>
      </w:pPr>
      <w:r>
        <w:rPr>
          <w:sz w:val="21"/>
        </w:rPr>
        <w:t>（一）甲乙双方经协商一致需变更合同条款的，订立补充合同。</w:t>
      </w:r>
    </w:p>
    <w:p>
      <w:pPr>
        <w:pStyle w:val="null3"/>
        <w:ind w:firstLine="420"/>
      </w:pPr>
      <w:r>
        <w:rPr>
          <w:sz w:val="21"/>
        </w:rPr>
        <w:t>（二）甲乙双方均应自觉配合采购监督管理部门对合同履行情况的监督检查，如实反映情况，提供有关资料；否则，将对有关单位、当事人按照有关规定予以处罚。</w:t>
      </w:r>
    </w:p>
    <w:p>
      <w:pPr>
        <w:pStyle w:val="null3"/>
        <w:ind w:firstLine="422"/>
      </w:pPr>
      <w:r>
        <w:rPr>
          <w:sz w:val="21"/>
          <w:b/>
        </w:rPr>
        <w:t>第十五条无效合同</w:t>
      </w:r>
    </w:p>
    <w:p>
      <w:pPr>
        <w:pStyle w:val="null3"/>
        <w:ind w:firstLine="420"/>
      </w:pPr>
      <w:r>
        <w:rPr>
          <w:sz w:val="21"/>
        </w:rPr>
        <w:t>甲乙双方如因违反法律和有关规定，合同被宣告无效的，有过错的一方应当承担赔偿责任，双方都有过错的，各自承担相应的责任。</w:t>
      </w:r>
    </w:p>
    <w:p>
      <w:pPr>
        <w:pStyle w:val="null3"/>
        <w:ind w:firstLine="422"/>
      </w:pPr>
      <w:r>
        <w:rPr>
          <w:sz w:val="21"/>
          <w:b/>
        </w:rPr>
        <w:t>第十六条投诉</w:t>
      </w:r>
    </w:p>
    <w:p>
      <w:pPr>
        <w:pStyle w:val="null3"/>
        <w:ind w:firstLine="424"/>
      </w:pPr>
      <w:r>
        <w:rPr>
          <w:sz w:val="21"/>
        </w:rPr>
        <w:t>甲方如对乙方所提供的产品质量及服务提出投诉，经核查如属有效投诉并超过三次，采购监督管理部门有权取消乙方的中标资格，并按有关规定接受处理。</w:t>
      </w:r>
    </w:p>
    <w:p>
      <w:pPr>
        <w:pStyle w:val="null3"/>
        <w:ind w:firstLine="422"/>
      </w:pPr>
      <w:r>
        <w:rPr>
          <w:sz w:val="21"/>
          <w:b/>
        </w:rPr>
        <w:t>第十七条附则</w:t>
      </w:r>
    </w:p>
    <w:p>
      <w:pPr>
        <w:pStyle w:val="null3"/>
        <w:ind w:firstLine="420"/>
      </w:pPr>
      <w:r>
        <w:rPr>
          <w:sz w:val="21"/>
        </w:rPr>
        <w:t>（一）本合同一式</w:t>
      </w:r>
      <w:r>
        <w:rPr>
          <w:sz w:val="21"/>
          <w:b/>
        </w:rPr>
        <w:t>肆</w:t>
      </w:r>
      <w:r>
        <w:rPr>
          <w:sz w:val="21"/>
          <w:b/>
        </w:rPr>
        <w:t>份</w:t>
      </w:r>
      <w:r>
        <w:rPr>
          <w:sz w:val="21"/>
        </w:rPr>
        <w:t>，甲方执</w:t>
      </w:r>
      <w:r>
        <w:rPr>
          <w:sz w:val="21"/>
          <w:b/>
        </w:rPr>
        <w:t>贰份</w:t>
      </w:r>
      <w:r>
        <w:rPr>
          <w:sz w:val="21"/>
        </w:rPr>
        <w:t>，乙方执</w:t>
      </w:r>
      <w:r>
        <w:rPr>
          <w:sz w:val="21"/>
          <w:b/>
        </w:rPr>
        <w:t>贰份</w:t>
      </w:r>
      <w:r>
        <w:rPr>
          <w:sz w:val="21"/>
        </w:rPr>
        <w:t>。每份均具有同等法律效力。</w:t>
      </w:r>
    </w:p>
    <w:p>
      <w:pPr>
        <w:pStyle w:val="null3"/>
        <w:ind w:firstLine="420"/>
      </w:pPr>
      <w:r>
        <w:rPr>
          <w:sz w:val="21"/>
        </w:rPr>
        <w:t>（二）本合同自甲乙双方签字盖章后生效。</w:t>
      </w:r>
    </w:p>
    <w:p>
      <w:pPr>
        <w:pStyle w:val="null3"/>
        <w:ind w:firstLine="420"/>
      </w:pPr>
      <w:r>
        <w:rPr>
          <w:sz w:val="21"/>
        </w:rPr>
        <w:t>（三）甲乙双方确认，在本合同履行过程中，所有通知、文件、文书、资料等，均可以向本合同或营业执照所列明的住所地进行送达，任何一方如果迁址、变更电话、电邮，应当书面通知对方，未履行书面通知义务的，一方按原地址或联络方式邮寄相关材料或通知相关信息即视为已履行送达义务。当面交付上述材料的，在交付之时视为送达；以邮寄、短信、电邮方式交付的，寄出、发出或者投邮后即视为送达。本合同甲乙双方的联系方式和联系信息适用于双方往来联系、书面文件送达及争议解决时法律文书送达。</w:t>
      </w:r>
    </w:p>
    <w:p>
      <w:pPr>
        <w:pStyle w:val="null3"/>
        <w:spacing w:after="120"/>
        <w:ind w:left="420" w:firstLine="482"/>
        <w:jc w:val="both"/>
      </w:pPr>
      <w:r>
        <w:rPr>
          <w:sz w:val="24"/>
          <w:b/>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484"/>
        <w:gridCol w:w="3822"/>
      </w:tblGrid>
      <w:tr>
        <w:tc>
          <w:tcPr>
            <w:tcW w:type="dxa" w:w="4484"/>
            <w:tcBorders>
              <w:top w:val="dotted"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b/>
              </w:rPr>
              <w:t>甲方：江门市中心医院</w:t>
            </w:r>
          </w:p>
          <w:p>
            <w:pPr>
              <w:pStyle w:val="null3"/>
            </w:pPr>
            <w:r>
              <w:rPr>
                <w:sz w:val="19"/>
              </w:rPr>
              <w:t xml:space="preserve"> </w:t>
            </w:r>
          </w:p>
        </w:tc>
        <w:tc>
          <w:tcPr>
            <w:tcW w:type="dxa" w:w="3822"/>
            <w:tcBorders>
              <w:top w:val="dotted"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b/>
              </w:rPr>
              <w:t>乙方：</w:t>
            </w:r>
          </w:p>
        </w:tc>
      </w:tr>
      <w:tr>
        <w:tc>
          <w:tcPr>
            <w:tcW w:type="dxa" w:w="4484"/>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地址：江门市蓬江区海傍街北街海傍街</w:t>
            </w:r>
            <w:r>
              <w:rPr>
                <w:sz w:val="24"/>
              </w:rPr>
              <w:t>23</w:t>
            </w:r>
            <w:r>
              <w:rPr>
                <w:sz w:val="24"/>
              </w:rPr>
              <w:t>号</w:t>
            </w:r>
          </w:p>
        </w:tc>
        <w:tc>
          <w:tcPr>
            <w:tcW w:type="dxa" w:w="3822"/>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地址：</w:t>
            </w:r>
          </w:p>
        </w:tc>
      </w:tr>
      <w:tr>
        <w:tc>
          <w:tcPr>
            <w:tcW w:type="dxa" w:w="4484"/>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委托代理人：</w:t>
            </w:r>
          </w:p>
        </w:tc>
        <w:tc>
          <w:tcPr>
            <w:tcW w:type="dxa" w:w="3822"/>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委托代理人：</w:t>
            </w:r>
          </w:p>
        </w:tc>
      </w:tr>
      <w:tr>
        <w:tc>
          <w:tcPr>
            <w:tcW w:type="dxa" w:w="4484"/>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法定代表人：</w:t>
            </w:r>
          </w:p>
        </w:tc>
        <w:tc>
          <w:tcPr>
            <w:tcW w:type="dxa" w:w="3822"/>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法定代表人：</w:t>
            </w:r>
          </w:p>
        </w:tc>
      </w:tr>
      <w:tr>
        <w:tc>
          <w:tcPr>
            <w:tcW w:type="dxa" w:w="4484"/>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统一社会信用代码：</w:t>
            </w:r>
            <w:r>
              <w:rPr>
                <w:sz w:val="24"/>
              </w:rPr>
              <w:t>12440700456174068R</w:t>
            </w:r>
          </w:p>
        </w:tc>
        <w:tc>
          <w:tcPr>
            <w:tcW w:type="dxa" w:w="3822"/>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统一社会信用代码：</w:t>
            </w:r>
          </w:p>
        </w:tc>
      </w:tr>
      <w:tr>
        <w:tc>
          <w:tcPr>
            <w:tcW w:type="dxa" w:w="4484"/>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开户银行：工商行江海支行</w:t>
            </w:r>
          </w:p>
        </w:tc>
        <w:tc>
          <w:tcPr>
            <w:tcW w:type="dxa" w:w="3822"/>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开户银行：</w:t>
            </w:r>
            <w:r>
              <w:rPr>
                <w:sz w:val="19"/>
              </w:rPr>
              <w:t xml:space="preserve"> </w:t>
            </w:r>
          </w:p>
        </w:tc>
      </w:tr>
      <w:tr>
        <w:tc>
          <w:tcPr>
            <w:tcW w:type="dxa" w:w="4484"/>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帐号：</w:t>
            </w:r>
            <w:r>
              <w:rPr>
                <w:sz w:val="24"/>
              </w:rPr>
              <w:t>2012002309024902351</w:t>
            </w:r>
            <w:r>
              <w:rPr>
                <w:sz w:val="19"/>
              </w:rPr>
              <w:t xml:space="preserve"> </w:t>
            </w:r>
          </w:p>
        </w:tc>
        <w:tc>
          <w:tcPr>
            <w:tcW w:type="dxa" w:w="3822"/>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帐号：</w:t>
            </w:r>
          </w:p>
        </w:tc>
      </w:tr>
      <w:tr>
        <w:tc>
          <w:tcPr>
            <w:tcW w:type="dxa" w:w="4484"/>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项目负责人：</w:t>
            </w:r>
            <w:r>
              <w:rPr>
                <w:sz w:val="24"/>
              </w:rPr>
              <w:t>韩春春</w:t>
            </w:r>
          </w:p>
        </w:tc>
        <w:tc>
          <w:tcPr>
            <w:tcW w:type="dxa" w:w="3822"/>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项目联系人：</w:t>
            </w:r>
          </w:p>
        </w:tc>
      </w:tr>
      <w:tr>
        <w:tc>
          <w:tcPr>
            <w:tcW w:type="dxa" w:w="4484"/>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联系人电话：</w:t>
            </w:r>
            <w:r>
              <w:rPr>
                <w:sz w:val="19"/>
              </w:rPr>
              <w:t xml:space="preserve"> </w:t>
            </w:r>
          </w:p>
        </w:tc>
        <w:tc>
          <w:tcPr>
            <w:tcW w:type="dxa" w:w="3822"/>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联系人电话：</w:t>
            </w:r>
          </w:p>
        </w:tc>
      </w:tr>
      <w:tr>
        <w:tc>
          <w:tcPr>
            <w:tcW w:type="dxa" w:w="4484"/>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签约地点：广东省江门市蓬江区</w:t>
            </w:r>
          </w:p>
        </w:tc>
        <w:tc>
          <w:tcPr>
            <w:tcW w:type="dxa" w:w="3822"/>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bl>
    <w:p>
      <w:pPr>
        <w:pStyle w:val="null3"/>
        <w:jc w:val="both"/>
      </w:pPr>
      <w:r>
        <w:rPr/>
        <w:t xml:space="preserve"> </w:t>
      </w:r>
    </w:p>
    <w:p>
      <w:pPr>
        <w:pStyle w:val="null3"/>
        <w:jc w:val="center"/>
      </w:pPr>
      <w:r>
        <w:rPr>
          <w:sz w:val="52"/>
        </w:rPr>
        <w:t>江门市中心医院</w:t>
      </w:r>
    </w:p>
    <w:p>
      <w:pPr>
        <w:pStyle w:val="null3"/>
        <w:jc w:val="center"/>
      </w:pPr>
      <w:r>
        <w:rPr>
          <w:sz w:val="52"/>
        </w:rPr>
        <w:t>网络信息安全责任及保  密协议书</w:t>
      </w:r>
    </w:p>
    <w:p>
      <w:pPr>
        <w:pStyle w:val="null3"/>
        <w:jc w:val="both"/>
      </w:pPr>
      <w:r>
        <w:rPr>
          <w:sz w:val="21"/>
          <w:b/>
        </w:rPr>
        <w:t>甲方：</w:t>
      </w:r>
      <w:r>
        <w:rPr>
          <w:sz w:val="21"/>
          <w:b/>
          <w:u w:val="single"/>
        </w:rPr>
        <w:t xml:space="preserve">  </w:t>
      </w:r>
      <w:r>
        <w:rPr>
          <w:sz w:val="21"/>
          <w:b/>
          <w:u w:val="single"/>
        </w:rPr>
        <w:t>江门市中心医院</w:t>
      </w:r>
      <w:r>
        <w:rPr>
          <w:sz w:val="21"/>
          <w:b/>
          <w:u w:val="single"/>
        </w:rPr>
        <w:t xml:space="preserve">    </w:t>
      </w:r>
    </w:p>
    <w:p>
      <w:pPr>
        <w:pStyle w:val="null3"/>
      </w:pPr>
      <w:r>
        <w:rPr>
          <w:sz w:val="21"/>
          <w:b/>
        </w:rPr>
        <w:t>乙方：</w:t>
      </w:r>
      <w:r>
        <w:rPr>
          <w:b/>
          <w:u w:val="single"/>
        </w:rPr>
        <w:t xml:space="preserve">                    </w:t>
      </w:r>
    </w:p>
    <w:p>
      <w:pPr>
        <w:pStyle w:val="null3"/>
        <w:jc w:val="both"/>
      </w:pPr>
      <w:r>
        <w:rPr>
          <w:sz w:val="21"/>
          <w:b/>
        </w:rPr>
        <w:t>项目：</w:t>
      </w:r>
      <w:r>
        <w:rPr>
          <w:b/>
          <w:u w:val="single"/>
        </w:rPr>
        <w:t xml:space="preserve">                    </w:t>
      </w:r>
    </w:p>
    <w:p>
      <w:pPr>
        <w:pStyle w:val="null3"/>
        <w:ind w:firstLine="420"/>
      </w:pPr>
      <w:r>
        <w:rPr>
          <w:sz w:val="21"/>
        </w:rPr>
        <w:t>根据《中华人民共和国网络安全法》，为保障江门市中心医院网络信息安全，维护社会公共利益，保护患者的信息以及明确网络信息安全的监督管理责任，本着平等、自愿的原则，双方签订本协议：</w:t>
      </w:r>
    </w:p>
    <w:p>
      <w:pPr>
        <w:pStyle w:val="null3"/>
        <w:ind w:firstLine="422"/>
      </w:pPr>
      <w:r>
        <w:rPr>
          <w:sz w:val="21"/>
          <w:b/>
        </w:rPr>
        <w:t>一、本协议书涉密内容：</w:t>
      </w:r>
    </w:p>
    <w:p>
      <w:pPr>
        <w:pStyle w:val="null3"/>
        <w:ind w:firstLine="420"/>
      </w:pPr>
      <w:r>
        <w:rPr>
          <w:sz w:val="21"/>
        </w:rPr>
        <w:t>本协议书涉密内容是指乙方在甲方从事工作过程中所知悉的甲方的信息、数据、患者信息资料、药品、耗材、专利技术、研究项目、会计报表各类财务报表、财务预决算报告经营状况、纳税资料等一切财务信息、甲方的经营战略、经营规划和经营决策等以及招投标信息、人事档案、组织架构、薪酬体系等甲方尚未对外公开的、对甲方有较大影响的信息（包括但不限于以上内容）</w:t>
      </w:r>
      <w:r>
        <w:rPr>
          <w:sz w:val="21"/>
        </w:rPr>
        <w:t>,</w:t>
      </w:r>
      <w:r>
        <w:rPr>
          <w:sz w:val="21"/>
        </w:rPr>
        <w:t>其信息存在形式包括但不限于书面、磁盘、光盘、移动存储介质、会议和其他口头形式等。</w:t>
      </w:r>
    </w:p>
    <w:p>
      <w:pPr>
        <w:pStyle w:val="null3"/>
        <w:ind w:firstLine="422"/>
      </w:pPr>
      <w:r>
        <w:rPr>
          <w:sz w:val="21"/>
          <w:b/>
        </w:rPr>
        <w:t>二、甲方义务</w:t>
      </w:r>
    </w:p>
    <w:p>
      <w:pPr>
        <w:pStyle w:val="null3"/>
        <w:ind w:firstLine="420"/>
      </w:pPr>
      <w:r>
        <w:rPr>
          <w:sz w:val="21"/>
        </w:rPr>
        <w:t>1</w:t>
      </w:r>
      <w:r>
        <w:rPr>
          <w:sz w:val="21"/>
        </w:rPr>
        <w:t>、甲方有义务对乙方进行相关法律、法规、网络信息安全方面的专业培训，帮助乙方了解并落实相关信息保密制度，掌握相关网络信息安全专业防控知识和技能。</w:t>
      </w:r>
    </w:p>
    <w:p>
      <w:pPr>
        <w:pStyle w:val="null3"/>
        <w:ind w:firstLine="420"/>
        <w:jc w:val="both"/>
      </w:pPr>
      <w:r>
        <w:rPr>
          <w:sz w:val="21"/>
        </w:rPr>
        <w:t>2</w:t>
      </w:r>
      <w:r>
        <w:rPr>
          <w:sz w:val="21"/>
        </w:rPr>
        <w:t>、甲方有义务持续健全各项网络信息安全管理制度；甲方有义务落实各项网络信息安全保护技术措施和提供必要的网络信息安全设备。</w:t>
      </w:r>
    </w:p>
    <w:p>
      <w:pPr>
        <w:pStyle w:val="null3"/>
        <w:ind w:firstLine="420"/>
        <w:jc w:val="both"/>
      </w:pPr>
      <w:r>
        <w:rPr>
          <w:sz w:val="21"/>
        </w:rPr>
        <w:t>3</w:t>
      </w:r>
      <w:r>
        <w:rPr>
          <w:sz w:val="21"/>
        </w:rPr>
        <w:t>、甲方有义务根据工作性质及工作时间综合考虑，设定符合网络信息安全实际工作的轮岗工作制度。</w:t>
      </w:r>
    </w:p>
    <w:p>
      <w:pPr>
        <w:pStyle w:val="null3"/>
        <w:ind w:firstLine="420"/>
      </w:pPr>
      <w:r>
        <w:rPr>
          <w:sz w:val="21"/>
        </w:rPr>
        <w:t>4</w:t>
      </w:r>
      <w:r>
        <w:rPr>
          <w:sz w:val="21"/>
        </w:rPr>
        <w:t>、甲方信息管理部门有义务落实相关计算机网络信息安全管理制度，对本院所有计算机设置访问管理权限，做好日常监管，排除安全隐患。</w:t>
      </w:r>
    </w:p>
    <w:p>
      <w:pPr>
        <w:pStyle w:val="null3"/>
        <w:ind w:firstLine="420"/>
      </w:pPr>
      <w:r>
        <w:rPr>
          <w:sz w:val="21"/>
        </w:rPr>
        <w:t>5</w:t>
      </w:r>
      <w:r>
        <w:rPr>
          <w:sz w:val="21"/>
        </w:rPr>
        <w:t>、甲方信息管理部门有义务维护计算机正常运转，安装必要的防火墙或内外网的物理隔离，保障信息系统的安全。</w:t>
      </w:r>
    </w:p>
    <w:p>
      <w:pPr>
        <w:pStyle w:val="null3"/>
        <w:ind w:firstLine="420"/>
      </w:pPr>
      <w:r>
        <w:rPr>
          <w:sz w:val="21"/>
        </w:rPr>
        <w:t>6</w:t>
      </w:r>
      <w:r>
        <w:rPr>
          <w:sz w:val="21"/>
        </w:rPr>
        <w:t>、甲方有义务对重要涉密信息进行定期安全备份并安全存放。</w:t>
      </w:r>
    </w:p>
    <w:p>
      <w:pPr>
        <w:pStyle w:val="null3"/>
        <w:ind w:firstLine="422"/>
      </w:pPr>
      <w:r>
        <w:rPr>
          <w:sz w:val="21"/>
          <w:b/>
        </w:rPr>
        <w:t>三、乙方义务</w:t>
      </w:r>
    </w:p>
    <w:p>
      <w:pPr>
        <w:pStyle w:val="null3"/>
        <w:ind w:firstLine="420"/>
        <w:jc w:val="both"/>
      </w:pPr>
      <w:r>
        <w:rPr>
          <w:sz w:val="21"/>
        </w:rPr>
        <w:t>1</w:t>
      </w:r>
      <w:r>
        <w:rPr>
          <w:sz w:val="21"/>
        </w:rPr>
        <w:t>、严格遵守并执行《中华人民共和国网络安全法》。</w:t>
      </w:r>
    </w:p>
    <w:p>
      <w:pPr>
        <w:pStyle w:val="null3"/>
        <w:ind w:firstLine="420"/>
      </w:pPr>
      <w:r>
        <w:rPr>
          <w:sz w:val="21"/>
        </w:rPr>
        <w:t>2</w:t>
      </w:r>
      <w:r>
        <w:rPr>
          <w:sz w:val="21"/>
        </w:rPr>
        <w:t>、严格遵守并执行甲方制订的相关网络信息安全工作制度。</w:t>
      </w:r>
    </w:p>
    <w:p>
      <w:pPr>
        <w:pStyle w:val="null3"/>
        <w:ind w:firstLine="420"/>
      </w:pPr>
      <w:r>
        <w:rPr>
          <w:sz w:val="21"/>
        </w:rPr>
        <w:t>3</w:t>
      </w:r>
      <w:r>
        <w:rPr>
          <w:sz w:val="21"/>
        </w:rPr>
        <w:t>、严格遵守甲方的相关保密制度，恪守职业道德，未经甲方同意，乙方不得将在甲方涉密岗位上掌握的涉密内容泄露给未经甲方授权的其他人员。</w:t>
      </w:r>
    </w:p>
    <w:p>
      <w:pPr>
        <w:pStyle w:val="null3"/>
        <w:ind w:firstLine="420"/>
      </w:pPr>
      <w:r>
        <w:rPr>
          <w:sz w:val="21"/>
        </w:rPr>
        <w:t>4</w:t>
      </w:r>
      <w:r>
        <w:rPr>
          <w:sz w:val="21"/>
        </w:rPr>
        <w:t>、乙方不得利用工作之便统计甲方处方药品、耗材等信息，进行数据买卖，谋取不正当利益的违法犯罪活动。</w:t>
      </w:r>
    </w:p>
    <w:p>
      <w:pPr>
        <w:pStyle w:val="null3"/>
        <w:ind w:firstLine="420"/>
      </w:pPr>
      <w:r>
        <w:rPr>
          <w:sz w:val="21"/>
        </w:rPr>
        <w:t>5</w:t>
      </w:r>
      <w:r>
        <w:rPr>
          <w:sz w:val="21"/>
        </w:rPr>
        <w:t>、乙方进行远程维护或数据访问，必须使用甲方授权的电子</w:t>
      </w:r>
      <w:r>
        <w:rPr>
          <w:sz w:val="21"/>
        </w:rPr>
        <w:t>KEY</w:t>
      </w:r>
      <w:r>
        <w:rPr>
          <w:sz w:val="21"/>
        </w:rPr>
        <w:t>操作。</w:t>
      </w:r>
    </w:p>
    <w:p>
      <w:pPr>
        <w:pStyle w:val="null3"/>
        <w:ind w:firstLine="420"/>
      </w:pPr>
      <w:r>
        <w:rPr>
          <w:sz w:val="21"/>
        </w:rPr>
        <w:t>6</w:t>
      </w:r>
      <w:r>
        <w:rPr>
          <w:sz w:val="21"/>
        </w:rPr>
        <w:t>、未经甲方同意，乙方不得以任何理由、原因修改、篡改系统信息数据。</w:t>
      </w:r>
    </w:p>
    <w:p>
      <w:pPr>
        <w:pStyle w:val="null3"/>
        <w:ind w:firstLine="420"/>
      </w:pPr>
      <w:r>
        <w:rPr>
          <w:sz w:val="21"/>
        </w:rPr>
        <w:t>7</w:t>
      </w:r>
      <w:r>
        <w:rPr>
          <w:sz w:val="21"/>
        </w:rPr>
        <w:t>、乙方因工作需要进行必要的数据修正、调整，严格按流程执行并将过程存档。</w:t>
      </w:r>
    </w:p>
    <w:p>
      <w:pPr>
        <w:pStyle w:val="null3"/>
        <w:ind w:firstLine="420"/>
      </w:pPr>
      <w:r>
        <w:rPr>
          <w:sz w:val="21"/>
        </w:rPr>
        <w:t>8</w:t>
      </w:r>
      <w:r>
        <w:rPr>
          <w:sz w:val="21"/>
        </w:rPr>
        <w:t>、乙方对涉密计算机设置加密口令并严格保密，定期更换。未经甲方同意，乙方不得将登陆口令泄露给其他人，防止他人私自使用计算机或允许他人复制涉密信息资料。</w:t>
      </w:r>
    </w:p>
    <w:p>
      <w:pPr>
        <w:pStyle w:val="null3"/>
        <w:ind w:firstLine="420"/>
      </w:pPr>
      <w:r>
        <w:rPr>
          <w:sz w:val="21"/>
        </w:rPr>
        <w:t>9</w:t>
      </w:r>
      <w:r>
        <w:rPr>
          <w:sz w:val="21"/>
        </w:rPr>
        <w:t>、乙方不得以盗窃、利诱、胁迫他人或者其他不正当手段获取甲方相关信息涉密内容。</w:t>
      </w:r>
    </w:p>
    <w:p>
      <w:pPr>
        <w:pStyle w:val="null3"/>
        <w:ind w:firstLine="420"/>
      </w:pPr>
      <w:r>
        <w:rPr>
          <w:sz w:val="21"/>
        </w:rPr>
        <w:t>10</w:t>
      </w:r>
      <w:r>
        <w:rPr>
          <w:sz w:val="21"/>
        </w:rPr>
        <w:t>、乙方不得故意向他人披露、打听超越岗位职责范围的甲方其它涉密信息资料。</w:t>
      </w:r>
    </w:p>
    <w:p>
      <w:pPr>
        <w:pStyle w:val="null3"/>
        <w:ind w:firstLine="420"/>
      </w:pPr>
      <w:r>
        <w:rPr>
          <w:sz w:val="21"/>
        </w:rPr>
        <w:t>11</w:t>
      </w:r>
      <w:r>
        <w:rPr>
          <w:sz w:val="21"/>
        </w:rPr>
        <w:t>、乙方不得未经批准私自带外来人员观看、复制、摄像、记录甲方涉密信息资料。</w:t>
      </w:r>
    </w:p>
    <w:p>
      <w:pPr>
        <w:pStyle w:val="null3"/>
        <w:ind w:firstLine="420"/>
      </w:pPr>
      <w:r>
        <w:rPr>
          <w:sz w:val="21"/>
        </w:rPr>
        <w:t>12</w:t>
      </w:r>
      <w:r>
        <w:rPr>
          <w:sz w:val="21"/>
        </w:rPr>
        <w:t>、乙方不得利用甲方提供的计算机和网络系统，私自连接外网，发送垃圾邮件、攻击网络和计算机系统，不得私自使用外来移动硬盘、</w:t>
      </w:r>
      <w:r>
        <w:rPr>
          <w:sz w:val="21"/>
        </w:rPr>
        <w:t>U</w:t>
      </w:r>
      <w:r>
        <w:rPr>
          <w:sz w:val="21"/>
        </w:rPr>
        <w:t>盘、光盘等移动存储介质，防止计算机病毒传播，危害网络信息安全。</w:t>
      </w:r>
    </w:p>
    <w:p>
      <w:pPr>
        <w:pStyle w:val="null3"/>
        <w:ind w:firstLine="420"/>
      </w:pPr>
      <w:r>
        <w:rPr>
          <w:sz w:val="21"/>
        </w:rPr>
        <w:t>13</w:t>
      </w:r>
      <w:r>
        <w:rPr>
          <w:sz w:val="21"/>
        </w:rPr>
        <w:t>、乙方不得在甲方运行的信息系统上私自开发、挂靠与业务工作无关的软件或系统；不得在内网、外网、</w:t>
      </w:r>
      <w:r>
        <w:rPr>
          <w:sz w:val="21"/>
        </w:rPr>
        <w:t>QQ</w:t>
      </w:r>
      <w:r>
        <w:rPr>
          <w:sz w:val="21"/>
        </w:rPr>
        <w:t>、微信、论坛等之上擅自发布涉密信息资料；不得私自通过运行的信息系统发布通知或广告等。</w:t>
      </w:r>
    </w:p>
    <w:p>
      <w:pPr>
        <w:pStyle w:val="null3"/>
        <w:ind w:firstLine="420"/>
      </w:pPr>
      <w:r>
        <w:rPr>
          <w:sz w:val="21"/>
        </w:rPr>
        <w:t>14</w:t>
      </w:r>
      <w:r>
        <w:rPr>
          <w:sz w:val="21"/>
        </w:rPr>
        <w:t>、乙方不得直接或间接地利用甲方的保密信息为自己或他人谋取不正当利益。</w:t>
      </w:r>
    </w:p>
    <w:p>
      <w:pPr>
        <w:pStyle w:val="null3"/>
        <w:ind w:firstLine="422"/>
      </w:pPr>
      <w:r>
        <w:rPr>
          <w:sz w:val="21"/>
          <w:b/>
        </w:rPr>
        <w:t>四、保密期限</w:t>
      </w:r>
    </w:p>
    <w:p>
      <w:pPr>
        <w:pStyle w:val="null3"/>
        <w:ind w:firstLine="420"/>
      </w:pPr>
      <w:r>
        <w:rPr>
          <w:sz w:val="21"/>
        </w:rPr>
        <w:t>乙方在主合同履行期间和主合同履行完毕后（包括但不限于主合同到期终止、解除等），乙方均需按照本协议的约定履行保密义务，直至相关信息合法进入公众领域，成为公开信息。</w:t>
      </w:r>
    </w:p>
    <w:p>
      <w:pPr>
        <w:pStyle w:val="null3"/>
        <w:ind w:firstLine="422"/>
      </w:pPr>
      <w:r>
        <w:rPr>
          <w:sz w:val="21"/>
          <w:b/>
        </w:rPr>
        <w:t>五、违约责任</w:t>
      </w:r>
    </w:p>
    <w:p>
      <w:pPr>
        <w:pStyle w:val="null3"/>
        <w:ind w:firstLine="420"/>
      </w:pPr>
      <w:r>
        <w:rPr>
          <w:sz w:val="21"/>
        </w:rPr>
        <w:t>1</w:t>
      </w:r>
      <w:r>
        <w:rPr>
          <w:sz w:val="21"/>
        </w:rPr>
        <w:t>、乙方若违反本协议书，一经发现，视情节轻重，甲方有权利依据甲方的规章制度按程序给予乙方交回全部资料、承担赔偿责任、移交司法部门等处理，并有权要求乙方支付违约金</w:t>
      </w:r>
      <w:r>
        <w:rPr>
          <w:sz w:val="21"/>
        </w:rPr>
        <w:t>5-30</w:t>
      </w:r>
      <w:r>
        <w:rPr>
          <w:sz w:val="21"/>
        </w:rPr>
        <w:t>万元，违约金不足以弥补损失的，乙方应当赔偿甲方的损失。</w:t>
      </w:r>
    </w:p>
    <w:p>
      <w:pPr>
        <w:pStyle w:val="null3"/>
        <w:ind w:firstLine="420"/>
      </w:pPr>
      <w:r>
        <w:rPr>
          <w:sz w:val="21"/>
        </w:rPr>
        <w:t>2</w:t>
      </w:r>
      <w:r>
        <w:rPr>
          <w:sz w:val="21"/>
        </w:rPr>
        <w:t>、乙方违约的，甲方追究乙方责任产生的律师费、取证费、差旅费等费用，全部由乙方承担。</w:t>
      </w:r>
    </w:p>
    <w:p>
      <w:pPr>
        <w:pStyle w:val="null3"/>
        <w:ind w:firstLine="420"/>
      </w:pPr>
      <w:r>
        <w:rPr>
          <w:sz w:val="21"/>
        </w:rPr>
        <w:t>3</w:t>
      </w:r>
      <w:r>
        <w:rPr>
          <w:sz w:val="21"/>
        </w:rPr>
        <w:t>、本协议同时具有独立法律效力，主合同的解除或终止不影响本协议的效力。</w:t>
      </w:r>
    </w:p>
    <w:p>
      <w:pPr>
        <w:pStyle w:val="null3"/>
        <w:ind w:firstLine="420"/>
      </w:pPr>
      <w:r>
        <w:rPr>
          <w:sz w:val="21"/>
        </w:rPr>
        <w:t>4</w:t>
      </w:r>
      <w:r>
        <w:rPr>
          <w:sz w:val="21"/>
        </w:rPr>
        <w:t>、本协议一式两份，甲、乙双方各执一份，自双方签字或盖章之日生效，具有同等法律效力。</w:t>
      </w:r>
    </w:p>
    <w:p>
      <w:pPr>
        <w:pStyle w:val="null3"/>
      </w:pPr>
      <w:r>
        <w:rPr>
          <w:sz w:val="21"/>
        </w:rPr>
        <w:t>甲方</w:t>
      </w:r>
      <w:r>
        <w:rPr>
          <w:sz w:val="21"/>
        </w:rPr>
        <w:t>:</w:t>
      </w:r>
      <w:r>
        <w:rPr>
          <w:sz w:val="21"/>
        </w:rPr>
        <w:t>江门市中心医院（章）：       乙方：</w:t>
      </w:r>
    </w:p>
    <w:p>
      <w:pPr>
        <w:pStyle w:val="null3"/>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936"/>
        <w:gridCol w:w="3060"/>
        <w:gridCol w:w="1846"/>
        <w:gridCol w:w="1465"/>
      </w:tblGrid>
      <w:tr>
        <w:tc>
          <w:tcPr>
            <w:tcW w:type="dxa" w:w="19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乙方人员姓名</w:t>
            </w:r>
          </w:p>
        </w:tc>
        <w:tc>
          <w:tcPr>
            <w:tcW w:type="dxa" w:w="30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身份证号码</w:t>
            </w:r>
          </w:p>
        </w:tc>
        <w:tc>
          <w:tcPr>
            <w:tcW w:type="dxa" w:w="18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签名</w:t>
            </w:r>
          </w:p>
        </w:tc>
        <w:tc>
          <w:tcPr>
            <w:tcW w:type="dxa" w:w="1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日期</w:t>
            </w:r>
          </w:p>
        </w:tc>
      </w:tr>
      <w:tr>
        <w:tc>
          <w:tcPr>
            <w:tcW w:type="dxa" w:w="1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center"/>
      </w:pPr>
      <w:r>
        <w:rPr/>
        <w:t xml:space="preserve"> </w:t>
      </w:r>
    </w:p>
    <w:p>
      <w:pPr>
        <w:pStyle w:val="null3"/>
        <w:jc w:val="center"/>
      </w:pPr>
      <w:r>
        <w:rPr/>
        <w:t xml:space="preserve"> </w:t>
      </w:r>
    </w:p>
    <w:p>
      <w:pPr>
        <w:pStyle w:val="null3"/>
        <w:jc w:val="both"/>
      </w:pPr>
      <w:r>
        <w:rPr/>
        <w:t xml:space="preserve"> </w:t>
      </w:r>
    </w:p>
    <w:p>
      <w:pPr>
        <w:pStyle w:val="null3"/>
        <w:jc w:val="center"/>
      </w:pPr>
      <w:r>
        <w:rPr>
          <w:b/>
          <w:u w:val="single"/>
        </w:rPr>
        <w:t xml:space="preserve">                    </w:t>
      </w:r>
      <w:r>
        <w:rPr>
          <w:sz w:val="44"/>
          <w:b/>
        </w:rPr>
        <w:t>项目</w:t>
      </w:r>
    </w:p>
    <w:p>
      <w:pPr>
        <w:pStyle w:val="null3"/>
        <w:jc w:val="center"/>
      </w:pPr>
      <w:r>
        <w:rPr>
          <w:sz w:val="44"/>
          <w:b/>
        </w:rPr>
        <w:t>廉洁购销合同</w:t>
      </w:r>
    </w:p>
    <w:p>
      <w:pPr>
        <w:pStyle w:val="null3"/>
        <w:jc w:val="both"/>
      </w:pPr>
      <w:r>
        <w:rPr>
          <w:sz w:val="21"/>
          <w:b/>
        </w:rPr>
        <w:t>甲方</w:t>
      </w:r>
      <w:r>
        <w:rPr>
          <w:sz w:val="21"/>
        </w:rPr>
        <w:t>：</w:t>
      </w:r>
      <w:r>
        <w:rPr>
          <w:sz w:val="21"/>
          <w:u w:val="single"/>
        </w:rPr>
        <w:t>江门市中心医院</w:t>
      </w:r>
    </w:p>
    <w:p>
      <w:pPr>
        <w:pStyle w:val="null3"/>
        <w:jc w:val="both"/>
      </w:pPr>
      <w:r>
        <w:rPr>
          <w:sz w:val="21"/>
          <w:b/>
        </w:rPr>
        <w:t>乙方</w:t>
      </w:r>
      <w:r>
        <w:rPr>
          <w:sz w:val="21"/>
        </w:rPr>
        <w:t>：</w:t>
      </w:r>
      <w:r>
        <w:rPr>
          <w:u w:val="single"/>
        </w:rPr>
        <w:t xml:space="preserve">              </w:t>
      </w:r>
    </w:p>
    <w:p>
      <w:pPr>
        <w:pStyle w:val="null3"/>
        <w:ind w:firstLine="420"/>
        <w:jc w:val="both"/>
      </w:pPr>
      <w:r>
        <w:rPr>
          <w:sz w:val="21"/>
        </w:rPr>
        <w:t>为进一步加强医疗卫生行风建设，规范医院购销行为，有效防范商业贿赂行为，营造公平交易、诚实守信的购销环境，经甲、乙双方协商，同意签订本合同，并共同遵守以下内容：</w:t>
      </w:r>
    </w:p>
    <w:p>
      <w:pPr>
        <w:pStyle w:val="null3"/>
        <w:ind w:firstLine="420"/>
        <w:jc w:val="both"/>
      </w:pPr>
      <w:r>
        <w:rPr>
          <w:sz w:val="21"/>
        </w:rPr>
        <w:t>一、甲乙双方按照《中华人民共和国民法典》及产品购销合同约定购销软件、设备、维修及配件等产品。</w:t>
      </w:r>
    </w:p>
    <w:p>
      <w:pPr>
        <w:pStyle w:val="null3"/>
        <w:ind w:firstLine="420"/>
        <w:jc w:val="both"/>
      </w:pPr>
      <w:r>
        <w:rPr>
          <w:sz w:val="21"/>
        </w:rPr>
        <w:t>二、甲方应当严格执行产品购销合同验收、入库制度，对采购的产品和发票进行查验，不得违反有关规定采购、违价采购或从非规定渠道采购合同外的产品。</w:t>
      </w:r>
    </w:p>
    <w:p>
      <w:pPr>
        <w:pStyle w:val="null3"/>
        <w:ind w:firstLine="420"/>
        <w:jc w:val="both"/>
      </w:pPr>
      <w:r>
        <w:rPr>
          <w:sz w:val="21"/>
        </w:rPr>
        <w:t>三、甲方严禁接受乙方以任何名义、形式给予的回</w:t>
      </w:r>
      <w:r>
        <w:rPr>
          <w:sz w:val="21"/>
        </w:rPr>
        <w:t xml:space="preserve">.. </w:t>
      </w:r>
      <w:r>
        <w:rPr>
          <w:sz w:val="21"/>
        </w:rPr>
        <w:t>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jc w:val="both"/>
      </w:pPr>
      <w:r>
        <w:rPr>
          <w:sz w:val="21"/>
        </w:rPr>
        <w:t>四、严禁甲方工作人员利用任何途径和方式，为乙方提供便利。</w:t>
      </w:r>
    </w:p>
    <w:p>
      <w:pPr>
        <w:pStyle w:val="null3"/>
        <w:ind w:firstLine="420"/>
        <w:jc w:val="both"/>
      </w:pPr>
      <w:r>
        <w:rPr>
          <w:sz w:val="21"/>
        </w:rPr>
        <w:t>五、乙方不得以回</w:t>
      </w:r>
      <w:r>
        <w:rPr>
          <w:sz w:val="21"/>
        </w:rPr>
        <w:t>..</w:t>
      </w:r>
      <w:r>
        <w:rPr>
          <w:sz w:val="21"/>
        </w:rPr>
        <w:t>扣、宴请等方式影响甲方工作人员采购或使用产品的选择权，不得在学术活动中提供旅游、超标准支付食宿费用。</w:t>
      </w:r>
    </w:p>
    <w:p>
      <w:pPr>
        <w:pStyle w:val="null3"/>
        <w:ind w:firstLine="420"/>
        <w:jc w:val="right"/>
      </w:pPr>
      <w:r>
        <w:rPr>
          <w:sz w:val="21"/>
        </w:rPr>
        <w:t>六、乙方指定</w:t>
      </w:r>
      <w:r>
        <w:rPr>
          <w:u w:val="single"/>
        </w:rPr>
        <w:t xml:space="preserve">     </w:t>
      </w:r>
      <w:r>
        <w:rPr>
          <w:sz w:val="21"/>
        </w:rPr>
        <w:t>作为销售代表洽谈业务。销售代表必须在工作时间到甲方指定地点联系商谈，不得到住院部、门诊部、医技科室等推销产品，不得借故到甲方相关领导、部门负责人及相关工作人</w:t>
      </w:r>
    </w:p>
    <w:p>
      <w:pPr>
        <w:pStyle w:val="null3"/>
        <w:jc w:val="both"/>
      </w:pPr>
      <w:r>
        <w:rPr>
          <w:sz w:val="21"/>
        </w:rPr>
        <w:t>员家中访谈并提供任何好处费。</w:t>
      </w:r>
    </w:p>
    <w:p>
      <w:pPr>
        <w:pStyle w:val="null3"/>
        <w:ind w:firstLine="420"/>
        <w:jc w:val="both"/>
      </w:pPr>
      <w:r>
        <w:rPr>
          <w:sz w:val="21"/>
        </w:rPr>
        <w:t>七、严禁供应商违规统方。</w:t>
      </w:r>
    </w:p>
    <w:p>
      <w:pPr>
        <w:pStyle w:val="null3"/>
        <w:ind w:firstLine="420"/>
        <w:jc w:val="both"/>
      </w:pPr>
      <w:r>
        <w:rPr>
          <w:sz w:val="21"/>
        </w:rPr>
        <w:t>八、乙方如违反本合同，一经发现，甲方有权终止购销，并向有关卫生系统行政部门报告。如乙方被列入商业贿赂不良记录，则严格按照《反不正当竞争法》、《关于禁止商业贿赂行为的暂行规定》相关规定处理。</w:t>
      </w:r>
    </w:p>
    <w:p>
      <w:pPr>
        <w:pStyle w:val="null3"/>
        <w:ind w:firstLine="420"/>
        <w:jc w:val="both"/>
      </w:pPr>
      <w:r>
        <w:rPr>
          <w:sz w:val="21"/>
        </w:rPr>
        <w:t>九、本合同作为产品购销合同的重要组成部分，与项目采购合同一并执行，具有同等的法律效力。</w:t>
      </w:r>
    </w:p>
    <w:p>
      <w:pPr>
        <w:pStyle w:val="null3"/>
        <w:ind w:firstLine="420"/>
        <w:jc w:val="both"/>
      </w:pPr>
      <w:r>
        <w:rPr>
          <w:sz w:val="21"/>
        </w:rPr>
        <w:t>十、本合同一式两份，甲、乙双方各执一份，并从签订之日起生效。</w:t>
      </w:r>
    </w:p>
    <w:p>
      <w:pPr>
        <w:pStyle w:val="null3"/>
        <w:jc w:val="both"/>
      </w:pPr>
      <w:r>
        <w:rPr>
          <w:sz w:val="21"/>
          <w:b/>
        </w:rPr>
        <w:t>甲方：</w:t>
      </w:r>
      <w:r>
        <w:rPr>
          <w:sz w:val="21"/>
          <w:u w:val="single"/>
        </w:rPr>
        <w:t>江门市中心医院</w:t>
      </w:r>
      <w:r>
        <w:rPr/>
        <w:t xml:space="preserve">        </w:t>
      </w:r>
      <w:r>
        <w:rPr>
          <w:sz w:val="21"/>
          <w:b/>
        </w:rPr>
        <w:t>乙方：</w:t>
      </w:r>
      <w:r>
        <w:rPr>
          <w:u w:val="single"/>
        </w:rPr>
        <w:t xml:space="preserve">            </w:t>
      </w:r>
    </w:p>
    <w:p>
      <w:pPr>
        <w:pStyle w:val="null3"/>
        <w:jc w:val="both"/>
      </w:pPr>
      <w:r>
        <w:rPr>
          <w:sz w:val="21"/>
          <w:b/>
        </w:rPr>
        <w:t>项目负责人签名：</w:t>
      </w:r>
    </w:p>
    <w:p>
      <w:pPr>
        <w:pStyle w:val="null3"/>
        <w:jc w:val="both"/>
      </w:pPr>
      <w:r>
        <w:rPr>
          <w:sz w:val="21"/>
          <w:b/>
        </w:rPr>
        <w:t>科室负责人签名：</w:t>
      </w:r>
      <w:r>
        <w:rPr>
          <w:sz w:val="21"/>
          <w:b/>
        </w:rPr>
        <w:t xml:space="preserve">                </w:t>
      </w:r>
      <w:r>
        <w:rPr>
          <w:sz w:val="21"/>
          <w:b/>
        </w:rPr>
        <w:t>经办人签名：</w:t>
      </w:r>
    </w:p>
    <w:p>
      <w:pPr>
        <w:pStyle w:val="null3"/>
        <w:jc w:val="both"/>
      </w:pPr>
      <w:r>
        <w:rPr>
          <w:sz w:val="21"/>
          <w:b/>
        </w:rPr>
        <w:t>委托代理人：</w:t>
      </w:r>
      <w:r>
        <w:rPr>
          <w:sz w:val="21"/>
          <w:b/>
        </w:rPr>
        <w:t xml:space="preserve">                    </w:t>
      </w:r>
      <w:r>
        <w:rPr>
          <w:sz w:val="21"/>
          <w:b/>
        </w:rPr>
        <w:t>委托代理人：</w:t>
      </w:r>
    </w:p>
    <w:p>
      <w:pPr>
        <w:pStyle w:val="null3"/>
        <w:jc w:val="both"/>
      </w:pPr>
      <w:r>
        <w:rPr>
          <w:sz w:val="21"/>
          <w:b/>
        </w:rPr>
        <w:t>法定代表人（负责人）：</w:t>
      </w:r>
      <w:r>
        <w:rPr>
          <w:sz w:val="21"/>
          <w:b/>
        </w:rPr>
        <w:t xml:space="preserve">           </w:t>
      </w:r>
      <w:r>
        <w:rPr>
          <w:sz w:val="21"/>
          <w:b/>
        </w:rPr>
        <w:t>法定代表人（负责人）：</w:t>
      </w:r>
    </w:p>
    <w:p>
      <w:pPr>
        <w:pStyle w:val="null3"/>
        <w:jc w:val="both"/>
      </w:pP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440701-2025-02489</w:t>
      </w:r>
    </w:p>
    <w:p>
      <w:pPr>
        <w:pStyle w:val="null3"/>
        <w:jc w:val="center"/>
        <w:outlineLvl w:val="3"/>
      </w:pPr>
      <w:r>
        <w:rPr>
          <w:sz w:val="24"/>
          <w:b/>
        </w:rPr>
        <w:t>采购项目编号：</w:t>
      </w:r>
      <w:r>
        <w:rPr>
          <w:sz w:val="24"/>
          <w:b/>
        </w:rPr>
        <w:t>0724-2511Z1618539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江门市中心医院全院临床科研大数据平台项目</w:t>
      </w:r>
      <w:r>
        <w:rPr>
          <w:u w:val="single"/>
        </w:rPr>
        <w:t>”</w:t>
      </w:r>
      <w:r>
        <w:rPr/>
        <w:t>项目的招标[采购项目编号为：</w:t>
      </w:r>
      <w:r>
        <w:rPr>
          <w:u w:val="single"/>
        </w:rPr>
        <w:t>0724-2511Z1618539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江门市中心医院全院临床科研大数据平台项目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江门市中心医院全院临床科研大数据平台项目</w:t>
      </w:r>
      <w:r>
        <w:rPr/>
        <w:t>”项目采购[采购项目编号为</w:t>
      </w:r>
      <w:r>
        <w:rPr/>
        <w:t>0724-2511Z1618539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江门市中心医院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江门市中心医院全院临床科研大数据平台项目</w:t>
      </w:r>
      <w:r>
        <w:rPr/>
        <w:t>招标中获中标（采购项目编号：</w:t>
      </w:r>
      <w:r>
        <w:rPr/>
        <w:t>0724-2511Z1618539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江门市中心医院全院临床科研大数据平台项目</w:t>
      </w:r>
      <w:r>
        <w:rPr/>
        <w:t>”项目（采购项目编号：</w:t>
      </w:r>
      <w:r>
        <w:rPr/>
        <w:t>0724-2511Z1618539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