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441701-2026-00149</w:t>
      </w:r>
    </w:p>
    <w:p>
      <w:pPr>
        <w:pStyle w:val="null3"/>
        <w:jc w:val="center"/>
        <w:outlineLvl w:val="3"/>
      </w:pPr>
      <w:r>
        <w:rPr>
          <w:sz w:val="24"/>
          <w:b/>
        </w:rPr>
        <w:t>采购项目编号：</w:t>
      </w:r>
      <w:r>
        <w:rPr>
          <w:sz w:val="24"/>
          <w:b/>
        </w:rPr>
        <w:t>0724-2631YJ010312</w:t>
      </w:r>
    </w:p>
    <w:p>
      <w:pPr>
        <w:pStyle w:val="null3"/>
        <w:jc w:val="center"/>
        <w:outlineLvl w:val="3"/>
      </w:pPr>
      <w:r>
        <w:rPr>
          <w:sz w:val="24"/>
          <w:b/>
        </w:rPr>
        <w:t>项目名称：</w:t>
      </w:r>
      <w:r>
        <w:rPr>
          <w:sz w:val="24"/>
          <w:b/>
        </w:rPr>
        <w:t>住院病案无纸化归档专用硬件双活及升级更新项目(二次)</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住院病案无纸化归档专用硬件双活及升级更新项目(二次)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住院病案无纸化归档专用硬件双活及升级更新项目(二次)</w:t>
      </w:r>
    </w:p>
    <w:p>
      <w:pPr>
        <w:pStyle w:val="null3"/>
        <w:ind w:firstLine="480"/>
      </w:pPr>
      <w:r>
        <w:rPr/>
        <w:t>采购计划编号：</w:t>
      </w:r>
      <w:r>
        <w:rPr/>
        <w:t>441701-2026-00149</w:t>
      </w:r>
    </w:p>
    <w:p>
      <w:pPr>
        <w:pStyle w:val="null3"/>
        <w:ind w:firstLine="480"/>
      </w:pPr>
      <w:r>
        <w:rPr/>
        <w:t>采购项目编号：</w:t>
      </w:r>
      <w:r>
        <w:rPr/>
        <w:t>0724-2631YJ010312</w:t>
      </w:r>
    </w:p>
    <w:p>
      <w:pPr>
        <w:pStyle w:val="null3"/>
        <w:ind w:firstLine="480"/>
      </w:pPr>
      <w:r>
        <w:rPr/>
        <w:t>采购方式：</w:t>
      </w:r>
      <w:r>
        <w:rPr/>
        <w:t>公开招标</w:t>
      </w:r>
    </w:p>
    <w:p>
      <w:pPr>
        <w:pStyle w:val="null3"/>
        <w:ind w:firstLine="480"/>
      </w:pPr>
      <w:r>
        <w:rPr/>
        <w:t>预算金额：</w:t>
      </w:r>
      <w:r>
        <w:rPr/>
        <w:t>2,031,750.00</w:t>
      </w:r>
      <w:r>
        <w:rPr/>
        <w:t>元</w:t>
      </w:r>
    </w:p>
    <w:p>
      <w:pPr>
        <w:pStyle w:val="null3"/>
        <w:outlineLvl w:val="3"/>
      </w:pPr>
      <w:r>
        <w:rPr>
          <w:sz w:val="24"/>
          <w:b/>
        </w:rPr>
        <w:t>2.项目内容及需求情况（采购项目技术规格、参数及要求）</w:t>
      </w:r>
    </w:p>
    <w:p>
      <w:pPr>
        <w:pStyle w:val="null3"/>
      </w:pPr>
      <w:r>
        <w:rPr/>
        <w:t>采购包1(住院病案无纸化归档专用硬件双活及升级更新项目):</w:t>
      </w:r>
    </w:p>
    <w:p>
      <w:pPr>
        <w:pStyle w:val="null3"/>
      </w:pPr>
      <w:r>
        <w:rPr/>
        <w:t>采购包预算金额：2,031,750.00元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其他存储设备</w:t>
            </w:r>
          </w:p>
        </w:tc>
        <w:tc>
          <w:tcPr>
            <w:tcW w:type="dxa" w:w="2136"/>
          </w:tcPr>
          <w:p>
            <w:pPr>
              <w:pStyle w:val="null3"/>
            </w:pPr>
            <w:r>
              <w:rPr/>
              <w:t>并行计算存储一体机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硬件集成实施服务</w:t>
            </w:r>
          </w:p>
        </w:tc>
        <w:tc>
          <w:tcPr>
            <w:tcW w:type="dxa" w:w="2136"/>
          </w:tcPr>
          <w:p>
            <w:pPr>
              <w:pStyle w:val="null3"/>
            </w:pPr>
            <w:r>
              <w:rPr/>
              <w:t>集成服务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合同履行期限：合同签订生效后60个日历日内完成（包括供货、安装调试、培训、完成验收）。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采购包1（住院病案无纸化归档专用硬件双活及升级更新项目）：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采购包1（住院病案无纸化归档专用硬件双活及升级更新项目）：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项目背景及政策要求</w:t>
      </w:r>
    </w:p>
    <w:p>
      <w:pPr>
        <w:pStyle w:val="null3"/>
        <w:ind w:firstLine="480"/>
      </w:pPr>
      <w:r>
        <w:rPr>
          <w:sz w:val="24"/>
        </w:rPr>
        <w:t>医疗信息化进程加速背景下，传统电子病历打印流转模式已暴露多重</w:t>
      </w:r>
      <w:r>
        <w:rPr>
          <w:sz w:val="24"/>
        </w:rPr>
        <w:t>制</w:t>
      </w:r>
      <w:r>
        <w:rPr>
          <w:sz w:val="24"/>
        </w:rPr>
        <w:t>肘：纸质病案在物理流转中产生的存储冗余、跨部门调阅迟滞及归档管理损耗等问题，与医院精细化运营</w:t>
      </w:r>
      <w:r>
        <w:rPr>
          <w:sz w:val="24"/>
        </w:rPr>
        <w:t>管理不相适应</w:t>
      </w:r>
      <w:r>
        <w:rPr>
          <w:sz w:val="24"/>
        </w:rPr>
        <w:t>。构建全流程无纸化病案归档存储系统，正成为破解临床数据资产管理困境的必</w:t>
      </w:r>
      <w:r>
        <w:rPr>
          <w:sz w:val="24"/>
        </w:rPr>
        <w:t>然</w:t>
      </w:r>
      <w:r>
        <w:rPr>
          <w:sz w:val="24"/>
        </w:rPr>
        <w:t>之路。</w:t>
      </w:r>
    </w:p>
    <w:p>
      <w:pPr>
        <w:pStyle w:val="null3"/>
        <w:ind w:firstLine="480"/>
      </w:pPr>
      <w:r>
        <w:rPr>
          <w:sz w:val="24"/>
        </w:rPr>
        <w:t>政策</w:t>
      </w:r>
      <w:r>
        <w:rPr>
          <w:sz w:val="24"/>
        </w:rPr>
        <w:t>方面</w:t>
      </w:r>
      <w:r>
        <w:rPr>
          <w:sz w:val="24"/>
        </w:rPr>
        <w:t>，国家卫生健康委《关于进一步完善预约诊疗制度加强智慧医院建设的通知》明确提出深化</w:t>
      </w:r>
      <w:r>
        <w:rPr>
          <w:sz w:val="24"/>
        </w:rPr>
        <w:t>"电子病历+"战略，将无纸化归档纳入智慧医院建设核心指标。基于《电子病历系统功能应用水平分级评价标准》，现阶段重点推进方向包括：</w:t>
      </w:r>
    </w:p>
    <w:p>
      <w:pPr>
        <w:pStyle w:val="null3"/>
        <w:ind w:firstLine="480"/>
      </w:pPr>
      <w:r>
        <w:rPr>
          <w:sz w:val="24"/>
          <w:b/>
        </w:rPr>
        <w:t>系统集成化：</w:t>
      </w:r>
      <w:r>
        <w:rPr>
          <w:sz w:val="24"/>
        </w:rPr>
        <w:t>通过</w:t>
      </w:r>
      <w:r>
        <w:rPr>
          <w:sz w:val="24"/>
        </w:rPr>
        <w:t>ESB企业服务总线实现HIS、EMR、PACS等</w:t>
      </w:r>
      <w:r>
        <w:rPr>
          <w:sz w:val="24"/>
        </w:rPr>
        <w:t>核心</w:t>
      </w:r>
      <w:r>
        <w:rPr>
          <w:sz w:val="24"/>
        </w:rPr>
        <w:t>系统数据贯通，消除信息孤岛；</w:t>
      </w:r>
    </w:p>
    <w:p>
      <w:pPr>
        <w:pStyle w:val="null3"/>
        <w:ind w:firstLine="480"/>
      </w:pPr>
      <w:r>
        <w:rPr>
          <w:sz w:val="24"/>
          <w:b/>
        </w:rPr>
        <w:t>数据治理体系：</w:t>
      </w:r>
      <w:r>
        <w:rPr>
          <w:sz w:val="24"/>
        </w:rPr>
        <w:t>建立临床文档</w:t>
      </w:r>
      <w:r>
        <w:rPr>
          <w:sz w:val="24"/>
        </w:rPr>
        <w:t>CDA标准，确保归档数据符合HL7 FHIR互操作性规范；</w:t>
      </w:r>
    </w:p>
    <w:p>
      <w:pPr>
        <w:pStyle w:val="null3"/>
        <w:ind w:firstLine="480"/>
      </w:pPr>
      <w:r>
        <w:rPr>
          <w:sz w:val="24"/>
          <w:b/>
        </w:rPr>
        <w:t>全流程无纸化：</w:t>
      </w:r>
      <w:r>
        <w:rPr>
          <w:sz w:val="24"/>
        </w:rPr>
        <w:t>从医嘱下达、护理文书到出院归档，全程采用区块链存证</w:t>
      </w:r>
      <w:r>
        <w:rPr>
          <w:sz w:val="24"/>
        </w:rPr>
        <w:t>+时间戳技术固化医疗行为轨迹；</w:t>
      </w:r>
    </w:p>
    <w:p>
      <w:pPr>
        <w:pStyle w:val="null3"/>
        <w:ind w:firstLine="480"/>
      </w:pPr>
      <w:r>
        <w:rPr>
          <w:sz w:val="24"/>
        </w:rPr>
        <w:t>该转型不仅响应了</w:t>
      </w:r>
      <w:r>
        <w:rPr>
          <w:sz w:val="24"/>
        </w:rPr>
        <w:t>DRG/DIP支付改革对病案质控的刚性要求，更为构建医疗大数据中心、发展AI辅助决策等智慧医疗场景奠定数据基石。通过电子签名合法性认定，归档数据多副本容灾等技术保障，医院正从"纸质病案保管者"向"医疗数据运营商"演进。</w:t>
      </w:r>
    </w:p>
    <w:p>
      <w:pPr>
        <w:pStyle w:val="null3"/>
        <w:ind w:firstLine="480"/>
      </w:pPr>
      <w:r>
        <w:rPr>
          <w:sz w:val="24"/>
        </w:rPr>
        <w:t>现阶段，医院数据中心虽然采用了双活的部署策略，即在主数据中心遭遇灾难性事件时，备用容灾中心能够实时接替业务运行，继续提供数据服务，确保关键业务的连续性，但是我院对于医技活动产生的大量非结构化数据，例如检验结果，病案数字化存档等信息，目前尚没有完全通过部署数据双活来达到与关键业务应用相同的匹配配置，一旦发生如医疗信息系统崩溃、数据存储设备损坏或服务器宕机等情况，仍然会导致病人诊断数据丢失，医疗服务被迫中断，同时也给医院带来重大经济损失，这是医院在进一步提升数据安全性和业务连续性上需要着重解决的问题。</w:t>
      </w:r>
    </w:p>
    <w:p>
      <w:pPr>
        <w:pStyle w:val="null3"/>
        <w:ind w:firstLine="480"/>
      </w:pPr>
      <w:r>
        <w:rPr>
          <w:sz w:val="24"/>
        </w:rPr>
        <w:t>无纸化病案系统管理是医院信息化过程中又面临的一个重大挑战。医院的数据中心结构复杂，其中的数据尤为重要。根据统计数据，医学病案档案中仅有大约</w:t>
      </w:r>
      <w:r>
        <w:rPr>
          <w:sz w:val="24"/>
        </w:rPr>
        <w:t>5%的数据属于活跃状态，即经常被访问和使用；而剩余95%的数据则主要是历史归档数据，这些数据在创建30天后很少被再次访问。</w:t>
      </w:r>
    </w:p>
    <w:p>
      <w:pPr>
        <w:pStyle w:val="null3"/>
        <w:ind w:firstLine="480"/>
      </w:pPr>
      <w:r>
        <w:rPr>
          <w:sz w:val="24"/>
        </w:rPr>
        <w:t>在病案档案数据中，虽然大部分数据（约</w:t>
      </w:r>
      <w:r>
        <w:rPr>
          <w:sz w:val="24"/>
        </w:rPr>
        <w:t>95%）在创建30天之后很少被访问，但它们与医院业务紧密相关，对可靠性和可用性有很高要求。例如，自数据创建后的最初3天内，其访问概率会显著下降80%，而在数据创建30天后，其被重用的概率更是大幅降低。特别是超过90天的数据，高达95%几乎不再或极少被读取。</w:t>
      </w:r>
    </w:p>
    <w:p>
      <w:pPr>
        <w:pStyle w:val="null3"/>
        <w:ind w:firstLine="480"/>
      </w:pPr>
      <w:r>
        <w:rPr>
          <w:sz w:val="24"/>
        </w:rPr>
        <w:t>为了确保数据的安全与完整，并满足偶尔的访问需求，医院的</w:t>
      </w:r>
      <w:r>
        <w:rPr>
          <w:sz w:val="24"/>
        </w:rPr>
        <w:t>IT部门需要维护大量的额外存储空间。这部分空间一方面用于用户的逻辑备份，保证即使在原始数据出现问题时也能迅速恢复；另一方面，则是为了防止因突发性的容量不足而导致的服务中断。这种做法不仅保障了数据的高度可靠性与可用性，同时也考虑到了未来可能的数据增长需求。因此，如何高效管理和优化这部分数据存储，成为了提升医院信息化管理水平的重要环节。</w:t>
      </w:r>
    </w:p>
    <w:p>
      <w:pPr>
        <w:pStyle w:val="null3"/>
        <w:ind w:firstLine="480"/>
      </w:pPr>
      <w:r>
        <w:rPr>
          <w:sz w:val="24"/>
        </w:rPr>
        <w:t>医院信息化过程中，面对不断增长且需长期保存（长达</w:t>
      </w:r>
      <w:r>
        <w:rPr>
          <w:sz w:val="24"/>
        </w:rPr>
        <w:t>30年）的病案档案数据，如何有效地管理和访问这些旧病案档案成为了一大挑战。为了解决这个问题，分级存储策略被广泛采用，因为它既能满足用户随时访问常用数据的需求，又能最大限度地降低存储成本。因此医院计划构建一个安全可靠、技术先进且成熟、扩展性强、易于维护，并遵循统一标准的病案无纸化存储平台。该平台将在不改变现有病案系统的基础上，实现对病案档案的全文检索、透明分层存储以及病案数据的多副本保存。</w:t>
      </w:r>
    </w:p>
    <w:p>
      <w:pPr>
        <w:pStyle w:val="null3"/>
      </w:pPr>
      <w:r>
        <w:rPr>
          <w:sz w:val="24"/>
          <w:b/>
        </w:rPr>
        <w:t>（二）项目建设目的</w:t>
      </w:r>
    </w:p>
    <w:p>
      <w:pPr>
        <w:pStyle w:val="null3"/>
        <w:ind w:firstLine="480"/>
      </w:pPr>
      <w:r>
        <w:rPr>
          <w:sz w:val="24"/>
        </w:rPr>
        <w:t>根据医院病案无纸化存储项目的建设需求，本次项目建设计划构建一个安全可靠、技术先进且成熟、扩展性强、易于维护，并遵循统一标准的病案无纸化存储平台。该平台将在不改变现有病案系统的基础上，实现对病案档案的全文检索、透明分层存储以及病案数据的多副本保存。</w:t>
      </w:r>
    </w:p>
    <w:p>
      <w:pPr>
        <w:pStyle w:val="null3"/>
        <w:ind w:firstLine="480"/>
      </w:pPr>
      <w:r>
        <w:rPr>
          <w:sz w:val="24"/>
        </w:rPr>
        <w:t>为了达到上述目标，医院将通过引入新的计算型存储硬件平台来构建在线（</w:t>
      </w:r>
      <w:r>
        <w:rPr>
          <w:sz w:val="24"/>
        </w:rPr>
        <w:t>SSD）和近线（NL_SAS）二级存储结构。</w:t>
      </w:r>
    </w:p>
    <w:p>
      <w:pPr>
        <w:pStyle w:val="null3"/>
        <w:ind w:firstLine="480"/>
      </w:pPr>
      <w:r>
        <w:rPr>
          <w:sz w:val="24"/>
          <w:b/>
        </w:rPr>
        <w:t>提升访问效率：</w:t>
      </w:r>
      <w:r>
        <w:rPr>
          <w:sz w:val="24"/>
        </w:rPr>
        <w:t>对于</w:t>
      </w:r>
      <w:r>
        <w:rPr>
          <w:sz w:val="24"/>
        </w:rPr>
        <w:t>30天内的病案档案数据，提供高并发、低延时的访问能力，确保医生能够快速调阅所需资料。同时，支持低延迟的全文检索功能，使得医务人员可以迅速找到相关病案信息。</w:t>
      </w:r>
    </w:p>
    <w:p>
      <w:pPr>
        <w:pStyle w:val="null3"/>
        <w:ind w:firstLine="480"/>
      </w:pPr>
      <w:r>
        <w:rPr>
          <w:sz w:val="24"/>
          <w:b/>
        </w:rPr>
        <w:t>优化成本与管理：</w:t>
      </w:r>
      <w:r>
        <w:rPr>
          <w:sz w:val="24"/>
        </w:rPr>
        <w:t>针对</w:t>
      </w:r>
      <w:r>
        <w:rPr>
          <w:sz w:val="24"/>
        </w:rPr>
        <w:t>30天后累积的海量冷数据，采用低成本存储方案，同时保证这些数据得到统一管理和便捷访问，满足长期数据归档的需求。</w:t>
      </w:r>
    </w:p>
    <w:p>
      <w:pPr>
        <w:pStyle w:val="null3"/>
        <w:ind w:firstLine="480"/>
      </w:pPr>
      <w:r>
        <w:rPr>
          <w:sz w:val="24"/>
          <w:b/>
        </w:rPr>
        <w:t>增强数据保护：</w:t>
      </w:r>
      <w:r>
        <w:rPr>
          <w:sz w:val="24"/>
        </w:rPr>
        <w:t>为积累的海量病案数据提供一致性数据备份，确保在不影响业务连续性的前提下进行数据保护。新平台支持零业务影响的数据备份策略，保障数据的安全性和完整性。</w:t>
      </w:r>
    </w:p>
    <w:p>
      <w:pPr>
        <w:pStyle w:val="null3"/>
        <w:ind w:firstLine="480"/>
      </w:pPr>
      <w:r>
        <w:rPr>
          <w:sz w:val="24"/>
        </w:rPr>
        <w:t>此外，在线和近线存储被部署于一套集群内，允许病案数据依据自定义策略自动进行迁移，并实现多副本异地同步保存。这不仅增强了数据的可用性和可靠性，也简化了维护流程，降低了人工干预的需求。</w:t>
      </w:r>
    </w:p>
    <w:p>
      <w:pPr>
        <w:pStyle w:val="null3"/>
      </w:pPr>
      <w:r>
        <w:rPr>
          <w:sz w:val="24"/>
          <w:b/>
        </w:rPr>
        <w:t>（三）项目建设内容</w:t>
      </w:r>
    </w:p>
    <w:p>
      <w:pPr>
        <w:pStyle w:val="null3"/>
        <w:ind w:firstLine="480"/>
      </w:pPr>
      <w:r>
        <w:rPr>
          <w:sz w:val="24"/>
        </w:rPr>
        <w:t>根据医院病案无纸化存储项目的建设要求，本项目建设拟计划采购</w:t>
      </w:r>
      <w:r>
        <w:rPr>
          <w:sz w:val="24"/>
        </w:rPr>
        <w:t>2套计算型存储硬件一体机，进一步提升存储数据安全性和业务连续性，达到高水平医院的信息系统稳定性和安全性要求。</w:t>
      </w:r>
    </w:p>
    <w:p>
      <w:pPr>
        <w:pStyle w:val="null3"/>
      </w:pPr>
      <w:r>
        <w:rPr>
          <w:sz w:val="24"/>
          <w:b/>
        </w:rPr>
        <w:t>（四）以下《阳江市政府采购供应商资格信用承诺函》，供应商须在投标文件中的</w:t>
      </w:r>
      <w:r>
        <w:rPr>
          <w:sz w:val="24"/>
          <w:b/>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(项目编号：</w:t>
            </w:r>
            <w:r>
              <w:rPr>
                <w:sz w:val="19"/>
                <w:u w:val="single"/>
              </w:rPr>
              <w:t xml:space="preserve">          </w:t>
            </w:r>
            <w:r>
              <w:rPr>
                <w:sz w:val="24"/>
              </w:rPr>
              <w:t>)的政府采购活动，并郑重承诺符合《中华人民共和国政府采购法》第二十二条第一款第(二)项、第(三)项、第(四)项、第(五)项规定条件，具体包括</w:t>
            </w:r>
            <w:r>
              <w:rPr>
                <w:sz w:val="24"/>
              </w:rPr>
              <w:t>：</w:t>
            </w:r>
          </w:p>
          <w:p>
            <w:pPr>
              <w:pStyle w:val="null3"/>
              <w:spacing w:before="240"/>
              <w:ind w:left="645"/>
              <w:jc w:val="left"/>
            </w:pPr>
            <w:r>
              <w:rPr>
                <w:sz w:val="24"/>
              </w:rPr>
              <w:t>1.具有良好的商业信誉和健全的财务会计制度；</w:t>
            </w:r>
          </w:p>
          <w:p>
            <w:pPr>
              <w:pStyle w:val="null3"/>
              <w:spacing w:before="195"/>
              <w:ind w:left="645"/>
              <w:jc w:val="left"/>
            </w:pPr>
            <w:r>
              <w:rPr>
                <w:sz w:val="24"/>
              </w:rPr>
              <w:t>2.具有履行合同所必需的设备和专业技术能力；</w:t>
            </w:r>
          </w:p>
          <w:p>
            <w:pPr>
              <w:pStyle w:val="null3"/>
              <w:spacing w:before="255"/>
              <w:ind w:left="645"/>
              <w:jc w:val="left"/>
            </w:pPr>
            <w:r>
              <w:rPr>
                <w:sz w:val="24"/>
              </w:rPr>
              <w:t>3.具有依法缴纳税收和社会保障资金的良好记录；</w:t>
            </w:r>
          </w:p>
          <w:p>
            <w:pPr>
              <w:pStyle w:val="null3"/>
              <w:spacing w:before="240"/>
              <w:ind w:left="30" w:firstLine="612"/>
              <w:jc w:val="left"/>
            </w:pPr>
            <w:r>
              <w:rPr>
                <w:sz w:val="24"/>
              </w:rPr>
              <w:t>4.参加政府采购活动前三年内，在经营活动中没有重大违法记录。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(采购代理机构)的检查核验，配合提供相关证明材料，证明符合《中华人民共和国政府采购法》规定的供应商基本资格条件。如有虚假，将依法承担相应法律责任。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(公章)</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(签名)</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30"/>
              <w:jc w:val="left"/>
            </w:pPr>
            <w:r>
              <w:rPr>
                <w:sz w:val="19"/>
              </w:rPr>
              <w:t xml:space="preserve"> </w:t>
            </w:r>
          </w:p>
          <w:p>
            <w:pPr>
              <w:pStyle w:val="null3"/>
              <w:ind w:left="15"/>
              <w:jc w:val="left"/>
            </w:pPr>
            <w:r>
              <w:rPr>
                <w:sz w:val="24"/>
              </w:rPr>
              <w:t>注：供应商的法定代表人</w:t>
            </w:r>
            <w:r>
              <w:rPr>
                <w:sz w:val="24"/>
              </w:rPr>
              <w:t>(其他组织的为负责人)或者授权代表的签名或盖章应真实、有效，如由投标代表签名或盖章的，应提供“法定代表人授权书”。</w:t>
            </w:r>
          </w:p>
        </w:tc>
      </w:tr>
    </w:tbl>
    <w:p>
      <w:pPr>
        <w:pStyle w:val="null3"/>
      </w:pPr>
      <w:r>
        <w:rPr/>
        <w:t>采购包1（住院病案无纸化归档专用硬件双活及升级更新项目）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合同签订生效后60个日历日内完成（包括供货、安装调试、培训、完成验收）。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35%,在合同签订生效后，采购人收到中标人对应金额发票后10个工作日内向中标人支付合同总额的35%（如果中标人为中小微企业，在合同签订生效后，采购人收到中标人发票后5个工作日内向中标人支付合同总额的35%）。</w:t>
            </w:r>
          </w:p>
          <w:p>
            <w:pPr>
              <w:pStyle w:val="null3"/>
            </w:pPr>
            <w:r>
              <w:rPr/>
              <w:t>2期：支付比例65%,验收合格后，采购人收到中标人对应金额发票后10个工作日内支付合同总额的65%作为验收款。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启用后接入医院系统，所有功能模块正常运行1个月，由采购人十个工作日内组织有关人员按相关标准进行验收，验收不能通过，中标人对存在的问题进行整改，在问题解决后，采购人十个工作日内再次组织验收，直至验收合格。同时包括但不限于以下的验收要求： 1、中标人提供的所有货物和服务，其质量、技术等特征必须符合国家、行业现行的标准及用户需求。 2、所有设备必须有相应的详细中文说明书。 3、采购人有权拒绝接受任何不合格的货物和服务，由此产生的费用及相关后果均由中标人自行承担。 4、投标人应保证，在提供本项目的货物、服务或其任何一部分不会产生因第三方依法享有的专利权、商标权或其他知识产权而产生纠纷；如果投标人不拥有相应的知识产权，则须在报价中包括合法获取该知识产权的相关费用，并在投标文件中附有相关证明文件，如因第三方提出其专利权、商标权或其他知识产权的侵权之诉，则一切法律责任由投标人自行承担。 5、验收按国家有关的规定、规范进行。验收时如发现所交付的设备有短装、次品、损坏或其它不符合本项目规定之情形者，采购人应做出详尽的现场记录，或由采购人和中标人双方签署备忘录。此现场记录或备忘录可用作补充、缺失和更换损坏部件的有效证据，由此产生的有关费用由中标人承担。 6、使用验收 （1）使用单位对设备使用、运行情况作说明，提供验收报告； （2）由采购人相关业务部门组织进行功能性检测并签署验收单。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运至合同指定地点的货物、搬运费、运输费、卸装费、保险费、安装调试费、验收、人力成本及设备维护费用、税金、全部设备的第一次检定/校准费等一切费用，采购人不再支付任何费用。投标总报价不得高于人民币2,031,750.00元（超出该上限的投标报价将作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采购合同由中标人与采购人双方签订，签订时间为从中标通知书发出之日起30日内。</w:t>
            </w:r>
          </w:p>
        </w:tc>
      </w:tr>
      <w:tr>
        <w:tc>
          <w:tcPr>
            <w:tcW w:type="dxa" w:w="2076"/>
          </w:tcPr>
          <w:p/>
        </w:tc>
        <w:tc>
          <w:tcPr>
            <w:tcW w:type="dxa" w:w="2076"/>
          </w:tcPr>
          <w:p>
            <w:pPr>
              <w:pStyle w:val="null3"/>
              <w:jc w:val="center"/>
            </w:pPr>
            <w:r>
              <w:rPr/>
              <w:t>3</w:t>
            </w:r>
          </w:p>
        </w:tc>
        <w:tc>
          <w:tcPr>
            <w:tcW w:type="dxa" w:w="2076"/>
          </w:tcPr>
          <w:p>
            <w:pPr>
              <w:pStyle w:val="null3"/>
              <w:jc w:val="left"/>
            </w:pPr>
            <w:r>
              <w:rPr/>
              <w:t>货物要求</w:t>
            </w:r>
          </w:p>
        </w:tc>
        <w:tc>
          <w:tcPr>
            <w:tcW w:type="dxa" w:w="2076"/>
          </w:tcPr>
          <w:p>
            <w:pPr>
              <w:pStyle w:val="null3"/>
              <w:jc w:val="left"/>
            </w:pPr>
            <w:r>
              <w:rPr/>
              <w:t>（1）所投标产品必须是原装正品，应保证所提供的设备制造日期距交货时间不超过1年，供货时出具生产厂商的《原厂供货证明》及《售后服务承诺函》。 （2）投标人必须提供符合国家质量检测标准的全新、未使用过的货物，投标人必须负责设备的安装调试和培训。 （3）包装要求：要求使用国际通用的标准包装，适合于长途运输，外包装到货时完好无损。保证货物到达目的地时完好，无毁损，包装不回收。在运输过程中造成的产品损失或损坏由中标人负担。</w:t>
            </w:r>
          </w:p>
        </w:tc>
      </w:tr>
      <w:tr>
        <w:tc>
          <w:tcPr>
            <w:tcW w:type="dxa" w:w="2076"/>
          </w:tcPr>
          <w:p/>
        </w:tc>
        <w:tc>
          <w:tcPr>
            <w:tcW w:type="dxa" w:w="2076"/>
          </w:tcPr>
          <w:p>
            <w:pPr>
              <w:pStyle w:val="null3"/>
              <w:jc w:val="center"/>
            </w:pPr>
            <w:r>
              <w:rPr/>
              <w:t>4</w:t>
            </w:r>
          </w:p>
        </w:tc>
        <w:tc>
          <w:tcPr>
            <w:tcW w:type="dxa" w:w="2076"/>
          </w:tcPr>
          <w:p>
            <w:pPr>
              <w:pStyle w:val="null3"/>
              <w:jc w:val="left"/>
            </w:pPr>
            <w:r>
              <w:rPr/>
              <w:t>实施要求</w:t>
            </w:r>
          </w:p>
        </w:tc>
        <w:tc>
          <w:tcPr>
            <w:tcW w:type="dxa" w:w="2076"/>
          </w:tcPr>
          <w:p>
            <w:pPr>
              <w:pStyle w:val="null3"/>
              <w:jc w:val="left"/>
            </w:pPr>
            <w:r>
              <w:rPr/>
              <w:t>中标人需按期完成设备的供货、安装调试，并完成对使用单位相关人员的操作与使用培训。同时包括但不限于以下的实施要求： （1）所有设备均由中标人免费送货至采购人指定的交货地点并完成安装调试，安装调试应以本需求书要求的技术参数指标为标准。 （2）所有货物交货后的拆箱、安装、调试等工作（包括产生的一切费用）由中标人负责，但必须在采购人指定人员的参与下进行。调试的原始记录需经双方签字后作为验收的文件之一。 （3）中标人应需提供包括但不限于满足设备安装、使用和维护的技术文件，如：设备和附件装箱清单、设备质量合格检定证明文件（包括合格证书和质检报告）、设备保修服务卡等。 （4）所有设备应按出厂标准及国家有关要求进行包装及运输。 （5）中标人须负责对采购人的技术人员免费进行安装、操作、维护维修等方面的培训，直至学会为止。中标人需提供针对采购人专业技术人员的培训计划。 （6）中标人应承诺设立备品备件仓库，保证使用单位质保期内的备品备件需求。</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设备提供不少于三年质保期（若国家和/或生产厂家对本项目所涉及货物的质量保证期的规定高于本项目的要求，应按国家和/或生产厂家的规定执行），质保期从验收合格之日计算，质保期内所有故障维修均由中标人免费上门维保（人为因素除外），质保期外重复出现质保期内出现过的故障均属免费保修范围，质保期内出现的故障在一个月内不能修复的，在接到采购人通知后无条件免费更换同型号的设备，交货期与投标文件的承诺相同。 （2）需安装调试的设备，中标人负责组织协调相关技术部门落实。设备到货后5个工作日内完成安装、调试及用户操作人员的现场操作、维护培训，培训人数≥2人，达到用户操作人员熟练操作为止。 （3）投标人应列出所投设备在日常使用中的常见故障（提供设备常见故障及排除方法列表），并承诺指派专业技术人员对使用单位的维保人员进行相关培训，培训的内容应为《常见故障及排除方法列表》中所列的所有内容，并保证达到用户操作人员熟练操作为止。 （4）投标人具有独立完成设备（含软件）供货、安装、调试、集成及维护其正常运行的能力。中标人接到采购人提出的维修或技术支持要求，必须30分钟内响应，如2小时内不能通过相关手段解决问题，必须4小时内到达用户现场处理问题，如到达用户现场24小时内未能解决问题，必须提供相关的备件替换，保证采购人的正常使用，直至解决问题为止。 （5）中标人须定期有计划性地对系统主要设备及线路进行巡检，保障平台系统正常平稳运行。梳理影响系统运转的问题，对建成系统进行监控、整改、优化，保障系统正确、平稳运行，同时满足政策性变化和医院运营管理的要求。 （6）针对采购人本次采购内容，供应商须对本项目的售后服务进行承诺，并提供售后服务方案。</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本项目中标人需承担服务器系统、存储系统、数据库系统、备份容灾系统设计、集成和技术支持服务等工作，包括HIS、LIS系统等核心提供数据库的迁移、应用系统的联调、系统性能的综合调优等工作，其中医院信息系统业务停机切换服务器及存储的时间不得高于10分钟。 （2）投标人须详细列出详细培训方案，投标人免费（包括培训费、资料费等）提供技术培训。每项设备投标人提供不少于1人次原厂商的国内技术培训，提供不少于3人次现场技术培训，使用户管理人员能独立进行系统管理、故障处理、日常测试维护等工作。 （3）验收前，投标人应提供装订成册的技术资料，具体包括如设备操作维护说明书(中文)、设备随机资料、项目实施计划、项目验收方案、项目测试文档等项目实施及维护文档，这些技术文档，将做为项目验收的必备条件之一。 （4）投标人应确保其实施方案以及所提供的软、硬件设备的完整性、实用性，保证全部系统及时投入正常运行。若出现因中标人提供的软、硬件设备不满足要求、不合理，或者其所提供的技术支持和服务不全面，而导致系统无法实现或不能完全实现的状况，由中标人负全部责任。 （5）由于医院的数据属于高度隐私范围，需要提供对核心数据的可靠的数据恢复服务，即对此次购买的存储的硬盘数据提供可靠的数据恢复服务。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其他存储设备</w:t>
            </w:r>
          </w:p>
        </w:tc>
        <w:tc>
          <w:tcPr>
            <w:tcW w:type="dxa" w:w="831"/>
          </w:tcPr>
          <w:p>
            <w:pPr>
              <w:pStyle w:val="null3"/>
              <w:jc w:val="left"/>
            </w:pPr>
            <w:r>
              <w:rPr/>
              <w:t>并行计算存储一体机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945,000.00</w:t>
            </w:r>
          </w:p>
        </w:tc>
        <w:tc>
          <w:tcPr>
            <w:tcW w:type="dxa" w:w="831"/>
          </w:tcPr>
          <w:p>
            <w:pPr>
              <w:pStyle w:val="null3"/>
              <w:jc w:val="right"/>
            </w:pPr>
            <w:r>
              <w:rPr/>
              <w:t>1,890,000.00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硬件集成实施服务</w:t>
            </w:r>
          </w:p>
        </w:tc>
        <w:tc>
          <w:tcPr>
            <w:tcW w:type="dxa" w:w="831"/>
          </w:tcPr>
          <w:p>
            <w:pPr>
              <w:pStyle w:val="null3"/>
              <w:jc w:val="left"/>
            </w:pPr>
            <w:r>
              <w:rPr/>
              <w:t>集成服务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141,750.00</w:t>
            </w:r>
          </w:p>
        </w:tc>
        <w:tc>
          <w:tcPr>
            <w:tcW w:type="dxa" w:w="831"/>
          </w:tcPr>
          <w:p>
            <w:pPr>
              <w:pStyle w:val="null3"/>
              <w:jc w:val="right"/>
            </w:pPr>
            <w:r>
              <w:rPr/>
              <w:t>141,750.00</w:t>
            </w:r>
          </w:p>
        </w:tc>
        <w:tc>
          <w:tcPr>
            <w:tcW w:type="dxa" w:w="831"/>
          </w:tcPr>
          <w:p>
            <w:pPr>
              <w:pStyle w:val="null3"/>
            </w:pPr>
            <w:r>
              <w:rPr/>
              <w:t>软件和信息技术服务业</w:t>
            </w:r>
          </w:p>
        </w:tc>
        <w:tc>
          <w:tcPr>
            <w:tcW w:type="dxa" w:w="831"/>
          </w:tcPr>
          <w:p>
            <w:pPr>
              <w:pStyle w:val="null3"/>
            </w:pPr>
            <w:r>
              <w:rPr/>
              <w:t>详见附表二</w:t>
            </w:r>
          </w:p>
        </w:tc>
      </w:tr>
    </w:tbl>
    <w:p>
      <w:pPr>
        <w:pStyle w:val="null3"/>
      </w:pPr>
      <w:r>
        <w:rPr>
          <w:b/>
        </w:rPr>
        <w:t>附表</w:t>
      </w:r>
      <w:r>
        <w:rPr>
          <w:b/>
        </w:rPr>
        <w:t>一</w:t>
      </w:r>
      <w:r>
        <w:rPr>
          <w:b/>
        </w:rPr>
        <w:t>：</w:t>
      </w:r>
      <w:r>
        <w:rPr>
          <w:b/>
        </w:rPr>
        <w:t>并行计算存储一体机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color w:val="000000"/>
              </w:rPr>
              <w:t>体系架构</w:t>
            </w:r>
            <w:r>
              <w:rPr>
                <w:sz w:val="24"/>
                <w:color w:val="000000"/>
              </w:rPr>
              <w:t>：</w:t>
            </w:r>
            <w:r>
              <w:rPr>
                <w:sz w:val="24"/>
                <w:color w:val="000000"/>
              </w:rPr>
              <w:t>采用多控全互联架构，非</w:t>
            </w:r>
            <w:r>
              <w:rPr>
                <w:sz w:val="24"/>
                <w:color w:val="000000"/>
              </w:rPr>
              <w:t>IP交换机互联，控制器互联协议采用PCIE/IB/NVME/RDMA等协议，非FC、IP联邦</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w:t>
            </w:r>
            <w:r>
              <w:rPr>
                <w:sz w:val="24"/>
                <w:color w:val="000000"/>
              </w:rPr>
              <w:t>扩展性</w:t>
            </w:r>
            <w:r>
              <w:rPr>
                <w:sz w:val="24"/>
                <w:color w:val="000000"/>
              </w:rPr>
              <w:t>：</w:t>
            </w:r>
            <w:r>
              <w:rPr>
                <w:sz w:val="24"/>
              </w:rPr>
              <w:t>至少</w:t>
            </w:r>
            <w:r>
              <w:rPr>
                <w:sz w:val="24"/>
                <w:color w:val="000000"/>
              </w:rPr>
              <w:t>支</w:t>
            </w:r>
            <w:r>
              <w:rPr>
                <w:sz w:val="24"/>
                <w:color w:val="000000"/>
              </w:rPr>
              <w:t>持</w:t>
            </w:r>
            <w:r>
              <w:rPr>
                <w:sz w:val="24"/>
                <w:color w:val="000000"/>
              </w:rPr>
              <w:t>12套HA节点计算（即24个计算控制器）组建高速互联并行计算矩阵，性能随节点增加而性能增长</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w:t>
            </w:r>
            <w:r>
              <w:rPr>
                <w:sz w:val="24"/>
                <w:color w:val="000000"/>
              </w:rPr>
              <w:t>控制器要求：</w:t>
            </w:r>
          </w:p>
          <w:p>
            <w:pPr>
              <w:pStyle w:val="null3"/>
            </w:pPr>
            <w:r>
              <w:rPr>
                <w:sz w:val="24"/>
                <w:color w:val="000000"/>
              </w:rPr>
              <w:t>（</w:t>
            </w:r>
            <w:r>
              <w:rPr>
                <w:sz w:val="24"/>
                <w:color w:val="000000"/>
              </w:rPr>
              <w:t>1</w:t>
            </w:r>
            <w:r>
              <w:rPr>
                <w:sz w:val="24"/>
                <w:color w:val="000000"/>
              </w:rPr>
              <w:t>）</w:t>
            </w:r>
            <w:r>
              <w:rPr>
                <w:sz w:val="24"/>
                <w:color w:val="000000"/>
              </w:rPr>
              <w:t>4U</w:t>
            </w:r>
            <w:r>
              <w:rPr>
                <w:sz w:val="24"/>
                <w:color w:val="000000"/>
              </w:rPr>
              <w:t>配置一体化机箱含</w:t>
            </w:r>
            <w:r>
              <w:rPr>
                <w:sz w:val="24"/>
                <w:color w:val="000000"/>
              </w:rPr>
              <w:t>2</w:t>
            </w:r>
            <w:r>
              <w:rPr>
                <w:sz w:val="24"/>
                <w:color w:val="000000"/>
              </w:rPr>
              <w:t>个高可用控制器，控制器采用</w:t>
            </w:r>
            <w:r>
              <w:rPr>
                <w:sz w:val="24"/>
                <w:color w:val="000000"/>
              </w:rPr>
              <w:t>Active-Active</w:t>
            </w:r>
            <w:r>
              <w:rPr>
                <w:sz w:val="24"/>
                <w:color w:val="000000"/>
              </w:rPr>
              <w:t>架构；</w:t>
            </w:r>
          </w:p>
          <w:p>
            <w:pPr>
              <w:pStyle w:val="null3"/>
            </w:pPr>
            <w:r>
              <w:rPr>
                <w:sz w:val="24"/>
                <w:color w:val="000000"/>
              </w:rPr>
              <w:t>（2）</w:t>
            </w:r>
            <w:r>
              <w:rPr>
                <w:sz w:val="24"/>
                <w:color w:val="000000"/>
              </w:rPr>
              <w:t>单控制器配置≥</w:t>
            </w:r>
            <w:r>
              <w:rPr>
                <w:sz w:val="24"/>
                <w:color w:val="000000"/>
              </w:rPr>
              <w:t>2</w:t>
            </w:r>
            <w:r>
              <w:rPr>
                <w:sz w:val="24"/>
                <w:color w:val="000000"/>
              </w:rPr>
              <w:t>颗</w:t>
            </w:r>
            <w:r>
              <w:rPr>
                <w:sz w:val="24"/>
                <w:color w:val="000000"/>
              </w:rPr>
              <w:t>x86 10</w:t>
            </w:r>
            <w:r>
              <w:rPr>
                <w:sz w:val="24"/>
                <w:color w:val="000000"/>
              </w:rPr>
              <w:t>核</w:t>
            </w:r>
            <w:r>
              <w:rPr>
                <w:sz w:val="24"/>
                <w:color w:val="000000"/>
              </w:rPr>
              <w:t>2.2GHZ CPU</w:t>
            </w:r>
            <w:r>
              <w:rPr>
                <w:sz w:val="24"/>
                <w:color w:val="000000"/>
              </w:rPr>
              <w:t>，非易失性缓存≥</w:t>
            </w:r>
            <w:r>
              <w:rPr>
                <w:sz w:val="24"/>
                <w:color w:val="000000"/>
              </w:rPr>
              <w:t>32G NVRAM</w:t>
            </w:r>
            <w:r>
              <w:rPr>
                <w:sz w:val="24"/>
                <w:color w:val="000000"/>
              </w:rPr>
              <w:t>，一级缓存≥</w:t>
            </w:r>
            <w:r>
              <w:rPr>
                <w:sz w:val="24"/>
                <w:color w:val="000000"/>
              </w:rPr>
              <w:t>128GB</w:t>
            </w:r>
            <w:r>
              <w:rPr>
                <w:sz w:val="24"/>
                <w:color w:val="000000"/>
              </w:rPr>
              <w:t>，二级缓存≥</w:t>
            </w:r>
            <w:r>
              <w:rPr>
                <w:sz w:val="24"/>
                <w:color w:val="000000"/>
              </w:rPr>
              <w:t>1TB NVME SAD CACHE</w:t>
            </w:r>
            <w:r>
              <w:rPr>
                <w:sz w:val="24"/>
                <w:color w:val="000000"/>
              </w:rPr>
              <w:t>；</w:t>
            </w:r>
          </w:p>
          <w:p>
            <w:pPr>
              <w:pStyle w:val="null3"/>
            </w:pPr>
            <w:r>
              <w:rPr>
                <w:sz w:val="24"/>
                <w:color w:val="000000"/>
              </w:rPr>
              <w:t>（</w:t>
            </w:r>
            <w:r>
              <w:rPr>
                <w:sz w:val="24"/>
                <w:color w:val="000000"/>
              </w:rPr>
              <w:t>3</w:t>
            </w:r>
            <w:r>
              <w:rPr>
                <w:sz w:val="24"/>
                <w:color w:val="000000"/>
              </w:rPr>
              <w:t>）单控制器配置≥</w:t>
            </w:r>
            <w:r>
              <w:rPr>
                <w:sz w:val="24"/>
                <w:color w:val="000000"/>
              </w:rPr>
              <w:t>2</w:t>
            </w:r>
            <w:r>
              <w:rPr>
                <w:sz w:val="24"/>
                <w:color w:val="000000"/>
              </w:rPr>
              <w:t>个</w:t>
            </w:r>
            <w:r>
              <w:rPr>
                <w:sz w:val="24"/>
                <w:color w:val="000000"/>
              </w:rPr>
              <w:t>100GB RDMA</w:t>
            </w:r>
            <w:r>
              <w:rPr>
                <w:sz w:val="24"/>
                <w:color w:val="000000"/>
              </w:rPr>
              <w:t>接口，≥</w:t>
            </w:r>
            <w:r>
              <w:rPr>
                <w:sz w:val="24"/>
                <w:color w:val="000000"/>
              </w:rPr>
              <w:t>6</w:t>
            </w:r>
            <w:r>
              <w:rPr>
                <w:sz w:val="24"/>
                <w:color w:val="000000"/>
              </w:rPr>
              <w:t>个</w:t>
            </w:r>
            <w:r>
              <w:rPr>
                <w:sz w:val="24"/>
                <w:color w:val="000000"/>
              </w:rPr>
              <w:t>25GB</w:t>
            </w:r>
            <w:r>
              <w:rPr>
                <w:sz w:val="24"/>
                <w:color w:val="000000"/>
              </w:rPr>
              <w:t>网口，≥</w:t>
            </w:r>
            <w:r>
              <w:rPr>
                <w:sz w:val="24"/>
                <w:color w:val="000000"/>
              </w:rPr>
              <w:t>4</w:t>
            </w:r>
            <w:r>
              <w:rPr>
                <w:sz w:val="24"/>
                <w:color w:val="000000"/>
              </w:rPr>
              <w:t>个</w:t>
            </w:r>
            <w:r>
              <w:rPr>
                <w:sz w:val="24"/>
                <w:color w:val="000000"/>
              </w:rPr>
              <w:t>32G FC</w:t>
            </w:r>
            <w:r>
              <w:rPr>
                <w:sz w:val="24"/>
                <w:color w:val="000000"/>
              </w:rPr>
              <w:t>口，≥</w:t>
            </w:r>
            <w:r>
              <w:rPr>
                <w:sz w:val="24"/>
                <w:color w:val="000000"/>
              </w:rPr>
              <w:t>4</w:t>
            </w:r>
            <w:r>
              <w:rPr>
                <w:sz w:val="24"/>
                <w:color w:val="000000"/>
              </w:rPr>
              <w:t>个</w:t>
            </w:r>
            <w:r>
              <w:rPr>
                <w:sz w:val="24"/>
                <w:color w:val="000000"/>
              </w:rPr>
              <w:t>12G SAS</w:t>
            </w:r>
            <w:r>
              <w:rPr>
                <w:sz w:val="24"/>
                <w:color w:val="000000"/>
              </w:rPr>
              <w:t>接口；</w:t>
            </w:r>
          </w:p>
          <w:p>
            <w:pPr>
              <w:pStyle w:val="null3"/>
            </w:pPr>
            <w:r>
              <w:rPr>
                <w:sz w:val="24"/>
                <w:color w:val="000000"/>
              </w:rPr>
              <w:t>（4）</w:t>
            </w:r>
            <w:r>
              <w:rPr>
                <w:sz w:val="24"/>
                <w:color w:val="000000"/>
              </w:rPr>
              <w:t>单控制器配置≥</w:t>
            </w:r>
            <w:r>
              <w:rPr>
                <w:sz w:val="24"/>
                <w:color w:val="000000"/>
              </w:rPr>
              <w:t>1</w:t>
            </w:r>
            <w:r>
              <w:rPr>
                <w:sz w:val="24"/>
                <w:color w:val="000000"/>
              </w:rPr>
              <w:t>个集成压缩芯片；</w:t>
            </w:r>
          </w:p>
          <w:p>
            <w:pPr>
              <w:pStyle w:val="null3"/>
            </w:pPr>
            <w:r>
              <w:rPr>
                <w:sz w:val="24"/>
                <w:color w:val="000000"/>
              </w:rPr>
              <w:t>（5）</w:t>
            </w:r>
            <w:r>
              <w:rPr>
                <w:sz w:val="24"/>
                <w:color w:val="000000"/>
              </w:rPr>
              <w:t>单控制器配置</w:t>
            </w:r>
            <w:r>
              <w:rPr>
                <w:sz w:val="24"/>
                <w:color w:val="000000"/>
              </w:rPr>
              <w:t>≥2</w:t>
            </w:r>
            <w:r>
              <w:rPr>
                <w:sz w:val="24"/>
                <w:color w:val="000000"/>
              </w:rPr>
              <w:t>个电源；（提供产品彩页或制造商的技术白皮书或技术参数说明等相关佐证材料）。</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w:t>
            </w:r>
            <w:r>
              <w:rPr>
                <w:sz w:val="24"/>
                <w:color w:val="000000"/>
              </w:rPr>
              <w:t>闪存容量</w:t>
            </w:r>
            <w:r>
              <w:rPr>
                <w:sz w:val="24"/>
                <w:color w:val="000000"/>
              </w:rPr>
              <w:t>要求：</w:t>
            </w:r>
            <w:r>
              <w:rPr>
                <w:sz w:val="24"/>
                <w:color w:val="000000"/>
              </w:rPr>
              <w:t>含</w:t>
            </w:r>
            <w:r>
              <w:rPr>
                <w:sz w:val="24"/>
                <w:color w:val="000000"/>
              </w:rPr>
              <w:t>2</w:t>
            </w:r>
            <w:r>
              <w:rPr>
                <w:sz w:val="24"/>
                <w:color w:val="000000"/>
              </w:rPr>
              <w:t>个高可用控制器</w:t>
            </w:r>
            <w:r>
              <w:rPr>
                <w:sz w:val="24"/>
                <w:color w:val="000000"/>
              </w:rPr>
              <w:t>(</w:t>
            </w:r>
            <w:r>
              <w:rPr>
                <w:sz w:val="24"/>
                <w:color w:val="000000"/>
              </w:rPr>
              <w:t>单控制器配置</w:t>
            </w:r>
            <w:r>
              <w:rPr>
                <w:sz w:val="24"/>
                <w:color w:val="000000"/>
              </w:rPr>
              <w:t>≥1</w:t>
            </w:r>
            <w:r>
              <w:rPr>
                <w:sz w:val="24"/>
                <w:color w:val="000000"/>
              </w:rPr>
              <w:t>个</w:t>
            </w:r>
            <w:r>
              <w:rPr>
                <w:sz w:val="24"/>
                <w:color w:val="000000"/>
              </w:rPr>
              <w:t>ASIC</w:t>
            </w:r>
            <w:r>
              <w:rPr>
                <w:sz w:val="24"/>
                <w:color w:val="000000"/>
              </w:rPr>
              <w:t>芯片，</w:t>
            </w:r>
            <w:r>
              <w:rPr>
                <w:sz w:val="24"/>
                <w:color w:val="000000"/>
              </w:rPr>
              <w:t>≥8GB</w:t>
            </w:r>
            <w:r>
              <w:rPr>
                <w:sz w:val="24"/>
                <w:color w:val="000000"/>
              </w:rPr>
              <w:t>缓存，</w:t>
            </w:r>
            <w:r>
              <w:rPr>
                <w:sz w:val="24"/>
                <w:color w:val="000000"/>
              </w:rPr>
              <w:t>≥2</w:t>
            </w:r>
            <w:r>
              <w:rPr>
                <w:sz w:val="24"/>
                <w:color w:val="000000"/>
              </w:rPr>
              <w:t>个</w:t>
            </w:r>
            <w:r>
              <w:rPr>
                <w:sz w:val="24"/>
                <w:color w:val="000000"/>
              </w:rPr>
              <w:t>100GB RDMA</w:t>
            </w:r>
            <w:r>
              <w:rPr>
                <w:sz w:val="24"/>
                <w:color w:val="000000"/>
              </w:rPr>
              <w:t>接口</w:t>
            </w:r>
            <w:r>
              <w:rPr>
                <w:sz w:val="24"/>
                <w:color w:val="000000"/>
              </w:rPr>
              <w:t>)</w:t>
            </w:r>
            <w:r>
              <w:rPr>
                <w:sz w:val="24"/>
                <w:color w:val="000000"/>
              </w:rPr>
              <w:t>，配置</w:t>
            </w:r>
            <w:r>
              <w:rPr>
                <w:sz w:val="24"/>
                <w:color w:val="000000"/>
              </w:rPr>
              <w:t>≥18*3.8TB SSD</w:t>
            </w:r>
            <w:r>
              <w:rPr>
                <w:sz w:val="24"/>
                <w:color w:val="000000"/>
              </w:rPr>
              <w:t>，冗余电源（提供产品彩页或制造商的技术白皮书或技术参数说明等相关佐证材料）。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w:t>
            </w:r>
            <w:r>
              <w:rPr>
                <w:sz w:val="24"/>
                <w:color w:val="000000"/>
              </w:rPr>
              <w:t>大</w:t>
            </w:r>
            <w:r>
              <w:rPr>
                <w:sz w:val="24"/>
                <w:color w:val="000000"/>
              </w:rPr>
              <w:t>容量</w:t>
            </w:r>
            <w:r>
              <w:rPr>
                <w:sz w:val="24"/>
                <w:color w:val="000000"/>
              </w:rPr>
              <w:t>要求：</w:t>
            </w:r>
            <w:r>
              <w:rPr>
                <w:sz w:val="24"/>
                <w:color w:val="000000"/>
              </w:rPr>
              <w:t>含</w:t>
            </w:r>
            <w:r>
              <w:rPr>
                <w:sz w:val="24"/>
                <w:color w:val="000000"/>
              </w:rPr>
              <w:t>2</w:t>
            </w:r>
            <w:r>
              <w:rPr>
                <w:sz w:val="24"/>
                <w:color w:val="000000"/>
              </w:rPr>
              <w:t>个高可用控制器</w:t>
            </w:r>
            <w:r>
              <w:rPr>
                <w:sz w:val="24"/>
                <w:color w:val="000000"/>
              </w:rPr>
              <w:t>(</w:t>
            </w:r>
            <w:r>
              <w:rPr>
                <w:sz w:val="24"/>
                <w:color w:val="000000"/>
              </w:rPr>
              <w:t>单控制器配置</w:t>
            </w:r>
            <w:r>
              <w:rPr>
                <w:sz w:val="24"/>
                <w:color w:val="000000"/>
              </w:rPr>
              <w:t>≥1</w:t>
            </w:r>
            <w:r>
              <w:rPr>
                <w:sz w:val="24"/>
                <w:color w:val="000000"/>
              </w:rPr>
              <w:t>个</w:t>
            </w:r>
            <w:r>
              <w:rPr>
                <w:sz w:val="24"/>
                <w:color w:val="000000"/>
              </w:rPr>
              <w:t>ASIC</w:t>
            </w:r>
            <w:r>
              <w:rPr>
                <w:sz w:val="24"/>
                <w:color w:val="000000"/>
              </w:rPr>
              <w:t>芯片，</w:t>
            </w:r>
            <w:r>
              <w:rPr>
                <w:sz w:val="24"/>
                <w:color w:val="000000"/>
              </w:rPr>
              <w:t>≥8GB</w:t>
            </w:r>
            <w:r>
              <w:rPr>
                <w:sz w:val="24"/>
                <w:color w:val="000000"/>
              </w:rPr>
              <w:t>缓存，</w:t>
            </w:r>
            <w:r>
              <w:rPr>
                <w:sz w:val="24"/>
                <w:color w:val="000000"/>
              </w:rPr>
              <w:t>≥2</w:t>
            </w:r>
            <w:r>
              <w:rPr>
                <w:sz w:val="24"/>
                <w:color w:val="000000"/>
              </w:rPr>
              <w:t>个</w:t>
            </w:r>
            <w:r>
              <w:rPr>
                <w:sz w:val="24"/>
                <w:color w:val="000000"/>
              </w:rPr>
              <w:t>100GB RDMA</w:t>
            </w:r>
            <w:r>
              <w:rPr>
                <w:sz w:val="24"/>
                <w:color w:val="000000"/>
              </w:rPr>
              <w:t>接口</w:t>
            </w:r>
            <w:r>
              <w:rPr>
                <w:sz w:val="24"/>
                <w:color w:val="000000"/>
              </w:rPr>
              <w:t>)</w:t>
            </w:r>
            <w:r>
              <w:rPr>
                <w:sz w:val="24"/>
                <w:color w:val="000000"/>
              </w:rPr>
              <w:t>，配置</w:t>
            </w:r>
            <w:r>
              <w:rPr>
                <w:sz w:val="24"/>
                <w:color w:val="000000"/>
              </w:rPr>
              <w:t>≥24*16TB NL_SAS HDD</w:t>
            </w:r>
            <w:r>
              <w:rPr>
                <w:sz w:val="24"/>
                <w:color w:val="000000"/>
              </w:rPr>
              <w:t>，冗余电源（提供产品彩页或制造商的技术白皮书或技术参数说明等相关佐证材料）。</w:t>
            </w:r>
          </w:p>
        </w:tc>
      </w:tr>
      <w:tr>
        <w:tc>
          <w:tcPr>
            <w:tcW w:type="dxa" w:w="2076"/>
          </w:tcPr>
          <w:p/>
        </w:tc>
        <w:tc>
          <w:tcPr>
            <w:tcW w:type="dxa" w:w="415"/>
          </w:tcPr>
          <w:p>
            <w:pPr>
              <w:pStyle w:val="null3"/>
            </w:pPr>
            <w:r>
              <w:rPr/>
              <w:t>6</w:t>
            </w:r>
          </w:p>
        </w:tc>
        <w:tc>
          <w:tcPr>
            <w:tcW w:type="dxa" w:w="5814"/>
          </w:tcPr>
          <w:p>
            <w:pPr>
              <w:pStyle w:val="null3"/>
            </w:pPr>
            <w:r>
              <w:rPr>
                <w:sz w:val="24"/>
                <w:color w:val="000000"/>
              </w:rPr>
              <w:t>容量支持</w:t>
            </w:r>
            <w:r>
              <w:rPr>
                <w:sz w:val="24"/>
                <w:color w:val="000000"/>
              </w:rPr>
              <w:t>：</w:t>
            </w:r>
            <w:r>
              <w:rPr>
                <w:sz w:val="24"/>
                <w:color w:val="000000"/>
              </w:rPr>
              <w:t>单套一体机支持</w:t>
            </w:r>
            <w:r>
              <w:rPr>
                <w:sz w:val="24"/>
                <w:color w:val="000000"/>
              </w:rPr>
              <w:t>≥720块硬件，容量≥14PB。</w:t>
            </w:r>
          </w:p>
        </w:tc>
      </w:tr>
      <w:tr>
        <w:tc>
          <w:tcPr>
            <w:tcW w:type="dxa" w:w="2076"/>
          </w:tcPr>
          <w:p/>
        </w:tc>
        <w:tc>
          <w:tcPr>
            <w:tcW w:type="dxa" w:w="415"/>
          </w:tcPr>
          <w:p>
            <w:pPr>
              <w:pStyle w:val="null3"/>
            </w:pPr>
            <w:r>
              <w:rPr/>
              <w:t>7</w:t>
            </w:r>
          </w:p>
        </w:tc>
        <w:tc>
          <w:tcPr>
            <w:tcW w:type="dxa" w:w="5814"/>
          </w:tcPr>
          <w:p>
            <w:pPr>
              <w:pStyle w:val="null3"/>
            </w:pPr>
            <w:r>
              <w:rPr>
                <w:sz w:val="24"/>
                <w:color w:val="000000"/>
              </w:rPr>
              <w:t>管理</w:t>
            </w:r>
            <w:r>
              <w:rPr>
                <w:sz w:val="24"/>
                <w:color w:val="000000"/>
              </w:rPr>
              <w:t>：</w:t>
            </w:r>
            <w:r>
              <w:rPr>
                <w:sz w:val="24"/>
                <w:color w:val="000000"/>
              </w:rPr>
              <w:t>支持计算容器的生命周期管理，如创建、编辑、</w:t>
            </w:r>
            <w:r>
              <w:rPr>
                <w:sz w:val="24"/>
                <w:color w:val="000000"/>
              </w:rPr>
              <w:t>HA等，支持容器镜像管理。</w:t>
            </w:r>
          </w:p>
        </w:tc>
      </w:tr>
      <w:tr>
        <w:tc>
          <w:tcPr>
            <w:tcW w:type="dxa" w:w="2076"/>
          </w:tcPr>
          <w:p/>
        </w:tc>
        <w:tc>
          <w:tcPr>
            <w:tcW w:type="dxa" w:w="415"/>
          </w:tcPr>
          <w:p>
            <w:pPr>
              <w:pStyle w:val="null3"/>
            </w:pPr>
            <w:r>
              <w:rPr/>
              <w:t>8</w:t>
            </w:r>
          </w:p>
        </w:tc>
        <w:tc>
          <w:tcPr>
            <w:tcW w:type="dxa" w:w="5814"/>
          </w:tcPr>
          <w:p>
            <w:pPr>
              <w:pStyle w:val="null3"/>
            </w:pPr>
            <w:r>
              <w:rPr>
                <w:sz w:val="24"/>
                <w:color w:val="000000"/>
              </w:rPr>
              <w:t>IO扩展能力</w:t>
            </w:r>
            <w:r>
              <w:rPr>
                <w:sz w:val="24"/>
                <w:color w:val="000000"/>
              </w:rPr>
              <w:t>：</w:t>
            </w:r>
            <w:r>
              <w:rPr>
                <w:sz w:val="24"/>
                <w:color w:val="000000"/>
              </w:rPr>
              <w:t>计算节点配置</w:t>
            </w:r>
            <w:r>
              <w:rPr>
                <w:sz w:val="24"/>
                <w:color w:val="000000"/>
              </w:rPr>
              <w:t>＞</w:t>
            </w:r>
            <w:r>
              <w:rPr>
                <w:sz w:val="24"/>
                <w:color w:val="000000"/>
              </w:rPr>
              <w:t>8个空白 PCIE 插槽(不包含已占用的槽位)，用于主机接口扩展。</w:t>
            </w:r>
          </w:p>
        </w:tc>
      </w:tr>
      <w:tr>
        <w:tc>
          <w:tcPr>
            <w:tcW w:type="dxa" w:w="2076"/>
          </w:tcPr>
          <w:p/>
        </w:tc>
        <w:tc>
          <w:tcPr>
            <w:tcW w:type="dxa" w:w="415"/>
          </w:tcPr>
          <w:p>
            <w:pPr>
              <w:pStyle w:val="null3"/>
            </w:pPr>
            <w:r>
              <w:rPr/>
              <w:t>9</w:t>
            </w:r>
          </w:p>
        </w:tc>
        <w:tc>
          <w:tcPr>
            <w:tcW w:type="dxa" w:w="5814"/>
          </w:tcPr>
          <w:p>
            <w:pPr>
              <w:pStyle w:val="null3"/>
            </w:pPr>
            <w:r>
              <w:rPr>
                <w:sz w:val="24"/>
                <w:color w:val="000000"/>
              </w:rPr>
              <w:t>存储协议</w:t>
            </w:r>
            <w:r>
              <w:rPr>
                <w:sz w:val="24"/>
                <w:color w:val="000000"/>
              </w:rPr>
              <w:t>：</w:t>
            </w:r>
          </w:p>
          <w:p>
            <w:pPr>
              <w:pStyle w:val="null3"/>
            </w:pPr>
            <w:r>
              <w:rPr>
                <w:sz w:val="24"/>
                <w:color w:val="000000"/>
              </w:rPr>
              <w:t>（</w:t>
            </w:r>
            <w:r>
              <w:rPr>
                <w:sz w:val="24"/>
                <w:color w:val="000000"/>
              </w:rPr>
              <w:t>1）支持：NFS、CIFS、S3、FC、ISCSI、NVME OVER FC、NVME OVER TCP、RDMA；</w:t>
            </w:r>
          </w:p>
          <w:p>
            <w:pPr>
              <w:pStyle w:val="null3"/>
            </w:pPr>
            <w:r>
              <w:rPr>
                <w:sz w:val="24"/>
                <w:color w:val="000000"/>
              </w:rPr>
              <w:t>（</w:t>
            </w:r>
            <w:r>
              <w:rPr>
                <w:sz w:val="24"/>
                <w:color w:val="000000"/>
              </w:rPr>
              <w:t>2）支持NAS多协议访问：NFS、CIFS、S3同时、原生地访问同一底层数卷。</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4"/>
              </w:rPr>
              <w:t>▲</w:t>
            </w:r>
            <w:r>
              <w:rPr>
                <w:sz w:val="24"/>
                <w:color w:val="000000"/>
              </w:rPr>
              <w:t>RAID容错</w:t>
            </w:r>
            <w:r>
              <w:rPr>
                <w:sz w:val="24"/>
                <w:color w:val="000000"/>
              </w:rPr>
              <w:t>：</w:t>
            </w:r>
          </w:p>
          <w:p>
            <w:pPr>
              <w:pStyle w:val="null3"/>
            </w:pPr>
            <w:r>
              <w:rPr>
                <w:sz w:val="24"/>
                <w:color w:val="000000"/>
              </w:rPr>
              <w:t>（</w:t>
            </w:r>
            <w:r>
              <w:rPr>
                <w:sz w:val="24"/>
                <w:color w:val="000000"/>
              </w:rPr>
              <w:t>1）支持RAID-TP在同一个RAID组内容忍任意3盘同时失效，数据不丢且不中断业务；</w:t>
            </w:r>
          </w:p>
          <w:p>
            <w:pPr>
              <w:pStyle w:val="null3"/>
            </w:pPr>
            <w:r>
              <w:rPr>
                <w:sz w:val="24"/>
                <w:color w:val="000000"/>
              </w:rPr>
              <w:t>（</w:t>
            </w:r>
            <w:r>
              <w:rPr>
                <w:sz w:val="24"/>
                <w:color w:val="000000"/>
              </w:rPr>
              <w:t>2）支持在RAID-TP的基础上提供不低于RAID10的数据延迟性能</w:t>
            </w:r>
            <w:r>
              <w:rPr>
                <w:sz w:val="24"/>
                <w:color w:val="000000"/>
              </w:rPr>
              <w:t>（提供产品彩页或制造商的技术白皮书或技术参数说明等相关佐证材料）</w:t>
            </w:r>
            <w:r>
              <w:rPr>
                <w:sz w:val="24"/>
                <w:color w:val="000000"/>
              </w:rPr>
              <w:t>。</w:t>
            </w:r>
          </w:p>
        </w:tc>
      </w:tr>
      <w:tr>
        <w:tc>
          <w:tcPr>
            <w:tcW w:type="dxa" w:w="2076"/>
          </w:tcPr>
          <w:p/>
        </w:tc>
        <w:tc>
          <w:tcPr>
            <w:tcW w:type="dxa" w:w="415"/>
          </w:tcPr>
          <w:p>
            <w:pPr>
              <w:pStyle w:val="null3"/>
            </w:pPr>
            <w:r>
              <w:rPr/>
              <w:t>11</w:t>
            </w:r>
          </w:p>
        </w:tc>
        <w:tc>
          <w:tcPr>
            <w:tcW w:type="dxa" w:w="5814"/>
          </w:tcPr>
          <w:p>
            <w:pPr>
              <w:pStyle w:val="null3"/>
            </w:pPr>
            <w:r>
              <w:rPr>
                <w:sz w:val="24"/>
                <w:color w:val="000000"/>
              </w:rPr>
              <w:t>存储副本冗余</w:t>
            </w:r>
            <w:r>
              <w:rPr>
                <w:sz w:val="24"/>
                <w:color w:val="000000"/>
              </w:rPr>
              <w:t>：</w:t>
            </w:r>
            <w:r>
              <w:rPr>
                <w:sz w:val="24"/>
                <w:color w:val="000000"/>
              </w:rPr>
              <w:t>支持</w:t>
            </w:r>
            <w:r>
              <w:rPr>
                <w:sz w:val="24"/>
                <w:color w:val="000000"/>
              </w:rPr>
              <w:t>2副本或者3副本冗余配置</w:t>
            </w:r>
            <w:r>
              <w:rPr>
                <w:sz w:val="24"/>
                <w:color w:val="000000"/>
              </w:rPr>
              <w:t>。</w:t>
            </w:r>
          </w:p>
        </w:tc>
      </w:tr>
      <w:tr>
        <w:tc>
          <w:tcPr>
            <w:tcW w:type="dxa" w:w="2076"/>
          </w:tcPr>
          <w:p/>
        </w:tc>
        <w:tc>
          <w:tcPr>
            <w:tcW w:type="dxa" w:w="415"/>
          </w:tcPr>
          <w:p>
            <w:pPr>
              <w:pStyle w:val="null3"/>
            </w:pPr>
            <w:r>
              <w:rPr/>
              <w:t>12</w:t>
            </w:r>
          </w:p>
        </w:tc>
        <w:tc>
          <w:tcPr>
            <w:tcW w:type="dxa" w:w="5814"/>
          </w:tcPr>
          <w:p>
            <w:pPr>
              <w:pStyle w:val="null3"/>
            </w:pPr>
            <w:r>
              <w:rPr>
                <w:sz w:val="24"/>
              </w:rPr>
              <w:t>精简配置：</w:t>
            </w:r>
            <w:r>
              <w:rPr>
                <w:sz w:val="24"/>
                <w:color w:val="000000"/>
              </w:rPr>
              <w:t>通过将存储容量按需分配，精简配置能够提高存储资源的利用率，降低存储成本，并减少环境对存储的压力。</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rPr>
              <w:t>▲</w:t>
            </w:r>
            <w:r>
              <w:rPr>
                <w:sz w:val="24"/>
                <w:color w:val="000000"/>
              </w:rPr>
              <w:t>文件服务功能</w:t>
            </w:r>
            <w:r>
              <w:rPr>
                <w:sz w:val="24"/>
                <w:color w:val="000000"/>
              </w:rPr>
              <w:t>：</w:t>
            </w:r>
            <w:r>
              <w:rPr>
                <w:sz w:val="24"/>
                <w:color w:val="000000"/>
              </w:rPr>
              <w:t>支持并可创建</w:t>
            </w:r>
            <w:r>
              <w:rPr>
                <w:sz w:val="24"/>
                <w:color w:val="000000"/>
              </w:rPr>
              <w:t>≥300TB单卷NAS文件系统，支持并可创建≥60 PB分布式NAS卷，可提供高性能以及自动负载分布和可扩展性。一个分布式NAS卷包含多个成员卷</w:t>
            </w:r>
            <w:r>
              <w:rPr>
                <w:sz w:val="24"/>
                <w:color w:val="000000"/>
              </w:rPr>
              <w:t>、这些卷可</w:t>
            </w:r>
            <w:r>
              <w:rPr>
                <w:sz w:val="24"/>
                <w:color w:val="000000"/>
              </w:rPr>
              <w:t>自动透明平衡容量，提供线性性能负载（卷成员越多性</w:t>
            </w:r>
            <w:r>
              <w:rPr>
                <w:sz w:val="24"/>
                <w:color w:val="000000"/>
              </w:rPr>
              <w:t>能应越</w:t>
            </w:r>
            <w:r>
              <w:rPr>
                <w:sz w:val="24"/>
                <w:color w:val="000000"/>
              </w:rPr>
              <w:t>高）。</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14</w:t>
            </w:r>
          </w:p>
        </w:tc>
        <w:tc>
          <w:tcPr>
            <w:tcW w:type="dxa" w:w="5814"/>
          </w:tcPr>
          <w:p>
            <w:pPr>
              <w:pStyle w:val="null3"/>
            </w:pPr>
            <w:r>
              <w:rPr>
                <w:sz w:val="24"/>
                <w:color w:val="000000"/>
              </w:rPr>
              <w:t>块存储功能</w:t>
            </w:r>
            <w:r>
              <w:rPr>
                <w:sz w:val="24"/>
                <w:color w:val="000000"/>
              </w:rPr>
              <w:t>：</w:t>
            </w:r>
            <w:r>
              <w:rPr>
                <w:sz w:val="24"/>
                <w:color w:val="000000"/>
              </w:rPr>
              <w:t>支持并可创建</w:t>
            </w:r>
            <w:r>
              <w:rPr>
                <w:sz w:val="24"/>
                <w:color w:val="000000"/>
              </w:rPr>
              <w:t>≥128TB块存储LUN。</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4"/>
              </w:rPr>
              <w:t>▲</w:t>
            </w:r>
            <w:r>
              <w:rPr>
                <w:sz w:val="24"/>
                <w:color w:val="000000"/>
              </w:rPr>
              <w:t>无损快照</w:t>
            </w:r>
            <w:r>
              <w:rPr>
                <w:sz w:val="24"/>
                <w:color w:val="000000"/>
              </w:rPr>
              <w:t>：</w:t>
            </w:r>
          </w:p>
          <w:p>
            <w:pPr>
              <w:pStyle w:val="null3"/>
            </w:pPr>
            <w:r>
              <w:rPr>
                <w:sz w:val="24"/>
                <w:color w:val="000000"/>
              </w:rPr>
              <w:t>（</w:t>
            </w:r>
            <w:r>
              <w:rPr>
                <w:sz w:val="24"/>
                <w:color w:val="000000"/>
              </w:rPr>
              <w:t>1）能在大容量机械盘的前提下提供无损快照功能，性能不因开启快照而下降；</w:t>
            </w:r>
          </w:p>
          <w:p>
            <w:pPr>
              <w:pStyle w:val="null3"/>
            </w:pPr>
            <w:r>
              <w:rPr>
                <w:sz w:val="24"/>
                <w:color w:val="000000"/>
              </w:rPr>
              <w:t>（</w:t>
            </w:r>
            <w:r>
              <w:rPr>
                <w:sz w:val="24"/>
                <w:color w:val="000000"/>
              </w:rPr>
              <w:t>2）支持单LUN≥2千个快照；</w:t>
            </w:r>
          </w:p>
          <w:p>
            <w:pPr>
              <w:pStyle w:val="null3"/>
            </w:pPr>
            <w:r>
              <w:rPr>
                <w:sz w:val="24"/>
                <w:color w:val="000000"/>
              </w:rPr>
              <w:t>（</w:t>
            </w:r>
            <w:r>
              <w:rPr>
                <w:sz w:val="24"/>
                <w:color w:val="000000"/>
              </w:rPr>
              <w:t>3）支持每5秒做一次快照备份；</w:t>
            </w:r>
          </w:p>
          <w:p>
            <w:pPr>
              <w:pStyle w:val="null3"/>
            </w:pPr>
            <w:r>
              <w:rPr>
                <w:sz w:val="24"/>
                <w:color w:val="000000"/>
              </w:rPr>
              <w:t>（</w:t>
            </w:r>
            <w:r>
              <w:rPr>
                <w:sz w:val="24"/>
                <w:color w:val="000000"/>
              </w:rPr>
              <w:t>4）支持快照一致性组</w:t>
            </w:r>
            <w:r>
              <w:rPr>
                <w:sz w:val="24"/>
                <w:color w:val="000000"/>
              </w:rPr>
              <w:t>（提供产品彩页或制造商的技术白皮书或技术参数说明等相关佐证材料）</w:t>
            </w:r>
            <w:r>
              <w:rPr>
                <w:sz w:val="24"/>
                <w:color w:val="000000"/>
              </w:rPr>
              <w:t>。</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4"/>
              </w:rPr>
              <w:t>▲</w:t>
            </w:r>
            <w:r>
              <w:rPr>
                <w:sz w:val="24"/>
                <w:color w:val="000000"/>
              </w:rPr>
              <w:t>数据合规</w:t>
            </w:r>
            <w:r>
              <w:rPr>
                <w:sz w:val="24"/>
                <w:color w:val="000000"/>
              </w:rPr>
              <w:t>：</w:t>
            </w:r>
          </w:p>
          <w:p>
            <w:pPr>
              <w:pStyle w:val="null3"/>
            </w:pPr>
            <w:r>
              <w:rPr>
                <w:sz w:val="24"/>
                <w:color w:val="000000"/>
              </w:rPr>
              <w:t>（</w:t>
            </w:r>
            <w:r>
              <w:rPr>
                <w:sz w:val="24"/>
                <w:color w:val="000000"/>
              </w:rPr>
              <w:t>1）支持worm数据合规；</w:t>
            </w:r>
          </w:p>
          <w:p>
            <w:pPr>
              <w:pStyle w:val="null3"/>
            </w:pPr>
            <w:r>
              <w:rPr>
                <w:sz w:val="24"/>
                <w:color w:val="000000"/>
              </w:rPr>
              <w:t>（</w:t>
            </w:r>
            <w:r>
              <w:rPr>
                <w:sz w:val="24"/>
                <w:color w:val="000000"/>
              </w:rPr>
              <w:t>2）支持基于worm数据合规的快照副本保留</w:t>
            </w:r>
            <w:r>
              <w:rPr>
                <w:sz w:val="24"/>
                <w:color w:val="000000"/>
              </w:rPr>
              <w:t>（提供产品彩页或制造商的技术白皮书或技术参数说明等相关佐证材料）</w:t>
            </w:r>
            <w:r>
              <w:rPr>
                <w:sz w:val="24"/>
                <w:color w:val="000000"/>
              </w:rPr>
              <w:t>。</w:t>
            </w:r>
          </w:p>
        </w:tc>
      </w:tr>
      <w:tr>
        <w:tc>
          <w:tcPr>
            <w:tcW w:type="dxa" w:w="2076"/>
          </w:tcPr>
          <w:p/>
        </w:tc>
        <w:tc>
          <w:tcPr>
            <w:tcW w:type="dxa" w:w="415"/>
          </w:tcPr>
          <w:p>
            <w:pPr>
              <w:pStyle w:val="null3"/>
            </w:pPr>
            <w:r>
              <w:rPr/>
              <w:t>17</w:t>
            </w:r>
          </w:p>
        </w:tc>
        <w:tc>
          <w:tcPr>
            <w:tcW w:type="dxa" w:w="5814"/>
          </w:tcPr>
          <w:p>
            <w:pPr>
              <w:pStyle w:val="null3"/>
            </w:pPr>
            <w:r>
              <w:rPr>
                <w:sz w:val="24"/>
                <w:color w:val="000000"/>
              </w:rPr>
              <w:t>数据克隆</w:t>
            </w:r>
            <w:r>
              <w:rPr>
                <w:sz w:val="24"/>
                <w:color w:val="000000"/>
              </w:rPr>
              <w:t>：</w:t>
            </w:r>
          </w:p>
          <w:p>
            <w:pPr>
              <w:pStyle w:val="null3"/>
            </w:pPr>
            <w:r>
              <w:rPr>
                <w:sz w:val="24"/>
                <w:color w:val="000000"/>
              </w:rPr>
              <w:t>（</w:t>
            </w:r>
            <w:r>
              <w:rPr>
                <w:sz w:val="24"/>
                <w:color w:val="000000"/>
              </w:rPr>
              <w:t>1）支持克隆功能，可为快照和源 LUN提供一个实体副本；</w:t>
            </w:r>
          </w:p>
          <w:p>
            <w:pPr>
              <w:pStyle w:val="null3"/>
            </w:pPr>
            <w:r>
              <w:rPr>
                <w:sz w:val="24"/>
                <w:color w:val="000000"/>
              </w:rPr>
              <w:t>（</w:t>
            </w:r>
            <w:r>
              <w:rPr>
                <w:sz w:val="24"/>
                <w:color w:val="000000"/>
              </w:rPr>
              <w:t>2）支持克隆立即可用、克隆一致性组、级联克隆、正向和反向同步；</w:t>
            </w:r>
          </w:p>
          <w:p>
            <w:pPr>
              <w:pStyle w:val="null3"/>
            </w:pPr>
            <w:r>
              <w:rPr>
                <w:sz w:val="24"/>
                <w:color w:val="000000"/>
              </w:rPr>
              <w:t>（</w:t>
            </w:r>
            <w:r>
              <w:rPr>
                <w:sz w:val="24"/>
                <w:color w:val="000000"/>
              </w:rPr>
              <w:t>3）支持克隆分离为实体副本。</w:t>
            </w:r>
          </w:p>
        </w:tc>
      </w:tr>
      <w:tr>
        <w:tc>
          <w:tcPr>
            <w:tcW w:type="dxa" w:w="2076"/>
          </w:tcPr>
          <w:p/>
        </w:tc>
        <w:tc>
          <w:tcPr>
            <w:tcW w:type="dxa" w:w="415"/>
          </w:tcPr>
          <w:p>
            <w:pPr>
              <w:pStyle w:val="null3"/>
            </w:pPr>
            <w:r>
              <w:rPr/>
              <w:t>18</w:t>
            </w:r>
          </w:p>
        </w:tc>
        <w:tc>
          <w:tcPr>
            <w:tcW w:type="dxa" w:w="5814"/>
          </w:tcPr>
          <w:p>
            <w:pPr>
              <w:pStyle w:val="null3"/>
            </w:pPr>
            <w:r>
              <w:rPr>
                <w:sz w:val="24"/>
                <w:color w:val="000000"/>
              </w:rPr>
              <w:t>机器学习和人工智能</w:t>
            </w:r>
            <w:r>
              <w:rPr>
                <w:sz w:val="24"/>
                <w:color w:val="000000"/>
              </w:rPr>
              <w:t>：</w:t>
            </w:r>
            <w:r>
              <w:rPr>
                <w:sz w:val="24"/>
                <w:color w:val="000000"/>
              </w:rPr>
              <w:t>支持并配置存储机器学习和智能预测软件，可以基于存储的系统健康状态，资源使用情况等作出趋势分析预测以及智能的资源负载均衡告警提醒，促使业务数据存储卷空间更加智能的均衡分布和运行</w:t>
            </w:r>
            <w:r>
              <w:rPr>
                <w:sz w:val="24"/>
                <w:color w:val="000000"/>
              </w:rPr>
              <w:t>。</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4"/>
              </w:rPr>
              <w:t>▲</w:t>
            </w:r>
            <w:r>
              <w:rPr>
                <w:sz w:val="24"/>
                <w:color w:val="000000"/>
              </w:rPr>
              <w:t>数据分层存储</w:t>
            </w:r>
            <w:r>
              <w:rPr>
                <w:sz w:val="24"/>
                <w:color w:val="000000"/>
              </w:rPr>
              <w:t>：</w:t>
            </w:r>
            <w:r>
              <w:rPr>
                <w:sz w:val="24"/>
                <w:color w:val="000000"/>
              </w:rPr>
              <w:t>数据分层存储可将块分为热块或冷块、并将其放置在最合适的存储层中，通过数据保持策略：如</w:t>
            </w:r>
            <w:r>
              <w:rPr>
                <w:sz w:val="24"/>
                <w:color w:val="000000"/>
              </w:rPr>
              <w:t>90天期限内会保留在SSD性能层上，但是如果在90天内未访问任何内容、则会将其重新定位到容量层。</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20</w:t>
            </w:r>
          </w:p>
        </w:tc>
        <w:tc>
          <w:tcPr>
            <w:tcW w:type="dxa" w:w="5814"/>
          </w:tcPr>
          <w:p>
            <w:pPr>
              <w:pStyle w:val="null3"/>
            </w:pPr>
            <w:r>
              <w:rPr>
                <w:sz w:val="24"/>
                <w:color w:val="000000"/>
              </w:rPr>
              <w:t>副本管理</w:t>
            </w:r>
            <w:r>
              <w:rPr>
                <w:sz w:val="24"/>
                <w:color w:val="000000"/>
              </w:rPr>
              <w:t>CDM</w:t>
            </w:r>
            <w:r>
              <w:rPr>
                <w:sz w:val="24"/>
                <w:color w:val="000000"/>
              </w:rPr>
              <w:t>：</w:t>
            </w:r>
            <w:r>
              <w:rPr>
                <w:sz w:val="24"/>
                <w:color w:val="000000"/>
              </w:rPr>
              <w:t>配置应用感知到的数据副本管理软件，</w:t>
            </w:r>
            <w:r>
              <w:rPr>
                <w:sz w:val="24"/>
                <w:color w:val="000000"/>
              </w:rPr>
              <w:t>至少支</w:t>
            </w:r>
            <w:r>
              <w:rPr>
                <w:sz w:val="24"/>
                <w:color w:val="000000"/>
              </w:rPr>
              <w:t>持</w:t>
            </w:r>
            <w:r>
              <w:rPr>
                <w:sz w:val="24"/>
                <w:color w:val="000000"/>
              </w:rPr>
              <w:t>Oracle</w:t>
            </w:r>
            <w:r>
              <w:rPr>
                <w:sz w:val="24"/>
                <w:color w:val="000000"/>
              </w:rPr>
              <w:t>，</w:t>
            </w:r>
            <w:r>
              <w:rPr>
                <w:sz w:val="24"/>
                <w:color w:val="000000"/>
              </w:rPr>
              <w:t>SQL Server</w:t>
            </w:r>
            <w:r>
              <w:rPr>
                <w:sz w:val="24"/>
                <w:color w:val="000000"/>
              </w:rPr>
              <w:t>，</w:t>
            </w:r>
            <w:r>
              <w:rPr>
                <w:sz w:val="24"/>
                <w:color w:val="000000"/>
              </w:rPr>
              <w:t xml:space="preserve"> </w:t>
            </w:r>
            <w:r>
              <w:rPr>
                <w:sz w:val="24"/>
                <w:color w:val="000000"/>
              </w:rPr>
              <w:t>Mysql等主流应用环境，实现副本自动化创建与挂接，刷新等操作，应用管理员可直接对应用使用的数据卷进行快照克隆日程定制化，并可在主机挂载用于数据分析，备份恢复和测试开发等用途。</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sz w:val="24"/>
              </w:rPr>
              <w:t>▲</w:t>
            </w:r>
            <w:r>
              <w:rPr>
                <w:sz w:val="24"/>
                <w:color w:val="000000"/>
              </w:rPr>
              <w:t>在线重复数据删除技术</w:t>
            </w:r>
            <w:r>
              <w:rPr>
                <w:sz w:val="24"/>
                <w:color w:val="000000"/>
              </w:rPr>
              <w:t>：</w:t>
            </w:r>
            <w:r>
              <w:rPr>
                <w:sz w:val="24"/>
                <w:color w:val="000000"/>
              </w:rPr>
              <w:t>支持并配置在线重复数据删除技术，在同时启用压缩和消重功能的情况下，存储整体性能无任何下降。</w:t>
            </w:r>
            <w:r>
              <w:rPr>
                <w:sz w:val="24"/>
                <w:color w:val="000000"/>
              </w:rPr>
              <w:t>（提供产品彩页或制造商的技术白皮书或技术参数说明等相关佐证材料）</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4"/>
              </w:rPr>
              <w:t>▲</w:t>
            </w:r>
            <w:r>
              <w:rPr>
                <w:sz w:val="24"/>
                <w:color w:val="000000"/>
              </w:rPr>
              <w:t>在线数据压缩技术</w:t>
            </w:r>
            <w:r>
              <w:rPr>
                <w:sz w:val="24"/>
                <w:color w:val="000000"/>
              </w:rPr>
              <w:t>：</w:t>
            </w:r>
            <w:r>
              <w:rPr>
                <w:sz w:val="24"/>
                <w:color w:val="000000"/>
              </w:rPr>
              <w:t>支持并配置在线数据压缩，在同时启用压缩和消重功能的情况下，存储整体性能无任何下降。</w:t>
            </w:r>
            <w:r>
              <w:rPr>
                <w:sz w:val="24"/>
                <w:color w:val="000000"/>
              </w:rPr>
              <w:t>（提供产品彩页或制造商的技术白皮书或技术参数说明等相关佐证材料）</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4"/>
              </w:rPr>
              <w:t>▲</w:t>
            </w:r>
            <w:r>
              <w:rPr>
                <w:sz w:val="24"/>
                <w:color w:val="000000"/>
              </w:rPr>
              <w:t>数据效率</w:t>
            </w:r>
            <w:r>
              <w:rPr>
                <w:sz w:val="24"/>
                <w:color w:val="000000"/>
              </w:rPr>
              <w:t>：</w:t>
            </w:r>
            <w:r>
              <w:rPr>
                <w:sz w:val="24"/>
                <w:color w:val="000000"/>
              </w:rPr>
              <w:t>在同时启用压缩和消重功能的情况</w:t>
            </w:r>
            <w:r>
              <w:rPr>
                <w:sz w:val="24"/>
                <w:color w:val="000000"/>
              </w:rPr>
              <w:t>下至少提供</w:t>
            </w:r>
            <w:r>
              <w:rPr>
                <w:sz w:val="24"/>
                <w:color w:val="000000"/>
              </w:rPr>
              <w:t>5</w:t>
            </w:r>
            <w:r>
              <w:rPr>
                <w:sz w:val="24"/>
                <w:color w:val="000000"/>
              </w:rPr>
              <w:t>：</w:t>
            </w:r>
            <w:r>
              <w:rPr>
                <w:sz w:val="24"/>
                <w:color w:val="000000"/>
              </w:rPr>
              <w:t>1数据缩减保障。</w:t>
            </w:r>
            <w:r>
              <w:rPr>
                <w:sz w:val="24"/>
                <w:color w:val="000000"/>
              </w:rPr>
              <w:t>（提供产品彩页或制造商的技术白皮书或技术参数说明等相关佐证材料）</w:t>
            </w:r>
          </w:p>
        </w:tc>
      </w:tr>
      <w:tr>
        <w:tc>
          <w:tcPr>
            <w:tcW w:type="dxa" w:w="2076"/>
          </w:tcPr>
          <w:p/>
        </w:tc>
        <w:tc>
          <w:tcPr>
            <w:tcW w:type="dxa" w:w="415"/>
          </w:tcPr>
          <w:p>
            <w:pPr>
              <w:pStyle w:val="null3"/>
            </w:pPr>
            <w:r>
              <w:rPr/>
              <w:t>24</w:t>
            </w:r>
          </w:p>
        </w:tc>
        <w:tc>
          <w:tcPr>
            <w:tcW w:type="dxa" w:w="5814"/>
          </w:tcPr>
          <w:p>
            <w:pPr>
              <w:pStyle w:val="null3"/>
            </w:pPr>
            <w:r>
              <w:rPr>
                <w:sz w:val="24"/>
                <w:color w:val="000000"/>
              </w:rPr>
              <w:t>异构存储虚拟化</w:t>
            </w:r>
            <w:r>
              <w:rPr>
                <w:sz w:val="24"/>
                <w:color w:val="000000"/>
              </w:rPr>
              <w:t>：</w:t>
            </w:r>
          </w:p>
          <w:p>
            <w:pPr>
              <w:pStyle w:val="null3"/>
            </w:pPr>
            <w:r>
              <w:rPr>
                <w:sz w:val="24"/>
                <w:color w:val="000000"/>
              </w:rPr>
              <w:t>（</w:t>
            </w:r>
            <w:r>
              <w:rPr>
                <w:sz w:val="24"/>
                <w:color w:val="000000"/>
              </w:rPr>
              <w:t>1</w:t>
            </w:r>
            <w:r>
              <w:rPr>
                <w:sz w:val="24"/>
                <w:color w:val="000000"/>
              </w:rPr>
              <w:t>）</w:t>
            </w:r>
            <w:r>
              <w:rPr>
                <w:sz w:val="24"/>
                <w:color w:val="000000"/>
              </w:rPr>
              <w:t>提供异构虚拟化功能，能够提供异构存储虚拟化整合功能，能接管现网异构存储，无需破坏或者改变现有数据格式构成异构资源池，进行统一的资源调配和管理。</w:t>
            </w:r>
          </w:p>
          <w:p>
            <w:pPr>
              <w:pStyle w:val="null3"/>
            </w:pPr>
            <w:r>
              <w:rPr>
                <w:sz w:val="24"/>
                <w:color w:val="000000"/>
              </w:rPr>
              <w:t>（</w:t>
            </w:r>
            <w:r>
              <w:rPr>
                <w:sz w:val="24"/>
                <w:color w:val="000000"/>
              </w:rPr>
              <w:t>2</w:t>
            </w:r>
            <w:r>
              <w:rPr>
                <w:sz w:val="24"/>
                <w:color w:val="000000"/>
              </w:rPr>
              <w:t>）</w:t>
            </w:r>
            <w:r>
              <w:rPr>
                <w:sz w:val="24"/>
                <w:color w:val="000000"/>
              </w:rPr>
              <w:t>异构虚拟化兼容业界主流存储</w:t>
            </w:r>
            <w:r>
              <w:rPr>
                <w:sz w:val="24"/>
                <w:color w:val="000000"/>
              </w:rPr>
              <w:t>(如戴尔、新华三、日历、IBM、Huawei、NetApp、浪潮等多个厂家的阵列)。</w:t>
            </w:r>
          </w:p>
        </w:tc>
      </w:tr>
      <w:tr>
        <w:tc>
          <w:tcPr>
            <w:tcW w:type="dxa" w:w="2076"/>
          </w:tcPr>
          <w:p/>
        </w:tc>
        <w:tc>
          <w:tcPr>
            <w:tcW w:type="dxa" w:w="415"/>
          </w:tcPr>
          <w:p>
            <w:pPr>
              <w:pStyle w:val="null3"/>
            </w:pPr>
            <w:r>
              <w:rPr/>
              <w:t>25</w:t>
            </w:r>
          </w:p>
        </w:tc>
        <w:tc>
          <w:tcPr>
            <w:tcW w:type="dxa" w:w="5814"/>
          </w:tcPr>
          <w:p>
            <w:pPr>
              <w:pStyle w:val="null3"/>
            </w:pPr>
            <w:r>
              <w:rPr>
                <w:sz w:val="24"/>
                <w:color w:val="000000"/>
              </w:rPr>
              <w:t>数据双活</w:t>
            </w:r>
            <w:r>
              <w:rPr>
                <w:sz w:val="24"/>
                <w:color w:val="000000"/>
              </w:rPr>
              <w:t>：</w:t>
            </w:r>
            <w:r>
              <w:rPr>
                <w:sz w:val="24"/>
                <w:color w:val="000000"/>
              </w:rPr>
              <w:t>（</w:t>
            </w:r>
            <w:r>
              <w:rPr>
                <w:sz w:val="24"/>
                <w:color w:val="000000"/>
              </w:rPr>
              <w:t>1</w:t>
            </w:r>
            <w:r>
              <w:rPr>
                <w:sz w:val="24"/>
                <w:color w:val="000000"/>
              </w:rPr>
              <w:t>）</w:t>
            </w:r>
            <w:r>
              <w:rPr>
                <w:sz w:val="24"/>
                <w:color w:val="000000"/>
              </w:rPr>
              <w:t>提供</w:t>
            </w:r>
            <w:r>
              <w:rPr>
                <w:sz w:val="24"/>
                <w:color w:val="000000"/>
              </w:rPr>
              <w:t>A-A免网关双活FC与NAS双架构</w:t>
            </w:r>
            <w:r>
              <w:rPr>
                <w:sz w:val="24"/>
                <w:color w:val="000000"/>
              </w:rPr>
              <w:t>，</w:t>
            </w:r>
            <w:r>
              <w:rPr>
                <w:sz w:val="24"/>
                <w:color w:val="000000"/>
              </w:rPr>
              <w:t>实现两套核心存</w:t>
            </w:r>
            <w:r>
              <w:rPr>
                <w:sz w:val="24"/>
                <w:color w:val="000000"/>
              </w:rPr>
              <w:t>储数据双活(主机可并发读写同一双活卷)，任何一套设备宕机均不影响上层业务系统运行。（2）</w:t>
            </w:r>
            <w:r>
              <w:rPr>
                <w:sz w:val="24"/>
                <w:color w:val="000000"/>
              </w:rPr>
              <w:t>一个站点发生故障后，另一个站点可自动快速拉起业务(秒级):一个站点故障恢复后，双活关系可自动恢复。</w:t>
            </w:r>
          </w:p>
        </w:tc>
      </w:tr>
      <w:tr>
        <w:tc>
          <w:tcPr>
            <w:tcW w:type="dxa" w:w="2076"/>
          </w:tcPr>
          <w:p/>
        </w:tc>
        <w:tc>
          <w:tcPr>
            <w:tcW w:type="dxa" w:w="415"/>
          </w:tcPr>
          <w:p>
            <w:pPr>
              <w:pStyle w:val="null3"/>
            </w:pPr>
            <w:r>
              <w:rPr/>
              <w:t>26</w:t>
            </w:r>
          </w:p>
        </w:tc>
        <w:tc>
          <w:tcPr>
            <w:tcW w:type="dxa" w:w="5814"/>
          </w:tcPr>
          <w:p>
            <w:pPr>
              <w:pStyle w:val="null3"/>
            </w:pPr>
            <w:r>
              <w:rPr>
                <w:sz w:val="24"/>
                <w:color w:val="000000"/>
              </w:rPr>
              <w:t>资源监控</w:t>
            </w:r>
            <w:r>
              <w:rPr>
                <w:sz w:val="24"/>
                <w:color w:val="000000"/>
              </w:rPr>
              <w:t>：</w:t>
            </w:r>
            <w:r>
              <w:rPr>
                <w:sz w:val="24"/>
                <w:color w:val="000000"/>
              </w:rPr>
              <w:t>支持从</w:t>
            </w:r>
            <w:r>
              <w:rPr>
                <w:sz w:val="24"/>
                <w:color w:val="000000"/>
              </w:rPr>
              <w:t>CPU、存储IO、网络IO等方面显示物理、虚拟资源的运行情况，并且可在此视图中了解物理设备与虚拟资源之间的关系，并且提供查找，定位，编辑的能力。</w:t>
            </w:r>
          </w:p>
        </w:tc>
      </w:tr>
      <w:tr>
        <w:tc>
          <w:tcPr>
            <w:tcW w:type="dxa" w:w="2076"/>
          </w:tcPr>
          <w:p/>
        </w:tc>
        <w:tc>
          <w:tcPr>
            <w:tcW w:type="dxa" w:w="415"/>
          </w:tcPr>
          <w:p>
            <w:pPr>
              <w:pStyle w:val="null3"/>
            </w:pPr>
            <w:r>
              <w:rPr/>
              <w:t>27</w:t>
            </w:r>
          </w:p>
        </w:tc>
        <w:tc>
          <w:tcPr>
            <w:tcW w:type="dxa" w:w="5814"/>
          </w:tcPr>
          <w:p>
            <w:pPr>
              <w:pStyle w:val="null3"/>
            </w:pPr>
            <w:r>
              <w:rPr>
                <w:sz w:val="24"/>
                <w:color w:val="000000"/>
              </w:rPr>
              <w:t>管理性</w:t>
            </w:r>
            <w:r>
              <w:rPr>
                <w:sz w:val="24"/>
                <w:color w:val="000000"/>
              </w:rPr>
              <w:t>：</w:t>
            </w:r>
            <w:r>
              <w:rPr>
                <w:sz w:val="24"/>
                <w:color w:val="000000"/>
              </w:rPr>
              <w:t>支持并配置</w:t>
            </w:r>
            <w:r>
              <w:rPr>
                <w:sz w:val="24"/>
                <w:color w:val="000000"/>
              </w:rPr>
              <w:t>HTML5图形化管理界面，支持并配置Rest API管理功能，支持并配置命令行管理功能。</w:t>
            </w:r>
          </w:p>
        </w:tc>
      </w:tr>
      <w:tr>
        <w:tc>
          <w:tcPr>
            <w:tcW w:type="dxa" w:w="2076"/>
          </w:tcPr>
          <w:p/>
        </w:tc>
        <w:tc>
          <w:tcPr>
            <w:tcW w:type="dxa" w:w="415"/>
          </w:tcPr>
          <w:p>
            <w:pPr>
              <w:pStyle w:val="null3"/>
            </w:pPr>
            <w:r>
              <w:rPr/>
              <w:t>28</w:t>
            </w:r>
          </w:p>
        </w:tc>
        <w:tc>
          <w:tcPr>
            <w:tcW w:type="dxa" w:w="5814"/>
          </w:tcPr>
          <w:p>
            <w:pPr>
              <w:pStyle w:val="null3"/>
            </w:pPr>
            <w:r>
              <w:rPr>
                <w:sz w:val="24"/>
                <w:color w:val="000000"/>
              </w:rPr>
              <w:t>审计与日志管理</w:t>
            </w:r>
            <w:r>
              <w:rPr>
                <w:sz w:val="24"/>
                <w:color w:val="000000"/>
              </w:rPr>
              <w:t>：</w:t>
            </w:r>
            <w:r>
              <w:rPr>
                <w:sz w:val="24"/>
                <w:color w:val="000000"/>
              </w:rPr>
              <w:t>管理员可以通过界面，查看软件平台中服务及资源使用列表，并通过日志查看用户在软件平台中的各类操作，例如创建容器、创建存储、删除存储等，便于进行审计和管理。</w:t>
            </w:r>
          </w:p>
        </w:tc>
      </w:tr>
      <w:tr>
        <w:tc>
          <w:tcPr>
            <w:tcW w:type="dxa" w:w="2076"/>
          </w:tcPr>
          <w:p/>
        </w:tc>
        <w:tc>
          <w:tcPr>
            <w:tcW w:type="dxa" w:w="415"/>
          </w:tcPr>
          <w:p>
            <w:pPr>
              <w:pStyle w:val="null3"/>
            </w:pPr>
            <w:r>
              <w:rPr/>
              <w:t>29</w:t>
            </w:r>
          </w:p>
        </w:tc>
        <w:tc>
          <w:tcPr>
            <w:tcW w:type="dxa" w:w="5814"/>
          </w:tcPr>
          <w:p>
            <w:pPr>
              <w:pStyle w:val="null3"/>
            </w:pPr>
            <w:r>
              <w:rPr>
                <w:sz w:val="24"/>
                <w:color w:val="000000"/>
              </w:rPr>
              <w:t>可靠性</w:t>
            </w:r>
            <w:r>
              <w:rPr>
                <w:sz w:val="24"/>
                <w:color w:val="000000"/>
              </w:rPr>
              <w:t>：</w:t>
            </w:r>
            <w:r>
              <w:rPr>
                <w:sz w:val="24"/>
                <w:color w:val="000000"/>
              </w:rPr>
              <w:t>支持冗余配置的部件，如：缓存、内存、控制卡、闪盘、</w:t>
            </w:r>
            <w:r>
              <w:rPr>
                <w:sz w:val="24"/>
                <w:color w:val="000000"/>
              </w:rPr>
              <w:t>RAID控制器、电源、风扇等，没有单点故障。</w:t>
            </w:r>
            <w:r>
              <w:rPr>
                <w:sz w:val="24"/>
                <w:color w:val="000000"/>
              </w:rPr>
              <w:t>支持不停机维护、</w:t>
            </w:r>
            <w:r>
              <w:rPr>
                <w:sz w:val="24"/>
                <w:color w:val="000000"/>
              </w:rPr>
              <w:t>在线调整（包括软、硬件升级、扩容、设备更换等操作）。</w:t>
            </w:r>
          </w:p>
        </w:tc>
      </w:tr>
      <w:tr>
        <w:tc>
          <w:tcPr>
            <w:tcW w:type="dxa" w:w="2076"/>
          </w:tcPr>
          <w:p/>
        </w:tc>
        <w:tc>
          <w:tcPr>
            <w:tcW w:type="dxa" w:w="415"/>
          </w:tcPr>
          <w:p>
            <w:pPr>
              <w:pStyle w:val="null3"/>
            </w:pPr>
            <w:r>
              <w:rPr/>
              <w:t>30</w:t>
            </w:r>
          </w:p>
        </w:tc>
        <w:tc>
          <w:tcPr>
            <w:tcW w:type="dxa" w:w="5814"/>
          </w:tcPr>
          <w:p>
            <w:pPr>
              <w:pStyle w:val="null3"/>
            </w:pPr>
            <w:r>
              <w:rPr>
                <w:sz w:val="24"/>
                <w:color w:val="000000"/>
              </w:rPr>
              <w:t>故障隔离和恢复</w:t>
            </w:r>
            <w:r>
              <w:rPr>
                <w:sz w:val="24"/>
                <w:color w:val="000000"/>
              </w:rPr>
              <w:t>：</w:t>
            </w:r>
            <w:r>
              <w:rPr>
                <w:sz w:val="24"/>
                <w:color w:val="000000"/>
              </w:rPr>
              <w:t>要求支持在线更换控制器、接口控制卡、磁盘、风扇、电源等部件。</w:t>
            </w:r>
          </w:p>
        </w:tc>
      </w:tr>
      <w:tr>
        <w:tc>
          <w:tcPr>
            <w:tcW w:type="dxa" w:w="2076"/>
          </w:tcPr>
          <w:p/>
        </w:tc>
        <w:tc>
          <w:tcPr>
            <w:tcW w:type="dxa" w:w="415"/>
          </w:tcPr>
          <w:p>
            <w:pPr>
              <w:pStyle w:val="null3"/>
            </w:pPr>
            <w:r>
              <w:rPr/>
              <w:t>31</w:t>
            </w:r>
          </w:p>
        </w:tc>
        <w:tc>
          <w:tcPr>
            <w:tcW w:type="dxa" w:w="5814"/>
          </w:tcPr>
          <w:p>
            <w:pPr>
              <w:pStyle w:val="null3"/>
            </w:pPr>
            <w:r>
              <w:rPr>
                <w:sz w:val="24"/>
                <w:color w:val="000000"/>
              </w:rPr>
              <w:t>支持在线升级</w:t>
            </w:r>
            <w:r>
              <w:rPr>
                <w:sz w:val="24"/>
                <w:color w:val="000000"/>
              </w:rPr>
              <w:t>：</w:t>
            </w:r>
            <w:r>
              <w:rPr>
                <w:sz w:val="24"/>
                <w:color w:val="000000"/>
              </w:rPr>
              <w:t>要求支持微码并发在线升级；支持在线增加</w:t>
            </w:r>
            <w:r>
              <w:rPr>
                <w:sz w:val="24"/>
                <w:color w:val="000000"/>
              </w:rPr>
              <w:t>SSD或HDD实现容量扩展，扩容过程无需停机无需重新做RAID。</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sz w:val="24"/>
              </w:rPr>
              <w:t>▲</w:t>
            </w:r>
            <w:r>
              <w:rPr>
                <w:sz w:val="24"/>
                <w:color w:val="000000"/>
              </w:rPr>
              <w:t>服务</w:t>
            </w:r>
            <w:r>
              <w:rPr>
                <w:sz w:val="24"/>
                <w:color w:val="000000"/>
              </w:rPr>
              <w:t>：</w:t>
            </w:r>
            <w:r>
              <w:rPr>
                <w:sz w:val="24"/>
                <w:color w:val="000000"/>
              </w:rPr>
              <w:t>原厂不少于3年7x24保修服务；原厂商现场安装服务。（提供承诺函并加盖投标人公章，格式自拟）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集成服务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color w:val="000000"/>
              </w:rPr>
              <w:t>集成服务</w:t>
            </w:r>
            <w:r>
              <w:rPr>
                <w:sz w:val="24"/>
                <w:color w:val="000000"/>
              </w:rPr>
              <w:t>：</w:t>
            </w:r>
          </w:p>
          <w:p>
            <w:pPr>
              <w:pStyle w:val="null3"/>
            </w:pPr>
            <w:r>
              <w:rPr>
                <w:sz w:val="24"/>
                <w:color w:val="000000"/>
              </w:rPr>
              <w:t>1、</w:t>
            </w:r>
            <w:r>
              <w:rPr>
                <w:sz w:val="24"/>
                <w:color w:val="000000"/>
              </w:rPr>
              <w:t>医院病案无纸化数据的迁移、集成等工作：医院病案无纸化数据零停机从旧硬件系统迁移至新硬件系统，保障病案数据安全稳定运行，原病案无纸化数据迁移、数据备份以及涉及病案业务系统部署、迁移和优化；免费配合用户后续系统架构调整、应急演练、数据迁移、系统安装等服务工作。</w:t>
            </w:r>
            <w:r>
              <w:rPr>
                <w:sz w:val="24"/>
                <w:color w:val="000000"/>
              </w:rPr>
              <w:t>（提供承诺函并加盖投标人公章</w:t>
            </w:r>
            <w:r>
              <w:rPr>
                <w:sz w:val="24"/>
                <w:color w:val="000000"/>
              </w:rPr>
              <w:t>，格式自拟</w:t>
            </w:r>
            <w:r>
              <w:rPr>
                <w:sz w:val="24"/>
                <w:color w:val="000000"/>
              </w:rPr>
              <w:t>）</w:t>
            </w:r>
          </w:p>
          <w:p>
            <w:pPr>
              <w:pStyle w:val="null3"/>
            </w:pPr>
            <w:r>
              <w:rPr>
                <w:sz w:val="24"/>
                <w:color w:val="000000"/>
              </w:rPr>
              <w:t>2、针对本项目设备提供国家信息中心网络安全部或中华人民共和国国家保密局不少于3年数据恢复服务</w:t>
            </w:r>
            <w:r>
              <w:rPr>
                <w:sz w:val="24"/>
                <w:color w:val="000000"/>
              </w:rPr>
              <w:t>（</w:t>
            </w:r>
            <w:r>
              <w:rPr>
                <w:sz w:val="24"/>
                <w:color w:val="000000"/>
              </w:rPr>
              <w:t>提供国家信息中心网络安全部或中华人民共和国国家保密局关于该服务的售后服务承诺函原件</w:t>
            </w:r>
            <w:r>
              <w:rPr>
                <w:sz w:val="24"/>
                <w:color w:val="000000"/>
              </w:rPr>
              <w:t>扫描件</w:t>
            </w:r>
            <w:r>
              <w:rPr>
                <w:sz w:val="24"/>
                <w:color w:val="000000"/>
              </w:rPr>
              <w:t>并</w:t>
            </w:r>
            <w:r>
              <w:rPr>
                <w:sz w:val="24"/>
                <w:color w:val="000000"/>
              </w:rPr>
              <w:t>加盖</w:t>
            </w:r>
            <w:r>
              <w:rPr>
                <w:sz w:val="24"/>
                <w:color w:val="000000"/>
              </w:rPr>
              <w:t>投标</w:t>
            </w:r>
            <w:r>
              <w:rPr>
                <w:sz w:val="24"/>
                <w:color w:val="000000"/>
              </w:rPr>
              <w:t>人</w:t>
            </w:r>
            <w:r>
              <w:rPr>
                <w:sz w:val="24"/>
                <w:color w:val="000000"/>
              </w:rPr>
              <w:t>公章</w:t>
            </w:r>
            <w:r>
              <w:rPr>
                <w:sz w:val="24"/>
                <w:color w:val="000000"/>
              </w:rPr>
              <w:t>）</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住院病案无纸化归档专用硬件双活及升级更新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项目标的“并行计算存储一体机”按照《中小企业划分标准规定》（工信部联企业[2011]300号）划分行业为：工业。 （2）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项目标的“集成服务”按照《中小企业划分标准规定》（工信部联企业[2011]300号）划分行业为：软件和信息技术服务业。 （3）投标人需同时提供货物类和服务类的《中小企业声明函》，需所有标的符合对应行业划型小微企业标准，方可享受价格扣除。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联合体投标要求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采购包1(住院病案无纸化归档专用硬件双活及升级更新项目):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技术部分41.0分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(16.5分)</w:t>
            </w:r>
          </w:p>
        </w:tc>
        <w:tc>
          <w:tcPr>
            <w:tcW w:type="dxa" w:w="5076"/>
          </w:tcPr>
          <w:p>
            <w:pPr>
              <w:pStyle w:val="null3"/>
              <w:jc w:val="left"/>
            </w:pPr>
            <w:r>
              <w:rPr/>
              <w:t>重要技术条款的响应情况根据各投标人所投产品对《第二章采购需求》“具体技术(参数)要求”中标注“▲”的重要技术参数的响应情况进行评审（共11项，最高得16.5分）：标注“▲”的重要技术参数完全满足或优于的，得16.5分，每有1项负偏离或不完全满足的扣1.5分，最低得0分。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(9.5分)</w:t>
            </w:r>
          </w:p>
        </w:tc>
        <w:tc>
          <w:tcPr>
            <w:tcW w:type="dxa" w:w="5076"/>
          </w:tcPr>
          <w:p>
            <w:pPr>
              <w:pStyle w:val="null3"/>
              <w:jc w:val="left"/>
            </w:pPr>
            <w:r>
              <w:rPr/>
              <w:t>一般技术条款的响应情况：根据各投标人所投产品对《第二章采购需求》“具体技术(参数)要求”中未标注“▲”和“★”的一般技术参数的响应情况进行评审（共18项，最高得9.5分）：一般技术参数条款完全满足或优于采购需求的，得9.5分；存在负偏离或不完全满足的得分计算如下：（投标人满足采购人要求的参数数量/参数总数量）×9.5分（得分保留小数点后两位数，小数点后第三位四舍五入）。 注：对采购需求“具体技术(参数)要求”中未标注“▲”和“★”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对投标人根据招标文件提供的针对本项目的项目实施方案（内容须至少涵盖以下核心内容①实施进度计划、②质量和安全管理保障措施、③安装调试、④培训方案等）进行评审： 1.方案内容包含全部4项核心内容，针对本项目有明确具体的的实施进度计划，进度安排合理、时间点控制衔接流畅，针对本项目制定的质量和安全管理保障措施严谨，设备到场时的专人安装调试有明确的安排措施，制定合理的培训计划和培训大纲，完全满足且优于采购需求的，得12分； 2.方案内容包含全部4项核心内容，针对本项目有实施进度计划，进度安排基本合理、时间点控制基本流畅，针对本项目制定的质量和安全管理保障措施完整，设备到场时的专人安装调试有基本的安排措施，具有基本培训计划和培训大纲，完全满足采购需求的，得9分； 3.方案内容存在部分缺漏（缺少1-2项核心内容），投标人针对本项目有简单的的实施进度计划，进度安排欠合理，时间点控制等存在一定的偏差，针对本项目制定的质量和安全管理保障措施等不严谨，培训计划和培训大纲简单，部分满足采购需求的，得5分。 4.方案内容存在重大缺漏（缺少2项以上核心内容）或未提供方案或方案内容与项目需求无实质关联的，得0分。</w:t>
            </w:r>
          </w:p>
        </w:tc>
      </w:tr>
      <w:tr>
        <w:tc>
          <w:tcPr>
            <w:tcW w:type="dxa" w:w="922"/>
            <w:gridSpan w:val="2"/>
            <w:vMerge/>
          </w:tcPr>
          <w:p/>
        </w:tc>
        <w:tc>
          <w:tcPr>
            <w:tcW w:type="dxa" w:w="2307"/>
          </w:tcPr>
          <w:p>
            <w:pPr>
              <w:pStyle w:val="null3"/>
              <w:jc w:val="left"/>
            </w:pPr>
            <w:r>
              <w:rPr/>
              <w:t>重要备件保障服务 (3.0分)</w:t>
            </w:r>
          </w:p>
        </w:tc>
        <w:tc>
          <w:tcPr>
            <w:tcW w:type="dxa" w:w="5076"/>
          </w:tcPr>
          <w:p>
            <w:pPr>
              <w:pStyle w:val="null3"/>
              <w:jc w:val="left"/>
            </w:pPr>
            <w:r>
              <w:rPr/>
              <w:t>投标人提供相关重要备件（包括但不限于：并行计算存储一体机的全新相同配置同等型号计算控制器节点1台）存放在采购人指定机房，确保设备的能得到快速维修的得3分，不提供不得分。 注：需提供《承诺函》并加盖投标人公章，格式自拟）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投标人2022年1月1日至今（以合同签订时间为准）同类项目业绩情况，每提供一个得1分，本项最高得6分。 注：须提供合同关键页（合同关键页必须有用户单位名称、合同项目名称、合同标的主要采购内容、签订合同双方的落款盖章、合同签订日期等）扫描件加盖公章，不提供或无法认定的不得分。</w:t>
            </w:r>
          </w:p>
        </w:tc>
      </w:tr>
      <w:tr>
        <w:tc>
          <w:tcPr>
            <w:tcW w:type="dxa" w:w="922"/>
            <w:gridSpan w:val="2"/>
            <w:vMerge/>
          </w:tcPr>
          <w:p/>
        </w:tc>
        <w:tc>
          <w:tcPr>
            <w:tcW w:type="dxa" w:w="2307"/>
          </w:tcPr>
          <w:p>
            <w:pPr>
              <w:pStyle w:val="null3"/>
              <w:jc w:val="left"/>
            </w:pPr>
            <w:r>
              <w:rPr/>
              <w:t>资质实力 (5.0分)</w:t>
            </w:r>
          </w:p>
        </w:tc>
        <w:tc>
          <w:tcPr>
            <w:tcW w:type="dxa" w:w="5076"/>
          </w:tcPr>
          <w:p>
            <w:pPr>
              <w:pStyle w:val="null3"/>
              <w:jc w:val="left"/>
            </w:pPr>
            <w:r>
              <w:rPr/>
              <w:t>根据投标人有效期内的认证体系情况进行评审： 1.具有ISO9001质量管理体系认证证书，得1分； 2.具有ISO20000信息技术服务管理体系认证证书，得1分； 3.具有ISO27001信息安全管理体系认证证书，得1分； 4.具有ISO45001职业健康安全管理体系认证证书，得1分； 5.具有ISO14001环境管理体系认证证书，得1分； 注：本项最高得5分。①提供有效期内的认证证书扫描件和全国认证认可信息公共服务平台网站(http：//cx.cnca.cn/)网页查询结果截图并加盖投标人公章作为评审依据，未提供或未按要求提供不得分。②如因投标人成立时间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vMerge/>
          </w:tcPr>
          <w:p/>
        </w:tc>
        <w:tc>
          <w:tcPr>
            <w:tcW w:type="dxa" w:w="2307"/>
          </w:tcPr>
          <w:p>
            <w:pPr>
              <w:pStyle w:val="null3"/>
              <w:jc w:val="left"/>
            </w:pPr>
            <w:r>
              <w:rPr/>
              <w:t>项目组人员配置 (8.0分)</w:t>
            </w:r>
          </w:p>
        </w:tc>
        <w:tc>
          <w:tcPr>
            <w:tcW w:type="dxa" w:w="5076"/>
          </w:tcPr>
          <w:p>
            <w:pPr>
              <w:pStyle w:val="null3"/>
              <w:jc w:val="left"/>
            </w:pPr>
            <w:r>
              <w:rPr/>
              <w:t>1.拟投入本项目的项目经理： （1）具有网络规划设计师师证书的，得2分。 注：需同时提供上述人员证书扫描件和近六个月内任意一个月在投标人单位购买社保证明材料作为评审依据；不提供或资料提供不全的不得分。 2.拟投入本项目的技术人员（不含项目经理）：每提供以下一项证书得2分，最高得6分。多人获得同一证书不重复计分，同一人获得不同证书可重复计分。 （1）具有网络工程师证书； （2）具有信息安全工程师证书； （3）具有数据库系统工程师证书。 注：需同时提供上述人员证书扫描件和近六个月内任意一个月在投标人单位购买社保证明材料作为评审依据；不提供或资料提供不全的不得分。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对投标人根据招标文件“售后服务要求”提供的售后服务方案，（内容须至少涵盖以下核心内容①故障响应时间、②应急维修时间安排、③处理办法、④定期巡检、⑤本地支撑力量等）进行评审： 1、方案内容包含全部5项核心内容，针对本项目有明确具体的售后服务计划，故障响应时间及时、应急维修时间安排和处理办法完整合理、设置有定期巡检和提供本地支撑力量等，完全满足且优于采购需求的，得10分； 2、方案内容包含全部5项核心内容，针对本项目有售后服务计划，故障响应时间基本合理、应急维修时间安排和处理办法基本完整、设置有定期巡检和提供本地支撑力量等，完全满足采购需求的，得7分； 3、方案内容存在部分缺漏（缺少1-2项核心内容），针对本项目有简单的售后服务计划，故障响应时间不及时、应急维修时间安排和处理办法未能涵盖项目需求、设置有简单的定期巡检和提供本地支撑力量等，部分满足采购需求的，得4分。 4、方案内容存在重大缺漏（缺少2项以上核心内容）或未提供方案或方案内容与项目需求无实质关联的，得0分。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24"/>
          <w:b/>
        </w:rPr>
        <w:t>注：本合同仅为合同的参考文本，合同签订双方可根据项目的具体要求进行修订。</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ind w:firstLine="480"/>
      </w:pPr>
      <w:r>
        <w:rPr>
          <w:sz w:val="24"/>
          <w:b/>
        </w:rPr>
        <w:t>甲</w:t>
      </w:r>
      <w:r>
        <w:rPr>
          <w:sz w:val="24"/>
          <w:b/>
        </w:rPr>
        <w:t xml:space="preserve">   </w:t>
      </w:r>
      <w:r>
        <w:rPr>
          <w:sz w:val="24"/>
          <w:b/>
        </w:rPr>
        <w:t>方：阳江市人民医院</w:t>
      </w:r>
    </w:p>
    <w:p>
      <w:pPr>
        <w:pStyle w:val="null3"/>
        <w:ind w:firstLine="480"/>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p>
    <w:p>
      <w:pPr>
        <w:pStyle w:val="null3"/>
        <w:ind w:firstLine="480"/>
        <w:jc w:val="both"/>
      </w:pPr>
      <w:r>
        <w:rPr>
          <w:sz w:val="24"/>
          <w:b/>
        </w:rPr>
        <w:t>乙</w:t>
      </w:r>
      <w:r>
        <w:rPr>
          <w:sz w:val="24"/>
          <w:b/>
        </w:rPr>
        <w:t xml:space="preserve">   </w:t>
      </w:r>
      <w:r>
        <w:rPr>
          <w:sz w:val="24"/>
          <w:b/>
        </w:rPr>
        <w:t>方：</w:t>
      </w:r>
      <w:r>
        <w:rPr>
          <w:b/>
          <w:u w:val="single"/>
        </w:rPr>
        <w:t xml:space="preserve">                  </w:t>
      </w:r>
    </w:p>
    <w:p>
      <w:pPr>
        <w:pStyle w:val="null3"/>
        <w:ind w:firstLine="480"/>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r>
        <w:rPr>
          <w:sz w:val="24"/>
        </w:rPr>
        <w:t xml:space="preserve">  </w:t>
      </w:r>
    </w:p>
    <w:p>
      <w:pPr>
        <w:pStyle w:val="null3"/>
        <w:ind w:firstLine="480"/>
        <w:jc w:val="both"/>
      </w:pPr>
      <w:r>
        <w:rPr>
          <w:sz w:val="24"/>
        </w:rPr>
        <w:t>项目名称：</w:t>
      </w:r>
      <w:r>
        <w:rPr>
          <w:sz w:val="24"/>
        </w:rPr>
        <w:t>住院病案无纸化归档专用硬件双活及升级更新项目</w:t>
      </w:r>
    </w:p>
    <w:p>
      <w:pPr>
        <w:pStyle w:val="null3"/>
        <w:ind w:firstLine="480"/>
        <w:jc w:val="both"/>
      </w:pPr>
      <w:r>
        <w:rPr>
          <w:sz w:val="24"/>
        </w:rPr>
        <w:t>采购编号：</w:t>
      </w:r>
      <w:r>
        <w:rPr>
          <w:sz w:val="24"/>
        </w:rPr>
        <w:t>0724-2631YJ010312</w:t>
      </w:r>
    </w:p>
    <w:p>
      <w:pPr>
        <w:pStyle w:val="null3"/>
        <w:ind w:firstLine="480"/>
        <w:jc w:val="both"/>
      </w:pPr>
      <w:r>
        <w:rPr>
          <w:sz w:val="24"/>
        </w:rPr>
        <w:t>根据</w:t>
      </w:r>
      <w:r>
        <w:rPr>
          <w:u w:val="single"/>
        </w:rPr>
        <w:t xml:space="preserve">   </w:t>
      </w:r>
      <w:r>
        <w:rPr>
          <w:sz w:val="24"/>
          <w:u w:val="single"/>
        </w:rPr>
        <w:t>住院病案无纸化归档专用硬件双活及升级更新项目</w:t>
      </w:r>
      <w:r>
        <w:rPr>
          <w:u w:val="single"/>
        </w:rPr>
        <w:t xml:space="preserve">   </w:t>
      </w:r>
      <w:r>
        <w:rPr>
          <w:sz w:val="24"/>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4"/>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品牌、规格型号、配置</w:t>
            </w:r>
          </w:p>
          <w:p>
            <w:pPr>
              <w:pStyle w:val="null3"/>
              <w:jc w:val="center"/>
            </w:pPr>
            <w:r>
              <w:rPr>
                <w:sz w:val="24"/>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r>
              <w:rPr>
                <w:sz w:val="24"/>
              </w:rPr>
              <w:t>(元)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合计总额：￥</w:t>
            </w:r>
            <w:r>
              <w:rPr>
                <w:sz w:val="24"/>
              </w:rPr>
              <w:t xml:space="preserve">      </w:t>
            </w:r>
            <w:r>
              <w:rPr>
                <w:sz w:val="24"/>
              </w:rPr>
              <w:t>元；</w:t>
            </w:r>
            <w:r>
              <w:rPr>
                <w:sz w:val="24"/>
              </w:rPr>
              <w:t xml:space="preserve">   </w:t>
            </w:r>
            <w:r>
              <w:rPr>
                <w:sz w:val="24"/>
              </w:rPr>
              <w:t>大写：</w:t>
            </w:r>
          </w:p>
        </w:tc>
      </w:tr>
    </w:tbl>
    <w:p>
      <w:pPr>
        <w:pStyle w:val="null3"/>
        <w:ind w:firstLine="420"/>
        <w:jc w:val="both"/>
      </w:pPr>
      <w:r>
        <w:rPr>
          <w:sz w:val="24"/>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4"/>
        </w:rPr>
        <w:t>注：货物名称内容必须与投标文件中货物名称内容一致。</w:t>
      </w:r>
    </w:p>
    <w:p>
      <w:pPr>
        <w:pStyle w:val="null3"/>
        <w:ind w:firstLine="422"/>
        <w:jc w:val="both"/>
      </w:pPr>
      <w:r>
        <w:rPr>
          <w:sz w:val="24"/>
          <w:b/>
        </w:rPr>
        <w:t>二、合同金额：</w:t>
      </w:r>
    </w:p>
    <w:p>
      <w:pPr>
        <w:pStyle w:val="null3"/>
        <w:ind w:firstLine="420"/>
        <w:jc w:val="both"/>
      </w:pPr>
      <w:r>
        <w:rPr>
          <w:sz w:val="24"/>
        </w:rPr>
        <w:t>合同金额为（大写）：</w:t>
      </w:r>
      <w:r>
        <w:rPr>
          <w:u w:val="single"/>
        </w:rPr>
        <w:t xml:space="preserve">             </w:t>
      </w:r>
      <w:r>
        <w:rPr>
          <w:sz w:val="24"/>
        </w:rPr>
        <w:t>元（￥</w:t>
      </w:r>
      <w:r>
        <w:rPr>
          <w:u w:val="single"/>
        </w:rPr>
        <w:t xml:space="preserve">             </w:t>
      </w:r>
      <w:r>
        <w:rPr>
          <w:sz w:val="24"/>
        </w:rPr>
        <w:t>元）人民币。</w:t>
      </w:r>
    </w:p>
    <w:p>
      <w:pPr>
        <w:pStyle w:val="null3"/>
        <w:ind w:firstLine="422"/>
        <w:jc w:val="both"/>
      </w:pPr>
      <w:r>
        <w:rPr>
          <w:sz w:val="24"/>
          <w:b/>
        </w:rPr>
        <w:t>三、交货期及交货地点：</w:t>
      </w:r>
    </w:p>
    <w:p>
      <w:pPr>
        <w:pStyle w:val="null3"/>
        <w:ind w:firstLine="420"/>
        <w:jc w:val="both"/>
      </w:pPr>
      <w:r>
        <w:rPr>
          <w:sz w:val="24"/>
        </w:rPr>
        <w:t>1、交货期：</w:t>
      </w:r>
      <w:r>
        <w:rPr>
          <w:sz w:val="24"/>
        </w:rPr>
        <w:t>合同签订生效后</w:t>
      </w:r>
      <w:r>
        <w:rPr>
          <w:sz w:val="24"/>
        </w:rPr>
        <w:t>60个日历日内完成（包括供货、安装调试、培训、完成验收）。</w:t>
      </w:r>
    </w:p>
    <w:p>
      <w:pPr>
        <w:pStyle w:val="null3"/>
        <w:ind w:firstLine="420"/>
        <w:jc w:val="both"/>
      </w:pPr>
      <w:r>
        <w:rPr>
          <w:sz w:val="24"/>
        </w:rPr>
        <w:t>2、交货地点：甲方指定地点。</w:t>
      </w:r>
    </w:p>
    <w:p>
      <w:pPr>
        <w:pStyle w:val="null3"/>
        <w:ind w:firstLine="422"/>
        <w:jc w:val="both"/>
      </w:pPr>
      <w:r>
        <w:rPr>
          <w:sz w:val="24"/>
          <w:b/>
        </w:rPr>
        <w:t>四、合同签订及付款方式：</w:t>
      </w:r>
    </w:p>
    <w:p>
      <w:pPr>
        <w:pStyle w:val="null3"/>
        <w:ind w:firstLine="420"/>
        <w:jc w:val="both"/>
      </w:pPr>
      <w:r>
        <w:rPr>
          <w:sz w:val="24"/>
        </w:rPr>
        <w:t>1、合同签订时间：采购合同由</w:t>
      </w:r>
      <w:r>
        <w:rPr>
          <w:sz w:val="24"/>
        </w:rPr>
        <w:t>乙方</w:t>
      </w:r>
      <w:r>
        <w:rPr>
          <w:sz w:val="24"/>
        </w:rPr>
        <w:t>与</w:t>
      </w:r>
      <w:r>
        <w:rPr>
          <w:sz w:val="24"/>
        </w:rPr>
        <w:t>甲方</w:t>
      </w:r>
      <w:r>
        <w:rPr>
          <w:sz w:val="24"/>
        </w:rPr>
        <w:t>双方签订，签订时间为从中标通知书发出之日起</w:t>
      </w:r>
      <w:r>
        <w:rPr>
          <w:sz w:val="24"/>
        </w:rPr>
        <w:t>30日内。</w:t>
      </w:r>
    </w:p>
    <w:p>
      <w:pPr>
        <w:pStyle w:val="null3"/>
        <w:ind w:firstLine="420"/>
        <w:jc w:val="both"/>
      </w:pPr>
      <w:r>
        <w:rPr>
          <w:sz w:val="24"/>
        </w:rPr>
        <w:t>2、付款方式：</w:t>
      </w:r>
    </w:p>
    <w:p>
      <w:pPr>
        <w:pStyle w:val="null3"/>
        <w:ind w:left="420"/>
        <w:jc w:val="both"/>
      </w:pPr>
      <w:r>
        <w:rPr>
          <w:sz w:val="24"/>
        </w:rPr>
        <w:t>（</w:t>
      </w:r>
      <w:r>
        <w:rPr>
          <w:sz w:val="24"/>
        </w:rPr>
        <w:t>1）在合同签订</w:t>
      </w:r>
      <w:r>
        <w:rPr>
          <w:sz w:val="24"/>
        </w:rPr>
        <w:t>生效</w:t>
      </w:r>
      <w:r>
        <w:rPr>
          <w:sz w:val="24"/>
        </w:rPr>
        <w:t>后，</w:t>
      </w:r>
      <w:r>
        <w:rPr>
          <w:sz w:val="24"/>
        </w:rPr>
        <w:t>甲方</w:t>
      </w:r>
      <w:r>
        <w:rPr>
          <w:sz w:val="24"/>
        </w:rPr>
        <w:t>收到</w:t>
      </w:r>
      <w:r>
        <w:rPr>
          <w:sz w:val="24"/>
        </w:rPr>
        <w:t>乙方对应金额</w:t>
      </w:r>
      <w:r>
        <w:rPr>
          <w:sz w:val="24"/>
        </w:rPr>
        <w:t>发票后</w:t>
      </w:r>
      <w:r>
        <w:rPr>
          <w:sz w:val="24"/>
        </w:rPr>
        <w:t>10个工作日内向</w:t>
      </w:r>
      <w:r>
        <w:rPr>
          <w:sz w:val="24"/>
        </w:rPr>
        <w:t>乙方</w:t>
      </w:r>
      <w:r>
        <w:rPr>
          <w:sz w:val="24"/>
        </w:rPr>
        <w:t>支付合同总额的</w:t>
      </w:r>
      <w:r>
        <w:rPr>
          <w:sz w:val="24"/>
        </w:rPr>
        <w:t>35%（如果</w:t>
      </w:r>
      <w:r>
        <w:rPr>
          <w:sz w:val="24"/>
        </w:rPr>
        <w:t>乙方</w:t>
      </w:r>
      <w:r>
        <w:rPr>
          <w:sz w:val="24"/>
        </w:rPr>
        <w:t>为中小</w:t>
      </w:r>
      <w:r>
        <w:rPr>
          <w:sz w:val="24"/>
        </w:rPr>
        <w:t>微</w:t>
      </w:r>
      <w:r>
        <w:rPr>
          <w:sz w:val="24"/>
        </w:rPr>
        <w:t>企业，在合同签订</w:t>
      </w:r>
      <w:r>
        <w:rPr>
          <w:sz w:val="24"/>
        </w:rPr>
        <w:t>生效</w:t>
      </w:r>
      <w:r>
        <w:rPr>
          <w:sz w:val="24"/>
        </w:rPr>
        <w:t>后，</w:t>
      </w:r>
      <w:r>
        <w:rPr>
          <w:sz w:val="24"/>
        </w:rPr>
        <w:t>甲方</w:t>
      </w:r>
      <w:r>
        <w:rPr>
          <w:sz w:val="24"/>
        </w:rPr>
        <w:t>收到</w:t>
      </w:r>
      <w:r>
        <w:rPr>
          <w:sz w:val="24"/>
        </w:rPr>
        <w:t>乙方</w:t>
      </w:r>
      <w:r>
        <w:rPr>
          <w:sz w:val="24"/>
        </w:rPr>
        <w:t>发票后</w:t>
      </w:r>
      <w:r>
        <w:rPr>
          <w:sz w:val="24"/>
        </w:rPr>
        <w:t>5个工作日内向</w:t>
      </w:r>
      <w:r>
        <w:rPr>
          <w:sz w:val="24"/>
        </w:rPr>
        <w:t>乙方</w:t>
      </w:r>
      <w:r>
        <w:rPr>
          <w:sz w:val="24"/>
        </w:rPr>
        <w:t>支付合同总额的</w:t>
      </w:r>
      <w:r>
        <w:rPr>
          <w:sz w:val="24"/>
        </w:rPr>
        <w:t>35%）。</w:t>
      </w:r>
    </w:p>
    <w:p>
      <w:pPr>
        <w:pStyle w:val="null3"/>
        <w:ind w:left="420"/>
        <w:jc w:val="both"/>
      </w:pPr>
      <w:r>
        <w:rPr>
          <w:sz w:val="24"/>
        </w:rPr>
        <w:t>（</w:t>
      </w:r>
      <w:r>
        <w:rPr>
          <w:sz w:val="24"/>
        </w:rPr>
        <w:t>2</w:t>
      </w:r>
      <w:r>
        <w:rPr>
          <w:sz w:val="24"/>
        </w:rPr>
        <w:t>）验收合格后，</w:t>
      </w:r>
      <w:r>
        <w:rPr>
          <w:sz w:val="24"/>
        </w:rPr>
        <w:t>甲方</w:t>
      </w:r>
      <w:r>
        <w:rPr>
          <w:sz w:val="24"/>
        </w:rPr>
        <w:t>收到</w:t>
      </w:r>
      <w:r>
        <w:rPr>
          <w:sz w:val="24"/>
        </w:rPr>
        <w:t>乙方对应金额</w:t>
      </w:r>
      <w:r>
        <w:rPr>
          <w:sz w:val="24"/>
        </w:rPr>
        <w:t>发票后</w:t>
      </w:r>
      <w:r>
        <w:rPr>
          <w:sz w:val="24"/>
        </w:rPr>
        <w:t>10个工作日内付合同总额的65%作为验收款。</w:t>
      </w:r>
    </w:p>
    <w:p>
      <w:pPr>
        <w:pStyle w:val="null3"/>
        <w:ind w:firstLine="422"/>
        <w:jc w:val="both"/>
      </w:pPr>
      <w:r>
        <w:rPr>
          <w:sz w:val="24"/>
          <w:b/>
        </w:rPr>
        <w:t>五、</w:t>
      </w:r>
      <w:r>
        <w:rPr>
          <w:sz w:val="24"/>
          <w:b/>
        </w:rPr>
        <w:t>货物要求</w:t>
      </w:r>
      <w:r>
        <w:rPr>
          <w:sz w:val="24"/>
          <w:b/>
        </w:rPr>
        <w:t>：</w:t>
      </w:r>
    </w:p>
    <w:p>
      <w:pPr>
        <w:pStyle w:val="null3"/>
        <w:ind w:firstLine="420"/>
        <w:jc w:val="both"/>
      </w:pPr>
      <w:r>
        <w:rPr>
          <w:sz w:val="24"/>
        </w:rPr>
        <w:t>（</w:t>
      </w:r>
      <w:r>
        <w:rPr>
          <w:sz w:val="24"/>
        </w:rPr>
        <w:t>1</w:t>
      </w:r>
      <w:r>
        <w:rPr>
          <w:sz w:val="24"/>
        </w:rPr>
        <w:t>）</w:t>
      </w:r>
      <w:r>
        <w:rPr>
          <w:sz w:val="24"/>
        </w:rPr>
        <w:t>所投标产品必须是原装正</w:t>
      </w:r>
      <w:r>
        <w:rPr>
          <w:sz w:val="24"/>
        </w:rPr>
        <w:t>品，应保证所提供的设备制造日期距交货时间不超过1年，供货时出具生产厂商的《原厂供货证明》及《售后服务承诺函》。</w:t>
      </w:r>
    </w:p>
    <w:p>
      <w:pPr>
        <w:pStyle w:val="null3"/>
        <w:ind w:firstLine="420"/>
        <w:jc w:val="both"/>
      </w:pPr>
      <w:r>
        <w:rPr>
          <w:sz w:val="24"/>
        </w:rPr>
        <w:t>（</w:t>
      </w:r>
      <w:r>
        <w:rPr>
          <w:sz w:val="24"/>
        </w:rPr>
        <w:t>2）乙方</w:t>
      </w:r>
      <w:r>
        <w:rPr>
          <w:sz w:val="24"/>
        </w:rPr>
        <w:t>必须提供符合国家质量检测标准的全新、未使用过的货物，</w:t>
      </w:r>
      <w:r>
        <w:rPr>
          <w:sz w:val="24"/>
        </w:rPr>
        <w:t>乙方</w:t>
      </w:r>
      <w:r>
        <w:rPr>
          <w:sz w:val="24"/>
        </w:rPr>
        <w:t>必须负责设备的安装调试和培训。</w:t>
      </w:r>
    </w:p>
    <w:p>
      <w:pPr>
        <w:pStyle w:val="null3"/>
        <w:ind w:firstLine="420"/>
        <w:jc w:val="both"/>
      </w:pPr>
      <w:r>
        <w:rPr>
          <w:sz w:val="24"/>
        </w:rPr>
        <w:t>（</w:t>
      </w:r>
      <w:r>
        <w:rPr>
          <w:sz w:val="24"/>
        </w:rPr>
        <w:t>3</w:t>
      </w:r>
      <w:r>
        <w:rPr>
          <w:sz w:val="24"/>
        </w:rPr>
        <w:t>）</w:t>
      </w:r>
      <w:r>
        <w:rPr>
          <w:sz w:val="24"/>
        </w:rPr>
        <w:t>包装要求：要求使用国际通用的标准包装，适合于长途运输，外包装到货时完好无损。保证货物到达目的地时完好，无毁损，包装不回收。在运输过程中造成的产品损失或损坏由</w:t>
      </w:r>
      <w:r>
        <w:rPr>
          <w:sz w:val="24"/>
        </w:rPr>
        <w:t>乙方</w:t>
      </w:r>
      <w:r>
        <w:rPr>
          <w:sz w:val="24"/>
        </w:rPr>
        <w:t>负担。</w:t>
      </w:r>
    </w:p>
    <w:p>
      <w:pPr>
        <w:pStyle w:val="null3"/>
        <w:ind w:firstLine="422"/>
        <w:jc w:val="both"/>
      </w:pPr>
      <w:r>
        <w:rPr>
          <w:sz w:val="24"/>
          <w:b/>
        </w:rPr>
        <w:t>六、实施要求</w:t>
      </w:r>
    </w:p>
    <w:p>
      <w:pPr>
        <w:pStyle w:val="null3"/>
        <w:ind w:firstLine="420"/>
        <w:jc w:val="both"/>
      </w:pPr>
      <w:r>
        <w:rPr>
          <w:sz w:val="24"/>
        </w:rPr>
        <w:t>乙方</w:t>
      </w:r>
      <w:r>
        <w:rPr>
          <w:sz w:val="24"/>
        </w:rPr>
        <w:t>需按期完成设备的供货、安装调试，并完成对使用单位相关人员的操作与使用培训。同时包括但不限于以下的实施要求：</w:t>
      </w:r>
    </w:p>
    <w:p>
      <w:pPr>
        <w:pStyle w:val="null3"/>
        <w:ind w:firstLine="420"/>
        <w:jc w:val="both"/>
      </w:pPr>
      <w:r>
        <w:rPr>
          <w:sz w:val="24"/>
        </w:rPr>
        <w:t>（</w:t>
      </w:r>
      <w:r>
        <w:rPr>
          <w:sz w:val="24"/>
        </w:rPr>
        <w:t>1</w:t>
      </w:r>
      <w:r>
        <w:rPr>
          <w:sz w:val="24"/>
        </w:rPr>
        <w:t>）所有设备均由</w:t>
      </w:r>
      <w:r>
        <w:rPr>
          <w:sz w:val="24"/>
        </w:rPr>
        <w:t>乙方</w:t>
      </w:r>
      <w:r>
        <w:rPr>
          <w:sz w:val="24"/>
        </w:rPr>
        <w:t>免费送货至</w:t>
      </w:r>
      <w:r>
        <w:rPr>
          <w:sz w:val="24"/>
        </w:rPr>
        <w:t>甲方</w:t>
      </w:r>
      <w:r>
        <w:rPr>
          <w:sz w:val="24"/>
        </w:rPr>
        <w:t>指定的交货</w:t>
      </w:r>
      <w:r>
        <w:rPr>
          <w:sz w:val="24"/>
        </w:rPr>
        <w:t>地点并完成安</w:t>
      </w:r>
      <w:r>
        <w:rPr>
          <w:sz w:val="24"/>
        </w:rPr>
        <w:t>装调试</w:t>
      </w:r>
      <w:r>
        <w:rPr>
          <w:sz w:val="24"/>
        </w:rPr>
        <w:t>，安装调试应以本需求书要求的技术参数指标为标准。</w:t>
      </w:r>
    </w:p>
    <w:p>
      <w:pPr>
        <w:pStyle w:val="null3"/>
        <w:ind w:firstLine="420"/>
        <w:jc w:val="both"/>
      </w:pPr>
      <w:r>
        <w:rPr>
          <w:sz w:val="24"/>
        </w:rPr>
        <w:t>（</w:t>
      </w:r>
      <w:r>
        <w:rPr>
          <w:sz w:val="24"/>
        </w:rPr>
        <w:t>2</w:t>
      </w:r>
      <w:r>
        <w:rPr>
          <w:sz w:val="24"/>
        </w:rPr>
        <w:t>）所有货物交货后的拆箱、安装、调试等</w:t>
      </w:r>
      <w:r>
        <w:rPr>
          <w:sz w:val="24"/>
        </w:rPr>
        <w:t>工</w:t>
      </w:r>
      <w:r>
        <w:rPr>
          <w:sz w:val="24"/>
        </w:rPr>
        <w:t>作（包括产生的一切费用）由</w:t>
      </w:r>
      <w:r>
        <w:rPr>
          <w:sz w:val="24"/>
        </w:rPr>
        <w:t>乙方</w:t>
      </w:r>
      <w:r>
        <w:rPr>
          <w:sz w:val="24"/>
        </w:rPr>
        <w:t>负责，但必须在</w:t>
      </w:r>
      <w:r>
        <w:rPr>
          <w:sz w:val="24"/>
        </w:rPr>
        <w:t>甲方</w:t>
      </w:r>
      <w:r>
        <w:rPr>
          <w:sz w:val="24"/>
        </w:rPr>
        <w:t>指定人员的参与下进行。调试的原始记录需经双方签字后作为验收的文件之一。</w:t>
      </w:r>
    </w:p>
    <w:p>
      <w:pPr>
        <w:pStyle w:val="null3"/>
        <w:ind w:firstLine="420"/>
        <w:jc w:val="both"/>
      </w:pPr>
      <w:r>
        <w:rPr>
          <w:sz w:val="24"/>
        </w:rPr>
        <w:t>（</w:t>
      </w:r>
      <w:r>
        <w:rPr>
          <w:sz w:val="24"/>
        </w:rPr>
        <w:t>3</w:t>
      </w:r>
      <w:r>
        <w:rPr>
          <w:sz w:val="24"/>
        </w:rPr>
        <w:t>）</w:t>
      </w:r>
      <w:r>
        <w:rPr>
          <w:sz w:val="24"/>
        </w:rPr>
        <w:t>乙方</w:t>
      </w:r>
      <w:r>
        <w:rPr>
          <w:sz w:val="24"/>
        </w:rPr>
        <w:t>应</w:t>
      </w:r>
      <w:r>
        <w:rPr>
          <w:sz w:val="24"/>
        </w:rPr>
        <w:t>需</w:t>
      </w:r>
      <w:r>
        <w:rPr>
          <w:sz w:val="24"/>
        </w:rPr>
        <w:t>提供包括但不限于满足设备安装、使用和维护的技术文件，如：设备和附件装箱清单、设备质量合格检定证明文件（包括合格证书和质检报告）、设备保修服务卡等。</w:t>
      </w:r>
    </w:p>
    <w:p>
      <w:pPr>
        <w:pStyle w:val="null3"/>
        <w:ind w:firstLine="420"/>
        <w:jc w:val="both"/>
      </w:pPr>
      <w:r>
        <w:rPr>
          <w:sz w:val="24"/>
        </w:rPr>
        <w:t>（</w:t>
      </w:r>
      <w:r>
        <w:rPr>
          <w:sz w:val="24"/>
        </w:rPr>
        <w:t>4</w:t>
      </w:r>
      <w:r>
        <w:rPr>
          <w:sz w:val="24"/>
        </w:rPr>
        <w:t>）</w:t>
      </w:r>
      <w:r>
        <w:rPr>
          <w:sz w:val="24"/>
        </w:rPr>
        <w:t>所有设备应按出厂标准及国家有关要求进行包</w:t>
      </w:r>
      <w:r>
        <w:rPr>
          <w:sz w:val="24"/>
        </w:rPr>
        <w:t>装及运输。</w:t>
      </w:r>
    </w:p>
    <w:p>
      <w:pPr>
        <w:pStyle w:val="null3"/>
        <w:ind w:firstLine="420"/>
        <w:jc w:val="both"/>
      </w:pPr>
      <w:r>
        <w:rPr>
          <w:sz w:val="24"/>
        </w:rPr>
        <w:t>（</w:t>
      </w:r>
      <w:r>
        <w:rPr>
          <w:sz w:val="24"/>
        </w:rPr>
        <w:t>5</w:t>
      </w:r>
      <w:r>
        <w:rPr>
          <w:sz w:val="24"/>
        </w:rPr>
        <w:t>）</w:t>
      </w:r>
      <w:r>
        <w:rPr>
          <w:sz w:val="24"/>
        </w:rPr>
        <w:t>乙方</w:t>
      </w:r>
      <w:r>
        <w:rPr>
          <w:sz w:val="24"/>
        </w:rPr>
        <w:t>须负责对</w:t>
      </w:r>
      <w:r>
        <w:rPr>
          <w:sz w:val="24"/>
        </w:rPr>
        <w:t>甲方</w:t>
      </w:r>
      <w:r>
        <w:rPr>
          <w:sz w:val="24"/>
        </w:rPr>
        <w:t>的技术人员免费进行安装、操作、维</w:t>
      </w:r>
      <w:r>
        <w:rPr>
          <w:sz w:val="24"/>
        </w:rPr>
        <w:t>护维修等方面的培训，直至学会为止。乙</w:t>
      </w:r>
      <w:r>
        <w:rPr>
          <w:sz w:val="24"/>
        </w:rPr>
        <w:t>方</w:t>
      </w:r>
      <w:r>
        <w:rPr>
          <w:sz w:val="24"/>
        </w:rPr>
        <w:t>需提供针对</w:t>
      </w:r>
      <w:r>
        <w:rPr>
          <w:sz w:val="24"/>
        </w:rPr>
        <w:t>甲方</w:t>
      </w:r>
      <w:r>
        <w:rPr>
          <w:sz w:val="24"/>
        </w:rPr>
        <w:t>专业技术人员的培训计划。</w:t>
      </w:r>
    </w:p>
    <w:p>
      <w:pPr>
        <w:pStyle w:val="null3"/>
        <w:ind w:firstLine="420"/>
        <w:jc w:val="both"/>
      </w:pPr>
      <w:r>
        <w:rPr>
          <w:sz w:val="24"/>
        </w:rPr>
        <w:t>（</w:t>
      </w:r>
      <w:r>
        <w:rPr>
          <w:sz w:val="24"/>
        </w:rPr>
        <w:t>6</w:t>
      </w:r>
      <w:r>
        <w:rPr>
          <w:sz w:val="24"/>
        </w:rPr>
        <w:t>）</w:t>
      </w:r>
      <w:r>
        <w:rPr>
          <w:sz w:val="24"/>
        </w:rPr>
        <w:t>乙方</w:t>
      </w:r>
      <w:r>
        <w:rPr>
          <w:sz w:val="24"/>
        </w:rPr>
        <w:t>应承诺设立备品备件仓库，保证使用单位质保期内的备品备件需求</w:t>
      </w:r>
      <w:r>
        <w:rPr>
          <w:sz w:val="24"/>
        </w:rPr>
        <w:t>。</w:t>
      </w:r>
    </w:p>
    <w:p>
      <w:pPr>
        <w:pStyle w:val="null3"/>
        <w:ind w:firstLine="420"/>
        <w:jc w:val="both"/>
      </w:pPr>
      <w:r>
        <w:rPr>
          <w:sz w:val="24"/>
          <w:b/>
        </w:rPr>
        <w:t>七、验收要求</w:t>
      </w:r>
    </w:p>
    <w:p>
      <w:pPr>
        <w:pStyle w:val="null3"/>
        <w:ind w:firstLine="420"/>
        <w:jc w:val="both"/>
      </w:pPr>
      <w:r>
        <w:rPr>
          <w:sz w:val="24"/>
        </w:rPr>
        <w:t>设备启用后接入医院系统，所有功能模块正常运行</w:t>
      </w:r>
      <w:r>
        <w:rPr>
          <w:sz w:val="24"/>
        </w:rPr>
        <w:t>1</w:t>
      </w:r>
      <w:r>
        <w:rPr>
          <w:sz w:val="24"/>
        </w:rPr>
        <w:t>个月，由甲方十个工作日内组织有关人员按相关标准进行验收，验收不能通过，乙方对存在的问题进行整改，在问题解决后，甲方十个工作日内再次组织验收，直至验收合格。同时</w:t>
      </w:r>
      <w:r>
        <w:rPr>
          <w:sz w:val="24"/>
        </w:rPr>
        <w:t>包括但不限于以下的验收要求：</w:t>
      </w:r>
    </w:p>
    <w:p>
      <w:pPr>
        <w:pStyle w:val="null3"/>
        <w:ind w:firstLine="420"/>
        <w:jc w:val="both"/>
      </w:pPr>
      <w:r>
        <w:rPr>
          <w:sz w:val="24"/>
        </w:rPr>
        <w:t>1</w:t>
      </w:r>
      <w:r>
        <w:rPr>
          <w:sz w:val="24"/>
        </w:rPr>
        <w:t>、</w:t>
      </w:r>
      <w:r>
        <w:rPr>
          <w:sz w:val="24"/>
        </w:rPr>
        <w:t>乙方</w:t>
      </w:r>
      <w:r>
        <w:rPr>
          <w:sz w:val="24"/>
        </w:rPr>
        <w:t>提供的所有货物和服务，其质量、技术等特征必须符合国家、行业现行的标准及用户需求。</w:t>
      </w:r>
    </w:p>
    <w:p>
      <w:pPr>
        <w:pStyle w:val="null3"/>
        <w:ind w:firstLine="420"/>
        <w:jc w:val="both"/>
      </w:pPr>
      <w:r>
        <w:rPr>
          <w:sz w:val="24"/>
        </w:rPr>
        <w:t>2</w:t>
      </w:r>
      <w:r>
        <w:rPr>
          <w:sz w:val="24"/>
        </w:rPr>
        <w:t>、</w:t>
      </w:r>
      <w:r>
        <w:rPr>
          <w:sz w:val="24"/>
        </w:rPr>
        <w:t>所有设备必须有相应的详细中文说明书。</w:t>
      </w:r>
    </w:p>
    <w:p>
      <w:pPr>
        <w:pStyle w:val="null3"/>
        <w:ind w:firstLine="420"/>
        <w:jc w:val="both"/>
      </w:pPr>
      <w:r>
        <w:rPr>
          <w:sz w:val="24"/>
        </w:rPr>
        <w:t>3</w:t>
      </w:r>
      <w:r>
        <w:rPr>
          <w:sz w:val="24"/>
        </w:rPr>
        <w:t>、</w:t>
      </w:r>
      <w:r>
        <w:rPr>
          <w:sz w:val="24"/>
        </w:rPr>
        <w:t>甲方</w:t>
      </w:r>
      <w:r>
        <w:rPr>
          <w:sz w:val="24"/>
        </w:rPr>
        <w:t>有权拒绝接受任何不合格的货物和服务，由此产生的费用及相关后果均由</w:t>
      </w:r>
      <w:r>
        <w:rPr>
          <w:sz w:val="24"/>
        </w:rPr>
        <w:t>乙方</w:t>
      </w:r>
      <w:r>
        <w:rPr>
          <w:sz w:val="24"/>
        </w:rPr>
        <w:t>自行承担。</w:t>
      </w:r>
    </w:p>
    <w:p>
      <w:pPr>
        <w:pStyle w:val="null3"/>
        <w:ind w:firstLine="420"/>
        <w:jc w:val="both"/>
      </w:pPr>
      <w:r>
        <w:rPr>
          <w:sz w:val="24"/>
        </w:rPr>
        <w:t>4</w:t>
      </w:r>
      <w:r>
        <w:rPr>
          <w:sz w:val="24"/>
        </w:rPr>
        <w:t>、</w:t>
      </w:r>
      <w:r>
        <w:rPr>
          <w:sz w:val="24"/>
        </w:rPr>
        <w:t>乙方</w:t>
      </w:r>
      <w:r>
        <w:rPr>
          <w:sz w:val="24"/>
        </w:rPr>
        <w:t>应保证，在提供本项目的货物、服务或其任何一部分不会产生因第三方依法享有的专利权、商标权或其他知识产权而产生纠纷；如果</w:t>
      </w:r>
      <w:r>
        <w:rPr>
          <w:sz w:val="24"/>
        </w:rPr>
        <w:t>乙方</w:t>
      </w:r>
      <w:r>
        <w:rPr>
          <w:sz w:val="24"/>
        </w:rPr>
        <w:t>不拥有相应的知识产权，则须在报价中包括合法获取该知识产权的相关费用，并在</w:t>
      </w:r>
      <w:r>
        <w:rPr>
          <w:sz w:val="24"/>
        </w:rPr>
        <w:t>投标</w:t>
      </w:r>
      <w:r>
        <w:rPr>
          <w:sz w:val="24"/>
        </w:rPr>
        <w:t>文件中附有相关证明文件，如因第三方提出其专利权、商标权或其他知识产权的侵权之诉，则一切法律责任由</w:t>
      </w:r>
      <w:r>
        <w:rPr>
          <w:sz w:val="24"/>
        </w:rPr>
        <w:t>乙方自行</w:t>
      </w:r>
      <w:r>
        <w:rPr>
          <w:sz w:val="24"/>
        </w:rPr>
        <w:t>承担。</w:t>
      </w:r>
    </w:p>
    <w:p>
      <w:pPr>
        <w:pStyle w:val="null3"/>
        <w:ind w:firstLine="420"/>
        <w:jc w:val="both"/>
      </w:pPr>
      <w:r>
        <w:rPr>
          <w:sz w:val="24"/>
        </w:rPr>
        <w:t>5</w:t>
      </w:r>
      <w:r>
        <w:rPr>
          <w:sz w:val="24"/>
        </w:rPr>
        <w:t>、</w:t>
      </w:r>
      <w:r>
        <w:rPr>
          <w:sz w:val="24"/>
        </w:rPr>
        <w:t>验收按国家有关的规定、规范进行。验收时如发现所交付的设备有短装、次品、损坏或其它不符合本项目规定之情形者，</w:t>
      </w:r>
      <w:r>
        <w:rPr>
          <w:sz w:val="24"/>
        </w:rPr>
        <w:t>甲方</w:t>
      </w:r>
      <w:r>
        <w:rPr>
          <w:sz w:val="24"/>
        </w:rPr>
        <w:t>应做出详尽的现场记录，或由</w:t>
      </w:r>
      <w:r>
        <w:rPr>
          <w:sz w:val="24"/>
        </w:rPr>
        <w:t>甲方</w:t>
      </w:r>
      <w:r>
        <w:rPr>
          <w:sz w:val="24"/>
        </w:rPr>
        <w:t>和</w:t>
      </w:r>
      <w:r>
        <w:rPr>
          <w:sz w:val="24"/>
        </w:rPr>
        <w:t>乙方</w:t>
      </w:r>
      <w:r>
        <w:rPr>
          <w:sz w:val="24"/>
        </w:rPr>
        <w:t>双方签署备忘录。此现场记录或备忘录可用作补充、缺失和更换损坏部件的有效证据，由此产生的有关费用由</w:t>
      </w:r>
      <w:r>
        <w:rPr>
          <w:sz w:val="24"/>
        </w:rPr>
        <w:t>乙方</w:t>
      </w:r>
      <w:r>
        <w:rPr>
          <w:sz w:val="24"/>
        </w:rPr>
        <w:t>承担。</w:t>
      </w:r>
    </w:p>
    <w:p>
      <w:pPr>
        <w:pStyle w:val="null3"/>
        <w:ind w:firstLine="420"/>
        <w:jc w:val="both"/>
      </w:pPr>
      <w:r>
        <w:rPr>
          <w:sz w:val="24"/>
        </w:rPr>
        <w:t>6</w:t>
      </w:r>
      <w:r>
        <w:rPr>
          <w:sz w:val="24"/>
        </w:rPr>
        <w:t>、</w:t>
      </w:r>
      <w:r>
        <w:rPr>
          <w:sz w:val="24"/>
        </w:rPr>
        <w:t>使用验收</w:t>
      </w:r>
    </w:p>
    <w:p>
      <w:pPr>
        <w:pStyle w:val="null3"/>
        <w:ind w:firstLine="420"/>
        <w:jc w:val="both"/>
      </w:pPr>
      <w:r>
        <w:rPr>
          <w:sz w:val="24"/>
        </w:rPr>
        <w:t>（</w:t>
      </w:r>
      <w:r>
        <w:rPr>
          <w:sz w:val="24"/>
        </w:rPr>
        <w:t>1）使用单位对设备使用、运行情况作说明，提供验收报告；</w:t>
      </w:r>
    </w:p>
    <w:p>
      <w:pPr>
        <w:pStyle w:val="null3"/>
        <w:ind w:firstLine="420"/>
        <w:jc w:val="both"/>
      </w:pPr>
      <w:r>
        <w:rPr>
          <w:sz w:val="24"/>
        </w:rPr>
        <w:t>（</w:t>
      </w:r>
      <w:r>
        <w:rPr>
          <w:sz w:val="24"/>
        </w:rPr>
        <w:t>2）由</w:t>
      </w:r>
      <w:r>
        <w:rPr>
          <w:sz w:val="24"/>
        </w:rPr>
        <w:t>甲方</w:t>
      </w:r>
      <w:r>
        <w:rPr>
          <w:sz w:val="24"/>
        </w:rPr>
        <w:t>相关业务部门组织进行功能性检测并签署验收单。。</w:t>
      </w:r>
    </w:p>
    <w:p>
      <w:pPr>
        <w:pStyle w:val="null3"/>
        <w:ind w:firstLine="420"/>
        <w:jc w:val="both"/>
      </w:pPr>
      <w:r>
        <w:rPr>
          <w:sz w:val="24"/>
          <w:b/>
        </w:rPr>
        <w:t>八</w:t>
      </w:r>
      <w:r>
        <w:rPr>
          <w:sz w:val="24"/>
          <w:b/>
        </w:rPr>
        <w:t>、违约责任与赔偿损失：</w:t>
      </w:r>
    </w:p>
    <w:p>
      <w:pPr>
        <w:pStyle w:val="null3"/>
        <w:ind w:firstLine="420"/>
        <w:jc w:val="both"/>
      </w:pPr>
      <w:r>
        <w:rPr>
          <w:sz w:val="24"/>
        </w:rPr>
        <w:t>1、乙方交付的货物、工程/提供的服务不符合采购文件、报价文件或本合同规定的，甲方有权拒收，并且乙方须向甲方支付本合同总价5%的违约金。</w:t>
      </w:r>
    </w:p>
    <w:p>
      <w:pPr>
        <w:pStyle w:val="null3"/>
        <w:ind w:firstLine="420"/>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4"/>
        </w:rPr>
        <w:t>4、其它违约责任按《中华人民共和国民法典》处理。</w:t>
      </w:r>
    </w:p>
    <w:p>
      <w:pPr>
        <w:pStyle w:val="null3"/>
        <w:ind w:firstLine="420"/>
        <w:jc w:val="both"/>
      </w:pPr>
      <w:r>
        <w:rPr>
          <w:sz w:val="24"/>
          <w:b/>
        </w:rPr>
        <w:t>九</w:t>
      </w:r>
      <w:r>
        <w:rPr>
          <w:sz w:val="24"/>
          <w:b/>
        </w:rPr>
        <w:t>、争议的解决</w:t>
      </w:r>
      <w:r>
        <w:rPr>
          <w:sz w:val="24"/>
          <w:b/>
        </w:rPr>
        <w:t>：</w:t>
      </w:r>
    </w:p>
    <w:p>
      <w:pPr>
        <w:pStyle w:val="null3"/>
        <w:ind w:firstLine="420"/>
        <w:jc w:val="both"/>
      </w:pPr>
      <w:r>
        <w:rPr>
          <w:sz w:val="24"/>
        </w:rPr>
        <w:t>1、合同执行过程中发生的任何争议，如双方不能通过友好协商解决，按相关法律法规处理。</w:t>
      </w:r>
    </w:p>
    <w:p>
      <w:pPr>
        <w:pStyle w:val="null3"/>
        <w:ind w:firstLine="420"/>
        <w:jc w:val="both"/>
      </w:pPr>
      <w:r>
        <w:rPr>
          <w:sz w:val="24"/>
          <w:b/>
        </w:rPr>
        <w:t>十、不可抗力：</w:t>
      </w:r>
    </w:p>
    <w:p>
      <w:pPr>
        <w:pStyle w:val="null3"/>
        <w:ind w:firstLine="420"/>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rPr>
        <w:t>十</w:t>
      </w:r>
      <w:r>
        <w:rPr>
          <w:sz w:val="24"/>
          <w:b/>
        </w:rPr>
        <w:t>一</w:t>
      </w:r>
      <w:r>
        <w:rPr>
          <w:sz w:val="24"/>
          <w:b/>
        </w:rPr>
        <w:t>、其它</w:t>
      </w:r>
      <w:r>
        <w:rPr>
          <w:sz w:val="24"/>
          <w:b/>
        </w:rPr>
        <w:t>：</w:t>
      </w:r>
    </w:p>
    <w:p>
      <w:pPr>
        <w:pStyle w:val="null3"/>
        <w:ind w:firstLine="420"/>
        <w:jc w:val="both"/>
      </w:pPr>
      <w:r>
        <w:rPr>
          <w:sz w:val="24"/>
        </w:rPr>
        <w:t>1、本合同所有附件、采购文件（含补遗书、采购文件澄清、答疑会议纪要等）、投标文件（含投标文件澄清等）、中标通知书均为合同的有效组成部分，与本合同具有同等法律效力。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ind w:firstLine="420"/>
        <w:jc w:val="both"/>
      </w:pPr>
      <w:r>
        <w:rPr>
          <w:sz w:val="24"/>
          <w:b/>
        </w:rPr>
        <w:t>十</w:t>
      </w:r>
      <w:r>
        <w:rPr>
          <w:sz w:val="24"/>
          <w:b/>
        </w:rPr>
        <w:t>二</w:t>
      </w:r>
      <w:r>
        <w:rPr>
          <w:sz w:val="24"/>
          <w:b/>
        </w:rPr>
        <w:t>、合同生效：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2、合同壹式</w:t>
      </w:r>
      <w:r>
        <w:rPr>
          <w:u w:val="single"/>
        </w:rPr>
        <w:t xml:space="preserve">   </w:t>
      </w:r>
      <w:r>
        <w:rPr>
          <w:sz w:val="24"/>
        </w:rPr>
        <w:t>份，其中甲乙双方各执</w:t>
      </w:r>
      <w:r>
        <w:rPr>
          <w:u w:val="single"/>
        </w:rPr>
        <w:t xml:space="preserve">   </w:t>
      </w:r>
      <w:r>
        <w:rPr>
          <w:sz w:val="24"/>
        </w:rPr>
        <w:t>份，采购代理机构执壹份。</w:t>
      </w:r>
    </w:p>
    <w:p>
      <w:pPr>
        <w:pStyle w:val="null3"/>
        <w:ind w:firstLine="420"/>
        <w:jc w:val="both"/>
      </w:pPr>
      <w:r>
        <w:rPr>
          <w:sz w:val="24"/>
          <w:b/>
        </w:rPr>
        <w:t>甲方（盖章）：</w:t>
      </w:r>
      <w:r>
        <w:rPr>
          <w:sz w:val="24"/>
          <w:b/>
        </w:rPr>
        <w:t xml:space="preserve">                          </w:t>
      </w:r>
      <w:r>
        <w:rPr>
          <w:sz w:val="24"/>
          <w:b/>
        </w:rPr>
        <w:t>乙方（盖章）：</w:t>
      </w:r>
    </w:p>
    <w:p>
      <w:pPr>
        <w:pStyle w:val="null3"/>
        <w:ind w:firstLine="480"/>
        <w:jc w:val="both"/>
      </w:pPr>
      <w:r>
        <w:rPr>
          <w:sz w:val="24"/>
          <w:b/>
        </w:rPr>
        <w:t>代表：</w:t>
      </w:r>
      <w:r>
        <w:rPr>
          <w:sz w:val="24"/>
          <w:b/>
        </w:rPr>
        <w:t xml:space="preserve">                                      </w:t>
      </w:r>
      <w:r>
        <w:rPr>
          <w:sz w:val="24"/>
          <w:b/>
        </w:rPr>
        <w:t>代表：</w:t>
      </w:r>
    </w:p>
    <w:p>
      <w:pPr>
        <w:pStyle w:val="null3"/>
        <w:ind w:firstLine="480"/>
        <w:jc w:val="both"/>
      </w:pPr>
      <w:r>
        <w:rPr>
          <w:sz w:val="24"/>
        </w:rPr>
        <w:t>签订地点：</w:t>
      </w:r>
    </w:p>
    <w:p>
      <w:pPr>
        <w:pStyle w:val="null3"/>
        <w:ind w:firstLine="48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620"/>
        <w:jc w:val="both"/>
      </w:pPr>
      <w:r>
        <w:rPr>
          <w:sz w:val="24"/>
        </w:rPr>
        <w:t>开户名称：</w:t>
      </w:r>
    </w:p>
    <w:p>
      <w:pPr>
        <w:pStyle w:val="null3"/>
        <w:ind w:firstLine="4620"/>
        <w:jc w:val="both"/>
      </w:pPr>
      <w:r>
        <w:rPr>
          <w:sz w:val="24"/>
        </w:rPr>
        <w:t>银行帐号：</w:t>
      </w:r>
    </w:p>
    <w:p>
      <w:pPr>
        <w:pStyle w:val="null3"/>
        <w:ind w:firstLine="4620"/>
        <w:jc w:val="both"/>
      </w:pP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441701-2026-00149</w:t>
      </w:r>
    </w:p>
    <w:p>
      <w:pPr>
        <w:pStyle w:val="null3"/>
        <w:jc w:val="center"/>
        <w:outlineLvl w:val="3"/>
      </w:pPr>
      <w:r>
        <w:rPr>
          <w:sz w:val="24"/>
          <w:b/>
        </w:rPr>
        <w:t>采购项目编号：</w:t>
      </w:r>
      <w:r>
        <w:rPr>
          <w:sz w:val="24"/>
          <w:b/>
        </w:rPr>
        <w:t>0724-2631YJ010312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住院病案无纸化归档专用硬件双活及升级更新项目(二次)</w:t>
      </w:r>
      <w:r>
        <w:rPr>
          <w:u w:val="single"/>
        </w:rPr>
        <w:t>”</w:t>
      </w:r>
      <w:r>
        <w:rPr/>
        <w:t>项目的招标[采购项目编号为：</w:t>
      </w:r>
      <w:r>
        <w:rPr>
          <w:u w:val="single"/>
        </w:rPr>
        <w:t>0724-2631YJ010312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住院病案无纸化归档专用硬件双活及升级更新项目(二次)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住院病案无纸化归档专用硬件双活及升级更新项目(二次)</w:t>
      </w:r>
      <w:r>
        <w:rPr/>
        <w:t>”项目采购[采购项目编号为</w:t>
      </w:r>
      <w:r>
        <w:rPr/>
        <w:t>0724-2631YJ010312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住院病案无纸化归档专用硬件双活及升级更新项目(二次)</w:t>
      </w:r>
      <w:r>
        <w:rPr/>
        <w:t>招标中获中标（采购项目编号：</w:t>
      </w:r>
      <w:r>
        <w:rPr/>
        <w:t>0724-2631YJ010312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住院病案无纸化归档专用硬件双活及升级更新项目(二次)</w:t>
      </w:r>
      <w:r>
        <w:rPr/>
        <w:t>”项目（采购项目编号：</w:t>
      </w:r>
      <w:r>
        <w:rPr/>
        <w:t>0724-2631YJ010312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